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900" w:lineRule="exact"/>
        <w:jc w:val="center"/>
        <w:rPr>
          <w:rFonts w:hint="eastAsia" w:ascii="宋体" w:hAnsi="宋体"/>
          <w:b/>
          <w:color w:val="auto"/>
          <w:sz w:val="40"/>
          <w:szCs w:val="44"/>
          <w:highlight w:val="none"/>
        </w:rPr>
      </w:pPr>
      <w:bookmarkStart w:id="72" w:name="_GoBack"/>
      <w:bookmarkEnd w:id="72"/>
      <w:r>
        <w:rPr>
          <w:rFonts w:hint="eastAsia" w:ascii="宋体" w:hAnsi="宋体"/>
          <w:b/>
          <w:color w:val="auto"/>
          <w:sz w:val="40"/>
          <w:szCs w:val="44"/>
          <w:highlight w:val="none"/>
          <w:lang w:eastAsia="zh-CN"/>
        </w:rPr>
        <w:t>慈溪市崇寿镇2022年度保洁服务</w:t>
      </w:r>
      <w:r>
        <w:rPr>
          <w:rFonts w:hint="eastAsia" w:ascii="宋体" w:hAnsi="宋体"/>
          <w:b/>
          <w:color w:val="auto"/>
          <w:sz w:val="40"/>
          <w:szCs w:val="44"/>
          <w:highlight w:val="none"/>
        </w:rPr>
        <w:t>采购项目</w:t>
      </w:r>
    </w:p>
    <w:p>
      <w:pPr>
        <w:spacing w:after="120" w:line="900" w:lineRule="exact"/>
        <w:jc w:val="center"/>
        <w:rPr>
          <w:rFonts w:ascii="宋体" w:hAnsi="宋体"/>
          <w:b/>
          <w:color w:val="auto"/>
          <w:sz w:val="48"/>
          <w:szCs w:val="52"/>
          <w:highlight w:val="none"/>
        </w:rPr>
      </w:pPr>
      <w:r>
        <w:rPr>
          <w:rFonts w:hint="eastAsia" w:ascii="宋体" w:hAnsi="宋体"/>
          <w:b/>
          <w:color w:val="auto"/>
          <w:sz w:val="48"/>
          <w:szCs w:val="52"/>
          <w:highlight w:val="none"/>
        </w:rPr>
        <w:t>政府采购</w:t>
      </w:r>
    </w:p>
    <w:p>
      <w:pPr>
        <w:spacing w:after="120" w:line="400" w:lineRule="exact"/>
        <w:jc w:val="center"/>
        <w:rPr>
          <w:rFonts w:ascii="宋体" w:hAnsi="宋体"/>
          <w:b/>
          <w:color w:val="auto"/>
          <w:sz w:val="32"/>
          <w:szCs w:val="32"/>
          <w:highlight w:val="none"/>
        </w:rPr>
      </w:pPr>
    </w:p>
    <w:p>
      <w:pPr>
        <w:pStyle w:val="20"/>
        <w:rPr>
          <w:color w:val="auto"/>
          <w:highlight w:val="none"/>
        </w:rPr>
      </w:pPr>
    </w:p>
    <w:p>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公</w:t>
      </w:r>
    </w:p>
    <w:p>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开</w:t>
      </w:r>
    </w:p>
    <w:p>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招</w:t>
      </w:r>
    </w:p>
    <w:p>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标</w:t>
      </w:r>
    </w:p>
    <w:p>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文</w:t>
      </w:r>
    </w:p>
    <w:p>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件</w:t>
      </w:r>
    </w:p>
    <w:p>
      <w:pPr>
        <w:rPr>
          <w:rFonts w:ascii="宋体" w:hAnsi="宋体"/>
          <w:b/>
          <w:color w:val="auto"/>
          <w:sz w:val="36"/>
          <w:szCs w:val="36"/>
          <w:highlight w:val="none"/>
        </w:rPr>
      </w:pPr>
    </w:p>
    <w:p>
      <w:pPr>
        <w:pStyle w:val="20"/>
        <w:rPr>
          <w:color w:val="auto"/>
          <w:highlight w:val="none"/>
        </w:rPr>
      </w:pPr>
    </w:p>
    <w:p>
      <w:pPr>
        <w:spacing w:line="700" w:lineRule="exact"/>
        <w:rPr>
          <w:rFonts w:hint="eastAsia" w:ascii="宋体" w:hAnsi="宋体"/>
          <w:b/>
          <w:color w:val="auto"/>
          <w:sz w:val="28"/>
          <w:szCs w:val="28"/>
          <w:highlight w:val="none"/>
        </w:rPr>
      </w:pPr>
      <w:r>
        <w:rPr>
          <w:rFonts w:hint="eastAsia" w:ascii="宋体" w:hAnsi="宋体"/>
          <w:b/>
          <w:color w:val="auto"/>
          <w:sz w:val="28"/>
          <w:szCs w:val="28"/>
          <w:highlight w:val="none"/>
        </w:rPr>
        <w:t>项目编号：</w:t>
      </w:r>
      <w:r>
        <w:rPr>
          <w:rFonts w:ascii="宋体" w:hAnsi="宋体"/>
          <w:b/>
          <w:color w:val="auto"/>
          <w:sz w:val="28"/>
          <w:szCs w:val="28"/>
          <w:highlight w:val="none"/>
        </w:rPr>
        <w:fldChar w:fldCharType="begin"/>
      </w:r>
      <w:r>
        <w:rPr>
          <w:rFonts w:ascii="宋体" w:hAnsi="宋体"/>
          <w:b/>
          <w:color w:val="auto"/>
          <w:sz w:val="28"/>
          <w:szCs w:val="28"/>
          <w:highlight w:val="none"/>
        </w:rPr>
        <w:instrText xml:space="preserve"> HYPERLINK "https://pay.zcygov.cn/purchaseplan_front/" \l "/plan/list/detail?id=1000000000007380172&amp;encrypt=87a787e5734cc1a9c65464f9d8fae133" \t "_blank" </w:instrText>
      </w:r>
      <w:r>
        <w:rPr>
          <w:rFonts w:ascii="宋体" w:hAnsi="宋体"/>
          <w:b/>
          <w:color w:val="auto"/>
          <w:sz w:val="28"/>
          <w:szCs w:val="28"/>
          <w:highlight w:val="none"/>
        </w:rPr>
        <w:fldChar w:fldCharType="separate"/>
      </w:r>
      <w:r>
        <w:rPr>
          <w:rFonts w:hint="eastAsia" w:ascii="宋体" w:hAnsi="宋体"/>
          <w:b/>
          <w:color w:val="auto"/>
          <w:sz w:val="28"/>
          <w:szCs w:val="28"/>
          <w:highlight w:val="none"/>
          <w:lang w:eastAsia="zh-CN"/>
        </w:rPr>
        <w:t>CXZFCG[2022]1350号</w:t>
      </w:r>
      <w:r>
        <w:rPr>
          <w:rFonts w:ascii="宋体" w:hAnsi="宋体"/>
          <w:b/>
          <w:color w:val="auto"/>
          <w:sz w:val="28"/>
          <w:szCs w:val="28"/>
          <w:highlight w:val="none"/>
        </w:rPr>
        <w:fldChar w:fldCharType="end"/>
      </w:r>
    </w:p>
    <w:p>
      <w:pPr>
        <w:spacing w:line="700" w:lineRule="exact"/>
        <w:ind w:left="1405" w:hanging="1405" w:hangingChars="500"/>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采</w:t>
      </w:r>
      <w:r>
        <w:rPr>
          <w:rFonts w:ascii="宋体" w:hAnsi="宋体"/>
          <w:b/>
          <w:color w:val="auto"/>
          <w:sz w:val="28"/>
          <w:szCs w:val="28"/>
          <w:highlight w:val="none"/>
        </w:rPr>
        <w:t xml:space="preserve"> </w:t>
      </w:r>
      <w:r>
        <w:rPr>
          <w:rFonts w:hint="eastAsia" w:ascii="宋体" w:hAnsi="宋体"/>
          <w:b/>
          <w:color w:val="auto"/>
          <w:sz w:val="28"/>
          <w:szCs w:val="28"/>
          <w:highlight w:val="none"/>
        </w:rPr>
        <w:t>购</w:t>
      </w:r>
      <w:r>
        <w:rPr>
          <w:rFonts w:ascii="宋体" w:hAnsi="宋体"/>
          <w:b/>
          <w:color w:val="auto"/>
          <w:sz w:val="28"/>
          <w:szCs w:val="28"/>
          <w:highlight w:val="none"/>
        </w:rPr>
        <w:t xml:space="preserve"> </w:t>
      </w:r>
      <w:r>
        <w:rPr>
          <w:rFonts w:hint="eastAsia" w:ascii="宋体" w:hAnsi="宋体"/>
          <w:b/>
          <w:color w:val="auto"/>
          <w:sz w:val="28"/>
          <w:szCs w:val="28"/>
          <w:highlight w:val="none"/>
        </w:rPr>
        <w:t>人：</w:t>
      </w:r>
      <w:r>
        <w:rPr>
          <w:rFonts w:hint="eastAsia" w:ascii="宋体" w:hAnsi="宋体"/>
          <w:b/>
          <w:color w:val="auto"/>
          <w:sz w:val="28"/>
          <w:szCs w:val="28"/>
          <w:highlight w:val="none"/>
          <w:lang w:eastAsia="zh-CN"/>
        </w:rPr>
        <w:t>慈溪市崇寿镇人民政府</w:t>
      </w:r>
    </w:p>
    <w:p>
      <w:pPr>
        <w:spacing w:line="700" w:lineRule="exact"/>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代理机构：</w:t>
      </w:r>
      <w:r>
        <w:rPr>
          <w:rFonts w:hint="eastAsia" w:ascii="宋体" w:hAnsi="宋体"/>
          <w:b/>
          <w:color w:val="auto"/>
          <w:sz w:val="28"/>
          <w:szCs w:val="28"/>
          <w:highlight w:val="none"/>
          <w:lang w:eastAsia="zh-CN"/>
        </w:rPr>
        <w:t>宁波永敬工程造价咨询有限公司</w:t>
      </w:r>
    </w:p>
    <w:p>
      <w:pPr>
        <w:spacing w:line="700" w:lineRule="exact"/>
        <w:rPr>
          <w:rFonts w:ascii="宋体" w:hAnsi="宋体"/>
          <w:b/>
          <w:color w:val="auto"/>
          <w:sz w:val="28"/>
          <w:szCs w:val="28"/>
          <w:highlight w:val="none"/>
        </w:rPr>
      </w:pPr>
      <w:r>
        <w:rPr>
          <w:rFonts w:hint="eastAsia" w:ascii="宋体" w:hAnsi="宋体"/>
          <w:b/>
          <w:color w:val="auto"/>
          <w:sz w:val="28"/>
          <w:szCs w:val="28"/>
          <w:highlight w:val="none"/>
        </w:rPr>
        <w:t>编制日期：</w:t>
      </w:r>
      <w:r>
        <w:rPr>
          <w:rFonts w:ascii="宋体" w:hAnsi="宋体"/>
          <w:b/>
          <w:color w:val="auto"/>
          <w:sz w:val="28"/>
          <w:szCs w:val="28"/>
          <w:highlight w:val="none"/>
        </w:rPr>
        <w:t>202</w:t>
      </w:r>
      <w:r>
        <w:rPr>
          <w:rFonts w:hint="eastAsia" w:ascii="宋体" w:hAnsi="宋体"/>
          <w:b/>
          <w:color w:val="auto"/>
          <w:sz w:val="28"/>
          <w:szCs w:val="28"/>
          <w:highlight w:val="none"/>
        </w:rPr>
        <w:t>2年</w:t>
      </w:r>
      <w:r>
        <w:rPr>
          <w:rFonts w:hint="eastAsia" w:ascii="宋体" w:hAnsi="宋体"/>
          <w:b/>
          <w:color w:val="auto"/>
          <w:sz w:val="28"/>
          <w:szCs w:val="28"/>
          <w:highlight w:val="none"/>
          <w:lang w:val="en-US" w:eastAsia="zh-CN"/>
        </w:rPr>
        <w:t>6</w:t>
      </w:r>
      <w:r>
        <w:rPr>
          <w:rFonts w:hint="eastAsia" w:ascii="宋体" w:hAnsi="宋体"/>
          <w:b/>
          <w:color w:val="auto"/>
          <w:sz w:val="28"/>
          <w:szCs w:val="28"/>
          <w:highlight w:val="none"/>
        </w:rPr>
        <w:t>月</w:t>
      </w:r>
    </w:p>
    <w:p>
      <w:pPr>
        <w:spacing w:line="1200" w:lineRule="exact"/>
        <w:jc w:val="center"/>
        <w:rPr>
          <w:rFonts w:ascii="宋体" w:hAnsi="宋体"/>
          <w:b/>
          <w:color w:val="auto"/>
          <w:sz w:val="72"/>
          <w:szCs w:val="72"/>
          <w:highlight w:val="none"/>
        </w:rPr>
      </w:pPr>
      <w:r>
        <w:rPr>
          <w:rFonts w:ascii="宋体" w:hAnsi="宋体"/>
          <w:b/>
          <w:color w:val="auto"/>
          <w:sz w:val="28"/>
          <w:szCs w:val="28"/>
          <w:highlight w:val="none"/>
        </w:rPr>
        <w:br w:type="page"/>
      </w:r>
      <w:r>
        <w:rPr>
          <w:rFonts w:hint="eastAsia" w:ascii="宋体" w:hAnsi="宋体"/>
          <w:b/>
          <w:color w:val="auto"/>
          <w:sz w:val="56"/>
          <w:szCs w:val="56"/>
          <w:highlight w:val="none"/>
        </w:rPr>
        <w:t>温馨提醒</w:t>
      </w:r>
    </w:p>
    <w:p>
      <w:pPr>
        <w:spacing w:line="1200" w:lineRule="exact"/>
        <w:jc w:val="center"/>
        <w:rPr>
          <w:rFonts w:ascii="宋体" w:hAnsi="宋体"/>
          <w:b/>
          <w:color w:val="auto"/>
          <w:sz w:val="52"/>
          <w:szCs w:val="52"/>
          <w:highlight w:val="none"/>
        </w:rPr>
      </w:pPr>
    </w:p>
    <w:p>
      <w:pPr>
        <w:keepNext w:val="0"/>
        <w:keepLines w:val="0"/>
        <w:pageBreakBefore w:val="0"/>
        <w:widowControl w:val="0"/>
        <w:kinsoku/>
        <w:wordWrap/>
        <w:overflowPunct/>
        <w:topLinePunct w:val="0"/>
        <w:autoSpaceDE/>
        <w:autoSpaceDN/>
        <w:bidi w:val="0"/>
        <w:adjustRightInd/>
        <w:snapToGrid/>
        <w:spacing w:line="920" w:lineRule="exact"/>
        <w:jc w:val="left"/>
        <w:textAlignment w:val="auto"/>
        <w:rPr>
          <w:rFonts w:ascii="宋体" w:hAnsi="宋体"/>
          <w:b/>
          <w:color w:val="auto"/>
          <w:sz w:val="28"/>
          <w:szCs w:val="28"/>
          <w:highlight w:val="none"/>
        </w:rPr>
      </w:pPr>
      <w:r>
        <w:rPr>
          <w:rFonts w:ascii="宋体" w:hAnsi="宋体"/>
          <w:b/>
          <w:color w:val="auto"/>
          <w:sz w:val="28"/>
          <w:szCs w:val="28"/>
          <w:highlight w:val="none"/>
        </w:rPr>
        <w:t>1</w:t>
      </w:r>
      <w:r>
        <w:rPr>
          <w:rFonts w:hint="eastAsia" w:ascii="宋体" w:hAnsi="宋体"/>
          <w:b/>
          <w:color w:val="auto"/>
          <w:sz w:val="28"/>
          <w:szCs w:val="28"/>
          <w:highlight w:val="none"/>
        </w:rPr>
        <w:t>、投标文件应按招标文件要求将“资格文件”、“商务和技术文件”、“报价文件”分别编制。</w:t>
      </w:r>
    </w:p>
    <w:p>
      <w:pPr>
        <w:keepNext w:val="0"/>
        <w:keepLines w:val="0"/>
        <w:pageBreakBefore w:val="0"/>
        <w:widowControl w:val="0"/>
        <w:kinsoku/>
        <w:wordWrap/>
        <w:overflowPunct/>
        <w:topLinePunct w:val="0"/>
        <w:autoSpaceDE/>
        <w:autoSpaceDN/>
        <w:bidi w:val="0"/>
        <w:adjustRightInd/>
        <w:snapToGrid/>
        <w:spacing w:line="920" w:lineRule="exact"/>
        <w:jc w:val="left"/>
        <w:textAlignment w:val="auto"/>
        <w:rPr>
          <w:rFonts w:ascii="宋体" w:hAnsi="宋体"/>
          <w:b/>
          <w:color w:val="auto"/>
          <w:sz w:val="28"/>
          <w:szCs w:val="28"/>
          <w:highlight w:val="none"/>
        </w:rPr>
      </w:pPr>
      <w:r>
        <w:rPr>
          <w:rFonts w:ascii="宋体" w:hAnsi="宋体"/>
          <w:b/>
          <w:color w:val="auto"/>
          <w:sz w:val="28"/>
          <w:szCs w:val="28"/>
          <w:highlight w:val="none"/>
        </w:rPr>
        <w:t>2</w:t>
      </w:r>
      <w:r>
        <w:rPr>
          <w:rFonts w:hint="eastAsia" w:ascii="宋体" w:hAnsi="宋体"/>
          <w:b/>
          <w:color w:val="auto"/>
          <w:sz w:val="28"/>
          <w:szCs w:val="28"/>
          <w:highlight w:val="none"/>
        </w:rPr>
        <w:t>、“商务和技术文件”中不得出现涉及投标价格的内容，否则作无效标处理。</w:t>
      </w:r>
    </w:p>
    <w:p>
      <w:pPr>
        <w:keepNext w:val="0"/>
        <w:keepLines w:val="0"/>
        <w:pageBreakBefore w:val="0"/>
        <w:widowControl w:val="0"/>
        <w:kinsoku/>
        <w:wordWrap/>
        <w:overflowPunct/>
        <w:topLinePunct w:val="0"/>
        <w:autoSpaceDE/>
        <w:autoSpaceDN/>
        <w:bidi w:val="0"/>
        <w:adjustRightInd/>
        <w:snapToGrid/>
        <w:spacing w:line="920" w:lineRule="exact"/>
        <w:jc w:val="left"/>
        <w:textAlignment w:val="auto"/>
        <w:rPr>
          <w:rFonts w:hint="eastAsia" w:ascii="宋体" w:hAnsi="宋体"/>
          <w:b/>
          <w:color w:val="auto"/>
          <w:sz w:val="28"/>
          <w:szCs w:val="28"/>
          <w:highlight w:val="none"/>
        </w:rPr>
      </w:pPr>
      <w:r>
        <w:rPr>
          <w:rFonts w:hint="eastAsia" w:ascii="宋体" w:hAnsi="宋体"/>
          <w:b/>
          <w:color w:val="auto"/>
          <w:sz w:val="28"/>
          <w:szCs w:val="28"/>
          <w:highlight w:val="none"/>
        </w:rPr>
        <w:t>3、采购人可以对已发出的招标文件进行必要的澄清或者修改</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将以“更正公告”的形式发布在政采云平台，供应商应及时登录政采云平台，进行浏览并下载，未及时浏览下载的责任自负。</w:t>
      </w:r>
    </w:p>
    <w:p>
      <w:pPr>
        <w:jc w:val="center"/>
        <w:outlineLvl w:val="0"/>
        <w:rPr>
          <w:rFonts w:ascii="宋体" w:hAnsi="宋体"/>
          <w:b/>
          <w:bCs/>
          <w:color w:val="auto"/>
          <w:sz w:val="32"/>
          <w:szCs w:val="32"/>
          <w:highlight w:val="none"/>
        </w:rPr>
      </w:pPr>
    </w:p>
    <w:p>
      <w:pPr>
        <w:tabs>
          <w:tab w:val="center" w:pos="4365"/>
        </w:tabs>
        <w:spacing w:line="480" w:lineRule="auto"/>
        <w:jc w:val="center"/>
        <w:rPr>
          <w:rFonts w:ascii="宋体" w:hAnsi="宋体"/>
          <w:b/>
          <w:bCs/>
          <w:color w:val="auto"/>
          <w:sz w:val="32"/>
          <w:szCs w:val="32"/>
          <w:highlight w:val="none"/>
        </w:rPr>
      </w:pPr>
      <w:r>
        <w:rPr>
          <w:rFonts w:ascii="宋体" w:hAnsi="宋体"/>
          <w:b/>
          <w:bCs/>
          <w:color w:val="auto"/>
          <w:sz w:val="32"/>
          <w:szCs w:val="32"/>
          <w:highlight w:val="none"/>
        </w:rPr>
        <w:br w:type="page"/>
      </w:r>
    </w:p>
    <w:p>
      <w:pPr>
        <w:tabs>
          <w:tab w:val="center" w:pos="4365"/>
        </w:tabs>
        <w:spacing w:line="480" w:lineRule="auto"/>
        <w:jc w:val="center"/>
        <w:rPr>
          <w:rFonts w:ascii="宋体" w:hAnsi="宋体"/>
          <w:b/>
          <w:color w:val="auto"/>
          <w:sz w:val="52"/>
          <w:szCs w:val="52"/>
          <w:highlight w:val="none"/>
        </w:rPr>
      </w:pPr>
      <w:r>
        <w:rPr>
          <w:rFonts w:hint="eastAsia" w:ascii="宋体" w:hAnsi="宋体"/>
          <w:b/>
          <w:color w:val="auto"/>
          <w:sz w:val="52"/>
          <w:szCs w:val="52"/>
          <w:highlight w:val="none"/>
        </w:rPr>
        <w:t>目</w:t>
      </w:r>
      <w:r>
        <w:rPr>
          <w:rFonts w:ascii="宋体" w:hAnsi="宋体"/>
          <w:b/>
          <w:color w:val="auto"/>
          <w:sz w:val="52"/>
          <w:szCs w:val="52"/>
          <w:highlight w:val="none"/>
        </w:rPr>
        <w:t xml:space="preserve">  </w:t>
      </w:r>
      <w:r>
        <w:rPr>
          <w:rFonts w:hint="eastAsia" w:ascii="宋体" w:hAnsi="宋体"/>
          <w:b/>
          <w:color w:val="auto"/>
          <w:sz w:val="52"/>
          <w:szCs w:val="52"/>
          <w:highlight w:val="none"/>
        </w:rPr>
        <w:t>录</w:t>
      </w:r>
    </w:p>
    <w:p>
      <w:pPr>
        <w:pStyle w:val="31"/>
        <w:tabs>
          <w:tab w:val="right" w:leader="dot" w:pos="8393"/>
          <w:tab w:val="clear" w:pos="8721"/>
        </w:tabs>
        <w:rPr>
          <w:color w:val="auto"/>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_Toc2699 </w:instrText>
      </w:r>
      <w:r>
        <w:rPr>
          <w:color w:val="auto"/>
          <w:highlight w:val="none"/>
        </w:rPr>
        <w:fldChar w:fldCharType="separate"/>
      </w:r>
      <w:r>
        <w:rPr>
          <w:rFonts w:hint="eastAsia"/>
          <w:color w:val="auto"/>
          <w:highlight w:val="none"/>
        </w:rPr>
        <w:t>第一章</w:t>
      </w:r>
      <w:r>
        <w:rPr>
          <w:color w:val="auto"/>
          <w:highlight w:val="none"/>
        </w:rPr>
        <w:t xml:space="preserve">  </w:t>
      </w:r>
      <w:r>
        <w:rPr>
          <w:rFonts w:hint="eastAsia"/>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_Toc2699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31"/>
        <w:tabs>
          <w:tab w:val="right" w:leader="dot" w:pos="8393"/>
          <w:tab w:val="clear" w:pos="8721"/>
        </w:tabs>
        <w:rPr>
          <w:color w:val="auto"/>
          <w:highlight w:val="none"/>
        </w:rPr>
      </w:pPr>
      <w:r>
        <w:rPr>
          <w:color w:val="auto"/>
          <w:highlight w:val="none"/>
        </w:rPr>
        <w:fldChar w:fldCharType="begin"/>
      </w:r>
      <w:r>
        <w:rPr>
          <w:color w:val="auto"/>
          <w:highlight w:val="none"/>
        </w:rPr>
        <w:instrText xml:space="preserve"> HYPERLINK \l _Toc18897 </w:instrText>
      </w:r>
      <w:r>
        <w:rPr>
          <w:color w:val="auto"/>
          <w:highlight w:val="none"/>
        </w:rPr>
        <w:fldChar w:fldCharType="separate"/>
      </w:r>
      <w:r>
        <w:rPr>
          <w:rFonts w:hint="eastAsia"/>
          <w:color w:val="auto"/>
          <w:highlight w:val="none"/>
        </w:rPr>
        <w:t>第二章</w:t>
      </w:r>
      <w:r>
        <w:rPr>
          <w:color w:val="auto"/>
          <w:highlight w:val="none"/>
        </w:rPr>
        <w:t xml:space="preserve">  </w:t>
      </w:r>
      <w:r>
        <w:rPr>
          <w:rFonts w:hint="eastAsia"/>
          <w:color w:val="auto"/>
          <w:highlight w:val="none"/>
        </w:rPr>
        <w:t>投标须知</w:t>
      </w:r>
      <w:r>
        <w:rPr>
          <w:color w:val="auto"/>
          <w:highlight w:val="none"/>
        </w:rPr>
        <w:tab/>
      </w:r>
      <w:r>
        <w:rPr>
          <w:color w:val="auto"/>
          <w:highlight w:val="none"/>
        </w:rPr>
        <w:fldChar w:fldCharType="begin"/>
      </w:r>
      <w:r>
        <w:rPr>
          <w:color w:val="auto"/>
          <w:highlight w:val="none"/>
        </w:rPr>
        <w:instrText xml:space="preserve"> PAGEREF _Toc18897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31"/>
        <w:tabs>
          <w:tab w:val="right" w:leader="dot" w:pos="8393"/>
          <w:tab w:val="clear" w:pos="8721"/>
        </w:tabs>
        <w:rPr>
          <w:color w:val="auto"/>
          <w:highlight w:val="none"/>
        </w:rPr>
      </w:pPr>
      <w:r>
        <w:rPr>
          <w:color w:val="auto"/>
          <w:highlight w:val="none"/>
        </w:rPr>
        <w:fldChar w:fldCharType="begin"/>
      </w:r>
      <w:r>
        <w:rPr>
          <w:color w:val="auto"/>
          <w:highlight w:val="none"/>
        </w:rPr>
        <w:instrText xml:space="preserve"> HYPERLINK \l _Toc18361 </w:instrText>
      </w:r>
      <w:r>
        <w:rPr>
          <w:color w:val="auto"/>
          <w:highlight w:val="none"/>
        </w:rPr>
        <w:fldChar w:fldCharType="separate"/>
      </w:r>
      <w:r>
        <w:rPr>
          <w:rFonts w:hint="eastAsia"/>
          <w:color w:val="auto"/>
          <w:highlight w:val="none"/>
        </w:rPr>
        <w:t>第三章</w:t>
      </w:r>
      <w:r>
        <w:rPr>
          <w:color w:val="auto"/>
          <w:highlight w:val="none"/>
        </w:rPr>
        <w:t xml:space="preserve">  </w:t>
      </w:r>
      <w:r>
        <w:rPr>
          <w:rFonts w:hint="eastAsia"/>
          <w:color w:val="auto"/>
          <w:highlight w:val="none"/>
        </w:rPr>
        <w:t>评标办法及标准</w:t>
      </w:r>
      <w:r>
        <w:rPr>
          <w:color w:val="auto"/>
          <w:highlight w:val="none"/>
        </w:rPr>
        <w:tab/>
      </w:r>
      <w:r>
        <w:rPr>
          <w:color w:val="auto"/>
          <w:highlight w:val="none"/>
        </w:rPr>
        <w:fldChar w:fldCharType="begin"/>
      </w:r>
      <w:r>
        <w:rPr>
          <w:color w:val="auto"/>
          <w:highlight w:val="none"/>
        </w:rPr>
        <w:instrText xml:space="preserve"> PAGEREF _Toc18361 \h </w:instrText>
      </w:r>
      <w:r>
        <w:rPr>
          <w:color w:val="auto"/>
          <w:highlight w:val="none"/>
        </w:rPr>
        <w:fldChar w:fldCharType="separate"/>
      </w:r>
      <w:r>
        <w:rPr>
          <w:color w:val="auto"/>
          <w:highlight w:val="none"/>
        </w:rPr>
        <w:t>1</w:t>
      </w:r>
      <w:r>
        <w:rPr>
          <w:rFonts w:hint="eastAsia"/>
          <w:color w:val="auto"/>
          <w:highlight w:val="none"/>
          <w:lang w:val="en-US" w:eastAsia="zh-CN"/>
        </w:rPr>
        <w:t>5</w:t>
      </w:r>
      <w:r>
        <w:rPr>
          <w:color w:val="auto"/>
          <w:highlight w:val="none"/>
        </w:rPr>
        <w:fldChar w:fldCharType="end"/>
      </w:r>
      <w:r>
        <w:rPr>
          <w:color w:val="auto"/>
          <w:highlight w:val="none"/>
        </w:rPr>
        <w:fldChar w:fldCharType="end"/>
      </w:r>
    </w:p>
    <w:p>
      <w:pPr>
        <w:pStyle w:val="31"/>
        <w:tabs>
          <w:tab w:val="right" w:leader="dot" w:pos="8393"/>
          <w:tab w:val="clear" w:pos="8721"/>
        </w:tabs>
        <w:rPr>
          <w:color w:val="auto"/>
          <w:highlight w:val="none"/>
        </w:rPr>
      </w:pPr>
      <w:r>
        <w:rPr>
          <w:color w:val="auto"/>
          <w:highlight w:val="none"/>
        </w:rPr>
        <w:fldChar w:fldCharType="begin"/>
      </w:r>
      <w:r>
        <w:rPr>
          <w:color w:val="auto"/>
          <w:highlight w:val="none"/>
        </w:rPr>
        <w:instrText xml:space="preserve"> HYPERLINK \l _Toc31491 </w:instrText>
      </w:r>
      <w:r>
        <w:rPr>
          <w:color w:val="auto"/>
          <w:highlight w:val="none"/>
        </w:rPr>
        <w:fldChar w:fldCharType="separate"/>
      </w:r>
      <w:r>
        <w:rPr>
          <w:rFonts w:hint="eastAsia"/>
          <w:color w:val="auto"/>
          <w:highlight w:val="none"/>
        </w:rPr>
        <w:t>第四章</w:t>
      </w:r>
      <w:r>
        <w:rPr>
          <w:color w:val="auto"/>
          <w:highlight w:val="none"/>
        </w:rPr>
        <w:t xml:space="preserve">  </w:t>
      </w:r>
      <w:r>
        <w:rPr>
          <w:rFonts w:hint="eastAsia"/>
          <w:color w:val="auto"/>
          <w:highlight w:val="none"/>
        </w:rPr>
        <w:t>采购合同样本</w:t>
      </w:r>
      <w:r>
        <w:rPr>
          <w:color w:val="auto"/>
          <w:highlight w:val="none"/>
        </w:rPr>
        <w:tab/>
      </w:r>
      <w:r>
        <w:rPr>
          <w:color w:val="auto"/>
          <w:highlight w:val="none"/>
        </w:rPr>
        <w:fldChar w:fldCharType="begin"/>
      </w:r>
      <w:r>
        <w:rPr>
          <w:color w:val="auto"/>
          <w:highlight w:val="none"/>
        </w:rPr>
        <w:instrText xml:space="preserve"> PAGEREF _Toc31491 \h </w:instrText>
      </w:r>
      <w:r>
        <w:rPr>
          <w:color w:val="auto"/>
          <w:highlight w:val="none"/>
        </w:rPr>
        <w:fldChar w:fldCharType="separate"/>
      </w:r>
      <w:r>
        <w:rPr>
          <w:color w:val="auto"/>
          <w:highlight w:val="none"/>
        </w:rPr>
        <w:t>2</w:t>
      </w:r>
      <w:r>
        <w:rPr>
          <w:rFonts w:hint="eastAsia"/>
          <w:color w:val="auto"/>
          <w:highlight w:val="none"/>
          <w:lang w:val="en-US" w:eastAsia="zh-CN"/>
        </w:rPr>
        <w:t>4</w:t>
      </w:r>
      <w:r>
        <w:rPr>
          <w:color w:val="auto"/>
          <w:highlight w:val="none"/>
        </w:rPr>
        <w:fldChar w:fldCharType="end"/>
      </w:r>
      <w:r>
        <w:rPr>
          <w:color w:val="auto"/>
          <w:highlight w:val="none"/>
        </w:rPr>
        <w:fldChar w:fldCharType="end"/>
      </w:r>
    </w:p>
    <w:p>
      <w:pPr>
        <w:pStyle w:val="31"/>
        <w:tabs>
          <w:tab w:val="right" w:leader="dot" w:pos="8393"/>
          <w:tab w:val="clear" w:pos="8721"/>
        </w:tabs>
        <w:rPr>
          <w:color w:val="auto"/>
          <w:highlight w:val="none"/>
        </w:rPr>
      </w:pPr>
      <w:r>
        <w:rPr>
          <w:color w:val="auto"/>
          <w:highlight w:val="none"/>
        </w:rPr>
        <w:fldChar w:fldCharType="begin"/>
      </w:r>
      <w:r>
        <w:rPr>
          <w:color w:val="auto"/>
          <w:highlight w:val="none"/>
        </w:rPr>
        <w:instrText xml:space="preserve"> HYPERLINK \l _Toc31122 </w:instrText>
      </w:r>
      <w:r>
        <w:rPr>
          <w:color w:val="auto"/>
          <w:highlight w:val="none"/>
        </w:rPr>
        <w:fldChar w:fldCharType="separate"/>
      </w:r>
      <w:r>
        <w:rPr>
          <w:rFonts w:hint="eastAsia"/>
          <w:color w:val="auto"/>
          <w:highlight w:val="none"/>
        </w:rPr>
        <w:t>第五章</w:t>
      </w:r>
      <w:r>
        <w:rPr>
          <w:color w:val="auto"/>
          <w:highlight w:val="none"/>
        </w:rPr>
        <w:t xml:space="preserve">  </w:t>
      </w:r>
      <w:r>
        <w:rPr>
          <w:rFonts w:hint="eastAsia"/>
          <w:color w:val="auto"/>
          <w:highlight w:val="none"/>
        </w:rPr>
        <w:t>招标内容与技术需求</w:t>
      </w:r>
      <w:r>
        <w:rPr>
          <w:color w:val="auto"/>
          <w:highlight w:val="none"/>
        </w:rPr>
        <w:tab/>
      </w:r>
      <w:r>
        <w:rPr>
          <w:color w:val="auto"/>
          <w:highlight w:val="none"/>
        </w:rPr>
        <w:fldChar w:fldCharType="begin"/>
      </w:r>
      <w:r>
        <w:rPr>
          <w:color w:val="auto"/>
          <w:highlight w:val="none"/>
        </w:rPr>
        <w:instrText xml:space="preserve"> PAGEREF _Toc31122 \h </w:instrText>
      </w:r>
      <w:r>
        <w:rPr>
          <w:color w:val="auto"/>
          <w:highlight w:val="none"/>
        </w:rPr>
        <w:fldChar w:fldCharType="separate"/>
      </w:r>
      <w:r>
        <w:rPr>
          <w:color w:val="auto"/>
          <w:highlight w:val="none"/>
        </w:rPr>
        <w:t>2</w:t>
      </w:r>
      <w:r>
        <w:rPr>
          <w:rFonts w:hint="eastAsia"/>
          <w:color w:val="auto"/>
          <w:highlight w:val="none"/>
          <w:lang w:val="en-US" w:eastAsia="zh-CN"/>
        </w:rPr>
        <w:t>9</w:t>
      </w:r>
      <w:r>
        <w:rPr>
          <w:color w:val="auto"/>
          <w:highlight w:val="none"/>
        </w:rPr>
        <w:fldChar w:fldCharType="end"/>
      </w:r>
      <w:r>
        <w:rPr>
          <w:color w:val="auto"/>
          <w:highlight w:val="none"/>
        </w:rPr>
        <w:fldChar w:fldCharType="end"/>
      </w:r>
    </w:p>
    <w:p>
      <w:pPr>
        <w:pStyle w:val="31"/>
        <w:tabs>
          <w:tab w:val="right" w:leader="dot" w:pos="8393"/>
          <w:tab w:val="clear" w:pos="8721"/>
        </w:tabs>
        <w:rPr>
          <w:color w:val="auto"/>
          <w:highlight w:val="none"/>
        </w:rPr>
      </w:pPr>
      <w:r>
        <w:rPr>
          <w:color w:val="auto"/>
          <w:highlight w:val="none"/>
        </w:rPr>
        <w:fldChar w:fldCharType="begin"/>
      </w:r>
      <w:r>
        <w:rPr>
          <w:color w:val="auto"/>
          <w:highlight w:val="none"/>
        </w:rPr>
        <w:instrText xml:space="preserve"> HYPERLINK \l _Toc5712 </w:instrText>
      </w:r>
      <w:r>
        <w:rPr>
          <w:color w:val="auto"/>
          <w:highlight w:val="none"/>
        </w:rPr>
        <w:fldChar w:fldCharType="separate"/>
      </w:r>
      <w:r>
        <w:rPr>
          <w:rFonts w:hint="eastAsia"/>
          <w:color w:val="auto"/>
          <w:highlight w:val="none"/>
        </w:rPr>
        <w:t>第六章 商务条款</w:t>
      </w:r>
      <w:r>
        <w:rPr>
          <w:color w:val="auto"/>
          <w:highlight w:val="none"/>
        </w:rPr>
        <w:tab/>
      </w:r>
      <w:r>
        <w:rPr>
          <w:color w:val="auto"/>
          <w:highlight w:val="none"/>
        </w:rPr>
        <w:fldChar w:fldCharType="begin"/>
      </w:r>
      <w:r>
        <w:rPr>
          <w:color w:val="auto"/>
          <w:highlight w:val="none"/>
        </w:rPr>
        <w:instrText xml:space="preserve"> PAGEREF _Toc5712 \h </w:instrText>
      </w:r>
      <w:r>
        <w:rPr>
          <w:color w:val="auto"/>
          <w:highlight w:val="none"/>
        </w:rPr>
        <w:fldChar w:fldCharType="separate"/>
      </w:r>
      <w:r>
        <w:rPr>
          <w:color w:val="auto"/>
          <w:highlight w:val="none"/>
        </w:rPr>
        <w:t>4</w:t>
      </w:r>
      <w:r>
        <w:rPr>
          <w:rFonts w:hint="eastAsia"/>
          <w:color w:val="auto"/>
          <w:highlight w:val="none"/>
          <w:lang w:val="en-US" w:eastAsia="zh-CN"/>
        </w:rPr>
        <w:t>7</w:t>
      </w:r>
      <w:r>
        <w:rPr>
          <w:color w:val="auto"/>
          <w:highlight w:val="none"/>
        </w:rPr>
        <w:fldChar w:fldCharType="end"/>
      </w:r>
      <w:r>
        <w:rPr>
          <w:color w:val="auto"/>
          <w:highlight w:val="none"/>
        </w:rPr>
        <w:fldChar w:fldCharType="end"/>
      </w:r>
    </w:p>
    <w:p>
      <w:pPr>
        <w:pStyle w:val="31"/>
        <w:tabs>
          <w:tab w:val="right" w:leader="dot" w:pos="8393"/>
          <w:tab w:val="clear" w:pos="8721"/>
        </w:tabs>
        <w:rPr>
          <w:color w:val="auto"/>
          <w:highlight w:val="none"/>
        </w:rPr>
      </w:pPr>
      <w:r>
        <w:rPr>
          <w:color w:val="auto"/>
          <w:highlight w:val="none"/>
        </w:rPr>
        <w:fldChar w:fldCharType="begin"/>
      </w:r>
      <w:r>
        <w:rPr>
          <w:color w:val="auto"/>
          <w:highlight w:val="none"/>
        </w:rPr>
        <w:instrText xml:space="preserve"> HYPERLINK \l _Toc4552 </w:instrText>
      </w:r>
      <w:r>
        <w:rPr>
          <w:color w:val="auto"/>
          <w:highlight w:val="none"/>
        </w:rPr>
        <w:fldChar w:fldCharType="separate"/>
      </w:r>
      <w:r>
        <w:rPr>
          <w:rFonts w:hint="eastAsia"/>
          <w:color w:val="auto"/>
          <w:highlight w:val="none"/>
        </w:rPr>
        <w:t>第七章</w:t>
      </w:r>
      <w:r>
        <w:rPr>
          <w:color w:val="auto"/>
          <w:highlight w:val="none"/>
        </w:rPr>
        <w:t xml:space="preserve">  </w:t>
      </w:r>
      <w:r>
        <w:rPr>
          <w:rFonts w:hint="eastAsia"/>
          <w:color w:val="auto"/>
          <w:highlight w:val="none"/>
        </w:rPr>
        <w:t>附件</w:t>
      </w:r>
      <w:r>
        <w:rPr>
          <w:color w:val="auto"/>
          <w:highlight w:val="none"/>
        </w:rPr>
        <w:tab/>
      </w:r>
      <w:r>
        <w:rPr>
          <w:color w:val="auto"/>
          <w:highlight w:val="none"/>
        </w:rPr>
        <w:fldChar w:fldCharType="begin"/>
      </w:r>
      <w:r>
        <w:rPr>
          <w:color w:val="auto"/>
          <w:highlight w:val="none"/>
        </w:rPr>
        <w:instrText xml:space="preserve"> PAGEREF _Toc4552 \h </w:instrText>
      </w:r>
      <w:r>
        <w:rPr>
          <w:color w:val="auto"/>
          <w:highlight w:val="none"/>
        </w:rPr>
        <w:fldChar w:fldCharType="separate"/>
      </w:r>
      <w:r>
        <w:rPr>
          <w:color w:val="auto"/>
          <w:highlight w:val="none"/>
        </w:rPr>
        <w:t>4</w:t>
      </w:r>
      <w:r>
        <w:rPr>
          <w:rFonts w:hint="eastAsia"/>
          <w:color w:val="auto"/>
          <w:highlight w:val="none"/>
          <w:lang w:val="en-US" w:eastAsia="zh-CN"/>
        </w:rPr>
        <w:t>8</w:t>
      </w:r>
      <w:r>
        <w:rPr>
          <w:color w:val="auto"/>
          <w:highlight w:val="none"/>
        </w:rPr>
        <w:fldChar w:fldCharType="end"/>
      </w:r>
      <w:r>
        <w:rPr>
          <w:color w:val="auto"/>
          <w:highlight w:val="none"/>
        </w:rPr>
        <w:fldChar w:fldCharType="end"/>
      </w:r>
    </w:p>
    <w:p>
      <w:pPr>
        <w:spacing w:line="1000" w:lineRule="exact"/>
        <w:jc w:val="center"/>
        <w:rPr>
          <w:rFonts w:ascii="宋体" w:hAnsi="宋体"/>
          <w:b/>
          <w:color w:val="auto"/>
          <w:sz w:val="32"/>
          <w:highlight w:val="none"/>
        </w:rPr>
      </w:pPr>
      <w:r>
        <w:rPr>
          <w:rFonts w:ascii="宋体" w:hAnsi="宋体"/>
          <w:color w:val="auto"/>
          <w:szCs w:val="32"/>
          <w:highlight w:val="none"/>
        </w:rPr>
        <w:fldChar w:fldCharType="end"/>
      </w:r>
    </w:p>
    <w:p>
      <w:pPr>
        <w:spacing w:line="400" w:lineRule="exact"/>
        <w:jc w:val="center"/>
        <w:rPr>
          <w:rFonts w:ascii="宋体" w:hAnsi="宋体"/>
          <w:b/>
          <w:color w:val="auto"/>
          <w:sz w:val="32"/>
          <w:highlight w:val="none"/>
        </w:rPr>
        <w:sectPr>
          <w:headerReference r:id="rId3" w:type="default"/>
          <w:footerReference r:id="rId4" w:type="default"/>
          <w:type w:val="nextColumn"/>
          <w:pgSz w:w="11907" w:h="16840"/>
          <w:pgMar w:top="1135" w:right="1757" w:bottom="854" w:left="1757" w:header="569" w:footer="700" w:gutter="0"/>
          <w:cols w:space="720" w:num="1"/>
          <w:docGrid w:linePitch="285" w:charSpace="0"/>
        </w:sectPr>
      </w:pPr>
    </w:p>
    <w:p>
      <w:pPr>
        <w:spacing w:line="400" w:lineRule="exact"/>
        <w:jc w:val="center"/>
        <w:outlineLvl w:val="0"/>
        <w:rPr>
          <w:rFonts w:ascii="宋体" w:hAnsi="宋体"/>
          <w:b/>
          <w:color w:val="auto"/>
          <w:sz w:val="32"/>
          <w:highlight w:val="none"/>
        </w:rPr>
      </w:pPr>
      <w:bookmarkStart w:id="0" w:name="_Toc2699"/>
      <w:r>
        <w:rPr>
          <w:rFonts w:hint="eastAsia" w:ascii="宋体" w:hAnsi="宋体"/>
          <w:b/>
          <w:color w:val="auto"/>
          <w:sz w:val="32"/>
          <w:highlight w:val="none"/>
        </w:rPr>
        <w:t>第一章</w:t>
      </w:r>
      <w:r>
        <w:rPr>
          <w:rFonts w:ascii="宋体" w:hAnsi="宋体"/>
          <w:b/>
          <w:color w:val="auto"/>
          <w:sz w:val="32"/>
          <w:highlight w:val="none"/>
        </w:rPr>
        <w:t xml:space="preserve">  </w:t>
      </w:r>
      <w:r>
        <w:rPr>
          <w:rFonts w:hint="eastAsia" w:ascii="宋体" w:hAnsi="宋体"/>
          <w:b/>
          <w:color w:val="auto"/>
          <w:sz w:val="32"/>
          <w:highlight w:val="none"/>
        </w:rPr>
        <w:t>招标公告</w:t>
      </w:r>
      <w:bookmarkEnd w:id="0"/>
    </w:p>
    <w:p>
      <w:pPr>
        <w:pStyle w:val="40"/>
        <w:spacing w:before="0" w:beforeAutospacing="0" w:after="0" w:afterAutospacing="0" w:line="400" w:lineRule="exact"/>
        <w:rPr>
          <w:rFonts w:hint="eastAsia"/>
          <w:b/>
          <w:color w:val="auto"/>
          <w:sz w:val="21"/>
          <w:szCs w:val="21"/>
          <w:highlight w:val="none"/>
        </w:rPr>
      </w:pPr>
      <w:r>
        <w:rPr>
          <w:rFonts w:hint="eastAsia"/>
          <w:b/>
          <w:color w:val="auto"/>
          <w:sz w:val="21"/>
          <w:szCs w:val="21"/>
          <w:highlight w:val="none"/>
        </w:rPr>
        <w:t>项目概况</w:t>
      </w:r>
    </w:p>
    <w:p>
      <w:pPr>
        <w:pStyle w:val="40"/>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lang w:eastAsia="zh-CN"/>
        </w:rPr>
        <w:t>慈溪市崇寿镇2022年度保洁服务</w:t>
      </w:r>
      <w:r>
        <w:rPr>
          <w:rFonts w:hint="eastAsia"/>
          <w:color w:val="auto"/>
          <w:sz w:val="21"/>
          <w:szCs w:val="21"/>
          <w:highlight w:val="none"/>
        </w:rPr>
        <w:t>采购项目的潜在投标人应在政府采购云平台（www.zcygov.cn）获取（下载）招标文件，并于</w:t>
      </w:r>
      <w:r>
        <w:rPr>
          <w:rFonts w:hint="eastAsia" w:cs="仿宋"/>
          <w:color w:val="auto"/>
          <w:sz w:val="21"/>
          <w:szCs w:val="21"/>
          <w:highlight w:val="none"/>
        </w:rPr>
        <w:t>202</w:t>
      </w:r>
      <w:r>
        <w:rPr>
          <w:rFonts w:cs="仿宋"/>
          <w:color w:val="auto"/>
          <w:sz w:val="21"/>
          <w:szCs w:val="21"/>
          <w:highlight w:val="none"/>
        </w:rPr>
        <w:t>2</w:t>
      </w:r>
      <w:r>
        <w:rPr>
          <w:rFonts w:hint="eastAsia" w:cs="仿宋"/>
          <w:color w:val="auto"/>
          <w:sz w:val="21"/>
          <w:szCs w:val="21"/>
          <w:highlight w:val="none"/>
        </w:rPr>
        <w:t>年</w:t>
      </w:r>
      <w:r>
        <w:rPr>
          <w:rFonts w:hint="eastAsia" w:cs="仿宋"/>
          <w:color w:val="auto"/>
          <w:sz w:val="21"/>
          <w:szCs w:val="21"/>
          <w:highlight w:val="none"/>
          <w:lang w:val="en-US" w:eastAsia="zh-CN"/>
        </w:rPr>
        <w:t xml:space="preserve"> </w:t>
      </w:r>
      <w:r>
        <w:rPr>
          <w:rFonts w:hint="eastAsia" w:cs="仿宋"/>
          <w:color w:val="auto"/>
          <w:sz w:val="21"/>
          <w:szCs w:val="21"/>
          <w:highlight w:val="none"/>
        </w:rPr>
        <w:t>月</w:t>
      </w:r>
      <w:r>
        <w:rPr>
          <w:rFonts w:hint="eastAsia" w:cs="仿宋"/>
          <w:color w:val="auto"/>
          <w:sz w:val="21"/>
          <w:szCs w:val="21"/>
          <w:highlight w:val="none"/>
          <w:lang w:val="en-US" w:eastAsia="zh-CN"/>
        </w:rPr>
        <w:t xml:space="preserve"> </w:t>
      </w:r>
      <w:r>
        <w:rPr>
          <w:rFonts w:hint="eastAsia" w:cs="仿宋"/>
          <w:color w:val="auto"/>
          <w:sz w:val="21"/>
          <w:szCs w:val="21"/>
          <w:highlight w:val="none"/>
        </w:rPr>
        <w:t>日</w:t>
      </w:r>
      <w:r>
        <w:rPr>
          <w:rFonts w:hint="eastAsia" w:cs="仿宋"/>
          <w:color w:val="auto"/>
          <w:sz w:val="21"/>
          <w:szCs w:val="21"/>
          <w:highlight w:val="none"/>
          <w:lang w:val="en-US" w:eastAsia="zh-CN"/>
        </w:rPr>
        <w:t>9</w:t>
      </w:r>
      <w:r>
        <w:rPr>
          <w:rFonts w:hint="eastAsia" w:cs="仿宋"/>
          <w:color w:val="auto"/>
          <w:sz w:val="21"/>
          <w:szCs w:val="21"/>
          <w:highlight w:val="none"/>
        </w:rPr>
        <w:t>：30</w:t>
      </w:r>
      <w:r>
        <w:rPr>
          <w:rFonts w:hint="eastAsia"/>
          <w:color w:val="auto"/>
          <w:sz w:val="21"/>
          <w:szCs w:val="21"/>
          <w:highlight w:val="none"/>
        </w:rPr>
        <w:t>（北京时间）前递交（上传）投标文件。</w:t>
      </w:r>
    </w:p>
    <w:p>
      <w:pPr>
        <w:pStyle w:val="40"/>
        <w:spacing w:before="0" w:beforeAutospacing="0" w:after="0" w:afterAutospacing="0" w:line="400" w:lineRule="exact"/>
        <w:jc w:val="both"/>
        <w:rPr>
          <w:rFonts w:hint="eastAsia"/>
          <w:color w:val="auto"/>
          <w:sz w:val="21"/>
          <w:szCs w:val="21"/>
          <w:highlight w:val="none"/>
        </w:rPr>
      </w:pPr>
      <w:r>
        <w:rPr>
          <w:rStyle w:val="48"/>
          <w:rFonts w:hint="eastAsia"/>
          <w:color w:val="auto"/>
          <w:sz w:val="21"/>
          <w:szCs w:val="21"/>
          <w:highlight w:val="none"/>
        </w:rPr>
        <w:t>一、项目基本情况</w:t>
      </w:r>
    </w:p>
    <w:p>
      <w:pPr>
        <w:pStyle w:val="40"/>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项目编号：</w:t>
      </w:r>
      <w:r>
        <w:rPr>
          <w:color w:val="auto"/>
          <w:sz w:val="21"/>
          <w:szCs w:val="21"/>
          <w:highlight w:val="none"/>
        </w:rPr>
        <w:fldChar w:fldCharType="begin"/>
      </w:r>
      <w:r>
        <w:rPr>
          <w:color w:val="auto"/>
          <w:sz w:val="21"/>
          <w:szCs w:val="21"/>
          <w:highlight w:val="none"/>
        </w:rPr>
        <w:instrText xml:space="preserve"> HYPERLINK "https://pay.zcygov.cn/purchaseplan_front/" \l "/plan/list/detail?id=1000000000007380172&amp;encrypt=87a787e5734cc1a9c65464f9d8fae133" \t "_blank" </w:instrText>
      </w:r>
      <w:r>
        <w:rPr>
          <w:color w:val="auto"/>
          <w:sz w:val="21"/>
          <w:szCs w:val="21"/>
          <w:highlight w:val="none"/>
        </w:rPr>
        <w:fldChar w:fldCharType="separate"/>
      </w:r>
      <w:r>
        <w:rPr>
          <w:rFonts w:hint="eastAsia"/>
          <w:color w:val="auto"/>
          <w:sz w:val="21"/>
          <w:szCs w:val="21"/>
          <w:highlight w:val="none"/>
          <w:lang w:eastAsia="zh-CN"/>
        </w:rPr>
        <w:t>CXZFCG[2022]1350号</w:t>
      </w:r>
      <w:r>
        <w:rPr>
          <w:color w:val="auto"/>
          <w:sz w:val="21"/>
          <w:szCs w:val="21"/>
          <w:highlight w:val="none"/>
        </w:rPr>
        <w:fldChar w:fldCharType="end"/>
      </w:r>
      <w:r>
        <w:rPr>
          <w:rFonts w:hint="eastAsia"/>
          <w:color w:val="auto"/>
          <w:sz w:val="21"/>
          <w:szCs w:val="21"/>
          <w:highlight w:val="none"/>
        </w:rPr>
        <w:t xml:space="preserve">                                </w:t>
      </w:r>
    </w:p>
    <w:p>
      <w:pPr>
        <w:pStyle w:val="40"/>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项目名称：</w:t>
      </w:r>
      <w:r>
        <w:rPr>
          <w:rFonts w:hint="eastAsia"/>
          <w:color w:val="auto"/>
          <w:sz w:val="21"/>
          <w:szCs w:val="21"/>
          <w:highlight w:val="none"/>
          <w:lang w:eastAsia="zh-CN"/>
        </w:rPr>
        <w:t>慈溪市崇寿镇2022年度保洁服务</w:t>
      </w:r>
      <w:r>
        <w:rPr>
          <w:rFonts w:hint="eastAsia"/>
          <w:color w:val="auto"/>
          <w:sz w:val="21"/>
          <w:szCs w:val="21"/>
          <w:highlight w:val="none"/>
        </w:rPr>
        <w:t>采购项目</w:t>
      </w:r>
    </w:p>
    <w:p>
      <w:pPr>
        <w:pStyle w:val="40"/>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color w:val="auto"/>
          <w:sz w:val="21"/>
          <w:szCs w:val="21"/>
          <w:highlight w:val="none"/>
        </w:rPr>
        <w:t>预算金额（元）：</w:t>
      </w:r>
      <w:r>
        <w:rPr>
          <w:rFonts w:hint="eastAsia"/>
          <w:color w:val="auto"/>
          <w:sz w:val="21"/>
          <w:szCs w:val="21"/>
          <w:highlight w:val="none"/>
          <w:lang w:eastAsia="zh-CN"/>
        </w:rPr>
        <w:t>8500000</w:t>
      </w:r>
    </w:p>
    <w:p>
      <w:pPr>
        <w:pStyle w:val="40"/>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color w:val="auto"/>
          <w:sz w:val="21"/>
          <w:szCs w:val="21"/>
          <w:highlight w:val="none"/>
        </w:rPr>
        <w:t>最高限价（元）：</w:t>
      </w:r>
      <w:r>
        <w:rPr>
          <w:rFonts w:hint="eastAsia"/>
          <w:color w:val="auto"/>
          <w:sz w:val="21"/>
          <w:szCs w:val="21"/>
          <w:highlight w:val="none"/>
          <w:lang w:eastAsia="zh-CN"/>
        </w:rPr>
        <w:t>8500000</w:t>
      </w:r>
    </w:p>
    <w:p>
      <w:pPr>
        <w:pStyle w:val="40"/>
        <w:spacing w:before="0" w:beforeAutospacing="0" w:after="0" w:afterAutospacing="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采购需求：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标项名称：慈溪市崇寿镇2022年度保洁服务采购项目 </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eastAsia="zh-CN"/>
        </w:rPr>
        <w:t>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 xml:space="preserve"> 数量：不限  </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预算金额（元）:</w:t>
      </w:r>
      <w:r>
        <w:rPr>
          <w:rFonts w:hint="eastAsia" w:ascii="宋体" w:hAnsi="宋体" w:eastAsia="宋体" w:cs="宋体"/>
          <w:color w:val="auto"/>
          <w:sz w:val="21"/>
          <w:szCs w:val="21"/>
          <w:highlight w:val="none"/>
          <w:lang w:val="en-US" w:eastAsia="zh-CN"/>
        </w:rPr>
        <w:t>8500000</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简要规格描述或项目基本概况介绍、用途：本次崇寿镇保洁区域，包括建成区内主要道路、背街小巷、河道的保洁及绿化带的保洁，绿色食品园区道路保洁及绿化带的保洁，镇级道路的机械化保洁，全镇生活垃圾以袋换袋收运（包括垃圾分类收集、部分区域以桶换桶），环卫站的正常运行管理，生活垃圾集中清运，部分路段垃圾上门收集，厨余垃圾清运，餐厨垃圾收运，公厕保洁及吸粪，污水清运，垃圾桶清洁</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lang w:eastAsia="zh-CN"/>
        </w:rPr>
        <w:t>。镇级道路面积约650734㎡，镇级河道面积约80000㎡，建城区公厕8只</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eastAsia="zh-CN"/>
        </w:rPr>
        <w:t>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备注：</w:t>
      </w:r>
    </w:p>
    <w:p>
      <w:pPr>
        <w:pStyle w:val="40"/>
        <w:spacing w:before="0" w:beforeAutospacing="0" w:after="0" w:afterAutospacing="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合同履约期限：标项 1，本次采购服务期为一年，一年合同期满后经采购人考核合格并报慈溪市公共资源交易管理办公室备案后可续签一年，最多可续签两年。</w:t>
      </w:r>
    </w:p>
    <w:p>
      <w:pPr>
        <w:pStyle w:val="40"/>
        <w:spacing w:before="0" w:beforeAutospacing="0" w:after="0" w:afterAutospacing="0" w:line="400" w:lineRule="exact"/>
        <w:ind w:firstLine="420" w:firstLineChars="200"/>
        <w:rPr>
          <w:rFonts w:hint="eastAsia"/>
          <w:color w:val="auto"/>
          <w:sz w:val="21"/>
          <w:szCs w:val="21"/>
          <w:highlight w:val="none"/>
        </w:rPr>
      </w:pPr>
      <w:r>
        <w:rPr>
          <w:rFonts w:hint="eastAsia" w:ascii="宋体" w:hAnsi="宋体" w:eastAsia="宋体" w:cs="宋体"/>
          <w:color w:val="auto"/>
          <w:sz w:val="21"/>
          <w:szCs w:val="21"/>
          <w:highlight w:val="none"/>
          <w:lang w:eastAsia="zh-CN"/>
        </w:rPr>
        <w:t>本项目（否）接受联合体投标。</w:t>
      </w:r>
    </w:p>
    <w:p>
      <w:pPr>
        <w:pStyle w:val="40"/>
        <w:spacing w:before="0" w:beforeAutospacing="0" w:after="0" w:afterAutospacing="0" w:line="400" w:lineRule="exact"/>
        <w:rPr>
          <w:rFonts w:hint="eastAsia"/>
          <w:color w:val="auto"/>
          <w:sz w:val="21"/>
          <w:szCs w:val="21"/>
          <w:highlight w:val="none"/>
        </w:rPr>
      </w:pPr>
      <w:r>
        <w:rPr>
          <w:rStyle w:val="48"/>
          <w:rFonts w:hint="eastAsia"/>
          <w:color w:val="auto"/>
          <w:sz w:val="21"/>
          <w:szCs w:val="21"/>
          <w:highlight w:val="none"/>
        </w:rPr>
        <w:t>二、申请人的资格要求：</w:t>
      </w:r>
    </w:p>
    <w:p>
      <w:pPr>
        <w:pStyle w:val="40"/>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仿宋"/>
          <w:color w:val="auto"/>
          <w:sz w:val="21"/>
          <w:szCs w:val="21"/>
          <w:highlight w:val="none"/>
        </w:rPr>
      </w:pPr>
      <w:r>
        <w:rPr>
          <w:rFonts w:hint="eastAsia" w:ascii="宋体" w:hAnsi="宋体" w:eastAsia="宋体" w:cs="仿宋"/>
          <w:color w:val="auto"/>
          <w:sz w:val="21"/>
          <w:szCs w:val="21"/>
          <w:highlight w:val="none"/>
        </w:rPr>
        <w:t>1.满足《中华人民共和国政府采购法》第二十二条规定；未被“信用中国”</w:t>
      </w:r>
      <w:r>
        <w:rPr>
          <w:rFonts w:hint="eastAsia" w:ascii="宋体" w:hAnsi="宋体" w:eastAsia="宋体" w:cs="仿宋"/>
          <w:color w:val="auto"/>
          <w:sz w:val="21"/>
          <w:szCs w:val="21"/>
          <w:highlight w:val="none"/>
          <w:lang w:eastAsia="zh-CN"/>
        </w:rPr>
        <w:t>(</w:t>
      </w:r>
      <w:r>
        <w:rPr>
          <w:rFonts w:hint="eastAsia" w:ascii="宋体" w:hAnsi="宋体" w:eastAsia="宋体" w:cs="仿宋"/>
          <w:color w:val="auto"/>
          <w:sz w:val="21"/>
          <w:szCs w:val="21"/>
          <w:highlight w:val="none"/>
        </w:rPr>
        <w:t>www.creditchina.gov.cn)、中国政府采购网（www.ccgp.gov.cn）列入失信被执行人、重大税收违法案件当事人名单、政府采购严重违法失信行为记录名单。</w:t>
      </w:r>
    </w:p>
    <w:p>
      <w:pPr>
        <w:pStyle w:val="40"/>
        <w:spacing w:before="0" w:beforeAutospacing="0" w:after="0" w:afterAutospacing="0" w:line="400" w:lineRule="exact"/>
        <w:ind w:firstLine="420" w:firstLineChars="200"/>
        <w:rPr>
          <w:rFonts w:hint="eastAsia" w:ascii="宋体" w:hAnsi="宋体" w:eastAsia="宋体" w:cs="仿宋"/>
          <w:color w:val="auto"/>
          <w:sz w:val="21"/>
          <w:szCs w:val="21"/>
          <w:highlight w:val="none"/>
        </w:rPr>
      </w:pPr>
      <w:r>
        <w:rPr>
          <w:rFonts w:hint="eastAsia" w:ascii="宋体" w:hAnsi="宋体" w:eastAsia="宋体" w:cs="仿宋"/>
          <w:color w:val="auto"/>
          <w:sz w:val="21"/>
          <w:szCs w:val="21"/>
          <w:highlight w:val="none"/>
        </w:rPr>
        <w:t>2.落实政府采购政策需满足的资格要求：无 </w:t>
      </w:r>
    </w:p>
    <w:p>
      <w:pPr>
        <w:pStyle w:val="40"/>
        <w:spacing w:before="0" w:beforeAutospacing="0" w:after="0" w:afterAutospacing="0" w:line="400" w:lineRule="exact"/>
        <w:ind w:firstLine="420" w:firstLineChars="200"/>
        <w:rPr>
          <w:rFonts w:hint="eastAsia" w:ascii="宋体" w:hAnsi="宋体" w:cs="宋体"/>
          <w:color w:val="auto"/>
          <w:szCs w:val="21"/>
          <w:highlight w:val="none"/>
        </w:rPr>
      </w:pPr>
      <w:r>
        <w:rPr>
          <w:rFonts w:hint="eastAsia" w:ascii="宋体" w:hAnsi="宋体" w:eastAsia="宋体" w:cs="仿宋"/>
          <w:color w:val="auto"/>
          <w:sz w:val="21"/>
          <w:szCs w:val="21"/>
          <w:highlight w:val="none"/>
        </w:rPr>
        <w:t>3.本项目的特定资格要求：无</w:t>
      </w:r>
    </w:p>
    <w:p>
      <w:pPr>
        <w:pStyle w:val="40"/>
        <w:spacing w:before="0" w:beforeAutospacing="0" w:after="0" w:afterAutospacing="0" w:line="400" w:lineRule="exact"/>
        <w:jc w:val="both"/>
        <w:rPr>
          <w:rFonts w:hint="eastAsia"/>
          <w:color w:val="auto"/>
          <w:sz w:val="21"/>
          <w:szCs w:val="21"/>
          <w:highlight w:val="none"/>
        </w:rPr>
      </w:pPr>
      <w:r>
        <w:rPr>
          <w:rStyle w:val="48"/>
          <w:rFonts w:hint="eastAsia"/>
          <w:color w:val="auto"/>
          <w:sz w:val="21"/>
          <w:szCs w:val="21"/>
          <w:highlight w:val="none"/>
        </w:rPr>
        <w:t>三、获取招标文件</w:t>
      </w:r>
    </w:p>
    <w:p>
      <w:pPr>
        <w:pStyle w:val="40"/>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时间：</w:t>
      </w:r>
      <w:r>
        <w:rPr>
          <w:rFonts w:hint="eastAsia" w:cs="仿宋"/>
          <w:color w:val="auto"/>
          <w:sz w:val="21"/>
          <w:szCs w:val="21"/>
          <w:highlight w:val="none"/>
        </w:rPr>
        <w:t>2022年</w:t>
      </w:r>
      <w:r>
        <w:rPr>
          <w:rFonts w:hint="eastAsia" w:cs="仿宋"/>
          <w:color w:val="auto"/>
          <w:sz w:val="21"/>
          <w:szCs w:val="21"/>
          <w:highlight w:val="none"/>
          <w:lang w:val="en-US" w:eastAsia="zh-CN"/>
        </w:rPr>
        <w:t>6</w:t>
      </w:r>
      <w:r>
        <w:rPr>
          <w:rFonts w:hint="eastAsia" w:cs="仿宋"/>
          <w:color w:val="auto"/>
          <w:sz w:val="21"/>
          <w:szCs w:val="21"/>
          <w:highlight w:val="none"/>
        </w:rPr>
        <w:t>月</w:t>
      </w:r>
      <w:r>
        <w:rPr>
          <w:rFonts w:hint="eastAsia" w:cs="仿宋"/>
          <w:color w:val="auto"/>
          <w:sz w:val="21"/>
          <w:szCs w:val="21"/>
          <w:highlight w:val="none"/>
          <w:lang w:val="en-US" w:eastAsia="zh-CN"/>
        </w:rPr>
        <w:t>22</w:t>
      </w:r>
      <w:r>
        <w:rPr>
          <w:rFonts w:hint="eastAsia" w:cs="仿宋"/>
          <w:color w:val="auto"/>
          <w:sz w:val="21"/>
          <w:szCs w:val="21"/>
          <w:highlight w:val="none"/>
        </w:rPr>
        <w:t>日</w:t>
      </w:r>
      <w:r>
        <w:rPr>
          <w:rFonts w:hint="eastAsia"/>
          <w:color w:val="auto"/>
          <w:sz w:val="21"/>
          <w:szCs w:val="21"/>
          <w:highlight w:val="none"/>
        </w:rPr>
        <w:t>至</w:t>
      </w:r>
      <w:r>
        <w:rPr>
          <w:rFonts w:hint="eastAsia" w:cs="仿宋"/>
          <w:color w:val="auto"/>
          <w:sz w:val="21"/>
          <w:szCs w:val="21"/>
          <w:highlight w:val="none"/>
        </w:rPr>
        <w:t>2022年</w:t>
      </w:r>
      <w:r>
        <w:rPr>
          <w:rFonts w:hint="eastAsia" w:cs="仿宋"/>
          <w:color w:val="auto"/>
          <w:sz w:val="21"/>
          <w:szCs w:val="21"/>
          <w:highlight w:val="none"/>
          <w:lang w:val="en-US" w:eastAsia="zh-CN"/>
        </w:rPr>
        <w:t>6</w:t>
      </w:r>
      <w:r>
        <w:rPr>
          <w:rFonts w:hint="eastAsia" w:cs="仿宋"/>
          <w:color w:val="auto"/>
          <w:sz w:val="21"/>
          <w:szCs w:val="21"/>
          <w:highlight w:val="none"/>
        </w:rPr>
        <w:t>月</w:t>
      </w:r>
      <w:r>
        <w:rPr>
          <w:rFonts w:hint="eastAsia" w:cs="仿宋"/>
          <w:color w:val="auto"/>
          <w:sz w:val="21"/>
          <w:szCs w:val="21"/>
          <w:highlight w:val="none"/>
          <w:lang w:val="en-US" w:eastAsia="zh-CN"/>
        </w:rPr>
        <w:t>29</w:t>
      </w:r>
      <w:r>
        <w:rPr>
          <w:rFonts w:hint="eastAsia" w:cs="仿宋"/>
          <w:color w:val="auto"/>
          <w:sz w:val="21"/>
          <w:szCs w:val="21"/>
          <w:highlight w:val="none"/>
        </w:rPr>
        <w:t>日</w:t>
      </w:r>
      <w:r>
        <w:rPr>
          <w:rFonts w:hint="eastAsia"/>
          <w:color w:val="auto"/>
          <w:sz w:val="21"/>
          <w:szCs w:val="21"/>
          <w:highlight w:val="none"/>
        </w:rPr>
        <w:t>，每天上午00：00至12：00，下午12：00至23：59（北京时间，线上获取法定节假日均可）</w:t>
      </w:r>
    </w:p>
    <w:p>
      <w:pPr>
        <w:pStyle w:val="40"/>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地点（网址）：政府采购云平台（www.zcygov.cn）</w:t>
      </w:r>
    </w:p>
    <w:p>
      <w:pPr>
        <w:pStyle w:val="40"/>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方式：（1）供应商登录政府采购云平台（www.zcygov.cn）的注册账号后，进入政采云系统“项目采购”模块“获取采购文件”菜单，进行网上获取招标文件。如有疑问请及时咨询网站客服，咨询电话：4008817190。（2）获取招标文件前，供应商应在“浙江政府采购网（zfcg.czt.zj.gov.cn）”上进行供应商注册申请，并通过财政部门的终审后登记加入到“浙江省政府采购供应商库”。中标供应商必须注册并登记加入“浙江省政府采购供应商库”。具体要求及注册申请流程详见浙江政府采购网“网上办事指南”的“供应商</w:t>
      </w:r>
      <w:r>
        <w:rPr>
          <w:rFonts w:hint="eastAsia"/>
          <w:color w:val="auto"/>
          <w:sz w:val="21"/>
          <w:szCs w:val="21"/>
          <w:highlight w:val="none"/>
          <w:lang w:val="en-US" w:eastAsia="zh-CN"/>
        </w:rPr>
        <w:t>登记</w:t>
      </w:r>
      <w:r>
        <w:rPr>
          <w:rFonts w:hint="eastAsia"/>
          <w:color w:val="auto"/>
          <w:sz w:val="21"/>
          <w:szCs w:val="21"/>
          <w:highlight w:val="none"/>
        </w:rPr>
        <w:t>”。注册咨询电话：4008817190，如未注册的供应商，请注意注册所需时间。（3）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pPr>
        <w:pStyle w:val="40"/>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售价（元）：0</w:t>
      </w:r>
    </w:p>
    <w:p>
      <w:pPr>
        <w:pStyle w:val="40"/>
        <w:spacing w:before="0" w:beforeAutospacing="0" w:after="0" w:afterAutospacing="0" w:line="400" w:lineRule="exact"/>
        <w:jc w:val="both"/>
        <w:rPr>
          <w:rFonts w:hint="eastAsia"/>
          <w:color w:val="auto"/>
          <w:sz w:val="21"/>
          <w:szCs w:val="21"/>
          <w:highlight w:val="none"/>
        </w:rPr>
      </w:pPr>
      <w:r>
        <w:rPr>
          <w:rStyle w:val="48"/>
          <w:rFonts w:hint="eastAsia"/>
          <w:color w:val="auto"/>
          <w:sz w:val="21"/>
          <w:szCs w:val="21"/>
          <w:highlight w:val="none"/>
        </w:rPr>
        <w:t>四、提交投标文件截止时间、开标时间和地点</w:t>
      </w:r>
    </w:p>
    <w:p>
      <w:pPr>
        <w:pStyle w:val="40"/>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提交投标文件截止时间：</w:t>
      </w:r>
      <w:r>
        <w:rPr>
          <w:rFonts w:hint="eastAsia" w:cs="仿宋"/>
          <w:color w:val="auto"/>
          <w:sz w:val="21"/>
          <w:szCs w:val="21"/>
          <w:highlight w:val="none"/>
        </w:rPr>
        <w:t>202</w:t>
      </w:r>
      <w:r>
        <w:rPr>
          <w:rFonts w:cs="仿宋"/>
          <w:color w:val="auto"/>
          <w:sz w:val="21"/>
          <w:szCs w:val="21"/>
          <w:highlight w:val="none"/>
        </w:rPr>
        <w:t>2</w:t>
      </w:r>
      <w:r>
        <w:rPr>
          <w:rFonts w:hint="eastAsia" w:cs="仿宋"/>
          <w:color w:val="auto"/>
          <w:sz w:val="21"/>
          <w:szCs w:val="21"/>
          <w:highlight w:val="none"/>
        </w:rPr>
        <w:t>年</w:t>
      </w:r>
      <w:r>
        <w:rPr>
          <w:rFonts w:hint="eastAsia" w:cs="仿宋"/>
          <w:color w:val="auto"/>
          <w:sz w:val="21"/>
          <w:szCs w:val="21"/>
          <w:highlight w:val="none"/>
          <w:lang w:val="en-US" w:eastAsia="zh-CN"/>
        </w:rPr>
        <w:t>7</w:t>
      </w:r>
      <w:r>
        <w:rPr>
          <w:rFonts w:hint="eastAsia" w:cs="仿宋"/>
          <w:color w:val="auto"/>
          <w:sz w:val="21"/>
          <w:szCs w:val="21"/>
          <w:highlight w:val="none"/>
        </w:rPr>
        <w:t>月</w:t>
      </w:r>
      <w:r>
        <w:rPr>
          <w:rFonts w:hint="eastAsia" w:cs="仿宋"/>
          <w:color w:val="auto"/>
          <w:sz w:val="21"/>
          <w:szCs w:val="21"/>
          <w:highlight w:val="none"/>
          <w:lang w:val="en-US" w:eastAsia="zh-CN"/>
        </w:rPr>
        <w:t>14</w:t>
      </w:r>
      <w:r>
        <w:rPr>
          <w:rFonts w:hint="eastAsia" w:cs="仿宋"/>
          <w:color w:val="auto"/>
          <w:sz w:val="21"/>
          <w:szCs w:val="21"/>
          <w:highlight w:val="none"/>
        </w:rPr>
        <w:t>日</w:t>
      </w:r>
      <w:r>
        <w:rPr>
          <w:rFonts w:hint="eastAsia" w:cs="仿宋"/>
          <w:color w:val="auto"/>
          <w:sz w:val="21"/>
          <w:szCs w:val="21"/>
          <w:highlight w:val="none"/>
          <w:lang w:val="en-US" w:eastAsia="zh-CN"/>
        </w:rPr>
        <w:t>9</w:t>
      </w:r>
      <w:r>
        <w:rPr>
          <w:rFonts w:hint="eastAsia" w:cs="仿宋"/>
          <w:color w:val="auto"/>
          <w:sz w:val="21"/>
          <w:szCs w:val="21"/>
          <w:highlight w:val="none"/>
        </w:rPr>
        <w:t>：30</w:t>
      </w:r>
      <w:r>
        <w:rPr>
          <w:rFonts w:hint="eastAsia"/>
          <w:color w:val="auto"/>
          <w:sz w:val="21"/>
          <w:szCs w:val="21"/>
          <w:highlight w:val="none"/>
        </w:rPr>
        <w:t>（北京时间）</w:t>
      </w:r>
    </w:p>
    <w:p>
      <w:pPr>
        <w:pStyle w:val="40"/>
        <w:spacing w:before="0" w:beforeAutospacing="0" w:after="0" w:afterAutospacing="0" w:line="400" w:lineRule="exact"/>
        <w:ind w:firstLine="422" w:firstLineChars="200"/>
        <w:rPr>
          <w:rFonts w:hint="eastAsia"/>
          <w:b/>
          <w:bCs/>
          <w:color w:val="auto"/>
          <w:sz w:val="21"/>
          <w:szCs w:val="21"/>
          <w:highlight w:val="none"/>
        </w:rPr>
      </w:pPr>
      <w:r>
        <w:rPr>
          <w:rFonts w:hint="eastAsia"/>
          <w:b/>
          <w:bCs/>
          <w:color w:val="auto"/>
          <w:sz w:val="21"/>
          <w:szCs w:val="21"/>
          <w:highlight w:val="none"/>
        </w:rPr>
        <w:t>投标地点（网址）：政采云平台开标大厅</w:t>
      </w:r>
    </w:p>
    <w:p>
      <w:pPr>
        <w:pStyle w:val="40"/>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开标时间：</w:t>
      </w:r>
      <w:r>
        <w:rPr>
          <w:rFonts w:hint="eastAsia" w:eastAsia="宋体" w:cs="仿宋"/>
          <w:color w:val="auto"/>
          <w:sz w:val="21"/>
          <w:szCs w:val="21"/>
          <w:highlight w:val="none"/>
          <w:lang w:val="en-US" w:eastAsia="zh-CN"/>
        </w:rPr>
        <w:t>2022年7月14日9：30（北京时间）</w:t>
      </w:r>
    </w:p>
    <w:p>
      <w:pPr>
        <w:pStyle w:val="40"/>
        <w:spacing w:before="0" w:beforeAutospacing="0" w:after="0" w:afterAutospacing="0" w:line="400" w:lineRule="exact"/>
        <w:ind w:firstLine="422" w:firstLineChars="200"/>
        <w:rPr>
          <w:rFonts w:hint="eastAsia"/>
          <w:b/>
          <w:bCs/>
          <w:color w:val="auto"/>
          <w:sz w:val="21"/>
          <w:szCs w:val="21"/>
          <w:highlight w:val="none"/>
        </w:rPr>
      </w:pPr>
      <w:r>
        <w:rPr>
          <w:rFonts w:hint="eastAsia"/>
          <w:b/>
          <w:bCs/>
          <w:color w:val="auto"/>
          <w:sz w:val="21"/>
          <w:szCs w:val="21"/>
          <w:highlight w:val="none"/>
        </w:rPr>
        <w:t>开标地点（网址）：政采云平台开标大厅</w:t>
      </w:r>
    </w:p>
    <w:p>
      <w:pPr>
        <w:pStyle w:val="40"/>
        <w:spacing w:before="0" w:beforeAutospacing="0" w:after="0" w:afterAutospacing="0" w:line="400" w:lineRule="exact"/>
        <w:jc w:val="both"/>
        <w:rPr>
          <w:rFonts w:hint="eastAsia"/>
          <w:color w:val="auto"/>
          <w:sz w:val="21"/>
          <w:szCs w:val="21"/>
          <w:highlight w:val="none"/>
        </w:rPr>
      </w:pPr>
      <w:r>
        <w:rPr>
          <w:rStyle w:val="48"/>
          <w:rFonts w:hint="eastAsia"/>
          <w:color w:val="auto"/>
          <w:sz w:val="21"/>
          <w:szCs w:val="21"/>
          <w:highlight w:val="none"/>
        </w:rPr>
        <w:t>五、公告期限</w:t>
      </w:r>
    </w:p>
    <w:p>
      <w:pPr>
        <w:pStyle w:val="40"/>
        <w:spacing w:before="0" w:beforeAutospacing="0" w:after="0" w:afterAutospacing="0" w:line="400" w:lineRule="exact"/>
        <w:ind w:firstLine="420" w:firstLineChars="200"/>
        <w:rPr>
          <w:rFonts w:hint="eastAsia" w:eastAsia="宋体"/>
          <w:color w:val="auto"/>
          <w:sz w:val="21"/>
          <w:szCs w:val="21"/>
          <w:highlight w:val="none"/>
        </w:rPr>
      </w:pPr>
      <w:r>
        <w:rPr>
          <w:rFonts w:hint="eastAsia" w:eastAsia="宋体"/>
          <w:color w:val="auto"/>
          <w:sz w:val="21"/>
          <w:szCs w:val="21"/>
          <w:highlight w:val="none"/>
        </w:rPr>
        <w:t>自本公告发布之日起5个工作日。</w:t>
      </w:r>
    </w:p>
    <w:p>
      <w:pPr>
        <w:pStyle w:val="40"/>
        <w:spacing w:before="0" w:beforeAutospacing="0" w:after="0" w:afterAutospacing="0" w:line="400" w:lineRule="exact"/>
        <w:jc w:val="both"/>
        <w:rPr>
          <w:rFonts w:hint="eastAsia"/>
          <w:color w:val="auto"/>
          <w:sz w:val="21"/>
          <w:szCs w:val="21"/>
          <w:highlight w:val="none"/>
        </w:rPr>
      </w:pPr>
      <w:r>
        <w:rPr>
          <w:rStyle w:val="48"/>
          <w:rFonts w:hint="eastAsia"/>
          <w:color w:val="auto"/>
          <w:sz w:val="21"/>
          <w:szCs w:val="21"/>
          <w:highlight w:val="none"/>
        </w:rPr>
        <w:t>六、其他补充事宜</w:t>
      </w:r>
    </w:p>
    <w:p>
      <w:pPr>
        <w:pStyle w:val="40"/>
        <w:spacing w:before="0" w:beforeAutospacing="0" w:after="0" w:afterAutospacing="0" w:line="400" w:lineRule="exact"/>
        <w:ind w:firstLine="420" w:firstLineChars="200"/>
        <w:rPr>
          <w:rFonts w:hint="eastAsia" w:eastAsia="宋体"/>
          <w:color w:val="auto"/>
          <w:sz w:val="21"/>
          <w:szCs w:val="21"/>
          <w:highlight w:val="none"/>
        </w:rPr>
      </w:pPr>
      <w:r>
        <w:rPr>
          <w:rFonts w:hint="eastAsia" w:eastAsia="宋体"/>
          <w:color w:val="auto"/>
          <w:sz w:val="21"/>
          <w:szCs w:val="21"/>
          <w:highlight w:val="none"/>
        </w:rPr>
        <w:t>1.供应商认为采购文件使自己的权益受到损害的，可以自获取采购文件之日或者采购文件公告期限届满之日（公告期限届满后获取采购文件的，以公告期限届满之日为准）起7个工作日内，以书面形式或者通过政采云平台在线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0"/>
        <w:spacing w:before="0" w:beforeAutospacing="0" w:after="0" w:afterAutospacing="0" w:line="400" w:lineRule="exact"/>
        <w:ind w:firstLine="420" w:firstLineChars="200"/>
        <w:rPr>
          <w:rFonts w:hint="eastAsia" w:eastAsia="宋体"/>
          <w:color w:val="auto"/>
          <w:sz w:val="21"/>
          <w:szCs w:val="21"/>
          <w:highlight w:val="none"/>
        </w:rPr>
      </w:pPr>
      <w:r>
        <w:rPr>
          <w:rFonts w:hint="eastAsia" w:eastAsia="宋体"/>
          <w:color w:val="auto"/>
          <w:sz w:val="21"/>
          <w:szCs w:val="21"/>
          <w:highlight w:val="none"/>
        </w:rPr>
        <w:t>2.其他事项：（1）单位负责人为同一人或者存在直接控股、管理关系的不同供应商，不得参加同一</w:t>
      </w:r>
      <w:r>
        <w:rPr>
          <w:rFonts w:hint="eastAsia" w:eastAsia="宋体"/>
          <w:color w:val="auto"/>
          <w:sz w:val="21"/>
          <w:szCs w:val="21"/>
          <w:highlight w:val="none"/>
          <w:lang w:val="en-US" w:eastAsia="zh-CN"/>
        </w:rPr>
        <w:t>子包</w:t>
      </w:r>
      <w:r>
        <w:rPr>
          <w:rFonts w:hint="eastAsia" w:eastAsia="宋体"/>
          <w:color w:val="auto"/>
          <w:sz w:val="21"/>
          <w:szCs w:val="21"/>
          <w:highlight w:val="none"/>
        </w:rPr>
        <w:t>号的投标</w:t>
      </w:r>
      <w:r>
        <w:rPr>
          <w:rFonts w:hint="eastAsia" w:eastAsia="宋体"/>
          <w:color w:val="auto"/>
          <w:sz w:val="21"/>
          <w:szCs w:val="21"/>
          <w:highlight w:val="none"/>
          <w:lang w:eastAsia="zh-CN"/>
        </w:rPr>
        <w:t>；</w:t>
      </w:r>
      <w:r>
        <w:rPr>
          <w:rFonts w:hint="eastAsia" w:eastAsia="宋体"/>
          <w:color w:val="auto"/>
          <w:sz w:val="21"/>
          <w:szCs w:val="21"/>
          <w:highlight w:val="none"/>
        </w:rPr>
        <w:t>（2）为本项目提供整体设计、规范编制或者项目管理、监理、检测等服务的供应商，不得再参加本项目的投标</w:t>
      </w:r>
      <w:r>
        <w:rPr>
          <w:rFonts w:hint="eastAsia" w:eastAsia="宋体"/>
          <w:color w:val="auto"/>
          <w:sz w:val="21"/>
          <w:szCs w:val="21"/>
          <w:highlight w:val="none"/>
          <w:lang w:eastAsia="zh-CN"/>
        </w:rPr>
        <w:t>；</w:t>
      </w:r>
      <w:r>
        <w:rPr>
          <w:rFonts w:hint="eastAsia" w:eastAsia="宋体"/>
          <w:color w:val="auto"/>
          <w:sz w:val="21"/>
          <w:szCs w:val="21"/>
          <w:highlight w:val="none"/>
        </w:rPr>
        <w:t>（</w:t>
      </w:r>
      <w:r>
        <w:rPr>
          <w:rFonts w:hint="eastAsia" w:eastAsia="宋体"/>
          <w:color w:val="auto"/>
          <w:sz w:val="21"/>
          <w:szCs w:val="21"/>
          <w:highlight w:val="none"/>
          <w:lang w:val="en-US" w:eastAsia="zh-CN"/>
        </w:rPr>
        <w:t>3</w:t>
      </w:r>
      <w:r>
        <w:rPr>
          <w:rFonts w:hint="eastAsia" w:eastAsia="宋体"/>
          <w:color w:val="auto"/>
          <w:sz w:val="21"/>
          <w:szCs w:val="21"/>
          <w:highlight w:val="none"/>
        </w:rPr>
        <w:t>）</w:t>
      </w:r>
      <w:r>
        <w:rPr>
          <w:rFonts w:hint="eastAsia"/>
          <w:color w:val="auto"/>
          <w:sz w:val="21"/>
          <w:szCs w:val="21"/>
          <w:highlight w:val="none"/>
        </w:rPr>
        <w:t>公益一类事业单位不属于政府购买服务的承接主体，不得参与承接政府购买服务</w:t>
      </w:r>
      <w:r>
        <w:rPr>
          <w:rFonts w:hint="eastAsia"/>
          <w:color w:val="auto"/>
          <w:sz w:val="21"/>
          <w:szCs w:val="21"/>
          <w:highlight w:val="none"/>
          <w:lang w:eastAsia="zh-CN"/>
        </w:rPr>
        <w:t>；</w:t>
      </w:r>
      <w:r>
        <w:rPr>
          <w:rFonts w:hint="eastAsia" w:eastAsia="宋体"/>
          <w:color w:val="auto"/>
          <w:sz w:val="21"/>
          <w:szCs w:val="21"/>
          <w:highlight w:val="none"/>
        </w:rPr>
        <w:t>（</w:t>
      </w:r>
      <w:r>
        <w:rPr>
          <w:rFonts w:hint="eastAsia" w:eastAsia="宋体"/>
          <w:color w:val="auto"/>
          <w:sz w:val="21"/>
          <w:szCs w:val="21"/>
          <w:highlight w:val="none"/>
          <w:lang w:val="en-US" w:eastAsia="zh-CN"/>
        </w:rPr>
        <w:t>4</w:t>
      </w:r>
      <w:r>
        <w:rPr>
          <w:rFonts w:hint="eastAsia" w:eastAsia="宋体"/>
          <w:color w:val="auto"/>
          <w:sz w:val="21"/>
          <w:szCs w:val="21"/>
          <w:highlight w:val="none"/>
        </w:rPr>
        <w:t>）落实的政策：《关于促进残疾人就业政府采购政策的通知》（财库[2017]141号）、《政府采购促进中小企业发展管理办法》（财库〔2020〕46号）、《关于政府采购支持监狱企业发展有关问题的通知》（财库[2014]68号）。</w:t>
      </w:r>
    </w:p>
    <w:p>
      <w:pPr>
        <w:pStyle w:val="40"/>
        <w:spacing w:before="0" w:beforeAutospacing="0" w:after="0" w:afterAutospacing="0" w:line="400" w:lineRule="exact"/>
        <w:jc w:val="both"/>
        <w:rPr>
          <w:rFonts w:hint="eastAsia"/>
          <w:color w:val="auto"/>
          <w:sz w:val="21"/>
          <w:szCs w:val="21"/>
          <w:highlight w:val="none"/>
        </w:rPr>
      </w:pPr>
      <w:r>
        <w:rPr>
          <w:rStyle w:val="48"/>
          <w:rFonts w:hint="eastAsia"/>
          <w:color w:val="auto"/>
          <w:sz w:val="21"/>
          <w:szCs w:val="21"/>
          <w:highlight w:val="none"/>
        </w:rPr>
        <w:t>七、对本次采购提出询问、质疑、投诉，请按以下方式联系</w:t>
      </w:r>
    </w:p>
    <w:p>
      <w:pPr>
        <w:pStyle w:val="40"/>
        <w:spacing w:before="0" w:beforeAutospacing="0" w:after="0" w:afterAutospacing="0" w:line="400" w:lineRule="exact"/>
        <w:ind w:firstLine="420" w:firstLineChars="200"/>
        <w:rPr>
          <w:rFonts w:hint="eastAsia" w:eastAsia="宋体"/>
          <w:color w:val="auto"/>
          <w:sz w:val="21"/>
          <w:szCs w:val="21"/>
          <w:highlight w:val="none"/>
        </w:rPr>
      </w:pPr>
      <w:r>
        <w:rPr>
          <w:rFonts w:hint="eastAsia" w:eastAsia="宋体"/>
          <w:color w:val="auto"/>
          <w:sz w:val="21"/>
          <w:szCs w:val="21"/>
          <w:highlight w:val="none"/>
        </w:rPr>
        <w:t>1.采购人信息</w:t>
      </w:r>
    </w:p>
    <w:p>
      <w:pPr>
        <w:pStyle w:val="40"/>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eastAsia="宋体"/>
          <w:color w:val="auto"/>
          <w:sz w:val="21"/>
          <w:szCs w:val="21"/>
          <w:highlight w:val="none"/>
        </w:rPr>
        <w:t>名称：</w:t>
      </w:r>
      <w:r>
        <w:rPr>
          <w:rFonts w:hint="eastAsia" w:eastAsia="宋体"/>
          <w:color w:val="auto"/>
          <w:sz w:val="21"/>
          <w:szCs w:val="21"/>
          <w:highlight w:val="none"/>
          <w:lang w:eastAsia="zh-CN"/>
        </w:rPr>
        <w:t>慈溪市崇寿镇人民政府</w:t>
      </w:r>
    </w:p>
    <w:p>
      <w:pPr>
        <w:pStyle w:val="40"/>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eastAsia="宋体"/>
          <w:color w:val="auto"/>
          <w:sz w:val="21"/>
          <w:szCs w:val="21"/>
          <w:highlight w:val="none"/>
        </w:rPr>
        <w:t>地址：</w:t>
      </w:r>
      <w:r>
        <w:rPr>
          <w:rFonts w:hint="eastAsia" w:eastAsia="宋体"/>
          <w:color w:val="auto"/>
          <w:sz w:val="21"/>
          <w:szCs w:val="21"/>
          <w:highlight w:val="none"/>
          <w:lang w:eastAsia="zh-CN"/>
        </w:rPr>
        <w:t>慈溪市</w:t>
      </w:r>
      <w:r>
        <w:rPr>
          <w:rFonts w:hint="eastAsia" w:eastAsia="宋体"/>
          <w:color w:val="auto"/>
          <w:sz w:val="21"/>
          <w:szCs w:val="21"/>
          <w:highlight w:val="none"/>
          <w:lang w:val="en-US" w:eastAsia="zh-CN"/>
        </w:rPr>
        <w:t>崇寿</w:t>
      </w:r>
      <w:r>
        <w:rPr>
          <w:rFonts w:hint="eastAsia" w:eastAsia="宋体"/>
          <w:color w:val="auto"/>
          <w:sz w:val="21"/>
          <w:szCs w:val="21"/>
          <w:highlight w:val="none"/>
          <w:lang w:eastAsia="zh-CN"/>
        </w:rPr>
        <w:t>镇</w:t>
      </w:r>
      <w:r>
        <w:rPr>
          <w:rFonts w:hint="eastAsia" w:eastAsia="宋体"/>
          <w:color w:val="auto"/>
          <w:sz w:val="21"/>
          <w:szCs w:val="21"/>
          <w:highlight w:val="none"/>
          <w:lang w:val="en-US" w:eastAsia="zh-CN"/>
        </w:rPr>
        <w:t>崇兴街51</w:t>
      </w:r>
      <w:r>
        <w:rPr>
          <w:rFonts w:hint="eastAsia" w:eastAsia="宋体"/>
          <w:color w:val="auto"/>
          <w:sz w:val="21"/>
          <w:szCs w:val="21"/>
          <w:highlight w:val="none"/>
          <w:lang w:eastAsia="zh-CN"/>
        </w:rPr>
        <w:t>号</w:t>
      </w:r>
    </w:p>
    <w:p>
      <w:pPr>
        <w:pStyle w:val="40"/>
        <w:spacing w:before="0" w:beforeAutospacing="0" w:after="0" w:afterAutospacing="0" w:line="400" w:lineRule="exact"/>
        <w:ind w:firstLine="420" w:firstLineChars="200"/>
        <w:rPr>
          <w:rFonts w:hint="eastAsia" w:eastAsia="宋体"/>
          <w:color w:val="auto"/>
          <w:sz w:val="21"/>
          <w:szCs w:val="21"/>
          <w:highlight w:val="none"/>
        </w:rPr>
      </w:pPr>
      <w:r>
        <w:rPr>
          <w:rFonts w:hint="eastAsia" w:eastAsia="宋体"/>
          <w:color w:val="auto"/>
          <w:sz w:val="21"/>
          <w:szCs w:val="21"/>
          <w:highlight w:val="none"/>
        </w:rPr>
        <w:t>传真：/</w:t>
      </w:r>
    </w:p>
    <w:p>
      <w:pPr>
        <w:pStyle w:val="40"/>
        <w:spacing w:before="0" w:beforeAutospacing="0" w:after="0" w:afterAutospacing="0"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项目联系人（询问）：</w:t>
      </w:r>
      <w:r>
        <w:rPr>
          <w:rFonts w:hint="eastAsia" w:ascii="宋体" w:hAnsi="宋体" w:eastAsia="宋体" w:cs="宋体"/>
          <w:color w:val="auto"/>
          <w:sz w:val="21"/>
          <w:szCs w:val="21"/>
          <w:highlight w:val="none"/>
          <w:lang w:val="en-US" w:eastAsia="zh-CN"/>
        </w:rPr>
        <w:t xml:space="preserve"> 沈金波</w:t>
      </w:r>
    </w:p>
    <w:p>
      <w:pPr>
        <w:pStyle w:val="40"/>
        <w:spacing w:before="0" w:beforeAutospacing="0" w:after="0" w:afterAutospacing="0"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项目联系方式（询问）：0574-63293527</w:t>
      </w:r>
      <w:r>
        <w:rPr>
          <w:rFonts w:hint="eastAsia" w:ascii="宋体" w:hAnsi="宋体" w:eastAsia="宋体" w:cs="宋体"/>
          <w:color w:val="auto"/>
          <w:sz w:val="21"/>
          <w:szCs w:val="21"/>
          <w:highlight w:val="none"/>
          <w:lang w:val="en-US" w:eastAsia="zh-CN"/>
        </w:rPr>
        <w:t xml:space="preserve"> </w:t>
      </w:r>
    </w:p>
    <w:p>
      <w:pPr>
        <w:pStyle w:val="40"/>
        <w:spacing w:before="0" w:beforeAutospacing="0" w:after="0" w:afterAutospacing="0" w:line="400" w:lineRule="exact"/>
        <w:ind w:firstLine="420" w:firstLineChars="200"/>
        <w:rPr>
          <w:rFonts w:hint="eastAsia" w:eastAsia="宋体"/>
          <w:color w:val="auto"/>
          <w:sz w:val="21"/>
          <w:szCs w:val="21"/>
          <w:highlight w:val="none"/>
          <w:lang w:val="en-US" w:eastAsia="zh-CN"/>
        </w:rPr>
      </w:pPr>
      <w:r>
        <w:rPr>
          <w:rFonts w:hint="eastAsia" w:eastAsia="宋体"/>
          <w:color w:val="auto"/>
          <w:sz w:val="21"/>
          <w:szCs w:val="21"/>
          <w:highlight w:val="none"/>
        </w:rPr>
        <w:t>质疑联系人：</w:t>
      </w:r>
      <w:r>
        <w:rPr>
          <w:rFonts w:hint="eastAsia" w:eastAsia="宋体"/>
          <w:color w:val="auto"/>
          <w:sz w:val="21"/>
          <w:szCs w:val="21"/>
          <w:highlight w:val="none"/>
          <w:lang w:val="en-US" w:eastAsia="zh-CN"/>
        </w:rPr>
        <w:t xml:space="preserve"> 胡洪权</w:t>
      </w:r>
    </w:p>
    <w:p>
      <w:pPr>
        <w:pStyle w:val="40"/>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eastAsia="宋体"/>
          <w:color w:val="auto"/>
          <w:sz w:val="21"/>
          <w:szCs w:val="21"/>
          <w:highlight w:val="none"/>
        </w:rPr>
        <w:t>质疑联系方式：0574-63293521</w:t>
      </w:r>
    </w:p>
    <w:p>
      <w:pPr>
        <w:pStyle w:val="40"/>
        <w:spacing w:before="0" w:beforeAutospacing="0" w:after="0" w:afterAutospacing="0" w:line="400" w:lineRule="exact"/>
        <w:ind w:firstLine="420" w:firstLineChars="200"/>
        <w:rPr>
          <w:rFonts w:hint="eastAsia" w:eastAsia="宋体"/>
          <w:color w:val="auto"/>
          <w:sz w:val="21"/>
          <w:szCs w:val="21"/>
          <w:highlight w:val="none"/>
        </w:rPr>
      </w:pPr>
      <w:r>
        <w:rPr>
          <w:rFonts w:hint="eastAsia" w:eastAsia="宋体"/>
          <w:color w:val="auto"/>
          <w:sz w:val="21"/>
          <w:szCs w:val="21"/>
          <w:highlight w:val="none"/>
        </w:rPr>
        <w:t>2.采购代理机构信息</w:t>
      </w:r>
    </w:p>
    <w:p>
      <w:pPr>
        <w:pStyle w:val="40"/>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eastAsia="宋体"/>
          <w:color w:val="auto"/>
          <w:sz w:val="21"/>
          <w:szCs w:val="21"/>
          <w:highlight w:val="none"/>
        </w:rPr>
        <w:t>名称：</w:t>
      </w:r>
      <w:r>
        <w:rPr>
          <w:rFonts w:hint="eastAsia" w:eastAsia="宋体"/>
          <w:color w:val="auto"/>
          <w:sz w:val="21"/>
          <w:szCs w:val="21"/>
          <w:highlight w:val="none"/>
          <w:lang w:eastAsia="zh-CN"/>
        </w:rPr>
        <w:t>宁波永敬工程造价咨询有限公司</w:t>
      </w:r>
    </w:p>
    <w:p>
      <w:pPr>
        <w:pStyle w:val="40"/>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eastAsia="宋体"/>
          <w:color w:val="auto"/>
          <w:sz w:val="21"/>
          <w:szCs w:val="21"/>
          <w:highlight w:val="none"/>
        </w:rPr>
        <w:t>地址：</w:t>
      </w:r>
      <w:r>
        <w:rPr>
          <w:rFonts w:hint="eastAsia" w:eastAsia="宋体"/>
          <w:color w:val="auto"/>
          <w:sz w:val="21"/>
          <w:szCs w:val="21"/>
          <w:highlight w:val="none"/>
          <w:lang w:eastAsia="zh-CN"/>
        </w:rPr>
        <w:t>慈溪市孙塘南路4号永敬商务楼2楼</w:t>
      </w:r>
    </w:p>
    <w:p>
      <w:pPr>
        <w:pStyle w:val="40"/>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eastAsia="宋体"/>
          <w:color w:val="auto"/>
          <w:sz w:val="21"/>
          <w:szCs w:val="21"/>
          <w:highlight w:val="none"/>
        </w:rPr>
        <w:t>传真：</w:t>
      </w:r>
      <w:r>
        <w:rPr>
          <w:rFonts w:hint="eastAsia" w:eastAsia="宋体"/>
          <w:color w:val="auto"/>
          <w:sz w:val="21"/>
          <w:szCs w:val="21"/>
          <w:highlight w:val="none"/>
          <w:lang w:eastAsia="zh-CN"/>
        </w:rPr>
        <w:t>0574-63898331</w:t>
      </w:r>
    </w:p>
    <w:p>
      <w:pPr>
        <w:pStyle w:val="40"/>
        <w:spacing w:before="0" w:beforeAutospacing="0" w:after="0" w:afterAutospacing="0" w:line="400" w:lineRule="exact"/>
        <w:ind w:firstLine="420" w:firstLineChars="200"/>
        <w:rPr>
          <w:rFonts w:hint="default" w:eastAsia="宋体"/>
          <w:color w:val="auto"/>
          <w:sz w:val="21"/>
          <w:szCs w:val="21"/>
          <w:highlight w:val="none"/>
          <w:lang w:val="en-US" w:eastAsia="zh-CN"/>
        </w:rPr>
      </w:pPr>
      <w:r>
        <w:rPr>
          <w:rFonts w:hint="eastAsia" w:eastAsia="宋体"/>
          <w:color w:val="auto"/>
          <w:sz w:val="21"/>
          <w:szCs w:val="21"/>
          <w:highlight w:val="none"/>
        </w:rPr>
        <w:t>项目联系人（询问）：</w:t>
      </w:r>
      <w:r>
        <w:rPr>
          <w:rFonts w:hint="eastAsia" w:eastAsia="宋体"/>
          <w:color w:val="auto"/>
          <w:sz w:val="21"/>
          <w:szCs w:val="21"/>
          <w:highlight w:val="none"/>
          <w:lang w:val="en-US" w:eastAsia="zh-CN"/>
        </w:rPr>
        <w:t>侯维雁</w:t>
      </w:r>
    </w:p>
    <w:p>
      <w:pPr>
        <w:pStyle w:val="40"/>
        <w:spacing w:before="0" w:beforeAutospacing="0" w:after="0" w:afterAutospacing="0" w:line="400" w:lineRule="exact"/>
        <w:ind w:firstLine="420" w:firstLineChars="200"/>
        <w:rPr>
          <w:rFonts w:hint="default" w:eastAsia="宋体"/>
          <w:color w:val="auto"/>
          <w:sz w:val="21"/>
          <w:szCs w:val="21"/>
          <w:highlight w:val="none"/>
          <w:lang w:val="en-US" w:eastAsia="zh-CN"/>
        </w:rPr>
      </w:pPr>
      <w:r>
        <w:rPr>
          <w:rFonts w:hint="eastAsia" w:eastAsia="宋体"/>
          <w:color w:val="auto"/>
          <w:sz w:val="21"/>
          <w:szCs w:val="21"/>
          <w:highlight w:val="none"/>
        </w:rPr>
        <w:t>项目联系方式（询问）：0574-</w:t>
      </w:r>
      <w:r>
        <w:rPr>
          <w:rFonts w:hint="eastAsia" w:eastAsia="宋体"/>
          <w:color w:val="auto"/>
          <w:sz w:val="21"/>
          <w:szCs w:val="21"/>
          <w:highlight w:val="none"/>
          <w:lang w:val="en-US" w:eastAsia="zh-CN"/>
        </w:rPr>
        <w:t>63898331</w:t>
      </w:r>
    </w:p>
    <w:p>
      <w:pPr>
        <w:pStyle w:val="40"/>
        <w:spacing w:before="0" w:beforeAutospacing="0" w:after="0" w:afterAutospacing="0" w:line="400" w:lineRule="exact"/>
        <w:ind w:firstLine="420" w:firstLineChars="200"/>
        <w:rPr>
          <w:rFonts w:hint="default" w:eastAsia="宋体"/>
          <w:color w:val="auto"/>
          <w:sz w:val="21"/>
          <w:szCs w:val="21"/>
          <w:highlight w:val="none"/>
          <w:lang w:val="en-US" w:eastAsia="zh-CN"/>
        </w:rPr>
      </w:pPr>
      <w:r>
        <w:rPr>
          <w:rFonts w:hint="eastAsia" w:eastAsia="宋体"/>
          <w:color w:val="auto"/>
          <w:sz w:val="21"/>
          <w:szCs w:val="21"/>
          <w:highlight w:val="none"/>
        </w:rPr>
        <w:t>质疑联系人：</w:t>
      </w:r>
      <w:r>
        <w:rPr>
          <w:rFonts w:hint="eastAsia" w:eastAsia="宋体"/>
          <w:color w:val="auto"/>
          <w:sz w:val="21"/>
          <w:szCs w:val="21"/>
          <w:highlight w:val="none"/>
          <w:lang w:val="en-US" w:eastAsia="zh-CN"/>
        </w:rPr>
        <w:t>方冬儿</w:t>
      </w:r>
    </w:p>
    <w:p>
      <w:pPr>
        <w:pStyle w:val="40"/>
        <w:spacing w:before="0" w:beforeAutospacing="0" w:after="0" w:afterAutospacing="0" w:line="400" w:lineRule="exact"/>
        <w:ind w:firstLine="420" w:firstLineChars="200"/>
        <w:rPr>
          <w:rFonts w:hint="default" w:eastAsia="宋体"/>
          <w:color w:val="auto"/>
          <w:sz w:val="21"/>
          <w:szCs w:val="21"/>
          <w:highlight w:val="none"/>
          <w:lang w:val="en-US" w:eastAsia="zh-CN"/>
        </w:rPr>
      </w:pPr>
      <w:r>
        <w:rPr>
          <w:rFonts w:hint="eastAsia" w:eastAsia="宋体"/>
          <w:color w:val="auto"/>
          <w:sz w:val="21"/>
          <w:szCs w:val="21"/>
          <w:highlight w:val="none"/>
        </w:rPr>
        <w:t>质疑联系方式：0574-</w:t>
      </w:r>
      <w:r>
        <w:rPr>
          <w:rFonts w:hint="eastAsia" w:eastAsia="宋体"/>
          <w:color w:val="auto"/>
          <w:sz w:val="21"/>
          <w:szCs w:val="21"/>
          <w:highlight w:val="none"/>
          <w:lang w:val="en-US" w:eastAsia="zh-CN"/>
        </w:rPr>
        <w:t>63898331</w:t>
      </w:r>
    </w:p>
    <w:p>
      <w:pPr>
        <w:pStyle w:val="40"/>
        <w:spacing w:before="0" w:beforeAutospacing="0" w:after="0" w:afterAutospacing="0" w:line="400" w:lineRule="exact"/>
        <w:ind w:firstLine="420" w:firstLineChars="200"/>
        <w:rPr>
          <w:rFonts w:hint="eastAsia" w:eastAsia="宋体"/>
          <w:color w:val="auto"/>
          <w:sz w:val="21"/>
          <w:szCs w:val="21"/>
          <w:highlight w:val="none"/>
        </w:rPr>
      </w:pPr>
      <w:r>
        <w:rPr>
          <w:rFonts w:hint="eastAsia" w:eastAsia="宋体"/>
          <w:color w:val="auto"/>
          <w:sz w:val="21"/>
          <w:szCs w:val="21"/>
          <w:highlight w:val="none"/>
        </w:rPr>
        <w:t>3.同级政府采购监督管理部门</w:t>
      </w:r>
    </w:p>
    <w:p>
      <w:pPr>
        <w:pStyle w:val="40"/>
        <w:spacing w:before="0" w:beforeAutospacing="0" w:after="0" w:afterAutospacing="0" w:line="400" w:lineRule="exact"/>
        <w:ind w:firstLine="420" w:firstLineChars="200"/>
        <w:rPr>
          <w:rFonts w:hint="eastAsia" w:eastAsia="宋体"/>
          <w:color w:val="auto"/>
          <w:sz w:val="21"/>
          <w:szCs w:val="21"/>
          <w:highlight w:val="none"/>
        </w:rPr>
      </w:pPr>
      <w:r>
        <w:rPr>
          <w:rFonts w:hint="eastAsia" w:eastAsia="宋体"/>
          <w:color w:val="auto"/>
          <w:sz w:val="21"/>
          <w:szCs w:val="21"/>
          <w:highlight w:val="none"/>
        </w:rPr>
        <w:t>名称：慈溪市公共资源交易管理办公室</w:t>
      </w:r>
    </w:p>
    <w:p>
      <w:pPr>
        <w:pStyle w:val="40"/>
        <w:spacing w:before="0" w:beforeAutospacing="0" w:after="0" w:afterAutospacing="0" w:line="400" w:lineRule="exact"/>
        <w:ind w:firstLine="420" w:firstLineChars="200"/>
        <w:rPr>
          <w:rFonts w:hint="eastAsia" w:eastAsia="宋体"/>
          <w:color w:val="auto"/>
          <w:sz w:val="21"/>
          <w:szCs w:val="21"/>
          <w:highlight w:val="none"/>
        </w:rPr>
      </w:pPr>
      <w:r>
        <w:rPr>
          <w:rFonts w:hint="eastAsia" w:eastAsia="宋体"/>
          <w:color w:val="auto"/>
          <w:sz w:val="21"/>
          <w:szCs w:val="21"/>
          <w:highlight w:val="none"/>
        </w:rPr>
        <w:t>地址：慈溪市南二环东路1355号</w:t>
      </w:r>
    </w:p>
    <w:p>
      <w:pPr>
        <w:pStyle w:val="40"/>
        <w:spacing w:before="0" w:beforeAutospacing="0" w:after="0" w:afterAutospacing="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传真：0574-63032032</w:t>
      </w:r>
    </w:p>
    <w:p>
      <w:pPr>
        <w:pStyle w:val="40"/>
        <w:spacing w:before="0" w:beforeAutospacing="0" w:after="0" w:afterAutospacing="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联系人：赵先生</w:t>
      </w:r>
    </w:p>
    <w:p>
      <w:pPr>
        <w:pStyle w:val="40"/>
        <w:spacing w:before="0" w:beforeAutospacing="0" w:after="0" w:afterAutospacing="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监督投诉电话：0574-63032252</w:t>
      </w:r>
    </w:p>
    <w:p>
      <w:pPr>
        <w:pStyle w:val="40"/>
        <w:spacing w:before="0" w:beforeAutospacing="0" w:after="0" w:afterAutospacing="0" w:line="400" w:lineRule="exact"/>
        <w:ind w:firstLine="420" w:firstLineChars="200"/>
        <w:rPr>
          <w:rFonts w:hint="eastAsia" w:eastAsia="宋体"/>
          <w:color w:val="auto"/>
          <w:sz w:val="21"/>
          <w:szCs w:val="21"/>
          <w:highlight w:val="none"/>
        </w:rPr>
      </w:pPr>
    </w:p>
    <w:p>
      <w:pPr>
        <w:spacing w:line="400" w:lineRule="exact"/>
        <w:ind w:firstLine="420" w:firstLineChars="200"/>
        <w:outlineLvl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若对项目采购电子交易系统操作有疑问，可登录政采云（https://www.zcygov.cn/），点击右侧咨询小采，获取采小蜜智能服务管家帮助，或拨打政采云服务热线400-881-7190获取热线服务帮助。      </w:t>
      </w:r>
    </w:p>
    <w:p>
      <w:pPr>
        <w:spacing w:line="400" w:lineRule="exact"/>
        <w:ind w:firstLine="420" w:firstLineChars="200"/>
        <w:outlineLvl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CA问题联系电话（人工）：汇信CA 400-888-4636；天谷CA 400-087-8198。</w:t>
      </w:r>
    </w:p>
    <w:p>
      <w:pPr>
        <w:widowControl/>
        <w:spacing w:line="400" w:lineRule="exact"/>
        <w:ind w:firstLine="420" w:firstLineChars="200"/>
        <w:jc w:val="left"/>
        <w:rPr>
          <w:rFonts w:ascii="宋体" w:hAnsi="宋体" w:cs="宋体"/>
          <w:color w:val="auto"/>
          <w:kern w:val="0"/>
          <w:szCs w:val="21"/>
          <w:highlight w:val="none"/>
          <w:lang w:bidi="ar"/>
        </w:rPr>
      </w:pPr>
    </w:p>
    <w:p>
      <w:pPr>
        <w:widowControl/>
        <w:spacing w:line="400" w:lineRule="exact"/>
        <w:ind w:firstLine="420" w:firstLineChars="200"/>
        <w:jc w:val="left"/>
        <w:rPr>
          <w:rFonts w:hint="eastAsia" w:ascii="宋体" w:hAnsi="宋体" w:cs="宋体"/>
          <w:color w:val="auto"/>
          <w:szCs w:val="21"/>
          <w:highlight w:val="none"/>
        </w:rPr>
      </w:pPr>
    </w:p>
    <w:p>
      <w:pPr>
        <w:spacing w:line="400" w:lineRule="exact"/>
        <w:ind w:firstLine="420" w:firstLineChars="200"/>
        <w:outlineLvl w:val="0"/>
        <w:rPr>
          <w:rFonts w:hint="eastAsia" w:ascii="宋体" w:hAnsi="宋体"/>
          <w:color w:val="auto"/>
          <w:szCs w:val="21"/>
          <w:highlight w:val="none"/>
        </w:rPr>
      </w:pPr>
    </w:p>
    <w:p>
      <w:pPr>
        <w:spacing w:line="400" w:lineRule="exact"/>
        <w:ind w:firstLine="420" w:firstLineChars="200"/>
        <w:outlineLvl w:val="0"/>
        <w:rPr>
          <w:rFonts w:hint="eastAsia" w:ascii="宋体" w:hAnsi="宋体"/>
          <w:color w:val="auto"/>
          <w:szCs w:val="21"/>
          <w:highlight w:val="none"/>
        </w:rPr>
      </w:pPr>
    </w:p>
    <w:p>
      <w:pPr>
        <w:spacing w:line="400" w:lineRule="exact"/>
        <w:ind w:firstLine="420" w:firstLineChars="200"/>
        <w:outlineLvl w:val="0"/>
        <w:rPr>
          <w:rFonts w:hint="eastAsia" w:ascii="宋体" w:hAnsi="宋体"/>
          <w:color w:val="auto"/>
          <w:szCs w:val="21"/>
          <w:highlight w:val="none"/>
        </w:rPr>
      </w:pPr>
    </w:p>
    <w:p>
      <w:pPr>
        <w:spacing w:line="400" w:lineRule="exact"/>
        <w:ind w:firstLine="420" w:firstLineChars="200"/>
        <w:jc w:val="center"/>
        <w:outlineLvl w:val="0"/>
        <w:rPr>
          <w:rFonts w:ascii="宋体" w:hAnsi="宋体"/>
          <w:b/>
          <w:color w:val="auto"/>
          <w:sz w:val="32"/>
          <w:highlight w:val="none"/>
        </w:rPr>
      </w:pPr>
      <w:r>
        <w:rPr>
          <w:rFonts w:ascii="宋体" w:hAnsi="宋体"/>
          <w:color w:val="auto"/>
          <w:szCs w:val="21"/>
          <w:highlight w:val="none"/>
        </w:rPr>
        <w:br w:type="page"/>
      </w:r>
      <w:bookmarkStart w:id="1" w:name="_Toc18897"/>
      <w:r>
        <w:rPr>
          <w:rFonts w:hint="eastAsia" w:ascii="宋体" w:hAnsi="宋体"/>
          <w:b/>
          <w:color w:val="auto"/>
          <w:sz w:val="36"/>
          <w:szCs w:val="21"/>
          <w:highlight w:val="none"/>
        </w:rPr>
        <w:t>第二章</w:t>
      </w:r>
      <w:r>
        <w:rPr>
          <w:rFonts w:ascii="宋体" w:hAnsi="宋体"/>
          <w:b/>
          <w:color w:val="auto"/>
          <w:sz w:val="36"/>
          <w:szCs w:val="21"/>
          <w:highlight w:val="none"/>
        </w:rPr>
        <w:t xml:space="preserve">  </w:t>
      </w:r>
      <w:r>
        <w:rPr>
          <w:rFonts w:hint="eastAsia" w:ascii="宋体" w:hAnsi="宋体"/>
          <w:b/>
          <w:color w:val="auto"/>
          <w:sz w:val="36"/>
          <w:szCs w:val="21"/>
          <w:highlight w:val="none"/>
        </w:rPr>
        <w:t>投标须知</w:t>
      </w:r>
      <w:bookmarkEnd w:id="1"/>
    </w:p>
    <w:p>
      <w:pPr>
        <w:spacing w:line="400" w:lineRule="exact"/>
        <w:ind w:firstLine="422" w:firstLineChars="200"/>
        <w:rPr>
          <w:rFonts w:hint="eastAsia" w:ascii="宋体" w:hAnsi="宋体" w:cs="宋体"/>
          <w:b/>
          <w:color w:val="auto"/>
          <w:szCs w:val="21"/>
          <w:highlight w:val="none"/>
        </w:rPr>
      </w:pPr>
    </w:p>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一、适用范围</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本招标文件仅适用于本采购项目所叙述的货物和服务的招标、评标、定标、验收、合同履约、付款等（法律、法规另有规定的，从其规定）。</w:t>
      </w:r>
    </w:p>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二、定义</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“采购人”</w:t>
      </w:r>
      <w:r>
        <w:rPr>
          <w:rFonts w:hint="eastAsia" w:ascii="宋体" w:hAnsi="宋体" w:eastAsia="宋体" w:cs="宋体"/>
          <w:color w:val="auto"/>
          <w:szCs w:val="21"/>
          <w:highlight w:val="none"/>
          <w:lang w:eastAsia="zh-CN"/>
        </w:rPr>
        <w:t>系指慈溪市崇寿镇人民政府。</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“代理机构”系指</w:t>
      </w:r>
      <w:r>
        <w:rPr>
          <w:rFonts w:hint="eastAsia" w:ascii="宋体" w:hAnsi="宋体" w:cs="宋体"/>
          <w:color w:val="auto"/>
          <w:szCs w:val="21"/>
          <w:highlight w:val="none"/>
          <w:lang w:eastAsia="zh-CN"/>
        </w:rPr>
        <w:t>宁波永敬工程造价咨询有限公司</w:t>
      </w:r>
      <w:r>
        <w:rPr>
          <w:rFonts w:hint="eastAsia" w:ascii="宋体" w:hAnsi="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“供应商（投标人）”系指向采购人提交投标文件的供应商。</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“服务”系指招标文件规定供应商须承担的</w:t>
      </w:r>
      <w:r>
        <w:rPr>
          <w:rFonts w:hint="eastAsia" w:ascii="宋体" w:hAnsi="宋体" w:eastAsia="宋体" w:cs="宋体"/>
          <w:color w:val="auto"/>
          <w:szCs w:val="21"/>
          <w:highlight w:val="none"/>
          <w:lang w:eastAsia="zh-CN"/>
        </w:rPr>
        <w:t>慈溪市崇寿镇2022年度保洁服务</w:t>
      </w:r>
      <w:r>
        <w:rPr>
          <w:rFonts w:hint="eastAsia" w:ascii="宋体" w:hAnsi="宋体" w:eastAsia="宋体" w:cs="宋体"/>
          <w:color w:val="auto"/>
          <w:szCs w:val="21"/>
          <w:highlight w:val="none"/>
        </w:rPr>
        <w:t>以及其他类似的义务。</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“货物”系指满足服务要求，投标人需具有的车辆、设备等。</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“同级政府采购监管部门”系指</w:t>
      </w:r>
      <w:r>
        <w:rPr>
          <w:rFonts w:hint="eastAsia" w:ascii="宋体" w:hAnsi="宋体" w:eastAsia="宋体" w:cs="宋体"/>
          <w:color w:val="auto"/>
          <w:szCs w:val="21"/>
          <w:highlight w:val="none"/>
          <w:lang w:val="zh-CN"/>
        </w:rPr>
        <w:t>慈溪市公共资源交易管理办公室。</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”系指实质性响应条款。</w:t>
      </w:r>
    </w:p>
    <w:p>
      <w:pPr>
        <w:spacing w:line="400" w:lineRule="exact"/>
        <w:ind w:firstLine="210" w:firstLineChars="100"/>
        <w:rPr>
          <w:rFonts w:hint="eastAsia" w:ascii="宋体" w:hAnsi="宋体" w:cs="宋体"/>
          <w:b/>
          <w:color w:val="auto"/>
          <w:szCs w:val="21"/>
          <w:highlight w:val="none"/>
        </w:rPr>
      </w:pPr>
      <w:r>
        <w:rPr>
          <w:rFonts w:hint="eastAsia" w:ascii="宋体" w:hAnsi="宋体" w:cs="宋体"/>
          <w:color w:val="auto"/>
          <w:szCs w:val="21"/>
          <w:highlight w:val="none"/>
          <w:lang w:eastAsia="zh-CN"/>
        </w:rPr>
        <w:t>★</w:t>
      </w:r>
      <w:r>
        <w:rPr>
          <w:rFonts w:hint="eastAsia" w:ascii="宋体" w:hAnsi="宋体" w:cs="宋体"/>
          <w:b/>
          <w:color w:val="auto"/>
          <w:szCs w:val="21"/>
          <w:highlight w:val="none"/>
        </w:rPr>
        <w:t>三、供应商的资格要求</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详见招标公告。</w:t>
      </w:r>
    </w:p>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四、投标费用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无论投标过程和结果如何，供应商自行承担与投标有关的全部费用。</w:t>
      </w:r>
    </w:p>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五、投标报价</w:t>
      </w:r>
    </w:p>
    <w:p>
      <w:pPr>
        <w:spacing w:line="400" w:lineRule="exact"/>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1.投标报价以人民币为结算货币。</w:t>
      </w:r>
    </w:p>
    <w:p>
      <w:pPr>
        <w:spacing w:line="400" w:lineRule="exact"/>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2.投标报价是履行合同的最终价格，包含需缴纳的所有税费及其他一切相关费用。供应商少报或漏报的工作量，采购单位将视为已包含在投标总价中，并不予调整。</w:t>
      </w:r>
    </w:p>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六、投标有效期</w:t>
      </w:r>
    </w:p>
    <w:p>
      <w:pPr>
        <w:spacing w:line="400" w:lineRule="exact"/>
        <w:ind w:firstLine="210" w:firstLineChars="100"/>
        <w:rPr>
          <w:rFonts w:hint="eastAsia" w:ascii="宋体" w:hAnsi="宋体" w:cs="宋体"/>
          <w:b/>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1、投标文件从开标之日起，投标有效期为90个日历日。投标有效期不能小于招标文件的要求。</w:t>
      </w:r>
    </w:p>
    <w:p>
      <w:pPr>
        <w:spacing w:line="40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2、特殊情况下，采购人可与供应商协商延缓投标文件的有效期，这种要求和答复均以书面形式进行。</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3、供应商可拒绝接受延期要求。同意延长有效期的供应商不能修改投标文件。</w:t>
      </w:r>
    </w:p>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七、投标文件的形式和效力</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1、投标文件分为电子投标文件以及备份投标文件，备份投标文件为以</w:t>
      </w:r>
      <w:r>
        <w:rPr>
          <w:rFonts w:hint="eastAsia" w:ascii="宋体" w:hAnsi="宋体" w:cs="宋体"/>
          <w:color w:val="auto"/>
          <w:kern w:val="0"/>
          <w:szCs w:val="21"/>
          <w:highlight w:val="none"/>
        </w:rPr>
        <w:t>U盘或光盘存储的电子</w:t>
      </w:r>
      <w:r>
        <w:rPr>
          <w:rFonts w:hint="eastAsia" w:ascii="宋体" w:hAnsi="宋体" w:cs="宋体"/>
          <w:color w:val="auto"/>
          <w:szCs w:val="21"/>
          <w:highlight w:val="none"/>
        </w:rPr>
        <w:t>备份投标文件。</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2、电子投标文件，按“项目采购</w:t>
      </w:r>
      <w:r>
        <w:rPr>
          <w:rFonts w:hint="eastAsia" w:ascii="宋体" w:hAnsi="宋体" w:cs="宋体"/>
          <w:color w:val="auto"/>
          <w:szCs w:val="21"/>
          <w:highlight w:val="none"/>
          <w:lang w:eastAsia="zh-CN"/>
        </w:rPr>
        <w:t>－</w:t>
      </w:r>
      <w:r>
        <w:rPr>
          <w:rFonts w:hint="eastAsia" w:ascii="宋体" w:hAnsi="宋体" w:cs="宋体"/>
          <w:color w:val="auto"/>
          <w:szCs w:val="21"/>
          <w:highlight w:val="none"/>
        </w:rPr>
        <w:t>电子招投标操作指南”及本招标文件要求制作，并加密。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3、以</w:t>
      </w:r>
      <w:r>
        <w:rPr>
          <w:rFonts w:hint="eastAsia" w:ascii="宋体" w:hAnsi="宋体" w:cs="宋体"/>
          <w:color w:val="auto"/>
          <w:kern w:val="0"/>
          <w:szCs w:val="21"/>
          <w:highlight w:val="none"/>
        </w:rPr>
        <w:t>U盘或光盘存储的电子</w:t>
      </w:r>
      <w:r>
        <w:rPr>
          <w:rFonts w:hint="eastAsia" w:ascii="宋体" w:hAnsi="宋体" w:cs="宋体"/>
          <w:color w:val="auto"/>
          <w:szCs w:val="21"/>
          <w:highlight w:val="none"/>
        </w:rPr>
        <w:t>备份投标文件，按“项目采购</w:t>
      </w:r>
      <w:r>
        <w:rPr>
          <w:rFonts w:hint="eastAsia" w:ascii="宋体" w:hAnsi="宋体" w:cs="宋体"/>
          <w:color w:val="auto"/>
          <w:szCs w:val="21"/>
          <w:highlight w:val="none"/>
          <w:lang w:eastAsia="zh-CN"/>
        </w:rPr>
        <w:t>－</w:t>
      </w:r>
      <w:r>
        <w:rPr>
          <w:rFonts w:hint="eastAsia" w:ascii="宋体" w:hAnsi="宋体" w:cs="宋体"/>
          <w:color w:val="auto"/>
          <w:szCs w:val="21"/>
          <w:highlight w:val="none"/>
        </w:rPr>
        <w:t>电子招投标操作指南”制作的电子备份文件。</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4、投标文件填写字迹必须清楚、工整，对不同文字文本投标文件的解释发生异议的，以中文文本为准。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5、投标文件的效力</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投标文件的启用，按先后顺位分别为电子投标文件、以</w:t>
      </w:r>
      <w:r>
        <w:rPr>
          <w:rFonts w:hint="eastAsia" w:ascii="宋体" w:hAnsi="宋体" w:cs="宋体"/>
          <w:color w:val="auto"/>
          <w:kern w:val="0"/>
          <w:szCs w:val="21"/>
          <w:highlight w:val="none"/>
        </w:rPr>
        <w:t>U盘或光盘存储的电子</w:t>
      </w:r>
      <w:r>
        <w:rPr>
          <w:rFonts w:hint="eastAsia" w:ascii="宋体" w:hAnsi="宋体" w:cs="宋体"/>
          <w:color w:val="auto"/>
          <w:szCs w:val="21"/>
          <w:highlight w:val="none"/>
        </w:rPr>
        <w:t>备份投标文件。在下一顺位的投标文件启用时，前一顺位的投标文件自动失效。</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电子投标文件未能按时解密，供应商提供了电子备份投标文件的，以电子备份投标文件作为依据，否则视为投标</w:t>
      </w:r>
      <w:r>
        <w:rPr>
          <w:rFonts w:hint="eastAsia" w:ascii="宋体" w:hAnsi="宋体" w:cs="宋体"/>
          <w:color w:val="auto"/>
          <w:szCs w:val="21"/>
          <w:highlight w:val="none"/>
          <w:lang w:val="en-US" w:eastAsia="zh-CN"/>
        </w:rPr>
        <w:t>无效</w:t>
      </w:r>
      <w:r>
        <w:rPr>
          <w:rFonts w:hint="eastAsia" w:ascii="宋体" w:hAnsi="宋体" w:cs="宋体"/>
          <w:color w:val="auto"/>
          <w:szCs w:val="21"/>
          <w:highlight w:val="none"/>
        </w:rPr>
        <w:t>。电子投标文件已按时解密的，电子备份投标文件自动失效。</w:t>
      </w:r>
    </w:p>
    <w:p>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八、投标文件的组成、份数、制作</w:t>
      </w:r>
    </w:p>
    <w:p>
      <w:pPr>
        <w:snapToGrid w:val="0"/>
        <w:spacing w:line="40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1、投标文件的组成：</w:t>
      </w:r>
    </w:p>
    <w:p>
      <w:pPr>
        <w:snapToGrid w:val="0"/>
        <w:spacing w:line="400" w:lineRule="exact"/>
        <w:ind w:firstLine="413" w:firstLineChars="196"/>
        <w:rPr>
          <w:rFonts w:hint="eastAsia" w:ascii="宋体" w:hAnsi="宋体" w:cs="宋体"/>
          <w:b/>
          <w:color w:val="auto"/>
          <w:szCs w:val="21"/>
          <w:highlight w:val="none"/>
        </w:rPr>
      </w:pPr>
      <w:bookmarkStart w:id="2" w:name="_Hlk23147633"/>
      <w:bookmarkStart w:id="3" w:name="_Hlk23150950"/>
      <w:r>
        <w:rPr>
          <w:rFonts w:hint="eastAsia" w:ascii="宋体" w:hAnsi="宋体" w:cs="宋体"/>
          <w:b/>
          <w:color w:val="auto"/>
          <w:szCs w:val="21"/>
          <w:highlight w:val="none"/>
        </w:rPr>
        <w:t>A</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第一册：资格文件</w:t>
      </w:r>
    </w:p>
    <w:p>
      <w:pPr>
        <w:spacing w:line="400" w:lineRule="exact"/>
        <w:ind w:firstLine="420" w:firstLineChars="200"/>
        <w:rPr>
          <w:rFonts w:hint="eastAsia" w:ascii="宋体" w:hAnsi="宋体" w:cs="宋体"/>
          <w:color w:val="auto"/>
          <w:szCs w:val="21"/>
          <w:highlight w:val="none"/>
        </w:rPr>
      </w:pPr>
      <w:bookmarkStart w:id="4" w:name="_Hlk4309479"/>
      <w:bookmarkStart w:id="5" w:name="_Hlk39154056"/>
      <w:r>
        <w:rPr>
          <w:rFonts w:hint="eastAsia" w:ascii="宋体" w:hAnsi="宋体" w:cs="宋体"/>
          <w:color w:val="auto"/>
          <w:szCs w:val="21"/>
          <w:highlight w:val="none"/>
        </w:rPr>
        <w:t>A1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关于资格的承诺函；</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A2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营业执照副本（或事业法人登记证副本或其他登记证明材料）</w:t>
      </w:r>
      <w:r>
        <w:rPr>
          <w:rFonts w:hint="eastAsia" w:ascii="宋体" w:hAnsi="宋体" w:cs="宋体"/>
          <w:color w:val="auto"/>
          <w:szCs w:val="21"/>
          <w:highlight w:val="none"/>
          <w:lang w:eastAsia="zh-CN"/>
        </w:rPr>
        <w:t>扫描件</w:t>
      </w:r>
      <w:r>
        <w:rPr>
          <w:rFonts w:hint="eastAsia" w:ascii="宋体" w:hAnsi="宋体" w:cs="宋体"/>
          <w:color w:val="auto"/>
          <w:szCs w:val="21"/>
          <w:highlight w:val="none"/>
          <w:lang w:val="en-US" w:eastAsia="zh-CN"/>
        </w:rPr>
        <w:t>或电子营业执照</w:t>
      </w:r>
      <w:r>
        <w:rPr>
          <w:rFonts w:hint="eastAsia" w:ascii="宋体" w:hAnsi="宋体" w:cs="宋体"/>
          <w:color w:val="auto"/>
          <w:szCs w:val="21"/>
          <w:highlight w:val="none"/>
        </w:rPr>
        <w:t>加盖供应商公章（供应商如果有名称变更的，应提供由行政主管部门出具的变更证明文件</w:t>
      </w:r>
      <w:r>
        <w:rPr>
          <w:rFonts w:hint="eastAsia" w:ascii="宋体" w:hAnsi="宋体" w:cs="宋体"/>
          <w:color w:val="auto"/>
          <w:szCs w:val="21"/>
          <w:highlight w:val="none"/>
          <w:lang w:eastAsia="zh-CN"/>
        </w:rPr>
        <w:t>扫描件</w:t>
      </w:r>
      <w:r>
        <w:rPr>
          <w:rFonts w:hint="eastAsia" w:ascii="宋体" w:hAnsi="宋体" w:cs="宋体"/>
          <w:color w:val="auto"/>
          <w:szCs w:val="21"/>
          <w:highlight w:val="none"/>
        </w:rPr>
        <w:t>加盖供应商公章）。</w:t>
      </w:r>
    </w:p>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B</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第二册：商务和技术文件</w:t>
      </w:r>
    </w:p>
    <w:bookmarkEnd w:id="4"/>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B1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投标书；</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B2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法定代表人身份证明；</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B3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法定代表人授权书（投标文件由授权代表签字的须提供）；</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B4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供应商一般情况表；</w:t>
      </w:r>
    </w:p>
    <w:p>
      <w:pPr>
        <w:spacing w:line="400" w:lineRule="exact"/>
        <w:ind w:firstLine="420" w:firstLineChars="200"/>
        <w:rPr>
          <w:rFonts w:hint="eastAsia" w:ascii="宋体" w:hAnsi="宋体" w:eastAsia="宋体" w:cs="宋体"/>
          <w:color w:val="auto"/>
          <w:szCs w:val="21"/>
          <w:highlight w:val="none"/>
        </w:rPr>
      </w:pPr>
      <w:bookmarkStart w:id="6" w:name="_Hlk37403535"/>
      <w:r>
        <w:rPr>
          <w:rFonts w:hint="eastAsia" w:ascii="宋体" w:hAnsi="宋体" w:eastAsia="宋体" w:cs="宋体"/>
          <w:color w:val="auto"/>
          <w:szCs w:val="21"/>
          <w:highlight w:val="none"/>
        </w:rPr>
        <w:t>B5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商务条款响应表；</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B6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合同条款响应表；</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B7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技术条款响应表；</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B8</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投标人业绩、体系认证、车辆投入证明材料；</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B9</w:t>
      </w:r>
      <w:r>
        <w:rPr>
          <w:rFonts w:hint="eastAsia" w:ascii="宋体" w:hAnsi="宋体" w:eastAsia="宋体" w:cs="宋体"/>
          <w:color w:val="auto"/>
          <w:szCs w:val="21"/>
          <w:highlight w:val="none"/>
          <w:lang w:val="en-US" w:eastAsia="zh-CN"/>
        </w:rPr>
        <w:t>.技术</w:t>
      </w:r>
      <w:r>
        <w:rPr>
          <w:rFonts w:hint="eastAsia" w:ascii="宋体" w:hAnsi="宋体" w:eastAsia="宋体" w:cs="宋体"/>
          <w:color w:val="auto"/>
          <w:szCs w:val="21"/>
          <w:highlight w:val="none"/>
        </w:rPr>
        <w:t>服务方案；</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B</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第三章“评标办法及标准”中“商务和技术评分表”要求提供的其他资料（如有需提供）；</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B</w:t>
      </w:r>
      <w:r>
        <w:rPr>
          <w:rFonts w:hint="eastAsia" w:ascii="宋体" w:hAnsi="宋体" w:cs="宋体"/>
          <w:color w:val="auto"/>
          <w:szCs w:val="21"/>
          <w:highlight w:val="none"/>
          <w:lang w:val="en-US" w:eastAsia="zh-CN"/>
        </w:rPr>
        <w:t>1</w:t>
      </w:r>
      <w:r>
        <w:rPr>
          <w:rFonts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供应商认为需要的其他资料（如有需提供）。</w:t>
      </w:r>
    </w:p>
    <w:bookmarkEnd w:id="6"/>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“商务和技术文件”中不得出现涉及投标价格的内容，否则作无效标处理。</w:t>
      </w:r>
    </w:p>
    <w:bookmarkEnd w:id="2"/>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C</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第三册：报价文件</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C1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开标一览表；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C2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分项报价表；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C3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中小企业声明函；</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C4</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残疾人福利性单位声明函；</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C</w:t>
      </w:r>
      <w:r>
        <w:rPr>
          <w:rFonts w:ascii="宋体" w:hAnsi="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供应商认为需要的其他资料（如有需提供）。</w:t>
      </w:r>
    </w:p>
    <w:bookmarkEnd w:id="3"/>
    <w:bookmarkEnd w:id="5"/>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2、投标文件的份数：</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本项目实行网上投标，供应商应准备以下投标文件：</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（1）上传到政府采购云平台的电子投标文件（含资格文件、商务和技术文件、报价文件）1份。</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（2）以U盘或光盘存储的电子备份投标文件（含资格文件、商务和技术文件、报价文件）1份。</w:t>
      </w:r>
    </w:p>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供应商应对投标文件编制目录和评分索引表以方便查询。</w:t>
      </w:r>
    </w:p>
    <w:p>
      <w:pPr>
        <w:adjustRightInd w:val="0"/>
        <w:snapToGrid w:val="0"/>
        <w:spacing w:line="400" w:lineRule="exact"/>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投标文件制作：</w:t>
      </w:r>
    </w:p>
    <w:p>
      <w:pPr>
        <w:adjustRightInd w:val="0"/>
        <w:snapToGrid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应按照本项目招标文件和政府采购云平台的要求编制、加密并递交投标文件。供应商在使用系统进行投标的过程中遇到涉及平台使用的任何问题，可致电政府采购云平台技术支持热线咨询，联系方式：4008817190。</w:t>
      </w:r>
    </w:p>
    <w:p>
      <w:pPr>
        <w:adjustRightInd w:val="0"/>
        <w:snapToGrid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（2）供应商通过政府采购云平台电子投标工具制作投标文件。电子投标工具请供应商自行前往浙江政府采购网下载并安装。</w:t>
      </w:r>
    </w:p>
    <w:p>
      <w:p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（3）以U盘或光盘存储的电子备份投标文件1份，即按“项目采购</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电子招投标操作指南”制作的电子备份文件，以用于异常情况处理。</w:t>
      </w:r>
    </w:p>
    <w:p>
      <w:pPr>
        <w:spacing w:line="400" w:lineRule="exact"/>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4）开标前准备：各供应商应在投标截止时间前确保成为浙江政府采购网正式注册入库供应商，并完成CA数字证书办理。因未注册入库、未办理CA数字证书等原因造成无法投标或投标失败等后果由供应商自行承担。完成CA数字证书办理预计一周左右，请供应商自行把握时间。</w:t>
      </w:r>
    </w:p>
    <w:p>
      <w:pPr>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九、投标文件的签署盖章</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1、招标文件第七章“附件”中标明加盖单位公章或签字的，加盖单位公章部分采用CA签章，签字部分由法定代表人或授权代表签字后扫描上传。授权代表签字的，还应附法定代表人签署的法定代表人授权书。</w:t>
      </w:r>
    </w:p>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十、投标文件的密封和标记</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1、电子投标文件：供应商应根据“项目采购</w:t>
      </w:r>
      <w:r>
        <w:rPr>
          <w:rFonts w:hint="eastAsia" w:ascii="宋体" w:hAnsi="宋体" w:cs="宋体"/>
          <w:color w:val="auto"/>
          <w:szCs w:val="21"/>
          <w:highlight w:val="none"/>
          <w:lang w:eastAsia="zh-CN"/>
        </w:rPr>
        <w:t>－</w:t>
      </w:r>
      <w:r>
        <w:rPr>
          <w:rFonts w:hint="eastAsia" w:ascii="宋体" w:hAnsi="宋体" w:cs="宋体"/>
          <w:color w:val="auto"/>
          <w:szCs w:val="21"/>
          <w:highlight w:val="none"/>
        </w:rPr>
        <w:t>电子招投标操作指南”及本招标文件规定的格式和顺序编制电子投标文件并进行关联定位。</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kern w:val="0"/>
          <w:szCs w:val="21"/>
          <w:highlight w:val="none"/>
        </w:rPr>
        <w:t>以U盘或光盘存储的电子备份投标文件</w:t>
      </w:r>
      <w:r>
        <w:rPr>
          <w:rFonts w:hint="eastAsia" w:ascii="宋体" w:hAnsi="宋体" w:cs="宋体"/>
          <w:color w:val="auto"/>
          <w:szCs w:val="21"/>
          <w:highlight w:val="none"/>
        </w:rPr>
        <w:t>用封袋密封后递交。</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kern w:val="0"/>
          <w:szCs w:val="21"/>
          <w:highlight w:val="none"/>
        </w:rPr>
        <w:t>电子备份投标文件须在</w:t>
      </w:r>
      <w:r>
        <w:rPr>
          <w:rFonts w:hint="eastAsia" w:ascii="宋体" w:hAnsi="宋体" w:cs="宋体"/>
          <w:color w:val="auto"/>
          <w:szCs w:val="21"/>
          <w:highlight w:val="none"/>
        </w:rPr>
        <w:t>封袋上分别注明：</w:t>
      </w:r>
    </w:p>
    <w:p>
      <w:pPr>
        <w:tabs>
          <w:tab w:val="left" w:pos="900"/>
        </w:tabs>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（1）注    明：</w:t>
      </w:r>
      <w:r>
        <w:rPr>
          <w:rFonts w:hint="eastAsia" w:ascii="宋体" w:hAnsi="宋体" w:cs="宋体"/>
          <w:color w:val="auto"/>
          <w:szCs w:val="21"/>
          <w:highlight w:val="none"/>
          <w:u w:val="single"/>
        </w:rPr>
        <w:t xml:space="preserve">    “电子备份投标文件”    </w:t>
      </w:r>
      <w:r>
        <w:rPr>
          <w:rFonts w:hint="eastAsia" w:ascii="宋体" w:hAnsi="宋体" w:cs="宋体"/>
          <w:color w:val="auto"/>
          <w:szCs w:val="21"/>
          <w:highlight w:val="none"/>
        </w:rPr>
        <w:t>；</w:t>
      </w:r>
    </w:p>
    <w:p>
      <w:pPr>
        <w:tabs>
          <w:tab w:val="left" w:pos="900"/>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（2）项目编号：</w:t>
      </w:r>
      <w:r>
        <w:rPr>
          <w:rFonts w:hint="eastAsia" w:ascii="宋体" w:hAnsi="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u w:val="single"/>
          <w:lang w:eastAsia="zh-CN"/>
        </w:rPr>
        <w:fldChar w:fldCharType="begin"/>
      </w:r>
      <w:r>
        <w:rPr>
          <w:rFonts w:hint="eastAsia" w:ascii="宋体" w:hAnsi="宋体" w:eastAsia="宋体" w:cs="宋体"/>
          <w:color w:val="auto"/>
          <w:szCs w:val="21"/>
          <w:highlight w:val="none"/>
          <w:u w:val="single"/>
          <w:lang w:eastAsia="zh-CN"/>
        </w:rPr>
        <w:instrText xml:space="preserve"> HYPERLINK "https://pay.zcygov.cn/purchaseplan_front/" \l "/plan/list/detail?id=1000000000007569839&amp;encrypt=1f2544fa333427dcec2e1c5237868c71" \o "CXZFCG[2022]658号" \t "https://www.zcygov.cn/bid-inviting/purchaseFileMake/announcementInfo/_blank" </w:instrText>
      </w:r>
      <w:r>
        <w:rPr>
          <w:rFonts w:hint="eastAsia" w:ascii="宋体" w:hAnsi="宋体" w:eastAsia="宋体" w:cs="宋体"/>
          <w:color w:val="auto"/>
          <w:szCs w:val="21"/>
          <w:highlight w:val="none"/>
          <w:u w:val="single"/>
          <w:lang w:eastAsia="zh-CN"/>
        </w:rPr>
        <w:fldChar w:fldCharType="separate"/>
      </w:r>
      <w:r>
        <w:rPr>
          <w:rFonts w:hint="eastAsia" w:ascii="宋体" w:hAnsi="宋体" w:eastAsia="宋体" w:cs="宋体"/>
          <w:color w:val="auto"/>
          <w:szCs w:val="21"/>
          <w:highlight w:val="none"/>
          <w:u w:val="single"/>
          <w:lang w:eastAsia="zh-CN"/>
        </w:rPr>
        <w:t>CXZFCG[2022]1350号</w:t>
      </w:r>
      <w:r>
        <w:rPr>
          <w:rFonts w:hint="eastAsia" w:ascii="宋体" w:hAnsi="宋体" w:eastAsia="宋体" w:cs="宋体"/>
          <w:color w:val="auto"/>
          <w:szCs w:val="21"/>
          <w:highlight w:val="none"/>
          <w:u w:val="single"/>
          <w:lang w:eastAsia="zh-CN"/>
        </w:rPr>
        <w:fldChar w:fldCharType="end"/>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tabs>
          <w:tab w:val="left" w:pos="900"/>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（3）项目名称：</w:t>
      </w:r>
      <w:r>
        <w:rPr>
          <w:rFonts w:hint="eastAsia" w:ascii="宋体" w:hAnsi="宋体" w:cs="宋体"/>
          <w:color w:val="auto"/>
          <w:szCs w:val="21"/>
          <w:highlight w:val="none"/>
          <w:u w:val="single"/>
          <w:lang w:eastAsia="zh-CN"/>
        </w:rPr>
        <w:t>慈溪市崇寿镇2022年度保洁服务</w:t>
      </w:r>
      <w:r>
        <w:rPr>
          <w:rFonts w:hint="eastAsia" w:ascii="宋体" w:hAnsi="宋体" w:cs="宋体"/>
          <w:color w:val="auto"/>
          <w:szCs w:val="21"/>
          <w:highlight w:val="none"/>
          <w:u w:val="single"/>
        </w:rPr>
        <w:t xml:space="preserve">采购项目  </w:t>
      </w:r>
      <w:r>
        <w:rPr>
          <w:rFonts w:hint="eastAsia" w:ascii="宋体" w:hAnsi="宋体" w:cs="宋体"/>
          <w:color w:val="auto"/>
          <w:szCs w:val="21"/>
          <w:highlight w:val="none"/>
        </w:rPr>
        <w:t>；</w:t>
      </w:r>
    </w:p>
    <w:p>
      <w:pPr>
        <w:tabs>
          <w:tab w:val="left" w:pos="900"/>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（4）所投标项（如有多个标项须填写）：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tabs>
          <w:tab w:val="left" w:pos="900"/>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2022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14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9:30</w:t>
      </w:r>
      <w:r>
        <w:rPr>
          <w:rFonts w:hint="eastAsia" w:ascii="宋体" w:hAnsi="宋体" w:cs="宋体"/>
          <w:color w:val="auto"/>
          <w:szCs w:val="21"/>
          <w:highlight w:val="none"/>
        </w:rPr>
        <w:t>（规定的开标日期和时间）前不准启封；</w:t>
      </w:r>
    </w:p>
    <w:p>
      <w:pPr>
        <w:tabs>
          <w:tab w:val="left" w:pos="900"/>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（6）供应商的名称：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供应商须在包封上加盖供应商公章或由其法定代表人（或授权代表）签字。</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供应商未按上述要求标记的，采购人（代理机构）不承担错放或提前开封的责任。</w:t>
      </w:r>
    </w:p>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十一、投标文件的递交</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1、投标文件递交的具体要求：</w:t>
      </w:r>
    </w:p>
    <w:p>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（1）供应商应于提交投标文件截止时间前将电子投标文件上传到政府采购云平台（</w:t>
      </w:r>
      <w:r>
        <w:rPr>
          <w:rFonts w:hint="eastAsia" w:ascii="宋体" w:hAnsi="宋体" w:cs="宋体"/>
          <w:b/>
          <w:bCs/>
          <w:color w:val="auto"/>
          <w:kern w:val="0"/>
          <w:szCs w:val="21"/>
          <w:highlight w:val="none"/>
        </w:rPr>
        <w:fldChar w:fldCharType="begin"/>
      </w:r>
      <w:r>
        <w:rPr>
          <w:rFonts w:hint="eastAsia" w:ascii="宋体" w:hAnsi="宋体" w:cs="宋体"/>
          <w:b/>
          <w:bCs/>
          <w:color w:val="auto"/>
          <w:kern w:val="0"/>
          <w:szCs w:val="21"/>
          <w:highlight w:val="none"/>
        </w:rPr>
        <w:instrText xml:space="preserve"> HYPERLINK "http://www.zcygov.cn" </w:instrText>
      </w:r>
      <w:r>
        <w:rPr>
          <w:rFonts w:hint="eastAsia" w:ascii="宋体" w:hAnsi="宋体" w:cs="宋体"/>
          <w:b/>
          <w:bCs/>
          <w:color w:val="auto"/>
          <w:kern w:val="0"/>
          <w:szCs w:val="21"/>
          <w:highlight w:val="none"/>
        </w:rPr>
        <w:fldChar w:fldCharType="separate"/>
      </w:r>
      <w:r>
        <w:rPr>
          <w:rStyle w:val="53"/>
          <w:rFonts w:hint="eastAsia" w:ascii="宋体" w:hAnsi="宋体" w:cs="宋体"/>
          <w:b/>
          <w:bCs/>
          <w:color w:val="auto"/>
          <w:kern w:val="0"/>
          <w:highlight w:val="none"/>
          <w:u w:val="none"/>
        </w:rPr>
        <w:t>www.zcygov.cn</w:t>
      </w:r>
      <w:r>
        <w:rPr>
          <w:rFonts w:hint="eastAsia" w:ascii="宋体" w:hAnsi="宋体" w:cs="宋体"/>
          <w:b/>
          <w:bCs/>
          <w:color w:val="auto"/>
          <w:kern w:val="0"/>
          <w:szCs w:val="21"/>
          <w:highlight w:val="none"/>
        </w:rPr>
        <w:fldChar w:fldCharType="end"/>
      </w:r>
      <w:r>
        <w:rPr>
          <w:rFonts w:hint="eastAsia" w:ascii="宋体" w:hAnsi="宋体" w:cs="宋体"/>
          <w:b/>
          <w:bCs/>
          <w:color w:val="auto"/>
          <w:kern w:val="0"/>
          <w:szCs w:val="21"/>
          <w:highlight w:val="none"/>
        </w:rPr>
        <w:t>），并</w:t>
      </w:r>
      <w:r>
        <w:rPr>
          <w:rFonts w:hint="eastAsia" w:ascii="宋体" w:hAnsi="宋体" w:cs="宋体"/>
          <w:b/>
          <w:bCs/>
          <w:color w:val="auto"/>
          <w:szCs w:val="21"/>
          <w:highlight w:val="none"/>
        </w:rPr>
        <w:t>应于提交投标文件截止时间</w:t>
      </w:r>
      <w:r>
        <w:rPr>
          <w:rFonts w:hint="eastAsia" w:ascii="宋体" w:hAnsi="宋体" w:cs="宋体"/>
          <w:b/>
          <w:bCs/>
          <w:color w:val="auto"/>
          <w:kern w:val="0"/>
          <w:szCs w:val="21"/>
          <w:highlight w:val="none"/>
        </w:rPr>
        <w:t>前，将以U盘或光盘存储的电子备份投标文件密封后按以下方式送达：</w:t>
      </w:r>
    </w:p>
    <w:p>
      <w:pPr>
        <w:keepNext w:val="0"/>
        <w:keepLines w:val="0"/>
        <w:pageBreakBefore w:val="0"/>
        <w:widowControl w:val="0"/>
        <w:kinsoku/>
        <w:wordWrap/>
        <w:overflowPunct/>
        <w:topLinePunct w:val="0"/>
        <w:autoSpaceDE/>
        <w:autoSpaceDN/>
        <w:bidi w:val="0"/>
        <w:snapToGrid w:val="0"/>
        <w:spacing w:line="360" w:lineRule="exact"/>
        <w:ind w:firstLine="422" w:firstLineChars="200"/>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邮寄送达地址：</w:t>
      </w:r>
      <w:r>
        <w:rPr>
          <w:rFonts w:hint="eastAsia" w:ascii="宋体" w:hAnsi="宋体" w:cs="宋体"/>
          <w:b/>
          <w:bCs/>
          <w:color w:val="auto"/>
          <w:kern w:val="0"/>
          <w:szCs w:val="21"/>
          <w:highlight w:val="none"/>
          <w:lang w:eastAsia="zh-CN"/>
        </w:rPr>
        <w:t>宁波永敬工程造价咨询有限公司</w:t>
      </w: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eastAsia="zh-CN"/>
        </w:rPr>
        <w:t>慈溪市孙塘南路4号永敬商务楼2楼</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lang w:val="en-US" w:eastAsia="zh-CN"/>
        </w:rPr>
        <w:t>15</w:t>
      </w:r>
      <w:r>
        <w:rPr>
          <w:rFonts w:hint="eastAsia" w:ascii="宋体" w:hAnsi="宋体" w:cs="宋体"/>
          <w:b/>
          <w:bCs/>
          <w:color w:val="auto"/>
          <w:kern w:val="0"/>
          <w:szCs w:val="21"/>
          <w:highlight w:val="none"/>
        </w:rPr>
        <w:t>室），联系方式：</w:t>
      </w:r>
      <w:r>
        <w:rPr>
          <w:rFonts w:hint="eastAsia" w:ascii="宋体" w:hAnsi="宋体" w:cs="宋体"/>
          <w:b/>
          <w:bCs/>
          <w:color w:val="auto"/>
          <w:kern w:val="0"/>
          <w:szCs w:val="21"/>
          <w:highlight w:val="none"/>
          <w:lang w:val="en-US" w:eastAsia="zh-CN"/>
        </w:rPr>
        <w:t>侯</w:t>
      </w:r>
      <w:r>
        <w:rPr>
          <w:rFonts w:hint="eastAsia" w:ascii="宋体" w:hAnsi="宋体" w:cs="宋体"/>
          <w:b/>
          <w:bCs/>
          <w:color w:val="auto"/>
          <w:kern w:val="0"/>
          <w:szCs w:val="21"/>
          <w:highlight w:val="none"/>
          <w:lang w:val="en-US" w:eastAsia="zh-CN"/>
        </w:rPr>
        <w:t>维雁</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lang w:val="en-US" w:eastAsia="zh-CN"/>
        </w:rPr>
        <w:t>57463898331</w:t>
      </w:r>
      <w:r>
        <w:rPr>
          <w:rFonts w:hint="eastAsia" w:ascii="宋体" w:hAnsi="宋体" w:cs="宋体"/>
          <w:b/>
          <w:bCs/>
          <w:color w:val="auto"/>
          <w:kern w:val="0"/>
          <w:szCs w:val="21"/>
          <w:highlight w:val="none"/>
        </w:rPr>
        <w:t>。供应商邮寄后须将邮件单号发送至代理机构电子邮箱（电子邮箱：</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lang w:val="en-US" w:eastAsia="zh-CN"/>
        </w:rPr>
        <w:t>62153643</w:t>
      </w:r>
      <w:r>
        <w:rPr>
          <w:rFonts w:hint="eastAsia" w:ascii="宋体" w:hAnsi="宋体" w:cs="宋体"/>
          <w:b/>
          <w:bCs/>
          <w:color w:val="auto"/>
          <w:kern w:val="0"/>
          <w:szCs w:val="21"/>
          <w:highlight w:val="none"/>
        </w:rPr>
        <w:t>@qq.com），并致电采购代理机构，以便采购代理机构查询物流记录。各供应商应当确保电子备份投标文件的密封包装在邮寄过程保持完好，并在邮寄包裹上注明项目名称、项目编号，因邮寄造成电子备份投标文件密封破损而不符合竞争性招标文件对投标文件的密封要求</w:t>
      </w:r>
      <w:r>
        <w:rPr>
          <w:rFonts w:hint="eastAsia" w:ascii="宋体" w:hAnsi="宋体" w:cs="宋体"/>
          <w:b/>
          <w:bCs/>
          <w:color w:val="auto"/>
          <w:kern w:val="0"/>
          <w:szCs w:val="21"/>
          <w:highlight w:val="none"/>
          <w:lang w:eastAsia="zh-CN"/>
        </w:rPr>
        <w:t>或</w:t>
      </w:r>
      <w:r>
        <w:rPr>
          <w:rFonts w:hint="eastAsia" w:ascii="宋体" w:hAnsi="宋体" w:cs="宋体"/>
          <w:b/>
          <w:bCs/>
          <w:color w:val="auto"/>
          <w:kern w:val="0"/>
          <w:szCs w:val="21"/>
          <w:highlight w:val="none"/>
        </w:rPr>
        <w:t>邮寄过程中导致电子备份投标文件未能在投标截止时间</w:t>
      </w:r>
      <w:r>
        <w:rPr>
          <w:rFonts w:hint="eastAsia" w:ascii="宋体" w:hAnsi="宋体" w:cs="宋体"/>
          <w:b/>
          <w:bCs/>
          <w:color w:val="auto"/>
          <w:kern w:val="0"/>
          <w:szCs w:val="21"/>
          <w:highlight w:val="none"/>
          <w:lang w:eastAsia="zh-CN"/>
        </w:rPr>
        <w:t>之前</w:t>
      </w:r>
      <w:r>
        <w:rPr>
          <w:rFonts w:hint="eastAsia" w:ascii="宋体" w:hAnsi="宋体" w:cs="宋体"/>
          <w:b/>
          <w:bCs/>
          <w:color w:val="auto"/>
          <w:kern w:val="0"/>
          <w:szCs w:val="21"/>
          <w:highlight w:val="none"/>
        </w:rPr>
        <w:t>送达的，代理机构将拒绝其投标文件。各供应商自行考虑邮寄在途时间，投标文件送达时间以代理机构工作人员实际签收时间为准。</w:t>
      </w:r>
    </w:p>
    <w:p>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cs="宋体"/>
          <w:color w:val="auto"/>
          <w:szCs w:val="21"/>
          <w:highlight w:val="none"/>
        </w:rPr>
      </w:pPr>
      <w:r>
        <w:rPr>
          <w:rFonts w:hint="eastAsia" w:ascii="宋体" w:hAnsi="宋体" w:cs="宋体"/>
          <w:b/>
          <w:bCs/>
          <w:color w:val="auto"/>
          <w:kern w:val="0"/>
          <w:szCs w:val="21"/>
          <w:highlight w:val="none"/>
        </w:rPr>
        <w:t>（2）疫情防控期间，不要求供应商人员到场参加现场采购活动</w:t>
      </w:r>
      <w:r>
        <w:rPr>
          <w:rFonts w:hint="eastAsia" w:ascii="宋体" w:hAnsi="宋体" w:cs="宋体"/>
          <w:color w:val="auto"/>
          <w:kern w:val="0"/>
          <w:szCs w:val="21"/>
          <w:highlight w:val="none"/>
        </w:rPr>
        <w:t>。</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2、供应商未按上述要求密封的电子备份投标文件，代理机构不予受理。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3、逾期送达的或者未送达指定地点的，代理机构不予受理。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4、投标文件的补充、修改</w:t>
      </w:r>
    </w:p>
    <w:p>
      <w:pPr>
        <w:spacing w:line="400" w:lineRule="exact"/>
        <w:ind w:firstLine="420" w:firstLineChars="200"/>
        <w:rPr>
          <w:rFonts w:hint="eastAsia" w:ascii="宋体" w:hAnsi="宋体" w:cs="宋体"/>
          <w:color w:val="auto"/>
          <w:szCs w:val="21"/>
          <w:highlight w:val="none"/>
          <w:lang w:val="en"/>
        </w:rPr>
      </w:pPr>
      <w:r>
        <w:rPr>
          <w:rFonts w:hint="eastAsia" w:ascii="宋体" w:hAnsi="宋体" w:cs="宋体"/>
          <w:color w:val="auto"/>
          <w:szCs w:val="21"/>
          <w:highlight w:val="none"/>
        </w:rPr>
        <w:t>投标截止时间前，供应商可以对递交的投标文件进行补充、修改，</w:t>
      </w:r>
      <w:r>
        <w:rPr>
          <w:rFonts w:hint="eastAsia" w:ascii="宋体" w:hAnsi="宋体" w:cs="宋体"/>
          <w:color w:val="auto"/>
          <w:szCs w:val="21"/>
          <w:highlight w:val="none"/>
          <w:lang w:val="en"/>
        </w:rPr>
        <w:t>补充、修改</w:t>
      </w:r>
      <w:r>
        <w:rPr>
          <w:rFonts w:hint="eastAsia" w:ascii="宋体" w:hAnsi="宋体" w:cs="宋体"/>
          <w:color w:val="auto"/>
          <w:szCs w:val="21"/>
          <w:highlight w:val="none"/>
        </w:rPr>
        <w:t>电子投标文件</w:t>
      </w:r>
      <w:r>
        <w:rPr>
          <w:rFonts w:hint="eastAsia" w:ascii="宋体" w:hAnsi="宋体" w:cs="宋体"/>
          <w:color w:val="auto"/>
          <w:szCs w:val="21"/>
          <w:highlight w:val="none"/>
          <w:lang w:val="en"/>
        </w:rPr>
        <w:t>的，应当先行撤回原文件，补充、修改后重新上传，电子备份投标文件也应重新制作。</w:t>
      </w:r>
      <w:r>
        <w:rPr>
          <w:rFonts w:hint="eastAsia" w:ascii="宋体" w:hAnsi="宋体" w:cs="宋体"/>
          <w:color w:val="auto"/>
          <w:szCs w:val="21"/>
          <w:highlight w:val="none"/>
        </w:rPr>
        <w:t>在投标截止时间之后，供应商不得对其投标文件进行补充、修改。投标截止时间之后供应商要求撤销投标文件的，应向采购人提交正式文件。</w:t>
      </w:r>
    </w:p>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十二、开标</w:t>
      </w:r>
    </w:p>
    <w:p>
      <w:pPr>
        <w:spacing w:line="40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采购人在招标文件规定的时间和地点公开开标，</w:t>
      </w:r>
      <w:r>
        <w:rPr>
          <w:rFonts w:hint="eastAsia" w:ascii="宋体" w:hAnsi="宋体" w:eastAsia="宋体" w:cs="宋体"/>
          <w:color w:val="auto"/>
          <w:szCs w:val="21"/>
          <w:highlight w:val="none"/>
          <w:lang w:val="en-US" w:eastAsia="zh-CN"/>
        </w:rPr>
        <w:t>本项目为不见面开评标项目，供应商可通过浙江省“电子交易/不见面开评标”学习专题提前进行专题学习，熟悉操作，避免影响采购活动（https://edu.zcygov.cn/luban/e-biding）。</w:t>
      </w:r>
    </w:p>
    <w:p>
      <w:pPr>
        <w:spacing w:line="40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其中在政采云发起视频会议时需要投标人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政采云视频会议目前不支持手机端。</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2、电子投标开标及评审程序：分两阶段开标。</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第一阶段开标（资格文件及商务和技术文件）：</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（1）宣布开标；</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本项目实行网上投标，采用电子投标文件。若供应商参与投标，自行承担投标一切费用。</w:t>
      </w:r>
      <w:r>
        <w:rPr>
          <w:rFonts w:hint="eastAsia" w:ascii="宋体" w:hAnsi="宋体" w:cs="宋体"/>
          <w:color w:val="auto"/>
          <w:szCs w:val="21"/>
          <w:highlight w:val="none"/>
        </w:rPr>
        <w:t>投标截止时间后，供应商登录</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，用“项目采购</w:t>
      </w:r>
      <w:r>
        <w:rPr>
          <w:rFonts w:hint="eastAsia" w:ascii="宋体" w:hAnsi="宋体" w:cs="宋体"/>
          <w:color w:val="auto"/>
          <w:szCs w:val="21"/>
          <w:highlight w:val="none"/>
          <w:lang w:eastAsia="zh-CN"/>
        </w:rPr>
        <w:t>－</w:t>
      </w:r>
      <w:r>
        <w:rPr>
          <w:rFonts w:hint="eastAsia" w:ascii="宋体" w:hAnsi="宋体" w:cs="宋体"/>
          <w:color w:val="auto"/>
          <w:szCs w:val="21"/>
          <w:highlight w:val="none"/>
        </w:rPr>
        <w:t>开标评标”功能对电子投标文件进行在线解密，在线解密电子投标文件时间为开标时间后半小时内。</w:t>
      </w:r>
      <w:r>
        <w:rPr>
          <w:rFonts w:hint="eastAsia" w:ascii="宋体" w:hAnsi="宋体" w:cs="宋体"/>
          <w:bCs/>
          <w:color w:val="auto"/>
          <w:szCs w:val="21"/>
          <w:highlight w:val="none"/>
        </w:rPr>
        <w:t>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w:t>
      </w:r>
      <w:r>
        <w:rPr>
          <w:rFonts w:hint="eastAsia" w:ascii="宋体" w:hAnsi="宋体" w:cs="宋体"/>
          <w:bCs/>
          <w:color w:val="auto"/>
          <w:szCs w:val="21"/>
          <w:highlight w:val="none"/>
          <w:lang w:val="en-US" w:eastAsia="zh-CN"/>
        </w:rPr>
        <w:t>无效</w:t>
      </w:r>
      <w:r>
        <w:rPr>
          <w:rFonts w:hint="eastAsia" w:ascii="宋体" w:hAnsi="宋体" w:cs="宋体"/>
          <w:bCs/>
          <w:color w:val="auto"/>
          <w:szCs w:val="21"/>
          <w:highlight w:val="none"/>
        </w:rPr>
        <w:t>。</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（3）介绍开标现场的人员情况；</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（4）宣读递交投标文件的供应商名单、开标纪律、应当回避的情形等注意事项；</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（5）按顺序开启“资格文件”、“商务和技术文件”，宣读供应商名称，并做开标记录；</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（6）第一阶段开标记录签字确认；</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（7）告知供应商第二阶段开标的有关事宜；</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（8）第一阶段开标结束。</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休会，评标委员会对“资格文件”、“商务和技术文件”进行评审。</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第二阶段开标（报价文件）：</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宣告第一阶段评审无效供应商名单及理由；</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（2）公布经第一阶段评审符合招标文件要求的供应商的商务和技术得分情况；</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）按第一阶段开标顺序在政府采购云平台开启除第一阶段无效标外的供应商的“报价文件”，宣读投标文件中“开标一览表”内容，以及采购人认为必要的其他内容与记录，并做开标记录；</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（4）第二阶段开标记录签字确认；</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休会，评标委员会对“报价文件”进行评审。</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（5）在</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公布中标候选人名单及采购人最终确定中标供应商名单的时间和公告方式等；</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（6）第二阶段开标结束。</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3、特别说明：</w:t>
      </w:r>
      <w:r>
        <w:rPr>
          <w:rFonts w:hint="eastAsia" w:ascii="宋体" w:hAnsi="宋体" w:cs="宋体"/>
          <w:b/>
          <w:bCs/>
          <w:color w:val="auto"/>
          <w:kern w:val="0"/>
          <w:szCs w:val="21"/>
          <w:highlight w:val="none"/>
        </w:rPr>
        <w:t>政府采购云平台</w:t>
      </w:r>
      <w:r>
        <w:rPr>
          <w:rFonts w:hint="eastAsia" w:ascii="宋体" w:hAnsi="宋体" w:cs="宋体"/>
          <w:b/>
          <w:bCs/>
          <w:color w:val="auto"/>
          <w:szCs w:val="21"/>
          <w:highlight w:val="none"/>
        </w:rPr>
        <w:t>如对电子化开标及评审程序有调整的，按调整后的程序操作</w:t>
      </w:r>
      <w:r>
        <w:rPr>
          <w:rFonts w:hint="eastAsia" w:ascii="宋体" w:hAnsi="宋体" w:cs="宋体"/>
          <w:color w:val="auto"/>
          <w:szCs w:val="21"/>
          <w:highlight w:val="none"/>
        </w:rPr>
        <w:t>。</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本项目原则上采用政采云电子投标开标及评审程序，但有</w:t>
      </w:r>
      <w:r>
        <w:rPr>
          <w:rFonts w:hint="eastAsia" w:ascii="宋体" w:hAnsi="宋体" w:cs="宋体"/>
          <w:color w:val="auto"/>
          <w:szCs w:val="21"/>
          <w:highlight w:val="none"/>
          <w:lang w:eastAsia="zh-CN"/>
        </w:rPr>
        <w:t>下列</w:t>
      </w:r>
      <w:r>
        <w:rPr>
          <w:rFonts w:hint="eastAsia" w:ascii="宋体" w:hAnsi="宋体" w:cs="宋体"/>
          <w:color w:val="auto"/>
          <w:szCs w:val="21"/>
          <w:highlight w:val="none"/>
        </w:rPr>
        <w:t>情形之一的，按以下情况处理：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（1）若供应商在规定时间内无法解密或解密失败，代理机构将开启上述供应商递交的</w:t>
      </w:r>
      <w:r>
        <w:rPr>
          <w:rFonts w:hint="eastAsia" w:ascii="宋体" w:hAnsi="宋体" w:cs="宋体"/>
          <w:color w:val="auto"/>
          <w:kern w:val="0"/>
          <w:szCs w:val="21"/>
          <w:highlight w:val="none"/>
        </w:rPr>
        <w:t>以U盘或光盘存储的电子备份投标文件</w:t>
      </w:r>
      <w:r>
        <w:rPr>
          <w:rFonts w:hint="eastAsia" w:ascii="宋体" w:hAnsi="宋体" w:cs="宋体"/>
          <w:color w:val="auto"/>
          <w:szCs w:val="21"/>
          <w:highlight w:val="none"/>
        </w:rPr>
        <w:t>，上传至政采云平台项目采购模块，以完成开标，电子投标文件自动失效。</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（2）采购过程中出现以下情形，导致电子交易平台无法正常运行，或者无法保证电子交易的公平、公正和安全时，采购人（或代理机构）可中止电子交易活动：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电子交易平台发生故障而无法登录访问的；</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电子交易平台应用或数据库出现错误，不能进行正常操作的；</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电子交易平台发现严重安全漏洞，有潜在泄密危险的；</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病毒发作导致不能进行正常操作的； </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其他无法保证电子交易的公平、公正和安全的情况。</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出现前款规定情形，不影响采购公平、公正性的，采购人（或代理机构）可以待上述情形消除后继续组织电子交易活动。</w:t>
      </w:r>
    </w:p>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十三、评标</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1、采购人依据《中华人民共和国政府采购法》、《中华人民共和国政府采购法实施条例》等有关规定组建评标委员会。评标委员会由采购人代表和专家组成，负责本项目的评标工作。</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2、评标活动遵循公开、公平、公正、科学和择优的原则。</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3、评标委员会按照第三章“评标办法及标准”对投标文件进行评审。第三章“评标办法及标准”没有规定的方法、评审因素和标准，不作为评标依据。</w:t>
      </w:r>
    </w:p>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十四、招标文件的澄清和修改</w:t>
      </w:r>
    </w:p>
    <w:p>
      <w:pPr>
        <w:spacing w:line="40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cs="宋体"/>
          <w:color w:val="auto"/>
          <w:szCs w:val="21"/>
          <w:highlight w:val="none"/>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十五、质疑</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1、供应商认为采购文件、采购过程、中标或者成交结果使自己的权益受到损害的，可以在知道或者应知其权益受到损害之日起7个工作日内，以书面形式</w:t>
      </w:r>
      <w:r>
        <w:rPr>
          <w:rFonts w:hint="eastAsia" w:eastAsia="宋体"/>
          <w:color w:val="auto"/>
          <w:sz w:val="21"/>
          <w:szCs w:val="21"/>
          <w:highlight w:val="none"/>
        </w:rPr>
        <w:t>或者通过政采云平台在线</w:t>
      </w:r>
      <w:r>
        <w:rPr>
          <w:rFonts w:hint="eastAsia" w:ascii="宋体" w:hAnsi="宋体" w:cs="宋体"/>
          <w:color w:val="auto"/>
          <w:szCs w:val="21"/>
          <w:highlight w:val="none"/>
        </w:rPr>
        <w:t>向采购人、代理机构提出质疑。供应商应当在法定质疑期内一次性提出针对招标公告、采购文件、开标评标、采购结果等同一采购程序环节的质疑，第二次提出的质疑视为质疑无效，采购人、代理机构将不予受理（对于采购人、代理机构作出的澄清或者修改的内容提出质疑的除外）。</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3、供应商提出质疑应当提交质疑函和必要的证明材料，质疑函应当以书面形式提出，质疑函格式和内容须符合财政部《质疑函范本》要求，供应商可到中国政府采购网自行下载财政部《质疑函范本》。</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供应商质疑实行实名制，质疑函应当署名，供应商为自然人的，应当由本人签字；供应商为法人或者其他组织的，应当由法定代表人、主要负责人，或者其授权代表（指代理人）签字或者盖章，加盖供应商公章；代理人提出质疑的，应当提交供应商签署的授权委托书；以联合体形式参加政府采购活动的，其质疑应当由组成联合体的所有供应商共同提出。</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5、采购人、代理机构接收质疑函的方式：只接收供应商以当面递交、邮寄、传真</w:t>
      </w:r>
      <w:r>
        <w:rPr>
          <w:rFonts w:hint="eastAsia" w:ascii="宋体" w:hAnsi="宋体" w:cs="宋体"/>
          <w:color w:val="auto"/>
          <w:szCs w:val="21"/>
          <w:highlight w:val="none"/>
          <w:lang w:eastAsia="zh-CN"/>
        </w:rPr>
        <w:t>、</w:t>
      </w:r>
      <w:r>
        <w:rPr>
          <w:rFonts w:hint="eastAsia" w:ascii="宋体" w:hAnsi="宋体" w:cs="宋体"/>
          <w:color w:val="auto"/>
          <w:szCs w:val="21"/>
          <w:highlight w:val="none"/>
        </w:rPr>
        <w:t>电子邮件</w:t>
      </w:r>
      <w:r>
        <w:rPr>
          <w:rFonts w:hint="eastAsia" w:ascii="宋体" w:hAnsi="宋体" w:cs="宋体"/>
          <w:color w:val="auto"/>
          <w:szCs w:val="21"/>
          <w:highlight w:val="none"/>
          <w:lang w:val="en-US" w:eastAsia="zh-CN"/>
        </w:rPr>
        <w:t>或通过政采云平台在线</w:t>
      </w:r>
      <w:r>
        <w:rPr>
          <w:rFonts w:hint="eastAsia" w:ascii="宋体" w:hAnsi="宋体" w:cs="宋体"/>
          <w:color w:val="auto"/>
          <w:szCs w:val="21"/>
          <w:highlight w:val="none"/>
        </w:rPr>
        <w:t>方式提出的质疑函，以其他方式提出的质疑不予接收。</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采取邮寄方式的，提出质疑的时间为质疑函原件交邮的时间（以邮戳时间或快递收件时间为准）。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采取传真、电子邮件方式的，供应商应当在传真、电子邮件发出后将质疑函原件邮寄给被质疑人，提出质疑的时间为质疑函原件交邮的时间（以邮戳时间或快递收件时间为准）。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6、采购人、代理机构以实际收到质疑函原件之日作为收到质疑函的日期，将在收到质疑函后7个工作日内作出答复。</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7、采购人、代理机构接收质疑函的联系人、联系电话和通讯地址等信息详见招标公告。</w:t>
      </w:r>
    </w:p>
    <w:p>
      <w:pPr>
        <w:spacing w:line="400" w:lineRule="exact"/>
        <w:ind w:firstLine="420" w:firstLineChars="200"/>
        <w:rPr>
          <w:rFonts w:hint="eastAsia" w:eastAsia="方正书宋简体"/>
          <w:color w:val="auto"/>
          <w:highlight w:val="none"/>
          <w:lang w:val="en-US" w:eastAsia="zh-CN"/>
        </w:rPr>
      </w:pPr>
      <w:r>
        <w:rPr>
          <w:rFonts w:hint="eastAsia" w:ascii="宋体" w:hAnsi="宋体" w:eastAsia="宋体" w:cs="宋体"/>
          <w:color w:val="auto"/>
          <w:szCs w:val="21"/>
          <w:highlight w:val="none"/>
          <w:lang w:val="en-US" w:eastAsia="zh-CN"/>
        </w:rPr>
        <w:t>8、</w:t>
      </w:r>
      <w:r>
        <w:rPr>
          <w:rFonts w:hint="eastAsia" w:ascii="宋体" w:hAnsi="宋体" w:cs="宋体"/>
          <w:color w:val="auto"/>
          <w:szCs w:val="21"/>
          <w:highlight w:val="none"/>
          <w:lang w:val="en-US" w:eastAsia="zh-CN"/>
        </w:rPr>
        <w:t>政采云平台在线</w:t>
      </w:r>
      <w:r>
        <w:rPr>
          <w:rFonts w:hint="eastAsia" w:ascii="宋体" w:hAnsi="宋体" w:cs="宋体"/>
          <w:color w:val="auto"/>
          <w:szCs w:val="21"/>
          <w:highlight w:val="none"/>
        </w:rPr>
        <w:t>方式</w:t>
      </w:r>
      <w:r>
        <w:rPr>
          <w:rFonts w:hint="eastAsia" w:ascii="宋体" w:hAnsi="宋体" w:eastAsia="宋体" w:cs="宋体"/>
          <w:color w:val="auto"/>
          <w:szCs w:val="21"/>
          <w:highlight w:val="none"/>
        </w:rPr>
        <w:t>路径为：政采云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项目采购</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询问质疑投诉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鼓励供应商在线提起质疑，路径为：政采云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项目采购</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询问质疑投诉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质疑列表。质疑供应商对在线质疑答复不满意的，可在线提起投诉，路径为：浙江政府服务网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政府采购投诉处理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在线办理。</w:t>
      </w:r>
    </w:p>
    <w:p>
      <w:pPr>
        <w:spacing w:line="40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rPr>
        <w:t>十六、预算价</w:t>
      </w:r>
    </w:p>
    <w:p>
      <w:pPr>
        <w:spacing w:line="400" w:lineRule="exact"/>
        <w:ind w:firstLine="420" w:firstLineChars="200"/>
        <w:rPr>
          <w:rFonts w:hint="eastAsia" w:ascii="宋体" w:hAnsi="宋体" w:cs="宋体"/>
          <w:color w:val="auto"/>
          <w:szCs w:val="21"/>
          <w:highlight w:val="none"/>
        </w:rPr>
      </w:pPr>
      <w:bookmarkStart w:id="7" w:name="_Hlk37142004"/>
      <w:r>
        <w:rPr>
          <w:rFonts w:hint="eastAsia" w:ascii="宋体" w:hAnsi="宋体" w:cs="宋体"/>
          <w:color w:val="auto"/>
          <w:szCs w:val="21"/>
          <w:highlight w:val="none"/>
        </w:rPr>
        <w:t>本次公开招标设有</w:t>
      </w:r>
      <w:r>
        <w:rPr>
          <w:rFonts w:hint="eastAsia" w:ascii="宋体" w:hAnsi="宋体" w:eastAsia="宋体" w:cs="宋体"/>
          <w:color w:val="auto"/>
          <w:szCs w:val="21"/>
          <w:highlight w:val="none"/>
        </w:rPr>
        <w:t>预算价：</w:t>
      </w:r>
      <w:r>
        <w:rPr>
          <w:rFonts w:hint="eastAsia" w:ascii="宋体" w:hAnsi="宋体" w:eastAsia="宋体" w:cs="宋体"/>
          <w:b/>
          <w:bCs/>
          <w:color w:val="auto"/>
          <w:szCs w:val="21"/>
          <w:highlight w:val="none"/>
          <w:u w:val="single"/>
          <w:lang w:eastAsia="zh-CN"/>
        </w:rPr>
        <w:t>8500000</w:t>
      </w:r>
      <w:r>
        <w:rPr>
          <w:rFonts w:hint="eastAsia" w:ascii="宋体" w:hAnsi="宋体" w:eastAsia="宋体" w:cs="宋体"/>
          <w:b/>
          <w:bCs/>
          <w:color w:val="auto"/>
          <w:szCs w:val="21"/>
          <w:highlight w:val="none"/>
          <w:u w:val="single"/>
        </w:rPr>
        <w:t>元/年</w:t>
      </w:r>
      <w:r>
        <w:rPr>
          <w:rFonts w:hint="eastAsia" w:ascii="宋体" w:hAnsi="宋体" w:eastAsia="宋体" w:cs="宋体"/>
          <w:color w:val="auto"/>
          <w:szCs w:val="21"/>
          <w:highlight w:val="none"/>
        </w:rPr>
        <w:t>。</w:t>
      </w:r>
    </w:p>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十七、招标代理服务费</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本项目招标代理费</w:t>
      </w:r>
      <w:r>
        <w:rPr>
          <w:rFonts w:hint="eastAsia" w:ascii="宋体" w:hAnsi="宋体"/>
          <w:color w:val="auto"/>
          <w:szCs w:val="21"/>
          <w:highlight w:val="none"/>
          <w:lang w:val="en-US" w:eastAsia="zh-CN"/>
        </w:rPr>
        <w:t>65</w:t>
      </w:r>
      <w:r>
        <w:rPr>
          <w:rFonts w:ascii="宋体" w:hAnsi="宋体"/>
          <w:color w:val="auto"/>
          <w:szCs w:val="21"/>
          <w:highlight w:val="none"/>
        </w:rPr>
        <w:t>000</w:t>
      </w:r>
      <w:r>
        <w:rPr>
          <w:rFonts w:hint="eastAsia" w:ascii="宋体" w:hAnsi="宋体"/>
          <w:color w:val="auto"/>
          <w:szCs w:val="21"/>
          <w:highlight w:val="none"/>
        </w:rPr>
        <w:t>元计取，向</w:t>
      </w:r>
      <w:r>
        <w:rPr>
          <w:rFonts w:hint="eastAsia" w:ascii="宋体" w:hAnsi="宋体" w:cs="宋体"/>
          <w:color w:val="auto"/>
          <w:highlight w:val="none"/>
        </w:rPr>
        <w:t>中标人</w:t>
      </w:r>
      <w:r>
        <w:rPr>
          <w:rFonts w:hint="eastAsia" w:ascii="宋体" w:hAnsi="宋体"/>
          <w:color w:val="auto"/>
          <w:szCs w:val="21"/>
          <w:highlight w:val="none"/>
        </w:rPr>
        <w:t>收取招标代理服务费</w:t>
      </w:r>
      <w:r>
        <w:rPr>
          <w:rFonts w:hint="eastAsia" w:ascii="宋体" w:hAnsi="宋体" w:cs="宋体"/>
          <w:color w:val="auto"/>
          <w:szCs w:val="21"/>
          <w:highlight w:val="none"/>
        </w:rPr>
        <w:t>。</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2、中标人应在代理机构发出中标通知书5个工作日内向本代理机构支付招标代理服务费。</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3、招标代理服务费只收现金、银行票汇款、电汇款。</w:t>
      </w:r>
    </w:p>
    <w:bookmarkEnd w:id="7"/>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十八、特别说明</w:t>
      </w:r>
    </w:p>
    <w:p>
      <w:pPr>
        <w:spacing w:line="400" w:lineRule="exact"/>
        <w:ind w:firstLine="420" w:firstLineChars="200"/>
        <w:rPr>
          <w:rFonts w:hint="eastAsia" w:ascii="宋体" w:hAnsi="宋体" w:cs="宋体"/>
          <w:color w:val="auto"/>
          <w:szCs w:val="21"/>
          <w:highlight w:val="none"/>
        </w:rPr>
      </w:pPr>
      <w:bookmarkStart w:id="8" w:name="_Toc21541007"/>
      <w:bookmarkStart w:id="9" w:name="_Toc441316546"/>
      <w:bookmarkStart w:id="10" w:name="_Toc436408700"/>
      <w:bookmarkStart w:id="11" w:name="_Toc419729150"/>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执行财政部、工业和信息化部《政府采购促进中小企业发展管理办法》（财库〔2020〕46号）。政府采购活动中有关中小企业的相关规定如下：</w:t>
      </w:r>
      <w:bookmarkEnd w:id="8"/>
      <w:bookmarkEnd w:id="9"/>
      <w:bookmarkEnd w:id="10"/>
      <w:bookmarkEnd w:id="11"/>
    </w:p>
    <w:p>
      <w:pPr>
        <w:spacing w:line="400" w:lineRule="exact"/>
        <w:ind w:firstLine="420" w:firstLineChars="200"/>
        <w:rPr>
          <w:rFonts w:hint="eastAsia" w:ascii="宋体" w:hAnsi="宋体" w:cs="宋体"/>
          <w:color w:val="auto"/>
          <w:szCs w:val="21"/>
          <w:highlight w:val="none"/>
        </w:rPr>
      </w:pPr>
      <w:bookmarkStart w:id="12" w:name="_Toc21541008"/>
      <w:bookmarkStart w:id="13" w:name="_Toc441316547"/>
      <w:bookmarkStart w:id="14" w:name="_Toc436408701"/>
      <w:bookmarkStart w:id="15" w:name="_Toc419729151"/>
      <w:r>
        <w:rPr>
          <w:rFonts w:hint="eastAsia" w:ascii="宋体" w:hAnsi="宋体" w:cs="宋体"/>
          <w:color w:val="auto"/>
          <w:szCs w:val="21"/>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bookmarkEnd w:id="12"/>
      <w:bookmarkEnd w:id="13"/>
      <w:bookmarkEnd w:id="14"/>
      <w:bookmarkEnd w:id="15"/>
      <w:r>
        <w:rPr>
          <w:rFonts w:hint="eastAsia" w:ascii="宋体" w:hAnsi="宋体" w:cs="宋体"/>
          <w:color w:val="auto"/>
          <w:szCs w:val="21"/>
          <w:highlight w:val="none"/>
        </w:rPr>
        <w:t>。</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符合中小企业划分标准的个体工商户，在政府采购活动中视同中小企业。</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（2）在政府采购活动中，供应商提供的货物、工程或者服务符合下列情形的，享受《政府采购促进中小企业发展管理办法》规定的中小企业扶持政策：</w:t>
      </w:r>
    </w:p>
    <w:p>
      <w:pPr>
        <w:spacing w:line="400" w:lineRule="exact"/>
        <w:ind w:firstLine="420" w:firstLineChars="200"/>
        <w:rPr>
          <w:rFonts w:hint="eastAsia" w:ascii="宋体" w:hAnsi="宋体" w:cs="宋体"/>
          <w:color w:val="auto"/>
          <w:szCs w:val="21"/>
          <w:highlight w:val="none"/>
        </w:rPr>
      </w:pPr>
      <w:bookmarkStart w:id="16" w:name="_Toc21541009"/>
      <w:bookmarkStart w:id="17" w:name="_Toc441316548"/>
      <w:bookmarkStart w:id="18" w:name="_Toc419729152"/>
      <w:bookmarkStart w:id="19" w:name="_Toc436408702"/>
      <w:r>
        <w:rPr>
          <w:rFonts w:hint="eastAsia" w:ascii="宋体" w:hAnsi="宋体" w:cs="宋体"/>
          <w:color w:val="auto"/>
          <w:szCs w:val="21"/>
          <w:highlight w:val="none"/>
        </w:rPr>
        <w:t>①在货物采购项目中，货物由中小企业制造，即货物由中小企业生产且使用该中小企业商号或者注册商标；</w:t>
      </w:r>
      <w:bookmarkEnd w:id="16"/>
      <w:bookmarkEnd w:id="17"/>
      <w:bookmarkEnd w:id="18"/>
      <w:bookmarkEnd w:id="19"/>
    </w:p>
    <w:p>
      <w:pPr>
        <w:spacing w:line="400" w:lineRule="exact"/>
        <w:ind w:firstLine="420" w:firstLineChars="200"/>
        <w:rPr>
          <w:rFonts w:hint="eastAsia" w:ascii="宋体" w:hAnsi="宋体" w:cs="宋体"/>
          <w:color w:val="auto"/>
          <w:szCs w:val="21"/>
          <w:highlight w:val="none"/>
        </w:rPr>
      </w:pPr>
      <w:bookmarkStart w:id="20" w:name="_Toc419729153"/>
      <w:bookmarkStart w:id="21" w:name="_Toc441316549"/>
      <w:bookmarkStart w:id="22" w:name="_Toc436408703"/>
      <w:bookmarkStart w:id="23" w:name="_Toc21541010"/>
      <w:r>
        <w:rPr>
          <w:rFonts w:hint="eastAsia" w:ascii="宋体" w:hAnsi="宋体" w:cs="宋体"/>
          <w:color w:val="auto"/>
          <w:szCs w:val="21"/>
          <w:highlight w:val="none"/>
        </w:rPr>
        <w:t>②在工程采购项目中，工程由中小企业承建，即工程施工单位为中小企业</w:t>
      </w:r>
      <w:bookmarkEnd w:id="20"/>
      <w:bookmarkEnd w:id="21"/>
      <w:bookmarkEnd w:id="22"/>
      <w:bookmarkEnd w:id="23"/>
      <w:r>
        <w:rPr>
          <w:rFonts w:hint="eastAsia" w:ascii="宋体" w:hAnsi="宋体" w:cs="宋体"/>
          <w:color w:val="auto"/>
          <w:szCs w:val="21"/>
          <w:highlight w:val="none"/>
        </w:rPr>
        <w:t>；</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③在服务采购项目中，服务由中小企业承接，即提供服务的人员为中小企业依照《中华人民共和国劳动民法典》订立劳动合同的从业人员。</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在货物采购项目中，供应商提供的货物既有中小企业制造货物，也有大型企业制造货物的，不享受《政府采购促进中小企业发展管理办法》规定的中小企业扶持政策。</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以联合体形式参加政府采购活动，联合体各方均为中小企业的，联合体视同中小企业。其中，联合体各方均为小微企业的，联合体视同小微企业。</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（3）中小企业参加政府采购活动，应当出具《政府采购促进中小企业发展管理办法》规定的《中小企业声明函》（格式见第七章），否则不得享受相关中小企业扶持政策。</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供应商提供声明函内容不实的，属于提供虚假材料谋取中标、成交，依照《中华人民共和国政府采购法》等国家有关规定追究相应责任。</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适用招标投标法的政府采购工程建设项目，供应商提供声明函内容不实的，属于弄虚作假骗取中标，依照《中华人民共和国招标投标法》等国家有关规定追究相应责任。</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（5）《中小企业声明函》由参加投标的供应商提交，如供应商为代理商，须自行采集制造商的中小企业划分类型信息填入相应栏目并对其真实性负责。</w:t>
      </w:r>
    </w:p>
    <w:p>
      <w:pPr>
        <w:spacing w:line="400" w:lineRule="exact"/>
        <w:ind w:firstLine="420" w:firstLineChars="200"/>
        <w:rPr>
          <w:rFonts w:hint="eastAsia" w:ascii="宋体" w:hAnsi="宋体" w:eastAsia="宋体" w:cs="宋体"/>
          <w:color w:val="auto"/>
          <w:szCs w:val="21"/>
          <w:highlight w:val="none"/>
        </w:rPr>
      </w:pPr>
      <w:bookmarkStart w:id="24" w:name="_Toc495244277"/>
      <w:bookmarkStart w:id="25" w:name="_Toc21541015"/>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24"/>
      <w:bookmarkEnd w:id="25"/>
    </w:p>
    <w:p>
      <w:pPr>
        <w:spacing w:line="400" w:lineRule="exact"/>
        <w:ind w:firstLine="420" w:firstLineChars="200"/>
        <w:rPr>
          <w:rFonts w:hint="eastAsia" w:ascii="宋体" w:hAnsi="宋体" w:eastAsia="宋体" w:cs="宋体"/>
          <w:color w:val="auto"/>
          <w:szCs w:val="21"/>
          <w:highlight w:val="none"/>
        </w:rPr>
      </w:pPr>
      <w:bookmarkStart w:id="26" w:name="_Toc21541016"/>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26"/>
    </w:p>
    <w:p>
      <w:pPr>
        <w:spacing w:line="400" w:lineRule="exact"/>
        <w:ind w:firstLine="420" w:firstLineChars="200"/>
        <w:rPr>
          <w:rFonts w:hint="eastAsia" w:ascii="宋体" w:hAnsi="宋体" w:eastAsia="宋体" w:cs="宋体"/>
          <w:color w:val="auto"/>
          <w:szCs w:val="21"/>
          <w:highlight w:val="none"/>
        </w:rPr>
      </w:pPr>
      <w:bookmarkStart w:id="27" w:name="_Toc21541017"/>
      <w:bookmarkStart w:id="28" w:name="_Toc419729158"/>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本项目不组织潜在供应商现场考察或者召开开标前答疑。</w:t>
      </w:r>
      <w:bookmarkEnd w:id="27"/>
    </w:p>
    <w:p>
      <w:pPr>
        <w:spacing w:line="400" w:lineRule="exact"/>
        <w:ind w:firstLine="420" w:firstLineChars="200"/>
        <w:rPr>
          <w:rFonts w:hint="eastAsia" w:ascii="宋体" w:hAnsi="宋体" w:eastAsia="宋体" w:cs="宋体"/>
          <w:color w:val="auto"/>
          <w:szCs w:val="21"/>
          <w:highlight w:val="none"/>
        </w:rPr>
      </w:pPr>
      <w:bookmarkStart w:id="29" w:name="_Toc21541018"/>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本文件未及事项，在签订合同时供需及使用方友好商定。</w:t>
      </w:r>
      <w:bookmarkEnd w:id="28"/>
      <w:bookmarkEnd w:id="29"/>
    </w:p>
    <w:p>
      <w:pPr>
        <w:spacing w:line="400" w:lineRule="exact"/>
        <w:ind w:firstLine="420" w:firstLineChars="200"/>
        <w:rPr>
          <w:rFonts w:hint="eastAsia" w:ascii="宋体" w:hAnsi="宋体" w:eastAsia="宋体" w:cs="宋体"/>
          <w:color w:val="auto"/>
          <w:szCs w:val="21"/>
          <w:highlight w:val="none"/>
        </w:rPr>
      </w:pPr>
      <w:bookmarkStart w:id="30" w:name="_Toc419729159"/>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本招标文件解释权归采购人。</w:t>
      </w:r>
      <w:bookmarkEnd w:id="30"/>
    </w:p>
    <w:p>
      <w:pPr>
        <w:spacing w:line="400" w:lineRule="exact"/>
        <w:ind w:firstLine="422" w:firstLineChars="200"/>
        <w:rPr>
          <w:rFonts w:ascii="宋体" w:hAnsi="宋体"/>
          <w:b/>
          <w:color w:val="auto"/>
          <w:szCs w:val="21"/>
          <w:highlight w:val="none"/>
        </w:rPr>
      </w:pPr>
    </w:p>
    <w:p>
      <w:pPr>
        <w:spacing w:line="400" w:lineRule="exact"/>
        <w:jc w:val="center"/>
        <w:outlineLvl w:val="0"/>
        <w:rPr>
          <w:rFonts w:hint="eastAsia" w:ascii="宋体" w:hAnsi="宋体"/>
          <w:b/>
          <w:color w:val="auto"/>
          <w:sz w:val="32"/>
          <w:highlight w:val="none"/>
        </w:rPr>
      </w:pPr>
      <w:bookmarkStart w:id="31" w:name="_Toc18361"/>
      <w:r>
        <w:rPr>
          <w:rFonts w:hint="eastAsia" w:ascii="宋体" w:hAnsi="宋体"/>
          <w:b/>
          <w:color w:val="auto"/>
          <w:sz w:val="32"/>
          <w:highlight w:val="none"/>
        </w:rPr>
        <w:br w:type="page"/>
      </w:r>
    </w:p>
    <w:p>
      <w:pPr>
        <w:spacing w:line="400" w:lineRule="exact"/>
        <w:jc w:val="center"/>
        <w:outlineLvl w:val="0"/>
        <w:rPr>
          <w:rFonts w:ascii="宋体" w:hAnsi="宋体"/>
          <w:b/>
          <w:color w:val="auto"/>
          <w:sz w:val="36"/>
          <w:szCs w:val="21"/>
          <w:highlight w:val="none"/>
        </w:rPr>
      </w:pPr>
      <w:r>
        <w:rPr>
          <w:rFonts w:hint="eastAsia" w:ascii="宋体" w:hAnsi="宋体"/>
          <w:b/>
          <w:color w:val="auto"/>
          <w:sz w:val="36"/>
          <w:szCs w:val="21"/>
          <w:highlight w:val="none"/>
        </w:rPr>
        <w:t>第三章</w:t>
      </w:r>
      <w:r>
        <w:rPr>
          <w:rFonts w:ascii="宋体" w:hAnsi="宋体"/>
          <w:b/>
          <w:color w:val="auto"/>
          <w:sz w:val="36"/>
          <w:szCs w:val="21"/>
          <w:highlight w:val="none"/>
        </w:rPr>
        <w:t xml:space="preserve">  </w:t>
      </w:r>
      <w:r>
        <w:rPr>
          <w:rFonts w:hint="eastAsia" w:ascii="宋体" w:hAnsi="宋体"/>
          <w:b/>
          <w:color w:val="auto"/>
          <w:sz w:val="36"/>
          <w:szCs w:val="21"/>
          <w:highlight w:val="none"/>
        </w:rPr>
        <w:t>评标办法及标准</w:t>
      </w:r>
      <w:bookmarkEnd w:id="31"/>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一、评标办法</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本项目评标采用综合评分法。</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1.2</w:t>
      </w:r>
      <w:r>
        <w:rPr>
          <w:rFonts w:hint="eastAsia" w:ascii="宋体" w:hAnsi="宋体"/>
          <w:color w:val="auto"/>
          <w:szCs w:val="21"/>
          <w:highlight w:val="none"/>
        </w:rPr>
        <w:t>综合评分法：采用百分制，总分</w:t>
      </w:r>
      <w:r>
        <w:rPr>
          <w:rFonts w:ascii="宋体" w:hAnsi="宋体"/>
          <w:color w:val="auto"/>
          <w:szCs w:val="21"/>
          <w:highlight w:val="none"/>
        </w:rPr>
        <w:t>100</w:t>
      </w:r>
      <w:r>
        <w:rPr>
          <w:rFonts w:hint="eastAsia" w:ascii="宋体" w:hAnsi="宋体"/>
          <w:color w:val="auto"/>
          <w:szCs w:val="21"/>
          <w:highlight w:val="none"/>
        </w:rPr>
        <w:t>分。供应商的综合得分为商务和技术得分与报价得分之和。按综合得分由高到低的排序，推荐中标候选人。若供应商的综合得分相等，则投标报价低者列前；若投标报价也相同时，采取随机抽签的方式确定排序。</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1.3</w:t>
      </w:r>
      <w:r>
        <w:rPr>
          <w:rFonts w:hint="eastAsia" w:ascii="宋体" w:hAnsi="宋体" w:cs="宋体"/>
          <w:color w:val="auto"/>
          <w:highlight w:val="none"/>
        </w:rPr>
        <w:t>本项目需要落实的政府采购政策：《关于促进残疾人就业政府采购政策的通知》（财库[2017]141号）、《政府采购促进中小企业发展管理办法》（财库〔2020〕46号）、《关于政府采购支持监狱企业发展有关问题的通知》（财库[2014]68号）。</w:t>
      </w:r>
    </w:p>
    <w:p>
      <w:pPr>
        <w:spacing w:line="400" w:lineRule="exact"/>
        <w:ind w:firstLine="420" w:firstLineChars="200"/>
        <w:jc w:val="left"/>
        <w:rPr>
          <w:rFonts w:hint="eastAsia" w:ascii="宋体" w:hAnsi="宋体" w:cs="仿宋"/>
          <w:color w:val="auto"/>
          <w:szCs w:val="21"/>
          <w:highlight w:val="none"/>
        </w:rPr>
      </w:pPr>
      <w:r>
        <w:rPr>
          <w:rFonts w:ascii="宋体" w:hAnsi="宋体" w:cs="仿宋"/>
          <w:color w:val="auto"/>
          <w:szCs w:val="21"/>
          <w:highlight w:val="none"/>
        </w:rPr>
        <w:t>1.4</w:t>
      </w:r>
      <w:r>
        <w:rPr>
          <w:rFonts w:hint="eastAsia" w:ascii="宋体" w:hAnsi="宋体" w:cs="仿宋"/>
          <w:color w:val="auto"/>
          <w:szCs w:val="21"/>
          <w:highlight w:val="none"/>
        </w:rPr>
        <w:t>本次采购为非专门面向中小企业，采购标的对应的中小企业划分标准所属行业：</w:t>
      </w:r>
    </w:p>
    <w:p>
      <w:pPr>
        <w:spacing w:line="40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lang w:val="en-US" w:eastAsia="zh-CN"/>
        </w:rPr>
        <w:t>本项目</w:t>
      </w:r>
      <w:r>
        <w:rPr>
          <w:rFonts w:hint="eastAsia" w:ascii="宋体" w:hAnsi="宋体" w:cs="仿宋"/>
          <w:color w:val="auto"/>
          <w:szCs w:val="21"/>
          <w:highlight w:val="none"/>
        </w:rPr>
        <w:t>为</w:t>
      </w:r>
      <w:r>
        <w:rPr>
          <w:rFonts w:hint="eastAsia" w:ascii="宋体" w:hAnsi="宋体" w:cs="仿宋"/>
          <w:b/>
          <w:bCs/>
          <w:color w:val="auto"/>
          <w:szCs w:val="21"/>
          <w:highlight w:val="none"/>
          <w:u w:val="single"/>
          <w:lang w:val="en-US" w:eastAsia="zh-CN"/>
        </w:rPr>
        <w:t>其他</w:t>
      </w:r>
      <w:r>
        <w:rPr>
          <w:rFonts w:hint="eastAsia" w:ascii="宋体" w:hAnsi="宋体" w:cs="仿宋"/>
          <w:b/>
          <w:bCs/>
          <w:color w:val="auto"/>
          <w:szCs w:val="21"/>
          <w:highlight w:val="none"/>
          <w:u w:val="single"/>
          <w:lang w:val="en-US" w:eastAsia="zh-CN"/>
        </w:rPr>
        <w:t>未列明行业</w:t>
      </w:r>
      <w:r>
        <w:rPr>
          <w:rFonts w:hint="eastAsia" w:ascii="宋体" w:hAnsi="宋体" w:cs="仿宋"/>
          <w:color w:val="auto"/>
          <w:szCs w:val="21"/>
          <w:highlight w:val="none"/>
        </w:rPr>
        <w:t>。本次评标将对中小企业声明函满足招标文件要求的服务承接企业为小微企业的价格给予</w:t>
      </w:r>
      <w:r>
        <w:rPr>
          <w:rFonts w:ascii="宋体" w:hAnsi="宋体" w:cs="仿宋"/>
          <w:color w:val="auto"/>
          <w:szCs w:val="21"/>
          <w:highlight w:val="none"/>
        </w:rPr>
        <w:t>10</w:t>
      </w:r>
      <w:r>
        <w:rPr>
          <w:rFonts w:hint="eastAsia" w:ascii="宋体" w:hAnsi="宋体" w:cs="仿宋"/>
          <w:color w:val="auto"/>
          <w:szCs w:val="21"/>
          <w:highlight w:val="none"/>
        </w:rPr>
        <w:t>%的扣除，用扣除后的价格参与评审。价格扣除只用于评审过程，如中标，中标价格仍按照其投标价格进行公示。</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5评标委员会成员对需要共同认定的事项存在争议的，应当按照少数服从多数的原则作出结论。</w:t>
      </w:r>
    </w:p>
    <w:p>
      <w:pPr>
        <w:spacing w:line="400" w:lineRule="exact"/>
        <w:ind w:firstLine="420" w:firstLineChars="200"/>
        <w:jc w:val="left"/>
        <w:rPr>
          <w:rFonts w:ascii="宋体" w:hAnsi="宋体"/>
          <w:b/>
          <w:bCs/>
          <w:color w:val="auto"/>
          <w:szCs w:val="21"/>
          <w:highlight w:val="none"/>
        </w:rPr>
      </w:pPr>
      <w:r>
        <w:rPr>
          <w:rFonts w:hint="eastAsia" w:ascii="宋体" w:hAnsi="宋体"/>
          <w:color w:val="auto"/>
          <w:szCs w:val="21"/>
          <w:highlight w:val="none"/>
        </w:rPr>
        <w:t>二、</w:t>
      </w:r>
      <w:r>
        <w:rPr>
          <w:rFonts w:hint="eastAsia" w:ascii="宋体" w:hAnsi="宋体"/>
          <w:b/>
          <w:bCs/>
          <w:color w:val="auto"/>
          <w:szCs w:val="21"/>
          <w:highlight w:val="none"/>
        </w:rPr>
        <w:t>评标程序</w:t>
      </w:r>
    </w:p>
    <w:p>
      <w:pPr>
        <w:spacing w:line="400" w:lineRule="exact"/>
        <w:ind w:firstLine="422" w:firstLineChars="200"/>
        <w:rPr>
          <w:rFonts w:ascii="宋体" w:hAnsi="宋体"/>
          <w:b/>
          <w:color w:val="auto"/>
          <w:szCs w:val="21"/>
          <w:highlight w:val="none"/>
        </w:rPr>
      </w:pPr>
      <w:r>
        <w:rPr>
          <w:rFonts w:ascii="宋体" w:hAnsi="宋体"/>
          <w:b/>
          <w:color w:val="auto"/>
          <w:szCs w:val="21"/>
          <w:highlight w:val="none"/>
        </w:rPr>
        <w:t>2.1</w:t>
      </w:r>
      <w:r>
        <w:rPr>
          <w:rFonts w:hint="eastAsia" w:ascii="宋体" w:hAnsi="宋体"/>
          <w:b/>
          <w:color w:val="auto"/>
          <w:szCs w:val="21"/>
          <w:highlight w:val="none"/>
        </w:rPr>
        <w:t>第一阶段评审</w:t>
      </w:r>
    </w:p>
    <w:p>
      <w:pPr>
        <w:spacing w:line="400" w:lineRule="exact"/>
        <w:ind w:firstLine="420" w:firstLineChars="200"/>
        <w:rPr>
          <w:rFonts w:ascii="宋体" w:hAnsi="宋体"/>
          <w:b/>
          <w:color w:val="auto"/>
          <w:szCs w:val="21"/>
          <w:highlight w:val="none"/>
        </w:rPr>
      </w:pPr>
      <w:r>
        <w:rPr>
          <w:rFonts w:ascii="宋体" w:hAnsi="宋体"/>
          <w:color w:val="auto"/>
          <w:szCs w:val="21"/>
          <w:highlight w:val="none"/>
        </w:rPr>
        <w:t>2.1.1</w:t>
      </w:r>
      <w:r>
        <w:rPr>
          <w:rFonts w:hint="eastAsia" w:ascii="宋体" w:hAnsi="宋体"/>
          <w:color w:val="auto"/>
          <w:szCs w:val="21"/>
          <w:highlight w:val="none"/>
        </w:rPr>
        <w:t>资格文件、商务和技术文件初步审查：包含资格性审查和符合性审查。资格性审查是指采购人或代理机构根据“附表</w:t>
      </w:r>
      <w:r>
        <w:rPr>
          <w:rFonts w:ascii="宋体" w:hAnsi="宋体"/>
          <w:color w:val="auto"/>
          <w:szCs w:val="21"/>
          <w:highlight w:val="none"/>
        </w:rPr>
        <w:t>1</w:t>
      </w:r>
      <w:r>
        <w:rPr>
          <w:rFonts w:hint="eastAsia" w:ascii="宋体" w:hAnsi="宋体"/>
          <w:color w:val="auto"/>
          <w:szCs w:val="21"/>
          <w:highlight w:val="none"/>
        </w:rPr>
        <w:t>资格性审查表”的要求对投标文件逐一进行评审。符合性审查是指评标委员会根据“附表</w:t>
      </w:r>
      <w:r>
        <w:rPr>
          <w:rFonts w:ascii="宋体" w:hAnsi="宋体"/>
          <w:color w:val="auto"/>
          <w:szCs w:val="21"/>
          <w:highlight w:val="none"/>
        </w:rPr>
        <w:t>2</w:t>
      </w:r>
      <w:r>
        <w:rPr>
          <w:rFonts w:hint="eastAsia" w:ascii="宋体" w:hAnsi="宋体"/>
          <w:color w:val="auto"/>
          <w:szCs w:val="21"/>
          <w:highlight w:val="none"/>
        </w:rPr>
        <w:t>符合性审查表”的要求对投标文件逐一进行评审。</w:t>
      </w:r>
      <w:r>
        <w:rPr>
          <w:rFonts w:hint="eastAsia" w:ascii="宋体" w:hAnsi="宋体"/>
          <w:b/>
          <w:color w:val="auto"/>
          <w:szCs w:val="21"/>
          <w:highlight w:val="none"/>
        </w:rPr>
        <w:t>资格性审查和符合性审查中，有任意一项审查结论不合格的，作无效标处理。</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2.1.2</w:t>
      </w:r>
      <w:r>
        <w:rPr>
          <w:rFonts w:hint="eastAsia" w:ascii="宋体" w:hAnsi="宋体"/>
          <w:color w:val="auto"/>
          <w:szCs w:val="21"/>
          <w:highlight w:val="none"/>
          <w:lang w:val="zh-CN"/>
        </w:rPr>
        <w:t>比较与评价：</w:t>
      </w:r>
      <w:r>
        <w:rPr>
          <w:rFonts w:hint="eastAsia" w:ascii="宋体" w:hAnsi="宋体"/>
          <w:color w:val="auto"/>
          <w:szCs w:val="21"/>
          <w:highlight w:val="none"/>
        </w:rPr>
        <w:t>评标委员会根据“附表</w:t>
      </w:r>
      <w:r>
        <w:rPr>
          <w:rFonts w:ascii="宋体" w:hAnsi="宋体"/>
          <w:color w:val="auto"/>
          <w:szCs w:val="21"/>
          <w:highlight w:val="none"/>
        </w:rPr>
        <w:t>3</w:t>
      </w:r>
      <w:r>
        <w:rPr>
          <w:rFonts w:hint="eastAsia" w:ascii="宋体" w:hAnsi="宋体"/>
          <w:color w:val="auto"/>
          <w:szCs w:val="21"/>
          <w:highlight w:val="none"/>
        </w:rPr>
        <w:t>商务和技术评分表”的要求，</w:t>
      </w:r>
      <w:r>
        <w:rPr>
          <w:rFonts w:hint="eastAsia" w:ascii="宋体" w:hAnsi="宋体"/>
          <w:color w:val="auto"/>
          <w:szCs w:val="21"/>
          <w:highlight w:val="none"/>
          <w:lang w:val="zh-CN"/>
        </w:rPr>
        <w:t>对照投标文件的应答进行比较，判定其偏差性质和程度，</w:t>
      </w:r>
      <w:r>
        <w:rPr>
          <w:rFonts w:hint="eastAsia" w:ascii="宋体" w:hAnsi="宋体"/>
          <w:color w:val="auto"/>
          <w:szCs w:val="21"/>
          <w:highlight w:val="none"/>
        </w:rPr>
        <w:t>由评标委员会成员在分值范围内自行评分。供应商商务和技术得分为各评标委员会成员有效评分的算术平均值（小数点后保留二位数）。</w:t>
      </w:r>
    </w:p>
    <w:p>
      <w:pPr>
        <w:spacing w:line="400" w:lineRule="exact"/>
        <w:ind w:firstLine="422" w:firstLineChars="200"/>
        <w:jc w:val="left"/>
        <w:rPr>
          <w:rFonts w:ascii="宋体" w:hAnsi="宋体"/>
          <w:b/>
          <w:color w:val="auto"/>
          <w:szCs w:val="21"/>
          <w:highlight w:val="none"/>
        </w:rPr>
      </w:pPr>
      <w:r>
        <w:rPr>
          <w:rFonts w:ascii="宋体" w:hAnsi="宋体"/>
          <w:b/>
          <w:color w:val="auto"/>
          <w:szCs w:val="21"/>
          <w:highlight w:val="none"/>
        </w:rPr>
        <w:t>2.2</w:t>
      </w:r>
      <w:r>
        <w:rPr>
          <w:rFonts w:hint="eastAsia" w:ascii="宋体" w:hAnsi="宋体"/>
          <w:b/>
          <w:color w:val="auto"/>
          <w:szCs w:val="21"/>
          <w:highlight w:val="none"/>
        </w:rPr>
        <w:t>第二阶段评审</w:t>
      </w:r>
    </w:p>
    <w:p>
      <w:pPr>
        <w:spacing w:line="400" w:lineRule="exact"/>
        <w:ind w:firstLine="420" w:firstLineChars="200"/>
        <w:jc w:val="left"/>
        <w:rPr>
          <w:rFonts w:ascii="宋体" w:hAnsi="宋体"/>
          <w:b/>
          <w:color w:val="auto"/>
          <w:szCs w:val="21"/>
          <w:highlight w:val="none"/>
        </w:rPr>
      </w:pPr>
      <w:r>
        <w:rPr>
          <w:rFonts w:ascii="宋体" w:hAnsi="宋体"/>
          <w:color w:val="auto"/>
          <w:szCs w:val="21"/>
          <w:highlight w:val="none"/>
        </w:rPr>
        <w:t>2.2.1</w:t>
      </w:r>
      <w:r>
        <w:rPr>
          <w:rFonts w:hint="eastAsia" w:ascii="宋体" w:hAnsi="宋体"/>
          <w:color w:val="auto"/>
          <w:szCs w:val="21"/>
          <w:highlight w:val="none"/>
        </w:rPr>
        <w:t>报价文件初步审查：报价文件初步审查是指评标委员会根据“附表</w:t>
      </w:r>
      <w:r>
        <w:rPr>
          <w:rFonts w:ascii="宋体" w:hAnsi="宋体"/>
          <w:color w:val="auto"/>
          <w:szCs w:val="21"/>
          <w:highlight w:val="none"/>
        </w:rPr>
        <w:t>4</w:t>
      </w:r>
      <w:r>
        <w:rPr>
          <w:rFonts w:hint="eastAsia" w:ascii="宋体" w:hAnsi="宋体"/>
          <w:color w:val="auto"/>
          <w:szCs w:val="21"/>
          <w:highlight w:val="none"/>
        </w:rPr>
        <w:t>初步审查表”的要求对投标文件逐一进行评审。</w:t>
      </w:r>
      <w:r>
        <w:rPr>
          <w:rFonts w:hint="eastAsia" w:ascii="宋体" w:hAnsi="宋体"/>
          <w:b/>
          <w:color w:val="auto"/>
          <w:szCs w:val="21"/>
          <w:highlight w:val="none"/>
        </w:rPr>
        <w:t>初步审查中，审查结论不合格的，作无效标处理。</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2.2.2在评标过程中，发现的价格计算错误按下述原则修正：</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（1）投标文件中开标一览表内容与政采云系统“开标一览表”中录入的内容不一致的，以投标文件中开标一览表为准；</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（2）投标文件中开标一览表内容与投标文件中相应内容不一致的，以开标一览表为准；</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（3）大写金额和小写金额不一致的，以大写金额为准；</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（4）单价金额小数点或者百分比有明显错位的，以开标一览表的总价为准，并修改单价；</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（5）总价金额与按单价汇总金额不一致的，以单价金额计算结果为准。</w:t>
      </w:r>
    </w:p>
    <w:p>
      <w:pPr>
        <w:spacing w:line="400" w:lineRule="exact"/>
        <w:ind w:firstLine="420" w:firstLineChars="200"/>
        <w:jc w:val="left"/>
        <w:rPr>
          <w:rFonts w:ascii="宋体" w:hAnsi="宋体"/>
          <w:color w:val="auto"/>
          <w:highlight w:val="none"/>
        </w:rPr>
      </w:pPr>
      <w:r>
        <w:rPr>
          <w:rFonts w:hint="eastAsia" w:ascii="宋体" w:hAnsi="宋体"/>
          <w:color w:val="auto"/>
          <w:szCs w:val="21"/>
          <w:highlight w:val="none"/>
        </w:rPr>
        <w:t>同时出现两种以上不一致的，按照前款规定的顺序修正。修正后的报价经供应商确认后产生约束力，供应商不确认的，其投标无效。</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lang w:val="en-US" w:eastAsia="zh-CN"/>
        </w:rPr>
        <w:t>3</w:t>
      </w:r>
      <w:r>
        <w:rPr>
          <w:rFonts w:hint="eastAsia" w:ascii="宋体" w:hAnsi="宋体"/>
          <w:color w:val="auto"/>
          <w:szCs w:val="21"/>
          <w:highlight w:val="none"/>
        </w:rPr>
        <w:t>评标委员会根据“附表</w:t>
      </w:r>
      <w:r>
        <w:rPr>
          <w:rFonts w:ascii="宋体" w:hAnsi="宋体"/>
          <w:color w:val="auto"/>
          <w:szCs w:val="21"/>
          <w:highlight w:val="none"/>
        </w:rPr>
        <w:t>5</w:t>
      </w:r>
      <w:r>
        <w:rPr>
          <w:rFonts w:hint="eastAsia" w:ascii="宋体" w:hAnsi="宋体"/>
          <w:color w:val="auto"/>
          <w:szCs w:val="21"/>
          <w:highlight w:val="none"/>
        </w:rPr>
        <w:t>价格评分表”的规定，计算供应商报价得分（小数点后保留二位数）。</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lang w:val="en-US" w:eastAsia="zh-CN"/>
        </w:rPr>
        <w:t>4</w:t>
      </w:r>
      <w:r>
        <w:rPr>
          <w:rFonts w:hint="eastAsia" w:ascii="宋体" w:hAnsi="宋体"/>
          <w:color w:val="auto"/>
          <w:szCs w:val="21"/>
          <w:highlight w:val="none"/>
        </w:rPr>
        <w:t>综合评估：供应商的综合得分为商务和技术得分与报价得分之和。</w:t>
      </w:r>
    </w:p>
    <w:p>
      <w:pPr>
        <w:spacing w:line="400" w:lineRule="exact"/>
        <w:ind w:firstLine="420" w:firstLineChars="200"/>
        <w:jc w:val="left"/>
        <w:rPr>
          <w:rFonts w:hint="default" w:ascii="宋体" w:hAnsi="宋体" w:eastAsia="宋体"/>
          <w:color w:val="auto"/>
          <w:szCs w:val="21"/>
          <w:highlight w:val="none"/>
          <w:lang w:val="en-US" w:eastAsia="zh-CN"/>
        </w:rPr>
      </w:pPr>
      <w:r>
        <w:rPr>
          <w:rFonts w:ascii="宋体" w:hAnsi="宋体"/>
          <w:color w:val="auto"/>
          <w:szCs w:val="21"/>
          <w:highlight w:val="none"/>
        </w:rPr>
        <w:t>2.2.</w:t>
      </w:r>
      <w:r>
        <w:rPr>
          <w:rFonts w:hint="eastAsia" w:ascii="宋体" w:hAnsi="宋体"/>
          <w:color w:val="auto"/>
          <w:szCs w:val="21"/>
          <w:highlight w:val="none"/>
          <w:lang w:val="en-US" w:eastAsia="zh-CN"/>
        </w:rPr>
        <w:t>5</w:t>
      </w:r>
      <w:r>
        <w:rPr>
          <w:rFonts w:hint="eastAsia" w:ascii="宋体" w:hAnsi="宋体"/>
          <w:color w:val="auto"/>
          <w:szCs w:val="21"/>
          <w:highlight w:val="none"/>
        </w:rPr>
        <w:t>推荐中标候选人：</w:t>
      </w:r>
      <w:r>
        <w:rPr>
          <w:rFonts w:hint="eastAsia" w:ascii="宋体" w:hAnsi="宋体" w:eastAsia="宋体" w:cs="Times New Roman"/>
          <w:color w:val="auto"/>
          <w:szCs w:val="21"/>
          <w:highlight w:val="none"/>
        </w:rPr>
        <w:t>评标结果按评审后得分由高到低顺序排列。得分相同的，按投标报价由低到高顺序排列。得分且投标报价相同的并列</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投标文件满足招标文件全部实质性要求，且按照评审因素的量化指标评审得分</w:t>
      </w:r>
      <w:r>
        <w:rPr>
          <w:rFonts w:hint="eastAsia" w:ascii="宋体" w:hAnsi="宋体" w:eastAsia="宋体" w:cs="Times New Roman"/>
          <w:color w:val="auto"/>
          <w:szCs w:val="21"/>
          <w:highlight w:val="none"/>
          <w:lang w:val="en-US" w:eastAsia="zh-CN"/>
        </w:rPr>
        <w:t>从高到低排列，并按排列顺序推荐中标候选人。</w:t>
      </w:r>
    </w:p>
    <w:p>
      <w:pPr>
        <w:spacing w:line="400" w:lineRule="exact"/>
        <w:ind w:firstLine="422" w:firstLineChars="200"/>
        <w:jc w:val="left"/>
        <w:rPr>
          <w:rFonts w:ascii="宋体" w:hAnsi="宋体"/>
          <w:b/>
          <w:color w:val="auto"/>
          <w:szCs w:val="21"/>
          <w:highlight w:val="none"/>
        </w:rPr>
      </w:pPr>
      <w:r>
        <w:rPr>
          <w:rFonts w:ascii="宋体" w:hAnsi="宋体"/>
          <w:b/>
          <w:color w:val="auto"/>
          <w:szCs w:val="21"/>
          <w:highlight w:val="none"/>
        </w:rPr>
        <w:t>2.3</w:t>
      </w:r>
      <w:r>
        <w:rPr>
          <w:rFonts w:hint="eastAsia" w:ascii="宋体" w:hAnsi="宋体"/>
          <w:b/>
          <w:color w:val="auto"/>
          <w:szCs w:val="21"/>
          <w:highlight w:val="none"/>
        </w:rPr>
        <w:t>确定中标供应商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评标委员会按综合得分由高到低的排序，向采购人推荐中标候选人。代理机构应当自评审结束之日起</w:t>
      </w:r>
      <w:r>
        <w:rPr>
          <w:rFonts w:ascii="宋体" w:hAnsi="宋体"/>
          <w:color w:val="auto"/>
          <w:szCs w:val="21"/>
          <w:highlight w:val="none"/>
        </w:rPr>
        <w:t>2</w:t>
      </w:r>
      <w:r>
        <w:rPr>
          <w:rFonts w:hint="eastAsia" w:ascii="宋体" w:hAnsi="宋体"/>
          <w:color w:val="auto"/>
          <w:szCs w:val="21"/>
          <w:highlight w:val="none"/>
        </w:rPr>
        <w:t>个工作日内将评审报告送交采购人。采购人应当自收到评审报告之日起</w:t>
      </w:r>
      <w:r>
        <w:rPr>
          <w:rFonts w:ascii="宋体" w:hAnsi="宋体"/>
          <w:color w:val="auto"/>
          <w:szCs w:val="21"/>
          <w:highlight w:val="none"/>
        </w:rPr>
        <w:t>5</w:t>
      </w:r>
      <w:r>
        <w:rPr>
          <w:rFonts w:hint="eastAsia" w:ascii="宋体" w:hAnsi="宋体"/>
          <w:color w:val="auto"/>
          <w:szCs w:val="21"/>
          <w:highlight w:val="none"/>
        </w:rPr>
        <w:t>个工作日内在评审报告推荐的中标候选人中按顺序确定1名中标供应商。</w:t>
      </w:r>
      <w:r>
        <w:rPr>
          <w:rFonts w:hint="eastAsia" w:ascii="宋体" w:hAnsi="宋体"/>
          <w:color w:val="auto"/>
          <w:szCs w:val="21"/>
          <w:highlight w:val="none"/>
          <w:lang w:val="en-US" w:eastAsia="zh-CN"/>
        </w:rPr>
        <w:t>采购人或采购代理机构应当自中标供应商确定之日起2个工作日内发出中标通知书并</w:t>
      </w:r>
      <w:r>
        <w:rPr>
          <w:rFonts w:hint="eastAsia" w:ascii="宋体" w:hAnsi="宋体" w:cs="宋体"/>
          <w:color w:val="auto"/>
          <w:szCs w:val="22"/>
          <w:highlight w:val="none"/>
          <w:lang w:bidi="ar"/>
        </w:rPr>
        <w:t>在发布招标公告的网站上对中标结果进行公示，公告期限为1个工作日。</w:t>
      </w:r>
      <w:r>
        <w:rPr>
          <w:rFonts w:hint="eastAsia" w:ascii="宋体" w:hAnsi="宋体"/>
          <w:color w:val="auto"/>
          <w:szCs w:val="21"/>
          <w:highlight w:val="none"/>
        </w:rPr>
        <w:t>中标供应商因不可抗力或者自身原因不能履行政府采购合同的，采购人可以按照评审报告推荐的下一中标候选人为中标供应商或重新招标。</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三、投标的澄清</w:t>
      </w:r>
    </w:p>
    <w:p>
      <w:pPr>
        <w:spacing w:line="400" w:lineRule="exact"/>
        <w:ind w:firstLine="420" w:firstLineChars="200"/>
        <w:rPr>
          <w:rFonts w:hint="eastAsia"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评标委员会在对投标文件的有效性、完整性和响应程度进行审查时，可以要求供应商对投标文件中含义不明确、同类问题表述不一致或者有明显文字和计算错误的内容等</w:t>
      </w:r>
      <w:r>
        <w:rPr>
          <w:rFonts w:hint="eastAsia" w:ascii="宋体" w:hAnsi="宋体" w:cs="宋体"/>
          <w:color w:val="auto"/>
          <w:highlight w:val="none"/>
          <w:lang w:eastAsia="zh-CN"/>
        </w:rPr>
        <w:t>作出</w:t>
      </w:r>
      <w:r>
        <w:rPr>
          <w:rFonts w:hint="eastAsia" w:ascii="宋体" w:hAnsi="宋体" w:cs="宋体"/>
          <w:color w:val="auto"/>
          <w:highlight w:val="none"/>
        </w:rPr>
        <w:t>必要的澄清。供应商的澄清不得超出投标文件的范围或者改变投标文件的实质性内容。</w:t>
      </w:r>
    </w:p>
    <w:p>
      <w:pPr>
        <w:spacing w:line="400" w:lineRule="exact"/>
        <w:ind w:firstLine="420" w:firstLineChars="200"/>
        <w:rPr>
          <w:rFonts w:hint="eastAsia" w:ascii="宋体" w:hAnsi="宋体" w:cs="宋体"/>
          <w:color w:val="auto"/>
          <w:highlight w:val="none"/>
        </w:rPr>
      </w:pPr>
      <w:r>
        <w:rPr>
          <w:rFonts w:ascii="宋体" w:hAnsi="宋体" w:cs="宋体"/>
          <w:color w:val="auto"/>
          <w:highlight w:val="none"/>
        </w:rPr>
        <w:t>3.2</w:t>
      </w:r>
      <w:r>
        <w:rPr>
          <w:rFonts w:hint="eastAsia" w:ascii="宋体" w:hAnsi="宋体" w:cs="宋体"/>
          <w:color w:val="auto"/>
          <w:highlight w:val="none"/>
        </w:rPr>
        <w:t>政采云具体操作如下：</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在评审过程中，如评标委员会对投标文件有疑问，由评标委员会组长将问题汇总后发函，或由采购代理机构代替发起。供应商在截止时间前，予以回复。此回复将作为投标文件内容的一部分，具有相应的法律效力。</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路径：用户中心—项目采购—询标澄清</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（1）政采云平台通过待办事项和短信提醒供应商在截止时间前完成澄清。</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（2）供应商在“询标澄清</w:t>
      </w:r>
      <w:r>
        <w:rPr>
          <w:rFonts w:hint="eastAsia" w:ascii="宋体" w:hAnsi="宋体" w:cs="宋体"/>
          <w:color w:val="auto"/>
          <w:highlight w:val="none"/>
          <w:lang w:eastAsia="zh-CN"/>
        </w:rPr>
        <w:t>－</w:t>
      </w:r>
      <w:r>
        <w:rPr>
          <w:rFonts w:hint="eastAsia" w:ascii="宋体" w:hAnsi="宋体" w:cs="宋体"/>
          <w:color w:val="auto"/>
          <w:highlight w:val="none"/>
        </w:rPr>
        <w:t>待办理”标签页下选择状态为“待澄清”的项目，点击操作栏【澄清】。</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（3）查看函内容，在澄清截止时间前上传澄清文件并对澄清文件进行签章。（注：澄清文件必须以PDF格式上传，文件大小：50M）</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（4）签章完成，文件名称处显示“已签章”，供应商可“撤回签章”修改澄清函和“查看文件”。</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（6）完成状态：供应商澄清文件提交成功后，在“询标澄清</w:t>
      </w:r>
      <w:r>
        <w:rPr>
          <w:rFonts w:hint="eastAsia" w:ascii="宋体" w:hAnsi="宋体" w:cs="宋体"/>
          <w:color w:val="auto"/>
          <w:highlight w:val="none"/>
          <w:lang w:eastAsia="zh-CN"/>
        </w:rPr>
        <w:t>－</w:t>
      </w:r>
      <w:r>
        <w:rPr>
          <w:rFonts w:hint="eastAsia" w:ascii="宋体" w:hAnsi="宋体" w:cs="宋体"/>
          <w:color w:val="auto"/>
          <w:highlight w:val="none"/>
        </w:rPr>
        <w:t>全部”标签页下显示状态为“已澄清”。</w:t>
      </w:r>
    </w:p>
    <w:p>
      <w:pPr>
        <w:spacing w:line="400" w:lineRule="exact"/>
        <w:ind w:firstLine="420" w:firstLineChars="200"/>
        <w:jc w:val="left"/>
        <w:rPr>
          <w:rFonts w:ascii="宋体" w:hAnsi="宋体" w:cs="宋体"/>
          <w:color w:val="auto"/>
          <w:highlight w:val="none"/>
        </w:rPr>
      </w:pPr>
      <w:r>
        <w:rPr>
          <w:rFonts w:ascii="宋体" w:hAnsi="宋体" w:cs="宋体"/>
          <w:color w:val="auto"/>
          <w:highlight w:val="none"/>
        </w:rPr>
        <w:t>3.</w:t>
      </w:r>
      <w:r>
        <w:rPr>
          <w:rFonts w:hint="eastAsia" w:ascii="宋体" w:hAnsi="宋体" w:cs="宋体"/>
          <w:color w:val="auto"/>
          <w:highlight w:val="none"/>
        </w:rPr>
        <w:t>3供应商未在截止时间前完成澄清，将被视作自动放弃。</w:t>
      </w:r>
    </w:p>
    <w:p>
      <w:pPr>
        <w:spacing w:line="400" w:lineRule="exact"/>
        <w:ind w:firstLine="422" w:firstLineChars="200"/>
        <w:jc w:val="left"/>
        <w:rPr>
          <w:rFonts w:ascii="宋体" w:hAnsi="宋体"/>
          <w:color w:val="auto"/>
          <w:szCs w:val="21"/>
          <w:highlight w:val="none"/>
        </w:rPr>
      </w:pPr>
      <w:r>
        <w:rPr>
          <w:rFonts w:hint="eastAsia" w:ascii="宋体" w:hAnsi="宋体"/>
          <w:b/>
          <w:color w:val="auto"/>
          <w:szCs w:val="21"/>
          <w:highlight w:val="none"/>
        </w:rPr>
        <w:t>四、特别声明：价格是评标的重要因素之一，但最低价不是中标的唯一依据。</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五、重新招标</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有下列情形之一的，采购人将重新招标：</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5.1</w:t>
      </w:r>
      <w:r>
        <w:rPr>
          <w:rFonts w:hint="eastAsia" w:ascii="宋体" w:hAnsi="宋体"/>
          <w:color w:val="auto"/>
          <w:szCs w:val="21"/>
          <w:highlight w:val="none"/>
        </w:rPr>
        <w:t>投标截止时间止，供应商少于</w:t>
      </w:r>
      <w:r>
        <w:rPr>
          <w:rFonts w:ascii="宋体" w:hAnsi="宋体"/>
          <w:color w:val="auto"/>
          <w:szCs w:val="21"/>
          <w:highlight w:val="none"/>
        </w:rPr>
        <w:t>3</w:t>
      </w:r>
      <w:r>
        <w:rPr>
          <w:rFonts w:hint="eastAsia" w:ascii="宋体" w:hAnsi="宋体"/>
          <w:color w:val="auto"/>
          <w:szCs w:val="21"/>
          <w:highlight w:val="none"/>
        </w:rPr>
        <w:t>个的；</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5.2</w:t>
      </w:r>
      <w:r>
        <w:rPr>
          <w:rFonts w:hint="eastAsia" w:ascii="宋体" w:hAnsi="宋体"/>
          <w:color w:val="auto"/>
          <w:szCs w:val="21"/>
          <w:highlight w:val="none"/>
        </w:rPr>
        <w:t>评标委员会评标过程中，有效供应商少于</w:t>
      </w:r>
      <w:r>
        <w:rPr>
          <w:rFonts w:ascii="宋体" w:hAnsi="宋体"/>
          <w:color w:val="auto"/>
          <w:szCs w:val="21"/>
          <w:highlight w:val="none"/>
        </w:rPr>
        <w:t>3</w:t>
      </w:r>
      <w:r>
        <w:rPr>
          <w:rFonts w:hint="eastAsia" w:ascii="宋体" w:hAnsi="宋体"/>
          <w:color w:val="auto"/>
          <w:szCs w:val="21"/>
          <w:highlight w:val="none"/>
        </w:rPr>
        <w:t>个的；</w:t>
      </w:r>
    </w:p>
    <w:p>
      <w:pPr>
        <w:widowControl/>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5.3</w:t>
      </w:r>
      <w:r>
        <w:rPr>
          <w:rFonts w:hint="eastAsia" w:ascii="宋体" w:hAnsi="宋体"/>
          <w:color w:val="auto"/>
          <w:szCs w:val="21"/>
          <w:highlight w:val="none"/>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pPr>
        <w:spacing w:line="400" w:lineRule="exact"/>
        <w:rPr>
          <w:rFonts w:hint="eastAsia" w:ascii="宋体" w:hAnsi="宋体"/>
          <w:color w:val="auto"/>
          <w:szCs w:val="21"/>
          <w:highlight w:val="none"/>
        </w:rPr>
      </w:pPr>
      <w:r>
        <w:rPr>
          <w:rFonts w:ascii="宋体" w:hAnsi="宋体"/>
          <w:color w:val="auto"/>
          <w:sz w:val="24"/>
          <w:szCs w:val="24"/>
          <w:highlight w:val="none"/>
        </w:rPr>
        <w:br w:type="page"/>
      </w:r>
      <w:r>
        <w:rPr>
          <w:rFonts w:hint="eastAsia" w:ascii="宋体" w:hAnsi="宋体"/>
          <w:b/>
          <w:bCs/>
          <w:color w:val="auto"/>
          <w:sz w:val="22"/>
          <w:szCs w:val="22"/>
          <w:highlight w:val="none"/>
        </w:rPr>
        <w:t>附表</w:t>
      </w:r>
      <w:r>
        <w:rPr>
          <w:rFonts w:ascii="宋体" w:hAnsi="宋体"/>
          <w:b/>
          <w:bCs/>
          <w:color w:val="auto"/>
          <w:sz w:val="22"/>
          <w:szCs w:val="22"/>
          <w:highlight w:val="none"/>
        </w:rPr>
        <w:t>1</w:t>
      </w:r>
      <w:r>
        <w:rPr>
          <w:rFonts w:hint="eastAsia" w:ascii="宋体" w:hAnsi="宋体"/>
          <w:b/>
          <w:bCs/>
          <w:color w:val="auto"/>
          <w:sz w:val="22"/>
          <w:szCs w:val="22"/>
          <w:highlight w:val="none"/>
        </w:rPr>
        <w:t>：</w:t>
      </w:r>
      <w:r>
        <w:rPr>
          <w:rFonts w:hint="eastAsia" w:ascii="宋体" w:hAnsi="宋体"/>
          <w:color w:val="auto"/>
          <w:szCs w:val="21"/>
          <w:highlight w:val="none"/>
        </w:rPr>
        <w:t xml:space="preserve">  </w:t>
      </w:r>
    </w:p>
    <w:p>
      <w:pPr>
        <w:spacing w:line="400" w:lineRule="exact"/>
        <w:rPr>
          <w:rFonts w:hint="eastAsia" w:ascii="宋体" w:hAnsi="宋体"/>
          <w:color w:val="auto"/>
          <w:szCs w:val="21"/>
          <w:highlight w:val="none"/>
        </w:rPr>
      </w:pPr>
      <w:r>
        <w:rPr>
          <w:rFonts w:hint="eastAsia" w:ascii="宋体" w:hAnsi="宋体"/>
          <w:color w:val="auto"/>
          <w:szCs w:val="21"/>
          <w:highlight w:val="none"/>
        </w:rPr>
        <w:t xml:space="preserve">                         </w:t>
      </w:r>
    </w:p>
    <w:p>
      <w:pPr>
        <w:spacing w:line="400" w:lineRule="exact"/>
        <w:jc w:val="center"/>
        <w:rPr>
          <w:rFonts w:ascii="宋体" w:hAnsi="宋体"/>
          <w:b/>
          <w:color w:val="auto"/>
          <w:sz w:val="24"/>
          <w:szCs w:val="24"/>
          <w:highlight w:val="none"/>
        </w:rPr>
      </w:pPr>
      <w:r>
        <w:rPr>
          <w:rFonts w:hint="eastAsia" w:ascii="宋体" w:hAnsi="宋体"/>
          <w:b/>
          <w:color w:val="auto"/>
          <w:sz w:val="24"/>
          <w:szCs w:val="24"/>
          <w:highlight w:val="none"/>
        </w:rPr>
        <w:t>资格性审查表</w:t>
      </w:r>
    </w:p>
    <w:tbl>
      <w:tblPr>
        <w:tblStyle w:val="45"/>
        <w:tblW w:w="10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522"/>
        <w:gridCol w:w="4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4522" w:type="dxa"/>
            <w:noWrap w:val="0"/>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要求说明</w:t>
            </w:r>
          </w:p>
        </w:tc>
        <w:tc>
          <w:tcPr>
            <w:tcW w:w="4846" w:type="dxa"/>
            <w:noWrap w:val="0"/>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4522" w:type="dxa"/>
            <w:noWrap w:val="0"/>
            <w:vAlign w:val="center"/>
          </w:tcPr>
          <w:p>
            <w:pPr>
              <w:spacing w:line="400" w:lineRule="exact"/>
              <w:jc w:val="left"/>
              <w:rPr>
                <w:rFonts w:ascii="宋体" w:hAnsi="宋体"/>
                <w:color w:val="auto"/>
                <w:szCs w:val="21"/>
                <w:highlight w:val="none"/>
              </w:rPr>
            </w:pPr>
            <w:r>
              <w:rPr>
                <w:rFonts w:hint="eastAsia" w:ascii="宋体" w:hAnsi="宋体" w:cs="仿宋"/>
                <w:color w:val="auto"/>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4846" w:type="dxa"/>
            <w:noWrap w:val="0"/>
            <w:vAlign w:val="center"/>
          </w:tcPr>
          <w:p>
            <w:pPr>
              <w:spacing w:line="400" w:lineRule="exact"/>
              <w:jc w:val="left"/>
              <w:rPr>
                <w:rFonts w:hint="eastAsia" w:ascii="宋体" w:hAnsi="宋体"/>
                <w:color w:val="auto"/>
                <w:szCs w:val="21"/>
                <w:highlight w:val="none"/>
              </w:rPr>
            </w:pPr>
            <w:r>
              <w:rPr>
                <w:rFonts w:hint="eastAsia" w:ascii="宋体" w:hAnsi="宋体"/>
                <w:color w:val="auto"/>
                <w:szCs w:val="21"/>
                <w:highlight w:val="none"/>
              </w:rPr>
              <w:t>A1、关于资格的承诺函；</w:t>
            </w:r>
          </w:p>
          <w:p>
            <w:pPr>
              <w:spacing w:line="400" w:lineRule="exact"/>
              <w:jc w:val="left"/>
              <w:rPr>
                <w:rFonts w:ascii="宋体" w:hAnsi="宋体"/>
                <w:color w:val="auto"/>
                <w:szCs w:val="21"/>
                <w:highlight w:val="none"/>
              </w:rPr>
            </w:pPr>
            <w:r>
              <w:rPr>
                <w:rFonts w:hint="eastAsia" w:ascii="宋体" w:hAnsi="宋体"/>
                <w:color w:val="auto"/>
                <w:szCs w:val="21"/>
                <w:highlight w:val="none"/>
              </w:rPr>
              <w:t>A2、营业执照副本（或事业法人登记证副本或其他登记证明材料）</w:t>
            </w:r>
            <w:r>
              <w:rPr>
                <w:rFonts w:hint="eastAsia" w:ascii="宋体" w:hAnsi="宋体"/>
                <w:color w:val="auto"/>
                <w:szCs w:val="21"/>
                <w:highlight w:val="none"/>
                <w:lang w:eastAsia="zh-CN"/>
              </w:rPr>
              <w:t>扫描件</w:t>
            </w:r>
            <w:r>
              <w:rPr>
                <w:rFonts w:hint="eastAsia" w:ascii="宋体" w:hAnsi="宋体"/>
                <w:color w:val="auto"/>
                <w:szCs w:val="21"/>
                <w:highlight w:val="none"/>
                <w:lang w:val="en-US" w:eastAsia="zh-CN"/>
              </w:rPr>
              <w:t>或电子营业执照</w:t>
            </w:r>
            <w:r>
              <w:rPr>
                <w:rFonts w:hint="eastAsia" w:ascii="宋体" w:hAnsi="宋体"/>
                <w:color w:val="auto"/>
                <w:szCs w:val="21"/>
                <w:highlight w:val="none"/>
              </w:rPr>
              <w:t>加盖供应商公章（供应商如果有名称变更的，应提供由行政主管部门出具的变更证明文件</w:t>
            </w:r>
            <w:r>
              <w:rPr>
                <w:rFonts w:hint="eastAsia" w:ascii="宋体" w:hAnsi="宋体"/>
                <w:color w:val="auto"/>
                <w:szCs w:val="21"/>
                <w:highlight w:val="none"/>
                <w:lang w:eastAsia="zh-CN"/>
              </w:rPr>
              <w:t>扫描件</w:t>
            </w:r>
            <w:r>
              <w:rPr>
                <w:rFonts w:hint="eastAsia" w:ascii="宋体" w:hAnsi="宋体"/>
                <w:color w:val="auto"/>
                <w:szCs w:val="21"/>
                <w:highlight w:val="none"/>
              </w:rPr>
              <w:t>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2" w:type="dxa"/>
            <w:gridSpan w:val="2"/>
            <w:noWrap w:val="0"/>
            <w:vAlign w:val="center"/>
          </w:tcPr>
          <w:p>
            <w:pPr>
              <w:spacing w:line="400" w:lineRule="exact"/>
              <w:jc w:val="center"/>
              <w:rPr>
                <w:rFonts w:ascii="宋体" w:hAnsi="宋体"/>
                <w:color w:val="auto"/>
                <w:highlight w:val="none"/>
              </w:rPr>
            </w:pPr>
            <w:r>
              <w:rPr>
                <w:rFonts w:hint="eastAsia" w:ascii="宋体" w:hAnsi="宋体"/>
                <w:b/>
                <w:color w:val="auto"/>
                <w:szCs w:val="21"/>
                <w:highlight w:val="none"/>
              </w:rPr>
              <w:t>资格性审查结论</w:t>
            </w:r>
          </w:p>
        </w:tc>
        <w:tc>
          <w:tcPr>
            <w:tcW w:w="4846" w:type="dxa"/>
            <w:noWrap w:val="0"/>
            <w:vAlign w:val="center"/>
          </w:tcPr>
          <w:p>
            <w:pPr>
              <w:spacing w:line="400" w:lineRule="exact"/>
              <w:jc w:val="center"/>
              <w:rPr>
                <w:rFonts w:ascii="宋体" w:hAnsi="宋体"/>
                <w:color w:val="auto"/>
                <w:szCs w:val="21"/>
                <w:highlight w:val="none"/>
              </w:rPr>
            </w:pPr>
          </w:p>
        </w:tc>
      </w:tr>
    </w:tbl>
    <w:p>
      <w:pPr>
        <w:spacing w:line="340" w:lineRule="exact"/>
        <w:rPr>
          <w:rFonts w:hint="eastAsia" w:ascii="宋体" w:hAnsi="宋体"/>
          <w:b/>
          <w:color w:val="auto"/>
          <w:highlight w:val="none"/>
        </w:rPr>
      </w:pPr>
      <w:r>
        <w:rPr>
          <w:rFonts w:hint="eastAsia" w:ascii="宋体" w:hAnsi="宋体"/>
          <w:b/>
          <w:color w:val="auto"/>
          <w:highlight w:val="none"/>
        </w:rPr>
        <w:t>注：1、上述资格证明文件未按招标文件要求附入投标文件中的，资格性审查不合格。</w:t>
      </w:r>
    </w:p>
    <w:p>
      <w:pPr>
        <w:spacing w:line="340" w:lineRule="exact"/>
        <w:ind w:firstLine="422" w:firstLineChars="200"/>
        <w:rPr>
          <w:rFonts w:hint="eastAsia" w:ascii="宋体" w:hAnsi="宋体"/>
          <w:b/>
          <w:color w:val="auto"/>
          <w:highlight w:val="none"/>
        </w:rPr>
      </w:pPr>
      <w:r>
        <w:rPr>
          <w:rFonts w:hint="eastAsia" w:ascii="宋体" w:hAnsi="宋体"/>
          <w:b/>
          <w:color w:val="auto"/>
          <w:highlight w:val="none"/>
        </w:rPr>
        <w:t>2、上述审查项目中，任意一项不符合的，资格性审查不合格。</w:t>
      </w:r>
    </w:p>
    <w:p>
      <w:pPr>
        <w:spacing w:line="340" w:lineRule="exact"/>
        <w:ind w:firstLine="422" w:firstLineChars="200"/>
        <w:rPr>
          <w:rFonts w:hint="eastAsia" w:ascii="宋体" w:hAnsi="宋体"/>
          <w:b/>
          <w:color w:val="auto"/>
          <w:highlight w:val="none"/>
        </w:rPr>
      </w:pPr>
      <w:r>
        <w:rPr>
          <w:rFonts w:hint="eastAsia" w:ascii="宋体" w:hAnsi="宋体"/>
          <w:b/>
          <w:color w:val="auto"/>
          <w:highlight w:val="none"/>
        </w:rPr>
        <w:t>3、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pPr>
        <w:spacing w:line="340" w:lineRule="exact"/>
        <w:ind w:firstLine="422" w:firstLineChars="200"/>
        <w:rPr>
          <w:rFonts w:ascii="宋体" w:hAnsi="宋体"/>
          <w:b/>
          <w:color w:val="auto"/>
          <w:highlight w:val="none"/>
        </w:rPr>
      </w:pPr>
      <w:r>
        <w:rPr>
          <w:rFonts w:hint="eastAsia" w:ascii="宋体" w:hAnsi="宋体"/>
          <w:b/>
          <w:color w:val="auto"/>
          <w:highlight w:val="none"/>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p>
      <w:pPr>
        <w:spacing w:line="400" w:lineRule="exact"/>
        <w:rPr>
          <w:rFonts w:ascii="宋体" w:hAnsi="宋体"/>
          <w:color w:val="auto"/>
          <w:szCs w:val="21"/>
          <w:highlight w:val="none"/>
        </w:rPr>
      </w:pPr>
      <w:r>
        <w:rPr>
          <w:rFonts w:ascii="宋体" w:hAnsi="宋体"/>
          <w:color w:val="auto"/>
          <w:szCs w:val="21"/>
          <w:highlight w:val="none"/>
        </w:rPr>
        <w:br w:type="page"/>
      </w:r>
      <w:r>
        <w:rPr>
          <w:rFonts w:hint="eastAsia" w:ascii="宋体" w:hAnsi="宋体"/>
          <w:b/>
          <w:bCs/>
          <w:color w:val="auto"/>
          <w:sz w:val="22"/>
          <w:szCs w:val="22"/>
          <w:highlight w:val="none"/>
        </w:rPr>
        <w:t>附表</w:t>
      </w:r>
      <w:r>
        <w:rPr>
          <w:rFonts w:ascii="宋体" w:hAnsi="宋体"/>
          <w:b/>
          <w:bCs/>
          <w:color w:val="auto"/>
          <w:sz w:val="22"/>
          <w:szCs w:val="22"/>
          <w:highlight w:val="none"/>
        </w:rPr>
        <w:t>2</w:t>
      </w:r>
      <w:r>
        <w:rPr>
          <w:rFonts w:hint="eastAsia" w:ascii="宋体" w:hAnsi="宋体"/>
          <w:b/>
          <w:bCs/>
          <w:color w:val="auto"/>
          <w:sz w:val="22"/>
          <w:szCs w:val="22"/>
          <w:highlight w:val="none"/>
        </w:rPr>
        <w:t>：</w:t>
      </w:r>
    </w:p>
    <w:p>
      <w:pPr>
        <w:widowControl/>
        <w:snapToGrid w:val="0"/>
        <w:spacing w:line="560" w:lineRule="exact"/>
        <w:jc w:val="center"/>
        <w:rPr>
          <w:rFonts w:ascii="宋体" w:hAnsi="宋体"/>
          <w:b/>
          <w:color w:val="auto"/>
          <w:szCs w:val="21"/>
          <w:highlight w:val="none"/>
        </w:rPr>
      </w:pPr>
      <w:r>
        <w:rPr>
          <w:rFonts w:hint="eastAsia" w:ascii="宋体" w:hAnsi="宋体"/>
          <w:b/>
          <w:color w:val="auto"/>
          <w:szCs w:val="21"/>
          <w:highlight w:val="none"/>
        </w:rPr>
        <w:t>符合性审查表</w:t>
      </w:r>
    </w:p>
    <w:tbl>
      <w:tblPr>
        <w:tblStyle w:val="45"/>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37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top"/>
          </w:tcPr>
          <w:p>
            <w:pPr>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4378" w:type="dxa"/>
            <w:noWrap w:val="0"/>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要求说明</w:t>
            </w:r>
          </w:p>
        </w:tc>
        <w:tc>
          <w:tcPr>
            <w:tcW w:w="4522" w:type="dxa"/>
            <w:noWrap w:val="0"/>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64" w:hRule="atLeast"/>
          <w:jc w:val="center"/>
        </w:trPr>
        <w:tc>
          <w:tcPr>
            <w:tcW w:w="720"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4378" w:type="dxa"/>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投标有效期：符合第二章“投标须知”第六、</w:t>
            </w:r>
            <w:r>
              <w:rPr>
                <w:rFonts w:ascii="宋体" w:hAnsi="宋体"/>
                <w:color w:val="auto"/>
                <w:szCs w:val="21"/>
                <w:highlight w:val="none"/>
              </w:rPr>
              <w:t>1</w:t>
            </w:r>
            <w:r>
              <w:rPr>
                <w:rFonts w:hint="eastAsia" w:ascii="宋体" w:hAnsi="宋体"/>
                <w:color w:val="auto"/>
                <w:szCs w:val="21"/>
                <w:highlight w:val="none"/>
              </w:rPr>
              <w:t>条的要求。</w:t>
            </w:r>
          </w:p>
        </w:tc>
        <w:tc>
          <w:tcPr>
            <w:tcW w:w="4522" w:type="dxa"/>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提供“投标书”</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2</w:t>
            </w:r>
          </w:p>
        </w:tc>
        <w:tc>
          <w:tcPr>
            <w:tcW w:w="4378" w:type="dxa"/>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法定代表人身份证明、法定代表人授权书。</w:t>
            </w:r>
          </w:p>
        </w:tc>
        <w:tc>
          <w:tcPr>
            <w:tcW w:w="4522" w:type="dxa"/>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（1）投标文件由法定代表人签字的，提供“法定代表人身份证明”</w:t>
            </w:r>
            <w:r>
              <w:rPr>
                <w:rFonts w:hint="eastAsia" w:ascii="宋体" w:hAnsi="宋体" w:cs="宋体"/>
                <w:color w:val="auto"/>
                <w:szCs w:val="21"/>
                <w:highlight w:val="none"/>
              </w:rPr>
              <w:t>。</w:t>
            </w:r>
          </w:p>
          <w:p>
            <w:pPr>
              <w:snapToGrid w:val="0"/>
              <w:spacing w:line="360" w:lineRule="exact"/>
              <w:rPr>
                <w:rFonts w:hint="eastAsia" w:ascii="宋体" w:hAnsi="宋体" w:eastAsia="宋体"/>
                <w:color w:val="auto"/>
                <w:szCs w:val="21"/>
                <w:highlight w:val="none"/>
                <w:lang w:eastAsia="zh-CN"/>
              </w:rPr>
            </w:pPr>
            <w:r>
              <w:rPr>
                <w:rFonts w:hint="eastAsia" w:ascii="宋体" w:hAnsi="宋体"/>
                <w:color w:val="auto"/>
                <w:szCs w:val="21"/>
                <w:highlight w:val="none"/>
              </w:rPr>
              <w:t>（2）投标文件由授权代表签字的，提供“法定代表人身份证明”和“法定代表人授权书”</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4378"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符合第二章“投标须知”第九、</w:t>
            </w:r>
            <w:r>
              <w:rPr>
                <w:rFonts w:ascii="宋体" w:hAnsi="宋体"/>
                <w:color w:val="auto"/>
                <w:szCs w:val="21"/>
                <w:highlight w:val="none"/>
              </w:rPr>
              <w:t>1</w:t>
            </w:r>
            <w:r>
              <w:rPr>
                <w:rFonts w:hint="eastAsia" w:ascii="宋体" w:hAnsi="宋体"/>
                <w:color w:val="auto"/>
                <w:szCs w:val="21"/>
                <w:highlight w:val="none"/>
              </w:rPr>
              <w:t>条的要求。</w:t>
            </w:r>
          </w:p>
        </w:tc>
        <w:tc>
          <w:tcPr>
            <w:tcW w:w="4522"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投标文件的签署盖章符合所述要求。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4378"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商务和技术文件中不得出现涉及投标价格的内容。</w:t>
            </w:r>
          </w:p>
        </w:tc>
        <w:tc>
          <w:tcPr>
            <w:tcW w:w="4522"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商务和技术文件中是否出现涉及投标价格的内容。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5</w:t>
            </w:r>
          </w:p>
        </w:tc>
        <w:tc>
          <w:tcPr>
            <w:tcW w:w="4378" w:type="dxa"/>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对同个标项不允许提供两个投标方案。</w:t>
            </w:r>
          </w:p>
        </w:tc>
        <w:tc>
          <w:tcPr>
            <w:tcW w:w="4522"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是否有两个投标方案。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c>
          <w:tcPr>
            <w:tcW w:w="4378" w:type="dxa"/>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供应商不得在投标活动中提供任何虚假材料或从事其他违法活动的。</w:t>
            </w:r>
          </w:p>
        </w:tc>
        <w:tc>
          <w:tcPr>
            <w:tcW w:w="4522"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不得提供任何虚假材料或从事其他违法活动。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7</w:t>
            </w:r>
          </w:p>
        </w:tc>
        <w:tc>
          <w:tcPr>
            <w:tcW w:w="4378" w:type="dxa"/>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评标委员会经过审查，认定供应商虚假应标、串通投标的，有下列情形之一的，视为供应商串通投标：</w:t>
            </w:r>
          </w:p>
          <w:p>
            <w:pPr>
              <w:widowControl/>
              <w:snapToGrid w:val="0"/>
              <w:spacing w:line="36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）不同供应商的投标文件由同一单位或者个人编制；</w:t>
            </w:r>
          </w:p>
          <w:p>
            <w:pPr>
              <w:widowControl/>
              <w:snapToGrid w:val="0"/>
              <w:spacing w:line="36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）不同供应商委托同一单位或者个人办理投标事宜；</w:t>
            </w:r>
          </w:p>
          <w:p>
            <w:pPr>
              <w:widowControl/>
              <w:snapToGrid w:val="0"/>
              <w:spacing w:line="36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）不同供应商的投标文件载明的项目管理成员或者联系人员为同一人；</w:t>
            </w:r>
          </w:p>
          <w:p>
            <w:pPr>
              <w:widowControl/>
              <w:snapToGrid w:val="0"/>
              <w:spacing w:line="36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）不同供应商的投标文件异常一致或者投标报价呈规律性差异；</w:t>
            </w:r>
          </w:p>
          <w:p>
            <w:pPr>
              <w:widowControl/>
              <w:snapToGrid w:val="0"/>
              <w:spacing w:line="36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）不同供应商的投标文件相互混装。</w:t>
            </w:r>
          </w:p>
        </w:tc>
        <w:tc>
          <w:tcPr>
            <w:tcW w:w="4522"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不得有所述情形。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8</w:t>
            </w:r>
          </w:p>
        </w:tc>
        <w:tc>
          <w:tcPr>
            <w:tcW w:w="4378" w:type="dxa"/>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符合法律、法规和招标文件中规定的其他实质性要求（实质性要求招标文件中“</w:t>
            </w:r>
            <w:r>
              <w:rPr>
                <w:rFonts w:hint="eastAsia" w:ascii="宋体" w:hAnsi="宋体"/>
                <w:b/>
                <w:color w:val="auto"/>
                <w:sz w:val="24"/>
                <w:highlight w:val="none"/>
                <w:lang w:eastAsia="zh-CN"/>
              </w:rPr>
              <w:t>★</w:t>
            </w:r>
            <w:r>
              <w:rPr>
                <w:rFonts w:hint="eastAsia" w:ascii="宋体" w:hAnsi="宋体"/>
                <w:color w:val="auto"/>
                <w:szCs w:val="21"/>
                <w:highlight w:val="none"/>
              </w:rPr>
              <w:t>”标记）。</w:t>
            </w:r>
          </w:p>
        </w:tc>
        <w:tc>
          <w:tcPr>
            <w:tcW w:w="4522"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9</w:t>
            </w:r>
          </w:p>
        </w:tc>
        <w:tc>
          <w:tcPr>
            <w:tcW w:w="4378"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本项目不接受联合体投标。</w:t>
            </w:r>
          </w:p>
        </w:tc>
        <w:tc>
          <w:tcPr>
            <w:tcW w:w="4522"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供应商非联合体。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5098" w:type="dxa"/>
            <w:gridSpan w:val="2"/>
            <w:noWrap w:val="0"/>
            <w:vAlign w:val="center"/>
          </w:tcPr>
          <w:p>
            <w:pPr>
              <w:spacing w:line="400" w:lineRule="exact"/>
              <w:jc w:val="center"/>
              <w:rPr>
                <w:rFonts w:hint="eastAsia" w:ascii="宋体" w:hAnsi="宋体"/>
                <w:color w:val="auto"/>
                <w:szCs w:val="21"/>
                <w:highlight w:val="none"/>
              </w:rPr>
            </w:pPr>
            <w:r>
              <w:rPr>
                <w:rFonts w:hint="eastAsia" w:ascii="宋体" w:hAnsi="宋体"/>
                <w:b/>
                <w:color w:val="auto"/>
                <w:szCs w:val="21"/>
                <w:highlight w:val="none"/>
              </w:rPr>
              <w:t>符合性审查结论</w:t>
            </w:r>
          </w:p>
        </w:tc>
        <w:tc>
          <w:tcPr>
            <w:tcW w:w="4522" w:type="dxa"/>
            <w:noWrap w:val="0"/>
            <w:vAlign w:val="center"/>
          </w:tcPr>
          <w:p>
            <w:pPr>
              <w:spacing w:line="400" w:lineRule="exact"/>
              <w:rPr>
                <w:rFonts w:hint="eastAsia" w:ascii="宋体" w:hAnsi="宋体"/>
                <w:color w:val="auto"/>
                <w:szCs w:val="21"/>
                <w:highlight w:val="none"/>
              </w:rPr>
            </w:pPr>
          </w:p>
        </w:tc>
      </w:tr>
    </w:tbl>
    <w:p>
      <w:pPr>
        <w:spacing w:line="400" w:lineRule="exact"/>
        <w:rPr>
          <w:rFonts w:hint="eastAsia" w:ascii="宋体" w:hAnsi="宋体"/>
          <w:b/>
          <w:color w:val="auto"/>
          <w:highlight w:val="none"/>
        </w:rPr>
      </w:pPr>
      <w:r>
        <w:rPr>
          <w:rFonts w:hint="eastAsia" w:ascii="宋体" w:hAnsi="宋体"/>
          <w:b/>
          <w:color w:val="auto"/>
          <w:highlight w:val="none"/>
        </w:rPr>
        <w:t>注：上述审查项目中，任意一项不符合的，符合性审查不合格。</w:t>
      </w:r>
    </w:p>
    <w:p>
      <w:pPr>
        <w:spacing w:line="400" w:lineRule="exact"/>
        <w:rPr>
          <w:rFonts w:hint="eastAsia" w:ascii="宋体" w:hAnsi="宋体"/>
          <w:color w:val="auto"/>
          <w:szCs w:val="21"/>
          <w:highlight w:val="none"/>
        </w:rPr>
      </w:pPr>
      <w:r>
        <w:rPr>
          <w:rFonts w:ascii="宋体" w:hAnsi="宋体"/>
          <w:b/>
          <w:color w:val="auto"/>
          <w:highlight w:val="none"/>
        </w:rPr>
        <w:t xml:space="preserve"> </w:t>
      </w:r>
    </w:p>
    <w:p>
      <w:pPr>
        <w:spacing w:line="400" w:lineRule="exact"/>
        <w:rPr>
          <w:rFonts w:ascii="宋体" w:hAnsi="宋体"/>
          <w:color w:val="auto"/>
          <w:szCs w:val="21"/>
          <w:highlight w:val="none"/>
        </w:rPr>
      </w:pPr>
      <w:r>
        <w:rPr>
          <w:rFonts w:ascii="宋体" w:hAnsi="宋体"/>
          <w:color w:val="auto"/>
          <w:szCs w:val="21"/>
          <w:highlight w:val="none"/>
        </w:rPr>
        <w:br w:type="page"/>
      </w:r>
      <w:r>
        <w:rPr>
          <w:rFonts w:hint="eastAsia" w:ascii="宋体" w:hAnsi="宋体"/>
          <w:b/>
          <w:bCs/>
          <w:color w:val="auto"/>
          <w:sz w:val="22"/>
          <w:szCs w:val="22"/>
          <w:highlight w:val="none"/>
        </w:rPr>
        <w:t>附表</w:t>
      </w:r>
      <w:r>
        <w:rPr>
          <w:rFonts w:ascii="宋体" w:hAnsi="宋体"/>
          <w:b/>
          <w:bCs/>
          <w:color w:val="auto"/>
          <w:sz w:val="22"/>
          <w:szCs w:val="22"/>
          <w:highlight w:val="none"/>
        </w:rPr>
        <w:t>3</w:t>
      </w:r>
      <w:r>
        <w:rPr>
          <w:rFonts w:hint="eastAsia" w:ascii="宋体" w:hAnsi="宋体"/>
          <w:b/>
          <w:bCs/>
          <w:color w:val="auto"/>
          <w:sz w:val="22"/>
          <w:szCs w:val="22"/>
          <w:highlight w:val="none"/>
        </w:rPr>
        <w:t>：</w:t>
      </w:r>
    </w:p>
    <w:p>
      <w:pPr>
        <w:spacing w:line="400" w:lineRule="exact"/>
        <w:jc w:val="center"/>
        <w:rPr>
          <w:rFonts w:ascii="宋体" w:hAnsi="宋体"/>
          <w:color w:val="auto"/>
          <w:szCs w:val="21"/>
          <w:highlight w:val="none"/>
        </w:rPr>
      </w:pPr>
      <w:r>
        <w:rPr>
          <w:rFonts w:hint="eastAsia" w:ascii="宋体" w:hAnsi="宋体"/>
          <w:b/>
          <w:color w:val="auto"/>
          <w:szCs w:val="21"/>
          <w:highlight w:val="none"/>
        </w:rPr>
        <w:t>商务和技术评分表</w:t>
      </w:r>
    </w:p>
    <w:p>
      <w:pPr>
        <w:widowControl/>
        <w:spacing w:line="400" w:lineRule="exact"/>
        <w:jc w:val="left"/>
        <w:rPr>
          <w:rFonts w:hint="eastAsia" w:ascii="宋体" w:hAnsi="宋体"/>
          <w:b/>
          <w:color w:val="auto"/>
          <w:szCs w:val="21"/>
          <w:highlight w:val="none"/>
        </w:rPr>
      </w:pPr>
      <w:r>
        <w:rPr>
          <w:rFonts w:hint="eastAsia" w:ascii="宋体" w:hAnsi="宋体"/>
          <w:b/>
          <w:color w:val="auto"/>
          <w:szCs w:val="21"/>
          <w:highlight w:val="none"/>
        </w:rPr>
        <w:t xml:space="preserve">项目编号：                                </w:t>
      </w:r>
    </w:p>
    <w:tbl>
      <w:tblPr>
        <w:tblStyle w:val="45"/>
        <w:tblW w:w="996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39"/>
        <w:gridCol w:w="102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8939" w:type="dxa"/>
            <w:gridSpan w:val="2"/>
            <w:noWrap w:val="0"/>
            <w:vAlign w:val="center"/>
          </w:tcPr>
          <w:p>
            <w:pPr>
              <w:spacing w:line="300" w:lineRule="exact"/>
              <w:jc w:val="center"/>
              <w:rPr>
                <w:rFonts w:ascii="宋体" w:hAnsi="宋体"/>
                <w:color w:val="auto"/>
                <w:szCs w:val="21"/>
                <w:highlight w:val="none"/>
              </w:rPr>
            </w:pPr>
            <w:r>
              <w:rPr>
                <w:rFonts w:hint="eastAsia" w:ascii="宋体" w:hAnsi="宋体"/>
                <w:b/>
                <w:color w:val="auto"/>
                <w:szCs w:val="21"/>
                <w:highlight w:val="none"/>
              </w:rPr>
              <w:t>总分</w:t>
            </w:r>
            <w:r>
              <w:rPr>
                <w:rFonts w:hint="eastAsia" w:ascii="宋体" w:hAnsi="宋体"/>
                <w:b/>
                <w:color w:val="auto"/>
                <w:szCs w:val="21"/>
                <w:highlight w:val="none"/>
                <w:lang w:val="en-US" w:eastAsia="zh-CN"/>
              </w:rPr>
              <w:t>8</w:t>
            </w:r>
            <w:r>
              <w:rPr>
                <w:rFonts w:hint="eastAsia" w:ascii="宋体" w:hAnsi="宋体"/>
                <w:b/>
                <w:color w:val="auto"/>
                <w:szCs w:val="21"/>
                <w:highlight w:val="none"/>
              </w:rPr>
              <w:t>0分</w:t>
            </w:r>
          </w:p>
        </w:tc>
        <w:tc>
          <w:tcPr>
            <w:tcW w:w="1023" w:type="dxa"/>
            <w:noWrap w:val="0"/>
            <w:vAlign w:val="center"/>
          </w:tcPr>
          <w:p>
            <w:pPr>
              <w:spacing w:line="300" w:lineRule="exact"/>
              <w:jc w:val="center"/>
              <w:rPr>
                <w:rFonts w:ascii="宋体" w:hAnsi="宋体"/>
                <w:color w:val="auto"/>
                <w:szCs w:val="21"/>
                <w:highlight w:val="none"/>
              </w:rPr>
            </w:pPr>
            <w:r>
              <w:rPr>
                <w:rFonts w:hint="eastAsia" w:ascii="宋体" w:hAnsi="宋体"/>
                <w:b/>
                <w:color w:val="auto"/>
                <w:szCs w:val="21"/>
                <w:highlight w:val="none"/>
                <w:lang w:val="en-US" w:eastAsia="zh-CN"/>
              </w:rPr>
              <w:t>8</w:t>
            </w:r>
            <w:r>
              <w:rPr>
                <w:rFonts w:hint="eastAsia" w:ascii="宋体" w:hAnsi="宋体"/>
                <w:b/>
                <w:color w:val="auto"/>
                <w:szCs w:val="21"/>
                <w:highlight w:val="none"/>
              </w:rPr>
              <w:t>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00" w:type="dxa"/>
            <w:vMerge w:val="restart"/>
            <w:noWrap w:val="0"/>
            <w:vAlign w:val="center"/>
          </w:tcPr>
          <w:p>
            <w:pPr>
              <w:spacing w:line="300" w:lineRule="exact"/>
              <w:jc w:val="center"/>
              <w:rPr>
                <w:rFonts w:ascii="宋体" w:hAnsi="宋体"/>
                <w:b/>
                <w:color w:val="auto"/>
                <w:szCs w:val="21"/>
                <w:highlight w:val="none"/>
              </w:rPr>
            </w:pPr>
            <w:r>
              <w:rPr>
                <w:rFonts w:hint="eastAsia" w:ascii="宋体" w:hAnsi="宋体"/>
                <w:b/>
                <w:color w:val="auto"/>
                <w:szCs w:val="21"/>
                <w:highlight w:val="none"/>
              </w:rPr>
              <w:t>商</w:t>
            </w:r>
          </w:p>
          <w:p>
            <w:pPr>
              <w:spacing w:line="300" w:lineRule="exact"/>
              <w:jc w:val="center"/>
              <w:rPr>
                <w:rFonts w:ascii="宋体" w:hAnsi="宋体"/>
                <w:b/>
                <w:color w:val="auto"/>
                <w:szCs w:val="21"/>
                <w:highlight w:val="none"/>
              </w:rPr>
            </w:pPr>
            <w:r>
              <w:rPr>
                <w:rFonts w:hint="eastAsia" w:ascii="宋体" w:hAnsi="宋体"/>
                <w:b/>
                <w:color w:val="auto"/>
                <w:szCs w:val="21"/>
                <w:highlight w:val="none"/>
              </w:rPr>
              <w:t>务</w:t>
            </w:r>
          </w:p>
          <w:p>
            <w:pPr>
              <w:spacing w:line="300" w:lineRule="exact"/>
              <w:jc w:val="center"/>
              <w:rPr>
                <w:rFonts w:ascii="宋体" w:hAnsi="宋体"/>
                <w:b/>
                <w:color w:val="auto"/>
                <w:szCs w:val="21"/>
                <w:highlight w:val="none"/>
              </w:rPr>
            </w:pPr>
            <w:r>
              <w:rPr>
                <w:rFonts w:hint="eastAsia" w:ascii="宋体" w:hAnsi="宋体"/>
                <w:b/>
                <w:color w:val="auto"/>
                <w:szCs w:val="21"/>
                <w:highlight w:val="none"/>
              </w:rPr>
              <w:t>分</w:t>
            </w:r>
          </w:p>
          <w:p>
            <w:pPr>
              <w:spacing w:line="300" w:lineRule="exact"/>
              <w:jc w:val="center"/>
              <w:rPr>
                <w:rFonts w:ascii="宋体" w:hAnsi="宋体"/>
                <w:b/>
                <w:color w:val="auto"/>
                <w:szCs w:val="21"/>
                <w:highlight w:val="none"/>
              </w:rPr>
            </w:pPr>
            <w:r>
              <w:rPr>
                <w:rFonts w:hint="eastAsia" w:ascii="宋体" w:hAnsi="宋体"/>
                <w:b/>
                <w:color w:val="auto"/>
                <w:szCs w:val="21"/>
                <w:highlight w:val="none"/>
                <w:lang w:val="en-US" w:eastAsia="zh-CN"/>
              </w:rPr>
              <w:t>1</w:t>
            </w:r>
            <w:r>
              <w:rPr>
                <w:rFonts w:hint="eastAsia" w:ascii="宋体" w:hAnsi="宋体"/>
                <w:b/>
                <w:color w:val="auto"/>
                <w:szCs w:val="21"/>
                <w:highlight w:val="none"/>
                <w:lang w:val="en-US" w:eastAsia="zh-CN"/>
              </w:rPr>
              <w:t>4</w:t>
            </w:r>
            <w:r>
              <w:rPr>
                <w:rFonts w:hint="eastAsia" w:ascii="宋体" w:hAnsi="宋体"/>
                <w:b/>
                <w:color w:val="auto"/>
                <w:szCs w:val="21"/>
                <w:highlight w:val="none"/>
              </w:rPr>
              <w:t>分</w:t>
            </w:r>
          </w:p>
        </w:tc>
        <w:tc>
          <w:tcPr>
            <w:tcW w:w="8139" w:type="dxa"/>
            <w:noWrap w:val="0"/>
            <w:vAlign w:val="center"/>
          </w:tcPr>
          <w:p>
            <w:pPr>
              <w:spacing w:line="320" w:lineRule="exact"/>
              <w:rPr>
                <w:rFonts w:hint="eastAsia" w:ascii="宋体" w:hAnsi="宋体" w:eastAsia="宋体" w:cs="宋体"/>
                <w:b/>
                <w:color w:val="auto"/>
                <w:szCs w:val="22"/>
                <w:highlight w:val="none"/>
                <w:lang w:val="en-US" w:eastAsia="zh-CN"/>
              </w:rPr>
            </w:pPr>
            <w:r>
              <w:rPr>
                <w:rFonts w:hint="eastAsia" w:ascii="宋体" w:hAnsi="宋体" w:eastAsia="宋体" w:cs="宋体"/>
                <w:b/>
                <w:color w:val="auto"/>
                <w:szCs w:val="22"/>
                <w:highlight w:val="none"/>
                <w:lang w:val="en-US" w:eastAsia="zh-CN"/>
              </w:rPr>
              <w:t>1、投标人业绩（2分）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auto"/>
                <w:highlight w:val="none"/>
                <w:lang w:eastAsia="zh-CN"/>
              </w:rPr>
            </w:pPr>
            <w:r>
              <w:rPr>
                <w:rFonts w:hint="eastAsia"/>
                <w:color w:val="auto"/>
                <w:highlight w:val="none"/>
              </w:rPr>
              <w:t>投标</w:t>
            </w:r>
            <w:r>
              <w:rPr>
                <w:rFonts w:hint="eastAsia"/>
                <w:color w:val="auto"/>
                <w:highlight w:val="none"/>
                <w:lang w:val="en-US" w:eastAsia="zh-CN"/>
              </w:rPr>
              <w:t>人具有</w:t>
            </w:r>
            <w:r>
              <w:rPr>
                <w:rFonts w:hint="eastAsia"/>
                <w:color w:val="auto"/>
                <w:highlight w:val="none"/>
              </w:rPr>
              <w:t>201</w:t>
            </w:r>
            <w:r>
              <w:rPr>
                <w:rFonts w:hint="eastAsia"/>
                <w:color w:val="auto"/>
                <w:highlight w:val="none"/>
                <w:lang w:val="en-US" w:eastAsia="zh-CN"/>
              </w:rPr>
              <w:t>9</w:t>
            </w:r>
            <w:r>
              <w:rPr>
                <w:rFonts w:hint="eastAsia"/>
                <w:color w:val="auto"/>
                <w:highlight w:val="none"/>
              </w:rPr>
              <w:t>年1月1日至投标截止时间本单位（指合同签订时间）承接过</w:t>
            </w:r>
            <w:r>
              <w:rPr>
                <w:rFonts w:hint="eastAsia"/>
                <w:color w:val="auto"/>
                <w:szCs w:val="21"/>
                <w:highlight w:val="none"/>
              </w:rPr>
              <w:t>类似乡镇、街道（包括市、县）的保洁服务业绩（即每个业绩同时至少包含道路、河道、绿化、公厕保洁以及</w:t>
            </w:r>
            <w:r>
              <w:rPr>
                <w:rFonts w:hint="eastAsia"/>
                <w:color w:val="auto"/>
                <w:szCs w:val="21"/>
                <w:highlight w:val="none"/>
                <w:lang w:val="en-US" w:eastAsia="zh-CN"/>
              </w:rPr>
              <w:t>垃圾</w:t>
            </w:r>
            <w:r>
              <w:rPr>
                <w:rFonts w:hint="eastAsia"/>
                <w:color w:val="auto"/>
                <w:szCs w:val="21"/>
                <w:highlight w:val="none"/>
              </w:rPr>
              <w:t>中转站垃圾压缩和垃圾压缩块转运服务）</w:t>
            </w:r>
            <w:r>
              <w:rPr>
                <w:rFonts w:hint="eastAsia"/>
                <w:color w:val="auto"/>
                <w:highlight w:val="none"/>
                <w:lang w:val="en-US" w:eastAsia="zh-CN"/>
              </w:rPr>
              <w:t>，每提供一个符合要求的业绩的</w:t>
            </w:r>
            <w:r>
              <w:rPr>
                <w:rFonts w:hint="eastAsia"/>
                <w:color w:val="auto"/>
                <w:highlight w:val="none"/>
              </w:rPr>
              <w:t>得</w:t>
            </w:r>
            <w:r>
              <w:rPr>
                <w:rFonts w:hint="eastAsia"/>
                <w:color w:val="auto"/>
                <w:highlight w:val="none"/>
                <w:lang w:val="en-US" w:eastAsia="zh-CN"/>
              </w:rPr>
              <w:t>1</w:t>
            </w:r>
            <w:r>
              <w:rPr>
                <w:rFonts w:hint="eastAsia"/>
                <w:color w:val="auto"/>
                <w:highlight w:val="none"/>
              </w:rPr>
              <w:t>分</w:t>
            </w:r>
            <w:r>
              <w:rPr>
                <w:rFonts w:hint="eastAsia"/>
                <w:color w:val="auto"/>
                <w:highlight w:val="none"/>
                <w:lang w:eastAsia="zh-CN"/>
              </w:rPr>
              <w:t>，</w:t>
            </w:r>
            <w:r>
              <w:rPr>
                <w:rFonts w:hint="eastAsia"/>
                <w:color w:val="auto"/>
                <w:highlight w:val="none"/>
                <w:lang w:val="en-US" w:eastAsia="zh-CN"/>
              </w:rPr>
              <w:t>最高得2分</w:t>
            </w:r>
            <w:r>
              <w:rPr>
                <w:rFonts w:hint="eastAsia"/>
                <w:color w:val="auto"/>
                <w:highlight w:val="none"/>
                <w:lang w:eastAsia="zh-CN"/>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auto"/>
                <w:highlight w:val="none"/>
              </w:rPr>
            </w:pPr>
            <w:r>
              <w:rPr>
                <w:rFonts w:hint="eastAsia"/>
                <w:color w:val="auto"/>
                <w:highlight w:val="none"/>
                <w:lang w:val="en-US" w:eastAsia="zh-CN"/>
              </w:rPr>
              <w:t>备注：</w:t>
            </w:r>
            <w:r>
              <w:rPr>
                <w:rFonts w:hint="eastAsia"/>
                <w:color w:val="auto"/>
                <w:highlight w:val="none"/>
              </w:rPr>
              <w:t>提供</w:t>
            </w:r>
            <w:r>
              <w:rPr>
                <w:rFonts w:hint="eastAsia"/>
                <w:color w:val="auto"/>
                <w:highlight w:val="none"/>
                <w:lang w:val="en-US" w:eastAsia="zh-CN"/>
              </w:rPr>
              <w:t>业绩</w:t>
            </w:r>
            <w:r>
              <w:rPr>
                <w:rFonts w:hint="eastAsia"/>
                <w:color w:val="auto"/>
                <w:highlight w:val="none"/>
              </w:rPr>
              <w:t>合同扫描件</w:t>
            </w:r>
            <w:r>
              <w:rPr>
                <w:rFonts w:hint="eastAsia"/>
                <w:color w:val="auto"/>
                <w:highlight w:val="none"/>
                <w:lang w:val="en-US" w:eastAsia="zh-CN"/>
              </w:rPr>
              <w:t>并</w:t>
            </w:r>
            <w:r>
              <w:rPr>
                <w:rFonts w:hint="eastAsia"/>
                <w:color w:val="auto"/>
                <w:highlight w:val="none"/>
              </w:rPr>
              <w:t>加盖投标人公章，</w:t>
            </w:r>
            <w:r>
              <w:rPr>
                <w:rFonts w:hint="eastAsia"/>
                <w:color w:val="auto"/>
                <w:highlight w:val="none"/>
                <w:lang w:val="en-US" w:eastAsia="zh-CN"/>
              </w:rPr>
              <w:t>业绩合同不能体现相关服务内容的，另需提供业绩合同的业主单位证明资料原件扫描件，</w:t>
            </w:r>
            <w:r>
              <w:rPr>
                <w:rFonts w:hint="eastAsia"/>
                <w:color w:val="auto"/>
                <w:highlight w:val="none"/>
              </w:rPr>
              <w:t>未提供以上资料或不满足得分要求的不得分</w:t>
            </w:r>
            <w:r>
              <w:rPr>
                <w:rFonts w:hint="eastAsia"/>
                <w:color w:val="auto"/>
                <w:highlight w:val="none"/>
                <w:lang w:eastAsia="zh-CN"/>
              </w:rPr>
              <w:t>，</w:t>
            </w:r>
            <w:r>
              <w:rPr>
                <w:rFonts w:hint="eastAsia"/>
                <w:color w:val="auto"/>
                <w:highlight w:val="none"/>
                <w:lang w:val="en-US" w:eastAsia="zh-CN"/>
              </w:rPr>
              <w:t>续签合同不累计得分。</w:t>
            </w:r>
          </w:p>
        </w:tc>
        <w:tc>
          <w:tcPr>
            <w:tcW w:w="1023" w:type="dxa"/>
            <w:noWrap w:val="0"/>
            <w:vAlign w:val="center"/>
          </w:tcPr>
          <w:p>
            <w:pPr>
              <w:spacing w:line="300" w:lineRule="exact"/>
              <w:jc w:val="center"/>
              <w:rPr>
                <w:rFonts w:hint="eastAsia" w:ascii="宋体" w:hAnsi="宋体" w:eastAsia="宋体"/>
                <w:b/>
                <w:color w:val="auto"/>
                <w:szCs w:val="21"/>
                <w:highlight w:val="none"/>
                <w:lang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00" w:type="dxa"/>
            <w:vMerge w:val="continue"/>
            <w:noWrap w:val="0"/>
            <w:vAlign w:val="center"/>
          </w:tcPr>
          <w:p>
            <w:pPr>
              <w:spacing w:line="300" w:lineRule="exact"/>
              <w:jc w:val="center"/>
              <w:rPr>
                <w:rFonts w:hint="eastAsia" w:ascii="宋体" w:hAnsi="宋体"/>
                <w:b/>
                <w:color w:val="auto"/>
                <w:szCs w:val="21"/>
                <w:highlight w:val="none"/>
              </w:rPr>
            </w:pPr>
          </w:p>
        </w:tc>
        <w:tc>
          <w:tcPr>
            <w:tcW w:w="8139" w:type="dxa"/>
            <w:noWrap w:val="0"/>
            <w:vAlign w:val="center"/>
          </w:tcPr>
          <w:p>
            <w:pPr>
              <w:spacing w:line="320" w:lineRule="exact"/>
              <w:rPr>
                <w:rFonts w:ascii="宋体" w:hAnsi="宋体" w:cs="宋体"/>
                <w:b/>
                <w:color w:val="auto"/>
                <w:szCs w:val="22"/>
                <w:highlight w:val="none"/>
              </w:rPr>
            </w:pPr>
            <w:r>
              <w:rPr>
                <w:rFonts w:hint="eastAsia" w:ascii="宋体" w:hAnsi="宋体" w:cs="宋体"/>
                <w:b/>
                <w:color w:val="auto"/>
                <w:szCs w:val="22"/>
                <w:highlight w:val="none"/>
                <w:lang w:val="en-US" w:eastAsia="zh-CN"/>
              </w:rPr>
              <w:t>2</w:t>
            </w:r>
            <w:r>
              <w:rPr>
                <w:rFonts w:hint="eastAsia" w:ascii="宋体" w:hAnsi="宋体" w:cs="宋体"/>
                <w:b/>
                <w:color w:val="auto"/>
                <w:szCs w:val="22"/>
                <w:highlight w:val="none"/>
              </w:rPr>
              <w:t>、体系认证证书（</w:t>
            </w:r>
            <w:r>
              <w:rPr>
                <w:rFonts w:hint="eastAsia" w:ascii="宋体" w:hAnsi="宋体" w:cs="宋体"/>
                <w:b/>
                <w:color w:val="auto"/>
                <w:szCs w:val="22"/>
                <w:highlight w:val="none"/>
                <w:lang w:val="en-US" w:eastAsia="zh-CN"/>
              </w:rPr>
              <w:t>4</w:t>
            </w:r>
            <w:r>
              <w:rPr>
                <w:rFonts w:hint="eastAsia" w:ascii="宋体" w:hAnsi="宋体" w:cs="宋体"/>
                <w:b/>
                <w:color w:val="auto"/>
                <w:szCs w:val="22"/>
                <w:highlight w:val="none"/>
              </w:rPr>
              <w:t>分）</w:t>
            </w:r>
          </w:p>
          <w:p>
            <w:pPr>
              <w:pStyle w:val="44"/>
              <w:tabs>
                <w:tab w:val="left" w:pos="0"/>
                <w:tab w:val="left" w:pos="1260"/>
                <w:tab w:val="left" w:pos="1365"/>
              </w:tabs>
              <w:spacing w:line="320" w:lineRule="exact"/>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投标人具有有效的质量管理体系认证</w:t>
            </w:r>
            <w:r>
              <w:rPr>
                <w:rFonts w:hint="eastAsia" w:ascii="宋体" w:hAnsi="宋体" w:cs="宋体"/>
                <w:color w:val="auto"/>
                <w:sz w:val="21"/>
                <w:szCs w:val="21"/>
                <w:highlight w:val="none"/>
                <w:lang w:val="en-US" w:eastAsia="zh-CN"/>
              </w:rPr>
              <w:t>的得1分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环境管理体系认证</w:t>
            </w:r>
            <w:r>
              <w:rPr>
                <w:rFonts w:hint="eastAsia" w:ascii="宋体" w:hAnsi="宋体" w:cs="宋体"/>
                <w:color w:val="auto"/>
                <w:sz w:val="21"/>
                <w:szCs w:val="21"/>
                <w:highlight w:val="none"/>
                <w:lang w:val="en-US" w:eastAsia="zh-CN"/>
              </w:rPr>
              <w:t>的得1分</w:t>
            </w:r>
            <w:r>
              <w:rPr>
                <w:rFonts w:hint="eastAsia" w:ascii="宋体" w:hAnsi="宋体" w:cs="宋体"/>
                <w:color w:val="auto"/>
                <w:sz w:val="21"/>
                <w:szCs w:val="21"/>
                <w:highlight w:val="none"/>
              </w:rPr>
              <w:t>、职业健康安全管理体系认证</w:t>
            </w:r>
            <w:r>
              <w:rPr>
                <w:rFonts w:hint="eastAsia" w:ascii="宋体" w:hAnsi="宋体" w:cs="宋体"/>
                <w:color w:val="auto"/>
                <w:sz w:val="21"/>
                <w:szCs w:val="21"/>
                <w:highlight w:val="none"/>
                <w:lang w:val="en-US" w:eastAsia="zh-CN"/>
              </w:rPr>
              <w:t>的得1分、</w:t>
            </w:r>
            <w:r>
              <w:rPr>
                <w:rFonts w:hint="eastAsia" w:ascii="宋体" w:hAnsi="宋体" w:cs="宋体"/>
                <w:color w:val="auto"/>
                <w:sz w:val="21"/>
                <w:szCs w:val="21"/>
                <w:highlight w:val="none"/>
                <w:lang w:eastAsia="zh-CN"/>
              </w:rPr>
              <w:t>能源管理体系</w:t>
            </w:r>
            <w:r>
              <w:rPr>
                <w:rFonts w:hint="eastAsia" w:ascii="宋体" w:hAnsi="宋体" w:cs="宋体"/>
                <w:color w:val="auto"/>
                <w:sz w:val="21"/>
                <w:szCs w:val="21"/>
                <w:highlight w:val="none"/>
              </w:rPr>
              <w:t>认证</w:t>
            </w:r>
            <w:r>
              <w:rPr>
                <w:rFonts w:hint="eastAsia" w:ascii="宋体" w:hAnsi="宋体" w:cs="宋体"/>
                <w:color w:val="auto"/>
                <w:sz w:val="21"/>
                <w:szCs w:val="21"/>
                <w:highlight w:val="none"/>
                <w:lang w:val="en-US" w:eastAsia="zh-CN"/>
              </w:rPr>
              <w:t>的得1分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最多得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p>
          <w:p>
            <w:pPr>
              <w:pStyle w:val="44"/>
              <w:tabs>
                <w:tab w:val="left" w:pos="0"/>
                <w:tab w:val="left" w:pos="1260"/>
                <w:tab w:val="left" w:pos="1365"/>
              </w:tabs>
              <w:spacing w:line="320" w:lineRule="exact"/>
              <w:ind w:firstLine="0" w:firstLineChars="0"/>
              <w:rPr>
                <w:rFonts w:hint="eastAsia" w:ascii="宋体" w:hAnsi="宋体" w:eastAsia="方正书宋简体" w:cs="宋体"/>
                <w:color w:val="auto"/>
                <w:kern w:val="2"/>
                <w:sz w:val="21"/>
                <w:szCs w:val="21"/>
                <w:highlight w:val="none"/>
                <w:lang w:val="en-US" w:eastAsia="zh-CN" w:bidi="ar-SA"/>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投标文件中提供相关体系认证证书扫描件并加盖公章</w:t>
            </w:r>
            <w:r>
              <w:rPr>
                <w:rFonts w:hint="eastAsia" w:ascii="宋体" w:hAnsi="宋体" w:cs="宋体"/>
                <w:color w:val="auto"/>
                <w:sz w:val="21"/>
                <w:szCs w:val="21"/>
                <w:highlight w:val="none"/>
                <w:lang w:eastAsia="zh-CN"/>
              </w:rPr>
              <w:t>）</w:t>
            </w:r>
          </w:p>
        </w:tc>
        <w:tc>
          <w:tcPr>
            <w:tcW w:w="1023" w:type="dxa"/>
            <w:noWrap w:val="0"/>
            <w:vAlign w:val="center"/>
          </w:tcPr>
          <w:p>
            <w:pPr>
              <w:spacing w:line="300" w:lineRule="exact"/>
              <w:jc w:val="center"/>
              <w:rPr>
                <w:rFonts w:hint="eastAsia" w:ascii="宋体" w:hAnsi="宋体"/>
                <w:b/>
                <w:color w:val="auto"/>
                <w:szCs w:val="21"/>
                <w:highlight w:val="no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00" w:type="dxa"/>
            <w:vMerge w:val="continue"/>
            <w:noWrap w:val="0"/>
            <w:vAlign w:val="center"/>
          </w:tcPr>
          <w:p>
            <w:pPr>
              <w:spacing w:line="300" w:lineRule="exact"/>
              <w:jc w:val="center"/>
              <w:rPr>
                <w:rFonts w:hint="eastAsia" w:ascii="宋体" w:hAnsi="宋体"/>
                <w:b/>
                <w:color w:val="auto"/>
                <w:szCs w:val="21"/>
                <w:highlight w:val="none"/>
              </w:rPr>
            </w:pPr>
          </w:p>
        </w:tc>
        <w:tc>
          <w:tcPr>
            <w:tcW w:w="8139" w:type="dxa"/>
            <w:noWrap w:val="0"/>
            <w:vAlign w:val="center"/>
          </w:tcPr>
          <w:p>
            <w:pPr>
              <w:spacing w:line="320" w:lineRule="exact"/>
              <w:rPr>
                <w:rFonts w:hint="eastAsia" w:ascii="宋体" w:hAnsi="宋体" w:eastAsia="宋体" w:cs="宋体"/>
                <w:b/>
                <w:color w:val="auto"/>
                <w:szCs w:val="22"/>
                <w:highlight w:val="none"/>
                <w:lang w:val="en-US" w:eastAsia="zh-CN"/>
              </w:rPr>
            </w:pPr>
            <w:r>
              <w:rPr>
                <w:rFonts w:hint="eastAsia" w:ascii="宋体" w:hAnsi="宋体" w:eastAsia="宋体" w:cs="宋体"/>
                <w:b/>
                <w:color w:val="auto"/>
                <w:szCs w:val="22"/>
                <w:highlight w:val="none"/>
                <w:lang w:val="en-US" w:eastAsia="zh-CN"/>
              </w:rPr>
              <w:t>3、设备设施（8分）</w:t>
            </w:r>
          </w:p>
          <w:p>
            <w:pPr>
              <w:widowControl/>
              <w:rPr>
                <w:rFonts w:hint="default"/>
                <w:color w:val="auto"/>
                <w:highlight w:val="none"/>
                <w:lang w:val="en-US" w:eastAsia="zh-CN"/>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投标供应商自有车况良好的</w:t>
            </w:r>
            <w:r>
              <w:rPr>
                <w:rFonts w:hint="eastAsia"/>
                <w:color w:val="auto"/>
                <w:highlight w:val="none"/>
                <w:lang w:val="en-US" w:eastAsia="zh-CN"/>
              </w:rPr>
              <w:t>核定载质量在8000kg及以上</w:t>
            </w:r>
            <w:r>
              <w:rPr>
                <w:rFonts w:hint="eastAsia"/>
                <w:color w:val="auto"/>
                <w:highlight w:val="none"/>
              </w:rPr>
              <w:t>道路</w:t>
            </w:r>
            <w:r>
              <w:rPr>
                <w:rFonts w:hint="eastAsia"/>
                <w:color w:val="auto"/>
                <w:highlight w:val="none"/>
                <w:lang w:val="en-US" w:eastAsia="zh-CN"/>
              </w:rPr>
              <w:t>扫地车</w:t>
            </w:r>
            <w:r>
              <w:rPr>
                <w:rFonts w:hint="eastAsia"/>
                <w:color w:val="auto"/>
                <w:highlight w:val="none"/>
              </w:rPr>
              <w:t>的</w:t>
            </w:r>
            <w:r>
              <w:rPr>
                <w:rFonts w:hint="eastAsia"/>
                <w:color w:val="auto"/>
                <w:highlight w:val="none"/>
                <w:lang w:val="en-US" w:eastAsia="zh-CN"/>
              </w:rPr>
              <w:t>得2分，租赁的得1分。</w:t>
            </w:r>
          </w:p>
          <w:p>
            <w:pPr>
              <w:widowControl/>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投标供应商自有车况良好的</w:t>
            </w:r>
            <w:r>
              <w:rPr>
                <w:rFonts w:hint="eastAsia"/>
                <w:color w:val="auto"/>
                <w:highlight w:val="none"/>
                <w:lang w:val="en-US" w:eastAsia="zh-CN"/>
              </w:rPr>
              <w:t>厨余垃圾清运车的得2分，租赁的得1分。</w:t>
            </w:r>
          </w:p>
          <w:p>
            <w:pPr>
              <w:widowControl/>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投标供应商自有车况良好的</w:t>
            </w:r>
            <w:r>
              <w:rPr>
                <w:rFonts w:hint="eastAsia"/>
                <w:color w:val="auto"/>
                <w:highlight w:val="none"/>
                <w:lang w:val="en-US" w:eastAsia="zh-CN"/>
              </w:rPr>
              <w:t>吸污车的得2分，租赁的得1分。</w:t>
            </w:r>
          </w:p>
          <w:p>
            <w:pPr>
              <w:widowControl/>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rFonts w:hint="eastAsia"/>
                <w:color w:val="auto"/>
                <w:highlight w:val="none"/>
              </w:rPr>
              <w:t>投标供应商自有车况良好的</w:t>
            </w:r>
            <w:r>
              <w:rPr>
                <w:rFonts w:hint="eastAsia"/>
                <w:color w:val="auto"/>
                <w:highlight w:val="none"/>
                <w:lang w:val="en-US" w:eastAsia="zh-CN"/>
              </w:rPr>
              <w:t>核定载质量在5000kg及以上的多功能抑尘车（雾炮车）的得2分，租赁的得1分。</w:t>
            </w:r>
          </w:p>
          <w:p>
            <w:pPr>
              <w:widowControl/>
              <w:rPr>
                <w:rFonts w:hint="eastAsia"/>
                <w:b/>
                <w:bCs/>
                <w:color w:val="auto"/>
                <w:highlight w:val="none"/>
              </w:rPr>
            </w:pPr>
            <w:r>
              <w:rPr>
                <w:rFonts w:hint="eastAsia"/>
                <w:b/>
                <w:bCs/>
                <w:color w:val="auto"/>
                <w:highlight w:val="none"/>
                <w:lang w:val="en-US" w:eastAsia="zh-CN"/>
              </w:rPr>
              <w:t>备注：a</w:t>
            </w:r>
            <w:r>
              <w:rPr>
                <w:rFonts w:hint="eastAsia"/>
                <w:b/>
                <w:bCs/>
                <w:color w:val="auto"/>
                <w:highlight w:val="none"/>
              </w:rPr>
              <w:t>.自有设备以投标供应商提供的各类作业车辆的车辆行驶证和有效的强制保险保单</w:t>
            </w:r>
            <w:r>
              <w:rPr>
                <w:rFonts w:hint="eastAsia"/>
                <w:b/>
                <w:bCs/>
                <w:color w:val="auto"/>
                <w:highlight w:val="none"/>
                <w:lang w:val="en-US" w:eastAsia="zh-CN"/>
              </w:rPr>
              <w:t>扫描件并加盖公章</w:t>
            </w:r>
            <w:r>
              <w:rPr>
                <w:rFonts w:hint="eastAsia"/>
                <w:b/>
                <w:bCs/>
                <w:color w:val="auto"/>
                <w:highlight w:val="none"/>
              </w:rPr>
              <w:t>确认，若为过户车辆的，则另须提供机动车登记证书</w:t>
            </w:r>
            <w:r>
              <w:rPr>
                <w:rFonts w:hint="eastAsia"/>
                <w:b/>
                <w:bCs/>
                <w:color w:val="auto"/>
                <w:highlight w:val="none"/>
                <w:lang w:val="en-US" w:eastAsia="zh-CN"/>
              </w:rPr>
              <w:t>扫描件并加盖公章</w:t>
            </w:r>
            <w:r>
              <w:rPr>
                <w:rFonts w:hint="eastAsia"/>
                <w:b/>
                <w:bCs/>
                <w:color w:val="auto"/>
                <w:highlight w:val="none"/>
              </w:rPr>
              <w:t>确认，车辆行驶证、有效强制保险保单上所有人须与投标供应商名称一致，否则不予认可。</w:t>
            </w:r>
          </w:p>
          <w:p>
            <w:pPr>
              <w:widowControl/>
              <w:ind w:firstLine="422" w:firstLineChars="200"/>
              <w:rPr>
                <w:rFonts w:hint="eastAsia"/>
                <w:b/>
                <w:bCs/>
                <w:color w:val="auto"/>
                <w:highlight w:val="none"/>
                <w:lang w:val="en-US" w:eastAsia="zh-CN"/>
              </w:rPr>
            </w:pPr>
            <w:r>
              <w:rPr>
                <w:rFonts w:hint="eastAsia"/>
                <w:b/>
                <w:bCs/>
                <w:color w:val="auto"/>
                <w:highlight w:val="none"/>
                <w:lang w:val="en-US" w:eastAsia="zh-CN"/>
              </w:rPr>
              <w:t>b.若为租赁车辆，除a资料外，</w:t>
            </w:r>
            <w:r>
              <w:rPr>
                <w:rFonts w:hint="eastAsia" w:ascii="Times New Roman" w:hAnsi="Times New Roman" w:eastAsia="宋体" w:cs="Times New Roman"/>
                <w:b/>
                <w:bCs/>
                <w:color w:val="auto"/>
                <w:szCs w:val="22"/>
                <w:highlight w:val="none"/>
                <w:lang w:val="en-US" w:eastAsia="zh-CN"/>
              </w:rPr>
              <w:t>另须提供租赁合同</w:t>
            </w:r>
            <w:r>
              <w:rPr>
                <w:rFonts w:hint="eastAsia"/>
                <w:b/>
                <w:bCs/>
                <w:color w:val="auto"/>
                <w:highlight w:val="none"/>
                <w:lang w:val="en-US" w:eastAsia="zh-CN"/>
              </w:rPr>
              <w:t>扫描件并加盖公章</w:t>
            </w:r>
            <w:r>
              <w:rPr>
                <w:rFonts w:hint="eastAsia" w:ascii="Times New Roman" w:hAnsi="Times New Roman" w:eastAsia="宋体" w:cs="Times New Roman"/>
                <w:b/>
                <w:bCs/>
                <w:color w:val="auto"/>
                <w:szCs w:val="22"/>
                <w:highlight w:val="none"/>
                <w:lang w:val="en-US" w:eastAsia="zh-CN"/>
              </w:rPr>
              <w:t>。车辆行驶证、有效强制保险保单上所有人须与出租人名称一致，否则不予认可。</w:t>
            </w:r>
          </w:p>
          <w:p>
            <w:pPr>
              <w:widowControl/>
              <w:ind w:firstLine="422" w:firstLineChars="200"/>
              <w:rPr>
                <w:rFonts w:hint="eastAsia"/>
                <w:color w:val="auto"/>
                <w:highlight w:val="none"/>
                <w:lang w:val="en-US" w:eastAsia="zh-CN"/>
              </w:rPr>
            </w:pPr>
            <w:r>
              <w:rPr>
                <w:rFonts w:hint="eastAsia"/>
                <w:b/>
                <w:bCs/>
                <w:color w:val="auto"/>
                <w:highlight w:val="none"/>
                <w:lang w:val="en-US" w:eastAsia="zh-CN"/>
              </w:rPr>
              <w:t>c.上述车辆另需提供车辆正面、侧面、背面照片并加盖公章。</w:t>
            </w:r>
          </w:p>
        </w:tc>
        <w:tc>
          <w:tcPr>
            <w:tcW w:w="1023" w:type="dxa"/>
            <w:noWrap w:val="0"/>
            <w:vAlign w:val="center"/>
          </w:tcPr>
          <w:p>
            <w:pPr>
              <w:spacing w:line="300" w:lineRule="exact"/>
              <w:jc w:val="center"/>
              <w:rPr>
                <w:rFonts w:hint="eastAsia" w:ascii="宋体" w:hAnsi="宋体"/>
                <w:b/>
                <w:color w:val="auto"/>
                <w:szCs w:val="21"/>
                <w:highlight w:val="no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00" w:type="dxa"/>
            <w:vMerge w:val="restart"/>
            <w:noWrap w:val="0"/>
            <w:vAlign w:val="center"/>
          </w:tcPr>
          <w:p>
            <w:pPr>
              <w:spacing w:line="300" w:lineRule="exact"/>
              <w:jc w:val="center"/>
              <w:rPr>
                <w:rFonts w:ascii="宋体" w:hAnsi="宋体"/>
                <w:b/>
                <w:color w:val="auto"/>
                <w:szCs w:val="21"/>
                <w:highlight w:val="none"/>
              </w:rPr>
            </w:pPr>
            <w:r>
              <w:rPr>
                <w:rFonts w:hint="eastAsia" w:ascii="宋体" w:hAnsi="宋体"/>
                <w:b/>
                <w:color w:val="auto"/>
                <w:szCs w:val="21"/>
                <w:highlight w:val="none"/>
              </w:rPr>
              <w:t>技</w:t>
            </w:r>
          </w:p>
          <w:p>
            <w:pPr>
              <w:spacing w:line="300" w:lineRule="exact"/>
              <w:jc w:val="center"/>
              <w:rPr>
                <w:rFonts w:ascii="宋体" w:hAnsi="宋体"/>
                <w:b/>
                <w:color w:val="auto"/>
                <w:szCs w:val="21"/>
                <w:highlight w:val="none"/>
              </w:rPr>
            </w:pPr>
            <w:r>
              <w:rPr>
                <w:rFonts w:hint="eastAsia" w:ascii="宋体" w:hAnsi="宋体"/>
                <w:b/>
                <w:color w:val="auto"/>
                <w:szCs w:val="21"/>
                <w:highlight w:val="none"/>
              </w:rPr>
              <w:t>术</w:t>
            </w:r>
          </w:p>
          <w:p>
            <w:pPr>
              <w:spacing w:line="300" w:lineRule="exact"/>
              <w:jc w:val="center"/>
              <w:rPr>
                <w:rFonts w:ascii="宋体" w:hAnsi="宋体"/>
                <w:b/>
                <w:color w:val="auto"/>
                <w:szCs w:val="21"/>
                <w:highlight w:val="none"/>
              </w:rPr>
            </w:pPr>
            <w:r>
              <w:rPr>
                <w:rFonts w:hint="eastAsia" w:ascii="宋体" w:hAnsi="宋体"/>
                <w:b/>
                <w:color w:val="auto"/>
                <w:szCs w:val="21"/>
                <w:highlight w:val="none"/>
              </w:rPr>
              <w:t>分</w:t>
            </w:r>
          </w:p>
          <w:p>
            <w:pPr>
              <w:spacing w:line="300" w:lineRule="exact"/>
              <w:jc w:val="center"/>
              <w:rPr>
                <w:rFonts w:ascii="宋体" w:hAnsi="宋体"/>
                <w:b/>
                <w:color w:val="auto"/>
                <w:szCs w:val="21"/>
                <w:highlight w:val="none"/>
              </w:rPr>
            </w:pPr>
            <w:r>
              <w:rPr>
                <w:rFonts w:hint="eastAsia" w:ascii="宋体" w:hAnsi="宋体"/>
                <w:b/>
                <w:color w:val="auto"/>
                <w:szCs w:val="21"/>
                <w:highlight w:val="none"/>
                <w:lang w:val="en-US" w:eastAsia="zh-CN"/>
              </w:rPr>
              <w:t>66</w:t>
            </w:r>
            <w:r>
              <w:rPr>
                <w:rFonts w:hint="eastAsia" w:ascii="宋体" w:hAnsi="宋体"/>
                <w:b/>
                <w:color w:val="auto"/>
                <w:szCs w:val="21"/>
                <w:highlight w:val="none"/>
              </w:rPr>
              <w:t>分</w:t>
            </w:r>
          </w:p>
        </w:tc>
        <w:tc>
          <w:tcPr>
            <w:tcW w:w="8139" w:type="dxa"/>
            <w:noWrap w:val="0"/>
            <w:vAlign w:val="center"/>
          </w:tcPr>
          <w:p>
            <w:pPr>
              <w:widowControl/>
              <w:snapToGrid w:val="0"/>
              <w:spacing w:line="34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总体管理服务方案相关指标（</w:t>
            </w:r>
            <w:r>
              <w:rPr>
                <w:rFonts w:hint="eastAsia" w:ascii="宋体" w:hAnsi="宋体" w:eastAsia="宋体" w:cs="宋体"/>
                <w:b/>
                <w:bCs/>
                <w:color w:val="auto"/>
                <w:szCs w:val="21"/>
                <w:highlight w:val="none"/>
                <w:lang w:val="en-US" w:eastAsia="zh-CN"/>
              </w:rPr>
              <w:t>7</w:t>
            </w:r>
            <w:r>
              <w:rPr>
                <w:rFonts w:hint="eastAsia" w:ascii="宋体" w:hAnsi="宋体" w:eastAsia="宋体" w:cs="宋体"/>
                <w:b/>
                <w:bCs/>
                <w:color w:val="auto"/>
                <w:szCs w:val="21"/>
                <w:highlight w:val="none"/>
              </w:rPr>
              <w:t>分）：</w:t>
            </w:r>
          </w:p>
          <w:p>
            <w:pPr>
              <w:keepNext w:val="0"/>
              <w:keepLines w:val="0"/>
              <w:pageBreakBefore w:val="0"/>
              <w:widowControl w:val="0"/>
              <w:kinsoku/>
              <w:wordWrap/>
              <w:overflowPunct/>
              <w:topLinePunct w:val="0"/>
              <w:autoSpaceDN/>
              <w:bidi w:val="0"/>
              <w:adjustRightInd/>
              <w:spacing w:line="320" w:lineRule="exact"/>
              <w:textAlignment w:val="auto"/>
              <w:rPr>
                <w:rFonts w:hint="eastAsia" w:ascii="宋体" w:hAnsi="宋体" w:cs="宋体"/>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对本项目管理的组织框架，岗位安排，管理的规章制度，档案资料管理制度等对总体管理方案进行评审；</w:t>
            </w:r>
            <w:r>
              <w:rPr>
                <w:rFonts w:hint="eastAsia" w:ascii="宋体" w:hAnsi="宋体" w:eastAsia="宋体" w:cs="宋体"/>
                <w:color w:val="auto"/>
                <w:sz w:val="21"/>
                <w:szCs w:val="21"/>
                <w:highlight w:val="none"/>
                <w:lang w:eastAsia="zh-CN"/>
              </w:rPr>
              <w:t>内容齐全、完整，</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val="en-US" w:eastAsia="zh-CN"/>
              </w:rPr>
              <w:t>科学、</w:t>
            </w:r>
            <w:r>
              <w:rPr>
                <w:rFonts w:hint="eastAsia" w:ascii="宋体" w:hAnsi="宋体" w:eastAsia="宋体" w:cs="宋体"/>
                <w:color w:val="auto"/>
                <w:sz w:val="21"/>
                <w:szCs w:val="21"/>
                <w:highlight w:val="none"/>
              </w:rPr>
              <w:t>合理，可操作性强的得</w:t>
            </w:r>
            <w:r>
              <w:rPr>
                <w:rFonts w:hint="eastAsia" w:ascii="宋体" w:hAnsi="宋体" w:eastAsia="宋体" w:cs="宋体"/>
                <w:color w:val="auto"/>
                <w:sz w:val="21"/>
                <w:szCs w:val="21"/>
                <w:highlight w:val="none"/>
                <w:lang w:val="en-US" w:eastAsia="zh-CN"/>
              </w:rPr>
              <w:t>5-7</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内容基本完整，</w:t>
            </w:r>
            <w:r>
              <w:rPr>
                <w:rFonts w:hint="eastAsia" w:ascii="宋体" w:hAnsi="宋体" w:eastAsia="宋体" w:cs="宋体"/>
                <w:color w:val="auto"/>
                <w:sz w:val="21"/>
                <w:szCs w:val="21"/>
                <w:highlight w:val="none"/>
              </w:rPr>
              <w:t>方案基本科学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合理，具有可操作性的得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内容不齐全、混乱，</w:t>
            </w:r>
            <w:r>
              <w:rPr>
                <w:rFonts w:hint="eastAsia" w:ascii="宋体" w:hAnsi="宋体" w:eastAsia="宋体" w:cs="宋体"/>
                <w:color w:val="auto"/>
                <w:sz w:val="21"/>
                <w:szCs w:val="21"/>
                <w:highlight w:val="none"/>
              </w:rPr>
              <w:t>方案欠科学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合理，可操作性欠缺的得0-</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1023" w:type="dxa"/>
            <w:noWrap w:val="0"/>
            <w:vAlign w:val="center"/>
          </w:tcPr>
          <w:p>
            <w:pPr>
              <w:spacing w:line="300" w:lineRule="exact"/>
              <w:jc w:val="center"/>
              <w:rPr>
                <w:rFonts w:hint="eastAsia" w:ascii="宋体" w:hAnsi="宋体" w:eastAsia="宋体"/>
                <w:b/>
                <w:color w:val="auto"/>
                <w:szCs w:val="21"/>
                <w:highlight w:val="none"/>
                <w:lang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00" w:type="dxa"/>
            <w:vMerge w:val="continue"/>
            <w:noWrap w:val="0"/>
            <w:vAlign w:val="center"/>
          </w:tcPr>
          <w:p>
            <w:pPr>
              <w:spacing w:line="300" w:lineRule="exact"/>
              <w:jc w:val="center"/>
              <w:rPr>
                <w:rFonts w:ascii="宋体" w:hAnsi="宋体"/>
                <w:color w:val="auto"/>
                <w:szCs w:val="21"/>
                <w:highlight w:val="none"/>
              </w:rPr>
            </w:pPr>
          </w:p>
        </w:tc>
        <w:tc>
          <w:tcPr>
            <w:tcW w:w="8139" w:type="dxa"/>
            <w:noWrap w:val="0"/>
            <w:vAlign w:val="center"/>
          </w:tcPr>
          <w:p>
            <w:pPr>
              <w:widowControl/>
              <w:snapToGrid w:val="0"/>
              <w:spacing w:line="340" w:lineRule="exac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道路保洁</w:t>
            </w:r>
            <w:r>
              <w:rPr>
                <w:rFonts w:hint="eastAsia" w:ascii="宋体" w:hAnsi="宋体" w:eastAsia="宋体" w:cs="宋体"/>
                <w:b/>
                <w:bCs/>
                <w:color w:val="auto"/>
                <w:szCs w:val="21"/>
                <w:highlight w:val="none"/>
                <w:lang w:val="en-US" w:eastAsia="zh-CN"/>
              </w:rPr>
              <w:t>实施</w:t>
            </w:r>
            <w:r>
              <w:rPr>
                <w:rFonts w:hint="eastAsia" w:ascii="宋体" w:hAnsi="宋体" w:eastAsia="宋体" w:cs="宋体"/>
                <w:b/>
                <w:bCs/>
                <w:color w:val="auto"/>
                <w:szCs w:val="21"/>
                <w:highlight w:val="none"/>
              </w:rPr>
              <w:t>方案（7分）：</w:t>
            </w:r>
            <w:r>
              <w:rPr>
                <w:rFonts w:hint="eastAsia" w:ascii="Times New Roman" w:hAnsi="Times New Roman" w:eastAsia="宋体" w:cs="Times New Roman"/>
                <w:color w:val="auto"/>
                <w:szCs w:val="21"/>
                <w:highlight w:val="none"/>
              </w:rPr>
              <w:t>评审专家根据投标人针对本项目的道路</w:t>
            </w:r>
            <w:r>
              <w:rPr>
                <w:rFonts w:hint="eastAsia" w:ascii="Times New Roman" w:hAnsi="Times New Roman" w:eastAsia="宋体" w:cs="Times New Roman"/>
                <w:color w:val="auto"/>
                <w:szCs w:val="21"/>
                <w:highlight w:val="none"/>
                <w:lang w:val="en-US" w:eastAsia="zh-CN"/>
              </w:rPr>
              <w:t>及</w:t>
            </w:r>
            <w:r>
              <w:rPr>
                <w:rFonts w:hint="eastAsia" w:ascii="Times New Roman" w:hAnsi="Times New Roman" w:eastAsia="宋体" w:cs="Times New Roman"/>
                <w:color w:val="auto"/>
                <w:szCs w:val="21"/>
                <w:highlight w:val="none"/>
              </w:rPr>
              <w:t>绿化带</w:t>
            </w:r>
            <w:r>
              <w:rPr>
                <w:rFonts w:hint="eastAsia" w:ascii="Times New Roman" w:hAnsi="Times New Roman" w:eastAsia="宋体" w:cs="Times New Roman"/>
                <w:color w:val="auto"/>
                <w:szCs w:val="21"/>
                <w:highlight w:val="none"/>
                <w:lang w:val="en-US" w:eastAsia="zh-CN"/>
              </w:rPr>
              <w:t>保洁</w:t>
            </w:r>
            <w:r>
              <w:rPr>
                <w:rFonts w:hint="eastAsia" w:ascii="Times New Roman" w:hAnsi="Times New Roman" w:eastAsia="宋体" w:cs="Times New Roman"/>
                <w:color w:val="auto"/>
                <w:szCs w:val="21"/>
                <w:highlight w:val="none"/>
              </w:rPr>
              <w:t>、以袋换袋、以桶换桶实施方案等进行综合评议</w:t>
            </w:r>
            <w:r>
              <w:rPr>
                <w:rFonts w:hint="eastAsia"/>
                <w:color w:val="auto"/>
                <w:szCs w:val="21"/>
                <w:highlight w:val="none"/>
              </w:rPr>
              <w:t>，</w:t>
            </w:r>
            <w:r>
              <w:rPr>
                <w:rFonts w:hint="eastAsia" w:ascii="宋体" w:hAnsi="宋体" w:eastAsia="宋体" w:cs="宋体"/>
                <w:color w:val="auto"/>
                <w:szCs w:val="21"/>
                <w:highlight w:val="none"/>
              </w:rPr>
              <w:t>实施方案科学合理</w:t>
            </w:r>
            <w:r>
              <w:rPr>
                <w:rFonts w:hint="eastAsia" w:ascii="宋体" w:hAnsi="宋体" w:eastAsia="宋体" w:cs="宋体"/>
                <w:color w:val="auto"/>
                <w:szCs w:val="21"/>
                <w:highlight w:val="none"/>
                <w:lang w:val="en-US" w:eastAsia="zh-CN"/>
              </w:rPr>
              <w:t>且完全能满足本项目需求，可操作性强</w:t>
            </w:r>
            <w:r>
              <w:rPr>
                <w:rFonts w:hint="eastAsia" w:ascii="宋体" w:hAnsi="宋体" w:eastAsia="宋体" w:cs="宋体"/>
                <w:color w:val="auto"/>
                <w:szCs w:val="21"/>
                <w:highlight w:val="none"/>
              </w:rPr>
              <w:t>的</w:t>
            </w:r>
            <w:r>
              <w:rPr>
                <w:rFonts w:hint="eastAsia"/>
                <w:color w:val="auto"/>
                <w:szCs w:val="21"/>
                <w:highlight w:val="none"/>
              </w:rPr>
              <w:t>得5-7分；</w:t>
            </w:r>
            <w:r>
              <w:rPr>
                <w:rFonts w:hint="eastAsia" w:ascii="宋体" w:hAnsi="宋体" w:eastAsia="宋体" w:cs="宋体"/>
                <w:color w:val="auto"/>
                <w:szCs w:val="21"/>
                <w:highlight w:val="none"/>
              </w:rPr>
              <w:t>实施方案</w:t>
            </w:r>
            <w:r>
              <w:rPr>
                <w:rFonts w:hint="eastAsia" w:ascii="宋体" w:hAnsi="宋体" w:eastAsia="宋体" w:cs="宋体"/>
                <w:color w:val="auto"/>
                <w:szCs w:val="21"/>
                <w:highlight w:val="none"/>
                <w:lang w:val="en-US" w:eastAsia="zh-CN"/>
              </w:rPr>
              <w:t>基本能满足本项目需求且具有可操作性</w:t>
            </w:r>
            <w:r>
              <w:rPr>
                <w:rFonts w:hint="eastAsia" w:ascii="宋体" w:hAnsi="宋体" w:eastAsia="宋体" w:cs="宋体"/>
                <w:color w:val="auto"/>
                <w:szCs w:val="21"/>
                <w:highlight w:val="none"/>
              </w:rPr>
              <w:t>的</w:t>
            </w:r>
            <w:r>
              <w:rPr>
                <w:rFonts w:hint="eastAsia"/>
                <w:color w:val="auto"/>
                <w:szCs w:val="21"/>
                <w:highlight w:val="none"/>
              </w:rPr>
              <w:t>得3-5分；实施方案存在缺陷或缺项的得0-3分。</w:t>
            </w:r>
          </w:p>
        </w:tc>
        <w:tc>
          <w:tcPr>
            <w:tcW w:w="1023" w:type="dxa"/>
            <w:noWrap w:val="0"/>
            <w:vAlign w:val="center"/>
          </w:tcPr>
          <w:p>
            <w:pPr>
              <w:spacing w:line="300" w:lineRule="exact"/>
              <w:jc w:val="center"/>
              <w:rPr>
                <w:rFonts w:hint="eastAsia" w:ascii="宋体" w:hAnsi="宋体" w:eastAsia="宋体"/>
                <w:b/>
                <w:color w:val="auto"/>
                <w:szCs w:val="21"/>
                <w:highlight w:val="none"/>
                <w:lang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00" w:type="dxa"/>
            <w:vMerge w:val="continue"/>
            <w:noWrap w:val="0"/>
            <w:vAlign w:val="center"/>
          </w:tcPr>
          <w:p>
            <w:pPr>
              <w:spacing w:line="300" w:lineRule="exact"/>
              <w:jc w:val="center"/>
              <w:rPr>
                <w:rFonts w:ascii="宋体" w:hAnsi="宋体"/>
                <w:color w:val="auto"/>
                <w:szCs w:val="21"/>
                <w:highlight w:val="none"/>
              </w:rPr>
            </w:pPr>
          </w:p>
        </w:tc>
        <w:tc>
          <w:tcPr>
            <w:tcW w:w="8139" w:type="dxa"/>
            <w:noWrap w:val="0"/>
            <w:vAlign w:val="center"/>
          </w:tcPr>
          <w:p>
            <w:pPr>
              <w:widowControl/>
              <w:snapToGrid w:val="0"/>
              <w:spacing w:line="34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河道保洁</w:t>
            </w:r>
            <w:r>
              <w:rPr>
                <w:rFonts w:hint="eastAsia" w:ascii="宋体" w:hAnsi="宋体" w:eastAsia="宋体" w:cs="宋体"/>
                <w:b/>
                <w:bCs/>
                <w:color w:val="auto"/>
                <w:szCs w:val="21"/>
                <w:highlight w:val="none"/>
                <w:lang w:val="en-US" w:eastAsia="zh-CN"/>
              </w:rPr>
              <w:t>实施</w:t>
            </w:r>
            <w:r>
              <w:rPr>
                <w:rFonts w:hint="eastAsia" w:ascii="宋体" w:hAnsi="宋体" w:eastAsia="宋体" w:cs="宋体"/>
                <w:b/>
                <w:bCs/>
                <w:color w:val="auto"/>
                <w:szCs w:val="21"/>
                <w:highlight w:val="none"/>
              </w:rPr>
              <w:t>方案（</w:t>
            </w:r>
            <w:r>
              <w:rPr>
                <w:rFonts w:hint="eastAsia" w:ascii="宋体" w:hAnsi="宋体" w:eastAsia="宋体" w:cs="宋体"/>
                <w:b/>
                <w:bCs/>
                <w:color w:val="auto"/>
                <w:szCs w:val="21"/>
                <w:highlight w:val="none"/>
                <w:lang w:val="en-US" w:eastAsia="zh-CN"/>
              </w:rPr>
              <w:t>6</w:t>
            </w:r>
            <w:r>
              <w:rPr>
                <w:rFonts w:hint="eastAsia" w:ascii="宋体" w:hAnsi="宋体" w:eastAsia="宋体" w:cs="宋体"/>
                <w:b/>
                <w:bCs/>
                <w:color w:val="auto"/>
                <w:szCs w:val="21"/>
                <w:highlight w:val="none"/>
              </w:rPr>
              <w:t>分）：</w:t>
            </w:r>
            <w:r>
              <w:rPr>
                <w:rFonts w:hint="eastAsia" w:ascii="Times New Roman" w:hAnsi="Times New Roman" w:eastAsia="宋体" w:cs="Times New Roman"/>
                <w:color w:val="auto"/>
                <w:szCs w:val="21"/>
                <w:highlight w:val="none"/>
              </w:rPr>
              <w:t>评审专家根据投标人针对本项目的</w:t>
            </w:r>
            <w:r>
              <w:rPr>
                <w:rFonts w:hint="eastAsia" w:ascii="Times New Roman" w:hAnsi="Times New Roman" w:eastAsia="宋体" w:cs="Times New Roman"/>
                <w:color w:val="auto"/>
                <w:szCs w:val="21"/>
                <w:highlight w:val="none"/>
                <w:lang w:val="en-US" w:eastAsia="zh-CN"/>
              </w:rPr>
              <w:t>河道保洁</w:t>
            </w:r>
            <w:r>
              <w:rPr>
                <w:rFonts w:hint="eastAsia" w:ascii="Times New Roman" w:hAnsi="Times New Roman" w:eastAsia="宋体" w:cs="Times New Roman"/>
                <w:color w:val="auto"/>
                <w:szCs w:val="21"/>
                <w:highlight w:val="none"/>
              </w:rPr>
              <w:t>实施方案等进行综合评议</w:t>
            </w:r>
            <w:r>
              <w:rPr>
                <w:rFonts w:hint="eastAsia"/>
                <w:color w:val="auto"/>
                <w:szCs w:val="21"/>
                <w:highlight w:val="none"/>
              </w:rPr>
              <w:t>，</w:t>
            </w:r>
            <w:r>
              <w:rPr>
                <w:rFonts w:hint="eastAsia" w:ascii="宋体" w:hAnsi="宋体" w:eastAsia="宋体" w:cs="宋体"/>
                <w:color w:val="auto"/>
                <w:szCs w:val="21"/>
                <w:highlight w:val="none"/>
              </w:rPr>
              <w:t>实施方案科学合理</w:t>
            </w:r>
            <w:r>
              <w:rPr>
                <w:rFonts w:hint="eastAsia" w:ascii="宋体" w:hAnsi="宋体" w:eastAsia="宋体" w:cs="宋体"/>
                <w:color w:val="auto"/>
                <w:szCs w:val="21"/>
                <w:highlight w:val="none"/>
                <w:lang w:val="en-US" w:eastAsia="zh-CN"/>
              </w:rPr>
              <w:t>且完全能满足本项目需求，可操作性强</w:t>
            </w:r>
            <w:r>
              <w:rPr>
                <w:rFonts w:hint="eastAsia" w:ascii="宋体" w:hAnsi="宋体" w:eastAsia="宋体" w:cs="宋体"/>
                <w:color w:val="auto"/>
                <w:szCs w:val="21"/>
                <w:highlight w:val="none"/>
              </w:rPr>
              <w:t>的</w:t>
            </w:r>
            <w:r>
              <w:rPr>
                <w:rFonts w:hint="eastAsia"/>
                <w:color w:val="auto"/>
                <w:szCs w:val="21"/>
                <w:highlight w:val="none"/>
              </w:rPr>
              <w:t>得</w:t>
            </w:r>
            <w:r>
              <w:rPr>
                <w:rFonts w:hint="eastAsia"/>
                <w:color w:val="auto"/>
                <w:szCs w:val="21"/>
                <w:highlight w:val="none"/>
                <w:lang w:val="en-US" w:eastAsia="zh-CN"/>
              </w:rPr>
              <w:t>4</w:t>
            </w:r>
            <w:r>
              <w:rPr>
                <w:rFonts w:hint="eastAsia"/>
                <w:color w:val="auto"/>
                <w:szCs w:val="21"/>
                <w:highlight w:val="none"/>
              </w:rPr>
              <w:t>-</w:t>
            </w:r>
            <w:r>
              <w:rPr>
                <w:rFonts w:hint="eastAsia"/>
                <w:color w:val="auto"/>
                <w:szCs w:val="21"/>
                <w:highlight w:val="none"/>
                <w:lang w:val="en-US" w:eastAsia="zh-CN"/>
              </w:rPr>
              <w:t>6</w:t>
            </w:r>
            <w:r>
              <w:rPr>
                <w:rFonts w:hint="eastAsia"/>
                <w:color w:val="auto"/>
                <w:szCs w:val="21"/>
                <w:highlight w:val="none"/>
              </w:rPr>
              <w:t>分；</w:t>
            </w:r>
            <w:r>
              <w:rPr>
                <w:rFonts w:hint="eastAsia" w:ascii="宋体" w:hAnsi="宋体" w:eastAsia="宋体" w:cs="宋体"/>
                <w:color w:val="auto"/>
                <w:szCs w:val="21"/>
                <w:highlight w:val="none"/>
              </w:rPr>
              <w:t>实施方案</w:t>
            </w:r>
            <w:r>
              <w:rPr>
                <w:rFonts w:hint="eastAsia" w:ascii="宋体" w:hAnsi="宋体" w:eastAsia="宋体" w:cs="宋体"/>
                <w:color w:val="auto"/>
                <w:szCs w:val="21"/>
                <w:highlight w:val="none"/>
                <w:lang w:val="en-US" w:eastAsia="zh-CN"/>
              </w:rPr>
              <w:t>基本能满足本项目需求且具有可操作性</w:t>
            </w:r>
            <w:r>
              <w:rPr>
                <w:rFonts w:hint="eastAsia" w:ascii="宋体" w:hAnsi="宋体" w:eastAsia="宋体" w:cs="宋体"/>
                <w:color w:val="auto"/>
                <w:szCs w:val="21"/>
                <w:highlight w:val="none"/>
              </w:rPr>
              <w:t>的</w:t>
            </w:r>
            <w:r>
              <w:rPr>
                <w:rFonts w:hint="eastAsia"/>
                <w:color w:val="auto"/>
                <w:szCs w:val="21"/>
                <w:highlight w:val="none"/>
              </w:rPr>
              <w:t>得</w:t>
            </w:r>
            <w:r>
              <w:rPr>
                <w:rFonts w:hint="eastAsia"/>
                <w:color w:val="auto"/>
                <w:szCs w:val="21"/>
                <w:highlight w:val="none"/>
                <w:lang w:val="en-US" w:eastAsia="zh-CN"/>
              </w:rPr>
              <w:t>2</w:t>
            </w:r>
            <w:r>
              <w:rPr>
                <w:rFonts w:hint="eastAsia"/>
                <w:color w:val="auto"/>
                <w:szCs w:val="21"/>
                <w:highlight w:val="none"/>
              </w:rPr>
              <w:t>-</w:t>
            </w:r>
            <w:r>
              <w:rPr>
                <w:rFonts w:hint="eastAsia"/>
                <w:color w:val="auto"/>
                <w:szCs w:val="21"/>
                <w:highlight w:val="none"/>
                <w:lang w:val="en-US" w:eastAsia="zh-CN"/>
              </w:rPr>
              <w:t>4</w:t>
            </w:r>
            <w:r>
              <w:rPr>
                <w:rFonts w:hint="eastAsia"/>
                <w:color w:val="auto"/>
                <w:szCs w:val="21"/>
                <w:highlight w:val="none"/>
              </w:rPr>
              <w:t>分；实施方案存在缺陷或缺项的得0-</w:t>
            </w:r>
            <w:r>
              <w:rPr>
                <w:rFonts w:hint="eastAsia"/>
                <w:color w:val="auto"/>
                <w:szCs w:val="21"/>
                <w:highlight w:val="none"/>
                <w:lang w:val="en-US" w:eastAsia="zh-CN"/>
              </w:rPr>
              <w:t>2</w:t>
            </w:r>
            <w:r>
              <w:rPr>
                <w:rFonts w:hint="eastAsia"/>
                <w:color w:val="auto"/>
                <w:szCs w:val="21"/>
                <w:highlight w:val="none"/>
              </w:rPr>
              <w:t>分。</w:t>
            </w:r>
          </w:p>
        </w:tc>
        <w:tc>
          <w:tcPr>
            <w:tcW w:w="1023" w:type="dxa"/>
            <w:noWrap w:val="0"/>
            <w:vAlign w:val="center"/>
          </w:tcPr>
          <w:p>
            <w:pPr>
              <w:spacing w:line="300" w:lineRule="exact"/>
              <w:jc w:val="center"/>
              <w:rPr>
                <w:rFonts w:hint="eastAsia" w:ascii="宋体" w:hAnsi="宋体" w:eastAsia="宋体"/>
                <w:b/>
                <w:color w:val="auto"/>
                <w:szCs w:val="21"/>
                <w:highlight w:val="none"/>
                <w:lang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 w:hRule="atLeast"/>
          <w:jc w:val="center"/>
        </w:trPr>
        <w:tc>
          <w:tcPr>
            <w:tcW w:w="800" w:type="dxa"/>
            <w:vMerge w:val="continue"/>
            <w:noWrap w:val="0"/>
            <w:vAlign w:val="center"/>
          </w:tcPr>
          <w:p>
            <w:pPr>
              <w:spacing w:line="300" w:lineRule="exact"/>
              <w:jc w:val="center"/>
              <w:rPr>
                <w:rFonts w:ascii="宋体" w:hAnsi="宋体"/>
                <w:color w:val="auto"/>
                <w:szCs w:val="21"/>
                <w:highlight w:val="none"/>
              </w:rPr>
            </w:pPr>
          </w:p>
        </w:tc>
        <w:tc>
          <w:tcPr>
            <w:tcW w:w="8139" w:type="dxa"/>
            <w:noWrap w:val="0"/>
            <w:vAlign w:val="center"/>
          </w:tcPr>
          <w:p>
            <w:pPr>
              <w:widowControl/>
              <w:snapToGrid w:val="0"/>
              <w:spacing w:line="34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公厕保洁实施方案（</w:t>
            </w:r>
            <w:r>
              <w:rPr>
                <w:rFonts w:hint="eastAsia" w:ascii="宋体" w:hAnsi="宋体" w:eastAsia="宋体" w:cs="宋体"/>
                <w:b/>
                <w:bCs/>
                <w:color w:val="auto"/>
                <w:szCs w:val="21"/>
                <w:highlight w:val="none"/>
                <w:lang w:val="en-US" w:eastAsia="zh-CN"/>
              </w:rPr>
              <w:t>6</w:t>
            </w:r>
            <w:r>
              <w:rPr>
                <w:rFonts w:hint="eastAsia" w:ascii="宋体" w:hAnsi="宋体" w:eastAsia="宋体" w:cs="宋体"/>
                <w:b/>
                <w:bCs/>
                <w:color w:val="auto"/>
                <w:szCs w:val="21"/>
                <w:highlight w:val="none"/>
              </w:rPr>
              <w:t>分）：</w:t>
            </w:r>
          </w:p>
          <w:p>
            <w:pPr>
              <w:spacing w:line="360" w:lineRule="exact"/>
              <w:rPr>
                <w:rFonts w:hint="eastAsia"/>
                <w:color w:val="auto"/>
                <w:kern w:val="2"/>
                <w:sz w:val="21"/>
                <w:szCs w:val="21"/>
                <w:highlight w:val="none"/>
                <w:lang w:val="en-US" w:eastAsia="zh-CN" w:bidi="ar-SA"/>
              </w:rPr>
            </w:pPr>
            <w:r>
              <w:rPr>
                <w:rFonts w:hint="eastAsia"/>
                <w:color w:val="auto"/>
                <w:szCs w:val="21"/>
                <w:highlight w:val="none"/>
              </w:rPr>
              <w:t>评审专家根据投标人针对本项目的公厕保洁实施方案等进行综合评议，</w:t>
            </w:r>
            <w:r>
              <w:rPr>
                <w:rFonts w:hint="eastAsia" w:ascii="宋体" w:hAnsi="宋体" w:eastAsia="宋体" w:cs="宋体"/>
                <w:color w:val="auto"/>
                <w:szCs w:val="21"/>
                <w:highlight w:val="none"/>
              </w:rPr>
              <w:t>实施方案科学合理</w:t>
            </w:r>
            <w:r>
              <w:rPr>
                <w:rFonts w:hint="eastAsia" w:ascii="宋体" w:hAnsi="宋体" w:eastAsia="宋体" w:cs="宋体"/>
                <w:color w:val="auto"/>
                <w:szCs w:val="21"/>
                <w:highlight w:val="none"/>
                <w:lang w:val="en-US" w:eastAsia="zh-CN"/>
              </w:rPr>
              <w:t>且完全能满足本项目需求，可操作性强</w:t>
            </w:r>
            <w:r>
              <w:rPr>
                <w:rFonts w:hint="eastAsia" w:ascii="宋体" w:hAnsi="宋体" w:eastAsia="宋体" w:cs="宋体"/>
                <w:color w:val="auto"/>
                <w:szCs w:val="21"/>
                <w:highlight w:val="none"/>
              </w:rPr>
              <w:t>的</w:t>
            </w:r>
            <w:r>
              <w:rPr>
                <w:rFonts w:hint="eastAsia"/>
                <w:color w:val="auto"/>
                <w:szCs w:val="21"/>
                <w:highlight w:val="none"/>
              </w:rPr>
              <w:t>得</w:t>
            </w:r>
            <w:r>
              <w:rPr>
                <w:rFonts w:hint="eastAsia"/>
                <w:color w:val="auto"/>
                <w:szCs w:val="21"/>
                <w:highlight w:val="none"/>
                <w:lang w:val="en-US" w:eastAsia="zh-CN"/>
              </w:rPr>
              <w:t>4</w:t>
            </w:r>
            <w:r>
              <w:rPr>
                <w:rFonts w:hint="eastAsia"/>
                <w:color w:val="auto"/>
                <w:szCs w:val="21"/>
                <w:highlight w:val="none"/>
              </w:rPr>
              <w:t>-</w:t>
            </w:r>
            <w:r>
              <w:rPr>
                <w:rFonts w:hint="eastAsia"/>
                <w:color w:val="auto"/>
                <w:szCs w:val="21"/>
                <w:highlight w:val="none"/>
                <w:lang w:val="en-US" w:eastAsia="zh-CN"/>
              </w:rPr>
              <w:t>6</w:t>
            </w:r>
            <w:r>
              <w:rPr>
                <w:rFonts w:hint="eastAsia"/>
                <w:color w:val="auto"/>
                <w:szCs w:val="21"/>
                <w:highlight w:val="none"/>
              </w:rPr>
              <w:t>分；</w:t>
            </w:r>
            <w:r>
              <w:rPr>
                <w:rFonts w:hint="eastAsia" w:ascii="宋体" w:hAnsi="宋体" w:eastAsia="宋体" w:cs="宋体"/>
                <w:color w:val="auto"/>
                <w:szCs w:val="21"/>
                <w:highlight w:val="none"/>
              </w:rPr>
              <w:t>实施方案</w:t>
            </w:r>
            <w:r>
              <w:rPr>
                <w:rFonts w:hint="eastAsia" w:ascii="宋体" w:hAnsi="宋体" w:eastAsia="宋体" w:cs="宋体"/>
                <w:color w:val="auto"/>
                <w:szCs w:val="21"/>
                <w:highlight w:val="none"/>
                <w:lang w:val="en-US" w:eastAsia="zh-CN"/>
              </w:rPr>
              <w:t>基本能满足本项目需求且具有可操作性</w:t>
            </w:r>
            <w:r>
              <w:rPr>
                <w:rFonts w:hint="eastAsia" w:ascii="宋体" w:hAnsi="宋体" w:eastAsia="宋体" w:cs="宋体"/>
                <w:color w:val="auto"/>
                <w:szCs w:val="21"/>
                <w:highlight w:val="none"/>
              </w:rPr>
              <w:t>的</w:t>
            </w:r>
            <w:r>
              <w:rPr>
                <w:rFonts w:hint="eastAsia"/>
                <w:color w:val="auto"/>
                <w:szCs w:val="21"/>
                <w:highlight w:val="none"/>
              </w:rPr>
              <w:t>得</w:t>
            </w:r>
            <w:r>
              <w:rPr>
                <w:rFonts w:hint="eastAsia"/>
                <w:color w:val="auto"/>
                <w:szCs w:val="21"/>
                <w:highlight w:val="none"/>
                <w:lang w:val="en-US" w:eastAsia="zh-CN"/>
              </w:rPr>
              <w:t>2</w:t>
            </w:r>
            <w:r>
              <w:rPr>
                <w:rFonts w:hint="eastAsia"/>
                <w:color w:val="auto"/>
                <w:szCs w:val="21"/>
                <w:highlight w:val="none"/>
              </w:rPr>
              <w:t>-</w:t>
            </w:r>
            <w:r>
              <w:rPr>
                <w:rFonts w:hint="eastAsia"/>
                <w:color w:val="auto"/>
                <w:szCs w:val="21"/>
                <w:highlight w:val="none"/>
                <w:lang w:val="en-US" w:eastAsia="zh-CN"/>
              </w:rPr>
              <w:t>4</w:t>
            </w:r>
            <w:r>
              <w:rPr>
                <w:rFonts w:hint="eastAsia"/>
                <w:color w:val="auto"/>
                <w:szCs w:val="21"/>
                <w:highlight w:val="none"/>
              </w:rPr>
              <w:t>分；实施方案存在缺陷或缺项的得0-</w:t>
            </w:r>
            <w:r>
              <w:rPr>
                <w:rFonts w:hint="eastAsia"/>
                <w:color w:val="auto"/>
                <w:szCs w:val="21"/>
                <w:highlight w:val="none"/>
                <w:lang w:val="en-US" w:eastAsia="zh-CN"/>
              </w:rPr>
              <w:t>2</w:t>
            </w:r>
            <w:r>
              <w:rPr>
                <w:rFonts w:hint="eastAsia"/>
                <w:color w:val="auto"/>
                <w:szCs w:val="21"/>
                <w:highlight w:val="none"/>
              </w:rPr>
              <w:t>分。</w:t>
            </w:r>
          </w:p>
        </w:tc>
        <w:tc>
          <w:tcPr>
            <w:tcW w:w="1023" w:type="dxa"/>
            <w:noWrap w:val="0"/>
            <w:vAlign w:val="center"/>
          </w:tcPr>
          <w:p>
            <w:pPr>
              <w:spacing w:line="300" w:lineRule="exact"/>
              <w:jc w:val="center"/>
              <w:rPr>
                <w:rFonts w:hint="eastAsia" w:ascii="宋体" w:hAnsi="宋体" w:eastAsia="宋体"/>
                <w:b/>
                <w:color w:val="auto"/>
                <w:szCs w:val="21"/>
                <w:highlight w:val="none"/>
                <w:lang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 w:hRule="atLeast"/>
          <w:jc w:val="center"/>
        </w:trPr>
        <w:tc>
          <w:tcPr>
            <w:tcW w:w="800" w:type="dxa"/>
            <w:vMerge w:val="continue"/>
            <w:noWrap w:val="0"/>
            <w:vAlign w:val="center"/>
          </w:tcPr>
          <w:p>
            <w:pPr>
              <w:spacing w:line="300" w:lineRule="exact"/>
              <w:jc w:val="center"/>
              <w:rPr>
                <w:rFonts w:ascii="宋体" w:hAnsi="宋体"/>
                <w:color w:val="auto"/>
                <w:szCs w:val="21"/>
                <w:highlight w:val="none"/>
              </w:rPr>
            </w:pPr>
          </w:p>
        </w:tc>
        <w:tc>
          <w:tcPr>
            <w:tcW w:w="8139" w:type="dxa"/>
            <w:noWrap w:val="0"/>
            <w:vAlign w:val="center"/>
          </w:tcPr>
          <w:p>
            <w:pPr>
              <w:widowControl/>
              <w:snapToGrid w:val="0"/>
              <w:spacing w:line="36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垃圾中转</w:t>
            </w:r>
            <w:r>
              <w:rPr>
                <w:rFonts w:hint="eastAsia" w:ascii="宋体" w:hAnsi="宋体" w:eastAsia="宋体" w:cs="宋体"/>
                <w:b/>
                <w:bCs/>
                <w:color w:val="auto"/>
                <w:szCs w:val="21"/>
                <w:highlight w:val="none"/>
                <w:lang w:val="en-US" w:eastAsia="zh-CN"/>
              </w:rPr>
              <w:t>站运行管理及垃圾压缩转运服务</w:t>
            </w:r>
            <w:r>
              <w:rPr>
                <w:rFonts w:hint="eastAsia" w:ascii="宋体" w:hAnsi="宋体" w:eastAsia="宋体" w:cs="宋体"/>
                <w:b/>
                <w:bCs/>
                <w:color w:val="auto"/>
                <w:szCs w:val="21"/>
                <w:highlight w:val="none"/>
              </w:rPr>
              <w:t>实施方案（7分）：</w:t>
            </w:r>
          </w:p>
          <w:p>
            <w:pPr>
              <w:spacing w:line="360" w:lineRule="exact"/>
              <w:rPr>
                <w:rFonts w:hint="default" w:eastAsia="宋体"/>
                <w:color w:val="auto"/>
                <w:szCs w:val="21"/>
                <w:highlight w:val="none"/>
                <w:lang w:val="en-US" w:eastAsia="zh-CN"/>
              </w:rPr>
            </w:pPr>
            <w:r>
              <w:rPr>
                <w:rFonts w:hint="eastAsia" w:ascii="宋体" w:hAnsi="宋体" w:eastAsia="宋体" w:cs="宋体"/>
                <w:color w:val="auto"/>
                <w:sz w:val="21"/>
                <w:szCs w:val="21"/>
                <w:highlight w:val="none"/>
              </w:rPr>
              <w:t>评审专家根据投标人针对本项目的垃圾中转</w:t>
            </w:r>
            <w:r>
              <w:rPr>
                <w:rFonts w:hint="eastAsia" w:ascii="宋体" w:hAnsi="宋体" w:eastAsia="宋体" w:cs="宋体"/>
                <w:color w:val="auto"/>
                <w:sz w:val="21"/>
                <w:szCs w:val="21"/>
                <w:highlight w:val="none"/>
                <w:lang w:val="en-US" w:eastAsia="zh-CN"/>
              </w:rPr>
              <w:t>站运行管理及垃圾压缩转运服务</w:t>
            </w:r>
            <w:r>
              <w:rPr>
                <w:rFonts w:hint="eastAsia" w:ascii="宋体" w:hAnsi="宋体" w:eastAsia="宋体" w:cs="宋体"/>
                <w:color w:val="auto"/>
                <w:sz w:val="21"/>
                <w:szCs w:val="21"/>
                <w:highlight w:val="none"/>
              </w:rPr>
              <w:t>实施方案进行综合评议，实施方案科学合理</w:t>
            </w:r>
            <w:r>
              <w:rPr>
                <w:rFonts w:hint="eastAsia" w:ascii="宋体" w:hAnsi="宋体" w:eastAsia="宋体" w:cs="宋体"/>
                <w:color w:val="auto"/>
                <w:sz w:val="21"/>
                <w:szCs w:val="21"/>
                <w:highlight w:val="none"/>
                <w:lang w:val="en-US" w:eastAsia="zh-CN"/>
              </w:rPr>
              <w:t>且完全能满足本项目需求，可操作性强</w:t>
            </w:r>
            <w:r>
              <w:rPr>
                <w:rFonts w:hint="eastAsia" w:ascii="宋体" w:hAnsi="宋体" w:eastAsia="宋体" w:cs="宋体"/>
                <w:color w:val="auto"/>
                <w:sz w:val="21"/>
                <w:szCs w:val="21"/>
                <w:highlight w:val="none"/>
              </w:rPr>
              <w:t>的得5-7分；实施方案</w:t>
            </w:r>
            <w:r>
              <w:rPr>
                <w:rFonts w:hint="eastAsia" w:ascii="宋体" w:hAnsi="宋体" w:eastAsia="宋体" w:cs="宋体"/>
                <w:color w:val="auto"/>
                <w:sz w:val="21"/>
                <w:szCs w:val="21"/>
                <w:highlight w:val="none"/>
                <w:lang w:val="en-US" w:eastAsia="zh-CN"/>
              </w:rPr>
              <w:t>基本能满足本项目需求且具有可操作性</w:t>
            </w:r>
            <w:r>
              <w:rPr>
                <w:rFonts w:hint="eastAsia" w:ascii="宋体" w:hAnsi="宋体" w:eastAsia="宋体" w:cs="宋体"/>
                <w:color w:val="auto"/>
                <w:sz w:val="21"/>
                <w:szCs w:val="21"/>
                <w:highlight w:val="none"/>
              </w:rPr>
              <w:t>的得3-5分；实施方案存在缺陷或缺项的得0-3分。</w:t>
            </w:r>
          </w:p>
        </w:tc>
        <w:tc>
          <w:tcPr>
            <w:tcW w:w="1023" w:type="dxa"/>
            <w:noWrap w:val="0"/>
            <w:vAlign w:val="center"/>
          </w:tcPr>
          <w:p>
            <w:pPr>
              <w:spacing w:line="300" w:lineRule="exact"/>
              <w:jc w:val="center"/>
              <w:rPr>
                <w:rFonts w:hint="eastAsia" w:ascii="宋体" w:hAnsi="宋体" w:eastAsia="宋体"/>
                <w:b/>
                <w:color w:val="auto"/>
                <w:szCs w:val="21"/>
                <w:highlight w:val="none"/>
                <w:lang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800" w:type="dxa"/>
            <w:vMerge w:val="continue"/>
            <w:noWrap w:val="0"/>
            <w:vAlign w:val="center"/>
          </w:tcPr>
          <w:p>
            <w:pPr>
              <w:spacing w:line="300" w:lineRule="exact"/>
              <w:jc w:val="center"/>
              <w:rPr>
                <w:rFonts w:ascii="宋体" w:hAnsi="宋体"/>
                <w:color w:val="auto"/>
                <w:szCs w:val="21"/>
                <w:highlight w:val="none"/>
              </w:rPr>
            </w:pPr>
          </w:p>
        </w:tc>
        <w:tc>
          <w:tcPr>
            <w:tcW w:w="8139" w:type="dxa"/>
            <w:noWrap w:val="0"/>
            <w:vAlign w:val="center"/>
          </w:tcPr>
          <w:p>
            <w:pPr>
              <w:spacing w:line="360" w:lineRule="exac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6.垃圾上门收集服务、餐厨垃圾收运服务、污水清运及公厕吸粪实施方案（7分）：</w:t>
            </w:r>
          </w:p>
          <w:p>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评审专家根据投标人针对本项目的</w:t>
            </w:r>
            <w:r>
              <w:rPr>
                <w:rFonts w:hint="eastAsia" w:ascii="宋体" w:hAnsi="宋体" w:eastAsia="宋体" w:cs="宋体"/>
                <w:color w:val="auto"/>
                <w:szCs w:val="21"/>
                <w:highlight w:val="none"/>
                <w:lang w:val="en-US" w:eastAsia="zh-CN"/>
              </w:rPr>
              <w:t>垃圾上门收集服务、餐厨垃圾收运服务、污水清运及公厕吸</w:t>
            </w:r>
            <w:r>
              <w:rPr>
                <w:rFonts w:hint="eastAsia" w:ascii="宋体" w:hAnsi="宋体" w:eastAsia="宋体" w:cs="宋体"/>
                <w:color w:val="auto"/>
                <w:szCs w:val="21"/>
                <w:highlight w:val="none"/>
              </w:rPr>
              <w:t>实施方案等进行综合评议，实施方案科学合理</w:t>
            </w:r>
            <w:r>
              <w:rPr>
                <w:rFonts w:hint="eastAsia" w:ascii="宋体" w:hAnsi="宋体" w:eastAsia="宋体" w:cs="宋体"/>
                <w:color w:val="auto"/>
                <w:szCs w:val="21"/>
                <w:highlight w:val="none"/>
                <w:lang w:val="en-US" w:eastAsia="zh-CN"/>
              </w:rPr>
              <w:t>且完全能满足本项目需求，可操作性强</w:t>
            </w:r>
            <w:r>
              <w:rPr>
                <w:rFonts w:hint="eastAsia" w:ascii="宋体" w:hAnsi="宋体" w:eastAsia="宋体" w:cs="宋体"/>
                <w:color w:val="auto"/>
                <w:szCs w:val="21"/>
                <w:highlight w:val="none"/>
              </w:rPr>
              <w:t>的得5-7分；实施方案</w:t>
            </w:r>
            <w:r>
              <w:rPr>
                <w:rFonts w:hint="eastAsia" w:ascii="宋体" w:hAnsi="宋体" w:eastAsia="宋体" w:cs="宋体"/>
                <w:color w:val="auto"/>
                <w:szCs w:val="21"/>
                <w:highlight w:val="none"/>
                <w:lang w:val="en-US" w:eastAsia="zh-CN"/>
              </w:rPr>
              <w:t>基本能满足本项目需求且具有可操作性</w:t>
            </w:r>
            <w:r>
              <w:rPr>
                <w:rFonts w:hint="eastAsia" w:ascii="宋体" w:hAnsi="宋体" w:eastAsia="宋体" w:cs="宋体"/>
                <w:color w:val="auto"/>
                <w:szCs w:val="21"/>
                <w:highlight w:val="none"/>
              </w:rPr>
              <w:t>的得3-5分；实施方案存在缺陷或缺项的得0-3分。</w:t>
            </w:r>
          </w:p>
        </w:tc>
        <w:tc>
          <w:tcPr>
            <w:tcW w:w="1023" w:type="dxa"/>
            <w:noWrap w:val="0"/>
            <w:vAlign w:val="center"/>
          </w:tcPr>
          <w:p>
            <w:pPr>
              <w:spacing w:line="300" w:lineRule="exact"/>
              <w:jc w:val="center"/>
              <w:rPr>
                <w:rFonts w:hint="eastAsia" w:ascii="宋体" w:hAnsi="宋体" w:eastAsia="宋体"/>
                <w:b/>
                <w:color w:val="auto"/>
                <w:szCs w:val="21"/>
                <w:highlight w:val="none"/>
                <w:lang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800" w:type="dxa"/>
            <w:vMerge w:val="continue"/>
            <w:noWrap w:val="0"/>
            <w:vAlign w:val="center"/>
          </w:tcPr>
          <w:p>
            <w:pPr>
              <w:spacing w:line="300" w:lineRule="exact"/>
              <w:jc w:val="center"/>
              <w:rPr>
                <w:rFonts w:ascii="宋体" w:hAnsi="宋体"/>
                <w:color w:val="auto"/>
                <w:szCs w:val="21"/>
                <w:highlight w:val="none"/>
              </w:rPr>
            </w:pPr>
          </w:p>
        </w:tc>
        <w:tc>
          <w:tcPr>
            <w:tcW w:w="8139" w:type="dxa"/>
            <w:noWrap w:val="0"/>
            <w:vAlign w:val="center"/>
          </w:tcPr>
          <w:p>
            <w:pPr>
              <w:spacing w:line="360" w:lineRule="exac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7.牛皮癣清理方案（5分）：</w:t>
            </w:r>
          </w:p>
          <w:p>
            <w:pPr>
              <w:spacing w:line="360" w:lineRule="exact"/>
              <w:rPr>
                <w:rFonts w:hint="eastAsia"/>
                <w:color w:val="auto"/>
                <w:highlight w:val="none"/>
                <w:lang w:val="en-US" w:eastAsia="zh-CN"/>
              </w:rPr>
            </w:pPr>
            <w:r>
              <w:rPr>
                <w:rFonts w:hint="eastAsia" w:ascii="宋体" w:hAnsi="宋体" w:eastAsia="宋体" w:cs="宋体"/>
                <w:color w:val="auto"/>
                <w:szCs w:val="21"/>
                <w:highlight w:val="none"/>
              </w:rPr>
              <w:t>评审专家根据投标人针对本项目的</w:t>
            </w:r>
            <w:r>
              <w:rPr>
                <w:rFonts w:hint="eastAsia" w:ascii="宋体" w:hAnsi="宋体" w:eastAsia="宋体" w:cs="宋体"/>
                <w:color w:val="auto"/>
                <w:szCs w:val="21"/>
                <w:highlight w:val="none"/>
                <w:lang w:val="en-US" w:eastAsia="zh-CN"/>
              </w:rPr>
              <w:t>牛皮癣清理</w:t>
            </w:r>
            <w:r>
              <w:rPr>
                <w:rFonts w:hint="eastAsia" w:ascii="宋体" w:hAnsi="宋体" w:eastAsia="宋体" w:cs="宋体"/>
                <w:color w:val="auto"/>
                <w:szCs w:val="21"/>
                <w:highlight w:val="none"/>
              </w:rPr>
              <w:t>实施方案等进行综合评议，实施方案科学合理</w:t>
            </w:r>
            <w:r>
              <w:rPr>
                <w:rFonts w:hint="eastAsia" w:ascii="宋体" w:hAnsi="宋体" w:eastAsia="宋体" w:cs="宋体"/>
                <w:color w:val="auto"/>
                <w:szCs w:val="21"/>
                <w:highlight w:val="none"/>
                <w:lang w:val="en-US" w:eastAsia="zh-CN"/>
              </w:rPr>
              <w:t>且完全能满足本项目需求，可操作性强</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分；实施方案</w:t>
            </w:r>
            <w:r>
              <w:rPr>
                <w:rFonts w:hint="eastAsia" w:ascii="宋体" w:hAnsi="宋体" w:eastAsia="宋体" w:cs="宋体"/>
                <w:color w:val="auto"/>
                <w:szCs w:val="21"/>
                <w:highlight w:val="none"/>
                <w:lang w:val="en-US" w:eastAsia="zh-CN"/>
              </w:rPr>
              <w:t>基本能满足本项目需求且具有可操作性</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分；实施方案存在缺陷或缺项的得0-</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tc>
        <w:tc>
          <w:tcPr>
            <w:tcW w:w="1023" w:type="dxa"/>
            <w:noWrap w:val="0"/>
            <w:vAlign w:val="center"/>
          </w:tcPr>
          <w:p>
            <w:pPr>
              <w:spacing w:line="300" w:lineRule="exact"/>
              <w:jc w:val="center"/>
              <w:rPr>
                <w:rFonts w:hint="eastAsia" w:ascii="宋体" w:hAnsi="宋体" w:eastAsia="宋体"/>
                <w:b/>
                <w:color w:val="auto"/>
                <w:szCs w:val="21"/>
                <w:highlight w:val="none"/>
                <w:lang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800" w:type="dxa"/>
            <w:vMerge w:val="continue"/>
            <w:noWrap w:val="0"/>
            <w:vAlign w:val="center"/>
          </w:tcPr>
          <w:p>
            <w:pPr>
              <w:spacing w:line="300" w:lineRule="exact"/>
              <w:jc w:val="center"/>
              <w:rPr>
                <w:rFonts w:ascii="宋体" w:hAnsi="宋体"/>
                <w:color w:val="auto"/>
                <w:szCs w:val="21"/>
                <w:highlight w:val="none"/>
              </w:rPr>
            </w:pPr>
          </w:p>
        </w:tc>
        <w:tc>
          <w:tcPr>
            <w:tcW w:w="8139" w:type="dxa"/>
            <w:noWrap w:val="0"/>
            <w:vAlign w:val="center"/>
          </w:tcPr>
          <w:p>
            <w:pPr>
              <w:widowControl/>
              <w:snapToGrid/>
              <w:spacing w:line="360" w:lineRule="exact"/>
              <w:rPr>
                <w:rFonts w:hint="eastAsia" w:ascii="宋体" w:hAnsi="宋体" w:eastAsia="宋体" w:cs="宋体"/>
                <w:b/>
                <w:color w:val="auto"/>
                <w:spacing w:val="-2"/>
                <w:szCs w:val="21"/>
                <w:highlight w:val="none"/>
              </w:rPr>
            </w:pPr>
            <w:r>
              <w:rPr>
                <w:rFonts w:hint="eastAsia" w:ascii="宋体" w:hAnsi="宋体" w:eastAsia="宋体" w:cs="宋体"/>
                <w:b/>
                <w:color w:val="auto"/>
                <w:spacing w:val="-2"/>
                <w:szCs w:val="21"/>
                <w:highlight w:val="none"/>
                <w:lang w:val="en-US" w:eastAsia="zh-CN"/>
              </w:rPr>
              <w:t>8.</w:t>
            </w:r>
            <w:r>
              <w:rPr>
                <w:rFonts w:hint="eastAsia" w:ascii="宋体" w:hAnsi="宋体" w:eastAsia="宋体" w:cs="宋体"/>
                <w:b/>
                <w:color w:val="auto"/>
                <w:spacing w:val="-2"/>
                <w:szCs w:val="21"/>
                <w:highlight w:val="none"/>
              </w:rPr>
              <w:t>车辆设备及其它工具、设备的投入、维修及保养等方案（</w:t>
            </w:r>
            <w:r>
              <w:rPr>
                <w:rFonts w:hint="eastAsia" w:ascii="宋体" w:hAnsi="宋体" w:eastAsia="宋体" w:cs="宋体"/>
                <w:b/>
                <w:color w:val="auto"/>
                <w:spacing w:val="-2"/>
                <w:szCs w:val="21"/>
                <w:highlight w:val="none"/>
                <w:lang w:val="en-US" w:eastAsia="zh-CN"/>
              </w:rPr>
              <w:t>6</w:t>
            </w:r>
            <w:r>
              <w:rPr>
                <w:rFonts w:hint="eastAsia" w:ascii="宋体" w:hAnsi="宋体" w:eastAsia="宋体" w:cs="宋体"/>
                <w:b/>
                <w:color w:val="auto"/>
                <w:spacing w:val="-2"/>
                <w:szCs w:val="21"/>
                <w:highlight w:val="none"/>
              </w:rPr>
              <w:t>分）：</w:t>
            </w:r>
          </w:p>
          <w:p>
            <w:pPr>
              <w:pStyle w:val="20"/>
              <w:ind w:firstLine="0" w:firstLineChars="0"/>
              <w:rPr>
                <w:rFonts w:hint="eastAsia" w:eastAsia="方正书宋简体"/>
                <w:color w:val="auto"/>
                <w:kern w:val="2"/>
                <w:sz w:val="21"/>
                <w:szCs w:val="21"/>
                <w:highlight w:val="none"/>
                <w:lang w:val="en-US" w:eastAsia="zh-CN" w:bidi="ar-SA"/>
              </w:rPr>
            </w:pPr>
            <w:r>
              <w:rPr>
                <w:rFonts w:hint="eastAsia" w:ascii="宋体" w:hAnsi="宋体" w:eastAsia="宋体" w:cs="宋体"/>
                <w:color w:val="auto"/>
                <w:sz w:val="21"/>
                <w:szCs w:val="21"/>
                <w:highlight w:val="none"/>
                <w:lang w:bidi="ar"/>
              </w:rPr>
              <w:t>根据拟投入本项目的车辆设备及其它工具、设备的投入、维修及保养等方案进行综合评议，</w:t>
            </w:r>
            <w:r>
              <w:rPr>
                <w:rFonts w:hint="eastAsia" w:ascii="宋体" w:hAnsi="宋体" w:eastAsia="宋体" w:cs="宋体"/>
                <w:color w:val="auto"/>
                <w:sz w:val="21"/>
                <w:szCs w:val="21"/>
                <w:highlight w:val="none"/>
                <w:lang w:val="en-US" w:eastAsia="zh-CN" w:bidi="ar"/>
              </w:rPr>
              <w:t>拟投入设备优于本项目基本要求且能切合项目实际需求、数量充足，</w:t>
            </w:r>
            <w:r>
              <w:rPr>
                <w:rFonts w:hint="eastAsia" w:ascii="宋体" w:hAnsi="宋体" w:eastAsia="宋体" w:cs="宋体"/>
                <w:color w:val="auto"/>
                <w:sz w:val="21"/>
                <w:szCs w:val="21"/>
                <w:highlight w:val="none"/>
                <w:lang w:bidi="ar"/>
              </w:rPr>
              <w:t>维修及保养</w:t>
            </w:r>
            <w:r>
              <w:rPr>
                <w:rFonts w:hint="eastAsia" w:ascii="宋体" w:hAnsi="宋体" w:eastAsia="宋体" w:cs="宋体"/>
                <w:color w:val="auto"/>
                <w:sz w:val="21"/>
                <w:szCs w:val="21"/>
                <w:highlight w:val="none"/>
                <w:lang w:val="en-US" w:eastAsia="zh-CN" w:bidi="ar"/>
              </w:rPr>
              <w:t>方案科学合理</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bidi="ar"/>
              </w:rPr>
              <w:t>拟投入设备基本符合本项目基本要求，</w:t>
            </w:r>
            <w:r>
              <w:rPr>
                <w:rFonts w:hint="eastAsia" w:ascii="宋体" w:hAnsi="宋体" w:eastAsia="宋体" w:cs="宋体"/>
                <w:color w:val="auto"/>
                <w:sz w:val="21"/>
                <w:szCs w:val="21"/>
                <w:highlight w:val="none"/>
                <w:lang w:bidi="ar"/>
              </w:rPr>
              <w:t>维修及保养</w:t>
            </w:r>
            <w:r>
              <w:rPr>
                <w:rFonts w:hint="eastAsia" w:ascii="宋体" w:hAnsi="宋体" w:eastAsia="宋体" w:cs="宋体"/>
                <w:color w:val="auto"/>
                <w:sz w:val="21"/>
                <w:szCs w:val="21"/>
                <w:highlight w:val="none"/>
                <w:lang w:val="en-US" w:eastAsia="zh-CN" w:bidi="ar"/>
              </w:rPr>
              <w:t>方案基本科学合理</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bidi="ar"/>
              </w:rPr>
              <w:t>拟投入设备不符合本项目基本要求，</w:t>
            </w:r>
            <w:r>
              <w:rPr>
                <w:rFonts w:hint="eastAsia" w:ascii="宋体" w:hAnsi="宋体" w:eastAsia="宋体" w:cs="宋体"/>
                <w:color w:val="auto"/>
                <w:sz w:val="21"/>
                <w:szCs w:val="21"/>
                <w:highlight w:val="none"/>
                <w:lang w:bidi="ar"/>
              </w:rPr>
              <w:t>维修及保养</w:t>
            </w:r>
            <w:r>
              <w:rPr>
                <w:rFonts w:hint="eastAsia" w:ascii="宋体" w:hAnsi="宋体" w:eastAsia="宋体" w:cs="宋体"/>
                <w:color w:val="auto"/>
                <w:sz w:val="21"/>
                <w:szCs w:val="21"/>
                <w:highlight w:val="none"/>
                <w:lang w:val="en-US" w:eastAsia="zh-CN" w:bidi="ar"/>
              </w:rPr>
              <w:t>方案欠缺或缺项</w:t>
            </w:r>
            <w:r>
              <w:rPr>
                <w:rFonts w:hint="eastAsia" w:ascii="宋体" w:hAnsi="宋体" w:eastAsia="宋体" w:cs="宋体"/>
                <w:color w:val="auto"/>
                <w:sz w:val="21"/>
                <w:szCs w:val="21"/>
                <w:highlight w:val="none"/>
              </w:rPr>
              <w:t>的得0-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1023" w:type="dxa"/>
            <w:noWrap w:val="0"/>
            <w:vAlign w:val="center"/>
          </w:tcPr>
          <w:p>
            <w:pPr>
              <w:spacing w:line="300" w:lineRule="exact"/>
              <w:jc w:val="center"/>
              <w:rPr>
                <w:rFonts w:hint="eastAsia" w:ascii="宋体" w:hAnsi="宋体" w:eastAsia="宋体"/>
                <w:b/>
                <w:color w:val="auto"/>
                <w:szCs w:val="21"/>
                <w:highlight w:val="none"/>
                <w:lang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800" w:type="dxa"/>
            <w:vMerge w:val="continue"/>
            <w:noWrap w:val="0"/>
            <w:vAlign w:val="center"/>
          </w:tcPr>
          <w:p>
            <w:pPr>
              <w:spacing w:line="300" w:lineRule="exact"/>
              <w:jc w:val="center"/>
              <w:rPr>
                <w:rFonts w:ascii="宋体" w:hAnsi="宋体"/>
                <w:color w:val="auto"/>
                <w:szCs w:val="21"/>
                <w:highlight w:val="none"/>
              </w:rPr>
            </w:pPr>
          </w:p>
        </w:tc>
        <w:tc>
          <w:tcPr>
            <w:tcW w:w="8139" w:type="dxa"/>
            <w:noWrap w:val="0"/>
            <w:vAlign w:val="center"/>
          </w:tcPr>
          <w:p>
            <w:pPr>
              <w:spacing w:line="360" w:lineRule="exact"/>
              <w:rPr>
                <w:rFonts w:hint="eastAsia" w:ascii="宋体" w:hAnsi="宋体" w:eastAsia="宋体" w:cs="宋体"/>
                <w:b/>
                <w:color w:val="auto"/>
                <w:szCs w:val="21"/>
                <w:highlight w:val="none"/>
                <w:lang w:eastAsia="zh-CN"/>
              </w:rPr>
            </w:pPr>
            <w:r>
              <w:rPr>
                <w:rFonts w:hint="eastAsia" w:ascii="宋体" w:hAnsi="宋体" w:eastAsia="宋体" w:cs="宋体"/>
                <w:b/>
                <w:color w:val="auto"/>
                <w:spacing w:val="-2"/>
                <w:szCs w:val="21"/>
                <w:highlight w:val="none"/>
                <w:lang w:val="en-US" w:eastAsia="zh-CN"/>
              </w:rPr>
              <w:t>9.</w:t>
            </w:r>
            <w:r>
              <w:rPr>
                <w:rFonts w:hint="eastAsia" w:ascii="宋体" w:hAnsi="宋体" w:eastAsia="宋体" w:cs="宋体"/>
                <w:b/>
                <w:color w:val="auto"/>
                <w:spacing w:val="-2"/>
                <w:szCs w:val="21"/>
                <w:highlight w:val="none"/>
              </w:rPr>
              <w:t>安全文明作业的保障措施（5分）</w:t>
            </w:r>
            <w:r>
              <w:rPr>
                <w:rFonts w:hint="eastAsia" w:ascii="宋体" w:hAnsi="宋体" w:eastAsia="宋体" w:cs="宋体"/>
                <w:b/>
                <w:color w:val="auto"/>
                <w:spacing w:val="-2"/>
                <w:szCs w:val="21"/>
                <w:highlight w:val="none"/>
                <w:lang w:eastAsia="zh-CN"/>
              </w:rPr>
              <w:t>：</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安全文明作业的保障措施多元化，保障措施可操作性强得4-5分；</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安全文明作业的保障措施普通，保障措施可操作性一般得2-4分；</w:t>
            </w:r>
          </w:p>
          <w:p>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安全文明作业的保障措施单一，或保障措施操作性不强得0-2分。</w:t>
            </w:r>
          </w:p>
        </w:tc>
        <w:tc>
          <w:tcPr>
            <w:tcW w:w="1023" w:type="dxa"/>
            <w:noWrap w:val="0"/>
            <w:vAlign w:val="center"/>
          </w:tcPr>
          <w:p>
            <w:pPr>
              <w:spacing w:line="300" w:lineRule="exact"/>
              <w:jc w:val="center"/>
              <w:rPr>
                <w:rFonts w:hint="eastAsia" w:ascii="宋体" w:hAnsi="宋体" w:eastAsia="宋体"/>
                <w:b/>
                <w:color w:val="auto"/>
                <w:szCs w:val="21"/>
                <w:highlight w:val="none"/>
                <w:lang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800" w:type="dxa"/>
            <w:vMerge w:val="continue"/>
            <w:noWrap w:val="0"/>
            <w:vAlign w:val="center"/>
          </w:tcPr>
          <w:p>
            <w:pPr>
              <w:spacing w:line="300" w:lineRule="exact"/>
              <w:jc w:val="center"/>
              <w:rPr>
                <w:rFonts w:ascii="宋体" w:hAnsi="宋体"/>
                <w:color w:val="auto"/>
                <w:szCs w:val="21"/>
                <w:highlight w:val="none"/>
              </w:rPr>
            </w:pPr>
          </w:p>
        </w:tc>
        <w:tc>
          <w:tcPr>
            <w:tcW w:w="8139" w:type="dxa"/>
            <w:noWrap w:val="0"/>
            <w:vAlign w:val="center"/>
          </w:tcPr>
          <w:p>
            <w:pPr>
              <w:widowControl/>
              <w:snapToGrid w:val="0"/>
              <w:spacing w:line="360" w:lineRule="exact"/>
              <w:jc w:val="left"/>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lang w:val="en-US" w:eastAsia="zh-CN"/>
              </w:rPr>
              <w:t>10.</w:t>
            </w:r>
            <w:r>
              <w:rPr>
                <w:rFonts w:hint="eastAsia" w:ascii="宋体" w:hAnsi="宋体" w:eastAsia="宋体" w:cs="宋体"/>
                <w:b/>
                <w:color w:val="auto"/>
                <w:szCs w:val="21"/>
                <w:highlight w:val="none"/>
              </w:rPr>
              <w:t>特殊时期的应急保障措施</w:t>
            </w:r>
            <w:r>
              <w:rPr>
                <w:rFonts w:hint="eastAsia" w:ascii="宋体" w:hAnsi="宋体" w:eastAsia="宋体" w:cs="宋体"/>
                <w:b/>
                <w:bCs/>
                <w:color w:val="auto"/>
                <w:szCs w:val="21"/>
                <w:highlight w:val="none"/>
              </w:rPr>
              <w:t>（4分）：</w:t>
            </w:r>
          </w:p>
          <w:p>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对</w:t>
            </w:r>
            <w:r>
              <w:rPr>
                <w:rFonts w:hint="eastAsia" w:ascii="宋体" w:hAnsi="宋体" w:eastAsia="宋体" w:cs="宋体"/>
                <w:color w:val="auto"/>
                <w:szCs w:val="21"/>
                <w:highlight w:val="none"/>
                <w:lang w:bidi="ar"/>
              </w:rPr>
              <w:t>大型活动、节庆假日、防台防汛期间</w:t>
            </w:r>
            <w:r>
              <w:rPr>
                <w:rFonts w:hint="eastAsia" w:ascii="宋体" w:hAnsi="宋体" w:eastAsia="宋体" w:cs="宋体"/>
                <w:color w:val="auto"/>
                <w:szCs w:val="21"/>
                <w:highlight w:val="none"/>
              </w:rPr>
              <w:t>等灾害性天气</w:t>
            </w:r>
            <w:r>
              <w:rPr>
                <w:rFonts w:hint="eastAsia" w:ascii="宋体" w:hAnsi="宋体" w:eastAsia="宋体" w:cs="宋体"/>
                <w:color w:val="auto"/>
                <w:szCs w:val="21"/>
                <w:highlight w:val="none"/>
                <w:lang w:bidi="ar"/>
              </w:rPr>
              <w:t>、创优评优和突击检查等特殊时期</w:t>
            </w:r>
            <w:r>
              <w:rPr>
                <w:rFonts w:hint="eastAsia" w:ascii="宋体" w:hAnsi="宋体" w:eastAsia="宋体" w:cs="宋体"/>
                <w:color w:val="auto"/>
                <w:szCs w:val="21"/>
                <w:highlight w:val="none"/>
              </w:rPr>
              <w:t>时的应急预案及相应的保障措施等方案等进行评审；方案合理、科学，</w:t>
            </w:r>
            <w:r>
              <w:rPr>
                <w:rFonts w:hint="eastAsia" w:ascii="宋体" w:hAnsi="宋体" w:eastAsia="宋体" w:cs="宋体"/>
                <w:color w:val="auto"/>
                <w:szCs w:val="21"/>
                <w:highlight w:val="none"/>
                <w:lang w:val="en-US" w:eastAsia="zh-CN"/>
              </w:rPr>
              <w:t>措施完整，</w:t>
            </w:r>
            <w:r>
              <w:rPr>
                <w:rFonts w:hint="eastAsia" w:ascii="宋体" w:hAnsi="宋体" w:eastAsia="宋体" w:cs="宋体"/>
                <w:color w:val="auto"/>
                <w:szCs w:val="21"/>
                <w:highlight w:val="none"/>
              </w:rPr>
              <w:t>可操作性强的得3-4分，方案基本合理、科学，具有可操作性的得2-3分，方案欠科学合理，可操作性欠缺的得0-2分。</w:t>
            </w:r>
          </w:p>
        </w:tc>
        <w:tc>
          <w:tcPr>
            <w:tcW w:w="1023" w:type="dxa"/>
            <w:noWrap w:val="0"/>
            <w:vAlign w:val="center"/>
          </w:tcPr>
          <w:p>
            <w:pPr>
              <w:spacing w:line="300" w:lineRule="exact"/>
              <w:jc w:val="center"/>
              <w:rPr>
                <w:rFonts w:hint="eastAsia" w:ascii="宋体" w:hAnsi="宋体" w:eastAsia="宋体"/>
                <w:b/>
                <w:color w:val="auto"/>
                <w:szCs w:val="21"/>
                <w:highlight w:val="none"/>
                <w:lang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800" w:type="dxa"/>
            <w:vMerge w:val="continue"/>
            <w:noWrap w:val="0"/>
            <w:vAlign w:val="center"/>
          </w:tcPr>
          <w:p>
            <w:pPr>
              <w:spacing w:line="300" w:lineRule="exact"/>
              <w:jc w:val="center"/>
              <w:rPr>
                <w:rFonts w:ascii="宋体" w:hAnsi="宋体"/>
                <w:color w:val="auto"/>
                <w:szCs w:val="21"/>
                <w:highlight w:val="none"/>
              </w:rPr>
            </w:pPr>
          </w:p>
        </w:tc>
        <w:tc>
          <w:tcPr>
            <w:tcW w:w="8139" w:type="dxa"/>
            <w:noWrap w:val="0"/>
            <w:vAlign w:val="center"/>
          </w:tcPr>
          <w:p>
            <w:pPr>
              <w:widowControl/>
              <w:snapToGrid w:val="0"/>
              <w:spacing w:line="360" w:lineRule="exact"/>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lang w:val="en-US" w:eastAsia="zh-CN"/>
              </w:rPr>
              <w:t>11.</w:t>
            </w:r>
            <w:r>
              <w:rPr>
                <w:rFonts w:hint="eastAsia" w:ascii="宋体" w:hAnsi="宋体" w:eastAsia="宋体" w:cs="宋体"/>
                <w:b/>
                <w:snapToGrid w:val="0"/>
                <w:color w:val="auto"/>
                <w:kern w:val="0"/>
                <w:szCs w:val="21"/>
                <w:highlight w:val="none"/>
              </w:rPr>
              <w:t>运作流程、质量过程控制及协调机制（</w:t>
            </w:r>
            <w:r>
              <w:rPr>
                <w:rFonts w:hint="eastAsia" w:ascii="宋体" w:hAnsi="宋体" w:eastAsia="宋体" w:cs="宋体"/>
                <w:b/>
                <w:snapToGrid w:val="0"/>
                <w:color w:val="auto"/>
                <w:kern w:val="0"/>
                <w:szCs w:val="21"/>
                <w:highlight w:val="none"/>
                <w:lang w:val="en-US" w:eastAsia="zh-CN"/>
              </w:rPr>
              <w:t>3</w:t>
            </w:r>
            <w:r>
              <w:rPr>
                <w:rFonts w:hint="eastAsia" w:ascii="宋体" w:hAnsi="宋体" w:eastAsia="宋体" w:cs="宋体"/>
                <w:b/>
                <w:snapToGrid w:val="0"/>
                <w:color w:val="auto"/>
                <w:kern w:val="0"/>
                <w:szCs w:val="21"/>
                <w:highlight w:val="none"/>
              </w:rPr>
              <w:t>分）：</w:t>
            </w:r>
          </w:p>
          <w:p>
            <w:pPr>
              <w:widowControl/>
              <w:snapToGrid w:val="0"/>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根据管理服务组织机构设置（附组织机构图）、运作流程（附流程图）、激励机制、监督机制、自我约束机制和信息反馈机制等进行评审；</w:t>
            </w:r>
            <w:r>
              <w:rPr>
                <w:rFonts w:hint="eastAsia" w:ascii="宋体" w:hAnsi="宋体" w:eastAsia="宋体" w:cs="宋体"/>
                <w:b w:val="0"/>
                <w:snapToGrid/>
                <w:color w:val="auto"/>
                <w:kern w:val="2"/>
                <w:szCs w:val="21"/>
                <w:highlight w:val="none"/>
              </w:rPr>
              <w:t>运作流程、质量过程控制及协调机制</w:t>
            </w:r>
            <w:r>
              <w:rPr>
                <w:rFonts w:hint="eastAsia" w:ascii="宋体" w:hAnsi="宋体" w:eastAsia="宋体" w:cs="宋体"/>
                <w:color w:val="auto"/>
                <w:szCs w:val="21"/>
                <w:highlight w:val="none"/>
                <w:lang w:val="en-US" w:eastAsia="zh-CN"/>
              </w:rPr>
              <w:t>内容完整、</w:t>
            </w:r>
            <w:r>
              <w:rPr>
                <w:rFonts w:hint="eastAsia" w:ascii="宋体" w:hAnsi="宋体" w:eastAsia="宋体" w:cs="宋体"/>
                <w:color w:val="auto"/>
                <w:szCs w:val="21"/>
                <w:highlight w:val="none"/>
              </w:rPr>
              <w:t>可</w:t>
            </w:r>
            <w:r>
              <w:rPr>
                <w:rFonts w:hint="eastAsia" w:ascii="宋体" w:hAnsi="宋体" w:eastAsia="宋体" w:cs="宋体"/>
                <w:color w:val="auto"/>
                <w:szCs w:val="21"/>
                <w:highlight w:val="none"/>
                <w:lang w:val="en-US" w:eastAsia="zh-CN"/>
              </w:rPr>
              <w:t>操作</w:t>
            </w:r>
            <w:r>
              <w:rPr>
                <w:rFonts w:hint="eastAsia" w:ascii="宋体" w:hAnsi="宋体" w:eastAsia="宋体" w:cs="宋体"/>
                <w:color w:val="auto"/>
                <w:szCs w:val="21"/>
                <w:highlight w:val="none"/>
              </w:rPr>
              <w:t>性强的得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eastAsia="宋体" w:cs="宋体"/>
                <w:b w:val="0"/>
                <w:snapToGrid/>
                <w:color w:val="auto"/>
                <w:kern w:val="2"/>
                <w:szCs w:val="21"/>
                <w:highlight w:val="none"/>
              </w:rPr>
              <w:t>运作流程、质量过程控制及协调机制</w:t>
            </w:r>
            <w:r>
              <w:rPr>
                <w:rFonts w:hint="eastAsia" w:ascii="宋体" w:hAnsi="宋体" w:eastAsia="宋体" w:cs="宋体"/>
                <w:color w:val="auto"/>
                <w:szCs w:val="21"/>
                <w:highlight w:val="none"/>
                <w:lang w:val="en-US" w:eastAsia="zh-CN"/>
              </w:rPr>
              <w:t>内容基本完整，</w:t>
            </w:r>
            <w:r>
              <w:rPr>
                <w:rFonts w:hint="eastAsia" w:ascii="宋体" w:hAnsi="宋体" w:eastAsia="宋体" w:cs="宋体"/>
                <w:color w:val="auto"/>
                <w:szCs w:val="21"/>
                <w:highlight w:val="none"/>
              </w:rPr>
              <w:t>具有可操作性的得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b w:val="0"/>
                <w:snapToGrid/>
                <w:color w:val="auto"/>
                <w:kern w:val="2"/>
                <w:szCs w:val="21"/>
                <w:highlight w:val="none"/>
              </w:rPr>
              <w:t>运作流程、质量过程控制及协调机</w:t>
            </w:r>
            <w:r>
              <w:rPr>
                <w:rFonts w:hint="eastAsia" w:ascii="宋体" w:hAnsi="宋体" w:eastAsia="宋体" w:cs="宋体"/>
                <w:b w:val="0"/>
                <w:snapToGrid/>
                <w:color w:val="auto"/>
                <w:kern w:val="2"/>
                <w:szCs w:val="21"/>
                <w:highlight w:val="none"/>
                <w:lang w:val="en-US" w:eastAsia="zh-CN"/>
              </w:rPr>
              <w:t>内容不完整，</w:t>
            </w:r>
            <w:r>
              <w:rPr>
                <w:rFonts w:hint="eastAsia" w:ascii="宋体" w:hAnsi="宋体" w:eastAsia="宋体" w:cs="宋体"/>
                <w:color w:val="auto"/>
                <w:szCs w:val="21"/>
                <w:highlight w:val="none"/>
                <w:lang w:val="en-US" w:eastAsia="zh-CN"/>
              </w:rPr>
              <w:t>可操作</w:t>
            </w:r>
            <w:r>
              <w:rPr>
                <w:rFonts w:hint="eastAsia" w:ascii="宋体" w:hAnsi="宋体" w:eastAsia="宋体" w:cs="宋体"/>
                <w:color w:val="auto"/>
                <w:szCs w:val="21"/>
                <w:highlight w:val="none"/>
              </w:rPr>
              <w:t>性欠缺的得0-</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tc>
        <w:tc>
          <w:tcPr>
            <w:tcW w:w="1023" w:type="dxa"/>
            <w:noWrap w:val="0"/>
            <w:vAlign w:val="center"/>
          </w:tcPr>
          <w:p>
            <w:pPr>
              <w:spacing w:line="300" w:lineRule="exact"/>
              <w:jc w:val="center"/>
              <w:rPr>
                <w:rFonts w:hint="eastAsia" w:ascii="宋体" w:hAnsi="宋体" w:eastAsia="宋体"/>
                <w:b/>
                <w:color w:val="auto"/>
                <w:szCs w:val="21"/>
                <w:highlight w:val="none"/>
                <w:lang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800" w:type="dxa"/>
            <w:vMerge w:val="continue"/>
            <w:noWrap w:val="0"/>
            <w:vAlign w:val="center"/>
          </w:tcPr>
          <w:p>
            <w:pPr>
              <w:spacing w:line="300" w:lineRule="exact"/>
              <w:jc w:val="center"/>
              <w:rPr>
                <w:rFonts w:ascii="宋体" w:hAnsi="宋体"/>
                <w:color w:val="auto"/>
                <w:szCs w:val="21"/>
                <w:highlight w:val="none"/>
              </w:rPr>
            </w:pPr>
          </w:p>
        </w:tc>
        <w:tc>
          <w:tcPr>
            <w:tcW w:w="8139" w:type="dxa"/>
            <w:noWrap w:val="0"/>
            <w:vAlign w:val="center"/>
          </w:tcPr>
          <w:p>
            <w:pPr>
              <w:snapToGrid w:val="0"/>
              <w:spacing w:before="48" w:beforeLines="20" w:after="48" w:afterLines="20"/>
              <w:rPr>
                <w:rFonts w:hint="eastAsia" w:ascii="宋体" w:hAnsi="宋体" w:eastAsia="宋体" w:cs="宋体"/>
                <w:b/>
                <w:bCs w:val="0"/>
                <w:color w:val="auto"/>
                <w:kern w:val="2"/>
                <w:sz w:val="21"/>
                <w:szCs w:val="22"/>
                <w:highlight w:val="none"/>
                <w:lang w:val="en-US" w:eastAsia="zh-CN" w:bidi="ar-SA"/>
              </w:rPr>
            </w:pPr>
            <w:r>
              <w:rPr>
                <w:rFonts w:hint="eastAsia" w:ascii="宋体" w:hAnsi="宋体" w:eastAsia="宋体" w:cs="宋体"/>
                <w:b/>
                <w:bCs w:val="0"/>
                <w:color w:val="auto"/>
                <w:kern w:val="2"/>
                <w:sz w:val="21"/>
                <w:szCs w:val="22"/>
                <w:highlight w:val="none"/>
                <w:lang w:val="en-US" w:eastAsia="zh-CN" w:bidi="ar-SA"/>
              </w:rPr>
              <w:t>12、服务便捷性（3分）</w:t>
            </w:r>
          </w:p>
          <w:p>
            <w:pPr>
              <w:numPr>
                <w:ilvl w:val="0"/>
                <w:numId w:val="0"/>
              </w:numPr>
              <w:spacing w:line="340" w:lineRule="exact"/>
              <w:rPr>
                <w:rFonts w:hint="eastAsia" w:ascii="宋体" w:hAnsi="宋体" w:eastAsia="宋体" w:cs="宋体"/>
                <w:color w:val="auto"/>
                <w:kern w:val="2"/>
                <w:sz w:val="18"/>
                <w:szCs w:val="18"/>
                <w:highlight w:val="none"/>
                <w:lang w:val="en-US" w:eastAsia="zh-CN" w:bidi="ar-SA"/>
              </w:rPr>
            </w:pPr>
            <w:r>
              <w:rPr>
                <w:rFonts w:hint="eastAsia" w:ascii="宋体" w:hAnsi="宋体" w:cs="宋体"/>
                <w:bCs/>
                <w:color w:val="auto"/>
                <w:szCs w:val="21"/>
                <w:highlight w:val="none"/>
              </w:rPr>
              <w:t>供应商已有服务场所的稳定性及服务场所相对本项目服务地点的便捷性等情况</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根据供应商提供的便捷性服务相关证明或承诺进行综合评议</w:t>
            </w:r>
            <w:r>
              <w:rPr>
                <w:rFonts w:hint="eastAsia" w:ascii="宋体" w:hAnsi="宋体" w:cs="宋体"/>
                <w:bCs/>
                <w:color w:val="auto"/>
                <w:szCs w:val="21"/>
                <w:highlight w:val="none"/>
              </w:rPr>
              <w:t>。</w:t>
            </w:r>
            <w:r>
              <w:rPr>
                <w:rFonts w:hint="eastAsia" w:ascii="宋体" w:hAnsi="宋体"/>
                <w:color w:val="auto"/>
                <w:highlight w:val="none"/>
                <w:lang w:val="en-US" w:eastAsia="zh-CN"/>
              </w:rPr>
              <w:t>供应商已有服务场所稳定，能提供便捷的服务能力的得2-3分；供应商基本能够提供便捷的服务能力的得1-2分；供应商不能够提供便捷的服务能力的得0-1分</w:t>
            </w:r>
            <w:r>
              <w:rPr>
                <w:rFonts w:hint="eastAsia" w:ascii="宋体" w:hAnsi="宋体"/>
                <w:color w:val="auto"/>
                <w:highlight w:val="none"/>
              </w:rPr>
              <w:t>。</w:t>
            </w:r>
          </w:p>
        </w:tc>
        <w:tc>
          <w:tcPr>
            <w:tcW w:w="1023" w:type="dxa"/>
            <w:noWrap w:val="0"/>
            <w:vAlign w:val="center"/>
          </w:tcPr>
          <w:p>
            <w:pPr>
              <w:spacing w:line="300" w:lineRule="exact"/>
              <w:jc w:val="center"/>
              <w:rPr>
                <w:rFonts w:hint="eastAsia" w:ascii="宋体" w:hAnsi="宋体" w:eastAsia="宋体"/>
                <w:b/>
                <w:color w:val="auto"/>
                <w:szCs w:val="21"/>
                <w:highlight w:val="none"/>
                <w:lang w:eastAsia="zh-CN"/>
              </w:rPr>
            </w:pPr>
          </w:p>
        </w:tc>
      </w:tr>
    </w:tbl>
    <w:p>
      <w:pPr>
        <w:widowControl/>
        <w:spacing w:line="380" w:lineRule="exact"/>
        <w:jc w:val="left"/>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ascii="宋体" w:hAnsi="宋体"/>
          <w:color w:val="auto"/>
          <w:szCs w:val="21"/>
          <w:highlight w:val="none"/>
        </w:rPr>
        <w:t>、各评委成员自行按以上参考分值评分，评分小数点后保留一位数。</w:t>
      </w:r>
    </w:p>
    <w:p>
      <w:pPr>
        <w:spacing w:line="38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、以上分值重复的地方，下限不含，上限含。</w:t>
      </w:r>
    </w:p>
    <w:p>
      <w:pPr>
        <w:spacing w:line="38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、表内要求提供的资料，未按要求提供的均不得分。</w:t>
      </w:r>
    </w:p>
    <w:p>
      <w:pPr>
        <w:widowControl/>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评委签名：</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pPr>
        <w:spacing w:line="400" w:lineRule="exact"/>
        <w:rPr>
          <w:rFonts w:ascii="宋体" w:hAnsi="宋体"/>
          <w:color w:val="auto"/>
          <w:szCs w:val="21"/>
          <w:highlight w:val="none"/>
        </w:rPr>
      </w:pPr>
      <w:r>
        <w:rPr>
          <w:rFonts w:ascii="宋体" w:hAnsi="宋体"/>
          <w:color w:val="auto"/>
          <w:szCs w:val="21"/>
          <w:highlight w:val="none"/>
        </w:rPr>
        <w:br w:type="page"/>
      </w:r>
      <w:r>
        <w:rPr>
          <w:rFonts w:hint="eastAsia" w:ascii="宋体" w:hAnsi="宋体"/>
          <w:b/>
          <w:bCs/>
          <w:color w:val="auto"/>
          <w:sz w:val="22"/>
          <w:szCs w:val="22"/>
          <w:highlight w:val="none"/>
        </w:rPr>
        <w:t>附表</w:t>
      </w:r>
      <w:r>
        <w:rPr>
          <w:rFonts w:ascii="宋体" w:hAnsi="宋体"/>
          <w:b/>
          <w:bCs/>
          <w:color w:val="auto"/>
          <w:sz w:val="22"/>
          <w:szCs w:val="22"/>
          <w:highlight w:val="none"/>
        </w:rPr>
        <w:t>4</w:t>
      </w:r>
    </w:p>
    <w:p>
      <w:pPr>
        <w:widowControl/>
        <w:snapToGrid w:val="0"/>
        <w:spacing w:line="560" w:lineRule="exact"/>
        <w:jc w:val="center"/>
        <w:rPr>
          <w:rFonts w:ascii="宋体" w:hAnsi="宋体"/>
          <w:b/>
          <w:color w:val="auto"/>
          <w:sz w:val="22"/>
          <w:szCs w:val="22"/>
          <w:highlight w:val="none"/>
        </w:rPr>
      </w:pPr>
      <w:r>
        <w:rPr>
          <w:rFonts w:hint="eastAsia" w:ascii="宋体" w:hAnsi="宋体"/>
          <w:b/>
          <w:color w:val="auto"/>
          <w:sz w:val="22"/>
          <w:szCs w:val="22"/>
          <w:highlight w:val="none"/>
        </w:rPr>
        <w:t>初步审查表</w:t>
      </w:r>
    </w:p>
    <w:tbl>
      <w:tblPr>
        <w:tblStyle w:val="45"/>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859"/>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top"/>
          </w:tcPr>
          <w:p>
            <w:pPr>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5859" w:type="dxa"/>
            <w:noWrap w:val="0"/>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要求说明</w:t>
            </w:r>
          </w:p>
        </w:tc>
        <w:tc>
          <w:tcPr>
            <w:tcW w:w="2836" w:type="dxa"/>
            <w:noWrap w:val="0"/>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720"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5859" w:type="dxa"/>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lang w:val="en-US" w:eastAsia="zh-CN"/>
              </w:rPr>
              <w:t>投标报价不超过</w:t>
            </w:r>
            <w:r>
              <w:rPr>
                <w:rFonts w:hint="eastAsia" w:ascii="宋体" w:hAnsi="宋体"/>
                <w:color w:val="auto"/>
                <w:szCs w:val="21"/>
                <w:highlight w:val="none"/>
              </w:rPr>
              <w:t>预算价：</w:t>
            </w:r>
            <w:r>
              <w:rPr>
                <w:rFonts w:hint="eastAsia" w:ascii="宋体" w:hAnsi="宋体"/>
                <w:color w:val="auto"/>
                <w:szCs w:val="21"/>
                <w:highlight w:val="none"/>
                <w:lang w:eastAsia="zh-CN"/>
              </w:rPr>
              <w:t>8500000元</w:t>
            </w:r>
            <w:r>
              <w:rPr>
                <w:rFonts w:hint="eastAsia" w:ascii="宋体" w:hAnsi="宋体"/>
                <w:color w:val="auto"/>
                <w:szCs w:val="21"/>
                <w:highlight w:val="none"/>
              </w:rPr>
              <w:t>/年。</w:t>
            </w:r>
          </w:p>
        </w:tc>
        <w:tc>
          <w:tcPr>
            <w:tcW w:w="2836" w:type="dxa"/>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提供“开标一览表”</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5859" w:type="dxa"/>
            <w:noWrap w:val="0"/>
            <w:vAlign w:val="center"/>
          </w:tcPr>
          <w:p>
            <w:pPr>
              <w:spacing w:line="400" w:lineRule="exact"/>
              <w:rPr>
                <w:rFonts w:hint="eastAsia" w:ascii="宋体" w:hAnsi="宋体"/>
                <w:color w:val="auto"/>
                <w:szCs w:val="21"/>
                <w:highlight w:val="none"/>
              </w:rPr>
            </w:pPr>
            <w:r>
              <w:rPr>
                <w:rFonts w:hint="eastAsia" w:ascii="宋体" w:hAnsi="宋体"/>
                <w:color w:val="auto"/>
                <w:szCs w:val="21"/>
                <w:highlight w:val="none"/>
              </w:rPr>
              <w:t>符合第二章“投标须知”第九、</w:t>
            </w:r>
            <w:r>
              <w:rPr>
                <w:rFonts w:ascii="宋体" w:hAnsi="宋体"/>
                <w:color w:val="auto"/>
                <w:szCs w:val="21"/>
                <w:highlight w:val="none"/>
              </w:rPr>
              <w:t>1</w:t>
            </w:r>
            <w:r>
              <w:rPr>
                <w:rFonts w:hint="eastAsia" w:ascii="宋体" w:hAnsi="宋体"/>
                <w:color w:val="auto"/>
                <w:szCs w:val="21"/>
                <w:highlight w:val="none"/>
              </w:rPr>
              <w:t>条的要求。</w:t>
            </w:r>
          </w:p>
        </w:tc>
        <w:tc>
          <w:tcPr>
            <w:tcW w:w="2836" w:type="dxa"/>
            <w:noWrap w:val="0"/>
            <w:vAlign w:val="center"/>
          </w:tcPr>
          <w:p>
            <w:pPr>
              <w:spacing w:line="400" w:lineRule="exact"/>
              <w:rPr>
                <w:rFonts w:hint="eastAsia" w:ascii="宋体" w:hAnsi="宋体"/>
                <w:color w:val="auto"/>
                <w:szCs w:val="21"/>
                <w:highlight w:val="none"/>
              </w:rPr>
            </w:pPr>
            <w:r>
              <w:rPr>
                <w:rFonts w:hint="eastAsia" w:ascii="宋体" w:hAnsi="宋体"/>
                <w:color w:val="auto"/>
                <w:szCs w:val="21"/>
                <w:highlight w:val="none"/>
              </w:rPr>
              <w:t>投标文件的签署盖章符合所述要求。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5859" w:type="dxa"/>
            <w:noWrap w:val="0"/>
            <w:vAlign w:val="center"/>
          </w:tcPr>
          <w:p>
            <w:pPr>
              <w:spacing w:line="400" w:lineRule="exact"/>
              <w:rPr>
                <w:rFonts w:hint="eastAsia" w:ascii="宋体" w:hAnsi="宋体"/>
                <w:color w:val="auto"/>
                <w:szCs w:val="21"/>
                <w:highlight w:val="none"/>
              </w:rPr>
            </w:pPr>
            <w:r>
              <w:rPr>
                <w:rFonts w:hint="eastAsia" w:ascii="宋体" w:hAnsi="宋体"/>
                <w:color w:val="auto"/>
                <w:szCs w:val="21"/>
                <w:highlight w:val="none"/>
              </w:rPr>
              <w:t>评标委员会认为供应商的报价明显低于其他通过第一阶段评审供应商的报价，有可能影响产品质量或者不能诚信履约的，应当要求其在评标现场合理的时间内提供说明，必要时提交相关证明材料；供应商不能证明其报价合理性的，评标委员会应当将其作为无效投标处理。</w:t>
            </w:r>
          </w:p>
        </w:tc>
        <w:tc>
          <w:tcPr>
            <w:tcW w:w="2836" w:type="dxa"/>
            <w:noWrap w:val="0"/>
            <w:vAlign w:val="center"/>
          </w:tcPr>
          <w:p>
            <w:pPr>
              <w:spacing w:line="400" w:lineRule="exact"/>
              <w:rPr>
                <w:rFonts w:hint="eastAsia" w:ascii="宋体" w:hAnsi="宋体"/>
                <w:color w:val="auto"/>
                <w:szCs w:val="21"/>
                <w:highlight w:val="none"/>
              </w:rPr>
            </w:pPr>
            <w:r>
              <w:rPr>
                <w:rFonts w:hint="eastAsia" w:ascii="宋体" w:hAnsi="宋体"/>
                <w:color w:val="auto"/>
                <w:szCs w:val="21"/>
                <w:highlight w:val="none"/>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4</w:t>
            </w:r>
          </w:p>
        </w:tc>
        <w:tc>
          <w:tcPr>
            <w:tcW w:w="5859" w:type="dxa"/>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符合法律、法规和招标文件中规定的其他实质性要求（实质性要求招标文件中“</w:t>
            </w:r>
            <w:r>
              <w:rPr>
                <w:rFonts w:hint="eastAsia" w:ascii="宋体" w:hAnsi="宋体"/>
                <w:b/>
                <w:color w:val="auto"/>
                <w:sz w:val="24"/>
                <w:highlight w:val="none"/>
                <w:lang w:eastAsia="zh-CN"/>
              </w:rPr>
              <w:t>★</w:t>
            </w:r>
            <w:r>
              <w:rPr>
                <w:rFonts w:hint="eastAsia" w:ascii="宋体" w:hAnsi="宋体"/>
                <w:color w:val="auto"/>
                <w:szCs w:val="21"/>
                <w:highlight w:val="none"/>
              </w:rPr>
              <w:t>”标记）</w:t>
            </w:r>
          </w:p>
        </w:tc>
        <w:tc>
          <w:tcPr>
            <w:tcW w:w="2836" w:type="dxa"/>
            <w:noWrap w:val="0"/>
            <w:vAlign w:val="center"/>
          </w:tcPr>
          <w:p>
            <w:pPr>
              <w:spacing w:line="400" w:lineRule="exact"/>
              <w:rPr>
                <w:rFonts w:hint="eastAsia" w:ascii="宋体" w:hAnsi="宋体"/>
                <w:color w:val="auto"/>
                <w:szCs w:val="21"/>
                <w:highlight w:val="none"/>
              </w:rPr>
            </w:pPr>
            <w:r>
              <w:rPr>
                <w:rFonts w:hint="eastAsia" w:ascii="宋体" w:hAnsi="宋体"/>
                <w:color w:val="auto"/>
                <w:szCs w:val="21"/>
                <w:highlight w:val="none"/>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6579" w:type="dxa"/>
            <w:gridSpan w:val="2"/>
            <w:noWrap w:val="0"/>
            <w:vAlign w:val="center"/>
          </w:tcPr>
          <w:p>
            <w:pPr>
              <w:spacing w:line="400" w:lineRule="exact"/>
              <w:jc w:val="center"/>
              <w:rPr>
                <w:rFonts w:ascii="宋体" w:hAnsi="宋体"/>
                <w:color w:val="auto"/>
                <w:szCs w:val="21"/>
                <w:highlight w:val="none"/>
              </w:rPr>
            </w:pPr>
            <w:r>
              <w:rPr>
                <w:rFonts w:hint="eastAsia" w:ascii="宋体" w:hAnsi="宋体"/>
                <w:b/>
                <w:color w:val="auto"/>
                <w:szCs w:val="21"/>
                <w:highlight w:val="none"/>
              </w:rPr>
              <w:t>初步审查结论</w:t>
            </w:r>
          </w:p>
        </w:tc>
        <w:tc>
          <w:tcPr>
            <w:tcW w:w="2836" w:type="dxa"/>
            <w:noWrap w:val="0"/>
            <w:vAlign w:val="center"/>
          </w:tcPr>
          <w:p>
            <w:pPr>
              <w:spacing w:line="400" w:lineRule="exact"/>
              <w:rPr>
                <w:rFonts w:ascii="宋体" w:hAnsi="宋体"/>
                <w:color w:val="auto"/>
                <w:szCs w:val="21"/>
                <w:highlight w:val="none"/>
              </w:rPr>
            </w:pPr>
          </w:p>
        </w:tc>
      </w:tr>
    </w:tbl>
    <w:p>
      <w:pPr>
        <w:spacing w:line="400" w:lineRule="exact"/>
        <w:rPr>
          <w:rFonts w:ascii="宋体" w:hAnsi="宋体"/>
          <w:color w:val="auto"/>
          <w:szCs w:val="21"/>
          <w:highlight w:val="none"/>
        </w:rPr>
      </w:pPr>
      <w:r>
        <w:rPr>
          <w:rFonts w:hint="eastAsia" w:ascii="宋体" w:hAnsi="宋体"/>
          <w:b/>
          <w:color w:val="auto"/>
          <w:highlight w:val="none"/>
        </w:rPr>
        <w:t>注：</w:t>
      </w:r>
      <w:r>
        <w:rPr>
          <w:rFonts w:ascii="宋体" w:hAnsi="宋体"/>
          <w:b/>
          <w:color w:val="auto"/>
          <w:highlight w:val="none"/>
        </w:rPr>
        <w:t>1</w:t>
      </w:r>
      <w:r>
        <w:rPr>
          <w:rFonts w:hint="eastAsia" w:ascii="宋体" w:hAnsi="宋体"/>
          <w:b/>
          <w:color w:val="auto"/>
          <w:highlight w:val="none"/>
        </w:rPr>
        <w:t>、上述审查项目中，任意一项不符合的，初步审查不合格。</w:t>
      </w:r>
    </w:p>
    <w:p>
      <w:pPr>
        <w:spacing w:line="400" w:lineRule="exact"/>
        <w:rPr>
          <w:rFonts w:hint="eastAsia" w:ascii="宋体" w:hAnsi="宋体"/>
          <w:color w:val="auto"/>
          <w:szCs w:val="21"/>
          <w:highlight w:val="none"/>
        </w:rPr>
      </w:pPr>
      <w:r>
        <w:rPr>
          <w:rFonts w:hint="eastAsia" w:ascii="宋体" w:hAnsi="宋体"/>
          <w:b/>
          <w:color w:val="auto"/>
          <w:highlight w:val="none"/>
        </w:rPr>
        <w:t xml:space="preserve"> </w:t>
      </w:r>
    </w:p>
    <w:p>
      <w:pPr>
        <w:spacing w:line="400" w:lineRule="exact"/>
        <w:rPr>
          <w:rFonts w:ascii="宋体" w:hAnsi="宋体"/>
          <w:color w:val="auto"/>
          <w:szCs w:val="21"/>
          <w:highlight w:val="none"/>
        </w:rPr>
      </w:pPr>
    </w:p>
    <w:p>
      <w:pPr>
        <w:rPr>
          <w:rFonts w:ascii="宋体" w:hAnsi="宋体"/>
          <w:b/>
          <w:bCs/>
          <w:color w:val="auto"/>
          <w:szCs w:val="21"/>
          <w:highlight w:val="none"/>
        </w:rPr>
      </w:pPr>
      <w:r>
        <w:rPr>
          <w:rFonts w:hint="eastAsia" w:ascii="宋体" w:hAnsi="宋体"/>
          <w:b/>
          <w:bCs/>
          <w:color w:val="auto"/>
          <w:szCs w:val="21"/>
          <w:highlight w:val="none"/>
        </w:rPr>
        <w:t>附表</w:t>
      </w:r>
      <w:r>
        <w:rPr>
          <w:rFonts w:ascii="宋体" w:hAnsi="宋体"/>
          <w:b/>
          <w:bCs/>
          <w:color w:val="auto"/>
          <w:szCs w:val="21"/>
          <w:highlight w:val="none"/>
        </w:rPr>
        <w:t>5</w:t>
      </w:r>
    </w:p>
    <w:p>
      <w:pPr>
        <w:widowControl/>
        <w:snapToGrid w:val="0"/>
        <w:spacing w:line="560" w:lineRule="exact"/>
        <w:jc w:val="center"/>
        <w:rPr>
          <w:rFonts w:ascii="宋体" w:hAnsi="宋体"/>
          <w:b/>
          <w:color w:val="auto"/>
          <w:sz w:val="22"/>
          <w:szCs w:val="22"/>
          <w:highlight w:val="none"/>
        </w:rPr>
      </w:pPr>
      <w:r>
        <w:rPr>
          <w:rFonts w:hint="eastAsia" w:ascii="宋体" w:hAnsi="宋体"/>
          <w:b/>
          <w:color w:val="auto"/>
          <w:sz w:val="22"/>
          <w:szCs w:val="22"/>
          <w:highlight w:val="none"/>
        </w:rPr>
        <w:t>价格评分表</w:t>
      </w:r>
    </w:p>
    <w:p>
      <w:pPr>
        <w:spacing w:line="320" w:lineRule="exact"/>
        <w:rPr>
          <w:rFonts w:hint="eastAsia" w:ascii="宋体" w:hAnsi="宋体"/>
          <w:b/>
          <w:color w:val="auto"/>
          <w:szCs w:val="21"/>
          <w:highlight w:val="none"/>
        </w:rPr>
      </w:pPr>
      <w:r>
        <w:rPr>
          <w:rFonts w:hint="eastAsia" w:ascii="宋体" w:hAnsi="宋体"/>
          <w:b/>
          <w:color w:val="auto"/>
          <w:szCs w:val="21"/>
          <w:highlight w:val="none"/>
        </w:rPr>
        <w:t xml:space="preserve">项目编号：                                </w:t>
      </w:r>
      <w:r>
        <w:rPr>
          <w:rFonts w:ascii="宋体" w:hAnsi="宋体"/>
          <w:b/>
          <w:color w:val="auto"/>
          <w:szCs w:val="21"/>
          <w:highlight w:val="none"/>
        </w:rPr>
        <w:t xml:space="preserve">                                            </w:t>
      </w:r>
    </w:p>
    <w:tbl>
      <w:tblPr>
        <w:tblStyle w:val="45"/>
        <w:tblW w:w="9334"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7615"/>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1" w:hRule="atLeast"/>
        </w:trPr>
        <w:tc>
          <w:tcPr>
            <w:tcW w:w="8520" w:type="dxa"/>
            <w:gridSpan w:val="2"/>
            <w:tcBorders>
              <w:tl2br w:val="single" w:color="000000" w:sz="4" w:space="0"/>
            </w:tcBorders>
            <w:noWrap w:val="0"/>
            <w:vAlign w:val="top"/>
          </w:tcPr>
          <w:p>
            <w:pPr>
              <w:spacing w:line="320" w:lineRule="exact"/>
              <w:ind w:right="420" w:firstLine="4410" w:firstLineChars="2100"/>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供应商</w:t>
            </w:r>
          </w:p>
          <w:p>
            <w:pPr>
              <w:spacing w:line="320" w:lineRule="exact"/>
              <w:ind w:firstLine="945" w:firstLineChars="450"/>
              <w:rPr>
                <w:rFonts w:ascii="宋体" w:hAnsi="宋体"/>
                <w:color w:val="auto"/>
                <w:szCs w:val="21"/>
                <w:highlight w:val="none"/>
                <w:lang w:val="ru-RU"/>
              </w:rPr>
            </w:pPr>
            <w:r>
              <w:rPr>
                <w:rFonts w:hint="eastAsia" w:ascii="宋体" w:hAnsi="宋体"/>
                <w:color w:val="auto"/>
                <w:szCs w:val="21"/>
                <w:highlight w:val="none"/>
              </w:rPr>
              <w:t>分值</w:t>
            </w:r>
          </w:p>
        </w:tc>
        <w:tc>
          <w:tcPr>
            <w:tcW w:w="814" w:type="dxa"/>
            <w:noWrap w:val="0"/>
            <w:vAlign w:val="center"/>
          </w:tcPr>
          <w:p>
            <w:pPr>
              <w:spacing w:line="320" w:lineRule="exact"/>
              <w:jc w:val="center"/>
              <w:rPr>
                <w:rFonts w:ascii="宋体" w:hAnsi="宋体"/>
                <w:color w:val="auto"/>
                <w:szCs w:val="21"/>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411" w:hRule="atLeast"/>
        </w:trPr>
        <w:tc>
          <w:tcPr>
            <w:tcW w:w="905" w:type="dxa"/>
            <w:noWrap w:val="0"/>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价格分</w:t>
            </w:r>
            <w:r>
              <w:rPr>
                <w:rFonts w:hint="eastAsia" w:ascii="宋体" w:hAnsi="宋体"/>
                <w:color w:val="auto"/>
                <w:szCs w:val="21"/>
                <w:highlight w:val="none"/>
                <w:lang w:val="en-US" w:eastAsia="zh-CN"/>
              </w:rPr>
              <w:t>20</w:t>
            </w:r>
            <w:r>
              <w:rPr>
                <w:rFonts w:hint="eastAsia" w:ascii="宋体" w:hAnsi="宋体"/>
                <w:color w:val="auto"/>
                <w:szCs w:val="21"/>
                <w:highlight w:val="none"/>
              </w:rPr>
              <w:t>分</w:t>
            </w:r>
          </w:p>
        </w:tc>
        <w:tc>
          <w:tcPr>
            <w:tcW w:w="7615" w:type="dxa"/>
            <w:noWrap w:val="0"/>
            <w:vAlign w:val="center"/>
          </w:tcPr>
          <w:p>
            <w:pPr>
              <w:spacing w:line="340" w:lineRule="exac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参与评审的价格=评标价</w:t>
            </w:r>
            <w:r>
              <w:rPr>
                <w:rFonts w:hint="eastAsia" w:ascii="宋体" w:hAnsi="宋体" w:eastAsia="宋体" w:cs="Times New Roman"/>
                <w:b/>
                <w:bCs/>
                <w:color w:val="auto"/>
                <w:szCs w:val="21"/>
                <w:highlight w:val="none"/>
                <w:lang w:eastAsia="zh-CN"/>
              </w:rPr>
              <w:t>－</w:t>
            </w:r>
            <w:r>
              <w:rPr>
                <w:rFonts w:hint="eastAsia" w:ascii="宋体" w:hAnsi="宋体" w:eastAsia="宋体" w:cs="Times New Roman"/>
                <w:b/>
                <w:bCs/>
                <w:color w:val="auto"/>
                <w:szCs w:val="21"/>
                <w:highlight w:val="none"/>
              </w:rPr>
              <w:t>小微企业价格扣除优惠值10%</w:t>
            </w:r>
          </w:p>
          <w:p>
            <w:pPr>
              <w:spacing w:line="340" w:lineRule="exact"/>
              <w:rPr>
                <w:rFonts w:ascii="宋体" w:hAnsi="宋体"/>
                <w:color w:val="auto"/>
                <w:szCs w:val="21"/>
                <w:highlight w:val="none"/>
              </w:rPr>
            </w:pPr>
            <w:r>
              <w:rPr>
                <w:rFonts w:hint="eastAsia" w:ascii="宋体" w:hAnsi="宋体"/>
                <w:color w:val="auto"/>
                <w:szCs w:val="21"/>
                <w:highlight w:val="none"/>
              </w:rPr>
              <w:t>评标基准价</w:t>
            </w:r>
            <w:r>
              <w:rPr>
                <w:rFonts w:ascii="宋体" w:hAnsi="宋体"/>
                <w:color w:val="auto"/>
                <w:szCs w:val="21"/>
                <w:highlight w:val="none"/>
              </w:rPr>
              <w:t>=</w:t>
            </w:r>
            <w:r>
              <w:rPr>
                <w:rFonts w:hint="eastAsia" w:ascii="宋体" w:hAnsi="宋体"/>
                <w:color w:val="auto"/>
                <w:szCs w:val="21"/>
                <w:highlight w:val="none"/>
              </w:rPr>
              <w:t>满足招标文件要求且“参与评审的价格”中最低的价格为评标基准价</w:t>
            </w:r>
          </w:p>
          <w:p>
            <w:pPr>
              <w:spacing w:line="340" w:lineRule="exact"/>
              <w:rPr>
                <w:rFonts w:ascii="宋体" w:hAnsi="宋体"/>
                <w:color w:val="auto"/>
                <w:szCs w:val="21"/>
                <w:highlight w:val="none"/>
              </w:rPr>
            </w:pPr>
            <w:r>
              <w:rPr>
                <w:rFonts w:hint="eastAsia" w:ascii="宋体" w:hAnsi="宋体"/>
                <w:color w:val="auto"/>
                <w:szCs w:val="21"/>
                <w:highlight w:val="none"/>
              </w:rPr>
              <w:t>基准价得分为满分</w:t>
            </w:r>
            <w:r>
              <w:rPr>
                <w:rFonts w:hint="eastAsia" w:ascii="宋体" w:hAnsi="宋体"/>
                <w:color w:val="auto"/>
                <w:szCs w:val="21"/>
                <w:highlight w:val="none"/>
                <w:lang w:val="en-US" w:eastAsia="zh-CN"/>
              </w:rPr>
              <w:t>20</w:t>
            </w:r>
            <w:r>
              <w:rPr>
                <w:rFonts w:hint="eastAsia" w:ascii="宋体" w:hAnsi="宋体"/>
                <w:color w:val="auto"/>
                <w:szCs w:val="21"/>
                <w:highlight w:val="none"/>
              </w:rPr>
              <w:t>分，其他供应商报价得分计算公式如下：</w:t>
            </w:r>
          </w:p>
          <w:p>
            <w:pPr>
              <w:spacing w:line="340" w:lineRule="exact"/>
              <w:rPr>
                <w:rFonts w:ascii="宋体" w:hAnsi="宋体"/>
                <w:color w:val="auto"/>
                <w:szCs w:val="21"/>
                <w:highlight w:val="none"/>
              </w:rPr>
            </w:pPr>
            <w:r>
              <w:rPr>
                <w:rFonts w:hint="eastAsia" w:ascii="宋体" w:hAnsi="宋体"/>
                <w:color w:val="auto"/>
                <w:szCs w:val="21"/>
                <w:highlight w:val="none"/>
              </w:rPr>
              <w:t>其他供应商报价得分</w:t>
            </w:r>
            <w:r>
              <w:rPr>
                <w:rFonts w:ascii="宋体" w:hAnsi="宋体"/>
                <w:color w:val="auto"/>
                <w:szCs w:val="21"/>
                <w:highlight w:val="none"/>
              </w:rPr>
              <w:t>=（</w:t>
            </w:r>
            <w:r>
              <w:rPr>
                <w:rFonts w:hint="eastAsia" w:ascii="宋体" w:hAnsi="宋体"/>
                <w:color w:val="auto"/>
                <w:szCs w:val="21"/>
                <w:highlight w:val="none"/>
              </w:rPr>
              <w:t>评标基准价</w:t>
            </w:r>
            <w:r>
              <w:rPr>
                <w:rFonts w:ascii="宋体" w:hAnsi="宋体"/>
                <w:color w:val="auto"/>
                <w:szCs w:val="21"/>
                <w:highlight w:val="none"/>
              </w:rPr>
              <w:t>/</w:t>
            </w:r>
            <w:r>
              <w:rPr>
                <w:rFonts w:hint="eastAsia" w:ascii="宋体" w:hAnsi="宋体"/>
                <w:color w:val="auto"/>
                <w:szCs w:val="21"/>
                <w:highlight w:val="none"/>
              </w:rPr>
              <w:t>参与评审的价格</w:t>
            </w:r>
            <w:r>
              <w:rPr>
                <w:rFonts w:ascii="宋体" w:hAnsi="宋体"/>
                <w:color w:val="auto"/>
                <w:szCs w:val="21"/>
                <w:highlight w:val="none"/>
              </w:rPr>
              <w:t>）</w:t>
            </w:r>
            <w:r>
              <w:rPr>
                <w:rFonts w:hint="eastAsia" w:ascii="宋体" w:hAnsi="宋体"/>
                <w:color w:val="auto"/>
                <w:szCs w:val="21"/>
                <w:highlight w:val="none"/>
              </w:rPr>
              <w:t>×</w:t>
            </w:r>
            <w:r>
              <w:rPr>
                <w:rFonts w:hint="eastAsia" w:ascii="宋体" w:hAnsi="宋体"/>
                <w:color w:val="auto"/>
                <w:szCs w:val="21"/>
                <w:highlight w:val="none"/>
                <w:lang w:val="en-US" w:eastAsia="zh-CN"/>
              </w:rPr>
              <w:t>20</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100</w:t>
            </w:r>
          </w:p>
        </w:tc>
        <w:tc>
          <w:tcPr>
            <w:tcW w:w="814" w:type="dxa"/>
            <w:noWrap w:val="0"/>
            <w:vAlign w:val="center"/>
          </w:tcPr>
          <w:p>
            <w:pPr>
              <w:spacing w:line="32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trPr>
        <w:tc>
          <w:tcPr>
            <w:tcW w:w="8520" w:type="dxa"/>
            <w:gridSpan w:val="2"/>
            <w:noWrap w:val="0"/>
            <w:vAlign w:val="center"/>
          </w:tcPr>
          <w:p>
            <w:pPr>
              <w:spacing w:line="320" w:lineRule="exact"/>
              <w:jc w:val="center"/>
              <w:rPr>
                <w:rFonts w:ascii="宋体" w:hAnsi="宋体"/>
                <w:color w:val="auto"/>
                <w:szCs w:val="21"/>
                <w:highlight w:val="none"/>
              </w:rPr>
            </w:pPr>
            <w:r>
              <w:rPr>
                <w:rFonts w:hint="eastAsia" w:ascii="宋体" w:hAnsi="宋体"/>
                <w:b/>
                <w:color w:val="auto"/>
                <w:szCs w:val="21"/>
                <w:highlight w:val="none"/>
              </w:rPr>
              <w:t>报价得分（</w:t>
            </w:r>
            <w:r>
              <w:rPr>
                <w:rFonts w:hint="eastAsia" w:ascii="宋体" w:hAnsi="宋体"/>
                <w:b/>
                <w:color w:val="auto"/>
                <w:szCs w:val="21"/>
                <w:highlight w:val="none"/>
                <w:lang w:val="en-US" w:eastAsia="zh-CN"/>
              </w:rPr>
              <w:t>2</w:t>
            </w:r>
            <w:r>
              <w:rPr>
                <w:rFonts w:hint="eastAsia" w:ascii="宋体" w:hAnsi="宋体"/>
                <w:b/>
                <w:color w:val="auto"/>
                <w:szCs w:val="21"/>
                <w:highlight w:val="none"/>
                <w:lang w:val="en-US" w:eastAsia="zh-CN"/>
              </w:rPr>
              <w:t>0</w:t>
            </w:r>
            <w:r>
              <w:rPr>
                <w:rFonts w:hint="eastAsia" w:ascii="宋体" w:hAnsi="宋体"/>
                <w:b/>
                <w:color w:val="auto"/>
                <w:szCs w:val="21"/>
                <w:highlight w:val="none"/>
              </w:rPr>
              <w:t>分）</w:t>
            </w:r>
          </w:p>
        </w:tc>
        <w:tc>
          <w:tcPr>
            <w:tcW w:w="814" w:type="dxa"/>
            <w:noWrap w:val="0"/>
            <w:vAlign w:val="center"/>
          </w:tcPr>
          <w:p>
            <w:pPr>
              <w:spacing w:line="320" w:lineRule="exact"/>
              <w:jc w:val="center"/>
              <w:rPr>
                <w:rFonts w:ascii="宋体" w:hAnsi="宋体"/>
                <w:color w:val="auto"/>
                <w:szCs w:val="21"/>
                <w:highlight w:val="none"/>
              </w:rPr>
            </w:pPr>
          </w:p>
        </w:tc>
      </w:tr>
    </w:tbl>
    <w:p>
      <w:pPr>
        <w:spacing w:line="320" w:lineRule="exact"/>
        <w:rPr>
          <w:rFonts w:ascii="宋体" w:hAnsi="宋体"/>
          <w:color w:val="auto"/>
          <w:sz w:val="28"/>
          <w:szCs w:val="28"/>
          <w:highlight w:val="none"/>
        </w:rPr>
      </w:pPr>
    </w:p>
    <w:p>
      <w:pPr>
        <w:ind w:right="-1226" w:rightChars="-584"/>
        <w:jc w:val="left"/>
        <w:rPr>
          <w:rFonts w:ascii="宋体" w:hAnsi="宋体"/>
          <w:color w:val="auto"/>
          <w:sz w:val="28"/>
          <w:szCs w:val="28"/>
          <w:highlight w:val="none"/>
        </w:rPr>
      </w:pPr>
    </w:p>
    <w:p>
      <w:pPr>
        <w:ind w:right="-1226" w:rightChars="-584"/>
        <w:jc w:val="center"/>
        <w:rPr>
          <w:rFonts w:ascii="宋体" w:hAnsi="宋体"/>
          <w:color w:val="auto"/>
          <w:sz w:val="28"/>
          <w:szCs w:val="28"/>
          <w:highlight w:val="none"/>
        </w:rPr>
        <w:sectPr>
          <w:headerReference r:id="rId5" w:type="default"/>
          <w:footerReference r:id="rId6" w:type="default"/>
          <w:type w:val="nextColumn"/>
          <w:pgSz w:w="11907" w:h="16840"/>
          <w:pgMar w:top="854" w:right="1588" w:bottom="1066" w:left="1418" w:header="285" w:footer="616" w:gutter="0"/>
          <w:cols w:space="720" w:num="1"/>
          <w:docGrid w:linePitch="285" w:charSpace="0"/>
        </w:sectPr>
      </w:pPr>
    </w:p>
    <w:p>
      <w:pPr>
        <w:spacing w:line="400" w:lineRule="exact"/>
        <w:jc w:val="center"/>
        <w:outlineLvl w:val="0"/>
        <w:rPr>
          <w:rFonts w:ascii="宋体" w:hAnsi="宋体"/>
          <w:b/>
          <w:color w:val="auto"/>
          <w:sz w:val="36"/>
          <w:szCs w:val="21"/>
          <w:highlight w:val="none"/>
        </w:rPr>
      </w:pPr>
      <w:bookmarkStart w:id="32" w:name="_Toc31491"/>
      <w:r>
        <w:rPr>
          <w:rFonts w:hint="eastAsia" w:ascii="宋体" w:hAnsi="宋体"/>
          <w:b/>
          <w:color w:val="auto"/>
          <w:sz w:val="36"/>
          <w:szCs w:val="21"/>
          <w:highlight w:val="none"/>
        </w:rPr>
        <w:t>第四章</w:t>
      </w:r>
      <w:r>
        <w:rPr>
          <w:rFonts w:ascii="宋体" w:hAnsi="宋体"/>
          <w:b/>
          <w:color w:val="auto"/>
          <w:sz w:val="36"/>
          <w:szCs w:val="21"/>
          <w:highlight w:val="none"/>
        </w:rPr>
        <w:t xml:space="preserve">  </w:t>
      </w:r>
      <w:r>
        <w:rPr>
          <w:rFonts w:hint="eastAsia" w:ascii="宋体" w:hAnsi="宋体"/>
          <w:b/>
          <w:color w:val="auto"/>
          <w:sz w:val="36"/>
          <w:szCs w:val="21"/>
          <w:highlight w:val="none"/>
        </w:rPr>
        <w:t>采购合同</w:t>
      </w:r>
      <w:bookmarkEnd w:id="32"/>
    </w:p>
    <w:p>
      <w:pPr>
        <w:spacing w:line="420" w:lineRule="exact"/>
        <w:ind w:firstLine="420"/>
        <w:rPr>
          <w:rFonts w:hint="eastAsia" w:ascii="宋体" w:hAnsi="宋体" w:eastAsia="宋体" w:cs="宋体"/>
          <w:color w:val="auto"/>
          <w:sz w:val="21"/>
          <w:szCs w:val="21"/>
          <w:highlight w:val="none"/>
        </w:rPr>
      </w:pPr>
      <w:bookmarkStart w:id="33" w:name="_Toc216662965"/>
      <w:r>
        <w:rPr>
          <w:rFonts w:hint="eastAsia" w:ascii="宋体" w:hAnsi="宋体" w:eastAsia="宋体" w:cs="宋体"/>
          <w:color w:val="auto"/>
          <w:sz w:val="21"/>
          <w:szCs w:val="21"/>
          <w:highlight w:val="none"/>
        </w:rPr>
        <w:t>甲方：（招标方）</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乙方：（中标方）</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经过公开招标，确定</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（乙方）</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的中标方，双方在自愿、平等、协商一致的基础上，特订立本合同。</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第一条  合同事项</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本合同就甲方委托乙方管理的事项仅做如下简要说明，具体详见甲方发出的</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慈溪市崇寿镇2022年度保洁服务采购项目</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招标文件及乙方针对本项目的投标文件。</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第二条  合同文件组成及解释顺序</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1、下列文件一起组成本合同文件：</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（1）本采购合同及其补充协议（如有）；</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（2）中标通知书；</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（3）招标文件及其修改、补充文件（如有）；</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（4）询标承诺、询疑答复；</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（5）投标文件及其补充文件；</w:t>
      </w:r>
    </w:p>
    <w:p>
      <w:pPr>
        <w:spacing w:line="420" w:lineRule="exact"/>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（6）双方来函</w:t>
      </w:r>
      <w:r>
        <w:rPr>
          <w:rFonts w:hint="eastAsia" w:ascii="宋体" w:hAnsi="宋体" w:cs="宋体"/>
          <w:color w:val="auto"/>
          <w:sz w:val="21"/>
          <w:szCs w:val="21"/>
          <w:highlight w:val="none"/>
          <w:lang w:eastAsia="zh-CN"/>
        </w:rPr>
        <w:t>。</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文件组成的所有内容是构成合同不可分割的部分，与合同具有同等法律效力。上述文件相互补充和解释，如有不明确或不一致之处，以上述次序在先者为准。除上述合同顺序外，合同文件之间有矛盾的，以较后时间制定的为准。</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第三条  服务期限</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1、服务期限为壹年，自</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日止。</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第四条  合同金额及费用支付</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1、合同金额：本合同金额为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元/年。 </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费用为完成本项目一年期的人员基本工资，各类福利补贴（如高温、加班等）社保（五金）各种保险、人员工作服、作业工具耗材、食宿费、车辆运营费、管理费管理人员工资、人员培训费、办公用房及设备停放场地租赁费、其他管理费用、安全文明作业费、税金及其他所有费用。</w:t>
      </w:r>
    </w:p>
    <w:p>
      <w:pPr>
        <w:spacing w:line="420" w:lineRule="exact"/>
        <w:ind w:firstLine="420"/>
        <w:rPr>
          <w:rFonts w:hint="eastAsia" w:ascii="宋体" w:hAnsi="宋体" w:eastAsia="宋体" w:cs="宋体"/>
          <w:color w:val="auto"/>
          <w:sz w:val="21"/>
          <w:szCs w:val="21"/>
          <w:highlight w:val="none"/>
        </w:rPr>
      </w:pPr>
      <w:bookmarkStart w:id="34" w:name="_Hlk10544831"/>
      <w:r>
        <w:rPr>
          <w:rFonts w:hint="eastAsia" w:ascii="宋体" w:hAnsi="宋体" w:eastAsia="宋体" w:cs="宋体"/>
          <w:color w:val="auto"/>
          <w:sz w:val="21"/>
          <w:szCs w:val="21"/>
          <w:highlight w:val="none"/>
        </w:rPr>
        <w:t>服务期内服务人员工资福利、社保等不得违反慈溪市政府及当地劳动部门相关规定，合同期遇慈溪市社保或最低基本工资调整政策，从其政策。</w:t>
      </w:r>
    </w:p>
    <w:bookmarkEnd w:id="34"/>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（2）政府采购合同履行过程中，甲方需增加合同标的相同服务的，在不改变合同其他条款的前提下，与乙方协商签订补充合同，但所有补充合同的采购金额不得超过原合同采购金额的10%。</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付款方式：合同签订后15个工作日内甲方支付给乙方合同价的20%，每服务完成一个季度后，乙方提供有效正规的税务发票给甲方，30天内甲方支付给乙方合同价的20%，服务期满后7个工作日内结清余款。费用支付前根据考核情况扣除应扣款。</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甲方根据乙方实际服务质量，认为按招标文件人员配置仍不能达到招标文件中采购质量要求的，甲方有权要求乙方增派人员以确保服务质量，但不得增加费用。</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第五条  履约保证</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履约保证金为合同金额的</w:t>
      </w:r>
      <w:r>
        <w:rPr>
          <w:rFonts w:hint="eastAsia" w:ascii="宋体" w:hAnsi="宋体" w:eastAsia="宋体" w:cs="宋体"/>
          <w:color w:val="auto"/>
          <w:sz w:val="21"/>
          <w:szCs w:val="21"/>
          <w:highlight w:val="none"/>
          <w:u w:val="single"/>
        </w:rPr>
        <w:t>2.5%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可以以银行、保险公司等金融机构出具的预付款保函或其他担保措施提交，如中途违约，履约保证金不再退还。</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履约保证金在合同签订后5日内向采购人提交。</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履约保证金的退还：待</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完成合同履约后无息返还（如在合同履约期间未完全履行合同内容的，</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将视其情节严重程度给予相应处罚，直至没收其履约保证金，</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保留终止合同的权利）。</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第六条  甲、乙双方的权利和义务</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1、甲方的权利和义务</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（1）代表和维护甲方的合法权益；审定乙方制定的管理服务方案、制度；</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（2）检查监督乙方根据招标文件、投标文件及管理方案的实施和制度的实行情况；</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（3）审议乙方制订的服务年度计划等；</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（4）按本合同的规定支付费用；</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（5）负责对乙方执行日常工作的监督及乙方派驻现场的工作人员的监督；</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（6）协助乙方做好服务工作和服务的宣传工作；</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（7）处理合同期间在管理服务工作中需甲方出面协调的问题；</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（8）配合乙方共同协调处理相关问题；</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（9）对乙方违反法规、规章的行为，提请有关部门处理；</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（10）负责对乙方管理服务工作质量的考核，考核标准详见采购文件。</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2、乙方权利和义务</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（1）根据有关法律、法规及招标文件、投标文件等的约定，制定管理服务方案及实施方案，按</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方案书的承诺履行合同，并配合甲方监管人员的业务检查，接受服务监管考核制度的约束，其考核结果作为费用正常支付和续签合同的重要依据；</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（2）需建立健全项目管理档案资料，如巡逻工作记录以及其他需要记录在案的文档，并做好各项保密工作；</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（3）应认真听取甲方提出的建议和意见，并接受甲方的考核管理规定，对在服务管理中出现的问题和薄弱环节应立即整改；</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（4）对服务人员违反法规、规章的行为，根据情节轻重，采取批评、规劝、警告、制止等措施或提请有关部门处理；</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（5）加强治安形势教育和加强内部管理，根据项目开展的工作进度适时调整管理办法；</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（6）项目实施过程中服务年度计划、月度人员排班计划，以及人员调动情况需及时上报甲方备案；</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（7）所有项目人员必须经严格培训，经考核合格后上岗，要求身体健康，无犯罪等不良记录；</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（8）乙方应按照甲方要求做好日常节能工作；</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（9）本合同终止时，乙方必须向甲方移交全部管理用房、甲方资产及全部的管理档案资料；</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（10）乙方不得将整体或部分管理责任及利益对外转让或发包，不得将未征得甲方同意的服务业务对外分包或转包。</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第七条 </w:t>
      </w:r>
      <w:bookmarkStart w:id="35" w:name="_Hlk10545471"/>
      <w:r>
        <w:rPr>
          <w:rFonts w:hint="eastAsia" w:ascii="宋体" w:hAnsi="宋体" w:eastAsia="宋体" w:cs="宋体"/>
          <w:color w:val="auto"/>
          <w:sz w:val="21"/>
          <w:szCs w:val="21"/>
          <w:highlight w:val="none"/>
        </w:rPr>
        <w:t xml:space="preserve"> 甲、乙双方责任限定</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1、乙方工作人员在服务过程中，因其工作失职造成甲方损失的．乙方应承担相应的经济赔偿。</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2、甲方禁止安排乙方工作人员参与其他违反法律规定及工作职责以外的活动，违者由甲方承担法律和经济责任。</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3、乙方派遣至甲方的所有工作人员，其食宿、着装、社会保险、意外伤害保险、培训等各类费用及发生的各种工伤事故和意外事故均由乙方承担，乙方按有关规定</w:t>
      </w:r>
      <w:r>
        <w:rPr>
          <w:rFonts w:hint="eastAsia" w:ascii="宋体" w:hAnsi="宋体" w:eastAsia="宋体" w:cs="宋体"/>
          <w:color w:val="auto"/>
          <w:sz w:val="21"/>
          <w:szCs w:val="21"/>
          <w:highlight w:val="none"/>
          <w:lang w:eastAsia="zh-CN"/>
        </w:rPr>
        <w:t>按时</w:t>
      </w:r>
      <w:r>
        <w:rPr>
          <w:rFonts w:hint="eastAsia" w:ascii="宋体" w:hAnsi="宋体" w:eastAsia="宋体" w:cs="宋体"/>
          <w:color w:val="auto"/>
          <w:sz w:val="21"/>
          <w:szCs w:val="21"/>
          <w:highlight w:val="none"/>
        </w:rPr>
        <w:t>足额支付工资加班费用。</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4、乙方在服务期间如遇招工困难，造成项目人员数量配置不足，应在5个工作日内及时补齐，并扣除缺岗人员的所有费用。缺岗人数</w:t>
      </w:r>
      <w:r>
        <w:rPr>
          <w:rFonts w:hint="eastAsia" w:ascii="宋体" w:hAnsi="宋体" w:eastAsia="宋体" w:cs="宋体"/>
          <w:color w:val="auto"/>
          <w:sz w:val="21"/>
          <w:szCs w:val="21"/>
          <w:highlight w:val="none"/>
          <w:lang w:eastAsia="zh-CN"/>
        </w:rPr>
        <w:t>累计</w:t>
      </w:r>
      <w:r>
        <w:rPr>
          <w:rFonts w:hint="eastAsia" w:ascii="宋体" w:hAnsi="宋体" w:eastAsia="宋体" w:cs="宋体"/>
          <w:color w:val="auto"/>
          <w:sz w:val="21"/>
          <w:szCs w:val="21"/>
          <w:highlight w:val="none"/>
        </w:rPr>
        <w:t>超过20人次的，甲方有权终止合同，并罚没其履约保证金。</w:t>
      </w:r>
    </w:p>
    <w:bookmarkEnd w:id="35"/>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第八条  合同的变更、终止及违约责任</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1、甲方在乙方存在如下违约情况时，有权单方面终止全部或部分合同，乙方所交的履约保证金不予退还，并保留进一步追究乙方责任的权利（包括经济赔偿）。</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（1）乙方未能履行合同规定的义务；</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（2）有严重影响项目正常工作及甲方形象；</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（3）乙方存在与招标文件不符合的做法，或不履行其响应文件的承诺；</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（4）乙方存在其他违约行为经甲方书面催告后仍不改正的；</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（5）在合同有效期内，对本合同范围内的工作内容乙方擅自委托或转包给</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单位或个人。</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2、乙方如要提前中止合同，需提前</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个月，并征得甲方同意，否则按合同执行。</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除不可抗力以外，如发生乙方不能履行合同义务，或甲方发生中途终止合同等情况，应及时以书面形式通知对方。甲乙双方应本着友好的态度进行协商，妥善解决。如协商无效，按下列规定计算并支付违约金，违约金在款项支付中直接扣除：</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（1）乙方不能履行合同义务，应按未履行部分合同价格的10%向甲方偿付违约金，同时履约保证金不予退还。</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（2）如乙方未能履行合同规定的任何一项义务，甲方均有权从履约保证金中得到补偿。</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（3）经双方协商可终止部分或全部合同的，</w:t>
      </w:r>
      <w:r>
        <w:rPr>
          <w:rFonts w:hint="eastAsia" w:ascii="宋体" w:hAnsi="宋体" w:eastAsia="宋体" w:cs="宋体"/>
          <w:color w:val="auto"/>
          <w:sz w:val="21"/>
          <w:szCs w:val="21"/>
          <w:highlight w:val="none"/>
          <w:lang w:eastAsia="zh-CN"/>
        </w:rPr>
        <w:t>无需</w:t>
      </w:r>
      <w:r>
        <w:rPr>
          <w:rFonts w:hint="eastAsia" w:ascii="宋体" w:hAnsi="宋体" w:eastAsia="宋体" w:cs="宋体"/>
          <w:color w:val="auto"/>
          <w:sz w:val="21"/>
          <w:szCs w:val="21"/>
          <w:highlight w:val="none"/>
        </w:rPr>
        <w:t>承担违约责任。</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4、乙方因工作疏忽而造成甲方财产损失的，乙方应按损失的价值照价赔偿。</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工作人员在工作时间违反甲方的管理制度造成安全事故、综治事件、造成甲方的名誉和形象受损的，乙方应立即采取有效措施，恢复甲方的名誉并向甲方支付违约金，若乙方造成甲方损失的，应予赔偿。违约金和赔偿金由甲方依据安全事故的性质、程度以及甲方的名誉、形象受损的范围和程度确定，并在支付合同款时在合同款中扣除。</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6、考核：按第五章采购项目需求中的“监督考核办法”执行。</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7、其他违约情形：</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（1）乙方未确保响应承诺的人员到位，或人员素质不符合招标文件要求，或与响应承诺不一致的，按实际缺席天数扣除人员费用，一周后仍没到位，加扣当季度服务费的10%。</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（2）甲方要求乙方变动或更换人员，乙方未在规定时间内变动或更换的，每人次扣1000元。</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（3）乙方未按投标文件承诺配置设备及耗材的，或配置设备及耗材质量、数量不能满足日常需要的，每次扣1000元。</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第九条  不可抗力事件处理</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1、在合同有效期内，任何一方因不可抗力事件导致不能履行合同，则合同履行期可延长，其延长期与不可抗力影响期相同。</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2、不可抗力事件发生后，应立即通知对方，并寄送有关权威机构出具的证明。</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3、不可抗力事件延续10天及以上，双方应通过友好协商，确定是否继续履行合同。</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第十条  其他事项</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1、自本合同生效之日起15个自然日内，根据甲方委托管理事项，办理完交接验收手续。</w:t>
      </w:r>
    </w:p>
    <w:p>
      <w:pPr>
        <w:spacing w:line="420" w:lineRule="exact"/>
        <w:ind w:firstLine="420"/>
        <w:rPr>
          <w:rFonts w:hint="eastAsia" w:ascii="宋体" w:hAnsi="宋体" w:cs="宋体"/>
          <w:b/>
          <w:bCs/>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rPr>
        <w:t>在合同履行过程中，若新增、扩建的道路、河道、绿化面积未达到总道路、河道、绿化面积的5%，公用厕所新增未达到5只，采购人不予增加相关金额；若新增、扩建的道路、河道、绿化面积达到总道路、河道、绿化面积的5%，公用厕所新增达到5只，超出部分投标方根据所增加的数</w:t>
      </w:r>
      <w:r>
        <w:rPr>
          <w:rFonts w:hint="eastAsia" w:ascii="宋体" w:hAnsi="宋体" w:eastAsia="宋体" w:cs="宋体"/>
          <w:color w:val="auto"/>
          <w:sz w:val="21"/>
          <w:szCs w:val="21"/>
          <w:highlight w:val="none"/>
        </w:rPr>
        <w:t>量增加相关人员。</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、甲、乙方对《招标文件》以外的服务项目，可根据实际情况另行签订补充协议。补充协议和本合同的附件与本合同具有同等效力。</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、本合同在履行过程中发生争议时，当事人双方应及时协调解决。协商不成时，向慈溪市人民法院起诉。</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、由于乙方原因而损坏设施设备的，由乙方负责赔偿。</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、如因政策性调整，乙方在服务期间因国家相关政策调整致使中途服务停止，乙方不得提出任何索赔。</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第十一条  合同生效及其他</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1、合同经双方法定代表人或授权代表签字加盖单位公章后生效。</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2、本合同未尽事宜，经双方协商一致，签订补充协议，补充协议与本协议书具有同等效力。</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3、本合同一式七份，甲、乙双方各执三份，采购代理机构执一份，均具有同等效力。</w:t>
      </w:r>
    </w:p>
    <w:p>
      <w:pPr>
        <w:spacing w:line="420" w:lineRule="exact"/>
        <w:ind w:firstLine="420"/>
        <w:rPr>
          <w:rFonts w:hint="eastAsia" w:ascii="宋体" w:hAnsi="宋体" w:eastAsia="宋体" w:cs="宋体"/>
          <w:color w:val="auto"/>
          <w:sz w:val="21"/>
          <w:szCs w:val="21"/>
          <w:highlight w:val="none"/>
        </w:rPr>
      </w:pPr>
    </w:p>
    <w:p>
      <w:pPr>
        <w:spacing w:line="380" w:lineRule="exact"/>
        <w:jc w:val="center"/>
        <w:rPr>
          <w:rFonts w:hint="eastAsia" w:ascii="宋体" w:hAnsi="宋体"/>
          <w:color w:val="auto"/>
          <w:highlight w:val="none"/>
        </w:rPr>
      </w:pPr>
      <w:r>
        <w:rPr>
          <w:rFonts w:hint="eastAsia" w:ascii="宋体" w:hAnsi="宋体"/>
          <w:color w:val="auto"/>
          <w:highlight w:val="none"/>
        </w:rPr>
        <w:t>（以下无正文，为签署页）</w:t>
      </w:r>
    </w:p>
    <w:p>
      <w:pPr>
        <w:spacing w:line="300" w:lineRule="exact"/>
        <w:rPr>
          <w:rFonts w:hint="eastAsia" w:ascii="宋体" w:hAnsi="宋体"/>
          <w:color w:val="auto"/>
          <w:highlight w:val="none"/>
        </w:rPr>
      </w:pPr>
      <w:r>
        <w:rPr>
          <w:rFonts w:hint="eastAsia" w:ascii="宋体" w:hAnsi="宋体"/>
          <w:color w:val="auto"/>
          <w:highlight w:val="none"/>
        </w:rPr>
        <w:t>甲    方</w:t>
      </w:r>
      <w:r>
        <w:rPr>
          <w:rFonts w:hint="eastAsia" w:ascii="宋体" w:hAnsi="宋体"/>
          <w:color w:val="auto"/>
          <w:highlight w:val="none"/>
          <w:lang w:eastAsia="zh-CN"/>
        </w:rPr>
        <w:t>（</w:t>
      </w:r>
      <w:r>
        <w:rPr>
          <w:rFonts w:hint="eastAsia" w:ascii="宋体" w:hAnsi="宋体"/>
          <w:color w:val="auto"/>
          <w:highlight w:val="none"/>
        </w:rPr>
        <w:t>印章</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u w:val="single"/>
        </w:rPr>
        <w:t xml:space="preserve">                           </w:t>
      </w:r>
    </w:p>
    <w:p>
      <w:pPr>
        <w:spacing w:line="300" w:lineRule="exact"/>
        <w:rPr>
          <w:rFonts w:hint="eastAsia" w:ascii="宋体" w:hAnsi="宋体"/>
          <w:color w:val="auto"/>
          <w:highlight w:val="none"/>
        </w:rPr>
      </w:pPr>
      <w:r>
        <w:rPr>
          <w:rFonts w:hint="eastAsia" w:ascii="宋体" w:hAnsi="宋体"/>
          <w:color w:val="auto"/>
          <w:highlight w:val="none"/>
        </w:rPr>
        <w:t>地    址：</w:t>
      </w:r>
      <w:r>
        <w:rPr>
          <w:rFonts w:hint="eastAsia" w:ascii="宋体" w:hAnsi="宋体"/>
          <w:color w:val="auto"/>
          <w:highlight w:val="none"/>
          <w:u w:val="single"/>
        </w:rPr>
        <w:t xml:space="preserve">                                 </w:t>
      </w:r>
    </w:p>
    <w:p>
      <w:pPr>
        <w:spacing w:line="300" w:lineRule="exact"/>
        <w:rPr>
          <w:rFonts w:hint="eastAsia" w:ascii="宋体" w:hAnsi="宋体"/>
          <w:color w:val="auto"/>
          <w:highlight w:val="none"/>
        </w:rPr>
      </w:pPr>
      <w:r>
        <w:rPr>
          <w:rFonts w:hint="eastAsia" w:ascii="宋体" w:hAnsi="宋体"/>
          <w:color w:val="auto"/>
          <w:highlight w:val="none"/>
        </w:rPr>
        <w:t>授权代表：</w:t>
      </w:r>
      <w:r>
        <w:rPr>
          <w:rFonts w:hint="eastAsia" w:ascii="宋体" w:hAnsi="宋体"/>
          <w:color w:val="auto"/>
          <w:highlight w:val="none"/>
          <w:u w:val="single"/>
        </w:rPr>
        <w:t xml:space="preserve">      </w:t>
      </w:r>
    </w:p>
    <w:p>
      <w:pPr>
        <w:spacing w:line="300" w:lineRule="exact"/>
        <w:rPr>
          <w:rFonts w:hint="eastAsia" w:ascii="宋体" w:hAnsi="宋体"/>
          <w:color w:val="auto"/>
          <w:highlight w:val="none"/>
          <w:u w:val="single"/>
        </w:rPr>
      </w:pPr>
      <w:r>
        <w:rPr>
          <w:rFonts w:hint="eastAsia" w:ascii="宋体" w:hAnsi="宋体"/>
          <w:color w:val="auto"/>
          <w:highlight w:val="none"/>
        </w:rPr>
        <w:t>邮政编码：</w:t>
      </w:r>
      <w:r>
        <w:rPr>
          <w:rFonts w:hint="eastAsia" w:ascii="宋体" w:hAnsi="宋体"/>
          <w:color w:val="auto"/>
          <w:highlight w:val="none"/>
          <w:u w:val="single"/>
        </w:rPr>
        <w:t xml:space="preserve">      </w:t>
      </w:r>
    </w:p>
    <w:p>
      <w:pPr>
        <w:spacing w:line="300" w:lineRule="exact"/>
        <w:rPr>
          <w:rFonts w:hint="eastAsia" w:ascii="宋体" w:hAnsi="宋体"/>
          <w:color w:val="auto"/>
          <w:highlight w:val="none"/>
        </w:rPr>
      </w:pPr>
      <w:r>
        <w:rPr>
          <w:rFonts w:hint="eastAsia" w:ascii="宋体" w:hAnsi="宋体"/>
          <w:color w:val="auto"/>
          <w:highlight w:val="none"/>
        </w:rPr>
        <w:t>签订日期：</w:t>
      </w:r>
    </w:p>
    <w:p>
      <w:pPr>
        <w:spacing w:line="300" w:lineRule="exact"/>
        <w:rPr>
          <w:rFonts w:hint="eastAsia" w:ascii="宋体" w:hAnsi="宋体"/>
          <w:color w:val="auto"/>
          <w:highlight w:val="none"/>
        </w:rPr>
      </w:pPr>
      <w:r>
        <w:rPr>
          <w:rFonts w:hint="eastAsia" w:ascii="宋体" w:hAnsi="宋体"/>
          <w:color w:val="auto"/>
          <w:highlight w:val="none"/>
        </w:rPr>
        <w:t>乙    方（印章）：</w:t>
      </w:r>
      <w:r>
        <w:rPr>
          <w:rFonts w:hint="eastAsia" w:ascii="宋体" w:hAnsi="宋体"/>
          <w:color w:val="auto"/>
          <w:highlight w:val="none"/>
          <w:u w:val="single"/>
        </w:rPr>
        <w:t xml:space="preserve">                        </w:t>
      </w:r>
    </w:p>
    <w:p>
      <w:pPr>
        <w:spacing w:line="300" w:lineRule="exact"/>
        <w:rPr>
          <w:rFonts w:hint="eastAsia" w:ascii="宋体" w:hAnsi="宋体"/>
          <w:color w:val="auto"/>
          <w:highlight w:val="none"/>
        </w:rPr>
      </w:pPr>
      <w:r>
        <w:rPr>
          <w:rFonts w:hint="eastAsia" w:ascii="宋体" w:hAnsi="宋体"/>
          <w:color w:val="auto"/>
          <w:highlight w:val="none"/>
        </w:rPr>
        <w:t>地    址 ：</w:t>
      </w:r>
      <w:r>
        <w:rPr>
          <w:rFonts w:hint="eastAsia" w:ascii="宋体" w:hAnsi="宋体"/>
          <w:color w:val="auto"/>
          <w:highlight w:val="none"/>
          <w:u w:val="single"/>
        </w:rPr>
        <w:t xml:space="preserve">                               </w:t>
      </w:r>
    </w:p>
    <w:p>
      <w:pPr>
        <w:spacing w:line="300" w:lineRule="exact"/>
        <w:rPr>
          <w:rFonts w:hint="eastAsia" w:ascii="宋体" w:hAnsi="宋体"/>
          <w:color w:val="auto"/>
          <w:highlight w:val="none"/>
          <w:u w:val="single"/>
        </w:rPr>
      </w:pPr>
      <w:r>
        <w:rPr>
          <w:rFonts w:hint="eastAsia" w:ascii="宋体" w:hAnsi="宋体"/>
          <w:color w:val="auto"/>
          <w:highlight w:val="none"/>
        </w:rPr>
        <w:t>授权代表：</w:t>
      </w:r>
      <w:r>
        <w:rPr>
          <w:rFonts w:hint="eastAsia" w:ascii="宋体" w:hAnsi="宋体"/>
          <w:color w:val="auto"/>
          <w:highlight w:val="none"/>
          <w:u w:val="single"/>
        </w:rPr>
        <w:t xml:space="preserve">             </w:t>
      </w:r>
    </w:p>
    <w:p>
      <w:pPr>
        <w:spacing w:line="300" w:lineRule="exact"/>
        <w:rPr>
          <w:rFonts w:hint="eastAsia" w:ascii="宋体" w:hAnsi="宋体"/>
          <w:color w:val="auto"/>
          <w:highlight w:val="none"/>
        </w:rPr>
      </w:pPr>
      <w:r>
        <w:rPr>
          <w:rFonts w:hint="eastAsia" w:ascii="宋体" w:hAnsi="宋体"/>
          <w:color w:val="auto"/>
          <w:highlight w:val="none"/>
        </w:rPr>
        <w:t>邮政编码：</w:t>
      </w:r>
      <w:r>
        <w:rPr>
          <w:rFonts w:hint="eastAsia" w:ascii="宋体" w:hAnsi="宋体"/>
          <w:b/>
          <w:color w:val="auto"/>
          <w:highlight w:val="none"/>
          <w:u w:val="single"/>
        </w:rPr>
        <w:t xml:space="preserve">            </w:t>
      </w:r>
    </w:p>
    <w:p>
      <w:pPr>
        <w:spacing w:line="300" w:lineRule="exact"/>
        <w:rPr>
          <w:rFonts w:hint="eastAsia" w:ascii="宋体" w:hAnsi="宋体"/>
          <w:color w:val="auto"/>
          <w:highlight w:val="none"/>
        </w:rPr>
      </w:pPr>
      <w:r>
        <w:rPr>
          <w:rFonts w:hint="eastAsia" w:ascii="宋体" w:hAnsi="宋体"/>
          <w:color w:val="auto"/>
          <w:highlight w:val="none"/>
        </w:rPr>
        <w:t>开 户 行：</w:t>
      </w:r>
    </w:p>
    <w:p>
      <w:pPr>
        <w:spacing w:line="300" w:lineRule="exact"/>
        <w:rPr>
          <w:rFonts w:hint="eastAsia" w:ascii="宋体" w:hAnsi="宋体"/>
          <w:color w:val="auto"/>
          <w:highlight w:val="none"/>
        </w:rPr>
      </w:pPr>
      <w:r>
        <w:rPr>
          <w:rFonts w:hint="eastAsia" w:ascii="宋体" w:hAnsi="宋体"/>
          <w:color w:val="auto"/>
          <w:highlight w:val="none"/>
        </w:rPr>
        <w:t>账    号：</w:t>
      </w:r>
    </w:p>
    <w:p>
      <w:pPr>
        <w:spacing w:line="380" w:lineRule="exact"/>
        <w:rPr>
          <w:rFonts w:hint="eastAsia" w:ascii="宋体" w:hAnsi="宋体"/>
          <w:color w:val="auto"/>
          <w:highlight w:val="none"/>
        </w:rPr>
      </w:pPr>
      <w:r>
        <w:rPr>
          <w:rFonts w:hint="eastAsia" w:ascii="宋体" w:hAnsi="宋体"/>
          <w:color w:val="auto"/>
          <w:highlight w:val="none"/>
        </w:rPr>
        <w:t>税    号：</w:t>
      </w:r>
    </w:p>
    <w:p>
      <w:pPr>
        <w:tabs>
          <w:tab w:val="left" w:pos="248"/>
        </w:tabs>
        <w:bidi w:val="0"/>
        <w:jc w:val="left"/>
        <w:rPr>
          <w:rStyle w:val="253"/>
          <w:rFonts w:hint="eastAsia" w:eastAsia="宋体" w:cs="仿宋_GB2312"/>
          <w:color w:val="auto"/>
          <w:highlight w:val="none"/>
          <w:lang w:eastAsia="zh-CN"/>
        </w:rPr>
        <w:sectPr>
          <w:pgSz w:w="12240" w:h="15840"/>
          <w:pgMar w:top="1440" w:right="1800" w:bottom="1440" w:left="1800" w:header="720" w:footer="720" w:gutter="0"/>
          <w:cols w:space="720" w:num="1"/>
        </w:sectPr>
      </w:pPr>
      <w:r>
        <w:rPr>
          <w:rStyle w:val="253"/>
          <w:rFonts w:hint="eastAsia" w:eastAsia="宋体" w:cs="仿宋_GB2312"/>
          <w:color w:val="auto"/>
          <w:highlight w:val="none"/>
          <w:lang w:eastAsia="zh-CN"/>
        </w:rPr>
        <w:tab/>
      </w:r>
    </w:p>
    <w:p>
      <w:pPr>
        <w:numPr>
          <w:ilvl w:val="0"/>
          <w:numId w:val="4"/>
        </w:numPr>
        <w:spacing w:line="400" w:lineRule="exact"/>
        <w:jc w:val="center"/>
        <w:outlineLvl w:val="0"/>
        <w:rPr>
          <w:rFonts w:hint="eastAsia" w:ascii="宋体" w:hAnsi="宋体"/>
          <w:b/>
          <w:color w:val="auto"/>
          <w:sz w:val="32"/>
          <w:highlight w:val="none"/>
        </w:rPr>
      </w:pPr>
      <w:bookmarkStart w:id="36" w:name="_Toc31122"/>
      <w:r>
        <w:rPr>
          <w:rFonts w:ascii="宋体" w:hAnsi="宋体"/>
          <w:b/>
          <w:color w:val="auto"/>
          <w:sz w:val="32"/>
          <w:highlight w:val="none"/>
        </w:rPr>
        <w:t xml:space="preserve"> </w:t>
      </w:r>
      <w:r>
        <w:rPr>
          <w:rFonts w:hint="eastAsia" w:ascii="宋体" w:hAnsi="宋体"/>
          <w:b/>
          <w:color w:val="auto"/>
          <w:sz w:val="32"/>
          <w:highlight w:val="none"/>
        </w:rPr>
        <w:t>招标内容与技术需求</w:t>
      </w:r>
      <w:bookmarkEnd w:id="36"/>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本次崇寿镇保洁区域，包括建成区内主要道路、背街小巷、河道的保洁及绿化带的保洁，绿色食品园区道路保洁及绿化带的保洁，镇级道路的机械化保洁，全镇生活垃圾以袋换袋收运（包括垃圾分类收集、部分区域以桶换桶），环卫站的正常运行管理，生活垃圾集中清运，部分路段垃圾上门收集，厨余垃圾清运，餐厨垃圾收运，公厕保洁及吸粪，污水清运，垃圾桶清洁</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lang w:eastAsia="zh-CN"/>
        </w:rPr>
        <w:t>。镇级道路面积约650734㎡，镇级河道面积约80000㎡，建城区公厕8只</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color w:val="auto"/>
          <w:sz w:val="21"/>
          <w:szCs w:val="21"/>
          <w:highlight w:val="none"/>
        </w:rPr>
      </w:pPr>
      <w:r>
        <w:rPr>
          <w:rFonts w:hint="eastAsia" w:ascii="宋体" w:hAnsi="宋体"/>
          <w:color w:val="auto"/>
          <w:kern w:val="0"/>
          <w:sz w:val="21"/>
          <w:szCs w:val="21"/>
          <w:highlight w:val="none"/>
        </w:rPr>
        <w:t>★一、服务</w:t>
      </w:r>
      <w:r>
        <w:rPr>
          <w:rFonts w:hint="eastAsia" w:ascii="宋体" w:hAnsi="宋体" w:cs="宋体"/>
          <w:color w:val="auto"/>
          <w:sz w:val="21"/>
          <w:szCs w:val="21"/>
          <w:highlight w:val="none"/>
        </w:rPr>
        <w:t xml:space="preserve">人员及要求 </w:t>
      </w:r>
    </w:p>
    <w:p>
      <w:pPr>
        <w:keepNext w:val="0"/>
        <w:keepLines w:val="0"/>
        <w:pageBreakBefore w:val="0"/>
        <w:widowControl w:val="0"/>
        <w:kinsoku/>
        <w:wordWrap/>
        <w:overflowPunct/>
        <w:topLinePunct w:val="0"/>
        <w:autoSpaceDE/>
        <w:autoSpaceDN/>
        <w:bidi w:val="0"/>
        <w:adjustRightInd/>
        <w:snapToGrid/>
        <w:spacing w:line="380" w:lineRule="exact"/>
        <w:ind w:left="420"/>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1、人数：总人数不少于105人。</w:t>
      </w:r>
    </w:p>
    <w:p>
      <w:pPr>
        <w:keepNext w:val="0"/>
        <w:keepLines w:val="0"/>
        <w:pageBreakBefore w:val="0"/>
        <w:widowControl w:val="0"/>
        <w:kinsoku/>
        <w:wordWrap/>
        <w:overflowPunct/>
        <w:topLinePunct w:val="0"/>
        <w:autoSpaceDE/>
        <w:autoSpaceDN/>
        <w:bidi w:val="0"/>
        <w:adjustRightInd/>
        <w:snapToGrid/>
        <w:spacing w:line="380" w:lineRule="exact"/>
        <w:ind w:left="420"/>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（1）项目负责人不少于1人，从事环卫保洁管理工作3年及以上；</w:t>
      </w:r>
    </w:p>
    <w:p>
      <w:pPr>
        <w:keepNext w:val="0"/>
        <w:keepLines w:val="0"/>
        <w:pageBreakBefore w:val="0"/>
        <w:widowControl w:val="0"/>
        <w:kinsoku/>
        <w:wordWrap/>
        <w:overflowPunct/>
        <w:topLinePunct w:val="0"/>
        <w:autoSpaceDE/>
        <w:autoSpaceDN/>
        <w:bidi w:val="0"/>
        <w:adjustRightInd/>
        <w:snapToGrid/>
        <w:spacing w:line="380" w:lineRule="exact"/>
        <w:ind w:left="420"/>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（2）保洁巡查管理员不少于2人；</w:t>
      </w:r>
    </w:p>
    <w:p>
      <w:pPr>
        <w:keepNext w:val="0"/>
        <w:keepLines w:val="0"/>
        <w:pageBreakBefore w:val="0"/>
        <w:widowControl w:val="0"/>
        <w:kinsoku/>
        <w:wordWrap/>
        <w:overflowPunct/>
        <w:topLinePunct w:val="0"/>
        <w:autoSpaceDE/>
        <w:autoSpaceDN/>
        <w:bidi w:val="0"/>
        <w:adjustRightInd/>
        <w:snapToGrid/>
        <w:spacing w:line="380" w:lineRule="exact"/>
        <w:ind w:left="420"/>
        <w:textAlignment w:val="auto"/>
        <w:rPr>
          <w:rFonts w:hint="eastAsia" w:ascii="宋体" w:hAnsi="宋体" w:cs="宋体"/>
          <w:b/>
          <w:color w:val="auto"/>
          <w:sz w:val="21"/>
          <w:szCs w:val="21"/>
          <w:highlight w:val="none"/>
        </w:rPr>
      </w:pPr>
      <w:r>
        <w:rPr>
          <w:rFonts w:hint="eastAsia" w:ascii="宋体" w:hAnsi="宋体" w:cs="宋体"/>
          <w:bCs/>
          <w:color w:val="auto"/>
          <w:sz w:val="21"/>
          <w:szCs w:val="21"/>
          <w:highlight w:val="none"/>
        </w:rPr>
        <w:t>（3）道路保洁及绿化保洁不少于40人；</w:t>
      </w:r>
    </w:p>
    <w:p>
      <w:pPr>
        <w:keepNext w:val="0"/>
        <w:keepLines w:val="0"/>
        <w:pageBreakBefore w:val="0"/>
        <w:widowControl w:val="0"/>
        <w:kinsoku/>
        <w:wordWrap/>
        <w:overflowPunct/>
        <w:topLinePunct w:val="0"/>
        <w:autoSpaceDE/>
        <w:autoSpaceDN/>
        <w:bidi w:val="0"/>
        <w:adjustRightInd/>
        <w:snapToGrid/>
        <w:spacing w:line="380" w:lineRule="exact"/>
        <w:ind w:left="420"/>
        <w:textAlignment w:val="auto"/>
        <w:rPr>
          <w:rFonts w:hint="eastAsia" w:ascii="宋体" w:hAnsi="宋体" w:cs="宋体"/>
          <w:b/>
          <w:color w:val="auto"/>
          <w:sz w:val="21"/>
          <w:szCs w:val="21"/>
          <w:highlight w:val="none"/>
        </w:rPr>
      </w:pPr>
      <w:r>
        <w:rPr>
          <w:rFonts w:hint="eastAsia" w:ascii="宋体" w:hAnsi="宋体" w:cs="宋体"/>
          <w:bCs/>
          <w:color w:val="auto"/>
          <w:sz w:val="21"/>
          <w:szCs w:val="21"/>
          <w:highlight w:val="none"/>
        </w:rPr>
        <w:t>（4）河道保洁不少于11人；</w:t>
      </w:r>
    </w:p>
    <w:p>
      <w:pPr>
        <w:keepNext w:val="0"/>
        <w:keepLines w:val="0"/>
        <w:pageBreakBefore w:val="0"/>
        <w:widowControl w:val="0"/>
        <w:kinsoku/>
        <w:wordWrap/>
        <w:overflowPunct/>
        <w:topLinePunct w:val="0"/>
        <w:autoSpaceDE/>
        <w:autoSpaceDN/>
        <w:bidi w:val="0"/>
        <w:adjustRightInd/>
        <w:snapToGrid/>
        <w:spacing w:line="380" w:lineRule="exact"/>
        <w:ind w:left="420"/>
        <w:textAlignment w:val="auto"/>
        <w:rPr>
          <w:rFonts w:hint="eastAsia" w:ascii="宋体" w:hAnsi="宋体" w:cs="宋体"/>
          <w:b/>
          <w:color w:val="auto"/>
          <w:sz w:val="21"/>
          <w:szCs w:val="21"/>
          <w:highlight w:val="none"/>
        </w:rPr>
      </w:pPr>
      <w:r>
        <w:rPr>
          <w:rFonts w:hint="eastAsia" w:ascii="宋体" w:hAnsi="宋体" w:cs="宋体"/>
          <w:bCs/>
          <w:color w:val="auto"/>
          <w:sz w:val="21"/>
          <w:szCs w:val="21"/>
          <w:highlight w:val="none"/>
        </w:rPr>
        <w:t>（5）以袋换袋清理人数不少于17人（17人为小黄车驾驶员）；</w:t>
      </w:r>
    </w:p>
    <w:p>
      <w:pPr>
        <w:keepNext w:val="0"/>
        <w:keepLines w:val="0"/>
        <w:pageBreakBefore w:val="0"/>
        <w:widowControl w:val="0"/>
        <w:kinsoku/>
        <w:wordWrap/>
        <w:overflowPunct/>
        <w:topLinePunct w:val="0"/>
        <w:autoSpaceDE/>
        <w:autoSpaceDN/>
        <w:bidi w:val="0"/>
        <w:adjustRightInd/>
        <w:snapToGrid/>
        <w:spacing w:line="380" w:lineRule="exact"/>
        <w:ind w:left="42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（6）垃圾清运车驾驶员不少于4人；</w:t>
      </w:r>
    </w:p>
    <w:p>
      <w:pPr>
        <w:keepNext w:val="0"/>
        <w:keepLines w:val="0"/>
        <w:pageBreakBefore w:val="0"/>
        <w:widowControl w:val="0"/>
        <w:kinsoku/>
        <w:wordWrap/>
        <w:overflowPunct/>
        <w:topLinePunct w:val="0"/>
        <w:autoSpaceDE/>
        <w:autoSpaceDN/>
        <w:bidi w:val="0"/>
        <w:adjustRightInd/>
        <w:snapToGrid/>
        <w:spacing w:line="380" w:lineRule="exact"/>
        <w:ind w:left="42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(7)雾炮车驾驶员人数不少于1人</w:t>
      </w:r>
      <w:r>
        <w:rPr>
          <w:rFonts w:hint="eastAsia" w:ascii="宋体" w:hAnsi="宋体" w:eastAsia="宋体" w:cs="宋体"/>
          <w:bCs/>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42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（7）扫地车车驾驶员人数不少于2人；</w:t>
      </w:r>
    </w:p>
    <w:p>
      <w:pPr>
        <w:keepNext w:val="0"/>
        <w:keepLines w:val="0"/>
        <w:pageBreakBefore w:val="0"/>
        <w:widowControl w:val="0"/>
        <w:kinsoku/>
        <w:wordWrap/>
        <w:overflowPunct/>
        <w:topLinePunct w:val="0"/>
        <w:autoSpaceDE/>
        <w:autoSpaceDN/>
        <w:bidi w:val="0"/>
        <w:adjustRightInd/>
        <w:snapToGrid/>
        <w:spacing w:line="380" w:lineRule="exact"/>
        <w:ind w:left="420"/>
        <w:textAlignment w:val="auto"/>
        <w:rPr>
          <w:rFonts w:hint="eastAsia" w:ascii="宋体" w:hAnsi="宋体" w:cs="宋体"/>
          <w:b/>
          <w:color w:val="auto"/>
          <w:sz w:val="21"/>
          <w:szCs w:val="21"/>
          <w:highlight w:val="none"/>
        </w:rPr>
      </w:pPr>
      <w:r>
        <w:rPr>
          <w:rFonts w:hint="eastAsia" w:ascii="宋体" w:hAnsi="宋体" w:cs="宋体"/>
          <w:bCs/>
          <w:color w:val="auto"/>
          <w:sz w:val="21"/>
          <w:szCs w:val="21"/>
          <w:highlight w:val="none"/>
        </w:rPr>
        <w:t>（8）洒水车驾驶员人数不少于1人；</w:t>
      </w:r>
    </w:p>
    <w:p>
      <w:pPr>
        <w:keepNext w:val="0"/>
        <w:keepLines w:val="0"/>
        <w:pageBreakBefore w:val="0"/>
        <w:widowControl w:val="0"/>
        <w:kinsoku/>
        <w:wordWrap/>
        <w:overflowPunct/>
        <w:topLinePunct w:val="0"/>
        <w:autoSpaceDE/>
        <w:autoSpaceDN/>
        <w:bidi w:val="0"/>
        <w:adjustRightInd/>
        <w:snapToGrid/>
        <w:spacing w:line="380" w:lineRule="exact"/>
        <w:ind w:left="420"/>
        <w:textAlignment w:val="auto"/>
        <w:rPr>
          <w:rFonts w:ascii="宋体" w:hAnsi="宋体" w:cs="宋体"/>
          <w:b/>
          <w:color w:val="auto"/>
          <w:sz w:val="21"/>
          <w:szCs w:val="21"/>
          <w:highlight w:val="none"/>
        </w:rPr>
      </w:pPr>
      <w:r>
        <w:rPr>
          <w:rFonts w:hint="eastAsia" w:ascii="宋体" w:hAnsi="宋体" w:cs="宋体"/>
          <w:bCs/>
          <w:color w:val="auto"/>
          <w:sz w:val="21"/>
          <w:szCs w:val="21"/>
          <w:highlight w:val="none"/>
        </w:rPr>
        <w:t>（9）厨余垃圾及污水吸粪清运2人（其中厨余垃圾驾驶员人数不少于1人，辅助工1人）；</w:t>
      </w:r>
    </w:p>
    <w:p>
      <w:pPr>
        <w:keepNext w:val="0"/>
        <w:keepLines w:val="0"/>
        <w:pageBreakBefore w:val="0"/>
        <w:widowControl w:val="0"/>
        <w:kinsoku/>
        <w:wordWrap/>
        <w:overflowPunct/>
        <w:topLinePunct w:val="0"/>
        <w:autoSpaceDE/>
        <w:autoSpaceDN/>
        <w:bidi w:val="0"/>
        <w:adjustRightInd/>
        <w:snapToGrid/>
        <w:spacing w:line="380" w:lineRule="exact"/>
        <w:ind w:left="420"/>
        <w:textAlignment w:val="auto"/>
        <w:rPr>
          <w:rFonts w:hint="eastAsia" w:ascii="宋体" w:hAnsi="宋体" w:cs="宋体"/>
          <w:b/>
          <w:color w:val="auto"/>
          <w:sz w:val="21"/>
          <w:szCs w:val="21"/>
          <w:highlight w:val="none"/>
        </w:rPr>
      </w:pPr>
      <w:r>
        <w:rPr>
          <w:rFonts w:hint="eastAsia" w:ascii="宋体" w:hAnsi="宋体" w:cs="宋体"/>
          <w:bCs/>
          <w:color w:val="auto"/>
          <w:sz w:val="21"/>
          <w:szCs w:val="21"/>
          <w:highlight w:val="none"/>
        </w:rPr>
        <w:t>（10）散抛垃圾收集员不少于2人；</w:t>
      </w:r>
    </w:p>
    <w:p>
      <w:pPr>
        <w:keepNext w:val="0"/>
        <w:keepLines w:val="0"/>
        <w:pageBreakBefore w:val="0"/>
        <w:widowControl w:val="0"/>
        <w:kinsoku/>
        <w:wordWrap/>
        <w:overflowPunct/>
        <w:topLinePunct w:val="0"/>
        <w:autoSpaceDE/>
        <w:autoSpaceDN/>
        <w:bidi w:val="0"/>
        <w:adjustRightInd/>
        <w:snapToGrid/>
        <w:spacing w:line="380" w:lineRule="exact"/>
        <w:ind w:left="420"/>
        <w:textAlignment w:val="auto"/>
        <w:rPr>
          <w:rFonts w:hint="eastAsia" w:ascii="宋体" w:hAnsi="宋体" w:cs="宋体"/>
          <w:b/>
          <w:color w:val="auto"/>
          <w:sz w:val="21"/>
          <w:szCs w:val="21"/>
          <w:highlight w:val="none"/>
        </w:rPr>
      </w:pPr>
      <w:r>
        <w:rPr>
          <w:rFonts w:hint="eastAsia" w:ascii="宋体" w:hAnsi="宋体" w:cs="宋体"/>
          <w:bCs/>
          <w:color w:val="auto"/>
          <w:sz w:val="21"/>
          <w:szCs w:val="21"/>
          <w:highlight w:val="none"/>
        </w:rPr>
        <w:t>（11）公厕保洁员不少于2人；</w:t>
      </w:r>
    </w:p>
    <w:p>
      <w:pPr>
        <w:keepNext w:val="0"/>
        <w:keepLines w:val="0"/>
        <w:pageBreakBefore w:val="0"/>
        <w:widowControl w:val="0"/>
        <w:kinsoku/>
        <w:wordWrap/>
        <w:overflowPunct/>
        <w:topLinePunct w:val="0"/>
        <w:autoSpaceDE/>
        <w:autoSpaceDN/>
        <w:bidi w:val="0"/>
        <w:adjustRightInd/>
        <w:snapToGrid/>
        <w:spacing w:line="380" w:lineRule="exact"/>
        <w:ind w:left="420"/>
        <w:textAlignment w:val="auto"/>
        <w:rPr>
          <w:rFonts w:hint="eastAsia" w:ascii="宋体" w:hAnsi="宋体" w:cs="宋体"/>
          <w:b/>
          <w:color w:val="auto"/>
          <w:sz w:val="21"/>
          <w:szCs w:val="21"/>
          <w:highlight w:val="none"/>
        </w:rPr>
      </w:pPr>
      <w:r>
        <w:rPr>
          <w:rFonts w:hint="eastAsia" w:ascii="宋体" w:hAnsi="宋体" w:cs="宋体"/>
          <w:bCs/>
          <w:color w:val="auto"/>
          <w:sz w:val="21"/>
          <w:szCs w:val="21"/>
          <w:highlight w:val="none"/>
        </w:rPr>
        <w:t>（12）</w:t>
      </w:r>
      <w:r>
        <w:rPr>
          <w:rFonts w:ascii="宋体" w:hAnsi="宋体" w:cs="宋体"/>
          <w:color w:val="auto"/>
          <w:kern w:val="0"/>
          <w:sz w:val="21"/>
          <w:szCs w:val="21"/>
          <w:highlight w:val="none"/>
        </w:rPr>
        <w:t>小广告</w:t>
      </w:r>
      <w:r>
        <w:rPr>
          <w:rFonts w:hint="eastAsia" w:ascii="宋体" w:hAnsi="宋体" w:cs="宋体"/>
          <w:bCs/>
          <w:color w:val="auto"/>
          <w:sz w:val="21"/>
          <w:szCs w:val="21"/>
          <w:highlight w:val="none"/>
        </w:rPr>
        <w:t>保洁员不少于1人；</w:t>
      </w:r>
    </w:p>
    <w:p>
      <w:pPr>
        <w:keepNext w:val="0"/>
        <w:keepLines w:val="0"/>
        <w:pageBreakBefore w:val="0"/>
        <w:widowControl w:val="0"/>
        <w:kinsoku/>
        <w:wordWrap/>
        <w:overflowPunct/>
        <w:topLinePunct w:val="0"/>
        <w:autoSpaceDE/>
        <w:autoSpaceDN/>
        <w:bidi w:val="0"/>
        <w:adjustRightInd/>
        <w:snapToGrid/>
        <w:spacing w:line="380" w:lineRule="exact"/>
        <w:ind w:left="42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（13）垃圾中转站人员不少于10人（压机工4人、门卫4人、洗桶工2人）</w:t>
      </w:r>
      <w:r>
        <w:rPr>
          <w:rFonts w:hint="eastAsia" w:ascii="宋体" w:hAnsi="宋体" w:eastAsia="宋体" w:cs="宋体"/>
          <w:bCs/>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42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（14）以桶换桶不少于5人（驾驶员3人，辅助工2人）；</w:t>
      </w:r>
    </w:p>
    <w:p>
      <w:pPr>
        <w:keepNext w:val="0"/>
        <w:keepLines w:val="0"/>
        <w:pageBreakBefore w:val="0"/>
        <w:widowControl w:val="0"/>
        <w:kinsoku/>
        <w:wordWrap/>
        <w:overflowPunct/>
        <w:topLinePunct w:val="0"/>
        <w:autoSpaceDE/>
        <w:autoSpaceDN/>
        <w:bidi w:val="0"/>
        <w:adjustRightInd/>
        <w:snapToGrid/>
        <w:spacing w:line="380" w:lineRule="exact"/>
        <w:ind w:left="420"/>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（15）垃圾上门收集人员不少于2人（驾驶员2人）；</w:t>
      </w:r>
    </w:p>
    <w:p>
      <w:pPr>
        <w:keepNext w:val="0"/>
        <w:keepLines w:val="0"/>
        <w:pageBreakBefore w:val="0"/>
        <w:widowControl w:val="0"/>
        <w:kinsoku/>
        <w:wordWrap/>
        <w:overflowPunct/>
        <w:topLinePunct w:val="0"/>
        <w:autoSpaceDE/>
        <w:autoSpaceDN/>
        <w:bidi w:val="0"/>
        <w:adjustRightInd/>
        <w:snapToGrid/>
        <w:spacing w:line="380" w:lineRule="exact"/>
        <w:ind w:left="420"/>
        <w:textAlignment w:val="auto"/>
        <w:rPr>
          <w:color w:val="auto"/>
          <w:sz w:val="21"/>
          <w:szCs w:val="21"/>
          <w:highlight w:val="none"/>
        </w:rPr>
      </w:pPr>
      <w:r>
        <w:rPr>
          <w:rFonts w:hint="eastAsia" w:ascii="宋体" w:hAnsi="宋体" w:cs="宋体"/>
          <w:bCs/>
          <w:color w:val="auto"/>
          <w:sz w:val="21"/>
          <w:szCs w:val="21"/>
          <w:highlight w:val="none"/>
        </w:rPr>
        <w:t>（16）</w:t>
      </w:r>
      <w:r>
        <w:rPr>
          <w:rFonts w:hint="eastAsia" w:ascii="宋体" w:hAnsi="宋体" w:cs="宋体"/>
          <w:b/>
          <w:color w:val="auto"/>
          <w:sz w:val="21"/>
          <w:szCs w:val="21"/>
          <w:highlight w:val="none"/>
        </w:rPr>
        <w:t>餐厨垃圾收运员不少于2人（驾驶员1人，辅助工1人）。</w:t>
      </w:r>
    </w:p>
    <w:p>
      <w:pPr>
        <w:keepNext w:val="0"/>
        <w:keepLines w:val="0"/>
        <w:pageBreakBefore w:val="0"/>
        <w:widowControl w:val="0"/>
        <w:kinsoku/>
        <w:wordWrap/>
        <w:overflowPunct/>
        <w:topLinePunct w:val="0"/>
        <w:autoSpaceDE/>
        <w:autoSpaceDN/>
        <w:bidi w:val="0"/>
        <w:adjustRightInd/>
        <w:snapToGrid/>
        <w:spacing w:line="380" w:lineRule="exact"/>
        <w:ind w:firstLine="359" w:firstLineChars="171"/>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2、人员要求：</w:t>
      </w:r>
    </w:p>
    <w:p>
      <w:pPr>
        <w:keepNext w:val="0"/>
        <w:keepLines w:val="0"/>
        <w:pageBreakBefore w:val="0"/>
        <w:widowControl w:val="0"/>
        <w:kinsoku/>
        <w:wordWrap/>
        <w:overflowPunct/>
        <w:topLinePunct w:val="0"/>
        <w:autoSpaceDE/>
        <w:autoSpaceDN/>
        <w:bidi w:val="0"/>
        <w:adjustRightInd/>
        <w:snapToGrid/>
        <w:spacing w:line="380" w:lineRule="exact"/>
        <w:ind w:firstLine="359" w:firstLineChars="171"/>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（1）项目负责人大专及以上学历，从事环卫保洁管理工作3年及以上；</w:t>
      </w:r>
    </w:p>
    <w:p>
      <w:pPr>
        <w:keepNext w:val="0"/>
        <w:keepLines w:val="0"/>
        <w:pageBreakBefore w:val="0"/>
        <w:widowControl w:val="0"/>
        <w:kinsoku/>
        <w:wordWrap/>
        <w:overflowPunct/>
        <w:topLinePunct w:val="0"/>
        <w:autoSpaceDE/>
        <w:autoSpaceDN/>
        <w:bidi w:val="0"/>
        <w:adjustRightInd/>
        <w:snapToGrid/>
        <w:spacing w:line="380" w:lineRule="exact"/>
        <w:ind w:firstLine="359" w:firstLineChars="171"/>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（2）</w:t>
      </w:r>
      <w:r>
        <w:rPr>
          <w:rFonts w:hint="eastAsia" w:ascii="宋体" w:hAnsi="宋体" w:cs="宋体"/>
          <w:color w:val="auto"/>
          <w:sz w:val="21"/>
          <w:szCs w:val="21"/>
          <w:highlight w:val="none"/>
        </w:rPr>
        <w:t>项目负责人、保洁巡查管理员、河道保洁员及各类机动车辆</w:t>
      </w:r>
      <w:r>
        <w:rPr>
          <w:rFonts w:hint="eastAsia" w:ascii="宋体" w:hAnsi="宋体" w:cs="宋体"/>
          <w:bCs/>
          <w:color w:val="auto"/>
          <w:sz w:val="21"/>
          <w:szCs w:val="21"/>
          <w:highlight w:val="none"/>
        </w:rPr>
        <w:t>驾驶员须为法定未退休人员，其他人员男性不超过</w:t>
      </w:r>
      <w:r>
        <w:rPr>
          <w:rFonts w:hint="eastAsia" w:ascii="宋体" w:hAnsi="宋体" w:cs="宋体"/>
          <w:b/>
          <w:color w:val="auto"/>
          <w:sz w:val="21"/>
          <w:szCs w:val="21"/>
          <w:highlight w:val="none"/>
        </w:rPr>
        <w:t>70</w:t>
      </w:r>
      <w:r>
        <w:rPr>
          <w:rFonts w:hint="eastAsia" w:ascii="宋体" w:hAnsi="宋体" w:cs="宋体"/>
          <w:bCs/>
          <w:color w:val="auto"/>
          <w:sz w:val="21"/>
          <w:szCs w:val="21"/>
          <w:highlight w:val="none"/>
        </w:rPr>
        <w:t>周岁，女性不超过</w:t>
      </w:r>
      <w:r>
        <w:rPr>
          <w:rFonts w:hint="eastAsia" w:ascii="宋体" w:hAnsi="宋体" w:cs="宋体"/>
          <w:b/>
          <w:color w:val="auto"/>
          <w:sz w:val="21"/>
          <w:szCs w:val="21"/>
          <w:highlight w:val="none"/>
        </w:rPr>
        <w:t>70</w:t>
      </w:r>
      <w:r>
        <w:rPr>
          <w:rFonts w:hint="eastAsia" w:ascii="宋体" w:hAnsi="宋体" w:cs="宋体"/>
          <w:bCs/>
          <w:color w:val="auto"/>
          <w:sz w:val="21"/>
          <w:szCs w:val="21"/>
          <w:highlight w:val="none"/>
        </w:rPr>
        <w:t>周岁。</w:t>
      </w:r>
    </w:p>
    <w:p>
      <w:pPr>
        <w:keepNext w:val="0"/>
        <w:keepLines w:val="0"/>
        <w:pageBreakBefore w:val="0"/>
        <w:widowControl w:val="0"/>
        <w:kinsoku/>
        <w:wordWrap/>
        <w:overflowPunct/>
        <w:topLinePunct w:val="0"/>
        <w:autoSpaceDE/>
        <w:autoSpaceDN/>
        <w:bidi w:val="0"/>
        <w:adjustRightInd/>
        <w:snapToGrid/>
        <w:spacing w:line="380" w:lineRule="exact"/>
        <w:ind w:firstLine="359" w:firstLineChars="171"/>
        <w:textAlignment w:val="auto"/>
        <w:rPr>
          <w:rFonts w:hint="eastAsia" w:ascii="宋体" w:hAnsi="宋体" w:cs="宋体"/>
          <w:color w:val="auto"/>
          <w:sz w:val="21"/>
          <w:szCs w:val="21"/>
          <w:highlight w:val="none"/>
        </w:rPr>
      </w:pPr>
      <w:r>
        <w:rPr>
          <w:rFonts w:hint="eastAsia" w:ascii="宋体" w:hAnsi="宋体" w:cs="宋体"/>
          <w:bCs/>
          <w:color w:val="auto"/>
          <w:sz w:val="21"/>
          <w:szCs w:val="21"/>
          <w:highlight w:val="none"/>
        </w:rPr>
        <w:t>（3）所有人员</w:t>
      </w:r>
      <w:r>
        <w:rPr>
          <w:rFonts w:hint="eastAsia" w:ascii="宋体" w:hAnsi="宋体" w:cs="宋体"/>
          <w:color w:val="auto"/>
          <w:sz w:val="21"/>
          <w:szCs w:val="21"/>
          <w:highlight w:val="none"/>
        </w:rPr>
        <w:t>身体健康，爱岗敬业，服从管理，无不良嗜好。</w:t>
      </w:r>
    </w:p>
    <w:p>
      <w:pPr>
        <w:keepNext w:val="0"/>
        <w:keepLines w:val="0"/>
        <w:pageBreakBefore w:val="0"/>
        <w:widowControl w:val="0"/>
        <w:kinsoku/>
        <w:wordWrap/>
        <w:overflowPunct/>
        <w:topLinePunct w:val="0"/>
        <w:autoSpaceDE/>
        <w:autoSpaceDN/>
        <w:bidi w:val="0"/>
        <w:adjustRightInd/>
        <w:snapToGrid/>
        <w:spacing w:line="380" w:lineRule="exact"/>
        <w:ind w:firstLine="359" w:firstLineChars="171"/>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3、驾驶员须具有与车型相适应的准驾驾驶证。</w:t>
      </w:r>
    </w:p>
    <w:p>
      <w:pPr>
        <w:keepNext w:val="0"/>
        <w:keepLines w:val="0"/>
        <w:pageBreakBefore w:val="0"/>
        <w:widowControl w:val="0"/>
        <w:kinsoku/>
        <w:wordWrap/>
        <w:overflowPunct/>
        <w:topLinePunct w:val="0"/>
        <w:autoSpaceDE/>
        <w:autoSpaceDN/>
        <w:bidi w:val="0"/>
        <w:adjustRightInd/>
        <w:snapToGrid/>
        <w:spacing w:line="380" w:lineRule="exact"/>
        <w:ind w:firstLine="359" w:firstLineChars="171"/>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4、服务时间：全年无休，每天工作时间8小时，具体上班时间由采购人确定，调休人员由中标供应商自行考虑。</w:t>
      </w:r>
    </w:p>
    <w:p>
      <w:pPr>
        <w:keepNext w:val="0"/>
        <w:keepLines w:val="0"/>
        <w:pageBreakBefore w:val="0"/>
        <w:widowControl w:val="0"/>
        <w:kinsoku/>
        <w:wordWrap/>
        <w:overflowPunct/>
        <w:topLinePunct w:val="0"/>
        <w:autoSpaceDE/>
        <w:autoSpaceDN/>
        <w:bidi w:val="0"/>
        <w:adjustRightInd/>
        <w:snapToGrid/>
        <w:spacing w:line="380" w:lineRule="exact"/>
        <w:ind w:firstLine="210" w:firstLineChars="100"/>
        <w:textAlignment w:val="auto"/>
        <w:rPr>
          <w:rFonts w:hint="eastAsia" w:ascii="宋体" w:hAnsi="宋体" w:cs="宋体"/>
          <w:color w:val="auto"/>
          <w:sz w:val="24"/>
          <w:highlight w:val="none"/>
        </w:rPr>
      </w:pPr>
      <w:r>
        <w:rPr>
          <w:rFonts w:hint="eastAsia" w:ascii="宋体" w:hAnsi="宋体" w:cs="宋体"/>
          <w:color w:val="auto"/>
          <w:sz w:val="21"/>
          <w:szCs w:val="21"/>
          <w:highlight w:val="none"/>
        </w:rPr>
        <w:t>二、保洁范围及上门收集路段</w:t>
      </w:r>
    </w:p>
    <w:p>
      <w:pPr>
        <w:tabs>
          <w:tab w:val="left" w:pos="880"/>
        </w:tabs>
        <w:rPr>
          <w:rFonts w:hint="eastAsia"/>
          <w:color w:val="auto"/>
          <w:highlight w:val="none"/>
        </w:rPr>
        <w:sectPr>
          <w:footerReference r:id="rId7" w:type="default"/>
          <w:pgSz w:w="11906" w:h="16838"/>
          <w:pgMar w:top="1440" w:right="1797" w:bottom="1440" w:left="1797" w:header="851" w:footer="992" w:gutter="0"/>
          <w:cols w:space="720" w:num="1"/>
          <w:docGrid w:type="linesAndChars" w:linePitch="312" w:charSpace="0"/>
        </w:sectPr>
      </w:pPr>
    </w:p>
    <w:tbl>
      <w:tblPr>
        <w:tblStyle w:val="45"/>
        <w:tblW w:w="15087" w:type="dxa"/>
        <w:tblInd w:w="93" w:type="dxa"/>
        <w:tblLayout w:type="autofit"/>
        <w:tblCellMar>
          <w:top w:w="0" w:type="dxa"/>
          <w:left w:w="108" w:type="dxa"/>
          <w:bottom w:w="0" w:type="dxa"/>
          <w:right w:w="108" w:type="dxa"/>
        </w:tblCellMar>
      </w:tblPr>
      <w:tblGrid>
        <w:gridCol w:w="696"/>
        <w:gridCol w:w="2016"/>
        <w:gridCol w:w="1176"/>
        <w:gridCol w:w="1176"/>
        <w:gridCol w:w="1095"/>
        <w:gridCol w:w="1335"/>
        <w:gridCol w:w="1416"/>
        <w:gridCol w:w="1080"/>
        <w:gridCol w:w="1176"/>
        <w:gridCol w:w="1416"/>
        <w:gridCol w:w="1080"/>
        <w:gridCol w:w="1425"/>
      </w:tblGrid>
      <w:tr>
        <w:tblPrEx>
          <w:tblCellMar>
            <w:top w:w="0" w:type="dxa"/>
            <w:left w:w="108" w:type="dxa"/>
            <w:bottom w:w="0" w:type="dxa"/>
            <w:right w:w="108" w:type="dxa"/>
          </w:tblCellMar>
        </w:tblPrEx>
        <w:trPr>
          <w:trHeight w:val="285" w:hRule="atLeast"/>
        </w:trPr>
        <w:tc>
          <w:tcPr>
            <w:tcW w:w="5064" w:type="dxa"/>
            <w:gridSpan w:val="4"/>
            <w:tcBorders>
              <w:top w:val="nil"/>
              <w:left w:val="nil"/>
              <w:bottom w:val="nil"/>
              <w:right w:val="nil"/>
            </w:tcBorders>
            <w:noWrap w:val="0"/>
            <w:vAlign w:val="center"/>
          </w:tcPr>
          <w:p>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主要道路及区域：</w:t>
            </w:r>
          </w:p>
        </w:tc>
        <w:tc>
          <w:tcPr>
            <w:tcW w:w="1095" w:type="dxa"/>
            <w:tcBorders>
              <w:top w:val="nil"/>
              <w:left w:val="nil"/>
              <w:bottom w:val="nil"/>
              <w:right w:val="nil"/>
            </w:tcBorders>
            <w:noWrap/>
            <w:vAlign w:val="center"/>
          </w:tcPr>
          <w:p>
            <w:pPr>
              <w:jc w:val="center"/>
              <w:rPr>
                <w:rFonts w:hint="eastAsia" w:ascii="宋体" w:hAnsi="宋体" w:cs="宋体"/>
                <w:color w:val="auto"/>
                <w:sz w:val="24"/>
                <w:szCs w:val="24"/>
                <w:highlight w:val="none"/>
              </w:rPr>
            </w:pPr>
          </w:p>
        </w:tc>
        <w:tc>
          <w:tcPr>
            <w:tcW w:w="1335" w:type="dxa"/>
            <w:tcBorders>
              <w:top w:val="nil"/>
              <w:left w:val="nil"/>
              <w:bottom w:val="nil"/>
              <w:right w:val="nil"/>
            </w:tcBorders>
            <w:noWrap/>
            <w:vAlign w:val="center"/>
          </w:tcPr>
          <w:p>
            <w:pPr>
              <w:jc w:val="center"/>
              <w:rPr>
                <w:rFonts w:hint="eastAsia" w:ascii="宋体" w:hAnsi="宋体" w:cs="宋体"/>
                <w:color w:val="auto"/>
                <w:sz w:val="24"/>
                <w:szCs w:val="24"/>
                <w:highlight w:val="none"/>
              </w:rPr>
            </w:pPr>
          </w:p>
        </w:tc>
        <w:tc>
          <w:tcPr>
            <w:tcW w:w="1416" w:type="dxa"/>
            <w:tcBorders>
              <w:top w:val="nil"/>
              <w:left w:val="nil"/>
              <w:bottom w:val="nil"/>
              <w:right w:val="nil"/>
            </w:tcBorders>
            <w:noWrap/>
            <w:vAlign w:val="center"/>
          </w:tcPr>
          <w:p>
            <w:pPr>
              <w:jc w:val="center"/>
              <w:rPr>
                <w:rFonts w:hint="eastAsia" w:ascii="宋体" w:hAnsi="宋体" w:cs="宋体"/>
                <w:color w:val="auto"/>
                <w:sz w:val="24"/>
                <w:szCs w:val="24"/>
                <w:highlight w:val="none"/>
              </w:rPr>
            </w:pPr>
          </w:p>
        </w:tc>
        <w:tc>
          <w:tcPr>
            <w:tcW w:w="1080" w:type="dxa"/>
            <w:tcBorders>
              <w:top w:val="nil"/>
              <w:left w:val="nil"/>
              <w:bottom w:val="nil"/>
              <w:right w:val="nil"/>
            </w:tcBorders>
            <w:noWrap/>
            <w:vAlign w:val="center"/>
          </w:tcPr>
          <w:p>
            <w:pPr>
              <w:jc w:val="center"/>
              <w:rPr>
                <w:rFonts w:hint="eastAsia" w:ascii="宋体" w:hAnsi="宋体" w:cs="宋体"/>
                <w:color w:val="auto"/>
                <w:sz w:val="24"/>
                <w:szCs w:val="24"/>
                <w:highlight w:val="none"/>
              </w:rPr>
            </w:pPr>
          </w:p>
        </w:tc>
        <w:tc>
          <w:tcPr>
            <w:tcW w:w="1176" w:type="dxa"/>
            <w:tcBorders>
              <w:top w:val="nil"/>
              <w:left w:val="nil"/>
              <w:bottom w:val="nil"/>
              <w:right w:val="nil"/>
            </w:tcBorders>
            <w:noWrap/>
            <w:vAlign w:val="center"/>
          </w:tcPr>
          <w:p>
            <w:pPr>
              <w:jc w:val="center"/>
              <w:rPr>
                <w:rFonts w:hint="eastAsia" w:ascii="宋体" w:hAnsi="宋体" w:cs="宋体"/>
                <w:color w:val="auto"/>
                <w:sz w:val="24"/>
                <w:szCs w:val="24"/>
                <w:highlight w:val="none"/>
              </w:rPr>
            </w:pPr>
          </w:p>
        </w:tc>
        <w:tc>
          <w:tcPr>
            <w:tcW w:w="1416" w:type="dxa"/>
            <w:tcBorders>
              <w:top w:val="nil"/>
              <w:left w:val="nil"/>
              <w:bottom w:val="nil"/>
              <w:right w:val="nil"/>
            </w:tcBorders>
            <w:noWrap/>
            <w:vAlign w:val="center"/>
          </w:tcPr>
          <w:p>
            <w:pPr>
              <w:jc w:val="center"/>
              <w:rPr>
                <w:rFonts w:hint="eastAsia" w:ascii="宋体" w:hAnsi="宋体" w:cs="宋体"/>
                <w:color w:val="auto"/>
                <w:sz w:val="24"/>
                <w:szCs w:val="24"/>
                <w:highlight w:val="none"/>
              </w:rPr>
            </w:pPr>
          </w:p>
        </w:tc>
        <w:tc>
          <w:tcPr>
            <w:tcW w:w="1080" w:type="dxa"/>
            <w:tcBorders>
              <w:top w:val="nil"/>
              <w:left w:val="nil"/>
              <w:bottom w:val="nil"/>
              <w:right w:val="nil"/>
            </w:tcBorders>
            <w:noWrap/>
            <w:vAlign w:val="center"/>
          </w:tcPr>
          <w:p>
            <w:pPr>
              <w:jc w:val="center"/>
              <w:rPr>
                <w:rFonts w:hint="eastAsia" w:ascii="宋体" w:hAnsi="宋体" w:cs="宋体"/>
                <w:color w:val="auto"/>
                <w:sz w:val="24"/>
                <w:szCs w:val="24"/>
                <w:highlight w:val="none"/>
              </w:rPr>
            </w:pPr>
          </w:p>
        </w:tc>
        <w:tc>
          <w:tcPr>
            <w:tcW w:w="1425" w:type="dxa"/>
            <w:tcBorders>
              <w:top w:val="nil"/>
              <w:left w:val="nil"/>
              <w:bottom w:val="nil"/>
              <w:right w:val="nil"/>
            </w:tcBorders>
            <w:noWrap/>
            <w:vAlign w:val="center"/>
          </w:tcPr>
          <w:p>
            <w:pPr>
              <w:jc w:val="center"/>
              <w:rPr>
                <w:rFonts w:hint="eastAsia" w:ascii="宋体" w:hAnsi="宋体" w:cs="宋体"/>
                <w:color w:val="auto"/>
                <w:sz w:val="24"/>
                <w:szCs w:val="24"/>
                <w:highlight w:val="none"/>
              </w:rPr>
            </w:pPr>
          </w:p>
        </w:tc>
      </w:tr>
      <w:tr>
        <w:tblPrEx>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路名</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保洁时间</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长(m)</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宽(m)</w:t>
            </w: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道路面积(m</w:t>
            </w:r>
            <w:r>
              <w:rPr>
                <w:rFonts w:hint="eastAsia" w:ascii="宋体" w:hAnsi="宋体" w:cs="宋体"/>
                <w:color w:val="auto"/>
                <w:kern w:val="0"/>
                <w:sz w:val="24"/>
                <w:szCs w:val="24"/>
                <w:highlight w:val="none"/>
                <w:vertAlign w:val="superscript"/>
                <w:lang w:bidi="ar"/>
              </w:rPr>
              <w:t>2</w:t>
            </w:r>
            <w:r>
              <w:rPr>
                <w:rFonts w:hint="eastAsia" w:ascii="宋体" w:hAnsi="宋体" w:cs="宋体"/>
                <w:color w:val="auto"/>
                <w:kern w:val="0"/>
                <w:sz w:val="24"/>
                <w:szCs w:val="24"/>
                <w:highlight w:val="none"/>
                <w:lang w:bidi="ar"/>
              </w:rPr>
              <w:t>)</w:t>
            </w:r>
          </w:p>
        </w:tc>
      </w:tr>
      <w:tr>
        <w:tblPrEx>
          <w:tblCellMar>
            <w:top w:w="0" w:type="dxa"/>
            <w:left w:w="108" w:type="dxa"/>
            <w:bottom w:w="0" w:type="dxa"/>
            <w:right w:w="108" w:type="dxa"/>
          </w:tblCellMar>
        </w:tblPrEx>
        <w:trPr>
          <w:trHeight w:val="6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机动车道</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人行道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机动车道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非机动车道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人行道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机动车道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非机动车道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人行道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合计</w:t>
            </w:r>
          </w:p>
        </w:tc>
      </w:tr>
      <w:tr>
        <w:tblPrEx>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经一路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850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670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6800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1809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8609</w:t>
            </w:r>
          </w:p>
        </w:tc>
      </w:tr>
      <w:tr>
        <w:tblPrEx>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纬一东路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510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6120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6120</w:t>
            </w:r>
          </w:p>
        </w:tc>
      </w:tr>
      <w:tr>
        <w:tblPrEx>
          <w:tblCellMar>
            <w:top w:w="0" w:type="dxa"/>
            <w:left w:w="108" w:type="dxa"/>
            <w:bottom w:w="0" w:type="dxa"/>
            <w:right w:w="108" w:type="dxa"/>
          </w:tblCellMar>
        </w:tblPrEx>
        <w:trPr>
          <w:trHeight w:val="45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经二路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690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6900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2560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9460</w:t>
            </w:r>
          </w:p>
        </w:tc>
      </w:tr>
      <w:tr>
        <w:tblPrEx>
          <w:tblCellMar>
            <w:top w:w="0" w:type="dxa"/>
            <w:left w:w="108" w:type="dxa"/>
            <w:bottom w:w="0" w:type="dxa"/>
            <w:right w:w="108" w:type="dxa"/>
          </w:tblCellMar>
        </w:tblPrEx>
        <w:trPr>
          <w:trHeight w:val="4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经三路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850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10200</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经四路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870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7830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7830</w:t>
            </w:r>
          </w:p>
        </w:tc>
      </w:tr>
      <w:tr>
        <w:tblPrEx>
          <w:tblCellMar>
            <w:top w:w="0" w:type="dxa"/>
            <w:left w:w="108" w:type="dxa"/>
            <w:bottom w:w="0" w:type="dxa"/>
            <w:right w:w="108" w:type="dxa"/>
          </w:tblCellMar>
        </w:tblPrEx>
        <w:trPr>
          <w:trHeight w:val="5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纬二东路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950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9500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11220</w:t>
            </w:r>
          </w:p>
        </w:tc>
      </w:tr>
      <w:tr>
        <w:tblPrEx>
          <w:tblCellMar>
            <w:top w:w="0" w:type="dxa"/>
            <w:left w:w="108" w:type="dxa"/>
            <w:bottom w:w="0" w:type="dxa"/>
            <w:right w:w="108" w:type="dxa"/>
          </w:tblCellMar>
        </w:tblPrEx>
        <w:trPr>
          <w:trHeight w:val="4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崇寿东大道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950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14250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7600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6020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27870</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纬三东路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670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6700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6700</w:t>
            </w:r>
          </w:p>
        </w:tc>
      </w:tr>
      <w:tr>
        <w:tblPrEx>
          <w:tblCellMar>
            <w:top w:w="0" w:type="dxa"/>
            <w:left w:w="108" w:type="dxa"/>
            <w:bottom w:w="0" w:type="dxa"/>
            <w:right w:w="108" w:type="dxa"/>
          </w:tblCellMar>
        </w:tblPrEx>
        <w:trPr>
          <w:trHeight w:val="54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崇兴街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770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9240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5325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14565</w:t>
            </w:r>
          </w:p>
        </w:tc>
      </w:tr>
      <w:tr>
        <w:tblPrEx>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中兴路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2240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1440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3680</w:t>
            </w:r>
          </w:p>
        </w:tc>
      </w:tr>
      <w:tr>
        <w:tblPrEx>
          <w:tblCellMar>
            <w:top w:w="0" w:type="dxa"/>
            <w:left w:w="108" w:type="dxa"/>
            <w:bottom w:w="0" w:type="dxa"/>
            <w:right w:w="108" w:type="dxa"/>
          </w:tblCellMar>
        </w:tblPrEx>
        <w:trPr>
          <w:trHeight w:val="4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文教路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10080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10840</w:t>
            </w:r>
          </w:p>
        </w:tc>
      </w:tr>
      <w:tr>
        <w:tblPrEx>
          <w:tblCellMar>
            <w:top w:w="0" w:type="dxa"/>
            <w:left w:w="108" w:type="dxa"/>
            <w:bottom w:w="0" w:type="dxa"/>
            <w:right w:w="108" w:type="dxa"/>
          </w:tblCellMar>
        </w:tblPrEx>
        <w:trPr>
          <w:trHeight w:val="4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六塘小区后横路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150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1050</w:t>
            </w:r>
          </w:p>
        </w:tc>
      </w:tr>
      <w:tr>
        <w:tblPrEx>
          <w:tblCellMar>
            <w:top w:w="0" w:type="dxa"/>
            <w:left w:w="108" w:type="dxa"/>
            <w:bottom w:w="0" w:type="dxa"/>
            <w:right w:w="108" w:type="dxa"/>
          </w:tblCellMar>
        </w:tblPrEx>
        <w:trPr>
          <w:trHeight w:val="54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六塘小区中心路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350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270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3500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2025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5525</w:t>
            </w:r>
          </w:p>
        </w:tc>
      </w:tr>
      <w:tr>
        <w:tblPrEx>
          <w:tblCellMar>
            <w:top w:w="0" w:type="dxa"/>
            <w:left w:w="108" w:type="dxa"/>
            <w:bottom w:w="0" w:type="dxa"/>
            <w:right w:w="108" w:type="dxa"/>
          </w:tblCellMar>
        </w:tblPrEx>
        <w:trPr>
          <w:trHeight w:val="5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新兴东街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180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2700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1575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4995</w:t>
            </w:r>
          </w:p>
        </w:tc>
      </w:tr>
      <w:tr>
        <w:tblPrEx>
          <w:tblCellMar>
            <w:top w:w="0" w:type="dxa"/>
            <w:left w:w="108" w:type="dxa"/>
            <w:bottom w:w="0" w:type="dxa"/>
            <w:right w:w="108" w:type="dxa"/>
          </w:tblCellMar>
        </w:tblPrEx>
        <w:trPr>
          <w:trHeight w:val="45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中和路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180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2160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1425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3585</w:t>
            </w:r>
          </w:p>
        </w:tc>
      </w:tr>
      <w:tr>
        <w:tblPrEx>
          <w:tblCellMar>
            <w:top w:w="0" w:type="dxa"/>
            <w:left w:w="108" w:type="dxa"/>
            <w:bottom w:w="0" w:type="dxa"/>
            <w:right w:w="108" w:type="dxa"/>
          </w:tblCellMar>
        </w:tblPrEx>
        <w:trPr>
          <w:trHeight w:val="4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市场东直路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400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2800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3760</w:t>
            </w: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袁家东路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180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1620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2070</w:t>
            </w:r>
          </w:p>
        </w:tc>
      </w:tr>
      <w:tr>
        <w:tblPrEx>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永清北路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970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23280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9700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32980</w:t>
            </w:r>
          </w:p>
        </w:tc>
      </w:tr>
      <w:tr>
        <w:tblPrEx>
          <w:tblCellMar>
            <w:top w:w="0" w:type="dxa"/>
            <w:left w:w="108" w:type="dxa"/>
            <w:bottom w:w="0" w:type="dxa"/>
            <w:right w:w="108" w:type="dxa"/>
          </w:tblCellMar>
        </w:tblPrEx>
        <w:trPr>
          <w:trHeight w:val="5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永清中段路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710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670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17040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2010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19050</w:t>
            </w:r>
          </w:p>
        </w:tc>
      </w:tr>
      <w:tr>
        <w:tblPrEx>
          <w:tblCellMar>
            <w:top w:w="0" w:type="dxa"/>
            <w:left w:w="108" w:type="dxa"/>
            <w:bottom w:w="0" w:type="dxa"/>
            <w:right w:w="108" w:type="dxa"/>
          </w:tblCellMar>
        </w:tblPrEx>
        <w:trPr>
          <w:trHeight w:val="4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永清南路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980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890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23520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3560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27080</w:t>
            </w:r>
          </w:p>
        </w:tc>
      </w:tr>
      <w:tr>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纬一西路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750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690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2070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11070</w:t>
            </w:r>
          </w:p>
        </w:tc>
      </w:tr>
      <w:tr>
        <w:tblPrEx>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消防路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130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780</w:t>
            </w:r>
          </w:p>
        </w:tc>
      </w:tr>
      <w:tr>
        <w:tblPrEx>
          <w:tblCellMar>
            <w:top w:w="0" w:type="dxa"/>
            <w:left w:w="108" w:type="dxa"/>
            <w:bottom w:w="0" w:type="dxa"/>
            <w:right w:w="108" w:type="dxa"/>
          </w:tblCellMar>
        </w:tblPrEx>
        <w:trPr>
          <w:trHeight w:val="4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经七路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650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5200</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崇寿西大道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610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9150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4480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3920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17550</w:t>
            </w:r>
          </w:p>
        </w:tc>
      </w:tr>
      <w:tr>
        <w:tblPrEx>
          <w:tblCellMar>
            <w:top w:w="0" w:type="dxa"/>
            <w:left w:w="108" w:type="dxa"/>
            <w:bottom w:w="0" w:type="dxa"/>
            <w:right w:w="108" w:type="dxa"/>
          </w:tblCellMar>
        </w:tblPrEx>
        <w:trPr>
          <w:trHeight w:val="4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六塘东街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770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490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7700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1960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9660</w:t>
            </w:r>
          </w:p>
        </w:tc>
      </w:tr>
      <w:tr>
        <w:tblPrEx>
          <w:tblCellMar>
            <w:top w:w="0" w:type="dxa"/>
            <w:left w:w="108" w:type="dxa"/>
            <w:bottom w:w="0" w:type="dxa"/>
            <w:right w:w="108" w:type="dxa"/>
          </w:tblCellMar>
        </w:tblPrEx>
        <w:trPr>
          <w:trHeight w:val="5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向天庵路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450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2700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2700</w:t>
            </w:r>
          </w:p>
        </w:tc>
      </w:tr>
      <w:tr>
        <w:tblPrEx>
          <w:tblCellMar>
            <w:top w:w="0" w:type="dxa"/>
            <w:left w:w="108" w:type="dxa"/>
            <w:bottom w:w="0" w:type="dxa"/>
            <w:right w:w="108" w:type="dxa"/>
          </w:tblCellMar>
        </w:tblPrEx>
        <w:trPr>
          <w:trHeight w:val="4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育才路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250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3200</w:t>
            </w:r>
          </w:p>
        </w:tc>
      </w:tr>
      <w:tr>
        <w:tblPrEx>
          <w:tblCellMar>
            <w:top w:w="0" w:type="dxa"/>
            <w:left w:w="108" w:type="dxa"/>
            <w:bottom w:w="0" w:type="dxa"/>
            <w:right w:w="108" w:type="dxa"/>
          </w:tblCellMar>
        </w:tblPrEx>
        <w:trPr>
          <w:trHeight w:val="4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***西路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400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2400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2400</w:t>
            </w:r>
          </w:p>
        </w:tc>
      </w:tr>
      <w:tr>
        <w:tblPrEx>
          <w:tblCellMar>
            <w:top w:w="0" w:type="dxa"/>
            <w:left w:w="108" w:type="dxa"/>
            <w:bottom w:w="0" w:type="dxa"/>
            <w:right w:w="108" w:type="dxa"/>
          </w:tblCellMar>
        </w:tblPrEx>
        <w:trPr>
          <w:trHeight w:val="45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经五路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270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2160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2160</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纬二西路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890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12460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3550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16010</w:t>
            </w:r>
          </w:p>
        </w:tc>
      </w:tr>
      <w:tr>
        <w:tblPrEx>
          <w:tblCellMar>
            <w:top w:w="0" w:type="dxa"/>
            <w:left w:w="108" w:type="dxa"/>
            <w:bottom w:w="0" w:type="dxa"/>
            <w:right w:w="108" w:type="dxa"/>
          </w:tblCellMar>
        </w:tblPrEx>
        <w:trPr>
          <w:trHeight w:val="4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经六路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1050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10500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6860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17360</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六塘西街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1410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10575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10575</w:t>
            </w:r>
          </w:p>
        </w:tc>
      </w:tr>
      <w:tr>
        <w:tblPrEx>
          <w:tblCellMar>
            <w:top w:w="0" w:type="dxa"/>
            <w:left w:w="108" w:type="dxa"/>
            <w:bottom w:w="0" w:type="dxa"/>
            <w:right w:w="108" w:type="dxa"/>
          </w:tblCellMar>
        </w:tblPrEx>
        <w:trPr>
          <w:trHeight w:val="4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纬三西路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380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3800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3800</w:t>
            </w:r>
          </w:p>
        </w:tc>
      </w:tr>
      <w:tr>
        <w:tblPrEx>
          <w:tblCellMar>
            <w:top w:w="0" w:type="dxa"/>
            <w:left w:w="108" w:type="dxa"/>
            <w:bottom w:w="0" w:type="dxa"/>
            <w:right w:w="108" w:type="dxa"/>
          </w:tblCellMar>
        </w:tblPrEx>
        <w:trPr>
          <w:trHeight w:val="5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建业路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550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3300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3300</w:t>
            </w:r>
          </w:p>
        </w:tc>
      </w:tr>
      <w:tr>
        <w:tblPrEx>
          <w:tblCellMar>
            <w:top w:w="0" w:type="dxa"/>
            <w:left w:w="108" w:type="dxa"/>
            <w:bottom w:w="0" w:type="dxa"/>
            <w:right w:w="108" w:type="dxa"/>
          </w:tblCellMar>
        </w:tblPrEx>
        <w:trPr>
          <w:trHeight w:val="45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文苑路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150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1650</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新兴西街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590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370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8850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2360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1110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12320</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星海湾西路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290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290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2900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1305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4205</w:t>
            </w:r>
          </w:p>
        </w:tc>
      </w:tr>
      <w:tr>
        <w:tblPrEx>
          <w:tblCellMar>
            <w:top w:w="0" w:type="dxa"/>
            <w:left w:w="108" w:type="dxa"/>
            <w:bottom w:w="0" w:type="dxa"/>
            <w:right w:w="108" w:type="dxa"/>
          </w:tblCellMar>
        </w:tblPrEx>
        <w:trPr>
          <w:trHeight w:val="54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袁家西路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590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370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5900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1110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7010</w:t>
            </w: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祝墩路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1300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20800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20800</w:t>
            </w:r>
          </w:p>
        </w:tc>
      </w:tr>
      <w:tr>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南园路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850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13600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8500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4675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26775</w:t>
            </w:r>
          </w:p>
        </w:tc>
      </w:tr>
      <w:tr>
        <w:tblPrEx>
          <w:tblCellMar>
            <w:top w:w="0" w:type="dxa"/>
            <w:left w:w="108" w:type="dxa"/>
            <w:bottom w:w="0" w:type="dxa"/>
            <w:right w:w="108" w:type="dxa"/>
          </w:tblCellMar>
        </w:tblPrEx>
        <w:trPr>
          <w:trHeight w:val="5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绿园三路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880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14080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3320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17400</w:t>
            </w:r>
          </w:p>
        </w:tc>
      </w:tr>
      <w:tr>
        <w:tblPrEx>
          <w:tblCellMar>
            <w:top w:w="0" w:type="dxa"/>
            <w:left w:w="108" w:type="dxa"/>
            <w:bottom w:w="0" w:type="dxa"/>
            <w:right w:w="108" w:type="dxa"/>
          </w:tblCellMar>
        </w:tblPrEx>
        <w:trPr>
          <w:trHeight w:val="4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北园路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1050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16800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24000</w:t>
            </w:r>
          </w:p>
        </w:tc>
      </w:tr>
      <w:tr>
        <w:tblPrEx>
          <w:tblCellMar>
            <w:top w:w="0" w:type="dxa"/>
            <w:left w:w="108" w:type="dxa"/>
            <w:bottom w:w="0" w:type="dxa"/>
            <w:right w:w="108" w:type="dxa"/>
          </w:tblCellMar>
        </w:tblPrEx>
        <w:trPr>
          <w:trHeight w:val="45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绿园二路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880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14080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8500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6375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28955</w:t>
            </w:r>
          </w:p>
        </w:tc>
      </w:tr>
      <w:tr>
        <w:tblPrEx>
          <w:tblCellMar>
            <w:top w:w="0" w:type="dxa"/>
            <w:left w:w="108" w:type="dxa"/>
            <w:bottom w:w="0" w:type="dxa"/>
            <w:right w:w="108" w:type="dxa"/>
          </w:tblCellMar>
        </w:tblPrEx>
        <w:trPr>
          <w:trHeight w:val="5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绿园一路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880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14080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3320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17400</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崇兴街113弄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380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1330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1330</w:t>
            </w:r>
          </w:p>
        </w:tc>
      </w:tr>
      <w:tr>
        <w:tblPrEx>
          <w:tblCellMar>
            <w:top w:w="0" w:type="dxa"/>
            <w:left w:w="108" w:type="dxa"/>
            <w:bottom w:w="0" w:type="dxa"/>
            <w:right w:w="108" w:type="dxa"/>
          </w:tblCellMar>
        </w:tblPrEx>
        <w:trPr>
          <w:trHeight w:val="4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六塘公路停车场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52</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1040</w:t>
            </w:r>
          </w:p>
        </w:tc>
      </w:tr>
      <w:tr>
        <w:tblPrEx>
          <w:tblCellMar>
            <w:top w:w="0" w:type="dxa"/>
            <w:left w:w="108" w:type="dxa"/>
            <w:bottom w:w="0" w:type="dxa"/>
            <w:right w:w="108" w:type="dxa"/>
          </w:tblCellMar>
        </w:tblPrEx>
        <w:trPr>
          <w:trHeight w:val="5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小小工具前人行道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114</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1254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1254</w:t>
            </w:r>
          </w:p>
        </w:tc>
      </w:tr>
      <w:tr>
        <w:tblPrEx>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文化广场公园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139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17653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17653</w:t>
            </w:r>
          </w:p>
        </w:tc>
      </w:tr>
      <w:tr>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幼儿园停车场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55</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5500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5500</w:t>
            </w:r>
          </w:p>
        </w:tc>
      </w:tr>
      <w:tr>
        <w:tblPrEx>
          <w:tblCellMar>
            <w:top w:w="0" w:type="dxa"/>
            <w:left w:w="108" w:type="dxa"/>
            <w:bottom w:w="0" w:type="dxa"/>
            <w:right w:w="108" w:type="dxa"/>
          </w:tblCellMar>
        </w:tblPrEx>
        <w:trPr>
          <w:trHeight w:val="4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海棠苑南停车场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96</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2784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2784</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海棠苑西店面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97</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1649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1649</w:t>
            </w:r>
          </w:p>
        </w:tc>
      </w:tr>
      <w:tr>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海棠苑西路口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48</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432</w:t>
            </w:r>
          </w:p>
        </w:tc>
      </w:tr>
      <w:tr>
        <w:tblPrEx>
          <w:tblCellMar>
            <w:top w:w="0" w:type="dxa"/>
            <w:left w:w="108" w:type="dxa"/>
            <w:bottom w:w="0" w:type="dxa"/>
            <w:right w:w="108" w:type="dxa"/>
          </w:tblCellMar>
        </w:tblPrEx>
        <w:trPr>
          <w:trHeight w:val="4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碧桂园前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209</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1672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1672</w:t>
            </w:r>
          </w:p>
        </w:tc>
      </w:tr>
      <w:tr>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碧桂园东</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204</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2652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2652</w:t>
            </w:r>
          </w:p>
        </w:tc>
      </w:tr>
      <w:tr>
        <w:tblPrEx>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中心小学西南石子</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78</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1170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1170</w:t>
            </w:r>
          </w:p>
        </w:tc>
      </w:tr>
      <w:tr>
        <w:tblPrEx>
          <w:tblCellMar>
            <w:top w:w="0" w:type="dxa"/>
            <w:left w:w="108" w:type="dxa"/>
            <w:bottom w:w="0" w:type="dxa"/>
            <w:right w:w="108" w:type="dxa"/>
          </w:tblCellMar>
        </w:tblPrEx>
        <w:trPr>
          <w:trHeight w:val="4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12"/>
                <w:szCs w:val="12"/>
                <w:highlight w:val="none"/>
              </w:rPr>
            </w:pPr>
            <w:r>
              <w:rPr>
                <w:rFonts w:hint="eastAsia" w:ascii="宋体" w:hAnsi="宋体" w:cs="宋体"/>
                <w:color w:val="auto"/>
                <w:kern w:val="0"/>
                <w:sz w:val="12"/>
                <w:szCs w:val="12"/>
                <w:highlight w:val="none"/>
                <w:lang w:bidi="ar"/>
              </w:rPr>
              <w:t>原公交停车场出入口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153</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994.5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994.5</w:t>
            </w:r>
          </w:p>
        </w:tc>
      </w:tr>
      <w:tr>
        <w:tblPrEx>
          <w:tblCellMar>
            <w:top w:w="0" w:type="dxa"/>
            <w:left w:w="108" w:type="dxa"/>
            <w:bottom w:w="0" w:type="dxa"/>
            <w:right w:w="108" w:type="dxa"/>
          </w:tblCellMar>
        </w:tblPrEx>
        <w:trPr>
          <w:trHeight w:val="4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原公交停车场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47</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1598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1598</w:t>
            </w:r>
          </w:p>
        </w:tc>
      </w:tr>
      <w:tr>
        <w:tblPrEx>
          <w:tblCellMar>
            <w:top w:w="0" w:type="dxa"/>
            <w:left w:w="108" w:type="dxa"/>
            <w:bottom w:w="0" w:type="dxa"/>
            <w:right w:w="108"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崇兴街前小区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1050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4200</w:t>
            </w:r>
          </w:p>
        </w:tc>
      </w:tr>
      <w:tr>
        <w:tblPrEx>
          <w:tblCellMar>
            <w:top w:w="0" w:type="dxa"/>
            <w:left w:w="108" w:type="dxa"/>
            <w:bottom w:w="0" w:type="dxa"/>
            <w:right w:w="108"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崇兴街71弄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1280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1280</w:t>
            </w:r>
          </w:p>
        </w:tc>
      </w:tr>
      <w:tr>
        <w:tblPrEx>
          <w:tblCellMar>
            <w:top w:w="0" w:type="dxa"/>
            <w:left w:w="108" w:type="dxa"/>
            <w:bottom w:w="0" w:type="dxa"/>
            <w:right w:w="108" w:type="dxa"/>
          </w:tblCellMar>
        </w:tblPrEx>
        <w:trPr>
          <w:trHeight w:val="5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老硬饭店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1650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1650</w:t>
            </w: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宁波银行</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1125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1125</w:t>
            </w:r>
          </w:p>
        </w:tc>
      </w:tr>
      <w:tr>
        <w:tblPrEx>
          <w:tblCellMar>
            <w:top w:w="0" w:type="dxa"/>
            <w:left w:w="108" w:type="dxa"/>
            <w:bottom w:w="0" w:type="dxa"/>
            <w:right w:w="108" w:type="dxa"/>
          </w:tblCellMar>
        </w:tblPrEx>
        <w:trPr>
          <w:trHeight w:val="45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老地方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682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682</w:t>
            </w:r>
          </w:p>
        </w:tc>
      </w:tr>
      <w:tr>
        <w:tblPrEx>
          <w:tblCellMar>
            <w:top w:w="0" w:type="dxa"/>
            <w:left w:w="108" w:type="dxa"/>
            <w:bottom w:w="0" w:type="dxa"/>
            <w:right w:w="108" w:type="dxa"/>
          </w:tblCellMar>
        </w:tblPrEx>
        <w:trPr>
          <w:trHeight w:val="45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工商银行</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990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990</w:t>
            </w:r>
          </w:p>
        </w:tc>
      </w:tr>
      <w:tr>
        <w:tblPrEx>
          <w:tblCellMar>
            <w:top w:w="0" w:type="dxa"/>
            <w:left w:w="108" w:type="dxa"/>
            <w:bottom w:w="0" w:type="dxa"/>
            <w:right w:w="108" w:type="dxa"/>
          </w:tblCellMar>
        </w:tblPrEx>
        <w:trPr>
          <w:trHeight w:val="4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崇德妇科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158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1738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1738</w:t>
            </w:r>
          </w:p>
        </w:tc>
      </w:tr>
      <w:tr>
        <w:tblPrEx>
          <w:tblCellMar>
            <w:top w:w="0" w:type="dxa"/>
            <w:left w:w="108" w:type="dxa"/>
            <w:bottom w:w="0" w:type="dxa"/>
            <w:right w:w="108" w:type="dxa"/>
          </w:tblCellMar>
        </w:tblPrEx>
        <w:trPr>
          <w:trHeight w:val="45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绿源电动车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152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1672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1672</w:t>
            </w:r>
          </w:p>
        </w:tc>
      </w:tr>
      <w:tr>
        <w:tblPrEx>
          <w:tblCellMar>
            <w:top w:w="0" w:type="dxa"/>
            <w:left w:w="108" w:type="dxa"/>
            <w:bottom w:w="0" w:type="dxa"/>
            <w:right w:w="108" w:type="dxa"/>
          </w:tblCellMar>
        </w:tblPrEx>
        <w:trPr>
          <w:trHeight w:val="45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电信前面横直路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155</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775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775</w:t>
            </w:r>
          </w:p>
        </w:tc>
      </w:tr>
      <w:tr>
        <w:tblPrEx>
          <w:tblCellMar>
            <w:top w:w="0" w:type="dxa"/>
            <w:left w:w="108" w:type="dxa"/>
            <w:bottom w:w="0" w:type="dxa"/>
            <w:right w:w="108" w:type="dxa"/>
          </w:tblCellMar>
        </w:tblPrEx>
        <w:trPr>
          <w:trHeight w:val="45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中心小学东南石子</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16.5</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214.5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214.5</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相公殿小学北路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225</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630</w:t>
            </w:r>
          </w:p>
        </w:tc>
      </w:tr>
      <w:tr>
        <w:tblPrEx>
          <w:tblCellMar>
            <w:top w:w="0" w:type="dxa"/>
            <w:left w:w="108" w:type="dxa"/>
            <w:bottom w:w="0" w:type="dxa"/>
            <w:right w:w="108" w:type="dxa"/>
          </w:tblCellMar>
        </w:tblPrEx>
        <w:trPr>
          <w:trHeight w:val="45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镇政府后小区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800</w:t>
            </w:r>
          </w:p>
        </w:tc>
      </w:tr>
      <w:tr>
        <w:tblPrEx>
          <w:tblCellMar>
            <w:top w:w="0" w:type="dxa"/>
            <w:left w:w="108" w:type="dxa"/>
            <w:bottom w:w="0" w:type="dxa"/>
            <w:right w:w="108" w:type="dxa"/>
          </w:tblCellMar>
        </w:tblPrEx>
        <w:trPr>
          <w:trHeight w:val="4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四灶浦至海运建附线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1230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29520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10332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39852</w:t>
            </w:r>
          </w:p>
        </w:tc>
      </w:tr>
      <w:tr>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海运至经一路建附线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2220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53280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18648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71928</w:t>
            </w:r>
          </w:p>
        </w:tc>
      </w:tr>
    </w:tbl>
    <w:p>
      <w:pPr>
        <w:spacing w:line="360" w:lineRule="auto"/>
        <w:ind w:firstLine="240" w:firstLineChars="100"/>
        <w:rPr>
          <w:rFonts w:hint="eastAsia" w:ascii="宋体" w:hAnsi="宋体" w:cs="宋体"/>
          <w:bCs/>
          <w:color w:val="auto"/>
          <w:sz w:val="24"/>
          <w:highlight w:val="none"/>
        </w:rPr>
      </w:pPr>
      <w:r>
        <w:rPr>
          <w:rFonts w:hint="eastAsia" w:ascii="宋体" w:hAnsi="宋体" w:cs="宋体"/>
          <w:bCs/>
          <w:color w:val="auto"/>
          <w:sz w:val="24"/>
          <w:highlight w:val="none"/>
        </w:rPr>
        <w:t>备注：道路面积与实际不符的，以实际为准。</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垃圾上门收集路段：</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1"/>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1" w:type="dxa"/>
            <w:noWrap w:val="0"/>
            <w:vAlign w:val="center"/>
          </w:tcPr>
          <w:p>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道路名称</w:t>
            </w:r>
          </w:p>
        </w:tc>
        <w:tc>
          <w:tcPr>
            <w:tcW w:w="8310" w:type="dxa"/>
            <w:noWrap w:val="0"/>
            <w:vAlign w:val="center"/>
          </w:tcPr>
          <w:p>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保洁范围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1" w:type="dxa"/>
            <w:noWrap w:val="0"/>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新兴街</w:t>
            </w:r>
          </w:p>
        </w:tc>
        <w:tc>
          <w:tcPr>
            <w:tcW w:w="8310" w:type="dxa"/>
            <w:noWrap w:val="0"/>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崇寿菜场-镇中心小学西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1" w:type="dxa"/>
            <w:noWrap w:val="0"/>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崇兴街</w:t>
            </w:r>
          </w:p>
        </w:tc>
        <w:tc>
          <w:tcPr>
            <w:tcW w:w="8310" w:type="dxa"/>
            <w:noWrap w:val="0"/>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永清南路-文教路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1" w:type="dxa"/>
            <w:noWrap w:val="0"/>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永清北路</w:t>
            </w:r>
          </w:p>
        </w:tc>
        <w:tc>
          <w:tcPr>
            <w:tcW w:w="8310" w:type="dxa"/>
            <w:noWrap w:val="0"/>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六塘路-七塘江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5811" w:type="dxa"/>
            <w:noWrap w:val="0"/>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永清南路</w:t>
            </w:r>
          </w:p>
        </w:tc>
        <w:tc>
          <w:tcPr>
            <w:tcW w:w="8310" w:type="dxa"/>
            <w:noWrap w:val="0"/>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纬三路-六塘街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811" w:type="dxa"/>
            <w:noWrap w:val="0"/>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文教路</w:t>
            </w:r>
          </w:p>
        </w:tc>
        <w:tc>
          <w:tcPr>
            <w:tcW w:w="8310" w:type="dxa"/>
            <w:noWrap w:val="0"/>
            <w:vAlign w:val="center"/>
          </w:tcPr>
          <w:p>
            <w:pPr>
              <w:spacing w:line="360" w:lineRule="auto"/>
              <w:jc w:val="center"/>
              <w:rPr>
                <w:rFonts w:ascii="宋体" w:hAnsi="宋体" w:cs="宋体"/>
                <w:color w:val="auto"/>
                <w:sz w:val="24"/>
                <w:szCs w:val="24"/>
                <w:highlight w:val="none"/>
              </w:rPr>
            </w:pPr>
          </w:p>
        </w:tc>
      </w:tr>
    </w:tbl>
    <w:p>
      <w:pPr>
        <w:spacing w:line="400" w:lineRule="exact"/>
        <w:rPr>
          <w:rFonts w:hint="eastAsia" w:ascii="宋体" w:hAnsi="宋体"/>
          <w:color w:val="auto"/>
          <w:highlight w:val="none"/>
        </w:rPr>
      </w:pPr>
    </w:p>
    <w:p>
      <w:pPr>
        <w:pStyle w:val="44"/>
        <w:ind w:firstLine="0" w:firstLineChars="0"/>
        <w:rPr>
          <w:rFonts w:hint="eastAsia" w:ascii="宋体" w:hAnsi="宋体"/>
          <w:color w:val="auto"/>
          <w:highlight w:val="none"/>
        </w:rPr>
        <w:sectPr>
          <w:pgSz w:w="16838" w:h="11906" w:orient="landscape"/>
          <w:pgMar w:top="1417" w:right="1247" w:bottom="1417" w:left="1134" w:header="851" w:footer="992" w:gutter="0"/>
          <w:pgNumType w:fmt="numberInDash"/>
          <w:cols w:space="720" w:num="1"/>
          <w:docGrid w:linePitch="391" w:charSpace="0"/>
        </w:sectPr>
      </w:pPr>
    </w:p>
    <w:p>
      <w:pPr>
        <w:keepNext w:val="0"/>
        <w:keepLines w:val="0"/>
        <w:pageBreakBefore w:val="0"/>
        <w:widowControl w:val="0"/>
        <w:kinsoku/>
        <w:wordWrap/>
        <w:overflowPunct/>
        <w:topLinePunct w:val="0"/>
        <w:bidi w:val="0"/>
        <w:spacing w:line="400" w:lineRule="exact"/>
        <w:textAlignment w:val="auto"/>
        <w:rPr>
          <w:color w:val="auto"/>
          <w:sz w:val="21"/>
          <w:szCs w:val="21"/>
          <w:highlight w:val="none"/>
        </w:rPr>
      </w:pPr>
      <w:r>
        <w:rPr>
          <w:rFonts w:hint="eastAsia" w:ascii="宋体" w:hAnsi="宋体"/>
          <w:color w:val="auto"/>
          <w:sz w:val="21"/>
          <w:szCs w:val="21"/>
          <w:highlight w:val="none"/>
        </w:rPr>
        <w:t>★</w:t>
      </w:r>
      <w:r>
        <w:rPr>
          <w:rFonts w:hint="eastAsia" w:ascii="宋体" w:hAnsi="宋体"/>
          <w:b/>
          <w:bCs/>
          <w:color w:val="auto"/>
          <w:sz w:val="21"/>
          <w:szCs w:val="21"/>
          <w:highlight w:val="none"/>
        </w:rPr>
        <w:t>三、采购人提供的车辆设备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1、垃圾压缩清运车2辆、垃圾清运车2辆、扫地车1辆、洒水车1辆、8桶（含）以上以桶换桶车3辆、餐厨垃圾清运车1辆（同以桶换桶车）、水泥船1只、封闭式保洁三轮车（道路保洁使用）10辆。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2、在服务期间，由中标供应商负责购买采购人提供的车辆保险（包括商业保险和强制保险，其中第三者责任险不得低于100万元）、办理车辆年检及日常维修、保养用油等。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3、中标供应商使用采购人提供的压缩式垃圾车、垃圾清运车、扫地车、洒水车、以桶换桶车、餐厨垃圾清运车，在服务过程中应按车辆的使用说明书妥善使用，压缩式垃圾车严格控制压缩比，按规定定期做好保养（每次保养后的记录应报采购人备案），发生问题时应及时维修；服务期满或服务中止时，中标供应商应将车辆归还给采购人，并应保证车况的完好、年检合格及各功能的正常使用，如有故障应及时修复。经采购人验收合格后归还，如中标供应商未修复的，采购人将在服务费中扣除该项费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4、中标供应商在使用采购人的车辆期间所发生的各项安全责任事故均由中标供应商承担所有责任并负责赔偿，采购人不承担任何责任。</w:t>
      </w:r>
    </w:p>
    <w:p>
      <w:pPr>
        <w:keepNext w:val="0"/>
        <w:keepLines w:val="0"/>
        <w:pageBreakBefore w:val="0"/>
        <w:widowControl w:val="0"/>
        <w:kinsoku/>
        <w:wordWrap/>
        <w:overflowPunct/>
        <w:topLinePunct w:val="0"/>
        <w:bidi w:val="0"/>
        <w:spacing w:line="400" w:lineRule="exact"/>
        <w:textAlignment w:val="auto"/>
        <w:rPr>
          <w:color w:val="auto"/>
          <w:sz w:val="21"/>
          <w:szCs w:val="21"/>
          <w:highlight w:val="none"/>
        </w:rPr>
      </w:pPr>
      <w:r>
        <w:rPr>
          <w:rFonts w:hint="eastAsia" w:ascii="宋体" w:hAnsi="宋体"/>
          <w:color w:val="auto"/>
          <w:sz w:val="21"/>
          <w:szCs w:val="21"/>
          <w:highlight w:val="none"/>
        </w:rPr>
        <w:t>★</w:t>
      </w:r>
      <w:r>
        <w:rPr>
          <w:rFonts w:hint="eastAsia" w:ascii="宋体" w:hAnsi="宋体"/>
          <w:b/>
          <w:bCs/>
          <w:color w:val="auto"/>
          <w:sz w:val="21"/>
          <w:szCs w:val="21"/>
          <w:highlight w:val="none"/>
        </w:rPr>
        <w:t>四、投标人须配备的车辆设备数量和要求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1、核定载重量8吨（含）以上的</w:t>
      </w:r>
      <w:r>
        <w:rPr>
          <w:rFonts w:hint="eastAsia" w:ascii="Times New Roman" w:hAnsi="Times New Roman" w:eastAsia="宋体" w:cs="Times New Roman"/>
          <w:color w:val="auto"/>
          <w:highlight w:val="none"/>
          <w:lang w:val="en-US" w:eastAsia="zh-CN"/>
        </w:rPr>
        <w:t>扫地</w:t>
      </w:r>
      <w:r>
        <w:rPr>
          <w:rFonts w:hint="eastAsia" w:ascii="Times New Roman" w:hAnsi="Times New Roman" w:eastAsia="宋体" w:cs="Times New Roman"/>
          <w:color w:val="auto"/>
          <w:highlight w:val="none"/>
        </w:rPr>
        <w:t>车1辆，核定载重量5吨（含）以上的多功能抑尘车（雾炮车）1辆，封闭式保洁三轮车（道路保洁使用）30辆，以袋换袋清运车（电动车）17辆，厨余垃圾清运车1辆，吸污车1辆，两分类垃圾收集车2辆（配备智能称重系统、用于垃圾上门收集），保洁船10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中标供应商自行配备的车辆外观应完好，无重大事故记录，车辆第三者责任险不得低于100万元、年检合格。中标供应商应将服务车辆年检合格的行驶证、保险记录（包括强制保险和商业保险）等车辆资料复印件交采购人备案。</w:t>
      </w:r>
    </w:p>
    <w:p>
      <w:pPr>
        <w:keepNext w:val="0"/>
        <w:keepLines w:val="0"/>
        <w:pageBreakBefore w:val="0"/>
        <w:widowControl w:val="0"/>
        <w:kinsoku/>
        <w:wordWrap/>
        <w:overflowPunct/>
        <w:topLinePunct w:val="0"/>
        <w:bidi w:val="0"/>
        <w:spacing w:line="400" w:lineRule="exact"/>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五、保洁工作内容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1、卫生保洁：对建成区内道路及两侧、背街小巷、河道、河岸、小微水体、沟渠、公园、广场、公共绿化、停车场、公厕、闲置地块、房前屋后公共区域等进行8小时以上／天的动态化保洁。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垃圾收运：负责全镇“以袋换袋”生活垃圾分类收运、部分区域以桶换桶、垃圾桶清洗及向市级生活垃圾处理中心的运送；负责建成区和绿色食品园区散在生活垃圾、建筑垃圾、一般工业垃圾等收集运送；新兴街、崇兴街、永清北路、永清南路、文教路垃圾分类收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3、设施维护：利用好现有设施，对建成区内围栏进行定期维护和清洗消毒；分类垃圾桶定点安放，不遗失、少破损，正常使用；公共厕所设施完备，排水通畅，干净卫生，使用正常。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4、整治清理：对建成区和食品园区公共区域内存在的乱倾倒、乱堆放、乱张贴、乱涂写、卫生死角、果壳箱、公交站牌等进行定期清理。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5、机械作业：建成区内主要道路及崇庵公路、建附线、崇兴路、六塘横路、防汛公路、四灶路、海殿路、同兴路等主要道路每日开展机械化和雾泡降尘保洁，镇级主要道路的洒水防尘作业。</w:t>
      </w:r>
    </w:p>
    <w:p>
      <w:pPr>
        <w:keepNext w:val="0"/>
        <w:keepLines w:val="0"/>
        <w:pageBreakBefore w:val="0"/>
        <w:widowControl w:val="0"/>
        <w:kinsoku/>
        <w:wordWrap/>
        <w:overflowPunct/>
        <w:topLinePunct w:val="0"/>
        <w:bidi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注：</w:t>
      </w:r>
    </w:p>
    <w:p>
      <w:pPr>
        <w:keepNext w:val="0"/>
        <w:keepLines w:val="0"/>
        <w:pageBreakBefore w:val="0"/>
        <w:widowControl w:val="0"/>
        <w:numPr>
          <w:ilvl w:val="0"/>
          <w:numId w:val="5"/>
        </w:numPr>
        <w:kinsoku/>
        <w:wordWrap/>
        <w:overflowPunct/>
        <w:topLinePunct w:val="0"/>
        <w:bidi w:val="0"/>
        <w:spacing w:line="400" w:lineRule="exact"/>
        <w:ind w:firstLine="420" w:firstLineChars="200"/>
        <w:textAlignment w:val="auto"/>
        <w:rPr>
          <w:rFonts w:hint="eastAsia" w:ascii="宋体" w:hAnsi="宋体" w:cs="宋体"/>
          <w:color w:val="auto"/>
          <w:kern w:val="0"/>
          <w:sz w:val="21"/>
          <w:szCs w:val="21"/>
          <w:highlight w:val="none"/>
        </w:rPr>
      </w:pPr>
      <w:r>
        <w:rPr>
          <w:rFonts w:ascii="宋体" w:hAnsi="宋体" w:cs="宋体"/>
          <w:color w:val="auto"/>
          <w:kern w:val="0"/>
          <w:sz w:val="21"/>
          <w:szCs w:val="21"/>
          <w:highlight w:val="none"/>
        </w:rPr>
        <w:t>主要道路：浒崇公路</w:t>
      </w:r>
      <w:r>
        <w:rPr>
          <w:rFonts w:hint="eastAsia" w:ascii="宋体" w:hAnsi="宋体" w:cs="宋体"/>
          <w:color w:val="auto"/>
          <w:kern w:val="0"/>
          <w:sz w:val="21"/>
          <w:szCs w:val="21"/>
          <w:highlight w:val="none"/>
        </w:rPr>
        <w:t>，</w:t>
      </w:r>
      <w:r>
        <w:rPr>
          <w:rFonts w:ascii="宋体" w:hAnsi="宋体" w:cs="宋体"/>
          <w:color w:val="auto"/>
          <w:kern w:val="0"/>
          <w:sz w:val="21"/>
          <w:szCs w:val="21"/>
          <w:highlight w:val="none"/>
        </w:rPr>
        <w:t>六塘公路（</w:t>
      </w:r>
      <w:r>
        <w:rPr>
          <w:rFonts w:hint="eastAsia" w:ascii="宋体" w:hAnsi="宋体" w:cs="宋体"/>
          <w:color w:val="auto"/>
          <w:kern w:val="0"/>
          <w:sz w:val="21"/>
          <w:szCs w:val="21"/>
          <w:highlight w:val="none"/>
        </w:rPr>
        <w:t>向天庵江桥</w:t>
      </w:r>
      <w:r>
        <w:rPr>
          <w:rFonts w:ascii="宋体" w:hAnsi="宋体" w:cs="宋体"/>
          <w:color w:val="auto"/>
          <w:kern w:val="0"/>
          <w:sz w:val="21"/>
          <w:szCs w:val="21"/>
          <w:highlight w:val="none"/>
        </w:rPr>
        <w:t>至万红中学），崇兴街，经一路、经二路、经三路、经四路、经五路、经六路、园西路、纬一路、纬二路、纬三路、中兴路、六塘东安置区小区中心横路，原公交停车场、消防路、</w:t>
      </w:r>
      <w:r>
        <w:rPr>
          <w:rFonts w:hint="eastAsia" w:ascii="宋体" w:hAnsi="宋体" w:cs="宋体"/>
          <w:color w:val="auto"/>
          <w:kern w:val="0"/>
          <w:sz w:val="21"/>
          <w:szCs w:val="21"/>
          <w:highlight w:val="none"/>
        </w:rPr>
        <w:t>文苑路</w:t>
      </w:r>
      <w:r>
        <w:rPr>
          <w:rFonts w:ascii="宋体" w:hAnsi="宋体" w:cs="宋体"/>
          <w:color w:val="auto"/>
          <w:kern w:val="0"/>
          <w:sz w:val="21"/>
          <w:szCs w:val="21"/>
          <w:highlight w:val="none"/>
        </w:rPr>
        <w:t>、文教路、六塘东安置小区后横路（文教路至市场东直路）、市场东直路、袁家路、***西直路、幼儿园停车场、</w:t>
      </w:r>
      <w:r>
        <w:rPr>
          <w:rFonts w:hint="eastAsia" w:ascii="宋体" w:hAnsi="宋体" w:cs="宋体"/>
          <w:color w:val="auto"/>
          <w:kern w:val="0"/>
          <w:sz w:val="21"/>
          <w:szCs w:val="21"/>
          <w:highlight w:val="none"/>
          <w:lang w:bidi="ar"/>
        </w:rPr>
        <w:t>中和路</w:t>
      </w:r>
      <w:r>
        <w:rPr>
          <w:rFonts w:ascii="宋体" w:hAnsi="宋体" w:cs="宋体"/>
          <w:color w:val="auto"/>
          <w:kern w:val="0"/>
          <w:sz w:val="21"/>
          <w:szCs w:val="21"/>
          <w:highlight w:val="none"/>
        </w:rPr>
        <w:t>、建业路、新兴街、星海湾西直路、绿色食品园区绿园一路、绿园二路、绿园三路、南园路、北园路</w:t>
      </w:r>
      <w:r>
        <w:rPr>
          <w:rFonts w:hint="eastAsia" w:ascii="宋体" w:hAnsi="宋体" w:cs="宋体"/>
          <w:color w:val="auto"/>
          <w:kern w:val="0"/>
          <w:sz w:val="21"/>
          <w:szCs w:val="21"/>
          <w:highlight w:val="none"/>
        </w:rPr>
        <w:t>、</w:t>
      </w:r>
      <w:r>
        <w:rPr>
          <w:rFonts w:ascii="宋体" w:hAnsi="宋体" w:cs="宋体"/>
          <w:color w:val="auto"/>
          <w:kern w:val="0"/>
          <w:sz w:val="21"/>
          <w:szCs w:val="21"/>
          <w:highlight w:val="none"/>
        </w:rPr>
        <w:t>育才路</w:t>
      </w:r>
      <w:r>
        <w:rPr>
          <w:rFonts w:hint="eastAsia" w:ascii="宋体" w:hAnsi="宋体" w:cs="宋体"/>
          <w:color w:val="auto"/>
          <w:kern w:val="0"/>
          <w:sz w:val="21"/>
          <w:szCs w:val="21"/>
          <w:highlight w:val="none"/>
        </w:rPr>
        <w:t>、</w:t>
      </w:r>
      <w:r>
        <w:rPr>
          <w:rFonts w:ascii="宋体" w:hAnsi="宋体" w:cs="宋体"/>
          <w:color w:val="auto"/>
          <w:kern w:val="0"/>
          <w:sz w:val="21"/>
          <w:szCs w:val="21"/>
          <w:highlight w:val="none"/>
        </w:rPr>
        <w:t>崇寿大道</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bidi="ar"/>
        </w:rPr>
        <w:t>向天庵江直路</w:t>
      </w:r>
      <w:r>
        <w:rPr>
          <w:rFonts w:hint="eastAsia" w:ascii="宋体" w:hAnsi="宋体" w:cs="宋体"/>
          <w:color w:val="auto"/>
          <w:kern w:val="0"/>
          <w:sz w:val="21"/>
          <w:szCs w:val="21"/>
          <w:highlight w:val="none"/>
        </w:rPr>
        <w:t>、海棠苑停车场、海棠苑店面门口公共区域、</w:t>
      </w:r>
      <w:r>
        <w:rPr>
          <w:rFonts w:ascii="宋体" w:hAnsi="宋体" w:cs="宋体"/>
          <w:color w:val="auto"/>
          <w:kern w:val="0"/>
          <w:sz w:val="21"/>
          <w:szCs w:val="21"/>
          <w:highlight w:val="none"/>
        </w:rPr>
        <w:t>幼儿园停车场</w:t>
      </w:r>
      <w:r>
        <w:rPr>
          <w:rFonts w:hint="eastAsia" w:ascii="宋体" w:hAnsi="宋体" w:cs="宋体"/>
          <w:color w:val="auto"/>
          <w:kern w:val="0"/>
          <w:sz w:val="21"/>
          <w:szCs w:val="21"/>
          <w:highlight w:val="none"/>
        </w:rPr>
        <w:t>、文教路公共停车场、袁家路停车、崇兴街两侧背街小巷、镇人民公园、海棠苑店面道路区域、星海湾周边公共区域；</w:t>
      </w:r>
      <w:r>
        <w:rPr>
          <w:rFonts w:hint="eastAsia" w:ascii="宋体" w:hAnsi="宋体" w:cs="宋体"/>
          <w:b/>
          <w:bCs/>
          <w:color w:val="auto"/>
          <w:kern w:val="0"/>
          <w:sz w:val="21"/>
          <w:szCs w:val="21"/>
          <w:highlight w:val="none"/>
        </w:rPr>
        <w:t>碧桂园前、碧桂园东、中心小学东南石子路口、中心小学西南石子、相公殿小学北路、海棠苑停车场、海棠苑西路口、海棠苑西路、纬一西路；</w:t>
      </w:r>
      <w:r>
        <w:rPr>
          <w:rFonts w:hint="eastAsia" w:ascii="宋体" w:hAnsi="宋体" w:cs="宋体"/>
          <w:color w:val="auto"/>
          <w:kern w:val="0"/>
          <w:sz w:val="21"/>
          <w:szCs w:val="21"/>
          <w:highlight w:val="none"/>
        </w:rPr>
        <w:t>建</w:t>
      </w:r>
      <w:r>
        <w:rPr>
          <w:rFonts w:ascii="宋体" w:hAnsi="宋体" w:cs="宋体"/>
          <w:color w:val="auto"/>
          <w:kern w:val="0"/>
          <w:sz w:val="21"/>
          <w:szCs w:val="21"/>
          <w:highlight w:val="none"/>
        </w:rPr>
        <w:t>附线</w:t>
      </w:r>
      <w:r>
        <w:rPr>
          <w:rFonts w:hint="eastAsia" w:ascii="宋体" w:hAnsi="宋体" w:cs="宋体"/>
          <w:b/>
          <w:bCs/>
          <w:color w:val="auto"/>
          <w:kern w:val="0"/>
          <w:sz w:val="21"/>
          <w:szCs w:val="21"/>
          <w:highlight w:val="none"/>
        </w:rPr>
        <w:t>。</w:t>
      </w:r>
    </w:p>
    <w:p>
      <w:pPr>
        <w:keepNext w:val="0"/>
        <w:keepLines w:val="0"/>
        <w:pageBreakBefore w:val="0"/>
        <w:widowControl w:val="0"/>
        <w:numPr>
          <w:ilvl w:val="0"/>
          <w:numId w:val="5"/>
        </w:numPr>
        <w:kinsoku/>
        <w:wordWrap/>
        <w:overflowPunct/>
        <w:topLinePunct w:val="0"/>
        <w:bidi w:val="0"/>
        <w:spacing w:line="400" w:lineRule="exact"/>
        <w:ind w:firstLine="420" w:firstLineChars="200"/>
        <w:textAlignment w:val="auto"/>
        <w:rPr>
          <w:rFonts w:hint="eastAsia" w:ascii="宋体" w:hAnsi="宋体" w:cs="宋体"/>
          <w:color w:val="auto"/>
          <w:kern w:val="0"/>
          <w:sz w:val="21"/>
          <w:szCs w:val="21"/>
          <w:highlight w:val="none"/>
        </w:rPr>
      </w:pPr>
      <w:r>
        <w:rPr>
          <w:rFonts w:ascii="宋体" w:hAnsi="宋体" w:cs="宋体"/>
          <w:color w:val="auto"/>
          <w:kern w:val="0"/>
          <w:sz w:val="21"/>
          <w:szCs w:val="21"/>
          <w:highlight w:val="none"/>
        </w:rPr>
        <w:t>主要河道：</w:t>
      </w:r>
      <w:r>
        <w:rPr>
          <w:rFonts w:hint="eastAsia" w:ascii="宋体" w:hAnsi="宋体" w:cs="宋体"/>
          <w:color w:val="auto"/>
          <w:kern w:val="0"/>
          <w:sz w:val="21"/>
          <w:szCs w:val="21"/>
          <w:highlight w:val="none"/>
        </w:rPr>
        <w:t>五塘江、园区直江、六塘横江及向天庵江、</w:t>
      </w:r>
      <w:r>
        <w:rPr>
          <w:rFonts w:ascii="宋体" w:hAnsi="宋体" w:cs="宋体"/>
          <w:color w:val="auto"/>
          <w:kern w:val="0"/>
          <w:sz w:val="21"/>
          <w:szCs w:val="21"/>
          <w:highlight w:val="none"/>
        </w:rPr>
        <w:t>绿色园区四塘江</w:t>
      </w:r>
      <w:r>
        <w:rPr>
          <w:rFonts w:hint="eastAsia" w:ascii="宋体" w:hAnsi="宋体" w:cs="宋体"/>
          <w:color w:val="auto"/>
          <w:kern w:val="0"/>
          <w:sz w:val="21"/>
          <w:szCs w:val="21"/>
          <w:highlight w:val="none"/>
        </w:rPr>
        <w:t>、</w:t>
      </w:r>
      <w:r>
        <w:rPr>
          <w:rFonts w:hint="eastAsia" w:ascii="宋体" w:hAnsi="宋体" w:cs="宋体"/>
          <w:b/>
          <w:bCs/>
          <w:color w:val="auto"/>
          <w:kern w:val="0"/>
          <w:sz w:val="21"/>
          <w:szCs w:val="21"/>
          <w:highlight w:val="none"/>
        </w:rPr>
        <w:t>七塘江（四灶浦江-八排江），六塘江（海运村村委-八排江），十甲江（建附线-坎墩段）；</w:t>
      </w:r>
    </w:p>
    <w:p>
      <w:pPr>
        <w:keepNext w:val="0"/>
        <w:keepLines w:val="0"/>
        <w:pageBreakBefore w:val="0"/>
        <w:widowControl w:val="0"/>
        <w:numPr>
          <w:ilvl w:val="0"/>
          <w:numId w:val="5"/>
        </w:numPr>
        <w:kinsoku/>
        <w:wordWrap/>
        <w:overflowPunct/>
        <w:topLinePunct w:val="0"/>
        <w:bidi w:val="0"/>
        <w:spacing w:line="400" w:lineRule="exact"/>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机械化道路包括：</w:t>
      </w:r>
      <w:r>
        <w:rPr>
          <w:rFonts w:hint="eastAsia" w:ascii="宋体" w:hAnsi="宋体" w:cs="宋体"/>
          <w:color w:val="auto"/>
          <w:sz w:val="21"/>
          <w:szCs w:val="21"/>
          <w:highlight w:val="none"/>
        </w:rPr>
        <w:t>建成区内主要道路及建</w:t>
      </w:r>
      <w:r>
        <w:rPr>
          <w:rFonts w:ascii="宋体" w:hAnsi="宋体" w:cs="宋体"/>
          <w:color w:val="auto"/>
          <w:sz w:val="21"/>
          <w:szCs w:val="21"/>
          <w:highlight w:val="none"/>
        </w:rPr>
        <w:t>附线</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rPr>
        <w:t>崇庵公路、崇兴路、六塘路、防汛公路、四灶路、海殿路、同兴路等镇内主要道路。</w:t>
      </w:r>
    </w:p>
    <w:p>
      <w:pPr>
        <w:keepNext w:val="0"/>
        <w:keepLines w:val="0"/>
        <w:pageBreakBefore w:val="0"/>
        <w:widowControl w:val="0"/>
        <w:kinsoku/>
        <w:wordWrap/>
        <w:overflowPunct/>
        <w:topLinePunct w:val="0"/>
        <w:bidi w:val="0"/>
        <w:spacing w:line="400" w:lineRule="exact"/>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 xml:space="preserve">  六、具体保洁服务要求</w:t>
      </w:r>
    </w:p>
    <w:p>
      <w:pPr>
        <w:keepNext w:val="0"/>
        <w:keepLines w:val="0"/>
        <w:pageBreakBefore w:val="0"/>
        <w:widowControl w:val="0"/>
        <w:kinsoku/>
        <w:wordWrap/>
        <w:overflowPunct/>
        <w:topLinePunct w:val="0"/>
        <w:bidi w:val="0"/>
        <w:spacing w:line="400" w:lineRule="exact"/>
        <w:ind w:firstLine="420" w:firstLineChars="200"/>
        <w:textAlignment w:val="auto"/>
        <w:rPr>
          <w:rFonts w:ascii="宋体" w:cs="宋体"/>
          <w:color w:val="auto"/>
          <w:sz w:val="21"/>
          <w:szCs w:val="21"/>
          <w:highlight w:val="none"/>
        </w:rPr>
      </w:pPr>
      <w:r>
        <w:rPr>
          <w:rFonts w:hint="eastAsia" w:ascii="宋体" w:hAnsi="宋体" w:cs="宋体"/>
          <w:color w:val="auto"/>
          <w:sz w:val="21"/>
          <w:szCs w:val="21"/>
          <w:highlight w:val="none"/>
        </w:rPr>
        <w:t>道路、河道、绿化带、公厕保洁、以袋换袋、</w:t>
      </w:r>
      <w:r>
        <w:rPr>
          <w:rFonts w:hint="eastAsia" w:ascii="宋体" w:hAnsi="宋体" w:cs="宋体"/>
          <w:b/>
          <w:bCs/>
          <w:color w:val="auto"/>
          <w:sz w:val="21"/>
          <w:szCs w:val="21"/>
          <w:highlight w:val="none"/>
        </w:rPr>
        <w:t>以桶换桶</w:t>
      </w:r>
      <w:r>
        <w:rPr>
          <w:rFonts w:hint="eastAsia" w:ascii="宋体" w:hAnsi="宋体" w:cs="宋体"/>
          <w:color w:val="auto"/>
          <w:sz w:val="21"/>
          <w:szCs w:val="21"/>
          <w:highlight w:val="none"/>
        </w:rPr>
        <w:t>等所有人员按规定配足配齐，按时到岗到位，同时须将保洁人员名单及变动情况上报镇环卫站。</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cs="宋体"/>
          <w:color w:val="auto"/>
          <w:sz w:val="21"/>
          <w:szCs w:val="21"/>
          <w:highlight w:val="none"/>
        </w:rPr>
      </w:pPr>
      <w:r>
        <w:rPr>
          <w:rFonts w:hint="eastAsia" w:ascii="宋体" w:hAnsi="宋体" w:cs="宋体"/>
          <w:color w:val="auto"/>
          <w:sz w:val="21"/>
          <w:szCs w:val="21"/>
          <w:highlight w:val="none"/>
        </w:rPr>
        <w:t>（一）道路（人行道、公共附属区块、背街小巷等）保洁质量要求</w:t>
      </w:r>
    </w:p>
    <w:p>
      <w:pPr>
        <w:keepNext w:val="0"/>
        <w:keepLines w:val="0"/>
        <w:pageBreakBefore w:val="0"/>
        <w:widowControl w:val="0"/>
        <w:kinsoku/>
        <w:wordWrap/>
        <w:overflowPunct/>
        <w:topLinePunct w:val="0"/>
        <w:bidi w:val="0"/>
        <w:spacing w:line="400" w:lineRule="exact"/>
        <w:ind w:firstLine="480"/>
        <w:textAlignment w:val="auto"/>
        <w:rPr>
          <w:rFonts w:asci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应达到路面整洁，做到五无五净（无果皮纸屑、无土石杂草、无积水积泥、无堆积物、无痰迹烟蒂，路面干净、道路绿地树圈干净、窨井沟槽畅通、边角侧石干净、果壳箱等环卫设施整齐干净），道路绿化带干净整洁，发现窨井破损、缺少，及时上报镇环卫站，滞留垃圾不得超过</w:t>
      </w:r>
      <w:r>
        <w:rPr>
          <w:rFonts w:ascii="宋体" w:hAnsi="宋体" w:cs="宋体"/>
          <w:color w:val="auto"/>
          <w:sz w:val="21"/>
          <w:szCs w:val="21"/>
          <w:highlight w:val="none"/>
        </w:rPr>
        <w:t>40</w:t>
      </w:r>
      <w:r>
        <w:rPr>
          <w:rFonts w:hint="eastAsia" w:ascii="宋体" w:hAnsi="宋体" w:cs="宋体"/>
          <w:color w:val="auto"/>
          <w:sz w:val="21"/>
          <w:szCs w:val="21"/>
          <w:highlight w:val="none"/>
        </w:rPr>
        <w:t>分钟。围档必须每天清扫一次。</w:t>
      </w:r>
    </w:p>
    <w:p>
      <w:pPr>
        <w:keepNext w:val="0"/>
        <w:keepLines w:val="0"/>
        <w:pageBreakBefore w:val="0"/>
        <w:widowControl w:val="0"/>
        <w:kinsoku/>
        <w:wordWrap/>
        <w:overflowPunct/>
        <w:topLinePunct w:val="0"/>
        <w:bidi w:val="0"/>
        <w:spacing w:line="400" w:lineRule="exact"/>
        <w:ind w:firstLine="480"/>
        <w:textAlignment w:val="auto"/>
        <w:rPr>
          <w:rFonts w:hint="eastAsia" w:asci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、道路首次普扫应在上午</w:t>
      </w:r>
      <w:r>
        <w:rPr>
          <w:rFonts w:ascii="宋体" w:hAnsi="宋体" w:cs="宋体"/>
          <w:color w:val="auto"/>
          <w:sz w:val="21"/>
          <w:szCs w:val="21"/>
          <w:highlight w:val="none"/>
        </w:rPr>
        <w:t>8</w:t>
      </w:r>
      <w:r>
        <w:rPr>
          <w:rFonts w:hint="eastAsia" w:ascii="宋体" w:hAnsi="宋体" w:cs="宋体"/>
          <w:color w:val="auto"/>
          <w:sz w:val="21"/>
          <w:szCs w:val="21"/>
          <w:highlight w:val="none"/>
        </w:rPr>
        <w:t>时前结束，每天清扫不少于二次，其余时间为巡回保洁（实行全日制巡回保洁），并对机关企事业单位的生活袋（桶）装垃圾进行收集、清理，并运到指定处理点，保持</w:t>
      </w:r>
      <w:r>
        <w:rPr>
          <w:rFonts w:ascii="宋体" w:hAnsi="宋体" w:cs="宋体"/>
          <w:color w:val="auto"/>
          <w:sz w:val="21"/>
          <w:szCs w:val="21"/>
          <w:highlight w:val="none"/>
        </w:rPr>
        <w:t>8</w:t>
      </w:r>
      <w:r>
        <w:rPr>
          <w:rFonts w:hint="eastAsia" w:ascii="宋体" w:hAnsi="宋体" w:cs="宋体"/>
          <w:color w:val="auto"/>
          <w:sz w:val="21"/>
          <w:szCs w:val="21"/>
          <w:highlight w:val="none"/>
        </w:rPr>
        <w:t>小时以上全日制动态保洁。</w:t>
      </w:r>
    </w:p>
    <w:p>
      <w:pPr>
        <w:keepNext w:val="0"/>
        <w:keepLines w:val="0"/>
        <w:pageBreakBefore w:val="0"/>
        <w:widowControl w:val="0"/>
        <w:kinsoku/>
        <w:wordWrap/>
        <w:overflowPunct/>
        <w:topLinePunct w:val="0"/>
        <w:bidi w:val="0"/>
        <w:spacing w:line="400" w:lineRule="exact"/>
        <w:ind w:firstLine="480"/>
        <w:textAlignment w:val="auto"/>
        <w:rPr>
          <w:rFonts w:asci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保洁道路两侧范围内所有企事业单位的工业垃圾、生活垃圾、建筑垃圾必须及时清理干净（包括可视线范围内的垃圾），做到道路两侧无垃圾滞留。在工业垃圾、生活垃圾、建筑垃圾数量特别大的情况下，向采购人报告并及时清理，所涉及费用由采购人和投标方协商后确认。</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cs="宋体"/>
          <w:color w:val="auto"/>
          <w:sz w:val="21"/>
          <w:szCs w:val="21"/>
          <w:highlight w:val="none"/>
        </w:rPr>
      </w:pPr>
      <w:r>
        <w:rPr>
          <w:rFonts w:ascii="宋体" w:hAnsi="宋体" w:cs="宋体"/>
          <w:color w:val="auto"/>
          <w:sz w:val="21"/>
          <w:szCs w:val="21"/>
          <w:highlight w:val="none"/>
        </w:rPr>
        <w:t xml:space="preserve">  4</w:t>
      </w:r>
      <w:r>
        <w:rPr>
          <w:rFonts w:hint="eastAsia" w:ascii="宋体" w:hAnsi="宋体" w:cs="宋体"/>
          <w:color w:val="auto"/>
          <w:sz w:val="21"/>
          <w:szCs w:val="21"/>
          <w:highlight w:val="none"/>
        </w:rPr>
        <w:t>、保洁范围内的镇级以上道路扫地车每天早晚各清扫</w:t>
      </w:r>
      <w:r>
        <w:rPr>
          <w:rFonts w:ascii="宋体" w:hAnsi="宋体" w:cs="宋体"/>
          <w:color w:val="auto"/>
          <w:sz w:val="21"/>
          <w:szCs w:val="21"/>
          <w:highlight w:val="none"/>
        </w:rPr>
        <w:t>1</w:t>
      </w:r>
      <w:r>
        <w:rPr>
          <w:rFonts w:hint="eastAsia" w:ascii="宋体" w:hAnsi="宋体" w:cs="宋体"/>
          <w:color w:val="auto"/>
          <w:sz w:val="21"/>
          <w:szCs w:val="21"/>
          <w:highlight w:val="none"/>
        </w:rPr>
        <w:t>次，建成区内道路每天洒水车洒水</w:t>
      </w:r>
      <w:r>
        <w:rPr>
          <w:rFonts w:ascii="宋体" w:hAnsi="宋体" w:cs="宋体"/>
          <w:color w:val="auto"/>
          <w:sz w:val="21"/>
          <w:szCs w:val="21"/>
          <w:highlight w:val="none"/>
        </w:rPr>
        <w:t>1</w:t>
      </w:r>
      <w:r>
        <w:rPr>
          <w:rFonts w:hint="eastAsia" w:ascii="宋体" w:hAnsi="宋体" w:cs="宋体"/>
          <w:color w:val="auto"/>
          <w:sz w:val="21"/>
          <w:szCs w:val="21"/>
          <w:highlight w:val="none"/>
        </w:rPr>
        <w:t>次（特殊情况除外，如冬季</w:t>
      </w:r>
      <w:r>
        <w:rPr>
          <w:rFonts w:ascii="宋体" w:hAnsi="宋体" w:cs="宋体"/>
          <w:color w:val="auto"/>
          <w:sz w:val="21"/>
          <w:szCs w:val="21"/>
          <w:highlight w:val="none"/>
        </w:rPr>
        <w:t>3</w:t>
      </w:r>
      <w:r>
        <w:rPr>
          <w:rFonts w:hint="eastAsia" w:ascii="宋体" w:hAnsi="宋体" w:cs="宋体"/>
          <w:color w:val="auto"/>
          <w:sz w:val="21"/>
          <w:szCs w:val="21"/>
          <w:highlight w:val="none"/>
        </w:rPr>
        <w:t>摄氏度以下停止作业）。扫地车、洒水车、</w:t>
      </w:r>
      <w:r>
        <w:rPr>
          <w:rFonts w:ascii="宋体" w:hAnsi="宋体" w:cs="宋体"/>
          <w:color w:val="auto"/>
          <w:sz w:val="21"/>
          <w:szCs w:val="21"/>
          <w:highlight w:val="none"/>
        </w:rPr>
        <w:t>雾炮车</w:t>
      </w:r>
      <w:r>
        <w:rPr>
          <w:rFonts w:hint="eastAsia" w:ascii="宋体" w:hAnsi="宋体" w:cs="宋体"/>
          <w:color w:val="auto"/>
          <w:sz w:val="21"/>
          <w:szCs w:val="21"/>
          <w:highlight w:val="none"/>
        </w:rPr>
        <w:t>必须安装</w:t>
      </w:r>
      <w:r>
        <w:rPr>
          <w:rFonts w:ascii="宋体" w:hAnsi="宋体" w:cs="宋体"/>
          <w:color w:val="auto"/>
          <w:sz w:val="21"/>
          <w:szCs w:val="21"/>
          <w:highlight w:val="none"/>
        </w:rPr>
        <w:t>GPS</w:t>
      </w:r>
      <w:r>
        <w:rPr>
          <w:rFonts w:hint="eastAsia" w:ascii="宋体" w:hAnsi="宋体" w:cs="宋体"/>
          <w:color w:val="auto"/>
          <w:sz w:val="21"/>
          <w:szCs w:val="21"/>
          <w:highlight w:val="none"/>
        </w:rPr>
        <w:t>定位系统。</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cs="宋体"/>
          <w:color w:val="auto"/>
          <w:sz w:val="21"/>
          <w:szCs w:val="21"/>
          <w:highlight w:val="none"/>
        </w:rPr>
      </w:pPr>
      <w:r>
        <w:rPr>
          <w:rFonts w:ascii="宋体" w:hAnsi="宋体" w:cs="宋体"/>
          <w:color w:val="auto"/>
          <w:sz w:val="21"/>
          <w:szCs w:val="21"/>
          <w:highlight w:val="none"/>
        </w:rPr>
        <w:t xml:space="preserve">  5</w:t>
      </w:r>
      <w:r>
        <w:rPr>
          <w:rFonts w:hint="eastAsia" w:ascii="宋体" w:hAnsi="宋体" w:cs="宋体"/>
          <w:color w:val="auto"/>
          <w:sz w:val="21"/>
          <w:szCs w:val="21"/>
          <w:highlight w:val="none"/>
        </w:rPr>
        <w:t>、保洁人员必须穿着反光安全工作服上岗，严格禁止穿拖鞋。在车行道作业时，应按车行线逆向（面向来车）保洁，特别在清扫中间护栏时须提高警觉，注意来车。保洁车辆停放地点适宜，不能太靠近车行线，车容整洁。</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cs="宋体"/>
          <w:color w:val="auto"/>
          <w:sz w:val="21"/>
          <w:szCs w:val="21"/>
          <w:highlight w:val="none"/>
        </w:rPr>
      </w:pPr>
      <w:r>
        <w:rPr>
          <w:rFonts w:ascii="宋体" w:hAnsi="宋体" w:cs="宋体"/>
          <w:color w:val="auto"/>
          <w:sz w:val="21"/>
          <w:szCs w:val="21"/>
          <w:highlight w:val="none"/>
        </w:rPr>
        <w:t xml:space="preserve">  6</w:t>
      </w:r>
      <w:r>
        <w:rPr>
          <w:rFonts w:hint="eastAsia" w:ascii="宋体" w:hAnsi="宋体" w:cs="宋体"/>
          <w:color w:val="auto"/>
          <w:sz w:val="21"/>
          <w:szCs w:val="21"/>
          <w:highlight w:val="none"/>
        </w:rPr>
        <w:t>、保洁人员应文明作业，不得将垃圾、污水扫到或溅到行人身上，禁止将垃圾堆入或留在窨井盖上，禁止将垃圾扫入或倒入窨井、道路绿地、河道等处，不得焚烧垃圾，必须运到镇垃圾中转站。</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cs="宋体"/>
          <w:color w:val="auto"/>
          <w:sz w:val="21"/>
          <w:szCs w:val="21"/>
          <w:highlight w:val="none"/>
        </w:rPr>
      </w:pPr>
      <w:r>
        <w:rPr>
          <w:rFonts w:ascii="宋体" w:hAnsi="宋体" w:cs="宋体"/>
          <w:color w:val="auto"/>
          <w:sz w:val="21"/>
          <w:szCs w:val="21"/>
          <w:highlight w:val="none"/>
        </w:rPr>
        <w:t xml:space="preserve">  7</w:t>
      </w:r>
      <w:r>
        <w:rPr>
          <w:rFonts w:hint="eastAsia" w:ascii="宋体" w:hAnsi="宋体" w:cs="宋体"/>
          <w:color w:val="auto"/>
          <w:sz w:val="21"/>
          <w:szCs w:val="21"/>
          <w:highlight w:val="none"/>
        </w:rPr>
        <w:t>、保洁道路及保洁公共区域周边的果壳箱必须每天清理一次，果壳箱内的垃圾清理出运到镇垃圾中转站，并每天清洗果壳箱外表，清洁完毕及时上锁。如有损坏、缺少及时汇报。</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cs="宋体"/>
          <w:color w:val="auto"/>
          <w:sz w:val="21"/>
          <w:szCs w:val="21"/>
          <w:highlight w:val="none"/>
        </w:rPr>
      </w:pPr>
      <w:r>
        <w:rPr>
          <w:rFonts w:ascii="宋体" w:hAnsi="宋体" w:cs="宋体"/>
          <w:color w:val="auto"/>
          <w:sz w:val="21"/>
          <w:szCs w:val="21"/>
          <w:highlight w:val="none"/>
        </w:rPr>
        <w:t xml:space="preserve">  8</w:t>
      </w:r>
      <w:r>
        <w:rPr>
          <w:rFonts w:hint="eastAsia" w:ascii="宋体" w:hAnsi="宋体" w:cs="宋体"/>
          <w:color w:val="auto"/>
          <w:sz w:val="21"/>
          <w:szCs w:val="21"/>
          <w:highlight w:val="none"/>
        </w:rPr>
        <w:t>、保洁道路及保洁公共区域周边的垃圾桶旁散落垃圾及时清理干净，并每周清洗垃圾桶围栏外表，清洁完毕及时上锁上插销。如有损坏、缺少及时汇报。</w:t>
      </w:r>
    </w:p>
    <w:p>
      <w:pPr>
        <w:keepNext w:val="0"/>
        <w:keepLines w:val="0"/>
        <w:pageBreakBefore w:val="0"/>
        <w:widowControl w:val="0"/>
        <w:kinsoku/>
        <w:wordWrap/>
        <w:overflowPunct/>
        <w:topLinePunct w:val="0"/>
        <w:bidi w:val="0"/>
        <w:spacing w:line="400" w:lineRule="exact"/>
        <w:ind w:firstLine="210" w:firstLineChars="100"/>
        <w:textAlignment w:val="auto"/>
        <w:rPr>
          <w:rFonts w:hint="eastAsia" w:ascii="宋体" w:hAnsi="宋体" w:cs="宋体"/>
          <w:color w:val="auto"/>
          <w:sz w:val="21"/>
          <w:szCs w:val="21"/>
          <w:highlight w:val="none"/>
        </w:rPr>
      </w:pPr>
      <w:r>
        <w:rPr>
          <w:rFonts w:ascii="宋体" w:hAnsi="宋体" w:cs="宋体"/>
          <w:color w:val="auto"/>
          <w:sz w:val="21"/>
          <w:szCs w:val="21"/>
          <w:highlight w:val="none"/>
        </w:rPr>
        <w:t xml:space="preserve">  9</w:t>
      </w:r>
      <w:r>
        <w:rPr>
          <w:rFonts w:hint="eastAsia" w:ascii="宋体" w:hAnsi="宋体" w:cs="宋体"/>
          <w:color w:val="auto"/>
          <w:sz w:val="21"/>
          <w:szCs w:val="21"/>
          <w:highlight w:val="none"/>
        </w:rPr>
        <w:t>、积极开展、合理安排各类机械清扫作业，车辆外观整洁。</w:t>
      </w:r>
    </w:p>
    <w:p>
      <w:pPr>
        <w:keepNext w:val="0"/>
        <w:keepLines w:val="0"/>
        <w:pageBreakBefore w:val="0"/>
        <w:widowControl w:val="0"/>
        <w:kinsoku/>
        <w:wordWrap/>
        <w:overflowPunct/>
        <w:topLinePunct w:val="0"/>
        <w:bidi w:val="0"/>
        <w:spacing w:line="400" w:lineRule="exact"/>
        <w:ind w:firstLine="422" w:firstLineChars="200"/>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10、道路两侧丢弃的垃圾，除工业垃圾、建筑垃圾和大件丢弃家具外，一律打扫清运，工业垃圾、建筑垃圾和大件丢弃家具及时拍照备案，同时通知环卫、城管另行处理。</w:t>
      </w:r>
    </w:p>
    <w:p>
      <w:pPr>
        <w:pStyle w:val="44"/>
        <w:keepNext w:val="0"/>
        <w:keepLines w:val="0"/>
        <w:pageBreakBefore w:val="0"/>
        <w:widowControl w:val="0"/>
        <w:kinsoku/>
        <w:wordWrap/>
        <w:overflowPunct/>
        <w:topLinePunct w:val="0"/>
        <w:bidi w:val="0"/>
        <w:spacing w:line="400" w:lineRule="exact"/>
        <w:ind w:firstLine="482"/>
        <w:textAlignment w:val="auto"/>
        <w:rPr>
          <w:color w:val="auto"/>
          <w:sz w:val="21"/>
          <w:szCs w:val="21"/>
          <w:highlight w:val="none"/>
        </w:rPr>
      </w:pPr>
      <w:r>
        <w:rPr>
          <w:rFonts w:hint="eastAsia" w:ascii="宋体" w:hAnsi="宋体" w:cs="宋体"/>
          <w:b/>
          <w:bCs/>
          <w:color w:val="auto"/>
          <w:sz w:val="21"/>
          <w:szCs w:val="21"/>
          <w:highlight w:val="none"/>
        </w:rPr>
        <w:t>11、雾炮车工作时间及频率和扫水车一致。</w:t>
      </w:r>
    </w:p>
    <w:p>
      <w:pPr>
        <w:keepNext w:val="0"/>
        <w:keepLines w:val="0"/>
        <w:pageBreakBefore w:val="0"/>
        <w:widowControl w:val="0"/>
        <w:kinsoku/>
        <w:wordWrap/>
        <w:overflowPunct/>
        <w:topLinePunct w:val="0"/>
        <w:bidi w:val="0"/>
        <w:spacing w:line="400" w:lineRule="exact"/>
        <w:ind w:firstLine="315" w:firstLineChars="150"/>
        <w:textAlignment w:val="auto"/>
        <w:rPr>
          <w:rFonts w:ascii="宋体" w:cs="宋体"/>
          <w:color w:val="auto"/>
          <w:sz w:val="21"/>
          <w:szCs w:val="21"/>
          <w:highlight w:val="none"/>
        </w:rPr>
      </w:pPr>
      <w:r>
        <w:rPr>
          <w:rFonts w:hint="eastAsia" w:ascii="宋体" w:hAnsi="宋体" w:cs="宋体"/>
          <w:color w:val="auto"/>
          <w:sz w:val="21"/>
          <w:szCs w:val="21"/>
          <w:highlight w:val="none"/>
        </w:rPr>
        <w:t>（二）河道保洁质量要求</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cs="宋体"/>
          <w:color w:val="auto"/>
          <w:sz w:val="21"/>
          <w:szCs w:val="21"/>
          <w:highlight w:val="none"/>
        </w:rPr>
      </w:pPr>
      <w:r>
        <w:rPr>
          <w:rFonts w:ascii="宋体" w:hAnsi="宋体" w:cs="宋体"/>
          <w:color w:val="auto"/>
          <w:sz w:val="21"/>
          <w:szCs w:val="21"/>
          <w:highlight w:val="none"/>
        </w:rPr>
        <w:t xml:space="preserve">  1</w:t>
      </w:r>
      <w:r>
        <w:rPr>
          <w:rFonts w:hint="eastAsia" w:ascii="宋体" w:hAnsi="宋体" w:cs="宋体"/>
          <w:color w:val="auto"/>
          <w:sz w:val="21"/>
          <w:szCs w:val="21"/>
          <w:highlight w:val="none"/>
        </w:rPr>
        <w:t>、镇级河道实行全日制保洁，配足保洁人员，涉及农村居住、商贸、工业重点地段要增加人力，做到河坡、河面、河岸及河岸外</w:t>
      </w:r>
      <w:r>
        <w:rPr>
          <w:rFonts w:ascii="宋体" w:hAnsi="宋体" w:cs="宋体"/>
          <w:color w:val="auto"/>
          <w:sz w:val="21"/>
          <w:szCs w:val="21"/>
          <w:highlight w:val="none"/>
        </w:rPr>
        <w:t>1</w:t>
      </w:r>
      <w:r>
        <w:rPr>
          <w:rFonts w:hint="eastAsia" w:ascii="宋体" w:hAnsi="宋体" w:cs="宋体"/>
          <w:color w:val="auto"/>
          <w:sz w:val="21"/>
          <w:szCs w:val="21"/>
          <w:highlight w:val="none"/>
        </w:rPr>
        <w:t>米范围内无垃圾（包括工业垃圾、生活垃圾、建筑垃圾），河面基本无漂浮物（包括杂草、水葫芦、浮萍、福寿螺等），对泥斑及油污等做到及时打捞。若泥斑及油污数量特别大的情况下，向采购人报告并及时清理，所涉及费用由采购人和投标方协商后确认。</w:t>
      </w:r>
    </w:p>
    <w:p>
      <w:pPr>
        <w:keepNext w:val="0"/>
        <w:keepLines w:val="0"/>
        <w:pageBreakBefore w:val="0"/>
        <w:widowControl w:val="0"/>
        <w:kinsoku/>
        <w:wordWrap/>
        <w:overflowPunct/>
        <w:topLinePunct w:val="0"/>
        <w:bidi w:val="0"/>
        <w:spacing w:line="400" w:lineRule="exact"/>
        <w:ind w:firstLine="420" w:firstLineChars="200"/>
        <w:textAlignment w:val="auto"/>
        <w:rPr>
          <w:rFonts w:asci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、打捞垃圾应由中标供应商及时清运到镇垃圾中转站，不能随意倾倒，若有临时堆放，清理时间不得超过</w:t>
      </w:r>
      <w:r>
        <w:rPr>
          <w:rFonts w:ascii="宋体" w:hAnsi="宋体" w:cs="宋体"/>
          <w:color w:val="auto"/>
          <w:sz w:val="21"/>
          <w:szCs w:val="21"/>
          <w:highlight w:val="none"/>
        </w:rPr>
        <w:t>6</w:t>
      </w:r>
      <w:r>
        <w:rPr>
          <w:rFonts w:hint="eastAsia" w:ascii="宋体" w:hAnsi="宋体" w:cs="宋体"/>
          <w:color w:val="auto"/>
          <w:sz w:val="21"/>
          <w:szCs w:val="21"/>
          <w:highlight w:val="none"/>
        </w:rPr>
        <w:t>小时。</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清理出来的油污不得泼洒，须用容器装运处理。</w:t>
      </w:r>
    </w:p>
    <w:p>
      <w:pPr>
        <w:keepNext w:val="0"/>
        <w:keepLines w:val="0"/>
        <w:pageBreakBefore w:val="0"/>
        <w:widowControl w:val="0"/>
        <w:kinsoku/>
        <w:wordWrap/>
        <w:overflowPunct/>
        <w:topLinePunct w:val="0"/>
        <w:bidi w:val="0"/>
        <w:spacing w:line="400" w:lineRule="exact"/>
        <w:ind w:firstLine="420" w:firstLineChars="200"/>
        <w:textAlignment w:val="auto"/>
        <w:rPr>
          <w:rFonts w:asci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、保洁船只船容船貌应保持整洁，安全救生用具齐全。</w:t>
      </w:r>
    </w:p>
    <w:p>
      <w:pPr>
        <w:keepNext w:val="0"/>
        <w:keepLines w:val="0"/>
        <w:pageBreakBefore w:val="0"/>
        <w:widowControl w:val="0"/>
        <w:kinsoku/>
        <w:wordWrap/>
        <w:overflowPunct/>
        <w:topLinePunct w:val="0"/>
        <w:bidi w:val="0"/>
        <w:spacing w:line="400" w:lineRule="exact"/>
        <w:ind w:firstLine="420" w:firstLineChars="200"/>
        <w:textAlignment w:val="auto"/>
        <w:rPr>
          <w:rFonts w:asci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、及时清理河道篼网，发现河道沉船和水质有明显变化，应及时上报镇水治办。发生阻拦清理篼网的情况要及时向镇农办汇报。</w:t>
      </w:r>
    </w:p>
    <w:p>
      <w:pPr>
        <w:keepNext w:val="0"/>
        <w:keepLines w:val="0"/>
        <w:pageBreakBefore w:val="0"/>
        <w:widowControl w:val="0"/>
        <w:kinsoku/>
        <w:wordWrap/>
        <w:overflowPunct/>
        <w:topLinePunct w:val="0"/>
        <w:bidi w:val="0"/>
        <w:spacing w:line="400" w:lineRule="exact"/>
        <w:ind w:firstLine="420" w:firstLineChars="200"/>
        <w:textAlignment w:val="auto"/>
        <w:rPr>
          <w:rFonts w:ascii="宋体" w:cs="宋体"/>
          <w:color w:val="auto"/>
          <w:sz w:val="21"/>
          <w:szCs w:val="21"/>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、各类保洁河道</w:t>
      </w:r>
      <w:r>
        <w:rPr>
          <w:rFonts w:ascii="宋体" w:hAnsi="宋体" w:cs="宋体"/>
          <w:color w:val="auto"/>
          <w:sz w:val="21"/>
          <w:szCs w:val="21"/>
          <w:highlight w:val="none"/>
        </w:rPr>
        <w:t>100</w:t>
      </w:r>
      <w:r>
        <w:rPr>
          <w:rFonts w:hint="eastAsia" w:ascii="宋体" w:hAnsi="宋体" w:cs="宋体"/>
          <w:color w:val="auto"/>
          <w:sz w:val="21"/>
          <w:szCs w:val="21"/>
          <w:highlight w:val="none"/>
        </w:rPr>
        <w:t>米内的支河道也属保洁范围。</w:t>
      </w:r>
    </w:p>
    <w:p>
      <w:pPr>
        <w:keepNext w:val="0"/>
        <w:keepLines w:val="0"/>
        <w:pageBreakBefore w:val="0"/>
        <w:widowControl w:val="0"/>
        <w:kinsoku/>
        <w:wordWrap/>
        <w:overflowPunct/>
        <w:topLinePunct w:val="0"/>
        <w:bidi w:val="0"/>
        <w:spacing w:line="400" w:lineRule="exact"/>
        <w:ind w:firstLine="420" w:firstLineChars="200"/>
        <w:textAlignment w:val="auto"/>
        <w:rPr>
          <w:rFonts w:ascii="宋体" w:cs="宋体"/>
          <w:color w:val="auto"/>
          <w:sz w:val="21"/>
          <w:szCs w:val="21"/>
          <w:highlight w:val="none"/>
        </w:rPr>
      </w:pPr>
      <w:r>
        <w:rPr>
          <w:rFonts w:ascii="宋体" w:hAnsi="宋体" w:cs="宋体"/>
          <w:color w:val="auto"/>
          <w:sz w:val="21"/>
          <w:szCs w:val="21"/>
          <w:highlight w:val="none"/>
        </w:rPr>
        <w:t>6</w:t>
      </w:r>
      <w:r>
        <w:rPr>
          <w:rFonts w:hint="eastAsia" w:ascii="宋体" w:hAnsi="宋体" w:cs="宋体"/>
          <w:color w:val="auto"/>
          <w:sz w:val="21"/>
          <w:szCs w:val="21"/>
          <w:highlight w:val="none"/>
        </w:rPr>
        <w:t>、河道实施</w:t>
      </w:r>
      <w:r>
        <w:rPr>
          <w:rFonts w:ascii="宋体" w:hAnsi="宋体" w:cs="宋体"/>
          <w:color w:val="auto"/>
          <w:sz w:val="21"/>
          <w:szCs w:val="21"/>
          <w:highlight w:val="none"/>
        </w:rPr>
        <w:t>8</w:t>
      </w:r>
      <w:r>
        <w:rPr>
          <w:rFonts w:hint="eastAsia" w:ascii="宋体" w:hAnsi="宋体" w:cs="宋体"/>
          <w:color w:val="auto"/>
          <w:sz w:val="21"/>
          <w:szCs w:val="21"/>
          <w:highlight w:val="none"/>
        </w:rPr>
        <w:t>小时动态保洁。</w:t>
      </w:r>
    </w:p>
    <w:p>
      <w:pPr>
        <w:keepNext w:val="0"/>
        <w:keepLines w:val="0"/>
        <w:pageBreakBefore w:val="0"/>
        <w:widowControl w:val="0"/>
        <w:kinsoku/>
        <w:wordWrap/>
        <w:overflowPunct/>
        <w:topLinePunct w:val="0"/>
        <w:bidi w:val="0"/>
        <w:spacing w:line="400" w:lineRule="exact"/>
        <w:ind w:firstLine="420" w:firstLineChars="200"/>
        <w:textAlignment w:val="auto"/>
        <w:rPr>
          <w:rFonts w:ascii="宋体" w:cs="宋体"/>
          <w:color w:val="auto"/>
          <w:sz w:val="21"/>
          <w:szCs w:val="21"/>
          <w:highlight w:val="none"/>
        </w:rPr>
      </w:pPr>
      <w:r>
        <w:rPr>
          <w:rFonts w:ascii="宋体" w:hAnsi="宋体" w:cs="宋体"/>
          <w:color w:val="auto"/>
          <w:sz w:val="21"/>
          <w:szCs w:val="21"/>
          <w:highlight w:val="none"/>
        </w:rPr>
        <w:t>7</w:t>
      </w:r>
      <w:r>
        <w:rPr>
          <w:rFonts w:hint="eastAsia" w:ascii="宋体" w:hAnsi="宋体" w:cs="宋体"/>
          <w:color w:val="auto"/>
          <w:sz w:val="21"/>
          <w:szCs w:val="21"/>
          <w:highlight w:val="none"/>
        </w:rPr>
        <w:t>、因涉河工程建设筑坝影响船只运输时，投标方应迅速落实垃圾临时运转机制，及时清除在建河道垃圾。</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cs="宋体"/>
          <w:color w:val="auto"/>
          <w:sz w:val="21"/>
          <w:szCs w:val="21"/>
          <w:highlight w:val="none"/>
        </w:rPr>
      </w:pPr>
      <w:r>
        <w:rPr>
          <w:rFonts w:ascii="宋体" w:hAnsi="宋体" w:cs="宋体"/>
          <w:color w:val="auto"/>
          <w:sz w:val="21"/>
          <w:szCs w:val="21"/>
          <w:highlight w:val="none"/>
        </w:rPr>
        <w:t xml:space="preserve">  </w:t>
      </w:r>
      <w:r>
        <w:rPr>
          <w:rFonts w:hint="eastAsia" w:ascii="宋体" w:hAnsi="宋体" w:cs="宋体"/>
          <w:color w:val="auto"/>
          <w:sz w:val="21"/>
          <w:szCs w:val="21"/>
          <w:highlight w:val="none"/>
        </w:rPr>
        <w:t>（三）绿化保洁要求</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cs="宋体"/>
          <w:color w:val="auto"/>
          <w:sz w:val="21"/>
          <w:szCs w:val="21"/>
          <w:highlight w:val="none"/>
        </w:rPr>
      </w:pPr>
      <w:r>
        <w:rPr>
          <w:rFonts w:ascii="宋体" w:hAnsi="宋体" w:cs="宋体"/>
          <w:color w:val="auto"/>
          <w:sz w:val="21"/>
          <w:szCs w:val="21"/>
          <w:highlight w:val="none"/>
        </w:rPr>
        <w:t xml:space="preserve">  </w:t>
      </w:r>
      <w:r>
        <w:rPr>
          <w:rFonts w:hint="eastAsia" w:ascii="宋体" w:hAnsi="宋体" w:cs="宋体"/>
          <w:color w:val="auto"/>
          <w:sz w:val="21"/>
          <w:szCs w:val="21"/>
          <w:highlight w:val="none"/>
        </w:rPr>
        <w:t>绿化带内无生活垃圾及建筑垃圾、无杂草、无散落树枝和影响道路整洁美观的其他物品堆放等。</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cs="宋体"/>
          <w:color w:val="auto"/>
          <w:sz w:val="21"/>
          <w:szCs w:val="21"/>
          <w:highlight w:val="none"/>
        </w:rPr>
      </w:pPr>
      <w:r>
        <w:rPr>
          <w:rFonts w:ascii="宋体" w:hAnsi="宋体" w:cs="宋体"/>
          <w:color w:val="auto"/>
          <w:sz w:val="21"/>
          <w:szCs w:val="21"/>
          <w:highlight w:val="none"/>
        </w:rPr>
        <w:t xml:space="preserve">  </w:t>
      </w:r>
      <w:r>
        <w:rPr>
          <w:rFonts w:hint="eastAsia" w:ascii="宋体" w:hAnsi="宋体" w:cs="宋体"/>
          <w:color w:val="auto"/>
          <w:sz w:val="21"/>
          <w:szCs w:val="21"/>
          <w:highlight w:val="none"/>
        </w:rPr>
        <w:t>（四）牛皮癣清理</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cs="宋体"/>
          <w:color w:val="auto"/>
          <w:sz w:val="21"/>
          <w:szCs w:val="21"/>
          <w:highlight w:val="none"/>
        </w:rPr>
      </w:pPr>
      <w:r>
        <w:rPr>
          <w:rFonts w:ascii="宋体" w:hAnsi="宋体" w:cs="宋体"/>
          <w:color w:val="auto"/>
          <w:sz w:val="21"/>
          <w:szCs w:val="21"/>
          <w:highlight w:val="none"/>
        </w:rPr>
        <w:t xml:space="preserve">  </w:t>
      </w:r>
      <w:r>
        <w:rPr>
          <w:rFonts w:hint="eastAsia" w:ascii="宋体" w:hAnsi="宋体" w:cs="宋体"/>
          <w:color w:val="auto"/>
          <w:sz w:val="21"/>
          <w:szCs w:val="21"/>
          <w:highlight w:val="none"/>
        </w:rPr>
        <w:t>保洁道路两侧</w:t>
      </w:r>
      <w:r>
        <w:rPr>
          <w:rFonts w:ascii="宋体" w:hAnsi="宋体" w:cs="宋体"/>
          <w:color w:val="auto"/>
          <w:sz w:val="21"/>
          <w:szCs w:val="21"/>
          <w:highlight w:val="none"/>
        </w:rPr>
        <w:t>5</w:t>
      </w:r>
      <w:r>
        <w:rPr>
          <w:rFonts w:hint="eastAsia" w:ascii="宋体" w:hAnsi="宋体" w:cs="宋体"/>
          <w:color w:val="auto"/>
          <w:sz w:val="21"/>
          <w:szCs w:val="21"/>
          <w:highlight w:val="none"/>
        </w:rPr>
        <w:t>米内建筑物外墙及各类电线杆上的乱张贴、乱涂写、乱刻画、乱吊挂和过时破损标语及非法广告应及时涂刷（涂刷时颜色大致与后墙体相同），清理时尽可能不破坏原基础，达到美观的效果。加强巡回保洁，一旦发现有人非法乱张贴、乱涂写、乱刻画、乱吊挂，先要拍照取证，再进行劝阻并及时通报镇执法中队进行处置。</w:t>
      </w:r>
    </w:p>
    <w:p>
      <w:pPr>
        <w:keepNext w:val="0"/>
        <w:keepLines w:val="0"/>
        <w:pageBreakBefore w:val="0"/>
        <w:widowControl w:val="0"/>
        <w:kinsoku/>
        <w:wordWrap/>
        <w:overflowPunct/>
        <w:topLinePunct w:val="0"/>
        <w:bidi w:val="0"/>
        <w:spacing w:line="400" w:lineRule="exact"/>
        <w:ind w:firstLine="480"/>
        <w:textAlignment w:val="auto"/>
        <w:rPr>
          <w:rFonts w:ascii="宋体" w:cs="宋体"/>
          <w:bCs/>
          <w:color w:val="auto"/>
          <w:sz w:val="21"/>
          <w:szCs w:val="21"/>
          <w:highlight w:val="none"/>
        </w:rPr>
      </w:pPr>
      <w:r>
        <w:rPr>
          <w:rFonts w:hint="eastAsia" w:ascii="宋体" w:hAnsi="宋体" w:cs="宋体"/>
          <w:bCs/>
          <w:color w:val="auto"/>
          <w:sz w:val="21"/>
          <w:szCs w:val="21"/>
          <w:highlight w:val="none"/>
        </w:rPr>
        <w:t>（五）公厕保洁质量</w:t>
      </w:r>
    </w:p>
    <w:p>
      <w:pPr>
        <w:keepNext w:val="0"/>
        <w:keepLines w:val="0"/>
        <w:pageBreakBefore w:val="0"/>
        <w:widowControl w:val="0"/>
        <w:kinsoku/>
        <w:wordWrap/>
        <w:overflowPunct/>
        <w:topLinePunct w:val="0"/>
        <w:bidi w:val="0"/>
        <w:spacing w:line="400" w:lineRule="exact"/>
        <w:ind w:firstLine="480"/>
        <w:textAlignment w:val="auto"/>
        <w:rPr>
          <w:rFonts w:ascii="宋体" w:cs="宋体"/>
          <w:bCs/>
          <w:color w:val="auto"/>
          <w:sz w:val="21"/>
          <w:szCs w:val="21"/>
          <w:highlight w:val="none"/>
        </w:rPr>
      </w:pPr>
      <w:r>
        <w:rPr>
          <w:rFonts w:ascii="宋体" w:hAnsi="宋体" w:cs="宋体"/>
          <w:bCs/>
          <w:color w:val="auto"/>
          <w:sz w:val="21"/>
          <w:szCs w:val="21"/>
          <w:highlight w:val="none"/>
        </w:rPr>
        <w:t>1</w:t>
      </w:r>
      <w:r>
        <w:rPr>
          <w:rFonts w:hint="eastAsia" w:ascii="宋体" w:hAnsi="宋体" w:cs="宋体"/>
          <w:bCs/>
          <w:color w:val="auto"/>
          <w:sz w:val="21"/>
          <w:szCs w:val="21"/>
          <w:highlight w:val="none"/>
        </w:rPr>
        <w:t>、公厕要有固定保洁人员，要有卫生管理制度。其他公厕每天第一次保洁必须在上午</w:t>
      </w:r>
      <w:r>
        <w:rPr>
          <w:rFonts w:ascii="宋体" w:hAnsi="宋体" w:cs="宋体"/>
          <w:bCs/>
          <w:color w:val="auto"/>
          <w:sz w:val="21"/>
          <w:szCs w:val="21"/>
          <w:highlight w:val="none"/>
        </w:rPr>
        <w:t>8</w:t>
      </w:r>
      <w:r>
        <w:rPr>
          <w:rFonts w:hint="eastAsia" w:ascii="宋体" w:hAnsi="宋体" w:cs="宋体"/>
          <w:bCs/>
          <w:color w:val="auto"/>
          <w:sz w:val="21"/>
          <w:szCs w:val="21"/>
          <w:highlight w:val="none"/>
        </w:rPr>
        <w:t>时前完成，按照一天三打扫要求，要求每日上午</w:t>
      </w:r>
      <w:r>
        <w:rPr>
          <w:rFonts w:ascii="宋体" w:hAnsi="宋体" w:cs="宋体"/>
          <w:bCs/>
          <w:color w:val="auto"/>
          <w:sz w:val="21"/>
          <w:szCs w:val="21"/>
          <w:highlight w:val="none"/>
        </w:rPr>
        <w:t>8</w:t>
      </w:r>
      <w:r>
        <w:rPr>
          <w:rFonts w:hint="eastAsia" w:ascii="宋体" w:hAnsi="宋体" w:cs="宋体"/>
          <w:bCs/>
          <w:color w:val="auto"/>
          <w:sz w:val="21"/>
          <w:szCs w:val="21"/>
          <w:highlight w:val="none"/>
        </w:rPr>
        <w:t>点</w:t>
      </w:r>
      <w:r>
        <w:rPr>
          <w:rFonts w:ascii="宋体" w:hAnsi="宋体" w:cs="宋体"/>
          <w:bCs/>
          <w:color w:val="auto"/>
          <w:sz w:val="21"/>
          <w:szCs w:val="21"/>
          <w:highlight w:val="none"/>
        </w:rPr>
        <w:t>,11</w:t>
      </w:r>
      <w:r>
        <w:rPr>
          <w:rFonts w:hint="eastAsia" w:ascii="宋体" w:hAnsi="宋体" w:cs="宋体"/>
          <w:bCs/>
          <w:color w:val="auto"/>
          <w:sz w:val="21"/>
          <w:szCs w:val="21"/>
          <w:highlight w:val="none"/>
        </w:rPr>
        <w:t>点</w:t>
      </w:r>
      <w:r>
        <w:rPr>
          <w:rFonts w:ascii="宋体" w:cs="宋体"/>
          <w:bCs/>
          <w:color w:val="auto"/>
          <w:sz w:val="21"/>
          <w:szCs w:val="21"/>
          <w:highlight w:val="none"/>
        </w:rPr>
        <w:t>,</w:t>
      </w:r>
      <w:r>
        <w:rPr>
          <w:rFonts w:hint="eastAsia" w:ascii="宋体" w:hAnsi="宋体" w:cs="宋体"/>
          <w:bCs/>
          <w:color w:val="auto"/>
          <w:sz w:val="21"/>
          <w:szCs w:val="21"/>
          <w:highlight w:val="none"/>
        </w:rPr>
        <w:t>下午</w:t>
      </w:r>
      <w:r>
        <w:rPr>
          <w:rFonts w:ascii="宋体" w:hAnsi="宋体" w:cs="宋体"/>
          <w:bCs/>
          <w:color w:val="auto"/>
          <w:sz w:val="21"/>
          <w:szCs w:val="21"/>
          <w:highlight w:val="none"/>
        </w:rPr>
        <w:t>3</w:t>
      </w:r>
      <w:r>
        <w:rPr>
          <w:rFonts w:hint="eastAsia" w:ascii="宋体" w:hAnsi="宋体" w:cs="宋体"/>
          <w:bCs/>
          <w:color w:val="auto"/>
          <w:sz w:val="21"/>
          <w:szCs w:val="21"/>
          <w:highlight w:val="none"/>
        </w:rPr>
        <w:t>点前打扫一遍，其余时间为巡回保洁（实行全日制巡回保洁）。</w:t>
      </w:r>
    </w:p>
    <w:p>
      <w:pPr>
        <w:keepNext w:val="0"/>
        <w:keepLines w:val="0"/>
        <w:pageBreakBefore w:val="0"/>
        <w:widowControl w:val="0"/>
        <w:kinsoku/>
        <w:wordWrap/>
        <w:overflowPunct/>
        <w:topLinePunct w:val="0"/>
        <w:bidi w:val="0"/>
        <w:spacing w:line="400" w:lineRule="exact"/>
        <w:ind w:firstLine="480"/>
        <w:textAlignment w:val="auto"/>
        <w:rPr>
          <w:rFonts w:ascii="宋体" w:cs="宋体"/>
          <w:bCs/>
          <w:color w:val="auto"/>
          <w:sz w:val="21"/>
          <w:szCs w:val="21"/>
          <w:highlight w:val="none"/>
        </w:rPr>
      </w:pPr>
      <w:r>
        <w:rPr>
          <w:rFonts w:ascii="宋体" w:hAnsi="宋体" w:cs="宋体"/>
          <w:bCs/>
          <w:color w:val="auto"/>
          <w:sz w:val="21"/>
          <w:szCs w:val="21"/>
          <w:highlight w:val="none"/>
        </w:rPr>
        <w:t>2</w:t>
      </w:r>
      <w:r>
        <w:rPr>
          <w:rFonts w:hint="eastAsia" w:ascii="宋体" w:hAnsi="宋体" w:cs="宋体"/>
          <w:bCs/>
          <w:color w:val="auto"/>
          <w:sz w:val="21"/>
          <w:szCs w:val="21"/>
          <w:highlight w:val="none"/>
        </w:rPr>
        <w:t>、厕内环境：上下四壁、门窗、挡板等设施无积水、垃圾、蛛网、积灰、污渍、三乱；小便器（槽）无锈水、无尿垢，大便器无积粪、无便渍；厕所内无牛皮癣；洗手台上无积水、杂物；厕内无明显臭味，无蚊蝇蛆；无障碍间按规定开放。</w:t>
      </w:r>
    </w:p>
    <w:p>
      <w:pPr>
        <w:keepNext w:val="0"/>
        <w:keepLines w:val="0"/>
        <w:pageBreakBefore w:val="0"/>
        <w:widowControl w:val="0"/>
        <w:kinsoku/>
        <w:wordWrap/>
        <w:overflowPunct/>
        <w:topLinePunct w:val="0"/>
        <w:bidi w:val="0"/>
        <w:spacing w:line="400" w:lineRule="exact"/>
        <w:ind w:firstLine="480"/>
        <w:textAlignment w:val="auto"/>
        <w:rPr>
          <w:rFonts w:ascii="宋体" w:cs="宋体"/>
          <w:bCs/>
          <w:color w:val="auto"/>
          <w:sz w:val="21"/>
          <w:szCs w:val="21"/>
          <w:highlight w:val="none"/>
        </w:rPr>
      </w:pPr>
      <w:r>
        <w:rPr>
          <w:rFonts w:ascii="宋体" w:hAnsi="宋体" w:cs="宋体"/>
          <w:bCs/>
          <w:color w:val="auto"/>
          <w:sz w:val="21"/>
          <w:szCs w:val="21"/>
          <w:highlight w:val="none"/>
        </w:rPr>
        <w:t>3</w:t>
      </w:r>
      <w:r>
        <w:rPr>
          <w:rFonts w:hint="eastAsia" w:ascii="宋体" w:hAnsi="宋体" w:cs="宋体"/>
          <w:bCs/>
          <w:color w:val="auto"/>
          <w:sz w:val="21"/>
          <w:szCs w:val="21"/>
          <w:highlight w:val="none"/>
        </w:rPr>
        <w:t>、厕外环境：公厕外（有绿化带的，以绿化带外围为界限；无绿化带的，外墙起</w:t>
      </w:r>
      <w:r>
        <w:rPr>
          <w:rFonts w:ascii="宋体" w:hAnsi="宋体" w:cs="宋体"/>
          <w:bCs/>
          <w:color w:val="auto"/>
          <w:sz w:val="21"/>
          <w:szCs w:val="21"/>
          <w:highlight w:val="none"/>
        </w:rPr>
        <w:t>3</w:t>
      </w:r>
      <w:r>
        <w:rPr>
          <w:rFonts w:hint="eastAsia" w:ascii="宋体" w:hAnsi="宋体" w:cs="宋体"/>
          <w:bCs/>
          <w:color w:val="auto"/>
          <w:sz w:val="21"/>
          <w:szCs w:val="21"/>
          <w:highlight w:val="none"/>
        </w:rPr>
        <w:t>米范围内）无可见垃圾，无乱吊挂、杂物堆放、无牛皮癣；保洁用具晾晒隐蔽，及时放入工具间。</w:t>
      </w:r>
    </w:p>
    <w:p>
      <w:pPr>
        <w:keepNext w:val="0"/>
        <w:keepLines w:val="0"/>
        <w:pageBreakBefore w:val="0"/>
        <w:widowControl w:val="0"/>
        <w:kinsoku/>
        <w:wordWrap/>
        <w:overflowPunct/>
        <w:topLinePunct w:val="0"/>
        <w:bidi w:val="0"/>
        <w:spacing w:line="400" w:lineRule="exact"/>
        <w:ind w:firstLine="480"/>
        <w:textAlignment w:val="auto"/>
        <w:rPr>
          <w:rFonts w:ascii="宋体" w:cs="宋体"/>
          <w:bCs/>
          <w:color w:val="auto"/>
          <w:sz w:val="21"/>
          <w:szCs w:val="21"/>
          <w:highlight w:val="none"/>
        </w:rPr>
      </w:pPr>
      <w:r>
        <w:rPr>
          <w:rFonts w:ascii="宋体" w:hAnsi="宋体" w:cs="宋体"/>
          <w:bCs/>
          <w:color w:val="auto"/>
          <w:sz w:val="21"/>
          <w:szCs w:val="21"/>
          <w:highlight w:val="none"/>
        </w:rPr>
        <w:t>4</w:t>
      </w:r>
      <w:r>
        <w:rPr>
          <w:rFonts w:hint="eastAsia" w:ascii="宋体" w:hAnsi="宋体" w:cs="宋体"/>
          <w:bCs/>
          <w:color w:val="auto"/>
          <w:sz w:val="21"/>
          <w:szCs w:val="21"/>
          <w:highlight w:val="none"/>
        </w:rPr>
        <w:t>、化粪池定期清理</w:t>
      </w:r>
      <w:r>
        <w:rPr>
          <w:rFonts w:ascii="宋体" w:cs="宋体"/>
          <w:bCs/>
          <w:color w:val="auto"/>
          <w:sz w:val="21"/>
          <w:szCs w:val="21"/>
          <w:highlight w:val="none"/>
        </w:rPr>
        <w:t>,</w:t>
      </w:r>
      <w:r>
        <w:rPr>
          <w:rFonts w:hint="eastAsia" w:ascii="宋体" w:hAnsi="宋体" w:cs="宋体"/>
          <w:b/>
          <w:color w:val="auto"/>
          <w:sz w:val="21"/>
          <w:szCs w:val="21"/>
          <w:highlight w:val="none"/>
        </w:rPr>
        <w:t>每月不少于2次</w:t>
      </w:r>
      <w:r>
        <w:rPr>
          <w:rFonts w:hint="eastAsia" w:ascii="宋体" w:hAnsi="宋体" w:cs="宋体"/>
          <w:bCs/>
          <w:color w:val="auto"/>
          <w:sz w:val="21"/>
          <w:szCs w:val="21"/>
          <w:highlight w:val="none"/>
        </w:rPr>
        <w:t>，确保管道畅通，无满溢。粪便运输车辆在运输过程中全密闭，无滴漏。不能发现出粪口无盖。</w:t>
      </w:r>
    </w:p>
    <w:p>
      <w:pPr>
        <w:keepNext w:val="0"/>
        <w:keepLines w:val="0"/>
        <w:pageBreakBefore w:val="0"/>
        <w:widowControl w:val="0"/>
        <w:kinsoku/>
        <w:wordWrap/>
        <w:overflowPunct/>
        <w:topLinePunct w:val="0"/>
        <w:bidi w:val="0"/>
        <w:spacing w:line="400" w:lineRule="exact"/>
        <w:ind w:firstLine="480"/>
        <w:textAlignment w:val="auto"/>
        <w:rPr>
          <w:rFonts w:ascii="宋体" w:cs="宋体"/>
          <w:bCs/>
          <w:color w:val="auto"/>
          <w:sz w:val="21"/>
          <w:szCs w:val="21"/>
          <w:highlight w:val="none"/>
        </w:rPr>
      </w:pPr>
      <w:r>
        <w:rPr>
          <w:rFonts w:ascii="宋体" w:hAnsi="宋体" w:cs="宋体"/>
          <w:bCs/>
          <w:color w:val="auto"/>
          <w:sz w:val="21"/>
          <w:szCs w:val="21"/>
          <w:highlight w:val="none"/>
        </w:rPr>
        <w:t>5</w:t>
      </w:r>
      <w:r>
        <w:rPr>
          <w:rFonts w:hint="eastAsia" w:ascii="宋体" w:hAnsi="宋体" w:cs="宋体"/>
          <w:bCs/>
          <w:color w:val="auto"/>
          <w:sz w:val="21"/>
          <w:szCs w:val="21"/>
          <w:highlight w:val="none"/>
        </w:rPr>
        <w:t>、公厕设施设备无破损缺失，使用正常，标识标牌规范。公厕吸粪款费用等由中标供应商负责承担。</w:t>
      </w:r>
    </w:p>
    <w:p>
      <w:pPr>
        <w:keepNext w:val="0"/>
        <w:keepLines w:val="0"/>
        <w:pageBreakBefore w:val="0"/>
        <w:widowControl w:val="0"/>
        <w:kinsoku/>
        <w:wordWrap/>
        <w:overflowPunct/>
        <w:topLinePunct w:val="0"/>
        <w:bidi w:val="0"/>
        <w:spacing w:line="400" w:lineRule="exact"/>
        <w:ind w:firstLine="480"/>
        <w:textAlignment w:val="auto"/>
        <w:rPr>
          <w:rFonts w:ascii="宋体" w:cs="宋体"/>
          <w:bCs/>
          <w:color w:val="auto"/>
          <w:sz w:val="21"/>
          <w:szCs w:val="21"/>
          <w:highlight w:val="none"/>
        </w:rPr>
      </w:pPr>
      <w:r>
        <w:rPr>
          <w:rFonts w:hint="eastAsia" w:ascii="宋体" w:hAnsi="宋体" w:cs="宋体"/>
          <w:bCs/>
          <w:color w:val="auto"/>
          <w:sz w:val="21"/>
          <w:szCs w:val="21"/>
          <w:highlight w:val="none"/>
        </w:rPr>
        <w:t>（六）垃圾转运</w:t>
      </w:r>
    </w:p>
    <w:p>
      <w:pPr>
        <w:keepNext w:val="0"/>
        <w:keepLines w:val="0"/>
        <w:pageBreakBefore w:val="0"/>
        <w:widowControl w:val="0"/>
        <w:kinsoku/>
        <w:wordWrap/>
        <w:overflowPunct/>
        <w:topLinePunct w:val="0"/>
        <w:bidi w:val="0"/>
        <w:spacing w:line="400" w:lineRule="exact"/>
        <w:ind w:firstLine="480"/>
        <w:textAlignment w:val="auto"/>
        <w:rPr>
          <w:rFonts w:ascii="宋体" w:cs="宋体"/>
          <w:bCs/>
          <w:color w:val="auto"/>
          <w:sz w:val="21"/>
          <w:szCs w:val="21"/>
          <w:highlight w:val="none"/>
        </w:rPr>
      </w:pPr>
      <w:r>
        <w:rPr>
          <w:rFonts w:ascii="宋体" w:hAnsi="宋体" w:cs="宋体"/>
          <w:bCs/>
          <w:color w:val="auto"/>
          <w:sz w:val="21"/>
          <w:szCs w:val="21"/>
          <w:highlight w:val="none"/>
        </w:rPr>
        <w:t>1</w:t>
      </w:r>
      <w:r>
        <w:rPr>
          <w:rFonts w:hint="eastAsia" w:ascii="宋体" w:hAnsi="宋体" w:cs="宋体"/>
          <w:bCs/>
          <w:color w:val="auto"/>
          <w:sz w:val="21"/>
          <w:szCs w:val="21"/>
          <w:highlight w:val="none"/>
        </w:rPr>
        <w:t>、遵守环卫站中转站的各项规章制度，服从中转站管理员的运输安排。工作时间必须按照季节变化、垃圾淡旺季作相应调整。</w:t>
      </w:r>
    </w:p>
    <w:p>
      <w:pPr>
        <w:keepNext w:val="0"/>
        <w:keepLines w:val="0"/>
        <w:pageBreakBefore w:val="0"/>
        <w:widowControl w:val="0"/>
        <w:kinsoku/>
        <w:wordWrap/>
        <w:overflowPunct/>
        <w:topLinePunct w:val="0"/>
        <w:bidi w:val="0"/>
        <w:spacing w:line="400" w:lineRule="exact"/>
        <w:ind w:firstLine="480"/>
        <w:textAlignment w:val="auto"/>
        <w:rPr>
          <w:rFonts w:ascii="宋体" w:cs="宋体"/>
          <w:bCs/>
          <w:color w:val="auto"/>
          <w:sz w:val="21"/>
          <w:szCs w:val="21"/>
          <w:highlight w:val="none"/>
        </w:rPr>
      </w:pPr>
      <w:r>
        <w:rPr>
          <w:rFonts w:ascii="宋体" w:hAnsi="宋体" w:cs="宋体"/>
          <w:bCs/>
          <w:color w:val="auto"/>
          <w:sz w:val="21"/>
          <w:szCs w:val="21"/>
          <w:highlight w:val="none"/>
        </w:rPr>
        <w:t>2</w:t>
      </w:r>
      <w:r>
        <w:rPr>
          <w:rFonts w:hint="eastAsia" w:ascii="宋体" w:hAnsi="宋体" w:cs="宋体"/>
          <w:bCs/>
          <w:color w:val="auto"/>
          <w:sz w:val="21"/>
          <w:szCs w:val="21"/>
          <w:highlight w:val="none"/>
        </w:rPr>
        <w:t>、将规定范围内垃圾收集装运至垃圾中转站，收集装运必须垃圾当天收集装运完毕，不得拖延。每日收集至少</w:t>
      </w:r>
      <w:r>
        <w:rPr>
          <w:rFonts w:ascii="宋体" w:hAnsi="宋体" w:cs="宋体"/>
          <w:bCs/>
          <w:color w:val="auto"/>
          <w:sz w:val="21"/>
          <w:szCs w:val="21"/>
          <w:highlight w:val="none"/>
        </w:rPr>
        <w:t>1</w:t>
      </w:r>
      <w:r>
        <w:rPr>
          <w:rFonts w:hint="eastAsia" w:ascii="宋体" w:hAnsi="宋体" w:cs="宋体"/>
          <w:bCs/>
          <w:color w:val="auto"/>
          <w:sz w:val="21"/>
          <w:szCs w:val="21"/>
          <w:highlight w:val="none"/>
        </w:rPr>
        <w:t>次，收集时必须清扫容器周围的垃圾。</w:t>
      </w:r>
    </w:p>
    <w:p>
      <w:pPr>
        <w:keepNext w:val="0"/>
        <w:keepLines w:val="0"/>
        <w:pageBreakBefore w:val="0"/>
        <w:widowControl w:val="0"/>
        <w:kinsoku/>
        <w:wordWrap/>
        <w:overflowPunct/>
        <w:topLinePunct w:val="0"/>
        <w:bidi w:val="0"/>
        <w:spacing w:line="400" w:lineRule="exact"/>
        <w:ind w:firstLine="480"/>
        <w:textAlignment w:val="auto"/>
        <w:rPr>
          <w:rFonts w:ascii="宋体" w:cs="宋体"/>
          <w:bCs/>
          <w:color w:val="auto"/>
          <w:sz w:val="21"/>
          <w:szCs w:val="21"/>
          <w:highlight w:val="none"/>
        </w:rPr>
      </w:pPr>
      <w:r>
        <w:rPr>
          <w:rFonts w:ascii="宋体" w:hAnsi="宋体" w:cs="宋体"/>
          <w:bCs/>
          <w:color w:val="auto"/>
          <w:sz w:val="21"/>
          <w:szCs w:val="21"/>
          <w:highlight w:val="none"/>
        </w:rPr>
        <w:t>3</w:t>
      </w:r>
      <w:r>
        <w:rPr>
          <w:rFonts w:hint="eastAsia" w:ascii="宋体" w:hAnsi="宋体" w:cs="宋体"/>
          <w:bCs/>
          <w:color w:val="auto"/>
          <w:sz w:val="21"/>
          <w:szCs w:val="21"/>
          <w:highlight w:val="none"/>
        </w:rPr>
        <w:t>、运输过程中全密闭、无污水滴漏洒，无拖挂、飘撒垃圾，无二次污染，不影响镇容镇貌。垃圾必须装运到垃圾中转站内，不得中途弃运、擅自乱倒。装卸垃圾应符合作业要求，不得乱倒、乱抛垃圾。</w:t>
      </w:r>
    </w:p>
    <w:p>
      <w:pPr>
        <w:keepNext w:val="0"/>
        <w:keepLines w:val="0"/>
        <w:pageBreakBefore w:val="0"/>
        <w:widowControl w:val="0"/>
        <w:kinsoku/>
        <w:wordWrap/>
        <w:overflowPunct/>
        <w:topLinePunct w:val="0"/>
        <w:bidi w:val="0"/>
        <w:spacing w:line="400" w:lineRule="exact"/>
        <w:ind w:firstLine="480"/>
        <w:textAlignment w:val="auto"/>
        <w:rPr>
          <w:rFonts w:ascii="宋体" w:cs="宋体"/>
          <w:bCs/>
          <w:color w:val="auto"/>
          <w:sz w:val="21"/>
          <w:szCs w:val="21"/>
          <w:highlight w:val="none"/>
        </w:rPr>
      </w:pPr>
      <w:r>
        <w:rPr>
          <w:rFonts w:ascii="宋体" w:hAnsi="宋体" w:cs="宋体"/>
          <w:bCs/>
          <w:color w:val="auto"/>
          <w:sz w:val="21"/>
          <w:szCs w:val="21"/>
          <w:highlight w:val="none"/>
        </w:rPr>
        <w:t>4</w:t>
      </w:r>
      <w:r>
        <w:rPr>
          <w:rFonts w:hint="eastAsia" w:ascii="宋体" w:hAnsi="宋体" w:cs="宋体"/>
          <w:bCs/>
          <w:color w:val="auto"/>
          <w:sz w:val="21"/>
          <w:szCs w:val="21"/>
          <w:highlight w:val="none"/>
        </w:rPr>
        <w:t>、垃圾收集装运做到停人不停车（包括节假日）。中标供应商如遇因事、因病或因车辆故障等情况而不能正常收集装运的，必须自行解决好人员、车辆问题，保障垃圾收集装运正常进行。</w:t>
      </w:r>
    </w:p>
    <w:p>
      <w:pPr>
        <w:keepNext w:val="0"/>
        <w:keepLines w:val="0"/>
        <w:pageBreakBefore w:val="0"/>
        <w:widowControl w:val="0"/>
        <w:kinsoku/>
        <w:wordWrap/>
        <w:overflowPunct/>
        <w:topLinePunct w:val="0"/>
        <w:bidi w:val="0"/>
        <w:spacing w:line="400" w:lineRule="exact"/>
        <w:ind w:firstLine="480"/>
        <w:textAlignment w:val="auto"/>
        <w:rPr>
          <w:rFonts w:ascii="宋体" w:cs="宋体"/>
          <w:bCs/>
          <w:color w:val="auto"/>
          <w:sz w:val="21"/>
          <w:szCs w:val="21"/>
          <w:highlight w:val="none"/>
        </w:rPr>
      </w:pPr>
      <w:r>
        <w:rPr>
          <w:rFonts w:ascii="宋体" w:hAnsi="宋体" w:cs="宋体"/>
          <w:bCs/>
          <w:color w:val="auto"/>
          <w:sz w:val="21"/>
          <w:szCs w:val="21"/>
          <w:highlight w:val="none"/>
        </w:rPr>
        <w:t>5</w:t>
      </w:r>
      <w:r>
        <w:rPr>
          <w:rFonts w:hint="eastAsia" w:ascii="宋体" w:hAnsi="宋体" w:cs="宋体"/>
          <w:bCs/>
          <w:color w:val="auto"/>
          <w:sz w:val="21"/>
          <w:szCs w:val="21"/>
          <w:highlight w:val="none"/>
        </w:rPr>
        <w:t>、驾驶员必须持证上岗，车辆各类手续证件齐全，缴纳各项应缴规费（包括各类保险）。</w:t>
      </w:r>
    </w:p>
    <w:p>
      <w:pPr>
        <w:keepNext w:val="0"/>
        <w:keepLines w:val="0"/>
        <w:pageBreakBefore w:val="0"/>
        <w:widowControl w:val="0"/>
        <w:kinsoku/>
        <w:wordWrap/>
        <w:overflowPunct/>
        <w:topLinePunct w:val="0"/>
        <w:bidi w:val="0"/>
        <w:spacing w:line="400" w:lineRule="exact"/>
        <w:ind w:firstLine="480"/>
        <w:textAlignment w:val="auto"/>
        <w:rPr>
          <w:rFonts w:ascii="宋体" w:cs="宋体"/>
          <w:bCs/>
          <w:color w:val="auto"/>
          <w:sz w:val="21"/>
          <w:szCs w:val="21"/>
          <w:highlight w:val="none"/>
        </w:rPr>
      </w:pPr>
      <w:r>
        <w:rPr>
          <w:rFonts w:ascii="宋体" w:hAnsi="宋体" w:cs="宋体"/>
          <w:bCs/>
          <w:color w:val="auto"/>
          <w:sz w:val="21"/>
          <w:szCs w:val="21"/>
          <w:highlight w:val="none"/>
        </w:rPr>
        <w:t>6</w:t>
      </w:r>
      <w:r>
        <w:rPr>
          <w:rFonts w:hint="eastAsia" w:ascii="宋体" w:hAnsi="宋体" w:cs="宋体"/>
          <w:bCs/>
          <w:color w:val="auto"/>
          <w:sz w:val="21"/>
          <w:szCs w:val="21"/>
          <w:highlight w:val="none"/>
        </w:rPr>
        <w:t>、中标供应商必须自备足够的垃圾收集装运专用车辆，保证垃圾正常收集装运。车辆须保持清洁、干净，车容整洁，车况良好，车牌号码完整，喷印清晰的单位名称。</w:t>
      </w:r>
    </w:p>
    <w:p>
      <w:pPr>
        <w:keepNext w:val="0"/>
        <w:keepLines w:val="0"/>
        <w:pageBreakBefore w:val="0"/>
        <w:widowControl w:val="0"/>
        <w:kinsoku/>
        <w:wordWrap/>
        <w:overflowPunct/>
        <w:topLinePunct w:val="0"/>
        <w:bidi w:val="0"/>
        <w:spacing w:line="400" w:lineRule="exact"/>
        <w:ind w:firstLine="48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（七）生活垃圾“以袋换袋”“以桶换桶”收运冲洗服务</w:t>
      </w:r>
    </w:p>
    <w:p>
      <w:pPr>
        <w:keepNext w:val="0"/>
        <w:keepLines w:val="0"/>
        <w:pageBreakBefore w:val="0"/>
        <w:widowControl w:val="0"/>
        <w:kinsoku/>
        <w:wordWrap/>
        <w:overflowPunct/>
        <w:topLinePunct w:val="0"/>
        <w:bidi w:val="0"/>
        <w:spacing w:line="400" w:lineRule="exact"/>
        <w:ind w:firstLine="48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提供以袋换袋、以桶换桶工作人员名单和联系电话号码，人员有变化应及时提供新名册，工作人员按招标文件配备到位；工作人员要按规定着装，做到规范整洁，穿戴反光安全标志的服装，严格遵守环卫站管理制度。</w:t>
      </w:r>
    </w:p>
    <w:p>
      <w:pPr>
        <w:keepNext w:val="0"/>
        <w:keepLines w:val="0"/>
        <w:pageBreakBefore w:val="0"/>
        <w:widowControl w:val="0"/>
        <w:kinsoku/>
        <w:wordWrap/>
        <w:overflowPunct/>
        <w:topLinePunct w:val="0"/>
        <w:bidi w:val="0"/>
        <w:spacing w:line="400" w:lineRule="exact"/>
        <w:ind w:firstLine="48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2、每一个垃圾桶每天至少清运一次，重点路段重点时段要增加清运次数，确保垃圾桶不满溢。收回的桶装垃圾首先压缩到压缩清运车，如压缩清运车超负荷可压缩到垃圾中转站压缩机。</w:t>
      </w:r>
    </w:p>
    <w:p>
      <w:pPr>
        <w:keepNext w:val="0"/>
        <w:keepLines w:val="0"/>
        <w:pageBreakBefore w:val="0"/>
        <w:widowControl w:val="0"/>
        <w:kinsoku/>
        <w:wordWrap/>
        <w:overflowPunct/>
        <w:topLinePunct w:val="0"/>
        <w:bidi w:val="0"/>
        <w:spacing w:line="400" w:lineRule="exact"/>
        <w:ind w:firstLine="48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3、垃圾桶要按规定摆放，有围栏的须把桶放入围栏并且桶背朝外，围挡有上锁的应上锁，有插销的应插好销子。</w:t>
      </w:r>
    </w:p>
    <w:p>
      <w:pPr>
        <w:keepNext w:val="0"/>
        <w:keepLines w:val="0"/>
        <w:pageBreakBefore w:val="0"/>
        <w:widowControl w:val="0"/>
        <w:kinsoku/>
        <w:wordWrap/>
        <w:overflowPunct/>
        <w:topLinePunct w:val="0"/>
        <w:bidi w:val="0"/>
        <w:spacing w:line="400" w:lineRule="exact"/>
        <w:ind w:firstLine="48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4、以袋换袋、以桶换桶作业过程中不得发生吊挂、飘洒、滴漏、随意停放影响交通等现象。</w:t>
      </w:r>
    </w:p>
    <w:p>
      <w:pPr>
        <w:keepNext w:val="0"/>
        <w:keepLines w:val="0"/>
        <w:pageBreakBefore w:val="0"/>
        <w:widowControl w:val="0"/>
        <w:kinsoku/>
        <w:wordWrap/>
        <w:overflowPunct/>
        <w:topLinePunct w:val="0"/>
        <w:bidi w:val="0"/>
        <w:spacing w:line="400" w:lineRule="exact"/>
        <w:ind w:firstLine="48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5、垃圾倾倒要规范合理，轻拿轻放，严禁脚踢踹、抛、扔、摔等有损垃圾桶的行为。确保垃圾桶部件齐全、不破不漏，及时更换更新破桶。</w:t>
      </w:r>
    </w:p>
    <w:p>
      <w:pPr>
        <w:keepNext w:val="0"/>
        <w:keepLines w:val="0"/>
        <w:pageBreakBefore w:val="0"/>
        <w:widowControl w:val="0"/>
        <w:kinsoku/>
        <w:wordWrap/>
        <w:overflowPunct/>
        <w:topLinePunct w:val="0"/>
        <w:bidi w:val="0"/>
        <w:spacing w:line="400" w:lineRule="exact"/>
        <w:ind w:firstLine="48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6、垃圾桶清洗要干净彻底，对桶口、桶盖把手、桶外表面等重点部位要重点擦拭清洗，确保垃圾桶外观光洁内部整洁。</w:t>
      </w:r>
    </w:p>
    <w:p>
      <w:pPr>
        <w:keepNext w:val="0"/>
        <w:keepLines w:val="0"/>
        <w:pageBreakBefore w:val="0"/>
        <w:widowControl w:val="0"/>
        <w:kinsoku/>
        <w:wordWrap/>
        <w:overflowPunct/>
        <w:topLinePunct w:val="0"/>
        <w:bidi w:val="0"/>
        <w:spacing w:line="400" w:lineRule="exact"/>
        <w:ind w:firstLine="48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7、管理维护好垃圾桶收集冲洗场地，做到场地干净整洁，无垃圾堆积。重点部位安装好监控摄像头，并配备30天以上录像保存。</w:t>
      </w:r>
    </w:p>
    <w:p>
      <w:pPr>
        <w:keepNext w:val="0"/>
        <w:keepLines w:val="0"/>
        <w:pageBreakBefore w:val="0"/>
        <w:widowControl w:val="0"/>
        <w:kinsoku/>
        <w:wordWrap/>
        <w:overflowPunct/>
        <w:topLinePunct w:val="0"/>
        <w:bidi w:val="0"/>
        <w:spacing w:line="400" w:lineRule="exact"/>
        <w:ind w:firstLine="48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8、清运车驾驶员要爱惜车辆，保持车辆状态良好，每天收车前做好车辆外表、车后厢、升降板等装置的保洁清洗工作，保持车辆及附属装置干净光洁。</w:t>
      </w:r>
    </w:p>
    <w:p>
      <w:pPr>
        <w:keepNext w:val="0"/>
        <w:keepLines w:val="0"/>
        <w:pageBreakBefore w:val="0"/>
        <w:widowControl w:val="0"/>
        <w:kinsoku/>
        <w:wordWrap/>
        <w:overflowPunct/>
        <w:topLinePunct w:val="0"/>
        <w:bidi w:val="0"/>
        <w:spacing w:line="400" w:lineRule="exact"/>
        <w:ind w:firstLine="48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9、采购人提供的清运车要按规定定期进行保养维修和参加年检，并提供相关发票备查。如因保养维修年检不到位造成损失由中标供应商承担。清运车做到安全驾驶，严禁私自用于其它途径。</w:t>
      </w:r>
    </w:p>
    <w:p>
      <w:pPr>
        <w:keepNext w:val="0"/>
        <w:keepLines w:val="0"/>
        <w:pageBreakBefore w:val="0"/>
        <w:widowControl w:val="0"/>
        <w:kinsoku/>
        <w:wordWrap/>
        <w:overflowPunct/>
        <w:topLinePunct w:val="0"/>
        <w:bidi w:val="0"/>
        <w:spacing w:line="400" w:lineRule="exact"/>
        <w:ind w:firstLine="420" w:firstLineChars="200"/>
        <w:textAlignment w:val="auto"/>
        <w:rPr>
          <w:rFonts w:ascii="宋体" w:cs="宋体"/>
          <w:color w:val="auto"/>
          <w:sz w:val="21"/>
          <w:szCs w:val="21"/>
          <w:highlight w:val="none"/>
        </w:rPr>
      </w:pPr>
      <w:r>
        <w:rPr>
          <w:rFonts w:hint="eastAsia" w:ascii="宋体" w:hAnsi="宋体" w:cs="宋体"/>
          <w:color w:val="auto"/>
          <w:sz w:val="21"/>
          <w:szCs w:val="21"/>
          <w:highlight w:val="none"/>
        </w:rPr>
        <w:t>（八）压缩车压缩外运服务</w:t>
      </w:r>
    </w:p>
    <w:p>
      <w:pPr>
        <w:keepNext w:val="0"/>
        <w:keepLines w:val="0"/>
        <w:pageBreakBefore w:val="0"/>
        <w:widowControl w:val="0"/>
        <w:kinsoku/>
        <w:wordWrap/>
        <w:overflowPunct/>
        <w:topLinePunct w:val="0"/>
        <w:bidi w:val="0"/>
        <w:spacing w:line="400" w:lineRule="exact"/>
        <w:ind w:firstLine="420" w:firstLineChars="200"/>
        <w:textAlignment w:val="auto"/>
        <w:rPr>
          <w:rFonts w:ascii="宋体" w:cs="宋体"/>
          <w:color w:val="auto"/>
          <w:sz w:val="21"/>
          <w:szCs w:val="21"/>
          <w:highlight w:val="none"/>
        </w:rPr>
      </w:pPr>
      <w:r>
        <w:rPr>
          <w:rFonts w:hint="eastAsia" w:ascii="宋体" w:hAnsi="宋体" w:cs="宋体"/>
          <w:color w:val="auto"/>
          <w:sz w:val="21"/>
          <w:szCs w:val="21"/>
          <w:highlight w:val="none"/>
        </w:rPr>
        <w:t>压缩清运车每天按时压缩清运生活垃圾到慈东垃圾焚烧厂，并做好压缩车翻斗装置的操作工作。驾驶员出车前仔细检查车辆状况，每天做好车辆外表、车后厢、翻斗装置的保洁清洗，杜绝事故发生，做到安全文明驾驶。每天把生活垃圾清运完毕。</w:t>
      </w:r>
    </w:p>
    <w:p>
      <w:pPr>
        <w:keepNext w:val="0"/>
        <w:keepLines w:val="0"/>
        <w:pageBreakBefore w:val="0"/>
        <w:widowControl w:val="0"/>
        <w:kinsoku/>
        <w:wordWrap/>
        <w:overflowPunct/>
        <w:topLinePunct w:val="0"/>
        <w:bidi w:val="0"/>
        <w:spacing w:line="400" w:lineRule="exact"/>
        <w:ind w:firstLine="210" w:firstLineChars="1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采购人提供的压缩车要按规定定期进行保养维修和参加年检，并提供相关发票备查。如因保养维修年检不到位造成损失由中标供应商承担。压缩车做到安全驾驶，严禁私自用于其它途径。</w:t>
      </w:r>
    </w:p>
    <w:p>
      <w:pPr>
        <w:keepNext w:val="0"/>
        <w:keepLines w:val="0"/>
        <w:pageBreakBefore w:val="0"/>
        <w:widowControl w:val="0"/>
        <w:kinsoku/>
        <w:wordWrap/>
        <w:overflowPunct/>
        <w:topLinePunct w:val="0"/>
        <w:bidi w:val="0"/>
        <w:spacing w:line="400" w:lineRule="exact"/>
        <w:ind w:left="420"/>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（九）垃圾上门收集服务</w:t>
      </w:r>
    </w:p>
    <w:p>
      <w:pPr>
        <w:keepNext w:val="0"/>
        <w:keepLines w:val="0"/>
        <w:pageBreakBefore w:val="0"/>
        <w:widowControl w:val="0"/>
        <w:kinsoku/>
        <w:wordWrap/>
        <w:overflowPunct/>
        <w:topLinePunct w:val="0"/>
        <w:bidi w:val="0"/>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垃圾收集清运执行垃圾不落地原则，使用专用作业车辆密闭运输（2分类收集车），并配备智能称重系统，无垃圾抛洒、无污水滴漏。每一个点位垃圾桶每天至少清运二次，重点路段重点时段要增加清运次数，确保垃圾桶不满溢。回收的厨余垃圾单独清运至慈溪开诚有机固废处理有限公司。</w:t>
      </w:r>
    </w:p>
    <w:p>
      <w:pPr>
        <w:keepNext w:val="0"/>
        <w:keepLines w:val="0"/>
        <w:pageBreakBefore w:val="0"/>
        <w:widowControl w:val="0"/>
        <w:kinsoku/>
        <w:wordWrap/>
        <w:overflowPunct/>
        <w:topLinePunct w:val="0"/>
        <w:bidi w:val="0"/>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2、垃圾倾倒后应将垃圾收集容器复位，摆放整齐，无洒落，容器内无留存垃圾及污水。</w:t>
      </w:r>
    </w:p>
    <w:p>
      <w:pPr>
        <w:keepNext w:val="0"/>
        <w:keepLines w:val="0"/>
        <w:pageBreakBefore w:val="0"/>
        <w:widowControl w:val="0"/>
        <w:kinsoku/>
        <w:wordWrap/>
        <w:overflowPunct/>
        <w:topLinePunct w:val="0"/>
        <w:bidi w:val="0"/>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3、收运车驾驶员要爱惜车辆，保持车辆状态良好，保持车辆及附属装置干净光洁。</w:t>
      </w:r>
    </w:p>
    <w:p>
      <w:pPr>
        <w:keepNext w:val="0"/>
        <w:keepLines w:val="0"/>
        <w:pageBreakBefore w:val="0"/>
        <w:widowControl w:val="0"/>
        <w:kinsoku/>
        <w:wordWrap/>
        <w:overflowPunct/>
        <w:topLinePunct w:val="0"/>
        <w:bidi w:val="0"/>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4、定期做好车辆的清洗工作。</w:t>
      </w:r>
    </w:p>
    <w:p>
      <w:pPr>
        <w:keepNext w:val="0"/>
        <w:keepLines w:val="0"/>
        <w:pageBreakBefore w:val="0"/>
        <w:widowControl w:val="0"/>
        <w:kinsoku/>
        <w:wordWrap/>
        <w:overflowPunct/>
        <w:topLinePunct w:val="0"/>
        <w:bidi w:val="0"/>
        <w:spacing w:line="400" w:lineRule="exact"/>
        <w:ind w:left="420"/>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（十）餐厨垃圾收运服务</w:t>
      </w:r>
    </w:p>
    <w:p>
      <w:pPr>
        <w:keepNext w:val="0"/>
        <w:keepLines w:val="0"/>
        <w:pageBreakBefore w:val="0"/>
        <w:widowControl w:val="0"/>
        <w:kinsoku/>
        <w:wordWrap/>
        <w:overflowPunct/>
        <w:topLinePunct w:val="0"/>
        <w:bidi w:val="0"/>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辖区内餐馆、酒店等餐厨垃圾进行收集并清运至垃圾中转站，垃圾收集清运执行垃圾不落地原则，无垃圾抛洒、无污水滴漏。每一个点位垃圾桶每天至少清运二次，重点路段重点时段要增加清运次数，确保垃圾桶不满溢。</w:t>
      </w:r>
    </w:p>
    <w:p>
      <w:pPr>
        <w:keepNext w:val="0"/>
        <w:keepLines w:val="0"/>
        <w:pageBreakBefore w:val="0"/>
        <w:widowControl w:val="0"/>
        <w:kinsoku/>
        <w:wordWrap/>
        <w:overflowPunct/>
        <w:topLinePunct w:val="0"/>
        <w:bidi w:val="0"/>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2、收运车驾驶员要爱惜车辆，保持车辆状态良好，保持车辆及附属装置干净光洁。</w:t>
      </w:r>
    </w:p>
    <w:p>
      <w:pPr>
        <w:keepNext w:val="0"/>
        <w:keepLines w:val="0"/>
        <w:pageBreakBefore w:val="0"/>
        <w:widowControl w:val="0"/>
        <w:kinsoku/>
        <w:wordWrap/>
        <w:overflowPunct/>
        <w:topLinePunct w:val="0"/>
        <w:bidi w:val="0"/>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3、定期做好车辆的清洗工作。</w:t>
      </w:r>
    </w:p>
    <w:p>
      <w:pPr>
        <w:keepNext w:val="0"/>
        <w:keepLines w:val="0"/>
        <w:pageBreakBefore w:val="0"/>
        <w:widowControl w:val="0"/>
        <w:kinsoku/>
        <w:wordWrap/>
        <w:overflowPunct/>
        <w:topLinePunct w:val="0"/>
        <w:bidi w:val="0"/>
        <w:spacing w:line="400" w:lineRule="exact"/>
        <w:ind w:left="42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（十一） 污水清运</w:t>
      </w:r>
    </w:p>
    <w:p>
      <w:pPr>
        <w:keepNext w:val="0"/>
        <w:keepLines w:val="0"/>
        <w:pageBreakBefore w:val="0"/>
        <w:widowControl w:val="0"/>
        <w:kinsoku/>
        <w:wordWrap/>
        <w:overflowPunct/>
        <w:topLinePunct w:val="0"/>
        <w:bidi w:val="0"/>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1、使用专用作业车辆密闭运输，污水收集后运送到采购人指定的终端，然后由采购人负责处理；</w:t>
      </w:r>
    </w:p>
    <w:p>
      <w:pPr>
        <w:keepNext w:val="0"/>
        <w:keepLines w:val="0"/>
        <w:pageBreakBefore w:val="0"/>
        <w:widowControl w:val="0"/>
        <w:kinsoku/>
        <w:wordWrap/>
        <w:overflowPunct/>
        <w:topLinePunct w:val="0"/>
        <w:bidi w:val="0"/>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2、收运车驾驶员要爱惜车辆，保持车辆状态良好，保持车辆及附属装置干净光洁。</w:t>
      </w:r>
    </w:p>
    <w:p>
      <w:pPr>
        <w:keepNext w:val="0"/>
        <w:keepLines w:val="0"/>
        <w:pageBreakBefore w:val="0"/>
        <w:widowControl w:val="0"/>
        <w:kinsoku/>
        <w:wordWrap/>
        <w:overflowPunct/>
        <w:topLinePunct w:val="0"/>
        <w:bidi w:val="0"/>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3、定期做好车辆的清洗工作。</w:t>
      </w:r>
    </w:p>
    <w:p>
      <w:pPr>
        <w:keepNext w:val="0"/>
        <w:keepLines w:val="0"/>
        <w:pageBreakBefore w:val="0"/>
        <w:widowControl w:val="0"/>
        <w:kinsoku/>
        <w:wordWrap/>
        <w:overflowPunct/>
        <w:topLinePunct w:val="0"/>
        <w:bidi w:val="0"/>
        <w:spacing w:line="400" w:lineRule="exact"/>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七、投标报价：本项目投标报价包括但不限于以下内容：</w:t>
      </w:r>
    </w:p>
    <w:p>
      <w:pPr>
        <w:keepNext w:val="0"/>
        <w:keepLines w:val="0"/>
        <w:pageBreakBefore w:val="0"/>
        <w:widowControl w:val="0"/>
        <w:kinsoku/>
        <w:wordWrap/>
        <w:overflowPunct/>
        <w:topLinePunct w:val="0"/>
        <w:bidi w:val="0"/>
        <w:adjustRightInd w:val="0"/>
        <w:snapToGrid w:val="0"/>
        <w:spacing w:line="400" w:lineRule="exact"/>
        <w:ind w:firstLine="420"/>
        <w:textAlignment w:val="auto"/>
        <w:rPr>
          <w:rFonts w:ascii="宋体" w:hAnsi="宋体"/>
          <w:color w:val="auto"/>
          <w:sz w:val="21"/>
          <w:szCs w:val="21"/>
          <w:highlight w:val="none"/>
        </w:rPr>
      </w:pPr>
      <w:r>
        <w:rPr>
          <w:rFonts w:hint="eastAsia" w:ascii="宋体" w:hAnsi="宋体"/>
          <w:color w:val="auto"/>
          <w:sz w:val="21"/>
          <w:szCs w:val="21"/>
          <w:highlight w:val="none"/>
        </w:rPr>
        <w:t>（1）车辆设备折旧（采购人提供的车辆除外），购买保险、车辆年检、日常保养、维修（包括大修）、易耗品更换、车辆GPS运行费用、油料消耗、电瓶车电费等；</w:t>
      </w:r>
    </w:p>
    <w:p>
      <w:pPr>
        <w:keepNext w:val="0"/>
        <w:keepLines w:val="0"/>
        <w:pageBreakBefore w:val="0"/>
        <w:widowControl w:val="0"/>
        <w:kinsoku/>
        <w:wordWrap/>
        <w:overflowPunct/>
        <w:topLinePunct w:val="0"/>
        <w:bidi w:val="0"/>
        <w:adjustRightInd w:val="0"/>
        <w:snapToGrid w:val="0"/>
        <w:spacing w:line="400" w:lineRule="exact"/>
        <w:ind w:firstLine="420"/>
        <w:textAlignment w:val="auto"/>
        <w:rPr>
          <w:rFonts w:hint="eastAsia" w:ascii="宋体" w:hAnsi="宋体"/>
          <w:color w:val="auto"/>
          <w:sz w:val="21"/>
          <w:szCs w:val="21"/>
          <w:highlight w:val="none"/>
        </w:rPr>
      </w:pPr>
      <w:r>
        <w:rPr>
          <w:rFonts w:hint="eastAsia" w:ascii="宋体" w:hAnsi="宋体"/>
          <w:color w:val="auto"/>
          <w:sz w:val="21"/>
          <w:szCs w:val="21"/>
          <w:highlight w:val="none"/>
        </w:rPr>
        <w:t>（2）服务人员基本工资、加班费、福利、补贴、社保（基本养老保险、失业保险、工伤保险、基本医疗保险）、意外保险、体检、培训等；</w:t>
      </w:r>
    </w:p>
    <w:p>
      <w:pPr>
        <w:keepNext w:val="0"/>
        <w:keepLines w:val="0"/>
        <w:pageBreakBefore w:val="0"/>
        <w:widowControl w:val="0"/>
        <w:kinsoku/>
        <w:wordWrap/>
        <w:overflowPunct/>
        <w:topLinePunct w:val="0"/>
        <w:bidi w:val="0"/>
        <w:adjustRightInd w:val="0"/>
        <w:snapToGrid w:val="0"/>
        <w:spacing w:line="400" w:lineRule="exact"/>
        <w:ind w:firstLine="420"/>
        <w:textAlignment w:val="auto"/>
        <w:rPr>
          <w:rFonts w:ascii="宋体" w:hAnsi="宋体"/>
          <w:color w:val="auto"/>
          <w:sz w:val="21"/>
          <w:szCs w:val="21"/>
          <w:highlight w:val="none"/>
        </w:rPr>
      </w:pPr>
      <w:r>
        <w:rPr>
          <w:rFonts w:hint="eastAsia" w:ascii="宋体" w:hAnsi="宋体"/>
          <w:color w:val="auto"/>
          <w:sz w:val="21"/>
          <w:szCs w:val="21"/>
          <w:highlight w:val="none"/>
        </w:rPr>
        <w:t>（3）耗材、服装费用（包括工作人员工作服、劳保用品、清扫工具、公厕易耗品、牛皮癣涂料、以袋换袋所需要的垃圾袋等）；</w:t>
      </w:r>
    </w:p>
    <w:p>
      <w:pPr>
        <w:keepNext w:val="0"/>
        <w:keepLines w:val="0"/>
        <w:pageBreakBefore w:val="0"/>
        <w:widowControl w:val="0"/>
        <w:kinsoku/>
        <w:wordWrap/>
        <w:overflowPunct/>
        <w:topLinePunct w:val="0"/>
        <w:bidi w:val="0"/>
        <w:adjustRightInd w:val="0"/>
        <w:snapToGrid w:val="0"/>
        <w:spacing w:line="400" w:lineRule="exact"/>
        <w:ind w:firstLine="420"/>
        <w:textAlignment w:val="auto"/>
        <w:rPr>
          <w:rFonts w:ascii="宋体" w:hAnsi="宋体"/>
          <w:color w:val="auto"/>
          <w:sz w:val="21"/>
          <w:szCs w:val="21"/>
          <w:highlight w:val="none"/>
        </w:rPr>
      </w:pPr>
      <w:r>
        <w:rPr>
          <w:rFonts w:hint="eastAsia" w:ascii="宋体" w:hAnsi="宋体"/>
          <w:color w:val="auto"/>
          <w:sz w:val="21"/>
          <w:szCs w:val="21"/>
          <w:highlight w:val="none"/>
        </w:rPr>
        <w:t>（4）风险费用：包括临时服务增加、服务过程中的不可预见的事件等；</w:t>
      </w:r>
    </w:p>
    <w:p>
      <w:pPr>
        <w:keepNext w:val="0"/>
        <w:keepLines w:val="0"/>
        <w:pageBreakBefore w:val="0"/>
        <w:widowControl w:val="0"/>
        <w:kinsoku/>
        <w:wordWrap/>
        <w:overflowPunct/>
        <w:topLinePunct w:val="0"/>
        <w:bidi w:val="0"/>
        <w:adjustRightInd w:val="0"/>
        <w:snapToGrid w:val="0"/>
        <w:spacing w:line="400" w:lineRule="exact"/>
        <w:ind w:firstLine="420"/>
        <w:textAlignment w:val="auto"/>
        <w:rPr>
          <w:rFonts w:hint="eastAsia" w:ascii="宋体" w:hAnsi="宋体"/>
          <w:color w:val="auto"/>
          <w:sz w:val="21"/>
          <w:szCs w:val="21"/>
          <w:highlight w:val="none"/>
        </w:rPr>
      </w:pPr>
      <w:r>
        <w:rPr>
          <w:rFonts w:hint="eastAsia" w:ascii="宋体" w:hAnsi="宋体"/>
          <w:color w:val="auto"/>
          <w:sz w:val="21"/>
          <w:szCs w:val="21"/>
          <w:highlight w:val="none"/>
        </w:rPr>
        <w:t>（5）投标人应承担的各项税、费及应获取的利润等；</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color w:val="auto"/>
          <w:sz w:val="21"/>
          <w:szCs w:val="21"/>
          <w:highlight w:val="none"/>
        </w:rPr>
      </w:pPr>
      <w:r>
        <w:rPr>
          <w:rFonts w:hint="eastAsia" w:ascii="宋体" w:hAnsi="宋体"/>
          <w:color w:val="auto"/>
          <w:sz w:val="21"/>
          <w:szCs w:val="21"/>
          <w:highlight w:val="none"/>
        </w:rPr>
        <w:t>（6）特别注意：不论柴油、材料物资、汽车配件、人员经费等的涨跌，合同价均不予调整。</w:t>
      </w:r>
    </w:p>
    <w:p>
      <w:pPr>
        <w:keepNext w:val="0"/>
        <w:keepLines w:val="0"/>
        <w:pageBreakBefore w:val="0"/>
        <w:widowControl w:val="0"/>
        <w:kinsoku/>
        <w:wordWrap/>
        <w:overflowPunct/>
        <w:topLinePunct w:val="0"/>
        <w:bidi w:val="0"/>
        <w:spacing w:line="400" w:lineRule="exact"/>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 xml:space="preserve"> 八、其他要求：</w:t>
      </w:r>
    </w:p>
    <w:p>
      <w:pPr>
        <w:keepNext w:val="0"/>
        <w:keepLines w:val="0"/>
        <w:pageBreakBefore w:val="0"/>
        <w:widowControl w:val="0"/>
        <w:kinsoku/>
        <w:wordWrap/>
        <w:overflowPunct/>
        <w:topLinePunct w:val="0"/>
        <w:bidi w:val="0"/>
        <w:spacing w:line="400" w:lineRule="exact"/>
        <w:ind w:firstLine="211" w:firstLineChars="100"/>
        <w:textAlignment w:val="auto"/>
        <w:rPr>
          <w:rFonts w:hint="eastAsia" w:ascii="宋体" w:hAnsi="宋体" w:cs="宋体"/>
          <w:color w:val="auto"/>
          <w:sz w:val="21"/>
          <w:szCs w:val="21"/>
          <w:highlight w:val="none"/>
        </w:rPr>
      </w:pPr>
      <w:r>
        <w:rPr>
          <w:rFonts w:hint="eastAsia" w:ascii="宋体" w:hAnsi="宋体" w:cs="宋体"/>
          <w:b/>
          <w:color w:val="auto"/>
          <w:sz w:val="21"/>
          <w:szCs w:val="21"/>
          <w:highlight w:val="none"/>
        </w:rPr>
        <w:t xml:space="preserve">  </w:t>
      </w:r>
      <w:r>
        <w:rPr>
          <w:rFonts w:hint="eastAsia" w:ascii="宋体" w:hAnsi="宋体" w:cs="宋体"/>
          <w:color w:val="auto"/>
          <w:sz w:val="21"/>
          <w:szCs w:val="21"/>
          <w:highlight w:val="none"/>
        </w:rPr>
        <w:t xml:space="preserve"> 1、中标供应商有配套的保洁措施和与招标相融合的定期督查机制。</w:t>
      </w:r>
    </w:p>
    <w:p>
      <w:pPr>
        <w:keepNext w:val="0"/>
        <w:keepLines w:val="0"/>
        <w:pageBreakBefore w:val="0"/>
        <w:widowControl w:val="0"/>
        <w:kinsoku/>
        <w:wordWrap/>
        <w:overflowPunct/>
        <w:topLinePunct w:val="0"/>
        <w:bidi w:val="0"/>
        <w:spacing w:line="400" w:lineRule="exact"/>
        <w:ind w:firstLine="210" w:firstLineChars="1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2、根据招标要求配置的所有人员的吃住等生活问题的解决，由中标供应商方自行解决。</w:t>
      </w:r>
    </w:p>
    <w:p>
      <w:pPr>
        <w:keepNext w:val="0"/>
        <w:keepLines w:val="0"/>
        <w:pageBreakBefore w:val="0"/>
        <w:widowControl w:val="0"/>
        <w:kinsoku/>
        <w:wordWrap/>
        <w:overflowPunct/>
        <w:topLinePunct w:val="0"/>
        <w:bidi w:val="0"/>
        <w:spacing w:line="400" w:lineRule="exact"/>
        <w:ind w:firstLine="210" w:firstLineChars="1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3、投标人要制订用工计划和加强劳动用工管理，必须符合《劳动法》、《浙江省关于进一步改善环卫工人工作生活条件促进环卫事业持续健康发展的若干意见》浙政办法【2019】190号、《慈溪市人民政府关于调整全市职工最低工资标准的通知》（慈政发〔2021〕34号）等法律法规的要求，与员工签订正规的劳动合同，负责支付上岗人员的工资（不低于慈溪市最低工资标准的110%）、加班费、社保（缴费基数不低于慈溪市最新公布的缴纳基数）、福利、特岗津贴、意外保险、社会及根据国家规定应支付的各项费用。承担体检、培训费用，并负责办理上岗人员的居住证等有关证件。如果采购人根据实际情况需要减少人员，则按投标文件的标准扣除相应费用。全体工作人员必须投保人身意外险。</w:t>
      </w:r>
    </w:p>
    <w:p>
      <w:pPr>
        <w:keepNext w:val="0"/>
        <w:keepLines w:val="0"/>
        <w:pageBreakBefore w:val="0"/>
        <w:widowControl w:val="0"/>
        <w:kinsoku/>
        <w:wordWrap/>
        <w:overflowPunct/>
        <w:topLinePunct w:val="0"/>
        <w:bidi w:val="0"/>
        <w:spacing w:line="400" w:lineRule="exact"/>
        <w:ind w:firstLine="210" w:firstLineChars="1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4、所有配置人员的劳动关系、工作安排、工作事故和一切意外伤害都与采购人无涉。</w:t>
      </w:r>
    </w:p>
    <w:p>
      <w:pPr>
        <w:keepNext w:val="0"/>
        <w:keepLines w:val="0"/>
        <w:pageBreakBefore w:val="0"/>
        <w:widowControl w:val="0"/>
        <w:kinsoku/>
        <w:wordWrap/>
        <w:overflowPunct/>
        <w:topLinePunct w:val="0"/>
        <w:bidi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5、所有岗位作业人员所需要的工器具、保洁工具等均由中标供应商负责，使用和发放管理由中标供应商自行管理。</w:t>
      </w:r>
    </w:p>
    <w:p>
      <w:pPr>
        <w:pStyle w:val="20"/>
        <w:keepNext w:val="0"/>
        <w:keepLines w:val="0"/>
        <w:pageBreakBefore w:val="0"/>
        <w:widowControl w:val="0"/>
        <w:kinsoku/>
        <w:wordWrap/>
        <w:overflowPunct/>
        <w:topLinePunct w:val="0"/>
        <w:bidi w:val="0"/>
        <w:spacing w:line="400" w:lineRule="exact"/>
        <w:textAlignment w:val="auto"/>
        <w:rPr>
          <w:rFonts w:hint="eastAsia"/>
          <w:color w:val="auto"/>
          <w:sz w:val="21"/>
          <w:szCs w:val="21"/>
          <w:highlight w:val="none"/>
        </w:rPr>
      </w:pPr>
      <w:r>
        <w:rPr>
          <w:rFonts w:hint="eastAsia" w:ascii="宋体" w:hAnsi="宋体"/>
          <w:color w:val="auto"/>
          <w:sz w:val="21"/>
          <w:szCs w:val="21"/>
          <w:highlight w:val="none"/>
        </w:rPr>
        <w:t>6、如因中标供应商引起的劳资纠纷等问题，影响正常工作的，采购人有权另行聘请人员确保正常工作，所产生的费用在承包经费中相应扣减</w:t>
      </w:r>
    </w:p>
    <w:p>
      <w:pPr>
        <w:keepNext w:val="0"/>
        <w:keepLines w:val="0"/>
        <w:pageBreakBefore w:val="0"/>
        <w:widowControl w:val="0"/>
        <w:kinsoku/>
        <w:wordWrap/>
        <w:overflowPunct/>
        <w:topLinePunct w:val="0"/>
        <w:autoSpaceDE w:val="0"/>
        <w:autoSpaceDN w:val="0"/>
        <w:bidi w:val="0"/>
        <w:adjustRightInd w:val="0"/>
        <w:spacing w:line="400" w:lineRule="exact"/>
        <w:ind w:right="25" w:rightChars="12"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7、在合同履行过程中，若新增、扩建的道路、河道、绿化面积未达到总道路、河道、绿化面积的5%，公用厕所新增未达到5只，采购人不予增加相关金额；若新增、扩建的道路、河道、绿化面积达到总道路、河道、绿化面积的5%，公用厕所新增达到5只，超出部分投标方根据所增加的数量增加相关人员</w:t>
      </w:r>
      <w:r>
        <w:rPr>
          <w:rFonts w:hint="eastAsia" w:ascii="宋体" w:hAnsi="宋体" w:cs="宋体"/>
          <w:b/>
          <w:bCs/>
          <w:color w:val="auto"/>
          <w:sz w:val="21"/>
          <w:szCs w:val="21"/>
          <w:highlight w:val="none"/>
        </w:rPr>
        <w:t>。240L垃圾桶超过</w:t>
      </w:r>
      <w:r>
        <w:rPr>
          <w:rFonts w:ascii="宋体" w:hAnsi="宋体" w:cs="宋体"/>
          <w:b/>
          <w:bCs/>
          <w:color w:val="auto"/>
          <w:sz w:val="21"/>
          <w:szCs w:val="21"/>
          <w:highlight w:val="none"/>
        </w:rPr>
        <w:t>2500</w:t>
      </w:r>
      <w:r>
        <w:rPr>
          <w:rFonts w:hint="eastAsia" w:ascii="宋体" w:hAnsi="宋体" w:cs="宋体"/>
          <w:b/>
          <w:bCs/>
          <w:color w:val="auto"/>
          <w:sz w:val="21"/>
          <w:szCs w:val="21"/>
          <w:highlight w:val="none"/>
        </w:rPr>
        <w:t>只按超过数量，每只30元/月，增加相应金额。</w:t>
      </w:r>
    </w:p>
    <w:p>
      <w:pPr>
        <w:keepNext w:val="0"/>
        <w:keepLines w:val="0"/>
        <w:pageBreakBefore w:val="0"/>
        <w:widowControl w:val="0"/>
        <w:kinsoku/>
        <w:wordWrap/>
        <w:overflowPunct/>
        <w:topLinePunct w:val="0"/>
        <w:bidi w:val="0"/>
        <w:spacing w:line="400" w:lineRule="exact"/>
        <w:ind w:firstLine="210" w:firstLineChars="1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8、本项目不得转包，如转包将取消承包资格，终止合同，没收履约保证金。</w:t>
      </w:r>
    </w:p>
    <w:p>
      <w:pPr>
        <w:keepNext w:val="0"/>
        <w:keepLines w:val="0"/>
        <w:pageBreakBefore w:val="0"/>
        <w:widowControl w:val="0"/>
        <w:kinsoku/>
        <w:wordWrap/>
        <w:overflowPunct/>
        <w:topLinePunct w:val="0"/>
        <w:bidi w:val="0"/>
        <w:spacing w:line="400" w:lineRule="exact"/>
        <w:ind w:firstLine="210" w:firstLineChars="1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9、采购人提供的车辆按规定进行保养，投标方提供相关发票，保养时需采购人人员陪同，并按时上报养护记录表。</w:t>
      </w:r>
    </w:p>
    <w:p>
      <w:pPr>
        <w:keepNext w:val="0"/>
        <w:keepLines w:val="0"/>
        <w:pageBreakBefore w:val="0"/>
        <w:widowControl w:val="0"/>
        <w:kinsoku/>
        <w:wordWrap/>
        <w:overflowPunct/>
        <w:topLinePunct w:val="0"/>
        <w:bidi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10、在同等用工条件下，优先聘用</w:t>
      </w:r>
      <w:r>
        <w:rPr>
          <w:rFonts w:hint="eastAsia" w:ascii="宋体" w:hAnsi="宋体" w:cs="宋体"/>
          <w:b/>
          <w:bCs/>
          <w:color w:val="auto"/>
          <w:sz w:val="21"/>
          <w:szCs w:val="21"/>
          <w:highlight w:val="none"/>
        </w:rPr>
        <w:t>崇寿原环卫保洁工作人员</w:t>
      </w:r>
      <w:r>
        <w:rPr>
          <w:rFonts w:hint="eastAsia" w:ascii="宋体" w:hAnsi="宋体" w:cs="宋体"/>
          <w:color w:val="auto"/>
          <w:sz w:val="21"/>
          <w:szCs w:val="21"/>
          <w:highlight w:val="none"/>
        </w:rPr>
        <w:t>，保证工资待遇不得低于原水平。</w:t>
      </w:r>
    </w:p>
    <w:p>
      <w:pPr>
        <w:keepNext w:val="0"/>
        <w:keepLines w:val="0"/>
        <w:pageBreakBefore w:val="0"/>
        <w:widowControl w:val="0"/>
        <w:kinsoku/>
        <w:wordWrap/>
        <w:overflowPunct/>
        <w:topLinePunct w:val="0"/>
        <w:bidi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11、投标方要无条件向采购人提供保洁人员名单、保洁责任人及联系电话，并无条件配合采购人抽查人员工资福利发放、社保缴纳及劳保用品发放情况。</w:t>
      </w:r>
    </w:p>
    <w:p>
      <w:pPr>
        <w:keepNext w:val="0"/>
        <w:keepLines w:val="0"/>
        <w:pageBreakBefore w:val="0"/>
        <w:widowControl w:val="0"/>
        <w:kinsoku/>
        <w:wordWrap/>
        <w:overflowPunct/>
        <w:topLinePunct w:val="0"/>
        <w:bidi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12、投标人必须无条件响应采购人在特殊时期（针对大型活动、节庆假日、防台防汛期间、创优评优和突击检查等）增加人员及服务内容的要求。</w:t>
      </w:r>
    </w:p>
    <w:p>
      <w:pPr>
        <w:pStyle w:val="20"/>
        <w:keepNext w:val="0"/>
        <w:keepLines w:val="0"/>
        <w:pageBreakBefore w:val="0"/>
        <w:widowControl w:val="0"/>
        <w:kinsoku/>
        <w:wordWrap/>
        <w:overflowPunct/>
        <w:topLinePunct w:val="0"/>
        <w:bidi w:val="0"/>
        <w:spacing w:line="400" w:lineRule="exact"/>
        <w:textAlignment w:val="auto"/>
        <w:rPr>
          <w:rFonts w:hint="eastAsia"/>
          <w:color w:val="auto"/>
          <w:sz w:val="21"/>
          <w:szCs w:val="21"/>
          <w:highlight w:val="none"/>
        </w:rPr>
      </w:pPr>
      <w:r>
        <w:rPr>
          <w:rFonts w:hint="eastAsia" w:ascii="宋体" w:hAnsi="宋体" w:cs="宋体"/>
          <w:snapToGrid w:val="0"/>
          <w:color w:val="auto"/>
          <w:sz w:val="21"/>
          <w:szCs w:val="21"/>
          <w:highlight w:val="none"/>
        </w:rPr>
        <w:t>13、投标人如有需要自行组织现场踏勘，以充分了解项目实施位置、采购人提供的车辆及设备设施情况、周边情况及任何其他足以影响报价的情况，任何因忽视或误解现场情况而导致的索赔将不予受理。</w:t>
      </w:r>
    </w:p>
    <w:p>
      <w:pPr>
        <w:keepNext w:val="0"/>
        <w:keepLines w:val="0"/>
        <w:pageBreakBefore w:val="0"/>
        <w:widowControl w:val="0"/>
        <w:kinsoku/>
        <w:wordWrap/>
        <w:overflowPunct/>
        <w:topLinePunct w:val="0"/>
        <w:bidi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14、按采购人提出的要求做出服务方案（含道路保洁方案，河道保洁方案，牛皮癣清理方案、垃圾收集方案，本项目所有道路保洁、河道保洁、牛皮癣清理人员配置情况，项目管理机构动作方法，管理制度、目标、理念、设备、设施、耗材、用品安排，应急措施，其他优化服务承诺及合理化建议等），由各投标供应商根据实际情况提供。</w:t>
      </w:r>
    </w:p>
    <w:p>
      <w:pPr>
        <w:keepNext w:val="0"/>
        <w:keepLines w:val="0"/>
        <w:pageBreakBefore w:val="0"/>
        <w:widowControl w:val="0"/>
        <w:kinsoku/>
        <w:wordWrap/>
        <w:overflowPunct/>
        <w:topLinePunct w:val="0"/>
        <w:bidi w:val="0"/>
        <w:spacing w:line="400" w:lineRule="exact"/>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九、监督考核</w:t>
      </w:r>
    </w:p>
    <w:p>
      <w:pPr>
        <w:keepNext w:val="0"/>
        <w:keepLines w:val="0"/>
        <w:pageBreakBefore w:val="0"/>
        <w:widowControl w:val="0"/>
        <w:kinsoku/>
        <w:wordWrap/>
        <w:overflowPunct/>
        <w:topLinePunct w:val="0"/>
        <w:bidi w:val="0"/>
        <w:spacing w:line="400" w:lineRule="exact"/>
        <w:ind w:firstLine="420" w:firstLineChars="200"/>
        <w:textAlignment w:val="auto"/>
        <w:rPr>
          <w:rFonts w:ascii="宋体" w:cs="宋体"/>
          <w:color w:val="auto"/>
          <w:sz w:val="21"/>
          <w:szCs w:val="21"/>
          <w:highlight w:val="none"/>
        </w:rPr>
      </w:pPr>
      <w:r>
        <w:rPr>
          <w:rFonts w:hint="eastAsia" w:ascii="宋体" w:hAnsi="宋体" w:cs="宋体"/>
          <w:color w:val="auto"/>
          <w:sz w:val="21"/>
          <w:szCs w:val="21"/>
          <w:highlight w:val="none"/>
        </w:rPr>
        <w:t>为了使我镇保洁质量更符合“先进、合理、规范、科学”的标准，最大限度地满足社会公共需求，不断改善城镇环境和提高人民生活质量。镇环境卫生管理部门及环卫站，负责监督本标准的实施，并对辖区内的保洁工作进行监督和考核。</w:t>
      </w:r>
    </w:p>
    <w:p>
      <w:pPr>
        <w:keepNext w:val="0"/>
        <w:keepLines w:val="0"/>
        <w:pageBreakBefore w:val="0"/>
        <w:widowControl w:val="0"/>
        <w:kinsoku/>
        <w:wordWrap/>
        <w:overflowPunct/>
        <w:topLinePunct w:val="0"/>
        <w:bidi w:val="0"/>
        <w:spacing w:line="400" w:lineRule="exact"/>
        <w:ind w:firstLine="420" w:firstLineChars="200"/>
        <w:textAlignment w:val="auto"/>
        <w:rPr>
          <w:rFonts w:ascii="宋体" w:cs="宋体"/>
          <w:color w:val="auto"/>
          <w:sz w:val="21"/>
          <w:szCs w:val="21"/>
          <w:highlight w:val="none"/>
        </w:rPr>
      </w:pPr>
      <w:r>
        <w:rPr>
          <w:rFonts w:hint="eastAsia" w:ascii="宋体" w:hAnsi="宋体" w:cs="宋体"/>
          <w:color w:val="auto"/>
          <w:sz w:val="21"/>
          <w:szCs w:val="21"/>
          <w:highlight w:val="none"/>
        </w:rPr>
        <w:t>（一）、检查安排</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cs="宋体"/>
          <w:color w:val="auto"/>
          <w:sz w:val="21"/>
          <w:szCs w:val="21"/>
          <w:highlight w:val="none"/>
        </w:rPr>
      </w:pPr>
      <w:r>
        <w:rPr>
          <w:rFonts w:ascii="宋体" w:hAnsi="宋体" w:cs="宋体"/>
          <w:color w:val="auto"/>
          <w:sz w:val="21"/>
          <w:szCs w:val="21"/>
          <w:highlight w:val="none"/>
        </w:rPr>
        <w:t xml:space="preserve">  1</w:t>
      </w:r>
      <w:r>
        <w:rPr>
          <w:rFonts w:hint="eastAsia" w:ascii="宋体" w:hAnsi="宋体" w:cs="宋体"/>
          <w:color w:val="auto"/>
          <w:sz w:val="21"/>
          <w:szCs w:val="21"/>
          <w:highlight w:val="none"/>
        </w:rPr>
        <w:t>、由镇政府组织检查，可委托环卫站、农办、发展服务办、城管采取定期检查考核。</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cs="宋体"/>
          <w:color w:val="auto"/>
          <w:sz w:val="21"/>
          <w:szCs w:val="21"/>
          <w:highlight w:val="none"/>
        </w:rPr>
      </w:pPr>
      <w:r>
        <w:rPr>
          <w:rFonts w:ascii="宋体" w:hAnsi="宋体" w:cs="宋体"/>
          <w:color w:val="auto"/>
          <w:sz w:val="21"/>
          <w:szCs w:val="21"/>
          <w:highlight w:val="none"/>
        </w:rPr>
        <w:t xml:space="preserve">  2</w:t>
      </w:r>
      <w:r>
        <w:rPr>
          <w:rFonts w:hint="eastAsia" w:ascii="宋体" w:hAnsi="宋体" w:cs="宋体"/>
          <w:color w:val="auto"/>
          <w:sz w:val="21"/>
          <w:szCs w:val="21"/>
          <w:highlight w:val="none"/>
        </w:rPr>
        <w:t>、在上级主管部门对本镇测评和国家卫生镇创建测评中发现下列违反考核要求事项的，按平时考核的</w:t>
      </w:r>
      <w:r>
        <w:rPr>
          <w:rFonts w:ascii="宋体" w:hAnsi="宋体" w:cs="宋体"/>
          <w:color w:val="auto"/>
          <w:sz w:val="21"/>
          <w:szCs w:val="21"/>
          <w:highlight w:val="none"/>
        </w:rPr>
        <w:t>5</w:t>
      </w:r>
      <w:r>
        <w:rPr>
          <w:rFonts w:hint="eastAsia" w:ascii="宋体" w:hAnsi="宋体" w:cs="宋体"/>
          <w:color w:val="auto"/>
          <w:sz w:val="21"/>
          <w:szCs w:val="21"/>
          <w:highlight w:val="none"/>
        </w:rPr>
        <w:t>倍予以扣款。</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cs="宋体"/>
          <w:color w:val="auto"/>
          <w:sz w:val="21"/>
          <w:szCs w:val="21"/>
          <w:highlight w:val="none"/>
        </w:rPr>
      </w:pPr>
      <w:r>
        <w:rPr>
          <w:rFonts w:ascii="宋体" w:hAnsi="宋体" w:cs="宋体"/>
          <w:color w:val="auto"/>
          <w:sz w:val="21"/>
          <w:szCs w:val="21"/>
          <w:highlight w:val="none"/>
        </w:rPr>
        <w:t xml:space="preserve">  </w:t>
      </w:r>
      <w:r>
        <w:rPr>
          <w:rFonts w:hint="eastAsia" w:ascii="宋体" w:hAnsi="宋体" w:cs="宋体"/>
          <w:color w:val="auto"/>
          <w:sz w:val="21"/>
          <w:szCs w:val="21"/>
          <w:highlight w:val="none"/>
        </w:rPr>
        <w:t>（二）、考核要求</w:t>
      </w:r>
    </w:p>
    <w:p>
      <w:pPr>
        <w:keepNext w:val="0"/>
        <w:keepLines w:val="0"/>
        <w:pageBreakBefore w:val="0"/>
        <w:widowControl w:val="0"/>
        <w:kinsoku/>
        <w:wordWrap/>
        <w:overflowPunct/>
        <w:topLinePunct w:val="0"/>
        <w:bidi w:val="0"/>
        <w:spacing w:line="400" w:lineRule="exact"/>
        <w:ind w:firstLine="420" w:firstLineChars="200"/>
        <w:textAlignment w:val="auto"/>
        <w:rPr>
          <w:rFonts w:asci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、道路（人行道、绿化带、公共附属区块、背街小巷等）保洁（由环卫站牵头，会同镇发展服务办、</w:t>
      </w:r>
      <w:r>
        <w:rPr>
          <w:rFonts w:ascii="宋体" w:hAnsi="宋体" w:cs="宋体"/>
          <w:color w:val="auto"/>
          <w:sz w:val="21"/>
          <w:szCs w:val="21"/>
          <w:highlight w:val="none"/>
        </w:rPr>
        <w:t>城建办</w:t>
      </w:r>
      <w:r>
        <w:rPr>
          <w:rFonts w:hint="eastAsia" w:ascii="宋体" w:hAnsi="宋体" w:cs="宋体"/>
          <w:color w:val="auto"/>
          <w:sz w:val="21"/>
          <w:szCs w:val="21"/>
          <w:highlight w:val="none"/>
        </w:rPr>
        <w:t>考核）</w:t>
      </w:r>
    </w:p>
    <w:p>
      <w:pPr>
        <w:keepNext w:val="0"/>
        <w:keepLines w:val="0"/>
        <w:pageBreakBefore w:val="0"/>
        <w:widowControl w:val="0"/>
        <w:kinsoku/>
        <w:wordWrap/>
        <w:overflowPunct/>
        <w:topLinePunct w:val="0"/>
        <w:bidi w:val="0"/>
        <w:spacing w:line="400" w:lineRule="exact"/>
        <w:ind w:firstLine="315" w:firstLineChars="150"/>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w:t>
      </w:r>
      <w:r>
        <w:rPr>
          <w:rFonts w:hint="eastAsia" w:ascii="宋体" w:hAnsi="宋体" w:cs="宋体"/>
          <w:color w:val="auto"/>
          <w:sz w:val="21"/>
          <w:szCs w:val="21"/>
          <w:highlight w:val="none"/>
        </w:rPr>
        <w:t>）分保洁工段（道路、人行道、附属区块、背街小巷）提供所有保洁人员名单和联系电话号码，保洁人员有变化应及时提供新名册，不提供书面名册的，每次扣</w:t>
      </w:r>
      <w:r>
        <w:rPr>
          <w:rFonts w:ascii="宋体" w:hAnsi="宋体" w:cs="宋体"/>
          <w:color w:val="auto"/>
          <w:sz w:val="21"/>
          <w:szCs w:val="21"/>
          <w:highlight w:val="none"/>
        </w:rPr>
        <w:t>200</w:t>
      </w:r>
      <w:r>
        <w:rPr>
          <w:rFonts w:hint="eastAsia" w:ascii="宋体" w:hAnsi="宋体" w:cs="宋体"/>
          <w:color w:val="auto"/>
          <w:sz w:val="21"/>
          <w:szCs w:val="21"/>
          <w:highlight w:val="none"/>
        </w:rPr>
        <w:t>元；保洁人员缺岗每人次扣</w:t>
      </w:r>
      <w:r>
        <w:rPr>
          <w:rFonts w:ascii="宋体" w:hAnsi="宋体" w:cs="宋体"/>
          <w:color w:val="auto"/>
          <w:sz w:val="21"/>
          <w:szCs w:val="21"/>
          <w:highlight w:val="none"/>
        </w:rPr>
        <w:t>500</w:t>
      </w:r>
      <w:r>
        <w:rPr>
          <w:rFonts w:hint="eastAsia" w:ascii="宋体" w:hAnsi="宋体" w:cs="宋体"/>
          <w:color w:val="auto"/>
          <w:sz w:val="21"/>
          <w:szCs w:val="21"/>
          <w:highlight w:val="none"/>
        </w:rPr>
        <w:t>元，保洁人员未配足的扣</w:t>
      </w:r>
      <w:r>
        <w:rPr>
          <w:rFonts w:ascii="宋体" w:hAnsi="宋体" w:cs="宋体"/>
          <w:color w:val="auto"/>
          <w:sz w:val="21"/>
          <w:szCs w:val="21"/>
          <w:highlight w:val="none"/>
        </w:rPr>
        <w:t>3000</w:t>
      </w:r>
      <w:r>
        <w:rPr>
          <w:rFonts w:hint="eastAsia" w:ascii="宋体" w:hAnsi="宋体" w:cs="宋体"/>
          <w:color w:val="auto"/>
          <w:sz w:val="21"/>
          <w:szCs w:val="21"/>
          <w:highlight w:val="none"/>
        </w:rPr>
        <w:t>元</w:t>
      </w:r>
      <w:r>
        <w:rPr>
          <w:rFonts w:ascii="宋体" w:hAnsi="宋体" w:cs="宋体"/>
          <w:color w:val="auto"/>
          <w:sz w:val="21"/>
          <w:szCs w:val="21"/>
          <w:highlight w:val="none"/>
        </w:rPr>
        <w:t>/</w:t>
      </w:r>
      <w:r>
        <w:rPr>
          <w:rFonts w:hint="eastAsia" w:ascii="宋体" w:hAnsi="宋体" w:cs="宋体"/>
          <w:color w:val="auto"/>
          <w:sz w:val="21"/>
          <w:szCs w:val="21"/>
          <w:highlight w:val="none"/>
        </w:rPr>
        <w:t>人。</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）保洁人员必须穿着反光安全工作服上岗，严格禁止穿拖鞋，言行举止有损形象，严禁上班时间做与工作无关之事，每发现违反一起扣</w:t>
      </w:r>
      <w:r>
        <w:rPr>
          <w:rFonts w:ascii="宋体" w:hAnsi="宋体" w:cs="宋体"/>
          <w:color w:val="auto"/>
          <w:sz w:val="21"/>
          <w:szCs w:val="21"/>
          <w:highlight w:val="none"/>
        </w:rPr>
        <w:t>100</w:t>
      </w:r>
      <w:r>
        <w:rPr>
          <w:rFonts w:hint="eastAsia" w:ascii="宋体" w:hAnsi="宋体" w:cs="宋体"/>
          <w:color w:val="auto"/>
          <w:sz w:val="21"/>
          <w:szCs w:val="21"/>
          <w:highlight w:val="none"/>
        </w:rPr>
        <w:t>元。</w:t>
      </w:r>
      <w:r>
        <w:rPr>
          <w:rFonts w:ascii="宋体" w:hAnsi="宋体" w:cs="宋体"/>
          <w:color w:val="auto"/>
          <w:sz w:val="21"/>
          <w:szCs w:val="21"/>
          <w:highlight w:val="none"/>
        </w:rPr>
        <w:t>8</w:t>
      </w:r>
      <w:r>
        <w:rPr>
          <w:rFonts w:hint="eastAsia" w:ascii="宋体" w:hAnsi="宋体" w:cs="宋体"/>
          <w:color w:val="auto"/>
          <w:sz w:val="21"/>
          <w:szCs w:val="21"/>
          <w:highlight w:val="none"/>
        </w:rPr>
        <w:t>点之后进入巡回动态保洁，严禁提前撤退，上班脱岗、缺岗、串岗，酒后工作，每发现一起扣</w:t>
      </w:r>
      <w:r>
        <w:rPr>
          <w:rFonts w:ascii="宋体" w:hAnsi="宋体" w:cs="宋体"/>
          <w:color w:val="auto"/>
          <w:sz w:val="21"/>
          <w:szCs w:val="21"/>
          <w:highlight w:val="none"/>
        </w:rPr>
        <w:t>200</w:t>
      </w:r>
      <w:r>
        <w:rPr>
          <w:rFonts w:hint="eastAsia" w:ascii="宋体" w:hAnsi="宋体" w:cs="宋体"/>
          <w:color w:val="auto"/>
          <w:sz w:val="21"/>
          <w:szCs w:val="21"/>
          <w:highlight w:val="none"/>
        </w:rPr>
        <w:t>元。</w:t>
      </w:r>
    </w:p>
    <w:p>
      <w:pPr>
        <w:keepNext w:val="0"/>
        <w:keepLines w:val="0"/>
        <w:pageBreakBefore w:val="0"/>
        <w:widowControl w:val="0"/>
        <w:kinsoku/>
        <w:wordWrap/>
        <w:overflowPunct/>
        <w:topLinePunct w:val="0"/>
        <w:bidi w:val="0"/>
        <w:spacing w:line="400" w:lineRule="exact"/>
        <w:ind w:firstLine="210" w:firstLineChars="1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）按照</w:t>
      </w:r>
      <w:r>
        <w:rPr>
          <w:rFonts w:ascii="宋体" w:hAnsi="宋体" w:cs="宋体"/>
          <w:color w:val="auto"/>
          <w:sz w:val="21"/>
          <w:szCs w:val="21"/>
          <w:highlight w:val="none"/>
        </w:rPr>
        <w:t>8</w:t>
      </w:r>
      <w:r>
        <w:rPr>
          <w:rFonts w:hint="eastAsia" w:ascii="宋体" w:hAnsi="宋体" w:cs="宋体"/>
          <w:color w:val="auto"/>
          <w:sz w:val="21"/>
          <w:szCs w:val="21"/>
          <w:highlight w:val="none"/>
        </w:rPr>
        <w:t>小时和</w:t>
      </w:r>
      <w:r>
        <w:rPr>
          <w:rFonts w:ascii="宋体" w:hAnsi="宋体" w:cs="宋体"/>
          <w:color w:val="auto"/>
          <w:sz w:val="21"/>
          <w:szCs w:val="21"/>
          <w:highlight w:val="none"/>
        </w:rPr>
        <w:t>12</w:t>
      </w:r>
      <w:r>
        <w:rPr>
          <w:rFonts w:hint="eastAsia" w:ascii="宋体" w:hAnsi="宋体" w:cs="宋体"/>
          <w:color w:val="auto"/>
          <w:sz w:val="21"/>
          <w:szCs w:val="21"/>
          <w:highlight w:val="none"/>
        </w:rPr>
        <w:t>小时动态巡回保洁要求，分春、夏、秋、冬四季度安排好保洁时段计划，并提供书面材料，无书面计划的，每少一次扣</w:t>
      </w:r>
      <w:r>
        <w:rPr>
          <w:rFonts w:ascii="宋体" w:hAnsi="宋体" w:cs="宋体"/>
          <w:color w:val="auto"/>
          <w:sz w:val="21"/>
          <w:szCs w:val="21"/>
          <w:highlight w:val="none"/>
        </w:rPr>
        <w:t>200</w:t>
      </w:r>
      <w:r>
        <w:rPr>
          <w:rFonts w:hint="eastAsia" w:ascii="宋体" w:hAnsi="宋体" w:cs="宋体"/>
          <w:color w:val="auto"/>
          <w:sz w:val="21"/>
          <w:szCs w:val="21"/>
          <w:highlight w:val="none"/>
        </w:rPr>
        <w:t>元。</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）要求每天早上</w:t>
      </w:r>
      <w:r>
        <w:rPr>
          <w:rFonts w:ascii="宋体" w:hAnsi="宋体" w:cs="宋体"/>
          <w:color w:val="auto"/>
          <w:sz w:val="21"/>
          <w:szCs w:val="21"/>
          <w:highlight w:val="none"/>
        </w:rPr>
        <w:t>8</w:t>
      </w:r>
      <w:r>
        <w:rPr>
          <w:rFonts w:hint="eastAsia" w:ascii="宋体" w:hAnsi="宋体" w:cs="宋体"/>
          <w:color w:val="auto"/>
          <w:sz w:val="21"/>
          <w:szCs w:val="21"/>
          <w:highlight w:val="none"/>
        </w:rPr>
        <w:t>点和下午</w:t>
      </w:r>
      <w:r>
        <w:rPr>
          <w:rFonts w:ascii="宋体" w:hAnsi="宋体" w:cs="宋体"/>
          <w:color w:val="auto"/>
          <w:sz w:val="21"/>
          <w:szCs w:val="21"/>
          <w:highlight w:val="none"/>
        </w:rPr>
        <w:t>3</w:t>
      </w:r>
      <w:r>
        <w:rPr>
          <w:rFonts w:hint="eastAsia" w:ascii="宋体" w:hAnsi="宋体" w:cs="宋体"/>
          <w:color w:val="auto"/>
          <w:sz w:val="21"/>
          <w:szCs w:val="21"/>
          <w:highlight w:val="none"/>
        </w:rPr>
        <w:t>点之前，清扫一遍，未按时清扫一遍的，分路段每发现一起扣</w:t>
      </w:r>
      <w:r>
        <w:rPr>
          <w:rFonts w:ascii="宋体" w:hAnsi="宋体" w:cs="宋体"/>
          <w:color w:val="auto"/>
          <w:sz w:val="21"/>
          <w:szCs w:val="21"/>
          <w:highlight w:val="none"/>
        </w:rPr>
        <w:t>200</w:t>
      </w:r>
      <w:r>
        <w:rPr>
          <w:rFonts w:hint="eastAsia" w:ascii="宋体" w:hAnsi="宋体" w:cs="宋体"/>
          <w:color w:val="auto"/>
          <w:sz w:val="21"/>
          <w:szCs w:val="21"/>
          <w:highlight w:val="none"/>
        </w:rPr>
        <w:t>元。</w:t>
      </w:r>
    </w:p>
    <w:p>
      <w:pPr>
        <w:keepNext w:val="0"/>
        <w:keepLines w:val="0"/>
        <w:pageBreakBefore w:val="0"/>
        <w:widowControl w:val="0"/>
        <w:kinsoku/>
        <w:wordWrap/>
        <w:overflowPunct/>
        <w:topLinePunct w:val="0"/>
        <w:bidi w:val="0"/>
        <w:spacing w:line="400" w:lineRule="exact"/>
        <w:ind w:firstLine="210" w:firstLineChars="1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5</w:t>
      </w:r>
      <w:r>
        <w:rPr>
          <w:rFonts w:hint="eastAsia" w:ascii="宋体" w:hAnsi="宋体" w:cs="宋体"/>
          <w:color w:val="auto"/>
          <w:sz w:val="21"/>
          <w:szCs w:val="21"/>
          <w:highlight w:val="none"/>
        </w:rPr>
        <w:t>）要求每天早上</w:t>
      </w:r>
      <w:r>
        <w:rPr>
          <w:rFonts w:ascii="宋体" w:hAnsi="宋体" w:cs="宋体"/>
          <w:color w:val="auto"/>
          <w:sz w:val="21"/>
          <w:szCs w:val="21"/>
          <w:highlight w:val="none"/>
        </w:rPr>
        <w:t>8</w:t>
      </w:r>
      <w:r>
        <w:rPr>
          <w:rFonts w:hint="eastAsia" w:ascii="宋体" w:hAnsi="宋体" w:cs="宋体"/>
          <w:color w:val="auto"/>
          <w:sz w:val="21"/>
          <w:szCs w:val="21"/>
          <w:highlight w:val="none"/>
        </w:rPr>
        <w:t>点之前和下午</w:t>
      </w:r>
      <w:r>
        <w:rPr>
          <w:rFonts w:ascii="宋体" w:hAnsi="宋体" w:cs="宋体"/>
          <w:color w:val="auto"/>
          <w:sz w:val="21"/>
          <w:szCs w:val="21"/>
          <w:highlight w:val="none"/>
        </w:rPr>
        <w:t>2</w:t>
      </w:r>
      <w:r>
        <w:rPr>
          <w:rFonts w:hint="eastAsia" w:ascii="宋体" w:hAnsi="宋体" w:cs="宋体"/>
          <w:color w:val="auto"/>
          <w:sz w:val="21"/>
          <w:szCs w:val="21"/>
          <w:highlight w:val="none"/>
        </w:rPr>
        <w:t>：</w:t>
      </w:r>
      <w:r>
        <w:rPr>
          <w:rFonts w:ascii="宋体" w:hAnsi="宋体" w:cs="宋体"/>
          <w:color w:val="auto"/>
          <w:sz w:val="21"/>
          <w:szCs w:val="21"/>
          <w:highlight w:val="none"/>
        </w:rPr>
        <w:t>30</w:t>
      </w:r>
      <w:r>
        <w:rPr>
          <w:rFonts w:hint="eastAsia" w:ascii="宋体" w:hAnsi="宋体" w:cs="宋体"/>
          <w:color w:val="auto"/>
          <w:sz w:val="21"/>
          <w:szCs w:val="21"/>
          <w:highlight w:val="none"/>
        </w:rPr>
        <w:t>前对道路两侧的垃圾进行收集，未按时收集，每发现一起，扣</w:t>
      </w:r>
      <w:r>
        <w:rPr>
          <w:rFonts w:ascii="宋体" w:hAnsi="宋体" w:cs="宋体"/>
          <w:color w:val="auto"/>
          <w:sz w:val="21"/>
          <w:szCs w:val="21"/>
          <w:highlight w:val="none"/>
        </w:rPr>
        <w:t>100</w:t>
      </w:r>
      <w:r>
        <w:rPr>
          <w:rFonts w:hint="eastAsia" w:ascii="宋体" w:hAnsi="宋体" w:cs="宋体"/>
          <w:color w:val="auto"/>
          <w:sz w:val="21"/>
          <w:szCs w:val="21"/>
          <w:highlight w:val="none"/>
        </w:rPr>
        <w:t>元。</w:t>
      </w:r>
    </w:p>
    <w:p>
      <w:pPr>
        <w:keepNext w:val="0"/>
        <w:keepLines w:val="0"/>
        <w:pageBreakBefore w:val="0"/>
        <w:widowControl w:val="0"/>
        <w:kinsoku/>
        <w:wordWrap/>
        <w:overflowPunct/>
        <w:topLinePunct w:val="0"/>
        <w:bidi w:val="0"/>
        <w:spacing w:line="400" w:lineRule="exact"/>
        <w:ind w:firstLine="210" w:firstLineChars="1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6</w:t>
      </w:r>
      <w:r>
        <w:rPr>
          <w:rFonts w:hint="eastAsia" w:ascii="宋体" w:hAnsi="宋体" w:cs="宋体"/>
          <w:color w:val="auto"/>
          <w:sz w:val="21"/>
          <w:szCs w:val="21"/>
          <w:highlight w:val="none"/>
        </w:rPr>
        <w:t>）保持道路、人行道、绿化带、公共附属区域干净整洁，做到五无五净（无果皮纸屑、无土石杂草、无积水积泥、无堆积物、无痰迹烟蒂，路面干净、道路绿地树圈干净、窨井沟槽干净畅通、边角侧石干净、果壳箱等环卫设施整齐干净），严禁垃圾往窨井及下水道口堆积，滞留垃圾不得超过</w:t>
      </w:r>
      <w:r>
        <w:rPr>
          <w:rFonts w:ascii="宋体" w:hAnsi="宋体" w:cs="宋体"/>
          <w:color w:val="auto"/>
          <w:sz w:val="21"/>
          <w:szCs w:val="21"/>
          <w:highlight w:val="none"/>
        </w:rPr>
        <w:t>40</w:t>
      </w:r>
      <w:r>
        <w:rPr>
          <w:rFonts w:hint="eastAsia" w:ascii="宋体" w:hAnsi="宋体" w:cs="宋体"/>
          <w:color w:val="auto"/>
          <w:sz w:val="21"/>
          <w:szCs w:val="21"/>
          <w:highlight w:val="none"/>
        </w:rPr>
        <w:t>分钟，每发现违反一起扣</w:t>
      </w:r>
      <w:r>
        <w:rPr>
          <w:rFonts w:ascii="宋体" w:hAnsi="宋体" w:cs="宋体"/>
          <w:color w:val="auto"/>
          <w:sz w:val="21"/>
          <w:szCs w:val="21"/>
          <w:highlight w:val="none"/>
        </w:rPr>
        <w:t>100</w:t>
      </w:r>
      <w:r>
        <w:rPr>
          <w:rFonts w:hint="eastAsia" w:ascii="宋体" w:hAnsi="宋体" w:cs="宋体"/>
          <w:color w:val="auto"/>
          <w:sz w:val="21"/>
          <w:szCs w:val="21"/>
          <w:highlight w:val="none"/>
        </w:rPr>
        <w:t>元。</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7</w:t>
      </w:r>
      <w:r>
        <w:rPr>
          <w:rFonts w:hint="eastAsia" w:ascii="宋体" w:hAnsi="宋体" w:cs="宋体"/>
          <w:color w:val="auto"/>
          <w:sz w:val="21"/>
          <w:szCs w:val="21"/>
          <w:highlight w:val="none"/>
        </w:rPr>
        <w:t>）果壳箱每天清理一次以上，保证果壳箱无溢满，擦洗外表保持清洁干净，未按时清理擦洗的每发现一起扣</w:t>
      </w:r>
      <w:r>
        <w:rPr>
          <w:rFonts w:ascii="宋体" w:hAnsi="宋体" w:cs="宋体"/>
          <w:color w:val="auto"/>
          <w:sz w:val="21"/>
          <w:szCs w:val="21"/>
          <w:highlight w:val="none"/>
        </w:rPr>
        <w:t>100</w:t>
      </w:r>
      <w:r>
        <w:rPr>
          <w:rFonts w:hint="eastAsia" w:ascii="宋体" w:hAnsi="宋体" w:cs="宋体"/>
          <w:color w:val="auto"/>
          <w:sz w:val="21"/>
          <w:szCs w:val="21"/>
          <w:highlight w:val="none"/>
        </w:rPr>
        <w:t>元。</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8</w:t>
      </w:r>
      <w:r>
        <w:rPr>
          <w:rFonts w:hint="eastAsia" w:ascii="宋体" w:hAnsi="宋体" w:cs="宋体"/>
          <w:color w:val="auto"/>
          <w:sz w:val="21"/>
          <w:szCs w:val="21"/>
          <w:highlight w:val="none"/>
        </w:rPr>
        <w:t>）要求垃圾桶周边及围档保持清洁，滞留垃圾超过</w:t>
      </w:r>
      <w:r>
        <w:rPr>
          <w:rFonts w:ascii="宋体" w:hAnsi="宋体" w:cs="宋体"/>
          <w:color w:val="auto"/>
          <w:sz w:val="21"/>
          <w:szCs w:val="21"/>
          <w:highlight w:val="none"/>
        </w:rPr>
        <w:t>40</w:t>
      </w:r>
      <w:r>
        <w:rPr>
          <w:rFonts w:hint="eastAsia" w:ascii="宋体" w:hAnsi="宋体" w:cs="宋体"/>
          <w:color w:val="auto"/>
          <w:sz w:val="21"/>
          <w:szCs w:val="21"/>
          <w:highlight w:val="none"/>
        </w:rPr>
        <w:t>分钟的，每发现一起，扣</w:t>
      </w:r>
      <w:r>
        <w:rPr>
          <w:rFonts w:ascii="宋体" w:hAnsi="宋体" w:cs="宋体"/>
          <w:color w:val="auto"/>
          <w:sz w:val="21"/>
          <w:szCs w:val="21"/>
          <w:highlight w:val="none"/>
        </w:rPr>
        <w:t>100</w:t>
      </w:r>
      <w:r>
        <w:rPr>
          <w:rFonts w:hint="eastAsia" w:ascii="宋体" w:hAnsi="宋体" w:cs="宋体"/>
          <w:color w:val="auto"/>
          <w:sz w:val="21"/>
          <w:szCs w:val="21"/>
          <w:highlight w:val="none"/>
        </w:rPr>
        <w:t>元。围栏每周擦洗一次以上，清洁完毕及时上锁上插销，未按时清理擦洗的每发现一起扣</w:t>
      </w:r>
      <w:r>
        <w:rPr>
          <w:rFonts w:ascii="宋体" w:hAnsi="宋体" w:cs="宋体"/>
          <w:color w:val="auto"/>
          <w:sz w:val="21"/>
          <w:szCs w:val="21"/>
          <w:highlight w:val="none"/>
        </w:rPr>
        <w:t>100</w:t>
      </w:r>
      <w:r>
        <w:rPr>
          <w:rFonts w:hint="eastAsia" w:ascii="宋体" w:hAnsi="宋体" w:cs="宋体"/>
          <w:color w:val="auto"/>
          <w:sz w:val="21"/>
          <w:szCs w:val="21"/>
          <w:highlight w:val="none"/>
        </w:rPr>
        <w:t>元。</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9</w:t>
      </w:r>
      <w:r>
        <w:rPr>
          <w:rFonts w:hint="eastAsia" w:ascii="宋体" w:hAnsi="宋体" w:cs="宋体"/>
          <w:color w:val="auto"/>
          <w:sz w:val="21"/>
          <w:szCs w:val="21"/>
          <w:highlight w:val="none"/>
        </w:rPr>
        <w:t>）镇文化公园内无各类垃圾，每发现一起扣</w:t>
      </w:r>
      <w:r>
        <w:rPr>
          <w:rFonts w:ascii="宋体" w:hAnsi="宋体" w:cs="宋体"/>
          <w:color w:val="auto"/>
          <w:sz w:val="21"/>
          <w:szCs w:val="21"/>
          <w:highlight w:val="none"/>
        </w:rPr>
        <w:t>100</w:t>
      </w:r>
      <w:r>
        <w:rPr>
          <w:rFonts w:hint="eastAsia" w:ascii="宋体" w:hAnsi="宋体" w:cs="宋体"/>
          <w:color w:val="auto"/>
          <w:sz w:val="21"/>
          <w:szCs w:val="21"/>
          <w:highlight w:val="none"/>
        </w:rPr>
        <w:t>元。</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10</w:t>
      </w:r>
      <w:r>
        <w:rPr>
          <w:rFonts w:hint="eastAsia" w:ascii="宋体" w:hAnsi="宋体" w:cs="宋体"/>
          <w:color w:val="auto"/>
          <w:sz w:val="21"/>
          <w:szCs w:val="21"/>
          <w:highlight w:val="none"/>
        </w:rPr>
        <w:t>）保洁垃圾中的类生活垃圾运送到镇垃圾中转站压机，建筑垃圾运送到腰塘建筑垃圾临时堆放场，工业垃圾装运至指定场地，严禁将垃圾不运送到指定地点随意倾倒，发现一起扣</w:t>
      </w:r>
      <w:r>
        <w:rPr>
          <w:rFonts w:ascii="宋体" w:hAnsi="宋体" w:cs="宋体"/>
          <w:color w:val="auto"/>
          <w:sz w:val="21"/>
          <w:szCs w:val="21"/>
          <w:highlight w:val="none"/>
        </w:rPr>
        <w:t>500</w:t>
      </w:r>
      <w:r>
        <w:rPr>
          <w:rFonts w:hint="eastAsia" w:ascii="宋体" w:hAnsi="宋体" w:cs="宋体"/>
          <w:color w:val="auto"/>
          <w:sz w:val="21"/>
          <w:szCs w:val="21"/>
          <w:highlight w:val="none"/>
        </w:rPr>
        <w:t>元。</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11</w:t>
      </w:r>
      <w:r>
        <w:rPr>
          <w:rFonts w:hint="eastAsia" w:ascii="宋体" w:hAnsi="宋体" w:cs="宋体"/>
          <w:color w:val="auto"/>
          <w:sz w:val="21"/>
          <w:szCs w:val="21"/>
          <w:highlight w:val="none"/>
        </w:rPr>
        <w:t>）扫地和晒水车未按规定开展作业，每发现一起扣</w:t>
      </w:r>
      <w:r>
        <w:rPr>
          <w:rFonts w:ascii="宋体" w:hAnsi="宋体" w:cs="宋体"/>
          <w:color w:val="auto"/>
          <w:sz w:val="21"/>
          <w:szCs w:val="21"/>
          <w:highlight w:val="none"/>
        </w:rPr>
        <w:t>500</w:t>
      </w:r>
      <w:r>
        <w:rPr>
          <w:rFonts w:hint="eastAsia" w:ascii="宋体" w:hAnsi="宋体" w:cs="宋体"/>
          <w:color w:val="auto"/>
          <w:sz w:val="21"/>
          <w:szCs w:val="21"/>
          <w:highlight w:val="none"/>
        </w:rPr>
        <w:t>元。扫地车、洒水车、</w:t>
      </w:r>
      <w:r>
        <w:rPr>
          <w:rFonts w:ascii="宋体" w:hAnsi="宋体" w:cs="宋体"/>
          <w:color w:val="auto"/>
          <w:sz w:val="21"/>
          <w:szCs w:val="21"/>
          <w:highlight w:val="none"/>
        </w:rPr>
        <w:t>雾炮车</w:t>
      </w:r>
      <w:r>
        <w:rPr>
          <w:rFonts w:hint="eastAsia" w:ascii="宋体" w:hAnsi="宋体" w:cs="宋体"/>
          <w:color w:val="auto"/>
          <w:sz w:val="21"/>
          <w:szCs w:val="21"/>
          <w:highlight w:val="none"/>
        </w:rPr>
        <w:t>发生逆向行驶、未按要求安装</w:t>
      </w:r>
      <w:r>
        <w:rPr>
          <w:rFonts w:ascii="宋体" w:hAnsi="宋体" w:cs="宋体"/>
          <w:color w:val="auto"/>
          <w:sz w:val="21"/>
          <w:szCs w:val="21"/>
          <w:highlight w:val="none"/>
        </w:rPr>
        <w:t>GPS</w:t>
      </w:r>
      <w:r>
        <w:rPr>
          <w:rFonts w:hint="eastAsia" w:ascii="宋体" w:hAnsi="宋体" w:cs="宋体"/>
          <w:color w:val="auto"/>
          <w:sz w:val="21"/>
          <w:szCs w:val="21"/>
          <w:highlight w:val="none"/>
        </w:rPr>
        <w:t>定位系统，每发现一起扣</w:t>
      </w:r>
      <w:r>
        <w:rPr>
          <w:rFonts w:ascii="宋体" w:hAnsi="宋体" w:cs="宋体"/>
          <w:color w:val="auto"/>
          <w:sz w:val="21"/>
          <w:szCs w:val="21"/>
          <w:highlight w:val="none"/>
        </w:rPr>
        <w:t>1000</w:t>
      </w:r>
      <w:r>
        <w:rPr>
          <w:rFonts w:hint="eastAsia" w:ascii="宋体" w:hAnsi="宋体" w:cs="宋体"/>
          <w:color w:val="auto"/>
          <w:sz w:val="21"/>
          <w:szCs w:val="21"/>
          <w:highlight w:val="none"/>
        </w:rPr>
        <w:t>元。</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cs="宋体"/>
          <w:color w:val="auto"/>
          <w:sz w:val="21"/>
          <w:szCs w:val="21"/>
          <w:highlight w:val="none"/>
        </w:rPr>
      </w:pPr>
      <w:r>
        <w:rPr>
          <w:rFonts w:ascii="宋体" w:hAnsi="宋体" w:cs="宋体"/>
          <w:color w:val="auto"/>
          <w:sz w:val="21"/>
          <w:szCs w:val="21"/>
          <w:highlight w:val="none"/>
        </w:rPr>
        <w:t xml:space="preserve">  2</w:t>
      </w:r>
      <w:r>
        <w:rPr>
          <w:rFonts w:hint="eastAsia" w:ascii="宋体" w:hAnsi="宋体" w:cs="宋体"/>
          <w:color w:val="auto"/>
          <w:sz w:val="21"/>
          <w:szCs w:val="21"/>
          <w:highlight w:val="none"/>
        </w:rPr>
        <w:t>、河道保洁（由镇农办会同环卫站考核）</w:t>
      </w:r>
    </w:p>
    <w:p>
      <w:pPr>
        <w:keepNext w:val="0"/>
        <w:keepLines w:val="0"/>
        <w:pageBreakBefore w:val="0"/>
        <w:widowControl w:val="0"/>
        <w:kinsoku/>
        <w:wordWrap/>
        <w:overflowPunct/>
        <w:topLinePunct w:val="0"/>
        <w:bidi w:val="0"/>
        <w:spacing w:line="400" w:lineRule="exact"/>
        <w:ind w:firstLine="420" w:firstLineChars="200"/>
        <w:textAlignment w:val="auto"/>
        <w:rPr>
          <w:rFonts w:ascii="宋体" w:cs="宋体"/>
          <w:color w:val="auto"/>
          <w:sz w:val="21"/>
          <w:szCs w:val="21"/>
          <w:highlight w:val="none"/>
        </w:rPr>
      </w:pPr>
      <w:r>
        <w:rPr>
          <w:rFonts w:hint="eastAsia" w:ascii="宋体" w:hAnsi="宋体" w:cs="宋体"/>
          <w:color w:val="auto"/>
          <w:sz w:val="21"/>
          <w:szCs w:val="21"/>
          <w:highlight w:val="none"/>
        </w:rPr>
        <w:t>做到河坡、河面、河岸及河岸外</w:t>
      </w:r>
      <w:r>
        <w:rPr>
          <w:rFonts w:ascii="宋体" w:hAnsi="宋体" w:cs="宋体"/>
          <w:color w:val="auto"/>
          <w:sz w:val="21"/>
          <w:szCs w:val="21"/>
          <w:highlight w:val="none"/>
        </w:rPr>
        <w:t>1</w:t>
      </w:r>
      <w:r>
        <w:rPr>
          <w:rFonts w:hint="eastAsia" w:ascii="宋体" w:hAnsi="宋体" w:cs="宋体"/>
          <w:color w:val="auto"/>
          <w:sz w:val="21"/>
          <w:szCs w:val="21"/>
          <w:highlight w:val="none"/>
        </w:rPr>
        <w:t>米范围内无垃圾（包括工业垃圾、生活垃圾、建筑垃圾），河面基本无漂浮物（包括杂草、水葫芦、浮萍、福寿螺等），对泥斑及油污等做到及时打捞。</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w:t>
      </w:r>
      <w:r>
        <w:rPr>
          <w:rFonts w:hint="eastAsia" w:ascii="宋体" w:hAnsi="宋体" w:cs="宋体"/>
          <w:color w:val="auto"/>
          <w:sz w:val="21"/>
          <w:szCs w:val="21"/>
          <w:highlight w:val="none"/>
        </w:rPr>
        <w:t>）分河道提供河道保洁人员名单和联系电话号码，保洁人员有变化应及时提供新名册，不提供书面名册的，每一次扣</w:t>
      </w:r>
      <w:r>
        <w:rPr>
          <w:rFonts w:ascii="宋体" w:hAnsi="宋体" w:cs="宋体"/>
          <w:color w:val="auto"/>
          <w:sz w:val="21"/>
          <w:szCs w:val="21"/>
          <w:highlight w:val="none"/>
        </w:rPr>
        <w:t>200</w:t>
      </w:r>
      <w:r>
        <w:rPr>
          <w:rFonts w:hint="eastAsia" w:ascii="宋体" w:hAnsi="宋体" w:cs="宋体"/>
          <w:color w:val="auto"/>
          <w:sz w:val="21"/>
          <w:szCs w:val="21"/>
          <w:highlight w:val="none"/>
        </w:rPr>
        <w:t>元；保洁人员缺岗每人次扣</w:t>
      </w:r>
      <w:r>
        <w:rPr>
          <w:rFonts w:ascii="宋体" w:hAnsi="宋体" w:cs="宋体"/>
          <w:color w:val="auto"/>
          <w:sz w:val="21"/>
          <w:szCs w:val="21"/>
          <w:highlight w:val="none"/>
        </w:rPr>
        <w:t>500</w:t>
      </w:r>
      <w:r>
        <w:rPr>
          <w:rFonts w:hint="eastAsia" w:ascii="宋体" w:hAnsi="宋体" w:cs="宋体"/>
          <w:color w:val="auto"/>
          <w:sz w:val="21"/>
          <w:szCs w:val="21"/>
          <w:highlight w:val="none"/>
        </w:rPr>
        <w:t>元，保洁人员未配足的扣</w:t>
      </w:r>
      <w:r>
        <w:rPr>
          <w:rFonts w:ascii="宋体" w:hAnsi="宋体" w:cs="宋体"/>
          <w:color w:val="auto"/>
          <w:sz w:val="21"/>
          <w:szCs w:val="21"/>
          <w:highlight w:val="none"/>
        </w:rPr>
        <w:t>3000</w:t>
      </w:r>
      <w:r>
        <w:rPr>
          <w:rFonts w:hint="eastAsia" w:ascii="宋体" w:hAnsi="宋体" w:cs="宋体"/>
          <w:color w:val="auto"/>
          <w:sz w:val="21"/>
          <w:szCs w:val="21"/>
          <w:highlight w:val="none"/>
        </w:rPr>
        <w:t>元</w:t>
      </w:r>
      <w:r>
        <w:rPr>
          <w:rFonts w:ascii="宋体" w:hAnsi="宋体" w:cs="宋体"/>
          <w:color w:val="auto"/>
          <w:sz w:val="21"/>
          <w:szCs w:val="21"/>
          <w:highlight w:val="none"/>
        </w:rPr>
        <w:t>/</w:t>
      </w:r>
      <w:r>
        <w:rPr>
          <w:rFonts w:hint="eastAsia" w:ascii="宋体" w:hAnsi="宋体" w:cs="宋体"/>
          <w:color w:val="auto"/>
          <w:sz w:val="21"/>
          <w:szCs w:val="21"/>
          <w:highlight w:val="none"/>
        </w:rPr>
        <w:t>人。</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）保洁人员必须穿着反光安全工作服上岗，严格禁止穿拖鞋，言行举止有损形象，严禁上班时间做与工作无关之事，每发现违反一起扣</w:t>
      </w:r>
      <w:r>
        <w:rPr>
          <w:rFonts w:ascii="宋体" w:hAnsi="宋体" w:cs="宋体"/>
          <w:color w:val="auto"/>
          <w:sz w:val="21"/>
          <w:szCs w:val="21"/>
          <w:highlight w:val="none"/>
        </w:rPr>
        <w:t>100</w:t>
      </w:r>
      <w:r>
        <w:rPr>
          <w:rFonts w:hint="eastAsia" w:ascii="宋体" w:hAnsi="宋体" w:cs="宋体"/>
          <w:color w:val="auto"/>
          <w:sz w:val="21"/>
          <w:szCs w:val="21"/>
          <w:highlight w:val="none"/>
        </w:rPr>
        <w:t>元。</w:t>
      </w:r>
      <w:r>
        <w:rPr>
          <w:rFonts w:ascii="宋体" w:hAnsi="宋体" w:cs="宋体"/>
          <w:color w:val="auto"/>
          <w:sz w:val="21"/>
          <w:szCs w:val="21"/>
          <w:highlight w:val="none"/>
        </w:rPr>
        <w:t>8</w:t>
      </w:r>
      <w:r>
        <w:rPr>
          <w:rFonts w:hint="eastAsia" w:ascii="宋体" w:hAnsi="宋体" w:cs="宋体"/>
          <w:color w:val="auto"/>
          <w:sz w:val="21"/>
          <w:szCs w:val="21"/>
          <w:highlight w:val="none"/>
        </w:rPr>
        <w:t>点之后进入巡回动态保洁，严禁提前撤退，上班脱岗、缺岗、串岗，酒后工作，每发现一起扣</w:t>
      </w:r>
      <w:r>
        <w:rPr>
          <w:rFonts w:ascii="宋体" w:hAnsi="宋体" w:cs="宋体"/>
          <w:color w:val="auto"/>
          <w:sz w:val="21"/>
          <w:szCs w:val="21"/>
          <w:highlight w:val="none"/>
        </w:rPr>
        <w:t>200</w:t>
      </w:r>
      <w:r>
        <w:rPr>
          <w:rFonts w:hint="eastAsia" w:ascii="宋体" w:hAnsi="宋体" w:cs="宋体"/>
          <w:color w:val="auto"/>
          <w:sz w:val="21"/>
          <w:szCs w:val="21"/>
          <w:highlight w:val="none"/>
        </w:rPr>
        <w:t>元。</w:t>
      </w:r>
    </w:p>
    <w:p>
      <w:pPr>
        <w:keepNext w:val="0"/>
        <w:keepLines w:val="0"/>
        <w:pageBreakBefore w:val="0"/>
        <w:widowControl w:val="0"/>
        <w:kinsoku/>
        <w:wordWrap/>
        <w:overflowPunct/>
        <w:topLinePunct w:val="0"/>
        <w:bidi w:val="0"/>
        <w:spacing w:line="400" w:lineRule="exact"/>
        <w:ind w:firstLine="420" w:firstLineChars="200"/>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）按照一天两清理要求，分春、夏、秋、冬四季度安排好保洁时段计划，并提供书面材料，无书面计划的，每少一次扣</w:t>
      </w:r>
      <w:r>
        <w:rPr>
          <w:rFonts w:ascii="宋体" w:hAnsi="宋体" w:cs="宋体"/>
          <w:color w:val="auto"/>
          <w:sz w:val="21"/>
          <w:szCs w:val="21"/>
          <w:highlight w:val="none"/>
        </w:rPr>
        <w:t>200</w:t>
      </w:r>
      <w:r>
        <w:rPr>
          <w:rFonts w:hint="eastAsia" w:ascii="宋体" w:hAnsi="宋体" w:cs="宋体"/>
          <w:color w:val="auto"/>
          <w:sz w:val="21"/>
          <w:szCs w:val="21"/>
          <w:highlight w:val="none"/>
        </w:rPr>
        <w:t>元。</w:t>
      </w:r>
    </w:p>
    <w:p>
      <w:pPr>
        <w:keepNext w:val="0"/>
        <w:keepLines w:val="0"/>
        <w:pageBreakBefore w:val="0"/>
        <w:widowControl w:val="0"/>
        <w:kinsoku/>
        <w:wordWrap/>
        <w:overflowPunct/>
        <w:topLinePunct w:val="0"/>
        <w:bidi w:val="0"/>
        <w:spacing w:line="400" w:lineRule="exact"/>
        <w:ind w:firstLine="420" w:firstLineChars="200"/>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）要求每天早上</w:t>
      </w:r>
      <w:r>
        <w:rPr>
          <w:rFonts w:ascii="宋体" w:hAnsi="宋体" w:cs="宋体"/>
          <w:color w:val="auto"/>
          <w:sz w:val="21"/>
          <w:szCs w:val="21"/>
          <w:highlight w:val="none"/>
        </w:rPr>
        <w:t>8:30</w:t>
      </w:r>
      <w:r>
        <w:rPr>
          <w:rFonts w:hint="eastAsia" w:ascii="宋体" w:hAnsi="宋体" w:cs="宋体"/>
          <w:color w:val="auto"/>
          <w:sz w:val="21"/>
          <w:szCs w:val="21"/>
          <w:highlight w:val="none"/>
        </w:rPr>
        <w:t>和下午</w:t>
      </w:r>
      <w:r>
        <w:rPr>
          <w:rFonts w:ascii="宋体" w:hAnsi="宋体" w:cs="宋体"/>
          <w:color w:val="auto"/>
          <w:sz w:val="21"/>
          <w:szCs w:val="21"/>
          <w:highlight w:val="none"/>
        </w:rPr>
        <w:t>2:30</w:t>
      </w:r>
      <w:r>
        <w:rPr>
          <w:rFonts w:hint="eastAsia" w:ascii="宋体" w:hAnsi="宋体" w:cs="宋体"/>
          <w:color w:val="auto"/>
          <w:sz w:val="21"/>
          <w:szCs w:val="21"/>
          <w:highlight w:val="none"/>
        </w:rPr>
        <w:t>之前清理一遍，未按时清理的每发现一起扣</w:t>
      </w:r>
      <w:r>
        <w:rPr>
          <w:rFonts w:ascii="宋体" w:hAnsi="宋体" w:cs="宋体"/>
          <w:color w:val="auto"/>
          <w:sz w:val="21"/>
          <w:szCs w:val="21"/>
          <w:highlight w:val="none"/>
        </w:rPr>
        <w:t>200</w:t>
      </w:r>
      <w:r>
        <w:rPr>
          <w:rFonts w:hint="eastAsia" w:ascii="宋体" w:hAnsi="宋体" w:cs="宋体"/>
          <w:color w:val="auto"/>
          <w:sz w:val="21"/>
          <w:szCs w:val="21"/>
          <w:highlight w:val="none"/>
        </w:rPr>
        <w:t>元。</w:t>
      </w:r>
    </w:p>
    <w:p>
      <w:pPr>
        <w:keepNext w:val="0"/>
        <w:keepLines w:val="0"/>
        <w:pageBreakBefore w:val="0"/>
        <w:widowControl w:val="0"/>
        <w:kinsoku/>
        <w:wordWrap/>
        <w:overflowPunct/>
        <w:topLinePunct w:val="0"/>
        <w:bidi w:val="0"/>
        <w:spacing w:line="400" w:lineRule="exact"/>
        <w:ind w:firstLine="420" w:firstLineChars="200"/>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5</w:t>
      </w:r>
      <w:r>
        <w:rPr>
          <w:rFonts w:hint="eastAsia" w:ascii="宋体" w:hAnsi="宋体" w:cs="宋体"/>
          <w:color w:val="auto"/>
          <w:sz w:val="21"/>
          <w:szCs w:val="21"/>
          <w:highlight w:val="none"/>
        </w:rPr>
        <w:t>）河面基本无漂浮物（包括杂草、水葫芦、浮萍、福寿螺等），对泥斑及油污等做到及时打捞，每发现一起保洁不到位的扣</w:t>
      </w:r>
      <w:r>
        <w:rPr>
          <w:rFonts w:ascii="宋体" w:hAnsi="宋体" w:cs="宋体"/>
          <w:color w:val="auto"/>
          <w:sz w:val="21"/>
          <w:szCs w:val="21"/>
          <w:highlight w:val="none"/>
        </w:rPr>
        <w:t>100</w:t>
      </w:r>
      <w:r>
        <w:rPr>
          <w:rFonts w:hint="eastAsia" w:ascii="宋体" w:hAnsi="宋体" w:cs="宋体"/>
          <w:color w:val="auto"/>
          <w:sz w:val="21"/>
          <w:szCs w:val="21"/>
          <w:highlight w:val="none"/>
        </w:rPr>
        <w:t>元。打捞起来的漂浮物、泥斑、油污等物不得留置在河岸及绿化上，损坏河岸及绿化的扣</w:t>
      </w:r>
      <w:r>
        <w:rPr>
          <w:rFonts w:ascii="宋体" w:hAnsi="宋体" w:cs="宋体"/>
          <w:color w:val="auto"/>
          <w:sz w:val="21"/>
          <w:szCs w:val="21"/>
          <w:highlight w:val="none"/>
        </w:rPr>
        <w:t>200</w:t>
      </w:r>
      <w:r>
        <w:rPr>
          <w:rFonts w:hint="eastAsia" w:ascii="宋体" w:hAnsi="宋体" w:cs="宋体"/>
          <w:color w:val="auto"/>
          <w:sz w:val="21"/>
          <w:szCs w:val="21"/>
          <w:highlight w:val="none"/>
        </w:rPr>
        <w:t>元</w:t>
      </w:r>
      <w:r>
        <w:rPr>
          <w:rFonts w:ascii="宋体" w:hAnsi="宋体" w:cs="宋体"/>
          <w:color w:val="auto"/>
          <w:sz w:val="21"/>
          <w:szCs w:val="21"/>
          <w:highlight w:val="none"/>
        </w:rPr>
        <w:t>/</w:t>
      </w:r>
      <w:r>
        <w:rPr>
          <w:rFonts w:hint="eastAsia" w:ascii="宋体" w:hAnsi="宋体" w:cs="宋体"/>
          <w:color w:val="auto"/>
          <w:sz w:val="21"/>
          <w:szCs w:val="21"/>
          <w:highlight w:val="none"/>
        </w:rPr>
        <w:t>次。河道篼网未及时清理的，每发现一处扣</w:t>
      </w:r>
      <w:r>
        <w:rPr>
          <w:rFonts w:ascii="宋体" w:hAnsi="宋体" w:cs="宋体"/>
          <w:color w:val="auto"/>
          <w:sz w:val="21"/>
          <w:szCs w:val="21"/>
          <w:highlight w:val="none"/>
        </w:rPr>
        <w:t>100</w:t>
      </w:r>
      <w:r>
        <w:rPr>
          <w:rFonts w:hint="eastAsia" w:ascii="宋体" w:hAnsi="宋体" w:cs="宋体"/>
          <w:color w:val="auto"/>
          <w:sz w:val="21"/>
          <w:szCs w:val="21"/>
          <w:highlight w:val="none"/>
        </w:rPr>
        <w:t>元。</w:t>
      </w:r>
    </w:p>
    <w:p>
      <w:pPr>
        <w:keepNext w:val="0"/>
        <w:keepLines w:val="0"/>
        <w:pageBreakBefore w:val="0"/>
        <w:widowControl w:val="0"/>
        <w:kinsoku/>
        <w:wordWrap/>
        <w:overflowPunct/>
        <w:topLinePunct w:val="0"/>
        <w:bidi w:val="0"/>
        <w:spacing w:line="400" w:lineRule="exact"/>
        <w:ind w:firstLine="420" w:firstLineChars="200"/>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6</w:t>
      </w:r>
      <w:r>
        <w:rPr>
          <w:rFonts w:hint="eastAsia" w:ascii="宋体" w:hAnsi="宋体" w:cs="宋体"/>
          <w:color w:val="auto"/>
          <w:sz w:val="21"/>
          <w:szCs w:val="21"/>
          <w:highlight w:val="none"/>
        </w:rPr>
        <w:t>）及时清除河岸建筑（工业）垃圾，要求随时发现随时清除，超过</w:t>
      </w:r>
      <w:r>
        <w:rPr>
          <w:rFonts w:ascii="宋体" w:hAnsi="宋体" w:cs="宋体"/>
          <w:color w:val="auto"/>
          <w:sz w:val="21"/>
          <w:szCs w:val="21"/>
          <w:highlight w:val="none"/>
        </w:rPr>
        <w:t>1</w:t>
      </w:r>
      <w:r>
        <w:rPr>
          <w:rFonts w:hint="eastAsia" w:ascii="宋体" w:hAnsi="宋体" w:cs="宋体"/>
          <w:color w:val="auto"/>
          <w:sz w:val="21"/>
          <w:szCs w:val="21"/>
          <w:highlight w:val="none"/>
        </w:rPr>
        <w:t>天未清除的，每发现一起扣</w:t>
      </w:r>
      <w:r>
        <w:rPr>
          <w:rFonts w:ascii="宋体" w:hAnsi="宋体" w:cs="宋体"/>
          <w:color w:val="auto"/>
          <w:sz w:val="21"/>
          <w:szCs w:val="21"/>
          <w:highlight w:val="none"/>
        </w:rPr>
        <w:t>200</w:t>
      </w:r>
      <w:r>
        <w:rPr>
          <w:rFonts w:hint="eastAsia" w:ascii="宋体" w:hAnsi="宋体" w:cs="宋体"/>
          <w:color w:val="auto"/>
          <w:sz w:val="21"/>
          <w:szCs w:val="21"/>
          <w:highlight w:val="none"/>
        </w:rPr>
        <w:t>元。</w:t>
      </w:r>
    </w:p>
    <w:p>
      <w:pPr>
        <w:keepNext w:val="0"/>
        <w:keepLines w:val="0"/>
        <w:pageBreakBefore w:val="0"/>
        <w:widowControl w:val="0"/>
        <w:kinsoku/>
        <w:wordWrap/>
        <w:overflowPunct/>
        <w:topLinePunct w:val="0"/>
        <w:bidi w:val="0"/>
        <w:spacing w:line="400" w:lineRule="exact"/>
        <w:ind w:firstLine="420" w:firstLineChars="200"/>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7</w:t>
      </w:r>
      <w:r>
        <w:rPr>
          <w:rFonts w:hint="eastAsia" w:ascii="宋体" w:hAnsi="宋体" w:cs="宋体"/>
          <w:color w:val="auto"/>
          <w:sz w:val="21"/>
          <w:szCs w:val="21"/>
          <w:highlight w:val="none"/>
        </w:rPr>
        <w:t>）河道垃圾中的类生活垃圾运送到镇垃圾中转站压机，建筑垃圾运送到腰塘建筑垃圾临时堆放场，工业垃圾装运至指定场地，严禁将垃圾不运送到指定地点随意倾倒，发现一起扣</w:t>
      </w:r>
      <w:r>
        <w:rPr>
          <w:rFonts w:ascii="宋体" w:hAnsi="宋体" w:cs="宋体"/>
          <w:color w:val="auto"/>
          <w:sz w:val="21"/>
          <w:szCs w:val="21"/>
          <w:highlight w:val="none"/>
        </w:rPr>
        <w:t>500</w:t>
      </w:r>
      <w:r>
        <w:rPr>
          <w:rFonts w:hint="eastAsia" w:ascii="宋体" w:hAnsi="宋体" w:cs="宋体"/>
          <w:color w:val="auto"/>
          <w:sz w:val="21"/>
          <w:szCs w:val="21"/>
          <w:highlight w:val="none"/>
        </w:rPr>
        <w:t>元。</w:t>
      </w:r>
    </w:p>
    <w:p>
      <w:pPr>
        <w:keepNext w:val="0"/>
        <w:keepLines w:val="0"/>
        <w:pageBreakBefore w:val="0"/>
        <w:widowControl w:val="0"/>
        <w:kinsoku/>
        <w:wordWrap/>
        <w:overflowPunct/>
        <w:topLinePunct w:val="0"/>
        <w:bidi w:val="0"/>
        <w:spacing w:line="400" w:lineRule="exact"/>
        <w:ind w:firstLine="420" w:firstLineChars="200"/>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8</w:t>
      </w:r>
      <w:r>
        <w:rPr>
          <w:rFonts w:hint="eastAsia" w:ascii="宋体" w:hAnsi="宋体" w:cs="宋体"/>
          <w:color w:val="auto"/>
          <w:sz w:val="21"/>
          <w:szCs w:val="21"/>
          <w:highlight w:val="none"/>
        </w:rPr>
        <w:t>）实行“五水共治”巡河制，在上级部门对我镇“五水共治”、“河长制”等关于河道检查中保洁不到位扣分的，按照每处扣人民币</w:t>
      </w:r>
      <w:r>
        <w:rPr>
          <w:rFonts w:ascii="宋体" w:hAnsi="宋体" w:cs="宋体"/>
          <w:color w:val="auto"/>
          <w:sz w:val="21"/>
          <w:szCs w:val="21"/>
          <w:highlight w:val="none"/>
        </w:rPr>
        <w:t>100</w:t>
      </w:r>
      <w:r>
        <w:rPr>
          <w:rFonts w:hint="eastAsia" w:ascii="宋体" w:hAnsi="宋体" w:cs="宋体"/>
          <w:color w:val="auto"/>
          <w:sz w:val="21"/>
          <w:szCs w:val="21"/>
          <w:highlight w:val="none"/>
        </w:rPr>
        <w:t>元。</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cs="宋体"/>
          <w:color w:val="auto"/>
          <w:sz w:val="21"/>
          <w:szCs w:val="21"/>
          <w:highlight w:val="none"/>
        </w:rPr>
      </w:pPr>
      <w:r>
        <w:rPr>
          <w:rFonts w:ascii="宋体" w:hAnsi="宋体" w:cs="宋体"/>
          <w:color w:val="auto"/>
          <w:sz w:val="21"/>
          <w:szCs w:val="21"/>
          <w:highlight w:val="none"/>
        </w:rPr>
        <w:t xml:space="preserve">  3</w:t>
      </w:r>
      <w:r>
        <w:rPr>
          <w:rFonts w:hint="eastAsia" w:ascii="宋体" w:hAnsi="宋体" w:cs="宋体"/>
          <w:color w:val="auto"/>
          <w:sz w:val="21"/>
          <w:szCs w:val="21"/>
          <w:highlight w:val="none"/>
        </w:rPr>
        <w:t>、公厕保洁（由环卫站考核）</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w:t>
      </w:r>
      <w:r>
        <w:rPr>
          <w:rFonts w:hint="eastAsia" w:ascii="宋体" w:hAnsi="宋体" w:cs="宋体"/>
          <w:color w:val="auto"/>
          <w:sz w:val="21"/>
          <w:szCs w:val="21"/>
          <w:highlight w:val="none"/>
        </w:rPr>
        <w:t>）提供公厕保洁人员名单和联系电话号码，保洁人员有变化应及时提供新名册，不提供书面名册的，每一次扣</w:t>
      </w:r>
      <w:r>
        <w:rPr>
          <w:rFonts w:ascii="宋体" w:hAnsi="宋体" w:cs="宋体"/>
          <w:color w:val="auto"/>
          <w:sz w:val="21"/>
          <w:szCs w:val="21"/>
          <w:highlight w:val="none"/>
        </w:rPr>
        <w:t>200</w:t>
      </w:r>
      <w:r>
        <w:rPr>
          <w:rFonts w:hint="eastAsia" w:ascii="宋体" w:hAnsi="宋体" w:cs="宋体"/>
          <w:color w:val="auto"/>
          <w:sz w:val="21"/>
          <w:szCs w:val="21"/>
          <w:highlight w:val="none"/>
        </w:rPr>
        <w:t>元；保洁人员缺岗每人次扣</w:t>
      </w:r>
      <w:r>
        <w:rPr>
          <w:rFonts w:ascii="宋体" w:hAnsi="宋体" w:cs="宋体"/>
          <w:color w:val="auto"/>
          <w:sz w:val="21"/>
          <w:szCs w:val="21"/>
          <w:highlight w:val="none"/>
        </w:rPr>
        <w:t>500</w:t>
      </w:r>
      <w:r>
        <w:rPr>
          <w:rFonts w:hint="eastAsia" w:ascii="宋体" w:hAnsi="宋体" w:cs="宋体"/>
          <w:color w:val="auto"/>
          <w:sz w:val="21"/>
          <w:szCs w:val="21"/>
          <w:highlight w:val="none"/>
        </w:rPr>
        <w:t>元，保洁人员未配足的扣</w:t>
      </w:r>
      <w:r>
        <w:rPr>
          <w:rFonts w:ascii="宋体" w:hAnsi="宋体" w:cs="宋体"/>
          <w:color w:val="auto"/>
          <w:sz w:val="21"/>
          <w:szCs w:val="21"/>
          <w:highlight w:val="none"/>
        </w:rPr>
        <w:t>3000</w:t>
      </w:r>
      <w:r>
        <w:rPr>
          <w:rFonts w:hint="eastAsia" w:ascii="宋体" w:hAnsi="宋体" w:cs="宋体"/>
          <w:color w:val="auto"/>
          <w:sz w:val="21"/>
          <w:szCs w:val="21"/>
          <w:highlight w:val="none"/>
        </w:rPr>
        <w:t>元</w:t>
      </w:r>
      <w:r>
        <w:rPr>
          <w:rFonts w:ascii="宋体" w:hAnsi="宋体" w:cs="宋体"/>
          <w:color w:val="auto"/>
          <w:sz w:val="21"/>
          <w:szCs w:val="21"/>
          <w:highlight w:val="none"/>
        </w:rPr>
        <w:t>/</w:t>
      </w:r>
      <w:r>
        <w:rPr>
          <w:rFonts w:hint="eastAsia" w:ascii="宋体" w:hAnsi="宋体" w:cs="宋体"/>
          <w:color w:val="auto"/>
          <w:sz w:val="21"/>
          <w:szCs w:val="21"/>
          <w:highlight w:val="none"/>
        </w:rPr>
        <w:t>人。</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）保洁人员必须穿着工作服上岗，严格禁止穿拖鞋，言行举止有损形象，严禁上班时间做与工作无关之事，每发现违反一起扣</w:t>
      </w:r>
      <w:r>
        <w:rPr>
          <w:rFonts w:ascii="宋体" w:hAnsi="宋体" w:cs="宋体"/>
          <w:color w:val="auto"/>
          <w:sz w:val="21"/>
          <w:szCs w:val="21"/>
          <w:highlight w:val="none"/>
        </w:rPr>
        <w:t>100</w:t>
      </w:r>
      <w:r>
        <w:rPr>
          <w:rFonts w:hint="eastAsia" w:ascii="宋体" w:hAnsi="宋体" w:cs="宋体"/>
          <w:color w:val="auto"/>
          <w:sz w:val="21"/>
          <w:szCs w:val="21"/>
          <w:highlight w:val="none"/>
        </w:rPr>
        <w:t>元。</w:t>
      </w:r>
      <w:r>
        <w:rPr>
          <w:rFonts w:ascii="宋体" w:hAnsi="宋体" w:cs="宋体"/>
          <w:color w:val="auto"/>
          <w:sz w:val="21"/>
          <w:szCs w:val="21"/>
          <w:highlight w:val="none"/>
        </w:rPr>
        <w:t>8</w:t>
      </w:r>
      <w:r>
        <w:rPr>
          <w:rFonts w:hint="eastAsia" w:ascii="宋体" w:hAnsi="宋体" w:cs="宋体"/>
          <w:color w:val="auto"/>
          <w:sz w:val="21"/>
          <w:szCs w:val="21"/>
          <w:highlight w:val="none"/>
        </w:rPr>
        <w:t>点之后进入巡回动态保洁，严禁提前撤退，上班脱岗、缺岗、串岗，酒后工作，每发现一起扣</w:t>
      </w:r>
      <w:r>
        <w:rPr>
          <w:rFonts w:ascii="宋体" w:hAnsi="宋体" w:cs="宋体"/>
          <w:color w:val="auto"/>
          <w:sz w:val="21"/>
          <w:szCs w:val="21"/>
          <w:highlight w:val="none"/>
        </w:rPr>
        <w:t>200</w:t>
      </w:r>
      <w:r>
        <w:rPr>
          <w:rFonts w:hint="eastAsia" w:ascii="宋体" w:hAnsi="宋体" w:cs="宋体"/>
          <w:color w:val="auto"/>
          <w:sz w:val="21"/>
          <w:szCs w:val="21"/>
          <w:highlight w:val="none"/>
        </w:rPr>
        <w:t>元。</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）对二类以上公厕要求落实专人</w:t>
      </w:r>
      <w:r>
        <w:rPr>
          <w:rFonts w:ascii="宋体" w:hAnsi="宋体" w:cs="宋体"/>
          <w:color w:val="auto"/>
          <w:sz w:val="21"/>
          <w:szCs w:val="21"/>
          <w:highlight w:val="none"/>
        </w:rPr>
        <w:t>12</w:t>
      </w:r>
      <w:r>
        <w:rPr>
          <w:rFonts w:hint="eastAsia" w:ascii="宋体" w:hAnsi="宋体" w:cs="宋体"/>
          <w:color w:val="auto"/>
          <w:sz w:val="21"/>
          <w:szCs w:val="21"/>
          <w:highlight w:val="none"/>
        </w:rPr>
        <w:t>小时保洁，对其他公厕按照一天三打扫要求，要求每日上午</w:t>
      </w:r>
      <w:r>
        <w:rPr>
          <w:rFonts w:ascii="宋体" w:hAnsi="宋体" w:cs="宋体"/>
          <w:color w:val="auto"/>
          <w:sz w:val="21"/>
          <w:szCs w:val="21"/>
          <w:highlight w:val="none"/>
        </w:rPr>
        <w:t>8</w:t>
      </w:r>
      <w:r>
        <w:rPr>
          <w:rFonts w:hint="eastAsia" w:ascii="宋体" w:hAnsi="宋体" w:cs="宋体"/>
          <w:color w:val="auto"/>
          <w:sz w:val="21"/>
          <w:szCs w:val="21"/>
          <w:highlight w:val="none"/>
        </w:rPr>
        <w:t>点</w:t>
      </w:r>
      <w:r>
        <w:rPr>
          <w:rFonts w:ascii="宋体" w:hAnsi="宋体" w:cs="宋体"/>
          <w:color w:val="auto"/>
          <w:sz w:val="21"/>
          <w:szCs w:val="21"/>
          <w:highlight w:val="none"/>
        </w:rPr>
        <w:t>,11</w:t>
      </w:r>
      <w:r>
        <w:rPr>
          <w:rFonts w:hint="eastAsia" w:ascii="宋体" w:hAnsi="宋体" w:cs="宋体"/>
          <w:color w:val="auto"/>
          <w:sz w:val="21"/>
          <w:szCs w:val="21"/>
          <w:highlight w:val="none"/>
        </w:rPr>
        <w:t>点</w:t>
      </w:r>
      <w:r>
        <w:rPr>
          <w:rFonts w:ascii="宋体" w:cs="宋体"/>
          <w:color w:val="auto"/>
          <w:sz w:val="21"/>
          <w:szCs w:val="21"/>
          <w:highlight w:val="none"/>
        </w:rPr>
        <w:t>,</w:t>
      </w:r>
      <w:r>
        <w:rPr>
          <w:rFonts w:hint="eastAsia" w:ascii="宋体" w:hAnsi="宋体" w:cs="宋体"/>
          <w:color w:val="auto"/>
          <w:sz w:val="21"/>
          <w:szCs w:val="21"/>
          <w:highlight w:val="none"/>
        </w:rPr>
        <w:t>下午</w:t>
      </w:r>
      <w:r>
        <w:rPr>
          <w:rFonts w:ascii="宋体" w:hAnsi="宋体" w:cs="宋体"/>
          <w:color w:val="auto"/>
          <w:sz w:val="21"/>
          <w:szCs w:val="21"/>
          <w:highlight w:val="none"/>
        </w:rPr>
        <w:t>3</w:t>
      </w:r>
      <w:r>
        <w:rPr>
          <w:rFonts w:hint="eastAsia" w:ascii="宋体" w:hAnsi="宋体" w:cs="宋体"/>
          <w:color w:val="auto"/>
          <w:sz w:val="21"/>
          <w:szCs w:val="21"/>
          <w:highlight w:val="none"/>
        </w:rPr>
        <w:t>点前打扫一遍，其余时间为巡回保洁（实行全日制巡回保洁），未按时打扫的每发现一起扣</w:t>
      </w:r>
      <w:r>
        <w:rPr>
          <w:rFonts w:ascii="宋体" w:hAnsi="宋体" w:cs="宋体"/>
          <w:color w:val="auto"/>
          <w:sz w:val="21"/>
          <w:szCs w:val="21"/>
          <w:highlight w:val="none"/>
        </w:rPr>
        <w:t>200</w:t>
      </w:r>
      <w:r>
        <w:rPr>
          <w:rFonts w:hint="eastAsia" w:ascii="宋体" w:hAnsi="宋体" w:cs="宋体"/>
          <w:color w:val="auto"/>
          <w:sz w:val="21"/>
          <w:szCs w:val="21"/>
          <w:highlight w:val="none"/>
        </w:rPr>
        <w:t>元。保持公厕上下四壁无尘网、无蝇蛆、无尿碱、无痰迹、无积灰、无恶臭、无满溢，地面、蹲台面、小便池、门窗墙裙清洁无垃圾，公厕外无垃圾或“牛皮癣”，公厕保洁不到位，每起扣</w:t>
      </w:r>
      <w:r>
        <w:rPr>
          <w:rFonts w:ascii="宋体" w:hAnsi="宋体" w:cs="宋体"/>
          <w:color w:val="auto"/>
          <w:sz w:val="21"/>
          <w:szCs w:val="21"/>
          <w:highlight w:val="none"/>
        </w:rPr>
        <w:t>100</w:t>
      </w:r>
      <w:r>
        <w:rPr>
          <w:rFonts w:hint="eastAsia" w:ascii="宋体" w:hAnsi="宋体" w:cs="宋体"/>
          <w:color w:val="auto"/>
          <w:sz w:val="21"/>
          <w:szCs w:val="21"/>
          <w:highlight w:val="none"/>
        </w:rPr>
        <w:t>元。</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）公厕外（有绿化带的，以绿化带外围为界限；无绿化带的，外墙起</w:t>
      </w:r>
      <w:r>
        <w:rPr>
          <w:rFonts w:ascii="宋体" w:hAnsi="宋体" w:cs="宋体"/>
          <w:color w:val="auto"/>
          <w:sz w:val="21"/>
          <w:szCs w:val="21"/>
          <w:highlight w:val="none"/>
        </w:rPr>
        <w:t>3</w:t>
      </w:r>
      <w:r>
        <w:rPr>
          <w:rFonts w:hint="eastAsia" w:ascii="宋体" w:hAnsi="宋体" w:cs="宋体"/>
          <w:color w:val="auto"/>
          <w:sz w:val="21"/>
          <w:szCs w:val="21"/>
          <w:highlight w:val="none"/>
        </w:rPr>
        <w:t>米范围内）无可见垃圾，无乱吊挂、杂物堆放；保洁用具摆放整洁晾晒隐蔽，及时放入工具间。每发现一起未做到，扣</w:t>
      </w:r>
      <w:r>
        <w:rPr>
          <w:rFonts w:ascii="宋体" w:hAnsi="宋体" w:cs="宋体"/>
          <w:color w:val="auto"/>
          <w:sz w:val="21"/>
          <w:szCs w:val="21"/>
          <w:highlight w:val="none"/>
        </w:rPr>
        <w:t>100</w:t>
      </w:r>
      <w:r>
        <w:rPr>
          <w:rFonts w:hint="eastAsia" w:ascii="宋体" w:hAnsi="宋体" w:cs="宋体"/>
          <w:color w:val="auto"/>
          <w:sz w:val="21"/>
          <w:szCs w:val="21"/>
          <w:highlight w:val="none"/>
        </w:rPr>
        <w:t>元。</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5</w:t>
      </w:r>
      <w:r>
        <w:rPr>
          <w:rFonts w:hint="eastAsia" w:ascii="宋体" w:hAnsi="宋体" w:cs="宋体"/>
          <w:color w:val="auto"/>
          <w:sz w:val="21"/>
          <w:szCs w:val="21"/>
          <w:highlight w:val="none"/>
        </w:rPr>
        <w:t>）化粪池定期清理</w:t>
      </w:r>
      <w:r>
        <w:rPr>
          <w:rFonts w:ascii="宋体" w:cs="宋体"/>
          <w:color w:val="auto"/>
          <w:sz w:val="21"/>
          <w:szCs w:val="21"/>
          <w:highlight w:val="none"/>
        </w:rPr>
        <w:t>,</w:t>
      </w:r>
      <w:r>
        <w:rPr>
          <w:rFonts w:hint="eastAsia" w:ascii="宋体" w:hAnsi="宋体" w:cs="宋体"/>
          <w:color w:val="auto"/>
          <w:sz w:val="21"/>
          <w:szCs w:val="21"/>
          <w:highlight w:val="none"/>
        </w:rPr>
        <w:t>确保管道畅通，无满溢。吸粪池内不得有沉淀物、必须每年清理不少于一次。应保持作业场地清洁卫生、无遗撒粪便、吸粪结束后，应盖严粪口，保持周围清洁；粪便运输车辆在运输过程中全密闭，无滴漏。不能发现出粪口无盖。每发现一起未做到，扣</w:t>
      </w:r>
      <w:r>
        <w:rPr>
          <w:rFonts w:ascii="宋体" w:hAnsi="宋体" w:cs="宋体"/>
          <w:color w:val="auto"/>
          <w:sz w:val="21"/>
          <w:szCs w:val="21"/>
          <w:highlight w:val="none"/>
        </w:rPr>
        <w:t>200</w:t>
      </w:r>
      <w:r>
        <w:rPr>
          <w:rFonts w:hint="eastAsia" w:ascii="宋体" w:hAnsi="宋体" w:cs="宋体"/>
          <w:color w:val="auto"/>
          <w:sz w:val="21"/>
          <w:szCs w:val="21"/>
          <w:highlight w:val="none"/>
        </w:rPr>
        <w:t>元。</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ascii="宋体" w:cs="宋体"/>
          <w:color w:val="auto"/>
          <w:sz w:val="21"/>
          <w:szCs w:val="21"/>
          <w:highlight w:val="none"/>
        </w:rPr>
      </w:pPr>
      <w:r>
        <w:rPr>
          <w:rFonts w:ascii="宋体" w:hAnsi="宋体" w:cs="宋体"/>
          <w:color w:val="auto"/>
          <w:sz w:val="21"/>
          <w:szCs w:val="21"/>
          <w:highlight w:val="none"/>
        </w:rPr>
        <w:t xml:space="preserve"> </w:t>
      </w:r>
      <w:r>
        <w:rPr>
          <w:rFonts w:hint="eastAsia" w:ascii="宋体" w:hAnsi="宋体" w:cs="宋体"/>
          <w:color w:val="auto"/>
          <w:sz w:val="21"/>
          <w:szCs w:val="21"/>
          <w:highlight w:val="none"/>
        </w:rPr>
        <w:t>4、牛皮癣（由环卫站考核）</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w:t>
      </w:r>
      <w:r>
        <w:rPr>
          <w:rFonts w:hint="eastAsia" w:ascii="宋体" w:hAnsi="宋体" w:cs="宋体"/>
          <w:color w:val="auto"/>
          <w:sz w:val="21"/>
          <w:szCs w:val="21"/>
          <w:highlight w:val="none"/>
        </w:rPr>
        <w:t>）提供清除牛皮癣人员名单和联系电话号码，保洁人员有变化应及时提供新名册，不提供书面名册的，每一次扣</w:t>
      </w:r>
      <w:r>
        <w:rPr>
          <w:rFonts w:ascii="宋体" w:hAnsi="宋体" w:cs="宋体"/>
          <w:color w:val="auto"/>
          <w:sz w:val="21"/>
          <w:szCs w:val="21"/>
          <w:highlight w:val="none"/>
        </w:rPr>
        <w:t>200</w:t>
      </w:r>
      <w:r>
        <w:rPr>
          <w:rFonts w:hint="eastAsia" w:ascii="宋体" w:hAnsi="宋体" w:cs="宋体"/>
          <w:color w:val="auto"/>
          <w:sz w:val="21"/>
          <w:szCs w:val="21"/>
          <w:highlight w:val="none"/>
        </w:rPr>
        <w:t>元；保洁人员缺岗每人次扣</w:t>
      </w:r>
      <w:r>
        <w:rPr>
          <w:rFonts w:ascii="宋体" w:hAnsi="宋体" w:cs="宋体"/>
          <w:color w:val="auto"/>
          <w:sz w:val="21"/>
          <w:szCs w:val="21"/>
          <w:highlight w:val="none"/>
        </w:rPr>
        <w:t>500</w:t>
      </w:r>
      <w:r>
        <w:rPr>
          <w:rFonts w:hint="eastAsia" w:ascii="宋体" w:hAnsi="宋体" w:cs="宋体"/>
          <w:color w:val="auto"/>
          <w:sz w:val="21"/>
          <w:szCs w:val="21"/>
          <w:highlight w:val="none"/>
        </w:rPr>
        <w:t>元，保洁人员未配足的扣</w:t>
      </w:r>
      <w:r>
        <w:rPr>
          <w:rFonts w:ascii="宋体" w:hAnsi="宋体" w:cs="宋体"/>
          <w:color w:val="auto"/>
          <w:sz w:val="21"/>
          <w:szCs w:val="21"/>
          <w:highlight w:val="none"/>
        </w:rPr>
        <w:t>3000</w:t>
      </w:r>
      <w:r>
        <w:rPr>
          <w:rFonts w:hint="eastAsia" w:ascii="宋体" w:hAnsi="宋体" w:cs="宋体"/>
          <w:color w:val="auto"/>
          <w:sz w:val="21"/>
          <w:szCs w:val="21"/>
          <w:highlight w:val="none"/>
        </w:rPr>
        <w:t>元</w:t>
      </w:r>
      <w:r>
        <w:rPr>
          <w:rFonts w:ascii="宋体" w:hAnsi="宋体" w:cs="宋体"/>
          <w:color w:val="auto"/>
          <w:sz w:val="21"/>
          <w:szCs w:val="21"/>
          <w:highlight w:val="none"/>
        </w:rPr>
        <w:t>/</w:t>
      </w:r>
      <w:r>
        <w:rPr>
          <w:rFonts w:hint="eastAsia" w:ascii="宋体" w:hAnsi="宋体" w:cs="宋体"/>
          <w:color w:val="auto"/>
          <w:sz w:val="21"/>
          <w:szCs w:val="21"/>
          <w:highlight w:val="none"/>
        </w:rPr>
        <w:t>人。</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）保洁人员必须穿着反光安全工作服上岗，严格禁止穿拖鞋，言行举止有损形象，严禁上班时间做与工作无关之事，每发现违反一起扣</w:t>
      </w:r>
      <w:r>
        <w:rPr>
          <w:rFonts w:ascii="宋体" w:hAnsi="宋体" w:cs="宋体"/>
          <w:color w:val="auto"/>
          <w:sz w:val="21"/>
          <w:szCs w:val="21"/>
          <w:highlight w:val="none"/>
        </w:rPr>
        <w:t>100</w:t>
      </w:r>
      <w:r>
        <w:rPr>
          <w:rFonts w:hint="eastAsia" w:ascii="宋体" w:hAnsi="宋体" w:cs="宋体"/>
          <w:color w:val="auto"/>
          <w:sz w:val="21"/>
          <w:szCs w:val="21"/>
          <w:highlight w:val="none"/>
        </w:rPr>
        <w:t>元。</w:t>
      </w:r>
      <w:r>
        <w:rPr>
          <w:rFonts w:ascii="宋体" w:hAnsi="宋体" w:cs="宋体"/>
          <w:color w:val="auto"/>
          <w:sz w:val="21"/>
          <w:szCs w:val="21"/>
          <w:highlight w:val="none"/>
        </w:rPr>
        <w:t>8</w:t>
      </w:r>
      <w:r>
        <w:rPr>
          <w:rFonts w:hint="eastAsia" w:ascii="宋体" w:hAnsi="宋体" w:cs="宋体"/>
          <w:color w:val="auto"/>
          <w:sz w:val="21"/>
          <w:szCs w:val="21"/>
          <w:highlight w:val="none"/>
        </w:rPr>
        <w:t>点之后进入巡回动态保洁，严禁提前撤退，上班脱岗、缺岗、串岗，酒后工作，每发现一起扣</w:t>
      </w:r>
      <w:r>
        <w:rPr>
          <w:rFonts w:ascii="宋体" w:hAnsi="宋体" w:cs="宋体"/>
          <w:color w:val="auto"/>
          <w:sz w:val="21"/>
          <w:szCs w:val="21"/>
          <w:highlight w:val="none"/>
        </w:rPr>
        <w:t>200</w:t>
      </w:r>
      <w:r>
        <w:rPr>
          <w:rFonts w:hint="eastAsia" w:ascii="宋体" w:hAnsi="宋体" w:cs="宋体"/>
          <w:color w:val="auto"/>
          <w:sz w:val="21"/>
          <w:szCs w:val="21"/>
          <w:highlight w:val="none"/>
        </w:rPr>
        <w:t>元。</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）镇级道路二侧</w:t>
      </w:r>
      <w:r>
        <w:rPr>
          <w:rFonts w:ascii="宋体" w:hAnsi="宋体" w:cs="宋体"/>
          <w:color w:val="auto"/>
          <w:sz w:val="21"/>
          <w:szCs w:val="21"/>
          <w:highlight w:val="none"/>
        </w:rPr>
        <w:t>5</w:t>
      </w:r>
      <w:r>
        <w:rPr>
          <w:rFonts w:hint="eastAsia" w:ascii="宋体" w:hAnsi="宋体" w:cs="宋体"/>
          <w:color w:val="auto"/>
          <w:sz w:val="21"/>
          <w:szCs w:val="21"/>
          <w:highlight w:val="none"/>
        </w:rPr>
        <w:t>米内建筑物的外墙及各类电线杆上，无乱张贴，乱涂写，乱刻画，乱吊挂和过时破损标语，及非法乱贴广告。发现</w:t>
      </w:r>
      <w:r>
        <w:rPr>
          <w:rFonts w:ascii="宋体" w:hAnsi="宋体" w:cs="宋体"/>
          <w:color w:val="auto"/>
          <w:sz w:val="21"/>
          <w:szCs w:val="21"/>
          <w:highlight w:val="none"/>
        </w:rPr>
        <w:t>1</w:t>
      </w:r>
      <w:r>
        <w:rPr>
          <w:rFonts w:hint="eastAsia" w:ascii="宋体" w:hAnsi="宋体" w:cs="宋体"/>
          <w:color w:val="auto"/>
          <w:sz w:val="21"/>
          <w:szCs w:val="21"/>
          <w:highlight w:val="none"/>
        </w:rPr>
        <w:t>处以上乱广告，乱涂写，乱张贴扣</w:t>
      </w:r>
      <w:r>
        <w:rPr>
          <w:rFonts w:ascii="宋体" w:hAnsi="宋体" w:cs="宋体"/>
          <w:color w:val="auto"/>
          <w:sz w:val="21"/>
          <w:szCs w:val="21"/>
          <w:highlight w:val="none"/>
        </w:rPr>
        <w:t>100</w:t>
      </w:r>
      <w:r>
        <w:rPr>
          <w:rFonts w:hint="eastAsia" w:ascii="宋体" w:hAnsi="宋体" w:cs="宋体"/>
          <w:color w:val="auto"/>
          <w:sz w:val="21"/>
          <w:szCs w:val="21"/>
          <w:highlight w:val="none"/>
        </w:rPr>
        <w:t>元。</w:t>
      </w:r>
      <w:r>
        <w:rPr>
          <w:rFonts w:ascii="宋体" w:hAnsi="宋体" w:cs="宋体"/>
          <w:color w:val="auto"/>
          <w:sz w:val="21"/>
          <w:szCs w:val="21"/>
          <w:highlight w:val="none"/>
        </w:rPr>
        <w:t xml:space="preserve">   </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ascii="宋体" w:cs="宋体"/>
          <w:color w:val="auto"/>
          <w:sz w:val="21"/>
          <w:szCs w:val="21"/>
          <w:highlight w:val="none"/>
        </w:rPr>
      </w:pPr>
      <w:r>
        <w:rPr>
          <w:rFonts w:ascii="宋体" w:hAnsi="宋体" w:cs="宋体"/>
          <w:color w:val="auto"/>
          <w:sz w:val="21"/>
          <w:szCs w:val="21"/>
          <w:highlight w:val="none"/>
        </w:rPr>
        <w:t xml:space="preserve">  </w:t>
      </w:r>
      <w:r>
        <w:rPr>
          <w:rFonts w:hint="eastAsia" w:ascii="宋体" w:hAnsi="宋体" w:cs="宋体"/>
          <w:color w:val="auto"/>
          <w:sz w:val="21"/>
          <w:szCs w:val="21"/>
          <w:highlight w:val="none"/>
        </w:rPr>
        <w:t>5、垃圾收集及装运（由环卫站考核）</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w:t>
      </w:r>
      <w:r>
        <w:rPr>
          <w:rFonts w:hint="eastAsia" w:ascii="宋体" w:hAnsi="宋体" w:cs="宋体"/>
          <w:color w:val="auto"/>
          <w:sz w:val="21"/>
          <w:szCs w:val="21"/>
          <w:highlight w:val="none"/>
        </w:rPr>
        <w:t>）提供垃圾收集及装运人员名单和联系电话号码，保洁人员有变化应及时提供新名册，不提供书面名册的，每一次扣</w:t>
      </w:r>
      <w:r>
        <w:rPr>
          <w:rFonts w:ascii="宋体" w:hAnsi="宋体" w:cs="宋体"/>
          <w:color w:val="auto"/>
          <w:sz w:val="21"/>
          <w:szCs w:val="21"/>
          <w:highlight w:val="none"/>
        </w:rPr>
        <w:t>200</w:t>
      </w:r>
      <w:r>
        <w:rPr>
          <w:rFonts w:hint="eastAsia" w:ascii="宋体" w:hAnsi="宋体" w:cs="宋体"/>
          <w:color w:val="auto"/>
          <w:sz w:val="21"/>
          <w:szCs w:val="21"/>
          <w:highlight w:val="none"/>
        </w:rPr>
        <w:t>元；保洁人员缺岗每人次扣</w:t>
      </w:r>
      <w:r>
        <w:rPr>
          <w:rFonts w:ascii="宋体" w:hAnsi="宋体" w:cs="宋体"/>
          <w:color w:val="auto"/>
          <w:sz w:val="21"/>
          <w:szCs w:val="21"/>
          <w:highlight w:val="none"/>
        </w:rPr>
        <w:t>500</w:t>
      </w:r>
      <w:r>
        <w:rPr>
          <w:rFonts w:hint="eastAsia" w:ascii="宋体" w:hAnsi="宋体" w:cs="宋体"/>
          <w:color w:val="auto"/>
          <w:sz w:val="21"/>
          <w:szCs w:val="21"/>
          <w:highlight w:val="none"/>
        </w:rPr>
        <w:t>元，保洁人员未配足的扣</w:t>
      </w:r>
      <w:r>
        <w:rPr>
          <w:rFonts w:ascii="宋体" w:hAnsi="宋体" w:cs="宋体"/>
          <w:color w:val="auto"/>
          <w:sz w:val="21"/>
          <w:szCs w:val="21"/>
          <w:highlight w:val="none"/>
        </w:rPr>
        <w:t>3000</w:t>
      </w:r>
      <w:r>
        <w:rPr>
          <w:rFonts w:hint="eastAsia" w:ascii="宋体" w:hAnsi="宋体" w:cs="宋体"/>
          <w:color w:val="auto"/>
          <w:sz w:val="21"/>
          <w:szCs w:val="21"/>
          <w:highlight w:val="none"/>
        </w:rPr>
        <w:t>元</w:t>
      </w:r>
      <w:r>
        <w:rPr>
          <w:rFonts w:ascii="宋体" w:hAnsi="宋体" w:cs="宋体"/>
          <w:color w:val="auto"/>
          <w:sz w:val="21"/>
          <w:szCs w:val="21"/>
          <w:highlight w:val="none"/>
        </w:rPr>
        <w:t>/</w:t>
      </w:r>
      <w:r>
        <w:rPr>
          <w:rFonts w:hint="eastAsia" w:ascii="宋体" w:hAnsi="宋体" w:cs="宋体"/>
          <w:color w:val="auto"/>
          <w:sz w:val="21"/>
          <w:szCs w:val="21"/>
          <w:highlight w:val="none"/>
        </w:rPr>
        <w:t>人。</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）保洁人员必须穿着反光安全工作服上岗，严格禁止穿拖鞋，言行举止有损形象，严禁上班时间做与工作无关之事，每发现违反一起扣</w:t>
      </w:r>
      <w:r>
        <w:rPr>
          <w:rFonts w:ascii="宋体" w:hAnsi="宋体" w:cs="宋体"/>
          <w:color w:val="auto"/>
          <w:sz w:val="21"/>
          <w:szCs w:val="21"/>
          <w:highlight w:val="none"/>
        </w:rPr>
        <w:t>100</w:t>
      </w:r>
      <w:r>
        <w:rPr>
          <w:rFonts w:hint="eastAsia" w:ascii="宋体" w:hAnsi="宋体" w:cs="宋体"/>
          <w:color w:val="auto"/>
          <w:sz w:val="21"/>
          <w:szCs w:val="21"/>
          <w:highlight w:val="none"/>
        </w:rPr>
        <w:t>元。</w:t>
      </w:r>
      <w:r>
        <w:rPr>
          <w:rFonts w:ascii="宋体" w:hAnsi="宋体" w:cs="宋体"/>
          <w:color w:val="auto"/>
          <w:sz w:val="21"/>
          <w:szCs w:val="21"/>
          <w:highlight w:val="none"/>
        </w:rPr>
        <w:t>8</w:t>
      </w:r>
      <w:r>
        <w:rPr>
          <w:rFonts w:hint="eastAsia" w:ascii="宋体" w:hAnsi="宋体" w:cs="宋体"/>
          <w:color w:val="auto"/>
          <w:sz w:val="21"/>
          <w:szCs w:val="21"/>
          <w:highlight w:val="none"/>
        </w:rPr>
        <w:t>点之后进入巡回动态保洁，严禁提前撤退，上班脱岗、缺岗、串岗，酒后工作，每发现一起扣</w:t>
      </w:r>
      <w:r>
        <w:rPr>
          <w:rFonts w:ascii="宋体" w:hAnsi="宋体" w:cs="宋体"/>
          <w:color w:val="auto"/>
          <w:sz w:val="21"/>
          <w:szCs w:val="21"/>
          <w:highlight w:val="none"/>
        </w:rPr>
        <w:t>200</w:t>
      </w:r>
      <w:r>
        <w:rPr>
          <w:rFonts w:hint="eastAsia" w:ascii="宋体" w:hAnsi="宋体" w:cs="宋体"/>
          <w:color w:val="auto"/>
          <w:sz w:val="21"/>
          <w:szCs w:val="21"/>
          <w:highlight w:val="none"/>
        </w:rPr>
        <w:t>元。</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）垃圾收集装运车辆保持内外清洁、有盖，收集装运时无拖挂、无抛散漏现象，每发现一起有碍城镇整体面貌的，每发现一起扣</w:t>
      </w:r>
      <w:r>
        <w:rPr>
          <w:rFonts w:ascii="宋体" w:hAnsi="宋体" w:cs="宋体"/>
          <w:color w:val="auto"/>
          <w:sz w:val="21"/>
          <w:szCs w:val="21"/>
          <w:highlight w:val="none"/>
        </w:rPr>
        <w:t>200</w:t>
      </w:r>
      <w:r>
        <w:rPr>
          <w:rFonts w:hint="eastAsia" w:ascii="宋体" w:hAnsi="宋体" w:cs="宋体"/>
          <w:color w:val="auto"/>
          <w:sz w:val="21"/>
          <w:szCs w:val="21"/>
          <w:highlight w:val="none"/>
        </w:rPr>
        <w:t>元。</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）要求对机关、企事业单位垃圾装运每天一次，因装运不及时，被人举报，经调查情况属实的，每发现一起扣</w:t>
      </w:r>
      <w:r>
        <w:rPr>
          <w:rFonts w:ascii="宋体" w:hAnsi="宋体" w:cs="宋体"/>
          <w:color w:val="auto"/>
          <w:sz w:val="21"/>
          <w:szCs w:val="21"/>
          <w:highlight w:val="none"/>
        </w:rPr>
        <w:t>200</w:t>
      </w:r>
      <w:r>
        <w:rPr>
          <w:rFonts w:hint="eastAsia" w:ascii="宋体" w:hAnsi="宋体" w:cs="宋体"/>
          <w:color w:val="auto"/>
          <w:sz w:val="21"/>
          <w:szCs w:val="21"/>
          <w:highlight w:val="none"/>
        </w:rPr>
        <w:t>元。</w:t>
      </w:r>
    </w:p>
    <w:p>
      <w:pPr>
        <w:keepNext w:val="0"/>
        <w:keepLines w:val="0"/>
        <w:pageBreakBefore w:val="0"/>
        <w:widowControl w:val="0"/>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（5）垃圾收集后将类生活垃圾运送到镇垃圾中转站压机，建筑垃圾运送到腰塘建筑垃圾临时堆放场，工业垃圾装运至指定场地，严禁将垃圾不运送到指定地点随意倾倒，发现一起扣500元。</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ascii="宋体" w:cs="宋体"/>
          <w:color w:val="auto"/>
          <w:sz w:val="21"/>
          <w:szCs w:val="21"/>
          <w:highlight w:val="none"/>
        </w:rPr>
      </w:pPr>
      <w:r>
        <w:rPr>
          <w:rFonts w:ascii="宋体" w:hAnsi="宋体" w:cs="宋体"/>
          <w:color w:val="auto"/>
          <w:sz w:val="21"/>
          <w:szCs w:val="21"/>
          <w:highlight w:val="none"/>
        </w:rPr>
        <w:t xml:space="preserve"> </w:t>
      </w:r>
      <w:r>
        <w:rPr>
          <w:rFonts w:hint="eastAsia" w:ascii="宋体" w:hAnsi="宋体" w:cs="宋体"/>
          <w:color w:val="auto"/>
          <w:sz w:val="21"/>
          <w:szCs w:val="21"/>
          <w:highlight w:val="none"/>
        </w:rPr>
        <w:t>6、生活垃圾“以桶换桶”收运冲洗服务（由环卫站考核）</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以桶换桶工作人员名单和联系电话号码，人员有变化应及时提供新名册，不提供书面名册的，每一次扣200元；工作人员按招标文件配备到位，工作人员缺岗每人次扣500元，工作人员未配足的每缺少一人扣4000元；工作人员要按规定着装，做到规范整洁，穿戴反光安全标志的服装，未做到的每人次扣50元。</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（2）每一个垃圾桶每天至少清运一次，重点路段重点时段要增加清运次数，确保垃圾桶不满溢，未做到扣100元/桶，屡教不改的加倍扣罚。</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（3）垃圾桶要按规定摆放，有围栏的须把桶放入围栏并且桶背朝外，未做到扣100元/桶。围挡有上锁的应上锁，有插销的应插好销子，未做到扣50元/围栏。</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（4）以桶换桶作业过程中不得发生吊挂、飘洒、滴漏、随意停放影响交通等现象，每发现一次扣100元。</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（5）垃圾倾倒要规范合理，轻拿轻放，严禁脚踢踹、抛、扔、摔等有损垃圾桶的行为，每发现违反一次扣罚100元。</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（6）垃圾桶清洗要干净彻底，对桶口、桶盖把手、桶外表面等重点部位要重点擦拭清洗，每发现桶外表桶内壁有污垢的每只每次扣50元。垃圾桶未清洗的扣200元/桶。</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（7）垃圾桶清洗场地做到干净整洁，未做到的扣200元/次。重点部位未安装监控摄像头，未保存30天以上录像，扣500元/次。</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（8）要确保垃圾桶部件齐全、不破不漏，及时更换更新破桶，因操作工人为原因损坏赔偿100元每只。</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（9）驾驶员、辅助工违反环卫站管理制度，扣100元。</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（10）清运车驾驶员要爱惜车辆，保持车辆状态良好，每天收车前做好车辆外表、车后厢、升降板等装置的保洁清洗工作，保持车辆及附属装置干净光洁，未做到的扣100元/辆次。</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采购人提供的清运车要按规定定期进行保养维修和参加年检，并提供相关发票备查。未做到的扣1000元每车次。如因中标供应商保养维修年检不及时或保养不当造成车辆损失的，中标供应商需承担相应的赔偿责任。</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（12）清运车辆未按要求启用GPS定位系统或者发现损坏不报告的，每发现一起扣1000元。清运车严禁私自用于其它途径的，否则每辆次扣500元；</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（13）清运车发生交通事故负主要责任以上的，每次扣1000元，同等责任的每次扣500元。</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（14）清运车发生保险理赔，每次扣1000元，以弥补次年保费的支出增加。</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（15）驾驶员、辅助工违反环卫站管理制度，扣100元。</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（16）上述条款，经指出后未整改的加倍扣罚。</w:t>
      </w:r>
    </w:p>
    <w:p>
      <w:pPr>
        <w:keepNext w:val="0"/>
        <w:keepLines w:val="0"/>
        <w:pageBreakBefore w:val="0"/>
        <w:widowControl w:val="0"/>
        <w:kinsoku/>
        <w:wordWrap/>
        <w:overflowPunct/>
        <w:topLinePunct w:val="0"/>
        <w:bidi w:val="0"/>
        <w:spacing w:line="400" w:lineRule="exact"/>
        <w:ind w:firstLine="420" w:firstLineChars="200"/>
        <w:textAlignment w:val="auto"/>
        <w:rPr>
          <w:rFonts w:ascii="宋体" w:cs="宋体"/>
          <w:b/>
          <w:color w:val="auto"/>
          <w:sz w:val="21"/>
          <w:szCs w:val="21"/>
          <w:highlight w:val="none"/>
        </w:rPr>
      </w:pPr>
      <w:r>
        <w:rPr>
          <w:rFonts w:hint="eastAsia" w:ascii="宋体" w:hAnsi="宋体" w:cs="宋体"/>
          <w:color w:val="auto"/>
          <w:sz w:val="21"/>
          <w:szCs w:val="21"/>
          <w:highlight w:val="none"/>
        </w:rPr>
        <w:t>7、压缩车压缩外运服务（由环卫站考核）</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以桶换桶”压缩车驾驶员名单和联系电话号码，人员有变化应及时提供新名册，不提供书面名册的，每一次扣200元；工作人员按招标文件配备到位，工作人员缺岗每人次扣500元，工作人员未配足的每缺少一人扣5000元；工作人员要按规定着装，做到规范整洁，未做到的每人次扣50元。</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（2)垃圾外运过程中不得发生吊挂、飘洒、滴漏、随意停放影响交通等现象，每发现一次扣100元。</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（3)“以桶换桶”的生活垃圾全部用压缩车压缩清运，中标供应商要做好压缩车预备和调剂，确保每天清运完毕，否则扣500元每车次。</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（4)压缩车驾驶员要爱惜车辆，保持车辆状态良好，每天收车前做好车辆外表、车后厢、翻斗等装置的保洁清洗工作，保持车辆及附属装置干净光洁，未做到的扣100元/辆次。</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（5)压缩车驾驶员或翻斗装置操作员不按时到岗扣100元/次，缺勤扣500元/次。</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采购人提供的压缩车要按规定定期进行保养维修和参加年检，并提供相关发票备查。未做到的扣1000元每车次。如因中标供应商保养维修年检不及时或保养不当造成车辆损失的，中标供应商需承担相应的赔偿责任。</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（7)压缩车未按要求启用GPS定位系统或发现损坏不报告的，每发现一起扣1000元。压缩车严禁私自用于其它途径的，否则每辆次扣500元。</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(8)压缩车发生交通事故负主要责任以上的，每次扣1000元，同等责任的每次扣500元。</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(9)压缩车发生保险理赔，每次扣2000元，以弥补次年保费的支出增加。</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(10)驾驶员及压缩装置操作员违反环卫站管理制度，扣100元。</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(11)上述条款，经指出后未整改的加倍扣罚。</w:t>
      </w:r>
    </w:p>
    <w:p>
      <w:pPr>
        <w:keepNext w:val="0"/>
        <w:keepLines w:val="0"/>
        <w:pageBreakBefore w:val="0"/>
        <w:widowControl w:val="0"/>
        <w:kinsoku/>
        <w:wordWrap/>
        <w:overflowPunct/>
        <w:topLinePunct w:val="0"/>
        <w:bidi w:val="0"/>
        <w:adjustRightInd w:val="0"/>
        <w:snapToGrid w:val="0"/>
        <w:spacing w:line="400" w:lineRule="exact"/>
        <w:ind w:firstLine="420" w:firstLineChars="200"/>
        <w:jc w:val="left"/>
        <w:textAlignment w:val="auto"/>
        <w:rPr>
          <w:rFonts w:hint="eastAsia" w:ascii="宋体" w:cs="宋体"/>
          <w:color w:val="auto"/>
          <w:sz w:val="21"/>
          <w:szCs w:val="21"/>
          <w:highlight w:val="none"/>
        </w:rPr>
      </w:pPr>
      <w:r>
        <w:rPr>
          <w:rFonts w:hint="eastAsia" w:ascii="宋体" w:cs="宋体"/>
          <w:color w:val="auto"/>
          <w:sz w:val="21"/>
          <w:szCs w:val="21"/>
          <w:highlight w:val="none"/>
        </w:rPr>
        <w:t>8、其他</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监督考核每月检查一次，月度考核扣款在1万元及以上或者在上级检查中扣分严重、被媒体负面曝光造成不良影响或群众有效举报的视作当月考核不合格，累计2次以上的视作年度考核不合格，同时采购人有权单方面终止合同，并没收履约保证金。年度扣款累计达到5万元的，取消下一年度续签资格。</w:t>
      </w:r>
    </w:p>
    <w:p>
      <w:pPr>
        <w:pStyle w:val="44"/>
        <w:keepNext w:val="0"/>
        <w:keepLines w:val="0"/>
        <w:pageBreakBefore w:val="0"/>
        <w:widowControl w:val="0"/>
        <w:kinsoku/>
        <w:wordWrap/>
        <w:overflowPunct/>
        <w:topLinePunct w:val="0"/>
        <w:bidi w:val="0"/>
        <w:spacing w:line="400" w:lineRule="exact"/>
        <w:ind w:firstLine="480"/>
        <w:textAlignment w:val="auto"/>
        <w:rPr>
          <w:rFonts w:hint="eastAsia"/>
          <w:color w:val="auto"/>
          <w:sz w:val="21"/>
          <w:szCs w:val="21"/>
          <w:highlight w:val="none"/>
        </w:rPr>
      </w:pPr>
      <w:r>
        <w:rPr>
          <w:rFonts w:hint="eastAsia"/>
          <w:color w:val="auto"/>
          <w:sz w:val="21"/>
          <w:szCs w:val="21"/>
          <w:highlight w:val="none"/>
        </w:rPr>
        <w:t>（2）合同价的6%作为年度考核奖，根据</w:t>
      </w:r>
      <w:r>
        <w:rPr>
          <w:color w:val="auto"/>
          <w:sz w:val="21"/>
          <w:szCs w:val="21"/>
          <w:highlight w:val="none"/>
        </w:rPr>
        <w:t>考核成绩</w:t>
      </w:r>
      <w:r>
        <w:rPr>
          <w:rFonts w:hint="eastAsia"/>
          <w:color w:val="auto"/>
          <w:sz w:val="21"/>
          <w:szCs w:val="21"/>
          <w:highlight w:val="none"/>
        </w:rPr>
        <w:t>于年底一次性发放。考核</w:t>
      </w:r>
      <w:r>
        <w:rPr>
          <w:color w:val="auto"/>
          <w:sz w:val="21"/>
          <w:szCs w:val="21"/>
          <w:highlight w:val="none"/>
        </w:rPr>
        <w:t>排名在</w:t>
      </w:r>
      <w:r>
        <w:rPr>
          <w:rFonts w:hint="eastAsia"/>
          <w:color w:val="auto"/>
          <w:sz w:val="21"/>
          <w:szCs w:val="21"/>
          <w:highlight w:val="none"/>
        </w:rPr>
        <w:t>末35</w:t>
      </w:r>
      <w:r>
        <w:rPr>
          <w:color w:val="auto"/>
          <w:sz w:val="21"/>
          <w:szCs w:val="21"/>
          <w:highlight w:val="none"/>
        </w:rPr>
        <w:t>%</w:t>
      </w:r>
      <w:r>
        <w:rPr>
          <w:rFonts w:hint="eastAsia"/>
          <w:color w:val="auto"/>
          <w:sz w:val="21"/>
          <w:szCs w:val="21"/>
          <w:highlight w:val="none"/>
        </w:rPr>
        <w:t>以后</w:t>
      </w:r>
      <w:r>
        <w:rPr>
          <w:color w:val="auto"/>
          <w:sz w:val="21"/>
          <w:szCs w:val="21"/>
          <w:highlight w:val="none"/>
        </w:rPr>
        <w:t>，</w:t>
      </w:r>
      <w:r>
        <w:rPr>
          <w:rFonts w:hint="eastAsia"/>
          <w:color w:val="auto"/>
          <w:sz w:val="21"/>
          <w:szCs w:val="21"/>
          <w:highlight w:val="none"/>
        </w:rPr>
        <w:t>扣</w:t>
      </w:r>
      <w:r>
        <w:rPr>
          <w:color w:val="auto"/>
          <w:sz w:val="21"/>
          <w:szCs w:val="21"/>
          <w:highlight w:val="none"/>
        </w:rPr>
        <w:t>2</w:t>
      </w:r>
      <w:r>
        <w:rPr>
          <w:rFonts w:hint="eastAsia"/>
          <w:color w:val="auto"/>
          <w:sz w:val="21"/>
          <w:szCs w:val="21"/>
          <w:highlight w:val="none"/>
        </w:rPr>
        <w:t>万元</w:t>
      </w:r>
      <w:r>
        <w:rPr>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eastAsia="宋体"/>
          <w:b/>
          <w:bCs/>
          <w:color w:val="auto"/>
          <w:sz w:val="28"/>
          <w:szCs w:val="28"/>
          <w:highlight w:val="none"/>
          <w:lang w:val="en-US" w:eastAsia="zh-CN"/>
        </w:rPr>
      </w:pPr>
    </w:p>
    <w:p>
      <w:pPr>
        <w:pStyle w:val="19"/>
        <w:rPr>
          <w:rFonts w:hint="eastAsia"/>
          <w:color w:val="auto"/>
          <w:highlight w:val="none"/>
        </w:rPr>
        <w:sectPr>
          <w:pgSz w:w="11906" w:h="16838"/>
          <w:pgMar w:top="1440" w:right="1800" w:bottom="1440" w:left="1800" w:header="851" w:footer="992" w:gutter="0"/>
          <w:cols w:space="720" w:num="1"/>
          <w:docGrid w:type="lines" w:linePitch="381" w:charSpace="0"/>
        </w:sectPr>
      </w:pPr>
    </w:p>
    <w:p>
      <w:pPr>
        <w:numPr>
          <w:ilvl w:val="0"/>
          <w:numId w:val="6"/>
        </w:numPr>
        <w:spacing w:after="120" w:afterLines="50" w:line="400" w:lineRule="exact"/>
        <w:jc w:val="center"/>
        <w:outlineLvl w:val="0"/>
        <w:rPr>
          <w:rFonts w:hint="eastAsia" w:ascii="宋体" w:hAnsi="宋体"/>
          <w:b/>
          <w:color w:val="auto"/>
          <w:sz w:val="32"/>
          <w:highlight w:val="none"/>
        </w:rPr>
      </w:pPr>
      <w:bookmarkStart w:id="37" w:name="_Toc5712"/>
      <w:r>
        <w:rPr>
          <w:rFonts w:hint="eastAsia" w:ascii="宋体" w:hAnsi="宋体"/>
          <w:b/>
          <w:color w:val="auto"/>
          <w:sz w:val="32"/>
          <w:highlight w:val="none"/>
        </w:rPr>
        <w:t>商务条款</w:t>
      </w:r>
      <w:bookmarkEnd w:id="37"/>
    </w:p>
    <w:p>
      <w:pPr>
        <w:pStyle w:val="20"/>
        <w:rPr>
          <w:rFonts w:hint="eastAsia"/>
          <w:color w:val="auto"/>
          <w:highlight w:val="none"/>
        </w:rPr>
      </w:pPr>
    </w:p>
    <w:tbl>
      <w:tblPr>
        <w:tblStyle w:val="45"/>
        <w:tblW w:w="9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86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auto"/>
                <w:sz w:val="32"/>
                <w:szCs w:val="32"/>
                <w:highlight w:val="none"/>
              </w:rPr>
            </w:pPr>
            <w:r>
              <w:rPr>
                <w:rFonts w:hint="eastAsia" w:ascii="宋体" w:hAnsi="宋体" w:eastAsia="宋体" w:cs="宋体"/>
                <w:color w:val="auto"/>
                <w:sz w:val="24"/>
                <w:highlight w:val="none"/>
              </w:rPr>
              <w:t>★</w:t>
            </w:r>
            <w:r>
              <w:rPr>
                <w:rFonts w:hint="eastAsia" w:ascii="宋体" w:hAnsi="宋体" w:cs="仿宋_GB2312"/>
                <w:bCs/>
                <w:color w:val="auto"/>
                <w:kern w:val="0"/>
                <w:szCs w:val="21"/>
                <w:highlight w:val="none"/>
              </w:rPr>
              <w:t>付款方式：</w:t>
            </w:r>
            <w:r>
              <w:rPr>
                <w:rFonts w:hint="eastAsia" w:ascii="宋体" w:hAnsi="宋体" w:eastAsia="宋体" w:cs="宋体"/>
                <w:color w:val="auto"/>
                <w:sz w:val="21"/>
                <w:szCs w:val="21"/>
                <w:highlight w:val="none"/>
              </w:rPr>
              <w:t>合同签订后15个工作日内</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支付给</w:t>
            </w:r>
            <w:r>
              <w:rPr>
                <w:rFonts w:hint="eastAsia" w:ascii="宋体" w:hAnsi="宋体" w:eastAsia="宋体" w:cs="宋体"/>
                <w:color w:val="auto"/>
                <w:sz w:val="21"/>
                <w:szCs w:val="21"/>
                <w:highlight w:val="none"/>
                <w:lang w:val="en-US" w:eastAsia="zh-CN"/>
              </w:rPr>
              <w:t>标供应商</w:t>
            </w:r>
            <w:r>
              <w:rPr>
                <w:rFonts w:hint="eastAsia" w:ascii="宋体" w:hAnsi="宋体" w:eastAsia="宋体" w:cs="宋体"/>
                <w:color w:val="auto"/>
                <w:sz w:val="21"/>
                <w:szCs w:val="21"/>
                <w:highlight w:val="none"/>
              </w:rPr>
              <w:t>合同价的20%，每服务完成一个季度后，</w:t>
            </w:r>
            <w:r>
              <w:rPr>
                <w:rFonts w:hint="eastAsia" w:ascii="宋体" w:hAnsi="宋体" w:eastAsia="宋体" w:cs="宋体"/>
                <w:color w:val="auto"/>
                <w:sz w:val="21"/>
                <w:szCs w:val="21"/>
                <w:highlight w:val="none"/>
                <w:lang w:val="en-US" w:eastAsia="zh-CN"/>
              </w:rPr>
              <w:t>中标供应商</w:t>
            </w:r>
            <w:r>
              <w:rPr>
                <w:rFonts w:hint="eastAsia" w:ascii="宋体" w:hAnsi="宋体" w:eastAsia="宋体" w:cs="宋体"/>
                <w:color w:val="auto"/>
                <w:sz w:val="21"/>
                <w:szCs w:val="21"/>
                <w:highlight w:val="none"/>
              </w:rPr>
              <w:t>提供有效正规的税务发票给</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，30天内</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支付给</w:t>
            </w:r>
            <w:r>
              <w:rPr>
                <w:rFonts w:hint="eastAsia" w:ascii="宋体" w:hAnsi="宋体" w:eastAsia="宋体" w:cs="宋体"/>
                <w:color w:val="auto"/>
                <w:sz w:val="21"/>
                <w:szCs w:val="21"/>
                <w:highlight w:val="none"/>
                <w:lang w:val="en-US" w:eastAsia="zh-CN"/>
              </w:rPr>
              <w:t>中标供应商</w:t>
            </w:r>
            <w:r>
              <w:rPr>
                <w:rFonts w:hint="eastAsia" w:ascii="宋体" w:hAnsi="宋体" w:eastAsia="宋体" w:cs="宋体"/>
                <w:color w:val="auto"/>
                <w:sz w:val="21"/>
                <w:szCs w:val="21"/>
                <w:highlight w:val="none"/>
              </w:rPr>
              <w:t>合同价的20%，服务期满后7个工作日内结清余款。费用支付前根据考核情况扣除应扣款。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868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line="360" w:lineRule="atLeast"/>
              <w:jc w:val="left"/>
              <w:rPr>
                <w:rFonts w:hint="eastAsia" w:ascii="宋体" w:hAnsi="宋体" w:cs="仿宋_GB2312"/>
                <w:bCs/>
                <w:color w:val="auto"/>
                <w:kern w:val="0"/>
                <w:szCs w:val="21"/>
                <w:highlight w:val="none"/>
              </w:rPr>
            </w:pPr>
            <w:r>
              <w:rPr>
                <w:rFonts w:hint="eastAsia" w:ascii="宋体" w:hAnsi="宋体" w:eastAsia="宋体" w:cs="宋体"/>
                <w:color w:val="auto"/>
                <w:sz w:val="24"/>
                <w:highlight w:val="none"/>
              </w:rPr>
              <w:t>★</w:t>
            </w:r>
            <w:r>
              <w:rPr>
                <w:rFonts w:hint="eastAsia" w:ascii="宋体" w:hAnsi="宋体" w:cs="仿宋_GB2312"/>
                <w:bCs/>
                <w:color w:val="auto"/>
                <w:kern w:val="0"/>
                <w:szCs w:val="21"/>
                <w:highlight w:val="none"/>
              </w:rPr>
              <w:t>履约保证：</w:t>
            </w:r>
          </w:p>
          <w:p>
            <w:pPr>
              <w:rPr>
                <w:rFonts w:ascii="宋体" w:hAnsi="宋体" w:cs="仿宋_GB2312"/>
                <w:bCs/>
                <w:color w:val="auto"/>
                <w:kern w:val="0"/>
                <w:szCs w:val="21"/>
                <w:highlight w:val="none"/>
              </w:rPr>
            </w:pPr>
            <w:r>
              <w:rPr>
                <w:rFonts w:hint="eastAsia" w:ascii="宋体" w:hAnsi="宋体" w:cs="仿宋_GB2312"/>
                <w:bCs/>
                <w:color w:val="auto"/>
                <w:kern w:val="0"/>
                <w:szCs w:val="21"/>
                <w:highlight w:val="none"/>
              </w:rPr>
              <w:t>履约保证金为合同金额的</w:t>
            </w:r>
            <w:r>
              <w:rPr>
                <w:rFonts w:ascii="宋体" w:hAnsi="宋体" w:cs="仿宋_GB2312"/>
                <w:bCs/>
                <w:color w:val="auto"/>
                <w:kern w:val="0"/>
                <w:szCs w:val="21"/>
                <w:highlight w:val="none"/>
              </w:rPr>
              <w:t>2.5</w:t>
            </w:r>
            <w:r>
              <w:rPr>
                <w:rFonts w:hint="eastAsia" w:ascii="宋体" w:hAnsi="宋体" w:cs="仿宋_GB2312"/>
                <w:bCs/>
                <w:color w:val="auto"/>
                <w:kern w:val="0"/>
                <w:szCs w:val="21"/>
                <w:highlight w:val="none"/>
              </w:rPr>
              <w:t>%，中标供应商可以以银行、保险公司等金融机构出具的预付款保函或其他担保措施提交，如中途违约，履约保证金不再退还。</w:t>
            </w:r>
          </w:p>
          <w:p>
            <w:pPr>
              <w:rPr>
                <w:rFonts w:hAnsi="宋体" w:cs="仿宋_GB2312"/>
                <w:bCs/>
                <w:color w:val="auto"/>
                <w:szCs w:val="21"/>
                <w:highlight w:val="none"/>
              </w:rPr>
            </w:pPr>
            <w:r>
              <w:rPr>
                <w:rFonts w:hint="eastAsia" w:hAnsi="宋体" w:cs="仿宋_GB2312"/>
                <w:bCs/>
                <w:color w:val="auto"/>
                <w:szCs w:val="21"/>
                <w:highlight w:val="none"/>
              </w:rPr>
              <w:t>履约保证金在合同签订后5日内向采购人提交。</w:t>
            </w:r>
          </w:p>
          <w:p>
            <w:pPr>
              <w:rPr>
                <w:rFonts w:hint="eastAsia" w:ascii="宋体" w:hAnsi="宋体" w:cs="仿宋_GB2312"/>
                <w:bCs/>
                <w:color w:val="auto"/>
                <w:kern w:val="0"/>
                <w:szCs w:val="21"/>
                <w:highlight w:val="none"/>
              </w:rPr>
            </w:pPr>
            <w:r>
              <w:rPr>
                <w:rFonts w:hint="eastAsia" w:hAnsi="宋体" w:cs="仿宋_GB2312"/>
                <w:bCs/>
                <w:color w:val="auto"/>
                <w:szCs w:val="21"/>
                <w:highlight w:val="none"/>
              </w:rPr>
              <w:t>履约保证金的退还：待中标人完成合同履约后无息返还（如在合同履约期间未完全履行合同内容的，采购人将视其情节严重程度给予相应处罚，直至没收其履约保证金，采购人保留终止合同的权利）。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cs="仿宋_GB2312"/>
                <w:bCs/>
                <w:color w:val="auto"/>
                <w:kern w:val="0"/>
                <w:szCs w:val="21"/>
                <w:highlight w:val="none"/>
              </w:rPr>
            </w:pPr>
            <w:r>
              <w:rPr>
                <w:rFonts w:hint="eastAsia" w:ascii="宋体" w:hAnsi="宋体" w:cs="仿宋_GB2312"/>
                <w:bCs/>
                <w:color w:val="auto"/>
                <w:kern w:val="0"/>
                <w:szCs w:val="21"/>
                <w:highlight w:val="none"/>
              </w:rPr>
              <w:t>3</w:t>
            </w:r>
          </w:p>
        </w:tc>
        <w:tc>
          <w:tcPr>
            <w:tcW w:w="868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line="360" w:lineRule="atLeast"/>
              <w:jc w:val="left"/>
              <w:rPr>
                <w:rFonts w:hint="eastAsia" w:ascii="宋体" w:hAnsi="宋体" w:cs="仿宋_GB2312"/>
                <w:bCs/>
                <w:color w:val="auto"/>
                <w:kern w:val="0"/>
                <w:szCs w:val="21"/>
                <w:highlight w:val="none"/>
              </w:rPr>
            </w:pPr>
            <w:r>
              <w:rPr>
                <w:rFonts w:hint="eastAsia" w:ascii="宋体" w:hAnsi="宋体" w:eastAsia="宋体" w:cs="宋体"/>
                <w:color w:val="auto"/>
                <w:sz w:val="24"/>
                <w:highlight w:val="none"/>
              </w:rPr>
              <w:t>★</w:t>
            </w:r>
            <w:r>
              <w:rPr>
                <w:rFonts w:hint="eastAsia" w:ascii="宋体" w:hAnsi="宋体" w:cs="仿宋_GB2312"/>
                <w:bCs/>
                <w:color w:val="auto"/>
                <w:kern w:val="0"/>
                <w:szCs w:val="21"/>
                <w:highlight w:val="none"/>
              </w:rPr>
              <w:t>服务期：本次采购服务期为一年，一年合同期满后经采购人考核合格并报慈溪市公共资源交易管理办公室备案后可续签一年，最多可续签两年。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eastAsia="宋体" w:cs="仿宋_GB2312"/>
                <w:bCs/>
                <w:color w:val="auto"/>
                <w:kern w:val="0"/>
                <w:szCs w:val="21"/>
                <w:highlight w:val="none"/>
                <w:lang w:val="en-US" w:eastAsia="zh-CN"/>
              </w:rPr>
            </w:pPr>
            <w:r>
              <w:rPr>
                <w:rFonts w:hint="eastAsia" w:ascii="宋体" w:hAnsi="宋体" w:cs="仿宋_GB2312"/>
                <w:bCs/>
                <w:color w:val="auto"/>
                <w:kern w:val="0"/>
                <w:szCs w:val="21"/>
                <w:highlight w:val="none"/>
                <w:lang w:val="en-US" w:eastAsia="zh-CN"/>
              </w:rPr>
              <w:t>4</w:t>
            </w:r>
          </w:p>
        </w:tc>
        <w:tc>
          <w:tcPr>
            <w:tcW w:w="868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line="360" w:lineRule="atLeast"/>
              <w:jc w:val="left"/>
              <w:rPr>
                <w:rFonts w:hint="eastAsia" w:ascii="宋体" w:hAnsi="宋体" w:cs="仿宋_GB2312"/>
                <w:bCs/>
                <w:color w:val="auto"/>
                <w:kern w:val="0"/>
                <w:szCs w:val="21"/>
                <w:highlight w:val="none"/>
              </w:rPr>
            </w:pPr>
            <w:r>
              <w:rPr>
                <w:rFonts w:hint="eastAsia" w:ascii="宋体" w:hAnsi="宋体" w:eastAsia="宋体" w:cs="宋体"/>
                <w:color w:val="auto"/>
                <w:sz w:val="24"/>
                <w:highlight w:val="none"/>
              </w:rPr>
              <w:t>★</w:t>
            </w:r>
            <w:r>
              <w:rPr>
                <w:rFonts w:hint="eastAsia" w:ascii="宋体" w:hAnsi="宋体" w:eastAsia="宋体" w:cs="宋体"/>
                <w:color w:val="auto"/>
                <w:szCs w:val="20"/>
                <w:highlight w:val="none"/>
                <w:lang w:val="en-US" w:eastAsia="zh-CN"/>
              </w:rPr>
              <w:t>监督考核：</w:t>
            </w:r>
            <w:r>
              <w:rPr>
                <w:rFonts w:hint="eastAsia" w:ascii="宋体" w:hAnsi="宋体" w:eastAsia="宋体" w:cs="宋体"/>
                <w:color w:val="auto"/>
                <w:szCs w:val="20"/>
                <w:highlight w:val="none"/>
                <w:lang w:eastAsia="zh-CN"/>
              </w:rPr>
              <w:t>按采购项目需求中的“监督考核办法”执行</w:t>
            </w:r>
            <w:r>
              <w:rPr>
                <w:rFonts w:hint="eastAsia" w:ascii="宋体" w:hAnsi="宋体" w:eastAsia="宋体" w:cs="宋体"/>
                <w:color w:val="auto"/>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841"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pacing w:line="480" w:lineRule="exact"/>
              <w:jc w:val="center"/>
              <w:textAlignment w:val="bottom"/>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868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line="360" w:lineRule="atLeast"/>
              <w:jc w:val="left"/>
              <w:rPr>
                <w:rFonts w:hint="eastAsia"/>
                <w:color w:val="auto"/>
                <w:highlight w:val="none"/>
              </w:rPr>
            </w:pPr>
            <w:r>
              <w:rPr>
                <w:rFonts w:hint="eastAsia" w:ascii="宋体" w:hAnsi="宋体" w:eastAsia="宋体" w:cs="宋体"/>
                <w:color w:val="auto"/>
                <w:sz w:val="24"/>
                <w:highlight w:val="none"/>
              </w:rPr>
              <w:t>★</w:t>
            </w:r>
            <w:r>
              <w:rPr>
                <w:rFonts w:hint="eastAsia"/>
                <w:color w:val="auto"/>
                <w:highlight w:val="none"/>
              </w:rPr>
              <w:t>其他：</w:t>
            </w:r>
          </w:p>
          <w:p>
            <w:pPr>
              <w:widowControl/>
              <w:autoSpaceDE w:val="0"/>
              <w:autoSpaceDN w:val="0"/>
              <w:adjustRightInd w:val="0"/>
              <w:snapToGrid w:val="0"/>
              <w:spacing w:line="360" w:lineRule="atLeast"/>
              <w:jc w:val="left"/>
              <w:rPr>
                <w:rFonts w:hint="eastAsia"/>
                <w:color w:val="auto"/>
                <w:highlight w:val="none"/>
              </w:rPr>
            </w:pPr>
            <w:r>
              <w:rPr>
                <w:rFonts w:hint="eastAsia"/>
                <w:color w:val="auto"/>
                <w:highlight w:val="none"/>
              </w:rPr>
              <w:t>1</w:t>
            </w:r>
            <w:r>
              <w:rPr>
                <w:rFonts w:hint="eastAsia"/>
                <w:color w:val="auto"/>
                <w:highlight w:val="none"/>
                <w:lang w:eastAsia="zh-CN"/>
              </w:rPr>
              <w:t>.</w:t>
            </w:r>
            <w:r>
              <w:rPr>
                <w:rFonts w:hint="eastAsia"/>
                <w:color w:val="auto"/>
                <w:highlight w:val="none"/>
              </w:rPr>
              <w:t>中标供应商在中标通知书发出后30日内与采购人签订采购合同，中标或者成交供应商拒绝与采购人签订合同的，采购人可以按照评审报告推荐的中标或者成交候选人名单排序，确定下一候选人为中标或者成交供应商，也可以重新开展政府采购活动。</w:t>
            </w:r>
          </w:p>
          <w:p>
            <w:pPr>
              <w:widowControl/>
              <w:autoSpaceDE w:val="0"/>
              <w:autoSpaceDN w:val="0"/>
              <w:adjustRightInd w:val="0"/>
              <w:snapToGrid w:val="0"/>
              <w:spacing w:line="360" w:lineRule="atLeast"/>
              <w:jc w:val="left"/>
              <w:rPr>
                <w:rFonts w:hint="eastAsia"/>
                <w:color w:val="auto"/>
                <w:highlight w:val="none"/>
              </w:rPr>
            </w:pPr>
            <w:r>
              <w:rPr>
                <w:rFonts w:hint="eastAsia"/>
                <w:color w:val="auto"/>
                <w:highlight w:val="none"/>
              </w:rPr>
              <w:t>2</w:t>
            </w:r>
            <w:r>
              <w:rPr>
                <w:rFonts w:hint="eastAsia"/>
                <w:color w:val="auto"/>
                <w:highlight w:val="none"/>
                <w:lang w:eastAsia="zh-CN"/>
              </w:rPr>
              <w:t>.</w:t>
            </w:r>
            <w:r>
              <w:rPr>
                <w:rFonts w:hint="eastAsia"/>
                <w:color w:val="auto"/>
                <w:highlight w:val="none"/>
              </w:rPr>
              <w:t>在服务期间发生的一切安全事故</w:t>
            </w:r>
            <w:r>
              <w:rPr>
                <w:rFonts w:hint="eastAsia"/>
                <w:color w:val="auto"/>
                <w:highlight w:val="none"/>
                <w:lang w:eastAsia="zh-CN"/>
              </w:rPr>
              <w:t>及其他</w:t>
            </w:r>
            <w:r>
              <w:rPr>
                <w:rFonts w:hint="eastAsia"/>
                <w:color w:val="auto"/>
                <w:highlight w:val="none"/>
              </w:rPr>
              <w:t>事故，由供应商负责，与采购人无涉。</w:t>
            </w:r>
          </w:p>
          <w:p>
            <w:pPr>
              <w:widowControl/>
              <w:autoSpaceDE w:val="0"/>
              <w:autoSpaceDN w:val="0"/>
              <w:adjustRightInd w:val="0"/>
              <w:snapToGrid w:val="0"/>
              <w:spacing w:line="360" w:lineRule="atLeast"/>
              <w:jc w:val="left"/>
              <w:rPr>
                <w:rFonts w:hint="eastAsia"/>
                <w:color w:val="auto"/>
                <w:highlight w:val="none"/>
              </w:rPr>
            </w:pPr>
            <w:r>
              <w:rPr>
                <w:rFonts w:hint="eastAsia"/>
                <w:color w:val="auto"/>
                <w:highlight w:val="none"/>
              </w:rPr>
              <w:t>3</w:t>
            </w:r>
            <w:r>
              <w:rPr>
                <w:rFonts w:hint="eastAsia"/>
                <w:color w:val="auto"/>
                <w:highlight w:val="none"/>
                <w:lang w:eastAsia="zh-CN"/>
              </w:rPr>
              <w:t>.</w:t>
            </w:r>
            <w:r>
              <w:rPr>
                <w:rFonts w:hint="eastAsia"/>
                <w:color w:val="auto"/>
                <w:highlight w:val="none"/>
              </w:rPr>
              <w:t>在服务期内，供应商需提供24小时服务热线，如发现问题，采购人将立即通知供应商，供应商应在接到通知后1小时内答复，</w:t>
            </w:r>
            <w:r>
              <w:rPr>
                <w:rFonts w:hint="eastAsia"/>
                <w:color w:val="auto"/>
                <w:highlight w:val="none"/>
                <w:lang w:val="en-US" w:eastAsia="zh-CN"/>
              </w:rPr>
              <w:t>2</w:t>
            </w:r>
            <w:r>
              <w:rPr>
                <w:rFonts w:hint="eastAsia"/>
                <w:color w:val="auto"/>
                <w:highlight w:val="none"/>
              </w:rPr>
              <w:t>小时内到达采购人现场，尽快采取应对措施。</w:t>
            </w:r>
          </w:p>
          <w:p>
            <w:pPr>
              <w:widowControl/>
              <w:autoSpaceDE w:val="0"/>
              <w:autoSpaceDN w:val="0"/>
              <w:adjustRightInd w:val="0"/>
              <w:snapToGrid w:val="0"/>
              <w:spacing w:line="360" w:lineRule="atLeast"/>
              <w:jc w:val="left"/>
              <w:rPr>
                <w:rFonts w:hint="default" w:eastAsia="宋体"/>
                <w:color w:val="auto"/>
                <w:highlight w:val="none"/>
                <w:lang w:val="en-US" w:eastAsia="zh-CN"/>
              </w:rPr>
            </w:pPr>
            <w:r>
              <w:rPr>
                <w:rFonts w:hint="eastAsia"/>
                <w:color w:val="auto"/>
                <w:highlight w:val="none"/>
              </w:rPr>
              <w:t>4</w:t>
            </w:r>
            <w:r>
              <w:rPr>
                <w:rFonts w:hint="eastAsia"/>
                <w:color w:val="auto"/>
                <w:highlight w:val="none"/>
                <w:lang w:eastAsia="zh-CN"/>
              </w:rPr>
              <w:t>.</w:t>
            </w:r>
            <w:r>
              <w:rPr>
                <w:rFonts w:hint="eastAsia"/>
                <w:color w:val="auto"/>
                <w:highlight w:val="none"/>
              </w:rPr>
              <w:t>供应商承诺的投标报价不因市场因素和政策因素（包括慈溪市最低劳动工资的调整）的变动而调整，但</w:t>
            </w:r>
            <w:r>
              <w:rPr>
                <w:rFonts w:hint="eastAsia"/>
                <w:color w:val="auto"/>
                <w:highlight w:val="none"/>
                <w:lang w:eastAsia="zh-CN"/>
              </w:rPr>
              <w:t>如果</w:t>
            </w:r>
            <w:r>
              <w:rPr>
                <w:rFonts w:hint="eastAsia"/>
                <w:color w:val="auto"/>
                <w:highlight w:val="none"/>
              </w:rPr>
              <w:t>发生保洁工程量的增加或减少（经采购人同意，供应商可按比例增加或减少</w:t>
            </w:r>
            <w:r>
              <w:rPr>
                <w:rFonts w:hint="eastAsia"/>
                <w:color w:val="auto"/>
                <w:highlight w:val="none"/>
                <w:lang w:val="en-US" w:eastAsia="zh-CN"/>
              </w:rPr>
              <w:t>保洁</w:t>
            </w:r>
            <w:r>
              <w:rPr>
                <w:rFonts w:hint="eastAsia"/>
                <w:color w:val="auto"/>
                <w:highlight w:val="none"/>
              </w:rPr>
              <w:t>作业人员），产生的费用按中标单价结算并计入发生期间所对应的月份中。</w:t>
            </w:r>
            <w:r>
              <w:rPr>
                <w:rFonts w:hint="eastAsia"/>
                <w:color w:val="auto"/>
                <w:highlight w:val="none"/>
                <w:lang w:val="en-US" w:eastAsia="zh-CN"/>
              </w:rPr>
              <w:t>增加量不超过合同价的10%。</w:t>
            </w:r>
          </w:p>
          <w:p>
            <w:pPr>
              <w:widowControl/>
              <w:autoSpaceDE w:val="0"/>
              <w:autoSpaceDN w:val="0"/>
              <w:adjustRightInd w:val="0"/>
              <w:snapToGrid w:val="0"/>
              <w:spacing w:line="360" w:lineRule="atLeast"/>
              <w:jc w:val="left"/>
              <w:rPr>
                <w:rFonts w:hint="eastAsia"/>
                <w:color w:val="auto"/>
                <w:highlight w:val="none"/>
              </w:rPr>
            </w:pPr>
            <w:r>
              <w:rPr>
                <w:rFonts w:hint="eastAsia"/>
                <w:color w:val="auto"/>
                <w:highlight w:val="none"/>
              </w:rPr>
              <w:t>5</w:t>
            </w:r>
            <w:r>
              <w:rPr>
                <w:rFonts w:hint="eastAsia"/>
                <w:color w:val="auto"/>
                <w:highlight w:val="none"/>
                <w:lang w:eastAsia="zh-CN"/>
              </w:rPr>
              <w:t>.</w:t>
            </w:r>
            <w:r>
              <w:rPr>
                <w:rFonts w:hint="eastAsia"/>
                <w:color w:val="auto"/>
                <w:highlight w:val="none"/>
              </w:rPr>
              <w:t>中标人在合同有效期内，不得以任何理由终止合同，确有特殊情况的，须提前两个月向采购人提出书面申请，经采购人同意后，方可终止合同，同时酌情扣除履约保证金。因中标人不能保证工作质量，或发生重大差错事故的，采购人可有权终止协议，中标人承担全部责任。</w:t>
            </w:r>
          </w:p>
          <w:p>
            <w:pPr>
              <w:pStyle w:val="83"/>
              <w:rPr>
                <w:rFonts w:hint="eastAsia"/>
                <w:color w:val="auto"/>
                <w:highlight w:val="none"/>
              </w:rPr>
            </w:pPr>
            <w:r>
              <w:rPr>
                <w:rFonts w:hint="eastAsia" w:ascii="Times New Roman" w:hAnsi="Times New Roman" w:eastAsia="宋体" w:cs="Times New Roman"/>
                <w:color w:val="auto"/>
                <w:kern w:val="2"/>
                <w:sz w:val="21"/>
                <w:szCs w:val="20"/>
                <w:highlight w:val="none"/>
                <w:lang w:val="en-US" w:eastAsia="zh-CN" w:bidi="ar-SA"/>
              </w:rPr>
              <w:t>6</w:t>
            </w:r>
            <w:r>
              <w:rPr>
                <w:rFonts w:hint="eastAsia" w:ascii="Times New Roman" w:hAnsi="Times New Roman" w:cs="Times New Roman"/>
                <w:color w:val="auto"/>
                <w:kern w:val="2"/>
                <w:sz w:val="21"/>
                <w:szCs w:val="20"/>
                <w:highlight w:val="none"/>
                <w:lang w:val="en-US" w:eastAsia="zh-CN" w:bidi="ar-SA"/>
              </w:rPr>
              <w:t>.</w:t>
            </w:r>
            <w:r>
              <w:rPr>
                <w:rFonts w:hint="eastAsia" w:ascii="Times New Roman" w:hAnsi="Times New Roman" w:eastAsia="宋体" w:cs="Times New Roman"/>
                <w:color w:val="auto"/>
                <w:kern w:val="2"/>
                <w:sz w:val="21"/>
                <w:szCs w:val="20"/>
                <w:highlight w:val="none"/>
                <w:lang w:val="en-US" w:eastAsia="zh-CN" w:bidi="ar-SA"/>
              </w:rPr>
              <w:t>考虑到项目交接进场情况，中标单位须在领取中标通知书后，15日历天内将投标文件中承诺的机械设备、人员配备到位，否则采购人有权取消其中标资格，由此产生的一切后果均由中标单位自行负责。</w:t>
            </w:r>
          </w:p>
        </w:tc>
      </w:tr>
    </w:tbl>
    <w:p>
      <w:pPr>
        <w:spacing w:line="400" w:lineRule="exact"/>
        <w:outlineLvl w:val="0"/>
        <w:rPr>
          <w:rFonts w:hint="eastAsia" w:ascii="宋体" w:hAnsi="宋体"/>
          <w:bCs/>
          <w:color w:val="auto"/>
          <w:sz w:val="24"/>
          <w:highlight w:val="none"/>
        </w:rPr>
      </w:pPr>
    </w:p>
    <w:bookmarkEnd w:id="33"/>
    <w:p>
      <w:pPr>
        <w:spacing w:line="400" w:lineRule="exact"/>
        <w:jc w:val="center"/>
        <w:outlineLvl w:val="0"/>
        <w:rPr>
          <w:rFonts w:ascii="宋体" w:hAnsi="宋体"/>
          <w:b/>
          <w:color w:val="auto"/>
          <w:sz w:val="32"/>
          <w:highlight w:val="none"/>
        </w:rPr>
      </w:pPr>
      <w:bookmarkStart w:id="38" w:name="_Toc4552"/>
    </w:p>
    <w:p>
      <w:pPr>
        <w:spacing w:line="400" w:lineRule="exact"/>
        <w:jc w:val="center"/>
        <w:outlineLvl w:val="0"/>
        <w:rPr>
          <w:rFonts w:ascii="宋体" w:hAnsi="宋体"/>
          <w:b/>
          <w:color w:val="auto"/>
          <w:sz w:val="32"/>
          <w:highlight w:val="none"/>
        </w:rPr>
      </w:pPr>
    </w:p>
    <w:p>
      <w:pPr>
        <w:spacing w:line="400" w:lineRule="exact"/>
        <w:jc w:val="center"/>
        <w:outlineLvl w:val="0"/>
        <w:rPr>
          <w:rFonts w:ascii="宋体" w:hAnsi="宋体"/>
          <w:b/>
          <w:color w:val="auto"/>
          <w:sz w:val="32"/>
          <w:highlight w:val="none"/>
        </w:rPr>
      </w:pPr>
    </w:p>
    <w:p>
      <w:pPr>
        <w:pStyle w:val="20"/>
        <w:rPr>
          <w:rFonts w:ascii="宋体" w:hAnsi="宋体"/>
          <w:b/>
          <w:color w:val="auto"/>
          <w:sz w:val="32"/>
          <w:highlight w:val="none"/>
        </w:rPr>
      </w:pPr>
    </w:p>
    <w:p>
      <w:pPr>
        <w:pStyle w:val="29"/>
        <w:rPr>
          <w:rFonts w:ascii="宋体" w:hAnsi="宋体"/>
          <w:b/>
          <w:color w:val="auto"/>
          <w:sz w:val="32"/>
          <w:highlight w:val="none"/>
        </w:rPr>
      </w:pPr>
    </w:p>
    <w:p>
      <w:pPr>
        <w:pStyle w:val="29"/>
        <w:rPr>
          <w:rFonts w:ascii="宋体" w:hAnsi="宋体"/>
          <w:b/>
          <w:color w:val="auto"/>
          <w:sz w:val="32"/>
          <w:highlight w:val="none"/>
        </w:rPr>
      </w:pPr>
    </w:p>
    <w:p>
      <w:pPr>
        <w:spacing w:line="400" w:lineRule="exact"/>
        <w:jc w:val="center"/>
        <w:outlineLvl w:val="0"/>
        <w:rPr>
          <w:rFonts w:ascii="宋体" w:hAnsi="宋体"/>
          <w:b/>
          <w:color w:val="auto"/>
          <w:sz w:val="32"/>
          <w:highlight w:val="none"/>
        </w:rPr>
      </w:pPr>
    </w:p>
    <w:p>
      <w:pPr>
        <w:spacing w:line="400" w:lineRule="exact"/>
        <w:jc w:val="center"/>
        <w:outlineLvl w:val="0"/>
        <w:rPr>
          <w:rFonts w:ascii="宋体" w:hAnsi="宋体"/>
          <w:b/>
          <w:color w:val="auto"/>
          <w:sz w:val="32"/>
          <w:highlight w:val="none"/>
        </w:rPr>
      </w:pPr>
    </w:p>
    <w:p>
      <w:pPr>
        <w:spacing w:line="400" w:lineRule="exact"/>
        <w:jc w:val="center"/>
        <w:outlineLvl w:val="0"/>
        <w:rPr>
          <w:rFonts w:ascii="宋体" w:hAnsi="宋体"/>
          <w:b/>
          <w:color w:val="auto"/>
          <w:sz w:val="32"/>
          <w:highlight w:val="none"/>
        </w:rPr>
      </w:pPr>
    </w:p>
    <w:p>
      <w:pPr>
        <w:spacing w:line="400" w:lineRule="exact"/>
        <w:jc w:val="center"/>
        <w:outlineLvl w:val="0"/>
        <w:rPr>
          <w:rFonts w:ascii="宋体" w:hAnsi="宋体"/>
          <w:b/>
          <w:color w:val="auto"/>
          <w:sz w:val="32"/>
          <w:highlight w:val="none"/>
        </w:rPr>
      </w:pPr>
      <w:r>
        <w:rPr>
          <w:rFonts w:hint="eastAsia" w:ascii="宋体" w:hAnsi="宋体"/>
          <w:b/>
          <w:color w:val="auto"/>
          <w:sz w:val="32"/>
          <w:highlight w:val="none"/>
        </w:rPr>
        <w:t>七章</w:t>
      </w:r>
      <w:r>
        <w:rPr>
          <w:rFonts w:ascii="宋体" w:hAnsi="宋体"/>
          <w:b/>
          <w:color w:val="auto"/>
          <w:sz w:val="32"/>
          <w:highlight w:val="none"/>
        </w:rPr>
        <w:t xml:space="preserve">  </w:t>
      </w:r>
      <w:r>
        <w:rPr>
          <w:rFonts w:hint="eastAsia" w:ascii="宋体" w:hAnsi="宋体"/>
          <w:b/>
          <w:color w:val="auto"/>
          <w:sz w:val="32"/>
          <w:highlight w:val="none"/>
        </w:rPr>
        <w:t>附件</w:t>
      </w:r>
      <w:bookmarkEnd w:id="38"/>
    </w:p>
    <w:p>
      <w:pPr>
        <w:autoSpaceDE w:val="0"/>
        <w:autoSpaceDN w:val="0"/>
        <w:adjustRightInd w:val="0"/>
        <w:spacing w:before="960" w:beforeLines="400" w:line="420" w:lineRule="exact"/>
        <w:jc w:val="center"/>
        <w:rPr>
          <w:rStyle w:val="165"/>
          <w:rFonts w:ascii="宋体" w:hAnsi="宋体"/>
          <w:color w:val="auto"/>
          <w:sz w:val="32"/>
          <w:szCs w:val="32"/>
          <w:highlight w:val="none"/>
        </w:rPr>
      </w:pPr>
      <w:r>
        <w:rPr>
          <w:rStyle w:val="165"/>
          <w:rFonts w:ascii="宋体" w:hAnsi="宋体"/>
          <w:color w:val="auto"/>
          <w:sz w:val="32"/>
          <w:szCs w:val="32"/>
          <w:highlight w:val="none"/>
        </w:rPr>
        <w:t>A.</w:t>
      </w:r>
      <w:r>
        <w:rPr>
          <w:rStyle w:val="165"/>
          <w:rFonts w:hint="eastAsia" w:ascii="宋体" w:hAnsi="宋体"/>
          <w:color w:val="auto"/>
          <w:sz w:val="32"/>
          <w:szCs w:val="32"/>
          <w:highlight w:val="none"/>
        </w:rPr>
        <w:t>资格文件</w:t>
      </w:r>
    </w:p>
    <w:p>
      <w:pPr>
        <w:spacing w:line="360" w:lineRule="auto"/>
        <w:ind w:firstLine="1120" w:firstLineChars="400"/>
        <w:rPr>
          <w:rFonts w:ascii="宋体" w:hAnsi="宋体"/>
          <w:color w:val="auto"/>
          <w:sz w:val="28"/>
          <w:highlight w:val="none"/>
        </w:rPr>
      </w:pPr>
    </w:p>
    <w:p>
      <w:pPr>
        <w:spacing w:line="360" w:lineRule="auto"/>
        <w:rPr>
          <w:rFonts w:ascii="宋体" w:hAnsi="宋体"/>
          <w:b/>
          <w:color w:val="auto"/>
          <w:sz w:val="32"/>
          <w:szCs w:val="32"/>
          <w:highlight w:val="none"/>
        </w:rPr>
      </w:pPr>
      <w:r>
        <w:rPr>
          <w:rFonts w:ascii="宋体" w:hAnsi="宋体"/>
          <w:color w:val="auto"/>
          <w:sz w:val="28"/>
          <w:highlight w:val="none"/>
        </w:rPr>
        <w:br w:type="page"/>
      </w:r>
      <w:r>
        <w:rPr>
          <w:rFonts w:hint="eastAsia" w:ascii="宋体" w:hAnsi="宋体"/>
          <w:b/>
          <w:color w:val="auto"/>
          <w:sz w:val="32"/>
          <w:szCs w:val="32"/>
          <w:highlight w:val="none"/>
        </w:rPr>
        <w:t>封面</w:t>
      </w:r>
      <w:r>
        <w:rPr>
          <w:rFonts w:ascii="宋体" w:hAnsi="宋体"/>
          <w:b/>
          <w:color w:val="auto"/>
          <w:sz w:val="32"/>
          <w:szCs w:val="32"/>
          <w:highlight w:val="none"/>
        </w:rPr>
        <w:t xml:space="preserve">                                       </w:t>
      </w:r>
    </w:p>
    <w:p>
      <w:pPr>
        <w:pStyle w:val="197"/>
        <w:rPr>
          <w:color w:val="auto"/>
          <w:highlight w:val="none"/>
        </w:rPr>
      </w:pPr>
    </w:p>
    <w:p>
      <w:pPr>
        <w:spacing w:line="360" w:lineRule="auto"/>
        <w:jc w:val="center"/>
        <w:rPr>
          <w:rFonts w:hint="eastAsia" w:ascii="宋体" w:hAnsi="宋体"/>
          <w:color w:val="auto"/>
          <w:sz w:val="40"/>
          <w:szCs w:val="48"/>
          <w:highlight w:val="none"/>
        </w:rPr>
      </w:pPr>
      <w:r>
        <w:rPr>
          <w:rFonts w:hint="eastAsia" w:ascii="宋体" w:hAnsi="宋体"/>
          <w:b/>
          <w:color w:val="auto"/>
          <w:sz w:val="40"/>
          <w:szCs w:val="48"/>
          <w:highlight w:val="none"/>
          <w:lang w:eastAsia="zh-CN"/>
        </w:rPr>
        <w:t>慈溪市崇寿镇2022年度保洁服务</w:t>
      </w:r>
      <w:r>
        <w:rPr>
          <w:rFonts w:hint="eastAsia" w:ascii="宋体" w:hAnsi="宋体"/>
          <w:b/>
          <w:color w:val="auto"/>
          <w:sz w:val="40"/>
          <w:szCs w:val="48"/>
          <w:highlight w:val="none"/>
        </w:rPr>
        <w:t>采购项目</w:t>
      </w:r>
    </w:p>
    <w:p>
      <w:pPr>
        <w:spacing w:line="360" w:lineRule="auto"/>
        <w:jc w:val="center"/>
        <w:rPr>
          <w:rFonts w:hint="eastAsia" w:ascii="宋体" w:hAnsi="宋体"/>
          <w:color w:val="auto"/>
          <w:sz w:val="36"/>
          <w:szCs w:val="36"/>
          <w:highlight w:val="none"/>
        </w:rPr>
      </w:pPr>
    </w:p>
    <w:p>
      <w:pPr>
        <w:spacing w:line="360" w:lineRule="auto"/>
        <w:ind w:firstLine="1440" w:firstLineChars="400"/>
        <w:jc w:val="both"/>
        <w:rPr>
          <w:rFonts w:hint="eastAsia" w:ascii="宋体" w:hAnsi="宋体"/>
          <w:color w:val="auto"/>
          <w:sz w:val="36"/>
          <w:szCs w:val="36"/>
          <w:highlight w:val="none"/>
        </w:rPr>
      </w:pPr>
      <w:r>
        <w:rPr>
          <w:rFonts w:hint="eastAsia" w:ascii="宋体" w:hAnsi="宋体"/>
          <w:color w:val="auto"/>
          <w:sz w:val="36"/>
          <w:szCs w:val="36"/>
          <w:highlight w:val="none"/>
        </w:rPr>
        <w:t>项目编号：</w:t>
      </w:r>
      <w:r>
        <w:rPr>
          <w:rFonts w:hint="eastAsia" w:ascii="宋体" w:hAnsi="宋体"/>
          <w:color w:val="auto"/>
          <w:sz w:val="36"/>
          <w:szCs w:val="36"/>
          <w:highlight w:val="none"/>
          <w:u w:val="single"/>
        </w:rPr>
        <w:t xml:space="preserve"> </w:t>
      </w:r>
      <w:r>
        <w:rPr>
          <w:rFonts w:hint="eastAsia" w:ascii="宋体" w:hAnsi="宋体" w:eastAsia="宋体" w:cs="Times New Roman"/>
          <w:color w:val="auto"/>
          <w:sz w:val="36"/>
          <w:szCs w:val="36"/>
          <w:highlight w:val="none"/>
          <w:u w:val="single"/>
        </w:rPr>
        <w:t xml:space="preserve"> </w:t>
      </w:r>
      <w:r>
        <w:rPr>
          <w:rFonts w:hint="eastAsia" w:ascii="宋体" w:hAnsi="宋体" w:eastAsia="宋体" w:cs="Times New Roman"/>
          <w:color w:val="auto"/>
          <w:sz w:val="36"/>
          <w:szCs w:val="36"/>
          <w:highlight w:val="none"/>
          <w:u w:val="single"/>
          <w:lang w:val="en-US" w:eastAsia="zh-CN"/>
        </w:rPr>
        <w:t xml:space="preserve"> </w:t>
      </w:r>
      <w:r>
        <w:rPr>
          <w:rFonts w:hint="eastAsia" w:ascii="宋体" w:hAnsi="宋体" w:eastAsia="宋体" w:cs="Times New Roman"/>
          <w:color w:val="auto"/>
          <w:sz w:val="36"/>
          <w:szCs w:val="36"/>
          <w:highlight w:val="none"/>
          <w:u w:val="single"/>
        </w:rPr>
        <w:fldChar w:fldCharType="begin"/>
      </w:r>
      <w:r>
        <w:rPr>
          <w:rFonts w:hint="eastAsia" w:ascii="宋体" w:hAnsi="宋体" w:eastAsia="宋体" w:cs="Times New Roman"/>
          <w:color w:val="auto"/>
          <w:sz w:val="36"/>
          <w:szCs w:val="36"/>
          <w:highlight w:val="none"/>
          <w:u w:val="single"/>
        </w:rPr>
        <w:instrText xml:space="preserve"> HYPERLINK "https://pay.zcygov.cn/purchaseplan_front/" \l "/plan/list/detail?id=1000000000007569839&amp;encrypt=1f2544fa333427dcec2e1c5237868c71" \o "CXZFCG[2022]658号" \t "https://www.zcygov.cn/bid-inviting/purchaseFileMake/announcementInfo/_blank" </w:instrText>
      </w:r>
      <w:r>
        <w:rPr>
          <w:rFonts w:hint="eastAsia" w:ascii="宋体" w:hAnsi="宋体" w:eastAsia="宋体" w:cs="Times New Roman"/>
          <w:color w:val="auto"/>
          <w:sz w:val="36"/>
          <w:szCs w:val="36"/>
          <w:highlight w:val="none"/>
          <w:u w:val="single"/>
        </w:rPr>
        <w:fldChar w:fldCharType="separate"/>
      </w:r>
      <w:r>
        <w:rPr>
          <w:rFonts w:hint="eastAsia" w:ascii="宋体" w:hAnsi="宋体" w:eastAsia="宋体" w:cs="Times New Roman"/>
          <w:color w:val="auto"/>
          <w:sz w:val="36"/>
          <w:szCs w:val="36"/>
          <w:highlight w:val="none"/>
          <w:u w:val="single"/>
          <w:lang w:eastAsia="zh-CN"/>
        </w:rPr>
        <w:t>CXZFCG[2022]1350号</w:t>
      </w:r>
      <w:r>
        <w:rPr>
          <w:rFonts w:hint="eastAsia" w:ascii="宋体" w:hAnsi="宋体" w:eastAsia="宋体" w:cs="Times New Roman"/>
          <w:color w:val="auto"/>
          <w:sz w:val="36"/>
          <w:szCs w:val="36"/>
          <w:highlight w:val="none"/>
          <w:u w:val="single"/>
        </w:rPr>
        <w:fldChar w:fldCharType="end"/>
      </w:r>
      <w:r>
        <w:rPr>
          <w:rFonts w:hint="eastAsia" w:ascii="宋体" w:hAnsi="宋体" w:eastAsia="宋体" w:cs="Times New Roman"/>
          <w:color w:val="auto"/>
          <w:sz w:val="36"/>
          <w:szCs w:val="36"/>
          <w:highlight w:val="none"/>
          <w:u w:val="single"/>
        </w:rPr>
        <w:t xml:space="preserve"> </w:t>
      </w:r>
      <w:r>
        <w:rPr>
          <w:rFonts w:hint="eastAsia" w:ascii="宋体" w:hAnsi="宋体"/>
          <w:color w:val="auto"/>
          <w:sz w:val="36"/>
          <w:szCs w:val="36"/>
          <w:highlight w:val="none"/>
          <w:u w:val="single"/>
        </w:rPr>
        <w:t xml:space="preserve"> </w:t>
      </w:r>
    </w:p>
    <w:p>
      <w:pPr>
        <w:rPr>
          <w:rFonts w:hint="eastAsia" w:ascii="宋体" w:hAnsi="宋体" w:eastAsia="宋体"/>
          <w:color w:val="auto"/>
          <w:sz w:val="28"/>
          <w:szCs w:val="28"/>
          <w:highlight w:val="none"/>
          <w:lang w:eastAsia="zh-CN"/>
        </w:rPr>
      </w:pPr>
      <w:r>
        <w:rPr>
          <w:rFonts w:hint="eastAsia" w:ascii="宋体" w:hAnsi="宋体"/>
          <w:color w:val="auto"/>
          <w:sz w:val="36"/>
          <w:szCs w:val="36"/>
          <w:highlight w:val="none"/>
          <w:lang w:val="en-US" w:eastAsia="zh-CN"/>
        </w:rPr>
        <w:t xml:space="preserve"> </w:t>
      </w:r>
    </w:p>
    <w:p>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（资格文件）</w:t>
      </w:r>
    </w:p>
    <w:p>
      <w:pPr>
        <w:jc w:val="center"/>
        <w:rPr>
          <w:rFonts w:ascii="宋体" w:hAnsi="宋体"/>
          <w:color w:val="auto"/>
          <w:sz w:val="28"/>
          <w:szCs w:val="28"/>
          <w:highlight w:val="none"/>
        </w:rPr>
      </w:pPr>
    </w:p>
    <w:p>
      <w:pPr>
        <w:pStyle w:val="20"/>
        <w:rPr>
          <w:color w:val="auto"/>
          <w:highlight w:val="none"/>
        </w:rPr>
      </w:pP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pStyle w:val="20"/>
        <w:rPr>
          <w:color w:val="auto"/>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pPr>
        <w:pStyle w:val="25"/>
        <w:ind w:left="101" w:leftChars="48" w:firstLine="1920" w:firstLineChars="800"/>
        <w:jc w:val="left"/>
        <w:rPr>
          <w:rFonts w:hAnsi="宋体"/>
          <w:color w:val="auto"/>
          <w:kern w:val="2"/>
          <w:szCs w:val="28"/>
          <w:highlight w:val="none"/>
          <w:u w:val="single"/>
        </w:rPr>
      </w:pPr>
    </w:p>
    <w:p>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年</w:t>
      </w:r>
      <w:r>
        <w:rPr>
          <w:rFonts w:ascii="宋体" w:hAnsi="宋体"/>
          <w:color w:val="auto"/>
          <w:sz w:val="36"/>
          <w:szCs w:val="36"/>
          <w:highlight w:val="none"/>
        </w:rPr>
        <w:t xml:space="preserve">  </w:t>
      </w:r>
      <w:r>
        <w:rPr>
          <w:rFonts w:hint="eastAsia" w:ascii="宋体" w:hAnsi="宋体"/>
          <w:color w:val="auto"/>
          <w:sz w:val="36"/>
          <w:szCs w:val="36"/>
          <w:highlight w:val="none"/>
        </w:rPr>
        <w:t>月</w:t>
      </w:r>
      <w:r>
        <w:rPr>
          <w:rFonts w:ascii="宋体" w:hAnsi="宋体"/>
          <w:color w:val="auto"/>
          <w:sz w:val="36"/>
          <w:szCs w:val="36"/>
          <w:highlight w:val="none"/>
        </w:rPr>
        <w:t xml:space="preserve">  </w:t>
      </w:r>
      <w:r>
        <w:rPr>
          <w:rFonts w:hint="eastAsia" w:ascii="宋体" w:hAnsi="宋体"/>
          <w:color w:val="auto"/>
          <w:sz w:val="36"/>
          <w:szCs w:val="36"/>
          <w:highlight w:val="none"/>
        </w:rPr>
        <w:t>日</w:t>
      </w:r>
    </w:p>
    <w:p>
      <w:pPr>
        <w:spacing w:line="360" w:lineRule="auto"/>
        <w:rPr>
          <w:rStyle w:val="165"/>
          <w:rFonts w:ascii="宋体" w:hAnsi="宋体"/>
          <w:color w:val="auto"/>
          <w:sz w:val="21"/>
          <w:szCs w:val="21"/>
          <w:highlight w:val="none"/>
        </w:rPr>
      </w:pPr>
      <w:r>
        <w:rPr>
          <w:rStyle w:val="165"/>
          <w:rFonts w:ascii="宋体" w:hAnsi="宋体"/>
          <w:color w:val="auto"/>
          <w:sz w:val="21"/>
          <w:szCs w:val="21"/>
          <w:highlight w:val="none"/>
        </w:rPr>
        <w:br w:type="page"/>
      </w:r>
    </w:p>
    <w:p>
      <w:pPr>
        <w:spacing w:line="400" w:lineRule="exact"/>
        <w:jc w:val="center"/>
        <w:rPr>
          <w:rFonts w:ascii="宋体" w:hAnsi="宋体"/>
          <w:b/>
          <w:color w:val="auto"/>
          <w:szCs w:val="21"/>
          <w:highlight w:val="none"/>
        </w:rPr>
      </w:pPr>
      <w:r>
        <w:rPr>
          <w:rFonts w:hint="eastAsia" w:ascii="宋体" w:hAnsi="宋体"/>
          <w:b/>
          <w:color w:val="auto"/>
          <w:szCs w:val="21"/>
          <w:highlight w:val="none"/>
        </w:rPr>
        <w:t>A1关于资格的承诺函</w:t>
      </w:r>
    </w:p>
    <w:p>
      <w:pPr>
        <w:spacing w:line="400" w:lineRule="exact"/>
        <w:ind w:left="540" w:firstLine="30"/>
        <w:jc w:val="center"/>
        <w:rPr>
          <w:rFonts w:ascii="宋体" w:hAnsi="宋体"/>
          <w:b/>
          <w:color w:val="auto"/>
          <w:szCs w:val="21"/>
          <w:highlight w:val="none"/>
        </w:rPr>
      </w:pPr>
    </w:p>
    <w:p>
      <w:pPr>
        <w:spacing w:line="400" w:lineRule="exact"/>
        <w:rPr>
          <w:rFonts w:ascii="宋体" w:hAnsi="宋体"/>
          <w:b/>
          <w:color w:val="auto"/>
          <w:szCs w:val="21"/>
          <w:highlight w:val="none"/>
        </w:rPr>
      </w:pPr>
      <w:r>
        <w:rPr>
          <w:rFonts w:hint="eastAsia" w:ascii="宋体" w:hAnsi="宋体"/>
          <w:color w:val="auto"/>
          <w:szCs w:val="21"/>
          <w:highlight w:val="none"/>
        </w:rPr>
        <w:t>致：采购人</w:t>
      </w:r>
    </w:p>
    <w:p>
      <w:pPr>
        <w:spacing w:line="400" w:lineRule="exact"/>
        <w:ind w:firstLine="420" w:firstLineChars="200"/>
        <w:rPr>
          <w:rFonts w:ascii="宋体" w:hAnsi="宋体"/>
          <w:color w:val="auto"/>
          <w:szCs w:val="21"/>
          <w:highlight w:val="none"/>
        </w:rPr>
      </w:pPr>
      <w:r>
        <w:rPr>
          <w:rFonts w:hint="eastAsia" w:ascii="宋体" w:hAnsi="宋体"/>
          <w:bCs/>
          <w:color w:val="auto"/>
          <w:szCs w:val="21"/>
          <w:highlight w:val="none"/>
        </w:rPr>
        <w:t>我单位承诺：</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我单位满足《中华人民共和国政府采购法》第二十二条 供应商参加政府采购活动应当具备的下列条件：</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（一）具有独立承担民事责任的能力；</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（二）具有良好的商业信誉和健全的财务会计制度；</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（三）具有履行合同所必需的设备和专业技术能力；</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（四）有依法缴纳税收和社会保障资金的良好记录；</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（五）参加政府采购活动前三年内，在经营活动中没有重大违法记录；</w:t>
      </w:r>
    </w:p>
    <w:p>
      <w:pPr>
        <w:spacing w:line="400" w:lineRule="exact"/>
        <w:ind w:firstLine="420" w:firstLineChars="200"/>
        <w:rPr>
          <w:rFonts w:ascii="宋体" w:hAnsi="宋体"/>
          <w:b/>
          <w:color w:val="auto"/>
          <w:szCs w:val="21"/>
          <w:highlight w:val="none"/>
        </w:rPr>
      </w:pPr>
      <w:r>
        <w:rPr>
          <w:rFonts w:hint="eastAsia" w:ascii="宋体" w:hAnsi="宋体"/>
          <w:color w:val="auto"/>
          <w:szCs w:val="21"/>
          <w:highlight w:val="none"/>
        </w:rPr>
        <w:t>（六）法律、行政法规规定的其他条件。</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特此承诺。</w:t>
      </w:r>
    </w:p>
    <w:p>
      <w:pPr>
        <w:pStyle w:val="40"/>
        <w:spacing w:before="0" w:beforeAutospacing="0" w:after="0" w:afterAutospacing="0" w:line="400" w:lineRule="exact"/>
        <w:ind w:right="159" w:firstLine="660"/>
        <w:jc w:val="both"/>
        <w:rPr>
          <w:bCs/>
          <w:color w:val="auto"/>
          <w:sz w:val="21"/>
          <w:szCs w:val="21"/>
          <w:highlight w:val="none"/>
        </w:rPr>
      </w:pPr>
    </w:p>
    <w:p>
      <w:pPr>
        <w:pStyle w:val="40"/>
        <w:spacing w:before="0" w:beforeAutospacing="0" w:after="0" w:afterAutospacing="0" w:line="400" w:lineRule="exact"/>
        <w:ind w:right="159" w:firstLine="660"/>
        <w:jc w:val="both"/>
        <w:rPr>
          <w:bCs/>
          <w:color w:val="auto"/>
          <w:sz w:val="21"/>
          <w:szCs w:val="21"/>
          <w:highlight w:val="none"/>
        </w:rPr>
      </w:pPr>
    </w:p>
    <w:p>
      <w:pPr>
        <w:spacing w:line="400" w:lineRule="exact"/>
        <w:rPr>
          <w:bCs/>
          <w:color w:val="auto"/>
          <w:szCs w:val="21"/>
          <w:highlight w:val="none"/>
        </w:rPr>
      </w:pPr>
      <w:r>
        <w:rPr>
          <w:rFonts w:hint="eastAsia" w:ascii="宋体" w:hAnsi="宋体"/>
          <w:bCs/>
          <w:color w:val="auto"/>
          <w:szCs w:val="21"/>
          <w:highlight w:val="none"/>
        </w:rPr>
        <w:t>注：</w:t>
      </w:r>
      <w:r>
        <w:rPr>
          <w:rFonts w:hint="eastAsia"/>
          <w:bCs/>
          <w:color w:val="auto"/>
          <w:szCs w:val="21"/>
          <w:highlight w:val="none"/>
        </w:rPr>
        <w:t>政府采购法所称重大违法记录：是指供应商因违法经营受到刑事处罚或者责令停产停业、吊销许可证或者执照、较大数额罚款等行政处罚。</w:t>
      </w:r>
    </w:p>
    <w:p>
      <w:pPr>
        <w:spacing w:line="400" w:lineRule="exact"/>
        <w:ind w:firstLine="420" w:firstLineChars="200"/>
        <w:rPr>
          <w:rFonts w:ascii="宋体" w:hAnsi="宋体"/>
          <w:color w:val="auto"/>
          <w:szCs w:val="21"/>
          <w:highlight w:val="none"/>
        </w:rPr>
      </w:pPr>
    </w:p>
    <w:p>
      <w:pPr>
        <w:spacing w:line="400" w:lineRule="exact"/>
        <w:rPr>
          <w:rFonts w:ascii="宋体" w:hAnsi="宋体"/>
          <w:color w:val="auto"/>
          <w:kern w:val="0"/>
          <w:szCs w:val="21"/>
          <w:highlight w:val="none"/>
        </w:rPr>
      </w:pPr>
    </w:p>
    <w:p>
      <w:pPr>
        <w:spacing w:line="400" w:lineRule="exact"/>
        <w:rPr>
          <w:rFonts w:ascii="宋体" w:hAnsi="宋体"/>
          <w:color w:val="auto"/>
          <w:kern w:val="0"/>
          <w:szCs w:val="21"/>
          <w:highlight w:val="none"/>
        </w:rPr>
      </w:pPr>
    </w:p>
    <w:p>
      <w:pPr>
        <w:spacing w:line="400" w:lineRule="exact"/>
        <w:rPr>
          <w:rFonts w:ascii="宋体" w:hAnsi="宋体"/>
          <w:color w:val="auto"/>
          <w:kern w:val="0"/>
          <w:szCs w:val="21"/>
          <w:highlight w:val="none"/>
        </w:rPr>
      </w:pPr>
    </w:p>
    <w:p>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pPr>
        <w:spacing w:line="400" w:lineRule="atLeas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pPr>
        <w:spacing w:line="400" w:lineRule="exact"/>
        <w:jc w:val="center"/>
        <w:rPr>
          <w:rFonts w:ascii="宋体" w:hAnsi="宋体"/>
          <w:b/>
          <w:color w:val="auto"/>
          <w:szCs w:val="21"/>
          <w:highlight w:val="none"/>
        </w:rPr>
      </w:pPr>
    </w:p>
    <w:p>
      <w:pPr>
        <w:spacing w:line="400" w:lineRule="exact"/>
        <w:jc w:val="center"/>
        <w:rPr>
          <w:rFonts w:ascii="宋体" w:hAnsi="宋体"/>
          <w:b/>
          <w:color w:val="auto"/>
          <w:szCs w:val="21"/>
          <w:highlight w:val="none"/>
        </w:rPr>
      </w:pPr>
      <w:r>
        <w:rPr>
          <w:rStyle w:val="165"/>
          <w:rFonts w:ascii="宋体" w:hAnsi="宋体"/>
          <w:color w:val="auto"/>
          <w:sz w:val="21"/>
          <w:szCs w:val="21"/>
          <w:highlight w:val="none"/>
        </w:rPr>
        <w:br w:type="page"/>
      </w:r>
      <w:r>
        <w:rPr>
          <w:rFonts w:hint="eastAsia" w:ascii="宋体" w:hAnsi="宋体"/>
          <w:b/>
          <w:color w:val="auto"/>
          <w:szCs w:val="21"/>
          <w:highlight w:val="none"/>
        </w:rPr>
        <w:t>A2、营业执照副本（或事业法人登记证副本或其他登记证明材料）</w:t>
      </w:r>
      <w:r>
        <w:rPr>
          <w:rFonts w:hint="eastAsia" w:ascii="宋体" w:hAnsi="宋体"/>
          <w:b/>
          <w:color w:val="auto"/>
          <w:szCs w:val="21"/>
          <w:highlight w:val="none"/>
          <w:lang w:eastAsia="zh-CN"/>
        </w:rPr>
        <w:t>扫描件</w:t>
      </w:r>
      <w:r>
        <w:rPr>
          <w:rFonts w:hint="eastAsia" w:ascii="宋体" w:hAnsi="宋体"/>
          <w:b/>
          <w:color w:val="auto"/>
          <w:szCs w:val="21"/>
          <w:highlight w:val="none"/>
          <w:lang w:val="en-US" w:eastAsia="zh-CN"/>
        </w:rPr>
        <w:t>或电子营业执照</w:t>
      </w:r>
      <w:r>
        <w:rPr>
          <w:rFonts w:hint="eastAsia" w:ascii="宋体" w:hAnsi="宋体"/>
          <w:b/>
          <w:color w:val="auto"/>
          <w:szCs w:val="21"/>
          <w:highlight w:val="none"/>
        </w:rPr>
        <w:t>加盖供应商公章（供应商如果有名称变更的，应提供由行政主管部门出具的变更证明文件</w:t>
      </w:r>
      <w:r>
        <w:rPr>
          <w:rFonts w:hint="eastAsia" w:ascii="宋体" w:hAnsi="宋体"/>
          <w:b/>
          <w:color w:val="auto"/>
          <w:szCs w:val="21"/>
          <w:highlight w:val="none"/>
          <w:lang w:eastAsia="zh-CN"/>
        </w:rPr>
        <w:t>扫描件</w:t>
      </w:r>
      <w:r>
        <w:rPr>
          <w:rFonts w:hint="eastAsia" w:ascii="宋体" w:hAnsi="宋体"/>
          <w:b/>
          <w:color w:val="auto"/>
          <w:szCs w:val="21"/>
          <w:highlight w:val="none"/>
        </w:rPr>
        <w:t>加盖供应商公章）</w:t>
      </w:r>
    </w:p>
    <w:p>
      <w:pPr>
        <w:spacing w:line="400" w:lineRule="exact"/>
        <w:jc w:val="left"/>
        <w:rPr>
          <w:rStyle w:val="165"/>
          <w:rFonts w:hint="eastAsia" w:ascii="宋体" w:hAnsi="宋体"/>
          <w:color w:val="auto"/>
          <w:sz w:val="21"/>
          <w:szCs w:val="21"/>
          <w:highlight w:val="none"/>
        </w:rPr>
      </w:pPr>
    </w:p>
    <w:p>
      <w:pPr>
        <w:spacing w:line="400" w:lineRule="exact"/>
        <w:rPr>
          <w:rStyle w:val="165"/>
          <w:rFonts w:ascii="宋体" w:hAnsi="宋体"/>
          <w:color w:val="auto"/>
          <w:sz w:val="28"/>
          <w:szCs w:val="28"/>
          <w:highlight w:val="none"/>
        </w:rPr>
      </w:pPr>
      <w:r>
        <w:rPr>
          <w:rStyle w:val="165"/>
          <w:rFonts w:ascii="宋体" w:hAnsi="宋体"/>
          <w:color w:val="auto"/>
          <w:sz w:val="21"/>
          <w:szCs w:val="21"/>
          <w:highlight w:val="none"/>
        </w:rPr>
        <w:br w:type="page"/>
      </w:r>
    </w:p>
    <w:p>
      <w:pPr>
        <w:autoSpaceDE w:val="0"/>
        <w:autoSpaceDN w:val="0"/>
        <w:adjustRightInd w:val="0"/>
        <w:spacing w:before="960" w:beforeLines="400" w:line="420" w:lineRule="exact"/>
        <w:jc w:val="center"/>
        <w:rPr>
          <w:rStyle w:val="165"/>
          <w:rFonts w:ascii="宋体" w:hAnsi="宋体"/>
          <w:color w:val="auto"/>
          <w:sz w:val="32"/>
          <w:szCs w:val="32"/>
          <w:highlight w:val="none"/>
        </w:rPr>
      </w:pPr>
      <w:bookmarkStart w:id="39" w:name="_Toc74987429"/>
      <w:bookmarkStart w:id="40" w:name="_Toc21541026"/>
      <w:bookmarkStart w:id="41" w:name="_Toc74987461"/>
      <w:r>
        <w:rPr>
          <w:rStyle w:val="165"/>
          <w:rFonts w:ascii="宋体" w:hAnsi="宋体"/>
          <w:color w:val="auto"/>
          <w:sz w:val="32"/>
          <w:szCs w:val="32"/>
          <w:highlight w:val="none"/>
        </w:rPr>
        <w:t>B.</w:t>
      </w:r>
      <w:r>
        <w:rPr>
          <w:rStyle w:val="165"/>
          <w:rFonts w:hint="eastAsia" w:ascii="宋体" w:hAnsi="宋体"/>
          <w:color w:val="auto"/>
          <w:sz w:val="32"/>
          <w:szCs w:val="32"/>
          <w:highlight w:val="none"/>
        </w:rPr>
        <w:t>商务和技术文件</w:t>
      </w:r>
      <w:bookmarkEnd w:id="39"/>
      <w:bookmarkEnd w:id="40"/>
      <w:bookmarkEnd w:id="41"/>
    </w:p>
    <w:p>
      <w:pPr>
        <w:autoSpaceDE w:val="0"/>
        <w:autoSpaceDN w:val="0"/>
        <w:adjustRightInd w:val="0"/>
        <w:spacing w:line="420" w:lineRule="exact"/>
        <w:rPr>
          <w:rStyle w:val="165"/>
          <w:rFonts w:ascii="宋体" w:hAnsi="宋体"/>
          <w:b w:val="0"/>
          <w:color w:val="auto"/>
          <w:highlight w:val="none"/>
          <w:lang w:val="zh-CN"/>
        </w:rPr>
      </w:pPr>
      <w:r>
        <w:rPr>
          <w:rStyle w:val="165"/>
          <w:rFonts w:ascii="宋体" w:hAnsi="宋体"/>
          <w:color w:val="auto"/>
          <w:sz w:val="32"/>
          <w:szCs w:val="32"/>
          <w:highlight w:val="none"/>
        </w:rPr>
        <w:br w:type="page"/>
      </w:r>
      <w:r>
        <w:rPr>
          <w:rStyle w:val="165"/>
          <w:rFonts w:hint="eastAsia" w:ascii="宋体" w:hAnsi="宋体"/>
          <w:color w:val="auto"/>
          <w:sz w:val="21"/>
          <w:szCs w:val="21"/>
          <w:highlight w:val="none"/>
        </w:rPr>
        <w:t>封面</w:t>
      </w:r>
    </w:p>
    <w:p>
      <w:pPr>
        <w:spacing w:line="360" w:lineRule="auto"/>
        <w:rPr>
          <w:rFonts w:hint="eastAsia" w:ascii="宋体" w:hAnsi="宋体"/>
          <w:color w:val="auto"/>
          <w:sz w:val="28"/>
          <w:szCs w:val="28"/>
          <w:highlight w:val="none"/>
        </w:rPr>
      </w:pPr>
    </w:p>
    <w:p>
      <w:pPr>
        <w:pStyle w:val="197"/>
        <w:rPr>
          <w:color w:val="auto"/>
          <w:highlight w:val="none"/>
        </w:rPr>
      </w:pPr>
    </w:p>
    <w:p>
      <w:pPr>
        <w:spacing w:line="360" w:lineRule="auto"/>
        <w:jc w:val="center"/>
        <w:rPr>
          <w:rFonts w:hint="eastAsia" w:ascii="宋体" w:hAnsi="宋体"/>
          <w:color w:val="auto"/>
          <w:sz w:val="40"/>
          <w:szCs w:val="48"/>
          <w:highlight w:val="none"/>
          <w:u w:val="single"/>
        </w:rPr>
      </w:pPr>
      <w:r>
        <w:rPr>
          <w:rFonts w:hint="eastAsia" w:ascii="宋体" w:hAnsi="宋体"/>
          <w:b/>
          <w:color w:val="auto"/>
          <w:sz w:val="40"/>
          <w:szCs w:val="48"/>
          <w:highlight w:val="none"/>
          <w:lang w:eastAsia="zh-CN"/>
        </w:rPr>
        <w:t>慈溪市崇寿镇2022年度保洁服务</w:t>
      </w:r>
      <w:r>
        <w:rPr>
          <w:rFonts w:hint="eastAsia" w:ascii="宋体" w:hAnsi="宋体"/>
          <w:b/>
          <w:color w:val="auto"/>
          <w:sz w:val="40"/>
          <w:szCs w:val="48"/>
          <w:highlight w:val="none"/>
        </w:rPr>
        <w:t>采购项目</w:t>
      </w:r>
    </w:p>
    <w:p>
      <w:pPr>
        <w:spacing w:line="360" w:lineRule="auto"/>
        <w:ind w:firstLine="2520" w:firstLineChars="700"/>
        <w:rPr>
          <w:rFonts w:hint="eastAsia" w:ascii="宋体" w:hAnsi="宋体"/>
          <w:color w:val="auto"/>
          <w:sz w:val="36"/>
          <w:szCs w:val="36"/>
          <w:highlight w:val="none"/>
          <w:u w:val="single"/>
        </w:rPr>
      </w:pPr>
      <w:r>
        <w:rPr>
          <w:rFonts w:hint="eastAsia" w:ascii="宋体" w:hAnsi="宋体"/>
          <w:color w:val="auto"/>
          <w:sz w:val="36"/>
          <w:szCs w:val="36"/>
          <w:highlight w:val="none"/>
          <w:u w:val="none"/>
        </w:rPr>
        <w:t>项目编号：</w:t>
      </w:r>
      <w:r>
        <w:rPr>
          <w:rFonts w:hint="eastAsia" w:ascii="宋体" w:hAnsi="宋体" w:eastAsia="宋体" w:cs="Times New Roman"/>
          <w:color w:val="auto"/>
          <w:sz w:val="36"/>
          <w:szCs w:val="36"/>
          <w:highlight w:val="none"/>
          <w:u w:val="single"/>
        </w:rPr>
        <w:fldChar w:fldCharType="begin"/>
      </w:r>
      <w:r>
        <w:rPr>
          <w:rFonts w:hint="eastAsia" w:ascii="宋体" w:hAnsi="宋体" w:eastAsia="宋体" w:cs="Times New Roman"/>
          <w:color w:val="auto"/>
          <w:sz w:val="36"/>
          <w:szCs w:val="36"/>
          <w:highlight w:val="none"/>
          <w:u w:val="single"/>
        </w:rPr>
        <w:instrText xml:space="preserve"> HYPERLINK "https://pay.zcygov.cn/purchaseplan_front/" \l "/plan/list/detail?id=1000000000007569839&amp;encrypt=1f2544fa333427dcec2e1c5237868c71" \o "CXZFCG[2022]658号" \t "https://www.zcygov.cn/bid-inviting/purchaseFileMake/announcementInfo/_blank" </w:instrText>
      </w:r>
      <w:r>
        <w:rPr>
          <w:rFonts w:hint="eastAsia" w:ascii="宋体" w:hAnsi="宋体" w:eastAsia="宋体" w:cs="Times New Roman"/>
          <w:color w:val="auto"/>
          <w:sz w:val="36"/>
          <w:szCs w:val="36"/>
          <w:highlight w:val="none"/>
          <w:u w:val="single"/>
        </w:rPr>
        <w:fldChar w:fldCharType="separate"/>
      </w:r>
      <w:r>
        <w:rPr>
          <w:rFonts w:hint="eastAsia" w:ascii="宋体" w:hAnsi="宋体" w:eastAsia="宋体" w:cs="Times New Roman"/>
          <w:color w:val="auto"/>
          <w:sz w:val="36"/>
          <w:szCs w:val="36"/>
          <w:highlight w:val="none"/>
          <w:u w:val="single"/>
          <w:lang w:eastAsia="zh-CN"/>
        </w:rPr>
        <w:t>CXZFCG[2022]1350号</w:t>
      </w:r>
      <w:r>
        <w:rPr>
          <w:rFonts w:hint="eastAsia" w:ascii="宋体" w:hAnsi="宋体" w:eastAsia="宋体" w:cs="Times New Roman"/>
          <w:color w:val="auto"/>
          <w:sz w:val="36"/>
          <w:szCs w:val="36"/>
          <w:highlight w:val="none"/>
          <w:u w:val="single"/>
        </w:rPr>
        <w:fldChar w:fldCharType="end"/>
      </w:r>
    </w:p>
    <w:p>
      <w:pPr>
        <w:rPr>
          <w:rFonts w:hint="eastAsia" w:ascii="宋体" w:hAnsi="宋体" w:eastAsia="宋体"/>
          <w:color w:val="auto"/>
          <w:sz w:val="28"/>
          <w:szCs w:val="28"/>
          <w:highlight w:val="none"/>
          <w:lang w:eastAsia="zh-CN"/>
        </w:rPr>
      </w:pPr>
    </w:p>
    <w:p>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（商务和技术文件）</w:t>
      </w:r>
    </w:p>
    <w:p>
      <w:pPr>
        <w:jc w:val="center"/>
        <w:rPr>
          <w:rFonts w:ascii="宋体" w:hAnsi="宋体"/>
          <w:color w:val="auto"/>
          <w:sz w:val="28"/>
          <w:szCs w:val="28"/>
          <w:highlight w:val="none"/>
        </w:rPr>
      </w:pPr>
    </w:p>
    <w:p>
      <w:pPr>
        <w:spacing w:line="360" w:lineRule="auto"/>
        <w:jc w:val="center"/>
        <w:rPr>
          <w:rFonts w:ascii="宋体" w:hAnsi="宋体"/>
          <w:b/>
          <w:color w:val="auto"/>
          <w:sz w:val="72"/>
          <w:szCs w:val="72"/>
          <w:highlight w:val="none"/>
        </w:rPr>
      </w:pP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pPr>
        <w:pStyle w:val="25"/>
        <w:ind w:left="101" w:leftChars="48" w:firstLine="1920" w:firstLineChars="800"/>
        <w:jc w:val="left"/>
        <w:rPr>
          <w:rFonts w:hAnsi="宋体"/>
          <w:color w:val="auto"/>
          <w:kern w:val="2"/>
          <w:szCs w:val="28"/>
          <w:highlight w:val="none"/>
          <w:u w:val="single"/>
        </w:rPr>
      </w:pPr>
    </w:p>
    <w:p>
      <w:pPr>
        <w:autoSpaceDE w:val="0"/>
        <w:autoSpaceDN w:val="0"/>
        <w:adjustRightInd w:val="0"/>
        <w:spacing w:line="400" w:lineRule="exact"/>
        <w:jc w:val="center"/>
        <w:outlineLvl w:val="0"/>
        <w:rPr>
          <w:rStyle w:val="165"/>
          <w:rFonts w:ascii="宋体" w:hAnsi="宋体"/>
          <w:color w:val="auto"/>
          <w:sz w:val="28"/>
          <w:szCs w:val="28"/>
          <w:highlight w:val="none"/>
        </w:rPr>
      </w:pPr>
      <w:bookmarkStart w:id="42" w:name="_Toc74987561"/>
      <w:bookmarkStart w:id="43" w:name="_Toc85732608"/>
      <w:bookmarkStart w:id="44" w:name="_Toc21541027"/>
      <w:bookmarkStart w:id="45" w:name="_Toc74987462"/>
      <w:bookmarkStart w:id="46" w:name="_Toc74987430"/>
      <w:bookmarkStart w:id="47" w:name="_Toc6520"/>
      <w:r>
        <w:rPr>
          <w:rFonts w:hint="eastAsia" w:ascii="宋体" w:hAnsi="宋体"/>
          <w:color w:val="auto"/>
          <w:sz w:val="36"/>
          <w:szCs w:val="36"/>
          <w:highlight w:val="none"/>
        </w:rPr>
        <w:t>年</w:t>
      </w:r>
      <w:r>
        <w:rPr>
          <w:rFonts w:ascii="宋体" w:hAnsi="宋体"/>
          <w:color w:val="auto"/>
          <w:sz w:val="36"/>
          <w:szCs w:val="36"/>
          <w:highlight w:val="none"/>
        </w:rPr>
        <w:t xml:space="preserve">  </w:t>
      </w:r>
      <w:r>
        <w:rPr>
          <w:rFonts w:hint="eastAsia" w:ascii="宋体" w:hAnsi="宋体"/>
          <w:color w:val="auto"/>
          <w:sz w:val="36"/>
          <w:szCs w:val="36"/>
          <w:highlight w:val="none"/>
        </w:rPr>
        <w:t>月</w:t>
      </w:r>
      <w:r>
        <w:rPr>
          <w:rFonts w:ascii="宋体" w:hAnsi="宋体"/>
          <w:color w:val="auto"/>
          <w:sz w:val="36"/>
          <w:szCs w:val="36"/>
          <w:highlight w:val="none"/>
        </w:rPr>
        <w:t xml:space="preserve">  </w:t>
      </w:r>
      <w:r>
        <w:rPr>
          <w:rFonts w:hint="eastAsia" w:ascii="宋体" w:hAnsi="宋体"/>
          <w:color w:val="auto"/>
          <w:sz w:val="36"/>
          <w:szCs w:val="36"/>
          <w:highlight w:val="none"/>
        </w:rPr>
        <w:t>日</w:t>
      </w:r>
      <w:bookmarkEnd w:id="42"/>
      <w:bookmarkEnd w:id="43"/>
      <w:bookmarkEnd w:id="44"/>
      <w:bookmarkEnd w:id="45"/>
      <w:bookmarkEnd w:id="46"/>
      <w:bookmarkEnd w:id="47"/>
    </w:p>
    <w:p>
      <w:pPr>
        <w:spacing w:line="360" w:lineRule="auto"/>
        <w:ind w:firstLine="4200" w:firstLineChars="2000"/>
        <w:jc w:val="left"/>
        <w:rPr>
          <w:rFonts w:ascii="宋体" w:hAnsi="宋体"/>
          <w:color w:val="auto"/>
          <w:szCs w:val="21"/>
          <w:highlight w:val="none"/>
        </w:rPr>
      </w:pPr>
    </w:p>
    <w:p>
      <w:pPr>
        <w:spacing w:line="360" w:lineRule="auto"/>
        <w:jc w:val="center"/>
        <w:rPr>
          <w:rFonts w:hint="eastAsia" w:ascii="宋体" w:hAnsi="宋体"/>
          <w:b/>
          <w:color w:val="auto"/>
          <w:szCs w:val="21"/>
          <w:highlight w:val="none"/>
        </w:rPr>
      </w:pPr>
      <w:r>
        <w:rPr>
          <w:rStyle w:val="165"/>
          <w:rFonts w:ascii="宋体" w:hAnsi="宋体"/>
          <w:color w:val="auto"/>
          <w:sz w:val="21"/>
          <w:szCs w:val="21"/>
          <w:highlight w:val="none"/>
        </w:rPr>
        <w:br w:type="page"/>
      </w:r>
      <w:r>
        <w:rPr>
          <w:rFonts w:hint="eastAsia" w:ascii="宋体" w:hAnsi="宋体"/>
          <w:b/>
          <w:color w:val="auto"/>
          <w:szCs w:val="21"/>
          <w:highlight w:val="none"/>
        </w:rPr>
        <w:t>B1投标书</w:t>
      </w:r>
    </w:p>
    <w:p>
      <w:pPr>
        <w:pStyle w:val="83"/>
        <w:rPr>
          <w:rFonts w:hint="eastAsia"/>
          <w:color w:val="auto"/>
          <w:highlight w:val="none"/>
        </w:rPr>
      </w:pPr>
    </w:p>
    <w:p>
      <w:pPr>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致：</w:t>
      </w:r>
      <w:r>
        <w:rPr>
          <w:rFonts w:hint="eastAsia" w:ascii="宋体" w:hAnsi="宋体"/>
          <w:color w:val="auto"/>
          <w:szCs w:val="21"/>
          <w:highlight w:val="none"/>
          <w:lang w:eastAsia="zh-CN"/>
        </w:rPr>
        <w:t>宁波永敬工程造价咨询有限公司</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u w:val="single"/>
        </w:rPr>
        <w:t>（供应商全称）　</w:t>
      </w:r>
      <w:r>
        <w:rPr>
          <w:rFonts w:hint="eastAsia" w:ascii="宋体" w:hAnsi="宋体"/>
          <w:color w:val="auto"/>
          <w:szCs w:val="21"/>
          <w:highlight w:val="none"/>
        </w:rPr>
        <w:t>授权</w:t>
      </w:r>
      <w:r>
        <w:rPr>
          <w:rFonts w:hint="eastAsia" w:ascii="宋体" w:hAnsi="宋体"/>
          <w:color w:val="auto"/>
          <w:szCs w:val="21"/>
          <w:highlight w:val="none"/>
          <w:u w:val="single"/>
        </w:rPr>
        <w:t xml:space="preserve">  （全名、职务）  </w:t>
      </w:r>
      <w:r>
        <w:rPr>
          <w:rFonts w:hint="eastAsia" w:ascii="宋体" w:hAnsi="宋体"/>
          <w:color w:val="auto"/>
          <w:szCs w:val="21"/>
          <w:highlight w:val="none"/>
        </w:rPr>
        <w:t>为全权代表，参加贵方组织的</w:t>
      </w:r>
      <w:r>
        <w:rPr>
          <w:rFonts w:hint="eastAsia" w:ascii="宋体" w:hAnsi="宋体"/>
          <w:color w:val="auto"/>
          <w:szCs w:val="21"/>
          <w:highlight w:val="none"/>
          <w:u w:val="single"/>
          <w:lang w:eastAsia="zh-CN"/>
        </w:rPr>
        <w:t>慈溪市崇寿镇2022年度保洁服务</w:t>
      </w:r>
      <w:r>
        <w:rPr>
          <w:rFonts w:hint="eastAsia" w:ascii="宋体" w:hAnsi="宋体"/>
          <w:color w:val="auto"/>
          <w:szCs w:val="21"/>
          <w:highlight w:val="none"/>
          <w:u w:val="single"/>
        </w:rPr>
        <w:t>采购项目</w:t>
      </w:r>
      <w:r>
        <w:rPr>
          <w:rFonts w:hint="eastAsia" w:ascii="宋体" w:hAnsi="宋体"/>
          <w:color w:val="auto"/>
          <w:szCs w:val="21"/>
          <w:highlight w:val="none"/>
        </w:rPr>
        <w:t>（项目编号：</w:t>
      </w:r>
      <w:r>
        <w:rPr>
          <w:rFonts w:hint="eastAsia" w:ascii="宋体" w:hAnsi="宋体" w:eastAsia="宋体" w:cs="Times New Roman"/>
          <w:color w:val="auto"/>
          <w:szCs w:val="21"/>
          <w:highlight w:val="none"/>
          <w:u w:val="single"/>
          <w:lang w:eastAsia="zh-CN"/>
        </w:rPr>
        <w:fldChar w:fldCharType="begin"/>
      </w:r>
      <w:r>
        <w:rPr>
          <w:rFonts w:hint="eastAsia" w:ascii="宋体" w:hAnsi="宋体" w:eastAsia="宋体" w:cs="Times New Roman"/>
          <w:color w:val="auto"/>
          <w:szCs w:val="21"/>
          <w:highlight w:val="none"/>
          <w:u w:val="single"/>
          <w:lang w:eastAsia="zh-CN"/>
        </w:rPr>
        <w:instrText xml:space="preserve"> HYPERLINK "https://pay.zcygov.cn/purchaseplan_front/" \l "/plan/list/detail?id=1000000000007569839&amp;encrypt=1f2544fa333427dcec2e1c5237868c71" \o "CXZFCG[2022]658号" \t "https://www.zcygov.cn/bid-inviting/purchaseFileMake/announcementInfo/_blank" </w:instrText>
      </w:r>
      <w:r>
        <w:rPr>
          <w:rFonts w:hint="eastAsia" w:ascii="宋体" w:hAnsi="宋体" w:eastAsia="宋体" w:cs="Times New Roman"/>
          <w:color w:val="auto"/>
          <w:szCs w:val="21"/>
          <w:highlight w:val="none"/>
          <w:u w:val="single"/>
          <w:lang w:eastAsia="zh-CN"/>
        </w:rPr>
        <w:fldChar w:fldCharType="separate"/>
      </w:r>
      <w:r>
        <w:rPr>
          <w:rFonts w:hint="eastAsia" w:ascii="宋体" w:hAnsi="宋体" w:eastAsia="宋体" w:cs="Times New Roman"/>
          <w:color w:val="auto"/>
          <w:szCs w:val="21"/>
          <w:highlight w:val="none"/>
          <w:u w:val="single"/>
          <w:lang w:eastAsia="zh-CN"/>
        </w:rPr>
        <w:t>CXZFCG[2022]1350号</w:t>
      </w:r>
      <w:r>
        <w:rPr>
          <w:rFonts w:hint="eastAsia" w:ascii="宋体" w:hAnsi="宋体" w:eastAsia="宋体" w:cs="Times New Roman"/>
          <w:color w:val="auto"/>
          <w:szCs w:val="21"/>
          <w:highlight w:val="none"/>
          <w:u w:val="single"/>
          <w:lang w:eastAsia="zh-CN"/>
        </w:rPr>
        <w:fldChar w:fldCharType="end"/>
      </w:r>
      <w:r>
        <w:rPr>
          <w:rFonts w:hint="eastAsia" w:ascii="宋体" w:hAnsi="宋体" w:eastAsia="宋体" w:cs="Times New Roman"/>
          <w:color w:val="auto"/>
          <w:szCs w:val="21"/>
          <w:highlight w:val="none"/>
          <w:u w:val="single"/>
          <w:lang w:eastAsia="zh-CN"/>
        </w:rPr>
        <w:t xml:space="preserve"> </w:t>
      </w:r>
      <w:r>
        <w:rPr>
          <w:rFonts w:hint="eastAsia" w:ascii="宋体" w:hAnsi="宋体"/>
          <w:color w:val="auto"/>
          <w:szCs w:val="21"/>
          <w:highlight w:val="none"/>
        </w:rPr>
        <w:t>）招标活动并投标，为便于采购人公正、择优地确定中标供应商及其服务，我方就本次投标有关事项郑重声明如下：</w:t>
      </w:r>
    </w:p>
    <w:p>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1、我方提交的所有投标文件、资料都是准确的和真实的。如有虚假或隐瞒，我方愿意承担一切后果，并不再寻求任何旨在减轻或免除法律责任的辩解。</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2、我方不是为本项目提供整体设计、规范编制或者项目管理、监理、检测等服务的供应商。</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3、我们已详细审查全部招标文件及有关的澄清/修改文件（若有），我们完全理解并同意放弃对这方面提出任何异议的权利。</w:t>
      </w:r>
    </w:p>
    <w:p>
      <w:pPr>
        <w:snapToGrid w:val="0"/>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hint="eastAsia" w:ascii="宋体"/>
          <w:color w:val="auto"/>
          <w:highlight w:val="none"/>
        </w:rPr>
        <w:t>保证遵守招标文件有关条款规定。</w:t>
      </w:r>
    </w:p>
    <w:p>
      <w:pPr>
        <w:snapToGrid w:val="0"/>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、本项目的投标报价详见“开标一览表”。</w:t>
      </w:r>
    </w:p>
    <w:p>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、投标文件有效期为自开标之日起</w:t>
      </w:r>
      <w:r>
        <w:rPr>
          <w:rFonts w:hint="eastAsia" w:ascii="宋体" w:hAnsi="宋体"/>
          <w:color w:val="auto"/>
          <w:szCs w:val="21"/>
          <w:highlight w:val="none"/>
          <w:u w:val="single"/>
        </w:rPr>
        <w:t xml:space="preserve"> 90 </w:t>
      </w:r>
      <w:r>
        <w:rPr>
          <w:rFonts w:hint="eastAsia" w:ascii="宋体" w:hAnsi="宋体"/>
          <w:color w:val="auto"/>
          <w:szCs w:val="21"/>
          <w:highlight w:val="none"/>
        </w:rPr>
        <w:t>个日历日。</w:t>
      </w:r>
    </w:p>
    <w:p>
      <w:pPr>
        <w:spacing w:line="400" w:lineRule="exact"/>
        <w:ind w:firstLine="420" w:firstLineChars="200"/>
        <w:jc w:val="left"/>
        <w:rPr>
          <w:rFonts w:ascii="宋体"/>
          <w:color w:val="auto"/>
          <w:highlight w:val="none"/>
        </w:rPr>
      </w:pPr>
      <w:r>
        <w:rPr>
          <w:rFonts w:ascii="宋体" w:hAnsi="宋体"/>
          <w:color w:val="auto"/>
          <w:szCs w:val="21"/>
          <w:highlight w:val="none"/>
        </w:rPr>
        <w:t>7</w:t>
      </w:r>
      <w:r>
        <w:rPr>
          <w:rFonts w:hint="eastAsia" w:ascii="宋体" w:hAnsi="宋体"/>
          <w:color w:val="auto"/>
          <w:szCs w:val="21"/>
          <w:highlight w:val="none"/>
        </w:rPr>
        <w:t>、</w:t>
      </w:r>
      <w:r>
        <w:rPr>
          <w:rFonts w:hint="eastAsia" w:ascii="宋体"/>
          <w:color w:val="auto"/>
          <w:highlight w:val="none"/>
        </w:rPr>
        <w:t>保证在中标后忠实地执行与采购人所签署的合同，并承担合同规定的责任义务。</w:t>
      </w:r>
    </w:p>
    <w:p>
      <w:pPr>
        <w:spacing w:line="400" w:lineRule="exact"/>
        <w:ind w:firstLine="420" w:firstLineChars="200"/>
        <w:jc w:val="left"/>
        <w:rPr>
          <w:rFonts w:hint="eastAsia" w:ascii="宋体"/>
          <w:color w:val="auto"/>
          <w:highlight w:val="none"/>
        </w:rPr>
      </w:pPr>
      <w:r>
        <w:rPr>
          <w:rFonts w:hint="eastAsia" w:ascii="宋体"/>
          <w:color w:val="auto"/>
          <w:highlight w:val="none"/>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highlight w:val="none"/>
        </w:rPr>
        <w:t>9、</w:t>
      </w:r>
      <w:r>
        <w:rPr>
          <w:rFonts w:hint="eastAsia"/>
          <w:color w:val="auto"/>
          <w:highlight w:val="none"/>
        </w:rPr>
        <w:t>我方郑重声明：我单位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10、与本投标有关的一切正式来往通讯请寄：</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r>
        <w:rPr>
          <w:rFonts w:hint="eastAsia" w:ascii="宋体" w:hAnsi="宋体"/>
          <w:color w:val="auto"/>
          <w:szCs w:val="21"/>
          <w:highlight w:val="none"/>
        </w:rPr>
        <w:t>邮编：</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r>
        <w:rPr>
          <w:rFonts w:hint="eastAsia" w:ascii="宋体" w:hAnsi="宋体"/>
          <w:color w:val="auto"/>
          <w:szCs w:val="21"/>
          <w:highlight w:val="none"/>
        </w:rPr>
        <w:t>传真：</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400" w:lineRule="exact"/>
        <w:ind w:left="540" w:firstLine="30"/>
        <w:jc w:val="left"/>
        <w:rPr>
          <w:rFonts w:hint="eastAsia" w:ascii="宋体" w:hAnsi="宋体"/>
          <w:color w:val="auto"/>
          <w:szCs w:val="21"/>
          <w:highlight w:val="none"/>
        </w:rPr>
      </w:pPr>
    </w:p>
    <w:p>
      <w:pPr>
        <w:spacing w:line="400" w:lineRule="exact"/>
        <w:jc w:val="left"/>
        <w:rPr>
          <w:rFonts w:hint="eastAsia" w:ascii="宋体" w:hAnsi="宋体"/>
          <w:color w:val="auto"/>
          <w:szCs w:val="21"/>
          <w:highlight w:val="none"/>
        </w:rPr>
      </w:pPr>
    </w:p>
    <w:p>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pPr>
        <w:spacing w:line="400" w:lineRule="atLeast"/>
        <w:jc w:val="left"/>
        <w:rPr>
          <w:rFonts w:ascii="宋体" w:hAnsi="宋体"/>
          <w:color w:val="auto"/>
          <w:szCs w:val="21"/>
          <w:highlight w:val="none"/>
        </w:rPr>
      </w:pPr>
      <w:r>
        <w:rPr>
          <w:rFonts w:hint="eastAsia" w:ascii="宋体" w:hAnsi="宋体"/>
          <w:color w:val="auto"/>
          <w:szCs w:val="21"/>
          <w:highlight w:val="none"/>
        </w:rPr>
        <w:t>法定代表人（签字或盖章）：</w:t>
      </w:r>
    </w:p>
    <w:p>
      <w:pPr>
        <w:spacing w:line="400" w:lineRule="atLeast"/>
        <w:jc w:val="left"/>
        <w:rPr>
          <w:rFonts w:ascii="宋体" w:hAnsi="宋体"/>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pPr>
        <w:spacing w:line="360" w:lineRule="auto"/>
        <w:jc w:val="center"/>
        <w:rPr>
          <w:rFonts w:ascii="宋体" w:hAnsi="宋体"/>
          <w:b/>
          <w:color w:val="auto"/>
          <w:szCs w:val="21"/>
          <w:highlight w:val="none"/>
        </w:rPr>
      </w:pPr>
      <w:r>
        <w:rPr>
          <w:rStyle w:val="165"/>
          <w:rFonts w:ascii="宋体" w:hAnsi="宋体"/>
          <w:color w:val="auto"/>
          <w:sz w:val="21"/>
          <w:szCs w:val="21"/>
          <w:highlight w:val="none"/>
        </w:rPr>
        <w:br w:type="page"/>
      </w:r>
      <w:r>
        <w:rPr>
          <w:rStyle w:val="165"/>
          <w:rFonts w:hint="eastAsia" w:ascii="宋体" w:hAnsi="宋体"/>
          <w:color w:val="auto"/>
          <w:sz w:val="21"/>
          <w:szCs w:val="21"/>
          <w:highlight w:val="none"/>
        </w:rPr>
        <w:t>B</w:t>
      </w:r>
      <w:r>
        <w:rPr>
          <w:rFonts w:ascii="宋体" w:hAnsi="宋体"/>
          <w:b/>
          <w:color w:val="auto"/>
          <w:szCs w:val="21"/>
          <w:highlight w:val="none"/>
        </w:rPr>
        <w:t>2</w:t>
      </w:r>
      <w:r>
        <w:rPr>
          <w:rFonts w:hint="eastAsia" w:ascii="宋体" w:hAnsi="宋体"/>
          <w:b/>
          <w:color w:val="auto"/>
          <w:szCs w:val="21"/>
          <w:highlight w:val="none"/>
        </w:rPr>
        <w:t>法定代表人身份证明</w:t>
      </w:r>
    </w:p>
    <w:p>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供应商名称：</w:t>
      </w:r>
      <w:r>
        <w:rPr>
          <w:rFonts w:ascii="宋体" w:hAnsi="宋体"/>
          <w:color w:val="auto"/>
          <w:szCs w:val="21"/>
          <w:highlight w:val="none"/>
          <w:u w:val="single"/>
        </w:rPr>
        <w:t xml:space="preserve">                   </w:t>
      </w:r>
    </w:p>
    <w:p>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单位性质：</w:t>
      </w:r>
      <w:r>
        <w:rPr>
          <w:rFonts w:ascii="宋体" w:hAnsi="宋体"/>
          <w:color w:val="auto"/>
          <w:szCs w:val="21"/>
          <w:highlight w:val="none"/>
          <w:u w:val="single"/>
        </w:rPr>
        <w:t xml:space="preserve">                   </w:t>
      </w:r>
    </w:p>
    <w:p>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地址：</w:t>
      </w:r>
      <w:r>
        <w:rPr>
          <w:rFonts w:ascii="宋体" w:hAnsi="宋体"/>
          <w:color w:val="auto"/>
          <w:szCs w:val="21"/>
          <w:highlight w:val="none"/>
          <w:u w:val="single"/>
        </w:rPr>
        <w:t xml:space="preserve">                   </w:t>
      </w:r>
    </w:p>
    <w:p>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成立时间：</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p>
    <w:p>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经营期限：</w:t>
      </w:r>
    </w:p>
    <w:p>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rPr>
        <w:t>性别：</w:t>
      </w:r>
      <w:r>
        <w:rPr>
          <w:rFonts w:ascii="宋体" w:hAnsi="宋体"/>
          <w:color w:val="auto"/>
          <w:szCs w:val="21"/>
          <w:highlight w:val="none"/>
          <w:u w:val="single"/>
        </w:rPr>
        <w:t xml:space="preserve">           </w:t>
      </w:r>
      <w:r>
        <w:rPr>
          <w:rFonts w:hint="eastAsia" w:ascii="宋体" w:hAnsi="宋体"/>
          <w:color w:val="auto"/>
          <w:szCs w:val="21"/>
          <w:highlight w:val="none"/>
        </w:rPr>
        <w:t>年龄：</w:t>
      </w:r>
      <w:r>
        <w:rPr>
          <w:rFonts w:ascii="宋体" w:hAnsi="宋体"/>
          <w:color w:val="auto"/>
          <w:szCs w:val="21"/>
          <w:highlight w:val="none"/>
          <w:u w:val="single"/>
        </w:rPr>
        <w:t xml:space="preserve">            </w:t>
      </w:r>
      <w:r>
        <w:rPr>
          <w:rFonts w:hint="eastAsia" w:ascii="宋体" w:hAnsi="宋体"/>
          <w:color w:val="auto"/>
          <w:szCs w:val="21"/>
          <w:highlight w:val="none"/>
        </w:rPr>
        <w:t>职务：</w:t>
      </w:r>
      <w:r>
        <w:rPr>
          <w:rFonts w:ascii="宋体" w:hAnsi="宋体"/>
          <w:color w:val="auto"/>
          <w:szCs w:val="21"/>
          <w:highlight w:val="none"/>
          <w:u w:val="single"/>
        </w:rPr>
        <w:t xml:space="preserve">          </w:t>
      </w:r>
    </w:p>
    <w:p>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p>
    <w:p>
      <w:pPr>
        <w:spacing w:line="400" w:lineRule="exact"/>
        <w:ind w:firstLine="560"/>
        <w:rPr>
          <w:rFonts w:ascii="宋体" w:hAnsi="宋体"/>
          <w:color w:val="auto"/>
          <w:szCs w:val="21"/>
          <w:highlight w:val="none"/>
        </w:rPr>
      </w:pPr>
    </w:p>
    <w:p>
      <w:pPr>
        <w:spacing w:line="40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系</w:t>
      </w:r>
      <w:r>
        <w:rPr>
          <w:rFonts w:hint="eastAsia" w:ascii="宋体" w:hAnsi="宋体"/>
          <w:color w:val="auto"/>
          <w:szCs w:val="21"/>
          <w:highlight w:val="none"/>
          <w:u w:val="single"/>
        </w:rPr>
        <w:t>（供应商名称）</w:t>
      </w:r>
      <w:r>
        <w:rPr>
          <w:rFonts w:hint="eastAsia" w:ascii="宋体" w:hAnsi="宋体"/>
          <w:color w:val="auto"/>
          <w:szCs w:val="21"/>
          <w:highlight w:val="none"/>
        </w:rPr>
        <w:t>的法定代表人。</w:t>
      </w:r>
    </w:p>
    <w:p>
      <w:pPr>
        <w:spacing w:line="400" w:lineRule="exact"/>
        <w:ind w:firstLine="560"/>
        <w:rPr>
          <w:rFonts w:ascii="宋体" w:hAnsi="宋体"/>
          <w:color w:val="auto"/>
          <w:szCs w:val="21"/>
          <w:highlight w:val="none"/>
        </w:rPr>
      </w:pPr>
    </w:p>
    <w:p>
      <w:pPr>
        <w:spacing w:line="400" w:lineRule="exact"/>
        <w:rPr>
          <w:rFonts w:ascii="宋体" w:hAnsi="宋体"/>
          <w:color w:val="auto"/>
          <w:szCs w:val="21"/>
          <w:highlight w:val="none"/>
        </w:rPr>
      </w:pPr>
      <w:r>
        <w:rPr>
          <w:rFonts w:hint="eastAsia" w:ascii="宋体" w:hAnsi="宋体"/>
          <w:color w:val="auto"/>
          <w:szCs w:val="21"/>
          <w:highlight w:val="none"/>
        </w:rPr>
        <w:t>特此证明。</w:t>
      </w:r>
    </w:p>
    <w:p>
      <w:pPr>
        <w:spacing w:line="400" w:lineRule="exact"/>
        <w:rPr>
          <w:rFonts w:ascii="宋体" w:hAnsi="宋体"/>
          <w:color w:val="auto"/>
          <w:szCs w:val="21"/>
          <w:highlight w:val="none"/>
        </w:rPr>
      </w:pPr>
    </w:p>
    <w:p>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pPr>
        <w:spacing w:line="400" w:lineRule="atLeas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pPr>
        <w:spacing w:line="400" w:lineRule="atLeast"/>
        <w:rPr>
          <w:rFonts w:ascii="宋体" w:hAnsi="宋体"/>
          <w:color w:val="auto"/>
          <w:szCs w:val="21"/>
          <w:highlight w:val="none"/>
          <w:u w:val="single"/>
        </w:rPr>
      </w:pPr>
    </w:p>
    <w:p>
      <w:pPr>
        <w:spacing w:line="400" w:lineRule="atLeast"/>
        <w:rPr>
          <w:rFonts w:ascii="宋体" w:hAnsi="宋体"/>
          <w:color w:val="auto"/>
          <w:szCs w:val="21"/>
          <w:highlight w:val="none"/>
          <w:u w:val="single"/>
        </w:rPr>
      </w:pPr>
    </w:p>
    <w:p>
      <w:pPr>
        <w:spacing w:line="360" w:lineRule="auto"/>
        <w:rPr>
          <w:rFonts w:hint="eastAsia"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后附：法定代表人身份证</w:t>
      </w:r>
      <w:r>
        <w:rPr>
          <w:rFonts w:hint="eastAsia" w:ascii="宋体" w:hAnsi="宋体"/>
          <w:color w:val="auto"/>
          <w:szCs w:val="21"/>
          <w:highlight w:val="none"/>
          <w:lang w:eastAsia="zh-CN"/>
        </w:rPr>
        <w:t>扫描件</w:t>
      </w:r>
      <w:r>
        <w:rPr>
          <w:rFonts w:hint="eastAsia" w:ascii="宋体" w:hAnsi="宋体"/>
          <w:color w:val="auto"/>
          <w:szCs w:val="21"/>
          <w:highlight w:val="none"/>
        </w:rPr>
        <w:t>（不同页的须加盖供应商公章）。</w:t>
      </w:r>
    </w:p>
    <w:p>
      <w:pPr>
        <w:spacing w:line="400" w:lineRule="atLeast"/>
        <w:rPr>
          <w:rFonts w:ascii="宋体" w:hAnsi="宋体"/>
          <w:color w:val="auto"/>
          <w:szCs w:val="21"/>
          <w:highlight w:val="none"/>
          <w:u w:val="single"/>
        </w:rPr>
      </w:pPr>
    </w:p>
    <w:p>
      <w:pPr>
        <w:spacing w:line="400" w:lineRule="exact"/>
        <w:jc w:val="center"/>
        <w:rPr>
          <w:rFonts w:ascii="宋体" w:hAnsi="宋体"/>
          <w:b/>
          <w:color w:val="auto"/>
          <w:szCs w:val="21"/>
          <w:highlight w:val="none"/>
        </w:rPr>
      </w:pPr>
      <w:r>
        <w:rPr>
          <w:rStyle w:val="165"/>
          <w:rFonts w:ascii="宋体" w:hAnsi="宋体"/>
          <w:color w:val="auto"/>
          <w:sz w:val="21"/>
          <w:szCs w:val="21"/>
          <w:highlight w:val="none"/>
        </w:rPr>
        <w:br w:type="page"/>
      </w:r>
      <w:r>
        <w:rPr>
          <w:rFonts w:hint="eastAsia" w:ascii="宋体" w:hAnsi="宋体"/>
          <w:b/>
          <w:color w:val="auto"/>
          <w:szCs w:val="21"/>
          <w:highlight w:val="none"/>
        </w:rPr>
        <w:t>B</w:t>
      </w:r>
      <w:r>
        <w:rPr>
          <w:rFonts w:ascii="宋体" w:hAnsi="宋体"/>
          <w:b/>
          <w:color w:val="auto"/>
          <w:szCs w:val="21"/>
          <w:highlight w:val="none"/>
        </w:rPr>
        <w:t>3</w:t>
      </w:r>
      <w:r>
        <w:rPr>
          <w:rFonts w:hint="eastAsia" w:ascii="宋体" w:hAnsi="宋体"/>
          <w:b/>
          <w:color w:val="auto"/>
          <w:szCs w:val="21"/>
          <w:highlight w:val="none"/>
        </w:rPr>
        <w:t>法定代表人授权书</w:t>
      </w:r>
    </w:p>
    <w:p>
      <w:pPr>
        <w:spacing w:line="400" w:lineRule="exact"/>
        <w:jc w:val="center"/>
        <w:rPr>
          <w:rFonts w:ascii="宋体" w:hAnsi="宋体"/>
          <w:b/>
          <w:color w:val="auto"/>
          <w:szCs w:val="21"/>
          <w:highlight w:val="none"/>
        </w:rPr>
      </w:pPr>
      <w:r>
        <w:rPr>
          <w:rFonts w:hint="eastAsia" w:ascii="宋体" w:hAnsi="宋体"/>
          <w:b/>
          <w:color w:val="auto"/>
          <w:szCs w:val="21"/>
          <w:highlight w:val="none"/>
        </w:rPr>
        <w:t>（投标文件由授权代表签字的须提供）</w:t>
      </w:r>
    </w:p>
    <w:p>
      <w:pPr>
        <w:spacing w:line="360" w:lineRule="auto"/>
        <w:rPr>
          <w:rFonts w:ascii="宋体" w:hAnsi="宋体"/>
          <w:color w:val="auto"/>
          <w:szCs w:val="21"/>
          <w:highlight w:val="none"/>
        </w:rPr>
      </w:pPr>
      <w:r>
        <w:rPr>
          <w:rFonts w:hint="eastAsia" w:ascii="宋体" w:hAnsi="宋体"/>
          <w:color w:val="auto"/>
          <w:szCs w:val="21"/>
          <w:highlight w:val="none"/>
        </w:rPr>
        <w:t>致：采购人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（供应商全称）</w:t>
      </w:r>
      <w:r>
        <w:rPr>
          <w:rFonts w:hint="eastAsia" w:ascii="宋体" w:hAnsi="宋体"/>
          <w:color w:val="auto"/>
          <w:szCs w:val="21"/>
          <w:highlight w:val="none"/>
        </w:rPr>
        <w:t>法定代表人</w:t>
      </w:r>
      <w:r>
        <w:rPr>
          <w:rFonts w:hint="eastAsia" w:ascii="宋体" w:hAnsi="宋体"/>
          <w:color w:val="auto"/>
          <w:szCs w:val="21"/>
          <w:highlight w:val="none"/>
          <w:u w:val="single"/>
        </w:rPr>
        <w:t>（法定代表人姓名）</w:t>
      </w:r>
      <w:r>
        <w:rPr>
          <w:rFonts w:hint="eastAsia" w:ascii="宋体" w:hAnsi="宋体"/>
          <w:color w:val="auto"/>
          <w:szCs w:val="21"/>
          <w:highlight w:val="none"/>
        </w:rPr>
        <w:t>授权</w:t>
      </w:r>
      <w:r>
        <w:rPr>
          <w:rFonts w:hint="eastAsia" w:ascii="宋体" w:hAnsi="宋体"/>
          <w:color w:val="auto"/>
          <w:szCs w:val="21"/>
          <w:highlight w:val="none"/>
          <w:u w:val="single"/>
        </w:rPr>
        <w:t>（授权代表姓名）</w:t>
      </w:r>
      <w:r>
        <w:rPr>
          <w:rFonts w:hint="eastAsia" w:ascii="宋体" w:hAnsi="宋体"/>
          <w:color w:val="auto"/>
          <w:szCs w:val="21"/>
          <w:highlight w:val="none"/>
        </w:rPr>
        <w:t>为授权代表，参加</w:t>
      </w:r>
      <w:r>
        <w:rPr>
          <w:rFonts w:hint="eastAsia" w:ascii="宋体" w:hAnsi="宋体"/>
          <w:color w:val="auto"/>
          <w:szCs w:val="21"/>
          <w:highlight w:val="none"/>
          <w:u w:val="single"/>
          <w:lang w:eastAsia="zh-CN"/>
        </w:rPr>
        <w:t>慈溪市崇寿镇2022年度保洁服务</w:t>
      </w:r>
      <w:r>
        <w:rPr>
          <w:rFonts w:hint="eastAsia" w:ascii="宋体" w:hAnsi="宋体"/>
          <w:color w:val="auto"/>
          <w:szCs w:val="21"/>
          <w:highlight w:val="none"/>
          <w:u w:val="single"/>
        </w:rPr>
        <w:t>采购项目</w:t>
      </w:r>
      <w:r>
        <w:rPr>
          <w:rFonts w:hint="eastAsia" w:ascii="宋体" w:hAnsi="宋体"/>
          <w:color w:val="auto"/>
          <w:szCs w:val="21"/>
          <w:highlight w:val="none"/>
        </w:rPr>
        <w:t>，项目编号为</w:t>
      </w:r>
      <w:r>
        <w:rPr>
          <w:rFonts w:hint="eastAsia" w:ascii="宋体" w:hAnsi="宋体"/>
          <w:color w:val="auto"/>
          <w:szCs w:val="21"/>
          <w:highlight w:val="none"/>
          <w:u w:val="single"/>
        </w:rPr>
        <w:t xml:space="preserve"> </w:t>
      </w:r>
      <w:r>
        <w:rPr>
          <w:rFonts w:hint="eastAsia" w:ascii="宋体" w:hAnsi="宋体" w:eastAsia="宋体" w:cs="Times New Roman"/>
          <w:color w:val="auto"/>
          <w:szCs w:val="21"/>
          <w:highlight w:val="none"/>
          <w:u w:val="single"/>
          <w:lang w:eastAsia="zh-CN"/>
        </w:rPr>
        <w:fldChar w:fldCharType="begin"/>
      </w:r>
      <w:r>
        <w:rPr>
          <w:rFonts w:hint="eastAsia" w:ascii="宋体" w:hAnsi="宋体" w:eastAsia="宋体" w:cs="Times New Roman"/>
          <w:color w:val="auto"/>
          <w:szCs w:val="21"/>
          <w:highlight w:val="none"/>
          <w:u w:val="single"/>
          <w:lang w:eastAsia="zh-CN"/>
        </w:rPr>
        <w:instrText xml:space="preserve"> HYPERLINK "https://pay.zcygov.cn/purchaseplan_front/" \l "/plan/list/detail?id=1000000000007569839&amp;encrypt=1f2544fa333427dcec2e1c5237868c71" \o "CXZFCG[2022]658号" \t "https://www.zcygov.cn/bid-inviting/purchaseFileMake/announcementInfo/_blank" </w:instrText>
      </w:r>
      <w:r>
        <w:rPr>
          <w:rFonts w:hint="eastAsia" w:ascii="宋体" w:hAnsi="宋体" w:eastAsia="宋体" w:cs="Times New Roman"/>
          <w:color w:val="auto"/>
          <w:szCs w:val="21"/>
          <w:highlight w:val="none"/>
          <w:u w:val="single"/>
          <w:lang w:eastAsia="zh-CN"/>
        </w:rPr>
        <w:fldChar w:fldCharType="separate"/>
      </w:r>
      <w:r>
        <w:rPr>
          <w:rFonts w:hint="eastAsia" w:ascii="宋体" w:hAnsi="宋体" w:eastAsia="宋体" w:cs="Times New Roman"/>
          <w:color w:val="auto"/>
          <w:szCs w:val="21"/>
          <w:highlight w:val="none"/>
          <w:u w:val="single"/>
          <w:lang w:eastAsia="zh-CN"/>
        </w:rPr>
        <w:t>CXZFCG[2022]1350号</w:t>
      </w:r>
      <w:r>
        <w:rPr>
          <w:rFonts w:hint="eastAsia" w:ascii="宋体" w:hAnsi="宋体" w:eastAsia="宋体" w:cs="Times New Roman"/>
          <w:color w:val="auto"/>
          <w:szCs w:val="21"/>
          <w:highlight w:val="none"/>
          <w:u w:val="single"/>
          <w:lang w:eastAsia="zh-CN"/>
        </w:rPr>
        <w:fldChar w:fldCharType="end"/>
      </w:r>
      <w:r>
        <w:rPr>
          <w:rFonts w:hint="eastAsia" w:ascii="宋体" w:hAnsi="宋体"/>
          <w:color w:val="auto"/>
          <w:szCs w:val="21"/>
          <w:highlight w:val="none"/>
        </w:rPr>
        <w:t>，其在招投标活动中的一切活动本公司均予承认。</w:t>
      </w:r>
    </w:p>
    <w:p>
      <w:pPr>
        <w:spacing w:line="400" w:lineRule="atLeast"/>
        <w:jc w:val="left"/>
        <w:rPr>
          <w:rFonts w:ascii="宋体" w:hAnsi="宋体"/>
          <w:color w:val="auto"/>
          <w:szCs w:val="21"/>
          <w:highlight w:val="none"/>
        </w:rPr>
      </w:pPr>
    </w:p>
    <w:p>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pPr>
        <w:spacing w:line="400" w:lineRule="atLeast"/>
        <w:jc w:val="left"/>
        <w:rPr>
          <w:rFonts w:ascii="宋体" w:hAnsi="宋体"/>
          <w:color w:val="auto"/>
          <w:szCs w:val="21"/>
          <w:highlight w:val="none"/>
        </w:rPr>
      </w:pPr>
      <w:r>
        <w:rPr>
          <w:rFonts w:hint="eastAsia" w:ascii="宋体" w:hAnsi="宋体"/>
          <w:color w:val="auto"/>
          <w:szCs w:val="21"/>
          <w:highlight w:val="none"/>
        </w:rPr>
        <w:t>法定代表人（签字或盖章）：</w:t>
      </w:r>
    </w:p>
    <w:p>
      <w:pPr>
        <w:spacing w:line="400" w:lineRule="atLeas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附：</w:t>
      </w:r>
    </w:p>
    <w:p>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授权代表姓名：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ind w:firstLine="555"/>
        <w:rPr>
          <w:rFonts w:hint="eastAsia" w:ascii="宋体" w:hAnsi="宋体"/>
          <w:color w:val="auto"/>
          <w:szCs w:val="21"/>
          <w:highlight w:val="none"/>
          <w:u w:val="single"/>
        </w:rPr>
      </w:pPr>
      <w:r>
        <w:rPr>
          <w:rFonts w:hint="eastAsia" w:ascii="宋体" w:hAnsi="宋体"/>
          <w:color w:val="auto"/>
          <w:szCs w:val="21"/>
          <w:highlight w:val="none"/>
        </w:rPr>
        <w:t>授权代表身份证号码：</w:t>
      </w:r>
      <w:r>
        <w:rPr>
          <w:rFonts w:ascii="宋体" w:hAnsi="宋体"/>
          <w:color w:val="auto"/>
          <w:szCs w:val="21"/>
          <w:highlight w:val="none"/>
          <w:u w:val="single"/>
        </w:rPr>
        <w:t xml:space="preserve">                   </w:t>
      </w:r>
    </w:p>
    <w:p>
      <w:pPr>
        <w:spacing w:line="360" w:lineRule="auto"/>
        <w:ind w:firstLine="555"/>
        <w:rPr>
          <w:rFonts w:hint="eastAsia" w:ascii="宋体" w:hAnsi="宋体"/>
          <w:color w:val="auto"/>
          <w:szCs w:val="21"/>
          <w:highlight w:val="none"/>
          <w:u w:val="single"/>
        </w:rPr>
      </w:pPr>
      <w:r>
        <w:rPr>
          <w:rFonts w:hint="eastAsia" w:ascii="宋体" w:hAnsi="宋体"/>
          <w:color w:val="auto"/>
          <w:szCs w:val="21"/>
          <w:highlight w:val="none"/>
        </w:rPr>
        <w:t>职务：</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ind w:firstLine="555"/>
        <w:rPr>
          <w:rFonts w:hint="eastAsia" w:ascii="宋体" w:hAnsi="宋体"/>
          <w:color w:val="auto"/>
          <w:szCs w:val="21"/>
          <w:highlight w:val="none"/>
          <w:u w:val="single"/>
        </w:rPr>
      </w:pPr>
      <w:r>
        <w:rPr>
          <w:rFonts w:hint="eastAsia" w:ascii="宋体" w:hAnsi="宋体"/>
          <w:color w:val="auto"/>
          <w:szCs w:val="21"/>
          <w:highlight w:val="none"/>
        </w:rPr>
        <w:t>详细通讯地址：</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ind w:firstLine="555"/>
        <w:rPr>
          <w:rFonts w:hint="eastAsia" w:ascii="宋体" w:hAnsi="宋体"/>
          <w:color w:val="auto"/>
          <w:szCs w:val="21"/>
          <w:highlight w:val="none"/>
        </w:rPr>
      </w:pPr>
      <w:r>
        <w:rPr>
          <w:rFonts w:hint="eastAsia" w:ascii="宋体" w:hAnsi="宋体"/>
          <w:color w:val="auto"/>
          <w:szCs w:val="21"/>
          <w:highlight w:val="none"/>
        </w:rPr>
        <w:t>电话：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ind w:firstLine="555"/>
        <w:rPr>
          <w:rFonts w:hint="eastAsia" w:ascii="宋体" w:hAnsi="宋体"/>
          <w:color w:val="auto"/>
          <w:szCs w:val="21"/>
          <w:highlight w:val="none"/>
          <w:u w:val="single"/>
        </w:rPr>
      </w:pPr>
      <w:r>
        <w:rPr>
          <w:rFonts w:hint="eastAsia" w:ascii="宋体" w:hAnsi="宋体"/>
          <w:color w:val="auto"/>
          <w:szCs w:val="21"/>
          <w:highlight w:val="none"/>
        </w:rPr>
        <w:t>传真：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ind w:firstLine="525" w:firstLineChars="250"/>
        <w:rPr>
          <w:rFonts w:ascii="宋体" w:hAnsi="宋体"/>
          <w:color w:val="auto"/>
          <w:szCs w:val="21"/>
          <w:highlight w:val="none"/>
          <w:u w:val="single"/>
        </w:rPr>
      </w:pPr>
    </w:p>
    <w:p>
      <w:pPr>
        <w:spacing w:line="360" w:lineRule="auto"/>
        <w:ind w:firstLine="525" w:firstLineChars="250"/>
        <w:rPr>
          <w:rFonts w:ascii="宋体" w:hAnsi="宋体"/>
          <w:color w:val="auto"/>
          <w:szCs w:val="21"/>
          <w:highlight w:val="none"/>
          <w:u w:val="single"/>
        </w:rPr>
      </w:pPr>
    </w:p>
    <w:p>
      <w:pPr>
        <w:spacing w:line="360" w:lineRule="auto"/>
        <w:ind w:firstLine="525" w:firstLineChars="250"/>
        <w:rPr>
          <w:rFonts w:ascii="宋体" w:hAnsi="宋体"/>
          <w:color w:val="auto"/>
          <w:szCs w:val="21"/>
          <w:highlight w:val="none"/>
          <w:u w:val="single"/>
        </w:rPr>
      </w:pPr>
    </w:p>
    <w:p>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后附：</w:t>
      </w:r>
    </w:p>
    <w:p>
      <w:pPr>
        <w:spacing w:line="360" w:lineRule="auto"/>
        <w:ind w:firstLine="525" w:firstLineChars="25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、授权代表身份证</w:t>
      </w:r>
      <w:r>
        <w:rPr>
          <w:rFonts w:hint="eastAsia" w:ascii="宋体" w:hAnsi="宋体"/>
          <w:color w:val="auto"/>
          <w:szCs w:val="21"/>
          <w:highlight w:val="none"/>
          <w:lang w:eastAsia="zh-CN"/>
        </w:rPr>
        <w:t>扫描件</w:t>
      </w:r>
      <w:r>
        <w:rPr>
          <w:rFonts w:hint="eastAsia" w:ascii="宋体" w:hAnsi="宋体"/>
          <w:color w:val="auto"/>
          <w:szCs w:val="21"/>
          <w:highlight w:val="none"/>
        </w:rPr>
        <w:t>（不同页的须加盖供应商公章）；</w:t>
      </w:r>
    </w:p>
    <w:p>
      <w:pPr>
        <w:spacing w:line="360" w:lineRule="auto"/>
        <w:ind w:firstLine="517" w:firstLineChars="250"/>
        <w:jc w:val="center"/>
        <w:rPr>
          <w:rFonts w:ascii="宋体" w:hAnsi="宋体"/>
          <w:b/>
          <w:color w:val="auto"/>
          <w:szCs w:val="21"/>
          <w:highlight w:val="none"/>
        </w:rPr>
      </w:pPr>
      <w:r>
        <w:rPr>
          <w:rStyle w:val="165"/>
          <w:rFonts w:ascii="宋体" w:hAnsi="宋体"/>
          <w:color w:val="auto"/>
          <w:sz w:val="21"/>
          <w:szCs w:val="21"/>
          <w:highlight w:val="none"/>
        </w:rPr>
        <w:br w:type="page"/>
      </w:r>
      <w:r>
        <w:rPr>
          <w:rFonts w:ascii="宋体" w:hAnsi="宋体"/>
          <w:b/>
          <w:color w:val="auto"/>
          <w:szCs w:val="21"/>
          <w:highlight w:val="none"/>
        </w:rPr>
        <w:t xml:space="preserve"> </w:t>
      </w:r>
    </w:p>
    <w:p>
      <w:pPr>
        <w:spacing w:line="440" w:lineRule="exact"/>
        <w:jc w:val="center"/>
        <w:rPr>
          <w:rFonts w:ascii="宋体" w:hAnsi="宋体"/>
          <w:b/>
          <w:color w:val="auto"/>
          <w:szCs w:val="21"/>
          <w:highlight w:val="none"/>
        </w:rPr>
      </w:pPr>
      <w:r>
        <w:rPr>
          <w:rFonts w:hint="eastAsia" w:ascii="宋体" w:hAnsi="宋体"/>
          <w:b/>
          <w:color w:val="auto"/>
          <w:szCs w:val="21"/>
          <w:highlight w:val="none"/>
        </w:rPr>
        <w:t>B</w:t>
      </w:r>
      <w:r>
        <w:rPr>
          <w:rFonts w:ascii="宋体" w:hAnsi="宋体"/>
          <w:b/>
          <w:color w:val="auto"/>
          <w:szCs w:val="21"/>
          <w:highlight w:val="none"/>
        </w:rPr>
        <w:t>4</w:t>
      </w:r>
      <w:r>
        <w:rPr>
          <w:rFonts w:hint="eastAsia" w:ascii="宋体" w:hAnsi="宋体"/>
          <w:b/>
          <w:color w:val="auto"/>
          <w:szCs w:val="21"/>
          <w:highlight w:val="none"/>
        </w:rPr>
        <w:t>供应商一般情况</w:t>
      </w:r>
    </w:p>
    <w:tbl>
      <w:tblPr>
        <w:tblStyle w:val="4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8147" w:type="dxa"/>
            <w:gridSpan w:val="3"/>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2</w:t>
            </w:r>
          </w:p>
        </w:tc>
        <w:tc>
          <w:tcPr>
            <w:tcW w:w="8147" w:type="dxa"/>
            <w:gridSpan w:val="3"/>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3</w:t>
            </w:r>
          </w:p>
        </w:tc>
        <w:tc>
          <w:tcPr>
            <w:tcW w:w="8147" w:type="dxa"/>
            <w:gridSpan w:val="3"/>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4</w:t>
            </w:r>
          </w:p>
        </w:tc>
        <w:tc>
          <w:tcPr>
            <w:tcW w:w="4305" w:type="dxa"/>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电</w:t>
            </w:r>
            <w:r>
              <w:rPr>
                <w:rFonts w:ascii="宋体" w:hAnsi="宋体"/>
                <w:color w:val="auto"/>
                <w:szCs w:val="21"/>
                <w:highlight w:val="none"/>
              </w:rPr>
              <w:t xml:space="preserve">  </w:t>
            </w:r>
            <w:r>
              <w:rPr>
                <w:rFonts w:hint="eastAsia" w:ascii="宋体" w:hAnsi="宋体"/>
                <w:color w:val="auto"/>
                <w:szCs w:val="21"/>
                <w:highlight w:val="none"/>
              </w:rPr>
              <w:t>话：</w:t>
            </w:r>
          </w:p>
        </w:tc>
        <w:tc>
          <w:tcPr>
            <w:tcW w:w="3842" w:type="dxa"/>
            <w:gridSpan w:val="2"/>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w:t>
            </w:r>
            <w:r>
              <w:rPr>
                <w:rFonts w:hint="eastAsia" w:ascii="宋体" w:hAnsi="宋体"/>
                <w:color w:val="auto"/>
                <w:szCs w:val="21"/>
                <w:highlight w:val="none"/>
              </w:rPr>
              <w:t>系</w:t>
            </w:r>
            <w:r>
              <w:rPr>
                <w:rFonts w:ascii="宋体" w:hAnsi="宋体"/>
                <w:color w:val="auto"/>
                <w:szCs w:val="21"/>
                <w:highlight w:val="none"/>
              </w:rPr>
              <w:t xml:space="preserve"> </w:t>
            </w:r>
            <w:r>
              <w:rPr>
                <w:rFonts w:hint="eastAsia" w:ascii="宋体" w:hAnsi="宋体"/>
                <w:color w:val="auto"/>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5</w:t>
            </w:r>
          </w:p>
        </w:tc>
        <w:tc>
          <w:tcPr>
            <w:tcW w:w="4305" w:type="dxa"/>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传</w:t>
            </w:r>
            <w:r>
              <w:rPr>
                <w:rFonts w:ascii="宋体" w:hAnsi="宋体"/>
                <w:color w:val="auto"/>
                <w:szCs w:val="21"/>
                <w:highlight w:val="none"/>
              </w:rPr>
              <w:t xml:space="preserve">  </w:t>
            </w:r>
            <w:r>
              <w:rPr>
                <w:rFonts w:hint="eastAsia" w:ascii="宋体" w:hAnsi="宋体"/>
                <w:color w:val="auto"/>
                <w:szCs w:val="21"/>
                <w:highlight w:val="none"/>
              </w:rPr>
              <w:t>真：</w:t>
            </w:r>
          </w:p>
        </w:tc>
        <w:tc>
          <w:tcPr>
            <w:tcW w:w="3842" w:type="dxa"/>
            <w:gridSpan w:val="2"/>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6</w:t>
            </w:r>
          </w:p>
        </w:tc>
        <w:tc>
          <w:tcPr>
            <w:tcW w:w="4305" w:type="dxa"/>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注册地：</w:t>
            </w:r>
          </w:p>
        </w:tc>
        <w:tc>
          <w:tcPr>
            <w:tcW w:w="3842" w:type="dxa"/>
            <w:gridSpan w:val="2"/>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7</w:t>
            </w:r>
          </w:p>
        </w:tc>
        <w:tc>
          <w:tcPr>
            <w:tcW w:w="8147" w:type="dxa"/>
            <w:gridSpan w:val="3"/>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公司的资质等级（请附上有关证书的</w:t>
            </w:r>
            <w:r>
              <w:rPr>
                <w:rFonts w:hint="eastAsia" w:ascii="宋体" w:hAnsi="宋体"/>
                <w:color w:val="auto"/>
                <w:szCs w:val="21"/>
                <w:highlight w:val="none"/>
                <w:lang w:eastAsia="zh-CN"/>
              </w:rPr>
              <w:t>扫描件</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8</w:t>
            </w:r>
          </w:p>
        </w:tc>
        <w:tc>
          <w:tcPr>
            <w:tcW w:w="8147" w:type="dxa"/>
            <w:gridSpan w:val="3"/>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公司（是否通过，何种）质量保证体系认证（如通过请附相关证书</w:t>
            </w:r>
            <w:r>
              <w:rPr>
                <w:rFonts w:hint="eastAsia" w:ascii="宋体" w:hAnsi="宋体"/>
                <w:color w:val="auto"/>
                <w:szCs w:val="21"/>
                <w:highlight w:val="none"/>
                <w:lang w:eastAsia="zh-CN"/>
              </w:rPr>
              <w:t>扫描件</w:t>
            </w:r>
            <w:r>
              <w:rPr>
                <w:rFonts w:hint="eastAsia" w:ascii="宋体" w:hAnsi="宋体"/>
                <w:color w:val="auto"/>
                <w:szCs w:val="21"/>
                <w:highlight w:val="none"/>
              </w:rPr>
              <w:t>，提供认证机构年审监督报告）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9</w:t>
            </w:r>
          </w:p>
        </w:tc>
        <w:tc>
          <w:tcPr>
            <w:tcW w:w="4314" w:type="dxa"/>
            <w:gridSpan w:val="2"/>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从业人员数量</w:t>
            </w:r>
          </w:p>
        </w:tc>
        <w:tc>
          <w:tcPr>
            <w:tcW w:w="3833" w:type="dxa"/>
            <w:noWrap w:val="0"/>
            <w:vAlign w:val="center"/>
          </w:tcPr>
          <w:p>
            <w:pPr>
              <w:spacing w:line="40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10</w:t>
            </w:r>
          </w:p>
        </w:tc>
        <w:tc>
          <w:tcPr>
            <w:tcW w:w="4314" w:type="dxa"/>
            <w:gridSpan w:val="2"/>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营业收入</w:t>
            </w:r>
          </w:p>
        </w:tc>
        <w:tc>
          <w:tcPr>
            <w:tcW w:w="3833" w:type="dxa"/>
            <w:noWrap w:val="0"/>
            <w:vAlign w:val="center"/>
          </w:tcPr>
          <w:p>
            <w:pPr>
              <w:spacing w:line="40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11</w:t>
            </w:r>
          </w:p>
        </w:tc>
        <w:tc>
          <w:tcPr>
            <w:tcW w:w="4314" w:type="dxa"/>
            <w:gridSpan w:val="2"/>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其他需要说明的情况</w:t>
            </w:r>
          </w:p>
        </w:tc>
        <w:tc>
          <w:tcPr>
            <w:tcW w:w="3833" w:type="dxa"/>
            <w:noWrap w:val="0"/>
            <w:vAlign w:val="center"/>
          </w:tcPr>
          <w:p>
            <w:pPr>
              <w:spacing w:line="400" w:lineRule="exact"/>
              <w:rPr>
                <w:rFonts w:ascii="宋体" w:hAnsi="宋体"/>
                <w:color w:val="auto"/>
                <w:szCs w:val="21"/>
                <w:highlight w:val="none"/>
              </w:rPr>
            </w:pPr>
          </w:p>
        </w:tc>
      </w:tr>
    </w:tbl>
    <w:p>
      <w:pPr>
        <w:spacing w:line="400" w:lineRule="atLeast"/>
        <w:jc w:val="left"/>
        <w:rPr>
          <w:rFonts w:ascii="宋体" w:hAnsi="宋体"/>
          <w:color w:val="auto"/>
          <w:szCs w:val="21"/>
          <w:highlight w:val="none"/>
        </w:rPr>
      </w:pPr>
    </w:p>
    <w:p>
      <w:pPr>
        <w:spacing w:line="400" w:lineRule="atLeast"/>
        <w:jc w:val="left"/>
        <w:rPr>
          <w:rFonts w:ascii="宋体" w:hAnsi="宋体"/>
          <w:color w:val="auto"/>
          <w:szCs w:val="21"/>
          <w:highlight w:val="none"/>
        </w:rPr>
      </w:pPr>
    </w:p>
    <w:p>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pPr>
        <w:spacing w:line="400" w:lineRule="atLeas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pPr>
        <w:spacing w:line="360" w:lineRule="auto"/>
        <w:rPr>
          <w:rStyle w:val="165"/>
          <w:rFonts w:ascii="宋体" w:hAnsi="宋体"/>
          <w:color w:val="auto"/>
          <w:sz w:val="21"/>
          <w:szCs w:val="21"/>
          <w:highlight w:val="none"/>
        </w:rPr>
      </w:pPr>
      <w:r>
        <w:rPr>
          <w:rFonts w:ascii="宋体" w:hAnsi="宋体"/>
          <w:color w:val="auto"/>
          <w:szCs w:val="21"/>
          <w:highlight w:val="none"/>
        </w:rPr>
        <w:br w:type="page"/>
      </w:r>
    </w:p>
    <w:p>
      <w:pPr>
        <w:spacing w:line="400" w:lineRule="exact"/>
        <w:jc w:val="center"/>
        <w:rPr>
          <w:rFonts w:ascii="宋体" w:hAnsi="宋体"/>
          <w:b/>
          <w:color w:val="auto"/>
          <w:szCs w:val="21"/>
          <w:highlight w:val="none"/>
        </w:rPr>
      </w:pPr>
      <w:r>
        <w:rPr>
          <w:rFonts w:ascii="宋体" w:hAnsi="宋体"/>
          <w:b/>
          <w:color w:val="auto"/>
          <w:szCs w:val="21"/>
          <w:highlight w:val="none"/>
        </w:rPr>
        <w:t>B5</w:t>
      </w:r>
      <w:r>
        <w:rPr>
          <w:rFonts w:hint="eastAsia" w:ascii="宋体" w:hAnsi="宋体"/>
          <w:b/>
          <w:color w:val="auto"/>
          <w:szCs w:val="21"/>
          <w:highlight w:val="none"/>
        </w:rPr>
        <w:t>商务条款响应表</w:t>
      </w:r>
    </w:p>
    <w:p>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慈溪市崇寿镇2022年度保洁服务</w:t>
      </w:r>
      <w:r>
        <w:rPr>
          <w:rFonts w:hint="eastAsia" w:ascii="宋体" w:hAnsi="宋体"/>
          <w:color w:val="auto"/>
          <w:szCs w:val="21"/>
          <w:highlight w:val="none"/>
          <w:u w:val="single"/>
        </w:rPr>
        <w:t>采购项目</w:t>
      </w:r>
    </w:p>
    <w:p>
      <w:pPr>
        <w:adjustRightInd w:val="0"/>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eastAsia="宋体" w:cs="Times New Roman"/>
          <w:color w:val="auto"/>
          <w:szCs w:val="21"/>
          <w:highlight w:val="none"/>
          <w:u w:val="single"/>
          <w:lang w:eastAsia="zh-CN"/>
        </w:rPr>
        <w:fldChar w:fldCharType="begin"/>
      </w:r>
      <w:r>
        <w:rPr>
          <w:rFonts w:hint="eastAsia" w:ascii="宋体" w:hAnsi="宋体" w:eastAsia="宋体" w:cs="Times New Roman"/>
          <w:color w:val="auto"/>
          <w:szCs w:val="21"/>
          <w:highlight w:val="none"/>
          <w:u w:val="single"/>
          <w:lang w:eastAsia="zh-CN"/>
        </w:rPr>
        <w:instrText xml:space="preserve"> HYPERLINK "https://pay.zcygov.cn/purchaseplan_front/" \l "/plan/list/detail?id=1000000000007569839&amp;encrypt=1f2544fa333427dcec2e1c5237868c71" \o "CXZFCG[2022]658号" \t "https://www.zcygov.cn/bid-inviting/purchaseFileMake/announcementInfo/_blank" </w:instrText>
      </w:r>
      <w:r>
        <w:rPr>
          <w:rFonts w:hint="eastAsia" w:ascii="宋体" w:hAnsi="宋体" w:eastAsia="宋体" w:cs="Times New Roman"/>
          <w:color w:val="auto"/>
          <w:szCs w:val="21"/>
          <w:highlight w:val="none"/>
          <w:u w:val="single"/>
          <w:lang w:eastAsia="zh-CN"/>
        </w:rPr>
        <w:fldChar w:fldCharType="separate"/>
      </w:r>
      <w:r>
        <w:rPr>
          <w:rFonts w:hint="eastAsia" w:ascii="宋体" w:hAnsi="宋体" w:eastAsia="宋体" w:cs="Times New Roman"/>
          <w:color w:val="auto"/>
          <w:szCs w:val="21"/>
          <w:highlight w:val="none"/>
          <w:u w:val="single"/>
          <w:lang w:eastAsia="zh-CN"/>
        </w:rPr>
        <w:t>CXZFCG[2022]1350号</w:t>
      </w:r>
      <w:r>
        <w:rPr>
          <w:rFonts w:hint="eastAsia" w:ascii="宋体" w:hAnsi="宋体" w:eastAsia="宋体" w:cs="Times New Roman"/>
          <w:color w:val="auto"/>
          <w:szCs w:val="21"/>
          <w:highlight w:val="none"/>
          <w:u w:val="single"/>
          <w:lang w:eastAsia="zh-CN"/>
        </w:rPr>
        <w:fldChar w:fldCharType="end"/>
      </w:r>
      <w:r>
        <w:rPr>
          <w:rFonts w:hint="eastAsia" w:ascii="宋体" w:hAnsi="宋体"/>
          <w:color w:val="auto"/>
          <w:szCs w:val="21"/>
          <w:highlight w:val="none"/>
          <w:u w:val="single"/>
        </w:rPr>
        <w:t xml:space="preserve">      </w:t>
      </w:r>
    </w:p>
    <w:tbl>
      <w:tblPr>
        <w:tblStyle w:val="4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418"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2824"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招标要求</w:t>
            </w:r>
          </w:p>
        </w:tc>
        <w:tc>
          <w:tcPr>
            <w:tcW w:w="2835"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投标响应</w:t>
            </w:r>
          </w:p>
        </w:tc>
        <w:tc>
          <w:tcPr>
            <w:tcW w:w="2369"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418" w:type="dxa"/>
            <w:noWrap w:val="0"/>
            <w:vAlign w:val="center"/>
          </w:tcPr>
          <w:p>
            <w:pPr>
              <w:adjustRightInd w:val="0"/>
              <w:snapToGrid w:val="0"/>
              <w:spacing w:line="400" w:lineRule="exact"/>
              <w:jc w:val="center"/>
              <w:rPr>
                <w:rFonts w:ascii="宋体" w:hAnsi="宋体"/>
                <w:color w:val="auto"/>
                <w:szCs w:val="21"/>
                <w:highlight w:val="none"/>
              </w:rPr>
            </w:pPr>
          </w:p>
        </w:tc>
        <w:tc>
          <w:tcPr>
            <w:tcW w:w="2824" w:type="dxa"/>
            <w:noWrap w:val="0"/>
            <w:vAlign w:val="center"/>
          </w:tcPr>
          <w:p>
            <w:pPr>
              <w:adjustRightInd w:val="0"/>
              <w:snapToGrid w:val="0"/>
              <w:spacing w:line="400" w:lineRule="exact"/>
              <w:jc w:val="center"/>
              <w:rPr>
                <w:rFonts w:ascii="宋体" w:hAnsi="宋体"/>
                <w:color w:val="auto"/>
                <w:szCs w:val="21"/>
                <w:highlight w:val="none"/>
              </w:rPr>
            </w:pPr>
          </w:p>
        </w:tc>
        <w:tc>
          <w:tcPr>
            <w:tcW w:w="2835" w:type="dxa"/>
            <w:noWrap w:val="0"/>
            <w:vAlign w:val="center"/>
          </w:tcPr>
          <w:p>
            <w:pPr>
              <w:adjustRightInd w:val="0"/>
              <w:snapToGrid w:val="0"/>
              <w:spacing w:line="400" w:lineRule="exact"/>
              <w:jc w:val="center"/>
              <w:rPr>
                <w:rFonts w:ascii="宋体" w:hAnsi="宋体"/>
                <w:color w:val="auto"/>
                <w:szCs w:val="21"/>
                <w:highlight w:val="none"/>
              </w:rPr>
            </w:pPr>
          </w:p>
        </w:tc>
        <w:tc>
          <w:tcPr>
            <w:tcW w:w="2369" w:type="dxa"/>
            <w:noWrap w:val="0"/>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418" w:type="dxa"/>
            <w:noWrap w:val="0"/>
            <w:vAlign w:val="center"/>
          </w:tcPr>
          <w:p>
            <w:pPr>
              <w:adjustRightInd w:val="0"/>
              <w:snapToGrid w:val="0"/>
              <w:spacing w:line="400" w:lineRule="exact"/>
              <w:jc w:val="center"/>
              <w:rPr>
                <w:rFonts w:ascii="宋体" w:hAnsi="宋体"/>
                <w:color w:val="auto"/>
                <w:szCs w:val="21"/>
                <w:highlight w:val="none"/>
              </w:rPr>
            </w:pPr>
          </w:p>
        </w:tc>
        <w:tc>
          <w:tcPr>
            <w:tcW w:w="2824" w:type="dxa"/>
            <w:noWrap w:val="0"/>
            <w:vAlign w:val="center"/>
          </w:tcPr>
          <w:p>
            <w:pPr>
              <w:adjustRightInd w:val="0"/>
              <w:snapToGrid w:val="0"/>
              <w:spacing w:line="400" w:lineRule="exact"/>
              <w:jc w:val="center"/>
              <w:rPr>
                <w:rFonts w:ascii="宋体" w:hAnsi="宋体"/>
                <w:color w:val="auto"/>
                <w:szCs w:val="21"/>
                <w:highlight w:val="none"/>
              </w:rPr>
            </w:pPr>
          </w:p>
        </w:tc>
        <w:tc>
          <w:tcPr>
            <w:tcW w:w="2835" w:type="dxa"/>
            <w:noWrap w:val="0"/>
            <w:vAlign w:val="center"/>
          </w:tcPr>
          <w:p>
            <w:pPr>
              <w:adjustRightInd w:val="0"/>
              <w:snapToGrid w:val="0"/>
              <w:spacing w:line="400" w:lineRule="exact"/>
              <w:jc w:val="center"/>
              <w:rPr>
                <w:rFonts w:ascii="宋体" w:hAnsi="宋体"/>
                <w:color w:val="auto"/>
                <w:szCs w:val="21"/>
                <w:highlight w:val="none"/>
              </w:rPr>
            </w:pPr>
          </w:p>
        </w:tc>
        <w:tc>
          <w:tcPr>
            <w:tcW w:w="2369" w:type="dxa"/>
            <w:noWrap w:val="0"/>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418" w:type="dxa"/>
            <w:noWrap w:val="0"/>
            <w:vAlign w:val="center"/>
          </w:tcPr>
          <w:p>
            <w:pPr>
              <w:adjustRightInd w:val="0"/>
              <w:snapToGrid w:val="0"/>
              <w:spacing w:line="400" w:lineRule="exact"/>
              <w:jc w:val="center"/>
              <w:rPr>
                <w:rFonts w:ascii="宋体" w:hAnsi="宋体"/>
                <w:color w:val="auto"/>
                <w:szCs w:val="21"/>
                <w:highlight w:val="none"/>
              </w:rPr>
            </w:pPr>
          </w:p>
        </w:tc>
        <w:tc>
          <w:tcPr>
            <w:tcW w:w="2824" w:type="dxa"/>
            <w:noWrap w:val="0"/>
            <w:vAlign w:val="center"/>
          </w:tcPr>
          <w:p>
            <w:pPr>
              <w:adjustRightInd w:val="0"/>
              <w:snapToGrid w:val="0"/>
              <w:spacing w:line="400" w:lineRule="exact"/>
              <w:jc w:val="center"/>
              <w:rPr>
                <w:rFonts w:ascii="宋体" w:hAnsi="宋体"/>
                <w:color w:val="auto"/>
                <w:szCs w:val="21"/>
                <w:highlight w:val="none"/>
              </w:rPr>
            </w:pPr>
          </w:p>
        </w:tc>
        <w:tc>
          <w:tcPr>
            <w:tcW w:w="2835" w:type="dxa"/>
            <w:noWrap w:val="0"/>
            <w:vAlign w:val="center"/>
          </w:tcPr>
          <w:p>
            <w:pPr>
              <w:adjustRightInd w:val="0"/>
              <w:snapToGrid w:val="0"/>
              <w:spacing w:line="400" w:lineRule="exact"/>
              <w:jc w:val="center"/>
              <w:rPr>
                <w:rFonts w:ascii="宋体" w:hAnsi="宋体"/>
                <w:color w:val="auto"/>
                <w:szCs w:val="21"/>
                <w:highlight w:val="none"/>
              </w:rPr>
            </w:pPr>
          </w:p>
        </w:tc>
        <w:tc>
          <w:tcPr>
            <w:tcW w:w="2369" w:type="dxa"/>
            <w:noWrap w:val="0"/>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418" w:type="dxa"/>
            <w:noWrap w:val="0"/>
            <w:vAlign w:val="center"/>
          </w:tcPr>
          <w:p>
            <w:pPr>
              <w:adjustRightInd w:val="0"/>
              <w:snapToGrid w:val="0"/>
              <w:spacing w:line="400" w:lineRule="exact"/>
              <w:jc w:val="center"/>
              <w:rPr>
                <w:rFonts w:ascii="宋体" w:hAnsi="宋体"/>
                <w:color w:val="auto"/>
                <w:szCs w:val="21"/>
                <w:highlight w:val="none"/>
              </w:rPr>
            </w:pPr>
          </w:p>
        </w:tc>
        <w:tc>
          <w:tcPr>
            <w:tcW w:w="2824" w:type="dxa"/>
            <w:noWrap w:val="0"/>
            <w:vAlign w:val="center"/>
          </w:tcPr>
          <w:p>
            <w:pPr>
              <w:adjustRightInd w:val="0"/>
              <w:snapToGrid w:val="0"/>
              <w:spacing w:line="400" w:lineRule="exact"/>
              <w:jc w:val="center"/>
              <w:rPr>
                <w:rFonts w:ascii="宋体" w:hAnsi="宋体"/>
                <w:color w:val="auto"/>
                <w:szCs w:val="21"/>
                <w:highlight w:val="none"/>
              </w:rPr>
            </w:pPr>
          </w:p>
        </w:tc>
        <w:tc>
          <w:tcPr>
            <w:tcW w:w="2835" w:type="dxa"/>
            <w:noWrap w:val="0"/>
            <w:vAlign w:val="center"/>
          </w:tcPr>
          <w:p>
            <w:pPr>
              <w:adjustRightInd w:val="0"/>
              <w:snapToGrid w:val="0"/>
              <w:spacing w:line="400" w:lineRule="exact"/>
              <w:jc w:val="center"/>
              <w:rPr>
                <w:rFonts w:ascii="宋体" w:hAnsi="宋体"/>
                <w:color w:val="auto"/>
                <w:szCs w:val="21"/>
                <w:highlight w:val="none"/>
              </w:rPr>
            </w:pPr>
          </w:p>
        </w:tc>
        <w:tc>
          <w:tcPr>
            <w:tcW w:w="2369" w:type="dxa"/>
            <w:noWrap w:val="0"/>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418" w:type="dxa"/>
            <w:noWrap w:val="0"/>
            <w:vAlign w:val="center"/>
          </w:tcPr>
          <w:p>
            <w:pPr>
              <w:adjustRightInd w:val="0"/>
              <w:snapToGrid w:val="0"/>
              <w:spacing w:line="400" w:lineRule="exact"/>
              <w:jc w:val="center"/>
              <w:rPr>
                <w:rFonts w:ascii="宋体" w:hAnsi="宋体"/>
                <w:color w:val="auto"/>
                <w:szCs w:val="21"/>
                <w:highlight w:val="none"/>
              </w:rPr>
            </w:pPr>
          </w:p>
        </w:tc>
        <w:tc>
          <w:tcPr>
            <w:tcW w:w="2824" w:type="dxa"/>
            <w:noWrap w:val="0"/>
            <w:vAlign w:val="center"/>
          </w:tcPr>
          <w:p>
            <w:pPr>
              <w:adjustRightInd w:val="0"/>
              <w:snapToGrid w:val="0"/>
              <w:spacing w:line="400" w:lineRule="exact"/>
              <w:jc w:val="center"/>
              <w:rPr>
                <w:rFonts w:ascii="宋体" w:hAnsi="宋体"/>
                <w:color w:val="auto"/>
                <w:szCs w:val="21"/>
                <w:highlight w:val="none"/>
              </w:rPr>
            </w:pPr>
          </w:p>
        </w:tc>
        <w:tc>
          <w:tcPr>
            <w:tcW w:w="2835" w:type="dxa"/>
            <w:noWrap w:val="0"/>
            <w:vAlign w:val="center"/>
          </w:tcPr>
          <w:p>
            <w:pPr>
              <w:adjustRightInd w:val="0"/>
              <w:snapToGrid w:val="0"/>
              <w:spacing w:line="400" w:lineRule="exact"/>
              <w:jc w:val="center"/>
              <w:rPr>
                <w:rFonts w:ascii="宋体" w:hAnsi="宋体"/>
                <w:color w:val="auto"/>
                <w:szCs w:val="21"/>
                <w:highlight w:val="none"/>
              </w:rPr>
            </w:pPr>
          </w:p>
        </w:tc>
        <w:tc>
          <w:tcPr>
            <w:tcW w:w="2369" w:type="dxa"/>
            <w:noWrap w:val="0"/>
            <w:vAlign w:val="center"/>
          </w:tcPr>
          <w:p>
            <w:pPr>
              <w:adjustRightInd w:val="0"/>
              <w:snapToGrid w:val="0"/>
              <w:spacing w:line="400" w:lineRule="exact"/>
              <w:jc w:val="center"/>
              <w:rPr>
                <w:rFonts w:ascii="宋体" w:hAnsi="宋体"/>
                <w:color w:val="auto"/>
                <w:szCs w:val="21"/>
                <w:highlight w:val="none"/>
              </w:rPr>
            </w:pPr>
          </w:p>
        </w:tc>
      </w:tr>
    </w:tbl>
    <w:p>
      <w:pPr>
        <w:adjustRightInd w:val="0"/>
        <w:snapToGrid w:val="0"/>
        <w:spacing w:line="360" w:lineRule="auto"/>
        <w:ind w:left="210" w:hanging="210" w:hangingChars="100"/>
        <w:rPr>
          <w:rFonts w:ascii="宋体" w:hAnsi="宋体"/>
          <w:color w:val="auto"/>
          <w:szCs w:val="21"/>
          <w:highlight w:val="none"/>
        </w:rPr>
      </w:pPr>
      <w:r>
        <w:rPr>
          <w:rFonts w:hint="eastAsia" w:ascii="宋体" w:hAnsi="宋体"/>
          <w:color w:val="auto"/>
          <w:szCs w:val="21"/>
          <w:highlight w:val="none"/>
        </w:rPr>
        <w:t>注：须与商务条款逐项比较填写。</w:t>
      </w:r>
    </w:p>
    <w:p>
      <w:pPr>
        <w:adjustRightInd w:val="0"/>
        <w:snapToGrid w:val="0"/>
        <w:spacing w:line="360" w:lineRule="auto"/>
        <w:rPr>
          <w:rFonts w:ascii="宋体" w:hAnsi="宋体"/>
          <w:color w:val="auto"/>
          <w:szCs w:val="21"/>
          <w:highlight w:val="none"/>
        </w:rPr>
      </w:pPr>
    </w:p>
    <w:p>
      <w:pPr>
        <w:adjustRightInd w:val="0"/>
        <w:snapToGrid w:val="0"/>
        <w:spacing w:line="360" w:lineRule="auto"/>
        <w:rPr>
          <w:rFonts w:ascii="宋体" w:hAnsi="宋体"/>
          <w:color w:val="auto"/>
          <w:szCs w:val="21"/>
          <w:highlight w:val="none"/>
        </w:rPr>
      </w:pPr>
    </w:p>
    <w:p>
      <w:pPr>
        <w:spacing w:line="400" w:lineRule="atLeast"/>
        <w:jc w:val="left"/>
        <w:rPr>
          <w:rFonts w:ascii="宋体" w:hAnsi="宋体"/>
          <w:color w:val="auto"/>
          <w:szCs w:val="21"/>
          <w:highlight w:val="none"/>
        </w:rPr>
      </w:pPr>
      <w:bookmarkStart w:id="48" w:name="_Toc436408720"/>
      <w:bookmarkStart w:id="49" w:name="_Toc441316563"/>
      <w:r>
        <w:rPr>
          <w:rFonts w:hint="eastAsia" w:ascii="宋体" w:hAnsi="宋体"/>
          <w:color w:val="auto"/>
          <w:szCs w:val="21"/>
          <w:highlight w:val="none"/>
        </w:rPr>
        <w:t>供应商（盖章）：</w:t>
      </w:r>
    </w:p>
    <w:p>
      <w:pPr>
        <w:spacing w:line="400" w:lineRule="atLeast"/>
        <w:rPr>
          <w:rFonts w:ascii="宋体" w:hAnsi="宋体"/>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pPr>
        <w:spacing w:line="360" w:lineRule="auto"/>
        <w:jc w:val="center"/>
        <w:rPr>
          <w:rFonts w:ascii="宋体" w:hAnsi="宋体"/>
          <w:b/>
          <w:color w:val="auto"/>
          <w:szCs w:val="21"/>
          <w:highlight w:val="none"/>
        </w:rPr>
      </w:pPr>
      <w:r>
        <w:rPr>
          <w:rFonts w:ascii="宋体" w:hAnsi="宋体"/>
          <w:color w:val="auto"/>
          <w:szCs w:val="21"/>
          <w:highlight w:val="none"/>
        </w:rPr>
        <w:br w:type="page"/>
      </w:r>
      <w:bookmarkEnd w:id="48"/>
      <w:bookmarkStart w:id="50" w:name="_Toc441316564"/>
      <w:r>
        <w:rPr>
          <w:rFonts w:ascii="宋体" w:hAnsi="宋体"/>
          <w:b/>
          <w:color w:val="auto"/>
          <w:szCs w:val="21"/>
          <w:highlight w:val="none"/>
        </w:rPr>
        <w:t xml:space="preserve"> </w:t>
      </w:r>
    </w:p>
    <w:p>
      <w:pPr>
        <w:spacing w:line="360" w:lineRule="auto"/>
        <w:jc w:val="center"/>
        <w:rPr>
          <w:rFonts w:hint="eastAsia" w:ascii="宋体" w:hAnsi="宋体"/>
          <w:b/>
          <w:color w:val="auto"/>
          <w:szCs w:val="21"/>
          <w:highlight w:val="none"/>
        </w:rPr>
      </w:pPr>
      <w:r>
        <w:rPr>
          <w:rFonts w:ascii="宋体" w:hAnsi="宋体"/>
          <w:b/>
          <w:color w:val="auto"/>
          <w:szCs w:val="21"/>
          <w:highlight w:val="none"/>
        </w:rPr>
        <w:t>B</w:t>
      </w:r>
      <w:r>
        <w:rPr>
          <w:rFonts w:hint="eastAsia" w:ascii="宋体" w:hAnsi="宋体"/>
          <w:b/>
          <w:color w:val="auto"/>
          <w:szCs w:val="21"/>
          <w:highlight w:val="none"/>
        </w:rPr>
        <w:t>6</w:t>
      </w:r>
      <w:r>
        <w:rPr>
          <w:rFonts w:hint="eastAsia" w:ascii="宋体" w:hAnsi="宋体"/>
          <w:b/>
          <w:bCs/>
          <w:color w:val="auto"/>
          <w:szCs w:val="21"/>
          <w:highlight w:val="none"/>
        </w:rPr>
        <w:t>合同条款响应表</w:t>
      </w:r>
    </w:p>
    <w:p>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慈溪市崇寿镇2022年度保洁服务</w:t>
      </w:r>
      <w:r>
        <w:rPr>
          <w:rFonts w:hint="eastAsia" w:ascii="宋体" w:hAnsi="宋体"/>
          <w:color w:val="auto"/>
          <w:szCs w:val="21"/>
          <w:highlight w:val="none"/>
          <w:u w:val="single"/>
        </w:rPr>
        <w:t>采购项目</w:t>
      </w:r>
    </w:p>
    <w:p>
      <w:pPr>
        <w:adjustRightInd w:val="0"/>
        <w:snapToGrid w:val="0"/>
        <w:spacing w:line="360" w:lineRule="auto"/>
        <w:rPr>
          <w:rFonts w:hint="eastAsia" w:ascii="宋体" w:hAnsi="宋体"/>
          <w:b/>
          <w:bCs/>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eastAsia="宋体" w:cs="Times New Roman"/>
          <w:color w:val="auto"/>
          <w:szCs w:val="21"/>
          <w:highlight w:val="none"/>
          <w:u w:val="single"/>
          <w:lang w:eastAsia="zh-CN"/>
        </w:rPr>
        <w:fldChar w:fldCharType="begin"/>
      </w:r>
      <w:r>
        <w:rPr>
          <w:rFonts w:hint="eastAsia" w:ascii="宋体" w:hAnsi="宋体" w:eastAsia="宋体" w:cs="Times New Roman"/>
          <w:color w:val="auto"/>
          <w:szCs w:val="21"/>
          <w:highlight w:val="none"/>
          <w:u w:val="single"/>
          <w:lang w:eastAsia="zh-CN"/>
        </w:rPr>
        <w:instrText xml:space="preserve"> HYPERLINK "https://pay.zcygov.cn/purchaseplan_front/" \l "/plan/list/detail?id=1000000000007569839&amp;encrypt=1f2544fa333427dcec2e1c5237868c71" \o "CXZFCG[2022]658号" \t "https://www.zcygov.cn/bid-inviting/purchaseFileMake/announcementInfo/_blank" </w:instrText>
      </w:r>
      <w:r>
        <w:rPr>
          <w:rFonts w:hint="eastAsia" w:ascii="宋体" w:hAnsi="宋体" w:eastAsia="宋体" w:cs="Times New Roman"/>
          <w:color w:val="auto"/>
          <w:szCs w:val="21"/>
          <w:highlight w:val="none"/>
          <w:u w:val="single"/>
          <w:lang w:eastAsia="zh-CN"/>
        </w:rPr>
        <w:fldChar w:fldCharType="separate"/>
      </w:r>
      <w:r>
        <w:rPr>
          <w:rFonts w:hint="eastAsia" w:ascii="宋体" w:hAnsi="宋体" w:eastAsia="宋体" w:cs="Times New Roman"/>
          <w:color w:val="auto"/>
          <w:szCs w:val="21"/>
          <w:highlight w:val="none"/>
          <w:u w:val="single"/>
          <w:lang w:eastAsia="zh-CN"/>
        </w:rPr>
        <w:t>CXZFCG[2022]1350号</w:t>
      </w:r>
      <w:r>
        <w:rPr>
          <w:rFonts w:hint="eastAsia" w:ascii="宋体" w:hAnsi="宋体" w:eastAsia="宋体" w:cs="Times New Roman"/>
          <w:color w:val="auto"/>
          <w:szCs w:val="21"/>
          <w:highlight w:val="none"/>
          <w:u w:val="single"/>
          <w:lang w:eastAsia="zh-CN"/>
        </w:rPr>
        <w:fldChar w:fldCharType="end"/>
      </w:r>
      <w:r>
        <w:rPr>
          <w:rFonts w:hint="eastAsia" w:ascii="宋体" w:hAnsi="宋体"/>
          <w:color w:val="auto"/>
          <w:szCs w:val="21"/>
          <w:highlight w:val="none"/>
          <w:u w:val="single"/>
        </w:rPr>
        <w:t xml:space="preserve">     </w:t>
      </w:r>
    </w:p>
    <w:tbl>
      <w:tblPr>
        <w:tblStyle w:val="45"/>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824"/>
        <w:gridCol w:w="2835"/>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2824"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招标要求</w:t>
            </w:r>
          </w:p>
        </w:tc>
        <w:tc>
          <w:tcPr>
            <w:tcW w:w="2835"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投标响应</w:t>
            </w:r>
          </w:p>
        </w:tc>
        <w:tc>
          <w:tcPr>
            <w:tcW w:w="2533"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adjustRightInd w:val="0"/>
              <w:snapToGrid w:val="0"/>
              <w:spacing w:line="400" w:lineRule="exact"/>
              <w:jc w:val="center"/>
              <w:rPr>
                <w:rFonts w:ascii="宋体" w:hAnsi="宋体"/>
                <w:color w:val="auto"/>
                <w:szCs w:val="21"/>
                <w:highlight w:val="none"/>
              </w:rPr>
            </w:pPr>
          </w:p>
        </w:tc>
        <w:tc>
          <w:tcPr>
            <w:tcW w:w="2824" w:type="dxa"/>
            <w:noWrap w:val="0"/>
            <w:vAlign w:val="center"/>
          </w:tcPr>
          <w:p>
            <w:pPr>
              <w:adjustRightInd w:val="0"/>
              <w:snapToGrid w:val="0"/>
              <w:spacing w:line="400" w:lineRule="exact"/>
              <w:jc w:val="center"/>
              <w:rPr>
                <w:rFonts w:ascii="宋体" w:hAnsi="宋体"/>
                <w:color w:val="auto"/>
                <w:szCs w:val="21"/>
                <w:highlight w:val="none"/>
              </w:rPr>
            </w:pPr>
          </w:p>
        </w:tc>
        <w:tc>
          <w:tcPr>
            <w:tcW w:w="2835" w:type="dxa"/>
            <w:noWrap w:val="0"/>
            <w:vAlign w:val="center"/>
          </w:tcPr>
          <w:p>
            <w:pPr>
              <w:adjustRightInd w:val="0"/>
              <w:snapToGrid w:val="0"/>
              <w:spacing w:line="400" w:lineRule="exact"/>
              <w:jc w:val="center"/>
              <w:rPr>
                <w:rFonts w:ascii="宋体" w:hAnsi="宋体"/>
                <w:color w:val="auto"/>
                <w:szCs w:val="21"/>
                <w:highlight w:val="none"/>
              </w:rPr>
            </w:pPr>
          </w:p>
        </w:tc>
        <w:tc>
          <w:tcPr>
            <w:tcW w:w="2533" w:type="dxa"/>
            <w:noWrap w:val="0"/>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adjustRightInd w:val="0"/>
              <w:snapToGrid w:val="0"/>
              <w:spacing w:line="400" w:lineRule="exact"/>
              <w:jc w:val="center"/>
              <w:rPr>
                <w:rFonts w:ascii="宋体" w:hAnsi="宋体"/>
                <w:color w:val="auto"/>
                <w:szCs w:val="21"/>
                <w:highlight w:val="none"/>
              </w:rPr>
            </w:pPr>
          </w:p>
        </w:tc>
        <w:tc>
          <w:tcPr>
            <w:tcW w:w="2824" w:type="dxa"/>
            <w:noWrap w:val="0"/>
            <w:vAlign w:val="center"/>
          </w:tcPr>
          <w:p>
            <w:pPr>
              <w:adjustRightInd w:val="0"/>
              <w:snapToGrid w:val="0"/>
              <w:spacing w:line="400" w:lineRule="exact"/>
              <w:jc w:val="center"/>
              <w:rPr>
                <w:rFonts w:ascii="宋体" w:hAnsi="宋体"/>
                <w:color w:val="auto"/>
                <w:szCs w:val="21"/>
                <w:highlight w:val="none"/>
              </w:rPr>
            </w:pPr>
          </w:p>
        </w:tc>
        <w:tc>
          <w:tcPr>
            <w:tcW w:w="2835" w:type="dxa"/>
            <w:noWrap w:val="0"/>
            <w:vAlign w:val="center"/>
          </w:tcPr>
          <w:p>
            <w:pPr>
              <w:adjustRightInd w:val="0"/>
              <w:snapToGrid w:val="0"/>
              <w:spacing w:line="400" w:lineRule="exact"/>
              <w:jc w:val="center"/>
              <w:rPr>
                <w:rFonts w:ascii="宋体" w:hAnsi="宋体"/>
                <w:color w:val="auto"/>
                <w:szCs w:val="21"/>
                <w:highlight w:val="none"/>
              </w:rPr>
            </w:pPr>
          </w:p>
        </w:tc>
        <w:tc>
          <w:tcPr>
            <w:tcW w:w="2533" w:type="dxa"/>
            <w:noWrap w:val="0"/>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adjustRightInd w:val="0"/>
              <w:snapToGrid w:val="0"/>
              <w:spacing w:line="400" w:lineRule="exact"/>
              <w:jc w:val="center"/>
              <w:rPr>
                <w:rFonts w:ascii="宋体" w:hAnsi="宋体"/>
                <w:color w:val="auto"/>
                <w:szCs w:val="21"/>
                <w:highlight w:val="none"/>
              </w:rPr>
            </w:pPr>
          </w:p>
        </w:tc>
        <w:tc>
          <w:tcPr>
            <w:tcW w:w="2824" w:type="dxa"/>
            <w:noWrap w:val="0"/>
            <w:vAlign w:val="center"/>
          </w:tcPr>
          <w:p>
            <w:pPr>
              <w:adjustRightInd w:val="0"/>
              <w:snapToGrid w:val="0"/>
              <w:spacing w:line="400" w:lineRule="exact"/>
              <w:jc w:val="center"/>
              <w:rPr>
                <w:rFonts w:ascii="宋体" w:hAnsi="宋体"/>
                <w:color w:val="auto"/>
                <w:szCs w:val="21"/>
                <w:highlight w:val="none"/>
              </w:rPr>
            </w:pPr>
          </w:p>
        </w:tc>
        <w:tc>
          <w:tcPr>
            <w:tcW w:w="2835" w:type="dxa"/>
            <w:noWrap w:val="0"/>
            <w:vAlign w:val="center"/>
          </w:tcPr>
          <w:p>
            <w:pPr>
              <w:adjustRightInd w:val="0"/>
              <w:snapToGrid w:val="0"/>
              <w:spacing w:line="400" w:lineRule="exact"/>
              <w:jc w:val="center"/>
              <w:rPr>
                <w:rFonts w:ascii="宋体" w:hAnsi="宋体"/>
                <w:color w:val="auto"/>
                <w:szCs w:val="21"/>
                <w:highlight w:val="none"/>
              </w:rPr>
            </w:pPr>
          </w:p>
        </w:tc>
        <w:tc>
          <w:tcPr>
            <w:tcW w:w="2533" w:type="dxa"/>
            <w:noWrap w:val="0"/>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adjustRightInd w:val="0"/>
              <w:snapToGrid w:val="0"/>
              <w:spacing w:line="400" w:lineRule="exact"/>
              <w:jc w:val="center"/>
              <w:rPr>
                <w:rFonts w:ascii="宋体" w:hAnsi="宋体"/>
                <w:color w:val="auto"/>
                <w:szCs w:val="21"/>
                <w:highlight w:val="none"/>
              </w:rPr>
            </w:pPr>
          </w:p>
        </w:tc>
        <w:tc>
          <w:tcPr>
            <w:tcW w:w="2824" w:type="dxa"/>
            <w:noWrap w:val="0"/>
            <w:vAlign w:val="center"/>
          </w:tcPr>
          <w:p>
            <w:pPr>
              <w:adjustRightInd w:val="0"/>
              <w:snapToGrid w:val="0"/>
              <w:spacing w:line="400" w:lineRule="exact"/>
              <w:jc w:val="center"/>
              <w:rPr>
                <w:rFonts w:ascii="宋体" w:hAnsi="宋体"/>
                <w:color w:val="auto"/>
                <w:szCs w:val="21"/>
                <w:highlight w:val="none"/>
              </w:rPr>
            </w:pPr>
          </w:p>
        </w:tc>
        <w:tc>
          <w:tcPr>
            <w:tcW w:w="2835" w:type="dxa"/>
            <w:noWrap w:val="0"/>
            <w:vAlign w:val="center"/>
          </w:tcPr>
          <w:p>
            <w:pPr>
              <w:adjustRightInd w:val="0"/>
              <w:snapToGrid w:val="0"/>
              <w:spacing w:line="400" w:lineRule="exact"/>
              <w:jc w:val="center"/>
              <w:rPr>
                <w:rFonts w:ascii="宋体" w:hAnsi="宋体"/>
                <w:color w:val="auto"/>
                <w:szCs w:val="21"/>
                <w:highlight w:val="none"/>
              </w:rPr>
            </w:pPr>
          </w:p>
        </w:tc>
        <w:tc>
          <w:tcPr>
            <w:tcW w:w="2533" w:type="dxa"/>
            <w:noWrap w:val="0"/>
            <w:vAlign w:val="center"/>
          </w:tcPr>
          <w:p>
            <w:pPr>
              <w:adjustRightInd w:val="0"/>
              <w:snapToGrid w:val="0"/>
              <w:spacing w:line="400" w:lineRule="exact"/>
              <w:jc w:val="center"/>
              <w:rPr>
                <w:rFonts w:ascii="宋体" w:hAnsi="宋体"/>
                <w:color w:val="auto"/>
                <w:szCs w:val="21"/>
                <w:highlight w:val="none"/>
              </w:rPr>
            </w:pPr>
          </w:p>
        </w:tc>
      </w:tr>
    </w:tbl>
    <w:p>
      <w:pPr>
        <w:adjustRightInd w:val="0"/>
        <w:snapToGrid w:val="0"/>
        <w:spacing w:line="440" w:lineRule="exact"/>
        <w:ind w:left="210" w:hanging="210" w:hangingChars="100"/>
        <w:rPr>
          <w:rFonts w:ascii="宋体" w:hAnsi="宋体"/>
          <w:color w:val="auto"/>
          <w:szCs w:val="21"/>
          <w:highlight w:val="none"/>
        </w:rPr>
      </w:pPr>
      <w:r>
        <w:rPr>
          <w:rFonts w:hint="eastAsia" w:ascii="宋体" w:hAnsi="宋体"/>
          <w:color w:val="auto"/>
          <w:szCs w:val="21"/>
          <w:highlight w:val="none"/>
        </w:rPr>
        <w:t>注：须与“第四章</w:t>
      </w:r>
      <w:r>
        <w:rPr>
          <w:rFonts w:ascii="宋体" w:hAnsi="宋体"/>
          <w:color w:val="auto"/>
          <w:szCs w:val="21"/>
          <w:highlight w:val="none"/>
        </w:rPr>
        <w:t xml:space="preserve">  </w:t>
      </w:r>
      <w:r>
        <w:rPr>
          <w:rFonts w:hint="eastAsia" w:ascii="宋体" w:hAnsi="宋体"/>
          <w:color w:val="auto"/>
          <w:szCs w:val="21"/>
          <w:highlight w:val="none"/>
        </w:rPr>
        <w:t>采购合同样本”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pPr>
        <w:adjustRightInd w:val="0"/>
        <w:snapToGrid w:val="0"/>
        <w:spacing w:line="360" w:lineRule="auto"/>
        <w:rPr>
          <w:rFonts w:ascii="宋体" w:hAnsi="宋体"/>
          <w:color w:val="auto"/>
          <w:szCs w:val="21"/>
          <w:highlight w:val="none"/>
        </w:rPr>
      </w:pPr>
    </w:p>
    <w:p>
      <w:pPr>
        <w:adjustRightInd w:val="0"/>
        <w:snapToGrid w:val="0"/>
        <w:spacing w:line="360" w:lineRule="auto"/>
        <w:rPr>
          <w:rFonts w:ascii="宋体" w:hAnsi="宋体"/>
          <w:color w:val="auto"/>
          <w:szCs w:val="21"/>
          <w:highlight w:val="none"/>
        </w:rPr>
      </w:pPr>
    </w:p>
    <w:p>
      <w:pPr>
        <w:adjustRightInd w:val="0"/>
        <w:snapToGrid w:val="0"/>
        <w:spacing w:line="360" w:lineRule="auto"/>
        <w:rPr>
          <w:rFonts w:ascii="宋体" w:hAnsi="宋体"/>
          <w:color w:val="auto"/>
          <w:szCs w:val="21"/>
          <w:highlight w:val="none"/>
        </w:rPr>
      </w:pPr>
    </w:p>
    <w:p>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pPr>
        <w:spacing w:line="400" w:lineRule="atLeast"/>
        <w:rPr>
          <w:rFonts w:ascii="宋体" w:hAnsi="宋体"/>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pPr>
        <w:spacing w:line="360" w:lineRule="auto"/>
        <w:jc w:val="center"/>
        <w:rPr>
          <w:rFonts w:hint="eastAsia" w:ascii="宋体" w:hAnsi="宋体"/>
          <w:b/>
          <w:color w:val="auto"/>
          <w:szCs w:val="21"/>
          <w:highlight w:val="none"/>
        </w:rPr>
      </w:pPr>
      <w:r>
        <w:rPr>
          <w:rFonts w:ascii="宋体" w:hAnsi="宋体"/>
          <w:color w:val="auto"/>
          <w:szCs w:val="21"/>
          <w:highlight w:val="none"/>
        </w:rPr>
        <w:br w:type="page"/>
      </w:r>
      <w:r>
        <w:rPr>
          <w:rFonts w:ascii="宋体" w:hAnsi="宋体"/>
          <w:b/>
          <w:color w:val="auto"/>
          <w:szCs w:val="21"/>
          <w:highlight w:val="none"/>
        </w:rPr>
        <w:t>B7</w:t>
      </w:r>
      <w:r>
        <w:rPr>
          <w:rFonts w:hint="eastAsia" w:ascii="宋体" w:hAnsi="宋体"/>
          <w:b/>
          <w:bCs/>
          <w:color w:val="auto"/>
          <w:szCs w:val="21"/>
          <w:highlight w:val="none"/>
        </w:rPr>
        <w:t>技术条款响应表</w:t>
      </w:r>
    </w:p>
    <w:p>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慈溪市崇寿镇2022年度保洁服务</w:t>
      </w:r>
      <w:r>
        <w:rPr>
          <w:rFonts w:hint="eastAsia" w:ascii="宋体" w:hAnsi="宋体"/>
          <w:color w:val="auto"/>
          <w:szCs w:val="21"/>
          <w:highlight w:val="none"/>
          <w:u w:val="single"/>
        </w:rPr>
        <w:t>采购项目</w:t>
      </w:r>
    </w:p>
    <w:p>
      <w:pPr>
        <w:adjustRightInd w:val="0"/>
        <w:snapToGrid w:val="0"/>
        <w:spacing w:line="360" w:lineRule="auto"/>
        <w:rPr>
          <w:rFonts w:hint="eastAsia" w:ascii="宋体" w:hAnsi="宋体"/>
          <w:b/>
          <w:bCs/>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eastAsia="宋体" w:cs="Times New Roman"/>
          <w:color w:val="auto"/>
          <w:szCs w:val="21"/>
          <w:highlight w:val="none"/>
          <w:u w:val="single"/>
          <w:lang w:eastAsia="zh-CN"/>
        </w:rPr>
        <w:fldChar w:fldCharType="begin"/>
      </w:r>
      <w:r>
        <w:rPr>
          <w:rFonts w:hint="eastAsia" w:ascii="宋体" w:hAnsi="宋体" w:eastAsia="宋体" w:cs="Times New Roman"/>
          <w:color w:val="auto"/>
          <w:szCs w:val="21"/>
          <w:highlight w:val="none"/>
          <w:u w:val="single"/>
          <w:lang w:eastAsia="zh-CN"/>
        </w:rPr>
        <w:instrText xml:space="preserve"> HYPERLINK "https://pay.zcygov.cn/purchaseplan_front/" \l "/plan/list/detail?id=1000000000007569839&amp;encrypt=1f2544fa333427dcec2e1c5237868c71" \o "CXZFCG[2022]658号" \t "https://www.zcygov.cn/bid-inviting/purchaseFileMake/announcementInfo/_blank" </w:instrText>
      </w:r>
      <w:r>
        <w:rPr>
          <w:rFonts w:hint="eastAsia" w:ascii="宋体" w:hAnsi="宋体" w:eastAsia="宋体" w:cs="Times New Roman"/>
          <w:color w:val="auto"/>
          <w:szCs w:val="21"/>
          <w:highlight w:val="none"/>
          <w:u w:val="single"/>
          <w:lang w:eastAsia="zh-CN"/>
        </w:rPr>
        <w:fldChar w:fldCharType="separate"/>
      </w:r>
      <w:r>
        <w:rPr>
          <w:rFonts w:hint="eastAsia" w:ascii="宋体" w:hAnsi="宋体" w:eastAsia="宋体" w:cs="Times New Roman"/>
          <w:color w:val="auto"/>
          <w:szCs w:val="21"/>
          <w:highlight w:val="none"/>
          <w:u w:val="single"/>
          <w:lang w:eastAsia="zh-CN"/>
        </w:rPr>
        <w:t>CXZFCG[2022]1350号</w:t>
      </w:r>
      <w:r>
        <w:rPr>
          <w:rFonts w:hint="eastAsia" w:ascii="宋体" w:hAnsi="宋体" w:eastAsia="宋体" w:cs="Times New Roman"/>
          <w:color w:val="auto"/>
          <w:szCs w:val="21"/>
          <w:highlight w:val="none"/>
          <w:u w:val="single"/>
          <w:lang w:eastAsia="zh-CN"/>
        </w:rPr>
        <w:fldChar w:fldCharType="end"/>
      </w:r>
      <w:r>
        <w:rPr>
          <w:rFonts w:hint="eastAsia" w:ascii="宋体" w:hAnsi="宋体"/>
          <w:color w:val="auto"/>
          <w:szCs w:val="21"/>
          <w:highlight w:val="none"/>
          <w:u w:val="single"/>
        </w:rPr>
        <w:t xml:space="preserve">    </w:t>
      </w:r>
    </w:p>
    <w:tbl>
      <w:tblPr>
        <w:tblStyle w:val="45"/>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824"/>
        <w:gridCol w:w="2835"/>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2824"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招标要求</w:t>
            </w:r>
          </w:p>
        </w:tc>
        <w:tc>
          <w:tcPr>
            <w:tcW w:w="2835"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投标响应</w:t>
            </w:r>
          </w:p>
        </w:tc>
        <w:tc>
          <w:tcPr>
            <w:tcW w:w="2533"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adjustRightInd w:val="0"/>
              <w:snapToGrid w:val="0"/>
              <w:spacing w:line="400" w:lineRule="exact"/>
              <w:jc w:val="center"/>
              <w:rPr>
                <w:rFonts w:ascii="宋体" w:hAnsi="宋体"/>
                <w:color w:val="auto"/>
                <w:szCs w:val="21"/>
                <w:highlight w:val="none"/>
              </w:rPr>
            </w:pPr>
          </w:p>
        </w:tc>
        <w:tc>
          <w:tcPr>
            <w:tcW w:w="2824" w:type="dxa"/>
            <w:noWrap w:val="0"/>
            <w:vAlign w:val="center"/>
          </w:tcPr>
          <w:p>
            <w:pPr>
              <w:adjustRightInd w:val="0"/>
              <w:snapToGrid w:val="0"/>
              <w:spacing w:line="400" w:lineRule="exact"/>
              <w:jc w:val="center"/>
              <w:rPr>
                <w:rFonts w:ascii="宋体" w:hAnsi="宋体"/>
                <w:color w:val="auto"/>
                <w:szCs w:val="21"/>
                <w:highlight w:val="none"/>
              </w:rPr>
            </w:pPr>
          </w:p>
        </w:tc>
        <w:tc>
          <w:tcPr>
            <w:tcW w:w="2835" w:type="dxa"/>
            <w:noWrap w:val="0"/>
            <w:vAlign w:val="center"/>
          </w:tcPr>
          <w:p>
            <w:pPr>
              <w:adjustRightInd w:val="0"/>
              <w:snapToGrid w:val="0"/>
              <w:spacing w:line="400" w:lineRule="exact"/>
              <w:jc w:val="center"/>
              <w:rPr>
                <w:rFonts w:ascii="宋体" w:hAnsi="宋体"/>
                <w:color w:val="auto"/>
                <w:szCs w:val="21"/>
                <w:highlight w:val="none"/>
              </w:rPr>
            </w:pPr>
          </w:p>
        </w:tc>
        <w:tc>
          <w:tcPr>
            <w:tcW w:w="2533" w:type="dxa"/>
            <w:noWrap w:val="0"/>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adjustRightInd w:val="0"/>
              <w:snapToGrid w:val="0"/>
              <w:spacing w:line="400" w:lineRule="exact"/>
              <w:jc w:val="center"/>
              <w:rPr>
                <w:rFonts w:ascii="宋体" w:hAnsi="宋体"/>
                <w:color w:val="auto"/>
                <w:szCs w:val="21"/>
                <w:highlight w:val="none"/>
              </w:rPr>
            </w:pPr>
          </w:p>
        </w:tc>
        <w:tc>
          <w:tcPr>
            <w:tcW w:w="2824" w:type="dxa"/>
            <w:noWrap w:val="0"/>
            <w:vAlign w:val="center"/>
          </w:tcPr>
          <w:p>
            <w:pPr>
              <w:adjustRightInd w:val="0"/>
              <w:snapToGrid w:val="0"/>
              <w:spacing w:line="400" w:lineRule="exact"/>
              <w:jc w:val="center"/>
              <w:rPr>
                <w:rFonts w:ascii="宋体" w:hAnsi="宋体"/>
                <w:color w:val="auto"/>
                <w:szCs w:val="21"/>
                <w:highlight w:val="none"/>
              </w:rPr>
            </w:pPr>
          </w:p>
        </w:tc>
        <w:tc>
          <w:tcPr>
            <w:tcW w:w="2835" w:type="dxa"/>
            <w:noWrap w:val="0"/>
            <w:vAlign w:val="center"/>
          </w:tcPr>
          <w:p>
            <w:pPr>
              <w:adjustRightInd w:val="0"/>
              <w:snapToGrid w:val="0"/>
              <w:spacing w:line="400" w:lineRule="exact"/>
              <w:jc w:val="center"/>
              <w:rPr>
                <w:rFonts w:ascii="宋体" w:hAnsi="宋体"/>
                <w:color w:val="auto"/>
                <w:szCs w:val="21"/>
                <w:highlight w:val="none"/>
              </w:rPr>
            </w:pPr>
          </w:p>
        </w:tc>
        <w:tc>
          <w:tcPr>
            <w:tcW w:w="2533" w:type="dxa"/>
            <w:noWrap w:val="0"/>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adjustRightInd w:val="0"/>
              <w:snapToGrid w:val="0"/>
              <w:spacing w:line="400" w:lineRule="exact"/>
              <w:jc w:val="center"/>
              <w:rPr>
                <w:rFonts w:ascii="宋体" w:hAnsi="宋体"/>
                <w:color w:val="auto"/>
                <w:szCs w:val="21"/>
                <w:highlight w:val="none"/>
              </w:rPr>
            </w:pPr>
          </w:p>
        </w:tc>
        <w:tc>
          <w:tcPr>
            <w:tcW w:w="2824" w:type="dxa"/>
            <w:noWrap w:val="0"/>
            <w:vAlign w:val="center"/>
          </w:tcPr>
          <w:p>
            <w:pPr>
              <w:adjustRightInd w:val="0"/>
              <w:snapToGrid w:val="0"/>
              <w:spacing w:line="400" w:lineRule="exact"/>
              <w:jc w:val="center"/>
              <w:rPr>
                <w:rFonts w:ascii="宋体" w:hAnsi="宋体"/>
                <w:color w:val="auto"/>
                <w:szCs w:val="21"/>
                <w:highlight w:val="none"/>
              </w:rPr>
            </w:pPr>
          </w:p>
        </w:tc>
        <w:tc>
          <w:tcPr>
            <w:tcW w:w="2835" w:type="dxa"/>
            <w:noWrap w:val="0"/>
            <w:vAlign w:val="center"/>
          </w:tcPr>
          <w:p>
            <w:pPr>
              <w:adjustRightInd w:val="0"/>
              <w:snapToGrid w:val="0"/>
              <w:spacing w:line="400" w:lineRule="exact"/>
              <w:jc w:val="center"/>
              <w:rPr>
                <w:rFonts w:ascii="宋体" w:hAnsi="宋体"/>
                <w:color w:val="auto"/>
                <w:szCs w:val="21"/>
                <w:highlight w:val="none"/>
              </w:rPr>
            </w:pPr>
          </w:p>
        </w:tc>
        <w:tc>
          <w:tcPr>
            <w:tcW w:w="2533" w:type="dxa"/>
            <w:noWrap w:val="0"/>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adjustRightInd w:val="0"/>
              <w:snapToGrid w:val="0"/>
              <w:spacing w:line="400" w:lineRule="exact"/>
              <w:jc w:val="center"/>
              <w:rPr>
                <w:rFonts w:ascii="宋体" w:hAnsi="宋体"/>
                <w:color w:val="auto"/>
                <w:szCs w:val="21"/>
                <w:highlight w:val="none"/>
              </w:rPr>
            </w:pPr>
          </w:p>
        </w:tc>
        <w:tc>
          <w:tcPr>
            <w:tcW w:w="2824" w:type="dxa"/>
            <w:noWrap w:val="0"/>
            <w:vAlign w:val="center"/>
          </w:tcPr>
          <w:p>
            <w:pPr>
              <w:adjustRightInd w:val="0"/>
              <w:snapToGrid w:val="0"/>
              <w:spacing w:line="400" w:lineRule="exact"/>
              <w:jc w:val="center"/>
              <w:rPr>
                <w:rFonts w:ascii="宋体" w:hAnsi="宋体"/>
                <w:color w:val="auto"/>
                <w:szCs w:val="21"/>
                <w:highlight w:val="none"/>
              </w:rPr>
            </w:pPr>
          </w:p>
        </w:tc>
        <w:tc>
          <w:tcPr>
            <w:tcW w:w="2835" w:type="dxa"/>
            <w:noWrap w:val="0"/>
            <w:vAlign w:val="center"/>
          </w:tcPr>
          <w:p>
            <w:pPr>
              <w:adjustRightInd w:val="0"/>
              <w:snapToGrid w:val="0"/>
              <w:spacing w:line="400" w:lineRule="exact"/>
              <w:jc w:val="center"/>
              <w:rPr>
                <w:rFonts w:ascii="宋体" w:hAnsi="宋体"/>
                <w:color w:val="auto"/>
                <w:szCs w:val="21"/>
                <w:highlight w:val="none"/>
              </w:rPr>
            </w:pPr>
          </w:p>
        </w:tc>
        <w:tc>
          <w:tcPr>
            <w:tcW w:w="2533" w:type="dxa"/>
            <w:noWrap w:val="0"/>
            <w:vAlign w:val="center"/>
          </w:tcPr>
          <w:p>
            <w:pPr>
              <w:adjustRightInd w:val="0"/>
              <w:snapToGrid w:val="0"/>
              <w:spacing w:line="400" w:lineRule="exact"/>
              <w:jc w:val="center"/>
              <w:rPr>
                <w:rFonts w:ascii="宋体" w:hAnsi="宋体"/>
                <w:color w:val="auto"/>
                <w:szCs w:val="21"/>
                <w:highlight w:val="none"/>
              </w:rPr>
            </w:pPr>
          </w:p>
        </w:tc>
      </w:tr>
    </w:tbl>
    <w:p>
      <w:pPr>
        <w:adjustRightInd w:val="0"/>
        <w:snapToGrid w:val="0"/>
        <w:spacing w:line="440" w:lineRule="exact"/>
        <w:ind w:left="210" w:hanging="210" w:hangingChars="100"/>
        <w:rPr>
          <w:rFonts w:ascii="宋体" w:hAnsi="宋体"/>
          <w:color w:val="auto"/>
          <w:szCs w:val="21"/>
          <w:highlight w:val="none"/>
        </w:rPr>
      </w:pPr>
      <w:r>
        <w:rPr>
          <w:rFonts w:hint="eastAsia" w:ascii="宋体" w:hAnsi="宋体"/>
          <w:color w:val="auto"/>
          <w:szCs w:val="21"/>
          <w:highlight w:val="none"/>
        </w:rPr>
        <w:t>注：须与“第五章</w:t>
      </w:r>
      <w:r>
        <w:rPr>
          <w:rFonts w:ascii="宋体" w:hAnsi="宋体"/>
          <w:color w:val="auto"/>
          <w:szCs w:val="21"/>
          <w:highlight w:val="none"/>
        </w:rPr>
        <w:t xml:space="preserve">  </w:t>
      </w:r>
      <w:r>
        <w:rPr>
          <w:rFonts w:hint="eastAsia" w:ascii="宋体" w:hAnsi="宋体"/>
          <w:color w:val="auto"/>
          <w:szCs w:val="21"/>
          <w:highlight w:val="none"/>
        </w:rPr>
        <w:t>招标内容与技术需求”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pPr>
        <w:adjustRightInd w:val="0"/>
        <w:snapToGrid w:val="0"/>
        <w:spacing w:line="360" w:lineRule="auto"/>
        <w:rPr>
          <w:rFonts w:ascii="宋体" w:hAnsi="宋体"/>
          <w:color w:val="auto"/>
          <w:szCs w:val="21"/>
          <w:highlight w:val="none"/>
        </w:rPr>
      </w:pPr>
    </w:p>
    <w:p>
      <w:pPr>
        <w:adjustRightInd w:val="0"/>
        <w:snapToGrid w:val="0"/>
        <w:spacing w:line="360" w:lineRule="auto"/>
        <w:rPr>
          <w:rFonts w:ascii="宋体" w:hAnsi="宋体"/>
          <w:color w:val="auto"/>
          <w:szCs w:val="21"/>
          <w:highlight w:val="none"/>
        </w:rPr>
      </w:pPr>
    </w:p>
    <w:p>
      <w:pPr>
        <w:adjustRightInd w:val="0"/>
        <w:snapToGrid w:val="0"/>
        <w:spacing w:line="360" w:lineRule="auto"/>
        <w:rPr>
          <w:rFonts w:ascii="宋体" w:hAnsi="宋体"/>
          <w:color w:val="auto"/>
          <w:szCs w:val="21"/>
          <w:highlight w:val="none"/>
        </w:rPr>
      </w:pPr>
    </w:p>
    <w:p>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pPr>
        <w:spacing w:line="400" w:lineRule="atLeas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pPr>
        <w:spacing w:line="400" w:lineRule="atLeast"/>
        <w:rPr>
          <w:rFonts w:ascii="宋体" w:hAnsi="宋体"/>
          <w:color w:val="auto"/>
          <w:szCs w:val="21"/>
          <w:highlight w:val="none"/>
          <w:u w:val="single"/>
        </w:rPr>
      </w:pPr>
    </w:p>
    <w:p>
      <w:pPr>
        <w:spacing w:line="400" w:lineRule="exact"/>
        <w:rPr>
          <w:rStyle w:val="165"/>
          <w:rFonts w:hint="eastAsia" w:ascii="宋体" w:hAnsi="宋体" w:eastAsia="宋体" w:cs="Times New Roman"/>
          <w:b/>
          <w:color w:val="auto"/>
          <w:sz w:val="21"/>
          <w:szCs w:val="21"/>
          <w:highlight w:val="none"/>
        </w:rPr>
      </w:pPr>
      <w:r>
        <w:rPr>
          <w:rStyle w:val="165"/>
          <w:rFonts w:ascii="宋体" w:hAnsi="宋体"/>
          <w:color w:val="auto"/>
          <w:sz w:val="21"/>
          <w:szCs w:val="21"/>
          <w:highlight w:val="none"/>
        </w:rPr>
        <w:br w:type="page"/>
      </w:r>
      <w:r>
        <w:rPr>
          <w:rStyle w:val="165"/>
          <w:rFonts w:hint="eastAsia" w:ascii="宋体" w:hAnsi="宋体" w:eastAsia="宋体" w:cs="Times New Roman"/>
          <w:b/>
          <w:color w:val="auto"/>
          <w:sz w:val="21"/>
          <w:szCs w:val="21"/>
          <w:highlight w:val="none"/>
        </w:rPr>
        <w:t>B8</w:t>
      </w:r>
      <w:r>
        <w:rPr>
          <w:rStyle w:val="165"/>
          <w:rFonts w:hint="eastAsia" w:ascii="宋体" w:hAnsi="宋体" w:eastAsia="宋体" w:cs="Times New Roman"/>
          <w:b/>
          <w:color w:val="auto"/>
          <w:sz w:val="21"/>
          <w:szCs w:val="21"/>
          <w:highlight w:val="none"/>
          <w:lang w:val="en-US" w:eastAsia="zh-CN"/>
        </w:rPr>
        <w:t>.</w:t>
      </w:r>
      <w:r>
        <w:rPr>
          <w:rStyle w:val="165"/>
          <w:rFonts w:hint="eastAsia" w:ascii="宋体" w:hAnsi="宋体" w:eastAsia="宋体" w:cs="Times New Roman"/>
          <w:b/>
          <w:color w:val="auto"/>
          <w:sz w:val="21"/>
          <w:szCs w:val="21"/>
          <w:highlight w:val="none"/>
        </w:rPr>
        <w:t>投标人业绩、体系认证、车辆投入证明材料；</w:t>
      </w:r>
    </w:p>
    <w:p>
      <w:pPr>
        <w:spacing w:line="400" w:lineRule="exact"/>
        <w:rPr>
          <w:rStyle w:val="165"/>
          <w:rFonts w:hint="eastAsia" w:ascii="宋体" w:hAnsi="宋体"/>
          <w:color w:val="auto"/>
          <w:sz w:val="21"/>
          <w:szCs w:val="21"/>
          <w:highlight w:val="none"/>
        </w:rPr>
      </w:pPr>
      <w:r>
        <w:rPr>
          <w:rStyle w:val="165"/>
          <w:rFonts w:hint="eastAsia" w:ascii="宋体" w:hAnsi="宋体" w:eastAsia="宋体" w:cs="Times New Roman"/>
          <w:b/>
          <w:color w:val="auto"/>
          <w:sz w:val="21"/>
          <w:szCs w:val="21"/>
          <w:highlight w:val="none"/>
        </w:rPr>
        <w:t>B9</w:t>
      </w:r>
      <w:r>
        <w:rPr>
          <w:rStyle w:val="165"/>
          <w:rFonts w:hint="eastAsia" w:ascii="宋体" w:hAnsi="宋体" w:eastAsia="宋体" w:cs="Times New Roman"/>
          <w:b/>
          <w:color w:val="auto"/>
          <w:sz w:val="21"/>
          <w:szCs w:val="21"/>
          <w:highlight w:val="none"/>
          <w:lang w:val="en-US" w:eastAsia="zh-CN"/>
        </w:rPr>
        <w:t>.技术</w:t>
      </w:r>
      <w:r>
        <w:rPr>
          <w:rStyle w:val="165"/>
          <w:rFonts w:hint="eastAsia" w:ascii="宋体" w:hAnsi="宋体" w:eastAsia="宋体" w:cs="Times New Roman"/>
          <w:b/>
          <w:color w:val="auto"/>
          <w:sz w:val="21"/>
          <w:szCs w:val="21"/>
          <w:highlight w:val="none"/>
        </w:rPr>
        <w:t>服务方案；</w:t>
      </w:r>
    </w:p>
    <w:p>
      <w:pPr>
        <w:spacing w:line="400" w:lineRule="exact"/>
        <w:rPr>
          <w:rStyle w:val="165"/>
          <w:rFonts w:hint="eastAsia" w:ascii="宋体" w:hAnsi="宋体"/>
          <w:color w:val="auto"/>
          <w:sz w:val="21"/>
          <w:szCs w:val="21"/>
          <w:highlight w:val="none"/>
        </w:rPr>
      </w:pPr>
      <w:r>
        <w:rPr>
          <w:rStyle w:val="165"/>
          <w:rFonts w:hint="eastAsia" w:ascii="宋体" w:hAnsi="宋体"/>
          <w:color w:val="auto"/>
          <w:sz w:val="21"/>
          <w:szCs w:val="21"/>
          <w:highlight w:val="none"/>
        </w:rPr>
        <w:t>B</w:t>
      </w:r>
      <w:r>
        <w:rPr>
          <w:rStyle w:val="165"/>
          <w:rFonts w:hint="eastAsia" w:ascii="宋体" w:hAnsi="宋体"/>
          <w:color w:val="auto"/>
          <w:sz w:val="21"/>
          <w:szCs w:val="21"/>
          <w:highlight w:val="none"/>
          <w:lang w:val="en-US"/>
        </w:rPr>
        <w:t>10</w:t>
      </w:r>
      <w:r>
        <w:rPr>
          <w:rStyle w:val="165"/>
          <w:rFonts w:hint="eastAsia" w:ascii="宋体" w:hAnsi="宋体"/>
          <w:color w:val="auto"/>
          <w:sz w:val="21"/>
          <w:szCs w:val="21"/>
          <w:highlight w:val="none"/>
        </w:rPr>
        <w:t>第三章“评标办法及标准”中“商务和技术评分表”要求提供的其他资料（如有需提供）；</w:t>
      </w:r>
    </w:p>
    <w:p>
      <w:pPr>
        <w:pBdr>
          <w:bottom w:val="single" w:color="auto" w:sz="6" w:space="1"/>
        </w:pBdr>
        <w:spacing w:line="400" w:lineRule="exact"/>
        <w:rPr>
          <w:rStyle w:val="165"/>
          <w:rFonts w:ascii="宋体" w:hAnsi="宋体"/>
          <w:color w:val="auto"/>
          <w:sz w:val="21"/>
          <w:szCs w:val="21"/>
          <w:highlight w:val="none"/>
        </w:rPr>
      </w:pPr>
      <w:r>
        <w:rPr>
          <w:rStyle w:val="165"/>
          <w:rFonts w:hint="eastAsia" w:ascii="宋体" w:hAnsi="宋体"/>
          <w:color w:val="auto"/>
          <w:sz w:val="21"/>
          <w:szCs w:val="21"/>
          <w:highlight w:val="none"/>
        </w:rPr>
        <w:t>B</w:t>
      </w:r>
      <w:r>
        <w:rPr>
          <w:rStyle w:val="165"/>
          <w:rFonts w:hint="eastAsia" w:ascii="宋体" w:hAnsi="宋体"/>
          <w:color w:val="auto"/>
          <w:sz w:val="21"/>
          <w:szCs w:val="21"/>
          <w:highlight w:val="none"/>
          <w:lang w:val="en-US"/>
        </w:rPr>
        <w:t>11</w:t>
      </w:r>
      <w:r>
        <w:rPr>
          <w:rStyle w:val="165"/>
          <w:rFonts w:hint="eastAsia" w:ascii="宋体" w:hAnsi="宋体"/>
          <w:color w:val="auto"/>
          <w:sz w:val="21"/>
          <w:szCs w:val="21"/>
          <w:highlight w:val="none"/>
        </w:rPr>
        <w:t>供应商认为需要的其他资料（如有需提供）。</w:t>
      </w:r>
    </w:p>
    <w:p>
      <w:pPr>
        <w:pStyle w:val="2"/>
        <w:adjustRightInd w:val="0"/>
        <w:snapToGrid w:val="0"/>
        <w:spacing w:line="400" w:lineRule="exact"/>
        <w:rPr>
          <w:rStyle w:val="165"/>
          <w:rFonts w:hint="eastAsia" w:hAnsi="宋体"/>
          <w:color w:val="auto"/>
          <w:sz w:val="21"/>
          <w:szCs w:val="21"/>
          <w:highlight w:val="none"/>
        </w:rPr>
      </w:pPr>
    </w:p>
    <w:p>
      <w:pPr>
        <w:pStyle w:val="2"/>
        <w:adjustRightInd w:val="0"/>
        <w:snapToGrid w:val="0"/>
        <w:spacing w:line="400" w:lineRule="exact"/>
        <w:rPr>
          <w:rStyle w:val="165"/>
          <w:rFonts w:hint="eastAsia" w:hAnsi="宋体"/>
          <w:color w:val="auto"/>
          <w:sz w:val="21"/>
          <w:szCs w:val="21"/>
          <w:highlight w:val="none"/>
        </w:rPr>
      </w:pPr>
    </w:p>
    <w:p>
      <w:pPr>
        <w:pStyle w:val="2"/>
        <w:adjustRightInd w:val="0"/>
        <w:snapToGrid w:val="0"/>
        <w:spacing w:line="400" w:lineRule="exact"/>
        <w:rPr>
          <w:rStyle w:val="165"/>
          <w:rFonts w:hint="eastAsia" w:hAnsi="宋体"/>
          <w:color w:val="auto"/>
          <w:sz w:val="21"/>
          <w:szCs w:val="21"/>
          <w:highlight w:val="none"/>
        </w:rPr>
      </w:pPr>
    </w:p>
    <w:p>
      <w:pPr>
        <w:pStyle w:val="2"/>
        <w:adjustRightInd w:val="0"/>
        <w:snapToGrid w:val="0"/>
        <w:spacing w:line="400" w:lineRule="exact"/>
        <w:rPr>
          <w:rStyle w:val="165"/>
          <w:rFonts w:hint="eastAsia" w:hAnsi="宋体"/>
          <w:color w:val="auto"/>
          <w:sz w:val="21"/>
          <w:szCs w:val="21"/>
          <w:highlight w:val="none"/>
        </w:rPr>
      </w:pPr>
    </w:p>
    <w:p>
      <w:pPr>
        <w:pStyle w:val="2"/>
        <w:adjustRightInd w:val="0"/>
        <w:snapToGrid w:val="0"/>
        <w:spacing w:line="400" w:lineRule="exact"/>
        <w:rPr>
          <w:rStyle w:val="165"/>
          <w:rFonts w:hint="eastAsia" w:hAnsi="宋体"/>
          <w:color w:val="auto"/>
          <w:sz w:val="21"/>
          <w:szCs w:val="21"/>
          <w:highlight w:val="none"/>
        </w:rPr>
      </w:pPr>
    </w:p>
    <w:p>
      <w:pPr>
        <w:spacing w:line="400" w:lineRule="exact"/>
        <w:rPr>
          <w:rFonts w:hint="eastAsia" w:ascii="宋体" w:hAnsi="宋体"/>
          <w:b/>
          <w:color w:val="auto"/>
          <w:szCs w:val="21"/>
          <w:highlight w:val="none"/>
        </w:rPr>
      </w:pPr>
    </w:p>
    <w:p>
      <w:pPr>
        <w:spacing w:line="400" w:lineRule="exact"/>
        <w:rPr>
          <w:rFonts w:hint="eastAsia" w:ascii="宋体" w:hAnsi="宋体"/>
          <w:b/>
          <w:color w:val="auto"/>
          <w:szCs w:val="21"/>
          <w:highlight w:val="none"/>
        </w:rPr>
      </w:pPr>
    </w:p>
    <w:p>
      <w:pPr>
        <w:spacing w:line="400" w:lineRule="exact"/>
        <w:rPr>
          <w:rFonts w:hint="eastAsia" w:ascii="宋体" w:hAnsi="宋体"/>
          <w:b/>
          <w:color w:val="auto"/>
          <w:szCs w:val="21"/>
          <w:highlight w:val="none"/>
        </w:rPr>
      </w:pPr>
    </w:p>
    <w:p>
      <w:pPr>
        <w:spacing w:line="400" w:lineRule="exact"/>
        <w:rPr>
          <w:rFonts w:hint="eastAsia" w:ascii="宋体" w:hAnsi="宋体"/>
          <w:b/>
          <w:color w:val="auto"/>
          <w:szCs w:val="21"/>
          <w:highlight w:val="none"/>
        </w:rPr>
      </w:pPr>
    </w:p>
    <w:p>
      <w:pPr>
        <w:spacing w:line="400" w:lineRule="exact"/>
        <w:rPr>
          <w:rFonts w:hint="eastAsia" w:ascii="宋体" w:hAnsi="宋体"/>
          <w:b/>
          <w:color w:val="auto"/>
          <w:szCs w:val="21"/>
          <w:highlight w:val="none"/>
        </w:rPr>
      </w:pPr>
    </w:p>
    <w:p>
      <w:pPr>
        <w:spacing w:line="400" w:lineRule="exact"/>
        <w:rPr>
          <w:rFonts w:hint="eastAsia" w:ascii="宋体" w:hAnsi="宋体"/>
          <w:b/>
          <w:color w:val="auto"/>
          <w:szCs w:val="21"/>
          <w:highlight w:val="none"/>
        </w:rPr>
      </w:pPr>
    </w:p>
    <w:p>
      <w:pPr>
        <w:spacing w:line="400" w:lineRule="exact"/>
        <w:rPr>
          <w:rFonts w:hint="eastAsia" w:ascii="宋体" w:hAnsi="宋体"/>
          <w:b/>
          <w:color w:val="auto"/>
          <w:szCs w:val="21"/>
          <w:highlight w:val="none"/>
        </w:rPr>
      </w:pPr>
    </w:p>
    <w:p>
      <w:pPr>
        <w:spacing w:line="400" w:lineRule="exact"/>
        <w:rPr>
          <w:rFonts w:hint="eastAsia" w:ascii="宋体" w:hAnsi="宋体"/>
          <w:b/>
          <w:color w:val="auto"/>
          <w:szCs w:val="21"/>
          <w:highlight w:val="none"/>
        </w:rPr>
      </w:pPr>
    </w:p>
    <w:p>
      <w:pPr>
        <w:spacing w:line="400" w:lineRule="exact"/>
        <w:rPr>
          <w:rFonts w:hint="eastAsia" w:ascii="宋体" w:hAnsi="宋体"/>
          <w:b/>
          <w:color w:val="auto"/>
          <w:szCs w:val="21"/>
          <w:highlight w:val="none"/>
        </w:rPr>
      </w:pPr>
    </w:p>
    <w:p>
      <w:pPr>
        <w:spacing w:line="400" w:lineRule="exact"/>
        <w:rPr>
          <w:rFonts w:hint="eastAsia" w:ascii="宋体" w:hAnsi="宋体"/>
          <w:b/>
          <w:color w:val="auto"/>
          <w:szCs w:val="21"/>
          <w:highlight w:val="none"/>
        </w:rPr>
      </w:pPr>
    </w:p>
    <w:p>
      <w:pPr>
        <w:spacing w:line="400" w:lineRule="exact"/>
        <w:rPr>
          <w:rFonts w:hint="eastAsia" w:ascii="宋体" w:hAnsi="宋体"/>
          <w:b/>
          <w:color w:val="auto"/>
          <w:szCs w:val="21"/>
          <w:highlight w:val="none"/>
        </w:rPr>
      </w:pPr>
      <w:r>
        <w:rPr>
          <w:rFonts w:hint="eastAsia" w:ascii="宋体" w:hAnsi="宋体"/>
          <w:b/>
          <w:color w:val="auto"/>
          <w:szCs w:val="21"/>
          <w:highlight w:val="none"/>
        </w:rPr>
        <w:t xml:space="preserve"> </w:t>
      </w:r>
    </w:p>
    <w:p>
      <w:pPr>
        <w:spacing w:line="400" w:lineRule="exact"/>
        <w:rPr>
          <w:rFonts w:hint="eastAsia" w:ascii="宋体" w:hAnsi="宋体"/>
          <w:b/>
          <w:color w:val="auto"/>
          <w:szCs w:val="21"/>
          <w:highlight w:val="none"/>
        </w:rPr>
      </w:pPr>
    </w:p>
    <w:p>
      <w:pPr>
        <w:spacing w:line="400" w:lineRule="exact"/>
        <w:rPr>
          <w:rFonts w:hint="eastAsia" w:ascii="宋体" w:hAnsi="宋体"/>
          <w:b/>
          <w:color w:val="auto"/>
          <w:szCs w:val="21"/>
          <w:highlight w:val="none"/>
        </w:rPr>
      </w:pPr>
    </w:p>
    <w:p>
      <w:pPr>
        <w:spacing w:line="400" w:lineRule="exact"/>
        <w:rPr>
          <w:rFonts w:hint="eastAsia" w:ascii="宋体" w:hAnsi="宋体"/>
          <w:b/>
          <w:color w:val="auto"/>
          <w:szCs w:val="21"/>
          <w:highlight w:val="none"/>
        </w:rPr>
      </w:pPr>
    </w:p>
    <w:p>
      <w:pPr>
        <w:spacing w:line="400" w:lineRule="exact"/>
        <w:rPr>
          <w:rFonts w:hint="eastAsia" w:ascii="宋体" w:hAnsi="宋体"/>
          <w:b/>
          <w:color w:val="auto"/>
          <w:szCs w:val="21"/>
          <w:highlight w:val="none"/>
        </w:rPr>
      </w:pPr>
    </w:p>
    <w:p>
      <w:pPr>
        <w:spacing w:line="400" w:lineRule="exact"/>
        <w:rPr>
          <w:rFonts w:hint="eastAsia" w:ascii="宋体" w:hAnsi="宋体"/>
          <w:b/>
          <w:color w:val="auto"/>
          <w:szCs w:val="21"/>
          <w:highlight w:val="none"/>
        </w:rPr>
      </w:pPr>
    </w:p>
    <w:p>
      <w:pPr>
        <w:spacing w:line="400" w:lineRule="exact"/>
        <w:rPr>
          <w:rFonts w:hint="eastAsia" w:ascii="宋体" w:hAnsi="宋体"/>
          <w:b/>
          <w:color w:val="auto"/>
          <w:szCs w:val="21"/>
          <w:highlight w:val="none"/>
        </w:rPr>
      </w:pPr>
    </w:p>
    <w:p>
      <w:pPr>
        <w:spacing w:line="400" w:lineRule="exact"/>
        <w:rPr>
          <w:rFonts w:hint="eastAsia" w:ascii="宋体" w:hAnsi="宋体"/>
          <w:b/>
          <w:color w:val="auto"/>
          <w:szCs w:val="21"/>
          <w:highlight w:val="none"/>
        </w:rPr>
      </w:pPr>
    </w:p>
    <w:p>
      <w:pPr>
        <w:spacing w:line="400" w:lineRule="exact"/>
        <w:rPr>
          <w:rFonts w:hint="eastAsia" w:ascii="宋体" w:hAnsi="宋体"/>
          <w:b/>
          <w:color w:val="auto"/>
          <w:szCs w:val="21"/>
          <w:highlight w:val="none"/>
        </w:rPr>
      </w:pPr>
    </w:p>
    <w:p>
      <w:pPr>
        <w:spacing w:line="400" w:lineRule="exact"/>
        <w:rPr>
          <w:rFonts w:hint="eastAsia" w:ascii="宋体" w:hAnsi="宋体"/>
          <w:b/>
          <w:color w:val="auto"/>
          <w:szCs w:val="21"/>
          <w:highlight w:val="none"/>
        </w:rPr>
      </w:pPr>
    </w:p>
    <w:p>
      <w:pPr>
        <w:autoSpaceDE w:val="0"/>
        <w:autoSpaceDN w:val="0"/>
        <w:adjustRightInd w:val="0"/>
        <w:spacing w:before="960" w:beforeLines="400" w:line="420" w:lineRule="exact"/>
        <w:jc w:val="center"/>
        <w:rPr>
          <w:rStyle w:val="165"/>
          <w:rFonts w:ascii="宋体" w:hAnsi="宋体"/>
          <w:color w:val="auto"/>
          <w:sz w:val="32"/>
          <w:szCs w:val="32"/>
          <w:highlight w:val="none"/>
        </w:rPr>
      </w:pPr>
      <w:bookmarkStart w:id="51" w:name="_Toc443468293"/>
      <w:bookmarkStart w:id="52" w:name="_Toc74987463"/>
      <w:bookmarkStart w:id="53" w:name="_Toc21541028"/>
      <w:bookmarkStart w:id="54" w:name="_Toc74987431"/>
      <w:r>
        <w:rPr>
          <w:rStyle w:val="165"/>
          <w:rFonts w:ascii="宋体" w:hAnsi="宋体"/>
          <w:color w:val="auto"/>
          <w:sz w:val="32"/>
          <w:szCs w:val="32"/>
          <w:highlight w:val="none"/>
        </w:rPr>
        <w:t>C.</w:t>
      </w:r>
      <w:r>
        <w:rPr>
          <w:rStyle w:val="165"/>
          <w:rFonts w:hint="eastAsia" w:ascii="宋体" w:hAnsi="宋体"/>
          <w:color w:val="auto"/>
          <w:sz w:val="32"/>
          <w:szCs w:val="32"/>
          <w:highlight w:val="none"/>
        </w:rPr>
        <w:t>报价文件</w:t>
      </w:r>
      <w:bookmarkEnd w:id="51"/>
      <w:bookmarkEnd w:id="52"/>
      <w:bookmarkEnd w:id="53"/>
      <w:bookmarkEnd w:id="54"/>
    </w:p>
    <w:p>
      <w:pPr>
        <w:autoSpaceDE w:val="0"/>
        <w:autoSpaceDN w:val="0"/>
        <w:adjustRightInd w:val="0"/>
        <w:spacing w:line="420" w:lineRule="exact"/>
        <w:rPr>
          <w:rStyle w:val="165"/>
          <w:rFonts w:ascii="宋体" w:hAnsi="宋体"/>
          <w:b w:val="0"/>
          <w:color w:val="auto"/>
          <w:highlight w:val="none"/>
          <w:lang w:val="zh-CN"/>
        </w:rPr>
      </w:pPr>
      <w:r>
        <w:rPr>
          <w:rStyle w:val="165"/>
          <w:rFonts w:ascii="宋体" w:hAnsi="宋体"/>
          <w:color w:val="auto"/>
          <w:sz w:val="32"/>
          <w:szCs w:val="32"/>
          <w:highlight w:val="none"/>
        </w:rPr>
        <w:br w:type="page"/>
      </w:r>
      <w:r>
        <w:rPr>
          <w:rStyle w:val="165"/>
          <w:rFonts w:hint="eastAsia" w:ascii="宋体" w:hAnsi="宋体"/>
          <w:color w:val="auto"/>
          <w:sz w:val="21"/>
          <w:szCs w:val="21"/>
          <w:highlight w:val="none"/>
        </w:rPr>
        <w:t>封面</w:t>
      </w:r>
    </w:p>
    <w:p>
      <w:pPr>
        <w:spacing w:line="360" w:lineRule="auto"/>
        <w:rPr>
          <w:rFonts w:hint="eastAsia" w:ascii="宋体" w:hAnsi="宋体"/>
          <w:color w:val="auto"/>
          <w:sz w:val="28"/>
          <w:szCs w:val="28"/>
          <w:highlight w:val="none"/>
        </w:rPr>
      </w:pPr>
    </w:p>
    <w:p>
      <w:pPr>
        <w:pStyle w:val="197"/>
        <w:rPr>
          <w:color w:val="auto"/>
          <w:highlight w:val="none"/>
        </w:rPr>
      </w:pPr>
    </w:p>
    <w:p>
      <w:pPr>
        <w:spacing w:line="360" w:lineRule="auto"/>
        <w:jc w:val="center"/>
        <w:rPr>
          <w:rFonts w:hint="eastAsia" w:ascii="宋体" w:hAnsi="宋体"/>
          <w:color w:val="auto"/>
          <w:sz w:val="40"/>
          <w:szCs w:val="48"/>
          <w:highlight w:val="none"/>
          <w:u w:val="single"/>
        </w:rPr>
      </w:pPr>
      <w:r>
        <w:rPr>
          <w:rFonts w:hint="eastAsia" w:ascii="宋体" w:hAnsi="宋体"/>
          <w:b/>
          <w:color w:val="auto"/>
          <w:sz w:val="40"/>
          <w:szCs w:val="48"/>
          <w:highlight w:val="none"/>
          <w:lang w:eastAsia="zh-CN"/>
        </w:rPr>
        <w:t>慈溪市崇寿镇2022年度保洁服务</w:t>
      </w:r>
      <w:r>
        <w:rPr>
          <w:rFonts w:hint="eastAsia" w:ascii="宋体" w:hAnsi="宋体"/>
          <w:b/>
          <w:color w:val="auto"/>
          <w:sz w:val="40"/>
          <w:szCs w:val="48"/>
          <w:highlight w:val="none"/>
        </w:rPr>
        <w:t>采购项目</w:t>
      </w:r>
    </w:p>
    <w:p>
      <w:pPr>
        <w:spacing w:line="360" w:lineRule="auto"/>
        <w:jc w:val="center"/>
        <w:rPr>
          <w:rFonts w:hint="eastAsia" w:ascii="宋体" w:hAnsi="宋体"/>
          <w:color w:val="auto"/>
          <w:sz w:val="36"/>
          <w:szCs w:val="36"/>
          <w:highlight w:val="none"/>
          <w:u w:val="single"/>
        </w:rPr>
      </w:pPr>
    </w:p>
    <w:p>
      <w:pPr>
        <w:spacing w:line="360" w:lineRule="auto"/>
        <w:jc w:val="center"/>
        <w:rPr>
          <w:rFonts w:hint="eastAsia" w:ascii="宋体" w:hAnsi="宋体" w:eastAsia="宋体" w:cs="Times New Roman"/>
          <w:color w:val="auto"/>
          <w:sz w:val="36"/>
          <w:szCs w:val="36"/>
          <w:highlight w:val="none"/>
          <w:u w:val="single"/>
        </w:rPr>
      </w:pPr>
      <w:r>
        <w:rPr>
          <w:rFonts w:hint="eastAsia" w:ascii="宋体" w:hAnsi="宋体" w:eastAsia="宋体" w:cs="Times New Roman"/>
          <w:color w:val="auto"/>
          <w:sz w:val="36"/>
          <w:szCs w:val="36"/>
          <w:highlight w:val="none"/>
          <w:u w:val="single"/>
        </w:rPr>
        <w:t>项目编号：</w:t>
      </w:r>
      <w:r>
        <w:rPr>
          <w:rFonts w:hint="eastAsia" w:ascii="宋体" w:hAnsi="宋体" w:eastAsia="宋体" w:cs="Times New Roman"/>
          <w:color w:val="auto"/>
          <w:sz w:val="36"/>
          <w:szCs w:val="36"/>
          <w:highlight w:val="none"/>
          <w:u w:val="single"/>
          <w:lang w:eastAsia="zh-CN"/>
        </w:rPr>
        <w:fldChar w:fldCharType="begin"/>
      </w:r>
      <w:r>
        <w:rPr>
          <w:rFonts w:hint="eastAsia" w:ascii="宋体" w:hAnsi="宋体" w:eastAsia="宋体" w:cs="Times New Roman"/>
          <w:color w:val="auto"/>
          <w:sz w:val="36"/>
          <w:szCs w:val="36"/>
          <w:highlight w:val="none"/>
          <w:u w:val="single"/>
          <w:lang w:eastAsia="zh-CN"/>
        </w:rPr>
        <w:instrText xml:space="preserve"> HYPERLINK "https://pay.zcygov.cn/purchaseplan_front/" \l "/plan/list/detail?id=1000000000007569839&amp;encrypt=1f2544fa333427dcec2e1c5237868c71" \o "CXZFCG[2022]658号" \t "https://www.zcygov.cn/bid-inviting/purchaseFileMake/announcementInfo/_blank" </w:instrText>
      </w:r>
      <w:r>
        <w:rPr>
          <w:rFonts w:hint="eastAsia" w:ascii="宋体" w:hAnsi="宋体" w:eastAsia="宋体" w:cs="Times New Roman"/>
          <w:color w:val="auto"/>
          <w:sz w:val="36"/>
          <w:szCs w:val="36"/>
          <w:highlight w:val="none"/>
          <w:u w:val="single"/>
          <w:lang w:eastAsia="zh-CN"/>
        </w:rPr>
        <w:fldChar w:fldCharType="separate"/>
      </w:r>
      <w:r>
        <w:rPr>
          <w:rFonts w:hint="eastAsia" w:ascii="宋体" w:hAnsi="宋体" w:eastAsia="宋体" w:cs="Times New Roman"/>
          <w:color w:val="auto"/>
          <w:sz w:val="36"/>
          <w:szCs w:val="36"/>
          <w:highlight w:val="none"/>
          <w:u w:val="single"/>
          <w:lang w:eastAsia="zh-CN"/>
        </w:rPr>
        <w:t>CXZFCG[2022]1350号</w:t>
      </w:r>
      <w:r>
        <w:rPr>
          <w:rFonts w:hint="eastAsia" w:ascii="宋体" w:hAnsi="宋体" w:eastAsia="宋体" w:cs="Times New Roman"/>
          <w:color w:val="auto"/>
          <w:sz w:val="36"/>
          <w:szCs w:val="36"/>
          <w:highlight w:val="none"/>
          <w:u w:val="single"/>
          <w:lang w:eastAsia="zh-CN"/>
        </w:rPr>
        <w:fldChar w:fldCharType="end"/>
      </w:r>
    </w:p>
    <w:p>
      <w:pPr>
        <w:rPr>
          <w:rFonts w:hint="eastAsia" w:ascii="宋体" w:hAnsi="宋体" w:eastAsia="宋体"/>
          <w:color w:val="auto"/>
          <w:sz w:val="28"/>
          <w:szCs w:val="28"/>
          <w:highlight w:val="none"/>
          <w:lang w:eastAsia="zh-CN"/>
        </w:rPr>
      </w:pPr>
    </w:p>
    <w:p>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（报价文件）</w:t>
      </w:r>
    </w:p>
    <w:p>
      <w:pPr>
        <w:jc w:val="center"/>
        <w:rPr>
          <w:rFonts w:ascii="宋体" w:hAnsi="宋体"/>
          <w:color w:val="auto"/>
          <w:sz w:val="28"/>
          <w:szCs w:val="28"/>
          <w:highlight w:val="none"/>
        </w:rPr>
      </w:pPr>
    </w:p>
    <w:p>
      <w:pPr>
        <w:spacing w:line="360" w:lineRule="auto"/>
        <w:jc w:val="center"/>
        <w:rPr>
          <w:rFonts w:ascii="宋体" w:hAnsi="宋体"/>
          <w:b/>
          <w:color w:val="auto"/>
          <w:sz w:val="72"/>
          <w:szCs w:val="72"/>
          <w:highlight w:val="none"/>
        </w:rPr>
      </w:pP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pPr>
        <w:pStyle w:val="25"/>
        <w:ind w:left="101" w:leftChars="48" w:firstLine="1920" w:firstLineChars="800"/>
        <w:jc w:val="left"/>
        <w:rPr>
          <w:rFonts w:hAnsi="宋体"/>
          <w:color w:val="auto"/>
          <w:kern w:val="2"/>
          <w:szCs w:val="28"/>
          <w:highlight w:val="none"/>
          <w:u w:val="single"/>
        </w:rPr>
      </w:pPr>
    </w:p>
    <w:p>
      <w:pPr>
        <w:autoSpaceDE w:val="0"/>
        <w:autoSpaceDN w:val="0"/>
        <w:adjustRightInd w:val="0"/>
        <w:spacing w:line="400" w:lineRule="exact"/>
        <w:jc w:val="center"/>
        <w:outlineLvl w:val="0"/>
        <w:rPr>
          <w:rStyle w:val="165"/>
          <w:rFonts w:ascii="宋体" w:hAnsi="宋体"/>
          <w:color w:val="auto"/>
          <w:sz w:val="28"/>
          <w:szCs w:val="28"/>
          <w:highlight w:val="none"/>
        </w:rPr>
      </w:pPr>
      <w:bookmarkStart w:id="55" w:name="_Toc85732609"/>
      <w:bookmarkStart w:id="56" w:name="_Toc74987464"/>
      <w:bookmarkStart w:id="57" w:name="_Toc443468294"/>
      <w:bookmarkStart w:id="58" w:name="_Toc1675"/>
      <w:bookmarkStart w:id="59" w:name="_Toc74987432"/>
      <w:bookmarkStart w:id="60" w:name="_Toc21541029"/>
      <w:bookmarkStart w:id="61" w:name="_Toc74987562"/>
      <w:r>
        <w:rPr>
          <w:rFonts w:hint="eastAsia" w:ascii="宋体" w:hAnsi="宋体"/>
          <w:color w:val="auto"/>
          <w:sz w:val="36"/>
          <w:szCs w:val="36"/>
          <w:highlight w:val="none"/>
        </w:rPr>
        <w:t>年</w:t>
      </w:r>
      <w:r>
        <w:rPr>
          <w:rFonts w:ascii="宋体" w:hAnsi="宋体"/>
          <w:color w:val="auto"/>
          <w:sz w:val="36"/>
          <w:szCs w:val="36"/>
          <w:highlight w:val="none"/>
        </w:rPr>
        <w:t xml:space="preserve">  </w:t>
      </w:r>
      <w:r>
        <w:rPr>
          <w:rFonts w:hint="eastAsia" w:ascii="宋体" w:hAnsi="宋体"/>
          <w:color w:val="auto"/>
          <w:sz w:val="36"/>
          <w:szCs w:val="36"/>
          <w:highlight w:val="none"/>
        </w:rPr>
        <w:t>月</w:t>
      </w:r>
      <w:r>
        <w:rPr>
          <w:rFonts w:ascii="宋体" w:hAnsi="宋体"/>
          <w:color w:val="auto"/>
          <w:sz w:val="36"/>
          <w:szCs w:val="36"/>
          <w:highlight w:val="none"/>
        </w:rPr>
        <w:t xml:space="preserve">  </w:t>
      </w:r>
      <w:r>
        <w:rPr>
          <w:rFonts w:hint="eastAsia" w:ascii="宋体" w:hAnsi="宋体"/>
          <w:color w:val="auto"/>
          <w:sz w:val="36"/>
          <w:szCs w:val="36"/>
          <w:highlight w:val="none"/>
        </w:rPr>
        <w:t>日</w:t>
      </w:r>
      <w:bookmarkEnd w:id="55"/>
      <w:bookmarkEnd w:id="56"/>
      <w:bookmarkEnd w:id="57"/>
      <w:bookmarkEnd w:id="58"/>
      <w:bookmarkEnd w:id="59"/>
      <w:bookmarkEnd w:id="60"/>
      <w:bookmarkEnd w:id="61"/>
    </w:p>
    <w:p>
      <w:pPr>
        <w:autoSpaceDE w:val="0"/>
        <w:autoSpaceDN w:val="0"/>
        <w:adjustRightInd w:val="0"/>
        <w:spacing w:line="400" w:lineRule="exact"/>
        <w:jc w:val="center"/>
        <w:outlineLvl w:val="0"/>
        <w:rPr>
          <w:rStyle w:val="165"/>
          <w:rFonts w:ascii="宋体" w:hAnsi="宋体"/>
          <w:color w:val="auto"/>
          <w:sz w:val="28"/>
          <w:szCs w:val="28"/>
          <w:highlight w:val="none"/>
        </w:rPr>
      </w:pPr>
    </w:p>
    <w:p>
      <w:pPr>
        <w:spacing w:line="360" w:lineRule="auto"/>
        <w:jc w:val="center"/>
        <w:rPr>
          <w:rFonts w:ascii="宋体" w:hAnsi="宋体"/>
          <w:b/>
          <w:color w:val="auto"/>
          <w:szCs w:val="21"/>
          <w:highlight w:val="none"/>
        </w:rPr>
      </w:pPr>
      <w:r>
        <w:rPr>
          <w:rStyle w:val="165"/>
          <w:rFonts w:ascii="宋体" w:hAnsi="宋体"/>
          <w:color w:val="auto"/>
          <w:sz w:val="28"/>
          <w:szCs w:val="28"/>
          <w:highlight w:val="none"/>
        </w:rPr>
        <w:br w:type="page"/>
      </w:r>
      <w:bookmarkEnd w:id="49"/>
      <w:bookmarkEnd w:id="50"/>
      <w:bookmarkStart w:id="62" w:name="_Toc74987433"/>
      <w:bookmarkStart w:id="63" w:name="_Toc21541030"/>
      <w:bookmarkStart w:id="64" w:name="_Toc74987465"/>
      <w:r>
        <w:rPr>
          <w:rFonts w:ascii="宋体" w:hAnsi="宋体"/>
          <w:b/>
          <w:color w:val="auto"/>
          <w:szCs w:val="21"/>
          <w:highlight w:val="none"/>
        </w:rPr>
        <w:t xml:space="preserve">C1 </w:t>
      </w:r>
      <w:r>
        <w:rPr>
          <w:rFonts w:hint="eastAsia" w:ascii="宋体" w:hAnsi="宋体"/>
          <w:b/>
          <w:color w:val="auto"/>
          <w:szCs w:val="21"/>
          <w:highlight w:val="none"/>
        </w:rPr>
        <w:t>开标一览表</w:t>
      </w:r>
      <w:bookmarkEnd w:id="62"/>
      <w:bookmarkEnd w:id="63"/>
      <w:bookmarkEnd w:id="64"/>
    </w:p>
    <w:p>
      <w:pPr>
        <w:pStyle w:val="20"/>
        <w:spacing w:line="400" w:lineRule="exact"/>
        <w:ind w:firstLine="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项目名称：</w:t>
      </w:r>
      <w:r>
        <w:rPr>
          <w:rFonts w:hint="eastAsia" w:ascii="宋体" w:hAnsi="宋体" w:eastAsia="宋体"/>
          <w:color w:val="auto"/>
          <w:sz w:val="21"/>
          <w:szCs w:val="21"/>
          <w:highlight w:val="none"/>
          <w:u w:val="single"/>
          <w:lang w:eastAsia="zh-CN"/>
        </w:rPr>
        <w:t>慈溪市崇寿镇2022年度保洁服务</w:t>
      </w:r>
      <w:r>
        <w:rPr>
          <w:rFonts w:hint="eastAsia" w:ascii="宋体" w:hAnsi="宋体" w:eastAsia="宋体"/>
          <w:color w:val="auto"/>
          <w:sz w:val="21"/>
          <w:szCs w:val="21"/>
          <w:highlight w:val="none"/>
          <w:u w:val="single"/>
        </w:rPr>
        <w:t>采购项目</w:t>
      </w:r>
    </w:p>
    <w:p>
      <w:pPr>
        <w:pStyle w:val="20"/>
        <w:spacing w:line="400" w:lineRule="exact"/>
        <w:ind w:firstLine="0"/>
        <w:rPr>
          <w:rFonts w:hint="eastAsia" w:ascii="宋体" w:hAnsi="宋体" w:eastAsia="宋体"/>
          <w:color w:val="auto"/>
          <w:sz w:val="21"/>
          <w:szCs w:val="21"/>
          <w:highlight w:val="none"/>
          <w:u w:val="single"/>
        </w:rPr>
      </w:pPr>
      <w:r>
        <w:rPr>
          <w:rFonts w:hint="eastAsia" w:ascii="宋体" w:hAnsi="宋体" w:eastAsia="宋体"/>
          <w:color w:val="auto"/>
          <w:sz w:val="21"/>
          <w:szCs w:val="21"/>
          <w:highlight w:val="none"/>
        </w:rPr>
        <w:t>项目编号：</w:t>
      </w:r>
      <w:r>
        <w:rPr>
          <w:rFonts w:hint="eastAsia" w:ascii="宋体" w:hAnsi="宋体" w:eastAsia="宋体" w:cs="Times New Roman"/>
          <w:color w:val="auto"/>
          <w:sz w:val="21"/>
          <w:szCs w:val="21"/>
          <w:highlight w:val="none"/>
          <w:u w:val="single"/>
          <w:lang w:eastAsia="zh-CN"/>
        </w:rPr>
        <w:fldChar w:fldCharType="begin"/>
      </w:r>
      <w:r>
        <w:rPr>
          <w:rFonts w:hint="eastAsia" w:ascii="宋体" w:hAnsi="宋体" w:eastAsia="宋体" w:cs="Times New Roman"/>
          <w:color w:val="auto"/>
          <w:sz w:val="21"/>
          <w:szCs w:val="21"/>
          <w:highlight w:val="none"/>
          <w:u w:val="single"/>
          <w:lang w:eastAsia="zh-CN"/>
        </w:rPr>
        <w:instrText xml:space="preserve"> HYPERLINK "https://pay.zcygov.cn/purchaseplan_front/" \l "/plan/list/detail?id=1000000000007569839&amp;encrypt=1f2544fa333427dcec2e1c5237868c71" \o "CXZFCG[2022]658号" \t "https://www.zcygov.cn/bid-inviting/purchaseFileMake/announcementInfo/_blank" </w:instrText>
      </w:r>
      <w:r>
        <w:rPr>
          <w:rFonts w:hint="eastAsia" w:ascii="宋体" w:hAnsi="宋体" w:eastAsia="宋体" w:cs="Times New Roman"/>
          <w:color w:val="auto"/>
          <w:sz w:val="21"/>
          <w:szCs w:val="21"/>
          <w:highlight w:val="none"/>
          <w:u w:val="single"/>
          <w:lang w:eastAsia="zh-CN"/>
        </w:rPr>
        <w:fldChar w:fldCharType="separate"/>
      </w:r>
      <w:r>
        <w:rPr>
          <w:rFonts w:hint="eastAsia" w:ascii="宋体" w:hAnsi="宋体" w:eastAsia="宋体" w:cs="Times New Roman"/>
          <w:color w:val="auto"/>
          <w:sz w:val="21"/>
          <w:szCs w:val="21"/>
          <w:highlight w:val="none"/>
          <w:u w:val="single"/>
          <w:lang w:eastAsia="zh-CN"/>
        </w:rPr>
        <w:t>CXZFCG[2022]1350号</w:t>
      </w:r>
      <w:r>
        <w:rPr>
          <w:rFonts w:hint="eastAsia" w:ascii="宋体" w:hAnsi="宋体" w:eastAsia="宋体" w:cs="Times New Roman"/>
          <w:color w:val="auto"/>
          <w:sz w:val="21"/>
          <w:szCs w:val="21"/>
          <w:highlight w:val="none"/>
          <w:u w:val="single"/>
          <w:lang w:eastAsia="zh-CN"/>
        </w:rPr>
        <w:fldChar w:fldCharType="end"/>
      </w:r>
    </w:p>
    <w:p>
      <w:pPr>
        <w:pStyle w:val="29"/>
        <w:rPr>
          <w:rFonts w:hint="eastAsia"/>
          <w:color w:val="auto"/>
          <w:highlight w:val="none"/>
        </w:rPr>
      </w:pPr>
    </w:p>
    <w:tbl>
      <w:tblPr>
        <w:tblStyle w:val="4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2"/>
        <w:gridCol w:w="2820"/>
        <w:gridCol w:w="245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832" w:type="dxa"/>
            <w:noWrap w:val="0"/>
            <w:vAlign w:val="center"/>
          </w:tcPr>
          <w:p>
            <w:pPr>
              <w:spacing w:line="540" w:lineRule="exact"/>
              <w:ind w:firstLine="420"/>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2820" w:type="dxa"/>
            <w:noWrap w:val="0"/>
            <w:vAlign w:val="center"/>
          </w:tcPr>
          <w:p>
            <w:pPr>
              <w:spacing w:line="540" w:lineRule="exact"/>
              <w:ind w:firstLine="420"/>
              <w:jc w:val="center"/>
              <w:rPr>
                <w:rFonts w:hint="eastAsia" w:ascii="宋体" w:hAnsi="宋体" w:cs="宋体"/>
                <w:color w:val="auto"/>
                <w:szCs w:val="21"/>
                <w:highlight w:val="none"/>
              </w:rPr>
            </w:pPr>
            <w:r>
              <w:rPr>
                <w:rFonts w:hint="eastAsia" w:ascii="宋体" w:hAnsi="宋体" w:cs="宋体"/>
                <w:color w:val="auto"/>
                <w:szCs w:val="21"/>
                <w:highlight w:val="none"/>
              </w:rPr>
              <w:t>服务费（元）</w:t>
            </w:r>
          </w:p>
        </w:tc>
        <w:tc>
          <w:tcPr>
            <w:tcW w:w="2458" w:type="dxa"/>
            <w:noWrap w:val="0"/>
            <w:vAlign w:val="center"/>
          </w:tcPr>
          <w:p>
            <w:pPr>
              <w:spacing w:line="540" w:lineRule="exact"/>
              <w:ind w:firstLine="420"/>
              <w:jc w:val="both"/>
              <w:rPr>
                <w:rFonts w:hint="eastAsia" w:ascii="宋体" w:hAnsi="宋体" w:cs="宋体"/>
                <w:color w:val="auto"/>
                <w:szCs w:val="21"/>
                <w:highlight w:val="none"/>
              </w:rPr>
            </w:pPr>
            <w:r>
              <w:rPr>
                <w:rFonts w:hint="eastAsia" w:ascii="宋体" w:hAnsi="宋体" w:cs="宋体"/>
                <w:color w:val="auto"/>
                <w:szCs w:val="21"/>
                <w:highlight w:val="none"/>
              </w:rPr>
              <w:t>服务期限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3832" w:type="dxa"/>
            <w:noWrap w:val="0"/>
            <w:vAlign w:val="center"/>
          </w:tcPr>
          <w:p>
            <w:pPr>
              <w:jc w:val="both"/>
              <w:rPr>
                <w:rFonts w:hint="eastAsia"/>
                <w:color w:val="auto"/>
                <w:highlight w:val="none"/>
              </w:rPr>
            </w:pPr>
            <w:r>
              <w:rPr>
                <w:rFonts w:hint="eastAsia" w:ascii="宋体" w:hAnsi="宋体" w:eastAsia="宋体" w:cs="宋体"/>
                <w:color w:val="auto"/>
                <w:szCs w:val="21"/>
                <w:highlight w:val="none"/>
                <w:lang w:eastAsia="zh-CN"/>
              </w:rPr>
              <w:t>慈溪市崇寿镇2022年度保洁服务</w:t>
            </w:r>
            <w:r>
              <w:rPr>
                <w:rFonts w:hint="eastAsia" w:ascii="宋体" w:hAnsi="宋体" w:eastAsia="宋体" w:cs="宋体"/>
                <w:color w:val="auto"/>
                <w:szCs w:val="21"/>
                <w:highlight w:val="none"/>
              </w:rPr>
              <w:t>采购项目</w:t>
            </w:r>
          </w:p>
        </w:tc>
        <w:tc>
          <w:tcPr>
            <w:tcW w:w="2820" w:type="dxa"/>
            <w:noWrap w:val="0"/>
            <w:vAlign w:val="top"/>
          </w:tcPr>
          <w:p>
            <w:pPr>
              <w:spacing w:line="540" w:lineRule="exact"/>
              <w:ind w:firstLine="420"/>
              <w:rPr>
                <w:rFonts w:hint="eastAsia"/>
                <w:color w:val="auto"/>
                <w:highlight w:val="none"/>
                <w:lang w:val="en-US" w:eastAsia="zh-CN"/>
              </w:rPr>
            </w:pPr>
            <w:r>
              <w:rPr>
                <w:rFonts w:hint="eastAsia"/>
                <w:color w:val="auto"/>
                <w:highlight w:val="none"/>
                <w:lang w:val="en-US" w:eastAsia="zh-CN"/>
              </w:rPr>
              <w:t>小写：</w:t>
            </w:r>
          </w:p>
          <w:p>
            <w:pPr>
              <w:pStyle w:val="44"/>
              <w:rPr>
                <w:rFonts w:hint="default"/>
                <w:color w:val="auto"/>
                <w:highlight w:val="none"/>
                <w:lang w:val="en-US" w:eastAsia="zh-CN"/>
              </w:rPr>
            </w:pPr>
            <w:r>
              <w:rPr>
                <w:rFonts w:hint="eastAsia"/>
                <w:color w:val="auto"/>
                <w:kern w:val="2"/>
                <w:sz w:val="21"/>
                <w:szCs w:val="22"/>
                <w:highlight w:val="none"/>
                <w:lang w:val="en-US" w:eastAsia="zh-CN" w:bidi="ar-SA"/>
              </w:rPr>
              <w:t>大写：</w:t>
            </w:r>
          </w:p>
        </w:tc>
        <w:tc>
          <w:tcPr>
            <w:tcW w:w="2458" w:type="dxa"/>
            <w:noWrap w:val="0"/>
            <w:vAlign w:val="center"/>
          </w:tcPr>
          <w:p>
            <w:pPr>
              <w:ind w:firstLine="420"/>
              <w:jc w:val="both"/>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一年 </w:t>
            </w:r>
          </w:p>
        </w:tc>
      </w:tr>
    </w:tbl>
    <w:p>
      <w:pPr>
        <w:spacing w:line="400" w:lineRule="atLeast"/>
        <w:jc w:val="left"/>
        <w:rPr>
          <w:rFonts w:ascii="宋体" w:hAnsi="宋体"/>
          <w:color w:val="auto"/>
          <w:szCs w:val="21"/>
          <w:highlight w:val="none"/>
        </w:rPr>
      </w:pPr>
      <w:r>
        <w:rPr>
          <w:rFonts w:hint="eastAsia" w:ascii="宋体" w:hAnsi="宋体"/>
          <w:color w:val="auto"/>
          <w:szCs w:val="21"/>
          <w:highlight w:val="none"/>
        </w:rPr>
        <w:t>投标报价金额必须与C2 《分项报价表》投标报价中的金额一致。</w:t>
      </w:r>
    </w:p>
    <w:p>
      <w:pPr>
        <w:spacing w:line="400" w:lineRule="atLeast"/>
        <w:jc w:val="left"/>
        <w:rPr>
          <w:rFonts w:hint="eastAsia" w:ascii="宋体" w:hAnsi="宋体"/>
          <w:color w:val="auto"/>
          <w:szCs w:val="21"/>
          <w:highlight w:val="none"/>
        </w:rPr>
      </w:pPr>
    </w:p>
    <w:p>
      <w:pPr>
        <w:spacing w:line="400" w:lineRule="atLeast"/>
        <w:jc w:val="left"/>
        <w:rPr>
          <w:rFonts w:ascii="宋体" w:hAnsi="宋体"/>
          <w:color w:val="auto"/>
          <w:szCs w:val="21"/>
          <w:highlight w:val="none"/>
        </w:rPr>
      </w:pPr>
      <w:r>
        <w:rPr>
          <w:rFonts w:hint="eastAsia" w:ascii="宋体" w:hAnsi="宋体"/>
          <w:color w:val="auto"/>
          <w:szCs w:val="21"/>
          <w:highlight w:val="none"/>
        </w:rPr>
        <w:t>供应商</w:t>
      </w:r>
      <w:r>
        <w:rPr>
          <w:rFonts w:hint="eastAsia" w:ascii="宋体" w:hAnsi="宋体"/>
          <w:color w:val="auto"/>
          <w:szCs w:val="21"/>
          <w:highlight w:val="none"/>
        </w:rPr>
        <w:t>（盖章）：</w:t>
      </w:r>
    </w:p>
    <w:p>
      <w:pPr>
        <w:spacing w:line="400" w:lineRule="atLeast"/>
        <w:rPr>
          <w:rFonts w:ascii="宋体" w:hAnsi="宋体"/>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pPr>
        <w:spacing w:line="360" w:lineRule="auto"/>
        <w:jc w:val="both"/>
        <w:rPr>
          <w:rFonts w:hint="eastAsia" w:ascii="宋体" w:hAnsi="宋体" w:eastAsia="宋体"/>
          <w:color w:val="auto"/>
          <w:sz w:val="21"/>
          <w:szCs w:val="21"/>
          <w:highlight w:val="none"/>
        </w:rPr>
        <w:sectPr>
          <w:headerReference r:id="rId8" w:type="default"/>
          <w:footerReference r:id="rId9" w:type="default"/>
          <w:pgSz w:w="11907" w:h="16840"/>
          <w:pgMar w:top="1138" w:right="1588" w:bottom="1423" w:left="1339" w:header="285" w:footer="990" w:gutter="0"/>
          <w:cols w:space="720" w:num="1"/>
          <w:docGrid w:linePitch="285" w:charSpace="0"/>
        </w:sectPr>
      </w:pPr>
    </w:p>
    <w:p>
      <w:pPr>
        <w:spacing w:line="360" w:lineRule="auto"/>
        <w:jc w:val="center"/>
        <w:rPr>
          <w:rFonts w:ascii="宋体" w:hAnsi="宋体"/>
          <w:b/>
          <w:color w:val="auto"/>
          <w:szCs w:val="21"/>
          <w:highlight w:val="none"/>
        </w:rPr>
      </w:pPr>
      <w:r>
        <w:rPr>
          <w:rFonts w:ascii="宋体" w:hAnsi="宋体"/>
          <w:b/>
          <w:color w:val="auto"/>
          <w:sz w:val="28"/>
          <w:szCs w:val="28"/>
          <w:highlight w:val="none"/>
        </w:rPr>
        <w:t xml:space="preserve">C2 </w:t>
      </w:r>
      <w:r>
        <w:rPr>
          <w:rFonts w:hint="eastAsia" w:ascii="宋体" w:hAnsi="宋体"/>
          <w:b/>
          <w:color w:val="auto"/>
          <w:sz w:val="28"/>
          <w:szCs w:val="28"/>
          <w:highlight w:val="none"/>
        </w:rPr>
        <w:t>分项报价表</w:t>
      </w:r>
    </w:p>
    <w:p>
      <w:pPr>
        <w:pStyle w:val="20"/>
        <w:spacing w:line="400" w:lineRule="exact"/>
        <w:ind w:firstLine="0"/>
        <w:rPr>
          <w:rFonts w:hint="eastAsia" w:ascii="宋体" w:hAnsi="宋体" w:eastAsia="宋体"/>
          <w:color w:val="auto"/>
          <w:sz w:val="21"/>
          <w:szCs w:val="21"/>
          <w:highlight w:val="none"/>
        </w:rPr>
      </w:pPr>
    </w:p>
    <w:p>
      <w:pPr>
        <w:pStyle w:val="20"/>
        <w:spacing w:line="400" w:lineRule="exact"/>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r>
        <w:rPr>
          <w:rFonts w:hint="eastAsia" w:ascii="宋体" w:hAnsi="宋体" w:eastAsia="宋体"/>
          <w:color w:val="auto"/>
          <w:sz w:val="21"/>
          <w:szCs w:val="21"/>
          <w:highlight w:val="none"/>
          <w:u w:val="single"/>
          <w:lang w:eastAsia="zh-CN"/>
        </w:rPr>
        <w:t>慈溪市崇寿镇2022年度保洁服务</w:t>
      </w:r>
      <w:r>
        <w:rPr>
          <w:rFonts w:hint="eastAsia" w:ascii="宋体" w:hAnsi="宋体" w:eastAsia="宋体"/>
          <w:color w:val="auto"/>
          <w:sz w:val="21"/>
          <w:szCs w:val="21"/>
          <w:highlight w:val="none"/>
          <w:u w:val="single"/>
        </w:rPr>
        <w:t>采购项目</w:t>
      </w:r>
      <w:r>
        <w:rPr>
          <w:rFonts w:hint="eastAsia" w:ascii="宋体" w:hAnsi="宋体" w:eastAsia="宋体"/>
          <w:color w:val="auto"/>
          <w:sz w:val="21"/>
          <w:szCs w:val="21"/>
          <w:highlight w:val="none"/>
        </w:rPr>
        <w:t xml:space="preserve">              </w:t>
      </w:r>
    </w:p>
    <w:p>
      <w:pPr>
        <w:pStyle w:val="20"/>
        <w:spacing w:line="400" w:lineRule="exact"/>
        <w:ind w:firstLine="0"/>
        <w:rPr>
          <w:rFonts w:ascii="宋体" w:hAnsi="宋体" w:eastAsia="宋体"/>
          <w:color w:val="auto"/>
          <w:sz w:val="21"/>
          <w:szCs w:val="21"/>
          <w:highlight w:val="none"/>
          <w:u w:val="single"/>
        </w:rPr>
      </w:pPr>
      <w:r>
        <w:rPr>
          <w:rFonts w:hint="eastAsia" w:ascii="宋体" w:hAnsi="宋体" w:eastAsia="宋体"/>
          <w:color w:val="auto"/>
          <w:sz w:val="21"/>
          <w:szCs w:val="21"/>
          <w:highlight w:val="none"/>
        </w:rPr>
        <w:t>采购编号：</w:t>
      </w:r>
      <w:r>
        <w:rPr>
          <w:rFonts w:hint="eastAsia" w:ascii="宋体" w:hAnsi="宋体" w:eastAsia="宋体" w:cs="Times New Roman"/>
          <w:color w:val="auto"/>
          <w:sz w:val="21"/>
          <w:szCs w:val="21"/>
          <w:highlight w:val="none"/>
          <w:u w:val="single"/>
          <w:lang w:eastAsia="zh-CN"/>
        </w:rPr>
        <w:fldChar w:fldCharType="begin"/>
      </w:r>
      <w:r>
        <w:rPr>
          <w:rFonts w:hint="eastAsia" w:ascii="宋体" w:hAnsi="宋体" w:eastAsia="宋体" w:cs="Times New Roman"/>
          <w:color w:val="auto"/>
          <w:sz w:val="21"/>
          <w:szCs w:val="21"/>
          <w:highlight w:val="none"/>
          <w:u w:val="single"/>
          <w:lang w:eastAsia="zh-CN"/>
        </w:rPr>
        <w:instrText xml:space="preserve"> HYPERLINK "https://pay.zcygov.cn/purchaseplan_front/" \l "/plan/list/detail?id=1000000000007569839&amp;encrypt=1f2544fa333427dcec2e1c5237868c71" \o "CXZFCG[2022]658号" \t "https://www.zcygov.cn/bid-inviting/purchaseFileMake/announcementInfo/_blank" </w:instrText>
      </w:r>
      <w:r>
        <w:rPr>
          <w:rFonts w:hint="eastAsia" w:ascii="宋体" w:hAnsi="宋体" w:eastAsia="宋体" w:cs="Times New Roman"/>
          <w:color w:val="auto"/>
          <w:sz w:val="21"/>
          <w:szCs w:val="21"/>
          <w:highlight w:val="none"/>
          <w:u w:val="single"/>
          <w:lang w:eastAsia="zh-CN"/>
        </w:rPr>
        <w:fldChar w:fldCharType="separate"/>
      </w:r>
      <w:r>
        <w:rPr>
          <w:rFonts w:hint="eastAsia" w:ascii="宋体" w:hAnsi="宋体" w:eastAsia="宋体" w:cs="Times New Roman"/>
          <w:color w:val="auto"/>
          <w:sz w:val="21"/>
          <w:szCs w:val="21"/>
          <w:highlight w:val="none"/>
          <w:u w:val="single"/>
          <w:lang w:eastAsia="zh-CN"/>
        </w:rPr>
        <w:t>CXZFCG[2022]1350号</w:t>
      </w:r>
      <w:r>
        <w:rPr>
          <w:rFonts w:hint="eastAsia" w:ascii="宋体" w:hAnsi="宋体" w:eastAsia="宋体" w:cs="Times New Roman"/>
          <w:color w:val="auto"/>
          <w:sz w:val="21"/>
          <w:szCs w:val="21"/>
          <w:highlight w:val="none"/>
          <w:u w:val="single"/>
          <w:lang w:eastAsia="zh-CN"/>
        </w:rPr>
        <w:fldChar w:fldCharType="end"/>
      </w:r>
    </w:p>
    <w:p>
      <w:pPr>
        <w:pStyle w:val="2"/>
        <w:snapToGrid w:val="0"/>
        <w:spacing w:line="400" w:lineRule="exact"/>
        <w:ind w:firstLine="2520" w:firstLineChars="1200"/>
        <w:rPr>
          <w:color w:val="auto"/>
          <w:kern w:val="2"/>
          <w:sz w:val="21"/>
          <w:szCs w:val="21"/>
          <w:highlight w:val="none"/>
        </w:rPr>
      </w:pPr>
      <w:r>
        <w:rPr>
          <w:rFonts w:hint="eastAsia"/>
          <w:color w:val="auto"/>
          <w:kern w:val="2"/>
          <w:sz w:val="21"/>
          <w:szCs w:val="21"/>
          <w:highlight w:val="none"/>
        </w:rPr>
        <w:t xml:space="preserve">                               </w:t>
      </w:r>
      <w:r>
        <w:rPr>
          <w:rFonts w:hint="eastAsia"/>
          <w:color w:val="auto"/>
          <w:kern w:val="2"/>
          <w:sz w:val="21"/>
          <w:szCs w:val="21"/>
          <w:highlight w:val="none"/>
          <w:lang w:val="en-US" w:eastAsia="zh-CN"/>
        </w:rPr>
        <w:t xml:space="preserve">                                         </w:t>
      </w:r>
      <w:r>
        <w:rPr>
          <w:rFonts w:hint="eastAsia"/>
          <w:color w:val="auto"/>
          <w:kern w:val="2"/>
          <w:sz w:val="21"/>
          <w:szCs w:val="21"/>
          <w:highlight w:val="none"/>
        </w:rPr>
        <w:t xml:space="preserve">     金额单位：人民币（元）</w:t>
      </w:r>
    </w:p>
    <w:tbl>
      <w:tblPr>
        <w:tblStyle w:val="45"/>
        <w:tblW w:w="14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5"/>
        <w:gridCol w:w="971"/>
        <w:gridCol w:w="1444"/>
        <w:gridCol w:w="871"/>
        <w:gridCol w:w="304"/>
        <w:gridCol w:w="115"/>
        <w:gridCol w:w="452"/>
        <w:gridCol w:w="871"/>
        <w:gridCol w:w="871"/>
        <w:gridCol w:w="871"/>
        <w:gridCol w:w="871"/>
        <w:gridCol w:w="871"/>
        <w:gridCol w:w="871"/>
        <w:gridCol w:w="787"/>
        <w:gridCol w:w="885"/>
        <w:gridCol w:w="750"/>
        <w:gridCol w:w="795"/>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340"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一、人员费用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241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分项</w:t>
            </w:r>
          </w:p>
        </w:tc>
        <w:tc>
          <w:tcPr>
            <w:tcW w:w="775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测算依据（元/月）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人员费用小计（元/年）</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人数</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合计（元/年）</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1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基本</w:t>
            </w:r>
          </w:p>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工资</w:t>
            </w:r>
          </w:p>
        </w:tc>
        <w:tc>
          <w:tcPr>
            <w:tcW w:w="87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岗位津贴</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社会保险</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补贴</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加班费</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福利费</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意外保险费</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高温费</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其他</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项目负责人</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保洁巡查管理员</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道路保洁员</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河道保洁</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河道保洁员</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以袋换袋</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清运员</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垃圾清运车驾驶员</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扫地车车驾驶</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洒水车驾驶员</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雾炮车驾驶员</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厨余垃圾清运，及污水吸粪清运</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厨余垃圾驾驶员</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4"/>
                <w:szCs w:val="24"/>
                <w:highlight w:val="none"/>
                <w:u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辅助工</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散抛垃圾收集员</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公厕保洁员</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小广告保洁员</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垃圾站中转人员</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压机工</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4"/>
                <w:szCs w:val="24"/>
                <w:highlight w:val="none"/>
                <w:u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门卫</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4"/>
                <w:szCs w:val="24"/>
                <w:highlight w:val="none"/>
                <w:u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洗桶工</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以桶换桶</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驾驶员</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4"/>
                <w:szCs w:val="24"/>
                <w:highlight w:val="none"/>
                <w:u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辅助工</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垃圾上门收集</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驾驶员</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餐厨垃圾收运</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厨余垃圾驾驶员</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4"/>
                <w:szCs w:val="24"/>
                <w:highlight w:val="none"/>
                <w:u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辅助工</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其他人员（若有，自行列明）</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小计</w:t>
            </w:r>
          </w:p>
        </w:tc>
        <w:tc>
          <w:tcPr>
            <w:tcW w:w="8640" w:type="dxa"/>
            <w:gridSpan w:val="1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340"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二、耗材、服装费用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序号</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分项</w:t>
            </w:r>
          </w:p>
        </w:tc>
        <w:tc>
          <w:tcPr>
            <w:tcW w:w="9390"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测算明细（元/年）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合计</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人员服装</w:t>
            </w:r>
          </w:p>
        </w:tc>
        <w:tc>
          <w:tcPr>
            <w:tcW w:w="9390" w:type="dxa"/>
            <w:gridSpan w:val="1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雨衣、安全帽</w:t>
            </w:r>
          </w:p>
        </w:tc>
        <w:tc>
          <w:tcPr>
            <w:tcW w:w="9390" w:type="dxa"/>
            <w:gridSpan w:val="1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手套、铲刀等</w:t>
            </w:r>
          </w:p>
        </w:tc>
        <w:tc>
          <w:tcPr>
            <w:tcW w:w="9390" w:type="dxa"/>
            <w:gridSpan w:val="1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扫帚</w:t>
            </w:r>
          </w:p>
        </w:tc>
        <w:tc>
          <w:tcPr>
            <w:tcW w:w="9390" w:type="dxa"/>
            <w:gridSpan w:val="1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畚斗</w:t>
            </w:r>
          </w:p>
        </w:tc>
        <w:tc>
          <w:tcPr>
            <w:tcW w:w="9390" w:type="dxa"/>
            <w:gridSpan w:val="1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铁锹</w:t>
            </w:r>
          </w:p>
        </w:tc>
        <w:tc>
          <w:tcPr>
            <w:tcW w:w="9390" w:type="dxa"/>
            <w:gridSpan w:val="1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牛皮癣涂料</w:t>
            </w:r>
          </w:p>
        </w:tc>
        <w:tc>
          <w:tcPr>
            <w:tcW w:w="9390" w:type="dxa"/>
            <w:gridSpan w:val="1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公厕易耗品</w:t>
            </w:r>
          </w:p>
        </w:tc>
        <w:tc>
          <w:tcPr>
            <w:tcW w:w="9390" w:type="dxa"/>
            <w:gridSpan w:val="1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垃圾袋费用</w:t>
            </w:r>
          </w:p>
        </w:tc>
        <w:tc>
          <w:tcPr>
            <w:tcW w:w="9390" w:type="dxa"/>
            <w:gridSpan w:val="1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其他（若有，自行列明）</w:t>
            </w:r>
          </w:p>
        </w:tc>
        <w:tc>
          <w:tcPr>
            <w:tcW w:w="9390" w:type="dxa"/>
            <w:gridSpan w:val="1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小计</w:t>
            </w:r>
          </w:p>
        </w:tc>
        <w:tc>
          <w:tcPr>
            <w:tcW w:w="9390" w:type="dxa"/>
            <w:gridSpan w:val="1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340"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三、设备保险、保养、折旧、维护费用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序号</w:t>
            </w:r>
          </w:p>
        </w:tc>
        <w:tc>
          <w:tcPr>
            <w:tcW w:w="370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分项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i w:val="0"/>
                <w:iCs w:val="0"/>
                <w:color w:val="auto"/>
                <w:sz w:val="24"/>
                <w:szCs w:val="24"/>
                <w:highlight w:val="none"/>
                <w:u w:val="none"/>
                <w:lang w:val="en-US" w:eastAsia="zh-CN"/>
              </w:rPr>
              <w:t>测算明细（元/年）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合计</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i w:val="0"/>
                <w:iCs w:val="0"/>
                <w:color w:val="auto"/>
                <w:sz w:val="24"/>
                <w:szCs w:val="24"/>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道路保洁</w:t>
            </w: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扫地车折旧费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扫地车、洒水车、雾炮车保险费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扫地车、洒水车、雾炮车保养及维修</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扫地车、洒水车、雾炮车油耗费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雾炮车折旧</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扫地车耗材费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w:t>
            </w:r>
          </w:p>
        </w:tc>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以袋换袋</w:t>
            </w: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以袋换袋车辆折旧费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以袋换袋车保险费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以袋换袋车保养及维修费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以袋换袋车辆电费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3</w:t>
            </w:r>
          </w:p>
        </w:tc>
        <w:tc>
          <w:tcPr>
            <w:tcW w:w="971" w:type="dxa"/>
            <w:vMerge w:val="restart"/>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压缩车</w:t>
            </w: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压缩车保险费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压缩车保养及维修费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压缩车油耗费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4</w:t>
            </w:r>
          </w:p>
        </w:tc>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垃圾中转站</w:t>
            </w: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垃圾清运车保险费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垃圾清运车保养及维修费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垃圾清运车油费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5</w:t>
            </w:r>
          </w:p>
        </w:tc>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厨余垃圾清运</w:t>
            </w: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厨余垃圾清运车折旧费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厨余垃圾清运车保险费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厨余垃圾清运车保养及维修费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厨余垃圾清运油费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6</w:t>
            </w:r>
          </w:p>
        </w:tc>
        <w:tc>
          <w:tcPr>
            <w:tcW w:w="971"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以桶换桶</w:t>
            </w: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以桶换桶车辆保险费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以桶换桶车辆保养及维修</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以桶换桶车辆油费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7</w:t>
            </w:r>
          </w:p>
        </w:tc>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污水吸粪车</w:t>
            </w: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污水清运车折旧费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污水清运车保险费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污水清运车油费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污水清运车保养及维修费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8</w:t>
            </w:r>
          </w:p>
        </w:tc>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垃圾上门收集</w:t>
            </w: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垃圾上门收集车辆折旧费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垃圾上门收集车保险费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垃圾上门收集车保养及维修费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垃圾上门收集车辆电费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9</w:t>
            </w:r>
          </w:p>
        </w:tc>
        <w:tc>
          <w:tcPr>
            <w:tcW w:w="971"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餐厨垃圾收运</w:t>
            </w:r>
          </w:p>
        </w:tc>
        <w:tc>
          <w:tcPr>
            <w:tcW w:w="2734" w:type="dxa"/>
            <w:gridSpan w:val="4"/>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餐厨垃圾清运车保险费</w:t>
            </w:r>
          </w:p>
        </w:tc>
        <w:tc>
          <w:tcPr>
            <w:tcW w:w="8100" w:type="dxa"/>
            <w:gridSpan w:val="10"/>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餐厨垃圾清运车保养及维修费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餐厨垃圾清运油费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10</w:t>
            </w:r>
          </w:p>
        </w:tc>
        <w:tc>
          <w:tcPr>
            <w:tcW w:w="3705" w:type="dxa"/>
            <w:gridSpan w:val="5"/>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保洁船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11</w:t>
            </w:r>
          </w:p>
        </w:tc>
        <w:tc>
          <w:tcPr>
            <w:tcW w:w="3705" w:type="dxa"/>
            <w:gridSpan w:val="5"/>
            <w:tcBorders>
              <w:top w:val="nil"/>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保洁三轮车</w:t>
            </w:r>
          </w:p>
        </w:tc>
        <w:tc>
          <w:tcPr>
            <w:tcW w:w="8100" w:type="dxa"/>
            <w:gridSpan w:val="10"/>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12</w:t>
            </w:r>
          </w:p>
        </w:tc>
        <w:tc>
          <w:tcPr>
            <w:tcW w:w="3705" w:type="dxa"/>
            <w:gridSpan w:val="5"/>
            <w:tcBorders>
              <w:top w:val="nil"/>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其他（若有，自行列明）</w:t>
            </w:r>
          </w:p>
        </w:tc>
        <w:tc>
          <w:tcPr>
            <w:tcW w:w="8100" w:type="dxa"/>
            <w:gridSpan w:val="10"/>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4"/>
                <w:szCs w:val="24"/>
                <w:highlight w:val="none"/>
                <w:u w:val="none"/>
              </w:rPr>
            </w:pPr>
          </w:p>
        </w:tc>
        <w:tc>
          <w:tcPr>
            <w:tcW w:w="11805" w:type="dxa"/>
            <w:gridSpan w:val="1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小计</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w:t>
            </w:r>
          </w:p>
        </w:tc>
        <w:tc>
          <w:tcPr>
            <w:tcW w:w="11805" w:type="dxa"/>
            <w:gridSpan w:val="1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一+二+三</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w:t>
            </w:r>
          </w:p>
        </w:tc>
        <w:tc>
          <w:tcPr>
            <w:tcW w:w="3590" w:type="dxa"/>
            <w:gridSpan w:val="4"/>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管理费及利润</w:t>
            </w:r>
          </w:p>
        </w:tc>
        <w:tc>
          <w:tcPr>
            <w:tcW w:w="8215" w:type="dxa"/>
            <w:gridSpan w:val="11"/>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sz w:val="24"/>
                <w:szCs w:val="24"/>
                <w:highlight w:val="none"/>
                <w:u w:val="none"/>
                <w:lang w:val="en-US" w:eastAsia="zh-CN"/>
              </w:rPr>
              <w:t>一+二+三</w:t>
            </w:r>
            <w:r>
              <w:rPr>
                <w:rFonts w:hint="eastAsia" w:ascii="宋体" w:hAnsi="宋体" w:eastAsia="宋体" w:cs="宋体"/>
                <w:i w:val="0"/>
                <w:iCs w:val="0"/>
                <w:color w:val="auto"/>
                <w:kern w:val="0"/>
                <w:sz w:val="24"/>
                <w:szCs w:val="24"/>
                <w:highlight w:val="none"/>
                <w:u w:val="none"/>
                <w:lang w:val="en-US" w:eastAsia="zh-CN" w:bidi="ar"/>
              </w:rPr>
              <w:t>）</w:t>
            </w:r>
            <w:r>
              <w:rPr>
                <w:rFonts w:hint="default" w:ascii="Arial" w:hAnsi="Arial" w:eastAsia="宋体" w:cs="Arial"/>
                <w:i w:val="0"/>
                <w:iCs w:val="0"/>
                <w:color w:val="auto"/>
                <w:kern w:val="0"/>
                <w:sz w:val="24"/>
                <w:szCs w:val="24"/>
                <w:highlight w:val="none"/>
                <w:u w:val="none"/>
                <w:lang w:val="en-US" w:eastAsia="zh-CN" w:bidi="ar"/>
              </w:rPr>
              <w:t>×</w:t>
            </w:r>
            <w:r>
              <w:rPr>
                <w:rFonts w:hint="eastAsia" w:ascii="Arial" w:hAnsi="Arial" w:eastAsia="宋体" w:cs="Arial"/>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六</w:t>
            </w:r>
          </w:p>
        </w:tc>
        <w:tc>
          <w:tcPr>
            <w:tcW w:w="3590" w:type="dxa"/>
            <w:gridSpan w:val="4"/>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税金</w:t>
            </w:r>
          </w:p>
        </w:tc>
        <w:tc>
          <w:tcPr>
            <w:tcW w:w="8215" w:type="dxa"/>
            <w:gridSpan w:val="11"/>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sz w:val="24"/>
                <w:szCs w:val="24"/>
                <w:highlight w:val="none"/>
                <w:u w:val="none"/>
                <w:lang w:val="en-US" w:eastAsia="zh-CN"/>
              </w:rPr>
              <w:t>一+二+三+四</w:t>
            </w:r>
            <w:r>
              <w:rPr>
                <w:rFonts w:hint="eastAsia" w:ascii="宋体" w:hAnsi="宋体" w:eastAsia="宋体" w:cs="宋体"/>
                <w:i w:val="0"/>
                <w:iCs w:val="0"/>
                <w:color w:val="auto"/>
                <w:kern w:val="0"/>
                <w:sz w:val="24"/>
                <w:szCs w:val="24"/>
                <w:highlight w:val="none"/>
                <w:u w:val="none"/>
                <w:lang w:val="en-US" w:eastAsia="zh-CN" w:bidi="ar"/>
              </w:rPr>
              <w:t>）</w:t>
            </w:r>
            <w:r>
              <w:rPr>
                <w:rFonts w:hint="default" w:ascii="Arial" w:hAnsi="Arial" w:eastAsia="宋体" w:cs="Arial"/>
                <w:i w:val="0"/>
                <w:iCs w:val="0"/>
                <w:color w:val="auto"/>
                <w:kern w:val="0"/>
                <w:sz w:val="24"/>
                <w:szCs w:val="24"/>
                <w:highlight w:val="none"/>
                <w:u w:val="none"/>
                <w:lang w:val="en-US" w:eastAsia="zh-CN" w:bidi="ar"/>
              </w:rPr>
              <w:t>×</w:t>
            </w:r>
            <w:r>
              <w:rPr>
                <w:rFonts w:hint="eastAsia" w:ascii="Arial" w:hAnsi="Arial" w:eastAsia="宋体" w:cs="Arial"/>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七</w:t>
            </w:r>
          </w:p>
        </w:tc>
        <w:tc>
          <w:tcPr>
            <w:tcW w:w="3590" w:type="dxa"/>
            <w:gridSpan w:val="4"/>
            <w:tcBorders>
              <w:top w:val="single" w:color="000000" w:sz="4" w:space="0"/>
              <w:left w:val="single" w:color="000000" w:sz="4" w:space="0"/>
              <w:bottom w:val="single" w:color="000000" w:sz="4" w:space="0"/>
              <w:right w:val="single" w:color="auto" w:sz="4" w:space="0"/>
            </w:tcBorders>
            <w:noWrap w:val="0"/>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b/>
                <w:bCs/>
                <w:i w:val="0"/>
                <w:iCs w:val="0"/>
                <w:color w:val="auto"/>
                <w:sz w:val="24"/>
                <w:szCs w:val="24"/>
                <w:highlight w:val="none"/>
                <w:u w:val="none"/>
                <w:lang w:val="en-US" w:eastAsia="zh-CN"/>
              </w:rPr>
              <w:t>总计</w:t>
            </w:r>
          </w:p>
        </w:tc>
        <w:tc>
          <w:tcPr>
            <w:tcW w:w="8215" w:type="dxa"/>
            <w:gridSpan w:val="11"/>
            <w:tcBorders>
              <w:top w:val="single" w:color="000000" w:sz="4" w:space="0"/>
              <w:left w:val="single" w:color="auto"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四+五+六</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bl>
    <w:p>
      <w:pPr>
        <w:rPr>
          <w:color w:val="auto"/>
          <w:highlight w:val="none"/>
        </w:rPr>
      </w:pPr>
    </w:p>
    <w:p>
      <w:pPr>
        <w:rPr>
          <w:rFonts w:hint="eastAsia"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rPr>
        <w:t>注：</w:t>
      </w:r>
      <w:r>
        <w:rPr>
          <w:rFonts w:hint="eastAsia" w:ascii="Times New Roman" w:hAnsi="Times New Roman" w:eastAsia="宋体" w:cs="Times New Roman"/>
          <w:b/>
          <w:bCs/>
          <w:color w:val="auto"/>
          <w:highlight w:val="none"/>
          <w:lang w:val="en-US" w:eastAsia="zh-CN"/>
        </w:rPr>
        <w:t>1.</w:t>
      </w:r>
      <w:r>
        <w:rPr>
          <w:rFonts w:hint="eastAsia" w:ascii="Times New Roman" w:hAnsi="Times New Roman" w:eastAsia="宋体" w:cs="Times New Roman"/>
          <w:b/>
          <w:bCs/>
          <w:color w:val="auto"/>
          <w:highlight w:val="none"/>
        </w:rPr>
        <w:t>本表可根据实际情况调整</w:t>
      </w:r>
      <w:r>
        <w:rPr>
          <w:rFonts w:hint="eastAsia" w:ascii="Times New Roman" w:hAnsi="Times New Roman" w:eastAsia="宋体" w:cs="Times New Roman"/>
          <w:b/>
          <w:bCs/>
          <w:color w:val="auto"/>
          <w:highlight w:val="none"/>
          <w:lang w:eastAsia="zh-CN"/>
        </w:rPr>
        <w:t>；</w:t>
      </w:r>
    </w:p>
    <w:p>
      <w:pPr>
        <w:ind w:firstLine="422" w:firstLineChars="200"/>
        <w:rPr>
          <w:rFonts w:hint="default"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val="en-US" w:eastAsia="zh-CN"/>
        </w:rPr>
        <w:t>2.</w:t>
      </w:r>
      <w:r>
        <w:rPr>
          <w:rFonts w:hint="eastAsia" w:ascii="Times New Roman" w:hAnsi="Times New Roman" w:eastAsia="宋体" w:cs="Times New Roman"/>
          <w:b/>
          <w:bCs/>
          <w:color w:val="auto"/>
          <w:highlight w:val="none"/>
        </w:rPr>
        <w:t>总计金额需与</w:t>
      </w:r>
      <w:r>
        <w:rPr>
          <w:rFonts w:hint="eastAsia" w:ascii="Times New Roman" w:hAnsi="Times New Roman" w:eastAsia="宋体" w:cs="Times New Roman"/>
          <w:b/>
          <w:bCs/>
          <w:color w:val="auto"/>
          <w:highlight w:val="none"/>
          <w:lang w:val="en-US" w:eastAsia="zh-CN"/>
        </w:rPr>
        <w:t>C1</w:t>
      </w:r>
      <w:r>
        <w:rPr>
          <w:rFonts w:hint="eastAsia" w:ascii="Times New Roman" w:hAnsi="Times New Roman" w:eastAsia="宋体" w:cs="Times New Roman"/>
          <w:b/>
          <w:bCs/>
          <w:color w:val="auto"/>
          <w:highlight w:val="none"/>
        </w:rPr>
        <w:t>开标一览表中投标报价一致。</w:t>
      </w:r>
    </w:p>
    <w:p>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400" w:lineRule="atLeast"/>
        <w:rPr>
          <w:rFonts w:ascii="宋体" w:hAnsi="宋体"/>
          <w:b/>
          <w:bCs/>
          <w:color w:val="auto"/>
          <w:szCs w:val="21"/>
          <w:highlight w:val="none"/>
        </w:rPr>
      </w:pPr>
      <w:r>
        <w:rPr>
          <w:rFonts w:hint="eastAsia" w:ascii="宋体" w:hAnsi="宋体"/>
          <w:color w:val="auto"/>
          <w:szCs w:val="21"/>
          <w:highlight w:val="none"/>
        </w:rPr>
        <w:t>日            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360" w:lineRule="auto"/>
        <w:jc w:val="center"/>
        <w:rPr>
          <w:rFonts w:hint="eastAsia" w:ascii="宋体" w:hAnsi="宋体"/>
          <w:b/>
          <w:color w:val="auto"/>
          <w:highlight w:val="none"/>
        </w:rPr>
        <w:sectPr>
          <w:pgSz w:w="16840" w:h="11907" w:orient="landscape"/>
          <w:pgMar w:top="1338" w:right="1138" w:bottom="1587" w:left="1423" w:header="285" w:footer="992" w:gutter="0"/>
          <w:paperSrc/>
          <w:cols w:space="720" w:num="1"/>
          <w:rtlGutter w:val="0"/>
          <w:docGrid w:linePitch="285" w:charSpace="0"/>
        </w:sectPr>
      </w:pPr>
    </w:p>
    <w:p>
      <w:pPr>
        <w:spacing w:line="360" w:lineRule="auto"/>
        <w:jc w:val="center"/>
        <w:rPr>
          <w:rFonts w:hint="eastAsia" w:ascii="宋体" w:hAnsi="宋体"/>
          <w:b/>
          <w:color w:val="auto"/>
          <w:highlight w:val="none"/>
        </w:rPr>
      </w:pPr>
    </w:p>
    <w:p>
      <w:pPr>
        <w:spacing w:line="360" w:lineRule="auto"/>
        <w:jc w:val="center"/>
        <w:rPr>
          <w:rFonts w:ascii="宋体" w:hAnsi="宋体"/>
          <w:b/>
          <w:color w:val="auto"/>
          <w:szCs w:val="21"/>
          <w:highlight w:val="none"/>
        </w:rPr>
      </w:pPr>
      <w:r>
        <w:rPr>
          <w:rFonts w:hint="eastAsia" w:ascii="宋体" w:hAnsi="宋体"/>
          <w:b/>
          <w:color w:val="auto"/>
          <w:highlight w:val="none"/>
        </w:rPr>
        <w:t>C</w:t>
      </w:r>
      <w:r>
        <w:rPr>
          <w:rFonts w:ascii="宋体" w:hAnsi="宋体"/>
          <w:b/>
          <w:color w:val="auto"/>
          <w:highlight w:val="none"/>
        </w:rPr>
        <w:t xml:space="preserve">3 </w:t>
      </w:r>
      <w:r>
        <w:rPr>
          <w:rFonts w:hint="eastAsia" w:ascii="宋体" w:hAnsi="宋体"/>
          <w:b/>
          <w:color w:val="auto"/>
          <w:szCs w:val="21"/>
          <w:highlight w:val="none"/>
        </w:rPr>
        <w:t>中小企业声明函（工程、服务）</w:t>
      </w:r>
    </w:p>
    <w:p>
      <w:pPr>
        <w:spacing w:line="400" w:lineRule="exact"/>
        <w:rPr>
          <w:rFonts w:ascii="宋体" w:hAnsi="宋体"/>
          <w:b/>
          <w:color w:val="auto"/>
          <w:spacing w:val="6"/>
          <w:szCs w:val="21"/>
          <w:highlight w:val="none"/>
        </w:rPr>
      </w:pPr>
    </w:p>
    <w:p>
      <w:pPr>
        <w:pStyle w:val="18"/>
        <w:spacing w:line="400" w:lineRule="exact"/>
        <w:ind w:firstLine="420" w:firstLineChars="200"/>
        <w:jc w:val="left"/>
        <w:rPr>
          <w:rFonts w:hint="eastAsia" w:cs="宋体"/>
          <w:color w:val="auto"/>
          <w:sz w:val="21"/>
          <w:szCs w:val="21"/>
          <w:highlight w:val="none"/>
        </w:rPr>
      </w:pPr>
      <w:r>
        <w:rPr>
          <w:rFonts w:hint="eastAsia" w:cs="宋体"/>
          <w:color w:val="auto"/>
          <w:sz w:val="21"/>
          <w:szCs w:val="21"/>
          <w:highlight w:val="none"/>
        </w:rPr>
        <w:t>本公司（联合体）郑重声明，根据《政府采购促进中小企业发展管理办法》（财库﹝2020﹞46 号）的规定，本公司（联合体）参加</w:t>
      </w:r>
      <w:r>
        <w:rPr>
          <w:rFonts w:hint="eastAsia" w:cs="宋体"/>
          <w:i/>
          <w:iCs/>
          <w:color w:val="auto"/>
          <w:sz w:val="21"/>
          <w:szCs w:val="21"/>
          <w:highlight w:val="none"/>
          <w:u w:val="single"/>
        </w:rPr>
        <w:t>（单位名称）</w:t>
      </w:r>
      <w:r>
        <w:rPr>
          <w:rFonts w:hint="eastAsia" w:cs="宋体"/>
          <w:color w:val="auto"/>
          <w:sz w:val="21"/>
          <w:szCs w:val="21"/>
          <w:highlight w:val="none"/>
        </w:rPr>
        <w:t>的</w:t>
      </w:r>
      <w:r>
        <w:rPr>
          <w:rFonts w:hint="eastAsia" w:cs="宋体"/>
          <w:i/>
          <w:iCs/>
          <w:color w:val="auto"/>
          <w:sz w:val="21"/>
          <w:szCs w:val="21"/>
          <w:highlight w:val="none"/>
          <w:u w:val="single"/>
        </w:rPr>
        <w:t>（项目名称）</w:t>
      </w:r>
      <w:r>
        <w:rPr>
          <w:rFonts w:hint="eastAsia" w:cs="宋体"/>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8"/>
        <w:spacing w:line="400" w:lineRule="exact"/>
        <w:ind w:firstLine="420" w:firstLineChars="200"/>
        <w:rPr>
          <w:rFonts w:hint="eastAsia" w:cs="宋体"/>
          <w:color w:val="auto"/>
          <w:sz w:val="21"/>
          <w:szCs w:val="21"/>
          <w:highlight w:val="none"/>
        </w:rPr>
      </w:pPr>
      <w:r>
        <w:rPr>
          <w:rFonts w:hint="eastAsia" w:cs="宋体"/>
          <w:color w:val="auto"/>
          <w:sz w:val="21"/>
          <w:szCs w:val="21"/>
          <w:highlight w:val="none"/>
        </w:rPr>
        <w:t>1.</w:t>
      </w:r>
      <w:r>
        <w:rPr>
          <w:rFonts w:hint="eastAsia" w:cs="宋体"/>
          <w:i/>
          <w:iCs/>
          <w:color w:val="auto"/>
          <w:sz w:val="21"/>
          <w:szCs w:val="21"/>
          <w:highlight w:val="none"/>
          <w:u w:val="single"/>
        </w:rPr>
        <w:t>（标的名称）</w:t>
      </w:r>
      <w:r>
        <w:rPr>
          <w:rFonts w:hint="eastAsia" w:cs="宋体"/>
          <w:color w:val="auto"/>
          <w:sz w:val="21"/>
          <w:szCs w:val="21"/>
          <w:highlight w:val="none"/>
        </w:rPr>
        <w:t>，属于</w:t>
      </w:r>
      <w:r>
        <w:rPr>
          <w:rFonts w:hint="eastAsia" w:cs="宋体"/>
          <w:i/>
          <w:iCs/>
          <w:color w:val="auto"/>
          <w:sz w:val="21"/>
          <w:szCs w:val="21"/>
          <w:highlight w:val="none"/>
          <w:u w:val="single"/>
        </w:rPr>
        <w:t>（采购文件中明确的所属行业）</w:t>
      </w:r>
      <w:r>
        <w:rPr>
          <w:rFonts w:hint="eastAsia" w:cs="宋体"/>
          <w:color w:val="auto"/>
          <w:sz w:val="21"/>
          <w:szCs w:val="21"/>
          <w:highlight w:val="none"/>
        </w:rPr>
        <w:t>；承建（承接）企业为</w:t>
      </w:r>
      <w:r>
        <w:rPr>
          <w:rFonts w:hint="eastAsia" w:cs="宋体"/>
          <w:i/>
          <w:iCs/>
          <w:color w:val="auto"/>
          <w:sz w:val="21"/>
          <w:szCs w:val="21"/>
          <w:highlight w:val="none"/>
          <w:u w:val="single"/>
        </w:rPr>
        <w:t>（企业名称）</w:t>
      </w:r>
      <w:r>
        <w:rPr>
          <w:rFonts w:hint="eastAsia" w:cs="宋体"/>
          <w:color w:val="auto"/>
          <w:sz w:val="21"/>
          <w:szCs w:val="21"/>
          <w:highlight w:val="none"/>
        </w:rPr>
        <w:t>，从业人员</w:t>
      </w:r>
      <w:r>
        <w:rPr>
          <w:rFonts w:hint="eastAsia" w:cs="宋体"/>
          <w:color w:val="auto"/>
          <w:sz w:val="21"/>
          <w:szCs w:val="21"/>
          <w:highlight w:val="none"/>
          <w:u w:val="single"/>
        </w:rPr>
        <w:t xml:space="preserve">   </w:t>
      </w:r>
      <w:r>
        <w:rPr>
          <w:rFonts w:hint="eastAsia" w:cs="宋体"/>
          <w:color w:val="auto"/>
          <w:sz w:val="21"/>
          <w:szCs w:val="21"/>
          <w:highlight w:val="none"/>
        </w:rPr>
        <w:t>人，营业收入为</w:t>
      </w:r>
      <w:r>
        <w:rPr>
          <w:rFonts w:hint="eastAsia" w:cs="宋体"/>
          <w:color w:val="auto"/>
          <w:sz w:val="21"/>
          <w:szCs w:val="21"/>
          <w:highlight w:val="none"/>
          <w:u w:val="single"/>
        </w:rPr>
        <w:t xml:space="preserve">   </w:t>
      </w:r>
      <w:r>
        <w:rPr>
          <w:rFonts w:hint="eastAsia" w:cs="宋体"/>
          <w:color w:val="auto"/>
          <w:sz w:val="21"/>
          <w:szCs w:val="21"/>
          <w:highlight w:val="none"/>
        </w:rPr>
        <w:t>万元，资产总额为</w:t>
      </w:r>
      <w:r>
        <w:rPr>
          <w:rFonts w:hint="eastAsia" w:cs="宋体"/>
          <w:color w:val="auto"/>
          <w:sz w:val="21"/>
          <w:szCs w:val="21"/>
          <w:highlight w:val="none"/>
          <w:u w:val="single"/>
        </w:rPr>
        <w:t xml:space="preserve">   </w:t>
      </w:r>
      <w:r>
        <w:rPr>
          <w:rFonts w:hint="eastAsia" w:cs="宋体"/>
          <w:color w:val="auto"/>
          <w:sz w:val="21"/>
          <w:szCs w:val="21"/>
          <w:highlight w:val="none"/>
        </w:rPr>
        <w:t>万元</w:t>
      </w:r>
      <w:r>
        <w:rPr>
          <w:rFonts w:hint="eastAsia" w:cs="宋体"/>
          <w:color w:val="auto"/>
          <w:sz w:val="21"/>
          <w:szCs w:val="21"/>
          <w:highlight w:val="none"/>
          <w:vertAlign w:val="superscript"/>
        </w:rPr>
        <w:t>1</w:t>
      </w:r>
      <w:r>
        <w:rPr>
          <w:rFonts w:hint="eastAsia" w:cs="宋体"/>
          <w:color w:val="auto"/>
          <w:sz w:val="21"/>
          <w:szCs w:val="21"/>
          <w:highlight w:val="none"/>
        </w:rPr>
        <w:t>，属于</w:t>
      </w:r>
      <w:r>
        <w:rPr>
          <w:rFonts w:hint="eastAsia" w:cs="宋体"/>
          <w:i/>
          <w:iCs/>
          <w:color w:val="auto"/>
          <w:sz w:val="21"/>
          <w:szCs w:val="21"/>
          <w:highlight w:val="none"/>
          <w:u w:val="single"/>
        </w:rPr>
        <w:t>（中型企业、小型企业、微型企业）</w:t>
      </w:r>
      <w:r>
        <w:rPr>
          <w:rFonts w:hint="eastAsia" w:cs="宋体"/>
          <w:color w:val="auto"/>
          <w:sz w:val="21"/>
          <w:szCs w:val="21"/>
          <w:highlight w:val="none"/>
        </w:rPr>
        <w:t>；</w:t>
      </w:r>
    </w:p>
    <w:p>
      <w:pPr>
        <w:pStyle w:val="18"/>
        <w:spacing w:line="400" w:lineRule="exact"/>
        <w:ind w:firstLine="420" w:firstLineChars="200"/>
        <w:rPr>
          <w:rFonts w:hint="eastAsia" w:cs="宋体"/>
          <w:color w:val="auto"/>
          <w:sz w:val="21"/>
          <w:szCs w:val="21"/>
          <w:highlight w:val="none"/>
        </w:rPr>
      </w:pPr>
      <w:r>
        <w:rPr>
          <w:rFonts w:hint="eastAsia" w:cs="宋体"/>
          <w:color w:val="auto"/>
          <w:sz w:val="21"/>
          <w:szCs w:val="21"/>
          <w:highlight w:val="none"/>
        </w:rPr>
        <w:t>2.</w:t>
      </w:r>
      <w:r>
        <w:rPr>
          <w:rFonts w:hint="eastAsia" w:cs="宋体"/>
          <w:i/>
          <w:iCs/>
          <w:color w:val="auto"/>
          <w:sz w:val="21"/>
          <w:szCs w:val="21"/>
          <w:highlight w:val="none"/>
          <w:u w:val="single"/>
        </w:rPr>
        <w:t>（标的名称）</w:t>
      </w:r>
      <w:r>
        <w:rPr>
          <w:rFonts w:hint="eastAsia" w:cs="宋体"/>
          <w:color w:val="auto"/>
          <w:sz w:val="21"/>
          <w:szCs w:val="21"/>
          <w:highlight w:val="none"/>
        </w:rPr>
        <w:t>，属于</w:t>
      </w:r>
      <w:r>
        <w:rPr>
          <w:rFonts w:hint="eastAsia" w:cs="宋体"/>
          <w:i/>
          <w:iCs/>
          <w:color w:val="auto"/>
          <w:sz w:val="21"/>
          <w:szCs w:val="21"/>
          <w:highlight w:val="none"/>
          <w:u w:val="single"/>
        </w:rPr>
        <w:t>（采购文件中明确的所属行业）</w:t>
      </w:r>
      <w:r>
        <w:rPr>
          <w:rFonts w:hint="eastAsia" w:cs="宋体"/>
          <w:color w:val="auto"/>
          <w:sz w:val="21"/>
          <w:szCs w:val="21"/>
          <w:highlight w:val="none"/>
        </w:rPr>
        <w:t>；承建（承接）企业为</w:t>
      </w:r>
      <w:r>
        <w:rPr>
          <w:rFonts w:hint="eastAsia" w:cs="宋体"/>
          <w:i/>
          <w:iCs/>
          <w:color w:val="auto"/>
          <w:sz w:val="21"/>
          <w:szCs w:val="21"/>
          <w:highlight w:val="none"/>
          <w:u w:val="single"/>
        </w:rPr>
        <w:t>（企业名称）</w:t>
      </w:r>
      <w:r>
        <w:rPr>
          <w:rFonts w:hint="eastAsia" w:cs="宋体"/>
          <w:color w:val="auto"/>
          <w:sz w:val="21"/>
          <w:szCs w:val="21"/>
          <w:highlight w:val="none"/>
        </w:rPr>
        <w:t>，从业人员</w:t>
      </w:r>
      <w:r>
        <w:rPr>
          <w:rFonts w:hint="eastAsia" w:cs="宋体"/>
          <w:color w:val="auto"/>
          <w:sz w:val="21"/>
          <w:szCs w:val="21"/>
          <w:highlight w:val="none"/>
          <w:u w:val="single"/>
        </w:rPr>
        <w:t xml:space="preserve">   </w:t>
      </w:r>
      <w:r>
        <w:rPr>
          <w:rFonts w:hint="eastAsia" w:cs="宋体"/>
          <w:color w:val="auto"/>
          <w:sz w:val="21"/>
          <w:szCs w:val="21"/>
          <w:highlight w:val="none"/>
        </w:rPr>
        <w:t>人，营业收入为</w:t>
      </w:r>
      <w:r>
        <w:rPr>
          <w:rFonts w:hint="eastAsia" w:cs="宋体"/>
          <w:color w:val="auto"/>
          <w:sz w:val="21"/>
          <w:szCs w:val="21"/>
          <w:highlight w:val="none"/>
          <w:u w:val="single"/>
        </w:rPr>
        <w:t xml:space="preserve">   </w:t>
      </w:r>
      <w:r>
        <w:rPr>
          <w:rFonts w:hint="eastAsia" w:cs="宋体"/>
          <w:color w:val="auto"/>
          <w:sz w:val="21"/>
          <w:szCs w:val="21"/>
          <w:highlight w:val="none"/>
        </w:rPr>
        <w:t>万元，资产总额为</w:t>
      </w:r>
      <w:r>
        <w:rPr>
          <w:rFonts w:hint="eastAsia" w:cs="宋体"/>
          <w:color w:val="auto"/>
          <w:sz w:val="21"/>
          <w:szCs w:val="21"/>
          <w:highlight w:val="none"/>
          <w:u w:val="single"/>
        </w:rPr>
        <w:t xml:space="preserve">   </w:t>
      </w:r>
      <w:r>
        <w:rPr>
          <w:rFonts w:hint="eastAsia" w:cs="宋体"/>
          <w:color w:val="auto"/>
          <w:sz w:val="21"/>
          <w:szCs w:val="21"/>
          <w:highlight w:val="none"/>
        </w:rPr>
        <w:t>万元，属于</w:t>
      </w:r>
      <w:r>
        <w:rPr>
          <w:rFonts w:hint="eastAsia" w:cs="宋体"/>
          <w:i/>
          <w:iCs/>
          <w:color w:val="auto"/>
          <w:sz w:val="21"/>
          <w:szCs w:val="21"/>
          <w:highlight w:val="none"/>
          <w:u w:val="single"/>
        </w:rPr>
        <w:t>（中型企业、小型企业、微型企业）</w:t>
      </w:r>
      <w:r>
        <w:rPr>
          <w:rFonts w:hint="eastAsia" w:cs="宋体"/>
          <w:color w:val="auto"/>
          <w:sz w:val="21"/>
          <w:szCs w:val="21"/>
          <w:highlight w:val="none"/>
        </w:rPr>
        <w:t>；</w:t>
      </w:r>
    </w:p>
    <w:p>
      <w:pPr>
        <w:pStyle w:val="18"/>
        <w:spacing w:line="400" w:lineRule="exact"/>
        <w:ind w:firstLine="420" w:firstLineChars="200"/>
        <w:rPr>
          <w:rFonts w:hint="eastAsia" w:cs="宋体"/>
          <w:color w:val="auto"/>
          <w:sz w:val="21"/>
          <w:szCs w:val="21"/>
          <w:highlight w:val="none"/>
        </w:rPr>
      </w:pPr>
      <w:r>
        <w:rPr>
          <w:rFonts w:hint="eastAsia" w:cs="宋体"/>
          <w:color w:val="auto"/>
          <w:sz w:val="21"/>
          <w:szCs w:val="21"/>
          <w:highlight w:val="none"/>
        </w:rPr>
        <w:t xml:space="preserve">…… </w:t>
      </w:r>
    </w:p>
    <w:p>
      <w:pPr>
        <w:pStyle w:val="18"/>
        <w:spacing w:line="400" w:lineRule="exact"/>
        <w:ind w:firstLine="420" w:firstLineChars="200"/>
        <w:jc w:val="left"/>
        <w:rPr>
          <w:rFonts w:hint="eastAsia" w:cs="宋体"/>
          <w:color w:val="auto"/>
          <w:sz w:val="21"/>
          <w:szCs w:val="21"/>
          <w:highlight w:val="none"/>
        </w:rPr>
      </w:pPr>
      <w:r>
        <w:rPr>
          <w:rFonts w:hint="eastAsia" w:cs="宋体"/>
          <w:color w:val="auto"/>
          <w:sz w:val="21"/>
          <w:szCs w:val="21"/>
          <w:highlight w:val="none"/>
        </w:rPr>
        <w:t>以上企业，不属于大企业的分支机构，不存在控股股东为大企业的情形，也不存在与大企业的负责人为同一人的情形。</w:t>
      </w:r>
    </w:p>
    <w:p>
      <w:pPr>
        <w:pStyle w:val="18"/>
        <w:spacing w:line="400" w:lineRule="exact"/>
        <w:ind w:firstLine="420" w:firstLineChars="200"/>
        <w:jc w:val="left"/>
        <w:rPr>
          <w:rFonts w:hint="eastAsia" w:cs="宋体"/>
          <w:color w:val="auto"/>
          <w:sz w:val="21"/>
          <w:szCs w:val="21"/>
          <w:highlight w:val="none"/>
        </w:rPr>
      </w:pPr>
      <w:r>
        <w:rPr>
          <w:rFonts w:hint="eastAsia" w:cs="宋体"/>
          <w:color w:val="auto"/>
          <w:sz w:val="21"/>
          <w:szCs w:val="21"/>
          <w:highlight w:val="none"/>
        </w:rPr>
        <w:t>本企业对上述声明内容的真实性负责。如有虚假，将依法承担相应责任。</w:t>
      </w:r>
    </w:p>
    <w:p>
      <w:pPr>
        <w:pStyle w:val="18"/>
        <w:spacing w:line="400" w:lineRule="exact"/>
        <w:ind w:firstLine="3360" w:firstLineChars="1600"/>
        <w:jc w:val="left"/>
        <w:rPr>
          <w:rFonts w:hint="eastAsia" w:cs="宋体"/>
          <w:color w:val="auto"/>
          <w:sz w:val="21"/>
          <w:szCs w:val="21"/>
          <w:highlight w:val="none"/>
        </w:rPr>
      </w:pPr>
    </w:p>
    <w:p>
      <w:pPr>
        <w:pStyle w:val="18"/>
        <w:spacing w:line="400" w:lineRule="exact"/>
        <w:ind w:firstLine="4095" w:firstLineChars="1950"/>
        <w:jc w:val="left"/>
        <w:rPr>
          <w:rFonts w:hint="eastAsia" w:cs="宋体"/>
          <w:color w:val="auto"/>
          <w:sz w:val="21"/>
          <w:szCs w:val="21"/>
          <w:highlight w:val="none"/>
        </w:rPr>
      </w:pPr>
      <w:r>
        <w:rPr>
          <w:rFonts w:hint="eastAsia" w:cs="宋体"/>
          <w:color w:val="auto"/>
          <w:sz w:val="21"/>
          <w:szCs w:val="21"/>
          <w:highlight w:val="none"/>
        </w:rPr>
        <w:t>企业名称（盖章）：</w:t>
      </w:r>
    </w:p>
    <w:p>
      <w:pPr>
        <w:pStyle w:val="20"/>
        <w:spacing w:line="400" w:lineRule="exact"/>
        <w:ind w:firstLine="4095" w:firstLineChars="1950"/>
        <w:rPr>
          <w:rFonts w:ascii="宋体" w:hAnsi="宋体" w:eastAsia="宋体"/>
          <w:color w:val="auto"/>
          <w:sz w:val="21"/>
          <w:szCs w:val="21"/>
          <w:highlight w:val="none"/>
        </w:rPr>
      </w:pPr>
      <w:r>
        <w:rPr>
          <w:rFonts w:hint="eastAsia" w:ascii="宋体" w:hAnsi="宋体" w:eastAsia="宋体" w:cs="宋体"/>
          <w:color w:val="auto"/>
          <w:sz w:val="21"/>
          <w:szCs w:val="21"/>
          <w:highlight w:val="none"/>
        </w:rPr>
        <w:t>日 期：</w:t>
      </w:r>
    </w:p>
    <w:p>
      <w:pPr>
        <w:spacing w:line="400" w:lineRule="exact"/>
        <w:jc w:val="center"/>
        <w:rPr>
          <w:rFonts w:ascii="宋体" w:hAnsi="宋体"/>
          <w:b/>
          <w:color w:val="auto"/>
          <w:szCs w:val="21"/>
          <w:highlight w:val="none"/>
        </w:rPr>
      </w:pPr>
    </w:p>
    <w:p>
      <w:pPr>
        <w:spacing w:line="400" w:lineRule="exact"/>
        <w:jc w:val="center"/>
        <w:rPr>
          <w:rFonts w:ascii="宋体" w:hAnsi="宋体"/>
          <w:b/>
          <w:color w:val="auto"/>
          <w:szCs w:val="21"/>
          <w:highlight w:val="none"/>
        </w:rPr>
      </w:pPr>
    </w:p>
    <w:p>
      <w:pPr>
        <w:spacing w:line="400" w:lineRule="exact"/>
        <w:jc w:val="center"/>
        <w:rPr>
          <w:rFonts w:hint="eastAsia" w:ascii="宋体" w:hAnsi="宋体" w:cs="宋体"/>
          <w:color w:val="auto"/>
          <w:szCs w:val="21"/>
          <w:highlight w:val="none"/>
        </w:rPr>
      </w:pPr>
    </w:p>
    <w:p>
      <w:pPr>
        <w:spacing w:line="400" w:lineRule="exact"/>
        <w:jc w:val="center"/>
        <w:rPr>
          <w:rFonts w:hint="eastAsia" w:ascii="宋体" w:hAnsi="宋体" w:cs="宋体"/>
          <w:color w:val="auto"/>
          <w:szCs w:val="21"/>
          <w:highlight w:val="none"/>
        </w:rPr>
      </w:pPr>
    </w:p>
    <w:p>
      <w:pPr>
        <w:spacing w:line="400" w:lineRule="exact"/>
        <w:jc w:val="center"/>
        <w:rPr>
          <w:rFonts w:hint="eastAsia" w:ascii="宋体" w:hAnsi="宋体" w:cs="宋体"/>
          <w:color w:val="auto"/>
          <w:szCs w:val="21"/>
          <w:highlight w:val="none"/>
        </w:rPr>
      </w:pPr>
    </w:p>
    <w:p>
      <w:pPr>
        <w:spacing w:line="400" w:lineRule="exact"/>
        <w:jc w:val="center"/>
        <w:rPr>
          <w:rFonts w:hint="eastAsia" w:ascii="宋体" w:hAnsi="宋体" w:cs="宋体"/>
          <w:color w:val="auto"/>
          <w:szCs w:val="21"/>
          <w:highlight w:val="none"/>
        </w:rPr>
      </w:pPr>
    </w:p>
    <w:p>
      <w:pPr>
        <w:spacing w:line="400" w:lineRule="exact"/>
        <w:ind w:firstLine="3780" w:firstLineChars="1800"/>
        <w:rPr>
          <w:rFonts w:ascii="宋体" w:hAnsi="宋体"/>
          <w:color w:val="auto"/>
          <w:szCs w:val="21"/>
          <w:highlight w:val="none"/>
        </w:rPr>
      </w:pPr>
    </w:p>
    <w:p>
      <w:pPr>
        <w:numPr>
          <w:ilvl w:val="0"/>
          <w:numId w:val="7"/>
        </w:numPr>
        <w:spacing w:line="588" w:lineRule="exact"/>
        <w:jc w:val="center"/>
        <w:rPr>
          <w:rFonts w:hint="eastAsia" w:ascii="宋体" w:hAnsi="宋体"/>
          <w:color w:val="auto"/>
          <w:szCs w:val="21"/>
          <w:highlight w:val="none"/>
        </w:rPr>
      </w:pPr>
      <w:r>
        <w:rPr>
          <w:rFonts w:ascii="宋体" w:hAnsi="宋体"/>
          <w:color w:val="auto"/>
          <w:szCs w:val="21"/>
          <w:highlight w:val="none"/>
        </w:rPr>
        <w:t>从业人员、营业收入、资产总额填报上一年度数据，无上一年度数据的新成立企业可不填报。</w:t>
      </w:r>
    </w:p>
    <w:p>
      <w:pPr>
        <w:numPr>
          <w:ilvl w:val="0"/>
          <w:numId w:val="7"/>
        </w:numPr>
        <w:spacing w:line="588" w:lineRule="exact"/>
        <w:rPr>
          <w:rFonts w:hint="eastAsia" w:ascii="宋体" w:hAnsi="宋体"/>
          <w:color w:val="auto"/>
          <w:szCs w:val="21"/>
          <w:highlight w:val="none"/>
        </w:rPr>
      </w:pPr>
      <w:r>
        <w:rPr>
          <w:rFonts w:hint="eastAsia" w:ascii="宋体" w:hAnsi="宋体"/>
          <w:color w:val="auto"/>
          <w:szCs w:val="21"/>
          <w:highlight w:val="none"/>
        </w:rPr>
        <w:t>采购文件中明确的所属行业：详见招标文件第三章。</w:t>
      </w:r>
    </w:p>
    <w:p>
      <w:pPr>
        <w:spacing w:line="400" w:lineRule="exact"/>
        <w:ind w:firstLine="420" w:firstLineChars="200"/>
        <w:jc w:val="center"/>
        <w:rPr>
          <w:rFonts w:hint="eastAsia" w:ascii="宋体" w:hAnsi="宋体"/>
          <w:color w:val="auto"/>
          <w:szCs w:val="21"/>
          <w:highlight w:val="none"/>
        </w:rPr>
      </w:pPr>
    </w:p>
    <w:p>
      <w:pPr>
        <w:spacing w:line="360" w:lineRule="auto"/>
        <w:jc w:val="center"/>
        <w:rPr>
          <w:rFonts w:ascii="宋体" w:hAnsi="宋体"/>
          <w:b/>
          <w:color w:val="auto"/>
          <w:szCs w:val="21"/>
          <w:highlight w:val="none"/>
        </w:rPr>
      </w:pPr>
      <w:r>
        <w:rPr>
          <w:rFonts w:ascii="宋体" w:hAnsi="宋体"/>
          <w:color w:val="auto"/>
          <w:szCs w:val="21"/>
          <w:highlight w:val="none"/>
        </w:rPr>
        <w:br w:type="page"/>
      </w:r>
      <w:r>
        <w:rPr>
          <w:rFonts w:ascii="宋体" w:hAnsi="宋体"/>
          <w:b/>
          <w:color w:val="auto"/>
          <w:szCs w:val="21"/>
          <w:highlight w:val="none"/>
        </w:rPr>
        <w:t xml:space="preserve">C4 </w:t>
      </w:r>
      <w:r>
        <w:rPr>
          <w:rFonts w:hint="eastAsia" w:ascii="宋体" w:hAnsi="宋体"/>
          <w:b/>
          <w:color w:val="auto"/>
          <w:szCs w:val="21"/>
          <w:highlight w:val="none"/>
        </w:rPr>
        <w:t>残疾人福利性单位声明函（如有需提供）</w:t>
      </w:r>
    </w:p>
    <w:p>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w:t>
      </w:r>
      <w:r>
        <w:rPr>
          <w:rFonts w:ascii="宋体" w:hAnsi="宋体"/>
          <w:color w:val="auto"/>
          <w:szCs w:val="21"/>
          <w:highlight w:val="none"/>
        </w:rPr>
        <w:t xml:space="preserve"> </w:t>
      </w:r>
      <w:r>
        <w:rPr>
          <w:rFonts w:hint="eastAsia" w:ascii="宋体" w:hAnsi="宋体"/>
          <w:color w:val="auto"/>
          <w:szCs w:val="21"/>
          <w:highlight w:val="none"/>
        </w:rPr>
        <w:t>民政部</w:t>
      </w:r>
      <w:r>
        <w:rPr>
          <w:rFonts w:ascii="宋体" w:hAnsi="宋体"/>
          <w:color w:val="auto"/>
          <w:szCs w:val="21"/>
          <w:highlight w:val="none"/>
        </w:rPr>
        <w:t xml:space="preserve"> </w:t>
      </w:r>
      <w:r>
        <w:rPr>
          <w:rFonts w:hint="eastAsia" w:ascii="宋体" w:hAnsi="宋体"/>
          <w:color w:val="auto"/>
          <w:szCs w:val="21"/>
          <w:highlight w:val="none"/>
        </w:rPr>
        <w:t>中国残疾人联合会关于促进残疾人就业政府采购政策的通知》（财库〔</w:t>
      </w:r>
      <w:r>
        <w:rPr>
          <w:rFonts w:ascii="宋体" w:hAnsi="宋体"/>
          <w:color w:val="auto"/>
          <w:szCs w:val="21"/>
          <w:highlight w:val="none"/>
        </w:rPr>
        <w:t>2017</w:t>
      </w:r>
      <w:r>
        <w:rPr>
          <w:rFonts w:hint="eastAsia" w:ascii="宋体" w:hAnsi="宋体"/>
          <w:color w:val="auto"/>
          <w:szCs w:val="21"/>
          <w:highlight w:val="none"/>
        </w:rPr>
        <w:t>〕</w:t>
      </w:r>
      <w:r>
        <w:rPr>
          <w:rFonts w:ascii="宋体" w:hAnsi="宋体"/>
          <w:color w:val="auto"/>
          <w:szCs w:val="21"/>
          <w:highlight w:val="none"/>
        </w:rPr>
        <w:t>141</w:t>
      </w:r>
      <w:r>
        <w:rPr>
          <w:rFonts w:hint="eastAsia" w:ascii="宋体" w:hAnsi="宋体"/>
          <w:color w:val="auto"/>
          <w:szCs w:val="21"/>
          <w:highlight w:val="none"/>
        </w:rPr>
        <w:t>号）的规定，本单位为符合条件的残疾人福利性单位，且本单位参加</w:t>
      </w:r>
      <w:r>
        <w:rPr>
          <w:rFonts w:ascii="宋体" w:hAnsi="宋体"/>
          <w:color w:val="auto"/>
          <w:szCs w:val="21"/>
          <w:highlight w:val="none"/>
        </w:rPr>
        <w:t>______</w:t>
      </w:r>
      <w:r>
        <w:rPr>
          <w:rFonts w:hint="eastAsia" w:ascii="宋体" w:hAnsi="宋体"/>
          <w:color w:val="auto"/>
          <w:szCs w:val="21"/>
          <w:highlight w:val="none"/>
        </w:rPr>
        <w:t>单位的</w:t>
      </w:r>
      <w:r>
        <w:rPr>
          <w:rFonts w:ascii="宋体" w:hAnsi="宋体"/>
          <w:color w:val="auto"/>
          <w:szCs w:val="21"/>
          <w:highlight w:val="none"/>
        </w:rPr>
        <w:t>______</w:t>
      </w:r>
      <w:r>
        <w:rPr>
          <w:rFonts w:hint="eastAsia" w:ascii="宋体" w:hAnsi="宋体"/>
          <w:color w:val="auto"/>
          <w:szCs w:val="21"/>
          <w:highlight w:val="none"/>
        </w:rPr>
        <w:t>项目采购活动提供本单位制造的货物（由本单位承担工程</w:t>
      </w:r>
      <w:r>
        <w:rPr>
          <w:rFonts w:ascii="宋体" w:hAnsi="宋体"/>
          <w:color w:val="auto"/>
          <w:szCs w:val="21"/>
          <w:highlight w:val="none"/>
        </w:rPr>
        <w:t>/</w:t>
      </w:r>
      <w:r>
        <w:rPr>
          <w:rFonts w:hint="eastAsia" w:ascii="宋体" w:hAnsi="宋体"/>
          <w:color w:val="auto"/>
          <w:szCs w:val="21"/>
          <w:highlight w:val="none"/>
        </w:rPr>
        <w:t>提供服务），或者提供其他残疾人福利性单位制造的货物（不包括使用非残疾人福利性单位注册商标的货物）。</w:t>
      </w:r>
    </w:p>
    <w:p>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pacing w:line="588" w:lineRule="exact"/>
        <w:ind w:firstLine="420" w:firstLineChars="200"/>
        <w:rPr>
          <w:rFonts w:ascii="宋体" w:hAnsi="宋体"/>
          <w:color w:val="auto"/>
          <w:szCs w:val="21"/>
          <w:highlight w:val="none"/>
        </w:rPr>
      </w:pPr>
    </w:p>
    <w:p>
      <w:pPr>
        <w:spacing w:line="588" w:lineRule="exact"/>
        <w:ind w:firstLine="420" w:firstLineChars="200"/>
        <w:rPr>
          <w:rFonts w:ascii="宋体" w:hAnsi="宋体"/>
          <w:color w:val="auto"/>
          <w:szCs w:val="21"/>
          <w:highlight w:val="none"/>
        </w:rPr>
      </w:pPr>
    </w:p>
    <w:p>
      <w:pPr>
        <w:tabs>
          <w:tab w:val="left" w:pos="4860"/>
        </w:tabs>
        <w:spacing w:line="588" w:lineRule="exact"/>
        <w:ind w:right="1560" w:firstLine="420" w:firstLineChars="20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单位名称（盖章）：</w:t>
      </w:r>
    </w:p>
    <w:p>
      <w:pPr>
        <w:tabs>
          <w:tab w:val="left" w:pos="4860"/>
        </w:tabs>
        <w:spacing w:line="588" w:lineRule="exact"/>
        <w:ind w:right="1560" w:firstLine="420" w:firstLineChars="20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pPr>
        <w:spacing w:line="400" w:lineRule="exact"/>
        <w:ind w:firstLine="422" w:firstLineChars="200"/>
        <w:rPr>
          <w:rFonts w:ascii="宋体" w:hAnsi="宋体"/>
          <w:b/>
          <w:color w:val="auto"/>
          <w:szCs w:val="21"/>
          <w:highlight w:val="none"/>
        </w:rPr>
      </w:pP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注：</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享受政府采购支持政策的残疾人福利性单位应当同时满足以下条件：</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（一）安置的残疾人占本单位在职职工人数的比例不低于</w:t>
      </w:r>
      <w:r>
        <w:rPr>
          <w:rFonts w:ascii="宋体" w:hAnsi="宋体"/>
          <w:color w:val="auto"/>
          <w:szCs w:val="21"/>
          <w:highlight w:val="none"/>
        </w:rPr>
        <w:t>25%</w:t>
      </w:r>
      <w:r>
        <w:rPr>
          <w:rFonts w:hint="eastAsia" w:ascii="宋体" w:hAnsi="宋体"/>
          <w:color w:val="auto"/>
          <w:szCs w:val="21"/>
          <w:highlight w:val="none"/>
        </w:rPr>
        <w:t>（含</w:t>
      </w:r>
      <w:r>
        <w:rPr>
          <w:rFonts w:ascii="宋体" w:hAnsi="宋体"/>
          <w:color w:val="auto"/>
          <w:szCs w:val="21"/>
          <w:highlight w:val="none"/>
        </w:rPr>
        <w:t>25%</w:t>
      </w:r>
      <w:r>
        <w:rPr>
          <w:rFonts w:hint="eastAsia" w:ascii="宋体" w:hAnsi="宋体"/>
          <w:color w:val="auto"/>
          <w:szCs w:val="21"/>
          <w:highlight w:val="none"/>
        </w:rPr>
        <w:t>），并且安置的残疾人人数不少于</w:t>
      </w:r>
      <w:r>
        <w:rPr>
          <w:rFonts w:ascii="宋体" w:hAnsi="宋体"/>
          <w:color w:val="auto"/>
          <w:szCs w:val="21"/>
          <w:highlight w:val="none"/>
        </w:rPr>
        <w:t>10</w:t>
      </w:r>
      <w:r>
        <w:rPr>
          <w:rFonts w:hint="eastAsia" w:ascii="宋体" w:hAnsi="宋体"/>
          <w:color w:val="auto"/>
          <w:szCs w:val="21"/>
          <w:highlight w:val="none"/>
        </w:rPr>
        <w:t>人（含</w:t>
      </w:r>
      <w:r>
        <w:rPr>
          <w:rFonts w:ascii="宋体" w:hAnsi="宋体"/>
          <w:color w:val="auto"/>
          <w:szCs w:val="21"/>
          <w:highlight w:val="none"/>
        </w:rPr>
        <w:t>10</w:t>
      </w:r>
      <w:r>
        <w:rPr>
          <w:rFonts w:hint="eastAsia" w:ascii="宋体" w:hAnsi="宋体"/>
          <w:color w:val="auto"/>
          <w:szCs w:val="21"/>
          <w:highlight w:val="none"/>
        </w:rPr>
        <w:t>人）；</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（二）依法与安置的每位残疾人签订了一年以上（含一年）的劳动合同或服务协议；</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（三）为安置的每位残疾人按月足额缴纳了基本养老保险、基本医疗保险、失业保险、工伤保险和生育保险等社会保险费；</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（四）通过银行等金融机构向安置的每位残疾人，按月支付了不低于单位所在区县适用的经省级人民政府批准的月最低工资标准的工资；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（五）提供本单位制造的货物、承担的工程或者服务（以下简称产品），或者提供其他残疾人福利性单位制造的货物（不包括使用非残疾人福利性单位注册商标的货物）。</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前款所称残疾人是指法定劳动年龄内，持有《中华人民共和国残疾人证》或者《中华人民共和国残疾军人证（</w:t>
      </w:r>
      <w:r>
        <w:rPr>
          <w:rFonts w:ascii="宋体" w:hAnsi="宋体"/>
          <w:color w:val="auto"/>
          <w:szCs w:val="21"/>
          <w:highlight w:val="none"/>
        </w:rPr>
        <w:t>1</w:t>
      </w:r>
      <w:r>
        <w:rPr>
          <w:rFonts w:hint="eastAsia" w:ascii="宋体" w:hAnsi="宋体"/>
          <w:color w:val="auto"/>
          <w:szCs w:val="21"/>
          <w:highlight w:val="none"/>
        </w:rPr>
        <w:t>至</w:t>
      </w:r>
      <w:r>
        <w:rPr>
          <w:rFonts w:ascii="宋体" w:hAnsi="宋体"/>
          <w:color w:val="auto"/>
          <w:szCs w:val="21"/>
          <w:highlight w:val="none"/>
        </w:rPr>
        <w:t>8</w:t>
      </w:r>
      <w:r>
        <w:rPr>
          <w:rFonts w:hint="eastAsia" w:ascii="宋体" w:hAnsi="宋体"/>
          <w:color w:val="auto"/>
          <w:szCs w:val="21"/>
          <w:highlight w:val="none"/>
        </w:rPr>
        <w:t>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pacing w:line="400" w:lineRule="exact"/>
        <w:outlineLvl w:val="0"/>
        <w:rPr>
          <w:rFonts w:ascii="宋体" w:hAnsi="宋体"/>
          <w:color w:val="auto"/>
          <w:sz w:val="44"/>
          <w:szCs w:val="44"/>
          <w:highlight w:val="none"/>
        </w:rPr>
      </w:pPr>
    </w:p>
    <w:p>
      <w:pPr>
        <w:spacing w:line="360" w:lineRule="auto"/>
        <w:jc w:val="center"/>
        <w:rPr>
          <w:rFonts w:ascii="宋体" w:hAnsi="宋体"/>
          <w:b/>
          <w:color w:val="auto"/>
          <w:szCs w:val="21"/>
          <w:highlight w:val="none"/>
        </w:rPr>
      </w:pPr>
      <w:r>
        <w:rPr>
          <w:rStyle w:val="165"/>
          <w:rFonts w:ascii="宋体" w:hAnsi="宋体"/>
          <w:color w:val="auto"/>
          <w:sz w:val="21"/>
          <w:szCs w:val="21"/>
          <w:highlight w:val="none"/>
        </w:rPr>
        <w:br w:type="page"/>
      </w:r>
      <w:bookmarkStart w:id="65" w:name="_Toc74987467"/>
      <w:bookmarkStart w:id="66" w:name="_Toc74987435"/>
      <w:bookmarkStart w:id="67" w:name="_Toc21541033"/>
      <w:r>
        <w:rPr>
          <w:rFonts w:ascii="宋体" w:hAnsi="宋体"/>
          <w:b/>
          <w:color w:val="auto"/>
          <w:szCs w:val="21"/>
          <w:highlight w:val="none"/>
        </w:rPr>
        <w:t>C5</w:t>
      </w:r>
      <w:r>
        <w:rPr>
          <w:rFonts w:hint="eastAsia" w:ascii="宋体" w:hAnsi="宋体"/>
          <w:b/>
          <w:color w:val="auto"/>
          <w:szCs w:val="21"/>
          <w:highlight w:val="none"/>
        </w:rPr>
        <w:t>供应商认为需要的其他资料（如有需提供）</w:t>
      </w:r>
      <w:bookmarkEnd w:id="65"/>
      <w:bookmarkEnd w:id="66"/>
      <w:bookmarkEnd w:id="67"/>
    </w:p>
    <w:p>
      <w:pPr>
        <w:autoSpaceDE w:val="0"/>
        <w:autoSpaceDN w:val="0"/>
        <w:adjustRightInd w:val="0"/>
        <w:spacing w:line="400" w:lineRule="exact"/>
        <w:outlineLvl w:val="0"/>
        <w:rPr>
          <w:rFonts w:ascii="宋体" w:hAnsi="宋体"/>
          <w:b/>
          <w:color w:val="auto"/>
          <w:szCs w:val="21"/>
          <w:highlight w:val="none"/>
        </w:rPr>
      </w:pPr>
    </w:p>
    <w:p>
      <w:pPr>
        <w:spacing w:line="360" w:lineRule="auto"/>
        <w:jc w:val="center"/>
        <w:rPr>
          <w:rFonts w:ascii="宋体" w:hAnsi="宋体"/>
          <w:b/>
          <w:color w:val="auto"/>
          <w:szCs w:val="21"/>
          <w:highlight w:val="none"/>
        </w:rPr>
      </w:pPr>
      <w:r>
        <w:rPr>
          <w:rStyle w:val="165"/>
          <w:rFonts w:ascii="宋体" w:hAnsi="宋体"/>
          <w:color w:val="auto"/>
          <w:sz w:val="21"/>
          <w:szCs w:val="21"/>
          <w:highlight w:val="none"/>
        </w:rPr>
        <w:br w:type="page"/>
      </w:r>
      <w:bookmarkStart w:id="68" w:name="_Toc74987468"/>
      <w:bookmarkStart w:id="69" w:name="_Toc74987436"/>
      <w:r>
        <w:rPr>
          <w:rFonts w:hint="eastAsia" w:ascii="宋体" w:hAnsi="宋体"/>
          <w:b/>
          <w:color w:val="auto"/>
          <w:szCs w:val="21"/>
          <w:highlight w:val="none"/>
        </w:rPr>
        <w:t>政府采购活动现场确认声明书</w:t>
      </w:r>
      <w:bookmarkEnd w:id="68"/>
      <w:bookmarkEnd w:id="69"/>
    </w:p>
    <w:p>
      <w:pPr>
        <w:pStyle w:val="133"/>
        <w:snapToGrid w:val="0"/>
        <w:spacing w:line="400" w:lineRule="exact"/>
        <w:rPr>
          <w:rFonts w:hAnsi="宋体"/>
          <w:color w:val="auto"/>
          <w:szCs w:val="21"/>
          <w:highlight w:val="none"/>
        </w:rPr>
      </w:pPr>
      <w:r>
        <w:rPr>
          <w:rFonts w:hint="eastAsia" w:hAnsi="宋体"/>
          <w:color w:val="auto"/>
          <w:szCs w:val="21"/>
          <w:highlight w:val="none"/>
        </w:rPr>
        <w:t>致：采购人</w:t>
      </w:r>
    </w:p>
    <w:p>
      <w:pPr>
        <w:pStyle w:val="133"/>
        <w:snapToGrid w:val="0"/>
        <w:spacing w:line="400" w:lineRule="exact"/>
        <w:ind w:firstLine="420" w:firstLineChars="200"/>
        <w:rPr>
          <w:rFonts w:hAnsi="宋体"/>
          <w:color w:val="auto"/>
          <w:szCs w:val="21"/>
          <w:highlight w:val="none"/>
        </w:rPr>
      </w:pPr>
      <w:r>
        <w:rPr>
          <w:rFonts w:hint="eastAsia" w:hAnsi="宋体"/>
          <w:color w:val="auto"/>
          <w:szCs w:val="21"/>
          <w:highlight w:val="none"/>
        </w:rPr>
        <w:t>本人经由</w:t>
      </w:r>
      <w:r>
        <w:rPr>
          <w:rFonts w:hint="eastAsia" w:hAnsi="宋体" w:cs="宋体"/>
          <w:color w:val="auto"/>
          <w:szCs w:val="21"/>
          <w:highlight w:val="none"/>
          <w:u w:val="single"/>
        </w:rPr>
        <w:t>（供应商名称）</w:t>
      </w:r>
      <w:r>
        <w:rPr>
          <w:rFonts w:hint="eastAsia" w:hAnsi="宋体" w:cs="宋体"/>
          <w:color w:val="auto"/>
          <w:szCs w:val="21"/>
          <w:highlight w:val="none"/>
          <w:u w:val="single"/>
          <w:lang w:eastAsia="zh-CN"/>
        </w:rPr>
        <w:t>法定代表人</w:t>
      </w:r>
      <w:r>
        <w:rPr>
          <w:rFonts w:hint="eastAsia" w:hAnsi="宋体"/>
          <w:color w:val="auto"/>
          <w:szCs w:val="21"/>
          <w:highlight w:val="none"/>
        </w:rPr>
        <w:t>（负责人）</w:t>
      </w:r>
      <w:r>
        <w:rPr>
          <w:rFonts w:hAnsi="宋体"/>
          <w:color w:val="auto"/>
          <w:szCs w:val="21"/>
          <w:highlight w:val="none"/>
          <w:u w:val="single"/>
        </w:rPr>
        <w:t xml:space="preserve">  </w:t>
      </w:r>
      <w:r>
        <w:rPr>
          <w:rFonts w:hint="eastAsia" w:hAnsi="宋体"/>
          <w:color w:val="auto"/>
          <w:szCs w:val="21"/>
          <w:highlight w:val="none"/>
          <w:u w:val="single"/>
          <w:lang w:val="en-US" w:eastAsia="zh-CN"/>
        </w:rPr>
        <w:t xml:space="preserve"> </w:t>
      </w:r>
      <w:r>
        <w:rPr>
          <w:rFonts w:hAnsi="宋体"/>
          <w:color w:val="auto"/>
          <w:szCs w:val="21"/>
          <w:highlight w:val="none"/>
          <w:u w:val="single"/>
        </w:rPr>
        <w:t xml:space="preserve">  </w:t>
      </w:r>
      <w:r>
        <w:rPr>
          <w:rFonts w:hint="eastAsia" w:hAnsi="宋体"/>
          <w:color w:val="auto"/>
          <w:szCs w:val="21"/>
          <w:highlight w:val="none"/>
          <w:u w:val="single"/>
        </w:rPr>
        <w:t>（姓名）</w:t>
      </w:r>
      <w:r>
        <w:rPr>
          <w:rFonts w:hint="eastAsia" w:hAnsi="宋体"/>
          <w:color w:val="auto"/>
          <w:szCs w:val="21"/>
          <w:highlight w:val="none"/>
        </w:rPr>
        <w:t>合法授权参加</w:t>
      </w:r>
      <w:r>
        <w:rPr>
          <w:rFonts w:hint="eastAsia" w:hAnsi="宋体"/>
          <w:color w:val="auto"/>
          <w:szCs w:val="21"/>
          <w:highlight w:val="none"/>
          <w:u w:val="single"/>
          <w:lang w:eastAsia="zh-CN"/>
        </w:rPr>
        <w:t>慈溪市崇寿镇2022年度保洁服务</w:t>
      </w:r>
      <w:r>
        <w:rPr>
          <w:rFonts w:hint="eastAsia" w:hAnsi="宋体"/>
          <w:color w:val="auto"/>
          <w:szCs w:val="21"/>
          <w:highlight w:val="none"/>
          <w:u w:val="single"/>
        </w:rPr>
        <w:t>采购项目</w:t>
      </w:r>
      <w:r>
        <w:rPr>
          <w:rFonts w:hint="eastAsia" w:hAnsi="宋体"/>
          <w:color w:val="auto"/>
          <w:szCs w:val="21"/>
          <w:highlight w:val="none"/>
        </w:rPr>
        <w:t>（项目编号：</w:t>
      </w:r>
      <w:r>
        <w:rPr>
          <w:rFonts w:hint="eastAsia" w:hAnsi="宋体"/>
          <w:color w:val="auto"/>
          <w:szCs w:val="21"/>
          <w:highlight w:val="none"/>
          <w:u w:val="single"/>
        </w:rPr>
        <w:t xml:space="preserve"> </w:t>
      </w:r>
      <w:r>
        <w:rPr>
          <w:rFonts w:hint="eastAsia" w:ascii="宋体" w:hAnsi="宋体" w:eastAsia="宋体" w:cs="Times New Roman"/>
          <w:color w:val="auto"/>
          <w:szCs w:val="21"/>
          <w:highlight w:val="none"/>
          <w:u w:val="single"/>
          <w:lang w:eastAsia="zh-CN"/>
        </w:rPr>
        <w:fldChar w:fldCharType="begin"/>
      </w:r>
      <w:r>
        <w:rPr>
          <w:rFonts w:hint="eastAsia" w:ascii="宋体" w:hAnsi="宋体" w:eastAsia="宋体" w:cs="Times New Roman"/>
          <w:color w:val="auto"/>
          <w:szCs w:val="21"/>
          <w:highlight w:val="none"/>
          <w:u w:val="single"/>
          <w:lang w:eastAsia="zh-CN"/>
        </w:rPr>
        <w:instrText xml:space="preserve"> HYPERLINK "https://pay.zcygov.cn/purchaseplan_front/" \l "/plan/list/detail?id=1000000000007569839&amp;encrypt=1f2544fa333427dcec2e1c5237868c71" \o "CXZFCG[2022]658号" \t "https://www.zcygov.cn/bid-inviting/purchaseFileMake/announcementInfo/_blank" </w:instrText>
      </w:r>
      <w:r>
        <w:rPr>
          <w:rFonts w:hint="eastAsia" w:ascii="宋体" w:hAnsi="宋体" w:eastAsia="宋体" w:cs="Times New Roman"/>
          <w:color w:val="auto"/>
          <w:szCs w:val="21"/>
          <w:highlight w:val="none"/>
          <w:u w:val="single"/>
          <w:lang w:eastAsia="zh-CN"/>
        </w:rPr>
        <w:fldChar w:fldCharType="separate"/>
      </w:r>
      <w:r>
        <w:rPr>
          <w:rFonts w:hint="eastAsia" w:hAnsi="宋体" w:eastAsia="宋体" w:cs="Times New Roman"/>
          <w:color w:val="auto"/>
          <w:szCs w:val="21"/>
          <w:highlight w:val="none"/>
          <w:u w:val="single"/>
          <w:lang w:eastAsia="zh-CN"/>
        </w:rPr>
        <w:t>CXZFCG[2022]1350号</w:t>
      </w:r>
      <w:r>
        <w:rPr>
          <w:rFonts w:hint="eastAsia" w:ascii="宋体" w:hAnsi="宋体" w:eastAsia="宋体" w:cs="Times New Roman"/>
          <w:color w:val="auto"/>
          <w:szCs w:val="21"/>
          <w:highlight w:val="none"/>
          <w:u w:val="single"/>
          <w:lang w:eastAsia="zh-CN"/>
        </w:rPr>
        <w:fldChar w:fldCharType="end"/>
      </w:r>
      <w:r>
        <w:rPr>
          <w:rFonts w:hint="eastAsia" w:hAnsi="宋体"/>
          <w:color w:val="auto"/>
          <w:szCs w:val="21"/>
          <w:highlight w:val="none"/>
          <w:u w:val="single"/>
        </w:rPr>
        <w:t xml:space="preserve"> </w:t>
      </w:r>
      <w:r>
        <w:rPr>
          <w:rFonts w:hint="eastAsia" w:hAnsi="宋体"/>
          <w:color w:val="auto"/>
          <w:szCs w:val="21"/>
          <w:highlight w:val="none"/>
        </w:rPr>
        <w:t>）政府采购活动，经与本单位</w:t>
      </w:r>
      <w:r>
        <w:rPr>
          <w:rFonts w:hint="eastAsia" w:hAnsi="宋体"/>
          <w:color w:val="auto"/>
          <w:szCs w:val="21"/>
          <w:highlight w:val="none"/>
          <w:lang w:eastAsia="zh-CN"/>
        </w:rPr>
        <w:t>法定代表人</w:t>
      </w:r>
      <w:r>
        <w:rPr>
          <w:rFonts w:hint="eastAsia" w:hAnsi="宋体"/>
          <w:color w:val="auto"/>
          <w:szCs w:val="21"/>
          <w:highlight w:val="none"/>
        </w:rPr>
        <w:t>（负责人）联系确认，现就有关公平竞争事项郑重声明如下：</w:t>
      </w:r>
    </w:p>
    <w:p>
      <w:pPr>
        <w:pStyle w:val="218"/>
        <w:widowControl/>
        <w:numPr>
          <w:ilvl w:val="0"/>
          <w:numId w:val="8"/>
        </w:numPr>
        <w:snapToGrid w:val="0"/>
        <w:spacing w:line="400" w:lineRule="exact"/>
        <w:ind w:firstLine="396" w:firstLineChars="189"/>
        <w:rPr>
          <w:rFonts w:ascii="宋体" w:hAnsi="宋体"/>
          <w:color w:val="auto"/>
          <w:szCs w:val="21"/>
          <w:highlight w:val="none"/>
        </w:rPr>
      </w:pPr>
      <w:r>
        <w:rPr>
          <w:rFonts w:hint="eastAsia" w:ascii="宋体" w:hAnsi="宋体"/>
          <w:color w:val="auto"/>
          <w:szCs w:val="21"/>
          <w:highlight w:val="none"/>
        </w:rPr>
        <w:t>本单位与采购人之间</w:t>
      </w:r>
    </w:p>
    <w:p>
      <w:pPr>
        <w:pStyle w:val="218"/>
        <w:widowControl/>
        <w:snapToGrid w:val="0"/>
        <w:spacing w:line="400" w:lineRule="exact"/>
        <w:ind w:firstLine="425"/>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不存在利害关系</w:t>
      </w:r>
    </w:p>
    <w:p>
      <w:pPr>
        <w:pStyle w:val="218"/>
        <w:widowControl/>
        <w:snapToGrid w:val="0"/>
        <w:spacing w:line="400" w:lineRule="exact"/>
        <w:ind w:firstLine="425"/>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存在下列利害关系：</w:t>
      </w:r>
    </w:p>
    <w:p>
      <w:pPr>
        <w:pStyle w:val="218"/>
        <w:widowControl/>
        <w:snapToGrid w:val="0"/>
        <w:spacing w:line="400" w:lineRule="exact"/>
        <w:ind w:left="397" w:firstLine="28"/>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投资关系</w:t>
      </w:r>
      <w:r>
        <w:rPr>
          <w:rFonts w:ascii="宋体" w:hAnsi="宋体"/>
          <w:color w:val="auto"/>
          <w:szCs w:val="21"/>
          <w:highlight w:val="none"/>
        </w:rPr>
        <w:t xml:space="preserve">    B.</w:t>
      </w:r>
      <w:r>
        <w:rPr>
          <w:rFonts w:hint="eastAsia" w:ascii="宋体" w:hAnsi="宋体"/>
          <w:color w:val="auto"/>
          <w:szCs w:val="21"/>
          <w:highlight w:val="none"/>
        </w:rPr>
        <w:t>行政隶属关系</w:t>
      </w:r>
      <w:r>
        <w:rPr>
          <w:rFonts w:ascii="宋体" w:hAnsi="宋体"/>
          <w:color w:val="auto"/>
          <w:szCs w:val="21"/>
          <w:highlight w:val="none"/>
        </w:rPr>
        <w:t xml:space="preserve">    C.</w:t>
      </w:r>
      <w:r>
        <w:rPr>
          <w:rFonts w:hint="eastAsia" w:ascii="宋体" w:hAnsi="宋体"/>
          <w:color w:val="auto"/>
          <w:szCs w:val="21"/>
          <w:highlight w:val="none"/>
        </w:rPr>
        <w:t>业务指导关系</w:t>
      </w:r>
    </w:p>
    <w:p>
      <w:pPr>
        <w:pStyle w:val="218"/>
        <w:widowControl/>
        <w:snapToGrid w:val="0"/>
        <w:spacing w:line="400" w:lineRule="exact"/>
        <w:ind w:left="397" w:firstLine="23"/>
        <w:rPr>
          <w:rFonts w:ascii="宋体" w:hAnsi="宋体"/>
          <w:color w:val="auto"/>
          <w:szCs w:val="21"/>
          <w:highlight w:val="none"/>
        </w:rPr>
      </w:pPr>
      <w:r>
        <w:rPr>
          <w:rFonts w:ascii="宋体" w:hAnsi="宋体"/>
          <w:color w:val="auto"/>
          <w:szCs w:val="21"/>
          <w:highlight w:val="none"/>
        </w:rPr>
        <w:t>D.</w:t>
      </w:r>
      <w:r>
        <w:rPr>
          <w:rFonts w:hint="eastAsia" w:ascii="宋体" w:hAnsi="宋体"/>
          <w:color w:val="auto"/>
          <w:szCs w:val="21"/>
          <w:highlight w:val="none"/>
        </w:rPr>
        <w:t>其他可能影响采购公正的利害关系</w:t>
      </w:r>
      <w:r>
        <w:rPr>
          <w:rFonts w:hint="eastAsia" w:ascii="宋体" w:hAnsi="宋体"/>
          <w:color w:val="auto"/>
          <w:szCs w:val="21"/>
          <w:highlight w:val="none"/>
          <w:u w:val="single"/>
        </w:rPr>
        <w:t>（如有，请如实说明）</w:t>
      </w:r>
      <w:r>
        <w:rPr>
          <w:rFonts w:ascii="宋体" w:hAnsi="宋体"/>
          <w:color w:val="auto"/>
          <w:szCs w:val="21"/>
          <w:highlight w:val="none"/>
          <w:u w:val="single"/>
        </w:rPr>
        <w:t xml:space="preserve">      </w:t>
      </w:r>
      <w:r>
        <w:rPr>
          <w:rFonts w:hint="eastAsia" w:ascii="宋体" w:hAnsi="宋体"/>
          <w:color w:val="auto"/>
          <w:szCs w:val="21"/>
          <w:highlight w:val="none"/>
        </w:rPr>
        <w:t>。</w:t>
      </w:r>
    </w:p>
    <w:p>
      <w:pPr>
        <w:pStyle w:val="218"/>
        <w:widowControl/>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二、现已清楚知道参加本项目采购活动的其他所有供应商名称，本单位</w:t>
      </w:r>
    </w:p>
    <w:p>
      <w:pPr>
        <w:pStyle w:val="218"/>
        <w:widowControl/>
        <w:snapToGrid w:val="0"/>
        <w:spacing w:line="400" w:lineRule="exact"/>
        <w:ind w:firstLine="420" w:firstLineChars="200"/>
        <w:rPr>
          <w:rFonts w:ascii="宋体" w:hAnsi="宋体"/>
          <w:color w:val="auto"/>
          <w:szCs w:val="21"/>
          <w:highlight w:val="none"/>
        </w:rPr>
      </w:pPr>
      <w:r>
        <w:rPr>
          <w:rFonts w:hint="eastAsia" w:ascii="宋体" w:hAnsi="宋体" w:cs="宋体"/>
          <w:color w:val="auto"/>
          <w:szCs w:val="21"/>
          <w:highlight w:val="none"/>
        </w:rPr>
        <w:t>□与其他所有供应商之间均</w:t>
      </w:r>
      <w:r>
        <w:rPr>
          <w:rFonts w:hint="eastAsia" w:ascii="宋体" w:hAnsi="宋体"/>
          <w:color w:val="auto"/>
          <w:szCs w:val="21"/>
          <w:highlight w:val="none"/>
        </w:rPr>
        <w:t>不存在利害关系</w:t>
      </w:r>
    </w:p>
    <w:p>
      <w:pPr>
        <w:pStyle w:val="218"/>
        <w:widowControl/>
        <w:snapToGrid w:val="0"/>
        <w:spacing w:line="400" w:lineRule="exact"/>
        <w:ind w:firstLine="420" w:firstLineChars="200"/>
        <w:rPr>
          <w:rFonts w:ascii="宋体" w:hAnsi="宋体"/>
          <w:color w:val="auto"/>
          <w:szCs w:val="21"/>
          <w:highlight w:val="none"/>
        </w:rPr>
      </w:pPr>
      <w:r>
        <w:rPr>
          <w:rFonts w:hint="eastAsia" w:ascii="宋体" w:hAnsi="宋体" w:cs="宋体"/>
          <w:color w:val="auto"/>
          <w:szCs w:val="21"/>
          <w:highlight w:val="none"/>
        </w:rPr>
        <w:t>□与</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之间</w:t>
      </w:r>
      <w:r>
        <w:rPr>
          <w:rFonts w:hint="eastAsia" w:ascii="宋体" w:hAnsi="宋体"/>
          <w:color w:val="auto"/>
          <w:szCs w:val="21"/>
          <w:highlight w:val="none"/>
        </w:rPr>
        <w:t>存在下列利害关系：</w:t>
      </w:r>
    </w:p>
    <w:p>
      <w:pPr>
        <w:pStyle w:val="218"/>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法定代表人或负责人或实际控制人是同一人</w:t>
      </w:r>
    </w:p>
    <w:p>
      <w:pPr>
        <w:pStyle w:val="218"/>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B.</w:t>
      </w:r>
      <w:r>
        <w:rPr>
          <w:rFonts w:hint="eastAsia" w:ascii="宋体" w:hAnsi="宋体"/>
          <w:color w:val="auto"/>
          <w:szCs w:val="21"/>
          <w:highlight w:val="none"/>
        </w:rPr>
        <w:t>法定代表人或负责人或实际控制人是夫妻关系</w:t>
      </w:r>
    </w:p>
    <w:p>
      <w:pPr>
        <w:pStyle w:val="218"/>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C.</w:t>
      </w:r>
      <w:r>
        <w:rPr>
          <w:rFonts w:hint="eastAsia" w:ascii="宋体" w:hAnsi="宋体"/>
          <w:color w:val="auto"/>
          <w:szCs w:val="21"/>
          <w:highlight w:val="none"/>
        </w:rPr>
        <w:t>法定代表人或负责人或实际控制人是直系血亲关系</w:t>
      </w:r>
    </w:p>
    <w:p>
      <w:pPr>
        <w:pStyle w:val="218"/>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D.</w:t>
      </w:r>
      <w:r>
        <w:rPr>
          <w:rFonts w:hint="eastAsia" w:ascii="宋体" w:hAnsi="宋体"/>
          <w:color w:val="auto"/>
          <w:szCs w:val="21"/>
          <w:highlight w:val="none"/>
        </w:rPr>
        <w:t>法定代表人或负责人或实际控制人存在三代以内旁系血亲关系</w:t>
      </w:r>
    </w:p>
    <w:p>
      <w:pPr>
        <w:pStyle w:val="218"/>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E.</w:t>
      </w:r>
      <w:r>
        <w:rPr>
          <w:rFonts w:hint="eastAsia" w:ascii="宋体" w:hAnsi="宋体"/>
          <w:color w:val="auto"/>
          <w:szCs w:val="21"/>
          <w:highlight w:val="none"/>
        </w:rPr>
        <w:t>法定代表人或负责人或实际控制人存在近姻亲关系</w:t>
      </w:r>
    </w:p>
    <w:p>
      <w:pPr>
        <w:pStyle w:val="218"/>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F.</w:t>
      </w:r>
      <w:r>
        <w:rPr>
          <w:rFonts w:hint="eastAsia" w:ascii="宋体" w:hAnsi="宋体"/>
          <w:color w:val="auto"/>
          <w:szCs w:val="21"/>
          <w:highlight w:val="none"/>
        </w:rPr>
        <w:t>法定代表人或负责人或实际控制人存在股份控制或实际控制关系</w:t>
      </w:r>
    </w:p>
    <w:p>
      <w:pPr>
        <w:pStyle w:val="218"/>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G.</w:t>
      </w:r>
      <w:r>
        <w:rPr>
          <w:rFonts w:hint="eastAsia" w:ascii="宋体" w:hAnsi="宋体"/>
          <w:color w:val="auto"/>
          <w:szCs w:val="21"/>
          <w:highlight w:val="none"/>
        </w:rPr>
        <w:t>存在共同直接或间接投资设立子公司、联营企业和合营企业情况</w:t>
      </w:r>
    </w:p>
    <w:p>
      <w:pPr>
        <w:pStyle w:val="218"/>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H.</w:t>
      </w:r>
      <w:r>
        <w:rPr>
          <w:rFonts w:hint="eastAsia" w:ascii="宋体" w:hAnsi="宋体"/>
          <w:color w:val="auto"/>
          <w:szCs w:val="21"/>
          <w:highlight w:val="none"/>
        </w:rPr>
        <w:t>存在分级代理或代销关系、同一生产制造商关系、管理关系、重要业务（占主营业务收入</w:t>
      </w:r>
      <w:r>
        <w:rPr>
          <w:rFonts w:ascii="宋体" w:hAnsi="宋体"/>
          <w:color w:val="auto"/>
          <w:szCs w:val="21"/>
          <w:highlight w:val="none"/>
        </w:rPr>
        <w:t>50%</w:t>
      </w:r>
      <w:r>
        <w:rPr>
          <w:rFonts w:hint="eastAsia" w:ascii="宋体" w:hAnsi="宋体"/>
          <w:color w:val="auto"/>
          <w:szCs w:val="21"/>
          <w:highlight w:val="none"/>
        </w:rPr>
        <w:t>以上）或重要财务往来关系（如融资）等其他实质性控制关系</w:t>
      </w:r>
    </w:p>
    <w:p>
      <w:pPr>
        <w:pStyle w:val="218"/>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I.</w:t>
      </w:r>
      <w:r>
        <w:rPr>
          <w:rFonts w:hint="eastAsia" w:ascii="宋体" w:hAnsi="宋体"/>
          <w:color w:val="auto"/>
          <w:szCs w:val="21"/>
          <w:highlight w:val="none"/>
        </w:rPr>
        <w:t>其他利害关系情况。</w:t>
      </w:r>
    </w:p>
    <w:p>
      <w:pPr>
        <w:pStyle w:val="218"/>
        <w:widowControl/>
        <w:numPr>
          <w:ilvl w:val="0"/>
          <w:numId w:val="9"/>
        </w:numPr>
        <w:snapToGrid w:val="0"/>
        <w:spacing w:line="400" w:lineRule="exact"/>
        <w:ind w:firstLine="396" w:firstLineChars="189"/>
        <w:rPr>
          <w:rFonts w:ascii="宋体" w:hAnsi="宋体"/>
          <w:color w:val="auto"/>
          <w:szCs w:val="21"/>
          <w:highlight w:val="none"/>
        </w:rPr>
      </w:pPr>
      <w:r>
        <w:rPr>
          <w:rFonts w:hint="eastAsia" w:ascii="宋体" w:hAnsi="宋体"/>
          <w:color w:val="auto"/>
          <w:szCs w:val="21"/>
          <w:highlight w:val="none"/>
        </w:rPr>
        <w:t>现已清楚知道并严格遵守政府采购法律法规和现场纪律。</w:t>
      </w:r>
    </w:p>
    <w:p>
      <w:pPr>
        <w:pStyle w:val="218"/>
        <w:widowControl/>
        <w:numPr>
          <w:ilvl w:val="0"/>
          <w:numId w:val="9"/>
        </w:numPr>
        <w:snapToGrid w:val="0"/>
        <w:spacing w:line="400" w:lineRule="exact"/>
        <w:ind w:firstLine="396" w:firstLineChars="189"/>
        <w:rPr>
          <w:rFonts w:ascii="宋体" w:hAnsi="宋体"/>
          <w:color w:val="auto"/>
          <w:szCs w:val="21"/>
          <w:highlight w:val="none"/>
        </w:rPr>
      </w:pPr>
      <w:r>
        <w:rPr>
          <w:rFonts w:hint="eastAsia" w:ascii="宋体" w:hAnsi="宋体"/>
          <w:color w:val="auto"/>
          <w:szCs w:val="21"/>
          <w:highlight w:val="none"/>
        </w:rPr>
        <w:t>我发现</w:t>
      </w:r>
      <w:r>
        <w:rPr>
          <w:rFonts w:ascii="宋体" w:hAnsi="宋体" w:cs="宋体"/>
          <w:color w:val="auto"/>
          <w:szCs w:val="21"/>
          <w:highlight w:val="none"/>
          <w:u w:val="single"/>
        </w:rPr>
        <w:t xml:space="preserve">           </w:t>
      </w:r>
      <w:r>
        <w:rPr>
          <w:rFonts w:hint="eastAsia" w:ascii="宋体" w:hAnsi="宋体"/>
          <w:color w:val="auto"/>
          <w:szCs w:val="21"/>
          <w:highlight w:val="none"/>
          <w:u w:val="single"/>
        </w:rPr>
        <w:t>供应商</w:t>
      </w:r>
      <w:r>
        <w:rPr>
          <w:rFonts w:ascii="宋体" w:hAnsi="宋体" w:cs="宋体"/>
          <w:color w:val="auto"/>
          <w:szCs w:val="21"/>
          <w:highlight w:val="none"/>
          <w:u w:val="single"/>
        </w:rPr>
        <w:t xml:space="preserve">           </w:t>
      </w:r>
      <w:r>
        <w:rPr>
          <w:rFonts w:hint="eastAsia" w:ascii="宋体" w:hAnsi="宋体"/>
          <w:color w:val="auto"/>
          <w:szCs w:val="21"/>
          <w:highlight w:val="none"/>
        </w:rPr>
        <w:t>之间存在或可能存在上述第二条第项利害关系。</w:t>
      </w:r>
    </w:p>
    <w:p>
      <w:pPr>
        <w:pStyle w:val="133"/>
        <w:snapToGrid w:val="0"/>
        <w:spacing w:line="400" w:lineRule="exact"/>
        <w:ind w:firstLine="420" w:firstLineChars="200"/>
        <w:rPr>
          <w:rFonts w:hAnsi="宋体"/>
          <w:color w:val="auto"/>
          <w:szCs w:val="21"/>
          <w:highlight w:val="none"/>
        </w:rPr>
      </w:pPr>
    </w:p>
    <w:p>
      <w:pPr>
        <w:pStyle w:val="133"/>
        <w:snapToGrid w:val="0"/>
        <w:spacing w:line="400" w:lineRule="exact"/>
        <w:ind w:firstLine="1365" w:firstLineChars="650"/>
        <w:rPr>
          <w:rFonts w:hAnsi="宋体"/>
          <w:color w:val="auto"/>
          <w:szCs w:val="21"/>
          <w:highlight w:val="none"/>
        </w:rPr>
      </w:pPr>
      <w:r>
        <w:rPr>
          <w:rFonts w:hAnsi="宋体"/>
          <w:color w:val="auto"/>
          <w:szCs w:val="21"/>
          <w:highlight w:val="none"/>
        </w:rPr>
        <w:t xml:space="preserve">                                </w:t>
      </w:r>
      <w:r>
        <w:rPr>
          <w:rFonts w:hint="eastAsia" w:hAnsi="宋体"/>
          <w:color w:val="auto"/>
          <w:szCs w:val="21"/>
          <w:highlight w:val="none"/>
        </w:rPr>
        <w:t>（供应商代表签名）</w:t>
      </w:r>
    </w:p>
    <w:p>
      <w:pPr>
        <w:spacing w:line="400" w:lineRule="exact"/>
        <w:ind w:firstLine="1318" w:firstLineChars="628"/>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500" w:lineRule="exact"/>
        <w:rPr>
          <w:rFonts w:ascii="宋体" w:hAnsi="宋体"/>
          <w:b/>
          <w:color w:val="auto"/>
          <w:sz w:val="24"/>
          <w:szCs w:val="24"/>
          <w:highlight w:val="none"/>
        </w:rPr>
      </w:pPr>
      <w:r>
        <w:rPr>
          <w:rFonts w:hint="eastAsia" w:ascii="宋体" w:hAnsi="宋体"/>
          <w:b/>
          <w:color w:val="auto"/>
          <w:sz w:val="24"/>
          <w:szCs w:val="24"/>
          <w:highlight w:val="none"/>
        </w:rPr>
        <w:t>注：</w:t>
      </w:r>
      <w:r>
        <w:rPr>
          <w:rFonts w:ascii="宋体" w:hAnsi="宋体"/>
          <w:b/>
          <w:color w:val="auto"/>
          <w:sz w:val="24"/>
          <w:szCs w:val="24"/>
          <w:highlight w:val="none"/>
        </w:rPr>
        <w:t>1</w:t>
      </w:r>
      <w:r>
        <w:rPr>
          <w:rFonts w:hint="eastAsia" w:ascii="宋体" w:hAnsi="宋体"/>
          <w:b/>
          <w:color w:val="auto"/>
          <w:sz w:val="24"/>
          <w:szCs w:val="24"/>
          <w:highlight w:val="none"/>
        </w:rPr>
        <w:t>、本表非投标文件的组成内容，不须在投标文件中提供</w:t>
      </w: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在解密截止时间后以扫描件的形式发送至招标代理电子邮箱：362153643@qq.com</w:t>
      </w:r>
      <w:r>
        <w:rPr>
          <w:rFonts w:hint="eastAsia" w:ascii="宋体" w:hAnsi="宋体"/>
          <w:b/>
          <w:color w:val="auto"/>
          <w:sz w:val="24"/>
          <w:szCs w:val="24"/>
          <w:highlight w:val="none"/>
        </w:rPr>
        <w:t>。</w:t>
      </w:r>
    </w:p>
    <w:p>
      <w:pPr>
        <w:spacing w:line="360" w:lineRule="auto"/>
        <w:jc w:val="center"/>
        <w:rPr>
          <w:rFonts w:hint="eastAsia" w:ascii="宋体" w:hAnsi="宋体"/>
          <w:b/>
          <w:color w:val="auto"/>
          <w:szCs w:val="21"/>
          <w:highlight w:val="none"/>
        </w:rPr>
      </w:pPr>
      <w:r>
        <w:rPr>
          <w:rFonts w:ascii="宋体" w:hAnsi="宋体"/>
          <w:b/>
          <w:color w:val="auto"/>
          <w:sz w:val="28"/>
          <w:szCs w:val="28"/>
          <w:highlight w:val="none"/>
        </w:rPr>
        <w:br w:type="page"/>
      </w:r>
      <w:bookmarkStart w:id="70" w:name="_Toc74987469"/>
      <w:bookmarkStart w:id="71" w:name="_Toc74987437"/>
      <w:r>
        <w:rPr>
          <w:rFonts w:hint="eastAsia" w:ascii="宋体" w:hAnsi="宋体"/>
          <w:b/>
          <w:color w:val="auto"/>
          <w:szCs w:val="21"/>
          <w:highlight w:val="none"/>
        </w:rPr>
        <w:t>评分索引表（建议放在目录之前）</w:t>
      </w:r>
      <w:bookmarkEnd w:id="70"/>
      <w:bookmarkEnd w:id="71"/>
    </w:p>
    <w:tbl>
      <w:tblPr>
        <w:tblStyle w:val="45"/>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2"/>
        <w:gridCol w:w="1937"/>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454" w:hRule="atLeast"/>
          <w:jc w:val="center"/>
        </w:trPr>
        <w:tc>
          <w:tcPr>
            <w:tcW w:w="5382" w:type="dxa"/>
            <w:tcBorders>
              <w:top w:val="single" w:color="auto" w:sz="4" w:space="0"/>
              <w:left w:val="single" w:color="auto" w:sz="4" w:space="0"/>
              <w:tl2br w:val="single" w:color="000000" w:sz="4" w:space="0"/>
            </w:tcBorders>
            <w:noWrap w:val="0"/>
            <w:vAlign w:val="top"/>
          </w:tcPr>
          <w:p>
            <w:pPr>
              <w:spacing w:line="300" w:lineRule="exact"/>
              <w:ind w:right="420" w:firstLine="3885" w:firstLineChars="1850"/>
              <w:jc w:val="right"/>
              <w:rPr>
                <w:rFonts w:ascii="宋体" w:hAnsi="宋体"/>
                <w:color w:val="auto"/>
                <w:szCs w:val="21"/>
                <w:highlight w:val="none"/>
              </w:rPr>
            </w:pPr>
            <w:r>
              <w:rPr>
                <w:rFonts w:hint="eastAsia" w:ascii="宋体" w:hAnsi="宋体"/>
                <w:color w:val="auto"/>
                <w:szCs w:val="21"/>
                <w:highlight w:val="none"/>
              </w:rPr>
              <w:t>供应商</w:t>
            </w:r>
          </w:p>
          <w:p>
            <w:pPr>
              <w:spacing w:line="300" w:lineRule="exact"/>
              <w:rPr>
                <w:rFonts w:ascii="宋体" w:hAnsi="宋体"/>
                <w:color w:val="auto"/>
                <w:szCs w:val="21"/>
                <w:highlight w:val="none"/>
                <w:lang w:val="ru-RU"/>
              </w:rPr>
            </w:pPr>
            <w:r>
              <w:rPr>
                <w:rFonts w:hint="eastAsia" w:ascii="宋体" w:hAnsi="宋体"/>
                <w:color w:val="auto"/>
                <w:szCs w:val="21"/>
                <w:highlight w:val="none"/>
              </w:rPr>
              <w:t>分值</w:t>
            </w:r>
          </w:p>
        </w:tc>
        <w:tc>
          <w:tcPr>
            <w:tcW w:w="1937" w:type="dxa"/>
            <w:tcBorders>
              <w:top w:val="single" w:color="auto" w:sz="4" w:space="0"/>
            </w:tcBorders>
            <w:noWrap w:val="0"/>
            <w:vAlign w:val="center"/>
          </w:tcPr>
          <w:p>
            <w:pPr>
              <w:spacing w:line="400" w:lineRule="exact"/>
              <w:jc w:val="center"/>
              <w:rPr>
                <w:rFonts w:ascii="宋体" w:hAnsi="宋体"/>
                <w:color w:val="auto"/>
                <w:szCs w:val="21"/>
                <w:highlight w:val="none"/>
                <w:lang w:val="ru-RU"/>
              </w:rPr>
            </w:pPr>
            <w:r>
              <w:rPr>
                <w:rFonts w:hint="eastAsia" w:ascii="宋体" w:hAnsi="宋体"/>
                <w:color w:val="auto"/>
                <w:szCs w:val="21"/>
                <w:highlight w:val="none"/>
                <w:lang w:val="ru-RU"/>
              </w:rPr>
              <w:t>自评分</w:t>
            </w:r>
          </w:p>
        </w:tc>
        <w:tc>
          <w:tcPr>
            <w:tcW w:w="1675" w:type="dxa"/>
            <w:tcBorders>
              <w:top w:val="single" w:color="auto" w:sz="4" w:space="0"/>
            </w:tcBorders>
            <w:noWrap w:val="0"/>
            <w:vAlign w:val="center"/>
          </w:tcPr>
          <w:p>
            <w:pPr>
              <w:spacing w:line="400" w:lineRule="exact"/>
              <w:jc w:val="center"/>
              <w:rPr>
                <w:rFonts w:ascii="宋体" w:hAnsi="宋体"/>
                <w:color w:val="auto"/>
                <w:szCs w:val="21"/>
                <w:highlight w:val="none"/>
                <w:lang w:val="ru-RU"/>
              </w:rPr>
            </w:pPr>
            <w:r>
              <w:rPr>
                <w:rFonts w:hint="eastAsia" w:ascii="宋体" w:hAnsi="宋体"/>
                <w:color w:val="auto"/>
                <w:szCs w:val="21"/>
                <w:highlight w:val="none"/>
                <w:lang w:val="ru-RU"/>
              </w:rPr>
              <w:t>资料所在页码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454" w:hRule="atLeast"/>
          <w:jc w:val="center"/>
        </w:trPr>
        <w:tc>
          <w:tcPr>
            <w:tcW w:w="5382" w:type="dxa"/>
            <w:tcBorders>
              <w:left w:val="single" w:color="auto" w:sz="4" w:space="0"/>
            </w:tcBorders>
            <w:noWrap w:val="0"/>
            <w:vAlign w:val="center"/>
          </w:tcPr>
          <w:p>
            <w:pPr>
              <w:spacing w:line="400" w:lineRule="exact"/>
              <w:rPr>
                <w:rFonts w:ascii="宋体" w:hAnsi="宋体"/>
                <w:color w:val="auto"/>
                <w:szCs w:val="21"/>
                <w:highlight w:val="none"/>
              </w:rPr>
            </w:pPr>
          </w:p>
        </w:tc>
        <w:tc>
          <w:tcPr>
            <w:tcW w:w="1937" w:type="dxa"/>
            <w:noWrap w:val="0"/>
            <w:vAlign w:val="center"/>
          </w:tcPr>
          <w:p>
            <w:pPr>
              <w:spacing w:line="400" w:lineRule="exact"/>
              <w:jc w:val="center"/>
              <w:rPr>
                <w:rFonts w:ascii="宋体" w:hAnsi="宋体"/>
                <w:color w:val="auto"/>
                <w:szCs w:val="21"/>
                <w:highlight w:val="none"/>
              </w:rPr>
            </w:pPr>
          </w:p>
        </w:tc>
        <w:tc>
          <w:tcPr>
            <w:tcW w:w="1675" w:type="dxa"/>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454" w:hRule="atLeast"/>
          <w:jc w:val="center"/>
        </w:trPr>
        <w:tc>
          <w:tcPr>
            <w:tcW w:w="5382" w:type="dxa"/>
            <w:tcBorders>
              <w:left w:val="single" w:color="auto" w:sz="4" w:space="0"/>
            </w:tcBorders>
            <w:noWrap w:val="0"/>
            <w:vAlign w:val="center"/>
          </w:tcPr>
          <w:p>
            <w:pPr>
              <w:spacing w:line="400" w:lineRule="exact"/>
              <w:rPr>
                <w:rFonts w:ascii="宋体" w:hAnsi="宋体"/>
                <w:color w:val="auto"/>
                <w:szCs w:val="21"/>
                <w:highlight w:val="none"/>
              </w:rPr>
            </w:pPr>
          </w:p>
        </w:tc>
        <w:tc>
          <w:tcPr>
            <w:tcW w:w="1937" w:type="dxa"/>
            <w:noWrap w:val="0"/>
            <w:vAlign w:val="center"/>
          </w:tcPr>
          <w:p>
            <w:pPr>
              <w:spacing w:line="400" w:lineRule="exact"/>
              <w:jc w:val="center"/>
              <w:rPr>
                <w:rFonts w:ascii="宋体" w:hAnsi="宋体"/>
                <w:color w:val="auto"/>
                <w:szCs w:val="21"/>
                <w:highlight w:val="none"/>
              </w:rPr>
            </w:pPr>
          </w:p>
        </w:tc>
        <w:tc>
          <w:tcPr>
            <w:tcW w:w="1675" w:type="dxa"/>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454" w:hRule="atLeast"/>
          <w:jc w:val="center"/>
        </w:trPr>
        <w:tc>
          <w:tcPr>
            <w:tcW w:w="5382" w:type="dxa"/>
            <w:tcBorders>
              <w:left w:val="single" w:color="auto" w:sz="4" w:space="0"/>
            </w:tcBorders>
            <w:noWrap w:val="0"/>
            <w:vAlign w:val="center"/>
          </w:tcPr>
          <w:p>
            <w:pPr>
              <w:spacing w:line="400" w:lineRule="exact"/>
              <w:rPr>
                <w:rFonts w:ascii="宋体" w:hAnsi="宋体"/>
                <w:color w:val="auto"/>
                <w:szCs w:val="21"/>
                <w:highlight w:val="none"/>
              </w:rPr>
            </w:pPr>
          </w:p>
        </w:tc>
        <w:tc>
          <w:tcPr>
            <w:tcW w:w="1937" w:type="dxa"/>
            <w:noWrap w:val="0"/>
            <w:vAlign w:val="center"/>
          </w:tcPr>
          <w:p>
            <w:pPr>
              <w:spacing w:line="400" w:lineRule="exact"/>
              <w:jc w:val="center"/>
              <w:rPr>
                <w:rFonts w:ascii="宋体" w:hAnsi="宋体"/>
                <w:color w:val="auto"/>
                <w:szCs w:val="21"/>
                <w:highlight w:val="none"/>
              </w:rPr>
            </w:pPr>
          </w:p>
        </w:tc>
        <w:tc>
          <w:tcPr>
            <w:tcW w:w="1675" w:type="dxa"/>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454" w:hRule="atLeast"/>
          <w:jc w:val="center"/>
        </w:trPr>
        <w:tc>
          <w:tcPr>
            <w:tcW w:w="5382" w:type="dxa"/>
            <w:tcBorders>
              <w:left w:val="single" w:color="auto" w:sz="4" w:space="0"/>
            </w:tcBorders>
            <w:noWrap w:val="0"/>
            <w:vAlign w:val="center"/>
          </w:tcPr>
          <w:p>
            <w:pPr>
              <w:spacing w:line="400" w:lineRule="exact"/>
              <w:rPr>
                <w:rFonts w:ascii="宋体" w:hAnsi="宋体"/>
                <w:color w:val="auto"/>
                <w:szCs w:val="21"/>
                <w:highlight w:val="none"/>
              </w:rPr>
            </w:pPr>
          </w:p>
        </w:tc>
        <w:tc>
          <w:tcPr>
            <w:tcW w:w="1937" w:type="dxa"/>
            <w:noWrap w:val="0"/>
            <w:vAlign w:val="center"/>
          </w:tcPr>
          <w:p>
            <w:pPr>
              <w:spacing w:line="400" w:lineRule="exact"/>
              <w:jc w:val="center"/>
              <w:rPr>
                <w:rFonts w:ascii="宋体" w:hAnsi="宋体"/>
                <w:color w:val="auto"/>
                <w:szCs w:val="21"/>
                <w:highlight w:val="none"/>
              </w:rPr>
            </w:pPr>
          </w:p>
        </w:tc>
        <w:tc>
          <w:tcPr>
            <w:tcW w:w="1675" w:type="dxa"/>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454" w:hRule="atLeast"/>
          <w:jc w:val="center"/>
        </w:trPr>
        <w:tc>
          <w:tcPr>
            <w:tcW w:w="5382" w:type="dxa"/>
            <w:tcBorders>
              <w:left w:val="single" w:color="auto" w:sz="4" w:space="0"/>
            </w:tcBorders>
            <w:noWrap w:val="0"/>
            <w:vAlign w:val="center"/>
          </w:tcPr>
          <w:p>
            <w:pPr>
              <w:spacing w:line="400" w:lineRule="exact"/>
              <w:rPr>
                <w:rFonts w:ascii="宋体" w:hAnsi="宋体"/>
                <w:color w:val="auto"/>
                <w:szCs w:val="21"/>
                <w:highlight w:val="none"/>
              </w:rPr>
            </w:pPr>
          </w:p>
        </w:tc>
        <w:tc>
          <w:tcPr>
            <w:tcW w:w="1937" w:type="dxa"/>
            <w:noWrap w:val="0"/>
            <w:vAlign w:val="center"/>
          </w:tcPr>
          <w:p>
            <w:pPr>
              <w:spacing w:line="400" w:lineRule="exact"/>
              <w:jc w:val="center"/>
              <w:rPr>
                <w:rFonts w:ascii="宋体" w:hAnsi="宋体"/>
                <w:color w:val="auto"/>
                <w:szCs w:val="21"/>
                <w:highlight w:val="none"/>
              </w:rPr>
            </w:pPr>
          </w:p>
        </w:tc>
        <w:tc>
          <w:tcPr>
            <w:tcW w:w="1675" w:type="dxa"/>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454" w:hRule="atLeast"/>
          <w:jc w:val="center"/>
        </w:trPr>
        <w:tc>
          <w:tcPr>
            <w:tcW w:w="5382" w:type="dxa"/>
            <w:tcBorders>
              <w:left w:val="single" w:color="auto" w:sz="4" w:space="0"/>
            </w:tcBorders>
            <w:noWrap w:val="0"/>
            <w:vAlign w:val="center"/>
          </w:tcPr>
          <w:p>
            <w:pPr>
              <w:spacing w:line="400" w:lineRule="exact"/>
              <w:rPr>
                <w:rFonts w:ascii="宋体" w:hAnsi="宋体"/>
                <w:color w:val="auto"/>
                <w:szCs w:val="21"/>
                <w:highlight w:val="none"/>
              </w:rPr>
            </w:pPr>
          </w:p>
        </w:tc>
        <w:tc>
          <w:tcPr>
            <w:tcW w:w="1937" w:type="dxa"/>
            <w:noWrap w:val="0"/>
            <w:vAlign w:val="center"/>
          </w:tcPr>
          <w:p>
            <w:pPr>
              <w:spacing w:line="400" w:lineRule="exact"/>
              <w:jc w:val="center"/>
              <w:rPr>
                <w:rFonts w:ascii="宋体" w:hAnsi="宋体"/>
                <w:color w:val="auto"/>
                <w:szCs w:val="21"/>
                <w:highlight w:val="none"/>
              </w:rPr>
            </w:pPr>
          </w:p>
        </w:tc>
        <w:tc>
          <w:tcPr>
            <w:tcW w:w="1675" w:type="dxa"/>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454" w:hRule="atLeast"/>
          <w:jc w:val="center"/>
        </w:trPr>
        <w:tc>
          <w:tcPr>
            <w:tcW w:w="5382" w:type="dxa"/>
            <w:tcBorders>
              <w:left w:val="single" w:color="auto" w:sz="4" w:space="0"/>
            </w:tcBorders>
            <w:noWrap w:val="0"/>
            <w:vAlign w:val="center"/>
          </w:tcPr>
          <w:p>
            <w:pPr>
              <w:spacing w:line="400" w:lineRule="exact"/>
              <w:rPr>
                <w:rFonts w:ascii="宋体" w:hAnsi="宋体"/>
                <w:color w:val="auto"/>
                <w:szCs w:val="21"/>
                <w:highlight w:val="none"/>
              </w:rPr>
            </w:pPr>
          </w:p>
        </w:tc>
        <w:tc>
          <w:tcPr>
            <w:tcW w:w="1937" w:type="dxa"/>
            <w:noWrap w:val="0"/>
            <w:vAlign w:val="center"/>
          </w:tcPr>
          <w:p>
            <w:pPr>
              <w:spacing w:line="400" w:lineRule="exact"/>
              <w:jc w:val="center"/>
              <w:rPr>
                <w:rFonts w:ascii="宋体" w:hAnsi="宋体"/>
                <w:color w:val="auto"/>
                <w:szCs w:val="21"/>
                <w:highlight w:val="none"/>
              </w:rPr>
            </w:pPr>
          </w:p>
        </w:tc>
        <w:tc>
          <w:tcPr>
            <w:tcW w:w="1675" w:type="dxa"/>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454" w:hRule="atLeast"/>
          <w:jc w:val="center"/>
        </w:trPr>
        <w:tc>
          <w:tcPr>
            <w:tcW w:w="5382" w:type="dxa"/>
            <w:tcBorders>
              <w:left w:val="single" w:color="auto" w:sz="4" w:space="0"/>
            </w:tcBorders>
            <w:noWrap w:val="0"/>
            <w:vAlign w:val="center"/>
          </w:tcPr>
          <w:p>
            <w:pPr>
              <w:spacing w:line="400" w:lineRule="exact"/>
              <w:rPr>
                <w:rFonts w:ascii="宋体" w:hAnsi="宋体"/>
                <w:color w:val="auto"/>
                <w:szCs w:val="21"/>
                <w:highlight w:val="none"/>
              </w:rPr>
            </w:pPr>
          </w:p>
        </w:tc>
        <w:tc>
          <w:tcPr>
            <w:tcW w:w="1937" w:type="dxa"/>
            <w:noWrap w:val="0"/>
            <w:vAlign w:val="center"/>
          </w:tcPr>
          <w:p>
            <w:pPr>
              <w:spacing w:line="400" w:lineRule="exact"/>
              <w:jc w:val="center"/>
              <w:rPr>
                <w:rFonts w:ascii="宋体" w:hAnsi="宋体"/>
                <w:color w:val="auto"/>
                <w:szCs w:val="21"/>
                <w:highlight w:val="none"/>
              </w:rPr>
            </w:pPr>
          </w:p>
        </w:tc>
        <w:tc>
          <w:tcPr>
            <w:tcW w:w="1675" w:type="dxa"/>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454" w:hRule="atLeast"/>
          <w:jc w:val="center"/>
        </w:trPr>
        <w:tc>
          <w:tcPr>
            <w:tcW w:w="5382" w:type="dxa"/>
            <w:tcBorders>
              <w:left w:val="single" w:color="auto" w:sz="4" w:space="0"/>
            </w:tcBorders>
            <w:noWrap w:val="0"/>
            <w:vAlign w:val="center"/>
          </w:tcPr>
          <w:p>
            <w:pPr>
              <w:spacing w:line="400" w:lineRule="exact"/>
              <w:rPr>
                <w:rFonts w:ascii="宋体" w:hAnsi="宋体"/>
                <w:color w:val="auto"/>
                <w:szCs w:val="21"/>
                <w:highlight w:val="none"/>
              </w:rPr>
            </w:pPr>
          </w:p>
        </w:tc>
        <w:tc>
          <w:tcPr>
            <w:tcW w:w="1937" w:type="dxa"/>
            <w:noWrap w:val="0"/>
            <w:vAlign w:val="center"/>
          </w:tcPr>
          <w:p>
            <w:pPr>
              <w:spacing w:line="400" w:lineRule="exact"/>
              <w:jc w:val="center"/>
              <w:rPr>
                <w:rFonts w:ascii="宋体" w:hAnsi="宋体"/>
                <w:color w:val="auto"/>
                <w:szCs w:val="21"/>
                <w:highlight w:val="none"/>
              </w:rPr>
            </w:pPr>
          </w:p>
        </w:tc>
        <w:tc>
          <w:tcPr>
            <w:tcW w:w="1675" w:type="dxa"/>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454" w:hRule="atLeast"/>
          <w:jc w:val="center"/>
        </w:trPr>
        <w:tc>
          <w:tcPr>
            <w:tcW w:w="5382" w:type="dxa"/>
            <w:tcBorders>
              <w:left w:val="single" w:color="auto" w:sz="4" w:space="0"/>
            </w:tcBorders>
            <w:noWrap w:val="0"/>
            <w:vAlign w:val="center"/>
          </w:tcPr>
          <w:p>
            <w:pPr>
              <w:spacing w:line="400" w:lineRule="exact"/>
              <w:rPr>
                <w:rFonts w:ascii="宋体" w:hAnsi="宋体"/>
                <w:color w:val="auto"/>
                <w:szCs w:val="21"/>
                <w:highlight w:val="none"/>
              </w:rPr>
            </w:pPr>
          </w:p>
        </w:tc>
        <w:tc>
          <w:tcPr>
            <w:tcW w:w="1937" w:type="dxa"/>
            <w:noWrap w:val="0"/>
            <w:vAlign w:val="center"/>
          </w:tcPr>
          <w:p>
            <w:pPr>
              <w:spacing w:line="400" w:lineRule="exact"/>
              <w:jc w:val="center"/>
              <w:rPr>
                <w:rFonts w:ascii="宋体" w:hAnsi="宋体"/>
                <w:color w:val="auto"/>
                <w:szCs w:val="21"/>
                <w:highlight w:val="none"/>
              </w:rPr>
            </w:pPr>
          </w:p>
        </w:tc>
        <w:tc>
          <w:tcPr>
            <w:tcW w:w="1675" w:type="dxa"/>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454" w:hRule="atLeast"/>
          <w:jc w:val="center"/>
        </w:trPr>
        <w:tc>
          <w:tcPr>
            <w:tcW w:w="5382" w:type="dxa"/>
            <w:tcBorders>
              <w:left w:val="single" w:color="auto" w:sz="4" w:space="0"/>
            </w:tcBorders>
            <w:noWrap w:val="0"/>
            <w:vAlign w:val="center"/>
          </w:tcPr>
          <w:p>
            <w:pPr>
              <w:spacing w:line="400" w:lineRule="exact"/>
              <w:rPr>
                <w:rFonts w:ascii="宋体" w:hAnsi="宋体"/>
                <w:color w:val="auto"/>
                <w:szCs w:val="21"/>
                <w:highlight w:val="none"/>
              </w:rPr>
            </w:pPr>
          </w:p>
        </w:tc>
        <w:tc>
          <w:tcPr>
            <w:tcW w:w="1937" w:type="dxa"/>
            <w:noWrap w:val="0"/>
            <w:vAlign w:val="center"/>
          </w:tcPr>
          <w:p>
            <w:pPr>
              <w:spacing w:line="400" w:lineRule="exact"/>
              <w:jc w:val="center"/>
              <w:rPr>
                <w:rFonts w:ascii="宋体" w:hAnsi="宋体"/>
                <w:color w:val="auto"/>
                <w:szCs w:val="21"/>
                <w:highlight w:val="none"/>
              </w:rPr>
            </w:pPr>
          </w:p>
        </w:tc>
        <w:tc>
          <w:tcPr>
            <w:tcW w:w="1675" w:type="dxa"/>
            <w:noWrap w:val="0"/>
            <w:vAlign w:val="center"/>
          </w:tcPr>
          <w:p>
            <w:pPr>
              <w:spacing w:line="400" w:lineRule="exact"/>
              <w:jc w:val="center"/>
              <w:rPr>
                <w:rFonts w:ascii="宋体" w:hAnsi="宋体"/>
                <w:color w:val="auto"/>
                <w:szCs w:val="21"/>
                <w:highlight w:val="none"/>
              </w:rPr>
            </w:pPr>
          </w:p>
        </w:tc>
      </w:tr>
    </w:tbl>
    <w:p>
      <w:pPr>
        <w:spacing w:line="400" w:lineRule="exact"/>
        <w:rPr>
          <w:rFonts w:hint="eastAsia" w:ascii="宋体" w:hAnsi="宋体"/>
          <w:color w:val="auto"/>
          <w:highlight w:val="none"/>
        </w:rPr>
      </w:pPr>
      <w:r>
        <w:rPr>
          <w:rFonts w:hint="eastAsia" w:ascii="宋体" w:hAnsi="宋体"/>
          <w:color w:val="auto"/>
          <w:highlight w:val="none"/>
        </w:rPr>
        <w:t>注：1、供应商对客观分可以进行自评分，主观分可以不用自评分。</w:t>
      </w:r>
    </w:p>
    <w:p>
      <w:pPr>
        <w:spacing w:line="400" w:lineRule="exact"/>
        <w:ind w:firstLine="420" w:firstLineChars="200"/>
        <w:rPr>
          <w:rFonts w:ascii="宋体" w:hAnsi="宋体"/>
          <w:color w:val="auto"/>
          <w:highlight w:val="none"/>
        </w:rPr>
      </w:pPr>
      <w:r>
        <w:rPr>
          <w:rFonts w:hint="eastAsia" w:ascii="宋体" w:hAnsi="宋体"/>
          <w:color w:val="auto"/>
          <w:highlight w:val="none"/>
        </w:rPr>
        <w:t>2、本表只适用</w:t>
      </w:r>
      <w:r>
        <w:rPr>
          <w:rFonts w:hint="eastAsia" w:ascii="宋体" w:hAnsi="宋体"/>
          <w:b/>
          <w:color w:val="auto"/>
          <w:highlight w:val="none"/>
        </w:rPr>
        <w:t>第三章评标办法及标准</w:t>
      </w:r>
      <w:r>
        <w:rPr>
          <w:rFonts w:hint="eastAsia" w:ascii="宋体" w:hAnsi="宋体"/>
          <w:color w:val="auto"/>
          <w:highlight w:val="none"/>
        </w:rPr>
        <w:t xml:space="preserve">  附表3“商务和技术评分表”。</w:t>
      </w:r>
    </w:p>
    <w:p>
      <w:pPr>
        <w:spacing w:line="400" w:lineRule="exact"/>
        <w:rPr>
          <w:rFonts w:hint="eastAsia" w:ascii="宋体" w:hAnsi="宋体"/>
          <w:b/>
          <w:color w:val="auto"/>
          <w:sz w:val="28"/>
          <w:szCs w:val="28"/>
          <w:highlight w:val="none"/>
        </w:rPr>
      </w:pPr>
    </w:p>
    <w:p>
      <w:pPr>
        <w:spacing w:line="500" w:lineRule="exact"/>
        <w:rPr>
          <w:rFonts w:ascii="宋体" w:hAnsi="宋体"/>
          <w:b/>
          <w:color w:val="auto"/>
          <w:sz w:val="28"/>
          <w:szCs w:val="28"/>
          <w:highlight w:val="none"/>
        </w:rPr>
      </w:pPr>
    </w:p>
    <w:p>
      <w:pPr>
        <w:pStyle w:val="25"/>
        <w:spacing w:line="360" w:lineRule="auto"/>
        <w:ind w:left="101" w:leftChars="48" w:firstLine="2880" w:firstLineChars="800"/>
        <w:jc w:val="left"/>
        <w:rPr>
          <w:rFonts w:hAnsi="宋体"/>
          <w:color w:val="auto"/>
          <w:sz w:val="36"/>
          <w:szCs w:val="36"/>
          <w:highlight w:val="none"/>
        </w:rPr>
        <w:sectPr>
          <w:pgSz w:w="11907" w:h="16840"/>
          <w:pgMar w:top="1138" w:right="1588" w:bottom="1423" w:left="1339" w:header="285" w:footer="990" w:gutter="0"/>
          <w:cols w:space="720" w:num="1"/>
          <w:docGrid w:linePitch="285" w:charSpace="0"/>
        </w:sectPr>
      </w:pPr>
    </w:p>
    <w:tbl>
      <w:tblPr>
        <w:tblStyle w:val="45"/>
        <w:tblW w:w="15077" w:type="dxa"/>
        <w:tblInd w:w="-176" w:type="dxa"/>
        <w:tblLayout w:type="fixed"/>
        <w:tblCellMar>
          <w:top w:w="0" w:type="dxa"/>
          <w:left w:w="108" w:type="dxa"/>
          <w:bottom w:w="0" w:type="dxa"/>
          <w:right w:w="108" w:type="dxa"/>
        </w:tblCellMar>
      </w:tblPr>
      <w:tblGrid>
        <w:gridCol w:w="2003"/>
        <w:gridCol w:w="1563"/>
        <w:gridCol w:w="1728"/>
        <w:gridCol w:w="1677"/>
        <w:gridCol w:w="1252"/>
        <w:gridCol w:w="1494"/>
        <w:gridCol w:w="1536"/>
        <w:gridCol w:w="1297"/>
        <w:gridCol w:w="1287"/>
        <w:gridCol w:w="1234"/>
        <w:gridCol w:w="6"/>
      </w:tblGrid>
      <w:tr>
        <w:tblPrEx>
          <w:tblCellMar>
            <w:top w:w="0" w:type="dxa"/>
            <w:left w:w="108" w:type="dxa"/>
            <w:bottom w:w="0" w:type="dxa"/>
            <w:right w:w="108" w:type="dxa"/>
          </w:tblCellMar>
        </w:tblPrEx>
        <w:trPr>
          <w:wBefore w:w="0" w:type="auto"/>
          <w:trHeight w:val="148" w:hRule="atLeast"/>
        </w:trPr>
        <w:tc>
          <w:tcPr>
            <w:tcW w:w="15077" w:type="dxa"/>
            <w:gridSpan w:val="11"/>
            <w:tcBorders>
              <w:top w:val="nil"/>
              <w:left w:val="nil"/>
              <w:bottom w:val="nil"/>
              <w:right w:val="nil"/>
            </w:tcBorders>
            <w:noWrap w:val="0"/>
            <w:vAlign w:val="bottom"/>
          </w:tcPr>
          <w:p>
            <w:pPr>
              <w:widowControl/>
              <w:jc w:val="center"/>
              <w:rPr>
                <w:rFonts w:ascii="宋体" w:hAnsi="宋体" w:cs="宋体"/>
                <w:b/>
                <w:bCs/>
                <w:color w:val="auto"/>
                <w:kern w:val="0"/>
                <w:sz w:val="32"/>
                <w:szCs w:val="32"/>
                <w:highlight w:val="none"/>
              </w:rPr>
            </w:pPr>
            <w:r>
              <w:rPr>
                <w:rFonts w:hint="eastAsia" w:ascii="宋体" w:hAnsi="宋体" w:cs="宋体"/>
                <w:b/>
                <w:bCs/>
                <w:color w:val="auto"/>
                <w:kern w:val="0"/>
                <w:sz w:val="24"/>
                <w:highlight w:val="none"/>
              </w:rPr>
              <w:t>中小微行业划型标准规定（根据工信部联企业〔</w:t>
            </w:r>
            <w:r>
              <w:rPr>
                <w:rFonts w:ascii="宋体" w:hAnsi="宋体" w:cs="宋体"/>
                <w:b/>
                <w:bCs/>
                <w:color w:val="auto"/>
                <w:kern w:val="0"/>
                <w:sz w:val="24"/>
                <w:highlight w:val="none"/>
              </w:rPr>
              <w:t>2011</w:t>
            </w:r>
            <w:r>
              <w:rPr>
                <w:rFonts w:hint="eastAsia" w:ascii="宋体" w:hAnsi="宋体" w:cs="宋体"/>
                <w:b/>
                <w:bCs/>
                <w:color w:val="auto"/>
                <w:kern w:val="0"/>
                <w:sz w:val="24"/>
                <w:highlight w:val="none"/>
              </w:rPr>
              <w:t>〕</w:t>
            </w:r>
            <w:r>
              <w:rPr>
                <w:rFonts w:ascii="宋体" w:hAnsi="宋体" w:cs="宋体"/>
                <w:b/>
                <w:bCs/>
                <w:color w:val="auto"/>
                <w:kern w:val="0"/>
                <w:sz w:val="24"/>
                <w:highlight w:val="none"/>
              </w:rPr>
              <w:t>300</w:t>
            </w:r>
            <w:r>
              <w:rPr>
                <w:rFonts w:hint="eastAsia" w:ascii="宋体" w:hAnsi="宋体" w:cs="宋体"/>
                <w:b/>
                <w:bCs/>
                <w:color w:val="auto"/>
                <w:kern w:val="0"/>
                <w:sz w:val="24"/>
                <w:highlight w:val="none"/>
              </w:rPr>
              <w:t>号制定）</w:t>
            </w:r>
          </w:p>
        </w:tc>
      </w:tr>
      <w:tr>
        <w:tblPrEx>
          <w:tblCellMar>
            <w:top w:w="0" w:type="dxa"/>
            <w:left w:w="108" w:type="dxa"/>
            <w:bottom w:w="0" w:type="dxa"/>
            <w:right w:w="108" w:type="dxa"/>
          </w:tblCellMar>
        </w:tblPrEx>
        <w:trPr>
          <w:gridAfter w:val="1"/>
          <w:wBefore w:w="0" w:type="auto"/>
          <w:wAfter w:w="6"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noWrap w:val="0"/>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行业</w:t>
            </w:r>
          </w:p>
        </w:tc>
        <w:tc>
          <w:tcPr>
            <w:tcW w:w="4968"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中型企业</w:t>
            </w:r>
          </w:p>
        </w:tc>
        <w:tc>
          <w:tcPr>
            <w:tcW w:w="4282"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小型企业</w:t>
            </w:r>
          </w:p>
        </w:tc>
        <w:tc>
          <w:tcPr>
            <w:tcW w:w="3818"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微型企业</w:t>
            </w:r>
          </w:p>
        </w:tc>
      </w:tr>
      <w:tr>
        <w:tblPrEx>
          <w:tblCellMar>
            <w:top w:w="0" w:type="dxa"/>
            <w:left w:w="108" w:type="dxa"/>
            <w:bottom w:w="0" w:type="dxa"/>
            <w:right w:w="108" w:type="dxa"/>
          </w:tblCellMar>
        </w:tblPrEx>
        <w:trPr>
          <w:gridAfter w:val="1"/>
          <w:wBefore w:w="0" w:type="auto"/>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jc w:val="left"/>
              <w:rPr>
                <w:rFonts w:ascii="宋体" w:hAnsi="宋体" w:cs="宋体"/>
                <w:b/>
                <w:bCs/>
                <w:color w:val="auto"/>
                <w:kern w:val="0"/>
                <w:sz w:val="24"/>
                <w:highlight w:val="none"/>
              </w:rPr>
            </w:pPr>
          </w:p>
        </w:tc>
        <w:tc>
          <w:tcPr>
            <w:tcW w:w="1563"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728"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677" w:type="dxa"/>
            <w:tcBorders>
              <w:top w:val="nil"/>
              <w:left w:val="nil"/>
              <w:bottom w:val="single" w:color="auto" w:sz="4" w:space="0"/>
              <w:right w:val="single" w:color="auto" w:sz="8" w:space="0"/>
            </w:tcBorders>
            <w:noWrap w:val="0"/>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52"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494"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536" w:type="dxa"/>
            <w:tcBorders>
              <w:top w:val="nil"/>
              <w:left w:val="nil"/>
              <w:bottom w:val="single" w:color="auto" w:sz="4" w:space="0"/>
              <w:right w:val="single" w:color="auto" w:sz="8" w:space="0"/>
            </w:tcBorders>
            <w:noWrap w:val="0"/>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97"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287"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r>
              <w:rPr>
                <w:rFonts w:hint="eastAsia" w:ascii="宋体" w:hAnsi="宋体" w:cs="宋体"/>
                <w:color w:val="auto"/>
                <w:kern w:val="0"/>
                <w:sz w:val="20"/>
                <w:highlight w:val="none"/>
              </w:rPr>
              <w:t>（万元）</w:t>
            </w:r>
          </w:p>
        </w:tc>
        <w:tc>
          <w:tcPr>
            <w:tcW w:w="1234" w:type="dxa"/>
            <w:tcBorders>
              <w:top w:val="nil"/>
              <w:left w:val="nil"/>
              <w:bottom w:val="single" w:color="auto" w:sz="4" w:space="0"/>
              <w:right w:val="single" w:color="auto" w:sz="8" w:space="0"/>
            </w:tcBorders>
            <w:noWrap w:val="0"/>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r>
              <w:rPr>
                <w:rFonts w:hint="eastAsia" w:ascii="宋体" w:hAnsi="宋体" w:cs="宋体"/>
                <w:color w:val="auto"/>
                <w:kern w:val="0"/>
                <w:sz w:val="20"/>
                <w:highlight w:val="none"/>
              </w:rPr>
              <w:t>（万元）</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1</w:t>
            </w:r>
            <w:r>
              <w:rPr>
                <w:rFonts w:hint="eastAsia" w:ascii="宋体" w:hAnsi="宋体" w:cs="宋体"/>
                <w:color w:val="auto"/>
                <w:kern w:val="0"/>
                <w:sz w:val="20"/>
                <w:highlight w:val="none"/>
              </w:rPr>
              <w:t>、农林牧渔业</w:t>
            </w:r>
          </w:p>
        </w:tc>
        <w:tc>
          <w:tcPr>
            <w:tcW w:w="1563"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2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2</w:t>
            </w:r>
            <w:r>
              <w:rPr>
                <w:rFonts w:hint="eastAsia" w:ascii="宋体" w:hAnsi="宋体" w:cs="宋体"/>
                <w:color w:val="auto"/>
                <w:kern w:val="0"/>
                <w:sz w:val="20"/>
                <w:highlight w:val="none"/>
              </w:rPr>
              <w:t>、工业</w:t>
            </w:r>
          </w:p>
        </w:tc>
        <w:tc>
          <w:tcPr>
            <w:tcW w:w="1563"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2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3</w:t>
            </w:r>
            <w:r>
              <w:rPr>
                <w:rFonts w:hint="eastAsia" w:ascii="宋体" w:hAnsi="宋体" w:cs="宋体"/>
                <w:color w:val="auto"/>
                <w:kern w:val="0"/>
                <w:sz w:val="20"/>
                <w:highlight w:val="none"/>
              </w:rPr>
              <w:t>、建筑业</w:t>
            </w:r>
          </w:p>
        </w:tc>
        <w:tc>
          <w:tcPr>
            <w:tcW w:w="1563"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2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6000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6000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300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4</w:t>
            </w:r>
            <w:r>
              <w:rPr>
                <w:rFonts w:hint="eastAsia" w:ascii="宋体" w:hAnsi="宋体" w:cs="宋体"/>
                <w:color w:val="auto"/>
                <w:kern w:val="0"/>
                <w:sz w:val="20"/>
                <w:highlight w:val="none"/>
              </w:rPr>
              <w:t>、批发业</w:t>
            </w:r>
          </w:p>
        </w:tc>
        <w:tc>
          <w:tcPr>
            <w:tcW w:w="1563"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2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5</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5</w:t>
            </w:r>
            <w:r>
              <w:rPr>
                <w:rFonts w:hint="eastAsia" w:ascii="宋体" w:hAnsi="宋体" w:cs="宋体"/>
                <w:color w:val="auto"/>
                <w:kern w:val="0"/>
                <w:sz w:val="20"/>
                <w:highlight w:val="none"/>
              </w:rPr>
              <w:t>、零售业</w:t>
            </w:r>
          </w:p>
        </w:tc>
        <w:tc>
          <w:tcPr>
            <w:tcW w:w="1563"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2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6</w:t>
            </w:r>
            <w:r>
              <w:rPr>
                <w:rFonts w:hint="eastAsia" w:ascii="宋体" w:hAnsi="宋体" w:cs="宋体"/>
                <w:color w:val="auto"/>
                <w:kern w:val="0"/>
                <w:sz w:val="20"/>
                <w:highlight w:val="none"/>
              </w:rPr>
              <w:t>、交通运输业</w:t>
            </w:r>
          </w:p>
        </w:tc>
        <w:tc>
          <w:tcPr>
            <w:tcW w:w="1563"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2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7</w:t>
            </w:r>
            <w:r>
              <w:rPr>
                <w:rFonts w:hint="eastAsia" w:ascii="宋体" w:hAnsi="宋体" w:cs="宋体"/>
                <w:color w:val="auto"/>
                <w:kern w:val="0"/>
                <w:sz w:val="20"/>
                <w:highlight w:val="none"/>
              </w:rPr>
              <w:t>、仓储业</w:t>
            </w:r>
          </w:p>
        </w:tc>
        <w:tc>
          <w:tcPr>
            <w:tcW w:w="1563"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2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8</w:t>
            </w:r>
            <w:r>
              <w:rPr>
                <w:rFonts w:hint="eastAsia" w:ascii="宋体" w:hAnsi="宋体" w:cs="宋体"/>
                <w:color w:val="auto"/>
                <w:kern w:val="0"/>
                <w:sz w:val="20"/>
                <w:highlight w:val="none"/>
              </w:rPr>
              <w:t>、邮政业</w:t>
            </w:r>
          </w:p>
        </w:tc>
        <w:tc>
          <w:tcPr>
            <w:tcW w:w="1563"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2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9</w:t>
            </w:r>
            <w:r>
              <w:rPr>
                <w:rFonts w:hint="eastAsia" w:ascii="宋体" w:hAnsi="宋体" w:cs="宋体"/>
                <w:color w:val="auto"/>
                <w:kern w:val="0"/>
                <w:sz w:val="20"/>
                <w:highlight w:val="none"/>
              </w:rPr>
              <w:t>、住宿业</w:t>
            </w:r>
          </w:p>
        </w:tc>
        <w:tc>
          <w:tcPr>
            <w:tcW w:w="1563"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2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、餐饮业</w:t>
            </w:r>
          </w:p>
        </w:tc>
        <w:tc>
          <w:tcPr>
            <w:tcW w:w="1563"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2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11</w:t>
            </w:r>
            <w:r>
              <w:rPr>
                <w:rFonts w:hint="eastAsia" w:ascii="宋体" w:hAnsi="宋体" w:cs="宋体"/>
                <w:color w:val="auto"/>
                <w:kern w:val="0"/>
                <w:sz w:val="20"/>
                <w:highlight w:val="none"/>
              </w:rPr>
              <w:t>、信息传输业</w:t>
            </w:r>
          </w:p>
        </w:tc>
        <w:tc>
          <w:tcPr>
            <w:tcW w:w="1563"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72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12</w:t>
            </w:r>
            <w:r>
              <w:rPr>
                <w:rFonts w:hint="eastAsia" w:ascii="宋体" w:hAnsi="宋体" w:cs="宋体"/>
                <w:color w:val="auto"/>
                <w:kern w:val="0"/>
                <w:sz w:val="20"/>
                <w:highlight w:val="none"/>
              </w:rPr>
              <w:t>、软件和信息技术服务业</w:t>
            </w:r>
          </w:p>
        </w:tc>
        <w:tc>
          <w:tcPr>
            <w:tcW w:w="1563"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2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13</w:t>
            </w:r>
            <w:r>
              <w:rPr>
                <w:rFonts w:hint="eastAsia" w:ascii="宋体" w:hAnsi="宋体" w:cs="宋体"/>
                <w:color w:val="auto"/>
                <w:kern w:val="0"/>
                <w:sz w:val="20"/>
                <w:highlight w:val="none"/>
              </w:rPr>
              <w:t>、房地产开发经营</w:t>
            </w:r>
          </w:p>
        </w:tc>
        <w:tc>
          <w:tcPr>
            <w:tcW w:w="1563"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2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14</w:t>
            </w:r>
            <w:r>
              <w:rPr>
                <w:rFonts w:hint="eastAsia" w:ascii="宋体" w:hAnsi="宋体" w:cs="宋体"/>
                <w:color w:val="auto"/>
                <w:kern w:val="0"/>
                <w:sz w:val="20"/>
                <w:highlight w:val="none"/>
              </w:rPr>
              <w:t>、物业管理</w:t>
            </w:r>
          </w:p>
        </w:tc>
        <w:tc>
          <w:tcPr>
            <w:tcW w:w="1563"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2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15</w:t>
            </w:r>
            <w:r>
              <w:rPr>
                <w:rFonts w:hint="eastAsia" w:ascii="宋体" w:hAnsi="宋体" w:cs="宋体"/>
                <w:color w:val="auto"/>
                <w:kern w:val="0"/>
                <w:sz w:val="20"/>
                <w:highlight w:val="none"/>
              </w:rPr>
              <w:t>、租赁和商务服务业</w:t>
            </w:r>
          </w:p>
        </w:tc>
        <w:tc>
          <w:tcPr>
            <w:tcW w:w="1563"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2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8000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120000</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100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8"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16</w:t>
            </w:r>
            <w:r>
              <w:rPr>
                <w:rFonts w:hint="eastAsia" w:ascii="宋体" w:hAnsi="宋体" w:cs="宋体"/>
                <w:color w:val="auto"/>
                <w:kern w:val="0"/>
                <w:sz w:val="20"/>
                <w:highlight w:val="none"/>
              </w:rPr>
              <w:t>、其他未列明行业</w:t>
            </w:r>
          </w:p>
        </w:tc>
        <w:tc>
          <w:tcPr>
            <w:tcW w:w="1563" w:type="dxa"/>
            <w:tcBorders>
              <w:top w:val="nil"/>
              <w:left w:val="nil"/>
              <w:bottom w:val="single" w:color="auto" w:sz="8"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28" w:type="dxa"/>
            <w:tcBorders>
              <w:top w:val="nil"/>
              <w:left w:val="nil"/>
              <w:bottom w:val="single" w:color="auto" w:sz="8"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77" w:type="dxa"/>
            <w:tcBorders>
              <w:top w:val="nil"/>
              <w:left w:val="nil"/>
              <w:bottom w:val="single" w:color="auto" w:sz="8"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8"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8" w:space="0"/>
              <w:right w:val="single" w:color="auto" w:sz="4" w:space="0"/>
            </w:tcBorders>
            <w:noWrap w:val="0"/>
            <w:vAlign w:val="center"/>
          </w:tcPr>
          <w:p>
            <w:pPr>
              <w:widowControl/>
              <w:rPr>
                <w:rFonts w:ascii="宋体" w:hAnsi="宋体" w:cs="宋体"/>
                <w:color w:val="auto"/>
                <w:kern w:val="0"/>
                <w:sz w:val="20"/>
                <w:highlight w:val="none"/>
              </w:rPr>
            </w:pPr>
          </w:p>
        </w:tc>
        <w:tc>
          <w:tcPr>
            <w:tcW w:w="1536" w:type="dxa"/>
            <w:tcBorders>
              <w:top w:val="nil"/>
              <w:left w:val="nil"/>
              <w:bottom w:val="single" w:color="auto" w:sz="8"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8"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8"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34" w:type="dxa"/>
            <w:tcBorders>
              <w:top w:val="nil"/>
              <w:left w:val="nil"/>
              <w:bottom w:val="single" w:color="auto" w:sz="8"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wBefore w:w="0" w:type="auto"/>
          <w:trHeight w:val="961" w:hRule="atLeast"/>
        </w:trPr>
        <w:tc>
          <w:tcPr>
            <w:tcW w:w="15077" w:type="dxa"/>
            <w:gridSpan w:val="11"/>
            <w:tcBorders>
              <w:top w:val="nil"/>
              <w:left w:val="nil"/>
              <w:bottom w:val="nil"/>
              <w:right w:val="nil"/>
            </w:tcBorders>
            <w:noWrap w:val="0"/>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说明　</w:t>
            </w:r>
            <w:r>
              <w:rPr>
                <w:rFonts w:ascii="宋体" w:hAnsi="宋体" w:cs="宋体"/>
                <w:color w:val="auto"/>
                <w:kern w:val="0"/>
                <w:sz w:val="20"/>
                <w:highlight w:val="none"/>
              </w:rPr>
              <w:t>1</w:t>
            </w:r>
            <w:r>
              <w:rPr>
                <w:rFonts w:hint="eastAsia" w:ascii="宋体" w:hAnsi="宋体" w:cs="宋体"/>
                <w:color w:val="auto"/>
                <w:kern w:val="0"/>
                <w:sz w:val="20"/>
                <w:highlight w:val="none"/>
              </w:rPr>
              <w:t>、企业类型的划分以统计部门的统计数据为依据。</w:t>
            </w:r>
          </w:p>
          <w:p>
            <w:pPr>
              <w:widowControl/>
              <w:ind w:firstLine="600" w:firstLineChars="300"/>
              <w:jc w:val="left"/>
              <w:rPr>
                <w:rFonts w:ascii="宋体" w:hAnsi="宋体" w:cs="宋体"/>
                <w:color w:val="auto"/>
                <w:kern w:val="0"/>
                <w:sz w:val="20"/>
                <w:highlight w:val="none"/>
              </w:rPr>
            </w:pPr>
            <w:r>
              <w:rPr>
                <w:rFonts w:ascii="宋体" w:hAnsi="宋体" w:cs="宋体"/>
                <w:color w:val="auto"/>
                <w:kern w:val="0"/>
                <w:sz w:val="20"/>
                <w:highlight w:val="none"/>
              </w:rPr>
              <w:t>2</w:t>
            </w:r>
            <w:r>
              <w:rPr>
                <w:rFonts w:hint="eastAsia" w:ascii="宋体" w:hAnsi="宋体" w:cs="宋体"/>
                <w:color w:val="auto"/>
                <w:kern w:val="0"/>
                <w:sz w:val="20"/>
                <w:highlight w:val="none"/>
              </w:rPr>
              <w:t>、个体工商户和本规定以外的行业，参照本规定进行划型。</w:t>
            </w:r>
          </w:p>
          <w:p>
            <w:pPr>
              <w:widowControl/>
              <w:ind w:firstLine="600" w:firstLineChars="300"/>
              <w:jc w:val="left"/>
              <w:rPr>
                <w:rFonts w:ascii="宋体" w:hAnsi="宋体" w:cs="宋体"/>
                <w:color w:val="auto"/>
                <w:kern w:val="0"/>
                <w:sz w:val="20"/>
                <w:highlight w:val="none"/>
              </w:rPr>
            </w:pPr>
            <w:r>
              <w:rPr>
                <w:rFonts w:ascii="宋体" w:hAnsi="宋体" w:cs="宋体"/>
                <w:color w:val="auto"/>
                <w:kern w:val="0"/>
                <w:sz w:val="20"/>
                <w:highlight w:val="none"/>
              </w:rPr>
              <w:t>3</w:t>
            </w:r>
            <w:r>
              <w:rPr>
                <w:rFonts w:hint="eastAsia" w:ascii="宋体" w:hAnsi="宋体" w:cs="宋体"/>
                <w:color w:val="auto"/>
                <w:kern w:val="0"/>
                <w:sz w:val="20"/>
                <w:highlight w:val="none"/>
              </w:rPr>
              <w:t>、本规定的中型企业标准上限即为大型企业标准的下限。</w:t>
            </w:r>
          </w:p>
        </w:tc>
      </w:tr>
    </w:tbl>
    <w:p>
      <w:pPr>
        <w:pStyle w:val="25"/>
        <w:tabs>
          <w:tab w:val="left" w:pos="811"/>
        </w:tabs>
        <w:spacing w:line="360" w:lineRule="auto"/>
        <w:jc w:val="left"/>
        <w:rPr>
          <w:rFonts w:hint="eastAsia" w:hAnsi="宋体"/>
          <w:color w:val="auto"/>
          <w:sz w:val="36"/>
          <w:szCs w:val="36"/>
          <w:highlight w:val="none"/>
        </w:rPr>
      </w:pPr>
    </w:p>
    <w:sectPr>
      <w:pgSz w:w="16838" w:h="11906" w:orient="landscape"/>
      <w:pgMar w:top="526" w:right="1440" w:bottom="433" w:left="1440" w:header="737"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书宋简体">
    <w:altName w:val="宋体"/>
    <w:panose1 w:val="02010601030101010101"/>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Univers">
    <w:altName w:val="Arial"/>
    <w:panose1 w:val="00000000000000000000"/>
    <w:charset w:val="00"/>
    <w:family w:val="swiss"/>
    <w:pitch w:val="default"/>
    <w:sig w:usb0="80000287" w:usb1="00000000" w:usb2="00000000" w:usb3="00000000" w:csb0="0000000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9"/>
      </w:rPr>
    </w:pPr>
    <w:r>
      <w:fldChar w:fldCharType="begin"/>
    </w:r>
    <w:r>
      <w:rPr>
        <w:rStyle w:val="49"/>
      </w:rPr>
      <w:instrText xml:space="preserve">PAGE  </w:instrText>
    </w:r>
    <w:r>
      <w:fldChar w:fldCharType="separate"/>
    </w:r>
    <w:r>
      <w:rPr>
        <w:rStyle w:val="49"/>
        <w:lang/>
      </w:rPr>
      <w:t>18</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5KL+z8gBAACZAwAADgAAAGRycy9lMm9Eb2MueG1srVPNjtMwEL4j8Q6W 79RpD6iKmq4WVYuQECAtPIDr2I0l/8njNukLwBtw4sKd5+pzMHaS7rJc9rAXZzwz/ma+byabm8Ea cpIRtHcNXS4qSqQTvtXu0NBvX+/erCmBxF3LjXeyoWcJ9Gb7+tWmD7Vc+c6bVkaCIA7qPjS0SynU jIHopOWw8EE6DCofLU94jQfWRt4jujVsVVVvWe9jG6IXEgC9uzFIJ8T4HECvlBZy58XRSpdG1CgN T0gJOh2Abku3SkmRPisFMhHTUGSayolF0N7nk203vD5EHjotphb4c1p4wsly7bDoFWrHEyfHqP+D slpED16lhfCWjUSKIshiWT3R5r7jQRYuKDWEq+jwcrDi0+lLJLrFTaDEcYsDv/z8cfn15/L7O1lm efoANWbdB8xLwzs/5NTJD+jMrAcVbf4iH4JxFPd8FVcOiYj8aL1arysMCYzNF8RhD89DhPReekuy 0dCI0yui8tNHSGPqnJKrOX+njUE/r437x4GY2cNy72OP2UrDfpga3/v2jHx6HHxDHe45JeaDQ13z jsxGnI39bBxD1IeuLFGuB+H2mLCJ0luuMMJOhXFihd20XXklHt9L1sMftf0L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OSi/s/IAQAAmQMAAA4AAAAAAAAAAQAgAAAAHgEAAGRycy9lMm9Eb2Mu eG1sUEsFBgAAAAAGAAYAWQEAAFgFAAAAAA== ">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h="850" w:hRule="exact" w:wrap="around" w:vAnchor="text" w:hAnchor="margin" w:xAlign="center" w:y="348"/>
      <w:jc w:val="center"/>
      <w:rPr>
        <w:rStyle w:val="49"/>
      </w:rPr>
    </w:pPr>
    <w:r>
      <w:fldChar w:fldCharType="begin"/>
    </w:r>
    <w:r>
      <w:rPr>
        <w:rStyle w:val="49"/>
      </w:rPr>
      <w:instrText xml:space="preserve">PAGE  </w:instrText>
    </w:r>
    <w:r>
      <w:fldChar w:fldCharType="separate"/>
    </w:r>
    <w:r>
      <w:rPr>
        <w:rStyle w:val="49"/>
        <w:lang/>
      </w:rPr>
      <w:t>27</w:t>
    </w:r>
    <w: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4FEA5C"/>
    <w:multiLevelType w:val="singleLevel"/>
    <w:tmpl w:val="BD4FEA5C"/>
    <w:lvl w:ilvl="0" w:tentative="0">
      <w:start w:val="1"/>
      <w:numFmt w:val="decimal"/>
      <w:suff w:val="nothing"/>
      <w:lvlText w:val="%1、"/>
      <w:lvlJc w:val="left"/>
    </w:lvl>
  </w:abstractNum>
  <w:abstractNum w:abstractNumId="1">
    <w:nsid w:val="E372E750"/>
    <w:multiLevelType w:val="singleLevel"/>
    <w:tmpl w:val="E372E750"/>
    <w:lvl w:ilvl="0" w:tentative="0">
      <w:start w:val="1"/>
      <w:numFmt w:val="decimal"/>
      <w:lvlText w:val="%1."/>
      <w:lvlJc w:val="left"/>
      <w:pPr>
        <w:tabs>
          <w:tab w:val="left" w:pos="312"/>
        </w:tabs>
      </w:pPr>
    </w:lvl>
  </w:abstractNum>
  <w:abstractNum w:abstractNumId="2">
    <w:nsid w:val="00000009"/>
    <w:multiLevelType w:val="multilevel"/>
    <w:tmpl w:val="00000009"/>
    <w:lvl w:ilvl="0" w:tentative="0">
      <w:start w:val="1"/>
      <w:numFmt w:val="bullet"/>
      <w:pStyle w:val="248"/>
      <w:lvlText w:val="□"/>
      <w:lvlJc w:val="left"/>
      <w:pPr>
        <w:tabs>
          <w:tab w:val="left" w:pos="360"/>
        </w:tabs>
        <w:ind w:left="360" w:hanging="360"/>
      </w:pPr>
      <w:rPr>
        <w:rFonts w:hint="eastAsia" w:ascii="宋体" w:hAnsi="宋体" w:eastAsia="宋体"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0A"/>
    <w:multiLevelType w:val="multilevel"/>
    <w:tmpl w:val="0000000A"/>
    <w:lvl w:ilvl="0" w:tentative="0">
      <w:start w:val="1"/>
      <w:numFmt w:val="decimal"/>
      <w:pStyle w:val="252"/>
      <w:lvlText w:val="(%1)"/>
      <w:lvlJc w:val="left"/>
      <w:pPr>
        <w:tabs>
          <w:tab w:val="left" w:pos="510"/>
        </w:tabs>
        <w:ind w:left="510" w:hanging="390"/>
      </w:pPr>
      <w:rPr>
        <w:rFonts w:hint="eastAsia"/>
      </w:rPr>
    </w:lvl>
    <w:lvl w:ilvl="1" w:tentative="0">
      <w:start w:val="1"/>
      <w:numFmt w:val="lowerLetter"/>
      <w:pStyle w:val="250"/>
      <w:lvlText w:val="%2)"/>
      <w:lvlJc w:val="left"/>
      <w:pPr>
        <w:tabs>
          <w:tab w:val="left" w:pos="840"/>
        </w:tabs>
        <w:ind w:left="840" w:hanging="420"/>
      </w:pPr>
    </w:lvl>
    <w:lvl w:ilvl="2" w:tentative="0">
      <w:start w:val="1"/>
      <w:numFmt w:val="lowerRoman"/>
      <w:pStyle w:val="251"/>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AFAD20A"/>
    <w:multiLevelType w:val="singleLevel"/>
    <w:tmpl w:val="3AFAD20A"/>
    <w:lvl w:ilvl="0" w:tentative="0">
      <w:start w:val="5"/>
      <w:numFmt w:val="chineseCounting"/>
      <w:suff w:val="space"/>
      <w:lvlText w:val="第%1章"/>
      <w:lvlJc w:val="left"/>
      <w:rPr>
        <w:rFonts w:hint="eastAsia"/>
      </w:rPr>
    </w:lvl>
  </w:abstractNum>
  <w:abstractNum w:abstractNumId="5">
    <w:nsid w:val="54F403B5"/>
    <w:multiLevelType w:val="singleLevel"/>
    <w:tmpl w:val="54F403B5"/>
    <w:lvl w:ilvl="0" w:tentative="0">
      <w:start w:val="1"/>
      <w:numFmt w:val="chineseCounting"/>
      <w:suff w:val="nothing"/>
      <w:lvlText w:val="%1、"/>
      <w:lvlJc w:val="left"/>
      <w:rPr>
        <w:rFonts w:cs="Times New Roman"/>
      </w:rPr>
    </w:lvl>
  </w:abstractNum>
  <w:abstractNum w:abstractNumId="6">
    <w:nsid w:val="557FD3DA"/>
    <w:multiLevelType w:val="singleLevel"/>
    <w:tmpl w:val="557FD3DA"/>
    <w:lvl w:ilvl="0" w:tentative="0">
      <w:start w:val="3"/>
      <w:numFmt w:val="chineseCounting"/>
      <w:suff w:val="nothing"/>
      <w:lvlText w:val="%1、"/>
      <w:lvlJc w:val="left"/>
      <w:rPr>
        <w:rFonts w:cs="Times New Roman"/>
      </w:rPr>
    </w:lvl>
  </w:abstractNum>
  <w:abstractNum w:abstractNumId="7">
    <w:nsid w:val="57A74C8F"/>
    <w:multiLevelType w:val="singleLevel"/>
    <w:tmpl w:val="57A74C8F"/>
    <w:lvl w:ilvl="0" w:tentative="0">
      <w:start w:val="1"/>
      <w:numFmt w:val="chineseCounting"/>
      <w:pStyle w:val="189"/>
      <w:suff w:val="nothing"/>
      <w:lvlText w:val="%1、"/>
      <w:lvlJc w:val="left"/>
      <w:rPr>
        <w:rFonts w:hint="eastAsia" w:cs="Times New Roman"/>
      </w:rPr>
    </w:lvl>
  </w:abstractNum>
  <w:abstractNum w:abstractNumId="8">
    <w:nsid w:val="735C4A27"/>
    <w:multiLevelType w:val="singleLevel"/>
    <w:tmpl w:val="735C4A27"/>
    <w:lvl w:ilvl="0" w:tentative="0">
      <w:start w:val="6"/>
      <w:numFmt w:val="chineseCounting"/>
      <w:suff w:val="space"/>
      <w:lvlText w:val="第%1章"/>
      <w:lvlJc w:val="left"/>
      <w:rPr>
        <w:rFonts w:hint="eastAsia"/>
      </w:rPr>
    </w:lvl>
  </w:abstractNum>
  <w:num w:numId="1">
    <w:abstractNumId w:val="7"/>
  </w:num>
  <w:num w:numId="2">
    <w:abstractNumId w:val="2"/>
  </w:num>
  <w:num w:numId="3">
    <w:abstractNumId w:val="3"/>
    <w:lvlOverride w:ilvl="1">
      <w:startOverride w:val="1"/>
    </w:lvlOverride>
  </w:num>
  <w:num w:numId="4">
    <w:abstractNumId w:val="4"/>
  </w:num>
  <w:num w:numId="5">
    <w:abstractNumId w:val="0"/>
  </w:num>
  <w:num w:numId="6">
    <w:abstractNumId w:val="8"/>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5"/>
  <w:hyphenationZone w:val="360"/>
  <w:drawingGridHorizontalSpacing w:val="105"/>
  <w:drawingGridVerticalSpacing w:val="285"/>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zNzAzZGE0NmJjMTVkYWYxZjM5ZjRiYzhmY2RkOGMifQ=="/>
  </w:docVars>
  <w:rsids>
    <w:rsidRoot w:val="00D719E6"/>
    <w:rsid w:val="0000018E"/>
    <w:rsid w:val="00001A82"/>
    <w:rsid w:val="00002288"/>
    <w:rsid w:val="00002B25"/>
    <w:rsid w:val="00003757"/>
    <w:rsid w:val="0000377D"/>
    <w:rsid w:val="000037AD"/>
    <w:rsid w:val="0000380B"/>
    <w:rsid w:val="00003965"/>
    <w:rsid w:val="000039EB"/>
    <w:rsid w:val="00003E11"/>
    <w:rsid w:val="0000545F"/>
    <w:rsid w:val="00005AD2"/>
    <w:rsid w:val="00006469"/>
    <w:rsid w:val="00007D74"/>
    <w:rsid w:val="00007FB4"/>
    <w:rsid w:val="00011313"/>
    <w:rsid w:val="000117A8"/>
    <w:rsid w:val="00012585"/>
    <w:rsid w:val="00013D65"/>
    <w:rsid w:val="0001464E"/>
    <w:rsid w:val="0001475D"/>
    <w:rsid w:val="00014763"/>
    <w:rsid w:val="000147A6"/>
    <w:rsid w:val="000147E2"/>
    <w:rsid w:val="00017165"/>
    <w:rsid w:val="000171FF"/>
    <w:rsid w:val="000212AE"/>
    <w:rsid w:val="000217E4"/>
    <w:rsid w:val="00022DC6"/>
    <w:rsid w:val="00023D2D"/>
    <w:rsid w:val="00024548"/>
    <w:rsid w:val="0002570D"/>
    <w:rsid w:val="00026033"/>
    <w:rsid w:val="00026061"/>
    <w:rsid w:val="0002795F"/>
    <w:rsid w:val="00030242"/>
    <w:rsid w:val="00031274"/>
    <w:rsid w:val="00032826"/>
    <w:rsid w:val="000328FE"/>
    <w:rsid w:val="0003306F"/>
    <w:rsid w:val="00034204"/>
    <w:rsid w:val="000344B9"/>
    <w:rsid w:val="00035959"/>
    <w:rsid w:val="00036257"/>
    <w:rsid w:val="0003725C"/>
    <w:rsid w:val="000378FE"/>
    <w:rsid w:val="00037CE4"/>
    <w:rsid w:val="00037EA3"/>
    <w:rsid w:val="000414C4"/>
    <w:rsid w:val="00041A39"/>
    <w:rsid w:val="00041B3B"/>
    <w:rsid w:val="00043099"/>
    <w:rsid w:val="00043143"/>
    <w:rsid w:val="00043490"/>
    <w:rsid w:val="00043715"/>
    <w:rsid w:val="000437D4"/>
    <w:rsid w:val="00044435"/>
    <w:rsid w:val="00045CE3"/>
    <w:rsid w:val="00046F89"/>
    <w:rsid w:val="00047990"/>
    <w:rsid w:val="00050357"/>
    <w:rsid w:val="000509A8"/>
    <w:rsid w:val="000510EC"/>
    <w:rsid w:val="00051226"/>
    <w:rsid w:val="00052035"/>
    <w:rsid w:val="00052187"/>
    <w:rsid w:val="000546E4"/>
    <w:rsid w:val="00054AD8"/>
    <w:rsid w:val="00054D7E"/>
    <w:rsid w:val="000557F0"/>
    <w:rsid w:val="00055A3D"/>
    <w:rsid w:val="00056048"/>
    <w:rsid w:val="000564BB"/>
    <w:rsid w:val="00056B01"/>
    <w:rsid w:val="00056DC8"/>
    <w:rsid w:val="00056E86"/>
    <w:rsid w:val="00056F94"/>
    <w:rsid w:val="00057D5B"/>
    <w:rsid w:val="00060FB1"/>
    <w:rsid w:val="000613FD"/>
    <w:rsid w:val="000617D3"/>
    <w:rsid w:val="00061A87"/>
    <w:rsid w:val="00063327"/>
    <w:rsid w:val="00064121"/>
    <w:rsid w:val="00064AF3"/>
    <w:rsid w:val="00065622"/>
    <w:rsid w:val="00065626"/>
    <w:rsid w:val="0006615F"/>
    <w:rsid w:val="00066294"/>
    <w:rsid w:val="000675B4"/>
    <w:rsid w:val="00070231"/>
    <w:rsid w:val="0007088F"/>
    <w:rsid w:val="0007129B"/>
    <w:rsid w:val="0007177A"/>
    <w:rsid w:val="00071AB2"/>
    <w:rsid w:val="000726A2"/>
    <w:rsid w:val="00074517"/>
    <w:rsid w:val="00074FCC"/>
    <w:rsid w:val="000766AD"/>
    <w:rsid w:val="00076EAC"/>
    <w:rsid w:val="000770AD"/>
    <w:rsid w:val="00077765"/>
    <w:rsid w:val="00077864"/>
    <w:rsid w:val="00077C69"/>
    <w:rsid w:val="00077F66"/>
    <w:rsid w:val="00077FAF"/>
    <w:rsid w:val="000816EB"/>
    <w:rsid w:val="00081DAC"/>
    <w:rsid w:val="0008275C"/>
    <w:rsid w:val="00083095"/>
    <w:rsid w:val="00083641"/>
    <w:rsid w:val="00083CA0"/>
    <w:rsid w:val="0008426D"/>
    <w:rsid w:val="000846B2"/>
    <w:rsid w:val="0008644B"/>
    <w:rsid w:val="00086CB0"/>
    <w:rsid w:val="000876CB"/>
    <w:rsid w:val="00087BC6"/>
    <w:rsid w:val="00087E79"/>
    <w:rsid w:val="0009066F"/>
    <w:rsid w:val="00090836"/>
    <w:rsid w:val="000912BA"/>
    <w:rsid w:val="00091A35"/>
    <w:rsid w:val="000941D6"/>
    <w:rsid w:val="000945F2"/>
    <w:rsid w:val="00096587"/>
    <w:rsid w:val="00096C6C"/>
    <w:rsid w:val="000A01C4"/>
    <w:rsid w:val="000A0A04"/>
    <w:rsid w:val="000A0A41"/>
    <w:rsid w:val="000A0F83"/>
    <w:rsid w:val="000A2586"/>
    <w:rsid w:val="000A387A"/>
    <w:rsid w:val="000A3CD8"/>
    <w:rsid w:val="000A3FDD"/>
    <w:rsid w:val="000A497F"/>
    <w:rsid w:val="000A5C01"/>
    <w:rsid w:val="000A7976"/>
    <w:rsid w:val="000B1619"/>
    <w:rsid w:val="000B1B5F"/>
    <w:rsid w:val="000B2117"/>
    <w:rsid w:val="000B2A80"/>
    <w:rsid w:val="000B33CA"/>
    <w:rsid w:val="000B494B"/>
    <w:rsid w:val="000B4B81"/>
    <w:rsid w:val="000B4BE2"/>
    <w:rsid w:val="000B53C9"/>
    <w:rsid w:val="000B5C0C"/>
    <w:rsid w:val="000B5D68"/>
    <w:rsid w:val="000B6717"/>
    <w:rsid w:val="000B7341"/>
    <w:rsid w:val="000B7791"/>
    <w:rsid w:val="000B7DD4"/>
    <w:rsid w:val="000C07E7"/>
    <w:rsid w:val="000C1770"/>
    <w:rsid w:val="000C1A07"/>
    <w:rsid w:val="000C1EB3"/>
    <w:rsid w:val="000C27D4"/>
    <w:rsid w:val="000C28B3"/>
    <w:rsid w:val="000C29B6"/>
    <w:rsid w:val="000C30FE"/>
    <w:rsid w:val="000C3200"/>
    <w:rsid w:val="000C3334"/>
    <w:rsid w:val="000C3E16"/>
    <w:rsid w:val="000C509A"/>
    <w:rsid w:val="000C596C"/>
    <w:rsid w:val="000C59C2"/>
    <w:rsid w:val="000C5BAF"/>
    <w:rsid w:val="000C721B"/>
    <w:rsid w:val="000C7792"/>
    <w:rsid w:val="000D190D"/>
    <w:rsid w:val="000D24F3"/>
    <w:rsid w:val="000D2D36"/>
    <w:rsid w:val="000D3592"/>
    <w:rsid w:val="000D4B07"/>
    <w:rsid w:val="000D5612"/>
    <w:rsid w:val="000D5E11"/>
    <w:rsid w:val="000D5F1A"/>
    <w:rsid w:val="000D6E5C"/>
    <w:rsid w:val="000D766C"/>
    <w:rsid w:val="000D7EB0"/>
    <w:rsid w:val="000E07CB"/>
    <w:rsid w:val="000E1172"/>
    <w:rsid w:val="000E16EE"/>
    <w:rsid w:val="000E1D05"/>
    <w:rsid w:val="000E22A0"/>
    <w:rsid w:val="000E2E16"/>
    <w:rsid w:val="000E2E7D"/>
    <w:rsid w:val="000E2FFC"/>
    <w:rsid w:val="000E3656"/>
    <w:rsid w:val="000E3836"/>
    <w:rsid w:val="000E3906"/>
    <w:rsid w:val="000E4D1F"/>
    <w:rsid w:val="000E77CE"/>
    <w:rsid w:val="000E7D4D"/>
    <w:rsid w:val="000F03E6"/>
    <w:rsid w:val="000F0F1E"/>
    <w:rsid w:val="000F22BF"/>
    <w:rsid w:val="000F3E53"/>
    <w:rsid w:val="000F52F1"/>
    <w:rsid w:val="000F5C44"/>
    <w:rsid w:val="000F5E59"/>
    <w:rsid w:val="000F6493"/>
    <w:rsid w:val="000F6CBF"/>
    <w:rsid w:val="000F76B2"/>
    <w:rsid w:val="000F7B7C"/>
    <w:rsid w:val="00102729"/>
    <w:rsid w:val="00102A0A"/>
    <w:rsid w:val="00104558"/>
    <w:rsid w:val="001054A8"/>
    <w:rsid w:val="0010552B"/>
    <w:rsid w:val="00106100"/>
    <w:rsid w:val="001062FF"/>
    <w:rsid w:val="00106308"/>
    <w:rsid w:val="00110480"/>
    <w:rsid w:val="00110FE8"/>
    <w:rsid w:val="0011238B"/>
    <w:rsid w:val="00112DEA"/>
    <w:rsid w:val="00113033"/>
    <w:rsid w:val="001135E1"/>
    <w:rsid w:val="0011397C"/>
    <w:rsid w:val="0011637E"/>
    <w:rsid w:val="00116D80"/>
    <w:rsid w:val="001178EF"/>
    <w:rsid w:val="00117BF7"/>
    <w:rsid w:val="00117C5C"/>
    <w:rsid w:val="00121861"/>
    <w:rsid w:val="00123213"/>
    <w:rsid w:val="001234A0"/>
    <w:rsid w:val="00123E67"/>
    <w:rsid w:val="00124275"/>
    <w:rsid w:val="0012455A"/>
    <w:rsid w:val="00124569"/>
    <w:rsid w:val="00124F2B"/>
    <w:rsid w:val="00125836"/>
    <w:rsid w:val="00125DA2"/>
    <w:rsid w:val="00125DFE"/>
    <w:rsid w:val="00126A2B"/>
    <w:rsid w:val="00130106"/>
    <w:rsid w:val="001305AF"/>
    <w:rsid w:val="001310CF"/>
    <w:rsid w:val="0013128B"/>
    <w:rsid w:val="00131EEB"/>
    <w:rsid w:val="0013209A"/>
    <w:rsid w:val="001321AC"/>
    <w:rsid w:val="00133AAC"/>
    <w:rsid w:val="00133F6B"/>
    <w:rsid w:val="0013482F"/>
    <w:rsid w:val="001352F5"/>
    <w:rsid w:val="001358BE"/>
    <w:rsid w:val="00135B1C"/>
    <w:rsid w:val="00135D87"/>
    <w:rsid w:val="00136713"/>
    <w:rsid w:val="00137933"/>
    <w:rsid w:val="001412B3"/>
    <w:rsid w:val="00141A3D"/>
    <w:rsid w:val="00141DA4"/>
    <w:rsid w:val="00141E26"/>
    <w:rsid w:val="001420AC"/>
    <w:rsid w:val="0014220A"/>
    <w:rsid w:val="00143987"/>
    <w:rsid w:val="00143E4E"/>
    <w:rsid w:val="0014627F"/>
    <w:rsid w:val="0014669B"/>
    <w:rsid w:val="0014709C"/>
    <w:rsid w:val="001474EC"/>
    <w:rsid w:val="0015014F"/>
    <w:rsid w:val="001511A8"/>
    <w:rsid w:val="001514DF"/>
    <w:rsid w:val="001515A3"/>
    <w:rsid w:val="0015242E"/>
    <w:rsid w:val="00152A25"/>
    <w:rsid w:val="00152BFA"/>
    <w:rsid w:val="00152D09"/>
    <w:rsid w:val="0015323D"/>
    <w:rsid w:val="00153474"/>
    <w:rsid w:val="00155DD1"/>
    <w:rsid w:val="0015656F"/>
    <w:rsid w:val="00157814"/>
    <w:rsid w:val="00157AC5"/>
    <w:rsid w:val="00160AEE"/>
    <w:rsid w:val="001611B9"/>
    <w:rsid w:val="0016197A"/>
    <w:rsid w:val="00162216"/>
    <w:rsid w:val="001622DD"/>
    <w:rsid w:val="00162340"/>
    <w:rsid w:val="00162D8C"/>
    <w:rsid w:val="001635BE"/>
    <w:rsid w:val="00164368"/>
    <w:rsid w:val="0016437F"/>
    <w:rsid w:val="00164BD5"/>
    <w:rsid w:val="00165710"/>
    <w:rsid w:val="001657E4"/>
    <w:rsid w:val="001659BA"/>
    <w:rsid w:val="00165F65"/>
    <w:rsid w:val="001660EB"/>
    <w:rsid w:val="00167C68"/>
    <w:rsid w:val="00170BF8"/>
    <w:rsid w:val="00170FC3"/>
    <w:rsid w:val="0017189E"/>
    <w:rsid w:val="00171CC9"/>
    <w:rsid w:val="001728DE"/>
    <w:rsid w:val="00172D38"/>
    <w:rsid w:val="00172D6A"/>
    <w:rsid w:val="00172F64"/>
    <w:rsid w:val="00173821"/>
    <w:rsid w:val="00173A5D"/>
    <w:rsid w:val="00173CEE"/>
    <w:rsid w:val="00173E29"/>
    <w:rsid w:val="00174277"/>
    <w:rsid w:val="001743E0"/>
    <w:rsid w:val="00174EFC"/>
    <w:rsid w:val="0017524D"/>
    <w:rsid w:val="00175A54"/>
    <w:rsid w:val="00175F46"/>
    <w:rsid w:val="00176341"/>
    <w:rsid w:val="00176CA5"/>
    <w:rsid w:val="00176F31"/>
    <w:rsid w:val="00181422"/>
    <w:rsid w:val="00181450"/>
    <w:rsid w:val="00181697"/>
    <w:rsid w:val="001819B0"/>
    <w:rsid w:val="00181B60"/>
    <w:rsid w:val="00181D25"/>
    <w:rsid w:val="00182B02"/>
    <w:rsid w:val="00182BB0"/>
    <w:rsid w:val="0018342B"/>
    <w:rsid w:val="001837F7"/>
    <w:rsid w:val="00183839"/>
    <w:rsid w:val="001843A4"/>
    <w:rsid w:val="00184CCA"/>
    <w:rsid w:val="00184DDF"/>
    <w:rsid w:val="0018503F"/>
    <w:rsid w:val="001854F3"/>
    <w:rsid w:val="001854FC"/>
    <w:rsid w:val="00185801"/>
    <w:rsid w:val="0018608B"/>
    <w:rsid w:val="0018614A"/>
    <w:rsid w:val="001868CB"/>
    <w:rsid w:val="00186970"/>
    <w:rsid w:val="00186DA3"/>
    <w:rsid w:val="00187636"/>
    <w:rsid w:val="00187B3F"/>
    <w:rsid w:val="001916F9"/>
    <w:rsid w:val="00191B43"/>
    <w:rsid w:val="00192116"/>
    <w:rsid w:val="001929D2"/>
    <w:rsid w:val="00193506"/>
    <w:rsid w:val="001945DD"/>
    <w:rsid w:val="00194FA2"/>
    <w:rsid w:val="0019657D"/>
    <w:rsid w:val="001967E0"/>
    <w:rsid w:val="00196C38"/>
    <w:rsid w:val="0019734D"/>
    <w:rsid w:val="00197B19"/>
    <w:rsid w:val="001A2482"/>
    <w:rsid w:val="001A263B"/>
    <w:rsid w:val="001A2952"/>
    <w:rsid w:val="001A2E73"/>
    <w:rsid w:val="001A2EF7"/>
    <w:rsid w:val="001A3122"/>
    <w:rsid w:val="001A3306"/>
    <w:rsid w:val="001A3428"/>
    <w:rsid w:val="001A34EA"/>
    <w:rsid w:val="001A4B78"/>
    <w:rsid w:val="001A5CE4"/>
    <w:rsid w:val="001A68D5"/>
    <w:rsid w:val="001A6B7B"/>
    <w:rsid w:val="001A6DE5"/>
    <w:rsid w:val="001A6EF8"/>
    <w:rsid w:val="001A71F6"/>
    <w:rsid w:val="001A7276"/>
    <w:rsid w:val="001A7B64"/>
    <w:rsid w:val="001B0193"/>
    <w:rsid w:val="001B03A6"/>
    <w:rsid w:val="001B2042"/>
    <w:rsid w:val="001B20C1"/>
    <w:rsid w:val="001B21AC"/>
    <w:rsid w:val="001B2E12"/>
    <w:rsid w:val="001B4088"/>
    <w:rsid w:val="001B4173"/>
    <w:rsid w:val="001B41E6"/>
    <w:rsid w:val="001B543E"/>
    <w:rsid w:val="001B5E56"/>
    <w:rsid w:val="001B6C9B"/>
    <w:rsid w:val="001B6EE2"/>
    <w:rsid w:val="001C0372"/>
    <w:rsid w:val="001C040D"/>
    <w:rsid w:val="001C0919"/>
    <w:rsid w:val="001C0D00"/>
    <w:rsid w:val="001C12A0"/>
    <w:rsid w:val="001C1322"/>
    <w:rsid w:val="001C1364"/>
    <w:rsid w:val="001C2294"/>
    <w:rsid w:val="001C27EC"/>
    <w:rsid w:val="001C3086"/>
    <w:rsid w:val="001C3F9C"/>
    <w:rsid w:val="001C4A57"/>
    <w:rsid w:val="001C4FDF"/>
    <w:rsid w:val="001C520B"/>
    <w:rsid w:val="001C5777"/>
    <w:rsid w:val="001C5E59"/>
    <w:rsid w:val="001C66C4"/>
    <w:rsid w:val="001C711E"/>
    <w:rsid w:val="001C7864"/>
    <w:rsid w:val="001C7BA9"/>
    <w:rsid w:val="001D0098"/>
    <w:rsid w:val="001D00EE"/>
    <w:rsid w:val="001D0795"/>
    <w:rsid w:val="001D08E4"/>
    <w:rsid w:val="001D17B4"/>
    <w:rsid w:val="001D26E1"/>
    <w:rsid w:val="001D2D73"/>
    <w:rsid w:val="001D2F9B"/>
    <w:rsid w:val="001D4206"/>
    <w:rsid w:val="001D4289"/>
    <w:rsid w:val="001D501E"/>
    <w:rsid w:val="001D50A0"/>
    <w:rsid w:val="001D523E"/>
    <w:rsid w:val="001D6DA4"/>
    <w:rsid w:val="001D7120"/>
    <w:rsid w:val="001D7126"/>
    <w:rsid w:val="001D7202"/>
    <w:rsid w:val="001D799D"/>
    <w:rsid w:val="001D79FA"/>
    <w:rsid w:val="001E1055"/>
    <w:rsid w:val="001E383A"/>
    <w:rsid w:val="001E47D7"/>
    <w:rsid w:val="001E4B3F"/>
    <w:rsid w:val="001E4B42"/>
    <w:rsid w:val="001E5B5D"/>
    <w:rsid w:val="001E6DA3"/>
    <w:rsid w:val="001E7BBF"/>
    <w:rsid w:val="001E7BC3"/>
    <w:rsid w:val="001F0428"/>
    <w:rsid w:val="001F1090"/>
    <w:rsid w:val="001F17B7"/>
    <w:rsid w:val="001F183C"/>
    <w:rsid w:val="001F1CF9"/>
    <w:rsid w:val="001F216C"/>
    <w:rsid w:val="001F2619"/>
    <w:rsid w:val="001F261C"/>
    <w:rsid w:val="001F3379"/>
    <w:rsid w:val="001F3C7A"/>
    <w:rsid w:val="001F3FD4"/>
    <w:rsid w:val="001F41D3"/>
    <w:rsid w:val="001F44E5"/>
    <w:rsid w:val="001F5D5D"/>
    <w:rsid w:val="001F708B"/>
    <w:rsid w:val="001F7226"/>
    <w:rsid w:val="001F7322"/>
    <w:rsid w:val="001F743C"/>
    <w:rsid w:val="00201011"/>
    <w:rsid w:val="0020120B"/>
    <w:rsid w:val="0020244F"/>
    <w:rsid w:val="00203AAB"/>
    <w:rsid w:val="00204CB4"/>
    <w:rsid w:val="0020582A"/>
    <w:rsid w:val="00205CA2"/>
    <w:rsid w:val="002069A1"/>
    <w:rsid w:val="0020709F"/>
    <w:rsid w:val="0020744E"/>
    <w:rsid w:val="00207AD7"/>
    <w:rsid w:val="00207B01"/>
    <w:rsid w:val="00210108"/>
    <w:rsid w:val="002110F1"/>
    <w:rsid w:val="002113AD"/>
    <w:rsid w:val="00211625"/>
    <w:rsid w:val="00211AFC"/>
    <w:rsid w:val="00211FB8"/>
    <w:rsid w:val="00212BC1"/>
    <w:rsid w:val="0021494E"/>
    <w:rsid w:val="0021517E"/>
    <w:rsid w:val="00215858"/>
    <w:rsid w:val="00215884"/>
    <w:rsid w:val="00216684"/>
    <w:rsid w:val="00216ACC"/>
    <w:rsid w:val="00217322"/>
    <w:rsid w:val="002212F0"/>
    <w:rsid w:val="00221718"/>
    <w:rsid w:val="002218F2"/>
    <w:rsid w:val="00222606"/>
    <w:rsid w:val="00222719"/>
    <w:rsid w:val="00222769"/>
    <w:rsid w:val="002227A2"/>
    <w:rsid w:val="00222C1B"/>
    <w:rsid w:val="002234A0"/>
    <w:rsid w:val="00223D32"/>
    <w:rsid w:val="00224483"/>
    <w:rsid w:val="00224993"/>
    <w:rsid w:val="00225714"/>
    <w:rsid w:val="0022684E"/>
    <w:rsid w:val="00227126"/>
    <w:rsid w:val="0022733D"/>
    <w:rsid w:val="00227372"/>
    <w:rsid w:val="002305FF"/>
    <w:rsid w:val="00230F5B"/>
    <w:rsid w:val="00231710"/>
    <w:rsid w:val="002327D0"/>
    <w:rsid w:val="002329AA"/>
    <w:rsid w:val="00233995"/>
    <w:rsid w:val="00234379"/>
    <w:rsid w:val="002347FB"/>
    <w:rsid w:val="00235203"/>
    <w:rsid w:val="002353FD"/>
    <w:rsid w:val="00235EBA"/>
    <w:rsid w:val="002361D9"/>
    <w:rsid w:val="002364FF"/>
    <w:rsid w:val="0023679F"/>
    <w:rsid w:val="00237752"/>
    <w:rsid w:val="0023775B"/>
    <w:rsid w:val="00237F21"/>
    <w:rsid w:val="0024153F"/>
    <w:rsid w:val="00242F73"/>
    <w:rsid w:val="002430F9"/>
    <w:rsid w:val="00243185"/>
    <w:rsid w:val="00243560"/>
    <w:rsid w:val="00243AF1"/>
    <w:rsid w:val="00244AF8"/>
    <w:rsid w:val="00244BEC"/>
    <w:rsid w:val="00245374"/>
    <w:rsid w:val="0024539B"/>
    <w:rsid w:val="00246E6A"/>
    <w:rsid w:val="00247521"/>
    <w:rsid w:val="00247835"/>
    <w:rsid w:val="002502BB"/>
    <w:rsid w:val="002506A1"/>
    <w:rsid w:val="00250C28"/>
    <w:rsid w:val="0025122B"/>
    <w:rsid w:val="002521E4"/>
    <w:rsid w:val="002529CD"/>
    <w:rsid w:val="00252A15"/>
    <w:rsid w:val="002534DC"/>
    <w:rsid w:val="002535FF"/>
    <w:rsid w:val="002536AF"/>
    <w:rsid w:val="00253BB7"/>
    <w:rsid w:val="0025473D"/>
    <w:rsid w:val="00254784"/>
    <w:rsid w:val="002547F1"/>
    <w:rsid w:val="00254A64"/>
    <w:rsid w:val="00254AB4"/>
    <w:rsid w:val="00254BAC"/>
    <w:rsid w:val="00254C67"/>
    <w:rsid w:val="00257B77"/>
    <w:rsid w:val="00257DA9"/>
    <w:rsid w:val="00261030"/>
    <w:rsid w:val="0026256B"/>
    <w:rsid w:val="00263008"/>
    <w:rsid w:val="0026311C"/>
    <w:rsid w:val="0026320F"/>
    <w:rsid w:val="002635B0"/>
    <w:rsid w:val="002638DB"/>
    <w:rsid w:val="00263B99"/>
    <w:rsid w:val="0026559A"/>
    <w:rsid w:val="002659F2"/>
    <w:rsid w:val="00265A13"/>
    <w:rsid w:val="00265F60"/>
    <w:rsid w:val="002663E7"/>
    <w:rsid w:val="002677FC"/>
    <w:rsid w:val="00267A1C"/>
    <w:rsid w:val="00270286"/>
    <w:rsid w:val="00272284"/>
    <w:rsid w:val="00272827"/>
    <w:rsid w:val="00272DD0"/>
    <w:rsid w:val="002739A0"/>
    <w:rsid w:val="00273BF6"/>
    <w:rsid w:val="002741E9"/>
    <w:rsid w:val="0027508F"/>
    <w:rsid w:val="00275AC4"/>
    <w:rsid w:val="002761E0"/>
    <w:rsid w:val="002765CF"/>
    <w:rsid w:val="002779BA"/>
    <w:rsid w:val="00277C3C"/>
    <w:rsid w:val="002804F4"/>
    <w:rsid w:val="002807FE"/>
    <w:rsid w:val="00281E4A"/>
    <w:rsid w:val="00281E7F"/>
    <w:rsid w:val="002823A4"/>
    <w:rsid w:val="00282E77"/>
    <w:rsid w:val="0028352F"/>
    <w:rsid w:val="002835E1"/>
    <w:rsid w:val="002837B8"/>
    <w:rsid w:val="00285089"/>
    <w:rsid w:val="00285374"/>
    <w:rsid w:val="002856F1"/>
    <w:rsid w:val="00285B3B"/>
    <w:rsid w:val="00286910"/>
    <w:rsid w:val="002878A8"/>
    <w:rsid w:val="00287D44"/>
    <w:rsid w:val="002909BC"/>
    <w:rsid w:val="00291376"/>
    <w:rsid w:val="0029226B"/>
    <w:rsid w:val="00292750"/>
    <w:rsid w:val="00292947"/>
    <w:rsid w:val="00293373"/>
    <w:rsid w:val="002937BE"/>
    <w:rsid w:val="002951E1"/>
    <w:rsid w:val="0029533D"/>
    <w:rsid w:val="00295D6D"/>
    <w:rsid w:val="002963A6"/>
    <w:rsid w:val="00296B76"/>
    <w:rsid w:val="00297B92"/>
    <w:rsid w:val="00297E19"/>
    <w:rsid w:val="002A07FF"/>
    <w:rsid w:val="002A0FC3"/>
    <w:rsid w:val="002A13D8"/>
    <w:rsid w:val="002A1D3C"/>
    <w:rsid w:val="002A3898"/>
    <w:rsid w:val="002A4315"/>
    <w:rsid w:val="002A51E1"/>
    <w:rsid w:val="002A5301"/>
    <w:rsid w:val="002A65DA"/>
    <w:rsid w:val="002A74CF"/>
    <w:rsid w:val="002B0267"/>
    <w:rsid w:val="002B10A6"/>
    <w:rsid w:val="002B2BC5"/>
    <w:rsid w:val="002B2C36"/>
    <w:rsid w:val="002B37E3"/>
    <w:rsid w:val="002B4DA2"/>
    <w:rsid w:val="002B5CF2"/>
    <w:rsid w:val="002B65D6"/>
    <w:rsid w:val="002B66A7"/>
    <w:rsid w:val="002B6E8B"/>
    <w:rsid w:val="002B768D"/>
    <w:rsid w:val="002B7A93"/>
    <w:rsid w:val="002B7B2C"/>
    <w:rsid w:val="002B7E3F"/>
    <w:rsid w:val="002C00F0"/>
    <w:rsid w:val="002C01B1"/>
    <w:rsid w:val="002C0E7C"/>
    <w:rsid w:val="002C0EF0"/>
    <w:rsid w:val="002C0FEA"/>
    <w:rsid w:val="002C1D99"/>
    <w:rsid w:val="002C2A7F"/>
    <w:rsid w:val="002C2AA9"/>
    <w:rsid w:val="002C2B1E"/>
    <w:rsid w:val="002C31FB"/>
    <w:rsid w:val="002C4F35"/>
    <w:rsid w:val="002C5234"/>
    <w:rsid w:val="002C5956"/>
    <w:rsid w:val="002C5EF9"/>
    <w:rsid w:val="002C6C35"/>
    <w:rsid w:val="002D0266"/>
    <w:rsid w:val="002D0A70"/>
    <w:rsid w:val="002D11FE"/>
    <w:rsid w:val="002D14AA"/>
    <w:rsid w:val="002D1651"/>
    <w:rsid w:val="002D1C15"/>
    <w:rsid w:val="002D3091"/>
    <w:rsid w:val="002D34B3"/>
    <w:rsid w:val="002D4263"/>
    <w:rsid w:val="002D4657"/>
    <w:rsid w:val="002D4757"/>
    <w:rsid w:val="002D4CB6"/>
    <w:rsid w:val="002D4D0A"/>
    <w:rsid w:val="002D5305"/>
    <w:rsid w:val="002D5563"/>
    <w:rsid w:val="002D601D"/>
    <w:rsid w:val="002D69EE"/>
    <w:rsid w:val="002D7543"/>
    <w:rsid w:val="002D7D14"/>
    <w:rsid w:val="002E08A2"/>
    <w:rsid w:val="002E0904"/>
    <w:rsid w:val="002E0C8C"/>
    <w:rsid w:val="002E0F62"/>
    <w:rsid w:val="002E1645"/>
    <w:rsid w:val="002E1747"/>
    <w:rsid w:val="002E174E"/>
    <w:rsid w:val="002E1BC9"/>
    <w:rsid w:val="002E1CC2"/>
    <w:rsid w:val="002E2D83"/>
    <w:rsid w:val="002E3CA2"/>
    <w:rsid w:val="002E5A91"/>
    <w:rsid w:val="002E6A87"/>
    <w:rsid w:val="002E6D25"/>
    <w:rsid w:val="002E7DD7"/>
    <w:rsid w:val="002F0A9A"/>
    <w:rsid w:val="002F0C9C"/>
    <w:rsid w:val="002F125E"/>
    <w:rsid w:val="002F12B2"/>
    <w:rsid w:val="002F1CCB"/>
    <w:rsid w:val="002F37D5"/>
    <w:rsid w:val="002F4187"/>
    <w:rsid w:val="002F4337"/>
    <w:rsid w:val="002F46C6"/>
    <w:rsid w:val="002F4E75"/>
    <w:rsid w:val="002F5F0F"/>
    <w:rsid w:val="002F62A3"/>
    <w:rsid w:val="00300E6D"/>
    <w:rsid w:val="003012C8"/>
    <w:rsid w:val="00302055"/>
    <w:rsid w:val="00302955"/>
    <w:rsid w:val="00302C4D"/>
    <w:rsid w:val="003036FD"/>
    <w:rsid w:val="00303BD2"/>
    <w:rsid w:val="00303C59"/>
    <w:rsid w:val="00304CC5"/>
    <w:rsid w:val="00304D01"/>
    <w:rsid w:val="00304D6F"/>
    <w:rsid w:val="00306467"/>
    <w:rsid w:val="003073BF"/>
    <w:rsid w:val="003074F4"/>
    <w:rsid w:val="00307990"/>
    <w:rsid w:val="00307D1F"/>
    <w:rsid w:val="00307F12"/>
    <w:rsid w:val="0031023A"/>
    <w:rsid w:val="00310C09"/>
    <w:rsid w:val="0031116B"/>
    <w:rsid w:val="00311D6A"/>
    <w:rsid w:val="00312165"/>
    <w:rsid w:val="00312D44"/>
    <w:rsid w:val="00313831"/>
    <w:rsid w:val="00313D22"/>
    <w:rsid w:val="00314340"/>
    <w:rsid w:val="003148A4"/>
    <w:rsid w:val="00315039"/>
    <w:rsid w:val="00315053"/>
    <w:rsid w:val="0031700A"/>
    <w:rsid w:val="0031720C"/>
    <w:rsid w:val="003206D5"/>
    <w:rsid w:val="003214B7"/>
    <w:rsid w:val="00322145"/>
    <w:rsid w:val="00322215"/>
    <w:rsid w:val="00322470"/>
    <w:rsid w:val="00322624"/>
    <w:rsid w:val="003236DB"/>
    <w:rsid w:val="00323E85"/>
    <w:rsid w:val="00324461"/>
    <w:rsid w:val="00326F26"/>
    <w:rsid w:val="00327F40"/>
    <w:rsid w:val="0033119C"/>
    <w:rsid w:val="00331721"/>
    <w:rsid w:val="003317AA"/>
    <w:rsid w:val="00331E6E"/>
    <w:rsid w:val="0033339D"/>
    <w:rsid w:val="00333E87"/>
    <w:rsid w:val="00334479"/>
    <w:rsid w:val="003354C9"/>
    <w:rsid w:val="003361E3"/>
    <w:rsid w:val="003371C1"/>
    <w:rsid w:val="003372D4"/>
    <w:rsid w:val="00337FBC"/>
    <w:rsid w:val="00340418"/>
    <w:rsid w:val="00340E0C"/>
    <w:rsid w:val="003411B4"/>
    <w:rsid w:val="00342002"/>
    <w:rsid w:val="00342220"/>
    <w:rsid w:val="003430BC"/>
    <w:rsid w:val="003431C2"/>
    <w:rsid w:val="00343284"/>
    <w:rsid w:val="00343640"/>
    <w:rsid w:val="00343815"/>
    <w:rsid w:val="00343C82"/>
    <w:rsid w:val="003451DE"/>
    <w:rsid w:val="003453F1"/>
    <w:rsid w:val="00345964"/>
    <w:rsid w:val="003468ED"/>
    <w:rsid w:val="0035057D"/>
    <w:rsid w:val="00350A2D"/>
    <w:rsid w:val="00351E59"/>
    <w:rsid w:val="00352D19"/>
    <w:rsid w:val="00353461"/>
    <w:rsid w:val="00354A7F"/>
    <w:rsid w:val="00355752"/>
    <w:rsid w:val="00355C7E"/>
    <w:rsid w:val="00355F9F"/>
    <w:rsid w:val="003563F4"/>
    <w:rsid w:val="003569B8"/>
    <w:rsid w:val="00357508"/>
    <w:rsid w:val="003605F2"/>
    <w:rsid w:val="00361027"/>
    <w:rsid w:val="003619CE"/>
    <w:rsid w:val="00361E3B"/>
    <w:rsid w:val="0036202A"/>
    <w:rsid w:val="0036223C"/>
    <w:rsid w:val="00362DE0"/>
    <w:rsid w:val="00363343"/>
    <w:rsid w:val="003634BD"/>
    <w:rsid w:val="00364098"/>
    <w:rsid w:val="00364211"/>
    <w:rsid w:val="00364836"/>
    <w:rsid w:val="003648B6"/>
    <w:rsid w:val="00366A1A"/>
    <w:rsid w:val="00367609"/>
    <w:rsid w:val="00367C97"/>
    <w:rsid w:val="00370043"/>
    <w:rsid w:val="0037007E"/>
    <w:rsid w:val="00370D87"/>
    <w:rsid w:val="00370E83"/>
    <w:rsid w:val="00372DB9"/>
    <w:rsid w:val="0037373D"/>
    <w:rsid w:val="00373AB6"/>
    <w:rsid w:val="00373C35"/>
    <w:rsid w:val="00373F34"/>
    <w:rsid w:val="00374082"/>
    <w:rsid w:val="0037468C"/>
    <w:rsid w:val="00374F02"/>
    <w:rsid w:val="0037594D"/>
    <w:rsid w:val="00376B09"/>
    <w:rsid w:val="00376F95"/>
    <w:rsid w:val="003777DC"/>
    <w:rsid w:val="003779B8"/>
    <w:rsid w:val="00377C39"/>
    <w:rsid w:val="003806D3"/>
    <w:rsid w:val="00380C50"/>
    <w:rsid w:val="00381439"/>
    <w:rsid w:val="00381E97"/>
    <w:rsid w:val="00381ED9"/>
    <w:rsid w:val="0038229E"/>
    <w:rsid w:val="00384555"/>
    <w:rsid w:val="003848F8"/>
    <w:rsid w:val="00384C6D"/>
    <w:rsid w:val="003852D9"/>
    <w:rsid w:val="0038624A"/>
    <w:rsid w:val="00386529"/>
    <w:rsid w:val="00386DD4"/>
    <w:rsid w:val="00387FEE"/>
    <w:rsid w:val="00390BF4"/>
    <w:rsid w:val="003913E8"/>
    <w:rsid w:val="003914BE"/>
    <w:rsid w:val="003914CA"/>
    <w:rsid w:val="003927CB"/>
    <w:rsid w:val="003927F9"/>
    <w:rsid w:val="00392FA6"/>
    <w:rsid w:val="003933C7"/>
    <w:rsid w:val="00394575"/>
    <w:rsid w:val="00394ACB"/>
    <w:rsid w:val="00395DF9"/>
    <w:rsid w:val="00396096"/>
    <w:rsid w:val="00396692"/>
    <w:rsid w:val="00396C65"/>
    <w:rsid w:val="003A0A88"/>
    <w:rsid w:val="003A238A"/>
    <w:rsid w:val="003A249A"/>
    <w:rsid w:val="003A24CE"/>
    <w:rsid w:val="003A2CB3"/>
    <w:rsid w:val="003A435E"/>
    <w:rsid w:val="003A4466"/>
    <w:rsid w:val="003A4734"/>
    <w:rsid w:val="003A64A9"/>
    <w:rsid w:val="003A6B0D"/>
    <w:rsid w:val="003A728C"/>
    <w:rsid w:val="003A7FC2"/>
    <w:rsid w:val="003B10C4"/>
    <w:rsid w:val="003B1E93"/>
    <w:rsid w:val="003B2345"/>
    <w:rsid w:val="003B26FD"/>
    <w:rsid w:val="003B2789"/>
    <w:rsid w:val="003B3E34"/>
    <w:rsid w:val="003B430C"/>
    <w:rsid w:val="003B4547"/>
    <w:rsid w:val="003B58C2"/>
    <w:rsid w:val="003B5C8A"/>
    <w:rsid w:val="003B5C90"/>
    <w:rsid w:val="003B7092"/>
    <w:rsid w:val="003B7B18"/>
    <w:rsid w:val="003C1064"/>
    <w:rsid w:val="003C109F"/>
    <w:rsid w:val="003C1669"/>
    <w:rsid w:val="003C1F05"/>
    <w:rsid w:val="003C21AE"/>
    <w:rsid w:val="003C221A"/>
    <w:rsid w:val="003C22E8"/>
    <w:rsid w:val="003C23B0"/>
    <w:rsid w:val="003C5618"/>
    <w:rsid w:val="003C5E1D"/>
    <w:rsid w:val="003C6DB3"/>
    <w:rsid w:val="003C6EAD"/>
    <w:rsid w:val="003C72D1"/>
    <w:rsid w:val="003C7532"/>
    <w:rsid w:val="003D1A6C"/>
    <w:rsid w:val="003D1B33"/>
    <w:rsid w:val="003D26B5"/>
    <w:rsid w:val="003D273C"/>
    <w:rsid w:val="003D29C1"/>
    <w:rsid w:val="003D2BB6"/>
    <w:rsid w:val="003D2F2D"/>
    <w:rsid w:val="003D313D"/>
    <w:rsid w:val="003D4367"/>
    <w:rsid w:val="003D52A8"/>
    <w:rsid w:val="003D5CA9"/>
    <w:rsid w:val="003D5DC9"/>
    <w:rsid w:val="003D5F48"/>
    <w:rsid w:val="003D6A63"/>
    <w:rsid w:val="003D7A7A"/>
    <w:rsid w:val="003D7D66"/>
    <w:rsid w:val="003E07A9"/>
    <w:rsid w:val="003E1590"/>
    <w:rsid w:val="003E1D1E"/>
    <w:rsid w:val="003E1D20"/>
    <w:rsid w:val="003E1E8E"/>
    <w:rsid w:val="003E21FC"/>
    <w:rsid w:val="003E2574"/>
    <w:rsid w:val="003E2CA0"/>
    <w:rsid w:val="003E36D1"/>
    <w:rsid w:val="003E3731"/>
    <w:rsid w:val="003E3BE0"/>
    <w:rsid w:val="003E5461"/>
    <w:rsid w:val="003E5954"/>
    <w:rsid w:val="003E5F37"/>
    <w:rsid w:val="003E649C"/>
    <w:rsid w:val="003E6E5E"/>
    <w:rsid w:val="003F04D7"/>
    <w:rsid w:val="003F0AEF"/>
    <w:rsid w:val="003F2594"/>
    <w:rsid w:val="003F25DC"/>
    <w:rsid w:val="003F2D13"/>
    <w:rsid w:val="003F2EB2"/>
    <w:rsid w:val="003F2FB9"/>
    <w:rsid w:val="003F2FDF"/>
    <w:rsid w:val="003F370D"/>
    <w:rsid w:val="003F3D6B"/>
    <w:rsid w:val="003F4306"/>
    <w:rsid w:val="003F4AF6"/>
    <w:rsid w:val="003F4DE2"/>
    <w:rsid w:val="003F505D"/>
    <w:rsid w:val="003F50FC"/>
    <w:rsid w:val="003F6A89"/>
    <w:rsid w:val="003F6C5B"/>
    <w:rsid w:val="003F7510"/>
    <w:rsid w:val="003F7600"/>
    <w:rsid w:val="003F79C5"/>
    <w:rsid w:val="00400C77"/>
    <w:rsid w:val="00402D1D"/>
    <w:rsid w:val="00403024"/>
    <w:rsid w:val="00405901"/>
    <w:rsid w:val="00406392"/>
    <w:rsid w:val="00406C01"/>
    <w:rsid w:val="0040787F"/>
    <w:rsid w:val="0041058F"/>
    <w:rsid w:val="0041070C"/>
    <w:rsid w:val="0041188A"/>
    <w:rsid w:val="0041219E"/>
    <w:rsid w:val="00412704"/>
    <w:rsid w:val="00412AAE"/>
    <w:rsid w:val="00412F00"/>
    <w:rsid w:val="0041398D"/>
    <w:rsid w:val="00413993"/>
    <w:rsid w:val="00413C17"/>
    <w:rsid w:val="00414C9A"/>
    <w:rsid w:val="00414E3D"/>
    <w:rsid w:val="00414F6B"/>
    <w:rsid w:val="00415189"/>
    <w:rsid w:val="0041524D"/>
    <w:rsid w:val="00415957"/>
    <w:rsid w:val="00416BE2"/>
    <w:rsid w:val="00417ED4"/>
    <w:rsid w:val="00420F3A"/>
    <w:rsid w:val="0042278D"/>
    <w:rsid w:val="00422BF8"/>
    <w:rsid w:val="004234FB"/>
    <w:rsid w:val="004239FB"/>
    <w:rsid w:val="00423A70"/>
    <w:rsid w:val="00423C4E"/>
    <w:rsid w:val="00424F58"/>
    <w:rsid w:val="0042503D"/>
    <w:rsid w:val="0042564D"/>
    <w:rsid w:val="00425CB8"/>
    <w:rsid w:val="0042622A"/>
    <w:rsid w:val="0042640A"/>
    <w:rsid w:val="00426536"/>
    <w:rsid w:val="00427636"/>
    <w:rsid w:val="00427669"/>
    <w:rsid w:val="004278C1"/>
    <w:rsid w:val="00427E8A"/>
    <w:rsid w:val="00427F4F"/>
    <w:rsid w:val="0043067D"/>
    <w:rsid w:val="00430868"/>
    <w:rsid w:val="00431051"/>
    <w:rsid w:val="00431E07"/>
    <w:rsid w:val="00431F15"/>
    <w:rsid w:val="00432954"/>
    <w:rsid w:val="004339E5"/>
    <w:rsid w:val="004341F7"/>
    <w:rsid w:val="00434287"/>
    <w:rsid w:val="00435142"/>
    <w:rsid w:val="00435B9F"/>
    <w:rsid w:val="0043630A"/>
    <w:rsid w:val="004364F1"/>
    <w:rsid w:val="00436A31"/>
    <w:rsid w:val="004375C6"/>
    <w:rsid w:val="00440340"/>
    <w:rsid w:val="004410E9"/>
    <w:rsid w:val="00441703"/>
    <w:rsid w:val="00441DDA"/>
    <w:rsid w:val="00441FBA"/>
    <w:rsid w:val="00442E01"/>
    <w:rsid w:val="00443374"/>
    <w:rsid w:val="00445448"/>
    <w:rsid w:val="00446870"/>
    <w:rsid w:val="00446C56"/>
    <w:rsid w:val="00446CE9"/>
    <w:rsid w:val="00450C96"/>
    <w:rsid w:val="00451782"/>
    <w:rsid w:val="00451850"/>
    <w:rsid w:val="00452121"/>
    <w:rsid w:val="004526A4"/>
    <w:rsid w:val="00452E92"/>
    <w:rsid w:val="0045336C"/>
    <w:rsid w:val="0045385F"/>
    <w:rsid w:val="00453AB9"/>
    <w:rsid w:val="00456370"/>
    <w:rsid w:val="00457097"/>
    <w:rsid w:val="00457244"/>
    <w:rsid w:val="00457759"/>
    <w:rsid w:val="0046045F"/>
    <w:rsid w:val="00461101"/>
    <w:rsid w:val="004622CB"/>
    <w:rsid w:val="004636DA"/>
    <w:rsid w:val="00463CEB"/>
    <w:rsid w:val="00464178"/>
    <w:rsid w:val="004644D4"/>
    <w:rsid w:val="00464A94"/>
    <w:rsid w:val="00464DC3"/>
    <w:rsid w:val="00464E89"/>
    <w:rsid w:val="0046641E"/>
    <w:rsid w:val="00467873"/>
    <w:rsid w:val="0047014A"/>
    <w:rsid w:val="00470570"/>
    <w:rsid w:val="00470C7E"/>
    <w:rsid w:val="00470CD8"/>
    <w:rsid w:val="00471197"/>
    <w:rsid w:val="004713E2"/>
    <w:rsid w:val="00471B5B"/>
    <w:rsid w:val="00472DBD"/>
    <w:rsid w:val="00472E0F"/>
    <w:rsid w:val="004730F6"/>
    <w:rsid w:val="00473A1E"/>
    <w:rsid w:val="00473AB1"/>
    <w:rsid w:val="00473CC3"/>
    <w:rsid w:val="004749A2"/>
    <w:rsid w:val="0047563C"/>
    <w:rsid w:val="00475BB1"/>
    <w:rsid w:val="00476259"/>
    <w:rsid w:val="00480924"/>
    <w:rsid w:val="00481546"/>
    <w:rsid w:val="004818CC"/>
    <w:rsid w:val="004819A2"/>
    <w:rsid w:val="00482425"/>
    <w:rsid w:val="00482AF9"/>
    <w:rsid w:val="00483016"/>
    <w:rsid w:val="004836A3"/>
    <w:rsid w:val="00483CA2"/>
    <w:rsid w:val="00484E4A"/>
    <w:rsid w:val="00485283"/>
    <w:rsid w:val="00486DBE"/>
    <w:rsid w:val="004874D1"/>
    <w:rsid w:val="004879D6"/>
    <w:rsid w:val="00490828"/>
    <w:rsid w:val="00490F5A"/>
    <w:rsid w:val="00490FB3"/>
    <w:rsid w:val="004916A6"/>
    <w:rsid w:val="004917C1"/>
    <w:rsid w:val="00491DA3"/>
    <w:rsid w:val="004927F7"/>
    <w:rsid w:val="00492C5A"/>
    <w:rsid w:val="00493C1D"/>
    <w:rsid w:val="00494293"/>
    <w:rsid w:val="00494355"/>
    <w:rsid w:val="00494D49"/>
    <w:rsid w:val="00495173"/>
    <w:rsid w:val="004954A5"/>
    <w:rsid w:val="004966B6"/>
    <w:rsid w:val="00497E63"/>
    <w:rsid w:val="004A06AD"/>
    <w:rsid w:val="004A09A8"/>
    <w:rsid w:val="004A0BDA"/>
    <w:rsid w:val="004A2126"/>
    <w:rsid w:val="004A2FF5"/>
    <w:rsid w:val="004A35EE"/>
    <w:rsid w:val="004A3856"/>
    <w:rsid w:val="004A49E7"/>
    <w:rsid w:val="004A509D"/>
    <w:rsid w:val="004A51E1"/>
    <w:rsid w:val="004A5AF5"/>
    <w:rsid w:val="004A5D2C"/>
    <w:rsid w:val="004A68C6"/>
    <w:rsid w:val="004A6A5A"/>
    <w:rsid w:val="004A7C61"/>
    <w:rsid w:val="004A7D67"/>
    <w:rsid w:val="004B03C1"/>
    <w:rsid w:val="004B13D7"/>
    <w:rsid w:val="004B313D"/>
    <w:rsid w:val="004B3B24"/>
    <w:rsid w:val="004B3D1A"/>
    <w:rsid w:val="004B4832"/>
    <w:rsid w:val="004B5279"/>
    <w:rsid w:val="004B56DC"/>
    <w:rsid w:val="004B61EC"/>
    <w:rsid w:val="004B6A92"/>
    <w:rsid w:val="004B73C7"/>
    <w:rsid w:val="004B7928"/>
    <w:rsid w:val="004B7CD9"/>
    <w:rsid w:val="004C0059"/>
    <w:rsid w:val="004C1B89"/>
    <w:rsid w:val="004C22AA"/>
    <w:rsid w:val="004C2946"/>
    <w:rsid w:val="004C2BE9"/>
    <w:rsid w:val="004C380A"/>
    <w:rsid w:val="004C3A00"/>
    <w:rsid w:val="004C3FAC"/>
    <w:rsid w:val="004C427B"/>
    <w:rsid w:val="004C47DC"/>
    <w:rsid w:val="004C4840"/>
    <w:rsid w:val="004C4887"/>
    <w:rsid w:val="004C59CB"/>
    <w:rsid w:val="004C5A71"/>
    <w:rsid w:val="004C6878"/>
    <w:rsid w:val="004C6A78"/>
    <w:rsid w:val="004C7A29"/>
    <w:rsid w:val="004D0179"/>
    <w:rsid w:val="004D0EF2"/>
    <w:rsid w:val="004D0FD2"/>
    <w:rsid w:val="004D27CA"/>
    <w:rsid w:val="004D29B1"/>
    <w:rsid w:val="004D3210"/>
    <w:rsid w:val="004D3217"/>
    <w:rsid w:val="004D3248"/>
    <w:rsid w:val="004D362D"/>
    <w:rsid w:val="004D4CFE"/>
    <w:rsid w:val="004D5661"/>
    <w:rsid w:val="004D5876"/>
    <w:rsid w:val="004D5EEF"/>
    <w:rsid w:val="004D637F"/>
    <w:rsid w:val="004D67B3"/>
    <w:rsid w:val="004D7F55"/>
    <w:rsid w:val="004E01A1"/>
    <w:rsid w:val="004E0C8E"/>
    <w:rsid w:val="004E1662"/>
    <w:rsid w:val="004E24AC"/>
    <w:rsid w:val="004E2983"/>
    <w:rsid w:val="004E2DE0"/>
    <w:rsid w:val="004E4EE5"/>
    <w:rsid w:val="004E66A2"/>
    <w:rsid w:val="004E6D19"/>
    <w:rsid w:val="004E7592"/>
    <w:rsid w:val="004E75A9"/>
    <w:rsid w:val="004E7D78"/>
    <w:rsid w:val="004F03ED"/>
    <w:rsid w:val="004F0416"/>
    <w:rsid w:val="004F0BA4"/>
    <w:rsid w:val="004F1A80"/>
    <w:rsid w:val="004F1A98"/>
    <w:rsid w:val="004F1CE0"/>
    <w:rsid w:val="004F40DF"/>
    <w:rsid w:val="004F4478"/>
    <w:rsid w:val="004F4C0A"/>
    <w:rsid w:val="004F4D2E"/>
    <w:rsid w:val="004F5EE7"/>
    <w:rsid w:val="004F5F21"/>
    <w:rsid w:val="004F607A"/>
    <w:rsid w:val="004F63DF"/>
    <w:rsid w:val="004F64AE"/>
    <w:rsid w:val="004F6C06"/>
    <w:rsid w:val="004F6C6B"/>
    <w:rsid w:val="004F7612"/>
    <w:rsid w:val="004F766B"/>
    <w:rsid w:val="004F7871"/>
    <w:rsid w:val="004F7EBD"/>
    <w:rsid w:val="005009E2"/>
    <w:rsid w:val="00500A26"/>
    <w:rsid w:val="00500B26"/>
    <w:rsid w:val="00501195"/>
    <w:rsid w:val="005018B1"/>
    <w:rsid w:val="00501C0E"/>
    <w:rsid w:val="00502379"/>
    <w:rsid w:val="005027CE"/>
    <w:rsid w:val="00505225"/>
    <w:rsid w:val="00505FA4"/>
    <w:rsid w:val="00507499"/>
    <w:rsid w:val="0051108B"/>
    <w:rsid w:val="00511A26"/>
    <w:rsid w:val="005131E8"/>
    <w:rsid w:val="00514972"/>
    <w:rsid w:val="00515537"/>
    <w:rsid w:val="00515B04"/>
    <w:rsid w:val="00515CDD"/>
    <w:rsid w:val="005160EB"/>
    <w:rsid w:val="005172FF"/>
    <w:rsid w:val="00517EAD"/>
    <w:rsid w:val="00517FF6"/>
    <w:rsid w:val="00520CD4"/>
    <w:rsid w:val="005217C7"/>
    <w:rsid w:val="00521F1C"/>
    <w:rsid w:val="00522ECD"/>
    <w:rsid w:val="00522F1F"/>
    <w:rsid w:val="00524515"/>
    <w:rsid w:val="00524BE9"/>
    <w:rsid w:val="00525023"/>
    <w:rsid w:val="0052699B"/>
    <w:rsid w:val="00527101"/>
    <w:rsid w:val="005272DA"/>
    <w:rsid w:val="0052745D"/>
    <w:rsid w:val="00527F8E"/>
    <w:rsid w:val="00530680"/>
    <w:rsid w:val="00530800"/>
    <w:rsid w:val="0053088E"/>
    <w:rsid w:val="005309E2"/>
    <w:rsid w:val="005310D8"/>
    <w:rsid w:val="00531D6D"/>
    <w:rsid w:val="00531D8A"/>
    <w:rsid w:val="00532CD0"/>
    <w:rsid w:val="00533516"/>
    <w:rsid w:val="00533BA2"/>
    <w:rsid w:val="00533E41"/>
    <w:rsid w:val="005340A2"/>
    <w:rsid w:val="00534D6D"/>
    <w:rsid w:val="00536ADD"/>
    <w:rsid w:val="00537229"/>
    <w:rsid w:val="00537DC6"/>
    <w:rsid w:val="005406DA"/>
    <w:rsid w:val="00540B79"/>
    <w:rsid w:val="00540C21"/>
    <w:rsid w:val="005410C8"/>
    <w:rsid w:val="00541F2F"/>
    <w:rsid w:val="00541FD1"/>
    <w:rsid w:val="00542D58"/>
    <w:rsid w:val="00543382"/>
    <w:rsid w:val="00543788"/>
    <w:rsid w:val="00543DDF"/>
    <w:rsid w:val="0054496B"/>
    <w:rsid w:val="00544E80"/>
    <w:rsid w:val="0054505B"/>
    <w:rsid w:val="0054569D"/>
    <w:rsid w:val="00546434"/>
    <w:rsid w:val="00546B85"/>
    <w:rsid w:val="00546FE3"/>
    <w:rsid w:val="00547036"/>
    <w:rsid w:val="005473FE"/>
    <w:rsid w:val="005474AE"/>
    <w:rsid w:val="00547DA6"/>
    <w:rsid w:val="00547FD6"/>
    <w:rsid w:val="00551357"/>
    <w:rsid w:val="0055223F"/>
    <w:rsid w:val="00552AA8"/>
    <w:rsid w:val="00553C61"/>
    <w:rsid w:val="00553D1A"/>
    <w:rsid w:val="00553ECC"/>
    <w:rsid w:val="00554F15"/>
    <w:rsid w:val="00556401"/>
    <w:rsid w:val="0056056A"/>
    <w:rsid w:val="00560B7C"/>
    <w:rsid w:val="00560F5E"/>
    <w:rsid w:val="005610A9"/>
    <w:rsid w:val="00561255"/>
    <w:rsid w:val="00562CEC"/>
    <w:rsid w:val="005632CA"/>
    <w:rsid w:val="00563A9C"/>
    <w:rsid w:val="00563AB9"/>
    <w:rsid w:val="00563F9F"/>
    <w:rsid w:val="0056467F"/>
    <w:rsid w:val="00564990"/>
    <w:rsid w:val="005649A9"/>
    <w:rsid w:val="00564E8F"/>
    <w:rsid w:val="0056501F"/>
    <w:rsid w:val="00565536"/>
    <w:rsid w:val="005660BA"/>
    <w:rsid w:val="005663F0"/>
    <w:rsid w:val="00566AFE"/>
    <w:rsid w:val="005672FE"/>
    <w:rsid w:val="00567D95"/>
    <w:rsid w:val="00567D99"/>
    <w:rsid w:val="00567F7C"/>
    <w:rsid w:val="0057069D"/>
    <w:rsid w:val="00571E51"/>
    <w:rsid w:val="00571F04"/>
    <w:rsid w:val="00572065"/>
    <w:rsid w:val="00572655"/>
    <w:rsid w:val="00572B4E"/>
    <w:rsid w:val="005732CA"/>
    <w:rsid w:val="00573E77"/>
    <w:rsid w:val="00574BC7"/>
    <w:rsid w:val="00574C35"/>
    <w:rsid w:val="0058066E"/>
    <w:rsid w:val="00580676"/>
    <w:rsid w:val="00580FE1"/>
    <w:rsid w:val="00581806"/>
    <w:rsid w:val="00582D0B"/>
    <w:rsid w:val="00583263"/>
    <w:rsid w:val="00583416"/>
    <w:rsid w:val="00583726"/>
    <w:rsid w:val="00583938"/>
    <w:rsid w:val="00584620"/>
    <w:rsid w:val="005847B0"/>
    <w:rsid w:val="005849D1"/>
    <w:rsid w:val="00584ABA"/>
    <w:rsid w:val="00586232"/>
    <w:rsid w:val="005863B7"/>
    <w:rsid w:val="005871EE"/>
    <w:rsid w:val="00590455"/>
    <w:rsid w:val="00590B28"/>
    <w:rsid w:val="00591C52"/>
    <w:rsid w:val="005926DC"/>
    <w:rsid w:val="00593A1A"/>
    <w:rsid w:val="00593A49"/>
    <w:rsid w:val="00593CD4"/>
    <w:rsid w:val="00594459"/>
    <w:rsid w:val="005944E8"/>
    <w:rsid w:val="005944EE"/>
    <w:rsid w:val="00594ACF"/>
    <w:rsid w:val="00595320"/>
    <w:rsid w:val="00595386"/>
    <w:rsid w:val="00595D4B"/>
    <w:rsid w:val="00595D9F"/>
    <w:rsid w:val="0059630A"/>
    <w:rsid w:val="0059663E"/>
    <w:rsid w:val="005966BA"/>
    <w:rsid w:val="005968EC"/>
    <w:rsid w:val="00596A86"/>
    <w:rsid w:val="00596D87"/>
    <w:rsid w:val="00596D93"/>
    <w:rsid w:val="005979FA"/>
    <w:rsid w:val="00597AE7"/>
    <w:rsid w:val="00597B5B"/>
    <w:rsid w:val="00597D4B"/>
    <w:rsid w:val="005A0004"/>
    <w:rsid w:val="005A0186"/>
    <w:rsid w:val="005A1291"/>
    <w:rsid w:val="005A1E11"/>
    <w:rsid w:val="005A2304"/>
    <w:rsid w:val="005A2919"/>
    <w:rsid w:val="005A2F39"/>
    <w:rsid w:val="005A335A"/>
    <w:rsid w:val="005A39A4"/>
    <w:rsid w:val="005A3BD8"/>
    <w:rsid w:val="005A3E1C"/>
    <w:rsid w:val="005A3F44"/>
    <w:rsid w:val="005A4495"/>
    <w:rsid w:val="005A46CA"/>
    <w:rsid w:val="005A63AC"/>
    <w:rsid w:val="005A6432"/>
    <w:rsid w:val="005A6765"/>
    <w:rsid w:val="005A6D17"/>
    <w:rsid w:val="005B0131"/>
    <w:rsid w:val="005B121B"/>
    <w:rsid w:val="005B1C30"/>
    <w:rsid w:val="005B1F86"/>
    <w:rsid w:val="005B2674"/>
    <w:rsid w:val="005B2850"/>
    <w:rsid w:val="005B28C3"/>
    <w:rsid w:val="005B35B4"/>
    <w:rsid w:val="005B36A9"/>
    <w:rsid w:val="005B37CC"/>
    <w:rsid w:val="005B3B51"/>
    <w:rsid w:val="005B43DB"/>
    <w:rsid w:val="005B4539"/>
    <w:rsid w:val="005B4EDC"/>
    <w:rsid w:val="005B56B6"/>
    <w:rsid w:val="005B5B4E"/>
    <w:rsid w:val="005B5FBF"/>
    <w:rsid w:val="005B650E"/>
    <w:rsid w:val="005B657B"/>
    <w:rsid w:val="005C041C"/>
    <w:rsid w:val="005C18E6"/>
    <w:rsid w:val="005C23EB"/>
    <w:rsid w:val="005C2424"/>
    <w:rsid w:val="005C29C4"/>
    <w:rsid w:val="005C4432"/>
    <w:rsid w:val="005C5B9C"/>
    <w:rsid w:val="005C5DD2"/>
    <w:rsid w:val="005C5E64"/>
    <w:rsid w:val="005C5F9B"/>
    <w:rsid w:val="005C6A0B"/>
    <w:rsid w:val="005C77AE"/>
    <w:rsid w:val="005C7F37"/>
    <w:rsid w:val="005D101E"/>
    <w:rsid w:val="005D15DA"/>
    <w:rsid w:val="005D1A91"/>
    <w:rsid w:val="005D1AA4"/>
    <w:rsid w:val="005D1AE8"/>
    <w:rsid w:val="005D1CED"/>
    <w:rsid w:val="005D4599"/>
    <w:rsid w:val="005D579D"/>
    <w:rsid w:val="005D5C81"/>
    <w:rsid w:val="005D6408"/>
    <w:rsid w:val="005D6C41"/>
    <w:rsid w:val="005E07E5"/>
    <w:rsid w:val="005E0B69"/>
    <w:rsid w:val="005E1214"/>
    <w:rsid w:val="005E2397"/>
    <w:rsid w:val="005E2CC6"/>
    <w:rsid w:val="005E336B"/>
    <w:rsid w:val="005E3538"/>
    <w:rsid w:val="005E3906"/>
    <w:rsid w:val="005E3B01"/>
    <w:rsid w:val="005E3D61"/>
    <w:rsid w:val="005E4745"/>
    <w:rsid w:val="005E4E92"/>
    <w:rsid w:val="005E6E4B"/>
    <w:rsid w:val="005E6EC4"/>
    <w:rsid w:val="005E7604"/>
    <w:rsid w:val="005E7AFC"/>
    <w:rsid w:val="005F0341"/>
    <w:rsid w:val="005F1614"/>
    <w:rsid w:val="005F27F0"/>
    <w:rsid w:val="005F346B"/>
    <w:rsid w:val="005F39F0"/>
    <w:rsid w:val="005F4429"/>
    <w:rsid w:val="005F4897"/>
    <w:rsid w:val="005F51AC"/>
    <w:rsid w:val="005F5253"/>
    <w:rsid w:val="005F5A7A"/>
    <w:rsid w:val="005F6C32"/>
    <w:rsid w:val="005F75D0"/>
    <w:rsid w:val="005F7C26"/>
    <w:rsid w:val="005F7C9A"/>
    <w:rsid w:val="0060065B"/>
    <w:rsid w:val="00600A45"/>
    <w:rsid w:val="00600E96"/>
    <w:rsid w:val="00600F2D"/>
    <w:rsid w:val="00601DB3"/>
    <w:rsid w:val="00601E67"/>
    <w:rsid w:val="00601F52"/>
    <w:rsid w:val="00602549"/>
    <w:rsid w:val="00602DD9"/>
    <w:rsid w:val="006038CB"/>
    <w:rsid w:val="00603FA3"/>
    <w:rsid w:val="00604092"/>
    <w:rsid w:val="00604B23"/>
    <w:rsid w:val="00604E11"/>
    <w:rsid w:val="00605749"/>
    <w:rsid w:val="00605FCC"/>
    <w:rsid w:val="006060A9"/>
    <w:rsid w:val="00607945"/>
    <w:rsid w:val="006105B6"/>
    <w:rsid w:val="006108A1"/>
    <w:rsid w:val="00610B93"/>
    <w:rsid w:val="00610C19"/>
    <w:rsid w:val="00611D7A"/>
    <w:rsid w:val="006125AA"/>
    <w:rsid w:val="006130DB"/>
    <w:rsid w:val="0061392A"/>
    <w:rsid w:val="00615788"/>
    <w:rsid w:val="0061654E"/>
    <w:rsid w:val="006203AD"/>
    <w:rsid w:val="0062122B"/>
    <w:rsid w:val="00621442"/>
    <w:rsid w:val="00622FD3"/>
    <w:rsid w:val="00625E96"/>
    <w:rsid w:val="00626815"/>
    <w:rsid w:val="00626E3D"/>
    <w:rsid w:val="00627C66"/>
    <w:rsid w:val="00630500"/>
    <w:rsid w:val="006309D3"/>
    <w:rsid w:val="0063190B"/>
    <w:rsid w:val="0063287B"/>
    <w:rsid w:val="00632BD2"/>
    <w:rsid w:val="006334E3"/>
    <w:rsid w:val="0063362B"/>
    <w:rsid w:val="00635353"/>
    <w:rsid w:val="00636535"/>
    <w:rsid w:val="00640052"/>
    <w:rsid w:val="00640068"/>
    <w:rsid w:val="00640168"/>
    <w:rsid w:val="00640994"/>
    <w:rsid w:val="00641624"/>
    <w:rsid w:val="00641B3A"/>
    <w:rsid w:val="00642920"/>
    <w:rsid w:val="006433DB"/>
    <w:rsid w:val="006455B4"/>
    <w:rsid w:val="00645758"/>
    <w:rsid w:val="00645DDE"/>
    <w:rsid w:val="00647B4C"/>
    <w:rsid w:val="00647BA9"/>
    <w:rsid w:val="00647DC0"/>
    <w:rsid w:val="006501DF"/>
    <w:rsid w:val="00650490"/>
    <w:rsid w:val="00650C16"/>
    <w:rsid w:val="0065119D"/>
    <w:rsid w:val="006513B5"/>
    <w:rsid w:val="00651463"/>
    <w:rsid w:val="0065146D"/>
    <w:rsid w:val="00651595"/>
    <w:rsid w:val="006528AA"/>
    <w:rsid w:val="00652C88"/>
    <w:rsid w:val="00653C4A"/>
    <w:rsid w:val="00653DDC"/>
    <w:rsid w:val="0065461F"/>
    <w:rsid w:val="00654D85"/>
    <w:rsid w:val="00655D0B"/>
    <w:rsid w:val="00656ACB"/>
    <w:rsid w:val="00656D8A"/>
    <w:rsid w:val="00657D80"/>
    <w:rsid w:val="0066117E"/>
    <w:rsid w:val="006613F6"/>
    <w:rsid w:val="00661C60"/>
    <w:rsid w:val="006620BB"/>
    <w:rsid w:val="00662470"/>
    <w:rsid w:val="00663289"/>
    <w:rsid w:val="00663B10"/>
    <w:rsid w:val="00663D54"/>
    <w:rsid w:val="00666630"/>
    <w:rsid w:val="00666806"/>
    <w:rsid w:val="00666F7A"/>
    <w:rsid w:val="006678BA"/>
    <w:rsid w:val="00667B8A"/>
    <w:rsid w:val="00667C02"/>
    <w:rsid w:val="00670113"/>
    <w:rsid w:val="00670124"/>
    <w:rsid w:val="00671E4A"/>
    <w:rsid w:val="0067314B"/>
    <w:rsid w:val="00673F68"/>
    <w:rsid w:val="006740E1"/>
    <w:rsid w:val="006741E7"/>
    <w:rsid w:val="006743E0"/>
    <w:rsid w:val="00674C12"/>
    <w:rsid w:val="006757CE"/>
    <w:rsid w:val="00676063"/>
    <w:rsid w:val="00676AFF"/>
    <w:rsid w:val="0067702D"/>
    <w:rsid w:val="0067710C"/>
    <w:rsid w:val="00677F71"/>
    <w:rsid w:val="00680569"/>
    <w:rsid w:val="00680A8F"/>
    <w:rsid w:val="00680F9E"/>
    <w:rsid w:val="00680FAC"/>
    <w:rsid w:val="0068217A"/>
    <w:rsid w:val="0068246A"/>
    <w:rsid w:val="00684B8C"/>
    <w:rsid w:val="0068619D"/>
    <w:rsid w:val="006864DE"/>
    <w:rsid w:val="00687121"/>
    <w:rsid w:val="00690A97"/>
    <w:rsid w:val="00691B5E"/>
    <w:rsid w:val="00691FC7"/>
    <w:rsid w:val="00692386"/>
    <w:rsid w:val="00692693"/>
    <w:rsid w:val="00692FA7"/>
    <w:rsid w:val="006934B8"/>
    <w:rsid w:val="00693CCD"/>
    <w:rsid w:val="00694B73"/>
    <w:rsid w:val="0069514E"/>
    <w:rsid w:val="00695F1C"/>
    <w:rsid w:val="00696E8B"/>
    <w:rsid w:val="006970E6"/>
    <w:rsid w:val="00697AC4"/>
    <w:rsid w:val="006A0671"/>
    <w:rsid w:val="006A1366"/>
    <w:rsid w:val="006A1808"/>
    <w:rsid w:val="006A187B"/>
    <w:rsid w:val="006A1DD0"/>
    <w:rsid w:val="006A2703"/>
    <w:rsid w:val="006A29FE"/>
    <w:rsid w:val="006A3FD6"/>
    <w:rsid w:val="006A4FD8"/>
    <w:rsid w:val="006A5303"/>
    <w:rsid w:val="006A56B6"/>
    <w:rsid w:val="006A5B07"/>
    <w:rsid w:val="006A5DBD"/>
    <w:rsid w:val="006A5DC0"/>
    <w:rsid w:val="006A6644"/>
    <w:rsid w:val="006A6B75"/>
    <w:rsid w:val="006A6BDC"/>
    <w:rsid w:val="006A6BE6"/>
    <w:rsid w:val="006A72D8"/>
    <w:rsid w:val="006A766B"/>
    <w:rsid w:val="006A769B"/>
    <w:rsid w:val="006B032A"/>
    <w:rsid w:val="006B0AE0"/>
    <w:rsid w:val="006B198E"/>
    <w:rsid w:val="006B2315"/>
    <w:rsid w:val="006B269D"/>
    <w:rsid w:val="006B2D05"/>
    <w:rsid w:val="006B2E11"/>
    <w:rsid w:val="006B31ED"/>
    <w:rsid w:val="006B3261"/>
    <w:rsid w:val="006B3600"/>
    <w:rsid w:val="006B3B0B"/>
    <w:rsid w:val="006B3D9C"/>
    <w:rsid w:val="006B45E9"/>
    <w:rsid w:val="006B4924"/>
    <w:rsid w:val="006B4AD5"/>
    <w:rsid w:val="006B682C"/>
    <w:rsid w:val="006B738C"/>
    <w:rsid w:val="006C080F"/>
    <w:rsid w:val="006C0EAB"/>
    <w:rsid w:val="006C1812"/>
    <w:rsid w:val="006C198D"/>
    <w:rsid w:val="006C25D1"/>
    <w:rsid w:val="006C270A"/>
    <w:rsid w:val="006C2BA3"/>
    <w:rsid w:val="006C3528"/>
    <w:rsid w:val="006C3826"/>
    <w:rsid w:val="006C5400"/>
    <w:rsid w:val="006C5548"/>
    <w:rsid w:val="006C558D"/>
    <w:rsid w:val="006C69E1"/>
    <w:rsid w:val="006C6E28"/>
    <w:rsid w:val="006C7061"/>
    <w:rsid w:val="006C737B"/>
    <w:rsid w:val="006D0B78"/>
    <w:rsid w:val="006D0E11"/>
    <w:rsid w:val="006D1930"/>
    <w:rsid w:val="006D2A98"/>
    <w:rsid w:val="006D2C91"/>
    <w:rsid w:val="006D2E3E"/>
    <w:rsid w:val="006D4107"/>
    <w:rsid w:val="006D7986"/>
    <w:rsid w:val="006D7FF5"/>
    <w:rsid w:val="006E0E47"/>
    <w:rsid w:val="006E1054"/>
    <w:rsid w:val="006E11D1"/>
    <w:rsid w:val="006E1460"/>
    <w:rsid w:val="006E158F"/>
    <w:rsid w:val="006E2512"/>
    <w:rsid w:val="006E3152"/>
    <w:rsid w:val="006E31E2"/>
    <w:rsid w:val="006E37FA"/>
    <w:rsid w:val="006E40E3"/>
    <w:rsid w:val="006E42B6"/>
    <w:rsid w:val="006E4BC0"/>
    <w:rsid w:val="006E5129"/>
    <w:rsid w:val="006E6354"/>
    <w:rsid w:val="006E64AE"/>
    <w:rsid w:val="006E6D9F"/>
    <w:rsid w:val="006E7432"/>
    <w:rsid w:val="006E7629"/>
    <w:rsid w:val="006E767E"/>
    <w:rsid w:val="006E7C7F"/>
    <w:rsid w:val="006E7F95"/>
    <w:rsid w:val="006F11E3"/>
    <w:rsid w:val="006F1279"/>
    <w:rsid w:val="006F1A31"/>
    <w:rsid w:val="006F2650"/>
    <w:rsid w:val="006F2D48"/>
    <w:rsid w:val="006F310E"/>
    <w:rsid w:val="006F36E2"/>
    <w:rsid w:val="006F3BA5"/>
    <w:rsid w:val="006F3D03"/>
    <w:rsid w:val="006F450E"/>
    <w:rsid w:val="006F47EB"/>
    <w:rsid w:val="006F4E58"/>
    <w:rsid w:val="006F651E"/>
    <w:rsid w:val="006F6B67"/>
    <w:rsid w:val="006F7EA9"/>
    <w:rsid w:val="00701C06"/>
    <w:rsid w:val="00702463"/>
    <w:rsid w:val="00702B71"/>
    <w:rsid w:val="00703084"/>
    <w:rsid w:val="0070347F"/>
    <w:rsid w:val="00705561"/>
    <w:rsid w:val="007055A2"/>
    <w:rsid w:val="00706457"/>
    <w:rsid w:val="00706554"/>
    <w:rsid w:val="00706D20"/>
    <w:rsid w:val="00707AA6"/>
    <w:rsid w:val="00710B0E"/>
    <w:rsid w:val="00710B6E"/>
    <w:rsid w:val="00711055"/>
    <w:rsid w:val="007114DB"/>
    <w:rsid w:val="00712CBE"/>
    <w:rsid w:val="00714794"/>
    <w:rsid w:val="007159E8"/>
    <w:rsid w:val="00715E99"/>
    <w:rsid w:val="007163B4"/>
    <w:rsid w:val="0071675A"/>
    <w:rsid w:val="00716AB7"/>
    <w:rsid w:val="00717276"/>
    <w:rsid w:val="007212CC"/>
    <w:rsid w:val="00721F96"/>
    <w:rsid w:val="007224A1"/>
    <w:rsid w:val="00722C0C"/>
    <w:rsid w:val="00723528"/>
    <w:rsid w:val="00723566"/>
    <w:rsid w:val="00724372"/>
    <w:rsid w:val="00724F6F"/>
    <w:rsid w:val="007255FC"/>
    <w:rsid w:val="0072592D"/>
    <w:rsid w:val="00726DC8"/>
    <w:rsid w:val="007307CE"/>
    <w:rsid w:val="00731667"/>
    <w:rsid w:val="007316BE"/>
    <w:rsid w:val="00732E79"/>
    <w:rsid w:val="00733949"/>
    <w:rsid w:val="00734265"/>
    <w:rsid w:val="00734CC7"/>
    <w:rsid w:val="007357E1"/>
    <w:rsid w:val="007359E9"/>
    <w:rsid w:val="00735EFF"/>
    <w:rsid w:val="00735FA7"/>
    <w:rsid w:val="00736605"/>
    <w:rsid w:val="00737738"/>
    <w:rsid w:val="00740486"/>
    <w:rsid w:val="00740DDE"/>
    <w:rsid w:val="007420A7"/>
    <w:rsid w:val="007427F5"/>
    <w:rsid w:val="007428AC"/>
    <w:rsid w:val="00742FFB"/>
    <w:rsid w:val="00743A4C"/>
    <w:rsid w:val="00744211"/>
    <w:rsid w:val="00744607"/>
    <w:rsid w:val="0074566A"/>
    <w:rsid w:val="007459CE"/>
    <w:rsid w:val="007459EE"/>
    <w:rsid w:val="00745B64"/>
    <w:rsid w:val="00746CBC"/>
    <w:rsid w:val="00746DAF"/>
    <w:rsid w:val="00746E87"/>
    <w:rsid w:val="0074764D"/>
    <w:rsid w:val="00747791"/>
    <w:rsid w:val="0075047B"/>
    <w:rsid w:val="007507C4"/>
    <w:rsid w:val="0075118D"/>
    <w:rsid w:val="00751571"/>
    <w:rsid w:val="00751B1C"/>
    <w:rsid w:val="00752A29"/>
    <w:rsid w:val="00753534"/>
    <w:rsid w:val="00753639"/>
    <w:rsid w:val="00753E05"/>
    <w:rsid w:val="007568C7"/>
    <w:rsid w:val="00756A2A"/>
    <w:rsid w:val="00756EE3"/>
    <w:rsid w:val="00757270"/>
    <w:rsid w:val="00757359"/>
    <w:rsid w:val="007579D2"/>
    <w:rsid w:val="00760437"/>
    <w:rsid w:val="00760495"/>
    <w:rsid w:val="00760ADF"/>
    <w:rsid w:val="00760F4E"/>
    <w:rsid w:val="00761AC8"/>
    <w:rsid w:val="00764784"/>
    <w:rsid w:val="00770726"/>
    <w:rsid w:val="00770DC0"/>
    <w:rsid w:val="00771068"/>
    <w:rsid w:val="007727A7"/>
    <w:rsid w:val="00772D8F"/>
    <w:rsid w:val="00773721"/>
    <w:rsid w:val="00774EC3"/>
    <w:rsid w:val="00775E38"/>
    <w:rsid w:val="007760F9"/>
    <w:rsid w:val="00776811"/>
    <w:rsid w:val="007768B8"/>
    <w:rsid w:val="00777F0D"/>
    <w:rsid w:val="0078064D"/>
    <w:rsid w:val="00781423"/>
    <w:rsid w:val="00781BDA"/>
    <w:rsid w:val="0078256A"/>
    <w:rsid w:val="00782855"/>
    <w:rsid w:val="00782EF9"/>
    <w:rsid w:val="007836A4"/>
    <w:rsid w:val="007837ED"/>
    <w:rsid w:val="00784042"/>
    <w:rsid w:val="0078433B"/>
    <w:rsid w:val="00784C74"/>
    <w:rsid w:val="007856C8"/>
    <w:rsid w:val="0078583C"/>
    <w:rsid w:val="00785879"/>
    <w:rsid w:val="00785A23"/>
    <w:rsid w:val="0078657C"/>
    <w:rsid w:val="00786B2C"/>
    <w:rsid w:val="007872A6"/>
    <w:rsid w:val="00787367"/>
    <w:rsid w:val="00787487"/>
    <w:rsid w:val="00787E26"/>
    <w:rsid w:val="00790052"/>
    <w:rsid w:val="00791498"/>
    <w:rsid w:val="00792248"/>
    <w:rsid w:val="00793549"/>
    <w:rsid w:val="00793D94"/>
    <w:rsid w:val="00794A98"/>
    <w:rsid w:val="00795175"/>
    <w:rsid w:val="007953EE"/>
    <w:rsid w:val="00795672"/>
    <w:rsid w:val="00795C2F"/>
    <w:rsid w:val="00796586"/>
    <w:rsid w:val="007973D5"/>
    <w:rsid w:val="0079789F"/>
    <w:rsid w:val="007978FF"/>
    <w:rsid w:val="00797CBA"/>
    <w:rsid w:val="00797FC1"/>
    <w:rsid w:val="007A21DD"/>
    <w:rsid w:val="007A22D1"/>
    <w:rsid w:val="007A2ABE"/>
    <w:rsid w:val="007A2BC3"/>
    <w:rsid w:val="007A2C9E"/>
    <w:rsid w:val="007A322F"/>
    <w:rsid w:val="007A3BEB"/>
    <w:rsid w:val="007A418C"/>
    <w:rsid w:val="007A4437"/>
    <w:rsid w:val="007A4641"/>
    <w:rsid w:val="007A4D16"/>
    <w:rsid w:val="007A5B21"/>
    <w:rsid w:val="007A5EBB"/>
    <w:rsid w:val="007A603B"/>
    <w:rsid w:val="007A6CE5"/>
    <w:rsid w:val="007A6FDB"/>
    <w:rsid w:val="007A714D"/>
    <w:rsid w:val="007B055B"/>
    <w:rsid w:val="007B13CE"/>
    <w:rsid w:val="007B14EE"/>
    <w:rsid w:val="007B32DB"/>
    <w:rsid w:val="007B3C6D"/>
    <w:rsid w:val="007B3F50"/>
    <w:rsid w:val="007B548B"/>
    <w:rsid w:val="007B5B21"/>
    <w:rsid w:val="007B60E4"/>
    <w:rsid w:val="007B629A"/>
    <w:rsid w:val="007B6FC1"/>
    <w:rsid w:val="007B7897"/>
    <w:rsid w:val="007B7903"/>
    <w:rsid w:val="007B7D60"/>
    <w:rsid w:val="007B7EA4"/>
    <w:rsid w:val="007C02D3"/>
    <w:rsid w:val="007C0568"/>
    <w:rsid w:val="007C0A4E"/>
    <w:rsid w:val="007C1025"/>
    <w:rsid w:val="007C1536"/>
    <w:rsid w:val="007C193F"/>
    <w:rsid w:val="007C1A74"/>
    <w:rsid w:val="007C2386"/>
    <w:rsid w:val="007C268C"/>
    <w:rsid w:val="007C28BF"/>
    <w:rsid w:val="007C2E96"/>
    <w:rsid w:val="007C33D7"/>
    <w:rsid w:val="007C3719"/>
    <w:rsid w:val="007C374A"/>
    <w:rsid w:val="007C3BAD"/>
    <w:rsid w:val="007C5CFB"/>
    <w:rsid w:val="007C5F2F"/>
    <w:rsid w:val="007C7C36"/>
    <w:rsid w:val="007C7DCB"/>
    <w:rsid w:val="007D0679"/>
    <w:rsid w:val="007D0E7B"/>
    <w:rsid w:val="007D1BF2"/>
    <w:rsid w:val="007D1D31"/>
    <w:rsid w:val="007D29BB"/>
    <w:rsid w:val="007D2AD3"/>
    <w:rsid w:val="007D3845"/>
    <w:rsid w:val="007D3AD2"/>
    <w:rsid w:val="007D44AC"/>
    <w:rsid w:val="007D514A"/>
    <w:rsid w:val="007D5311"/>
    <w:rsid w:val="007D5A1E"/>
    <w:rsid w:val="007D5ADD"/>
    <w:rsid w:val="007D6335"/>
    <w:rsid w:val="007D67BA"/>
    <w:rsid w:val="007D79AB"/>
    <w:rsid w:val="007D7C54"/>
    <w:rsid w:val="007E0D20"/>
    <w:rsid w:val="007E12DD"/>
    <w:rsid w:val="007E16BF"/>
    <w:rsid w:val="007E1EE6"/>
    <w:rsid w:val="007E1FFB"/>
    <w:rsid w:val="007E2285"/>
    <w:rsid w:val="007E2903"/>
    <w:rsid w:val="007E293B"/>
    <w:rsid w:val="007E3BA2"/>
    <w:rsid w:val="007E43AF"/>
    <w:rsid w:val="007E4C62"/>
    <w:rsid w:val="007E5D42"/>
    <w:rsid w:val="007E5DAF"/>
    <w:rsid w:val="007E637A"/>
    <w:rsid w:val="007F0EEE"/>
    <w:rsid w:val="007F216A"/>
    <w:rsid w:val="007F2467"/>
    <w:rsid w:val="007F2DF2"/>
    <w:rsid w:val="007F3DD9"/>
    <w:rsid w:val="007F44DF"/>
    <w:rsid w:val="007F571F"/>
    <w:rsid w:val="007F5E61"/>
    <w:rsid w:val="007F7770"/>
    <w:rsid w:val="007F783A"/>
    <w:rsid w:val="007F7B56"/>
    <w:rsid w:val="007F7BA5"/>
    <w:rsid w:val="0080015F"/>
    <w:rsid w:val="008002BA"/>
    <w:rsid w:val="00800BEC"/>
    <w:rsid w:val="0080162A"/>
    <w:rsid w:val="008017DE"/>
    <w:rsid w:val="00801ADE"/>
    <w:rsid w:val="00801CF4"/>
    <w:rsid w:val="00801DF3"/>
    <w:rsid w:val="00801EBA"/>
    <w:rsid w:val="0080292D"/>
    <w:rsid w:val="00804EC3"/>
    <w:rsid w:val="00805517"/>
    <w:rsid w:val="00805603"/>
    <w:rsid w:val="008076B2"/>
    <w:rsid w:val="00807BC1"/>
    <w:rsid w:val="00807C5A"/>
    <w:rsid w:val="008106EE"/>
    <w:rsid w:val="008110C3"/>
    <w:rsid w:val="008114AA"/>
    <w:rsid w:val="008122FD"/>
    <w:rsid w:val="00814B71"/>
    <w:rsid w:val="00814F1E"/>
    <w:rsid w:val="0081566C"/>
    <w:rsid w:val="00817233"/>
    <w:rsid w:val="008173DD"/>
    <w:rsid w:val="008177D8"/>
    <w:rsid w:val="00817A9B"/>
    <w:rsid w:val="00820EBF"/>
    <w:rsid w:val="008219F9"/>
    <w:rsid w:val="00821E51"/>
    <w:rsid w:val="00821EED"/>
    <w:rsid w:val="00822327"/>
    <w:rsid w:val="00822A3E"/>
    <w:rsid w:val="00822B95"/>
    <w:rsid w:val="00822BEF"/>
    <w:rsid w:val="00824794"/>
    <w:rsid w:val="00824900"/>
    <w:rsid w:val="00824DB5"/>
    <w:rsid w:val="00824FC2"/>
    <w:rsid w:val="008252EA"/>
    <w:rsid w:val="00825CF0"/>
    <w:rsid w:val="00825DD2"/>
    <w:rsid w:val="00826652"/>
    <w:rsid w:val="00830E8A"/>
    <w:rsid w:val="00831067"/>
    <w:rsid w:val="00831183"/>
    <w:rsid w:val="00831647"/>
    <w:rsid w:val="00831817"/>
    <w:rsid w:val="008319B5"/>
    <w:rsid w:val="00831F82"/>
    <w:rsid w:val="00832304"/>
    <w:rsid w:val="008324BE"/>
    <w:rsid w:val="0083281F"/>
    <w:rsid w:val="008333F9"/>
    <w:rsid w:val="00833ADF"/>
    <w:rsid w:val="00834261"/>
    <w:rsid w:val="008342CE"/>
    <w:rsid w:val="0083431C"/>
    <w:rsid w:val="00834CCF"/>
    <w:rsid w:val="0083532A"/>
    <w:rsid w:val="00835575"/>
    <w:rsid w:val="00835A61"/>
    <w:rsid w:val="0083622F"/>
    <w:rsid w:val="00836B62"/>
    <w:rsid w:val="0083732F"/>
    <w:rsid w:val="00837A21"/>
    <w:rsid w:val="008412F8"/>
    <w:rsid w:val="0084242F"/>
    <w:rsid w:val="00842467"/>
    <w:rsid w:val="008425DA"/>
    <w:rsid w:val="008435BB"/>
    <w:rsid w:val="00844BC0"/>
    <w:rsid w:val="0084510B"/>
    <w:rsid w:val="00845AF3"/>
    <w:rsid w:val="00845E89"/>
    <w:rsid w:val="00846712"/>
    <w:rsid w:val="00846731"/>
    <w:rsid w:val="008468A4"/>
    <w:rsid w:val="008468CD"/>
    <w:rsid w:val="008469C3"/>
    <w:rsid w:val="00846B20"/>
    <w:rsid w:val="008477D7"/>
    <w:rsid w:val="00847EEB"/>
    <w:rsid w:val="008501EF"/>
    <w:rsid w:val="0085060F"/>
    <w:rsid w:val="0085112B"/>
    <w:rsid w:val="0085168A"/>
    <w:rsid w:val="00851779"/>
    <w:rsid w:val="00851C40"/>
    <w:rsid w:val="00852677"/>
    <w:rsid w:val="00852DC8"/>
    <w:rsid w:val="0085357A"/>
    <w:rsid w:val="008537AA"/>
    <w:rsid w:val="00854BB7"/>
    <w:rsid w:val="00854C8D"/>
    <w:rsid w:val="00855429"/>
    <w:rsid w:val="0085682F"/>
    <w:rsid w:val="00856904"/>
    <w:rsid w:val="008570C8"/>
    <w:rsid w:val="00857957"/>
    <w:rsid w:val="00860CBB"/>
    <w:rsid w:val="00860E63"/>
    <w:rsid w:val="00860E6D"/>
    <w:rsid w:val="00860F35"/>
    <w:rsid w:val="00861679"/>
    <w:rsid w:val="00862E95"/>
    <w:rsid w:val="00864F1E"/>
    <w:rsid w:val="00865870"/>
    <w:rsid w:val="00867143"/>
    <w:rsid w:val="0086742B"/>
    <w:rsid w:val="00870140"/>
    <w:rsid w:val="00870528"/>
    <w:rsid w:val="008706DF"/>
    <w:rsid w:val="008708E1"/>
    <w:rsid w:val="00870F31"/>
    <w:rsid w:val="008710DC"/>
    <w:rsid w:val="00871E04"/>
    <w:rsid w:val="00871F97"/>
    <w:rsid w:val="008735D6"/>
    <w:rsid w:val="0087371F"/>
    <w:rsid w:val="00873A7D"/>
    <w:rsid w:val="00873DCA"/>
    <w:rsid w:val="00874157"/>
    <w:rsid w:val="008758C8"/>
    <w:rsid w:val="00875D89"/>
    <w:rsid w:val="00875EA8"/>
    <w:rsid w:val="008770C8"/>
    <w:rsid w:val="0087780A"/>
    <w:rsid w:val="00877B36"/>
    <w:rsid w:val="00880B5A"/>
    <w:rsid w:val="00880F8A"/>
    <w:rsid w:val="00881619"/>
    <w:rsid w:val="00881AA1"/>
    <w:rsid w:val="00881CDA"/>
    <w:rsid w:val="00882CDF"/>
    <w:rsid w:val="00883375"/>
    <w:rsid w:val="00884644"/>
    <w:rsid w:val="00884C8C"/>
    <w:rsid w:val="00885189"/>
    <w:rsid w:val="00885803"/>
    <w:rsid w:val="008861AF"/>
    <w:rsid w:val="008862E0"/>
    <w:rsid w:val="00887821"/>
    <w:rsid w:val="00887A9A"/>
    <w:rsid w:val="00887D35"/>
    <w:rsid w:val="00891E1D"/>
    <w:rsid w:val="00891F7F"/>
    <w:rsid w:val="008927E8"/>
    <w:rsid w:val="00893892"/>
    <w:rsid w:val="00893D31"/>
    <w:rsid w:val="00894C87"/>
    <w:rsid w:val="00894DE8"/>
    <w:rsid w:val="00895D7E"/>
    <w:rsid w:val="0089683D"/>
    <w:rsid w:val="00897DD4"/>
    <w:rsid w:val="008A137C"/>
    <w:rsid w:val="008A26B3"/>
    <w:rsid w:val="008A2B1A"/>
    <w:rsid w:val="008A2DA3"/>
    <w:rsid w:val="008A3023"/>
    <w:rsid w:val="008A33B1"/>
    <w:rsid w:val="008A5C4D"/>
    <w:rsid w:val="008A63D7"/>
    <w:rsid w:val="008A67B7"/>
    <w:rsid w:val="008A6D51"/>
    <w:rsid w:val="008A6DA8"/>
    <w:rsid w:val="008A7D00"/>
    <w:rsid w:val="008B0F3C"/>
    <w:rsid w:val="008B178D"/>
    <w:rsid w:val="008B1800"/>
    <w:rsid w:val="008B1A7D"/>
    <w:rsid w:val="008B1F3A"/>
    <w:rsid w:val="008B205D"/>
    <w:rsid w:val="008B2534"/>
    <w:rsid w:val="008B2575"/>
    <w:rsid w:val="008B2AC6"/>
    <w:rsid w:val="008B2BC7"/>
    <w:rsid w:val="008B2CB7"/>
    <w:rsid w:val="008B2D61"/>
    <w:rsid w:val="008B3735"/>
    <w:rsid w:val="008B3C3B"/>
    <w:rsid w:val="008B4AC2"/>
    <w:rsid w:val="008B5586"/>
    <w:rsid w:val="008B5686"/>
    <w:rsid w:val="008B5D27"/>
    <w:rsid w:val="008B6751"/>
    <w:rsid w:val="008B6C87"/>
    <w:rsid w:val="008B6D46"/>
    <w:rsid w:val="008B702E"/>
    <w:rsid w:val="008B72E8"/>
    <w:rsid w:val="008B73C3"/>
    <w:rsid w:val="008C01F9"/>
    <w:rsid w:val="008C0EBA"/>
    <w:rsid w:val="008C0F6E"/>
    <w:rsid w:val="008C117F"/>
    <w:rsid w:val="008C11D0"/>
    <w:rsid w:val="008C1868"/>
    <w:rsid w:val="008C1FDA"/>
    <w:rsid w:val="008C2C2C"/>
    <w:rsid w:val="008C3283"/>
    <w:rsid w:val="008C381D"/>
    <w:rsid w:val="008C4081"/>
    <w:rsid w:val="008C509D"/>
    <w:rsid w:val="008C533F"/>
    <w:rsid w:val="008C5BBD"/>
    <w:rsid w:val="008C63DE"/>
    <w:rsid w:val="008C64A6"/>
    <w:rsid w:val="008C76D0"/>
    <w:rsid w:val="008C7D51"/>
    <w:rsid w:val="008C7E5F"/>
    <w:rsid w:val="008D0806"/>
    <w:rsid w:val="008D0D16"/>
    <w:rsid w:val="008D1552"/>
    <w:rsid w:val="008D1AD9"/>
    <w:rsid w:val="008D1E10"/>
    <w:rsid w:val="008D1EB3"/>
    <w:rsid w:val="008D2A79"/>
    <w:rsid w:val="008D2E02"/>
    <w:rsid w:val="008D3C32"/>
    <w:rsid w:val="008D4594"/>
    <w:rsid w:val="008D4D38"/>
    <w:rsid w:val="008D54E3"/>
    <w:rsid w:val="008D5A4A"/>
    <w:rsid w:val="008D61EE"/>
    <w:rsid w:val="008D6C4B"/>
    <w:rsid w:val="008D719E"/>
    <w:rsid w:val="008D72F1"/>
    <w:rsid w:val="008E0342"/>
    <w:rsid w:val="008E0DE0"/>
    <w:rsid w:val="008E1667"/>
    <w:rsid w:val="008E1991"/>
    <w:rsid w:val="008E1A52"/>
    <w:rsid w:val="008E2A5D"/>
    <w:rsid w:val="008E3589"/>
    <w:rsid w:val="008E380B"/>
    <w:rsid w:val="008E383C"/>
    <w:rsid w:val="008E388F"/>
    <w:rsid w:val="008E5134"/>
    <w:rsid w:val="008E5BE0"/>
    <w:rsid w:val="008E63C7"/>
    <w:rsid w:val="008E7940"/>
    <w:rsid w:val="008E7F9D"/>
    <w:rsid w:val="008F0293"/>
    <w:rsid w:val="008F256B"/>
    <w:rsid w:val="008F2684"/>
    <w:rsid w:val="008F2D71"/>
    <w:rsid w:val="008F336E"/>
    <w:rsid w:val="008F3BB2"/>
    <w:rsid w:val="008F441E"/>
    <w:rsid w:val="008F4866"/>
    <w:rsid w:val="008F4912"/>
    <w:rsid w:val="008F5358"/>
    <w:rsid w:val="008F538B"/>
    <w:rsid w:val="008F597E"/>
    <w:rsid w:val="008F5BEC"/>
    <w:rsid w:val="008F6211"/>
    <w:rsid w:val="008F709B"/>
    <w:rsid w:val="008F71C4"/>
    <w:rsid w:val="008F7E22"/>
    <w:rsid w:val="00902364"/>
    <w:rsid w:val="00902FB2"/>
    <w:rsid w:val="009030DE"/>
    <w:rsid w:val="00904BAF"/>
    <w:rsid w:val="00904BB5"/>
    <w:rsid w:val="00905548"/>
    <w:rsid w:val="0090674A"/>
    <w:rsid w:val="009072BC"/>
    <w:rsid w:val="00907D16"/>
    <w:rsid w:val="00907F3C"/>
    <w:rsid w:val="00910BBC"/>
    <w:rsid w:val="00910C40"/>
    <w:rsid w:val="00910EAC"/>
    <w:rsid w:val="00912219"/>
    <w:rsid w:val="00912579"/>
    <w:rsid w:val="00912864"/>
    <w:rsid w:val="00912970"/>
    <w:rsid w:val="00913134"/>
    <w:rsid w:val="009133EB"/>
    <w:rsid w:val="00914847"/>
    <w:rsid w:val="0091499B"/>
    <w:rsid w:val="00914ADD"/>
    <w:rsid w:val="00915149"/>
    <w:rsid w:val="0091517B"/>
    <w:rsid w:val="00915812"/>
    <w:rsid w:val="00916487"/>
    <w:rsid w:val="009169F8"/>
    <w:rsid w:val="00917957"/>
    <w:rsid w:val="0092083E"/>
    <w:rsid w:val="00920B36"/>
    <w:rsid w:val="00921A6F"/>
    <w:rsid w:val="00921F2B"/>
    <w:rsid w:val="00922058"/>
    <w:rsid w:val="0092283F"/>
    <w:rsid w:val="00923638"/>
    <w:rsid w:val="009244EE"/>
    <w:rsid w:val="00924DF4"/>
    <w:rsid w:val="00925095"/>
    <w:rsid w:val="009252BA"/>
    <w:rsid w:val="00925C18"/>
    <w:rsid w:val="0092728E"/>
    <w:rsid w:val="00927713"/>
    <w:rsid w:val="00931472"/>
    <w:rsid w:val="0093150A"/>
    <w:rsid w:val="00931613"/>
    <w:rsid w:val="00931776"/>
    <w:rsid w:val="00932FB6"/>
    <w:rsid w:val="0093374B"/>
    <w:rsid w:val="009337A8"/>
    <w:rsid w:val="00934DB6"/>
    <w:rsid w:val="00935041"/>
    <w:rsid w:val="009353B0"/>
    <w:rsid w:val="00935928"/>
    <w:rsid w:val="00936631"/>
    <w:rsid w:val="00936AD0"/>
    <w:rsid w:val="00936BB4"/>
    <w:rsid w:val="00936C0A"/>
    <w:rsid w:val="00936CB6"/>
    <w:rsid w:val="00936CBC"/>
    <w:rsid w:val="009371B3"/>
    <w:rsid w:val="009375FC"/>
    <w:rsid w:val="00937735"/>
    <w:rsid w:val="009405DA"/>
    <w:rsid w:val="00941234"/>
    <w:rsid w:val="009415EF"/>
    <w:rsid w:val="00942B10"/>
    <w:rsid w:val="00943048"/>
    <w:rsid w:val="00943A78"/>
    <w:rsid w:val="00943E32"/>
    <w:rsid w:val="00944306"/>
    <w:rsid w:val="009443B2"/>
    <w:rsid w:val="00944AB3"/>
    <w:rsid w:val="0094502F"/>
    <w:rsid w:val="0094523F"/>
    <w:rsid w:val="00945686"/>
    <w:rsid w:val="009464A5"/>
    <w:rsid w:val="00946CEE"/>
    <w:rsid w:val="00947409"/>
    <w:rsid w:val="00950609"/>
    <w:rsid w:val="00950839"/>
    <w:rsid w:val="0095209D"/>
    <w:rsid w:val="00952811"/>
    <w:rsid w:val="009535E3"/>
    <w:rsid w:val="00953602"/>
    <w:rsid w:val="009545A3"/>
    <w:rsid w:val="009551F2"/>
    <w:rsid w:val="00955245"/>
    <w:rsid w:val="0095563E"/>
    <w:rsid w:val="00955846"/>
    <w:rsid w:val="00957370"/>
    <w:rsid w:val="009573CA"/>
    <w:rsid w:val="00957C24"/>
    <w:rsid w:val="00957F15"/>
    <w:rsid w:val="00957F30"/>
    <w:rsid w:val="00960C07"/>
    <w:rsid w:val="00960C10"/>
    <w:rsid w:val="00960D7D"/>
    <w:rsid w:val="00960DD2"/>
    <w:rsid w:val="009614F8"/>
    <w:rsid w:val="00963072"/>
    <w:rsid w:val="009631F5"/>
    <w:rsid w:val="00963AD3"/>
    <w:rsid w:val="00963D08"/>
    <w:rsid w:val="00963E42"/>
    <w:rsid w:val="00964554"/>
    <w:rsid w:val="00964ADF"/>
    <w:rsid w:val="009659EC"/>
    <w:rsid w:val="009661BD"/>
    <w:rsid w:val="0096620C"/>
    <w:rsid w:val="00967234"/>
    <w:rsid w:val="00967279"/>
    <w:rsid w:val="00967580"/>
    <w:rsid w:val="0096766C"/>
    <w:rsid w:val="00970BAB"/>
    <w:rsid w:val="0097131F"/>
    <w:rsid w:val="00971553"/>
    <w:rsid w:val="00972EA4"/>
    <w:rsid w:val="00973172"/>
    <w:rsid w:val="00973FA3"/>
    <w:rsid w:val="009740AE"/>
    <w:rsid w:val="00974361"/>
    <w:rsid w:val="009743F4"/>
    <w:rsid w:val="0097618F"/>
    <w:rsid w:val="0097722D"/>
    <w:rsid w:val="009804C1"/>
    <w:rsid w:val="00980705"/>
    <w:rsid w:val="00980D1F"/>
    <w:rsid w:val="00980DF8"/>
    <w:rsid w:val="00980FE1"/>
    <w:rsid w:val="00981256"/>
    <w:rsid w:val="009816B2"/>
    <w:rsid w:val="0098170D"/>
    <w:rsid w:val="009826DC"/>
    <w:rsid w:val="00982FAC"/>
    <w:rsid w:val="009834A0"/>
    <w:rsid w:val="00983E39"/>
    <w:rsid w:val="00984DD5"/>
    <w:rsid w:val="0098532F"/>
    <w:rsid w:val="009858CF"/>
    <w:rsid w:val="00985B92"/>
    <w:rsid w:val="00985D19"/>
    <w:rsid w:val="00986FC9"/>
    <w:rsid w:val="00987B4E"/>
    <w:rsid w:val="0099020D"/>
    <w:rsid w:val="0099073D"/>
    <w:rsid w:val="00991B3D"/>
    <w:rsid w:val="00992DBB"/>
    <w:rsid w:val="00993BB9"/>
    <w:rsid w:val="00994462"/>
    <w:rsid w:val="00994ACD"/>
    <w:rsid w:val="00996FF7"/>
    <w:rsid w:val="009A0165"/>
    <w:rsid w:val="009A01F5"/>
    <w:rsid w:val="009A0205"/>
    <w:rsid w:val="009A035D"/>
    <w:rsid w:val="009A06E4"/>
    <w:rsid w:val="009A0B64"/>
    <w:rsid w:val="009A0DE5"/>
    <w:rsid w:val="009A0F46"/>
    <w:rsid w:val="009A1B5D"/>
    <w:rsid w:val="009A1C91"/>
    <w:rsid w:val="009A21DA"/>
    <w:rsid w:val="009A2740"/>
    <w:rsid w:val="009A2840"/>
    <w:rsid w:val="009A289D"/>
    <w:rsid w:val="009A3A3A"/>
    <w:rsid w:val="009A4249"/>
    <w:rsid w:val="009A47DB"/>
    <w:rsid w:val="009A511B"/>
    <w:rsid w:val="009A5857"/>
    <w:rsid w:val="009A5EBE"/>
    <w:rsid w:val="009A6307"/>
    <w:rsid w:val="009A63F9"/>
    <w:rsid w:val="009A6AA5"/>
    <w:rsid w:val="009A7892"/>
    <w:rsid w:val="009B1232"/>
    <w:rsid w:val="009B1C49"/>
    <w:rsid w:val="009B39B1"/>
    <w:rsid w:val="009B48E8"/>
    <w:rsid w:val="009B49D6"/>
    <w:rsid w:val="009B5E15"/>
    <w:rsid w:val="009B7FEA"/>
    <w:rsid w:val="009C0968"/>
    <w:rsid w:val="009C0CFC"/>
    <w:rsid w:val="009C0D4F"/>
    <w:rsid w:val="009C11B4"/>
    <w:rsid w:val="009C15E8"/>
    <w:rsid w:val="009C1697"/>
    <w:rsid w:val="009C1E8C"/>
    <w:rsid w:val="009C2D54"/>
    <w:rsid w:val="009C36B6"/>
    <w:rsid w:val="009C3E5F"/>
    <w:rsid w:val="009C3EAB"/>
    <w:rsid w:val="009C4E42"/>
    <w:rsid w:val="009C4FA9"/>
    <w:rsid w:val="009C52E2"/>
    <w:rsid w:val="009C5487"/>
    <w:rsid w:val="009C5A20"/>
    <w:rsid w:val="009C6400"/>
    <w:rsid w:val="009C64D4"/>
    <w:rsid w:val="009C6662"/>
    <w:rsid w:val="009C6E84"/>
    <w:rsid w:val="009C7877"/>
    <w:rsid w:val="009D0490"/>
    <w:rsid w:val="009D0A06"/>
    <w:rsid w:val="009D0B1E"/>
    <w:rsid w:val="009D153F"/>
    <w:rsid w:val="009D2585"/>
    <w:rsid w:val="009D2C02"/>
    <w:rsid w:val="009D30F3"/>
    <w:rsid w:val="009D337F"/>
    <w:rsid w:val="009D3685"/>
    <w:rsid w:val="009D3735"/>
    <w:rsid w:val="009D4DF1"/>
    <w:rsid w:val="009D57CA"/>
    <w:rsid w:val="009D738D"/>
    <w:rsid w:val="009D73C4"/>
    <w:rsid w:val="009D7594"/>
    <w:rsid w:val="009D7C10"/>
    <w:rsid w:val="009E09F6"/>
    <w:rsid w:val="009E10CA"/>
    <w:rsid w:val="009E160D"/>
    <w:rsid w:val="009E2377"/>
    <w:rsid w:val="009E4701"/>
    <w:rsid w:val="009E4CF7"/>
    <w:rsid w:val="009E5195"/>
    <w:rsid w:val="009E5332"/>
    <w:rsid w:val="009E5BBD"/>
    <w:rsid w:val="009E5DBB"/>
    <w:rsid w:val="009E6BEA"/>
    <w:rsid w:val="009E6CB3"/>
    <w:rsid w:val="009E6D31"/>
    <w:rsid w:val="009E7509"/>
    <w:rsid w:val="009E7955"/>
    <w:rsid w:val="009F0646"/>
    <w:rsid w:val="009F1492"/>
    <w:rsid w:val="009F2548"/>
    <w:rsid w:val="009F27D9"/>
    <w:rsid w:val="009F2B33"/>
    <w:rsid w:val="009F3529"/>
    <w:rsid w:val="009F3A7D"/>
    <w:rsid w:val="009F4D04"/>
    <w:rsid w:val="009F523B"/>
    <w:rsid w:val="009F56F4"/>
    <w:rsid w:val="009F5E18"/>
    <w:rsid w:val="009F649C"/>
    <w:rsid w:val="009F68C7"/>
    <w:rsid w:val="009F700A"/>
    <w:rsid w:val="009F709D"/>
    <w:rsid w:val="009F7D19"/>
    <w:rsid w:val="00A006D8"/>
    <w:rsid w:val="00A00E28"/>
    <w:rsid w:val="00A00E8E"/>
    <w:rsid w:val="00A01091"/>
    <w:rsid w:val="00A016DA"/>
    <w:rsid w:val="00A018DB"/>
    <w:rsid w:val="00A01DAD"/>
    <w:rsid w:val="00A01DFD"/>
    <w:rsid w:val="00A02130"/>
    <w:rsid w:val="00A02350"/>
    <w:rsid w:val="00A025A0"/>
    <w:rsid w:val="00A02DBB"/>
    <w:rsid w:val="00A02EC0"/>
    <w:rsid w:val="00A03175"/>
    <w:rsid w:val="00A0470C"/>
    <w:rsid w:val="00A0493F"/>
    <w:rsid w:val="00A051A8"/>
    <w:rsid w:val="00A05868"/>
    <w:rsid w:val="00A06782"/>
    <w:rsid w:val="00A0681D"/>
    <w:rsid w:val="00A069B5"/>
    <w:rsid w:val="00A075BF"/>
    <w:rsid w:val="00A10033"/>
    <w:rsid w:val="00A10C65"/>
    <w:rsid w:val="00A11B01"/>
    <w:rsid w:val="00A11B6F"/>
    <w:rsid w:val="00A11FDC"/>
    <w:rsid w:val="00A12735"/>
    <w:rsid w:val="00A12B2F"/>
    <w:rsid w:val="00A14342"/>
    <w:rsid w:val="00A149BB"/>
    <w:rsid w:val="00A152AD"/>
    <w:rsid w:val="00A16121"/>
    <w:rsid w:val="00A16CB8"/>
    <w:rsid w:val="00A1721E"/>
    <w:rsid w:val="00A17868"/>
    <w:rsid w:val="00A17A96"/>
    <w:rsid w:val="00A17C12"/>
    <w:rsid w:val="00A203AE"/>
    <w:rsid w:val="00A20D8B"/>
    <w:rsid w:val="00A20E47"/>
    <w:rsid w:val="00A21658"/>
    <w:rsid w:val="00A21BBE"/>
    <w:rsid w:val="00A221B0"/>
    <w:rsid w:val="00A225A5"/>
    <w:rsid w:val="00A23979"/>
    <w:rsid w:val="00A23B7E"/>
    <w:rsid w:val="00A2422B"/>
    <w:rsid w:val="00A24622"/>
    <w:rsid w:val="00A247F6"/>
    <w:rsid w:val="00A24BD8"/>
    <w:rsid w:val="00A24DA0"/>
    <w:rsid w:val="00A24E80"/>
    <w:rsid w:val="00A26811"/>
    <w:rsid w:val="00A27303"/>
    <w:rsid w:val="00A27629"/>
    <w:rsid w:val="00A27BDD"/>
    <w:rsid w:val="00A300A6"/>
    <w:rsid w:val="00A30524"/>
    <w:rsid w:val="00A31B3C"/>
    <w:rsid w:val="00A31DB4"/>
    <w:rsid w:val="00A3282B"/>
    <w:rsid w:val="00A3383E"/>
    <w:rsid w:val="00A33C91"/>
    <w:rsid w:val="00A33CEC"/>
    <w:rsid w:val="00A34046"/>
    <w:rsid w:val="00A3510D"/>
    <w:rsid w:val="00A357EF"/>
    <w:rsid w:val="00A35C15"/>
    <w:rsid w:val="00A36E32"/>
    <w:rsid w:val="00A37E36"/>
    <w:rsid w:val="00A40023"/>
    <w:rsid w:val="00A41403"/>
    <w:rsid w:val="00A43AD4"/>
    <w:rsid w:val="00A44207"/>
    <w:rsid w:val="00A44394"/>
    <w:rsid w:val="00A444E7"/>
    <w:rsid w:val="00A44AB0"/>
    <w:rsid w:val="00A45429"/>
    <w:rsid w:val="00A4581E"/>
    <w:rsid w:val="00A46C1C"/>
    <w:rsid w:val="00A47559"/>
    <w:rsid w:val="00A47A1E"/>
    <w:rsid w:val="00A47C7E"/>
    <w:rsid w:val="00A47DCB"/>
    <w:rsid w:val="00A50203"/>
    <w:rsid w:val="00A503EA"/>
    <w:rsid w:val="00A50BCF"/>
    <w:rsid w:val="00A50D1E"/>
    <w:rsid w:val="00A50E3B"/>
    <w:rsid w:val="00A50E95"/>
    <w:rsid w:val="00A51898"/>
    <w:rsid w:val="00A526C6"/>
    <w:rsid w:val="00A52C68"/>
    <w:rsid w:val="00A5434E"/>
    <w:rsid w:val="00A5475B"/>
    <w:rsid w:val="00A54A27"/>
    <w:rsid w:val="00A54A39"/>
    <w:rsid w:val="00A550D5"/>
    <w:rsid w:val="00A55169"/>
    <w:rsid w:val="00A551DD"/>
    <w:rsid w:val="00A55ACC"/>
    <w:rsid w:val="00A56399"/>
    <w:rsid w:val="00A5672F"/>
    <w:rsid w:val="00A567D4"/>
    <w:rsid w:val="00A56AB9"/>
    <w:rsid w:val="00A57246"/>
    <w:rsid w:val="00A57DFA"/>
    <w:rsid w:val="00A60E07"/>
    <w:rsid w:val="00A60F0B"/>
    <w:rsid w:val="00A61BB0"/>
    <w:rsid w:val="00A62B12"/>
    <w:rsid w:val="00A631C3"/>
    <w:rsid w:val="00A63248"/>
    <w:rsid w:val="00A6371C"/>
    <w:rsid w:val="00A642B4"/>
    <w:rsid w:val="00A64FBC"/>
    <w:rsid w:val="00A66291"/>
    <w:rsid w:val="00A66F40"/>
    <w:rsid w:val="00A66FF4"/>
    <w:rsid w:val="00A67789"/>
    <w:rsid w:val="00A6791D"/>
    <w:rsid w:val="00A7015E"/>
    <w:rsid w:val="00A7027F"/>
    <w:rsid w:val="00A7064D"/>
    <w:rsid w:val="00A7249D"/>
    <w:rsid w:val="00A72579"/>
    <w:rsid w:val="00A72AB3"/>
    <w:rsid w:val="00A72CB3"/>
    <w:rsid w:val="00A72FE5"/>
    <w:rsid w:val="00A734C0"/>
    <w:rsid w:val="00A74A1B"/>
    <w:rsid w:val="00A806F1"/>
    <w:rsid w:val="00A80BB5"/>
    <w:rsid w:val="00A818A9"/>
    <w:rsid w:val="00A81C9B"/>
    <w:rsid w:val="00A81D07"/>
    <w:rsid w:val="00A83204"/>
    <w:rsid w:val="00A83CD9"/>
    <w:rsid w:val="00A83FB5"/>
    <w:rsid w:val="00A847E6"/>
    <w:rsid w:val="00A8496C"/>
    <w:rsid w:val="00A858A1"/>
    <w:rsid w:val="00A87C75"/>
    <w:rsid w:val="00A9060A"/>
    <w:rsid w:val="00A91447"/>
    <w:rsid w:val="00A91456"/>
    <w:rsid w:val="00A91E31"/>
    <w:rsid w:val="00A92265"/>
    <w:rsid w:val="00A92624"/>
    <w:rsid w:val="00A92B1A"/>
    <w:rsid w:val="00A946B4"/>
    <w:rsid w:val="00A95799"/>
    <w:rsid w:val="00A95B04"/>
    <w:rsid w:val="00A95FB7"/>
    <w:rsid w:val="00A96117"/>
    <w:rsid w:val="00A96296"/>
    <w:rsid w:val="00A964D5"/>
    <w:rsid w:val="00A96540"/>
    <w:rsid w:val="00AA041B"/>
    <w:rsid w:val="00AA06C9"/>
    <w:rsid w:val="00AA08E1"/>
    <w:rsid w:val="00AA1D75"/>
    <w:rsid w:val="00AA2097"/>
    <w:rsid w:val="00AA3B00"/>
    <w:rsid w:val="00AA3CEF"/>
    <w:rsid w:val="00AA41C1"/>
    <w:rsid w:val="00AA436D"/>
    <w:rsid w:val="00AA53F9"/>
    <w:rsid w:val="00AA5C16"/>
    <w:rsid w:val="00AA73CD"/>
    <w:rsid w:val="00AA7499"/>
    <w:rsid w:val="00AA79E3"/>
    <w:rsid w:val="00AA7B6B"/>
    <w:rsid w:val="00AB020B"/>
    <w:rsid w:val="00AB0938"/>
    <w:rsid w:val="00AB1423"/>
    <w:rsid w:val="00AB1AC2"/>
    <w:rsid w:val="00AB1DEF"/>
    <w:rsid w:val="00AB2333"/>
    <w:rsid w:val="00AB28F6"/>
    <w:rsid w:val="00AB2F0D"/>
    <w:rsid w:val="00AB31D2"/>
    <w:rsid w:val="00AB4076"/>
    <w:rsid w:val="00AB465D"/>
    <w:rsid w:val="00AB4822"/>
    <w:rsid w:val="00AB51DC"/>
    <w:rsid w:val="00AB5520"/>
    <w:rsid w:val="00AB58AE"/>
    <w:rsid w:val="00AB5931"/>
    <w:rsid w:val="00AB74B3"/>
    <w:rsid w:val="00AB7851"/>
    <w:rsid w:val="00AC1A3C"/>
    <w:rsid w:val="00AC233A"/>
    <w:rsid w:val="00AC37FA"/>
    <w:rsid w:val="00AC3DCB"/>
    <w:rsid w:val="00AC4026"/>
    <w:rsid w:val="00AC4072"/>
    <w:rsid w:val="00AC4288"/>
    <w:rsid w:val="00AC48E4"/>
    <w:rsid w:val="00AC64B2"/>
    <w:rsid w:val="00AC65B1"/>
    <w:rsid w:val="00AC7193"/>
    <w:rsid w:val="00AC76F8"/>
    <w:rsid w:val="00AC7A65"/>
    <w:rsid w:val="00AC7F97"/>
    <w:rsid w:val="00AD0B48"/>
    <w:rsid w:val="00AD0EC4"/>
    <w:rsid w:val="00AD172B"/>
    <w:rsid w:val="00AD1B27"/>
    <w:rsid w:val="00AD1C38"/>
    <w:rsid w:val="00AD2572"/>
    <w:rsid w:val="00AD2733"/>
    <w:rsid w:val="00AD2776"/>
    <w:rsid w:val="00AD2A4A"/>
    <w:rsid w:val="00AD2ECF"/>
    <w:rsid w:val="00AD355A"/>
    <w:rsid w:val="00AD39CE"/>
    <w:rsid w:val="00AD3A72"/>
    <w:rsid w:val="00AD4185"/>
    <w:rsid w:val="00AD433F"/>
    <w:rsid w:val="00AD46B5"/>
    <w:rsid w:val="00AD4F47"/>
    <w:rsid w:val="00AD6508"/>
    <w:rsid w:val="00AD68EF"/>
    <w:rsid w:val="00AD69F5"/>
    <w:rsid w:val="00AD6FFF"/>
    <w:rsid w:val="00AD7338"/>
    <w:rsid w:val="00AD7E6C"/>
    <w:rsid w:val="00AE0214"/>
    <w:rsid w:val="00AE0389"/>
    <w:rsid w:val="00AE0BB2"/>
    <w:rsid w:val="00AE10F5"/>
    <w:rsid w:val="00AE11DC"/>
    <w:rsid w:val="00AE14B2"/>
    <w:rsid w:val="00AE268E"/>
    <w:rsid w:val="00AE39A1"/>
    <w:rsid w:val="00AE4C00"/>
    <w:rsid w:val="00AE5B8E"/>
    <w:rsid w:val="00AE695E"/>
    <w:rsid w:val="00AE69EE"/>
    <w:rsid w:val="00AE6D5F"/>
    <w:rsid w:val="00AE6E7D"/>
    <w:rsid w:val="00AE778D"/>
    <w:rsid w:val="00AE7C3D"/>
    <w:rsid w:val="00AE7FF1"/>
    <w:rsid w:val="00AF03C1"/>
    <w:rsid w:val="00AF0674"/>
    <w:rsid w:val="00AF14FB"/>
    <w:rsid w:val="00AF2467"/>
    <w:rsid w:val="00AF2E56"/>
    <w:rsid w:val="00AF35F8"/>
    <w:rsid w:val="00AF4074"/>
    <w:rsid w:val="00AF437E"/>
    <w:rsid w:val="00AF5981"/>
    <w:rsid w:val="00AF6545"/>
    <w:rsid w:val="00AF66B4"/>
    <w:rsid w:val="00B000EB"/>
    <w:rsid w:val="00B00105"/>
    <w:rsid w:val="00B00279"/>
    <w:rsid w:val="00B00707"/>
    <w:rsid w:val="00B012A6"/>
    <w:rsid w:val="00B01FA7"/>
    <w:rsid w:val="00B02DA0"/>
    <w:rsid w:val="00B030E7"/>
    <w:rsid w:val="00B037E1"/>
    <w:rsid w:val="00B0399B"/>
    <w:rsid w:val="00B048D3"/>
    <w:rsid w:val="00B04C4B"/>
    <w:rsid w:val="00B04DDE"/>
    <w:rsid w:val="00B055AD"/>
    <w:rsid w:val="00B0607B"/>
    <w:rsid w:val="00B07D39"/>
    <w:rsid w:val="00B10760"/>
    <w:rsid w:val="00B10DF2"/>
    <w:rsid w:val="00B11A45"/>
    <w:rsid w:val="00B12355"/>
    <w:rsid w:val="00B12B95"/>
    <w:rsid w:val="00B133B6"/>
    <w:rsid w:val="00B138EA"/>
    <w:rsid w:val="00B13AB9"/>
    <w:rsid w:val="00B13E03"/>
    <w:rsid w:val="00B13E92"/>
    <w:rsid w:val="00B146D5"/>
    <w:rsid w:val="00B1504F"/>
    <w:rsid w:val="00B15653"/>
    <w:rsid w:val="00B15782"/>
    <w:rsid w:val="00B1588A"/>
    <w:rsid w:val="00B15980"/>
    <w:rsid w:val="00B1623C"/>
    <w:rsid w:val="00B162F8"/>
    <w:rsid w:val="00B1737E"/>
    <w:rsid w:val="00B201C0"/>
    <w:rsid w:val="00B23168"/>
    <w:rsid w:val="00B236E8"/>
    <w:rsid w:val="00B239A9"/>
    <w:rsid w:val="00B2490E"/>
    <w:rsid w:val="00B24AD1"/>
    <w:rsid w:val="00B24B34"/>
    <w:rsid w:val="00B253A6"/>
    <w:rsid w:val="00B256A6"/>
    <w:rsid w:val="00B256A7"/>
    <w:rsid w:val="00B263D3"/>
    <w:rsid w:val="00B27668"/>
    <w:rsid w:val="00B3005F"/>
    <w:rsid w:val="00B30124"/>
    <w:rsid w:val="00B319AA"/>
    <w:rsid w:val="00B3275A"/>
    <w:rsid w:val="00B3368E"/>
    <w:rsid w:val="00B33693"/>
    <w:rsid w:val="00B340EF"/>
    <w:rsid w:val="00B34638"/>
    <w:rsid w:val="00B34998"/>
    <w:rsid w:val="00B34F1B"/>
    <w:rsid w:val="00B36563"/>
    <w:rsid w:val="00B37695"/>
    <w:rsid w:val="00B3776B"/>
    <w:rsid w:val="00B37A99"/>
    <w:rsid w:val="00B404DD"/>
    <w:rsid w:val="00B4119E"/>
    <w:rsid w:val="00B427BD"/>
    <w:rsid w:val="00B429C1"/>
    <w:rsid w:val="00B42BCF"/>
    <w:rsid w:val="00B42D82"/>
    <w:rsid w:val="00B433CD"/>
    <w:rsid w:val="00B437D5"/>
    <w:rsid w:val="00B43C00"/>
    <w:rsid w:val="00B43D3F"/>
    <w:rsid w:val="00B455BE"/>
    <w:rsid w:val="00B46CD3"/>
    <w:rsid w:val="00B46F3E"/>
    <w:rsid w:val="00B4727B"/>
    <w:rsid w:val="00B479B2"/>
    <w:rsid w:val="00B50A08"/>
    <w:rsid w:val="00B50AFD"/>
    <w:rsid w:val="00B5196E"/>
    <w:rsid w:val="00B51B6A"/>
    <w:rsid w:val="00B52690"/>
    <w:rsid w:val="00B529DE"/>
    <w:rsid w:val="00B535B9"/>
    <w:rsid w:val="00B53D68"/>
    <w:rsid w:val="00B54A08"/>
    <w:rsid w:val="00B54C29"/>
    <w:rsid w:val="00B54EA2"/>
    <w:rsid w:val="00B57120"/>
    <w:rsid w:val="00B57B4C"/>
    <w:rsid w:val="00B57E30"/>
    <w:rsid w:val="00B626EA"/>
    <w:rsid w:val="00B62720"/>
    <w:rsid w:val="00B62875"/>
    <w:rsid w:val="00B62F42"/>
    <w:rsid w:val="00B62FB9"/>
    <w:rsid w:val="00B63128"/>
    <w:rsid w:val="00B634F6"/>
    <w:rsid w:val="00B64006"/>
    <w:rsid w:val="00B64650"/>
    <w:rsid w:val="00B646A5"/>
    <w:rsid w:val="00B64E05"/>
    <w:rsid w:val="00B64F46"/>
    <w:rsid w:val="00B64F92"/>
    <w:rsid w:val="00B64FC1"/>
    <w:rsid w:val="00B665B8"/>
    <w:rsid w:val="00B702B1"/>
    <w:rsid w:val="00B70C16"/>
    <w:rsid w:val="00B70CC8"/>
    <w:rsid w:val="00B71FFF"/>
    <w:rsid w:val="00B72D45"/>
    <w:rsid w:val="00B73273"/>
    <w:rsid w:val="00B737F9"/>
    <w:rsid w:val="00B7541E"/>
    <w:rsid w:val="00B75B22"/>
    <w:rsid w:val="00B7615C"/>
    <w:rsid w:val="00B767F5"/>
    <w:rsid w:val="00B7680F"/>
    <w:rsid w:val="00B801DD"/>
    <w:rsid w:val="00B8047F"/>
    <w:rsid w:val="00B8067E"/>
    <w:rsid w:val="00B812CC"/>
    <w:rsid w:val="00B816F4"/>
    <w:rsid w:val="00B819B9"/>
    <w:rsid w:val="00B82860"/>
    <w:rsid w:val="00B82E71"/>
    <w:rsid w:val="00B83E21"/>
    <w:rsid w:val="00B8411E"/>
    <w:rsid w:val="00B84427"/>
    <w:rsid w:val="00B85BE3"/>
    <w:rsid w:val="00B86086"/>
    <w:rsid w:val="00B86626"/>
    <w:rsid w:val="00B8686E"/>
    <w:rsid w:val="00B86B2F"/>
    <w:rsid w:val="00B87F5C"/>
    <w:rsid w:val="00B90EA1"/>
    <w:rsid w:val="00B91436"/>
    <w:rsid w:val="00B91782"/>
    <w:rsid w:val="00B921E7"/>
    <w:rsid w:val="00B92943"/>
    <w:rsid w:val="00B92E2F"/>
    <w:rsid w:val="00B9354F"/>
    <w:rsid w:val="00B9357E"/>
    <w:rsid w:val="00B9487E"/>
    <w:rsid w:val="00B94979"/>
    <w:rsid w:val="00B952DC"/>
    <w:rsid w:val="00B9755C"/>
    <w:rsid w:val="00BA09FE"/>
    <w:rsid w:val="00BA147B"/>
    <w:rsid w:val="00BA21A6"/>
    <w:rsid w:val="00BA3A5C"/>
    <w:rsid w:val="00BA4BEA"/>
    <w:rsid w:val="00BA4E0A"/>
    <w:rsid w:val="00BA6950"/>
    <w:rsid w:val="00BA6CF3"/>
    <w:rsid w:val="00BA762E"/>
    <w:rsid w:val="00BA7D7B"/>
    <w:rsid w:val="00BB06C9"/>
    <w:rsid w:val="00BB090D"/>
    <w:rsid w:val="00BB09C3"/>
    <w:rsid w:val="00BB0EEF"/>
    <w:rsid w:val="00BB0FAE"/>
    <w:rsid w:val="00BB1914"/>
    <w:rsid w:val="00BB2294"/>
    <w:rsid w:val="00BB2BD9"/>
    <w:rsid w:val="00BB316A"/>
    <w:rsid w:val="00BB3C2D"/>
    <w:rsid w:val="00BB714A"/>
    <w:rsid w:val="00BC0F69"/>
    <w:rsid w:val="00BC1037"/>
    <w:rsid w:val="00BC2CD0"/>
    <w:rsid w:val="00BC365C"/>
    <w:rsid w:val="00BC4C4D"/>
    <w:rsid w:val="00BC4DAF"/>
    <w:rsid w:val="00BC5005"/>
    <w:rsid w:val="00BC6022"/>
    <w:rsid w:val="00BC637B"/>
    <w:rsid w:val="00BC75DB"/>
    <w:rsid w:val="00BC7F01"/>
    <w:rsid w:val="00BD0F15"/>
    <w:rsid w:val="00BD113F"/>
    <w:rsid w:val="00BD216D"/>
    <w:rsid w:val="00BD2506"/>
    <w:rsid w:val="00BD2FEE"/>
    <w:rsid w:val="00BD477B"/>
    <w:rsid w:val="00BD4844"/>
    <w:rsid w:val="00BD488C"/>
    <w:rsid w:val="00BD4CB9"/>
    <w:rsid w:val="00BD4E3B"/>
    <w:rsid w:val="00BD538B"/>
    <w:rsid w:val="00BD68EF"/>
    <w:rsid w:val="00BD73E6"/>
    <w:rsid w:val="00BD7FAE"/>
    <w:rsid w:val="00BE09C8"/>
    <w:rsid w:val="00BE0A92"/>
    <w:rsid w:val="00BE1850"/>
    <w:rsid w:val="00BE2B4E"/>
    <w:rsid w:val="00BE2C25"/>
    <w:rsid w:val="00BE2D02"/>
    <w:rsid w:val="00BE2E37"/>
    <w:rsid w:val="00BE3060"/>
    <w:rsid w:val="00BE336E"/>
    <w:rsid w:val="00BE342F"/>
    <w:rsid w:val="00BE3984"/>
    <w:rsid w:val="00BE3B57"/>
    <w:rsid w:val="00BE51D8"/>
    <w:rsid w:val="00BE5E59"/>
    <w:rsid w:val="00BE5F8D"/>
    <w:rsid w:val="00BF0329"/>
    <w:rsid w:val="00BF10B3"/>
    <w:rsid w:val="00BF1635"/>
    <w:rsid w:val="00BF16EB"/>
    <w:rsid w:val="00BF253B"/>
    <w:rsid w:val="00BF2B9A"/>
    <w:rsid w:val="00BF2C07"/>
    <w:rsid w:val="00BF2C4C"/>
    <w:rsid w:val="00BF39D4"/>
    <w:rsid w:val="00BF3E1B"/>
    <w:rsid w:val="00BF4F6E"/>
    <w:rsid w:val="00BF52D6"/>
    <w:rsid w:val="00BF6210"/>
    <w:rsid w:val="00BF7044"/>
    <w:rsid w:val="00BF7202"/>
    <w:rsid w:val="00C00DD2"/>
    <w:rsid w:val="00C02164"/>
    <w:rsid w:val="00C02B6B"/>
    <w:rsid w:val="00C0314F"/>
    <w:rsid w:val="00C034FE"/>
    <w:rsid w:val="00C039C6"/>
    <w:rsid w:val="00C04005"/>
    <w:rsid w:val="00C045DE"/>
    <w:rsid w:val="00C04F94"/>
    <w:rsid w:val="00C05027"/>
    <w:rsid w:val="00C05148"/>
    <w:rsid w:val="00C051D1"/>
    <w:rsid w:val="00C056CA"/>
    <w:rsid w:val="00C069B4"/>
    <w:rsid w:val="00C071B9"/>
    <w:rsid w:val="00C0737C"/>
    <w:rsid w:val="00C076D1"/>
    <w:rsid w:val="00C07CD7"/>
    <w:rsid w:val="00C10601"/>
    <w:rsid w:val="00C11103"/>
    <w:rsid w:val="00C116F0"/>
    <w:rsid w:val="00C117C5"/>
    <w:rsid w:val="00C11EE2"/>
    <w:rsid w:val="00C12120"/>
    <w:rsid w:val="00C13F6C"/>
    <w:rsid w:val="00C14D95"/>
    <w:rsid w:val="00C15E70"/>
    <w:rsid w:val="00C161B7"/>
    <w:rsid w:val="00C17BB0"/>
    <w:rsid w:val="00C17D29"/>
    <w:rsid w:val="00C2011C"/>
    <w:rsid w:val="00C205D4"/>
    <w:rsid w:val="00C2366F"/>
    <w:rsid w:val="00C244DE"/>
    <w:rsid w:val="00C2475B"/>
    <w:rsid w:val="00C24C62"/>
    <w:rsid w:val="00C2587B"/>
    <w:rsid w:val="00C25DF8"/>
    <w:rsid w:val="00C26A67"/>
    <w:rsid w:val="00C27C89"/>
    <w:rsid w:val="00C27E35"/>
    <w:rsid w:val="00C3052F"/>
    <w:rsid w:val="00C31E6E"/>
    <w:rsid w:val="00C332B3"/>
    <w:rsid w:val="00C33C90"/>
    <w:rsid w:val="00C3540A"/>
    <w:rsid w:val="00C357E6"/>
    <w:rsid w:val="00C36090"/>
    <w:rsid w:val="00C368E7"/>
    <w:rsid w:val="00C36AAB"/>
    <w:rsid w:val="00C36D89"/>
    <w:rsid w:val="00C37103"/>
    <w:rsid w:val="00C37D3E"/>
    <w:rsid w:val="00C407E5"/>
    <w:rsid w:val="00C412CC"/>
    <w:rsid w:val="00C41A04"/>
    <w:rsid w:val="00C432C2"/>
    <w:rsid w:val="00C43CCF"/>
    <w:rsid w:val="00C4433A"/>
    <w:rsid w:val="00C44CAE"/>
    <w:rsid w:val="00C44D29"/>
    <w:rsid w:val="00C44FDC"/>
    <w:rsid w:val="00C46508"/>
    <w:rsid w:val="00C47021"/>
    <w:rsid w:val="00C47C92"/>
    <w:rsid w:val="00C47DB5"/>
    <w:rsid w:val="00C507CD"/>
    <w:rsid w:val="00C50C71"/>
    <w:rsid w:val="00C51B0C"/>
    <w:rsid w:val="00C526E0"/>
    <w:rsid w:val="00C551C4"/>
    <w:rsid w:val="00C554BC"/>
    <w:rsid w:val="00C55E57"/>
    <w:rsid w:val="00C56CED"/>
    <w:rsid w:val="00C56D00"/>
    <w:rsid w:val="00C57896"/>
    <w:rsid w:val="00C57CF3"/>
    <w:rsid w:val="00C6142B"/>
    <w:rsid w:val="00C62193"/>
    <w:rsid w:val="00C62A10"/>
    <w:rsid w:val="00C62FBD"/>
    <w:rsid w:val="00C6464A"/>
    <w:rsid w:val="00C65432"/>
    <w:rsid w:val="00C6632D"/>
    <w:rsid w:val="00C667B5"/>
    <w:rsid w:val="00C703F6"/>
    <w:rsid w:val="00C71DCC"/>
    <w:rsid w:val="00C73D11"/>
    <w:rsid w:val="00C73E70"/>
    <w:rsid w:val="00C73FD0"/>
    <w:rsid w:val="00C74C8E"/>
    <w:rsid w:val="00C750C4"/>
    <w:rsid w:val="00C751FB"/>
    <w:rsid w:val="00C75272"/>
    <w:rsid w:val="00C759CF"/>
    <w:rsid w:val="00C75D46"/>
    <w:rsid w:val="00C77136"/>
    <w:rsid w:val="00C778AE"/>
    <w:rsid w:val="00C77959"/>
    <w:rsid w:val="00C80E8B"/>
    <w:rsid w:val="00C81A64"/>
    <w:rsid w:val="00C82073"/>
    <w:rsid w:val="00C8228E"/>
    <w:rsid w:val="00C82540"/>
    <w:rsid w:val="00C829C8"/>
    <w:rsid w:val="00C82C9C"/>
    <w:rsid w:val="00C83210"/>
    <w:rsid w:val="00C833C8"/>
    <w:rsid w:val="00C83693"/>
    <w:rsid w:val="00C83D6A"/>
    <w:rsid w:val="00C847D6"/>
    <w:rsid w:val="00C849D6"/>
    <w:rsid w:val="00C84B25"/>
    <w:rsid w:val="00C84EE8"/>
    <w:rsid w:val="00C85716"/>
    <w:rsid w:val="00C86F06"/>
    <w:rsid w:val="00C870C6"/>
    <w:rsid w:val="00C87866"/>
    <w:rsid w:val="00C87B96"/>
    <w:rsid w:val="00C87CE5"/>
    <w:rsid w:val="00C90090"/>
    <w:rsid w:val="00C9022C"/>
    <w:rsid w:val="00C903A8"/>
    <w:rsid w:val="00C916C7"/>
    <w:rsid w:val="00C91702"/>
    <w:rsid w:val="00C9183A"/>
    <w:rsid w:val="00C91E57"/>
    <w:rsid w:val="00C9213E"/>
    <w:rsid w:val="00C921AA"/>
    <w:rsid w:val="00C92380"/>
    <w:rsid w:val="00C92CF0"/>
    <w:rsid w:val="00C9323E"/>
    <w:rsid w:val="00C936F8"/>
    <w:rsid w:val="00C93DF9"/>
    <w:rsid w:val="00C9436F"/>
    <w:rsid w:val="00C94CE5"/>
    <w:rsid w:val="00C95AE9"/>
    <w:rsid w:val="00C9684D"/>
    <w:rsid w:val="00C97AB4"/>
    <w:rsid w:val="00CA0173"/>
    <w:rsid w:val="00CA0325"/>
    <w:rsid w:val="00CA07D5"/>
    <w:rsid w:val="00CA09C1"/>
    <w:rsid w:val="00CA0B22"/>
    <w:rsid w:val="00CA0CA1"/>
    <w:rsid w:val="00CA105A"/>
    <w:rsid w:val="00CA1B7D"/>
    <w:rsid w:val="00CA21F4"/>
    <w:rsid w:val="00CA3732"/>
    <w:rsid w:val="00CA37B4"/>
    <w:rsid w:val="00CA37C4"/>
    <w:rsid w:val="00CA44B3"/>
    <w:rsid w:val="00CA5032"/>
    <w:rsid w:val="00CA54E5"/>
    <w:rsid w:val="00CA5F4B"/>
    <w:rsid w:val="00CA67E5"/>
    <w:rsid w:val="00CB06BD"/>
    <w:rsid w:val="00CB07E7"/>
    <w:rsid w:val="00CB0DD9"/>
    <w:rsid w:val="00CB1285"/>
    <w:rsid w:val="00CB1495"/>
    <w:rsid w:val="00CB1ACA"/>
    <w:rsid w:val="00CB26EA"/>
    <w:rsid w:val="00CB3B59"/>
    <w:rsid w:val="00CB44C3"/>
    <w:rsid w:val="00CB4672"/>
    <w:rsid w:val="00CB4B94"/>
    <w:rsid w:val="00CB4CD5"/>
    <w:rsid w:val="00CB530D"/>
    <w:rsid w:val="00CB56B8"/>
    <w:rsid w:val="00CB61CC"/>
    <w:rsid w:val="00CB691B"/>
    <w:rsid w:val="00CB6C30"/>
    <w:rsid w:val="00CB6DA2"/>
    <w:rsid w:val="00CB7191"/>
    <w:rsid w:val="00CC03D9"/>
    <w:rsid w:val="00CC161C"/>
    <w:rsid w:val="00CC1F65"/>
    <w:rsid w:val="00CC28BF"/>
    <w:rsid w:val="00CC28C3"/>
    <w:rsid w:val="00CC2BD8"/>
    <w:rsid w:val="00CC307C"/>
    <w:rsid w:val="00CC32F6"/>
    <w:rsid w:val="00CC3A76"/>
    <w:rsid w:val="00CC4B00"/>
    <w:rsid w:val="00CC5C4C"/>
    <w:rsid w:val="00CC723A"/>
    <w:rsid w:val="00CC723C"/>
    <w:rsid w:val="00CD15D6"/>
    <w:rsid w:val="00CD16F8"/>
    <w:rsid w:val="00CD174C"/>
    <w:rsid w:val="00CD1BD8"/>
    <w:rsid w:val="00CD2FBC"/>
    <w:rsid w:val="00CD32A6"/>
    <w:rsid w:val="00CD3479"/>
    <w:rsid w:val="00CD3F01"/>
    <w:rsid w:val="00CD5159"/>
    <w:rsid w:val="00CD51F7"/>
    <w:rsid w:val="00CD67C4"/>
    <w:rsid w:val="00CD6C10"/>
    <w:rsid w:val="00CD71B4"/>
    <w:rsid w:val="00CD7766"/>
    <w:rsid w:val="00CD7B89"/>
    <w:rsid w:val="00CE0DE1"/>
    <w:rsid w:val="00CE1D5E"/>
    <w:rsid w:val="00CE3F47"/>
    <w:rsid w:val="00CE6AE0"/>
    <w:rsid w:val="00CE72FD"/>
    <w:rsid w:val="00CE7678"/>
    <w:rsid w:val="00CE792A"/>
    <w:rsid w:val="00CE7C23"/>
    <w:rsid w:val="00CF06E5"/>
    <w:rsid w:val="00CF07F5"/>
    <w:rsid w:val="00CF0D08"/>
    <w:rsid w:val="00CF14F8"/>
    <w:rsid w:val="00CF2434"/>
    <w:rsid w:val="00CF243E"/>
    <w:rsid w:val="00CF2721"/>
    <w:rsid w:val="00CF2C4F"/>
    <w:rsid w:val="00CF3779"/>
    <w:rsid w:val="00CF3C14"/>
    <w:rsid w:val="00CF3F32"/>
    <w:rsid w:val="00CF5688"/>
    <w:rsid w:val="00CF5ACA"/>
    <w:rsid w:val="00CF60E1"/>
    <w:rsid w:val="00CF621E"/>
    <w:rsid w:val="00CF7800"/>
    <w:rsid w:val="00D00776"/>
    <w:rsid w:val="00D02389"/>
    <w:rsid w:val="00D0247C"/>
    <w:rsid w:val="00D03918"/>
    <w:rsid w:val="00D039CA"/>
    <w:rsid w:val="00D0423A"/>
    <w:rsid w:val="00D047C9"/>
    <w:rsid w:val="00D070FE"/>
    <w:rsid w:val="00D072EC"/>
    <w:rsid w:val="00D07D9A"/>
    <w:rsid w:val="00D104E8"/>
    <w:rsid w:val="00D1056B"/>
    <w:rsid w:val="00D119E2"/>
    <w:rsid w:val="00D12C34"/>
    <w:rsid w:val="00D1315D"/>
    <w:rsid w:val="00D155A0"/>
    <w:rsid w:val="00D16374"/>
    <w:rsid w:val="00D16581"/>
    <w:rsid w:val="00D16692"/>
    <w:rsid w:val="00D1738F"/>
    <w:rsid w:val="00D17CCC"/>
    <w:rsid w:val="00D17F59"/>
    <w:rsid w:val="00D2003D"/>
    <w:rsid w:val="00D21046"/>
    <w:rsid w:val="00D2142C"/>
    <w:rsid w:val="00D21527"/>
    <w:rsid w:val="00D21FAF"/>
    <w:rsid w:val="00D22123"/>
    <w:rsid w:val="00D234FF"/>
    <w:rsid w:val="00D23E5C"/>
    <w:rsid w:val="00D2477B"/>
    <w:rsid w:val="00D25077"/>
    <w:rsid w:val="00D25B9A"/>
    <w:rsid w:val="00D264D7"/>
    <w:rsid w:val="00D268A6"/>
    <w:rsid w:val="00D26E9E"/>
    <w:rsid w:val="00D27604"/>
    <w:rsid w:val="00D27990"/>
    <w:rsid w:val="00D31AC7"/>
    <w:rsid w:val="00D31DA5"/>
    <w:rsid w:val="00D31F94"/>
    <w:rsid w:val="00D3206E"/>
    <w:rsid w:val="00D32E89"/>
    <w:rsid w:val="00D343BE"/>
    <w:rsid w:val="00D34D8E"/>
    <w:rsid w:val="00D35497"/>
    <w:rsid w:val="00D35795"/>
    <w:rsid w:val="00D35BB2"/>
    <w:rsid w:val="00D3639F"/>
    <w:rsid w:val="00D369A6"/>
    <w:rsid w:val="00D37703"/>
    <w:rsid w:val="00D40A33"/>
    <w:rsid w:val="00D40AED"/>
    <w:rsid w:val="00D4165C"/>
    <w:rsid w:val="00D419C6"/>
    <w:rsid w:val="00D4262E"/>
    <w:rsid w:val="00D43CB3"/>
    <w:rsid w:val="00D448A5"/>
    <w:rsid w:val="00D44B89"/>
    <w:rsid w:val="00D44EAC"/>
    <w:rsid w:val="00D45D31"/>
    <w:rsid w:val="00D46F90"/>
    <w:rsid w:val="00D474C9"/>
    <w:rsid w:val="00D47DF7"/>
    <w:rsid w:val="00D5009B"/>
    <w:rsid w:val="00D5017F"/>
    <w:rsid w:val="00D504A5"/>
    <w:rsid w:val="00D50F41"/>
    <w:rsid w:val="00D5156D"/>
    <w:rsid w:val="00D517EC"/>
    <w:rsid w:val="00D52A67"/>
    <w:rsid w:val="00D53031"/>
    <w:rsid w:val="00D5377A"/>
    <w:rsid w:val="00D53E68"/>
    <w:rsid w:val="00D541F0"/>
    <w:rsid w:val="00D5420E"/>
    <w:rsid w:val="00D550AB"/>
    <w:rsid w:val="00D552CE"/>
    <w:rsid w:val="00D5596C"/>
    <w:rsid w:val="00D56A27"/>
    <w:rsid w:val="00D5739A"/>
    <w:rsid w:val="00D57771"/>
    <w:rsid w:val="00D617F1"/>
    <w:rsid w:val="00D61CF9"/>
    <w:rsid w:val="00D62B3D"/>
    <w:rsid w:val="00D630DD"/>
    <w:rsid w:val="00D6313F"/>
    <w:rsid w:val="00D63B66"/>
    <w:rsid w:val="00D64005"/>
    <w:rsid w:val="00D64054"/>
    <w:rsid w:val="00D654D0"/>
    <w:rsid w:val="00D665CB"/>
    <w:rsid w:val="00D66740"/>
    <w:rsid w:val="00D66B84"/>
    <w:rsid w:val="00D7066C"/>
    <w:rsid w:val="00D70D6E"/>
    <w:rsid w:val="00D7197D"/>
    <w:rsid w:val="00D719E6"/>
    <w:rsid w:val="00D71EC2"/>
    <w:rsid w:val="00D72285"/>
    <w:rsid w:val="00D72381"/>
    <w:rsid w:val="00D72984"/>
    <w:rsid w:val="00D7357C"/>
    <w:rsid w:val="00D74DD0"/>
    <w:rsid w:val="00D7567F"/>
    <w:rsid w:val="00D75FB8"/>
    <w:rsid w:val="00D76732"/>
    <w:rsid w:val="00D76C89"/>
    <w:rsid w:val="00D76EC5"/>
    <w:rsid w:val="00D770D9"/>
    <w:rsid w:val="00D77F45"/>
    <w:rsid w:val="00D80A1F"/>
    <w:rsid w:val="00D813C3"/>
    <w:rsid w:val="00D81657"/>
    <w:rsid w:val="00D81C4F"/>
    <w:rsid w:val="00D8257B"/>
    <w:rsid w:val="00D82591"/>
    <w:rsid w:val="00D84F7E"/>
    <w:rsid w:val="00D851EE"/>
    <w:rsid w:val="00D85A35"/>
    <w:rsid w:val="00D85DAF"/>
    <w:rsid w:val="00D87C38"/>
    <w:rsid w:val="00D91101"/>
    <w:rsid w:val="00D922FE"/>
    <w:rsid w:val="00D93200"/>
    <w:rsid w:val="00D9454F"/>
    <w:rsid w:val="00D95C91"/>
    <w:rsid w:val="00D95EC6"/>
    <w:rsid w:val="00D95F09"/>
    <w:rsid w:val="00D95F4B"/>
    <w:rsid w:val="00D95F84"/>
    <w:rsid w:val="00D964D2"/>
    <w:rsid w:val="00D96820"/>
    <w:rsid w:val="00D979E2"/>
    <w:rsid w:val="00DA0374"/>
    <w:rsid w:val="00DA2939"/>
    <w:rsid w:val="00DA2CCF"/>
    <w:rsid w:val="00DA2E20"/>
    <w:rsid w:val="00DA314B"/>
    <w:rsid w:val="00DA3581"/>
    <w:rsid w:val="00DA3D94"/>
    <w:rsid w:val="00DA3E7E"/>
    <w:rsid w:val="00DA568D"/>
    <w:rsid w:val="00DA5787"/>
    <w:rsid w:val="00DA5AA6"/>
    <w:rsid w:val="00DA5E83"/>
    <w:rsid w:val="00DA6141"/>
    <w:rsid w:val="00DA61CB"/>
    <w:rsid w:val="00DA6798"/>
    <w:rsid w:val="00DA6B8E"/>
    <w:rsid w:val="00DA6C3C"/>
    <w:rsid w:val="00DA70CD"/>
    <w:rsid w:val="00DA76F0"/>
    <w:rsid w:val="00DA77BA"/>
    <w:rsid w:val="00DA7F44"/>
    <w:rsid w:val="00DB0067"/>
    <w:rsid w:val="00DB0362"/>
    <w:rsid w:val="00DB0ABB"/>
    <w:rsid w:val="00DB0F71"/>
    <w:rsid w:val="00DB11A3"/>
    <w:rsid w:val="00DB1369"/>
    <w:rsid w:val="00DB1F53"/>
    <w:rsid w:val="00DB278E"/>
    <w:rsid w:val="00DB2E93"/>
    <w:rsid w:val="00DB30DD"/>
    <w:rsid w:val="00DB368A"/>
    <w:rsid w:val="00DB4BBE"/>
    <w:rsid w:val="00DB5644"/>
    <w:rsid w:val="00DB594F"/>
    <w:rsid w:val="00DB595B"/>
    <w:rsid w:val="00DB5D7B"/>
    <w:rsid w:val="00DB6659"/>
    <w:rsid w:val="00DB6CB1"/>
    <w:rsid w:val="00DB7A59"/>
    <w:rsid w:val="00DC088D"/>
    <w:rsid w:val="00DC2873"/>
    <w:rsid w:val="00DC2B8A"/>
    <w:rsid w:val="00DC2F67"/>
    <w:rsid w:val="00DC3421"/>
    <w:rsid w:val="00DC35A7"/>
    <w:rsid w:val="00DC37C2"/>
    <w:rsid w:val="00DC3D2E"/>
    <w:rsid w:val="00DC3E43"/>
    <w:rsid w:val="00DC4C0B"/>
    <w:rsid w:val="00DC4CF3"/>
    <w:rsid w:val="00DC6652"/>
    <w:rsid w:val="00DC7266"/>
    <w:rsid w:val="00DD01A5"/>
    <w:rsid w:val="00DD110A"/>
    <w:rsid w:val="00DD1A4C"/>
    <w:rsid w:val="00DD2BDE"/>
    <w:rsid w:val="00DD313A"/>
    <w:rsid w:val="00DD3311"/>
    <w:rsid w:val="00DD35C9"/>
    <w:rsid w:val="00DD3E7C"/>
    <w:rsid w:val="00DD460A"/>
    <w:rsid w:val="00DD4AE0"/>
    <w:rsid w:val="00DD56F6"/>
    <w:rsid w:val="00DD5897"/>
    <w:rsid w:val="00DD60B7"/>
    <w:rsid w:val="00DD65F1"/>
    <w:rsid w:val="00DD73AA"/>
    <w:rsid w:val="00DD7A43"/>
    <w:rsid w:val="00DD7FDC"/>
    <w:rsid w:val="00DE0919"/>
    <w:rsid w:val="00DE11DC"/>
    <w:rsid w:val="00DE1BD7"/>
    <w:rsid w:val="00DE2460"/>
    <w:rsid w:val="00DE5B1F"/>
    <w:rsid w:val="00DE5DA0"/>
    <w:rsid w:val="00DE6371"/>
    <w:rsid w:val="00DE68CD"/>
    <w:rsid w:val="00DE695E"/>
    <w:rsid w:val="00DE7821"/>
    <w:rsid w:val="00DF00D6"/>
    <w:rsid w:val="00DF0577"/>
    <w:rsid w:val="00DF0709"/>
    <w:rsid w:val="00DF0A6C"/>
    <w:rsid w:val="00DF0C06"/>
    <w:rsid w:val="00DF14B0"/>
    <w:rsid w:val="00DF1D64"/>
    <w:rsid w:val="00DF31CF"/>
    <w:rsid w:val="00DF344B"/>
    <w:rsid w:val="00DF4277"/>
    <w:rsid w:val="00DF43DF"/>
    <w:rsid w:val="00DF46AB"/>
    <w:rsid w:val="00DF4E7F"/>
    <w:rsid w:val="00DF5F90"/>
    <w:rsid w:val="00DF65B6"/>
    <w:rsid w:val="00DF7350"/>
    <w:rsid w:val="00DF7DDB"/>
    <w:rsid w:val="00E00FC2"/>
    <w:rsid w:val="00E0102C"/>
    <w:rsid w:val="00E03036"/>
    <w:rsid w:val="00E036D4"/>
    <w:rsid w:val="00E03E74"/>
    <w:rsid w:val="00E03E9E"/>
    <w:rsid w:val="00E042B1"/>
    <w:rsid w:val="00E049CC"/>
    <w:rsid w:val="00E04AD1"/>
    <w:rsid w:val="00E054EF"/>
    <w:rsid w:val="00E0597B"/>
    <w:rsid w:val="00E06551"/>
    <w:rsid w:val="00E06F8C"/>
    <w:rsid w:val="00E07C1B"/>
    <w:rsid w:val="00E10760"/>
    <w:rsid w:val="00E11476"/>
    <w:rsid w:val="00E11E8F"/>
    <w:rsid w:val="00E12845"/>
    <w:rsid w:val="00E12A43"/>
    <w:rsid w:val="00E13A3B"/>
    <w:rsid w:val="00E1423A"/>
    <w:rsid w:val="00E14C73"/>
    <w:rsid w:val="00E15E54"/>
    <w:rsid w:val="00E160B5"/>
    <w:rsid w:val="00E16257"/>
    <w:rsid w:val="00E167C8"/>
    <w:rsid w:val="00E16CC5"/>
    <w:rsid w:val="00E20157"/>
    <w:rsid w:val="00E205B1"/>
    <w:rsid w:val="00E215AE"/>
    <w:rsid w:val="00E216B7"/>
    <w:rsid w:val="00E21765"/>
    <w:rsid w:val="00E21939"/>
    <w:rsid w:val="00E222F5"/>
    <w:rsid w:val="00E2268B"/>
    <w:rsid w:val="00E251E2"/>
    <w:rsid w:val="00E251EF"/>
    <w:rsid w:val="00E256EB"/>
    <w:rsid w:val="00E25848"/>
    <w:rsid w:val="00E26E3C"/>
    <w:rsid w:val="00E2734F"/>
    <w:rsid w:val="00E27AA5"/>
    <w:rsid w:val="00E27ACD"/>
    <w:rsid w:val="00E27B6E"/>
    <w:rsid w:val="00E303B2"/>
    <w:rsid w:val="00E30D22"/>
    <w:rsid w:val="00E315A9"/>
    <w:rsid w:val="00E31E80"/>
    <w:rsid w:val="00E325EC"/>
    <w:rsid w:val="00E32ED8"/>
    <w:rsid w:val="00E340C8"/>
    <w:rsid w:val="00E34B7D"/>
    <w:rsid w:val="00E37096"/>
    <w:rsid w:val="00E375D4"/>
    <w:rsid w:val="00E403DC"/>
    <w:rsid w:val="00E40AD6"/>
    <w:rsid w:val="00E40DF4"/>
    <w:rsid w:val="00E40E58"/>
    <w:rsid w:val="00E40F43"/>
    <w:rsid w:val="00E41637"/>
    <w:rsid w:val="00E41A90"/>
    <w:rsid w:val="00E43594"/>
    <w:rsid w:val="00E449F5"/>
    <w:rsid w:val="00E44F52"/>
    <w:rsid w:val="00E4566B"/>
    <w:rsid w:val="00E45C16"/>
    <w:rsid w:val="00E4621D"/>
    <w:rsid w:val="00E46FE7"/>
    <w:rsid w:val="00E471C4"/>
    <w:rsid w:val="00E478F3"/>
    <w:rsid w:val="00E501CF"/>
    <w:rsid w:val="00E5062E"/>
    <w:rsid w:val="00E507A5"/>
    <w:rsid w:val="00E522E9"/>
    <w:rsid w:val="00E53AC7"/>
    <w:rsid w:val="00E53E54"/>
    <w:rsid w:val="00E53F28"/>
    <w:rsid w:val="00E5418E"/>
    <w:rsid w:val="00E5603B"/>
    <w:rsid w:val="00E560A5"/>
    <w:rsid w:val="00E57CB4"/>
    <w:rsid w:val="00E60C57"/>
    <w:rsid w:val="00E61391"/>
    <w:rsid w:val="00E61689"/>
    <w:rsid w:val="00E62D6E"/>
    <w:rsid w:val="00E63034"/>
    <w:rsid w:val="00E63B5A"/>
    <w:rsid w:val="00E648A2"/>
    <w:rsid w:val="00E66714"/>
    <w:rsid w:val="00E66CC8"/>
    <w:rsid w:val="00E67D89"/>
    <w:rsid w:val="00E7032B"/>
    <w:rsid w:val="00E704DC"/>
    <w:rsid w:val="00E70CE9"/>
    <w:rsid w:val="00E72987"/>
    <w:rsid w:val="00E734DB"/>
    <w:rsid w:val="00E735A8"/>
    <w:rsid w:val="00E73681"/>
    <w:rsid w:val="00E759CF"/>
    <w:rsid w:val="00E76A2A"/>
    <w:rsid w:val="00E8037B"/>
    <w:rsid w:val="00E80BEB"/>
    <w:rsid w:val="00E8201A"/>
    <w:rsid w:val="00E822CA"/>
    <w:rsid w:val="00E82AC7"/>
    <w:rsid w:val="00E82B99"/>
    <w:rsid w:val="00E82C8A"/>
    <w:rsid w:val="00E83CF7"/>
    <w:rsid w:val="00E84907"/>
    <w:rsid w:val="00E84E31"/>
    <w:rsid w:val="00E8500B"/>
    <w:rsid w:val="00E859DF"/>
    <w:rsid w:val="00E87465"/>
    <w:rsid w:val="00E8791B"/>
    <w:rsid w:val="00E90936"/>
    <w:rsid w:val="00E9120B"/>
    <w:rsid w:val="00E91697"/>
    <w:rsid w:val="00E91999"/>
    <w:rsid w:val="00E9225C"/>
    <w:rsid w:val="00E935D3"/>
    <w:rsid w:val="00E93F63"/>
    <w:rsid w:val="00E941F0"/>
    <w:rsid w:val="00E9422F"/>
    <w:rsid w:val="00E94255"/>
    <w:rsid w:val="00E94EAE"/>
    <w:rsid w:val="00E97CE1"/>
    <w:rsid w:val="00EA07C2"/>
    <w:rsid w:val="00EA08B9"/>
    <w:rsid w:val="00EA0C88"/>
    <w:rsid w:val="00EA14BA"/>
    <w:rsid w:val="00EA1E06"/>
    <w:rsid w:val="00EA2AB0"/>
    <w:rsid w:val="00EA2E76"/>
    <w:rsid w:val="00EA2F2F"/>
    <w:rsid w:val="00EA31D3"/>
    <w:rsid w:val="00EA39B2"/>
    <w:rsid w:val="00EA3DB0"/>
    <w:rsid w:val="00EA413C"/>
    <w:rsid w:val="00EA4463"/>
    <w:rsid w:val="00EA4526"/>
    <w:rsid w:val="00EA46F2"/>
    <w:rsid w:val="00EA4FFC"/>
    <w:rsid w:val="00EA5339"/>
    <w:rsid w:val="00EA5688"/>
    <w:rsid w:val="00EA5D4F"/>
    <w:rsid w:val="00EA7BD2"/>
    <w:rsid w:val="00EA7C9C"/>
    <w:rsid w:val="00EA7CA5"/>
    <w:rsid w:val="00EB0C9B"/>
    <w:rsid w:val="00EB2280"/>
    <w:rsid w:val="00EB24B9"/>
    <w:rsid w:val="00EB29A3"/>
    <w:rsid w:val="00EB29AD"/>
    <w:rsid w:val="00EB2A6B"/>
    <w:rsid w:val="00EB2BC2"/>
    <w:rsid w:val="00EB2DCB"/>
    <w:rsid w:val="00EB2E9D"/>
    <w:rsid w:val="00EB398A"/>
    <w:rsid w:val="00EB3A1A"/>
    <w:rsid w:val="00EB3AAB"/>
    <w:rsid w:val="00EB3E63"/>
    <w:rsid w:val="00EB5062"/>
    <w:rsid w:val="00EB5A6E"/>
    <w:rsid w:val="00EB61F9"/>
    <w:rsid w:val="00EB63B2"/>
    <w:rsid w:val="00EB6630"/>
    <w:rsid w:val="00EB67FB"/>
    <w:rsid w:val="00EB6967"/>
    <w:rsid w:val="00EB6ADD"/>
    <w:rsid w:val="00EB6D2B"/>
    <w:rsid w:val="00EB709C"/>
    <w:rsid w:val="00EC0C29"/>
    <w:rsid w:val="00EC13B2"/>
    <w:rsid w:val="00EC13BA"/>
    <w:rsid w:val="00EC2099"/>
    <w:rsid w:val="00EC2732"/>
    <w:rsid w:val="00EC2C02"/>
    <w:rsid w:val="00EC3910"/>
    <w:rsid w:val="00EC3A3B"/>
    <w:rsid w:val="00EC3DA1"/>
    <w:rsid w:val="00EC47C3"/>
    <w:rsid w:val="00EC498E"/>
    <w:rsid w:val="00EC51A7"/>
    <w:rsid w:val="00EC558E"/>
    <w:rsid w:val="00EC5964"/>
    <w:rsid w:val="00EC5CEE"/>
    <w:rsid w:val="00EC61F5"/>
    <w:rsid w:val="00EC6772"/>
    <w:rsid w:val="00ED033D"/>
    <w:rsid w:val="00ED0D3D"/>
    <w:rsid w:val="00ED0FEF"/>
    <w:rsid w:val="00ED139A"/>
    <w:rsid w:val="00ED1C5C"/>
    <w:rsid w:val="00ED290A"/>
    <w:rsid w:val="00ED2DE4"/>
    <w:rsid w:val="00ED2F50"/>
    <w:rsid w:val="00ED2F7E"/>
    <w:rsid w:val="00ED3776"/>
    <w:rsid w:val="00ED39B0"/>
    <w:rsid w:val="00ED4A24"/>
    <w:rsid w:val="00ED4F49"/>
    <w:rsid w:val="00ED501D"/>
    <w:rsid w:val="00ED501F"/>
    <w:rsid w:val="00ED58E8"/>
    <w:rsid w:val="00ED5C30"/>
    <w:rsid w:val="00ED5E09"/>
    <w:rsid w:val="00ED5E98"/>
    <w:rsid w:val="00ED5F3F"/>
    <w:rsid w:val="00ED6362"/>
    <w:rsid w:val="00ED6485"/>
    <w:rsid w:val="00ED6BEC"/>
    <w:rsid w:val="00ED6CDA"/>
    <w:rsid w:val="00ED71B4"/>
    <w:rsid w:val="00ED7887"/>
    <w:rsid w:val="00ED797B"/>
    <w:rsid w:val="00ED7D81"/>
    <w:rsid w:val="00ED7E95"/>
    <w:rsid w:val="00EE0EEF"/>
    <w:rsid w:val="00EE21B5"/>
    <w:rsid w:val="00EE2D0F"/>
    <w:rsid w:val="00EE302A"/>
    <w:rsid w:val="00EE34CD"/>
    <w:rsid w:val="00EE3557"/>
    <w:rsid w:val="00EE3651"/>
    <w:rsid w:val="00EE370E"/>
    <w:rsid w:val="00EE3C21"/>
    <w:rsid w:val="00EE4F8D"/>
    <w:rsid w:val="00EE523A"/>
    <w:rsid w:val="00EE59B1"/>
    <w:rsid w:val="00EE618F"/>
    <w:rsid w:val="00EE6857"/>
    <w:rsid w:val="00EE7B08"/>
    <w:rsid w:val="00EF0149"/>
    <w:rsid w:val="00EF01D6"/>
    <w:rsid w:val="00EF042C"/>
    <w:rsid w:val="00EF0980"/>
    <w:rsid w:val="00EF09E6"/>
    <w:rsid w:val="00EF0B99"/>
    <w:rsid w:val="00EF11F7"/>
    <w:rsid w:val="00EF317F"/>
    <w:rsid w:val="00EF32A3"/>
    <w:rsid w:val="00EF3775"/>
    <w:rsid w:val="00EF3CD1"/>
    <w:rsid w:val="00EF405B"/>
    <w:rsid w:val="00EF5CD4"/>
    <w:rsid w:val="00EF7B69"/>
    <w:rsid w:val="00EF7C1C"/>
    <w:rsid w:val="00F0038C"/>
    <w:rsid w:val="00F00881"/>
    <w:rsid w:val="00F00966"/>
    <w:rsid w:val="00F0122C"/>
    <w:rsid w:val="00F01D89"/>
    <w:rsid w:val="00F021F3"/>
    <w:rsid w:val="00F03293"/>
    <w:rsid w:val="00F03AA9"/>
    <w:rsid w:val="00F03C02"/>
    <w:rsid w:val="00F043BC"/>
    <w:rsid w:val="00F057D5"/>
    <w:rsid w:val="00F05F5E"/>
    <w:rsid w:val="00F066FD"/>
    <w:rsid w:val="00F06AA6"/>
    <w:rsid w:val="00F06DB4"/>
    <w:rsid w:val="00F0716D"/>
    <w:rsid w:val="00F071C6"/>
    <w:rsid w:val="00F073A9"/>
    <w:rsid w:val="00F1031D"/>
    <w:rsid w:val="00F10691"/>
    <w:rsid w:val="00F110A0"/>
    <w:rsid w:val="00F110DF"/>
    <w:rsid w:val="00F12010"/>
    <w:rsid w:val="00F13ADA"/>
    <w:rsid w:val="00F14531"/>
    <w:rsid w:val="00F1475C"/>
    <w:rsid w:val="00F147AF"/>
    <w:rsid w:val="00F14893"/>
    <w:rsid w:val="00F14FF5"/>
    <w:rsid w:val="00F15D5E"/>
    <w:rsid w:val="00F16021"/>
    <w:rsid w:val="00F163C8"/>
    <w:rsid w:val="00F1666B"/>
    <w:rsid w:val="00F166C2"/>
    <w:rsid w:val="00F16875"/>
    <w:rsid w:val="00F1732B"/>
    <w:rsid w:val="00F173CE"/>
    <w:rsid w:val="00F17BC8"/>
    <w:rsid w:val="00F20206"/>
    <w:rsid w:val="00F2088A"/>
    <w:rsid w:val="00F20DA0"/>
    <w:rsid w:val="00F21214"/>
    <w:rsid w:val="00F21CEC"/>
    <w:rsid w:val="00F21D94"/>
    <w:rsid w:val="00F21DAF"/>
    <w:rsid w:val="00F22599"/>
    <w:rsid w:val="00F22727"/>
    <w:rsid w:val="00F22837"/>
    <w:rsid w:val="00F2348D"/>
    <w:rsid w:val="00F238BB"/>
    <w:rsid w:val="00F239B9"/>
    <w:rsid w:val="00F23F47"/>
    <w:rsid w:val="00F24260"/>
    <w:rsid w:val="00F2443F"/>
    <w:rsid w:val="00F24EB7"/>
    <w:rsid w:val="00F250AF"/>
    <w:rsid w:val="00F25324"/>
    <w:rsid w:val="00F27ABA"/>
    <w:rsid w:val="00F32088"/>
    <w:rsid w:val="00F32AFA"/>
    <w:rsid w:val="00F334B9"/>
    <w:rsid w:val="00F33B4D"/>
    <w:rsid w:val="00F33FEB"/>
    <w:rsid w:val="00F34AB8"/>
    <w:rsid w:val="00F34E0E"/>
    <w:rsid w:val="00F350D3"/>
    <w:rsid w:val="00F35A2F"/>
    <w:rsid w:val="00F362C9"/>
    <w:rsid w:val="00F379EB"/>
    <w:rsid w:val="00F407F0"/>
    <w:rsid w:val="00F40B11"/>
    <w:rsid w:val="00F41A9B"/>
    <w:rsid w:val="00F41F44"/>
    <w:rsid w:val="00F42792"/>
    <w:rsid w:val="00F43303"/>
    <w:rsid w:val="00F433B9"/>
    <w:rsid w:val="00F434E0"/>
    <w:rsid w:val="00F43C65"/>
    <w:rsid w:val="00F45394"/>
    <w:rsid w:val="00F453B8"/>
    <w:rsid w:val="00F45737"/>
    <w:rsid w:val="00F45ACA"/>
    <w:rsid w:val="00F45EE1"/>
    <w:rsid w:val="00F4659B"/>
    <w:rsid w:val="00F4706D"/>
    <w:rsid w:val="00F51AC0"/>
    <w:rsid w:val="00F51F41"/>
    <w:rsid w:val="00F52105"/>
    <w:rsid w:val="00F52C82"/>
    <w:rsid w:val="00F5337F"/>
    <w:rsid w:val="00F53AEA"/>
    <w:rsid w:val="00F53D5F"/>
    <w:rsid w:val="00F540C8"/>
    <w:rsid w:val="00F54A0B"/>
    <w:rsid w:val="00F5515F"/>
    <w:rsid w:val="00F559A5"/>
    <w:rsid w:val="00F562CC"/>
    <w:rsid w:val="00F5665A"/>
    <w:rsid w:val="00F5743B"/>
    <w:rsid w:val="00F60C13"/>
    <w:rsid w:val="00F6111E"/>
    <w:rsid w:val="00F61301"/>
    <w:rsid w:val="00F613BB"/>
    <w:rsid w:val="00F61424"/>
    <w:rsid w:val="00F61BA3"/>
    <w:rsid w:val="00F62036"/>
    <w:rsid w:val="00F6204D"/>
    <w:rsid w:val="00F62287"/>
    <w:rsid w:val="00F6238B"/>
    <w:rsid w:val="00F62C2F"/>
    <w:rsid w:val="00F63086"/>
    <w:rsid w:val="00F63741"/>
    <w:rsid w:val="00F653B5"/>
    <w:rsid w:val="00F65BF0"/>
    <w:rsid w:val="00F66B9E"/>
    <w:rsid w:val="00F67EBA"/>
    <w:rsid w:val="00F7022F"/>
    <w:rsid w:val="00F7049D"/>
    <w:rsid w:val="00F70D6F"/>
    <w:rsid w:val="00F721FF"/>
    <w:rsid w:val="00F72B3D"/>
    <w:rsid w:val="00F72DAE"/>
    <w:rsid w:val="00F7346F"/>
    <w:rsid w:val="00F73BD5"/>
    <w:rsid w:val="00F73D21"/>
    <w:rsid w:val="00F752B1"/>
    <w:rsid w:val="00F75B17"/>
    <w:rsid w:val="00F75B35"/>
    <w:rsid w:val="00F75F93"/>
    <w:rsid w:val="00F76496"/>
    <w:rsid w:val="00F7656E"/>
    <w:rsid w:val="00F77014"/>
    <w:rsid w:val="00F7766B"/>
    <w:rsid w:val="00F77BA6"/>
    <w:rsid w:val="00F81309"/>
    <w:rsid w:val="00F8164A"/>
    <w:rsid w:val="00F81B08"/>
    <w:rsid w:val="00F8266E"/>
    <w:rsid w:val="00F82D07"/>
    <w:rsid w:val="00F835E7"/>
    <w:rsid w:val="00F83EA0"/>
    <w:rsid w:val="00F84D12"/>
    <w:rsid w:val="00F85D99"/>
    <w:rsid w:val="00F87AFA"/>
    <w:rsid w:val="00F9139C"/>
    <w:rsid w:val="00F91500"/>
    <w:rsid w:val="00F919E0"/>
    <w:rsid w:val="00F91A57"/>
    <w:rsid w:val="00F933DF"/>
    <w:rsid w:val="00F93698"/>
    <w:rsid w:val="00F94191"/>
    <w:rsid w:val="00F9431E"/>
    <w:rsid w:val="00F95997"/>
    <w:rsid w:val="00FA07ED"/>
    <w:rsid w:val="00FA147A"/>
    <w:rsid w:val="00FA173A"/>
    <w:rsid w:val="00FA184F"/>
    <w:rsid w:val="00FA1CCF"/>
    <w:rsid w:val="00FA25D4"/>
    <w:rsid w:val="00FA2D45"/>
    <w:rsid w:val="00FA3757"/>
    <w:rsid w:val="00FA3C48"/>
    <w:rsid w:val="00FA3E6D"/>
    <w:rsid w:val="00FA4880"/>
    <w:rsid w:val="00FA4BF0"/>
    <w:rsid w:val="00FA64DB"/>
    <w:rsid w:val="00FA65D1"/>
    <w:rsid w:val="00FA7F68"/>
    <w:rsid w:val="00FB03DA"/>
    <w:rsid w:val="00FB0B3B"/>
    <w:rsid w:val="00FB1051"/>
    <w:rsid w:val="00FB3272"/>
    <w:rsid w:val="00FB356D"/>
    <w:rsid w:val="00FB4063"/>
    <w:rsid w:val="00FB4CD4"/>
    <w:rsid w:val="00FB63F8"/>
    <w:rsid w:val="00FB74AC"/>
    <w:rsid w:val="00FB753F"/>
    <w:rsid w:val="00FC0401"/>
    <w:rsid w:val="00FC1F44"/>
    <w:rsid w:val="00FC2129"/>
    <w:rsid w:val="00FC2F4B"/>
    <w:rsid w:val="00FC39A8"/>
    <w:rsid w:val="00FC3A6B"/>
    <w:rsid w:val="00FC3B03"/>
    <w:rsid w:val="00FC3C05"/>
    <w:rsid w:val="00FC40F4"/>
    <w:rsid w:val="00FC45D3"/>
    <w:rsid w:val="00FC6410"/>
    <w:rsid w:val="00FC7280"/>
    <w:rsid w:val="00FC78D9"/>
    <w:rsid w:val="00FD1216"/>
    <w:rsid w:val="00FD26D2"/>
    <w:rsid w:val="00FD3AF2"/>
    <w:rsid w:val="00FD4012"/>
    <w:rsid w:val="00FD40B7"/>
    <w:rsid w:val="00FD42C7"/>
    <w:rsid w:val="00FD455B"/>
    <w:rsid w:val="00FD4650"/>
    <w:rsid w:val="00FD4F86"/>
    <w:rsid w:val="00FD565B"/>
    <w:rsid w:val="00FD5AE9"/>
    <w:rsid w:val="00FD708B"/>
    <w:rsid w:val="00FD7271"/>
    <w:rsid w:val="00FD7B05"/>
    <w:rsid w:val="00FD7DF3"/>
    <w:rsid w:val="00FE05D4"/>
    <w:rsid w:val="00FE14E6"/>
    <w:rsid w:val="00FE1BD6"/>
    <w:rsid w:val="00FE2419"/>
    <w:rsid w:val="00FE2E16"/>
    <w:rsid w:val="00FE4039"/>
    <w:rsid w:val="00FE555E"/>
    <w:rsid w:val="00FE5D98"/>
    <w:rsid w:val="00FE5FDB"/>
    <w:rsid w:val="00FE66AC"/>
    <w:rsid w:val="00FE6764"/>
    <w:rsid w:val="00FE6791"/>
    <w:rsid w:val="00FE78E5"/>
    <w:rsid w:val="00FF0247"/>
    <w:rsid w:val="00FF111B"/>
    <w:rsid w:val="00FF1421"/>
    <w:rsid w:val="00FF16FD"/>
    <w:rsid w:val="00FF1B5C"/>
    <w:rsid w:val="00FF2B8A"/>
    <w:rsid w:val="00FF2B8E"/>
    <w:rsid w:val="00FF2D8B"/>
    <w:rsid w:val="00FF2E79"/>
    <w:rsid w:val="00FF4202"/>
    <w:rsid w:val="00FF4537"/>
    <w:rsid w:val="00FF472C"/>
    <w:rsid w:val="00FF4A0A"/>
    <w:rsid w:val="00FF4A3E"/>
    <w:rsid w:val="00FF4B29"/>
    <w:rsid w:val="00FF67DE"/>
    <w:rsid w:val="00FF7A1B"/>
    <w:rsid w:val="011473B7"/>
    <w:rsid w:val="011B2144"/>
    <w:rsid w:val="01431A4A"/>
    <w:rsid w:val="0164426F"/>
    <w:rsid w:val="01A324E9"/>
    <w:rsid w:val="01C54B55"/>
    <w:rsid w:val="01CD4DD9"/>
    <w:rsid w:val="01E44FDB"/>
    <w:rsid w:val="02095476"/>
    <w:rsid w:val="020967F0"/>
    <w:rsid w:val="0296055D"/>
    <w:rsid w:val="02B35D48"/>
    <w:rsid w:val="02D0381A"/>
    <w:rsid w:val="02FD1971"/>
    <w:rsid w:val="02FF7A7B"/>
    <w:rsid w:val="031B2C7F"/>
    <w:rsid w:val="032C4E8C"/>
    <w:rsid w:val="0338676F"/>
    <w:rsid w:val="034D09C7"/>
    <w:rsid w:val="03604B36"/>
    <w:rsid w:val="039610A4"/>
    <w:rsid w:val="03970EF3"/>
    <w:rsid w:val="03B91F1D"/>
    <w:rsid w:val="03B94246"/>
    <w:rsid w:val="03BD55AE"/>
    <w:rsid w:val="03D3399E"/>
    <w:rsid w:val="03FE4719"/>
    <w:rsid w:val="03FE4DF0"/>
    <w:rsid w:val="04021815"/>
    <w:rsid w:val="04194CE4"/>
    <w:rsid w:val="04207E21"/>
    <w:rsid w:val="045E6757"/>
    <w:rsid w:val="045F6B9B"/>
    <w:rsid w:val="04664A43"/>
    <w:rsid w:val="04D1736D"/>
    <w:rsid w:val="04D57FCB"/>
    <w:rsid w:val="05113F0C"/>
    <w:rsid w:val="0559183C"/>
    <w:rsid w:val="056A376A"/>
    <w:rsid w:val="05746676"/>
    <w:rsid w:val="05F81055"/>
    <w:rsid w:val="06066A9D"/>
    <w:rsid w:val="06563FCE"/>
    <w:rsid w:val="065906F6"/>
    <w:rsid w:val="06622C7D"/>
    <w:rsid w:val="06691980"/>
    <w:rsid w:val="069A3EBB"/>
    <w:rsid w:val="06C968FB"/>
    <w:rsid w:val="06E57A2A"/>
    <w:rsid w:val="070D6D82"/>
    <w:rsid w:val="07147BAB"/>
    <w:rsid w:val="071E0080"/>
    <w:rsid w:val="073D3CA0"/>
    <w:rsid w:val="073D6DD6"/>
    <w:rsid w:val="075C5614"/>
    <w:rsid w:val="07A62D33"/>
    <w:rsid w:val="07B47EE7"/>
    <w:rsid w:val="07D371FC"/>
    <w:rsid w:val="081859DF"/>
    <w:rsid w:val="08210E81"/>
    <w:rsid w:val="08A2174C"/>
    <w:rsid w:val="08A533B6"/>
    <w:rsid w:val="08D35DAA"/>
    <w:rsid w:val="08E65ADD"/>
    <w:rsid w:val="08EF7436"/>
    <w:rsid w:val="09563B8E"/>
    <w:rsid w:val="096B38AC"/>
    <w:rsid w:val="09954DC5"/>
    <w:rsid w:val="099B705D"/>
    <w:rsid w:val="09B513A5"/>
    <w:rsid w:val="09D04097"/>
    <w:rsid w:val="0A041DCA"/>
    <w:rsid w:val="0A051F93"/>
    <w:rsid w:val="0A073BAC"/>
    <w:rsid w:val="0A717628"/>
    <w:rsid w:val="0AE40B42"/>
    <w:rsid w:val="0AFA60E7"/>
    <w:rsid w:val="0B0E7430"/>
    <w:rsid w:val="0B454EE2"/>
    <w:rsid w:val="0B561C40"/>
    <w:rsid w:val="0B8B296C"/>
    <w:rsid w:val="0BD240F7"/>
    <w:rsid w:val="0BE13394"/>
    <w:rsid w:val="0BE75377"/>
    <w:rsid w:val="0C0544CC"/>
    <w:rsid w:val="0C104C1F"/>
    <w:rsid w:val="0C236700"/>
    <w:rsid w:val="0C3152C1"/>
    <w:rsid w:val="0C6236CC"/>
    <w:rsid w:val="0C70010D"/>
    <w:rsid w:val="0C7B4F16"/>
    <w:rsid w:val="0CB169C3"/>
    <w:rsid w:val="0D38267F"/>
    <w:rsid w:val="0D5364A5"/>
    <w:rsid w:val="0D892EDB"/>
    <w:rsid w:val="0DAA4E50"/>
    <w:rsid w:val="0DAB19A6"/>
    <w:rsid w:val="0DC932D7"/>
    <w:rsid w:val="0DD03D90"/>
    <w:rsid w:val="0DEC0073"/>
    <w:rsid w:val="0E1C3D4F"/>
    <w:rsid w:val="0E5434E9"/>
    <w:rsid w:val="0E9D4A1E"/>
    <w:rsid w:val="0F001570"/>
    <w:rsid w:val="0F81030D"/>
    <w:rsid w:val="0F956847"/>
    <w:rsid w:val="0F980C7B"/>
    <w:rsid w:val="10991687"/>
    <w:rsid w:val="111B02EE"/>
    <w:rsid w:val="113E3FDC"/>
    <w:rsid w:val="11557AE1"/>
    <w:rsid w:val="115F625F"/>
    <w:rsid w:val="11695CA6"/>
    <w:rsid w:val="119B6361"/>
    <w:rsid w:val="11D24C0A"/>
    <w:rsid w:val="12160F3D"/>
    <w:rsid w:val="121A2F8C"/>
    <w:rsid w:val="12294108"/>
    <w:rsid w:val="12296A3A"/>
    <w:rsid w:val="12383670"/>
    <w:rsid w:val="126E269F"/>
    <w:rsid w:val="127C16A5"/>
    <w:rsid w:val="129E10BB"/>
    <w:rsid w:val="12AC765E"/>
    <w:rsid w:val="12C614D5"/>
    <w:rsid w:val="12CD3CFD"/>
    <w:rsid w:val="12E54A8E"/>
    <w:rsid w:val="12F232D0"/>
    <w:rsid w:val="13023513"/>
    <w:rsid w:val="13113756"/>
    <w:rsid w:val="132E255A"/>
    <w:rsid w:val="1354736C"/>
    <w:rsid w:val="137361BF"/>
    <w:rsid w:val="13A929FF"/>
    <w:rsid w:val="13C24A51"/>
    <w:rsid w:val="13CC4D06"/>
    <w:rsid w:val="142A0116"/>
    <w:rsid w:val="143119FB"/>
    <w:rsid w:val="144A20C6"/>
    <w:rsid w:val="14D964F6"/>
    <w:rsid w:val="152A4FA3"/>
    <w:rsid w:val="15633BC1"/>
    <w:rsid w:val="15B17473"/>
    <w:rsid w:val="15D867AD"/>
    <w:rsid w:val="15E45152"/>
    <w:rsid w:val="163A7468"/>
    <w:rsid w:val="1658748E"/>
    <w:rsid w:val="16D3646B"/>
    <w:rsid w:val="16DA0303"/>
    <w:rsid w:val="17707953"/>
    <w:rsid w:val="178B36A1"/>
    <w:rsid w:val="17976192"/>
    <w:rsid w:val="17D905BB"/>
    <w:rsid w:val="17DC4231"/>
    <w:rsid w:val="183A374F"/>
    <w:rsid w:val="183C74C7"/>
    <w:rsid w:val="18A5319B"/>
    <w:rsid w:val="18B52B28"/>
    <w:rsid w:val="18BF1EA7"/>
    <w:rsid w:val="18C75DFD"/>
    <w:rsid w:val="19151A93"/>
    <w:rsid w:val="1917583F"/>
    <w:rsid w:val="19315E61"/>
    <w:rsid w:val="193E101D"/>
    <w:rsid w:val="19540841"/>
    <w:rsid w:val="19A30E80"/>
    <w:rsid w:val="19D075C2"/>
    <w:rsid w:val="19F44FB8"/>
    <w:rsid w:val="1A153D9C"/>
    <w:rsid w:val="1A155C41"/>
    <w:rsid w:val="1A4B40F2"/>
    <w:rsid w:val="1A4E19E1"/>
    <w:rsid w:val="1A6E7911"/>
    <w:rsid w:val="1A8A3DEE"/>
    <w:rsid w:val="1ADF3326"/>
    <w:rsid w:val="1B045BC5"/>
    <w:rsid w:val="1B2B3D6C"/>
    <w:rsid w:val="1B5643D9"/>
    <w:rsid w:val="1B57738F"/>
    <w:rsid w:val="1B6028EE"/>
    <w:rsid w:val="1B61418F"/>
    <w:rsid w:val="1B7D578C"/>
    <w:rsid w:val="1B947CCE"/>
    <w:rsid w:val="1BAF7FB0"/>
    <w:rsid w:val="1BEC2FB3"/>
    <w:rsid w:val="1BFB39E5"/>
    <w:rsid w:val="1BFC2ACA"/>
    <w:rsid w:val="1C124DF9"/>
    <w:rsid w:val="1C1517A1"/>
    <w:rsid w:val="1C676ADD"/>
    <w:rsid w:val="1C817B9F"/>
    <w:rsid w:val="1C8D3242"/>
    <w:rsid w:val="1CB533A4"/>
    <w:rsid w:val="1CFD009B"/>
    <w:rsid w:val="1D9E208B"/>
    <w:rsid w:val="1DBC14DB"/>
    <w:rsid w:val="1DF24184"/>
    <w:rsid w:val="1DFA3861"/>
    <w:rsid w:val="1E04274B"/>
    <w:rsid w:val="1E0E2DA5"/>
    <w:rsid w:val="1E2C3B3A"/>
    <w:rsid w:val="1E6A2FD8"/>
    <w:rsid w:val="1E8079E2"/>
    <w:rsid w:val="1EAD7657"/>
    <w:rsid w:val="1ECC0E79"/>
    <w:rsid w:val="1ED8487F"/>
    <w:rsid w:val="1EDC75E7"/>
    <w:rsid w:val="1EFB52BB"/>
    <w:rsid w:val="1F1926EB"/>
    <w:rsid w:val="1F1C0096"/>
    <w:rsid w:val="1F473FF8"/>
    <w:rsid w:val="1F721A21"/>
    <w:rsid w:val="1F775289"/>
    <w:rsid w:val="1F8A4FBC"/>
    <w:rsid w:val="1F917602"/>
    <w:rsid w:val="1F974FE3"/>
    <w:rsid w:val="1FA83694"/>
    <w:rsid w:val="1FCA4FB8"/>
    <w:rsid w:val="2006356E"/>
    <w:rsid w:val="20282F0E"/>
    <w:rsid w:val="20713A86"/>
    <w:rsid w:val="209D487B"/>
    <w:rsid w:val="20A953AC"/>
    <w:rsid w:val="20C52024"/>
    <w:rsid w:val="20E00C0C"/>
    <w:rsid w:val="20FF1092"/>
    <w:rsid w:val="21196B08"/>
    <w:rsid w:val="214918B6"/>
    <w:rsid w:val="214F03B6"/>
    <w:rsid w:val="215B0293"/>
    <w:rsid w:val="219537A4"/>
    <w:rsid w:val="21C015A7"/>
    <w:rsid w:val="21C8715A"/>
    <w:rsid w:val="2208666C"/>
    <w:rsid w:val="22105521"/>
    <w:rsid w:val="22254E0E"/>
    <w:rsid w:val="226A4C31"/>
    <w:rsid w:val="22835CF3"/>
    <w:rsid w:val="22B67E76"/>
    <w:rsid w:val="22D4654E"/>
    <w:rsid w:val="22EF1233"/>
    <w:rsid w:val="23111B23"/>
    <w:rsid w:val="23190E75"/>
    <w:rsid w:val="23C30A9D"/>
    <w:rsid w:val="23D9206E"/>
    <w:rsid w:val="24113F6E"/>
    <w:rsid w:val="24764DC1"/>
    <w:rsid w:val="24D10F97"/>
    <w:rsid w:val="253B0B07"/>
    <w:rsid w:val="256E2D8B"/>
    <w:rsid w:val="25777813"/>
    <w:rsid w:val="2581355B"/>
    <w:rsid w:val="25AA584B"/>
    <w:rsid w:val="25D446E3"/>
    <w:rsid w:val="25D52D09"/>
    <w:rsid w:val="26117431"/>
    <w:rsid w:val="261B33F3"/>
    <w:rsid w:val="262827A7"/>
    <w:rsid w:val="26390EBE"/>
    <w:rsid w:val="268325A1"/>
    <w:rsid w:val="268A3AF4"/>
    <w:rsid w:val="26A85D28"/>
    <w:rsid w:val="26B41E2F"/>
    <w:rsid w:val="26B50445"/>
    <w:rsid w:val="26C71ADC"/>
    <w:rsid w:val="26EC45CA"/>
    <w:rsid w:val="26EC4E82"/>
    <w:rsid w:val="270F2017"/>
    <w:rsid w:val="27413455"/>
    <w:rsid w:val="274E23DE"/>
    <w:rsid w:val="2751016E"/>
    <w:rsid w:val="275D6B12"/>
    <w:rsid w:val="27B506FD"/>
    <w:rsid w:val="27D843EB"/>
    <w:rsid w:val="281D1A18"/>
    <w:rsid w:val="28537F15"/>
    <w:rsid w:val="285F1E1A"/>
    <w:rsid w:val="287F06EA"/>
    <w:rsid w:val="28CD2F54"/>
    <w:rsid w:val="28E54ED2"/>
    <w:rsid w:val="28FB4835"/>
    <w:rsid w:val="28FD67FF"/>
    <w:rsid w:val="29650277"/>
    <w:rsid w:val="297939AC"/>
    <w:rsid w:val="297D4984"/>
    <w:rsid w:val="29D11A3A"/>
    <w:rsid w:val="29D15596"/>
    <w:rsid w:val="2A2B2EF8"/>
    <w:rsid w:val="2A4370E4"/>
    <w:rsid w:val="2A4B3E74"/>
    <w:rsid w:val="2A6C6D93"/>
    <w:rsid w:val="2A6D6BF8"/>
    <w:rsid w:val="2A831341"/>
    <w:rsid w:val="2ACF254B"/>
    <w:rsid w:val="2AD52EFE"/>
    <w:rsid w:val="2B0100FD"/>
    <w:rsid w:val="2B011EAB"/>
    <w:rsid w:val="2B110340"/>
    <w:rsid w:val="2B2426AA"/>
    <w:rsid w:val="2B2C517A"/>
    <w:rsid w:val="2B4C3B06"/>
    <w:rsid w:val="2B7B1CD4"/>
    <w:rsid w:val="2B9D1BD3"/>
    <w:rsid w:val="2BD33847"/>
    <w:rsid w:val="2BD75CEC"/>
    <w:rsid w:val="2C1106C8"/>
    <w:rsid w:val="2C407BBE"/>
    <w:rsid w:val="2C531232"/>
    <w:rsid w:val="2C8935BA"/>
    <w:rsid w:val="2CA00D0A"/>
    <w:rsid w:val="2CD258AD"/>
    <w:rsid w:val="2CFE48F4"/>
    <w:rsid w:val="2D2307FE"/>
    <w:rsid w:val="2D3630AA"/>
    <w:rsid w:val="2D4C74A5"/>
    <w:rsid w:val="2D55028C"/>
    <w:rsid w:val="2D8E0D27"/>
    <w:rsid w:val="2E7F1A64"/>
    <w:rsid w:val="2EDA6C9B"/>
    <w:rsid w:val="2EDE49DD"/>
    <w:rsid w:val="2EF24CD6"/>
    <w:rsid w:val="2F0D2540"/>
    <w:rsid w:val="2F5A693F"/>
    <w:rsid w:val="2F624903"/>
    <w:rsid w:val="2F6C1017"/>
    <w:rsid w:val="2F851C2B"/>
    <w:rsid w:val="2F8B5E11"/>
    <w:rsid w:val="2F953F5B"/>
    <w:rsid w:val="2F9B6BBA"/>
    <w:rsid w:val="2FA675E1"/>
    <w:rsid w:val="301A3026"/>
    <w:rsid w:val="3048309B"/>
    <w:rsid w:val="3055527C"/>
    <w:rsid w:val="30F74B66"/>
    <w:rsid w:val="30F96E53"/>
    <w:rsid w:val="310271F1"/>
    <w:rsid w:val="3104458E"/>
    <w:rsid w:val="310D71B6"/>
    <w:rsid w:val="313305B8"/>
    <w:rsid w:val="313708CB"/>
    <w:rsid w:val="313C35D6"/>
    <w:rsid w:val="31666F0B"/>
    <w:rsid w:val="31EF5153"/>
    <w:rsid w:val="322E2CC1"/>
    <w:rsid w:val="32566F80"/>
    <w:rsid w:val="32744B8F"/>
    <w:rsid w:val="329C77E0"/>
    <w:rsid w:val="33093FF2"/>
    <w:rsid w:val="330D3AE3"/>
    <w:rsid w:val="33601ACE"/>
    <w:rsid w:val="33813B89"/>
    <w:rsid w:val="33821C32"/>
    <w:rsid w:val="33AC27B5"/>
    <w:rsid w:val="33FC5905"/>
    <w:rsid w:val="3424001A"/>
    <w:rsid w:val="34587BAC"/>
    <w:rsid w:val="3459046D"/>
    <w:rsid w:val="345A5CDB"/>
    <w:rsid w:val="348304E7"/>
    <w:rsid w:val="34DC1F18"/>
    <w:rsid w:val="35131158"/>
    <w:rsid w:val="356928AF"/>
    <w:rsid w:val="359E15E2"/>
    <w:rsid w:val="35D46B3A"/>
    <w:rsid w:val="36215AC7"/>
    <w:rsid w:val="363C351B"/>
    <w:rsid w:val="36A01C7A"/>
    <w:rsid w:val="36BC7573"/>
    <w:rsid w:val="36CA3A99"/>
    <w:rsid w:val="36D86C0D"/>
    <w:rsid w:val="36FB77C2"/>
    <w:rsid w:val="37386C54"/>
    <w:rsid w:val="373A1EFF"/>
    <w:rsid w:val="37514E7C"/>
    <w:rsid w:val="375B7853"/>
    <w:rsid w:val="37C318AF"/>
    <w:rsid w:val="37CB0907"/>
    <w:rsid w:val="37F4701F"/>
    <w:rsid w:val="37F76B0F"/>
    <w:rsid w:val="39017524"/>
    <w:rsid w:val="39255B4E"/>
    <w:rsid w:val="39820717"/>
    <w:rsid w:val="39A570A9"/>
    <w:rsid w:val="3A013C75"/>
    <w:rsid w:val="3A1F40FB"/>
    <w:rsid w:val="3A353BF0"/>
    <w:rsid w:val="3A6366DE"/>
    <w:rsid w:val="3AD331DF"/>
    <w:rsid w:val="3B263C85"/>
    <w:rsid w:val="3B3B31B7"/>
    <w:rsid w:val="3B7444A1"/>
    <w:rsid w:val="3B7F12F6"/>
    <w:rsid w:val="3B847FBD"/>
    <w:rsid w:val="3BFD4FB1"/>
    <w:rsid w:val="3C161445"/>
    <w:rsid w:val="3C17152E"/>
    <w:rsid w:val="3C4B267E"/>
    <w:rsid w:val="3C6601EC"/>
    <w:rsid w:val="3C7523AB"/>
    <w:rsid w:val="3C7C081B"/>
    <w:rsid w:val="3C7C2505"/>
    <w:rsid w:val="3CB7061B"/>
    <w:rsid w:val="3D5630FB"/>
    <w:rsid w:val="3D6407A3"/>
    <w:rsid w:val="3D962926"/>
    <w:rsid w:val="3DA46DF1"/>
    <w:rsid w:val="3DE713D4"/>
    <w:rsid w:val="3DF04170"/>
    <w:rsid w:val="3E2972F7"/>
    <w:rsid w:val="3E381EFD"/>
    <w:rsid w:val="3E4D56DB"/>
    <w:rsid w:val="3E8804C1"/>
    <w:rsid w:val="3E97296B"/>
    <w:rsid w:val="3EA846BF"/>
    <w:rsid w:val="3ED967CE"/>
    <w:rsid w:val="3FED2FEE"/>
    <w:rsid w:val="3FF0411E"/>
    <w:rsid w:val="3FF64C40"/>
    <w:rsid w:val="400B13AA"/>
    <w:rsid w:val="404B79F8"/>
    <w:rsid w:val="404E74E8"/>
    <w:rsid w:val="405368AD"/>
    <w:rsid w:val="40784565"/>
    <w:rsid w:val="40A6112C"/>
    <w:rsid w:val="40D01062"/>
    <w:rsid w:val="41592C89"/>
    <w:rsid w:val="416D1BF0"/>
    <w:rsid w:val="41924A76"/>
    <w:rsid w:val="419B135E"/>
    <w:rsid w:val="41D37CA5"/>
    <w:rsid w:val="41F52311"/>
    <w:rsid w:val="422A188F"/>
    <w:rsid w:val="42301A8E"/>
    <w:rsid w:val="42426BD9"/>
    <w:rsid w:val="425B44EE"/>
    <w:rsid w:val="427F607F"/>
    <w:rsid w:val="42AD609A"/>
    <w:rsid w:val="42B97A25"/>
    <w:rsid w:val="42BC2E2F"/>
    <w:rsid w:val="436F39FE"/>
    <w:rsid w:val="4392593E"/>
    <w:rsid w:val="439873F8"/>
    <w:rsid w:val="4399767D"/>
    <w:rsid w:val="43D441A9"/>
    <w:rsid w:val="43F56AA3"/>
    <w:rsid w:val="44290050"/>
    <w:rsid w:val="446E1F07"/>
    <w:rsid w:val="44A15C7B"/>
    <w:rsid w:val="44A9589D"/>
    <w:rsid w:val="45365B70"/>
    <w:rsid w:val="45444DCB"/>
    <w:rsid w:val="459F5A93"/>
    <w:rsid w:val="45CA7A30"/>
    <w:rsid w:val="45CE1EE4"/>
    <w:rsid w:val="45F621B4"/>
    <w:rsid w:val="45FB06B0"/>
    <w:rsid w:val="45FC0CDF"/>
    <w:rsid w:val="46767799"/>
    <w:rsid w:val="467D28D5"/>
    <w:rsid w:val="468A243D"/>
    <w:rsid w:val="46A47E62"/>
    <w:rsid w:val="46B856BC"/>
    <w:rsid w:val="46BA50B0"/>
    <w:rsid w:val="46CD5CDF"/>
    <w:rsid w:val="46F012F9"/>
    <w:rsid w:val="47197576"/>
    <w:rsid w:val="471A2341"/>
    <w:rsid w:val="47507FEA"/>
    <w:rsid w:val="476D294A"/>
    <w:rsid w:val="47AA7A75"/>
    <w:rsid w:val="47D209FF"/>
    <w:rsid w:val="47DD2C1E"/>
    <w:rsid w:val="47F866B8"/>
    <w:rsid w:val="481B4154"/>
    <w:rsid w:val="482E032B"/>
    <w:rsid w:val="4840038A"/>
    <w:rsid w:val="485A0F31"/>
    <w:rsid w:val="48616187"/>
    <w:rsid w:val="48DF33D4"/>
    <w:rsid w:val="48E25830"/>
    <w:rsid w:val="48ED301E"/>
    <w:rsid w:val="48F03833"/>
    <w:rsid w:val="493019DF"/>
    <w:rsid w:val="49942410"/>
    <w:rsid w:val="49A3785C"/>
    <w:rsid w:val="49D071C0"/>
    <w:rsid w:val="49D825AA"/>
    <w:rsid w:val="49E05655"/>
    <w:rsid w:val="4A0330F2"/>
    <w:rsid w:val="4A062BE2"/>
    <w:rsid w:val="4A404346"/>
    <w:rsid w:val="4A781081"/>
    <w:rsid w:val="4A9D3546"/>
    <w:rsid w:val="4ADF76BB"/>
    <w:rsid w:val="4AEC002A"/>
    <w:rsid w:val="4B4B5BA4"/>
    <w:rsid w:val="4B540C01"/>
    <w:rsid w:val="4B95421D"/>
    <w:rsid w:val="4C0373D9"/>
    <w:rsid w:val="4C2C4B82"/>
    <w:rsid w:val="4C2C7C0F"/>
    <w:rsid w:val="4C4C2747"/>
    <w:rsid w:val="4C87625C"/>
    <w:rsid w:val="4CC354DE"/>
    <w:rsid w:val="4D7762D0"/>
    <w:rsid w:val="4D8E5C93"/>
    <w:rsid w:val="4D903B74"/>
    <w:rsid w:val="4DFA0CB0"/>
    <w:rsid w:val="4E4D5283"/>
    <w:rsid w:val="4E606D65"/>
    <w:rsid w:val="4E6B160F"/>
    <w:rsid w:val="4E760336"/>
    <w:rsid w:val="4E7A0A5F"/>
    <w:rsid w:val="4EBC01AF"/>
    <w:rsid w:val="4EDD0DB8"/>
    <w:rsid w:val="4EF27870"/>
    <w:rsid w:val="4F35438F"/>
    <w:rsid w:val="4F363F69"/>
    <w:rsid w:val="4F45079D"/>
    <w:rsid w:val="4F810D59"/>
    <w:rsid w:val="4FFC114C"/>
    <w:rsid w:val="500E27F0"/>
    <w:rsid w:val="50B213CE"/>
    <w:rsid w:val="50C87602"/>
    <w:rsid w:val="51071719"/>
    <w:rsid w:val="510734C7"/>
    <w:rsid w:val="511703CE"/>
    <w:rsid w:val="517D392F"/>
    <w:rsid w:val="519122F3"/>
    <w:rsid w:val="51A20A8F"/>
    <w:rsid w:val="51CB045D"/>
    <w:rsid w:val="51F07A9F"/>
    <w:rsid w:val="524A77D1"/>
    <w:rsid w:val="524C01BF"/>
    <w:rsid w:val="524E3378"/>
    <w:rsid w:val="525F5585"/>
    <w:rsid w:val="52715451"/>
    <w:rsid w:val="52CD24EF"/>
    <w:rsid w:val="536E11E4"/>
    <w:rsid w:val="53725DB9"/>
    <w:rsid w:val="539E1218"/>
    <w:rsid w:val="53A21BCD"/>
    <w:rsid w:val="53F964C6"/>
    <w:rsid w:val="540208BE"/>
    <w:rsid w:val="54224844"/>
    <w:rsid w:val="54534179"/>
    <w:rsid w:val="54626AC8"/>
    <w:rsid w:val="54632C3F"/>
    <w:rsid w:val="547277F2"/>
    <w:rsid w:val="54AF6350"/>
    <w:rsid w:val="54DE4E87"/>
    <w:rsid w:val="55AB5DB5"/>
    <w:rsid w:val="55B41744"/>
    <w:rsid w:val="55D818D6"/>
    <w:rsid w:val="55F83D27"/>
    <w:rsid w:val="5604752C"/>
    <w:rsid w:val="560721BC"/>
    <w:rsid w:val="56193EF6"/>
    <w:rsid w:val="56263D1A"/>
    <w:rsid w:val="56D7432E"/>
    <w:rsid w:val="571E156B"/>
    <w:rsid w:val="57303F7D"/>
    <w:rsid w:val="573A3649"/>
    <w:rsid w:val="57580F21"/>
    <w:rsid w:val="5763497E"/>
    <w:rsid w:val="579251E4"/>
    <w:rsid w:val="57A53A3A"/>
    <w:rsid w:val="584D1551"/>
    <w:rsid w:val="587C13DB"/>
    <w:rsid w:val="58BE3005"/>
    <w:rsid w:val="58DD4440"/>
    <w:rsid w:val="58EC42C6"/>
    <w:rsid w:val="592947BA"/>
    <w:rsid w:val="5939034E"/>
    <w:rsid w:val="594352B9"/>
    <w:rsid w:val="596F60AE"/>
    <w:rsid w:val="59CE4445"/>
    <w:rsid w:val="5A0E4094"/>
    <w:rsid w:val="5A1E20C2"/>
    <w:rsid w:val="5A24333C"/>
    <w:rsid w:val="5A357CBF"/>
    <w:rsid w:val="5A3B7A47"/>
    <w:rsid w:val="5A4532B2"/>
    <w:rsid w:val="5A9056E2"/>
    <w:rsid w:val="5ABE2890"/>
    <w:rsid w:val="5ACD39D4"/>
    <w:rsid w:val="5B0B723D"/>
    <w:rsid w:val="5B37709F"/>
    <w:rsid w:val="5BA10461"/>
    <w:rsid w:val="5BCB77E7"/>
    <w:rsid w:val="5BEA3E40"/>
    <w:rsid w:val="5C5B6DBD"/>
    <w:rsid w:val="5C60789B"/>
    <w:rsid w:val="5C7D4F86"/>
    <w:rsid w:val="5CA45C48"/>
    <w:rsid w:val="5CF40B40"/>
    <w:rsid w:val="5D1E5CA6"/>
    <w:rsid w:val="5D301FF8"/>
    <w:rsid w:val="5D3A4C25"/>
    <w:rsid w:val="5D481F40"/>
    <w:rsid w:val="5D4B3FA0"/>
    <w:rsid w:val="5D7E0FB5"/>
    <w:rsid w:val="5DB55BCD"/>
    <w:rsid w:val="5DDC5CDC"/>
    <w:rsid w:val="5DE8500B"/>
    <w:rsid w:val="5DFC012C"/>
    <w:rsid w:val="5EB34C8F"/>
    <w:rsid w:val="5EBF1885"/>
    <w:rsid w:val="5ED74E21"/>
    <w:rsid w:val="5F337B7D"/>
    <w:rsid w:val="5F3C4C84"/>
    <w:rsid w:val="5F701483"/>
    <w:rsid w:val="5FC324AB"/>
    <w:rsid w:val="5FD82410"/>
    <w:rsid w:val="5FF067F2"/>
    <w:rsid w:val="5FFC08B7"/>
    <w:rsid w:val="5FFE2E5B"/>
    <w:rsid w:val="602D0A71"/>
    <w:rsid w:val="6051475F"/>
    <w:rsid w:val="609C1EB0"/>
    <w:rsid w:val="60C3607A"/>
    <w:rsid w:val="60FE69AF"/>
    <w:rsid w:val="61066D33"/>
    <w:rsid w:val="61273712"/>
    <w:rsid w:val="613E2DF6"/>
    <w:rsid w:val="613F280A"/>
    <w:rsid w:val="61671D60"/>
    <w:rsid w:val="61AF3E33"/>
    <w:rsid w:val="61C55405"/>
    <w:rsid w:val="61D25D9B"/>
    <w:rsid w:val="61F41846"/>
    <w:rsid w:val="61FE0917"/>
    <w:rsid w:val="620A12CA"/>
    <w:rsid w:val="62165216"/>
    <w:rsid w:val="62C05BCC"/>
    <w:rsid w:val="635D166D"/>
    <w:rsid w:val="64406FC4"/>
    <w:rsid w:val="646B1B68"/>
    <w:rsid w:val="648A0240"/>
    <w:rsid w:val="64966BE4"/>
    <w:rsid w:val="64C74A0D"/>
    <w:rsid w:val="64FD41BE"/>
    <w:rsid w:val="65063A90"/>
    <w:rsid w:val="651B533C"/>
    <w:rsid w:val="654E0AAD"/>
    <w:rsid w:val="65DE4CE7"/>
    <w:rsid w:val="66071BDE"/>
    <w:rsid w:val="664034E9"/>
    <w:rsid w:val="66A001EE"/>
    <w:rsid w:val="66B23A7E"/>
    <w:rsid w:val="66B82FCF"/>
    <w:rsid w:val="66C7577B"/>
    <w:rsid w:val="66E300DB"/>
    <w:rsid w:val="670C7632"/>
    <w:rsid w:val="671309C0"/>
    <w:rsid w:val="679A4C3E"/>
    <w:rsid w:val="68065131"/>
    <w:rsid w:val="681B6E66"/>
    <w:rsid w:val="68441D23"/>
    <w:rsid w:val="689773CF"/>
    <w:rsid w:val="68CF0917"/>
    <w:rsid w:val="69085BD7"/>
    <w:rsid w:val="691150BC"/>
    <w:rsid w:val="69360585"/>
    <w:rsid w:val="693764BC"/>
    <w:rsid w:val="69382A2C"/>
    <w:rsid w:val="69434640"/>
    <w:rsid w:val="69565192"/>
    <w:rsid w:val="69594684"/>
    <w:rsid w:val="695F0D98"/>
    <w:rsid w:val="69DB5D7C"/>
    <w:rsid w:val="6A016E46"/>
    <w:rsid w:val="6A1862EE"/>
    <w:rsid w:val="6A4D41E9"/>
    <w:rsid w:val="6A505A87"/>
    <w:rsid w:val="6A5135AE"/>
    <w:rsid w:val="6AE34B4E"/>
    <w:rsid w:val="6AFB6F7F"/>
    <w:rsid w:val="6B166CD1"/>
    <w:rsid w:val="6B2D6E6C"/>
    <w:rsid w:val="6B385C49"/>
    <w:rsid w:val="6BDC2773"/>
    <w:rsid w:val="6C545122"/>
    <w:rsid w:val="6C6C00BA"/>
    <w:rsid w:val="6C920B69"/>
    <w:rsid w:val="6C9446F5"/>
    <w:rsid w:val="6CB3536E"/>
    <w:rsid w:val="6CC4639B"/>
    <w:rsid w:val="6CD3133C"/>
    <w:rsid w:val="6D1D63C6"/>
    <w:rsid w:val="6D3B47CD"/>
    <w:rsid w:val="6D626411"/>
    <w:rsid w:val="6DAC11D0"/>
    <w:rsid w:val="6DEF7AF4"/>
    <w:rsid w:val="6DF87AF7"/>
    <w:rsid w:val="6E027099"/>
    <w:rsid w:val="6E1119D2"/>
    <w:rsid w:val="6EB3379C"/>
    <w:rsid w:val="6F1359BD"/>
    <w:rsid w:val="6F16439A"/>
    <w:rsid w:val="6F891280"/>
    <w:rsid w:val="6F906926"/>
    <w:rsid w:val="6FD360C5"/>
    <w:rsid w:val="6FE1733C"/>
    <w:rsid w:val="701A2DBF"/>
    <w:rsid w:val="70CD2A9F"/>
    <w:rsid w:val="70E70B82"/>
    <w:rsid w:val="710E63FD"/>
    <w:rsid w:val="715E6A26"/>
    <w:rsid w:val="717A5259"/>
    <w:rsid w:val="71A60683"/>
    <w:rsid w:val="71B44B4E"/>
    <w:rsid w:val="72200435"/>
    <w:rsid w:val="725F4BB0"/>
    <w:rsid w:val="728704B4"/>
    <w:rsid w:val="72927005"/>
    <w:rsid w:val="72A77E7B"/>
    <w:rsid w:val="72AC6C58"/>
    <w:rsid w:val="72E53669"/>
    <w:rsid w:val="72EB6979"/>
    <w:rsid w:val="730F1B13"/>
    <w:rsid w:val="73505BF0"/>
    <w:rsid w:val="7352461E"/>
    <w:rsid w:val="73F531FC"/>
    <w:rsid w:val="74312486"/>
    <w:rsid w:val="743261FE"/>
    <w:rsid w:val="748372AA"/>
    <w:rsid w:val="748A7DE8"/>
    <w:rsid w:val="74962C31"/>
    <w:rsid w:val="74BE7A92"/>
    <w:rsid w:val="74EA4FDD"/>
    <w:rsid w:val="75061B64"/>
    <w:rsid w:val="752C0E9F"/>
    <w:rsid w:val="75427DFE"/>
    <w:rsid w:val="759A22AD"/>
    <w:rsid w:val="75BA64AB"/>
    <w:rsid w:val="761600B6"/>
    <w:rsid w:val="763C15B6"/>
    <w:rsid w:val="764861AD"/>
    <w:rsid w:val="766E211A"/>
    <w:rsid w:val="76AC04E9"/>
    <w:rsid w:val="76D66732"/>
    <w:rsid w:val="771C566F"/>
    <w:rsid w:val="77387FCF"/>
    <w:rsid w:val="775A6197"/>
    <w:rsid w:val="77862AE9"/>
    <w:rsid w:val="77AD6983"/>
    <w:rsid w:val="77C269C6"/>
    <w:rsid w:val="77E36DBE"/>
    <w:rsid w:val="78000AED"/>
    <w:rsid w:val="780633AF"/>
    <w:rsid w:val="782567A5"/>
    <w:rsid w:val="78393FFF"/>
    <w:rsid w:val="78746DE5"/>
    <w:rsid w:val="78950E64"/>
    <w:rsid w:val="78B57239"/>
    <w:rsid w:val="78F32400"/>
    <w:rsid w:val="7911045C"/>
    <w:rsid w:val="793B555D"/>
    <w:rsid w:val="79515378"/>
    <w:rsid w:val="79554FB7"/>
    <w:rsid w:val="79751067"/>
    <w:rsid w:val="79B73810"/>
    <w:rsid w:val="79F6450D"/>
    <w:rsid w:val="79FC52E4"/>
    <w:rsid w:val="7A747570"/>
    <w:rsid w:val="7AD0650C"/>
    <w:rsid w:val="7AEA7832"/>
    <w:rsid w:val="7B0A3A31"/>
    <w:rsid w:val="7B28499C"/>
    <w:rsid w:val="7B3A497C"/>
    <w:rsid w:val="7B437FDF"/>
    <w:rsid w:val="7B476A33"/>
    <w:rsid w:val="7B6E2211"/>
    <w:rsid w:val="7B7223D6"/>
    <w:rsid w:val="7B861FC5"/>
    <w:rsid w:val="7B8C2698"/>
    <w:rsid w:val="7BA109FB"/>
    <w:rsid w:val="7BB17C45"/>
    <w:rsid w:val="7BB65736"/>
    <w:rsid w:val="7BC41E31"/>
    <w:rsid w:val="7BCD09DE"/>
    <w:rsid w:val="7C0E60D1"/>
    <w:rsid w:val="7C4C347A"/>
    <w:rsid w:val="7C5A65DC"/>
    <w:rsid w:val="7C8E6F15"/>
    <w:rsid w:val="7CF14CE5"/>
    <w:rsid w:val="7D1B0177"/>
    <w:rsid w:val="7D453655"/>
    <w:rsid w:val="7D7D15ED"/>
    <w:rsid w:val="7D7D678B"/>
    <w:rsid w:val="7D932742"/>
    <w:rsid w:val="7D983576"/>
    <w:rsid w:val="7DBA0D19"/>
    <w:rsid w:val="7E087814"/>
    <w:rsid w:val="7E2C4AFF"/>
    <w:rsid w:val="7E6B21F2"/>
    <w:rsid w:val="7E6B79EA"/>
    <w:rsid w:val="7EBB576E"/>
    <w:rsid w:val="7ED61168"/>
    <w:rsid w:val="7EE43213"/>
    <w:rsid w:val="7F127358"/>
    <w:rsid w:val="7F1864F8"/>
    <w:rsid w:val="7F7737E9"/>
    <w:rsid w:val="7F972712"/>
    <w:rsid w:val="7F9B76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qFormat="1" w:unhideWhenUsed="0" w:uiPriority="99" w:semiHidden="0" w:name="table of figures"/>
    <w:lsdException w:uiPriority="0" w:name="envelope address"/>
    <w:lsdException w:qFormat="1" w:unhideWhenUsed="0" w:uiPriority="0" w:semiHidden="0" w:name="envelope return"/>
    <w:lsdException w:uiPriority="0" w:name="footnote reference"/>
    <w:lsdException w:qFormat="1" w:unhideWhenUsed="0" w:uiPriority="99"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nhideWhenUsed="0" w:uiPriority="0" w:semiHidden="0" w:name="macro"/>
    <w:lsdException w:unhideWhenUsed="0" w:uiPriority="0" w:semiHidden="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99" w:semiHidden="0" w:name="List Number 3"/>
    <w:lsdException w:uiPriority="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uiPriority="0"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qFormat="1" w:unhideWhenUsed="0" w:uiPriority="99" w:semiHidden="0" w:name="HTML Typewriter"/>
    <w:lsdException w:uiPriority="0" w:name="HTML Variable"/>
    <w:lsdException w:qFormat="1" w:uiPriority="99" w:semiHidden="0"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qFormat="1" w:unhideWhenUsed="0" w:uiPriority="1" w:semiHidden="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3">
    <w:name w:val="heading 1"/>
    <w:basedOn w:val="1"/>
    <w:next w:val="1"/>
    <w:link w:val="56"/>
    <w:qFormat/>
    <w:uiPriority w:val="9"/>
    <w:pPr>
      <w:keepNext/>
      <w:spacing w:line="380" w:lineRule="exact"/>
      <w:jc w:val="center"/>
      <w:outlineLvl w:val="0"/>
    </w:pPr>
    <w:rPr>
      <w:rFonts w:ascii="宋体" w:hAnsi="宋体"/>
      <w:b/>
      <w:kern w:val="44"/>
      <w:sz w:val="44"/>
      <w:szCs w:val="44"/>
    </w:rPr>
  </w:style>
  <w:style w:type="paragraph" w:styleId="4">
    <w:name w:val="heading 2"/>
    <w:basedOn w:val="1"/>
    <w:next w:val="1"/>
    <w:link w:val="82"/>
    <w:qFormat/>
    <w:uiPriority w:val="9"/>
    <w:pPr>
      <w:keepNext/>
      <w:keepLines/>
      <w:tabs>
        <w:tab w:val="left" w:pos="578"/>
      </w:tabs>
      <w:spacing w:beforeLines="50" w:afterLines="50" w:line="360" w:lineRule="auto"/>
      <w:ind w:left="578" w:hanging="578"/>
      <w:outlineLvl w:val="1"/>
    </w:pPr>
    <w:rPr>
      <w:rFonts w:ascii="Cambria" w:hAnsi="Cambria"/>
      <w:szCs w:val="21"/>
    </w:rPr>
  </w:style>
  <w:style w:type="paragraph" w:styleId="5">
    <w:name w:val="heading 3"/>
    <w:basedOn w:val="1"/>
    <w:next w:val="1"/>
    <w:link w:val="58"/>
    <w:qFormat/>
    <w:uiPriority w:val="9"/>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6">
    <w:name w:val="heading 4"/>
    <w:basedOn w:val="1"/>
    <w:next w:val="1"/>
    <w:link w:val="59"/>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7">
    <w:name w:val="heading 5"/>
    <w:basedOn w:val="1"/>
    <w:next w:val="1"/>
    <w:link w:val="60"/>
    <w:qFormat/>
    <w:uiPriority w:val="9"/>
    <w:pPr>
      <w:keepNext/>
      <w:keepLines/>
      <w:tabs>
        <w:tab w:val="left" w:pos="1548"/>
      </w:tabs>
      <w:spacing w:before="280" w:after="290" w:line="376" w:lineRule="auto"/>
      <w:ind w:left="1548" w:hanging="1548"/>
      <w:outlineLvl w:val="4"/>
    </w:pPr>
    <w:rPr>
      <w:b/>
      <w:sz w:val="28"/>
    </w:rPr>
  </w:style>
  <w:style w:type="paragraph" w:styleId="8">
    <w:name w:val="heading 6"/>
    <w:basedOn w:val="1"/>
    <w:next w:val="1"/>
    <w:link w:val="61"/>
    <w:qFormat/>
    <w:uiPriority w:val="9"/>
    <w:pPr>
      <w:keepNext/>
      <w:keepLines/>
      <w:spacing w:before="240" w:after="64" w:line="320" w:lineRule="auto"/>
      <w:outlineLvl w:val="5"/>
    </w:pPr>
    <w:rPr>
      <w:rFonts w:ascii="Cambria" w:hAnsi="Cambria"/>
      <w:b/>
      <w:sz w:val="24"/>
    </w:rPr>
  </w:style>
  <w:style w:type="paragraph" w:styleId="9">
    <w:name w:val="heading 7"/>
    <w:basedOn w:val="1"/>
    <w:next w:val="1"/>
    <w:link w:val="62"/>
    <w:qFormat/>
    <w:uiPriority w:val="9"/>
    <w:pPr>
      <w:keepNext/>
      <w:keepLines/>
      <w:tabs>
        <w:tab w:val="left" w:pos="1296"/>
      </w:tabs>
      <w:spacing w:before="240" w:after="64" w:line="317" w:lineRule="auto"/>
      <w:ind w:left="2940" w:hanging="420"/>
      <w:outlineLvl w:val="6"/>
    </w:pPr>
    <w:rPr>
      <w:b/>
      <w:sz w:val="24"/>
    </w:rPr>
  </w:style>
  <w:style w:type="paragraph" w:styleId="10">
    <w:name w:val="heading 8"/>
    <w:basedOn w:val="1"/>
    <w:next w:val="1"/>
    <w:link w:val="63"/>
    <w:qFormat/>
    <w:uiPriority w:val="9"/>
    <w:pPr>
      <w:keepNext/>
      <w:keepLines/>
      <w:tabs>
        <w:tab w:val="left" w:pos="1440"/>
      </w:tabs>
      <w:spacing w:before="240" w:after="64" w:line="317" w:lineRule="auto"/>
      <w:ind w:left="3360" w:hanging="420"/>
      <w:outlineLvl w:val="7"/>
    </w:pPr>
    <w:rPr>
      <w:rFonts w:ascii="Arial" w:hAnsi="Arial" w:eastAsia="黑体"/>
      <w:sz w:val="24"/>
    </w:rPr>
  </w:style>
  <w:style w:type="paragraph" w:styleId="11">
    <w:name w:val="heading 9"/>
    <w:basedOn w:val="1"/>
    <w:next w:val="1"/>
    <w:link w:val="64"/>
    <w:qFormat/>
    <w:uiPriority w:val="9"/>
    <w:pPr>
      <w:keepNext/>
      <w:keepLines/>
      <w:tabs>
        <w:tab w:val="left" w:pos="1584"/>
      </w:tabs>
      <w:spacing w:before="240" w:after="64" w:line="317" w:lineRule="auto"/>
      <w:ind w:left="3780" w:hanging="420"/>
      <w:outlineLvl w:val="8"/>
    </w:pPr>
    <w:rPr>
      <w:rFonts w:ascii="Arial" w:hAnsi="Arial" w:eastAsia="黑体"/>
    </w:rPr>
  </w:style>
  <w:style w:type="character" w:default="1" w:styleId="47">
    <w:name w:val="Default Paragraph Font"/>
    <w:unhideWhenUsed/>
    <w:uiPriority w:val="1"/>
  </w:style>
  <w:style w:type="table" w:default="1" w:styleId="4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45"/>
      <w:tblCellMar>
        <w:top w:w="0" w:type="dxa"/>
        <w:left w:w="108" w:type="dxa"/>
        <w:bottom w:w="0" w:type="dxa"/>
        <w:right w:w="108" w:type="dxa"/>
      </w:tblCellMar>
    </w:tblPr>
  </w:style>
  <w:style w:type="paragraph" w:styleId="2">
    <w:name w:val="Plain Text"/>
    <w:basedOn w:val="1"/>
    <w:link w:val="55"/>
    <w:qFormat/>
    <w:uiPriority w:val="99"/>
    <w:pPr>
      <w:widowControl/>
      <w:spacing w:before="100" w:beforeAutospacing="1" w:after="100" w:afterAutospacing="1"/>
      <w:jc w:val="left"/>
    </w:pPr>
    <w:rPr>
      <w:rFonts w:ascii="宋体" w:hAnsi="Courier New"/>
      <w:kern w:val="0"/>
      <w:sz w:val="20"/>
    </w:rPr>
  </w:style>
  <w:style w:type="paragraph" w:styleId="12">
    <w:name w:val="toc 7"/>
    <w:basedOn w:val="1"/>
    <w:next w:val="1"/>
    <w:qFormat/>
    <w:uiPriority w:val="39"/>
    <w:pPr>
      <w:ind w:left="1260"/>
      <w:jc w:val="left"/>
    </w:pPr>
    <w:rPr>
      <w:sz w:val="18"/>
      <w:szCs w:val="18"/>
    </w:rPr>
  </w:style>
  <w:style w:type="paragraph" w:styleId="13">
    <w:name w:val="Normal Indent"/>
    <w:basedOn w:val="1"/>
    <w:next w:val="1"/>
    <w:link w:val="65"/>
    <w:qFormat/>
    <w:uiPriority w:val="0"/>
    <w:pPr>
      <w:ind w:firstLine="420" w:firstLineChars="200"/>
    </w:pPr>
    <w:rPr>
      <w:rFonts w:ascii="宋体" w:hAnsi="宋体"/>
      <w:spacing w:val="14"/>
      <w:kern w:val="24"/>
      <w:sz w:val="24"/>
      <w:szCs w:val="24"/>
    </w:rPr>
  </w:style>
  <w:style w:type="paragraph" w:styleId="14">
    <w:name w:val="Document Map"/>
    <w:basedOn w:val="1"/>
    <w:link w:val="66"/>
    <w:semiHidden/>
    <w:qFormat/>
    <w:uiPriority w:val="99"/>
    <w:pPr>
      <w:shd w:val="clear" w:color="auto" w:fill="000080"/>
    </w:pPr>
  </w:style>
  <w:style w:type="paragraph" w:styleId="15">
    <w:name w:val="toa heading"/>
    <w:basedOn w:val="1"/>
    <w:next w:val="1"/>
    <w:uiPriority w:val="0"/>
    <w:pPr>
      <w:spacing w:before="120"/>
    </w:pPr>
    <w:rPr>
      <w:rFonts w:ascii="Arial" w:hAnsi="Arial" w:cs="Arial"/>
      <w:sz w:val="24"/>
    </w:rPr>
  </w:style>
  <w:style w:type="paragraph" w:styleId="16">
    <w:name w:val="annotation text"/>
    <w:basedOn w:val="1"/>
    <w:link w:val="67"/>
    <w:qFormat/>
    <w:uiPriority w:val="99"/>
    <w:pPr>
      <w:jc w:val="left"/>
    </w:pPr>
    <w:rPr>
      <w:rFonts w:ascii="宋体" w:hAnsi="宋体"/>
      <w:szCs w:val="21"/>
    </w:rPr>
  </w:style>
  <w:style w:type="paragraph" w:styleId="17">
    <w:name w:val="Body Text 3"/>
    <w:basedOn w:val="1"/>
    <w:link w:val="68"/>
    <w:qFormat/>
    <w:uiPriority w:val="99"/>
    <w:pPr>
      <w:spacing w:after="120" w:line="360" w:lineRule="auto"/>
    </w:pPr>
    <w:rPr>
      <w:kern w:val="0"/>
      <w:sz w:val="16"/>
    </w:rPr>
  </w:style>
  <w:style w:type="paragraph" w:styleId="18">
    <w:name w:val="Body Text"/>
    <w:basedOn w:val="1"/>
    <w:next w:val="19"/>
    <w:link w:val="69"/>
    <w:qFormat/>
    <w:uiPriority w:val="99"/>
    <w:rPr>
      <w:rFonts w:ascii="宋体" w:hAnsi="宋体"/>
      <w:kern w:val="0"/>
      <w:sz w:val="20"/>
    </w:rPr>
  </w:style>
  <w:style w:type="paragraph" w:styleId="19">
    <w:name w:val="toc 2"/>
    <w:basedOn w:val="1"/>
    <w:next w:val="1"/>
    <w:qFormat/>
    <w:uiPriority w:val="39"/>
    <w:pPr>
      <w:ind w:left="210"/>
      <w:jc w:val="left"/>
    </w:pPr>
    <w:rPr>
      <w:smallCaps/>
      <w:sz w:val="20"/>
    </w:rPr>
  </w:style>
  <w:style w:type="paragraph" w:styleId="20">
    <w:name w:val="Body Text Indent"/>
    <w:basedOn w:val="1"/>
    <w:next w:val="1"/>
    <w:link w:val="70"/>
    <w:qFormat/>
    <w:uiPriority w:val="99"/>
    <w:pPr>
      <w:spacing w:line="380" w:lineRule="exact"/>
      <w:ind w:firstLine="480"/>
    </w:pPr>
    <w:rPr>
      <w:rFonts w:eastAsia="方正书宋简体"/>
      <w:sz w:val="24"/>
    </w:rPr>
  </w:style>
  <w:style w:type="paragraph" w:styleId="21">
    <w:name w:val="List Number 3"/>
    <w:basedOn w:val="1"/>
    <w:qFormat/>
    <w:uiPriority w:val="99"/>
    <w:pPr>
      <w:widowControl/>
      <w:tabs>
        <w:tab w:val="left" w:pos="482"/>
      </w:tabs>
      <w:spacing w:afterLines="50"/>
      <w:ind w:left="482" w:hanging="340"/>
      <w:jc w:val="left"/>
    </w:pPr>
    <w:rPr>
      <w:kern w:val="0"/>
      <w:sz w:val="24"/>
    </w:rPr>
  </w:style>
  <w:style w:type="paragraph" w:styleId="22">
    <w:name w:val="toc 5"/>
    <w:basedOn w:val="1"/>
    <w:next w:val="1"/>
    <w:qFormat/>
    <w:uiPriority w:val="39"/>
    <w:pPr>
      <w:ind w:left="840"/>
      <w:jc w:val="left"/>
    </w:pPr>
    <w:rPr>
      <w:sz w:val="18"/>
      <w:szCs w:val="18"/>
    </w:rPr>
  </w:style>
  <w:style w:type="paragraph" w:styleId="23">
    <w:name w:val="toc 3"/>
    <w:basedOn w:val="1"/>
    <w:next w:val="1"/>
    <w:qFormat/>
    <w:uiPriority w:val="39"/>
    <w:pPr>
      <w:ind w:left="420"/>
      <w:jc w:val="left"/>
    </w:pPr>
    <w:rPr>
      <w:i/>
      <w:iCs/>
      <w:sz w:val="20"/>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71"/>
    <w:qFormat/>
    <w:uiPriority w:val="99"/>
    <w:pPr>
      <w:adjustRightInd w:val="0"/>
      <w:spacing w:line="312" w:lineRule="atLeast"/>
      <w:jc w:val="right"/>
      <w:textAlignment w:val="baseline"/>
    </w:pPr>
    <w:rPr>
      <w:rFonts w:ascii="宋体"/>
      <w:kern w:val="0"/>
      <w:sz w:val="24"/>
    </w:rPr>
  </w:style>
  <w:style w:type="paragraph" w:styleId="26">
    <w:name w:val="Body Text Indent 2"/>
    <w:basedOn w:val="1"/>
    <w:link w:val="72"/>
    <w:qFormat/>
    <w:uiPriority w:val="99"/>
    <w:pPr>
      <w:spacing w:line="380" w:lineRule="exact"/>
      <w:ind w:left="840" w:hanging="45"/>
    </w:pPr>
    <w:rPr>
      <w:rFonts w:ascii="宋体"/>
      <w:sz w:val="24"/>
    </w:rPr>
  </w:style>
  <w:style w:type="paragraph" w:styleId="27">
    <w:name w:val="Balloon Text"/>
    <w:basedOn w:val="1"/>
    <w:link w:val="73"/>
    <w:semiHidden/>
    <w:qFormat/>
    <w:uiPriority w:val="99"/>
    <w:rPr>
      <w:rFonts w:ascii="宋体" w:hAnsi="宋体"/>
      <w:sz w:val="18"/>
      <w:szCs w:val="18"/>
    </w:rPr>
  </w:style>
  <w:style w:type="paragraph" w:styleId="28">
    <w:name w:val="footer"/>
    <w:basedOn w:val="1"/>
    <w:link w:val="74"/>
    <w:qFormat/>
    <w:uiPriority w:val="99"/>
    <w:pPr>
      <w:tabs>
        <w:tab w:val="center" w:pos="4153"/>
        <w:tab w:val="right" w:pos="8306"/>
      </w:tabs>
      <w:snapToGrid w:val="0"/>
      <w:jc w:val="left"/>
    </w:pPr>
    <w:rPr>
      <w:rFonts w:ascii="宋体" w:hAnsi="宋体"/>
      <w:sz w:val="18"/>
      <w:szCs w:val="18"/>
    </w:rPr>
  </w:style>
  <w:style w:type="paragraph" w:styleId="29">
    <w:name w:val="envelope return"/>
    <w:basedOn w:val="1"/>
    <w:qFormat/>
    <w:uiPriority w:val="0"/>
    <w:pPr>
      <w:snapToGrid w:val="0"/>
    </w:pPr>
    <w:rPr>
      <w:rFonts w:ascii="Arial" w:hAnsi="Arial"/>
    </w:rPr>
  </w:style>
  <w:style w:type="paragraph" w:styleId="30">
    <w:name w:val="header"/>
    <w:basedOn w:val="1"/>
    <w:link w:val="75"/>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31">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32">
    <w:name w:val="toc 4"/>
    <w:basedOn w:val="1"/>
    <w:next w:val="1"/>
    <w:qFormat/>
    <w:uiPriority w:val="39"/>
    <w:pPr>
      <w:ind w:left="630"/>
      <w:jc w:val="left"/>
    </w:pPr>
    <w:rPr>
      <w:sz w:val="18"/>
      <w:szCs w:val="18"/>
    </w:rPr>
  </w:style>
  <w:style w:type="paragraph" w:styleId="33">
    <w:name w:val="List Number 5"/>
    <w:basedOn w:val="1"/>
    <w:qFormat/>
    <w:uiPriority w:val="99"/>
    <w:pPr>
      <w:tabs>
        <w:tab w:val="left" w:pos="2608"/>
      </w:tabs>
      <w:spacing w:line="360" w:lineRule="auto"/>
      <w:ind w:left="840" w:hanging="360"/>
    </w:pPr>
    <w:rPr>
      <w:sz w:val="24"/>
      <w:szCs w:val="24"/>
    </w:rPr>
  </w:style>
  <w:style w:type="paragraph" w:styleId="34">
    <w:name w:val="toc 6"/>
    <w:basedOn w:val="1"/>
    <w:next w:val="1"/>
    <w:qFormat/>
    <w:uiPriority w:val="39"/>
    <w:pPr>
      <w:ind w:left="1050"/>
      <w:jc w:val="left"/>
    </w:pPr>
    <w:rPr>
      <w:sz w:val="18"/>
      <w:szCs w:val="18"/>
    </w:rPr>
  </w:style>
  <w:style w:type="paragraph" w:styleId="35">
    <w:name w:val="Body Text Indent 3"/>
    <w:basedOn w:val="1"/>
    <w:link w:val="76"/>
    <w:qFormat/>
    <w:uiPriority w:val="99"/>
    <w:pPr>
      <w:spacing w:line="380" w:lineRule="exact"/>
      <w:ind w:left="525"/>
    </w:pPr>
    <w:rPr>
      <w:rFonts w:ascii="宋体" w:hAnsi="宋体"/>
      <w:b/>
      <w:sz w:val="24"/>
      <w:szCs w:val="24"/>
    </w:rPr>
  </w:style>
  <w:style w:type="paragraph" w:styleId="36">
    <w:name w:val="table of figures"/>
    <w:basedOn w:val="1"/>
    <w:next w:val="1"/>
    <w:qFormat/>
    <w:uiPriority w:val="99"/>
    <w:pPr>
      <w:ind w:left="420" w:hanging="420"/>
      <w:jc w:val="left"/>
    </w:pPr>
    <w:rPr>
      <w:smallCaps/>
      <w:sz w:val="20"/>
    </w:rPr>
  </w:style>
  <w:style w:type="paragraph" w:styleId="37">
    <w:name w:val="toc 9"/>
    <w:basedOn w:val="1"/>
    <w:next w:val="1"/>
    <w:qFormat/>
    <w:uiPriority w:val="39"/>
    <w:pPr>
      <w:ind w:left="1680"/>
      <w:jc w:val="left"/>
    </w:pPr>
    <w:rPr>
      <w:sz w:val="18"/>
      <w:szCs w:val="18"/>
    </w:rPr>
  </w:style>
  <w:style w:type="paragraph" w:styleId="38">
    <w:name w:val="Body Text 2"/>
    <w:basedOn w:val="1"/>
    <w:link w:val="77"/>
    <w:qFormat/>
    <w:uiPriority w:val="99"/>
    <w:pPr>
      <w:spacing w:after="120" w:line="480" w:lineRule="auto"/>
    </w:pPr>
    <w:rPr>
      <w:kern w:val="0"/>
      <w:sz w:val="24"/>
    </w:rPr>
  </w:style>
  <w:style w:type="paragraph" w:styleId="39">
    <w:name w:val="HTML Preformatted"/>
    <w:basedOn w:val="1"/>
    <w:link w:val="78"/>
    <w:qFormat/>
    <w:uiPriority w:val="99"/>
    <w:rPr>
      <w:rFonts w:ascii="Courier New" w:hAnsi="Courier New"/>
      <w:sz w:val="20"/>
    </w:rPr>
  </w:style>
  <w:style w:type="paragraph" w:styleId="40">
    <w:name w:val="Normal (Web)"/>
    <w:basedOn w:val="1"/>
    <w:qFormat/>
    <w:uiPriority w:val="99"/>
    <w:pPr>
      <w:widowControl/>
      <w:spacing w:before="100" w:beforeAutospacing="1" w:after="100" w:afterAutospacing="1" w:line="300" w:lineRule="atLeast"/>
      <w:jc w:val="left"/>
    </w:pPr>
    <w:rPr>
      <w:rFonts w:ascii="宋体" w:hAnsi="宋体" w:cs="宋体"/>
      <w:kern w:val="0"/>
      <w:sz w:val="24"/>
      <w:szCs w:val="24"/>
    </w:rPr>
  </w:style>
  <w:style w:type="paragraph" w:styleId="41">
    <w:name w:val="index 1"/>
    <w:basedOn w:val="1"/>
    <w:next w:val="1"/>
    <w:semiHidden/>
    <w:qFormat/>
    <w:uiPriority w:val="99"/>
  </w:style>
  <w:style w:type="paragraph" w:styleId="42">
    <w:name w:val="annotation subject"/>
    <w:basedOn w:val="16"/>
    <w:next w:val="16"/>
    <w:link w:val="79"/>
    <w:semiHidden/>
    <w:qFormat/>
    <w:uiPriority w:val="99"/>
    <w:rPr>
      <w:b/>
    </w:rPr>
  </w:style>
  <w:style w:type="paragraph" w:styleId="43">
    <w:name w:val="Body Text First Indent"/>
    <w:basedOn w:val="18"/>
    <w:link w:val="80"/>
    <w:qFormat/>
    <w:uiPriority w:val="99"/>
    <w:pPr>
      <w:spacing w:after="120"/>
      <w:ind w:firstLine="420" w:firstLineChars="100"/>
    </w:pPr>
    <w:rPr>
      <w:i/>
      <w:kern w:val="2"/>
      <w:sz w:val="24"/>
    </w:rPr>
  </w:style>
  <w:style w:type="paragraph" w:styleId="44">
    <w:name w:val="Body Text First Indent 2"/>
    <w:basedOn w:val="20"/>
    <w:next w:val="1"/>
    <w:link w:val="81"/>
    <w:unhideWhenUsed/>
    <w:uiPriority w:val="0"/>
    <w:pPr>
      <w:ind w:firstLine="420" w:firstLineChars="200"/>
    </w:pPr>
  </w:style>
  <w:style w:type="table" w:styleId="46">
    <w:name w:val="Table Grid"/>
    <w:basedOn w:val="45"/>
    <w:qFormat/>
    <w:uiPriority w:val="59"/>
    <w:pPr>
      <w:widowControl w:val="0"/>
      <w:jc w:val="both"/>
    </w:pPr>
    <w:tblPr>
      <w:tblStyle w:val="4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22"/>
    <w:rPr>
      <w:b/>
    </w:rPr>
  </w:style>
  <w:style w:type="character" w:styleId="49">
    <w:name w:val="page number"/>
    <w:qFormat/>
    <w:uiPriority w:val="99"/>
    <w:rPr>
      <w:rFonts w:cs="Times New Roman"/>
    </w:rPr>
  </w:style>
  <w:style w:type="character" w:styleId="50">
    <w:name w:val="FollowedHyperlink"/>
    <w:qFormat/>
    <w:uiPriority w:val="99"/>
    <w:rPr>
      <w:color w:val="800080"/>
      <w:u w:val="single"/>
    </w:rPr>
  </w:style>
  <w:style w:type="character" w:styleId="51">
    <w:name w:val="Emphasis"/>
    <w:qFormat/>
    <w:uiPriority w:val="20"/>
    <w:rPr>
      <w:i/>
    </w:rPr>
  </w:style>
  <w:style w:type="character" w:styleId="52">
    <w:name w:val="HTML Typewriter"/>
    <w:qFormat/>
    <w:uiPriority w:val="99"/>
    <w:rPr>
      <w:rFonts w:ascii="Courier New" w:hAnsi="Courier New"/>
      <w:sz w:val="20"/>
    </w:rPr>
  </w:style>
  <w:style w:type="character" w:styleId="53">
    <w:name w:val="Hyperlink"/>
    <w:qFormat/>
    <w:uiPriority w:val="99"/>
    <w:rPr>
      <w:color w:val="0000FF"/>
      <w:u w:val="single"/>
    </w:rPr>
  </w:style>
  <w:style w:type="character" w:styleId="54">
    <w:name w:val="annotation reference"/>
    <w:semiHidden/>
    <w:qFormat/>
    <w:uiPriority w:val="99"/>
    <w:rPr>
      <w:sz w:val="21"/>
    </w:rPr>
  </w:style>
  <w:style w:type="character" w:customStyle="1" w:styleId="55">
    <w:name w:val="纯文本 Char3"/>
    <w:link w:val="2"/>
    <w:qFormat/>
    <w:locked/>
    <w:uiPriority w:val="0"/>
    <w:rPr>
      <w:rFonts w:ascii="宋体" w:hAnsi="Courier New" w:eastAsia="宋体" w:cs="宋体"/>
      <w:lang w:val="en-US" w:eastAsia="zh-CN"/>
    </w:rPr>
  </w:style>
  <w:style w:type="character" w:customStyle="1" w:styleId="56">
    <w:name w:val="标题 1 Char1"/>
    <w:link w:val="3"/>
    <w:locked/>
    <w:uiPriority w:val="9"/>
    <w:rPr>
      <w:rFonts w:ascii="宋体" w:hAnsi="宋体" w:eastAsia="宋体" w:cs="宋体"/>
      <w:b/>
      <w:kern w:val="44"/>
      <w:sz w:val="44"/>
      <w:szCs w:val="44"/>
      <w:lang w:val="en-US" w:eastAsia="zh-CN"/>
    </w:rPr>
  </w:style>
  <w:style w:type="character" w:customStyle="1" w:styleId="57">
    <w:name w:val="标题 2 Char1"/>
    <w:link w:val="4"/>
    <w:locked/>
    <w:uiPriority w:val="9"/>
    <w:rPr>
      <w:rFonts w:ascii="Cambria" w:hAnsi="Cambria" w:eastAsia="宋体" w:cs="Cambria"/>
      <w:kern w:val="2"/>
      <w:sz w:val="21"/>
      <w:szCs w:val="21"/>
      <w:lang w:val="en-US" w:eastAsia="zh-CN"/>
    </w:rPr>
  </w:style>
  <w:style w:type="character" w:customStyle="1" w:styleId="58">
    <w:name w:val="标题 3 Char1"/>
    <w:link w:val="5"/>
    <w:locked/>
    <w:uiPriority w:val="9"/>
    <w:rPr>
      <w:rFonts w:ascii="宋体" w:hAnsi="宋体" w:eastAsia="宋体" w:cs="宋体"/>
      <w:b/>
      <w:kern w:val="2"/>
      <w:sz w:val="32"/>
      <w:szCs w:val="32"/>
      <w:lang w:val="en-US" w:eastAsia="zh-CN"/>
    </w:rPr>
  </w:style>
  <w:style w:type="character" w:customStyle="1" w:styleId="59">
    <w:name w:val="标题 4 Char"/>
    <w:link w:val="6"/>
    <w:qFormat/>
    <w:locked/>
    <w:uiPriority w:val="0"/>
    <w:rPr>
      <w:rFonts w:ascii="Arial" w:hAnsi="Arial" w:eastAsia="黑体"/>
      <w:b/>
      <w:kern w:val="2"/>
      <w:sz w:val="28"/>
      <w:lang w:val="en-US" w:eastAsia="zh-CN"/>
    </w:rPr>
  </w:style>
  <w:style w:type="character" w:customStyle="1" w:styleId="60">
    <w:name w:val="标题 5 Char"/>
    <w:link w:val="7"/>
    <w:qFormat/>
    <w:locked/>
    <w:uiPriority w:val="9"/>
    <w:rPr>
      <w:rFonts w:eastAsia="宋体"/>
      <w:b/>
      <w:kern w:val="2"/>
      <w:sz w:val="28"/>
      <w:lang w:val="en-US" w:eastAsia="zh-CN"/>
    </w:rPr>
  </w:style>
  <w:style w:type="character" w:customStyle="1" w:styleId="61">
    <w:name w:val="标题 6 Char"/>
    <w:link w:val="8"/>
    <w:qFormat/>
    <w:locked/>
    <w:uiPriority w:val="9"/>
    <w:rPr>
      <w:rFonts w:ascii="Cambria" w:hAnsi="Cambria" w:eastAsia="宋体"/>
      <w:b/>
      <w:kern w:val="2"/>
      <w:sz w:val="24"/>
      <w:lang w:val="en-US" w:eastAsia="zh-CN"/>
    </w:rPr>
  </w:style>
  <w:style w:type="character" w:customStyle="1" w:styleId="62">
    <w:name w:val="标题 7 Char"/>
    <w:link w:val="9"/>
    <w:qFormat/>
    <w:locked/>
    <w:uiPriority w:val="9"/>
    <w:rPr>
      <w:b/>
      <w:kern w:val="2"/>
      <w:sz w:val="24"/>
    </w:rPr>
  </w:style>
  <w:style w:type="character" w:customStyle="1" w:styleId="63">
    <w:name w:val="标题 8 Char"/>
    <w:link w:val="10"/>
    <w:qFormat/>
    <w:locked/>
    <w:uiPriority w:val="9"/>
    <w:rPr>
      <w:rFonts w:ascii="Arial" w:hAnsi="Arial" w:eastAsia="黑体"/>
      <w:kern w:val="2"/>
      <w:sz w:val="24"/>
    </w:rPr>
  </w:style>
  <w:style w:type="character" w:customStyle="1" w:styleId="64">
    <w:name w:val="标题 9 Char"/>
    <w:link w:val="11"/>
    <w:qFormat/>
    <w:locked/>
    <w:uiPriority w:val="9"/>
    <w:rPr>
      <w:rFonts w:ascii="Arial" w:hAnsi="Arial" w:eastAsia="黑体"/>
      <w:kern w:val="2"/>
      <w:sz w:val="21"/>
    </w:rPr>
  </w:style>
  <w:style w:type="character" w:customStyle="1" w:styleId="65">
    <w:name w:val="正文缩进 Char1"/>
    <w:link w:val="13"/>
    <w:locked/>
    <w:uiPriority w:val="0"/>
    <w:rPr>
      <w:rFonts w:ascii="宋体" w:hAnsi="宋体" w:eastAsia="宋体" w:cs="宋体"/>
      <w:spacing w:val="14"/>
      <w:kern w:val="24"/>
      <w:sz w:val="24"/>
      <w:szCs w:val="24"/>
      <w:lang w:val="en-US" w:eastAsia="zh-CN"/>
    </w:rPr>
  </w:style>
  <w:style w:type="character" w:customStyle="1" w:styleId="66">
    <w:name w:val="文档结构图 Char"/>
    <w:link w:val="14"/>
    <w:qFormat/>
    <w:locked/>
    <w:uiPriority w:val="99"/>
    <w:rPr>
      <w:rFonts w:eastAsia="宋体"/>
      <w:kern w:val="2"/>
      <w:sz w:val="21"/>
      <w:lang w:val="en-US" w:eastAsia="zh-CN"/>
    </w:rPr>
  </w:style>
  <w:style w:type="character" w:customStyle="1" w:styleId="67">
    <w:name w:val="批注文字 Char1"/>
    <w:link w:val="16"/>
    <w:locked/>
    <w:uiPriority w:val="99"/>
    <w:rPr>
      <w:rFonts w:ascii="宋体" w:hAnsi="宋体" w:eastAsia="宋体" w:cs="宋体"/>
      <w:kern w:val="2"/>
      <w:sz w:val="21"/>
      <w:szCs w:val="21"/>
      <w:lang w:val="en-US" w:eastAsia="zh-CN"/>
    </w:rPr>
  </w:style>
  <w:style w:type="character" w:customStyle="1" w:styleId="68">
    <w:name w:val="正文文本 3 Char"/>
    <w:link w:val="17"/>
    <w:qFormat/>
    <w:locked/>
    <w:uiPriority w:val="99"/>
    <w:rPr>
      <w:rFonts w:eastAsia="宋体"/>
      <w:sz w:val="16"/>
    </w:rPr>
  </w:style>
  <w:style w:type="character" w:customStyle="1" w:styleId="69">
    <w:name w:val="正文文本 Char2"/>
    <w:link w:val="18"/>
    <w:locked/>
    <w:uiPriority w:val="99"/>
    <w:rPr>
      <w:rFonts w:ascii="宋体" w:hAnsi="宋体" w:eastAsia="宋体" w:cs="宋体"/>
      <w:lang w:val="en-US" w:eastAsia="zh-CN"/>
    </w:rPr>
  </w:style>
  <w:style w:type="character" w:customStyle="1" w:styleId="70">
    <w:name w:val="正文文本缩进 Char2"/>
    <w:link w:val="20"/>
    <w:qFormat/>
    <w:locked/>
    <w:uiPriority w:val="99"/>
    <w:rPr>
      <w:rFonts w:eastAsia="方正书宋简体"/>
      <w:kern w:val="2"/>
      <w:sz w:val="24"/>
      <w:lang w:val="en-US" w:eastAsia="zh-CN"/>
    </w:rPr>
  </w:style>
  <w:style w:type="character" w:customStyle="1" w:styleId="71">
    <w:name w:val="日期 Char"/>
    <w:link w:val="25"/>
    <w:qFormat/>
    <w:locked/>
    <w:uiPriority w:val="99"/>
    <w:rPr>
      <w:rFonts w:ascii="宋体" w:cs="Times New Roman"/>
      <w:sz w:val="24"/>
    </w:rPr>
  </w:style>
  <w:style w:type="character" w:customStyle="1" w:styleId="72">
    <w:name w:val="正文文本缩进 2 Char"/>
    <w:link w:val="26"/>
    <w:qFormat/>
    <w:locked/>
    <w:uiPriority w:val="99"/>
    <w:rPr>
      <w:rFonts w:ascii="宋体" w:eastAsia="宋体"/>
      <w:kern w:val="2"/>
      <w:sz w:val="24"/>
      <w:lang w:val="en-US" w:eastAsia="zh-CN"/>
    </w:rPr>
  </w:style>
  <w:style w:type="character" w:customStyle="1" w:styleId="73">
    <w:name w:val="批注框文本 Char1"/>
    <w:link w:val="27"/>
    <w:locked/>
    <w:uiPriority w:val="99"/>
    <w:rPr>
      <w:rFonts w:ascii="宋体" w:hAnsi="宋体" w:eastAsia="宋体" w:cs="宋体"/>
      <w:kern w:val="2"/>
      <w:sz w:val="18"/>
      <w:szCs w:val="18"/>
      <w:lang w:val="en-US" w:eastAsia="zh-CN"/>
    </w:rPr>
  </w:style>
  <w:style w:type="character" w:customStyle="1" w:styleId="74">
    <w:name w:val="页脚 Char1"/>
    <w:link w:val="28"/>
    <w:locked/>
    <w:uiPriority w:val="99"/>
    <w:rPr>
      <w:rFonts w:ascii="宋体" w:hAnsi="宋体" w:eastAsia="宋体" w:cs="宋体"/>
      <w:kern w:val="2"/>
      <w:sz w:val="18"/>
      <w:szCs w:val="18"/>
      <w:lang w:val="en-US" w:eastAsia="zh-CN"/>
    </w:rPr>
  </w:style>
  <w:style w:type="character" w:customStyle="1" w:styleId="75">
    <w:name w:val="页眉 Char1"/>
    <w:link w:val="30"/>
    <w:locked/>
    <w:uiPriority w:val="99"/>
    <w:rPr>
      <w:rFonts w:ascii="宋体" w:hAnsi="宋体" w:eastAsia="宋体" w:cs="宋体"/>
      <w:kern w:val="2"/>
      <w:sz w:val="18"/>
      <w:szCs w:val="18"/>
      <w:lang w:val="en-US" w:eastAsia="zh-CN"/>
    </w:rPr>
  </w:style>
  <w:style w:type="character" w:customStyle="1" w:styleId="76">
    <w:name w:val="正文文本缩进 3 Char1"/>
    <w:link w:val="35"/>
    <w:locked/>
    <w:uiPriority w:val="99"/>
    <w:rPr>
      <w:rFonts w:ascii="宋体" w:hAnsi="宋体" w:eastAsia="宋体" w:cs="宋体"/>
      <w:b/>
      <w:kern w:val="2"/>
      <w:sz w:val="24"/>
      <w:szCs w:val="24"/>
      <w:lang w:val="en-US" w:eastAsia="zh-CN"/>
    </w:rPr>
  </w:style>
  <w:style w:type="character" w:customStyle="1" w:styleId="77">
    <w:name w:val="正文文本 2 Char"/>
    <w:link w:val="38"/>
    <w:qFormat/>
    <w:locked/>
    <w:uiPriority w:val="99"/>
    <w:rPr>
      <w:rFonts w:eastAsia="宋体"/>
      <w:sz w:val="24"/>
    </w:rPr>
  </w:style>
  <w:style w:type="character" w:customStyle="1" w:styleId="78">
    <w:name w:val="HTML 预设格式 Char"/>
    <w:link w:val="39"/>
    <w:qFormat/>
    <w:locked/>
    <w:uiPriority w:val="99"/>
    <w:rPr>
      <w:rFonts w:ascii="Courier New" w:hAnsi="Courier New"/>
      <w:kern w:val="2"/>
    </w:rPr>
  </w:style>
  <w:style w:type="character" w:customStyle="1" w:styleId="79">
    <w:name w:val="批注主题 Char1"/>
    <w:link w:val="42"/>
    <w:locked/>
    <w:uiPriority w:val="99"/>
    <w:rPr>
      <w:rFonts w:ascii="宋体" w:hAnsi="宋体" w:eastAsia="宋体" w:cs="宋体"/>
      <w:b/>
      <w:kern w:val="2"/>
      <w:sz w:val="21"/>
      <w:szCs w:val="21"/>
      <w:lang w:val="en-US" w:eastAsia="zh-CN"/>
    </w:rPr>
  </w:style>
  <w:style w:type="character" w:customStyle="1" w:styleId="80">
    <w:name w:val="正文首行缩进 Char"/>
    <w:link w:val="43"/>
    <w:qFormat/>
    <w:locked/>
    <w:uiPriority w:val="99"/>
    <w:rPr>
      <w:rFonts w:ascii="宋体" w:hAnsi="宋体" w:eastAsia="宋体" w:cs="宋体"/>
      <w:i/>
      <w:kern w:val="2"/>
      <w:sz w:val="24"/>
      <w:lang w:val="en-US" w:eastAsia="zh-CN"/>
    </w:rPr>
  </w:style>
  <w:style w:type="character" w:customStyle="1" w:styleId="81">
    <w:name w:val="正文首行缩进 2 Char"/>
    <w:link w:val="44"/>
    <w:uiPriority w:val="0"/>
    <w:rPr>
      <w:rFonts w:hint="default" w:ascii="Verdana" w:hAnsi="Verdana" w:cs="Verdana"/>
      <w:kern w:val="2"/>
      <w:sz w:val="21"/>
      <w:szCs w:val="20"/>
      <w:lang w:eastAsia="en-US"/>
    </w:rPr>
  </w:style>
  <w:style w:type="character" w:customStyle="1" w:styleId="82">
    <w:name w:val="标题 2 Char2"/>
    <w:link w:val="4"/>
    <w:uiPriority w:val="0"/>
    <w:rPr>
      <w:rFonts w:hint="default" w:ascii="Arial" w:hAnsi="Arial" w:eastAsia="黑体" w:cs="Arial"/>
      <w:b/>
      <w:bCs/>
      <w:kern w:val="2"/>
      <w:sz w:val="32"/>
      <w:szCs w:val="32"/>
      <w:lang w:eastAsia="en-US"/>
    </w:rPr>
  </w:style>
  <w:style w:type="paragraph" w:customStyle="1" w:styleId="83">
    <w:name w:val="[Normal]"/>
    <w:qFormat/>
    <w:uiPriority w:val="0"/>
    <w:rPr>
      <w:rFonts w:ascii="宋体" w:hAnsi="宋体" w:eastAsia="宋体" w:cs="Times New Roman"/>
      <w:sz w:val="24"/>
      <w:szCs w:val="22"/>
      <w:lang w:val="zh-CN" w:eastAsia="zh-CN" w:bidi="ar-SA"/>
    </w:rPr>
  </w:style>
  <w:style w:type="character" w:customStyle="1" w:styleId="84">
    <w:name w:val="正文文本 字符"/>
    <w:locked/>
    <w:uiPriority w:val="99"/>
    <w:rPr>
      <w:rFonts w:ascii="宋体" w:hAnsi="宋体" w:eastAsia="宋体" w:cs="宋体"/>
      <w:lang w:val="en-US" w:eastAsia="zh-CN"/>
    </w:rPr>
  </w:style>
  <w:style w:type="character" w:customStyle="1" w:styleId="85">
    <w:name w:val="正文文本 Char"/>
    <w:qFormat/>
    <w:uiPriority w:val="0"/>
    <w:rPr>
      <w:rFonts w:eastAsia="宋体"/>
      <w:i/>
      <w:kern w:val="2"/>
      <w:sz w:val="18"/>
      <w:lang w:val="en-US" w:eastAsia="zh-CN"/>
    </w:rPr>
  </w:style>
  <w:style w:type="character" w:customStyle="1" w:styleId="86">
    <w:name w:val="List Paragraph Char"/>
    <w:link w:val="87"/>
    <w:qFormat/>
    <w:locked/>
    <w:uiPriority w:val="0"/>
    <w:rPr>
      <w:rFonts w:ascii="Calibri" w:hAnsi="Calibri" w:eastAsia="宋体"/>
      <w:kern w:val="2"/>
      <w:sz w:val="22"/>
      <w:lang w:val="en-US" w:eastAsia="zh-CN"/>
    </w:rPr>
  </w:style>
  <w:style w:type="paragraph" w:customStyle="1" w:styleId="87">
    <w:name w:val="列出段落1"/>
    <w:basedOn w:val="1"/>
    <w:link w:val="86"/>
    <w:qFormat/>
    <w:uiPriority w:val="0"/>
    <w:pPr>
      <w:ind w:firstLine="420" w:firstLineChars="200"/>
    </w:pPr>
    <w:rPr>
      <w:rFonts w:ascii="Calibri" w:hAnsi="Calibri"/>
      <w:sz w:val="22"/>
    </w:rPr>
  </w:style>
  <w:style w:type="character" w:customStyle="1" w:styleId="88">
    <w:name w:val="无间距字符"/>
    <w:link w:val="89"/>
    <w:qFormat/>
    <w:locked/>
    <w:uiPriority w:val="0"/>
    <w:rPr>
      <w:rFonts w:ascii="Calibri" w:hAnsi="Calibri"/>
      <w:sz w:val="22"/>
      <w:lang w:val="en-US" w:eastAsia="zh-CN" w:bidi="ar-SA"/>
    </w:rPr>
  </w:style>
  <w:style w:type="paragraph" w:customStyle="1" w:styleId="89">
    <w:name w:val="无间距"/>
    <w:link w:val="88"/>
    <w:qFormat/>
    <w:uiPriority w:val="0"/>
    <w:rPr>
      <w:sz w:val="22"/>
      <w:lang w:val="en-US" w:eastAsia="zh-CN" w:bidi="ar-SA"/>
    </w:rPr>
  </w:style>
  <w:style w:type="character" w:customStyle="1" w:styleId="90">
    <w:name w:val="日期 字符1"/>
    <w:semiHidden/>
    <w:uiPriority w:val="99"/>
    <w:rPr>
      <w:kern w:val="2"/>
      <w:sz w:val="21"/>
    </w:rPr>
  </w:style>
  <w:style w:type="character" w:customStyle="1" w:styleId="91">
    <w:name w:val="正文文本 字符1"/>
    <w:semiHidden/>
    <w:uiPriority w:val="99"/>
    <w:rPr>
      <w:kern w:val="2"/>
      <w:sz w:val="21"/>
    </w:rPr>
  </w:style>
  <w:style w:type="character" w:customStyle="1" w:styleId="92">
    <w:name w:val="纯文本 Char"/>
    <w:qFormat/>
    <w:uiPriority w:val="99"/>
    <w:rPr>
      <w:rFonts w:ascii="宋体" w:hAnsi="宋体" w:eastAsia="宋体"/>
      <w:color w:val="000000"/>
      <w:sz w:val="24"/>
      <w:lang w:val="en-US" w:eastAsia="zh-CN"/>
    </w:rPr>
  </w:style>
  <w:style w:type="character" w:customStyle="1" w:styleId="93">
    <w:name w:val="纯文本 Char2"/>
    <w:qFormat/>
    <w:uiPriority w:val="0"/>
    <w:rPr>
      <w:rFonts w:ascii="宋体" w:hAnsi="宋体" w:eastAsia="宋体"/>
      <w:color w:val="000000"/>
      <w:sz w:val="24"/>
      <w:lang w:val="en-US" w:eastAsia="zh-CN"/>
    </w:rPr>
  </w:style>
  <w:style w:type="character" w:customStyle="1" w:styleId="94">
    <w:name w:val="中等深浅网格 1 - 强调文字颜色 2 Char"/>
    <w:link w:val="95"/>
    <w:qFormat/>
    <w:locked/>
    <w:uiPriority w:val="34"/>
    <w:rPr>
      <w:rFonts w:ascii="Calibri" w:hAnsi="Calibri"/>
      <w:kern w:val="2"/>
      <w:sz w:val="22"/>
    </w:rPr>
  </w:style>
  <w:style w:type="paragraph" w:customStyle="1" w:styleId="95">
    <w:name w:val="中等深浅网格 1 - 强调文字颜色 21"/>
    <w:basedOn w:val="1"/>
    <w:link w:val="94"/>
    <w:qFormat/>
    <w:uiPriority w:val="34"/>
    <w:pPr>
      <w:ind w:firstLine="420" w:firstLineChars="200"/>
    </w:pPr>
    <w:rPr>
      <w:rFonts w:ascii="Calibri" w:hAnsi="Calibri"/>
      <w:sz w:val="22"/>
    </w:rPr>
  </w:style>
  <w:style w:type="character" w:customStyle="1" w:styleId="96">
    <w:name w:val="纯文本 Char1"/>
    <w:locked/>
    <w:uiPriority w:val="99"/>
    <w:rPr>
      <w:rFonts w:ascii="宋体" w:hAnsi="Courier New" w:eastAsia="宋体" w:cs="宋体"/>
      <w:lang w:val="en-US" w:eastAsia="zh-CN"/>
    </w:rPr>
  </w:style>
  <w:style w:type="character" w:customStyle="1" w:styleId="97">
    <w:name w:val="页眉 Char"/>
    <w:qFormat/>
    <w:uiPriority w:val="99"/>
    <w:rPr>
      <w:rFonts w:eastAsia="宋体"/>
      <w:kern w:val="2"/>
      <w:sz w:val="18"/>
      <w:lang w:val="en-US" w:eastAsia="zh-CN"/>
    </w:rPr>
  </w:style>
  <w:style w:type="character" w:customStyle="1" w:styleId="98">
    <w:name w:val="样式2 Char"/>
    <w:link w:val="99"/>
    <w:qFormat/>
    <w:locked/>
    <w:uiPriority w:val="0"/>
    <w:rPr>
      <w:rFonts w:ascii="黑体" w:hAnsi="黑体" w:eastAsia="黑体"/>
      <w:color w:val="FF0000"/>
      <w:kern w:val="2"/>
      <w:sz w:val="32"/>
      <w:lang w:val="en-US" w:eastAsia="zh-CN"/>
    </w:rPr>
  </w:style>
  <w:style w:type="paragraph" w:customStyle="1" w:styleId="99">
    <w:name w:val="样式2"/>
    <w:basedOn w:val="5"/>
    <w:link w:val="98"/>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100">
    <w:name w:val="标题2正文 Char Char"/>
    <w:link w:val="101"/>
    <w:qFormat/>
    <w:locked/>
    <w:uiPriority w:val="0"/>
    <w:rPr>
      <w:rFonts w:eastAsia="宋体"/>
      <w:sz w:val="24"/>
    </w:rPr>
  </w:style>
  <w:style w:type="paragraph" w:customStyle="1" w:styleId="101">
    <w:name w:val="标题2正文 Char"/>
    <w:basedOn w:val="1"/>
    <w:link w:val="100"/>
    <w:qFormat/>
    <w:uiPriority w:val="0"/>
    <w:pPr>
      <w:spacing w:beforeLines="50" w:afterLines="50"/>
      <w:ind w:right="38" w:rightChars="18" w:firstLine="420"/>
    </w:pPr>
    <w:rPr>
      <w:kern w:val="0"/>
      <w:sz w:val="24"/>
    </w:rPr>
  </w:style>
  <w:style w:type="character" w:customStyle="1" w:styleId="102">
    <w:name w:val="正文缩进 Char"/>
    <w:qFormat/>
    <w:uiPriority w:val="0"/>
    <w:rPr>
      <w:rFonts w:eastAsia="宋体"/>
      <w:kern w:val="2"/>
      <w:sz w:val="24"/>
      <w:lang w:val="en-US" w:eastAsia="zh-CN"/>
    </w:rPr>
  </w:style>
  <w:style w:type="character" w:customStyle="1" w:styleId="103">
    <w:name w:val="批注框文本 字符1"/>
    <w:semiHidden/>
    <w:uiPriority w:val="99"/>
    <w:rPr>
      <w:kern w:val="2"/>
      <w:sz w:val="18"/>
      <w:szCs w:val="18"/>
    </w:rPr>
  </w:style>
  <w:style w:type="character" w:customStyle="1" w:styleId="104">
    <w:name w:val="apple-converted-space"/>
    <w:qFormat/>
    <w:uiPriority w:val="0"/>
    <w:rPr>
      <w:rFonts w:cs="Times New Roman"/>
    </w:rPr>
  </w:style>
  <w:style w:type="character" w:customStyle="1" w:styleId="105">
    <w:name w:val="页脚 Char"/>
    <w:qFormat/>
    <w:uiPriority w:val="99"/>
    <w:rPr>
      <w:rFonts w:eastAsia="宋体"/>
      <w:kern w:val="2"/>
      <w:sz w:val="18"/>
      <w:lang w:val="en-US" w:eastAsia="zh-CN"/>
    </w:rPr>
  </w:style>
  <w:style w:type="character" w:customStyle="1" w:styleId="106">
    <w:name w:val="正文文本 3 字符1"/>
    <w:semiHidden/>
    <w:uiPriority w:val="99"/>
    <w:rPr>
      <w:kern w:val="2"/>
      <w:sz w:val="16"/>
      <w:szCs w:val="16"/>
    </w:rPr>
  </w:style>
  <w:style w:type="character" w:customStyle="1" w:styleId="107">
    <w:name w:val="font61"/>
    <w:qFormat/>
    <w:uiPriority w:val="0"/>
    <w:rPr>
      <w:rFonts w:ascii="Times New Roman" w:hAnsi="Times New Roman"/>
      <w:color w:val="000000"/>
      <w:sz w:val="20"/>
      <w:u w:val="none"/>
    </w:rPr>
  </w:style>
  <w:style w:type="character" w:customStyle="1" w:styleId="108">
    <w:name w:val="font01"/>
    <w:qFormat/>
    <w:uiPriority w:val="0"/>
    <w:rPr>
      <w:rFonts w:ascii="宋体" w:hAnsi="宋体" w:eastAsia="宋体"/>
      <w:color w:val="000000"/>
      <w:sz w:val="24"/>
      <w:u w:val="none"/>
    </w:rPr>
  </w:style>
  <w:style w:type="character" w:customStyle="1" w:styleId="109">
    <w:name w:val="日期 字符"/>
    <w:qFormat/>
    <w:locked/>
    <w:uiPriority w:val="99"/>
    <w:rPr>
      <w:rFonts w:ascii="宋体" w:cs="Times New Roman"/>
      <w:sz w:val="24"/>
    </w:rPr>
  </w:style>
  <w:style w:type="character" w:customStyle="1" w:styleId="110">
    <w:name w:val="纯文本 字符"/>
    <w:qFormat/>
    <w:locked/>
    <w:uiPriority w:val="0"/>
    <w:rPr>
      <w:rFonts w:ascii="宋体" w:hAnsi="Courier New" w:eastAsia="宋体" w:cs="宋体"/>
      <w:lang w:val="en-US" w:eastAsia="zh-CN"/>
    </w:rPr>
  </w:style>
  <w:style w:type="character" w:customStyle="1" w:styleId="111">
    <w:name w:val="标题 9 字符"/>
    <w:qFormat/>
    <w:locked/>
    <w:uiPriority w:val="9"/>
    <w:rPr>
      <w:rFonts w:ascii="Arial" w:hAnsi="Arial" w:eastAsia="黑体"/>
      <w:kern w:val="2"/>
      <w:sz w:val="21"/>
    </w:rPr>
  </w:style>
  <w:style w:type="character" w:customStyle="1" w:styleId="112">
    <w:name w:val="标题 6 字符"/>
    <w:qFormat/>
    <w:locked/>
    <w:uiPriority w:val="9"/>
    <w:rPr>
      <w:rFonts w:ascii="Cambria" w:hAnsi="Cambria" w:eastAsia="宋体"/>
      <w:b/>
      <w:kern w:val="2"/>
      <w:sz w:val="24"/>
      <w:lang w:val="en-US" w:eastAsia="zh-CN"/>
    </w:rPr>
  </w:style>
  <w:style w:type="character" w:customStyle="1" w:styleId="113">
    <w:name w:val="h6 Char"/>
    <w:qFormat/>
    <w:uiPriority w:val="0"/>
    <w:rPr>
      <w:rFonts w:ascii="Arial" w:hAnsi="Arial" w:eastAsia="宋体"/>
      <w:b/>
      <w:kern w:val="2"/>
      <w:sz w:val="24"/>
      <w:lang w:val="en-US" w:eastAsia="zh-CN"/>
    </w:rPr>
  </w:style>
  <w:style w:type="character" w:customStyle="1" w:styleId="114">
    <w:name w:val="文档结构图 字符"/>
    <w:qFormat/>
    <w:locked/>
    <w:uiPriority w:val="99"/>
    <w:rPr>
      <w:rFonts w:eastAsia="宋体"/>
      <w:kern w:val="2"/>
      <w:sz w:val="21"/>
      <w:lang w:val="en-US" w:eastAsia="zh-CN"/>
    </w:rPr>
  </w:style>
  <w:style w:type="character" w:customStyle="1" w:styleId="115">
    <w:name w:val="列出段落 字符"/>
    <w:qFormat/>
    <w:locked/>
    <w:uiPriority w:val="34"/>
    <w:rPr>
      <w:rFonts w:eastAsia="宋体"/>
      <w:kern w:val="2"/>
      <w:sz w:val="24"/>
      <w:lang w:val="en-US" w:eastAsia="zh-CN"/>
    </w:rPr>
  </w:style>
  <w:style w:type="character" w:customStyle="1" w:styleId="116">
    <w:name w:val="正文文本 3 字符"/>
    <w:qFormat/>
    <w:locked/>
    <w:uiPriority w:val="99"/>
    <w:rPr>
      <w:rFonts w:eastAsia="宋体"/>
      <w:sz w:val="16"/>
    </w:rPr>
  </w:style>
  <w:style w:type="character" w:customStyle="1" w:styleId="117">
    <w:name w:val="方案－正文 Char"/>
    <w:link w:val="118"/>
    <w:qFormat/>
    <w:locked/>
    <w:uiPriority w:val="0"/>
    <w:rPr>
      <w:rFonts w:ascii="仿宋_GB2312" w:hAnsi="宋体"/>
      <w:sz w:val="24"/>
    </w:rPr>
  </w:style>
  <w:style w:type="paragraph" w:customStyle="1" w:styleId="118">
    <w:name w:val="方案－正文"/>
    <w:basedOn w:val="1"/>
    <w:link w:val="117"/>
    <w:qFormat/>
    <w:uiPriority w:val="0"/>
    <w:pPr>
      <w:spacing w:line="360" w:lineRule="auto"/>
      <w:ind w:firstLine="480" w:firstLineChars="200"/>
    </w:pPr>
    <w:rPr>
      <w:rFonts w:ascii="仿宋_GB2312" w:hAnsi="宋体"/>
      <w:kern w:val="0"/>
      <w:sz w:val="24"/>
    </w:rPr>
  </w:style>
  <w:style w:type="character" w:customStyle="1" w:styleId="119">
    <w:name w:val="正文文本缩进 2 字符"/>
    <w:qFormat/>
    <w:locked/>
    <w:uiPriority w:val="99"/>
    <w:rPr>
      <w:rFonts w:ascii="宋体" w:eastAsia="宋体"/>
      <w:kern w:val="2"/>
      <w:sz w:val="24"/>
      <w:lang w:val="en-US" w:eastAsia="zh-CN"/>
    </w:rPr>
  </w:style>
  <w:style w:type="character" w:customStyle="1" w:styleId="120">
    <w:name w:val="标题 1 Char"/>
    <w:aliases w:val="卷标题 Char,合同标题 Char,featurehead Char,Title1 Char,LN Char,H1 Char,H11 Char,H12 Char,H13 Char,H14 Char,H15 Char,H16 Char,H17 Char,H111 Char,H121 Char,H131 Char,H141 Char,H151 Char,H161 Char,H18 Char,H112 Char,H122 Char,H132 Char,H142 Char,l1 Char"/>
    <w:qFormat/>
    <w:uiPriority w:val="0"/>
    <w:rPr>
      <w:rFonts w:ascii="宋体" w:eastAsia="宋体"/>
      <w:b/>
      <w:kern w:val="2"/>
      <w:sz w:val="28"/>
      <w:lang w:val="en-US" w:eastAsia="zh-CN"/>
    </w:rPr>
  </w:style>
  <w:style w:type="character" w:customStyle="1" w:styleId="121">
    <w:name w:val="批注文字 Char"/>
    <w:qFormat/>
    <w:locked/>
    <w:uiPriority w:val="0"/>
    <w:rPr>
      <w:rFonts w:cs="Times New Roman"/>
      <w:kern w:val="2"/>
      <w:sz w:val="21"/>
    </w:rPr>
  </w:style>
  <w:style w:type="character" w:customStyle="1" w:styleId="122">
    <w:name w:val="正文缩进 字符"/>
    <w:locked/>
    <w:uiPriority w:val="0"/>
    <w:rPr>
      <w:rFonts w:ascii="宋体" w:hAnsi="宋体" w:eastAsia="宋体" w:cs="宋体"/>
      <w:spacing w:val="14"/>
      <w:kern w:val="24"/>
      <w:sz w:val="24"/>
      <w:szCs w:val="24"/>
      <w:lang w:val="en-US" w:eastAsia="zh-CN"/>
    </w:rPr>
  </w:style>
  <w:style w:type="character" w:customStyle="1" w:styleId="123">
    <w:name w:val="批注框文本 Char"/>
    <w:semiHidden/>
    <w:qFormat/>
    <w:locked/>
    <w:uiPriority w:val="99"/>
    <w:rPr>
      <w:rFonts w:cs="Times New Roman"/>
      <w:kern w:val="2"/>
      <w:sz w:val="18"/>
      <w:szCs w:val="18"/>
    </w:rPr>
  </w:style>
  <w:style w:type="character" w:customStyle="1" w:styleId="124">
    <w:name w:val="font11"/>
    <w:qFormat/>
    <w:uiPriority w:val="0"/>
    <w:rPr>
      <w:rFonts w:ascii="Times New Roman" w:hAnsi="Times New Roman"/>
      <w:color w:val="000000"/>
      <w:sz w:val="24"/>
      <w:u w:val="none"/>
    </w:rPr>
  </w:style>
  <w:style w:type="character" w:customStyle="1" w:styleId="125">
    <w:name w:val="批注文字 字符"/>
    <w:locked/>
    <w:uiPriority w:val="99"/>
    <w:rPr>
      <w:rFonts w:ascii="宋体" w:hAnsi="宋体" w:eastAsia="宋体" w:cs="宋体"/>
      <w:kern w:val="2"/>
      <w:sz w:val="21"/>
      <w:szCs w:val="21"/>
      <w:lang w:val="en-US" w:eastAsia="zh-CN"/>
    </w:rPr>
  </w:style>
  <w:style w:type="character" w:customStyle="1" w:styleId="126">
    <w:name w:val="批注主题 字符"/>
    <w:locked/>
    <w:uiPriority w:val="99"/>
    <w:rPr>
      <w:rFonts w:ascii="宋体" w:hAnsi="宋体" w:eastAsia="宋体" w:cs="宋体"/>
      <w:b/>
      <w:kern w:val="2"/>
      <w:sz w:val="21"/>
      <w:szCs w:val="21"/>
      <w:lang w:val="en-US" w:eastAsia="zh-CN"/>
    </w:rPr>
  </w:style>
  <w:style w:type="character" w:customStyle="1" w:styleId="127">
    <w:name w:val="批注文字 字符1"/>
    <w:semiHidden/>
    <w:uiPriority w:val="99"/>
    <w:rPr>
      <w:kern w:val="2"/>
      <w:sz w:val="21"/>
    </w:rPr>
  </w:style>
  <w:style w:type="character" w:customStyle="1" w:styleId="128">
    <w:name w:val="列出段落 Char"/>
    <w:link w:val="129"/>
    <w:qFormat/>
    <w:locked/>
    <w:uiPriority w:val="34"/>
    <w:rPr>
      <w:rFonts w:eastAsia="宋体"/>
      <w:kern w:val="2"/>
      <w:sz w:val="24"/>
      <w:lang w:val="en-US" w:eastAsia="zh-CN"/>
    </w:rPr>
  </w:style>
  <w:style w:type="paragraph" w:styleId="129">
    <w:name w:val="List Paragraph"/>
    <w:basedOn w:val="1"/>
    <w:link w:val="128"/>
    <w:qFormat/>
    <w:uiPriority w:val="34"/>
    <w:pPr>
      <w:ind w:firstLine="420" w:firstLineChars="200"/>
    </w:pPr>
    <w:rPr>
      <w:sz w:val="24"/>
    </w:rPr>
  </w:style>
  <w:style w:type="character" w:customStyle="1" w:styleId="130">
    <w:name w:val="正文文本缩进 Char1"/>
    <w:qFormat/>
    <w:uiPriority w:val="0"/>
    <w:rPr>
      <w:rFonts w:eastAsia="方正书宋简体"/>
      <w:kern w:val="2"/>
      <w:sz w:val="24"/>
      <w:lang w:val="en-US" w:eastAsia="zh-CN"/>
    </w:rPr>
  </w:style>
  <w:style w:type="character" w:customStyle="1" w:styleId="131">
    <w:name w:val="hui3"/>
    <w:qFormat/>
    <w:uiPriority w:val="0"/>
    <w:rPr>
      <w:color w:val="333333"/>
    </w:rPr>
  </w:style>
  <w:style w:type="character" w:customStyle="1" w:styleId="132">
    <w:name w:val="纯文本 Char Char"/>
    <w:link w:val="133"/>
    <w:uiPriority w:val="0"/>
    <w:rPr>
      <w:rFonts w:ascii="宋体" w:hAnsi="Courier New"/>
      <w:kern w:val="2"/>
      <w:sz w:val="21"/>
    </w:rPr>
  </w:style>
  <w:style w:type="paragraph" w:customStyle="1" w:styleId="133">
    <w:name w:val="纯文本1"/>
    <w:basedOn w:val="1"/>
    <w:link w:val="132"/>
    <w:qFormat/>
    <w:uiPriority w:val="0"/>
    <w:rPr>
      <w:rFonts w:ascii="宋体" w:hAnsi="Courier New"/>
    </w:rPr>
  </w:style>
  <w:style w:type="character" w:customStyle="1" w:styleId="134">
    <w:name w:val="NormalCharacter"/>
    <w:semiHidden/>
    <w:qFormat/>
    <w:uiPriority w:val="0"/>
  </w:style>
  <w:style w:type="character" w:customStyle="1" w:styleId="135">
    <w:name w:val="页脚 字符"/>
    <w:locked/>
    <w:uiPriority w:val="99"/>
    <w:rPr>
      <w:rFonts w:ascii="宋体" w:hAnsi="宋体" w:eastAsia="宋体" w:cs="宋体"/>
      <w:kern w:val="2"/>
      <w:sz w:val="18"/>
      <w:szCs w:val="18"/>
      <w:lang w:val="en-US" w:eastAsia="zh-CN"/>
    </w:rPr>
  </w:style>
  <w:style w:type="character" w:customStyle="1" w:styleId="136">
    <w:name w:val="正文文本 2 字符"/>
    <w:qFormat/>
    <w:locked/>
    <w:uiPriority w:val="99"/>
    <w:rPr>
      <w:rFonts w:eastAsia="宋体"/>
      <w:sz w:val="24"/>
    </w:rPr>
  </w:style>
  <w:style w:type="character" w:customStyle="1" w:styleId="137">
    <w:name w:val="批注主题 字符1"/>
    <w:semiHidden/>
    <w:uiPriority w:val="99"/>
    <w:rPr>
      <w:b/>
      <w:bCs/>
      <w:kern w:val="2"/>
      <w:sz w:val="21"/>
    </w:rPr>
  </w:style>
  <w:style w:type="character" w:customStyle="1" w:styleId="138">
    <w:name w:val="页眉 字符1"/>
    <w:semiHidden/>
    <w:uiPriority w:val="99"/>
    <w:rPr>
      <w:kern w:val="2"/>
      <w:sz w:val="18"/>
      <w:szCs w:val="18"/>
    </w:rPr>
  </w:style>
  <w:style w:type="character" w:customStyle="1" w:styleId="139">
    <w:name w:val="正文文本缩进 2 字符1"/>
    <w:semiHidden/>
    <w:uiPriority w:val="99"/>
    <w:rPr>
      <w:kern w:val="2"/>
      <w:sz w:val="21"/>
    </w:rPr>
  </w:style>
  <w:style w:type="character" w:customStyle="1" w:styleId="140">
    <w:name w:val="正文首行缩进 字符"/>
    <w:qFormat/>
    <w:locked/>
    <w:uiPriority w:val="99"/>
    <w:rPr>
      <w:rFonts w:ascii="宋体" w:hAnsi="宋体" w:eastAsia="宋体" w:cs="宋体"/>
      <w:i/>
      <w:kern w:val="2"/>
      <w:sz w:val="24"/>
      <w:lang w:val="en-US" w:eastAsia="zh-CN"/>
    </w:rPr>
  </w:style>
  <w:style w:type="character" w:customStyle="1" w:styleId="141">
    <w:name w:val="正文文本缩进 字符1"/>
    <w:qFormat/>
    <w:locked/>
    <w:uiPriority w:val="99"/>
    <w:rPr>
      <w:rFonts w:eastAsia="方正书宋简体"/>
      <w:kern w:val="2"/>
      <w:sz w:val="24"/>
      <w:lang w:val="en-US" w:eastAsia="zh-CN"/>
    </w:rPr>
  </w:style>
  <w:style w:type="character" w:customStyle="1" w:styleId="142">
    <w:name w:val="纯文本 字符1"/>
    <w:semiHidden/>
    <w:uiPriority w:val="99"/>
    <w:rPr>
      <w:rFonts w:ascii="等线" w:hAnsi="Courier New" w:eastAsia="等线" w:cs="Courier New"/>
      <w:kern w:val="2"/>
      <w:sz w:val="21"/>
    </w:rPr>
  </w:style>
  <w:style w:type="character" w:customStyle="1" w:styleId="143">
    <w:name w:val="纯文本 字符2"/>
    <w:locked/>
    <w:uiPriority w:val="99"/>
    <w:rPr>
      <w:rFonts w:ascii="宋体" w:hAnsi="Courier New" w:cs="宋体"/>
    </w:rPr>
  </w:style>
  <w:style w:type="character" w:customStyle="1" w:styleId="144">
    <w:name w:val="HTML 预设格式 字符"/>
    <w:qFormat/>
    <w:locked/>
    <w:uiPriority w:val="99"/>
    <w:rPr>
      <w:rFonts w:ascii="Courier New" w:hAnsi="Courier New"/>
      <w:kern w:val="2"/>
    </w:rPr>
  </w:style>
  <w:style w:type="character" w:customStyle="1" w:styleId="145">
    <w:name w:val="标题 3 Char"/>
    <w:aliases w:val="H3 Char,h3 Char,3rd level Char,Level 3 Head Char,l3 Char,CT Char,Heading 3 - old Char,ISO2 Char,L3 Char,sect1.2.3 Char,sect1.2.31 Char,sect1.2.32 Char,sect1.2.311 Char,sect1.2.33 Char,sect1.2.312 Char,3 Char,sl3 Char,Heading 3under Char"/>
    <w:qFormat/>
    <w:uiPriority w:val="0"/>
    <w:rPr>
      <w:rFonts w:ascii="Arial" w:hAnsi="Arial" w:eastAsia="黑体"/>
      <w:b/>
      <w:kern w:val="2"/>
      <w:sz w:val="32"/>
      <w:lang w:val="en-US" w:eastAsia="zh-CN"/>
    </w:rPr>
  </w:style>
  <w:style w:type="character" w:customStyle="1" w:styleId="146">
    <w:name w:val="标题 5 字符"/>
    <w:qFormat/>
    <w:locked/>
    <w:uiPriority w:val="9"/>
    <w:rPr>
      <w:rFonts w:eastAsia="宋体"/>
      <w:b/>
      <w:kern w:val="2"/>
      <w:sz w:val="28"/>
      <w:lang w:val="en-US" w:eastAsia="zh-CN"/>
    </w:rPr>
  </w:style>
  <w:style w:type="character" w:customStyle="1" w:styleId="147">
    <w:name w:val="金保标题3 Char"/>
    <w:link w:val="148"/>
    <w:qFormat/>
    <w:locked/>
    <w:uiPriority w:val="0"/>
    <w:rPr>
      <w:rFonts w:ascii="楷体" w:hAnsi="楷体" w:eastAsia="楷体"/>
      <w:b/>
      <w:sz w:val="28"/>
    </w:rPr>
  </w:style>
  <w:style w:type="paragraph" w:customStyle="1" w:styleId="148">
    <w:name w:val="金保标题3"/>
    <w:basedOn w:val="5"/>
    <w:next w:val="1"/>
    <w:link w:val="147"/>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149">
    <w:name w:val="文档结构图 字符1"/>
    <w:semiHidden/>
    <w:uiPriority w:val="99"/>
    <w:rPr>
      <w:rFonts w:ascii="Microsoft YaHei UI" w:eastAsia="Microsoft YaHei UI"/>
      <w:kern w:val="2"/>
      <w:sz w:val="18"/>
      <w:szCs w:val="18"/>
    </w:rPr>
  </w:style>
  <w:style w:type="character" w:customStyle="1" w:styleId="150">
    <w:name w:val="页脚 字符1"/>
    <w:semiHidden/>
    <w:uiPriority w:val="99"/>
    <w:rPr>
      <w:kern w:val="2"/>
      <w:sz w:val="18"/>
      <w:szCs w:val="18"/>
    </w:rPr>
  </w:style>
  <w:style w:type="character" w:customStyle="1" w:styleId="151">
    <w:name w:val="HTML 预设格式 字符1"/>
    <w:semiHidden/>
    <w:uiPriority w:val="99"/>
    <w:rPr>
      <w:rFonts w:ascii="Courier New" w:hAnsi="Courier New" w:cs="Courier New"/>
      <w:kern w:val="2"/>
    </w:rPr>
  </w:style>
  <w:style w:type="character" w:customStyle="1" w:styleId="152">
    <w:name w:val="批注框文本 字符"/>
    <w:locked/>
    <w:uiPriority w:val="99"/>
    <w:rPr>
      <w:rFonts w:ascii="宋体" w:hAnsi="宋体" w:eastAsia="宋体" w:cs="宋体"/>
      <w:kern w:val="2"/>
      <w:sz w:val="18"/>
      <w:szCs w:val="18"/>
      <w:lang w:val="en-US" w:eastAsia="zh-CN"/>
    </w:rPr>
  </w:style>
  <w:style w:type="character" w:customStyle="1" w:styleId="153">
    <w:name w:val="标题 8 字符"/>
    <w:qFormat/>
    <w:locked/>
    <w:uiPriority w:val="9"/>
    <w:rPr>
      <w:rFonts w:ascii="Arial" w:hAnsi="Arial" w:eastAsia="黑体"/>
      <w:kern w:val="2"/>
      <w:sz w:val="24"/>
    </w:rPr>
  </w:style>
  <w:style w:type="character" w:customStyle="1" w:styleId="154">
    <w:name w:val="正文文本缩进 3 Char"/>
    <w:qFormat/>
    <w:uiPriority w:val="0"/>
    <w:rPr>
      <w:rFonts w:ascii="宋体" w:eastAsia="宋体"/>
      <w:kern w:val="2"/>
      <w:sz w:val="24"/>
      <w:lang w:val="en-US" w:eastAsia="zh-CN"/>
    </w:rPr>
  </w:style>
  <w:style w:type="character" w:customStyle="1" w:styleId="155">
    <w:name w:val="正文文本缩进 字符2"/>
    <w:semiHidden/>
    <w:uiPriority w:val="99"/>
    <w:rPr>
      <w:kern w:val="2"/>
      <w:sz w:val="21"/>
    </w:rPr>
  </w:style>
  <w:style w:type="character" w:customStyle="1" w:styleId="156">
    <w:name w:val="标题 3 字符"/>
    <w:locked/>
    <w:uiPriority w:val="9"/>
    <w:rPr>
      <w:rFonts w:ascii="宋体" w:hAnsi="宋体" w:eastAsia="宋体" w:cs="宋体"/>
      <w:b/>
      <w:kern w:val="2"/>
      <w:sz w:val="32"/>
      <w:szCs w:val="32"/>
      <w:lang w:val="en-US" w:eastAsia="zh-CN"/>
    </w:rPr>
  </w:style>
  <w:style w:type="character" w:customStyle="1" w:styleId="157">
    <w:name w:val="标题 4 字符"/>
    <w:qFormat/>
    <w:locked/>
    <w:uiPriority w:val="9"/>
    <w:rPr>
      <w:rFonts w:ascii="Arial" w:hAnsi="Arial" w:eastAsia="黑体"/>
      <w:b/>
      <w:kern w:val="2"/>
      <w:sz w:val="28"/>
      <w:lang w:val="en-US" w:eastAsia="zh-CN"/>
    </w:rPr>
  </w:style>
  <w:style w:type="character" w:customStyle="1" w:styleId="158">
    <w:name w:val="样式4 Char"/>
    <w:link w:val="159"/>
    <w:qFormat/>
    <w:locked/>
    <w:uiPriority w:val="0"/>
    <w:rPr>
      <w:rFonts w:ascii="黑体" w:hAnsi="黑体" w:eastAsia="黑体"/>
      <w:kern w:val="44"/>
      <w:sz w:val="44"/>
      <w:lang w:val="en-US" w:eastAsia="zh-CN"/>
    </w:rPr>
  </w:style>
  <w:style w:type="paragraph" w:customStyle="1" w:styleId="159">
    <w:name w:val="样式4"/>
    <w:basedOn w:val="3"/>
    <w:link w:val="158"/>
    <w:qFormat/>
    <w:uiPriority w:val="0"/>
    <w:pPr>
      <w:keepLines/>
      <w:spacing w:line="360" w:lineRule="auto"/>
    </w:pPr>
    <w:rPr>
      <w:rFonts w:ascii="黑体" w:hAnsi="黑体" w:eastAsia="黑体"/>
      <w:b w:val="0"/>
      <w:szCs w:val="20"/>
    </w:rPr>
  </w:style>
  <w:style w:type="character" w:customStyle="1" w:styleId="160">
    <w:name w:val="正文文本缩进 字符"/>
    <w:uiPriority w:val="0"/>
    <w:rPr>
      <w:rFonts w:ascii="Calibri" w:hAnsi="Calibri" w:cs="Calibri"/>
    </w:rPr>
  </w:style>
  <w:style w:type="character" w:customStyle="1" w:styleId="161">
    <w:name w:val="表格用 Char Char"/>
    <w:link w:val="162"/>
    <w:qFormat/>
    <w:locked/>
    <w:uiPriority w:val="0"/>
    <w:rPr>
      <w:rFonts w:ascii="宋体" w:hAnsi="宋体" w:cs="宋体"/>
      <w:szCs w:val="24"/>
    </w:rPr>
  </w:style>
  <w:style w:type="paragraph" w:customStyle="1" w:styleId="162">
    <w:name w:val="表格用"/>
    <w:basedOn w:val="1"/>
    <w:link w:val="161"/>
    <w:qFormat/>
    <w:uiPriority w:val="0"/>
    <w:pPr>
      <w:widowControl/>
      <w:spacing w:line="360" w:lineRule="auto"/>
      <w:jc w:val="left"/>
    </w:pPr>
    <w:rPr>
      <w:rFonts w:ascii="宋体" w:hAnsi="宋体"/>
      <w:kern w:val="0"/>
      <w:sz w:val="20"/>
      <w:szCs w:val="24"/>
    </w:rPr>
  </w:style>
  <w:style w:type="character" w:customStyle="1" w:styleId="163">
    <w:name w:val="批注主题 Char"/>
    <w:semiHidden/>
    <w:qFormat/>
    <w:locked/>
    <w:uiPriority w:val="0"/>
    <w:rPr>
      <w:rFonts w:cs="Times New Roman"/>
      <w:b/>
      <w:bCs/>
      <w:kern w:val="2"/>
      <w:sz w:val="21"/>
    </w:rPr>
  </w:style>
  <w:style w:type="character" w:customStyle="1" w:styleId="164">
    <w:name w:val="标题 1 字符"/>
    <w:locked/>
    <w:uiPriority w:val="9"/>
    <w:rPr>
      <w:rFonts w:ascii="宋体" w:hAnsi="宋体" w:eastAsia="宋体" w:cs="宋体"/>
      <w:b/>
      <w:kern w:val="44"/>
      <w:sz w:val="44"/>
      <w:szCs w:val="44"/>
      <w:lang w:val="en-US" w:eastAsia="zh-CN"/>
    </w:rPr>
  </w:style>
  <w:style w:type="character" w:customStyle="1" w:styleId="165">
    <w:name w:val="标题 1 Char Char"/>
    <w:qFormat/>
    <w:uiPriority w:val="0"/>
    <w:rPr>
      <w:rFonts w:eastAsia="宋体"/>
      <w:b/>
      <w:spacing w:val="-2"/>
      <w:sz w:val="24"/>
      <w:lang w:val="en-US" w:eastAsia="zh-CN"/>
    </w:rPr>
  </w:style>
  <w:style w:type="character" w:customStyle="1" w:styleId="166">
    <w:name w:val="正文文本 Char1"/>
    <w:uiPriority w:val="0"/>
    <w:rPr>
      <w:rFonts w:ascii="Times New Roman" w:hAnsi="Times New Roman" w:eastAsia="宋体" w:cs="Times New Roman"/>
      <w:sz w:val="24"/>
      <w:szCs w:val="24"/>
    </w:rPr>
  </w:style>
  <w:style w:type="character" w:customStyle="1" w:styleId="167">
    <w:name w:val="标题 2 Char"/>
    <w:aliases w:val="H2 Char,标题 1.1 Char,Title2 Char,h2 Char,Underrubrik1 Char,prop2 Char,标题二 Char,H21 Char,Heading 2 Hidden Char,Heading 2 CCBS Char,heading 2 Char,Level 2 Topic Heading Char,Second Level Topic Char,- Para Char,sect 1.2 Char,sect 1.21 Char,2 Char"/>
    <w:qFormat/>
    <w:uiPriority w:val="0"/>
    <w:rPr>
      <w:rFonts w:ascii="Arial" w:hAnsi="Arial" w:eastAsia="黑体"/>
      <w:b/>
      <w:kern w:val="2"/>
      <w:sz w:val="32"/>
      <w:lang w:val="en-US" w:eastAsia="zh-CN"/>
    </w:rPr>
  </w:style>
  <w:style w:type="character" w:customStyle="1" w:styleId="168">
    <w:name w:val="正文文本缩进 Char"/>
    <w:qFormat/>
    <w:locked/>
    <w:uiPriority w:val="99"/>
    <w:rPr>
      <w:rFonts w:eastAsia="方正书宋简体"/>
      <w:kern w:val="2"/>
      <w:sz w:val="24"/>
      <w:lang w:val="en-US" w:eastAsia="zh-CN"/>
    </w:rPr>
  </w:style>
  <w:style w:type="character" w:customStyle="1" w:styleId="169">
    <w:name w:val="正文文本 2 字符1"/>
    <w:semiHidden/>
    <w:uiPriority w:val="99"/>
    <w:rPr>
      <w:kern w:val="2"/>
      <w:sz w:val="21"/>
    </w:rPr>
  </w:style>
  <w:style w:type="character" w:customStyle="1" w:styleId="170">
    <w:name w:val="页眉 字符"/>
    <w:locked/>
    <w:uiPriority w:val="99"/>
    <w:rPr>
      <w:rFonts w:ascii="宋体" w:hAnsi="宋体" w:eastAsia="宋体" w:cs="宋体"/>
      <w:kern w:val="2"/>
      <w:sz w:val="18"/>
      <w:szCs w:val="18"/>
      <w:lang w:val="en-US" w:eastAsia="zh-CN"/>
    </w:rPr>
  </w:style>
  <w:style w:type="character" w:customStyle="1" w:styleId="171">
    <w:name w:val="正文文本首行缩进 字符"/>
    <w:semiHidden/>
    <w:uiPriority w:val="99"/>
  </w:style>
  <w:style w:type="character" w:customStyle="1" w:styleId="172">
    <w:name w:val="样式5 Char"/>
    <w:link w:val="173"/>
    <w:qFormat/>
    <w:locked/>
    <w:uiPriority w:val="0"/>
    <w:rPr>
      <w:rFonts w:eastAsia="宋体"/>
      <w:b/>
      <w:kern w:val="2"/>
      <w:sz w:val="28"/>
      <w:lang w:val="en-US" w:eastAsia="zh-CN"/>
    </w:rPr>
  </w:style>
  <w:style w:type="paragraph" w:customStyle="1" w:styleId="173">
    <w:name w:val="样式5"/>
    <w:basedOn w:val="1"/>
    <w:link w:val="172"/>
    <w:qFormat/>
    <w:uiPriority w:val="0"/>
    <w:pPr>
      <w:keepNext/>
      <w:keepLines/>
      <w:spacing w:before="280" w:after="290" w:line="376" w:lineRule="auto"/>
      <w:ind w:left="210" w:leftChars="100" w:right="210" w:rightChars="100"/>
      <w:outlineLvl w:val="4"/>
    </w:pPr>
    <w:rPr>
      <w:b/>
      <w:sz w:val="28"/>
    </w:rPr>
  </w:style>
  <w:style w:type="character" w:customStyle="1" w:styleId="174">
    <w:name w:val="样式1 Char"/>
    <w:link w:val="175"/>
    <w:qFormat/>
    <w:locked/>
    <w:uiPriority w:val="0"/>
    <w:rPr>
      <w:rFonts w:ascii="黑体" w:hAnsi="黑体" w:eastAsia="黑体"/>
      <w:b/>
      <w:kern w:val="2"/>
      <w:sz w:val="32"/>
    </w:rPr>
  </w:style>
  <w:style w:type="paragraph" w:customStyle="1" w:styleId="175">
    <w:name w:val="样式1"/>
    <w:basedOn w:val="4"/>
    <w:link w:val="174"/>
    <w:qFormat/>
    <w:uiPriority w:val="0"/>
    <w:pPr>
      <w:tabs>
        <w:tab w:val="clear" w:pos="578"/>
      </w:tabs>
      <w:spacing w:beforeLines="0" w:afterLines="0"/>
      <w:ind w:left="0" w:firstLine="0"/>
    </w:pPr>
    <w:rPr>
      <w:rFonts w:ascii="黑体" w:hAnsi="黑体" w:eastAsia="黑体"/>
      <w:b/>
      <w:sz w:val="32"/>
      <w:szCs w:val="20"/>
    </w:rPr>
  </w:style>
  <w:style w:type="character" w:customStyle="1" w:styleId="176">
    <w:name w:val="apple-style-span"/>
    <w:qFormat/>
    <w:uiPriority w:val="0"/>
    <w:rPr>
      <w:rFonts w:cs="Times New Roman"/>
    </w:rPr>
  </w:style>
  <w:style w:type="character" w:customStyle="1" w:styleId="177">
    <w:name w:val="标题 7 字符"/>
    <w:qFormat/>
    <w:locked/>
    <w:uiPriority w:val="9"/>
    <w:rPr>
      <w:b/>
      <w:kern w:val="2"/>
      <w:sz w:val="24"/>
    </w:rPr>
  </w:style>
  <w:style w:type="character" w:customStyle="1" w:styleId="178">
    <w:name w:val="未处理的提及"/>
    <w:unhideWhenUsed/>
    <w:uiPriority w:val="99"/>
    <w:rPr>
      <w:color w:val="605E5C"/>
      <w:shd w:val="clear" w:color="auto" w:fill="E1DFDD"/>
    </w:rPr>
  </w:style>
  <w:style w:type="character" w:customStyle="1" w:styleId="179">
    <w:name w:val="哈哈正文 Char"/>
    <w:link w:val="180"/>
    <w:qFormat/>
    <w:locked/>
    <w:uiPriority w:val="0"/>
    <w:rPr>
      <w:rFonts w:ascii="宋体" w:hAnsi="宋体" w:eastAsia="宋体"/>
      <w:kern w:val="2"/>
      <w:sz w:val="24"/>
      <w:lang w:val="en-US" w:eastAsia="zh-CN"/>
    </w:rPr>
  </w:style>
  <w:style w:type="paragraph" w:customStyle="1" w:styleId="180">
    <w:name w:val="哈哈正文"/>
    <w:basedOn w:val="1"/>
    <w:link w:val="179"/>
    <w:qFormat/>
    <w:uiPriority w:val="0"/>
    <w:pPr>
      <w:spacing w:line="360" w:lineRule="auto"/>
      <w:ind w:firstLine="200" w:firstLineChars="200"/>
    </w:pPr>
    <w:rPr>
      <w:rFonts w:ascii="宋体" w:hAnsi="宋体"/>
      <w:sz w:val="24"/>
    </w:rPr>
  </w:style>
  <w:style w:type="character" w:customStyle="1" w:styleId="181">
    <w:name w:val="标题 2 字符"/>
    <w:locked/>
    <w:uiPriority w:val="9"/>
    <w:rPr>
      <w:rFonts w:ascii="Cambria" w:hAnsi="Cambria" w:eastAsia="宋体" w:cs="Cambria"/>
      <w:kern w:val="2"/>
      <w:sz w:val="21"/>
      <w:szCs w:val="21"/>
      <w:lang w:val="en-US" w:eastAsia="zh-CN"/>
    </w:rPr>
  </w:style>
  <w:style w:type="character" w:customStyle="1" w:styleId="182">
    <w:name w:val="正文文本缩进 3 字符"/>
    <w:locked/>
    <w:uiPriority w:val="99"/>
    <w:rPr>
      <w:rFonts w:ascii="宋体" w:hAnsi="宋体" w:eastAsia="宋体" w:cs="宋体"/>
      <w:b/>
      <w:kern w:val="2"/>
      <w:sz w:val="24"/>
      <w:szCs w:val="24"/>
      <w:lang w:val="en-US" w:eastAsia="zh-CN"/>
    </w:rPr>
  </w:style>
  <w:style w:type="character" w:customStyle="1" w:styleId="183">
    <w:name w:val="正文文本缩进 3 字符1"/>
    <w:semiHidden/>
    <w:uiPriority w:val="99"/>
    <w:rPr>
      <w:kern w:val="2"/>
      <w:sz w:val="16"/>
      <w:szCs w:val="16"/>
    </w:rPr>
  </w:style>
  <w:style w:type="paragraph" w:customStyle="1" w:styleId="184">
    <w:name w:val=" Char"/>
    <w:basedOn w:val="1"/>
    <w:qFormat/>
    <w:uiPriority w:val="0"/>
    <w:rPr>
      <w:rFonts w:ascii="仿宋_GB2312" w:eastAsia="仿宋_GB2312"/>
      <w:b/>
      <w:sz w:val="32"/>
      <w:szCs w:val="32"/>
    </w:rPr>
  </w:style>
  <w:style w:type="paragraph" w:customStyle="1" w:styleId="185">
    <w:name w:val="Char Char Char1 Char"/>
    <w:basedOn w:val="1"/>
    <w:qFormat/>
    <w:uiPriority w:val="0"/>
    <w:pPr>
      <w:spacing w:line="360" w:lineRule="auto"/>
      <w:ind w:firstLine="200" w:firstLineChars="200"/>
    </w:pPr>
  </w:style>
  <w:style w:type="paragraph" w:customStyle="1" w:styleId="186">
    <w:name w:val="无间隔1"/>
    <w:qFormat/>
    <w:uiPriority w:val="0"/>
    <w:rPr>
      <w:sz w:val="21"/>
      <w:lang w:val="en-US" w:eastAsia="zh-CN" w:bidi="ar-SA"/>
    </w:rPr>
  </w:style>
  <w:style w:type="paragraph" w:customStyle="1" w:styleId="187">
    <w:name w:val="默认段落字体11"/>
    <w:basedOn w:val="1"/>
    <w:uiPriority w:val="0"/>
    <w:pPr>
      <w:widowControl/>
      <w:spacing w:before="100" w:beforeAutospacing="1" w:after="100" w:afterAutospacing="1"/>
      <w:jc w:val="left"/>
    </w:pPr>
    <w:rPr>
      <w:szCs w:val="22"/>
    </w:rPr>
  </w:style>
  <w:style w:type="paragraph" w:customStyle="1" w:styleId="188">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189">
    <w:name w:val="Item List in Table"/>
    <w:basedOn w:val="1"/>
    <w:qFormat/>
    <w:uiPriority w:val="0"/>
    <w:pPr>
      <w:widowControl/>
      <w:numPr>
        <w:ilvl w:val="0"/>
        <w:numId w:val="1"/>
      </w:numPr>
      <w:tabs>
        <w:tab w:val="left" w:pos="284"/>
      </w:tabs>
      <w:topLinePunct/>
      <w:adjustRightInd w:val="0"/>
      <w:snapToGrid w:val="0"/>
      <w:spacing w:before="80" w:after="80" w:line="240" w:lineRule="atLeast"/>
      <w:jc w:val="left"/>
    </w:pPr>
    <w:rPr>
      <w:rFonts w:cs="Arial"/>
      <w:kern w:val="0"/>
      <w:szCs w:val="21"/>
    </w:rPr>
  </w:style>
  <w:style w:type="paragraph" w:customStyle="1" w:styleId="190">
    <w:name w:val="符号 1"/>
    <w:basedOn w:val="20"/>
    <w:qFormat/>
    <w:uiPriority w:val="0"/>
    <w:pPr>
      <w:tabs>
        <w:tab w:val="left" w:pos="900"/>
      </w:tabs>
      <w:spacing w:line="360" w:lineRule="auto"/>
      <w:ind w:left="1200" w:hanging="720"/>
    </w:pPr>
    <w:rPr>
      <w:rFonts w:eastAsia="宋体"/>
      <w:kern w:val="28"/>
      <w:szCs w:val="24"/>
    </w:rPr>
  </w:style>
  <w:style w:type="paragraph" w:customStyle="1" w:styleId="191">
    <w:name w:val="Char Char Char Char Char Char Char"/>
    <w:basedOn w:val="1"/>
    <w:qFormat/>
    <w:uiPriority w:val="0"/>
    <w:pPr>
      <w:tabs>
        <w:tab w:val="left" w:pos="432"/>
      </w:tabs>
      <w:ind w:left="432" w:hanging="432"/>
    </w:pPr>
    <w:rPr>
      <w:rFonts w:ascii="Tahoma" w:hAnsi="Tahoma"/>
      <w:sz w:val="24"/>
    </w:rPr>
  </w:style>
  <w:style w:type="paragraph" w:customStyle="1" w:styleId="192">
    <w:name w:val="标题1"/>
    <w:basedOn w:val="2"/>
    <w:qFormat/>
    <w:uiPriority w:val="0"/>
    <w:pPr>
      <w:keepLines/>
      <w:tabs>
        <w:tab w:val="left" w:pos="397"/>
      </w:tabs>
      <w:spacing w:before="120" w:after="120" w:line="300" w:lineRule="auto"/>
      <w:ind w:firstLine="340"/>
    </w:pPr>
    <w:rPr>
      <w:rFonts w:ascii="黑体" w:hAnsi="宋体" w:eastAsia="黑体"/>
      <w:b/>
      <w:bCs/>
      <w:spacing w:val="6"/>
      <w:kern w:val="44"/>
      <w:sz w:val="36"/>
    </w:rPr>
  </w:style>
  <w:style w:type="paragraph" w:customStyle="1" w:styleId="193">
    <w:name w:val="Body"/>
    <w:qFormat/>
    <w:uiPriority w:val="0"/>
    <w:pPr>
      <w:spacing w:before="130" w:after="130" w:line="260" w:lineRule="exact"/>
    </w:pPr>
    <w:rPr>
      <w:rFonts w:ascii="Univers" w:hAnsi="Univers"/>
      <w:color w:val="000000"/>
      <w:sz w:val="22"/>
      <w:lang w:val="en-US" w:eastAsia="en-US" w:bidi="ar-SA"/>
    </w:rPr>
  </w:style>
  <w:style w:type="paragraph" w:customStyle="1" w:styleId="194">
    <w:name w:val="Char11"/>
    <w:basedOn w:val="1"/>
    <w:qFormat/>
    <w:uiPriority w:val="0"/>
    <w:rPr>
      <w:szCs w:val="24"/>
    </w:rPr>
  </w:style>
  <w:style w:type="paragraph" w:customStyle="1" w:styleId="195">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6">
    <w:name w:val="Char"/>
    <w:basedOn w:val="1"/>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197">
    <w:name w:val="首行缩进"/>
    <w:basedOn w:val="1"/>
    <w:qFormat/>
    <w:uiPriority w:val="0"/>
    <w:pPr>
      <w:spacing w:line="360" w:lineRule="auto"/>
      <w:ind w:firstLine="480" w:firstLineChars="200"/>
      <w:jc w:val="left"/>
    </w:pPr>
    <w:rPr>
      <w:rFonts w:ascii="宋体" w:hAnsi="宋体"/>
      <w:sz w:val="24"/>
    </w:rPr>
  </w:style>
  <w:style w:type="paragraph" w:customStyle="1" w:styleId="198">
    <w:name w:val="正文 居中"/>
    <w:basedOn w:val="1"/>
    <w:qFormat/>
    <w:uiPriority w:val="0"/>
    <w:pPr>
      <w:spacing w:line="360" w:lineRule="auto"/>
      <w:jc w:val="center"/>
    </w:pPr>
    <w:rPr>
      <w:rFonts w:cs="宋体"/>
      <w:sz w:val="24"/>
    </w:rPr>
  </w:style>
  <w:style w:type="paragraph" w:customStyle="1" w:styleId="199">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00">
    <w:name w:val="列出段落2"/>
    <w:basedOn w:val="1"/>
    <w:uiPriority w:val="0"/>
    <w:pPr>
      <w:widowControl/>
      <w:spacing w:after="200" w:line="276" w:lineRule="auto"/>
      <w:ind w:left="720"/>
      <w:contextualSpacing/>
      <w:jc w:val="left"/>
    </w:pPr>
    <w:rPr>
      <w:rFonts w:ascii="Calibri" w:hAnsi="Calibri"/>
      <w:kern w:val="0"/>
      <w:sz w:val="22"/>
      <w:szCs w:val="22"/>
    </w:rPr>
  </w:style>
  <w:style w:type="paragraph" w:customStyle="1" w:styleId="201">
    <w:name w:val="默认段落字体 Para Char Char Char Char Char Char Char Char Char Char"/>
    <w:basedOn w:val="1"/>
    <w:qFormat/>
    <w:uiPriority w:val="0"/>
    <w:rPr>
      <w:rFonts w:ascii="Tahoma" w:hAnsi="Tahoma"/>
      <w:sz w:val="24"/>
    </w:rPr>
  </w:style>
  <w:style w:type="paragraph" w:customStyle="1" w:styleId="202">
    <w:name w:val="样式 正文缩进 + 首行缩进:  2 字符"/>
    <w:basedOn w:val="13"/>
    <w:qFormat/>
    <w:uiPriority w:val="99"/>
    <w:pPr>
      <w:spacing w:line="360" w:lineRule="auto"/>
      <w:ind w:firstLine="200"/>
    </w:pPr>
  </w:style>
  <w:style w:type="paragraph" w:customStyle="1" w:styleId="203">
    <w:name w:val="Default"/>
    <w:qFormat/>
    <w:uiPriority w:val="0"/>
    <w:pPr>
      <w:widowControl w:val="0"/>
      <w:autoSpaceDE w:val="0"/>
      <w:autoSpaceDN w:val="0"/>
      <w:adjustRightInd w:val="0"/>
      <w:ind w:left="425"/>
    </w:pPr>
    <w:rPr>
      <w:rFonts w:ascii="黑体" w:eastAsia="黑体" w:cs="黑体"/>
      <w:color w:val="000000"/>
      <w:sz w:val="24"/>
      <w:szCs w:val="24"/>
      <w:lang w:val="en-US" w:eastAsia="zh-CN" w:bidi="ar-SA"/>
    </w:rPr>
  </w:style>
  <w:style w:type="paragraph" w:customStyle="1" w:styleId="204">
    <w:name w:val="列出段落11"/>
    <w:basedOn w:val="1"/>
    <w:qFormat/>
    <w:uiPriority w:val="0"/>
    <w:pPr>
      <w:ind w:firstLine="420" w:firstLineChars="200"/>
    </w:pPr>
    <w:rPr>
      <w:szCs w:val="24"/>
    </w:rPr>
  </w:style>
  <w:style w:type="paragraph" w:customStyle="1" w:styleId="205">
    <w:name w:val="正文文本缩进 + 四号"/>
    <w:basedOn w:val="20"/>
    <w:qFormat/>
    <w:uiPriority w:val="0"/>
    <w:pPr>
      <w:spacing w:line="360" w:lineRule="auto"/>
      <w:ind w:firstLine="560" w:firstLineChars="200"/>
    </w:pPr>
    <w:rPr>
      <w:rFonts w:ascii="仿宋_GB2312" w:eastAsia="仿宋_GB2312"/>
      <w:color w:val="000000"/>
      <w:sz w:val="28"/>
      <w:szCs w:val="28"/>
    </w:rPr>
  </w:style>
  <w:style w:type="paragraph" w:customStyle="1" w:styleId="206">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207">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208">
    <w:name w:val="Char2"/>
    <w:basedOn w:val="1"/>
    <w:qFormat/>
    <w:uiPriority w:val="0"/>
    <w:pPr>
      <w:tabs>
        <w:tab w:val="left" w:pos="1200"/>
      </w:tabs>
      <w:ind w:left="1200" w:hanging="720"/>
    </w:pPr>
    <w:rPr>
      <w:sz w:val="24"/>
      <w:szCs w:val="24"/>
    </w:rPr>
  </w:style>
  <w:style w:type="paragraph" w:customStyle="1" w:styleId="209">
    <w:name w:val="font13"/>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10">
    <w:name w:val="此正文"/>
    <w:basedOn w:val="1"/>
    <w:uiPriority w:val="0"/>
    <w:pPr>
      <w:spacing w:line="360" w:lineRule="auto"/>
      <w:ind w:firstLine="200" w:firstLineChars="200"/>
    </w:pPr>
    <w:rPr>
      <w:sz w:val="24"/>
      <w:szCs w:val="24"/>
    </w:rPr>
  </w:style>
  <w:style w:type="paragraph" w:customStyle="1" w:styleId="211">
    <w:name w:val="Char Char1 Char Char Char Char"/>
    <w:basedOn w:val="1"/>
    <w:qFormat/>
    <w:uiPriority w:val="0"/>
    <w:rPr>
      <w:rFonts w:ascii="Tahoma" w:hAnsi="Tahoma"/>
      <w:sz w:val="24"/>
    </w:rPr>
  </w:style>
  <w:style w:type="paragraph" w:customStyle="1" w:styleId="212">
    <w:name w:val="标准正文"/>
    <w:basedOn w:val="1"/>
    <w:qFormat/>
    <w:uiPriority w:val="0"/>
    <w:pPr>
      <w:adjustRightInd w:val="0"/>
      <w:spacing w:line="360" w:lineRule="auto"/>
      <w:ind w:firstLine="480" w:firstLineChars="200"/>
    </w:pPr>
    <w:rPr>
      <w:kern w:val="0"/>
      <w:sz w:val="24"/>
    </w:rPr>
  </w:style>
  <w:style w:type="paragraph" w:customStyle="1" w:styleId="213">
    <w:name w:val="表格正文"/>
    <w:basedOn w:val="1"/>
    <w:qFormat/>
    <w:uiPriority w:val="0"/>
    <w:rPr>
      <w:rFonts w:eastAsia="黑体"/>
    </w:rPr>
  </w:style>
  <w:style w:type="paragraph" w:customStyle="1" w:styleId="214">
    <w:name w:val="_Style 5"/>
    <w:basedOn w:val="1"/>
    <w:qFormat/>
    <w:uiPriority w:val="0"/>
    <w:pPr>
      <w:widowControl/>
      <w:spacing w:after="160" w:line="360" w:lineRule="auto"/>
      <w:ind w:firstLine="200" w:firstLineChars="200"/>
      <w:jc w:val="left"/>
    </w:pPr>
    <w:rPr>
      <w:rFonts w:ascii="宋体" w:hAnsi="宋体"/>
      <w:sz w:val="24"/>
    </w:rPr>
  </w:style>
  <w:style w:type="paragraph" w:customStyle="1" w:styleId="215">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216">
    <w:name w:val="Proposals body"/>
    <w:basedOn w:val="1"/>
    <w:next w:val="1"/>
    <w:qFormat/>
    <w:uiPriority w:val="0"/>
    <w:pPr>
      <w:widowControl/>
      <w:spacing w:line="360" w:lineRule="auto"/>
      <w:jc w:val="left"/>
    </w:pPr>
    <w:rPr>
      <w:rFonts w:ascii="宋体"/>
      <w:color w:val="000000"/>
      <w:kern w:val="0"/>
      <w:sz w:val="24"/>
    </w:rPr>
  </w:style>
  <w:style w:type="paragraph" w:customStyle="1" w:styleId="217">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18">
    <w:name w:val="正文1"/>
    <w:qFormat/>
    <w:uiPriority w:val="0"/>
    <w:pPr>
      <w:widowControl w:val="0"/>
      <w:jc w:val="both"/>
    </w:pPr>
    <w:rPr>
      <w:kern w:val="2"/>
      <w:sz w:val="21"/>
      <w:lang w:val="en-US" w:eastAsia="zh-CN" w:bidi="ar-SA"/>
    </w:rPr>
  </w:style>
  <w:style w:type="paragraph" w:customStyle="1" w:styleId="219">
    <w:name w:val="彩色列表 - 强调文字颜色 11"/>
    <w:basedOn w:val="1"/>
    <w:qFormat/>
    <w:uiPriority w:val="0"/>
    <w:pPr>
      <w:ind w:firstLine="420" w:firstLineChars="200"/>
    </w:pPr>
    <w:rPr>
      <w:rFonts w:ascii="Calibri" w:hAnsi="Calibri"/>
      <w:szCs w:val="22"/>
    </w:rPr>
  </w:style>
  <w:style w:type="paragraph" w:customStyle="1" w:styleId="220">
    <w:name w:val="Char Char Char"/>
    <w:basedOn w:val="1"/>
    <w:qFormat/>
    <w:uiPriority w:val="0"/>
    <w:pPr>
      <w:spacing w:before="120" w:after="120" w:line="360" w:lineRule="auto"/>
      <w:ind w:firstLine="200" w:firstLineChars="200"/>
    </w:pPr>
    <w:rPr>
      <w:rFonts w:ascii="Tahoma" w:hAnsi="Tahoma"/>
      <w:sz w:val="24"/>
    </w:rPr>
  </w:style>
  <w:style w:type="paragraph" w:customStyle="1" w:styleId="22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2">
    <w:name w:val="段"/>
    <w:qFormat/>
    <w:uiPriority w:val="0"/>
    <w:pPr>
      <w:autoSpaceDE w:val="0"/>
      <w:autoSpaceDN w:val="0"/>
      <w:ind w:firstLine="200" w:firstLineChars="200"/>
      <w:jc w:val="both"/>
    </w:pPr>
    <w:rPr>
      <w:rFonts w:ascii="宋体"/>
      <w:sz w:val="21"/>
      <w:lang w:val="en-US" w:eastAsia="zh-CN" w:bidi="ar-SA"/>
    </w:rPr>
  </w:style>
  <w:style w:type="paragraph" w:customStyle="1" w:styleId="223">
    <w:name w:val="Body Text Indent"/>
    <w:basedOn w:val="1"/>
    <w:uiPriority w:val="0"/>
    <w:pPr>
      <w:spacing w:after="120"/>
      <w:ind w:left="420" w:leftChars="200"/>
    </w:pPr>
    <w:rPr>
      <w:szCs w:val="24"/>
    </w:rPr>
  </w:style>
  <w:style w:type="paragraph" w:styleId="224">
    <w:name w:val="No Spacing"/>
    <w:qFormat/>
    <w:uiPriority w:val="1"/>
    <w:pPr>
      <w:widowControl w:val="0"/>
      <w:jc w:val="both"/>
    </w:pPr>
    <w:rPr>
      <w:kern w:val="2"/>
      <w:sz w:val="21"/>
      <w:lang w:val="en-US" w:eastAsia="zh-CN" w:bidi="ar-SA"/>
    </w:rPr>
  </w:style>
  <w:style w:type="paragraph" w:customStyle="1" w:styleId="225">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6">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227">
    <w:name w:val="List Paragraph1"/>
    <w:basedOn w:val="1"/>
    <w:qFormat/>
    <w:uiPriority w:val="34"/>
    <w:pPr>
      <w:ind w:firstLine="420" w:firstLineChars="200"/>
    </w:pPr>
    <w:rPr>
      <w:szCs w:val="24"/>
    </w:rPr>
  </w:style>
  <w:style w:type="paragraph" w:customStyle="1" w:styleId="228">
    <w:name w:val="标题3"/>
    <w:basedOn w:val="5"/>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cs="Times New Roman"/>
      <w:b w:val="0"/>
      <w:bCs/>
      <w:spacing w:val="6"/>
      <w:kern w:val="44"/>
      <w:sz w:val="28"/>
      <w:szCs w:val="20"/>
      <w:lang w:val="ru-RU"/>
    </w:rPr>
  </w:style>
  <w:style w:type="paragraph" w:customStyle="1" w:styleId="229">
    <w:name w:val="Char1"/>
    <w:basedOn w:val="1"/>
    <w:qFormat/>
    <w:uiPriority w:val="0"/>
    <w:rPr>
      <w:rFonts w:ascii="仿宋_GB2312" w:eastAsia="仿宋_GB2312"/>
      <w:b/>
      <w:sz w:val="32"/>
      <w:szCs w:val="32"/>
    </w:rPr>
  </w:style>
  <w:style w:type="paragraph" w:customStyle="1" w:styleId="230">
    <w:name w:val="正文2"/>
    <w:basedOn w:val="1"/>
    <w:qFormat/>
    <w:uiPriority w:val="0"/>
    <w:pPr>
      <w:spacing w:beforeLines="50" w:afterLines="50" w:line="360" w:lineRule="auto"/>
      <w:ind w:firstLine="480" w:firstLineChars="200"/>
    </w:pPr>
    <w:rPr>
      <w:rFonts w:ascii="宋体" w:hAnsi="宋体"/>
      <w:sz w:val="24"/>
      <w:szCs w:val="24"/>
    </w:rPr>
  </w:style>
  <w:style w:type="paragraph" w:customStyle="1" w:styleId="231">
    <w:name w:val="符号 2"/>
    <w:basedOn w:val="190"/>
    <w:qFormat/>
    <w:uiPriority w:val="0"/>
    <w:pPr>
      <w:tabs>
        <w:tab w:val="left" w:pos="1320"/>
        <w:tab w:val="clear" w:pos="900"/>
      </w:tabs>
      <w:ind w:left="1320" w:hanging="420"/>
    </w:pPr>
  </w:style>
  <w:style w:type="paragraph" w:customStyle="1" w:styleId="232">
    <w:name w:val="默认段落字体 Para Char Char Char Char Char Char Char Char Char1 Char Char Char Char"/>
    <w:basedOn w:val="1"/>
    <w:qFormat/>
    <w:uiPriority w:val="0"/>
    <w:rPr>
      <w:rFonts w:ascii="Tahoma" w:hAnsi="Tahoma"/>
      <w:sz w:val="24"/>
    </w:rPr>
  </w:style>
  <w:style w:type="paragraph" w:customStyle="1" w:styleId="233">
    <w:name w:val="UserStyle_4"/>
    <w:basedOn w:val="1"/>
    <w:qFormat/>
    <w:uiPriority w:val="0"/>
    <w:pPr>
      <w:widowControl/>
      <w:ind w:firstLine="420" w:firstLineChars="200"/>
    </w:pPr>
    <w:rPr>
      <w:rFonts w:ascii="Calibri" w:hAnsi="Calibri" w:cs="Times New Roman"/>
      <w:szCs w:val="22"/>
    </w:rPr>
  </w:style>
  <w:style w:type="paragraph" w:customStyle="1" w:styleId="234">
    <w:name w:val="正文编码"/>
    <w:basedOn w:val="43"/>
    <w:qFormat/>
    <w:uiPriority w:val="0"/>
    <w:pPr>
      <w:tabs>
        <w:tab w:val="center" w:pos="2185"/>
      </w:tabs>
      <w:spacing w:after="0" w:line="360" w:lineRule="auto"/>
      <w:ind w:left="1200" w:hanging="720" w:firstLineChars="0"/>
    </w:pPr>
    <w:rPr>
      <w:rFonts w:ascii="仿宋_GB2312" w:hAnsi="宋体" w:eastAsia="仿宋_GB2312"/>
      <w:kern w:val="0"/>
      <w:sz w:val="24"/>
      <w:szCs w:val="20"/>
    </w:rPr>
  </w:style>
  <w:style w:type="paragraph" w:customStyle="1" w:styleId="235">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6">
    <w:name w:val="Char Char Char Char"/>
    <w:basedOn w:val="1"/>
    <w:qFormat/>
    <w:uiPriority w:val="0"/>
    <w:pPr>
      <w:widowControl/>
      <w:spacing w:line="400" w:lineRule="exact"/>
      <w:jc w:val="center"/>
    </w:pPr>
    <w:rPr>
      <w:rFonts w:ascii="Verdana" w:hAnsi="Verdana"/>
      <w:kern w:val="0"/>
      <w:lang w:eastAsia="en-US"/>
    </w:rPr>
  </w:style>
  <w:style w:type="paragraph" w:customStyle="1" w:styleId="237">
    <w:name w:val="正文段"/>
    <w:basedOn w:val="1"/>
    <w:qFormat/>
    <w:uiPriority w:val="0"/>
    <w:pPr>
      <w:widowControl/>
      <w:snapToGrid w:val="0"/>
      <w:spacing w:afterLines="50"/>
      <w:ind w:firstLine="200" w:firstLineChars="200"/>
    </w:pPr>
    <w:rPr>
      <w:kern w:val="0"/>
      <w:sz w:val="24"/>
    </w:rPr>
  </w:style>
  <w:style w:type="paragraph" w:customStyle="1" w:styleId="238">
    <w:name w:val="p0"/>
    <w:basedOn w:val="1"/>
    <w:qFormat/>
    <w:uiPriority w:val="0"/>
    <w:pPr>
      <w:widowControl/>
    </w:pPr>
    <w:rPr>
      <w:kern w:val="0"/>
      <w:szCs w:val="21"/>
    </w:rPr>
  </w:style>
  <w:style w:type="paragraph" w:customStyle="1" w:styleId="239">
    <w:name w:val="Table Text"/>
    <w:basedOn w:val="1"/>
    <w:qFormat/>
    <w:uiPriority w:val="0"/>
    <w:pPr>
      <w:widowControl/>
      <w:jc w:val="left"/>
    </w:pPr>
    <w:rPr>
      <w:rFonts w:ascii="Arial" w:hAnsi="Arial"/>
      <w:kern w:val="0"/>
      <w:szCs w:val="21"/>
    </w:rPr>
  </w:style>
  <w:style w:type="paragraph" w:customStyle="1" w:styleId="240">
    <w:name w:val="Other|1"/>
    <w:basedOn w:val="1"/>
    <w:qFormat/>
    <w:uiPriority w:val="0"/>
    <w:pPr>
      <w:widowControl w:val="0"/>
      <w:shd w:val="clear" w:color="auto" w:fill="auto"/>
      <w:spacing w:line="427" w:lineRule="auto"/>
      <w:ind w:firstLine="400"/>
    </w:pPr>
    <w:rPr>
      <w:rFonts w:ascii="宋体" w:hAnsi="宋体" w:eastAsia="宋体" w:cs="宋体"/>
      <w:color w:val="6A6D74"/>
      <w:sz w:val="19"/>
      <w:szCs w:val="19"/>
      <w:u w:val="none"/>
      <w:shd w:val="clear" w:color="auto" w:fill="auto"/>
      <w:lang w:val="zh-TW" w:eastAsia="zh-TW" w:bidi="zh-TW"/>
    </w:rPr>
  </w:style>
  <w:style w:type="paragraph" w:customStyle="1" w:styleId="241">
    <w:name w:val="标准小四"/>
    <w:basedOn w:val="1"/>
    <w:qFormat/>
    <w:uiPriority w:val="0"/>
    <w:pPr>
      <w:spacing w:line="360" w:lineRule="auto"/>
      <w:ind w:firstLine="480" w:firstLineChars="200"/>
    </w:pPr>
    <w:rPr>
      <w:rFonts w:ascii="Arial" w:hAnsi="Arial"/>
      <w:sz w:val="24"/>
      <w:szCs w:val="21"/>
    </w:rPr>
  </w:style>
  <w:style w:type="table" w:customStyle="1" w:styleId="242">
    <w:name w:val="Table Normal"/>
    <w:unhideWhenUsed/>
    <w:qFormat/>
    <w:uiPriority w:val="0"/>
    <w:rPr>
      <w:rFonts w:ascii="Arial" w:hAnsi="Arial" w:cs="Arial"/>
      <w:snapToGrid w:val="0"/>
      <w:color w:val="000000"/>
      <w:sz w:val="21"/>
      <w:szCs w:val="21"/>
      <w:lang w:val="en-US" w:eastAsia="zh-CN" w:bidi="ar-SA"/>
    </w:rPr>
    <w:tblPr>
      <w:tblStyle w:val="45"/>
      <w:tblCellMar>
        <w:top w:w="0" w:type="dxa"/>
        <w:left w:w="0" w:type="dxa"/>
        <w:bottom w:w="0" w:type="dxa"/>
        <w:right w:w="0" w:type="dxa"/>
      </w:tblCellMar>
    </w:tblPr>
  </w:style>
  <w:style w:type="character" w:customStyle="1" w:styleId="243">
    <w:name w:val="列表段落 字符"/>
    <w:qFormat/>
    <w:locked/>
    <w:uiPriority w:val="34"/>
    <w:rPr>
      <w:rFonts w:eastAsia="宋体"/>
      <w:sz w:val="24"/>
    </w:rPr>
  </w:style>
  <w:style w:type="character" w:customStyle="1" w:styleId="244">
    <w:name w:val="标题 1 Char"/>
    <w:uiPriority w:val="0"/>
    <w:rPr>
      <w:rFonts w:hint="default" w:ascii="Verdana" w:hAnsi="Verdana" w:cs="Verdana"/>
      <w:b/>
      <w:bCs/>
      <w:kern w:val="44"/>
      <w:sz w:val="44"/>
      <w:szCs w:val="44"/>
      <w:lang w:eastAsia="en-US"/>
    </w:rPr>
  </w:style>
  <w:style w:type="paragraph" w:customStyle="1" w:styleId="245">
    <w:name w:val="A正文小四"/>
    <w:basedOn w:val="1"/>
    <w:uiPriority w:val="0"/>
    <w:pPr>
      <w:keepNext w:val="0"/>
      <w:keepLines w:val="0"/>
      <w:widowControl w:val="0"/>
      <w:suppressLineNumbers w:val="0"/>
      <w:spacing w:before="0" w:beforeAutospacing="0" w:after="0" w:afterAutospacing="0" w:line="360" w:lineRule="auto"/>
      <w:ind w:left="0" w:right="0" w:firstLine="600" w:firstLineChars="200"/>
      <w:jc w:val="left"/>
    </w:pPr>
    <w:rPr>
      <w:rFonts w:hint="default" w:ascii="Times New Roman" w:hAnsi="Times New Roman" w:eastAsia="宋体" w:cs="Times New Roman"/>
      <w:color w:val="000000"/>
      <w:kern w:val="2"/>
      <w:sz w:val="21"/>
      <w:szCs w:val="24"/>
      <w:lang w:val="en-US" w:eastAsia="zh-CN" w:bidi="ar"/>
    </w:rPr>
  </w:style>
  <w:style w:type="paragraph" w:customStyle="1" w:styleId="246">
    <w:name w:val="List Paragraph"/>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 w:type="character" w:customStyle="1" w:styleId="247">
    <w:name w:val="注： Char Char"/>
    <w:link w:val="248"/>
    <w:qFormat/>
    <w:uiPriority w:val="0"/>
    <w:rPr>
      <w:rFonts w:ascii="宋体" w:hAnsi="Tahoma"/>
      <w:sz w:val="18"/>
    </w:rPr>
  </w:style>
  <w:style w:type="paragraph" w:customStyle="1" w:styleId="248">
    <w:name w:val="注："/>
    <w:next w:val="222"/>
    <w:link w:val="247"/>
    <w:qFormat/>
    <w:uiPriority w:val="0"/>
    <w:pPr>
      <w:widowControl w:val="0"/>
      <w:numPr>
        <w:ilvl w:val="0"/>
        <w:numId w:val="2"/>
      </w:numPr>
      <w:tabs>
        <w:tab w:val="left" w:pos="700"/>
      </w:tabs>
      <w:autoSpaceDE w:val="0"/>
      <w:autoSpaceDN w:val="0"/>
      <w:jc w:val="both"/>
    </w:pPr>
    <w:rPr>
      <w:rFonts w:ascii="宋体" w:hAnsi="Tahoma"/>
      <w:sz w:val="18"/>
      <w:lang w:val="en-US" w:eastAsia="zh-CN" w:bidi="ar-SA"/>
    </w:rPr>
  </w:style>
  <w:style w:type="paragraph" w:customStyle="1" w:styleId="249">
    <w:name w:val="Char Char Char Char1"/>
    <w:basedOn w:val="1"/>
    <w:uiPriority w:val="0"/>
    <w:rPr>
      <w:rFonts w:ascii="Tahoma" w:hAnsi="Tahoma" w:cs="Times New Roman"/>
      <w:sz w:val="24"/>
    </w:rPr>
  </w:style>
  <w:style w:type="paragraph" w:customStyle="1" w:styleId="250">
    <w:name w:val="章标题"/>
    <w:next w:val="222"/>
    <w:qFormat/>
    <w:uiPriority w:val="0"/>
    <w:pPr>
      <w:numPr>
        <w:ilvl w:val="1"/>
        <w:numId w:val="3"/>
      </w:numPr>
      <w:tabs>
        <w:tab w:val="left" w:pos="1440"/>
      </w:tabs>
      <w:spacing w:before="156" w:beforeLines="50" w:after="156" w:afterLines="50"/>
      <w:jc w:val="both"/>
      <w:outlineLvl w:val="1"/>
    </w:pPr>
    <w:rPr>
      <w:rFonts w:ascii="黑体" w:eastAsia="黑体"/>
      <w:sz w:val="21"/>
      <w:lang w:val="en-US" w:eastAsia="zh-CN" w:bidi="ar-SA"/>
    </w:rPr>
  </w:style>
  <w:style w:type="paragraph" w:customStyle="1" w:styleId="251">
    <w:name w:val="一级条标题"/>
    <w:next w:val="222"/>
    <w:qFormat/>
    <w:uiPriority w:val="0"/>
    <w:pPr>
      <w:numPr>
        <w:ilvl w:val="2"/>
        <w:numId w:val="3"/>
      </w:numPr>
      <w:tabs>
        <w:tab w:val="left" w:pos="2160"/>
      </w:tabs>
      <w:outlineLvl w:val="2"/>
    </w:pPr>
    <w:rPr>
      <w:rFonts w:eastAsia="黑体"/>
      <w:sz w:val="21"/>
      <w:lang w:val="en-US" w:eastAsia="zh-CN" w:bidi="ar-SA"/>
    </w:rPr>
  </w:style>
  <w:style w:type="paragraph" w:customStyle="1" w:styleId="252">
    <w:name w:val="正文表标题"/>
    <w:next w:val="222"/>
    <w:qFormat/>
    <w:uiPriority w:val="0"/>
    <w:pPr>
      <w:numPr>
        <w:ilvl w:val="0"/>
        <w:numId w:val="3"/>
      </w:numPr>
      <w:tabs>
        <w:tab w:val="left" w:pos="360"/>
      </w:tabs>
      <w:jc w:val="center"/>
    </w:pPr>
    <w:rPr>
      <w:rFonts w:ascii="黑体" w:eastAsia="黑体"/>
      <w:sz w:val="21"/>
      <w:lang w:val="en-US" w:eastAsia="zh-CN" w:bidi="ar-SA"/>
    </w:rPr>
  </w:style>
  <w:style w:type="character" w:customStyle="1" w:styleId="253">
    <w:name w:val="15"/>
    <w:uiPriority w:val="0"/>
    <w:rPr>
      <w:rFonts w:hint="default" w:ascii="Times New Roman" w:hAnsi="Times New Roman" w:eastAsia="宋体" w:cs="Times New Roman"/>
      <w:b/>
      <w:spacing w:val="-2"/>
      <w:sz w:val="24"/>
      <w:szCs w:val="24"/>
    </w:rPr>
  </w:style>
  <w:style w:type="character" w:customStyle="1" w:styleId="254">
    <w:name w:val="font131"/>
    <w:uiPriority w:val="0"/>
    <w:rPr>
      <w:rFonts w:hint="default" w:ascii="Times New Roman" w:hAnsi="Times New Roman" w:cs="Times New Roman"/>
      <w:color w:val="000000"/>
      <w:sz w:val="24"/>
      <w:szCs w:val="24"/>
      <w:u w:val="none"/>
    </w:rPr>
  </w:style>
  <w:style w:type="character" w:customStyle="1" w:styleId="255">
    <w:name w:val="font151"/>
    <w:uiPriority w:val="0"/>
    <w:rPr>
      <w:rFonts w:hint="eastAsia" w:ascii="宋体" w:hAnsi="宋体" w:eastAsia="宋体" w:cs="宋体"/>
      <w:color w:val="000000"/>
      <w:sz w:val="24"/>
      <w:szCs w:val="24"/>
      <w:u w:val="none"/>
    </w:rPr>
  </w:style>
  <w:style w:type="character" w:customStyle="1" w:styleId="256">
    <w:name w:val="font161"/>
    <w:uiPriority w:val="0"/>
    <w:rPr>
      <w:rFonts w:hint="eastAsia" w:ascii="宋体" w:hAnsi="宋体" w:eastAsia="宋体" w:cs="宋体"/>
      <w:color w:val="000000"/>
      <w:sz w:val="24"/>
      <w:szCs w:val="24"/>
      <w:u w:val="none"/>
    </w:rPr>
  </w:style>
  <w:style w:type="paragraph" w:customStyle="1" w:styleId="257">
    <w:name w:val="Body text|1"/>
    <w:basedOn w:val="1"/>
    <w:qFormat/>
    <w:uiPriority w:val="0"/>
    <w:pPr>
      <w:widowControl w:val="0"/>
      <w:shd w:val="clear" w:color="auto" w:fill="auto"/>
      <w:spacing w:line="461"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11" Target="../customXml/item1.xml" Type="http://schemas.openxmlformats.org/officeDocument/2006/relationships/customXml"/><Relationship Id="rId12" Target="numbering.xml" Type="http://schemas.openxmlformats.org/officeDocument/2006/relationships/numbering"/><Relationship Id="rId13"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40011</Words>
  <Characters>42775</Characters>
  <Lines>425</Lines>
  <Paragraphs>119</Paragraphs>
  <TotalTime>29</TotalTime>
  <ScaleCrop>false</ScaleCrop>
  <LinksUpToDate>false</LinksUpToDate>
  <CharactersWithSpaces>44494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2022-03-10T03:24:00Z</dcterms:created>
  <dc:creator>dyp</dc:creator>
  <cp:lastModifiedBy>WPS_1701756769</cp:lastModifiedBy>
  <cp:lastPrinted>2022-03-30T06:31:43Z</cp:lastPrinted>
  <dcterms:modified xsi:type="dcterms:W3CDTF">2024-02-22T02:47:41Z</dcterms:modified>
  <cp:revision>9</cp:revision>
  <dc:title>第一部分  投标方须知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97F4C9A38F3A4C74BB7254DC0451ECBF_13</vt:lpwstr>
  </property>
</Properties>
</file>