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48"/>
          <w:szCs w:val="48"/>
          <w:highlight w:val="none"/>
          <w:lang w:eastAsia="zh-CN"/>
        </w:rPr>
      </w:pPr>
      <w:bookmarkStart w:id="71" w:name="_GoBack"/>
      <w:bookmarkEnd w:id="71"/>
      <w:r>
        <w:rPr>
          <w:rFonts w:hint="eastAsia" w:ascii="宋体" w:hAnsi="宋体" w:eastAsia="宋体" w:cs="宋体"/>
          <w:b/>
          <w:color w:val="auto"/>
          <w:sz w:val="52"/>
          <w:szCs w:val="52"/>
          <w:highlight w:val="none"/>
          <w:lang w:eastAsia="zh-CN"/>
        </w:rPr>
        <w:t>慈溪市桥头镇“无废绿色乡镇”建设服务采购项目</w:t>
      </w:r>
      <w:r>
        <w:rPr>
          <w:rFonts w:hint="eastAsia" w:ascii="宋体" w:hAnsi="宋体" w:eastAsia="宋体" w:cs="宋体"/>
          <w:b/>
          <w:color w:val="auto"/>
          <w:sz w:val="48"/>
          <w:szCs w:val="48"/>
          <w:highlight w:val="none"/>
          <w:lang w:val="en-US" w:eastAsia="zh-CN"/>
        </w:rPr>
        <w:t xml:space="preserve"> </w:t>
      </w:r>
    </w:p>
    <w:p>
      <w:pPr>
        <w:pStyle w:val="2"/>
        <w:ind w:firstLine="480"/>
        <w:rPr>
          <w:rFonts w:hint="eastAsia" w:ascii="宋体" w:hAnsi="宋体" w:eastAsia="宋体" w:cs="宋体"/>
          <w:color w:val="auto"/>
          <w:highlight w:val="none"/>
        </w:rPr>
      </w:pPr>
    </w:p>
    <w:p>
      <w:pPr>
        <w:pStyle w:val="2"/>
        <w:ind w:firstLine="480"/>
        <w:rPr>
          <w:rFonts w:hint="eastAsia" w:ascii="宋体" w:hAnsi="宋体" w:eastAsia="宋体" w:cs="宋体"/>
          <w:color w:val="auto"/>
          <w:highlight w:val="none"/>
        </w:rPr>
      </w:pPr>
    </w:p>
    <w:p>
      <w:pPr>
        <w:ind w:firstLine="1606" w:firstLineChars="5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采购编号：</w:t>
      </w:r>
      <w:r>
        <w:rPr>
          <w:rFonts w:hint="eastAsia" w:ascii="宋体" w:hAnsi="宋体" w:eastAsia="宋体" w:cs="宋体"/>
          <w:b/>
          <w:color w:val="auto"/>
          <w:sz w:val="32"/>
          <w:szCs w:val="32"/>
          <w:highlight w:val="none"/>
          <w:lang w:eastAsia="zh-CN"/>
        </w:rPr>
        <w:t>永敬工政采招[2021]47号</w:t>
      </w:r>
    </w:p>
    <w:p>
      <w:pPr>
        <w:rPr>
          <w:rFonts w:hint="eastAsia" w:ascii="宋体" w:hAnsi="宋体" w:eastAsia="宋体" w:cs="宋体"/>
          <w:b/>
          <w:color w:val="auto"/>
          <w:szCs w:val="21"/>
          <w:highlight w:val="none"/>
        </w:rPr>
      </w:pPr>
    </w:p>
    <w:p>
      <w:pPr>
        <w:rPr>
          <w:rFonts w:hint="eastAsia" w:ascii="宋体" w:hAnsi="宋体" w:eastAsia="宋体" w:cs="宋体"/>
          <w:b/>
          <w:bCs/>
          <w:color w:val="auto"/>
          <w:szCs w:val="21"/>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开</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pStyle w:val="2"/>
        <w:ind w:firstLine="1446"/>
        <w:rPr>
          <w:rFonts w:hint="eastAsia" w:ascii="宋体" w:hAnsi="宋体" w:eastAsia="宋体" w:cs="宋体"/>
          <w:b/>
          <w:bCs/>
          <w:color w:val="auto"/>
          <w:sz w:val="72"/>
          <w:szCs w:val="72"/>
          <w:highlight w:val="none"/>
        </w:rPr>
      </w:pPr>
    </w:p>
    <w:p>
      <w:pPr>
        <w:pStyle w:val="2"/>
        <w:ind w:firstLine="1446"/>
        <w:rPr>
          <w:rFonts w:hint="eastAsia" w:ascii="宋体" w:hAnsi="宋体" w:eastAsia="宋体" w:cs="宋体"/>
          <w:b/>
          <w:bCs/>
          <w:color w:val="auto"/>
          <w:sz w:val="72"/>
          <w:szCs w:val="72"/>
          <w:highlight w:val="none"/>
        </w:rPr>
      </w:pPr>
    </w:p>
    <w:p>
      <w:pPr>
        <w:adjustRightInd w:val="0"/>
        <w:snapToGrid w:val="0"/>
        <w:spacing w:line="700" w:lineRule="exac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招 标 人：</w:t>
      </w:r>
      <w:r>
        <w:rPr>
          <w:rFonts w:hint="eastAsia" w:ascii="宋体" w:hAnsi="宋体" w:eastAsia="宋体" w:cs="宋体"/>
          <w:b/>
          <w:bCs/>
          <w:color w:val="auto"/>
          <w:sz w:val="30"/>
          <w:szCs w:val="30"/>
          <w:highlight w:val="none"/>
          <w:lang w:eastAsia="zh-CN"/>
        </w:rPr>
        <w:t>慈溪市桥头镇人民政府</w:t>
      </w:r>
    </w:p>
    <w:p>
      <w:pPr>
        <w:adjustRightInd w:val="0"/>
        <w:snapToGrid w:val="0"/>
        <w:spacing w:line="700" w:lineRule="exac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代理机构：</w:t>
      </w:r>
      <w:r>
        <w:rPr>
          <w:rFonts w:hint="eastAsia" w:ascii="宋体" w:hAnsi="宋体" w:eastAsia="宋体" w:cs="宋体"/>
          <w:b/>
          <w:bCs/>
          <w:color w:val="auto"/>
          <w:sz w:val="30"/>
          <w:szCs w:val="30"/>
          <w:highlight w:val="none"/>
          <w:lang w:eastAsia="zh-CN"/>
        </w:rPr>
        <w:t>宁波永敬工程造价咨询有限公司</w:t>
      </w:r>
    </w:p>
    <w:p>
      <w:pPr>
        <w:adjustRightInd w:val="0"/>
        <w:snapToGrid w:val="0"/>
        <w:spacing w:line="700" w:lineRule="exact"/>
        <w:ind w:firstLine="280" w:firstLineChars="93"/>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编制日期：</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021</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月</w:t>
      </w:r>
    </w:p>
    <w:p>
      <w:pPr>
        <w:spacing w:line="360" w:lineRule="auto"/>
        <w:jc w:val="center"/>
        <w:rPr>
          <w:rFonts w:hint="eastAsia" w:ascii="宋体" w:hAnsi="宋体" w:eastAsia="宋体" w:cs="宋体"/>
          <w:b/>
          <w:bCs/>
          <w:color w:val="auto"/>
          <w:sz w:val="24"/>
          <w:szCs w:val="24"/>
          <w:highlight w:val="none"/>
          <w:u w:val="single"/>
        </w:rPr>
        <w:sectPr>
          <w:footerReference r:id="rId5" w:type="first"/>
          <w:headerReference r:id="rId3" w:type="default"/>
          <w:footerReference r:id="rId4" w:type="even"/>
          <w:type w:val="nextColumn"/>
          <w:pgSz w:w="11906" w:h="16838"/>
          <w:pgMar w:top="1701" w:right="1418" w:bottom="1134" w:left="1418" w:header="851" w:footer="992" w:gutter="0"/>
          <w:pgNumType w:start="1"/>
          <w:cols w:space="720" w:num="1"/>
          <w:docGrid w:linePitch="312" w:charSpace="0"/>
        </w:sectPr>
      </w:pPr>
      <w:r>
        <w:rPr>
          <w:rFonts w:hint="eastAsia" w:ascii="宋体" w:hAnsi="宋体" w:eastAsia="宋体" w:cs="宋体"/>
          <w:b/>
          <w:bCs/>
          <w:color w:val="auto"/>
          <w:sz w:val="24"/>
          <w:szCs w:val="24"/>
          <w:highlight w:val="none"/>
        </w:rPr>
        <w:t xml:space="preserve">  </w:t>
      </w:r>
    </w:p>
    <w:p>
      <w:pPr>
        <w:spacing w:line="1000" w:lineRule="exact"/>
        <w:jc w:val="center"/>
        <w:rPr>
          <w:rFonts w:hint="eastAsia" w:ascii="宋体" w:hAnsi="宋体" w:eastAsia="宋体" w:cs="宋体"/>
          <w:color w:val="auto"/>
          <w:sz w:val="48"/>
          <w:szCs w:val="48"/>
          <w:highlight w:val="none"/>
        </w:rPr>
      </w:pPr>
      <w:r>
        <w:rPr>
          <w:rFonts w:hint="eastAsia" w:ascii="宋体" w:hAnsi="宋体" w:eastAsia="宋体" w:cs="宋体"/>
          <w:b/>
          <w:color w:val="auto"/>
          <w:sz w:val="52"/>
          <w:szCs w:val="52"/>
          <w:highlight w:val="none"/>
        </w:rPr>
        <w:tab/>
      </w:r>
      <w:r>
        <w:rPr>
          <w:rFonts w:hint="eastAsia" w:ascii="宋体" w:hAnsi="宋体" w:eastAsia="宋体" w:cs="宋体"/>
          <w:b/>
          <w:color w:val="auto"/>
          <w:sz w:val="48"/>
          <w:szCs w:val="48"/>
          <w:highlight w:val="none"/>
          <w:lang w:bidi="ar"/>
        </w:rPr>
        <w:t>温馨提醒</w:t>
      </w:r>
    </w:p>
    <w:p>
      <w:pPr>
        <w:spacing w:line="1000" w:lineRule="exact"/>
        <w:jc w:val="center"/>
        <w:rPr>
          <w:rFonts w:hint="eastAsia" w:ascii="宋体" w:hAnsi="宋体" w:eastAsia="宋体" w:cs="宋体"/>
          <w:color w:val="auto"/>
          <w:sz w:val="32"/>
          <w:szCs w:val="32"/>
          <w:highlight w:val="none"/>
        </w:rPr>
      </w:pPr>
    </w:p>
    <w:p>
      <w:pPr>
        <w:spacing w:line="360" w:lineRule="auto"/>
        <w:ind w:firstLine="602" w:firstLineChars="20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bidi="ar"/>
        </w:rPr>
        <w:t>1、</w:t>
      </w:r>
      <w:r>
        <w:rPr>
          <w:rFonts w:hint="eastAsia" w:ascii="宋体" w:hAnsi="宋体" w:eastAsia="宋体" w:cs="宋体"/>
          <w:b/>
          <w:color w:val="auto"/>
          <w:sz w:val="30"/>
          <w:szCs w:val="30"/>
          <w:highlight w:val="none"/>
          <w:lang w:bidi="ar"/>
        </w:rPr>
        <w:t>采购人可以对已发出的招标文件进行必要的澄清或者修改，将以“</w:t>
      </w:r>
      <w:r>
        <w:rPr>
          <w:rFonts w:hint="eastAsia" w:ascii="宋体" w:hAnsi="宋体" w:eastAsia="宋体" w:cs="宋体"/>
          <w:b/>
          <w:color w:val="auto"/>
          <w:sz w:val="30"/>
          <w:szCs w:val="30"/>
          <w:highlight w:val="none"/>
          <w:lang w:val="en-US" w:eastAsia="zh-CN" w:bidi="ar"/>
        </w:rPr>
        <w:t>变更</w:t>
      </w:r>
      <w:r>
        <w:rPr>
          <w:rFonts w:hint="eastAsia" w:ascii="宋体" w:hAnsi="宋体" w:eastAsia="宋体" w:cs="宋体"/>
          <w:b/>
          <w:color w:val="auto"/>
          <w:sz w:val="30"/>
          <w:szCs w:val="30"/>
          <w:highlight w:val="none"/>
          <w:lang w:bidi="ar"/>
        </w:rPr>
        <w:t>公告”的形式发布在政采云平台，供应商应及时登录政采云平台，进行浏览并下载，未及时浏览下载的责任自负。</w:t>
      </w:r>
    </w:p>
    <w:p>
      <w:pPr>
        <w:spacing w:line="360" w:lineRule="auto"/>
        <w:ind w:firstLine="602" w:firstLineChars="200"/>
        <w:jc w:val="left"/>
        <w:rPr>
          <w:rFonts w:hint="eastAsia" w:ascii="宋体" w:hAnsi="宋体" w:eastAsia="宋体" w:cs="宋体"/>
          <w:b/>
          <w:color w:val="auto"/>
          <w:sz w:val="30"/>
          <w:szCs w:val="30"/>
          <w:highlight w:val="none"/>
          <w:lang w:eastAsia="zh-CN" w:bidi="ar"/>
        </w:rPr>
      </w:pPr>
      <w:r>
        <w:rPr>
          <w:rFonts w:hint="eastAsia" w:ascii="宋体" w:hAnsi="宋体" w:eastAsia="宋体" w:cs="宋体"/>
          <w:b/>
          <w:color w:val="auto"/>
          <w:sz w:val="30"/>
          <w:szCs w:val="30"/>
          <w:highlight w:val="none"/>
          <w:lang w:val="en-US" w:eastAsia="zh-CN" w:bidi="ar"/>
        </w:rPr>
        <w:t>2、</w:t>
      </w:r>
      <w:r>
        <w:rPr>
          <w:rFonts w:hint="eastAsia" w:ascii="宋体" w:hAnsi="宋体" w:eastAsia="宋体" w:cs="宋体"/>
          <w:b/>
          <w:color w:val="auto"/>
          <w:sz w:val="30"/>
          <w:szCs w:val="30"/>
          <w:highlight w:val="none"/>
          <w:lang w:bidi="ar"/>
        </w:rPr>
        <w:t>投标人应安排</w:t>
      </w:r>
      <w:r>
        <w:rPr>
          <w:rFonts w:hint="eastAsia" w:ascii="宋体" w:hAnsi="宋体" w:eastAsia="宋体" w:cs="宋体"/>
          <w:b/>
          <w:color w:val="auto"/>
          <w:sz w:val="30"/>
          <w:szCs w:val="30"/>
          <w:highlight w:val="none"/>
          <w:lang w:eastAsia="zh-CN" w:bidi="ar"/>
        </w:rPr>
        <w:t>“</w:t>
      </w:r>
      <w:r>
        <w:rPr>
          <w:rFonts w:hint="eastAsia" w:ascii="宋体" w:hAnsi="宋体" w:eastAsia="宋体" w:cs="宋体"/>
          <w:b/>
          <w:color w:val="auto"/>
          <w:sz w:val="30"/>
          <w:szCs w:val="30"/>
          <w:highlight w:val="none"/>
          <w:lang w:bidi="ar"/>
        </w:rPr>
        <w:t>甬行码</w:t>
      </w:r>
      <w:r>
        <w:rPr>
          <w:rFonts w:hint="eastAsia" w:ascii="宋体" w:hAnsi="宋体" w:eastAsia="宋体" w:cs="宋体"/>
          <w:b/>
          <w:color w:val="auto"/>
          <w:sz w:val="30"/>
          <w:szCs w:val="30"/>
          <w:highlight w:val="none"/>
          <w:lang w:val="en-US" w:eastAsia="zh-CN" w:bidi="ar"/>
        </w:rPr>
        <w:t>或健康码</w:t>
      </w:r>
      <w:r>
        <w:rPr>
          <w:rFonts w:hint="eastAsia" w:ascii="宋体" w:hAnsi="宋体" w:eastAsia="宋体" w:cs="宋体"/>
          <w:b/>
          <w:color w:val="auto"/>
          <w:sz w:val="30"/>
          <w:szCs w:val="30"/>
          <w:highlight w:val="none"/>
          <w:lang w:eastAsia="zh-CN" w:bidi="ar"/>
        </w:rPr>
        <w:t>”</w:t>
      </w:r>
      <w:r>
        <w:rPr>
          <w:rFonts w:hint="eastAsia" w:ascii="宋体" w:hAnsi="宋体" w:eastAsia="宋体" w:cs="宋体"/>
          <w:b/>
          <w:color w:val="auto"/>
          <w:sz w:val="30"/>
          <w:szCs w:val="30"/>
          <w:highlight w:val="none"/>
          <w:lang w:bidi="ar"/>
        </w:rPr>
        <w:t>为绿</w:t>
      </w:r>
      <w:r>
        <w:rPr>
          <w:rFonts w:hint="eastAsia" w:ascii="宋体" w:hAnsi="宋体" w:eastAsia="宋体" w:cs="宋体"/>
          <w:b/>
          <w:color w:val="auto"/>
          <w:sz w:val="30"/>
          <w:szCs w:val="30"/>
          <w:highlight w:val="none"/>
          <w:lang w:val="en-US" w:eastAsia="zh-CN" w:bidi="ar"/>
        </w:rPr>
        <w:t>码</w:t>
      </w:r>
      <w:r>
        <w:rPr>
          <w:rFonts w:hint="eastAsia" w:ascii="宋体" w:hAnsi="宋体" w:eastAsia="宋体" w:cs="宋体"/>
          <w:b/>
          <w:color w:val="auto"/>
          <w:sz w:val="30"/>
          <w:szCs w:val="30"/>
          <w:highlight w:val="none"/>
          <w:lang w:bidi="ar"/>
        </w:rPr>
        <w:t>的相关人员（原则上不超过一名）</w:t>
      </w:r>
      <w:r>
        <w:rPr>
          <w:rFonts w:hint="eastAsia" w:ascii="宋体" w:hAnsi="宋体" w:eastAsia="宋体" w:cs="宋体"/>
          <w:b/>
          <w:color w:val="auto"/>
          <w:sz w:val="30"/>
          <w:szCs w:val="30"/>
          <w:highlight w:val="none"/>
          <w:lang w:eastAsia="zh-CN" w:bidi="ar"/>
        </w:rPr>
        <w:t>。</w:t>
      </w:r>
    </w:p>
    <w:p>
      <w:pPr>
        <w:spacing w:line="360" w:lineRule="auto"/>
        <w:ind w:firstLine="602" w:firstLineChars="200"/>
        <w:jc w:val="left"/>
        <w:rPr>
          <w:rFonts w:hint="eastAsia" w:ascii="宋体" w:hAnsi="宋体" w:eastAsia="宋体" w:cs="宋体"/>
          <w:b/>
          <w:color w:val="auto"/>
          <w:sz w:val="30"/>
          <w:szCs w:val="30"/>
          <w:highlight w:val="none"/>
          <w:lang w:eastAsia="zh-CN" w:bidi="ar"/>
        </w:rPr>
      </w:pPr>
      <w:r>
        <w:rPr>
          <w:rFonts w:hint="eastAsia" w:ascii="宋体" w:hAnsi="宋体" w:eastAsia="宋体" w:cs="宋体"/>
          <w:b/>
          <w:color w:val="auto"/>
          <w:sz w:val="30"/>
          <w:szCs w:val="30"/>
          <w:highlight w:val="none"/>
          <w:lang w:val="en-US" w:eastAsia="zh-CN" w:bidi="ar"/>
        </w:rPr>
        <w:t>3、</w:t>
      </w:r>
      <w:r>
        <w:rPr>
          <w:rFonts w:hint="eastAsia" w:ascii="宋体" w:hAnsi="宋体" w:eastAsia="宋体" w:cs="宋体"/>
          <w:b/>
          <w:color w:val="auto"/>
          <w:sz w:val="30"/>
          <w:szCs w:val="30"/>
          <w:highlight w:val="none"/>
          <w:lang w:bidi="ar"/>
        </w:rPr>
        <w:t>疫情防</w:t>
      </w:r>
      <w:r>
        <w:rPr>
          <w:rFonts w:hint="eastAsia" w:ascii="宋体" w:hAnsi="宋体" w:eastAsia="宋体" w:cs="宋体"/>
          <w:b/>
          <w:color w:val="auto"/>
          <w:sz w:val="30"/>
          <w:szCs w:val="30"/>
          <w:highlight w:val="none"/>
          <w:lang w:val="en-US" w:eastAsia="zh-CN" w:bidi="ar"/>
        </w:rPr>
        <w:t>控</w:t>
      </w:r>
      <w:r>
        <w:rPr>
          <w:rFonts w:hint="eastAsia" w:ascii="宋体" w:hAnsi="宋体" w:eastAsia="宋体" w:cs="宋体"/>
          <w:b/>
          <w:color w:val="auto"/>
          <w:sz w:val="30"/>
          <w:szCs w:val="30"/>
          <w:highlight w:val="none"/>
          <w:lang w:bidi="ar"/>
        </w:rPr>
        <w:t>期间，请各投标单位遵守慈溪市公共资源交易中心各项防疫措施规定</w:t>
      </w:r>
      <w:r>
        <w:rPr>
          <w:rFonts w:hint="eastAsia" w:ascii="宋体" w:hAnsi="宋体" w:eastAsia="宋体" w:cs="宋体"/>
          <w:b/>
          <w:color w:val="auto"/>
          <w:sz w:val="30"/>
          <w:szCs w:val="30"/>
          <w:highlight w:val="none"/>
          <w:lang w:eastAsia="zh-CN" w:bidi="ar"/>
        </w:rPr>
        <w:t>。</w:t>
      </w: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pStyle w:val="2"/>
        <w:ind w:firstLine="720"/>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pStyle w:val="2"/>
        <w:ind w:firstLine="480"/>
        <w:rPr>
          <w:rFonts w:hint="eastAsia" w:ascii="宋体" w:hAnsi="宋体" w:eastAsia="宋体" w:cs="宋体"/>
          <w:color w:val="auto"/>
          <w:highlight w:val="none"/>
        </w:rPr>
      </w:pPr>
    </w:p>
    <w:p>
      <w:pPr>
        <w:pStyle w:val="4"/>
        <w:keepLines/>
        <w:spacing w:before="340" w:after="330" w:line="360" w:lineRule="auto"/>
        <w:rPr>
          <w:rFonts w:hint="eastAsia" w:ascii="宋体" w:hAnsi="宋体" w:eastAsia="宋体" w:cs="宋体"/>
          <w:color w:val="auto"/>
          <w:sz w:val="36"/>
          <w:szCs w:val="36"/>
          <w:highlight w:val="none"/>
        </w:rPr>
        <w:sectPr>
          <w:headerReference r:id="rId6" w:type="default"/>
          <w:footerReference r:id="rId7" w:type="default"/>
          <w:type w:val="nextColumn"/>
          <w:pgSz w:w="11906" w:h="16838"/>
          <w:pgMar w:top="1134" w:right="1418" w:bottom="1134" w:left="1418" w:header="851" w:footer="992" w:gutter="0"/>
          <w:pgNumType w:start="1"/>
          <w:cols w:space="720" w:num="1"/>
          <w:docGrid w:linePitch="312" w:charSpace="0"/>
        </w:sectPr>
      </w:pPr>
    </w:p>
    <w:p>
      <w:pPr>
        <w:tabs>
          <w:tab w:val="center" w:pos="4365"/>
        </w:tabs>
        <w:spacing w:line="48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40"/>
          <w:szCs w:val="40"/>
          <w:highlight w:val="none"/>
        </w:rPr>
        <w:t>目    录</w:t>
      </w:r>
    </w:p>
    <w:p>
      <w:pPr>
        <w:pStyle w:val="31"/>
        <w:tabs>
          <w:tab w:val="right" w:leader="dot" w:pos="9073"/>
          <w:tab w:val="clear" w:pos="8721"/>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_Toc29951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采购公告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1"/>
        <w:tabs>
          <w:tab w:val="right" w:leader="dot" w:pos="9073"/>
          <w:tab w:val="clear" w:pos="8721"/>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1"/>
        <w:tabs>
          <w:tab w:val="right" w:leader="dot" w:pos="9073"/>
          <w:tab w:val="clear" w:pos="8721"/>
        </w:tabs>
        <w:spacing w:line="48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评标办法及标准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1"/>
        <w:tabs>
          <w:tab w:val="right" w:leader="dot" w:pos="9073"/>
          <w:tab w:val="clear" w:pos="8721"/>
        </w:tabs>
        <w:spacing w:line="48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章  采购合同样本</w:t>
      </w:r>
      <w:r>
        <w:rPr>
          <w:rFonts w:hint="eastAsia" w:ascii="宋体" w:hAnsi="宋体" w:eastAsia="宋体" w:cs="宋体"/>
          <w:color w:val="auto"/>
          <w:sz w:val="21"/>
          <w:szCs w:val="21"/>
          <w:highlight w:val="none"/>
        </w:rPr>
        <w:tab/>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eastAsia="宋体" w:cs="宋体"/>
          <w:color w:val="auto"/>
          <w:sz w:val="21"/>
          <w:szCs w:val="21"/>
          <w:highlight w:val="none"/>
          <w:lang w:val="en-US" w:eastAsia="zh-CN"/>
        </w:rPr>
        <w:t>4</w:t>
      </w:r>
    </w:p>
    <w:p>
      <w:pPr>
        <w:pStyle w:val="31"/>
        <w:tabs>
          <w:tab w:val="right" w:leader="dot" w:pos="9073"/>
          <w:tab w:val="clear" w:pos="8721"/>
        </w:tabs>
        <w:spacing w:line="48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 xml:space="preserve">第五章 </w:t>
      </w:r>
      <w:r>
        <w:rPr>
          <w:rFonts w:hint="eastAsia" w:ascii="宋体" w:hAnsi="宋体" w:eastAsia="宋体" w:cs="宋体"/>
          <w:color w:val="auto"/>
          <w:sz w:val="21"/>
          <w:szCs w:val="21"/>
          <w:highlight w:val="none"/>
          <w:lang w:val="en-US" w:eastAsia="zh-CN"/>
        </w:rPr>
        <w:t xml:space="preserve"> </w:t>
      </w:r>
      <w:r>
        <w:rPr>
          <w:rFonts w:hint="eastAsia" w:eastAsia="宋体" w:cs="宋体"/>
          <w:color w:val="auto"/>
          <w:sz w:val="21"/>
          <w:szCs w:val="21"/>
          <w:highlight w:val="none"/>
          <w:lang w:val="en-US" w:eastAsia="zh-CN"/>
        </w:rPr>
        <w:t>招标内容与服务要求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r>
        <w:rPr>
          <w:rFonts w:hint="eastAsia" w:eastAsia="宋体" w:cs="宋体"/>
          <w:color w:val="auto"/>
          <w:sz w:val="21"/>
          <w:szCs w:val="21"/>
          <w:highlight w:val="none"/>
          <w:lang w:val="en-US" w:eastAsia="zh-CN"/>
        </w:rPr>
        <w:t>9</w:t>
      </w:r>
    </w:p>
    <w:p>
      <w:pPr>
        <w:pStyle w:val="31"/>
        <w:tabs>
          <w:tab w:val="right" w:leader="dot" w:pos="9073"/>
          <w:tab w:val="clear" w:pos="8721"/>
        </w:tabs>
        <w:spacing w:line="48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_Toc5926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 xml:space="preserve">章  </w:t>
      </w:r>
      <w:r>
        <w:rPr>
          <w:rFonts w:hint="eastAsia" w:eastAsia="宋体" w:cs="宋体"/>
          <w:color w:val="auto"/>
          <w:sz w:val="21"/>
          <w:szCs w:val="21"/>
          <w:highlight w:val="none"/>
          <w:lang w:val="en-US" w:eastAsia="zh-CN"/>
        </w:rPr>
        <w:t>商务条款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eastAsia="宋体" w:cs="宋体"/>
          <w:color w:val="auto"/>
          <w:sz w:val="21"/>
          <w:szCs w:val="21"/>
          <w:highlight w:val="none"/>
          <w:lang w:val="en-US" w:eastAsia="zh-CN"/>
        </w:rPr>
        <w:t>56</w:t>
      </w:r>
    </w:p>
    <w:p>
      <w:pPr>
        <w:pStyle w:val="31"/>
        <w:tabs>
          <w:tab w:val="right" w:leader="dot" w:pos="9073"/>
          <w:tab w:val="clear" w:pos="8721"/>
        </w:tabs>
        <w:spacing w:line="48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_Toc5926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eastAsia="宋体" w:cs="宋体"/>
          <w:color w:val="auto"/>
          <w:sz w:val="21"/>
          <w:szCs w:val="21"/>
          <w:highlight w:val="none"/>
          <w:lang w:val="en-US" w:eastAsia="zh-CN"/>
        </w:rPr>
        <w:t>57</w:t>
      </w:r>
    </w:p>
    <w:p>
      <w:pPr>
        <w:spacing w:line="48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fldChar w:fldCharType="end"/>
      </w:r>
    </w:p>
    <w:p>
      <w:pPr>
        <w:spacing w:line="400" w:lineRule="exact"/>
        <w:jc w:val="center"/>
        <w:rPr>
          <w:rFonts w:hint="eastAsia" w:ascii="宋体" w:hAnsi="宋体" w:eastAsia="宋体" w:cs="宋体"/>
          <w:b/>
          <w:color w:val="auto"/>
          <w:szCs w:val="21"/>
          <w:highlight w:val="none"/>
        </w:rPr>
        <w:sectPr>
          <w:headerReference r:id="rId8" w:type="default"/>
          <w:footerReference r:id="rId9" w:type="default"/>
          <w:type w:val="nextColumn"/>
          <w:pgSz w:w="11907" w:h="16840"/>
          <w:pgMar w:top="1134" w:right="1417" w:bottom="1134" w:left="1417" w:header="569" w:footer="697" w:gutter="0"/>
          <w:cols w:space="720" w:num="1"/>
          <w:docGrid w:linePitch="285" w:charSpace="0"/>
        </w:sectPr>
      </w:pPr>
    </w:p>
    <w:p>
      <w:pPr>
        <w:pStyle w:val="4"/>
        <w:keepLines/>
        <w:spacing w:before="340" w:after="330" w:line="360" w:lineRule="auto"/>
        <w:rPr>
          <w:rFonts w:hint="eastAsia" w:ascii="宋体" w:hAnsi="宋体" w:eastAsia="宋体" w:cs="宋体"/>
          <w:color w:val="auto"/>
          <w:sz w:val="21"/>
          <w:szCs w:val="21"/>
          <w:highlight w:val="none"/>
        </w:rPr>
      </w:pPr>
      <w:bookmarkStart w:id="0" w:name="_Toc29951"/>
      <w:r>
        <w:rPr>
          <w:rFonts w:hint="eastAsia" w:ascii="宋体" w:hAnsi="宋体" w:eastAsia="宋体" w:cs="宋体"/>
          <w:color w:val="auto"/>
          <w:sz w:val="36"/>
          <w:szCs w:val="36"/>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慈溪市桥头镇“无废绿色乡镇”建设服务采购项目</w:t>
      </w:r>
      <w:r>
        <w:rPr>
          <w:rFonts w:hint="eastAsia" w:ascii="宋体" w:hAnsi="宋体" w:eastAsia="宋体" w:cs="宋体"/>
          <w:i/>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lang w:eastAsia="zh-CN"/>
        </w:rPr>
        <w:t>政采云平台（网址：</w:t>
      </w:r>
      <w:r>
        <w:rPr>
          <w:rFonts w:hint="eastAsia" w:ascii="宋体" w:hAnsi="宋体" w:eastAsia="宋体" w:cs="宋体"/>
          <w:color w:val="auto"/>
          <w:sz w:val="21"/>
          <w:szCs w:val="21"/>
          <w:highlight w:val="none"/>
          <w:u w:val="single"/>
          <w:lang w:eastAsia="zh-CN"/>
        </w:rPr>
        <w:fldChar w:fldCharType="begin"/>
      </w:r>
      <w:r>
        <w:rPr>
          <w:rFonts w:hint="eastAsia" w:ascii="宋体" w:hAnsi="宋体" w:eastAsia="宋体" w:cs="宋体"/>
          <w:color w:val="auto"/>
          <w:sz w:val="21"/>
          <w:szCs w:val="21"/>
          <w:highlight w:val="none"/>
          <w:u w:val="single"/>
          <w:lang w:eastAsia="zh-CN"/>
        </w:rPr>
        <w:instrText xml:space="preserve"> HYPERLINK "http://www.zcygov.cn/" </w:instrText>
      </w:r>
      <w:r>
        <w:rPr>
          <w:rFonts w:hint="eastAsia" w:ascii="宋体" w:hAnsi="宋体" w:eastAsia="宋体" w:cs="宋体"/>
          <w:color w:val="auto"/>
          <w:sz w:val="21"/>
          <w:szCs w:val="21"/>
          <w:highlight w:val="none"/>
          <w:u w:val="single"/>
          <w:lang w:eastAsia="zh-CN"/>
        </w:rPr>
        <w:fldChar w:fldCharType="separate"/>
      </w:r>
      <w:r>
        <w:rPr>
          <w:rFonts w:hint="eastAsia" w:ascii="宋体" w:hAnsi="宋体" w:eastAsia="宋体" w:cs="宋体"/>
          <w:color w:val="auto"/>
          <w:sz w:val="21"/>
          <w:szCs w:val="21"/>
          <w:highlight w:val="none"/>
          <w:u w:val="single"/>
          <w:lang w:eastAsia="zh-CN"/>
        </w:rPr>
        <w:t>http://www.zcygov.cn/</w:t>
      </w:r>
      <w:r>
        <w:rPr>
          <w:rFonts w:hint="eastAsia" w:ascii="宋体" w:hAnsi="宋体" w:eastAsia="宋体" w:cs="宋体"/>
          <w:color w:val="auto"/>
          <w:sz w:val="21"/>
          <w:szCs w:val="21"/>
          <w:highlight w:val="none"/>
          <w:u w:val="single"/>
          <w:lang w:eastAsia="zh-CN"/>
        </w:rPr>
        <w:fldChar w:fldCharType="end"/>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月</w:t>
      </w:r>
      <w:r>
        <w:rPr>
          <w:rFonts w:hint="eastAsia" w:ascii="宋体" w:hAnsi="宋体" w:eastAsia="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pPr>
        <w:pStyle w:val="5"/>
        <w:spacing w:line="400" w:lineRule="exact"/>
        <w:rPr>
          <w:rFonts w:hint="eastAsia" w:ascii="宋体" w:hAnsi="宋体" w:eastAsia="宋体" w:cs="宋体"/>
          <w:b/>
          <w:bCs w:val="0"/>
          <w:color w:val="auto"/>
          <w:sz w:val="21"/>
          <w:szCs w:val="21"/>
          <w:highlight w:val="none"/>
        </w:rPr>
      </w:pPr>
      <w:bookmarkStart w:id="1" w:name="_Toc28359002"/>
      <w:bookmarkStart w:id="2" w:name="_Toc28359079"/>
      <w:bookmarkStart w:id="3" w:name="_Toc35393621"/>
      <w:bookmarkStart w:id="4" w:name="_Toc35393790"/>
      <w:bookmarkStart w:id="5" w:name="_Hlk24379207"/>
      <w:r>
        <w:rPr>
          <w:rFonts w:hint="eastAsia" w:ascii="宋体" w:hAnsi="宋体" w:eastAsia="宋体" w:cs="宋体"/>
          <w:b/>
          <w:bCs w:val="0"/>
          <w:color w:val="auto"/>
          <w:sz w:val="21"/>
          <w:szCs w:val="21"/>
          <w:highlight w:val="none"/>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永敬工政采招[2021]47号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none"/>
          <w:lang w:eastAsia="zh-CN"/>
        </w:rPr>
        <w:t>慈溪市桥头镇“无废绿色乡镇”建设服务采购项目</w:t>
      </w:r>
    </w:p>
    <w:bookmarkEnd w:id="5"/>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537万元</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537万元</w:t>
      </w:r>
    </w:p>
    <w:p>
      <w:pPr>
        <w:pStyle w:val="166"/>
        <w:autoSpaceDN w:val="0"/>
        <w:adjustRightInd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采购需求：</w:t>
      </w:r>
    </w:p>
    <w:p>
      <w:pPr>
        <w:autoSpaceDN/>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rPr>
        <w:t>智慧环卫一体化管理中心</w:t>
      </w:r>
      <w:r>
        <w:rPr>
          <w:rFonts w:hint="eastAsia" w:ascii="宋体" w:hAnsi="宋体" w:eastAsia="宋体" w:cs="宋体"/>
          <w:b w:val="0"/>
          <w:bCs w:val="0"/>
          <w:color w:val="auto"/>
          <w:sz w:val="21"/>
          <w:szCs w:val="21"/>
          <w:highlight w:val="none"/>
          <w:lang w:val="en-US" w:eastAsia="zh-CN"/>
        </w:rPr>
        <w:t>创建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rPr>
        <w:t>建立全程数字化监控平台，综合运用物联网、数据库、5G通信、专业模型和 3S 等一系列新技术，实现实时采集、传输、存储和管理环卫信息，提供与环卫指挥决策相关的信息层面和模型层面的决策支持，提高环卫指挥工作的正确性、实时性和有效性。环卫管理人员可以全面、实时、透明的掌握全镇的环卫作业情况，随时掌握可能出现的问题，统筹调配作业资源，多级协同处理。针对突发事件快速反应，监理管理部门与作业人员的实时互动，最大限度的提高应急处理能力。</w:t>
      </w:r>
    </w:p>
    <w:p>
      <w:pPr>
        <w:autoSpaceDN/>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智慧环卫一体化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桥头镇保洁服务总面积为</w:t>
      </w:r>
      <w:r>
        <w:rPr>
          <w:rFonts w:hint="eastAsia" w:ascii="宋体" w:hAnsi="宋体" w:eastAsia="宋体" w:cs="宋体"/>
          <w:color w:val="auto"/>
          <w:sz w:val="21"/>
          <w:szCs w:val="21"/>
          <w:highlight w:val="none"/>
          <w:lang w:val="en-US" w:eastAsia="zh-CN"/>
        </w:rPr>
        <w:t>415895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（其中需要8小时保洁、12小时保洁），工作范围：桥头镇道路保洁、绿化带保洁、果壳箱擦洗、道路垃圾清运等。 8小时保洁道路面积</w:t>
      </w:r>
      <w:r>
        <w:rPr>
          <w:rFonts w:hint="eastAsia" w:ascii="宋体" w:hAnsi="宋体" w:eastAsia="宋体" w:cs="宋体"/>
          <w:color w:val="auto"/>
          <w:sz w:val="21"/>
          <w:szCs w:val="21"/>
          <w:highlight w:val="none"/>
          <w:lang w:val="en-US" w:eastAsia="zh-CN"/>
        </w:rPr>
        <w:t>272305.5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；12小时保洁道路面积58200</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绿化带保洁面积85389.5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p>
    <w:p>
      <w:pPr>
        <w:autoSpaceDN/>
        <w:adjustRightInd/>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rPr>
        <w:t>环卫垃圾智慧收运管理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负责镇级收运清洗358只桶，村级收运镇级清洗2142只桶，确保“以桶换桶”日产日清。负责运营桥头镇1个垃圾中转站，1个清洗场地垃圾桶相关工作，完成桥头镇厨余垃圾、生活垃圾的压缩中转。要求能熟练掌握压缩机的操作，每日完成其它垃圾的压缩，确保中转站安全操作，环境卫生干净、整洁。</w:t>
      </w:r>
    </w:p>
    <w:p>
      <w:pPr>
        <w:autoSpaceDN/>
        <w:adjustRightInd/>
        <w:snapToGrid/>
        <w:spacing w:line="36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一般工业固废收集及处置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为慈溪市桥头镇一般工业固废上门收集及处置服务，根据招标人的要求，将桥头镇人民政府一般工业固废前端回收，应急处置等作业</w:t>
      </w:r>
      <w:r>
        <w:rPr>
          <w:rFonts w:hint="eastAsia" w:ascii="宋体" w:hAnsi="宋体" w:eastAsia="宋体" w:cs="宋体"/>
          <w:color w:val="auto"/>
          <w:sz w:val="21"/>
          <w:szCs w:val="21"/>
          <w:highlight w:val="none"/>
          <w:lang w:val="en-US" w:eastAsia="zh-CN"/>
        </w:rPr>
        <w:t>。</w:t>
      </w:r>
    </w:p>
    <w:p>
      <w:pPr>
        <w:autoSpaceDN/>
        <w:adjustRightInd/>
        <w:snapToGrid/>
        <w:spacing w:line="36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rPr>
        <w:t>再生资源可回收体系建设运营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为进一步推进桥头镇垃圾分类工作，以车联网、互联网+和大数据信息技术为支撑，结合原有的再生资源回收体系，构建一个从源头到终端为一体的智能化、网格化、全覆盖的再生资源回收体系，从而提升行业规范，提高资源利用效率，实施回收物全品类回收，实现垃圾减量化、资源化</w:t>
      </w:r>
      <w:r>
        <w:rPr>
          <w:rFonts w:hint="eastAsia" w:ascii="宋体" w:hAnsi="宋体" w:eastAsia="宋体" w:cs="宋体"/>
          <w:color w:val="auto"/>
          <w:sz w:val="21"/>
          <w:szCs w:val="21"/>
          <w:highlight w:val="none"/>
          <w:lang w:eastAsia="zh-CN"/>
        </w:rPr>
        <w:t>。</w:t>
      </w:r>
    </w:p>
    <w:p>
      <w:pPr>
        <w:autoSpaceDN/>
        <w:adjustRightInd/>
        <w:snapToGrid/>
        <w:spacing w:line="360" w:lineRule="exact"/>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商铺上门收集、垃圾分类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pacing w:val="0"/>
          <w:sz w:val="21"/>
          <w:szCs w:val="21"/>
          <w:highlight w:val="none"/>
        </w:rPr>
        <w:t>要求对桥头镇建成区商铺开辟源头垃圾分类攻克深化推进服务，争取5个月内实现建成区源头垃圾分类（厨余垃圾和其他垃圾的分类）完成率90%以上</w:t>
      </w:r>
      <w:r>
        <w:rPr>
          <w:rFonts w:hint="eastAsia" w:ascii="宋体" w:hAnsi="宋体" w:eastAsia="宋体" w:cs="宋体"/>
          <w:color w:val="auto"/>
          <w:spacing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合同履行期限：本服务项目1年。服务期满经采购人考核合格</w:t>
      </w:r>
      <w:r>
        <w:rPr>
          <w:rFonts w:hint="eastAsia" w:ascii="宋体" w:hAnsi="宋体" w:eastAsia="宋体" w:cs="宋体"/>
          <w:color w:val="auto"/>
          <w:sz w:val="21"/>
          <w:szCs w:val="21"/>
          <w:highlight w:val="none"/>
          <w:lang w:val="en-US" w:eastAsia="zh-CN"/>
        </w:rPr>
        <w:t>并达到续签条件</w:t>
      </w:r>
      <w:r>
        <w:rPr>
          <w:rFonts w:hint="eastAsia" w:ascii="宋体" w:hAnsi="宋体" w:eastAsia="宋体" w:cs="宋体"/>
          <w:color w:val="auto"/>
          <w:sz w:val="21"/>
          <w:szCs w:val="21"/>
          <w:highlight w:val="none"/>
        </w:rPr>
        <w:t>后，下一年度合同经费符合政府采购预算安排要求，</w:t>
      </w:r>
      <w:r>
        <w:rPr>
          <w:rFonts w:hint="eastAsia" w:ascii="宋体" w:hAnsi="宋体" w:cs="宋体"/>
          <w:color w:val="auto"/>
          <w:szCs w:val="21"/>
          <w:highlight w:val="none"/>
        </w:rPr>
        <w:t>报慈溪市公共资源交易管理办公室备案</w:t>
      </w:r>
      <w:r>
        <w:rPr>
          <w:rFonts w:hint="eastAsia" w:ascii="宋体" w:hAnsi="宋体" w:eastAsia="宋体" w:cs="宋体"/>
          <w:color w:val="auto"/>
          <w:sz w:val="21"/>
          <w:szCs w:val="21"/>
          <w:highlight w:val="none"/>
        </w:rPr>
        <w:t>后，可续签下一年度的合同，最多可续签2年。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pPr>
        <w:pStyle w:val="5"/>
        <w:spacing w:line="400" w:lineRule="exact"/>
        <w:rPr>
          <w:rFonts w:hint="eastAsia" w:ascii="宋体" w:hAnsi="宋体" w:eastAsia="宋体" w:cs="宋体"/>
          <w:b/>
          <w:bCs w:val="0"/>
          <w:color w:val="auto"/>
          <w:sz w:val="21"/>
          <w:szCs w:val="21"/>
          <w:highlight w:val="none"/>
        </w:rPr>
      </w:pPr>
      <w:bookmarkStart w:id="6" w:name="_Toc28359003"/>
      <w:bookmarkStart w:id="7" w:name="_Toc35393622"/>
      <w:bookmarkStart w:id="8" w:name="_Toc28359080"/>
      <w:bookmarkStart w:id="9" w:name="_Toc35393791"/>
      <w:r>
        <w:rPr>
          <w:rFonts w:hint="eastAsia" w:ascii="宋体" w:hAnsi="宋体" w:eastAsia="宋体" w:cs="宋体"/>
          <w:b/>
          <w:bCs w:val="0"/>
          <w:color w:val="auto"/>
          <w:sz w:val="21"/>
          <w:szCs w:val="21"/>
          <w:highlight w:val="none"/>
        </w:rPr>
        <w:t>二、申请人的资格要求：</w:t>
      </w:r>
      <w:bookmarkEnd w:id="6"/>
      <w:bookmarkEnd w:id="7"/>
      <w:bookmarkEnd w:id="8"/>
      <w:bookmarkEnd w:id="9"/>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1、符合《中华人民共和国政府采购法》第二十二条规定：</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（1）具有独立承担民事责任的能力；</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（2）具有良好的商业信誉和健全的财务会计制度；</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（3）具有履行合同所必需的设备和专业技术能力；</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（4）有依法缴纳税收和社会保障资金的良好记录；</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（5）参加政府采购活动前三年内，在经营活动中没有重大违法记录；</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（6）法律、行政法规规定的其他条件。</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2、供应商未被信用中国网站（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"http://www.creditchina.gov.cn/"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www.creditchina.gov.cn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）列入失信被执行人、重大税收违法案件当事人名单，未被中国政府采购网（www.ccgp.gov.cn）列入政府采购严重违法失信行为记录名单。</w:t>
      </w:r>
    </w:p>
    <w:p>
      <w:pPr>
        <w:spacing w:line="400" w:lineRule="exact"/>
        <w:ind w:firstLine="420" w:firstLineChars="200"/>
        <w:rPr>
          <w:rFonts w:hint="eastAsia" w:ascii="宋体" w:hAnsi="宋体" w:eastAsia="宋体" w:cs="宋体"/>
          <w:color w:val="auto"/>
          <w:szCs w:val="21"/>
          <w:highlight w:val="none"/>
          <w:lang w:val="en-US" w:eastAsia="zh-CN"/>
        </w:rPr>
      </w:pPr>
      <w:bookmarkStart w:id="10" w:name="_Toc28359081"/>
      <w:bookmarkStart w:id="11" w:name="_Toc28359004"/>
      <w:r>
        <w:rPr>
          <w:rFonts w:hint="eastAsia" w:ascii="宋体" w:hAnsi="宋体" w:eastAsia="宋体" w:cs="宋体"/>
          <w:color w:val="auto"/>
          <w:szCs w:val="21"/>
          <w:highlight w:val="none"/>
          <w:lang w:val="en-US" w:eastAsia="zh-CN"/>
        </w:rPr>
        <w:t>3.落实政府采购政策需满足的资格要求：/</w:t>
      </w:r>
    </w:p>
    <w:p>
      <w:pPr>
        <w:pStyle w:val="5"/>
        <w:spacing w:line="400" w:lineRule="exact"/>
        <w:rPr>
          <w:rFonts w:hint="eastAsia" w:ascii="宋体" w:hAnsi="宋体" w:eastAsia="宋体" w:cs="宋体"/>
          <w:b/>
          <w:bCs w:val="0"/>
          <w:color w:val="auto"/>
          <w:sz w:val="21"/>
          <w:szCs w:val="21"/>
          <w:highlight w:val="none"/>
        </w:rPr>
      </w:pPr>
      <w:bookmarkStart w:id="12" w:name="_Toc35393792"/>
      <w:bookmarkStart w:id="13" w:name="_Toc35393623"/>
      <w:r>
        <w:rPr>
          <w:rFonts w:hint="eastAsia" w:ascii="宋体" w:hAnsi="宋体" w:eastAsia="宋体" w:cs="宋体"/>
          <w:b/>
          <w:bCs w:val="0"/>
          <w:color w:val="auto"/>
          <w:sz w:val="21"/>
          <w:szCs w:val="21"/>
          <w:highlight w:val="none"/>
        </w:rPr>
        <w:t>三、获取招标文件</w:t>
      </w:r>
      <w:bookmarkEnd w:id="10"/>
      <w:bookmarkEnd w:id="11"/>
      <w:bookmarkEnd w:id="12"/>
      <w:bookmarkEnd w:id="13"/>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1、时间：自采购公告发布之日起至投标截至时间止；</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2、地点：政府采购云平台；</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本项目不提供纸制版招标文件，供应商可通过“浙江政府采购网”在线获取（采购公告下方选取“潜在供应商”处“获取采购文件”）；供应商只有在“浙江政府采购网”完成获取采购文件申请并下载了采购文件后才视作依法获取采购文件（法律法规所指的供应商获取采购文件时间以供应商完成获取采购文件申请后下载采购文件的时间为准）；供应商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eastAsia="zh-CN"/>
        </w:rPr>
        <w:t>招标文件售价：免费</w:t>
      </w:r>
      <w:r>
        <w:rPr>
          <w:rFonts w:hint="eastAsia" w:ascii="宋体" w:hAnsi="宋体" w:eastAsia="宋体" w:cs="宋体"/>
          <w:color w:val="auto"/>
          <w:sz w:val="21"/>
          <w:szCs w:val="21"/>
          <w:highlight w:val="none"/>
          <w:lang w:val="en-US" w:eastAsia="zh-CN"/>
        </w:rPr>
        <w:t>。</w:t>
      </w:r>
    </w:p>
    <w:p>
      <w:pPr>
        <w:pStyle w:val="5"/>
        <w:spacing w:line="400" w:lineRule="exact"/>
        <w:rPr>
          <w:rFonts w:hint="eastAsia" w:ascii="宋体" w:hAnsi="宋体" w:eastAsia="宋体" w:cs="宋体"/>
          <w:b/>
          <w:bCs w:val="0"/>
          <w:color w:val="auto"/>
          <w:sz w:val="21"/>
          <w:szCs w:val="21"/>
          <w:highlight w:val="none"/>
        </w:rPr>
      </w:pPr>
      <w:bookmarkStart w:id="14" w:name="_Toc28359082"/>
      <w:bookmarkStart w:id="15" w:name="_Toc28359005"/>
      <w:bookmarkStart w:id="16" w:name="_Toc35393793"/>
      <w:bookmarkStart w:id="17" w:name="_Toc35393624"/>
      <w:r>
        <w:rPr>
          <w:rFonts w:hint="eastAsia" w:ascii="宋体" w:hAnsi="宋体" w:eastAsia="宋体" w:cs="宋体"/>
          <w:b/>
          <w:bCs w:val="0"/>
          <w:color w:val="auto"/>
          <w:sz w:val="21"/>
          <w:szCs w:val="21"/>
          <w:highlight w:val="none"/>
        </w:rPr>
        <w:t>四、提交投标文件</w:t>
      </w:r>
      <w:bookmarkEnd w:id="14"/>
      <w:bookmarkEnd w:id="15"/>
      <w:r>
        <w:rPr>
          <w:rFonts w:hint="eastAsia" w:ascii="宋体" w:hAnsi="宋体" w:eastAsia="宋体" w:cs="宋体"/>
          <w:b/>
          <w:bCs w:val="0"/>
          <w:color w:val="auto"/>
          <w:sz w:val="21"/>
          <w:szCs w:val="21"/>
          <w:highlight w:val="none"/>
        </w:rPr>
        <w:t>截止时间、开标时间和地点</w:t>
      </w:r>
      <w:bookmarkEnd w:id="16"/>
      <w:bookmarkEnd w:id="17"/>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18" w:name="_Toc28359084"/>
      <w:bookmarkStart w:id="19" w:name="_Toc35393794"/>
      <w:bookmarkStart w:id="20" w:name="_Toc35393625"/>
      <w:bookmarkStart w:id="21" w:name="_Toc28359007"/>
      <w:r>
        <w:rPr>
          <w:rFonts w:hint="eastAsia" w:ascii="宋体" w:hAnsi="宋体" w:eastAsia="宋体" w:cs="宋体"/>
          <w:color w:val="auto"/>
          <w:sz w:val="21"/>
          <w:szCs w:val="21"/>
          <w:highlight w:val="none"/>
          <w:lang w:val="en-US" w:eastAsia="zh-CN"/>
        </w:rPr>
        <w:t>1、提交投标文件截止时间：2021年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日9点30分（北京时间）。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2、投标地点（网址）：慈溪市公共资源交易中心二楼第</w:t>
      </w:r>
      <w:r>
        <w:rPr>
          <w:rFonts w:hint="eastAsia" w:ascii="宋体" w:hAnsi="宋体" w:eastAsia="宋体" w:cs="宋体"/>
          <w:color w:val="auto"/>
          <w:sz w:val="21"/>
          <w:szCs w:val="21"/>
          <w:highlight w:val="none"/>
          <w:u w:val="single"/>
          <w:lang w:val="en-US" w:eastAsia="zh-CN"/>
        </w:rPr>
        <w:t xml:space="preserve"> 四 </w:t>
      </w:r>
      <w:r>
        <w:rPr>
          <w:rFonts w:hint="eastAsia" w:ascii="宋体" w:hAnsi="宋体" w:eastAsia="宋体" w:cs="宋体"/>
          <w:color w:val="auto"/>
          <w:sz w:val="21"/>
          <w:szCs w:val="21"/>
          <w:highlight w:val="none"/>
          <w:lang w:val="en-US" w:eastAsia="zh-CN"/>
        </w:rPr>
        <w:t>开标室（慈溪市白沙路街道南二环东路1355号）；政采云平台。</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3、开标时间：2021年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日9点30分（北京时间）。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4、开标地点（网址）：慈溪市公共资源交易中心二楼第</w:t>
      </w:r>
      <w:r>
        <w:rPr>
          <w:rFonts w:hint="eastAsia" w:ascii="宋体" w:hAnsi="宋体" w:eastAsia="宋体" w:cs="宋体"/>
          <w:color w:val="auto"/>
          <w:sz w:val="21"/>
          <w:szCs w:val="21"/>
          <w:highlight w:val="none"/>
          <w:u w:val="single"/>
          <w:lang w:val="en-US" w:eastAsia="zh-CN"/>
        </w:rPr>
        <w:t xml:space="preserve"> 四 </w:t>
      </w:r>
      <w:r>
        <w:rPr>
          <w:rFonts w:hint="eastAsia" w:ascii="宋体" w:hAnsi="宋体" w:eastAsia="宋体" w:cs="宋体"/>
          <w:color w:val="auto"/>
          <w:sz w:val="21"/>
          <w:szCs w:val="21"/>
          <w:highlight w:val="none"/>
          <w:lang w:val="en-US" w:eastAsia="zh-CN"/>
        </w:rPr>
        <w:t>开标室（慈溪市白沙路街道南二环东路1355号）；政采云平台。</w:t>
      </w:r>
    </w:p>
    <w:p>
      <w:pPr>
        <w:pStyle w:val="5"/>
        <w:spacing w:line="400" w:lineRule="exac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五、公告期限</w:t>
      </w:r>
      <w:bookmarkEnd w:id="18"/>
      <w:bookmarkEnd w:id="19"/>
      <w:bookmarkEnd w:id="20"/>
      <w:bookmarkEnd w:id="2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自本公告发布之日起5个工作日。</w:t>
      </w:r>
    </w:p>
    <w:p>
      <w:pPr>
        <w:pStyle w:val="5"/>
        <w:spacing w:line="400" w:lineRule="exact"/>
        <w:rPr>
          <w:rFonts w:hint="eastAsia" w:ascii="宋体" w:hAnsi="宋体" w:eastAsia="宋体" w:cs="宋体"/>
          <w:b/>
          <w:bCs w:val="0"/>
          <w:color w:val="auto"/>
          <w:sz w:val="21"/>
          <w:szCs w:val="21"/>
          <w:highlight w:val="none"/>
        </w:rPr>
      </w:pPr>
      <w:bookmarkStart w:id="22" w:name="_Toc35393626"/>
      <w:bookmarkStart w:id="23" w:name="_Toc35393795"/>
      <w:r>
        <w:rPr>
          <w:rFonts w:hint="eastAsia" w:ascii="宋体" w:hAnsi="宋体" w:eastAsia="宋体" w:cs="宋体"/>
          <w:b/>
          <w:bCs w:val="0"/>
          <w:color w:val="auto"/>
          <w:sz w:val="21"/>
          <w:szCs w:val="21"/>
          <w:highlight w:val="none"/>
        </w:rPr>
        <w:t>六、其他补充事宜</w:t>
      </w:r>
      <w:bookmarkEnd w:id="22"/>
      <w:bookmarkEnd w:id="23"/>
    </w:p>
    <w:p>
      <w:pPr>
        <w:spacing w:line="380" w:lineRule="exact"/>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2、其他事项：</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（1）、投标形式：本项目实行网上投标，采用电子投标文件。若供应商参与投标，自行承担投标一切费用。</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（2）、投标人应于提交投标文件截止时间前将电子投标文件上传到政府采购云平台，并应于提交投标文件截止时间前，将以U盘或光盘存储的电子备份投标文件密封，采用现场递交或邮寄送达方式递交。 方式一：现场递交方式，供应商可安排一名“甬行码”为绿码的授权代表在投标截止时间前将投标文件送至开标地点。投标文件递交时须同时递交供应商的法定代表人（或其授权代表）联系方式，并保证投标期间联系方式畅通。 方式二：邮寄送达，送达地址：宁波永敬工程造价咨询有限公司（慈溪市孙塘南路4号永敬商务楼215室）联系人：侯维雁，联系方式0574-63898331。供应商邮寄后须将邮件单号发送至代理机构电子邮箱（电子邮箱：362153643@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 </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（3）、落实的政策：</w:t>
      </w:r>
      <w:r>
        <w:rPr>
          <w:rFonts w:hint="eastAsia"/>
          <w:color w:val="auto"/>
          <w:highlight w:val="none"/>
        </w:rPr>
        <w:t>《政府采购促进中小企业发展管理办法》（财库﹝2020﹞46号）</w:t>
      </w:r>
      <w:r>
        <w:rPr>
          <w:rFonts w:hint="eastAsia" w:ascii="宋体" w:hAnsi="宋体" w:eastAsia="宋体" w:cs="宋体"/>
          <w:color w:val="auto"/>
          <w:sz w:val="21"/>
          <w:szCs w:val="21"/>
          <w:highlight w:val="none"/>
          <w:lang w:val="en-US" w:eastAsia="zh-CN"/>
        </w:rPr>
        <w:t>、《关于政府采购支持监狱企业发展有关问题的通知》(财库[2014]68号</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rPr>
        <w:t>《关于促进残疾人就业政府采购政策的通知》（财库[2017]141号）</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val="en-US" w:eastAsia="zh-CN"/>
        </w:rPr>
        <w:t>（4）、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政采云平台上传的投标文件被识别为不一致，仍以备份电子投标文件作为评审依据）。采购代理机构于评审结束后将备份电子投标文件退回给供应商。若投标人在规定时间内无法解密或解密失败且未提供备份电子投标文件或所提供的备份电子投标文件无法读取的，视为投标文件撤回。</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（6）、投标文件制作：</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2）供应商通过政府采购云平台电子投标工具制作投标文件。电子投标工具请供应商自行前往浙江政府采购网下载并安装（下载专区-电子投标客户端）。</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供应商投标文件制作及电子交易操作指南详见：政府采购云平台-服务中心-帮助文档-项目采购-操作流程-电子招投标。</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3）以U盘或光盘存储的电子备份投标文件1份，按“项目采购-电子招投标操作指南”制作的电子备份文件，以用于异常情况处理。</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（7）、单位负责人为同一人或者存在直接控股、管理关系的不同供应商，不得参加同一子包号的投标。</w:t>
      </w:r>
    </w:p>
    <w:p>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（8）、为本项目提供整体设计、规范编制或者项目管理、监理、检测等服务的供应商，不得再参加本项目的投标。</w:t>
      </w:r>
    </w:p>
    <w:p>
      <w:pPr>
        <w:wordWrap w:val="0"/>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、公益一类事业单位不属于政府购买服务的承接主体，不得参与承接政府购买服务。</w:t>
      </w:r>
    </w:p>
    <w:p>
      <w:pPr>
        <w:pStyle w:val="5"/>
        <w:spacing w:line="400" w:lineRule="exact"/>
        <w:rPr>
          <w:rFonts w:hint="eastAsia" w:ascii="宋体" w:hAnsi="宋体" w:eastAsia="宋体" w:cs="宋体"/>
          <w:b/>
          <w:bCs w:val="0"/>
          <w:color w:val="auto"/>
          <w:sz w:val="21"/>
          <w:szCs w:val="21"/>
          <w:highlight w:val="none"/>
        </w:rPr>
      </w:pPr>
      <w:bookmarkStart w:id="24" w:name="_Toc28359085"/>
      <w:bookmarkStart w:id="25" w:name="_Toc28359008"/>
      <w:bookmarkStart w:id="26" w:name="_Toc35393627"/>
      <w:bookmarkStart w:id="27" w:name="_Toc35393796"/>
      <w:r>
        <w:rPr>
          <w:rFonts w:hint="eastAsia" w:ascii="宋体" w:hAnsi="宋体" w:eastAsia="宋体" w:cs="宋体"/>
          <w:b/>
          <w:bCs w:val="0"/>
          <w:color w:val="auto"/>
          <w:sz w:val="21"/>
          <w:szCs w:val="21"/>
          <w:highlight w:val="none"/>
        </w:rPr>
        <w:t>七、对本次招标提出询问，请按以下方式联系。</w:t>
      </w:r>
      <w:bookmarkEnd w:id="24"/>
      <w:bookmarkEnd w:id="25"/>
      <w:bookmarkEnd w:id="26"/>
      <w:bookmarkEnd w:id="27"/>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spacing w:line="400" w:lineRule="exact"/>
        <w:ind w:left="0" w:leftChars="0"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慈溪市桥头镇人民政府</w:t>
      </w:r>
      <w:r>
        <w:rPr>
          <w:rFonts w:hint="eastAsia" w:ascii="宋体" w:hAnsi="宋体" w:eastAsia="宋体" w:cs="宋体"/>
          <w:color w:val="auto"/>
          <w:sz w:val="21"/>
          <w:szCs w:val="21"/>
          <w:highlight w:val="none"/>
          <w:u w:val="single"/>
          <w:lang w:val="en-US" w:eastAsia="zh-CN"/>
        </w:rPr>
        <w:t xml:space="preserve"> </w:t>
      </w:r>
    </w:p>
    <w:p>
      <w:pPr>
        <w:spacing w:line="400" w:lineRule="exact"/>
        <w:ind w:left="0" w:leftChars="0"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Cs w:val="21"/>
          <w:highlight w:val="none"/>
          <w:u w:val="single"/>
          <w:lang w:val="en-US" w:eastAsia="zh-CN"/>
        </w:rPr>
        <w:t>慈溪市</w:t>
      </w:r>
      <w:r>
        <w:rPr>
          <w:rFonts w:hint="eastAsia" w:ascii="宋体" w:hAnsi="宋体" w:eastAsia="宋体" w:cs="宋体"/>
          <w:i w:val="0"/>
          <w:iCs w:val="0"/>
          <w:caps w:val="0"/>
          <w:color w:val="auto"/>
          <w:spacing w:val="0"/>
          <w:sz w:val="21"/>
          <w:szCs w:val="21"/>
          <w:highlight w:val="none"/>
          <w:u w:val="single"/>
          <w:shd w:val="clear" w:color="auto" w:fill="auto"/>
          <w:lang w:val="en-US" w:eastAsia="zh-CN"/>
        </w:rPr>
        <w:t>桥头镇</w:t>
      </w:r>
      <w:r>
        <w:rPr>
          <w:rFonts w:hint="eastAsia" w:ascii="宋体" w:hAnsi="宋体" w:eastAsia="宋体" w:cs="宋体"/>
          <w:i w:val="0"/>
          <w:iCs w:val="0"/>
          <w:caps w:val="0"/>
          <w:color w:val="auto"/>
          <w:spacing w:val="0"/>
          <w:sz w:val="21"/>
          <w:szCs w:val="21"/>
          <w:highlight w:val="none"/>
          <w:u w:val="single"/>
          <w:shd w:val="clear" w:color="auto" w:fill="auto"/>
        </w:rPr>
        <w:t>吴山南路599号</w:t>
      </w:r>
      <w:r>
        <w:rPr>
          <w:rFonts w:hint="eastAsia" w:ascii="宋体" w:hAnsi="宋体" w:eastAsia="宋体" w:cs="宋体"/>
          <w:color w:val="auto"/>
          <w:sz w:val="21"/>
          <w:szCs w:val="21"/>
          <w:highlight w:val="none"/>
          <w:u w:val="single"/>
        </w:rPr>
        <w:t xml:space="preserve"> </w:t>
      </w:r>
    </w:p>
    <w:p>
      <w:pPr>
        <w:widowControl/>
        <w:tabs>
          <w:tab w:val="left" w:pos="540"/>
        </w:tabs>
        <w:spacing w:line="400" w:lineRule="exact"/>
        <w:ind w:firstLine="630" w:firstLineChars="300"/>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联系人：韩晓诚</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联系电话：</w:t>
      </w:r>
      <w:bookmarkStart w:id="28" w:name="_Toc28359086"/>
      <w:bookmarkStart w:id="29" w:name="_Toc28359009"/>
      <w:r>
        <w:rPr>
          <w:rFonts w:hint="eastAsia" w:ascii="宋体" w:hAnsi="宋体" w:eastAsia="宋体" w:cs="宋体"/>
          <w:color w:val="auto"/>
          <w:sz w:val="21"/>
          <w:szCs w:val="21"/>
          <w:highlight w:val="none"/>
          <w:u w:val="single"/>
        </w:rPr>
        <w:t>0574-58987639</w:t>
      </w:r>
      <w:r>
        <w:rPr>
          <w:rFonts w:hint="eastAsia" w:ascii="宋体" w:hAnsi="宋体" w:eastAsia="宋体" w:cs="宋体"/>
          <w:color w:val="auto"/>
          <w:szCs w:val="21"/>
          <w:highlight w:val="none"/>
          <w:u w:val="single"/>
          <w:lang w:val="en-US" w:eastAsia="zh-CN"/>
        </w:rPr>
        <w:t xml:space="preserve"> </w:t>
      </w:r>
    </w:p>
    <w:p>
      <w:pPr>
        <w:spacing w:line="400" w:lineRule="exact"/>
        <w:ind w:left="0" w:leftChars="0"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28"/>
      <w:bookmarkEnd w:id="29"/>
    </w:p>
    <w:p>
      <w:pPr>
        <w:spacing w:line="400" w:lineRule="exact"/>
        <w:ind w:firstLine="630" w:firstLineChars="3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宁波永敬工程造价咨询有限公司  </w:t>
      </w:r>
    </w:p>
    <w:p>
      <w:pPr>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慈溪市孙塘南路4号永敬商务楼2楼 </w:t>
      </w:r>
    </w:p>
    <w:p>
      <w:pPr>
        <w:spacing w:line="400" w:lineRule="exact"/>
        <w:ind w:firstLine="630" w:firstLineChars="3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bookmarkStart w:id="30" w:name="_Toc28359087"/>
      <w:bookmarkStart w:id="31" w:name="_Toc28359010"/>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0574-63898331 </w:t>
      </w:r>
    </w:p>
    <w:p>
      <w:pPr>
        <w:spacing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30"/>
      <w:bookmarkEnd w:id="31"/>
    </w:p>
    <w:p>
      <w:pPr>
        <w:spacing w:line="400" w:lineRule="exact"/>
        <w:ind w:firstLine="630" w:firstLineChars="300"/>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侯维雁 </w:t>
      </w:r>
    </w:p>
    <w:p>
      <w:pPr>
        <w:spacing w:line="400" w:lineRule="exact"/>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0574-63898331</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none"/>
        </w:rPr>
        <w:t>　</w:t>
      </w:r>
    </w:p>
    <w:p>
      <w:pPr>
        <w:spacing w:line="400" w:lineRule="exact"/>
        <w:ind w:right="-932" w:rightChars="-444"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同级政府采购监督管理部门名称：</w:t>
      </w:r>
      <w:r>
        <w:rPr>
          <w:rFonts w:hint="eastAsia" w:ascii="宋体" w:hAnsi="宋体" w:eastAsia="宋体" w:cs="宋体"/>
          <w:color w:val="auto"/>
          <w:sz w:val="21"/>
          <w:szCs w:val="21"/>
          <w:highlight w:val="none"/>
          <w:u w:val="single"/>
          <w:lang w:val="en-US" w:eastAsia="zh-CN"/>
        </w:rPr>
        <w:t xml:space="preserve"> 慈溪市公共资源交易</w:t>
      </w:r>
      <w:r>
        <w:rPr>
          <w:rFonts w:hint="eastAsia" w:ascii="宋体" w:hAnsi="宋体" w:eastAsia="宋体" w:cs="宋体"/>
          <w:color w:val="auto"/>
          <w:sz w:val="21"/>
          <w:szCs w:val="21"/>
          <w:highlight w:val="none"/>
          <w:u w:val="single"/>
        </w:rPr>
        <w:t xml:space="preserve">办公室 </w:t>
      </w:r>
    </w:p>
    <w:p>
      <w:pPr>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赵先生</w:t>
      </w:r>
    </w:p>
    <w:p>
      <w:pPr>
        <w:spacing w:line="400" w:lineRule="exact"/>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慈溪市白沙路街道南二环东路1355号</w:t>
      </w:r>
      <w:r>
        <w:rPr>
          <w:rFonts w:hint="eastAsia" w:ascii="宋体" w:hAnsi="宋体" w:eastAsia="宋体" w:cs="宋体"/>
          <w:color w:val="auto"/>
          <w:sz w:val="21"/>
          <w:szCs w:val="21"/>
          <w:highlight w:val="none"/>
          <w:u w:val="single"/>
          <w:lang w:val="en-US" w:eastAsia="zh-CN"/>
        </w:rPr>
        <w:t xml:space="preserve"> </w:t>
      </w:r>
    </w:p>
    <w:p>
      <w:pPr>
        <w:spacing w:line="40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0574-630</w:t>
      </w:r>
      <w:r>
        <w:rPr>
          <w:rFonts w:hint="eastAsia" w:ascii="宋体" w:hAnsi="宋体" w:eastAsia="宋体" w:cs="宋体"/>
          <w:color w:val="auto"/>
          <w:sz w:val="21"/>
          <w:szCs w:val="21"/>
          <w:highlight w:val="none"/>
          <w:u w:val="single"/>
          <w:lang w:val="en-US" w:eastAsia="zh-CN"/>
        </w:rPr>
        <w:t xml:space="preserve">32252 </w:t>
      </w:r>
    </w:p>
    <w:p>
      <w:pPr>
        <w:widowControl/>
        <w:jc w:val="left"/>
        <w:rPr>
          <w:rFonts w:hint="eastAsia" w:ascii="宋体" w:hAnsi="宋体" w:eastAsia="宋体" w:cs="宋体"/>
          <w:color w:val="auto"/>
          <w:sz w:val="21"/>
          <w:szCs w:val="21"/>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color w:val="auto"/>
          <w:szCs w:val="21"/>
          <w:highlight w:val="none"/>
        </w:rPr>
        <w:br w:type="page"/>
      </w:r>
      <w:bookmarkStart w:id="32" w:name="_Toc23064"/>
      <w:r>
        <w:rPr>
          <w:rFonts w:hint="eastAsia" w:ascii="宋体" w:hAnsi="宋体" w:eastAsia="宋体" w:cs="宋体"/>
          <w:b/>
          <w:bCs/>
          <w:color w:val="auto"/>
          <w:kern w:val="44"/>
          <w:sz w:val="36"/>
          <w:szCs w:val="36"/>
          <w:highlight w:val="none"/>
          <w:lang w:val="en-US" w:eastAsia="zh-CN" w:bidi="ar-SA"/>
        </w:rPr>
        <w:t>第二章  投标须知</w:t>
      </w:r>
      <w:bookmarkEnd w:id="32"/>
    </w:p>
    <w:p>
      <w:pPr>
        <w:pStyle w:val="2"/>
        <w:rPr>
          <w:rFonts w:hint="eastAsia"/>
          <w:color w:val="auto"/>
          <w:highlight w:val="none"/>
        </w:rPr>
      </w:pP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本招标文件仅适用于本采购项目所叙述的货物（服务）的招标、评标、定标、验收、合同履约、付款等（法律、法规另有规定的，从其规定）。</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1、“采购人”系指</w:t>
      </w:r>
      <w:r>
        <w:rPr>
          <w:rFonts w:hint="eastAsia" w:ascii="宋体" w:hAnsi="宋体" w:eastAsia="宋体" w:cs="宋体"/>
          <w:color w:val="auto"/>
          <w:szCs w:val="21"/>
          <w:highlight w:val="none"/>
          <w:u w:val="none"/>
          <w:lang w:eastAsia="zh-CN" w:bidi="ar"/>
        </w:rPr>
        <w:t>慈溪市桥头镇人民政府</w:t>
      </w:r>
      <w:r>
        <w:rPr>
          <w:rFonts w:hint="eastAsia" w:ascii="宋体" w:hAnsi="宋体" w:eastAsia="宋体" w:cs="宋体"/>
          <w:color w:val="auto"/>
          <w:szCs w:val="21"/>
          <w:highlight w:val="none"/>
          <w:lang w:bidi="ar"/>
        </w:rPr>
        <w:t>。</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2、“代理机构”系指</w:t>
      </w:r>
      <w:r>
        <w:rPr>
          <w:rFonts w:hint="eastAsia" w:ascii="宋体" w:hAnsi="宋体" w:eastAsia="宋体" w:cs="宋体"/>
          <w:color w:val="auto"/>
          <w:szCs w:val="21"/>
          <w:highlight w:val="none"/>
          <w:lang w:eastAsia="zh-CN" w:bidi="ar"/>
        </w:rPr>
        <w:t>宁波永敬工程造价咨询有限公司</w:t>
      </w:r>
      <w:r>
        <w:rPr>
          <w:rFonts w:hint="eastAsia" w:ascii="宋体" w:hAnsi="宋体" w:eastAsia="宋体" w:cs="宋体"/>
          <w:color w:val="auto"/>
          <w:szCs w:val="21"/>
          <w:highlight w:val="none"/>
          <w:lang w:bidi="ar"/>
        </w:rPr>
        <w:t>。</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3、“供应商”系指向采购人提供投标文件的供应商。</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4、“中标人”系指在本次招标中确定向采购人提供</w:t>
      </w:r>
      <w:r>
        <w:rPr>
          <w:rFonts w:hint="eastAsia" w:ascii="宋体" w:hAnsi="宋体" w:eastAsia="宋体" w:cs="宋体"/>
          <w:color w:val="auto"/>
          <w:szCs w:val="21"/>
          <w:highlight w:val="none"/>
          <w:lang w:eastAsia="zh-CN" w:bidi="ar"/>
        </w:rPr>
        <w:t>慈溪市桥头镇“无废绿色乡镇”建设服务采购项目</w:t>
      </w:r>
      <w:r>
        <w:rPr>
          <w:rFonts w:hint="eastAsia" w:ascii="宋体" w:hAnsi="宋体" w:eastAsia="宋体" w:cs="宋体"/>
          <w:color w:val="auto"/>
          <w:szCs w:val="21"/>
          <w:highlight w:val="none"/>
          <w:lang w:bidi="ar"/>
        </w:rPr>
        <w:t>的供应商；</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5、“货物”系指满足服务要求，投标人需具有的车辆、设备等。</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6、“服务”系指</w:t>
      </w:r>
      <w:r>
        <w:rPr>
          <w:rFonts w:hint="eastAsia" w:ascii="宋体" w:hAnsi="宋体" w:eastAsia="宋体" w:cs="宋体"/>
          <w:color w:val="auto"/>
          <w:szCs w:val="21"/>
          <w:highlight w:val="none"/>
          <w:lang w:eastAsia="zh-CN"/>
        </w:rPr>
        <w:t>慈溪市桥头镇“无废绿色乡镇”建设服务采购项目</w:t>
      </w:r>
      <w:r>
        <w:rPr>
          <w:rFonts w:hint="eastAsia" w:ascii="宋体" w:hAnsi="宋体" w:eastAsia="宋体" w:cs="宋体"/>
          <w:color w:val="auto"/>
          <w:szCs w:val="21"/>
          <w:highlight w:val="none"/>
        </w:rPr>
        <w:t>。</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、“同级政府采购监管部门”系指慈溪市公共资源交易管理办公室</w:t>
      </w:r>
      <w:r>
        <w:rPr>
          <w:rFonts w:hint="eastAsia" w:ascii="宋体" w:hAnsi="宋体" w:eastAsia="宋体" w:cs="宋体"/>
          <w:color w:val="auto"/>
          <w:kern w:val="10"/>
          <w:szCs w:val="21"/>
          <w:highlight w:val="none"/>
          <w:lang w:val="zh-CN"/>
        </w:rPr>
        <w:t>。</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”系指实质性响应条款。</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三、供应商的资格要求</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详见采购公告。</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四、投标费用</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1、无论投标过程和结果如何，供应商自行承担与投标有关的全部费用。</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2、供应商准备和参加投标活动发生的费用自理，本次采购中标服务费由中标人支付，</w:t>
      </w:r>
      <w:r>
        <w:rPr>
          <w:rFonts w:hint="eastAsia" w:ascii="宋体" w:hAnsi="宋体" w:eastAsia="宋体" w:cs="宋体"/>
          <w:color w:val="auto"/>
          <w:szCs w:val="21"/>
          <w:highlight w:val="none"/>
          <w:lang w:bidi="ar"/>
        </w:rPr>
        <w:t>中标人在发放中标通知书之前支付给代理机构</w:t>
      </w:r>
      <w:r>
        <w:rPr>
          <w:rFonts w:hint="eastAsia" w:ascii="宋体" w:hAnsi="宋体" w:eastAsia="宋体" w:cs="宋体"/>
          <w:color w:val="auto"/>
          <w:szCs w:val="21"/>
          <w:highlight w:val="none"/>
        </w:rPr>
        <w:t>代理</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bidi="ar"/>
        </w:rPr>
        <w:t>代理服务费不另列项目，但其费用在报价时综合考虑，投标总价中包含此项费用。</w:t>
      </w:r>
      <w:r>
        <w:rPr>
          <w:rFonts w:hint="eastAsia" w:ascii="宋体" w:hAnsi="宋体" w:cs="宋体"/>
          <w:color w:val="auto"/>
          <w:sz w:val="21"/>
          <w:szCs w:val="21"/>
          <w:highlight w:val="none"/>
        </w:rPr>
        <w:t>招标代理服务费收取金额如下：</w:t>
      </w:r>
      <w:r>
        <w:rPr>
          <w:rFonts w:hint="eastAsia" w:ascii="宋体" w:hAnsi="宋体" w:cs="宋体"/>
          <w:color w:val="auto"/>
          <w:sz w:val="21"/>
          <w:szCs w:val="21"/>
          <w:highlight w:val="none"/>
          <w:lang w:val="en-US" w:eastAsia="zh-CN"/>
        </w:rPr>
        <w:t>按中标金额的1.0%计取</w:t>
      </w:r>
      <w:r>
        <w:rPr>
          <w:rFonts w:hint="eastAsia" w:ascii="宋体" w:hAnsi="宋体" w:cs="宋体"/>
          <w:color w:val="auto"/>
          <w:sz w:val="21"/>
          <w:szCs w:val="21"/>
          <w:highlight w:val="none"/>
        </w:rPr>
        <w:t>，按照合同总金额向中标供应商收取招标服务费</w:t>
      </w:r>
      <w:r>
        <w:rPr>
          <w:rFonts w:hint="eastAsia" w:ascii="宋体" w:hAnsi="宋体" w:cs="宋体"/>
          <w:color w:val="auto"/>
          <w:sz w:val="21"/>
          <w:szCs w:val="21"/>
          <w:highlight w:val="none"/>
          <w:lang w:eastAsia="zh-CN"/>
        </w:rPr>
        <w:t>。</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五、投标报价</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1、投标报价以人民币为结算货币。</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）开标时，供应商应按招标文件要求认真填写报价内容，投标文件报价前后不一致的，按以下规定修正：</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①投标文件中开标一览表（报价表）内容与投标文件中相应内容不一致的，以开标一览表（报价表）为准；</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②投标文件的大写金额和小写金额不一致的，以大写金额为准；</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③单价金额小数点或者百分比有明显错位的，以开标一览表的总价为准，并修改单价；</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④总价金额与按单价汇总金额不一致的，以单价金额计算结果为准。</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2、投标报价是履行合同的最终价格，包含需交纳的所有税费及其他一切相关费用。供应商少报或漏报的工作量，采购单位将视为已包含在投标总价中，并不予调整。</w:t>
      </w:r>
    </w:p>
    <w:p>
      <w:pPr>
        <w:spacing w:line="40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3、投标文件只允许有一个报价，有选择的或有条件的报价将不予接受。</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六、投标保证金</w:t>
      </w:r>
    </w:p>
    <w:p>
      <w:pPr>
        <w:spacing w:line="400" w:lineRule="exact"/>
        <w:ind w:firstLine="420" w:firstLineChars="200"/>
        <w:jc w:val="left"/>
        <w:rPr>
          <w:rFonts w:hint="eastAsia" w:ascii="宋体" w:hAnsi="宋体" w:eastAsia="宋体" w:cs="宋体"/>
          <w:color w:val="auto"/>
          <w:szCs w:val="21"/>
          <w:highlight w:val="none"/>
          <w:u w:val="single"/>
          <w:lang w:val="en-US" w:eastAsia="zh-CN" w:bidi="ar"/>
        </w:rPr>
      </w:pPr>
      <w:r>
        <w:rPr>
          <w:rFonts w:hint="eastAsia" w:ascii="宋体" w:hAnsi="宋体" w:eastAsia="宋体" w:cs="宋体"/>
          <w:color w:val="auto"/>
          <w:szCs w:val="21"/>
          <w:highlight w:val="none"/>
          <w:u w:val="single"/>
          <w:lang w:val="en-US" w:eastAsia="zh-CN" w:bidi="ar"/>
        </w:rPr>
        <w:t>本项目无需递交。</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七、投标有效期</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1、投标文件从开标之日起，投标有效期为90个日历天。有效期自开标日起计算，不能小于招标文件的要求。</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2、特殊情况下，采购人可与供应商协商延缓投标文件的有效期，这种要求和答复均以书面形式进行。</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3、供应商可拒绝接受延期要求</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同意延长有效期的供应商不能修改投标文件。</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八、投标文件的组成</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投标文件由“电子投标文件（含</w:t>
      </w:r>
      <w:r>
        <w:rPr>
          <w:rFonts w:hint="eastAsia" w:ascii="宋体" w:hAnsi="宋体" w:eastAsia="宋体" w:cs="宋体"/>
          <w:color w:val="auto"/>
          <w:highlight w:val="none"/>
          <w:lang w:val="en-US" w:eastAsia="zh-CN"/>
        </w:rPr>
        <w:t>资格审查文件、</w:t>
      </w:r>
      <w:r>
        <w:rPr>
          <w:rFonts w:hint="eastAsia" w:ascii="宋体" w:hAnsi="宋体" w:eastAsia="宋体" w:cs="宋体"/>
          <w:bCs/>
          <w:color w:val="auto"/>
          <w:highlight w:val="none"/>
        </w:rPr>
        <w:t>商务技术文件、</w:t>
      </w:r>
      <w:r>
        <w:rPr>
          <w:rFonts w:hint="eastAsia" w:ascii="宋体" w:hAnsi="宋体" w:eastAsia="宋体" w:cs="宋体"/>
          <w:color w:val="auto"/>
          <w:highlight w:val="none"/>
        </w:rPr>
        <w:t>报价文件</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部分，下同）”、“备份电子投标文件（含</w:t>
      </w:r>
      <w:r>
        <w:rPr>
          <w:rFonts w:hint="eastAsia" w:ascii="宋体" w:hAnsi="宋体" w:eastAsia="宋体" w:cs="宋体"/>
          <w:color w:val="auto"/>
          <w:highlight w:val="none"/>
          <w:lang w:val="en-US" w:eastAsia="zh-CN"/>
        </w:rPr>
        <w:t>资格审查文件、</w:t>
      </w:r>
      <w:r>
        <w:rPr>
          <w:rFonts w:hint="eastAsia" w:ascii="宋体" w:hAnsi="宋体" w:eastAsia="宋体" w:cs="宋体"/>
          <w:bCs/>
          <w:color w:val="auto"/>
          <w:highlight w:val="none"/>
        </w:rPr>
        <w:t>商务技术文件、</w:t>
      </w:r>
      <w:r>
        <w:rPr>
          <w:rFonts w:hint="eastAsia" w:ascii="宋体" w:hAnsi="宋体" w:eastAsia="宋体" w:cs="宋体"/>
          <w:color w:val="auto"/>
          <w:highlight w:val="none"/>
        </w:rPr>
        <w:t>报价文件二部分，下同）二部分组成，</w:t>
      </w:r>
      <w:r>
        <w:rPr>
          <w:rFonts w:hint="eastAsia" w:ascii="宋体" w:hAnsi="宋体" w:eastAsia="宋体" w:cs="宋体"/>
          <w:b/>
          <w:bCs/>
          <w:color w:val="auto"/>
          <w:szCs w:val="21"/>
          <w:highlight w:val="none"/>
        </w:rPr>
        <w:t>其中电子投标文件中所须加盖公章部分均采用CA签章</w:t>
      </w:r>
      <w:r>
        <w:rPr>
          <w:rFonts w:hint="eastAsia" w:ascii="宋体" w:hAnsi="宋体" w:eastAsia="宋体" w:cs="宋体"/>
          <w:color w:val="auto"/>
          <w:highlight w:val="none"/>
        </w:rPr>
        <w:t>。商务技术文件、报价文件内容如下：</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w:t>
      </w:r>
      <w:r>
        <w:rPr>
          <w:rFonts w:hint="eastAsia" w:ascii="宋体" w:hAnsi="宋体" w:eastAsia="宋体" w:cs="宋体"/>
          <w:color w:val="auto"/>
          <w:szCs w:val="21"/>
          <w:highlight w:val="none"/>
          <w:lang w:val="en-US" w:eastAsia="zh-CN" w:bidi="ar"/>
        </w:rPr>
        <w:t>资格审查</w:t>
      </w:r>
      <w:r>
        <w:rPr>
          <w:rFonts w:hint="eastAsia" w:ascii="宋体" w:hAnsi="宋体" w:eastAsia="宋体" w:cs="宋体"/>
          <w:color w:val="auto"/>
          <w:szCs w:val="21"/>
          <w:highlight w:val="none"/>
          <w:lang w:bidi="ar"/>
        </w:rPr>
        <w:t>文件：</w:t>
      </w:r>
    </w:p>
    <w:p>
      <w:pPr>
        <w:spacing w:line="400" w:lineRule="exact"/>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.关于资格的声明函（格式见附件</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Fonts w:hint="eastAsia" w:ascii="宋体" w:hAnsi="宋体"/>
          <w:color w:val="auto"/>
          <w:highlight w:val="none"/>
        </w:rPr>
        <w:t>有效的企业法人营业执照（或事业法人登记证）或其他组织（个体工商户）的营业执照或者民办非企业单位登记证书</w:t>
      </w:r>
      <w:r>
        <w:rPr>
          <w:rFonts w:hint="eastAsia" w:ascii="宋体" w:hAnsi="宋体" w:cs="宋体"/>
          <w:color w:val="auto"/>
          <w:szCs w:val="21"/>
          <w:highlight w:val="none"/>
          <w:lang w:bidi="ar"/>
        </w:rPr>
        <w:t>扫描件加盖供应商公章</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w:t>
      </w:r>
      <w:r>
        <w:rPr>
          <w:rFonts w:hint="eastAsia" w:ascii="宋体" w:hAnsi="宋体" w:eastAsia="宋体" w:cs="宋体"/>
          <w:color w:val="auto"/>
          <w:highlight w:val="none"/>
        </w:rPr>
        <w:t>投标人具有良好的商业信誉和健全的财务会计制度声明函</w:t>
      </w:r>
      <w:r>
        <w:rPr>
          <w:rFonts w:hint="eastAsia" w:ascii="宋体" w:hAnsi="宋体" w:eastAsia="宋体" w:cs="宋体"/>
          <w:color w:val="auto"/>
          <w:szCs w:val="21"/>
          <w:highlight w:val="none"/>
          <w:lang w:bidi="ar"/>
        </w:rPr>
        <w:t>（格式见附件</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w:t>
      </w:r>
    </w:p>
    <w:p>
      <w:pPr>
        <w:pStyle w:val="2"/>
        <w:rPr>
          <w:rFonts w:hint="eastAsia"/>
          <w:color w:val="auto"/>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提供具有履行合同所必需的设备和专业技术能力的</w:t>
      </w:r>
      <w:r>
        <w:rPr>
          <w:rFonts w:hint="eastAsia" w:ascii="宋体" w:hAnsi="宋体" w:eastAsia="宋体" w:cs="宋体"/>
          <w:color w:val="auto"/>
          <w:kern w:val="2"/>
          <w:sz w:val="21"/>
          <w:szCs w:val="21"/>
          <w:highlight w:val="none"/>
          <w:lang w:val="en-US" w:eastAsia="zh-CN" w:bidi="ar"/>
        </w:rPr>
        <w:t>书面声明（格式见附件3）；</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r>
        <w:rPr>
          <w:rFonts w:hint="eastAsia" w:ascii="宋体" w:hAnsi="宋体" w:eastAsia="宋体" w:cs="宋体"/>
          <w:color w:val="auto"/>
          <w:highlight w:val="none"/>
          <w:lang w:eastAsia="zh-CN"/>
        </w:rPr>
        <w:t>开标前六个月任一个月开具</w:t>
      </w:r>
      <w:r>
        <w:rPr>
          <w:rFonts w:hint="eastAsia" w:ascii="宋体" w:hAnsi="宋体" w:eastAsia="宋体" w:cs="宋体"/>
          <w:color w:val="auto"/>
          <w:highlight w:val="none"/>
        </w:rPr>
        <w:t>的缴纳税收的凭据证明材料</w:t>
      </w:r>
      <w:r>
        <w:rPr>
          <w:rFonts w:hint="eastAsia" w:ascii="宋体" w:hAnsi="宋体" w:eastAsia="宋体" w:cs="宋体"/>
          <w:color w:val="auto"/>
          <w:highlight w:val="none"/>
          <w:lang w:val="en-US" w:eastAsia="zh-CN"/>
        </w:rPr>
        <w:t>扫描件</w:t>
      </w:r>
      <w:r>
        <w:rPr>
          <w:rFonts w:hint="eastAsia" w:ascii="宋体" w:hAnsi="宋体" w:eastAsia="宋体" w:cs="宋体"/>
          <w:color w:val="auto"/>
          <w:szCs w:val="21"/>
          <w:highlight w:val="none"/>
          <w:lang w:bidi="ar"/>
        </w:rPr>
        <w:t>（加盖供应商公章），如依法免税的，应提供相应文件证明其依法免税；</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w:t>
      </w:r>
      <w:r>
        <w:rPr>
          <w:rFonts w:hint="eastAsia" w:ascii="宋体" w:hAnsi="宋体" w:eastAsia="宋体" w:cs="宋体"/>
          <w:color w:val="auto"/>
          <w:highlight w:val="none"/>
          <w:lang w:eastAsia="zh-CN"/>
        </w:rPr>
        <w:t>开标前六个月任一个月开具</w:t>
      </w:r>
      <w:r>
        <w:rPr>
          <w:rFonts w:hint="eastAsia" w:ascii="宋体" w:hAnsi="宋体" w:eastAsia="宋体" w:cs="宋体"/>
          <w:color w:val="auto"/>
          <w:highlight w:val="none"/>
        </w:rPr>
        <w:t>的缴纳社会保险的凭据证明材料</w:t>
      </w:r>
      <w:r>
        <w:rPr>
          <w:rFonts w:hint="eastAsia" w:ascii="宋体" w:hAnsi="宋体" w:eastAsia="宋体" w:cs="宋体"/>
          <w:color w:val="auto"/>
          <w:highlight w:val="none"/>
          <w:lang w:val="en-US" w:eastAsia="zh-CN"/>
        </w:rPr>
        <w:t>扫描件</w:t>
      </w:r>
      <w:r>
        <w:rPr>
          <w:rFonts w:hint="eastAsia" w:ascii="宋体" w:hAnsi="宋体" w:eastAsia="宋体" w:cs="宋体"/>
          <w:color w:val="auto"/>
          <w:szCs w:val="21"/>
          <w:highlight w:val="none"/>
          <w:lang w:bidi="ar"/>
        </w:rPr>
        <w:t>（加盖供应商公章），如依法不需要缴纳社保的，应提供相关文件证明其依法不需要缴纳社保；</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.无重大违法记录声明函（格式见附件</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eastAsia="宋体"/>
          <w:color w:val="auto"/>
          <w:highlight w:val="none"/>
          <w:lang w:eastAsia="zh-CN"/>
        </w:rPr>
      </w:pP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.供应商一般情况表（格式见附件</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二</w:t>
      </w:r>
      <w:r>
        <w:rPr>
          <w:rFonts w:hint="eastAsia" w:ascii="宋体" w:hAnsi="宋体" w:eastAsia="宋体" w:cs="宋体"/>
          <w:color w:val="auto"/>
          <w:szCs w:val="21"/>
          <w:highlight w:val="none"/>
          <w:lang w:bidi="ar"/>
        </w:rPr>
        <w:t>〉商务技术文件</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、投标函（格式见附件</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、法定代表人身份证明（格式见附件</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、商务条款响应表（格式见附件</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、技术</w:t>
      </w:r>
      <w:r>
        <w:rPr>
          <w:rFonts w:hint="eastAsia" w:ascii="宋体" w:hAnsi="宋体" w:eastAsia="宋体" w:cs="宋体"/>
          <w:color w:val="auto"/>
          <w:szCs w:val="21"/>
          <w:highlight w:val="none"/>
          <w:lang w:val="en-US" w:eastAsia="zh-CN" w:bidi="ar"/>
        </w:rPr>
        <w:t>服务</w:t>
      </w:r>
      <w:r>
        <w:rPr>
          <w:rFonts w:hint="eastAsia" w:ascii="宋体" w:hAnsi="宋体" w:eastAsia="宋体" w:cs="宋体"/>
          <w:color w:val="auto"/>
          <w:szCs w:val="21"/>
          <w:highlight w:val="none"/>
          <w:lang w:bidi="ar"/>
        </w:rPr>
        <w:t>条款响应表（格式见附件</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r>
        <w:rPr>
          <w:rFonts w:hint="eastAsia" w:ascii="宋体" w:hAnsi="宋体" w:eastAsia="宋体" w:cs="宋体"/>
          <w:b w:val="0"/>
          <w:bCs w:val="0"/>
          <w:color w:val="auto"/>
          <w:sz w:val="21"/>
          <w:szCs w:val="21"/>
          <w:highlight w:val="none"/>
          <w:lang w:bidi="ar"/>
        </w:rPr>
        <w:t>标文件第</w:t>
      </w:r>
      <w:r>
        <w:rPr>
          <w:rFonts w:hint="eastAsia" w:ascii="宋体" w:hAnsi="宋体" w:eastAsia="宋体" w:cs="宋体"/>
          <w:b w:val="0"/>
          <w:bCs w:val="0"/>
          <w:color w:val="auto"/>
          <w:sz w:val="21"/>
          <w:szCs w:val="21"/>
          <w:highlight w:val="none"/>
          <w:lang w:val="en-US" w:eastAsia="zh-CN" w:bidi="ar"/>
        </w:rPr>
        <w:t>三</w:t>
      </w:r>
      <w:r>
        <w:rPr>
          <w:rFonts w:hint="eastAsia" w:ascii="宋体" w:hAnsi="宋体" w:eastAsia="宋体" w:cs="宋体"/>
          <w:b w:val="0"/>
          <w:bCs w:val="0"/>
          <w:color w:val="auto"/>
          <w:sz w:val="21"/>
          <w:szCs w:val="21"/>
          <w:highlight w:val="none"/>
          <w:lang w:bidi="ar"/>
        </w:rPr>
        <w:t>章评分表中</w:t>
      </w:r>
      <w:r>
        <w:rPr>
          <w:rFonts w:hint="eastAsia" w:ascii="宋体" w:hAnsi="宋体" w:eastAsia="宋体" w:cs="宋体"/>
          <w:b w:val="0"/>
          <w:bCs w:val="0"/>
          <w:color w:val="auto"/>
          <w:sz w:val="21"/>
          <w:szCs w:val="21"/>
          <w:highlight w:val="none"/>
          <w:lang w:val="en-US" w:eastAsia="zh-CN" w:bidi="ar"/>
        </w:rPr>
        <w:t>商务资信</w:t>
      </w:r>
      <w:r>
        <w:rPr>
          <w:rFonts w:hint="eastAsia" w:ascii="宋体" w:hAnsi="宋体" w:eastAsia="宋体" w:cs="宋体"/>
          <w:b w:val="0"/>
          <w:bCs w:val="0"/>
          <w:color w:val="auto"/>
          <w:sz w:val="21"/>
          <w:szCs w:val="21"/>
          <w:highlight w:val="none"/>
          <w:lang w:bidi="ar"/>
        </w:rPr>
        <w:t>评审所要求的资料</w:t>
      </w:r>
      <w:r>
        <w:rPr>
          <w:rFonts w:hint="eastAsia" w:ascii="宋体" w:hAnsi="宋体" w:eastAsia="宋体" w:cs="宋体"/>
          <w:b w:val="0"/>
          <w:bCs w:val="0"/>
          <w:color w:val="auto"/>
          <w:sz w:val="21"/>
          <w:szCs w:val="21"/>
          <w:highlight w:val="none"/>
          <w:lang w:val="en-US" w:eastAsia="zh-CN" w:bidi="ar"/>
        </w:rPr>
        <w:t>扫描</w:t>
      </w:r>
      <w:r>
        <w:rPr>
          <w:rFonts w:hint="eastAsia" w:ascii="宋体" w:hAnsi="宋体" w:eastAsia="宋体" w:cs="宋体"/>
          <w:b w:val="0"/>
          <w:bCs w:val="0"/>
          <w:color w:val="auto"/>
          <w:sz w:val="21"/>
          <w:szCs w:val="21"/>
          <w:highlight w:val="none"/>
          <w:lang w:bidi="ar"/>
        </w:rPr>
        <w:t>件（若有）</w:t>
      </w:r>
      <w:r>
        <w:rPr>
          <w:rFonts w:hint="eastAsia" w:ascii="宋体" w:hAnsi="宋体" w:eastAsia="宋体" w:cs="宋体"/>
          <w:b w:val="0"/>
          <w:bCs w:val="0"/>
          <w:color w:val="auto"/>
          <w:sz w:val="21"/>
          <w:szCs w:val="21"/>
          <w:highlight w:val="none"/>
          <w:lang w:eastAsia="zh-CN" w:bidi="ar"/>
        </w:rPr>
        <w:t>；</w:t>
      </w:r>
    </w:p>
    <w:p>
      <w:pPr>
        <w:spacing w:line="400" w:lineRule="exact"/>
        <w:ind w:firstLine="420" w:firstLineChars="200"/>
        <w:jc w:val="left"/>
        <w:rPr>
          <w:rFonts w:hint="default"/>
          <w:lang w:val="en-US" w:eastAsia="zh-CN"/>
        </w:rPr>
      </w:pPr>
      <w:r>
        <w:rPr>
          <w:rFonts w:hint="eastAsia" w:ascii="宋体" w:hAnsi="宋体" w:eastAsia="宋体" w:cs="宋体"/>
          <w:color w:val="auto"/>
          <w:szCs w:val="21"/>
          <w:highlight w:val="none"/>
          <w:lang w:val="en-US" w:eastAsia="zh-CN" w:bidi="ar"/>
        </w:rPr>
        <w:t>6、技术服务方案；</w:t>
      </w:r>
    </w:p>
    <w:p>
      <w:pPr>
        <w:spacing w:line="400" w:lineRule="exact"/>
        <w:ind w:firstLine="420" w:firstLineChars="200"/>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7、供应商认为需要提供的其他资料。</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三</w:t>
      </w:r>
      <w:r>
        <w:rPr>
          <w:rFonts w:hint="eastAsia" w:ascii="宋体" w:hAnsi="宋体" w:eastAsia="宋体" w:cs="宋体"/>
          <w:color w:val="auto"/>
          <w:szCs w:val="21"/>
          <w:highlight w:val="none"/>
          <w:lang w:bidi="ar"/>
        </w:rPr>
        <w:t>〉报价文件</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、开标一览表（格式见附件</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2、投标报价明细表</w:t>
      </w:r>
      <w:r>
        <w:rPr>
          <w:rFonts w:hint="eastAsia" w:ascii="宋体" w:hAnsi="宋体" w:eastAsia="宋体" w:cs="宋体"/>
          <w:color w:val="auto"/>
          <w:szCs w:val="21"/>
          <w:highlight w:val="none"/>
          <w:lang w:bidi="ar"/>
        </w:rPr>
        <w:t>（格式见附件</w:t>
      </w:r>
      <w:r>
        <w:rPr>
          <w:rFonts w:hint="eastAsia" w:ascii="宋体" w:hAnsi="宋体" w:eastAsia="宋体" w:cs="宋体"/>
          <w:color w:val="auto"/>
          <w:szCs w:val="21"/>
          <w:highlight w:val="none"/>
          <w:lang w:val="en-US" w:eastAsia="zh-CN" w:bidi="ar"/>
        </w:rPr>
        <w:t>11</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、中小企业声明函（格式见附件</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w:t>
      </w:r>
    </w:p>
    <w:p>
      <w:pPr>
        <w:spacing w:line="400" w:lineRule="exact"/>
        <w:ind w:firstLine="420" w:firstLineChars="200"/>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残疾人福利性单位声明函（</w:t>
      </w:r>
      <w:r>
        <w:rPr>
          <w:rFonts w:hint="eastAsia" w:ascii="宋体" w:hAnsi="宋体" w:eastAsia="宋体" w:cs="宋体"/>
          <w:color w:val="auto"/>
          <w:szCs w:val="21"/>
          <w:highlight w:val="none"/>
          <w:lang w:val="en-US" w:eastAsia="zh-CN" w:bidi="ar"/>
        </w:rPr>
        <w:t>若有，</w:t>
      </w:r>
      <w:r>
        <w:rPr>
          <w:rFonts w:hint="eastAsia" w:ascii="宋体" w:hAnsi="宋体" w:eastAsia="宋体" w:cs="宋体"/>
          <w:color w:val="auto"/>
          <w:szCs w:val="21"/>
          <w:highlight w:val="none"/>
          <w:lang w:bidi="ar"/>
        </w:rPr>
        <w:t>格式见附件</w:t>
      </w:r>
      <w:r>
        <w:rPr>
          <w:rFonts w:hint="eastAsia" w:ascii="宋体" w:hAnsi="宋体" w:eastAsia="宋体" w:cs="宋体"/>
          <w:color w:val="auto"/>
          <w:szCs w:val="21"/>
          <w:highlight w:val="none"/>
          <w:lang w:val="en-US" w:eastAsia="zh-CN" w:bidi="ar"/>
        </w:rPr>
        <w:t>13</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eastAsia="zh-CN" w:bidi="ar"/>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、供应商认为需要的其他资料。</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九、投标文件的份数、密封、签署</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1、供应商应按本采购文件规定的格式和顺序编制投标文件并标注页码，投标文件内容不完整、编排混乱导致投标文件被误读、漏读或者查找不到相关内容的，由供应商自行承担相关责任。</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2、供应商于“政采云”上提供电子投标文件（</w:t>
      </w:r>
      <w:r>
        <w:rPr>
          <w:rFonts w:hint="eastAsia" w:ascii="宋体" w:hAnsi="宋体" w:eastAsia="宋体" w:cs="宋体"/>
          <w:b/>
          <w:bCs/>
          <w:color w:val="auto"/>
          <w:szCs w:val="21"/>
          <w:highlight w:val="none"/>
        </w:rPr>
        <w:t>电子投标文件中所须加盖公章部分均采用CA签章</w:t>
      </w:r>
      <w:r>
        <w:rPr>
          <w:rFonts w:hint="eastAsia" w:ascii="宋体" w:hAnsi="宋体" w:eastAsia="宋体" w:cs="宋体"/>
          <w:b/>
          <w:color w:val="auto"/>
          <w:szCs w:val="21"/>
          <w:highlight w:val="none"/>
        </w:rPr>
        <w:t>），并根据“政采云供应商项目采购-电子招投标操作指南”及本招标文件规定的格式和顺序编制电子投标文件并进行关联定位。未传输递交电子投标文件的，投标无效。</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3、备份电子投标文件：以</w:t>
      </w:r>
      <w:r>
        <w:rPr>
          <w:rFonts w:hint="eastAsia" w:ascii="宋体" w:hAnsi="宋体" w:eastAsia="宋体" w:cs="宋体"/>
          <w:color w:val="auto"/>
          <w:sz w:val="21"/>
          <w:szCs w:val="21"/>
          <w:highlight w:val="none"/>
          <w:lang w:eastAsia="zh-CN"/>
        </w:rPr>
        <w:t>U盘或DVD光盘等介质存储</w:t>
      </w:r>
      <w:r>
        <w:rPr>
          <w:rFonts w:hint="eastAsia" w:ascii="宋体" w:hAnsi="宋体" w:eastAsia="宋体" w:cs="宋体"/>
          <w:color w:val="auto"/>
          <w:sz w:val="21"/>
          <w:szCs w:val="21"/>
          <w:highlight w:val="none"/>
        </w:rPr>
        <w:t>的数据电文形式提供的备份电子投标文件数量1份，可安排一名“甬行码</w:t>
      </w:r>
      <w:r>
        <w:rPr>
          <w:rFonts w:hint="eastAsia" w:ascii="宋体" w:hAnsi="宋体" w:eastAsia="宋体" w:cs="宋体"/>
          <w:color w:val="auto"/>
          <w:sz w:val="21"/>
          <w:szCs w:val="21"/>
          <w:highlight w:val="none"/>
          <w:lang w:val="en-US" w:eastAsia="zh-CN"/>
        </w:rPr>
        <w:t>或健康码</w:t>
      </w:r>
      <w:r>
        <w:rPr>
          <w:rFonts w:hint="eastAsia" w:ascii="宋体" w:hAnsi="宋体" w:eastAsia="宋体" w:cs="宋体"/>
          <w:color w:val="auto"/>
          <w:sz w:val="21"/>
          <w:szCs w:val="21"/>
          <w:highlight w:val="none"/>
        </w:rPr>
        <w:t>”为绿</w:t>
      </w:r>
      <w:r>
        <w:rPr>
          <w:rFonts w:hint="eastAsia" w:ascii="宋体" w:hAnsi="宋体" w:eastAsia="宋体" w:cs="宋体"/>
          <w:color w:val="auto"/>
          <w:sz w:val="21"/>
          <w:szCs w:val="21"/>
          <w:highlight w:val="none"/>
          <w:lang w:val="en-US" w:eastAsia="zh-CN"/>
        </w:rPr>
        <w:t>码</w:t>
      </w:r>
      <w:r>
        <w:rPr>
          <w:rFonts w:hint="eastAsia" w:ascii="宋体" w:hAnsi="宋体" w:eastAsia="宋体" w:cs="宋体"/>
          <w:color w:val="auto"/>
          <w:sz w:val="21"/>
          <w:szCs w:val="21"/>
          <w:highlight w:val="none"/>
        </w:rPr>
        <w:t>的相关人员递交或EMS邮递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单独密封</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，外包装封面上应注明供应商名称、供应商地址、投标文件名称（电子备份文件）、采购项目名称、项目编号及“在  年  月  日  时  分之前不得启封”字样，并加盖供应商公章</w:t>
      </w:r>
      <w:r>
        <w:rPr>
          <w:rFonts w:hint="eastAsia" w:ascii="宋体" w:hAnsi="宋体" w:eastAsia="宋体" w:cs="宋体"/>
          <w:color w:val="auto"/>
          <w:sz w:val="21"/>
          <w:szCs w:val="21"/>
          <w:highlight w:val="none"/>
          <w:lang w:bidi="ar"/>
        </w:rPr>
        <w:t>，如果供应商未加写标记，采购人对投标文件的误投和提前启封不负责任。</w:t>
      </w:r>
    </w:p>
    <w:p>
      <w:pPr>
        <w:pStyle w:val="2"/>
        <w:ind w:firstLine="482"/>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color w:val="auto"/>
          <w:sz w:val="21"/>
          <w:szCs w:val="21"/>
          <w:highlight w:val="none"/>
        </w:rPr>
        <w:t>未按规定提供相应的备份电子投标文件，造成项目开评标活动无法进行的，其投标无效。</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4、投标文件字迹必须清楚、工整，对不同文字文本投标文件的解释发生异议的，以中文文本为准</w:t>
      </w:r>
      <w:r>
        <w:rPr>
          <w:rFonts w:hint="eastAsia" w:ascii="宋体" w:hAnsi="宋体" w:eastAsia="宋体" w:cs="宋体"/>
          <w:color w:val="auto"/>
          <w:szCs w:val="21"/>
          <w:highlight w:val="none"/>
          <w:lang w:bidi="ar"/>
        </w:rPr>
        <w:t>。</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十、投标文件的形式、效力和递交</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1、投标文件分为电子投标文件和电子备份投标文件。</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2、电子投标文件，按“政采云供应商项目采购-电子招投标操作指南”及本招标文件要求制作、加密并递交。</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3、电子备份投标文件，即电子投标文件按“政采云供应商项目采购-电子招投标操作指南”制作的备份文件。</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4、投标文件的效力</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4.1投标文件的启用，按先后顺位分别为电子投标文件、电子备份投标文件。在下一顺位的投标文件启用时，前一顺位的投标文件自动失效。</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4.2投标、响应文件未按时解密，供应商提供了备份投标、响应文件的，以备份投标、响应文件作为依据，否则视为投标、响应文件撤回。投标、响应文件已按时解密的，备份投标、响应文件自动失效。</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5、投标文件的递交</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供应商于投标截止时间（开标时间）之前将电子投标文件上传到“政采云”平台。</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投标人可安排“甬行码</w:t>
      </w:r>
      <w:r>
        <w:rPr>
          <w:rFonts w:hint="eastAsia" w:ascii="宋体" w:hAnsi="宋体" w:eastAsia="宋体" w:cs="宋体"/>
          <w:color w:val="auto"/>
          <w:szCs w:val="21"/>
          <w:highlight w:val="none"/>
          <w:lang w:val="en-US" w:eastAsia="zh-CN"/>
        </w:rPr>
        <w:t>或健康码</w:t>
      </w:r>
      <w:r>
        <w:rPr>
          <w:rFonts w:hint="eastAsia" w:ascii="宋体" w:hAnsi="宋体" w:eastAsia="宋体" w:cs="宋体"/>
          <w:color w:val="auto"/>
          <w:szCs w:val="21"/>
          <w:highlight w:val="none"/>
        </w:rPr>
        <w:t>”为绿色的相关人员（原则上不超过一名）将U盘或DVD光盘等介质存储的电子备份投标文件密封并盖单位公章后递交至投标文件接收地点。本项目接受EMS邮递投标，邮递投标地址：</w:t>
      </w:r>
      <w:r>
        <w:rPr>
          <w:rFonts w:hint="eastAsia" w:ascii="宋体" w:hAnsi="宋体" w:eastAsia="宋体" w:cs="宋体"/>
          <w:color w:val="auto"/>
          <w:szCs w:val="21"/>
          <w:highlight w:val="none"/>
          <w:lang w:val="en-US" w:eastAsia="zh-CN"/>
        </w:rPr>
        <w:t>慈溪市孙塘南路4号永敬商务楼215室</w:t>
      </w:r>
      <w:r>
        <w:rPr>
          <w:rFonts w:hint="eastAsia" w:ascii="宋体" w:hAnsi="宋体" w:eastAsia="宋体" w:cs="宋体"/>
          <w:color w:val="auto"/>
          <w:szCs w:val="21"/>
          <w:highlight w:val="none"/>
        </w:rPr>
        <w:t>，联系方式0574-63</w:t>
      </w:r>
      <w:r>
        <w:rPr>
          <w:rFonts w:hint="eastAsia" w:ascii="宋体" w:hAnsi="宋体" w:eastAsia="宋体" w:cs="宋体"/>
          <w:color w:val="auto"/>
          <w:szCs w:val="21"/>
          <w:highlight w:val="none"/>
          <w:lang w:val="en-US" w:eastAsia="zh-CN"/>
        </w:rPr>
        <w:t>898331</w:t>
      </w:r>
      <w:r>
        <w:rPr>
          <w:rFonts w:hint="eastAsia" w:ascii="宋体" w:hAnsi="宋体" w:eastAsia="宋体" w:cs="宋体"/>
          <w:color w:val="auto"/>
          <w:szCs w:val="21"/>
          <w:highlight w:val="none"/>
        </w:rPr>
        <w:t>。本方式递交时间以</w:t>
      </w:r>
      <w:r>
        <w:rPr>
          <w:rFonts w:hint="eastAsia" w:ascii="宋体" w:hAnsi="宋体" w:eastAsia="宋体" w:cs="宋体"/>
          <w:color w:val="auto"/>
          <w:szCs w:val="21"/>
          <w:highlight w:val="none"/>
          <w:lang w:val="en-US" w:eastAsia="zh-CN"/>
        </w:rPr>
        <w:t>招标代理</w:t>
      </w:r>
      <w:r>
        <w:rPr>
          <w:rFonts w:hint="eastAsia" w:ascii="宋体" w:hAnsi="宋体" w:eastAsia="宋体" w:cs="宋体"/>
          <w:color w:val="auto"/>
          <w:szCs w:val="21"/>
          <w:highlight w:val="none"/>
        </w:rPr>
        <w:t>工作人员签收时间为准。逾期送达不予接收。</w:t>
      </w:r>
    </w:p>
    <w:p>
      <w:pPr>
        <w:spacing w:line="400" w:lineRule="exact"/>
        <w:ind w:firstLine="420" w:firstLineChars="200"/>
        <w:jc w:val="left"/>
        <w:rPr>
          <w:rFonts w:hint="eastAsia"/>
          <w:color w:val="auto"/>
          <w:highlight w:val="none"/>
        </w:rPr>
      </w:pPr>
      <w:r>
        <w:rPr>
          <w:rFonts w:hint="eastAsia" w:ascii="宋体" w:hAnsi="宋体" w:eastAsia="宋体" w:cs="宋体"/>
          <w:color w:val="auto"/>
          <w:szCs w:val="21"/>
          <w:highlight w:val="none"/>
        </w:rPr>
        <w:t>疫情防控期间，请各投标单位遵守慈溪市公共资源交易中心各项防疫措施规定。</w:t>
      </w:r>
    </w:p>
    <w:p>
      <w:pPr>
        <w:spacing w:line="400" w:lineRule="exact"/>
        <w:ind w:firstLine="422" w:firstLineChars="200"/>
        <w:jc w:val="left"/>
        <w:rPr>
          <w:rFonts w:hint="eastAsia" w:ascii="宋体" w:hAnsi="宋体" w:eastAsia="宋体" w:cs="宋体"/>
          <w:b/>
          <w:color w:val="auto"/>
          <w:szCs w:val="21"/>
          <w:highlight w:val="none"/>
        </w:rPr>
      </w:pPr>
      <w:bookmarkStart w:id="33" w:name="_Toc496099271"/>
      <w:r>
        <w:rPr>
          <w:rFonts w:hint="eastAsia" w:ascii="宋体" w:hAnsi="宋体" w:eastAsia="宋体" w:cs="宋体"/>
          <w:b/>
          <w:color w:val="auto"/>
          <w:szCs w:val="21"/>
          <w:highlight w:val="none"/>
          <w:lang w:bidi="ar"/>
        </w:rPr>
        <w:t>十一、开评标程序</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1.1采购人在招标文件规定的时间和地点公开</w:t>
      </w:r>
      <w:r>
        <w:rPr>
          <w:rFonts w:hint="eastAsia" w:ascii="宋体" w:hAnsi="宋体" w:eastAsia="宋体" w:cs="宋体"/>
          <w:bCs/>
          <w:color w:val="auto"/>
          <w:szCs w:val="21"/>
          <w:highlight w:val="none"/>
          <w:lang w:bidi="ar"/>
        </w:rPr>
        <w:t>开标，疫情防控期间，不要求投标人员必须到场参加现场开标，若法定代表人或其授权代表需参加现场开标，法定代表人参加开标会的应出具《法定代表人身份证明书》及身份证明，授权代表参加开标会的应出具《法定代表人授权委托书》及身份证明。供应商的法定代表人或其授权代表未参加开标会议的，事后不得对采购相关人员、开标过程和开标结果提出异议。</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1.2开标会由代理机构主持。开标时，招标（代理）人介绍参加开标会议的相关人员，如投标人认为相关人员中有需要回避的情形可以在此时要求其回避。</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需要回避的情形：</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1、参加采购活动前3年内与投标人存在劳动关系；</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2、参加采购活动前3年内担任投标人的董事、监事；</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3、参加采购活动前3年内是投标人的控股股东或者实际控制人；</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4、与投标人的法定代表人或者负责人有夫妻、直系血亲、三代以内旁系血亲或者近姻亲关系；</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5、与投标人有其他可能影响政府采购活动公平、公正进行的关系。</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出现上述情形的，投标人法定代表人或其授权代表可以申请相关人员回避。</w:t>
      </w:r>
    </w:p>
    <w:p>
      <w:pPr>
        <w:pStyle w:val="2"/>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供应商应书面提出对参加开标会对主持人、唱读人、记录人和监督人是否有回避的请求。</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1.3电子招投标开标及评审程序</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1.3.1投标截止时间后，供应商登录政采云平台，用“项目采购-开标评标”功能对电子投标文件进行在线解密。在线解密电子投标文件时间为开标时间起</w:t>
      </w:r>
      <w:r>
        <w:rPr>
          <w:rFonts w:hint="eastAsia" w:ascii="宋体" w:hAnsi="宋体" w:eastAsia="宋体" w:cs="宋体"/>
          <w:bCs/>
          <w:color w:val="auto"/>
          <w:szCs w:val="21"/>
          <w:highlight w:val="none"/>
          <w:lang w:val="en-US" w:eastAsia="zh-CN" w:bidi="ar"/>
        </w:rPr>
        <w:t>3</w:t>
      </w:r>
      <w:r>
        <w:rPr>
          <w:rFonts w:hint="eastAsia" w:ascii="宋体" w:hAnsi="宋体" w:eastAsia="宋体" w:cs="宋体"/>
          <w:bCs/>
          <w:color w:val="auto"/>
          <w:szCs w:val="21"/>
          <w:highlight w:val="none"/>
          <w:lang w:bidi="ar"/>
        </w:rPr>
        <w:t>0分钟内。</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1.3.2采购人或代理机构对供应商的资格进行审查；</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1.3.3评标委员会对商务技术响应文件进行评审；</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1.3.4在系统上公开商务技术评审结果；</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1.3.5在系统上公开报价开标情况；</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1.3.6评标委员会对报价情况进行评审；</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1.3.7在系统上公布评审结果。</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特别说明：政采云公司如对电子化开标及评审程序有调整的，按调整后的程序操作。 </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1.4本项目原则上采用政采云电子招投标开标及评审程序，但有下情形之一的，按以下情况处理：</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1.4.1若供应商在规定时间内无法解密或解密失败，将开启该供应商递交的电子备份投标文件，上传至政采云平台项目采购模块，以完成开标，其电子投标文件自动失效。</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1.4.2若因政采云平台原因无法读取或电子开评标无法正常进行，采购人将中止电子交易活动。</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1.4.3采购过程中出现以下情形，导致电子交易平台无法正常运行，或者无法保证电子交易的公平、公正和安全时，采购组织机构可中止电子交易活动：</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1.4.3.1电子交易平台发生故障而无法登录访问的； </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1.4.3.2电子交易平台应用或数据库出现错误，不能进行正常操作的；</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1.4.3.3电子交易平台发现严重安全漏洞，有潜在泄密危险的；</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1.4.3.4电脑病毒导致不能进行正常操作的； </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1.4.3.5其他无法保证电子交易的公平、公正和安全的情况。</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出现前款规定情形，不影响采购公平、公正性的，采购组织机构可以待上述情形消除后继续组织电子交易活动。</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2、评标委员会</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2.1评标委员会依法由</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人及以上奇数的人员组成，评标委员会对投标文件进行审查、质疑、评估和比较。</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3、评标原则与方法</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3.1评标委员会将遵循公开、公平、公正的原则，对供应商提供服务价格、提供的服务方案等进行综合分析考评，由评委按照招标文件规定的评分标准记名并独立打分，</w:t>
      </w:r>
      <w:r>
        <w:rPr>
          <w:rFonts w:hint="eastAsia" w:ascii="宋体" w:hAnsi="宋体" w:eastAsia="宋体" w:cs="宋体"/>
          <w:bCs/>
          <w:color w:val="auto"/>
          <w:szCs w:val="21"/>
          <w:highlight w:val="none"/>
          <w:lang w:val="en-US" w:eastAsia="zh-CN" w:bidi="ar"/>
        </w:rPr>
        <w:t>根据</w:t>
      </w:r>
      <w:r>
        <w:rPr>
          <w:rFonts w:hint="eastAsia" w:ascii="宋体" w:hAnsi="宋体" w:eastAsia="宋体" w:cs="宋体"/>
          <w:bCs/>
          <w:color w:val="auto"/>
          <w:szCs w:val="21"/>
          <w:highlight w:val="none"/>
          <w:lang w:bidi="ar"/>
        </w:rPr>
        <w:t>综合得分排名</w:t>
      </w:r>
      <w:r>
        <w:rPr>
          <w:rFonts w:hint="eastAsia" w:ascii="宋体" w:hAnsi="宋体" w:eastAsia="宋体" w:cs="宋体"/>
          <w:bCs/>
          <w:color w:val="auto"/>
          <w:szCs w:val="21"/>
          <w:highlight w:val="none"/>
          <w:lang w:bidi="ar"/>
        </w:rPr>
        <w:t>推荐</w:t>
      </w:r>
      <w:r>
        <w:rPr>
          <w:rFonts w:hint="eastAsia" w:ascii="宋体" w:hAnsi="宋体" w:eastAsia="宋体" w:cs="宋体"/>
          <w:bCs/>
          <w:color w:val="auto"/>
          <w:szCs w:val="21"/>
          <w:highlight w:val="none"/>
          <w:lang w:val="en-US" w:eastAsia="zh-CN" w:bidi="ar"/>
        </w:rPr>
        <w:t>中标</w:t>
      </w:r>
      <w:r>
        <w:rPr>
          <w:rFonts w:hint="eastAsia" w:ascii="宋体" w:hAnsi="宋体" w:eastAsia="宋体" w:cs="宋体"/>
          <w:bCs/>
          <w:color w:val="auto"/>
          <w:szCs w:val="21"/>
          <w:highlight w:val="none"/>
          <w:lang w:val="en-US" w:eastAsia="zh-CN" w:bidi="ar"/>
        </w:rPr>
        <w:t>候选人</w:t>
      </w:r>
      <w:r>
        <w:rPr>
          <w:rFonts w:hint="eastAsia" w:ascii="宋体" w:hAnsi="宋体" w:eastAsia="宋体" w:cs="宋体"/>
          <w:bCs/>
          <w:color w:val="auto"/>
          <w:szCs w:val="21"/>
          <w:highlight w:val="none"/>
          <w:lang w:bidi="ar"/>
        </w:rPr>
        <w:t>。</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3.2客观、公正的对待所有投标供应商，对所有投标评价，均采用相同的程序和标准。</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3.3在开标、投标期间，投标供应商不得向评标委员会成员询问评标情况，不得进行旨在影响评标结果的活动，否则将废除其投标资格。</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3.4在评标过程中，评标成员不得与投标供应商私下交换意见，在招标工作结束后，凡与评标情况有接触的人不得将评标情况扩散出评标成员之外。</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3.5采购人不向落标方解释落标原因，不退还投标文件。</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3.6资格性审查：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对未通过资格性审查的供应商，采购人或采购机构告知其未通过的原因。合格供应商不足3家的，不再评标。</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3.8商务评议：按照第</w:t>
      </w:r>
      <w:r>
        <w:rPr>
          <w:rFonts w:hint="eastAsia" w:ascii="宋体" w:hAnsi="宋体" w:eastAsia="宋体" w:cs="宋体"/>
          <w:bCs/>
          <w:color w:val="auto"/>
          <w:szCs w:val="21"/>
          <w:highlight w:val="none"/>
          <w:lang w:val="en-US" w:eastAsia="zh-CN" w:bidi="ar"/>
        </w:rPr>
        <w:t>六</w:t>
      </w:r>
      <w:r>
        <w:rPr>
          <w:rFonts w:hint="eastAsia" w:ascii="宋体" w:hAnsi="宋体" w:eastAsia="宋体" w:cs="宋体"/>
          <w:bCs/>
          <w:color w:val="auto"/>
          <w:szCs w:val="21"/>
          <w:highlight w:val="none"/>
          <w:lang w:bidi="ar"/>
        </w:rPr>
        <w:t>章商务条款的各项要求，对照投标文件的响应进行比较，判定其偏差性质和程度。</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3.9技术评议：按照第五章采购项目需求的各项要求，对照投标文件的响应进行比较，判定其偏差性质和程度。</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3.10综合评估：通过资格性审查、符合性审查、商务评议和技术评议的投标，评标委员会成员分别对其商务、技术和价格按第三章评标办法及标准的规定进行打分。</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3.11评标委员会经过评审，认为所有投标都不符合招标文件要求的，可以否决所有投标。</w:t>
      </w:r>
    </w:p>
    <w:p>
      <w:pPr>
        <w:spacing w:line="400" w:lineRule="exact"/>
        <w:ind w:firstLine="420" w:firstLineChars="200"/>
        <w:jc w:val="left"/>
        <w:rPr>
          <w:rFonts w:hint="default" w:ascii="宋体" w:hAnsi="宋体" w:eastAsia="宋体" w:cs="宋体"/>
          <w:bCs/>
          <w:color w:val="auto"/>
          <w:szCs w:val="21"/>
          <w:highlight w:val="none"/>
          <w:lang w:val="en-US" w:eastAsia="zh-CN" w:bidi="ar"/>
        </w:rPr>
      </w:pPr>
      <w:r>
        <w:rPr>
          <w:rFonts w:hint="eastAsia" w:ascii="宋体" w:hAnsi="宋体" w:eastAsia="宋体" w:cs="宋体"/>
          <w:bCs/>
          <w:color w:val="auto"/>
          <w:szCs w:val="21"/>
          <w:highlight w:val="none"/>
          <w:lang w:bidi="ar"/>
        </w:rPr>
        <w:t>3.12推荐预中标</w:t>
      </w:r>
      <w:r>
        <w:rPr>
          <w:rFonts w:hint="eastAsia" w:ascii="宋体" w:hAnsi="宋体" w:eastAsia="宋体" w:cs="宋体"/>
          <w:bCs/>
          <w:color w:val="auto"/>
          <w:szCs w:val="21"/>
          <w:highlight w:val="none"/>
          <w:lang w:val="en-US" w:eastAsia="zh-CN" w:bidi="ar"/>
        </w:rPr>
        <w:t>候选</w:t>
      </w:r>
      <w:r>
        <w:rPr>
          <w:rFonts w:hint="eastAsia" w:ascii="宋体" w:hAnsi="宋体" w:eastAsia="宋体" w:cs="宋体"/>
          <w:bCs/>
          <w:color w:val="auto"/>
          <w:szCs w:val="21"/>
          <w:highlight w:val="none"/>
          <w:lang w:val="en-US" w:eastAsia="zh-CN" w:bidi="ar"/>
        </w:rPr>
        <w:t>人</w:t>
      </w:r>
    </w:p>
    <w:p>
      <w:pPr>
        <w:spacing w:line="400" w:lineRule="exact"/>
        <w:ind w:firstLine="420" w:firstLineChars="200"/>
        <w:jc w:val="left"/>
        <w:rPr>
          <w:rFonts w:hint="eastAsia" w:ascii="宋体" w:hAnsi="宋体" w:eastAsia="宋体" w:cs="宋体"/>
          <w:bCs/>
          <w:color w:val="auto"/>
          <w:szCs w:val="21"/>
          <w:highlight w:val="none"/>
          <w:lang w:eastAsia="zh-CN" w:bidi="ar"/>
        </w:rPr>
      </w:pPr>
      <w:r>
        <w:rPr>
          <w:rFonts w:hint="eastAsia" w:ascii="宋体" w:hAnsi="宋体" w:eastAsia="宋体" w:cs="宋体"/>
          <w:bCs w:val="0"/>
          <w:color w:val="auto"/>
          <w:szCs w:val="22"/>
          <w:highlight w:val="none"/>
          <w:lang w:bidi="ar"/>
        </w:rPr>
        <w:t>3.12.1按评分结果由高到低排序，得分相同，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spacing w:line="400" w:lineRule="exact"/>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3.13定标</w:t>
      </w:r>
      <w:r>
        <w:rPr>
          <w:rFonts w:hint="eastAsia" w:ascii="宋体" w:hAnsi="宋体" w:eastAsia="宋体" w:cs="宋体"/>
          <w:bCs/>
          <w:color w:val="auto"/>
          <w:szCs w:val="21"/>
          <w:highlight w:val="none"/>
          <w:lang w:bidi="ar"/>
        </w:rPr>
        <w:tab/>
      </w:r>
    </w:p>
    <w:p>
      <w:pPr>
        <w:spacing w:line="400" w:lineRule="exact"/>
        <w:ind w:left="0" w:leftChars="0" w:right="0" w:rightChars="0" w:firstLine="420" w:firstLineChars="200"/>
        <w:jc w:val="left"/>
        <w:rPr>
          <w:rFonts w:hint="eastAsia" w:ascii="宋体" w:hAnsi="宋体" w:eastAsia="宋体" w:cs="宋体"/>
          <w:bCs w:val="0"/>
          <w:color w:val="auto"/>
          <w:szCs w:val="22"/>
          <w:highlight w:val="none"/>
          <w:lang w:bidi="ar"/>
        </w:rPr>
      </w:pPr>
      <w:r>
        <w:rPr>
          <w:rFonts w:hint="eastAsia" w:ascii="宋体" w:hAnsi="宋体" w:eastAsia="宋体" w:cs="宋体"/>
          <w:bCs w:val="0"/>
          <w:color w:val="auto"/>
          <w:szCs w:val="22"/>
          <w:highlight w:val="none"/>
          <w:lang w:bidi="ar"/>
        </w:rPr>
        <w:t>本项目由采购人确定中标人。</w:t>
      </w:r>
    </w:p>
    <w:p>
      <w:pPr>
        <w:spacing w:line="400" w:lineRule="exact"/>
        <w:ind w:left="0" w:leftChars="0" w:right="0" w:rightChars="0" w:firstLine="420" w:firstLineChars="200"/>
        <w:jc w:val="left"/>
        <w:rPr>
          <w:rFonts w:hint="eastAsia" w:ascii="宋体" w:hAnsi="宋体" w:eastAsia="宋体" w:cs="宋体"/>
          <w:bCs w:val="0"/>
          <w:color w:val="auto"/>
          <w:szCs w:val="22"/>
          <w:highlight w:val="none"/>
          <w:lang w:bidi="ar"/>
        </w:rPr>
      </w:pPr>
      <w:r>
        <w:rPr>
          <w:rFonts w:hint="eastAsia" w:ascii="宋体" w:hAnsi="宋体" w:eastAsia="宋体" w:cs="宋体"/>
          <w:bCs w:val="0"/>
          <w:color w:val="auto"/>
          <w:szCs w:val="22"/>
          <w:highlight w:val="none"/>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left="0" w:leftChars="0" w:right="0" w:rightChars="0" w:firstLine="420" w:firstLineChars="200"/>
        <w:jc w:val="left"/>
        <w:rPr>
          <w:rFonts w:hint="eastAsia" w:ascii="宋体" w:hAnsi="宋体" w:eastAsia="宋体" w:cs="宋体"/>
          <w:color w:val="auto"/>
          <w:sz w:val="21"/>
          <w:szCs w:val="22"/>
          <w:highlight w:val="none"/>
          <w:lang w:bidi="ar"/>
        </w:rPr>
      </w:pPr>
      <w:r>
        <w:rPr>
          <w:rFonts w:hint="eastAsia" w:ascii="宋体" w:hAnsi="宋体" w:eastAsia="宋体" w:cs="宋体"/>
          <w:bCs w:val="0"/>
          <w:color w:val="auto"/>
          <w:szCs w:val="22"/>
          <w:highlight w:val="none"/>
          <w:lang w:bidi="ar"/>
        </w:rPr>
        <w:t>若中标人放弃中标、或事后查询为失信被执行人的、或因不可抗力提出不能履行合同被依法撤销中标资格，则招标人可确定排名其次的中标候选人为中标人，或重新组织招标。</w:t>
      </w:r>
    </w:p>
    <w:p>
      <w:pPr>
        <w:spacing w:line="400" w:lineRule="exact"/>
        <w:ind w:firstLine="422" w:firstLineChars="200"/>
        <w:jc w:val="left"/>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4.评标过程的监控</w:t>
      </w:r>
    </w:p>
    <w:p>
      <w:pPr>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本项目评标过程实行全程录音、录像监控，供应商在评标过程中所进行的试图影响评标结果的不公正活动，可能导致其投标被拒绝</w:t>
      </w:r>
      <w:r>
        <w:rPr>
          <w:rFonts w:hint="eastAsia" w:ascii="宋体" w:hAnsi="宋体" w:eastAsia="宋体" w:cs="宋体"/>
          <w:b/>
          <w:bCs/>
          <w:color w:val="auto"/>
          <w:szCs w:val="21"/>
          <w:highlight w:val="none"/>
          <w:lang w:bidi="ar"/>
        </w:rPr>
        <w:t>。</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十二、招标文件的澄清和修改</w:t>
      </w:r>
    </w:p>
    <w:p>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bidi="ar"/>
        </w:rPr>
        <w:t>1、</w:t>
      </w:r>
      <w:r>
        <w:rPr>
          <w:rFonts w:hint="eastAsia" w:ascii="宋体" w:hAnsi="宋体" w:eastAsia="宋体" w:cs="宋体"/>
          <w:color w:val="auto"/>
          <w:highlight w:val="none"/>
        </w:rPr>
        <w:t>投标人应认真阅读本招标文件，发现其中有误或有要求不合理的，投标人应在招标公告期限届满之日起七个工作日内以书面形式向代理机构提出询问，代理机构在收到投标人依法提出的询问后3个工作日内作出答复。</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highlight w:val="none"/>
        </w:rPr>
        <w:t>招标代理机构在原采购公告发布媒体上以公告形式发布关于招标文件修改的“变更公告”。这些修改、补充文件或通知是招标文件的组成部分，相同内容修改以最后发出的为准，对所有投标人具有约束力。另请潜在投标人注意采购项目发布媒体的相关公告并自行下载</w:t>
      </w:r>
      <w:r>
        <w:rPr>
          <w:rFonts w:hint="eastAsia" w:ascii="宋体" w:hAnsi="宋体" w:eastAsia="宋体" w:cs="宋体"/>
          <w:color w:val="auto"/>
          <w:highlight w:val="none"/>
          <w:lang w:eastAsia="zh-CN"/>
        </w:rPr>
        <w:t>。</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十三、质疑</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3、供应商提出质疑应当提交质疑函和必要的证明材料，质疑函应当以书面形式提出，质疑函格式和内容须符合财政部《质疑函范本》要求，供应商可到浙江政府采购网下载专区下载自行下载《质疑函范本》。</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5、采购人、采购代理机构接收质疑函的方式：供应商</w:t>
      </w:r>
      <w:r>
        <w:rPr>
          <w:rFonts w:hint="eastAsia" w:ascii="宋体" w:hAnsi="宋体" w:eastAsia="宋体" w:cs="宋体"/>
          <w:color w:val="auto"/>
          <w:szCs w:val="21"/>
          <w:highlight w:val="none"/>
          <w:lang w:val="en-US" w:eastAsia="zh-CN" w:bidi="ar"/>
        </w:rPr>
        <w:t>应</w:t>
      </w:r>
      <w:r>
        <w:rPr>
          <w:rFonts w:hint="eastAsia" w:ascii="宋体" w:hAnsi="宋体" w:eastAsia="宋体" w:cs="宋体"/>
          <w:color w:val="auto"/>
          <w:szCs w:val="21"/>
          <w:highlight w:val="none"/>
          <w:lang w:bidi="ar"/>
        </w:rPr>
        <w:t>以当面递交、邮寄、传真或电子邮件</w:t>
      </w:r>
      <w:r>
        <w:rPr>
          <w:rFonts w:hint="eastAsia" w:ascii="宋体" w:hAnsi="宋体" w:eastAsia="宋体" w:cs="宋体"/>
          <w:color w:val="auto"/>
          <w:szCs w:val="21"/>
          <w:highlight w:val="none"/>
          <w:lang w:val="en-US" w:eastAsia="zh-CN" w:bidi="ar"/>
        </w:rPr>
        <w:t>等</w:t>
      </w:r>
      <w:r>
        <w:rPr>
          <w:rFonts w:hint="eastAsia" w:ascii="宋体" w:hAnsi="宋体" w:eastAsia="宋体" w:cs="宋体"/>
          <w:color w:val="auto"/>
          <w:szCs w:val="21"/>
          <w:highlight w:val="none"/>
          <w:lang w:bidi="ar"/>
        </w:rPr>
        <w:t>方式提出质疑函。</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采取邮寄方式的，提出质疑的时间为质疑函原件交邮的时间（以邮戳时间或快递收件时间为准）。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6、采购人、采购代理机构以实际收到质疑函原件之日作为收到质疑函的日期，将在收到质疑函后7个工作日内作出答复。</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7、采购人、采购代理机构接收质疑函的联系人、联系电话和通讯地址等信息详见采购公告。</w:t>
      </w:r>
    </w:p>
    <w:p>
      <w:pPr>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十四、预算价</w:t>
      </w:r>
    </w:p>
    <w:p>
      <w:pPr>
        <w:spacing w:line="400" w:lineRule="exact"/>
        <w:ind w:firstLine="422" w:firstLineChars="200"/>
        <w:jc w:val="left"/>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本次公开招标设有预算价</w:t>
      </w:r>
      <w:r>
        <w:rPr>
          <w:rFonts w:hint="eastAsia" w:ascii="宋体" w:hAnsi="宋体" w:eastAsia="宋体" w:cs="宋体"/>
          <w:b/>
          <w:color w:val="auto"/>
          <w:szCs w:val="21"/>
          <w:highlight w:val="none"/>
          <w:u w:val="single"/>
          <w:lang w:val="en-US" w:eastAsia="zh-CN" w:bidi="ar"/>
        </w:rPr>
        <w:t>537万元</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lang w:eastAsia="zh-CN"/>
        </w:rPr>
        <w:t>最高限价：</w:t>
      </w:r>
      <w:r>
        <w:rPr>
          <w:rFonts w:hint="eastAsia" w:ascii="宋体" w:hAnsi="宋体" w:eastAsia="宋体" w:cs="宋体"/>
          <w:b/>
          <w:bCs/>
          <w:color w:val="auto"/>
          <w:szCs w:val="21"/>
          <w:highlight w:val="none"/>
          <w:u w:val="single"/>
          <w:lang w:val="en-US" w:eastAsia="zh-CN"/>
        </w:rPr>
        <w:t>537万元</w:t>
      </w:r>
      <w:r>
        <w:rPr>
          <w:rFonts w:hint="eastAsia" w:ascii="宋体" w:hAnsi="宋体" w:eastAsia="宋体" w:cs="宋体"/>
          <w:b/>
          <w:color w:val="auto"/>
          <w:szCs w:val="21"/>
          <w:highlight w:val="none"/>
          <w:lang w:bidi="ar"/>
        </w:rPr>
        <w:t>），总投标报价超出预算价的或最高限价的投标为无效投标；</w:t>
      </w:r>
    </w:p>
    <w:p>
      <w:pPr>
        <w:spacing w:line="400" w:lineRule="exact"/>
        <w:ind w:firstLine="422" w:firstLineChars="200"/>
        <w:jc w:val="left"/>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十五、合同相关</w:t>
      </w:r>
    </w:p>
    <w:p>
      <w:pPr>
        <w:topLinePunct/>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1、采购人与中标人应当在《中标通知书》发出之日起30日内签订政府采购合同。同时，采购代理机构对合同内容进行鉴证，如发现与采购结果和投标承诺内容不一致的，应予以纠正。</w:t>
      </w:r>
    </w:p>
    <w:p>
      <w:pPr>
        <w:topLinePunct/>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2"/>
        <w:rPr>
          <w:rFonts w:hint="eastAsia"/>
          <w:color w:val="auto"/>
          <w:highlight w:val="none"/>
        </w:rPr>
      </w:pPr>
      <w:r>
        <w:rPr>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i w:val="0"/>
          <w:caps w:val="0"/>
          <w:color w:val="auto"/>
          <w:spacing w:val="0"/>
          <w:sz w:val="21"/>
          <w:szCs w:val="21"/>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topLinePunct/>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十六、特别说明</w:t>
      </w:r>
    </w:p>
    <w:p>
      <w:pPr>
        <w:spacing w:line="380" w:lineRule="exact"/>
        <w:ind w:firstLine="420" w:firstLineChars="200"/>
        <w:outlineLvl w:val="0"/>
        <w:rPr>
          <w:rFonts w:ascii="宋体" w:hAnsi="宋体"/>
          <w:color w:val="auto"/>
          <w:szCs w:val="21"/>
          <w:highlight w:val="none"/>
        </w:rPr>
      </w:pPr>
      <w:bookmarkStart w:id="34" w:name="_Toc441316546"/>
      <w:bookmarkStart w:id="35" w:name="_Toc21541007"/>
      <w:bookmarkStart w:id="36" w:name="_Toc436408700"/>
      <w:bookmarkStart w:id="37" w:name="_Toc419729150"/>
      <w:bookmarkStart w:id="38" w:name="_Toc11298"/>
      <w:bookmarkStart w:id="39" w:name="_Toc419729158"/>
      <w:bookmarkStart w:id="40" w:name="_Toc11591"/>
      <w:bookmarkStart w:id="41" w:name="_Toc441316554"/>
      <w:bookmarkStart w:id="42" w:name="_Toc12374296"/>
      <w:bookmarkStart w:id="43" w:name="_Toc12428980"/>
      <w:bookmarkStart w:id="44" w:name="_Toc529781143"/>
      <w:bookmarkStart w:id="45" w:name="_Toc12376821"/>
      <w:bookmarkStart w:id="46" w:name="_Toc436408708"/>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34"/>
      <w:bookmarkEnd w:id="35"/>
      <w:bookmarkEnd w:id="36"/>
      <w:bookmarkEnd w:id="37"/>
    </w:p>
    <w:p>
      <w:pPr>
        <w:spacing w:line="380" w:lineRule="exact"/>
        <w:ind w:firstLine="420" w:firstLineChars="200"/>
        <w:outlineLvl w:val="0"/>
        <w:rPr>
          <w:rFonts w:hint="eastAsia" w:ascii="宋体" w:hAnsi="宋体"/>
          <w:color w:val="auto"/>
          <w:szCs w:val="21"/>
          <w:highlight w:val="none"/>
        </w:rPr>
      </w:pPr>
      <w:bookmarkStart w:id="47"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47"/>
      <w:r>
        <w:rPr>
          <w:rFonts w:hint="eastAsia" w:ascii="宋体" w:hAnsi="宋体"/>
          <w:color w:val="auto"/>
          <w:szCs w:val="21"/>
          <w:highlight w:val="none"/>
        </w:rPr>
        <w:t>。</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pPr>
        <w:spacing w:line="380" w:lineRule="exact"/>
        <w:ind w:firstLine="420" w:firstLineChars="200"/>
        <w:outlineLvl w:val="0"/>
        <w:rPr>
          <w:rFonts w:ascii="宋体" w:hAnsi="宋体"/>
          <w:color w:val="auto"/>
          <w:szCs w:val="21"/>
          <w:highlight w:val="none"/>
        </w:rPr>
      </w:pPr>
      <w:bookmarkStart w:id="48"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48"/>
    </w:p>
    <w:p>
      <w:pPr>
        <w:spacing w:line="380" w:lineRule="exact"/>
        <w:ind w:firstLine="420" w:firstLineChars="200"/>
        <w:outlineLvl w:val="0"/>
        <w:rPr>
          <w:rFonts w:hint="eastAsia" w:ascii="宋体" w:hAnsi="宋体"/>
          <w:color w:val="auto"/>
          <w:szCs w:val="21"/>
          <w:highlight w:val="none"/>
        </w:rPr>
      </w:pPr>
      <w:bookmarkStart w:id="49" w:name="_Toc21541010"/>
      <w:r>
        <w:rPr>
          <w:rFonts w:hint="eastAsia" w:ascii="宋体" w:hAnsi="宋体"/>
          <w:color w:val="auto"/>
          <w:szCs w:val="21"/>
          <w:highlight w:val="none"/>
        </w:rPr>
        <w:t>②在工程采购项目中，工程由中小企业承建，即工程施工单位为中小企业</w:t>
      </w:r>
      <w:bookmarkEnd w:id="49"/>
      <w:r>
        <w:rPr>
          <w:rFonts w:hint="eastAsia" w:ascii="宋体" w:hAnsi="宋体"/>
          <w:color w:val="auto"/>
          <w:szCs w:val="21"/>
          <w:highlight w:val="none"/>
        </w:rPr>
        <w:t>；</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w:t>
      </w:r>
      <w:r>
        <w:rPr>
          <w:rFonts w:hint="eastAsia" w:ascii="宋体" w:hAnsi="宋体"/>
          <w:color w:val="auto"/>
          <w:szCs w:val="21"/>
          <w:highlight w:val="none"/>
          <w:lang w:eastAsia="zh-CN"/>
        </w:rPr>
        <w:t>中华人民共和国民法典</w:t>
      </w:r>
      <w:r>
        <w:rPr>
          <w:rFonts w:hint="eastAsia" w:ascii="宋体" w:hAnsi="宋体"/>
          <w:color w:val="auto"/>
          <w:szCs w:val="21"/>
          <w:highlight w:val="none"/>
        </w:rPr>
        <w:t>》订立劳动合同的从业人员。</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w:t>
      </w:r>
      <w:r>
        <w:rPr>
          <w:rFonts w:hint="eastAsia" w:ascii="宋体" w:hAnsi="宋体"/>
          <w:color w:val="auto"/>
          <w:szCs w:val="21"/>
          <w:highlight w:val="none"/>
          <w:lang w:val="en-US" w:eastAsia="zh-CN"/>
        </w:rPr>
        <w:t>附件</w:t>
      </w:r>
      <w:r>
        <w:rPr>
          <w:rFonts w:hint="eastAsia" w:ascii="宋体" w:hAnsi="宋体"/>
          <w:color w:val="auto"/>
          <w:szCs w:val="21"/>
          <w:highlight w:val="none"/>
        </w:rPr>
        <w:t>），否则不得享受相关中小企业扶持政策。</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numPr>
          <w:ilvl w:val="0"/>
          <w:numId w:val="5"/>
        </w:num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《中小企业声明函》由参加投标的供应商提交，如供应商为代理商，须自行采集制造商的中小企业划分类型信息填入相应栏目并对其真实性负责。</w:t>
      </w:r>
    </w:p>
    <w:p>
      <w:pPr>
        <w:widowControl w:val="0"/>
        <w:numPr>
          <w:ilvl w:val="0"/>
          <w:numId w:val="0"/>
        </w:numPr>
        <w:wordWrap w:val="0"/>
        <w:spacing w:line="380" w:lineRule="exact"/>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（6）本项目行业根据</w:t>
      </w:r>
      <w:r>
        <w:rPr>
          <w:rFonts w:hint="eastAsia" w:ascii="宋体" w:hAnsi="宋体" w:eastAsia="宋体" w:cs="宋体"/>
          <w:b w:val="0"/>
          <w:bCs w:val="0"/>
          <w:color w:val="auto"/>
          <w:sz w:val="21"/>
          <w:szCs w:val="21"/>
          <w:highlight w:val="none"/>
        </w:rPr>
        <w:t>中小微行业划型标准规定</w:t>
      </w:r>
      <w:r>
        <w:rPr>
          <w:rFonts w:hint="eastAsia" w:ascii="宋体" w:hAnsi="宋体" w:eastAsia="宋体" w:cs="宋体"/>
          <w:color w:val="auto"/>
          <w:sz w:val="21"/>
          <w:szCs w:val="21"/>
          <w:highlight w:val="none"/>
          <w:lang w:val="en-US" w:eastAsia="zh-CN"/>
        </w:rPr>
        <w:t>为</w:t>
      </w:r>
      <w:r>
        <w:rPr>
          <w:rFonts w:hint="eastAsia" w:ascii="宋体" w:hAnsi="宋体" w:eastAsia="宋体" w:cs="宋体"/>
          <w:b/>
          <w:bCs/>
          <w:color w:val="auto"/>
          <w:sz w:val="21"/>
          <w:szCs w:val="21"/>
          <w:highlight w:val="none"/>
          <w:u w:val="single"/>
          <w:lang w:bidi="ar"/>
        </w:rPr>
        <w:t>其他未列明行业</w:t>
      </w:r>
      <w:r>
        <w:rPr>
          <w:rFonts w:hint="eastAsia" w:ascii="宋体" w:hAnsi="宋体" w:eastAsia="宋体" w:cs="宋体"/>
          <w:color w:val="auto"/>
          <w:sz w:val="21"/>
          <w:szCs w:val="21"/>
          <w:highlight w:val="none"/>
          <w:lang w:eastAsia="zh-CN"/>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bidi="ar"/>
        </w:rPr>
        <w:t>2</w:t>
      </w:r>
      <w:r>
        <w:rPr>
          <w:rFonts w:ascii="宋体" w:hAnsi="宋体"/>
          <w:color w:val="auto"/>
          <w:szCs w:val="21"/>
          <w:highlight w:val="none"/>
          <w:lang w:bidi="ar"/>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380" w:lineRule="exact"/>
        <w:ind w:firstLine="420" w:firstLineChars="200"/>
        <w:rPr>
          <w:rFonts w:ascii="宋体" w:hAnsi="宋体"/>
          <w:color w:val="auto"/>
          <w:szCs w:val="21"/>
          <w:highlight w:val="none"/>
          <w:lang w:bidi="ar"/>
        </w:rPr>
      </w:pPr>
      <w:r>
        <w:rPr>
          <w:rFonts w:hint="eastAsia" w:ascii="宋体" w:hAnsi="宋体"/>
          <w:color w:val="auto"/>
          <w:szCs w:val="21"/>
          <w:highlight w:val="none"/>
          <w:lang w:bidi="ar"/>
        </w:rPr>
        <w:t>3</w:t>
      </w:r>
      <w:r>
        <w:rPr>
          <w:rFonts w:ascii="宋体" w:hAnsi="宋体"/>
          <w:color w:val="auto"/>
          <w:szCs w:val="21"/>
          <w:highlight w:val="none"/>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szCs w:val="21"/>
          <w:highlight w:val="none"/>
          <w:lang w:bidi="ar"/>
        </w:rPr>
        <w:t>七</w:t>
      </w:r>
      <w:r>
        <w:rPr>
          <w:rFonts w:ascii="宋体" w:hAnsi="宋体"/>
          <w:color w:val="auto"/>
          <w:szCs w:val="21"/>
          <w:highlight w:val="none"/>
          <w:lang w:bidi="ar"/>
        </w:rPr>
        <w:t>章附件），并对声明的真实性负责，未能提供的不予认可。</w:t>
      </w:r>
    </w:p>
    <w:p>
      <w:pPr>
        <w:spacing w:line="38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4、</w:t>
      </w:r>
      <w:r>
        <w:rPr>
          <w:rFonts w:hint="eastAsia" w:ascii="宋体" w:hAnsi="宋体" w:cs="宋体"/>
          <w:b/>
          <w:bCs/>
          <w:color w:val="auto"/>
          <w:szCs w:val="21"/>
          <w:highlight w:val="none"/>
        </w:rPr>
        <w:t>无效投标</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发生下列情况之一的投标文件被视为无效：</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1</w:t>
      </w:r>
      <w:r>
        <w:rPr>
          <w:rFonts w:hint="eastAsia" w:ascii="宋体" w:hAnsi="宋体" w:cs="宋体"/>
          <w:b/>
          <w:bCs/>
          <w:color w:val="auto"/>
          <w:szCs w:val="21"/>
          <w:highlight w:val="none"/>
          <w:lang w:bidi="ar"/>
        </w:rPr>
        <w:t>）标项以赠送方式响应的，或提供两个及以上方案的；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2</w:t>
      </w:r>
      <w:r>
        <w:rPr>
          <w:rFonts w:hint="eastAsia" w:ascii="宋体" w:hAnsi="宋体" w:cs="宋体"/>
          <w:b/>
          <w:bCs/>
          <w:color w:val="auto"/>
          <w:szCs w:val="21"/>
          <w:highlight w:val="none"/>
          <w:lang w:bidi="ar"/>
        </w:rPr>
        <w:t>）供应商投标有效期不足的；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3</w:t>
      </w:r>
      <w:r>
        <w:rPr>
          <w:rFonts w:hint="eastAsia" w:ascii="宋体" w:hAnsi="宋体" w:cs="宋体"/>
          <w:b/>
          <w:bCs/>
          <w:color w:val="auto"/>
          <w:szCs w:val="21"/>
          <w:highlight w:val="none"/>
          <w:lang w:bidi="ar"/>
        </w:rPr>
        <w:t>）投标文件未按招标文件要求签署、盖章的；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4</w:t>
      </w:r>
      <w:r>
        <w:rPr>
          <w:rFonts w:hint="eastAsia" w:ascii="宋体" w:hAnsi="宋体" w:cs="宋体"/>
          <w:b/>
          <w:bCs/>
          <w:color w:val="auto"/>
          <w:szCs w:val="21"/>
          <w:highlight w:val="none"/>
          <w:lang w:bidi="ar"/>
        </w:rPr>
        <w:t>）报价超过招标文件中规定的预算金额或者最高限价的；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bidi="ar"/>
        </w:rPr>
        <w:t>）经全体评标委员会一致认为，供应商的报价明显低于其他通过符合性审查供应商的报价，有可能影响</w:t>
      </w:r>
      <w:r>
        <w:rPr>
          <w:rFonts w:hint="eastAsia" w:ascii="宋体" w:hAnsi="宋体" w:cs="宋体"/>
          <w:b/>
          <w:bCs/>
          <w:color w:val="auto"/>
          <w:szCs w:val="21"/>
          <w:highlight w:val="none"/>
          <w:lang w:val="en-US" w:eastAsia="zh-CN" w:bidi="ar"/>
        </w:rPr>
        <w:t>服务</w:t>
      </w:r>
      <w:r>
        <w:rPr>
          <w:rFonts w:hint="eastAsia" w:ascii="宋体" w:hAnsi="宋体" w:cs="宋体"/>
          <w:b/>
          <w:bCs/>
          <w:color w:val="auto"/>
          <w:szCs w:val="21"/>
          <w:highlight w:val="none"/>
          <w:lang w:bidi="ar"/>
        </w:rPr>
        <w:t>质量或者不能诚信履约且不能提供有效材料证明其报价合理性的；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6</w:t>
      </w:r>
      <w:r>
        <w:rPr>
          <w:rFonts w:hint="eastAsia" w:ascii="宋体" w:hAnsi="宋体" w:cs="宋体"/>
          <w:b/>
          <w:bCs/>
          <w:color w:val="auto"/>
          <w:szCs w:val="21"/>
          <w:highlight w:val="none"/>
          <w:lang w:bidi="ar"/>
        </w:rPr>
        <w:t>）有以下情形之一的，视为供应商串通投标，其投标无效：</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1</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不同供应商的投标文件由同一单位或个人编制；</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2</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不同供应商委托同一单位或者个人办理投标事宜；</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3</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不同供应商的投标文件载明的项目管理成员或者联系人员为同一人；</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4</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不同供应商的投标文件异常一致或者投标报价呈规律性差异；</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不同供应商的投标文件相互混装；</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7</w:t>
      </w:r>
      <w:r>
        <w:rPr>
          <w:rFonts w:hint="eastAsia" w:ascii="宋体" w:hAnsi="宋体" w:cs="宋体"/>
          <w:b/>
          <w:bCs/>
          <w:color w:val="auto"/>
          <w:szCs w:val="21"/>
          <w:highlight w:val="none"/>
          <w:lang w:bidi="ar"/>
        </w:rPr>
        <w:t>）供应商违反公平竞争原则，恶意串通，妨碍其他供应商的竞争，损害招标人或者其他供应商的合法权益的；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8</w:t>
      </w:r>
      <w:r>
        <w:rPr>
          <w:rFonts w:hint="eastAsia" w:ascii="宋体" w:hAnsi="宋体" w:cs="宋体"/>
          <w:b/>
          <w:bCs/>
          <w:color w:val="auto"/>
          <w:szCs w:val="21"/>
          <w:highlight w:val="none"/>
          <w:lang w:bidi="ar"/>
        </w:rPr>
        <w:t>）供应商因投标文件报价前后不一致而修正报价后不确认的；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9</w:t>
      </w:r>
      <w:r>
        <w:rPr>
          <w:rFonts w:hint="eastAsia" w:ascii="宋体" w:hAnsi="宋体" w:cs="宋体"/>
          <w:b/>
          <w:bCs/>
          <w:color w:val="auto"/>
          <w:szCs w:val="21"/>
          <w:highlight w:val="none"/>
          <w:lang w:bidi="ar"/>
        </w:rPr>
        <w:t>）投标文件含有招标人不能接受的附加条件的；</w:t>
      </w:r>
    </w:p>
    <w:p>
      <w:pPr>
        <w:spacing w:line="380" w:lineRule="exact"/>
        <w:ind w:firstLine="422" w:firstLineChars="20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bidi="ar"/>
        </w:rPr>
        <w:t>）不符合法律、法规和本招标文件规定的其他实质性要求的。</w:t>
      </w:r>
    </w:p>
    <w:p>
      <w:pPr>
        <w:spacing w:line="38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bidi="ar"/>
        </w:rPr>
        <w:t>5、本项目不组织潜在供应商现场考察或者召开开标前答疑。</w:t>
      </w:r>
    </w:p>
    <w:p>
      <w:pPr>
        <w:spacing w:line="38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bidi="ar"/>
        </w:rPr>
        <w:t>6、本文件未及事项，在签订合同时双方友好商定。</w:t>
      </w:r>
    </w:p>
    <w:p>
      <w:pPr>
        <w:spacing w:line="3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7、本招标文件解释权归采购人。</w:t>
      </w:r>
    </w:p>
    <w:p>
      <w:pPr>
        <w:pStyle w:val="4"/>
        <w:keepLines/>
        <w:spacing w:before="340" w:after="330" w:line="360" w:lineRule="auto"/>
        <w:jc w:val="center"/>
        <w:rPr>
          <w:rFonts w:hint="eastAsia" w:ascii="宋体" w:hAnsi="宋体" w:eastAsia="宋体" w:cs="宋体"/>
          <w:color w:val="auto"/>
          <w:sz w:val="36"/>
          <w:szCs w:val="36"/>
          <w:highlight w:val="none"/>
        </w:rPr>
      </w:pPr>
      <w:r>
        <w:rPr>
          <w:rFonts w:hint="eastAsia" w:ascii="宋体" w:hAnsi="宋体" w:cs="宋体"/>
          <w:color w:val="auto"/>
          <w:szCs w:val="21"/>
          <w:highlight w:val="none"/>
          <w:lang w:bidi="ar"/>
        </w:rPr>
        <w:br w:type="page"/>
      </w:r>
      <w:bookmarkEnd w:id="38"/>
      <w:bookmarkEnd w:id="39"/>
      <w:bookmarkEnd w:id="40"/>
      <w:bookmarkEnd w:id="41"/>
      <w:bookmarkEnd w:id="42"/>
      <w:bookmarkEnd w:id="43"/>
      <w:bookmarkEnd w:id="44"/>
      <w:bookmarkEnd w:id="45"/>
      <w:bookmarkEnd w:id="46"/>
      <w:bookmarkStart w:id="50" w:name="_Toc15581"/>
      <w:r>
        <w:rPr>
          <w:rFonts w:hint="eastAsia" w:ascii="宋体" w:hAnsi="宋体" w:eastAsia="宋体" w:cs="宋体"/>
          <w:color w:val="auto"/>
          <w:sz w:val="36"/>
          <w:szCs w:val="36"/>
          <w:highlight w:val="none"/>
        </w:rPr>
        <w:t xml:space="preserve">第三章  </w:t>
      </w:r>
      <w:bookmarkEnd w:id="33"/>
      <w:r>
        <w:rPr>
          <w:rFonts w:hint="eastAsia" w:ascii="宋体" w:hAnsi="宋体" w:eastAsia="宋体" w:cs="宋体"/>
          <w:color w:val="auto"/>
          <w:sz w:val="36"/>
          <w:szCs w:val="36"/>
          <w:highlight w:val="none"/>
        </w:rPr>
        <w:t>评标办法及标准</w:t>
      </w:r>
      <w:bookmarkEnd w:id="50"/>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一、评标办法</w:t>
      </w:r>
    </w:p>
    <w:p>
      <w:pPr>
        <w:keepNext w:val="0"/>
        <w:keepLines w:val="0"/>
        <w:pageBreakBefore w:val="0"/>
        <w:kinsoku/>
        <w:wordWrap/>
        <w:overflowPunct/>
        <w:topLinePunct w:val="0"/>
        <w:autoSpaceDE/>
        <w:autoSpaceDN/>
        <w:bidi w:val="0"/>
        <w:adjustRightInd/>
        <w:snapToGrid/>
        <w:spacing w:line="400" w:lineRule="exact"/>
        <w:ind w:left="-2" w:leftChars="-1"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1.1本项目评标采用综合评分法。</w:t>
      </w:r>
    </w:p>
    <w:p>
      <w:pPr>
        <w:keepNext w:val="0"/>
        <w:keepLines w:val="0"/>
        <w:pageBreakBefore w:val="0"/>
        <w:kinsoku/>
        <w:wordWrap/>
        <w:overflowPunct/>
        <w:topLinePunct w:val="0"/>
        <w:autoSpaceDE/>
        <w:autoSpaceDN/>
        <w:bidi w:val="0"/>
        <w:adjustRightInd/>
        <w:snapToGrid/>
        <w:spacing w:line="400" w:lineRule="exact"/>
        <w:ind w:left="-2" w:leftChars="-1"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w:t>
      </w:r>
      <w:r>
        <w:rPr>
          <w:rFonts w:hint="eastAsia" w:ascii="宋体" w:hAnsi="宋体" w:eastAsia="宋体" w:cs="宋体"/>
          <w:color w:val="auto"/>
          <w:szCs w:val="21"/>
          <w:highlight w:val="none"/>
          <w:lang w:val="en-US" w:eastAsia="zh-CN" w:bidi="ar"/>
        </w:rPr>
        <w:t>并</w:t>
      </w:r>
      <w:r>
        <w:rPr>
          <w:rFonts w:hint="eastAsia" w:ascii="宋体" w:hAnsi="宋体" w:eastAsia="宋体" w:cs="宋体"/>
          <w:color w:val="auto"/>
          <w:szCs w:val="21"/>
          <w:highlight w:val="none"/>
          <w:lang w:bidi="ar"/>
        </w:rPr>
        <w:t>推荐中标候选人。</w:t>
      </w:r>
      <w:r>
        <w:rPr>
          <w:rFonts w:hint="eastAsia" w:ascii="宋体" w:hAnsi="宋体" w:cs="宋体"/>
          <w:bCs/>
          <w:color w:val="auto"/>
          <w:szCs w:val="21"/>
          <w:highlight w:val="none"/>
          <w:lang w:bidi="ar"/>
        </w:rPr>
        <w:t>得分相同，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keepNext w:val="0"/>
        <w:keepLines w:val="0"/>
        <w:pageBreakBefore w:val="0"/>
        <w:kinsoku/>
        <w:wordWrap/>
        <w:overflowPunct/>
        <w:topLinePunct w:val="0"/>
        <w:autoSpaceDE/>
        <w:autoSpaceDN/>
        <w:bidi w:val="0"/>
        <w:adjustRightInd/>
        <w:snapToGrid/>
        <w:spacing w:line="400" w:lineRule="exact"/>
        <w:ind w:left="-2" w:leftChars="-1"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评标委员会成员对需要共同认定的事项存在争议的，应当按照少数服从多数的原则作出结论。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二、评标委员会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2.1采购人依据相关规定组建评标委员会，负责本项目的评标工作。评标委员会成员名单在招标结果确定之前依法保密。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三、评标程序</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3.1商务技术文件评审：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3.1.1初步审查：包含资格性审查和商务技术文件符合性审查。资格性审查是指采购人或代理机构根据“附表1资格审查表”的要求对投标文件逐一进行评审。商务技术文件符合性审查是指评标委员会根据“附表2商务技术文件符合性审查表”的要求对投标文件逐一进行评审。</w:t>
      </w:r>
      <w:r>
        <w:rPr>
          <w:rFonts w:hint="eastAsia" w:ascii="宋体" w:hAnsi="宋体" w:eastAsia="宋体" w:cs="宋体"/>
          <w:b/>
          <w:color w:val="auto"/>
          <w:szCs w:val="21"/>
          <w:highlight w:val="none"/>
          <w:lang w:bidi="ar"/>
        </w:rPr>
        <w:t>资格性审查和商务技术文件符合性审查中，有任意一项审查结论不合格的，作无效标处理。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bidi="ar"/>
        </w:rPr>
        <w:t>3.1.2</w:t>
      </w:r>
      <w:r>
        <w:rPr>
          <w:rFonts w:hint="eastAsia" w:ascii="宋体" w:hAnsi="宋体" w:eastAsia="宋体" w:cs="宋体"/>
          <w:color w:val="auto"/>
          <w:szCs w:val="21"/>
          <w:highlight w:val="none"/>
          <w:lang w:val="zh-CN" w:bidi="ar"/>
        </w:rPr>
        <w:t>比较与评价：</w:t>
      </w:r>
      <w:r>
        <w:rPr>
          <w:rFonts w:hint="eastAsia" w:ascii="宋体" w:hAnsi="宋体" w:eastAsia="宋体" w:cs="宋体"/>
          <w:color w:val="auto"/>
          <w:szCs w:val="21"/>
          <w:highlight w:val="none"/>
          <w:lang w:bidi="ar"/>
        </w:rPr>
        <w:t>评标委员会根据“附表3评分标准（兼评委打分表）”的要求，</w:t>
      </w:r>
      <w:r>
        <w:rPr>
          <w:rFonts w:hint="eastAsia" w:ascii="宋体" w:hAnsi="宋体" w:eastAsia="宋体" w:cs="宋体"/>
          <w:color w:val="auto"/>
          <w:szCs w:val="21"/>
          <w:highlight w:val="none"/>
          <w:lang w:val="zh-CN" w:bidi="ar"/>
        </w:rPr>
        <w:t>对照投标文件的应答进行比较，判定其偏差性质和程度，</w:t>
      </w:r>
      <w:r>
        <w:rPr>
          <w:rFonts w:hint="eastAsia" w:ascii="宋体" w:hAnsi="宋体" w:eastAsia="宋体" w:cs="宋体"/>
          <w:color w:val="auto"/>
          <w:szCs w:val="21"/>
          <w:highlight w:val="none"/>
          <w:lang w:bidi="ar"/>
        </w:rPr>
        <w:t>由评标委员会成员在分值范围内自行评分</w:t>
      </w:r>
      <w:r>
        <w:rPr>
          <w:rFonts w:hint="eastAsia" w:ascii="宋体" w:hAnsi="宋体" w:eastAsia="宋体" w:cs="宋体"/>
          <w:color w:val="auto"/>
          <w:szCs w:val="21"/>
          <w:highlight w:val="none"/>
          <w:lang w:val="zh-CN" w:bidi="ar"/>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bidi="ar"/>
        </w:rPr>
        <w:t>3.1.3</w:t>
      </w:r>
      <w:r>
        <w:rPr>
          <w:rFonts w:hint="eastAsia" w:ascii="宋体" w:hAnsi="宋体" w:eastAsia="宋体" w:cs="宋体"/>
          <w:color w:val="auto"/>
          <w:szCs w:val="21"/>
          <w:highlight w:val="none"/>
          <w:lang w:val="zh-CN" w:bidi="ar"/>
        </w:rPr>
        <w:t>采购代理机构可协助评标委员会组长对打分结果进行校对、核对并汇总统计；</w:t>
      </w:r>
      <w:r>
        <w:rPr>
          <w:rFonts w:hint="eastAsia" w:ascii="宋体" w:hAnsi="宋体" w:eastAsia="宋体" w:cs="宋体"/>
          <w:b/>
          <w:color w:val="auto"/>
          <w:szCs w:val="21"/>
          <w:highlight w:val="none"/>
          <w:lang w:val="zh-CN" w:bidi="ar"/>
        </w:rPr>
        <w:t>对明显畸高、畸低的评分（其总评分偏离平均分30%以上的），评标委员会组长应提醒相关评标委员会成员进行复核或书面说明理由</w:t>
      </w:r>
      <w:r>
        <w:rPr>
          <w:rFonts w:hint="eastAsia" w:ascii="宋体" w:hAnsi="宋体" w:eastAsia="宋体" w:cs="宋体"/>
          <w:color w:val="auto"/>
          <w:szCs w:val="21"/>
          <w:highlight w:val="none"/>
          <w:lang w:val="zh-CN" w:bidi="ar"/>
        </w:rPr>
        <w:t>；评标委员会成员的评审、修改记录应保留原件，随项目其他资料一并存档。</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color w:val="auto"/>
          <w:szCs w:val="21"/>
          <w:highlight w:val="none"/>
          <w:lang w:bidi="ar"/>
        </w:rPr>
        <w:t>3.2报价文件评审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3.2.1报价文件符合性审查：报价文件符合性审查是指评标委员会根据“附表4报价文件符合性审查表”的要求对供应商报价文件逐一进行评审。</w:t>
      </w:r>
      <w:r>
        <w:rPr>
          <w:rFonts w:hint="eastAsia" w:ascii="宋体" w:hAnsi="宋体" w:eastAsia="宋体" w:cs="宋体"/>
          <w:b/>
          <w:bCs/>
          <w:color w:val="auto"/>
          <w:szCs w:val="21"/>
          <w:highlight w:val="none"/>
          <w:lang w:bidi="ar"/>
        </w:rPr>
        <w:t>报价文件符合性审查中，审查结论不合格的，作无效标处理。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3.2.2在评标过程中，发现的价格计算错误按下述原则修正：</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（1）投标文件中开标一览表内容与投标文件中分项报价表内容不一致的，以开标一览表为准；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（2）投标文件的大写金额和小写金额不一致的，以大写金额为准；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（3）单价金额小数点有明显错位的，应以总价为准，并修改单价；</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3.2.3评标委员会根据“附表5价格评分表”的规定，计算供应商报价得分（小数点后保留二位数）。</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3.3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3.4推荐中标候选人</w:t>
      </w:r>
    </w:p>
    <w:p>
      <w:pPr>
        <w:spacing w:line="400" w:lineRule="exact"/>
        <w:ind w:left="0" w:leftChars="0" w:right="0" w:rightChars="0" w:firstLine="420" w:firstLineChars="200"/>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bidi="ar"/>
        </w:rPr>
        <w:t>按评分结果由高到低排序，得分相同，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3.5确定中标人</w:t>
      </w:r>
    </w:p>
    <w:p>
      <w:pPr>
        <w:spacing w:line="400" w:lineRule="exact"/>
        <w:ind w:left="0" w:leftChars="0" w:right="0" w:rightChars="0" w:firstLine="420" w:firstLineChars="200"/>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bidi="ar"/>
        </w:rPr>
        <w:t>本项目由采购人确定中标人。</w:t>
      </w:r>
    </w:p>
    <w:p>
      <w:pPr>
        <w:spacing w:line="400" w:lineRule="exact"/>
        <w:ind w:left="0" w:leftChars="0" w:right="0" w:rightChars="0" w:firstLine="420" w:firstLineChars="200"/>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left="0" w:leftChars="0" w:right="0" w:rightChars="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bCs w:val="0"/>
          <w:color w:val="auto"/>
          <w:szCs w:val="21"/>
          <w:highlight w:val="none"/>
          <w:lang w:bidi="ar"/>
        </w:rPr>
        <w:t>若中标人放弃中标、或事后查询为失信被执行人的、或因不可抗力提出不能履行合同被依法撤销中标资格，则招标人可确定排名其次的中标候选人为中标人，或重新组织招标。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四、投标的澄清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sz w:val="20"/>
          <w:szCs w:val="18"/>
          <w:highlight w:val="none"/>
        </w:rPr>
      </w:pPr>
      <w:r>
        <w:rPr>
          <w:rFonts w:hint="eastAsia" w:ascii="宋体" w:hAnsi="宋体" w:eastAsia="宋体" w:cs="宋体"/>
          <w:color w:val="auto"/>
          <w:szCs w:val="21"/>
          <w:highlight w:val="none"/>
          <w:lang w:bidi="ar"/>
        </w:rPr>
        <w:t>4.1对投标文件审查中发现的投标文件表达含义不明确、同类问题表述不一致或者有明显文字和计算错误的内容，评标委员会应当书面形式要求供应商作出必要的澄清、说明或者补正</w:t>
      </w:r>
      <w:r>
        <w:rPr>
          <w:rFonts w:hint="eastAsia" w:ascii="宋体" w:hAnsi="宋体" w:eastAsia="宋体" w:cs="宋体"/>
          <w:color w:val="auto"/>
          <w:szCs w:val="21"/>
          <w:highlight w:val="none"/>
          <w:lang w:eastAsia="zh-CN" w:bidi="ar"/>
        </w:rPr>
        <w:t>；</w:t>
      </w:r>
      <w:r>
        <w:rPr>
          <w:rFonts w:hint="eastAsia" w:ascii="宋体" w:hAnsi="宋体" w:cs="仿宋_GB2312"/>
          <w:b/>
          <w:color w:val="auto"/>
          <w:sz w:val="22"/>
          <w:szCs w:val="18"/>
          <w:highlight w:val="none"/>
        </w:rPr>
        <w:t>供应商代表未在开标现场的可以按规定以网上远程电子形式进行答复</w:t>
      </w:r>
      <w:r>
        <w:rPr>
          <w:rFonts w:hint="eastAsia" w:ascii="宋体" w:hAnsi="宋体" w:cs="仿宋_GB2312"/>
          <w:b/>
          <w:color w:val="auto"/>
          <w:sz w:val="22"/>
          <w:szCs w:val="1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4.2供应商的</w:t>
      </w:r>
      <w:r>
        <w:rPr>
          <w:rFonts w:hint="eastAsia" w:ascii="宋体" w:hAnsi="宋体" w:eastAsia="宋体" w:cs="宋体"/>
          <w:color w:val="auto"/>
          <w:szCs w:val="21"/>
          <w:highlight w:val="none"/>
          <w:lang w:val="en-US" w:eastAsia="zh-CN" w:bidi="ar"/>
        </w:rPr>
        <w:t>现场</w:t>
      </w:r>
      <w:r>
        <w:rPr>
          <w:rFonts w:hint="eastAsia" w:ascii="宋体" w:hAnsi="宋体" w:eastAsia="宋体" w:cs="宋体"/>
          <w:color w:val="auto"/>
          <w:szCs w:val="21"/>
          <w:highlight w:val="none"/>
          <w:lang w:bidi="ar"/>
        </w:rPr>
        <w:t>澄清、说明或者补正应当采用书面形式，并加盖公章，或者由法定代表人或其委托代理人的签字。供应商的澄清、说明或者补正不得超出投标文件的范围或者改变投标文件的实质性内容。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4.3若供应商未响应澄清安排的通知到场</w:t>
      </w:r>
      <w:r>
        <w:rPr>
          <w:rFonts w:hint="eastAsia" w:ascii="宋体" w:hAnsi="宋体" w:eastAsia="宋体" w:cs="宋体"/>
          <w:color w:val="auto"/>
          <w:szCs w:val="21"/>
          <w:highlight w:val="none"/>
          <w:lang w:val="en-US" w:eastAsia="zh-CN" w:bidi="ar"/>
        </w:rPr>
        <w:t>或网上电子形式</w:t>
      </w:r>
      <w:r>
        <w:rPr>
          <w:rFonts w:hint="eastAsia" w:ascii="宋体" w:hAnsi="宋体" w:eastAsia="宋体" w:cs="宋体"/>
          <w:color w:val="auto"/>
          <w:szCs w:val="21"/>
          <w:highlight w:val="none"/>
          <w:lang w:bidi="ar"/>
        </w:rPr>
        <w:t>进行答疑和澄清，将被视作自动放弃。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4.4</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网上电子澄清方式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评标委员会对投标文件存在疑问的地方，可以进行询标，供应商代表未在开标现场的可以进行远程询标，要求投标人在合理时间内（至多30分钟，以开始网上接收时间为准）发送有关证明资料电子版，以便核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2、供应商在截止时间前，根据标项回复询标函。路径：用户中心—项目采购—询标澄清。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（1）政采云平台通过待办事项和短信提醒供应商在截止时间前完成澄清。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（2）供应商在“询标澄清-待办理”标签页下选择状态为“待澄清”的项目，点击操作栏【澄清】。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（3）查看询标函内容，在澄清截止时间前上传澄清文件并对澄清文件进行签章。（注：澄清文件必须以 PDF 格式上传，文件大小：50M。）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（4）签章完成，文件名称处显示“已签章”，供应商可“撤回签章”修改澄清函和“查看文件”。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完成状态：供应商澄清文件提交成功后，在“询标澄清-全部”标签页下显示状态为“已澄清”。</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五、特别声明：价格是评标的重要因素之一，但最低价不是中标的唯一依据。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六、重新招标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有下列情形之一的，采购人将重新招标：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6.1投标截止时间止，供应商少于3个的；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6.2评标委员会评标过程中，有效供应商少于3个的；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pPr>
        <w:pStyle w:val="2"/>
        <w:rPr>
          <w:rFonts w:hint="eastAsia" w:ascii="宋体" w:hAnsi="宋体" w:eastAsia="宋体" w:cs="宋体"/>
          <w:color w:val="auto"/>
          <w:szCs w:val="21"/>
          <w:highlight w:val="none"/>
          <w:lang w:bidi="ar"/>
        </w:rPr>
      </w:pPr>
    </w:p>
    <w:p>
      <w:pPr>
        <w:pStyle w:val="2"/>
        <w:ind w:firstLine="0" w:firstLineChars="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附表1：  </w:t>
      </w:r>
      <w:r>
        <w:rPr>
          <w:rFonts w:hint="eastAsia" w:ascii="宋体" w:hAnsi="宋体" w:eastAsia="宋体" w:cs="宋体"/>
          <w:color w:val="auto"/>
          <w:sz w:val="21"/>
          <w:szCs w:val="21"/>
          <w:highlight w:val="none"/>
          <w:lang w:bidi="ar"/>
        </w:rPr>
        <w:t xml:space="preserve">                            </w:t>
      </w:r>
      <w:r>
        <w:rPr>
          <w:rFonts w:hint="eastAsia" w:ascii="宋体" w:hAnsi="宋体" w:eastAsia="宋体" w:cs="宋体"/>
          <w:b/>
          <w:bCs/>
          <w:color w:val="auto"/>
          <w:sz w:val="21"/>
          <w:szCs w:val="21"/>
          <w:highlight w:val="none"/>
          <w:lang w:bidi="ar"/>
        </w:rPr>
        <w:t xml:space="preserve">  </w:t>
      </w:r>
    </w:p>
    <w:p>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资格性审查表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65"/>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35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审查要求</w:t>
            </w:r>
          </w:p>
        </w:tc>
        <w:tc>
          <w:tcPr>
            <w:tcW w:w="549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1</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具有独立承担民事责任的能力</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cs="宋体"/>
                <w:color w:val="auto"/>
                <w:szCs w:val="21"/>
                <w:highlight w:val="none"/>
              </w:rPr>
              <w:t>具有有效的</w:t>
            </w:r>
            <w:r>
              <w:rPr>
                <w:rFonts w:hint="eastAsia" w:ascii="宋体" w:hAnsi="宋体"/>
                <w:color w:val="auto"/>
                <w:highlight w:val="none"/>
              </w:rPr>
              <w:t>企业法人营业执照（或事业法人登记证）或其他组织（个体工商户）的营业执照或者民办非企业单位登记证书扫描件。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2</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具有良好的商业信誉和健全的财务会计制度</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具有良好的商业信誉和健全的财务会计制度声明函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3</w:t>
            </w:r>
          </w:p>
        </w:tc>
        <w:tc>
          <w:tcPr>
            <w:tcW w:w="35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具有履行合同所必需的设备和专业技术能力</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bidi="ar"/>
              </w:rPr>
              <w:t>具有履行合同所必需的设备和专业技术能力的书面声明</w:t>
            </w:r>
            <w:r>
              <w:rPr>
                <w:rFonts w:hint="eastAsia" w:ascii="宋体" w:hAnsi="宋体" w:eastAsia="宋体" w:cs="宋体"/>
                <w:b w:val="0"/>
                <w:bCs w:val="0"/>
                <w:color w:val="auto"/>
                <w:szCs w:val="21"/>
                <w:highlight w:val="none"/>
                <w:lang w:val="en-US" w:eastAsia="zh-CN" w:bidi="ar"/>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4</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有依法缴纳税收和社会保障资金的良好记录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1</w:t>
            </w:r>
            <w:r>
              <w:rPr>
                <w:rFonts w:hint="eastAsia" w:ascii="宋体" w:hAnsi="宋体" w:eastAsia="宋体" w:cs="宋体"/>
                <w:b w:val="0"/>
                <w:bCs w:val="0"/>
                <w:color w:val="auto"/>
                <w:szCs w:val="21"/>
                <w:highlight w:val="none"/>
                <w:lang w:bidi="ar"/>
              </w:rPr>
              <w:t>、</w:t>
            </w:r>
            <w:r>
              <w:rPr>
                <w:rFonts w:hint="eastAsia" w:ascii="宋体" w:hAnsi="宋体" w:eastAsia="宋体" w:cs="宋体"/>
                <w:b w:val="0"/>
                <w:bCs w:val="0"/>
                <w:color w:val="auto"/>
                <w:szCs w:val="21"/>
                <w:highlight w:val="none"/>
                <w:lang w:val="en-US" w:eastAsia="zh-CN" w:bidi="ar"/>
              </w:rPr>
              <w:t>供应商</w:t>
            </w:r>
            <w:r>
              <w:rPr>
                <w:rFonts w:hint="eastAsia" w:ascii="宋体" w:hAnsi="宋体" w:eastAsia="宋体" w:cs="宋体"/>
                <w:b w:val="0"/>
                <w:bCs w:val="0"/>
                <w:color w:val="auto"/>
                <w:szCs w:val="21"/>
                <w:highlight w:val="none"/>
                <w:lang w:eastAsia="zh-CN" w:bidi="ar"/>
              </w:rPr>
              <w:t>开标前六个月任一个月开具</w:t>
            </w:r>
            <w:r>
              <w:rPr>
                <w:rFonts w:hint="eastAsia" w:ascii="宋体" w:hAnsi="宋体" w:eastAsia="宋体" w:cs="宋体"/>
                <w:b w:val="0"/>
                <w:bCs w:val="0"/>
                <w:color w:val="auto"/>
                <w:szCs w:val="21"/>
                <w:highlight w:val="none"/>
                <w:lang w:bidi="ar"/>
              </w:rPr>
              <w:t>的缴纳税收的凭据证明材料</w:t>
            </w:r>
            <w:r>
              <w:rPr>
                <w:rFonts w:hint="eastAsia" w:ascii="宋体" w:hAnsi="宋体" w:eastAsia="宋体" w:cs="宋体"/>
                <w:b w:val="0"/>
                <w:bCs w:val="0"/>
                <w:color w:val="auto"/>
                <w:szCs w:val="21"/>
                <w:highlight w:val="none"/>
                <w:lang w:val="en-US" w:eastAsia="zh-CN" w:bidi="ar"/>
              </w:rPr>
              <w:t>扫描件</w:t>
            </w:r>
            <w:r>
              <w:rPr>
                <w:rFonts w:hint="eastAsia" w:ascii="宋体" w:hAnsi="宋体" w:eastAsia="宋体" w:cs="宋体"/>
                <w:b w:val="0"/>
                <w:bCs w:val="0"/>
                <w:color w:val="auto"/>
                <w:szCs w:val="21"/>
                <w:highlight w:val="none"/>
                <w:lang w:bidi="ar"/>
              </w:rPr>
              <w:t>（加盖供应商公章）（依法免税的供应商，应提供相应文件证明其依法免税）；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2</w:t>
            </w:r>
            <w:r>
              <w:rPr>
                <w:rFonts w:hint="eastAsia" w:ascii="宋体" w:hAnsi="宋体" w:eastAsia="宋体" w:cs="宋体"/>
                <w:b w:val="0"/>
                <w:bCs w:val="0"/>
                <w:color w:val="auto"/>
                <w:szCs w:val="21"/>
                <w:highlight w:val="none"/>
                <w:lang w:bidi="ar"/>
              </w:rPr>
              <w:t>、供应商</w:t>
            </w:r>
            <w:r>
              <w:rPr>
                <w:rFonts w:hint="eastAsia" w:ascii="宋体" w:hAnsi="宋体" w:eastAsia="宋体" w:cs="宋体"/>
                <w:b w:val="0"/>
                <w:bCs w:val="0"/>
                <w:color w:val="auto"/>
                <w:szCs w:val="21"/>
                <w:highlight w:val="none"/>
                <w:lang w:eastAsia="zh-CN" w:bidi="ar"/>
              </w:rPr>
              <w:t>标前六个月任一个月开具</w:t>
            </w:r>
            <w:r>
              <w:rPr>
                <w:rFonts w:hint="eastAsia" w:ascii="宋体" w:hAnsi="宋体" w:eastAsia="宋体" w:cs="宋体"/>
                <w:b w:val="0"/>
                <w:bCs w:val="0"/>
                <w:color w:val="auto"/>
                <w:szCs w:val="21"/>
                <w:highlight w:val="none"/>
                <w:lang w:bidi="ar"/>
              </w:rPr>
              <w:t>的缴纳社会保险的凭据证明材料</w:t>
            </w:r>
            <w:r>
              <w:rPr>
                <w:rFonts w:hint="eastAsia" w:ascii="宋体" w:hAnsi="宋体" w:eastAsia="宋体" w:cs="宋体"/>
                <w:b w:val="0"/>
                <w:bCs w:val="0"/>
                <w:color w:val="auto"/>
                <w:szCs w:val="21"/>
                <w:highlight w:val="none"/>
                <w:lang w:val="en-US" w:eastAsia="zh-CN" w:bidi="ar"/>
              </w:rPr>
              <w:t>扫描件</w:t>
            </w:r>
            <w:r>
              <w:rPr>
                <w:rFonts w:hint="eastAsia" w:ascii="宋体" w:hAnsi="宋体" w:eastAsia="宋体" w:cs="宋体"/>
                <w:b w:val="0"/>
                <w:bCs w:val="0"/>
                <w:color w:val="auto"/>
                <w:szCs w:val="21"/>
                <w:highlight w:val="none"/>
                <w:lang w:bidi="ar"/>
              </w:rPr>
              <w:t>（加盖供应商公章）（依法不需要缴纳社保的供应商，应提供相应文件证明其依法不需要缴纳社保）。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5</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参加政府采购活动前三年内，在经营活动中没有重大违法记录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无重大违法记录声明函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6</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未被信用中国网站（www.creditchina.gov.cn）列入失信被执行人、重大税收违法案件当事人名单，未被中国政府采购网（www.ccgp.gov.cn）列入政府采购严重违法失信行为记录名单。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1、</w:t>
            </w:r>
            <w:r>
              <w:rPr>
                <w:rFonts w:hint="eastAsia" w:ascii="宋体" w:hAnsi="宋体" w:eastAsia="宋体" w:cs="宋体"/>
                <w:b w:val="0"/>
                <w:bCs w:val="0"/>
                <w:color w:val="auto"/>
                <w:szCs w:val="21"/>
                <w:highlight w:val="none"/>
                <w:lang w:bidi="ar"/>
              </w:rPr>
              <w:t>关于资格的声明函；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2</w:t>
            </w:r>
            <w:r>
              <w:rPr>
                <w:rFonts w:hint="eastAsia" w:ascii="宋体" w:hAnsi="宋体" w:eastAsia="宋体" w:cs="宋体"/>
                <w:b w:val="0"/>
                <w:bCs w:val="0"/>
                <w:color w:val="auto"/>
                <w:szCs w:val="21"/>
                <w:highlight w:val="none"/>
                <w:lang w:bidi="ar"/>
              </w:rPr>
              <w:t>、供应商一般情况表；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3</w:t>
            </w:r>
            <w:r>
              <w:rPr>
                <w:rFonts w:hint="eastAsia" w:ascii="宋体" w:hAnsi="宋体" w:eastAsia="宋体" w:cs="宋体"/>
                <w:b w:val="0"/>
                <w:bCs w:val="0"/>
                <w:color w:val="auto"/>
                <w:szCs w:val="21"/>
                <w:highlight w:val="none"/>
                <w:lang w:bidi="ar"/>
              </w:rPr>
              <w:t>、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4</w:t>
            </w:r>
            <w:r>
              <w:rPr>
                <w:rFonts w:hint="eastAsia" w:ascii="宋体" w:hAnsi="宋体" w:eastAsia="宋体" w:cs="宋体"/>
                <w:b w:val="0"/>
                <w:bCs w:val="0"/>
                <w:color w:val="auto"/>
                <w:szCs w:val="21"/>
                <w:highlight w:val="none"/>
                <w:lang w:bidi="ar"/>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highlight w:val="none"/>
                <w:lang w:bidi="ar"/>
              </w:rPr>
              <w:t>供应商是否为联合体</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资格审查结论</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bl>
    <w:p>
      <w:pPr>
        <w:spacing w:line="240" w:lineRule="exact"/>
        <w:rPr>
          <w:rFonts w:hint="eastAsia" w:ascii="宋体" w:hAnsi="宋体" w:eastAsia="宋体" w:cs="宋体"/>
          <w:bCs/>
          <w:color w:val="auto"/>
          <w:highlight w:val="none"/>
          <w:lang w:bidi="ar"/>
        </w:rPr>
      </w:pPr>
    </w:p>
    <w:p>
      <w:pPr>
        <w:keepNext w:val="0"/>
        <w:keepLines w:val="0"/>
        <w:pageBreakBefore w:val="0"/>
        <w:widowControl w:val="0"/>
        <w:kinsoku/>
        <w:wordWrap/>
        <w:overflowPunct/>
        <w:topLinePunct w:val="0"/>
        <w:autoSpaceDE/>
        <w:autoSpaceDN/>
        <w:bidi w:val="0"/>
        <w:adjustRightInd/>
        <w:snapToGrid/>
        <w:spacing w:line="340" w:lineRule="exact"/>
        <w:ind w:firstLine="211" w:firstLineChars="100"/>
        <w:textAlignment w:val="auto"/>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注：1、上述资格证明文件未按招标文件要求附入投标文件中的，资格性审查不合格。</w:t>
      </w:r>
    </w:p>
    <w:p>
      <w:pPr>
        <w:keepNext w:val="0"/>
        <w:keepLines w:val="0"/>
        <w:pageBreakBefore w:val="0"/>
        <w:widowControl w:val="0"/>
        <w:kinsoku/>
        <w:wordWrap/>
        <w:overflowPunct/>
        <w:topLinePunct w:val="0"/>
        <w:autoSpaceDE/>
        <w:autoSpaceDN/>
        <w:bidi w:val="0"/>
        <w:adjustRightInd/>
        <w:snapToGrid/>
        <w:spacing w:line="340" w:lineRule="exact"/>
        <w:ind w:firstLine="632" w:firstLineChars="300"/>
        <w:textAlignment w:val="auto"/>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2、上述审查项目中，任意一项不符合的，资格性审查不合格。</w:t>
      </w:r>
    </w:p>
    <w:p>
      <w:pPr>
        <w:keepNext w:val="0"/>
        <w:keepLines w:val="0"/>
        <w:pageBreakBefore w:val="0"/>
        <w:widowControl w:val="0"/>
        <w:kinsoku/>
        <w:wordWrap/>
        <w:overflowPunct/>
        <w:topLinePunct w:val="0"/>
        <w:autoSpaceDE/>
        <w:autoSpaceDN/>
        <w:bidi w:val="0"/>
        <w:adjustRightInd/>
        <w:snapToGrid/>
        <w:spacing w:line="340" w:lineRule="exact"/>
        <w:ind w:firstLine="632" w:firstLineChars="300"/>
        <w:textAlignment w:val="auto"/>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3、未办理多证合一的供应商须提供税务登记证副本、组织机构代码证副本、社会保险登记证副本扫描件。</w:t>
      </w:r>
    </w:p>
    <w:p>
      <w:pPr>
        <w:keepNext w:val="0"/>
        <w:keepLines w:val="0"/>
        <w:pageBreakBefore w:val="0"/>
        <w:widowControl w:val="0"/>
        <w:kinsoku/>
        <w:wordWrap/>
        <w:overflowPunct/>
        <w:topLinePunct w:val="0"/>
        <w:autoSpaceDE/>
        <w:autoSpaceDN/>
        <w:bidi w:val="0"/>
        <w:adjustRightInd/>
        <w:snapToGrid/>
        <w:spacing w:line="340" w:lineRule="exact"/>
        <w:ind w:firstLine="632" w:firstLineChars="300"/>
        <w:textAlignment w:val="auto"/>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val="en-US" w:eastAsia="zh-CN" w:bidi="ar"/>
        </w:rPr>
        <w:t>4</w:t>
      </w:r>
      <w:r>
        <w:rPr>
          <w:rFonts w:hint="eastAsia" w:ascii="宋体" w:hAnsi="宋体" w:eastAsia="宋体" w:cs="宋体"/>
          <w:b/>
          <w:color w:val="auto"/>
          <w:szCs w:val="22"/>
          <w:highlight w:val="none"/>
          <w:lang w:bidi="ar"/>
        </w:rPr>
        <w:t>、为采购项目提供整体设计、规范编制或者项目管理、监理、检测等服务的供应商投标无效。</w:t>
      </w:r>
    </w:p>
    <w:p>
      <w:pPr>
        <w:keepNext w:val="0"/>
        <w:keepLines w:val="0"/>
        <w:pageBreakBefore w:val="0"/>
        <w:widowControl w:val="0"/>
        <w:kinsoku/>
        <w:wordWrap/>
        <w:overflowPunct/>
        <w:topLinePunct w:val="0"/>
        <w:autoSpaceDE/>
        <w:autoSpaceDN/>
        <w:bidi w:val="0"/>
        <w:adjustRightInd/>
        <w:snapToGrid/>
        <w:spacing w:line="340" w:lineRule="exact"/>
        <w:ind w:firstLine="632" w:firstLineChars="300"/>
        <w:textAlignment w:val="auto"/>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val="en-US" w:eastAsia="zh-CN" w:bidi="ar"/>
        </w:rPr>
        <w:t>5</w:t>
      </w:r>
      <w:r>
        <w:rPr>
          <w:rFonts w:hint="eastAsia" w:ascii="宋体" w:hAnsi="宋体" w:eastAsia="宋体" w:cs="宋体"/>
          <w:b/>
          <w:color w:val="auto"/>
          <w:szCs w:val="22"/>
          <w:highlight w:val="none"/>
          <w:lang w:bidi="ar"/>
        </w:rPr>
        <w:t>、本项目实行网上投标，供应商在制作投标文件时须根据上表要求说明要求的资料，将资料逐一对应上传。</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附表2：</w:t>
      </w:r>
    </w:p>
    <w:p>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商务技术文件符合性审查表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26"/>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34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要求</w:t>
            </w:r>
          </w:p>
        </w:tc>
        <w:tc>
          <w:tcPr>
            <w:tcW w:w="53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3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bidi="ar"/>
              </w:rPr>
              <w:t>供应商名称与</w:t>
            </w:r>
            <w:r>
              <w:rPr>
                <w:rFonts w:hint="eastAsia" w:ascii="宋体" w:hAnsi="宋体"/>
                <w:color w:val="auto"/>
                <w:highlight w:val="none"/>
              </w:rPr>
              <w:t>企业法人营业执照（或事业法人登记证）或其他组织（个体工商户）的营业执照或者民办非企业单位登记证书</w:t>
            </w:r>
            <w:r>
              <w:rPr>
                <w:rFonts w:hint="eastAsia" w:ascii="宋体" w:hAnsi="宋体" w:cs="宋体"/>
                <w:color w:val="auto"/>
                <w:szCs w:val="21"/>
                <w:highlight w:val="none"/>
                <w:lang w:bidi="ar"/>
              </w:rPr>
              <w:t>一致。</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bidi="ar"/>
              </w:rPr>
              <w:t>供应商名称与</w:t>
            </w:r>
            <w:r>
              <w:rPr>
                <w:rFonts w:hint="eastAsia" w:ascii="宋体" w:hAnsi="宋体"/>
                <w:color w:val="auto"/>
                <w:highlight w:val="none"/>
              </w:rPr>
              <w:t>企业法人营业执照（或事业法人登记证）或其他组织（个体工商户）的营业执照或者民办非企业单位登记证书</w:t>
            </w:r>
            <w:r>
              <w:rPr>
                <w:rFonts w:hint="eastAsia" w:ascii="宋体" w:hAnsi="宋体"/>
                <w:color w:val="auto"/>
                <w:highlight w:val="none"/>
                <w:lang w:val="en-US" w:eastAsia="zh-CN"/>
              </w:rPr>
              <w:t>名称</w:t>
            </w:r>
            <w:r>
              <w:rPr>
                <w:rFonts w:hint="eastAsia" w:ascii="宋体" w:hAnsi="宋体" w:cs="宋体"/>
                <w:color w:val="auto"/>
                <w:szCs w:val="21"/>
                <w:highlight w:val="none"/>
                <w:lang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2</w:t>
            </w:r>
          </w:p>
        </w:tc>
        <w:tc>
          <w:tcPr>
            <w:tcW w:w="3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投标有效期符合第二章“投标须知”第七、1条的要求。</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投标有效期符合第二章“投标须知”第七、1条的要求。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3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投标文件的签署盖章符合第二章“投标须知”第九、2条的要求。</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投标文件的签署盖章符合第二章“投标须知”第九、2条的要求。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4</w:t>
            </w:r>
          </w:p>
        </w:tc>
        <w:tc>
          <w:tcPr>
            <w:tcW w:w="3426"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0"/>
                <w:highlight w:val="none"/>
              </w:rPr>
            </w:pPr>
            <w:r>
              <w:rPr>
                <w:rFonts w:hint="eastAsia" w:ascii="宋体" w:hAnsi="宋体" w:eastAsia="宋体" w:cs="宋体"/>
                <w:color w:val="auto"/>
                <w:szCs w:val="21"/>
                <w:highlight w:val="none"/>
                <w:lang w:bidi="ar"/>
              </w:rPr>
              <w:t>供应商不得在投标活动中提供任何虚假材料或从事其他违法活动的（本项无需上传或关联资料）</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5</w:t>
            </w:r>
          </w:p>
        </w:tc>
        <w:tc>
          <w:tcPr>
            <w:tcW w:w="3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法定代表人身份证明符合采购文件要求</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法定代表人身份证明</w:t>
            </w:r>
            <w:r>
              <w:rPr>
                <w:rFonts w:hint="eastAsia" w:ascii="宋体" w:hAnsi="宋体" w:eastAsia="宋体" w:cs="宋体"/>
                <w:color w:val="auto"/>
                <w:szCs w:val="21"/>
                <w:highlight w:val="none"/>
                <w:lang w:val="en-US" w:eastAsia="zh-CN" w:bidi="ar"/>
              </w:rPr>
              <w:t>书</w:t>
            </w:r>
            <w:r>
              <w:rPr>
                <w:rFonts w:hint="eastAsia" w:ascii="宋体" w:hAnsi="宋体" w:eastAsia="宋体" w:cs="宋体"/>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6</w:t>
            </w:r>
          </w:p>
        </w:tc>
        <w:tc>
          <w:tcPr>
            <w:tcW w:w="34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供应商编制的投标文件符合法律、法规和采购文件中规定并对实质性要求完全响应</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供应商编制的投标文件符合法律、法规和采购文件中规定的并对其他实质性要求完全响应（实质性要求招标文件中“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商务技术文件符合性审查</w:t>
            </w:r>
          </w:p>
          <w:p>
            <w:pPr>
              <w:widowControl/>
              <w:spacing w:line="360" w:lineRule="exact"/>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结论</w:t>
            </w:r>
          </w:p>
        </w:tc>
        <w:tc>
          <w:tcPr>
            <w:tcW w:w="5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szCs w:val="21"/>
                <w:highlight w:val="none"/>
                <w:lang w:bidi="ar"/>
              </w:rPr>
            </w:pPr>
          </w:p>
        </w:tc>
      </w:tr>
    </w:tbl>
    <w:p>
      <w:pPr>
        <w:spacing w:line="400" w:lineRule="exact"/>
        <w:ind w:firstLine="211" w:firstLineChars="100"/>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注：1、上述审查项目中，任意一项不符合的，商务技术文件符合性审查不合格。</w:t>
      </w:r>
    </w:p>
    <w:p>
      <w:pPr>
        <w:numPr>
          <w:ilvl w:val="0"/>
          <w:numId w:val="6"/>
        </w:numPr>
        <w:spacing w:line="400" w:lineRule="exact"/>
        <w:ind w:left="208" w:firstLine="632" w:firstLineChars="0"/>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本项目实行网上投标，供应商在制作投标文件时须根据上表要求说明要求的资料，将资料逐一对应上传或关联（有特殊备注的除外）（若关联页码有多页而只能关联一页的，则关联相应页码的第一页）。</w:t>
      </w:r>
    </w:p>
    <w:p>
      <w:pPr>
        <w:pStyle w:val="2"/>
        <w:numPr>
          <w:ilvl w:val="0"/>
          <w:numId w:val="0"/>
        </w:numPr>
        <w:rPr>
          <w:rFonts w:hint="eastAsia" w:ascii="宋体" w:hAnsi="宋体" w:eastAsia="宋体" w:cs="宋体"/>
          <w:b/>
          <w:color w:val="auto"/>
          <w:szCs w:val="22"/>
          <w:highlight w:val="none"/>
          <w:lang w:bidi="ar"/>
        </w:rPr>
      </w:pPr>
    </w:p>
    <w:p>
      <w:pPr>
        <w:pStyle w:val="2"/>
        <w:numPr>
          <w:ilvl w:val="0"/>
          <w:numId w:val="0"/>
        </w:numPr>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br w:type="page"/>
      </w:r>
    </w:p>
    <w:p>
      <w:pPr>
        <w:spacing w:line="400" w:lineRule="exact"/>
        <w:rPr>
          <w:rFonts w:hint="eastAsia" w:ascii="宋体" w:hAnsi="宋体" w:eastAsia="宋体" w:cs="宋体"/>
          <w:b/>
          <w:bCs/>
          <w:color w:val="auto"/>
          <w:szCs w:val="21"/>
          <w:highlight w:val="none"/>
        </w:rPr>
      </w:pPr>
      <w:bookmarkStart w:id="51" w:name="_Toc5853"/>
      <w:bookmarkStart w:id="52" w:name="_Toc536024503"/>
      <w:r>
        <w:rPr>
          <w:rFonts w:hint="eastAsia" w:ascii="宋体" w:hAnsi="宋体" w:eastAsia="宋体" w:cs="宋体"/>
          <w:b/>
          <w:bCs/>
          <w:color w:val="auto"/>
          <w:szCs w:val="21"/>
          <w:highlight w:val="none"/>
          <w:lang w:bidi="ar"/>
        </w:rPr>
        <w:t>附表3：</w:t>
      </w:r>
    </w:p>
    <w:p>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评分标准（兼评委打分表）</w:t>
      </w:r>
    </w:p>
    <w:p>
      <w:pPr>
        <w:pStyle w:val="2"/>
        <w:spacing w:line="360" w:lineRule="auto"/>
        <w:ind w:firstLine="0" w:firstLineChars="0"/>
        <w:jc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eastAsia="zh-CN" w:bidi="ar"/>
        </w:rPr>
        <w:t>慈溪市桥头镇“无废绿色乡镇”建设服务采购项目</w:t>
      </w:r>
    </w:p>
    <w:tbl>
      <w:tblPr>
        <w:tblStyle w:val="44"/>
        <w:tblpPr w:leftFromText="180" w:rightFromText="180" w:vertAnchor="text" w:horzAnchor="page" w:tblpX="1339" w:tblpY="389"/>
        <w:tblOverlap w:val="never"/>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80"/>
        <w:gridCol w:w="6134"/>
        <w:gridCol w:w="675"/>
        <w:gridCol w:w="607"/>
        <w:gridCol w:w="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126" w:type="dxa"/>
            <w:gridSpan w:val="4"/>
            <w:tcBorders>
              <w:top w:val="double" w:color="auto" w:sz="4" w:space="0"/>
              <w:left w:val="double" w:color="auto" w:sz="4" w:space="0"/>
              <w:tl2br w:val="single" w:color="000000" w:sz="4" w:space="0"/>
            </w:tcBorders>
            <w:noWrap w:val="0"/>
            <w:vAlign w:val="top"/>
          </w:tcPr>
          <w:p>
            <w:pPr>
              <w:spacing w:line="340" w:lineRule="exact"/>
              <w:ind w:firstLine="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投标人得分</w:t>
            </w:r>
          </w:p>
          <w:p>
            <w:pPr>
              <w:spacing w:line="340" w:lineRule="exact"/>
              <w:ind w:firstLine="0" w:firstLineChars="0"/>
              <w:rPr>
                <w:rFonts w:hint="eastAsia" w:ascii="宋体" w:hAnsi="宋体" w:eastAsia="宋体" w:cs="宋体"/>
                <w:color w:val="auto"/>
                <w:highlight w:val="none"/>
                <w:lang w:val="ru-RU"/>
              </w:rPr>
            </w:pPr>
            <w:r>
              <w:rPr>
                <w:rFonts w:hint="eastAsia" w:ascii="宋体" w:hAnsi="宋体" w:eastAsia="宋体" w:cs="宋体"/>
                <w:color w:val="auto"/>
                <w:highlight w:val="none"/>
              </w:rPr>
              <w:t>评分内容及分值</w:t>
            </w:r>
          </w:p>
        </w:tc>
        <w:tc>
          <w:tcPr>
            <w:tcW w:w="754" w:type="dxa"/>
            <w:gridSpan w:val="2"/>
            <w:vMerge w:val="restart"/>
            <w:tcBorders>
              <w:top w:val="double" w:color="auto" w:sz="4" w:space="0"/>
              <w:right w:val="double" w:color="auto" w:sz="4" w:space="0"/>
            </w:tcBorders>
            <w:noWrap w:val="0"/>
            <w:vAlign w:val="center"/>
          </w:tcPr>
          <w:p>
            <w:pPr>
              <w:spacing w:line="34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451" w:type="dxa"/>
            <w:gridSpan w:val="3"/>
            <w:tcBorders>
              <w:left w:val="double" w:color="auto" w:sz="4" w:space="0"/>
            </w:tcBorders>
            <w:noWrap w:val="0"/>
            <w:vAlign w:val="center"/>
          </w:tcPr>
          <w:p>
            <w:pPr>
              <w:spacing w:line="3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评分内容</w:t>
            </w:r>
          </w:p>
        </w:tc>
        <w:tc>
          <w:tcPr>
            <w:tcW w:w="675" w:type="dxa"/>
            <w:noWrap w:val="0"/>
            <w:vAlign w:val="center"/>
          </w:tcPr>
          <w:p>
            <w:pPr>
              <w:spacing w:line="340" w:lineRule="exact"/>
              <w:ind w:firstLine="0" w:firstLineChars="0"/>
              <w:jc w:val="center"/>
              <w:rPr>
                <w:rFonts w:hint="eastAsia" w:ascii="宋体" w:hAnsi="宋体" w:eastAsia="宋体" w:cs="宋体"/>
                <w:color w:val="auto"/>
                <w:highlight w:val="none"/>
                <w:lang w:val="ru-RU"/>
              </w:rPr>
            </w:pPr>
            <w:r>
              <w:rPr>
                <w:rFonts w:hint="eastAsia" w:ascii="宋体" w:hAnsi="宋体" w:eastAsia="宋体" w:cs="宋体"/>
                <w:color w:val="auto"/>
                <w:highlight w:val="none"/>
              </w:rPr>
              <w:t>分值</w:t>
            </w:r>
          </w:p>
        </w:tc>
        <w:tc>
          <w:tcPr>
            <w:tcW w:w="754" w:type="dxa"/>
            <w:gridSpan w:val="2"/>
            <w:vMerge w:val="continue"/>
            <w:tcBorders>
              <w:right w:val="doub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937" w:type="dxa"/>
            <w:vMerge w:val="restart"/>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商务</w:t>
            </w:r>
            <w:r>
              <w:rPr>
                <w:rFonts w:hint="eastAsia" w:ascii="宋体" w:hAnsi="宋体" w:eastAsia="宋体" w:cs="宋体"/>
                <w:b/>
                <w:bCs/>
                <w:color w:val="auto"/>
                <w:highlight w:val="none"/>
                <w:lang w:val="en-US" w:eastAsia="zh-CN"/>
              </w:rPr>
              <w:t>资信</w:t>
            </w:r>
            <w:r>
              <w:rPr>
                <w:rFonts w:hint="eastAsia" w:ascii="宋体" w:hAnsi="宋体" w:eastAsia="宋体" w:cs="宋体"/>
                <w:b/>
                <w:bCs/>
                <w:color w:val="auto"/>
                <w:highlight w:val="none"/>
              </w:rPr>
              <w:t>分</w:t>
            </w:r>
          </w:p>
          <w:p>
            <w:pPr>
              <w:spacing w:line="340" w:lineRule="exact"/>
              <w:ind w:firstLine="0" w:firstLineChars="0"/>
              <w:jc w:val="center"/>
              <w:rPr>
                <w:rFonts w:hint="eastAsia" w:ascii="宋体" w:hAnsi="宋体" w:eastAsia="宋体" w:cs="宋体"/>
                <w:color w:val="auto"/>
                <w:highlight w:val="none"/>
              </w:rPr>
            </w:pPr>
            <w:r>
              <w:rPr>
                <w:rFonts w:hint="eastAsia" w:ascii="宋体" w:hAnsi="宋体" w:cs="宋体"/>
                <w:b/>
                <w:bCs/>
                <w:color w:val="auto"/>
                <w:highlight w:val="none"/>
                <w:lang w:val="en-US" w:eastAsia="zh-CN"/>
              </w:rPr>
              <w:t>18</w:t>
            </w:r>
            <w:r>
              <w:rPr>
                <w:rFonts w:hint="eastAsia" w:ascii="宋体" w:hAnsi="宋体" w:eastAsia="宋体" w:cs="宋体"/>
                <w:b/>
                <w:bCs/>
                <w:color w:val="auto"/>
                <w:highlight w:val="none"/>
              </w:rPr>
              <w:t>分</w:t>
            </w:r>
          </w:p>
        </w:tc>
        <w:tc>
          <w:tcPr>
            <w:tcW w:w="7514"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cs="宋体"/>
                <w:b/>
                <w:color w:val="auto"/>
                <w:szCs w:val="22"/>
                <w:highlight w:val="none"/>
              </w:rPr>
            </w:pPr>
            <w:r>
              <w:rPr>
                <w:rFonts w:hint="eastAsia" w:ascii="宋体" w:hAnsi="宋体" w:cs="宋体"/>
                <w:b/>
                <w:color w:val="auto"/>
                <w:szCs w:val="22"/>
                <w:highlight w:val="none"/>
                <w:lang w:val="en-US" w:eastAsia="zh-CN"/>
              </w:rPr>
              <w:t>1、环卫保洁一体化服务业绩</w:t>
            </w:r>
            <w:r>
              <w:rPr>
                <w:rFonts w:hint="eastAsia" w:ascii="宋体" w:hAnsi="宋体" w:cs="宋体"/>
                <w:b/>
                <w:color w:val="auto"/>
                <w:szCs w:val="22"/>
                <w:highlight w:val="none"/>
              </w:rPr>
              <w:t>（</w:t>
            </w:r>
            <w:r>
              <w:rPr>
                <w:rFonts w:hint="eastAsia" w:ascii="宋体" w:hAnsi="宋体" w:cs="宋体"/>
                <w:b/>
                <w:color w:val="auto"/>
                <w:szCs w:val="22"/>
                <w:highlight w:val="none"/>
                <w:lang w:val="en-US" w:eastAsia="zh-CN"/>
              </w:rPr>
              <w:t>3</w:t>
            </w:r>
            <w:r>
              <w:rPr>
                <w:rFonts w:hint="eastAsia" w:ascii="宋体" w:hAnsi="宋体" w:cs="宋体"/>
                <w:b/>
                <w:color w:val="auto"/>
                <w:szCs w:val="22"/>
                <w:highlight w:val="none"/>
              </w:rPr>
              <w:t>分）</w:t>
            </w:r>
          </w:p>
          <w:p>
            <w:pPr>
              <w:pStyle w:val="2"/>
              <w:numPr>
                <w:ilvl w:val="0"/>
                <w:numId w:val="0"/>
              </w:numPr>
              <w:ind w:firstLine="0" w:firstLineChars="0"/>
              <w:rPr>
                <w:rFonts w:hint="eastAsia" w:ascii="宋体" w:hAnsi="宋体" w:cs="宋体"/>
                <w:bCs w:val="0"/>
                <w:color w:val="auto"/>
                <w:sz w:val="21"/>
                <w:szCs w:val="21"/>
                <w:highlight w:val="none"/>
                <w:lang w:val="en-US" w:eastAsia="zh-CN"/>
              </w:rPr>
            </w:pPr>
            <w:r>
              <w:rPr>
                <w:rFonts w:hint="eastAsia" w:ascii="宋体" w:hAnsi="宋体" w:cs="宋体"/>
                <w:bCs w:val="0"/>
                <w:color w:val="auto"/>
                <w:sz w:val="21"/>
                <w:szCs w:val="21"/>
                <w:highlight w:val="none"/>
              </w:rPr>
              <w:t>提供201</w:t>
            </w:r>
            <w:r>
              <w:rPr>
                <w:rFonts w:hint="eastAsia" w:ascii="宋体" w:hAnsi="宋体" w:cs="宋体"/>
                <w:bCs w:val="0"/>
                <w:color w:val="auto"/>
                <w:sz w:val="21"/>
                <w:szCs w:val="21"/>
                <w:highlight w:val="none"/>
                <w:lang w:val="en-US" w:eastAsia="zh-CN"/>
              </w:rPr>
              <w:t>8</w:t>
            </w:r>
            <w:r>
              <w:rPr>
                <w:rFonts w:hint="eastAsia" w:ascii="宋体" w:hAnsi="宋体" w:cs="宋体"/>
                <w:bCs w:val="0"/>
                <w:color w:val="auto"/>
                <w:sz w:val="21"/>
                <w:szCs w:val="21"/>
                <w:highlight w:val="none"/>
              </w:rPr>
              <w:t>年1月1日（以合同签订日起算）至今承接过</w:t>
            </w:r>
            <w:r>
              <w:rPr>
                <w:rFonts w:hint="eastAsia" w:ascii="宋体" w:hAnsi="宋体" w:cs="宋体"/>
                <w:bCs w:val="0"/>
                <w:color w:val="auto"/>
                <w:sz w:val="21"/>
                <w:szCs w:val="21"/>
                <w:highlight w:val="none"/>
                <w:lang w:val="en-US" w:eastAsia="zh-CN"/>
              </w:rPr>
              <w:t>单个合同项目环卫保洁一体化</w:t>
            </w:r>
            <w:r>
              <w:rPr>
                <w:rFonts w:hint="eastAsia" w:ascii="宋体" w:hAnsi="宋体" w:cs="宋体"/>
                <w:bCs w:val="0"/>
                <w:color w:val="000000"/>
                <w:sz w:val="21"/>
                <w:szCs w:val="21"/>
                <w:highlight w:val="none"/>
                <w:lang w:val="en-US" w:eastAsia="zh-CN"/>
              </w:rPr>
              <w:t>（至少须包含环卫（道路）保洁、垃圾桶以桶换桶、垃圾分类、垃圾上门收集、再生资源回收服务内容中的其中四项）</w:t>
            </w:r>
            <w:r>
              <w:rPr>
                <w:rFonts w:hint="eastAsia" w:ascii="宋体" w:hAnsi="宋体" w:cs="宋体"/>
                <w:bCs w:val="0"/>
                <w:color w:val="auto"/>
                <w:sz w:val="21"/>
                <w:szCs w:val="21"/>
                <w:highlight w:val="none"/>
                <w:lang w:val="en-US" w:eastAsia="zh-CN"/>
              </w:rPr>
              <w:t>服务项目业绩的，</w:t>
            </w:r>
            <w:r>
              <w:rPr>
                <w:rFonts w:hint="eastAsia" w:ascii="宋体" w:hAnsi="宋体" w:cs="宋体"/>
                <w:bCs w:val="0"/>
                <w:color w:val="auto"/>
                <w:sz w:val="21"/>
                <w:szCs w:val="21"/>
                <w:highlight w:val="none"/>
              </w:rPr>
              <w:t>每提供一个</w:t>
            </w:r>
            <w:r>
              <w:rPr>
                <w:rFonts w:hint="eastAsia" w:ascii="宋体" w:hAnsi="宋体" w:cs="宋体"/>
                <w:bCs w:val="0"/>
                <w:color w:val="auto"/>
                <w:sz w:val="21"/>
                <w:szCs w:val="21"/>
                <w:highlight w:val="none"/>
                <w:lang w:val="en-US" w:eastAsia="zh-CN"/>
              </w:rPr>
              <w:t>业绩合同</w:t>
            </w:r>
            <w:r>
              <w:rPr>
                <w:rFonts w:hint="eastAsia" w:ascii="宋体" w:hAnsi="宋体" w:cs="宋体"/>
                <w:bCs w:val="0"/>
                <w:color w:val="auto"/>
                <w:sz w:val="21"/>
                <w:szCs w:val="21"/>
                <w:highlight w:val="none"/>
              </w:rPr>
              <w:t>得</w:t>
            </w:r>
            <w:r>
              <w:rPr>
                <w:rFonts w:hint="eastAsia" w:ascii="宋体" w:hAnsi="宋体" w:cs="宋体"/>
                <w:bCs w:val="0"/>
                <w:color w:val="auto"/>
                <w:sz w:val="21"/>
                <w:szCs w:val="21"/>
                <w:highlight w:val="none"/>
                <w:lang w:val="en-US" w:eastAsia="zh-CN"/>
              </w:rPr>
              <w:t>1</w:t>
            </w:r>
            <w:r>
              <w:rPr>
                <w:rFonts w:hint="eastAsia" w:ascii="宋体" w:hAnsi="宋体" w:cs="宋体"/>
                <w:bCs w:val="0"/>
                <w:color w:val="auto"/>
                <w:sz w:val="21"/>
                <w:szCs w:val="21"/>
                <w:highlight w:val="none"/>
              </w:rPr>
              <w:t>分</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rPr>
              <w:t>同一项目同一业主单位的不同年度业绩合同不累计得分</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本项最多得3分。</w:t>
            </w:r>
          </w:p>
          <w:p>
            <w:pPr>
              <w:pStyle w:val="2"/>
              <w:numPr>
                <w:ilvl w:val="0"/>
                <w:numId w:val="0"/>
              </w:numPr>
              <w:ind w:firstLine="0" w:firstLineChars="0"/>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投标文件中</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业绩合同扫描件并</w:t>
            </w:r>
            <w:r>
              <w:rPr>
                <w:rFonts w:hint="eastAsia" w:ascii="宋体" w:hAnsi="宋体" w:cs="宋体"/>
                <w:color w:val="auto"/>
                <w:sz w:val="21"/>
                <w:szCs w:val="21"/>
                <w:highlight w:val="none"/>
              </w:rPr>
              <w:t>加盖公章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合同内容未体现相应评分内容的另须提供合同业主方证明文件原件扫描件，否则不予计分</w:t>
            </w:r>
            <w:r>
              <w:rPr>
                <w:rFonts w:hint="eastAsia" w:ascii="宋体" w:hAnsi="宋体" w:cs="宋体"/>
                <w:color w:val="auto"/>
                <w:sz w:val="21"/>
                <w:szCs w:val="21"/>
                <w:highlight w:val="none"/>
                <w:lang w:eastAsia="zh-CN"/>
              </w:rPr>
              <w:t>。</w:t>
            </w:r>
          </w:p>
        </w:tc>
        <w:tc>
          <w:tcPr>
            <w:tcW w:w="675" w:type="dxa"/>
            <w:noWrap w:val="0"/>
            <w:vAlign w:val="center"/>
          </w:tcPr>
          <w:p>
            <w:pPr>
              <w:spacing w:line="34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rPr>
            </w:pPr>
          </w:p>
        </w:tc>
        <w:tc>
          <w:tcPr>
            <w:tcW w:w="7514" w:type="dxa"/>
            <w:gridSpan w:val="2"/>
            <w:tcBorders>
              <w:left w:val="single" w:color="auto" w:sz="4" w:space="0"/>
            </w:tcBorders>
            <w:noWrap w:val="0"/>
            <w:vAlign w:val="center"/>
          </w:tcPr>
          <w:p>
            <w:pPr>
              <w:spacing w:line="320" w:lineRule="exact"/>
              <w:ind w:firstLine="0" w:firstLineChars="0"/>
              <w:rPr>
                <w:rFonts w:hint="eastAsia" w:ascii="宋体" w:hAnsi="宋体" w:cs="宋体"/>
                <w:b/>
                <w:color w:val="auto"/>
                <w:sz w:val="21"/>
                <w:szCs w:val="22"/>
                <w:highlight w:val="none"/>
                <w:lang w:val="en-US" w:eastAsia="zh-CN"/>
              </w:rPr>
            </w:pPr>
            <w:r>
              <w:rPr>
                <w:rFonts w:hint="eastAsia" w:ascii="宋体" w:hAnsi="宋体" w:cs="宋体"/>
                <w:b/>
                <w:color w:val="auto"/>
                <w:sz w:val="21"/>
                <w:szCs w:val="22"/>
                <w:highlight w:val="none"/>
                <w:lang w:val="en-US" w:eastAsia="zh-CN"/>
              </w:rPr>
              <w:t>2、再生资源（可回收）体系建设运营合同或再生资源分拣中心运营合同业绩（4分）</w:t>
            </w:r>
          </w:p>
          <w:p>
            <w:pPr>
              <w:pStyle w:val="2"/>
              <w:numPr>
                <w:ilvl w:val="0"/>
                <w:numId w:val="0"/>
              </w:numPr>
              <w:ind w:firstLine="0" w:firstLineChars="0"/>
              <w:rPr>
                <w:rFonts w:hint="default"/>
                <w:color w:val="auto"/>
                <w:highlight w:val="none"/>
                <w:lang w:val="en-US" w:eastAsia="zh-CN"/>
              </w:rPr>
            </w:pPr>
            <w:r>
              <w:rPr>
                <w:rFonts w:hint="eastAsia" w:ascii="宋体" w:hAnsi="宋体" w:eastAsia="方正书宋简体" w:cs="宋体"/>
                <w:bCs w:val="0"/>
                <w:color w:val="auto"/>
                <w:kern w:val="2"/>
                <w:sz w:val="21"/>
                <w:szCs w:val="21"/>
                <w:highlight w:val="none"/>
                <w:lang w:val="en-US" w:eastAsia="zh-CN" w:bidi="ar-SA"/>
              </w:rPr>
              <w:t>提供2018年1月1日（以合同签订日起算）至今承接过</w:t>
            </w:r>
            <w:r>
              <w:rPr>
                <w:rFonts w:hint="eastAsia" w:ascii="宋体" w:hAnsi="宋体" w:cs="宋体"/>
                <w:bCs w:val="0"/>
                <w:color w:val="auto"/>
                <w:kern w:val="2"/>
                <w:sz w:val="21"/>
                <w:szCs w:val="21"/>
                <w:highlight w:val="none"/>
                <w:lang w:val="en-US" w:eastAsia="zh-CN" w:bidi="ar-SA"/>
              </w:rPr>
              <w:t>与本项目类似的</w:t>
            </w:r>
            <w:r>
              <w:rPr>
                <w:rFonts w:hint="eastAsia" w:ascii="宋体" w:hAnsi="宋体" w:eastAsia="方正书宋简体" w:cs="宋体"/>
                <w:bCs w:val="0"/>
                <w:color w:val="auto"/>
                <w:kern w:val="2"/>
                <w:sz w:val="21"/>
                <w:szCs w:val="21"/>
                <w:highlight w:val="none"/>
                <w:lang w:val="en-US" w:eastAsia="zh-CN" w:bidi="ar-SA"/>
              </w:rPr>
              <w:t>再生资源（可回收）体系建设运营</w:t>
            </w:r>
            <w:r>
              <w:rPr>
                <w:rFonts w:hint="eastAsia" w:ascii="宋体" w:hAnsi="宋体" w:cs="宋体"/>
                <w:bCs w:val="0"/>
                <w:color w:val="auto"/>
                <w:kern w:val="2"/>
                <w:sz w:val="21"/>
                <w:szCs w:val="21"/>
                <w:highlight w:val="none"/>
                <w:lang w:val="en-US" w:eastAsia="zh-CN" w:bidi="ar-SA"/>
              </w:rPr>
              <w:t>项目</w:t>
            </w:r>
            <w:r>
              <w:rPr>
                <w:rFonts w:hint="eastAsia" w:ascii="宋体" w:hAnsi="宋体" w:eastAsia="方正书宋简体" w:cs="宋体"/>
                <w:bCs w:val="0"/>
                <w:color w:val="auto"/>
                <w:kern w:val="2"/>
                <w:sz w:val="21"/>
                <w:szCs w:val="21"/>
                <w:highlight w:val="none"/>
                <w:lang w:val="en-US" w:eastAsia="zh-CN" w:bidi="ar-SA"/>
              </w:rPr>
              <w:t>或再生资源分拣中心运营</w:t>
            </w:r>
            <w:r>
              <w:rPr>
                <w:rFonts w:hint="eastAsia" w:ascii="宋体" w:hAnsi="宋体" w:cs="宋体"/>
                <w:bCs w:val="0"/>
                <w:color w:val="auto"/>
                <w:kern w:val="2"/>
                <w:sz w:val="21"/>
                <w:szCs w:val="21"/>
                <w:highlight w:val="none"/>
                <w:lang w:val="en-US" w:eastAsia="zh-CN" w:bidi="ar-SA"/>
              </w:rPr>
              <w:t>项目</w:t>
            </w:r>
            <w:r>
              <w:rPr>
                <w:rFonts w:hint="eastAsia" w:ascii="宋体" w:hAnsi="宋体" w:eastAsia="方正书宋简体" w:cs="宋体"/>
                <w:bCs w:val="0"/>
                <w:color w:val="auto"/>
                <w:kern w:val="2"/>
                <w:sz w:val="21"/>
                <w:szCs w:val="21"/>
                <w:highlight w:val="none"/>
                <w:lang w:val="en-US" w:eastAsia="zh-CN" w:bidi="ar-SA"/>
              </w:rPr>
              <w:t>业绩的，每提供一个业绩合同得</w:t>
            </w:r>
            <w:r>
              <w:rPr>
                <w:rFonts w:hint="eastAsia" w:ascii="宋体" w:hAnsi="宋体" w:cs="宋体"/>
                <w:bCs w:val="0"/>
                <w:color w:val="auto"/>
                <w:kern w:val="2"/>
                <w:sz w:val="21"/>
                <w:szCs w:val="21"/>
                <w:highlight w:val="none"/>
                <w:lang w:val="en-US" w:eastAsia="zh-CN" w:bidi="ar-SA"/>
              </w:rPr>
              <w:t>2</w:t>
            </w:r>
            <w:r>
              <w:rPr>
                <w:rFonts w:hint="eastAsia" w:ascii="宋体" w:hAnsi="宋体" w:eastAsia="方正书宋简体" w:cs="宋体"/>
                <w:bCs w:val="0"/>
                <w:color w:val="auto"/>
                <w:kern w:val="2"/>
                <w:sz w:val="21"/>
                <w:szCs w:val="21"/>
                <w:highlight w:val="none"/>
                <w:lang w:val="en-US" w:eastAsia="zh-CN" w:bidi="ar-SA"/>
              </w:rPr>
              <w:t>分，同一项目同一业主单位的不同年度业绩合同不累计得分，本项最多得</w:t>
            </w:r>
            <w:r>
              <w:rPr>
                <w:rFonts w:hint="eastAsia" w:ascii="宋体" w:hAnsi="宋体" w:cs="宋体"/>
                <w:bCs w:val="0"/>
                <w:color w:val="auto"/>
                <w:kern w:val="2"/>
                <w:sz w:val="21"/>
                <w:szCs w:val="21"/>
                <w:highlight w:val="none"/>
                <w:lang w:val="en-US" w:eastAsia="zh-CN" w:bidi="ar-SA"/>
              </w:rPr>
              <w:t>4</w:t>
            </w:r>
            <w:r>
              <w:rPr>
                <w:rFonts w:hint="eastAsia" w:ascii="宋体" w:hAnsi="宋体" w:eastAsia="方正书宋简体" w:cs="宋体"/>
                <w:bCs w:val="0"/>
                <w:color w:val="auto"/>
                <w:kern w:val="2"/>
                <w:sz w:val="21"/>
                <w:szCs w:val="21"/>
                <w:highlight w:val="none"/>
                <w:lang w:val="en-US" w:eastAsia="zh-CN" w:bidi="ar-SA"/>
              </w:rPr>
              <w:t>分。投标文件中提供业绩合同扫描件并加盖公章，合同内容未体现相应评分内容的另须提供合同业主方证明文件原件扫描件，否则不予计分。</w:t>
            </w:r>
          </w:p>
        </w:tc>
        <w:tc>
          <w:tcPr>
            <w:tcW w:w="675" w:type="dxa"/>
            <w:noWrap w:val="0"/>
            <w:vAlign w:val="center"/>
          </w:tcPr>
          <w:p>
            <w:pPr>
              <w:spacing w:line="34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rPr>
            </w:pPr>
          </w:p>
        </w:tc>
        <w:tc>
          <w:tcPr>
            <w:tcW w:w="7514" w:type="dxa"/>
            <w:gridSpan w:val="2"/>
            <w:tcBorders>
              <w:left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spacing w:line="288" w:lineRule="auto"/>
              <w:ind w:right="0" w:rightChars="0"/>
              <w:textAlignment w:val="auto"/>
              <w:outlineLvl w:val="9"/>
              <w:rPr>
                <w:rFonts w:hint="eastAsia" w:ascii="宋体" w:hAnsi="宋体" w:cs="宋体"/>
                <w:b/>
                <w:color w:val="auto"/>
                <w:sz w:val="21"/>
                <w:szCs w:val="22"/>
                <w:highlight w:val="none"/>
                <w:lang w:val="en-US" w:eastAsia="zh-CN"/>
              </w:rPr>
            </w:pPr>
            <w:r>
              <w:rPr>
                <w:rFonts w:hint="eastAsia" w:ascii="宋体" w:hAnsi="宋体" w:cs="宋体"/>
                <w:b/>
                <w:color w:val="auto"/>
                <w:sz w:val="21"/>
                <w:szCs w:val="22"/>
                <w:highlight w:val="none"/>
                <w:lang w:val="en-US" w:eastAsia="zh-CN"/>
              </w:rPr>
              <w:t>一般工业固废处置能力证明（5分）</w:t>
            </w:r>
          </w:p>
          <w:p>
            <w:pPr>
              <w:keepNext w:val="0"/>
              <w:keepLines w:val="0"/>
              <w:pageBreakBefore w:val="0"/>
              <w:numPr>
                <w:ilvl w:val="0"/>
                <w:numId w:val="0"/>
              </w:numPr>
              <w:kinsoku/>
              <w:wordWrap/>
              <w:overflowPunct/>
              <w:topLinePunct w:val="0"/>
              <w:autoSpaceDE/>
              <w:autoSpaceDN/>
              <w:bidi w:val="0"/>
              <w:adjustRightInd/>
              <w:spacing w:line="288" w:lineRule="auto"/>
              <w:ind w:right="0" w:rightChars="0"/>
              <w:textAlignment w:val="auto"/>
              <w:outlineLvl w:val="9"/>
              <w:rPr>
                <w:rFonts w:hint="default" w:ascii="宋体" w:hAnsi="宋体" w:eastAsia="方正书宋简体" w:cs="宋体"/>
                <w:bCs w:val="0"/>
                <w:color w:val="auto"/>
                <w:kern w:val="2"/>
                <w:sz w:val="21"/>
                <w:szCs w:val="21"/>
                <w:highlight w:val="none"/>
                <w:lang w:val="en-US" w:eastAsia="zh-CN" w:bidi="ar-SA"/>
              </w:rPr>
            </w:pPr>
            <w:r>
              <w:rPr>
                <w:rFonts w:hint="eastAsia" w:ascii="宋体" w:hAnsi="宋体" w:eastAsia="方正书宋简体" w:cs="宋体"/>
                <w:b w:val="0"/>
                <w:bCs w:val="0"/>
                <w:color w:val="auto"/>
                <w:sz w:val="21"/>
                <w:szCs w:val="21"/>
                <w:highlight w:val="none"/>
                <w:lang w:val="en-US" w:eastAsia="zh-CN"/>
              </w:rPr>
              <w:t>投标单位具备一般工业固废处置能力的，提供营业执照、一般工业固废处置证明材料的得5分；投标单位与一般工业固废处置单位合作的，须提供与处置单位的合作合同、一般工业固废接受证明、处置单位一般工业固废处置能力证明材料的得5分，本项最多得5分。</w:t>
            </w:r>
            <w:r>
              <w:rPr>
                <w:rFonts w:hint="eastAsia" w:ascii="宋体" w:hAnsi="宋体" w:eastAsia="方正书宋简体" w:cs="宋体"/>
                <w:bCs w:val="0"/>
                <w:color w:val="auto"/>
                <w:sz w:val="21"/>
                <w:szCs w:val="21"/>
                <w:highlight w:val="none"/>
                <w:lang w:val="en-US" w:eastAsia="zh-CN"/>
              </w:rPr>
              <w:t>投标文件中</w:t>
            </w:r>
            <w:r>
              <w:rPr>
                <w:rFonts w:hint="eastAsia" w:ascii="宋体" w:hAnsi="宋体" w:eastAsia="方正书宋简体" w:cs="宋体"/>
                <w:bCs w:val="0"/>
                <w:color w:val="auto"/>
                <w:sz w:val="21"/>
                <w:szCs w:val="21"/>
                <w:highlight w:val="none"/>
              </w:rPr>
              <w:t>提供</w:t>
            </w:r>
            <w:r>
              <w:rPr>
                <w:rFonts w:hint="eastAsia" w:ascii="宋体" w:hAnsi="宋体" w:eastAsia="方正书宋简体" w:cs="宋体"/>
                <w:bCs w:val="0"/>
                <w:color w:val="auto"/>
                <w:sz w:val="21"/>
                <w:szCs w:val="21"/>
                <w:highlight w:val="none"/>
                <w:lang w:val="en-US" w:eastAsia="zh-CN"/>
              </w:rPr>
              <w:t>相关证明或文件扫描件并</w:t>
            </w:r>
            <w:r>
              <w:rPr>
                <w:rFonts w:hint="eastAsia" w:ascii="宋体" w:hAnsi="宋体" w:eastAsia="方正书宋简体" w:cs="宋体"/>
                <w:bCs w:val="0"/>
                <w:color w:val="auto"/>
                <w:sz w:val="21"/>
                <w:szCs w:val="21"/>
                <w:highlight w:val="none"/>
              </w:rPr>
              <w:t>加盖公章</w:t>
            </w:r>
            <w:r>
              <w:rPr>
                <w:rFonts w:hint="eastAsia" w:ascii="宋体" w:hAnsi="宋体" w:eastAsia="方正书宋简体" w:cs="宋体"/>
                <w:bCs w:val="0"/>
                <w:color w:val="auto"/>
                <w:sz w:val="21"/>
                <w:szCs w:val="21"/>
                <w:highlight w:val="none"/>
                <w:lang w:eastAsia="zh-CN"/>
              </w:rPr>
              <w:t>。</w:t>
            </w:r>
          </w:p>
        </w:tc>
        <w:tc>
          <w:tcPr>
            <w:tcW w:w="675" w:type="dxa"/>
            <w:noWrap w:val="0"/>
            <w:vAlign w:val="center"/>
          </w:tcPr>
          <w:p>
            <w:pPr>
              <w:spacing w:line="34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rPr>
            </w:pPr>
          </w:p>
        </w:tc>
        <w:tc>
          <w:tcPr>
            <w:tcW w:w="7514"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cs="宋体"/>
                <w:b/>
                <w:color w:val="auto"/>
                <w:szCs w:val="22"/>
                <w:highlight w:val="none"/>
                <w:lang w:val="en-US" w:eastAsia="zh-CN"/>
              </w:rPr>
            </w:pPr>
            <w:r>
              <w:rPr>
                <w:rFonts w:hint="eastAsia" w:ascii="宋体" w:hAnsi="宋体" w:cs="宋体"/>
                <w:b/>
                <w:color w:val="auto"/>
                <w:szCs w:val="22"/>
                <w:highlight w:val="none"/>
                <w:lang w:val="en-US" w:eastAsia="zh-CN"/>
              </w:rPr>
              <w:t>4、企业荣誉（3分）</w:t>
            </w:r>
          </w:p>
          <w:p>
            <w:pPr>
              <w:pStyle w:val="2"/>
              <w:numPr>
                <w:ilvl w:val="0"/>
                <w:numId w:val="0"/>
              </w:numPr>
              <w:ind w:left="0" w:leftChars="0" w:firstLine="0" w:firstLineChars="0"/>
              <w:rPr>
                <w:rFonts w:hint="eastAsia" w:ascii="宋体" w:hAnsi="宋体" w:eastAsia="方正书宋简体" w:cs="宋体"/>
                <w:bCs w:val="0"/>
                <w:color w:val="auto"/>
                <w:kern w:val="2"/>
                <w:sz w:val="21"/>
                <w:szCs w:val="21"/>
                <w:highlight w:val="none"/>
                <w:lang w:val="en-US" w:eastAsia="zh-CN" w:bidi="ar-SA"/>
              </w:rPr>
            </w:pPr>
            <w:r>
              <w:rPr>
                <w:rFonts w:hint="eastAsia" w:ascii="宋体" w:hAnsi="宋体" w:eastAsia="方正书宋简体" w:cs="宋体"/>
                <w:bCs w:val="0"/>
                <w:color w:val="auto"/>
                <w:kern w:val="2"/>
                <w:sz w:val="21"/>
                <w:szCs w:val="21"/>
                <w:highlight w:val="none"/>
                <w:lang w:val="en-US" w:eastAsia="zh-CN" w:bidi="ar-SA"/>
              </w:rPr>
              <w:t>提供2018年1月1日后（以文件或证书</w:t>
            </w:r>
            <w:r>
              <w:rPr>
                <w:rFonts w:hint="eastAsia" w:ascii="宋体" w:hAnsi="宋体" w:eastAsia="宋体" w:cs="宋体"/>
                <w:bCs/>
                <w:color w:val="auto"/>
                <w:kern w:val="2"/>
                <w:sz w:val="21"/>
                <w:szCs w:val="22"/>
                <w:highlight w:val="none"/>
                <w:lang w:val="en-US" w:eastAsia="zh-CN" w:bidi="ar-SA"/>
              </w:rPr>
              <w:t>颁发时间为准），</w:t>
            </w:r>
            <w:r>
              <w:rPr>
                <w:rFonts w:hint="eastAsia" w:ascii="宋体" w:hAnsi="宋体" w:cs="宋体"/>
                <w:bCs/>
                <w:color w:val="auto"/>
                <w:kern w:val="2"/>
                <w:sz w:val="21"/>
                <w:szCs w:val="22"/>
                <w:highlight w:val="none"/>
                <w:lang w:val="en-US" w:eastAsia="zh-CN" w:bidi="ar-SA"/>
              </w:rPr>
              <w:t>获得县（区）级及以上行政主管部门颁发的涉及“</w:t>
            </w:r>
            <w:r>
              <w:rPr>
                <w:rFonts w:hint="eastAsia" w:ascii="宋体" w:hAnsi="宋体" w:eastAsia="宋体" w:cs="宋体"/>
                <w:bCs/>
                <w:color w:val="auto"/>
                <w:kern w:val="2"/>
                <w:sz w:val="21"/>
                <w:szCs w:val="22"/>
                <w:highlight w:val="none"/>
                <w:lang w:val="en-US" w:eastAsia="zh-CN" w:bidi="ar-SA"/>
              </w:rPr>
              <w:t>企业</w:t>
            </w:r>
            <w:r>
              <w:rPr>
                <w:rFonts w:hint="eastAsia" w:ascii="宋体" w:hAnsi="宋体" w:cs="宋体"/>
                <w:bCs/>
                <w:color w:val="auto"/>
                <w:kern w:val="2"/>
                <w:sz w:val="21"/>
                <w:szCs w:val="22"/>
                <w:highlight w:val="none"/>
                <w:lang w:val="en-US" w:eastAsia="zh-CN" w:bidi="ar-SA"/>
              </w:rPr>
              <w:t>环卫</w:t>
            </w:r>
            <w:r>
              <w:rPr>
                <w:rFonts w:hint="eastAsia" w:ascii="宋体" w:hAnsi="宋体" w:eastAsia="宋体" w:cs="宋体"/>
                <w:bCs/>
                <w:color w:val="auto"/>
                <w:kern w:val="2"/>
                <w:sz w:val="21"/>
                <w:szCs w:val="22"/>
                <w:highlight w:val="none"/>
                <w:lang w:val="en-US" w:eastAsia="zh-CN" w:bidi="ar-SA"/>
              </w:rPr>
              <w:t>或垃圾分类或再生资源回收工作</w:t>
            </w:r>
            <w:r>
              <w:rPr>
                <w:rFonts w:hint="eastAsia" w:ascii="宋体" w:hAnsi="宋体" w:cs="宋体"/>
                <w:bCs/>
                <w:color w:val="auto"/>
                <w:kern w:val="2"/>
                <w:sz w:val="21"/>
                <w:szCs w:val="22"/>
                <w:highlight w:val="none"/>
                <w:lang w:val="en-US" w:eastAsia="zh-CN" w:bidi="ar-SA"/>
              </w:rPr>
              <w:t>”方面荣誉的</w:t>
            </w:r>
            <w:r>
              <w:rPr>
                <w:rFonts w:hint="eastAsia" w:ascii="宋体" w:hAnsi="宋体" w:eastAsia="宋体" w:cs="宋体"/>
                <w:bCs/>
                <w:color w:val="auto"/>
                <w:kern w:val="2"/>
                <w:sz w:val="21"/>
                <w:szCs w:val="22"/>
                <w:highlight w:val="none"/>
                <w:lang w:val="en-US" w:eastAsia="zh-CN" w:bidi="ar-SA"/>
              </w:rPr>
              <w:t>，每提供一个得1.5分，本项最多得3分。</w:t>
            </w:r>
            <w:r>
              <w:rPr>
                <w:rFonts w:hint="eastAsia" w:ascii="宋体" w:hAnsi="宋体" w:eastAsia="宋体" w:cs="宋体"/>
                <w:bCs/>
                <w:color w:val="auto"/>
                <w:sz w:val="21"/>
                <w:szCs w:val="22"/>
                <w:highlight w:val="none"/>
                <w:lang w:val="en-US" w:eastAsia="zh-CN"/>
              </w:rPr>
              <w:t>投标文件中</w:t>
            </w:r>
            <w:r>
              <w:rPr>
                <w:rFonts w:hint="eastAsia" w:ascii="宋体" w:hAnsi="宋体" w:eastAsia="宋体" w:cs="宋体"/>
                <w:bCs/>
                <w:color w:val="auto"/>
                <w:sz w:val="21"/>
                <w:szCs w:val="22"/>
                <w:highlight w:val="none"/>
              </w:rPr>
              <w:t>提供</w:t>
            </w:r>
            <w:r>
              <w:rPr>
                <w:rFonts w:hint="eastAsia" w:ascii="宋体" w:hAnsi="宋体" w:eastAsia="宋体" w:cs="宋体"/>
                <w:bCs/>
                <w:color w:val="auto"/>
                <w:sz w:val="21"/>
                <w:szCs w:val="22"/>
                <w:highlight w:val="none"/>
                <w:lang w:val="en-US" w:eastAsia="zh-CN"/>
              </w:rPr>
              <w:t>相关荣誉证书或文件扫描件并</w:t>
            </w:r>
            <w:r>
              <w:rPr>
                <w:rFonts w:hint="eastAsia" w:ascii="宋体" w:hAnsi="宋体" w:eastAsia="宋体" w:cs="宋体"/>
                <w:bCs/>
                <w:color w:val="auto"/>
                <w:sz w:val="21"/>
                <w:szCs w:val="22"/>
                <w:highlight w:val="none"/>
              </w:rPr>
              <w:t>加盖公章</w:t>
            </w:r>
            <w:r>
              <w:rPr>
                <w:rFonts w:hint="eastAsia" w:ascii="宋体" w:hAnsi="宋体" w:eastAsia="宋体" w:cs="宋体"/>
                <w:bCs/>
                <w:color w:val="auto"/>
                <w:sz w:val="21"/>
                <w:szCs w:val="22"/>
                <w:highlight w:val="none"/>
                <w:lang w:eastAsia="zh-CN"/>
              </w:rPr>
              <w:t>。</w:t>
            </w:r>
          </w:p>
        </w:tc>
        <w:tc>
          <w:tcPr>
            <w:tcW w:w="675" w:type="dxa"/>
            <w:noWrap w:val="0"/>
            <w:vAlign w:val="center"/>
          </w:tcPr>
          <w:p>
            <w:pPr>
              <w:spacing w:line="34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color w:val="auto"/>
                <w:highlight w:val="none"/>
              </w:rPr>
            </w:pPr>
          </w:p>
        </w:tc>
        <w:tc>
          <w:tcPr>
            <w:tcW w:w="7514"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ind w:firstLine="0" w:firstLineChars="0"/>
              <w:textAlignment w:val="auto"/>
              <w:rPr>
                <w:rFonts w:hint="default" w:ascii="宋体" w:hAnsi="宋体" w:cs="宋体"/>
                <w:b/>
                <w:color w:val="auto"/>
                <w:szCs w:val="22"/>
                <w:highlight w:val="none"/>
                <w:lang w:val="en-US" w:eastAsia="zh-CN"/>
              </w:rPr>
            </w:pPr>
            <w:r>
              <w:rPr>
                <w:rFonts w:hint="eastAsia" w:ascii="宋体" w:hAnsi="宋体" w:cs="宋体"/>
                <w:b/>
                <w:color w:val="auto"/>
                <w:szCs w:val="22"/>
                <w:highlight w:val="none"/>
                <w:lang w:val="en-US" w:eastAsia="zh-CN"/>
              </w:rPr>
              <w:t>5、体系认证证书（3分）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宋体" w:hAnsi="宋体" w:eastAsia="方正书宋简体" w:cs="宋体"/>
                <w:bCs/>
                <w:color w:val="auto"/>
                <w:kern w:val="2"/>
                <w:sz w:val="21"/>
                <w:szCs w:val="22"/>
                <w:highlight w:val="none"/>
                <w:lang w:val="en-US" w:eastAsia="zh-CN" w:bidi="ar-SA"/>
              </w:rPr>
            </w:pPr>
            <w:r>
              <w:rPr>
                <w:rFonts w:hint="eastAsia" w:ascii="宋体" w:hAnsi="宋体" w:eastAsia="方正书宋简体" w:cs="宋体"/>
                <w:bCs/>
                <w:color w:val="auto"/>
                <w:kern w:val="2"/>
                <w:sz w:val="21"/>
                <w:szCs w:val="22"/>
                <w:highlight w:val="none"/>
                <w:lang w:val="en-US" w:eastAsia="zh-CN" w:bidi="ar-SA"/>
              </w:rPr>
              <w:t>投标人具有有效的质量管理体系认证证书得1分、具有有效的环境管理体系认证证书得1分、具有有效的职业健康安全管理体系认证证书得1分。最多得3分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宋体" w:hAnsi="宋体" w:eastAsia="宋体" w:cs="宋体"/>
                <w:bCs/>
                <w:color w:val="auto"/>
                <w:kern w:val="2"/>
                <w:sz w:val="21"/>
                <w:szCs w:val="28"/>
                <w:highlight w:val="none"/>
                <w:lang w:val="en-US" w:eastAsia="zh-CN" w:bidi="ar-SA"/>
              </w:rPr>
            </w:pPr>
            <w:r>
              <w:rPr>
                <w:rFonts w:hint="eastAsia" w:ascii="宋体" w:hAnsi="宋体" w:eastAsia="方正书宋简体" w:cs="宋体"/>
                <w:bCs/>
                <w:color w:val="auto"/>
                <w:kern w:val="2"/>
                <w:sz w:val="21"/>
                <w:szCs w:val="22"/>
                <w:highlight w:val="none"/>
                <w:lang w:val="en-US" w:eastAsia="zh-CN" w:bidi="ar-SA"/>
              </w:rPr>
              <w:t>投标文件中提供相关体系认证证书扫描件并加盖公章，认证范围须包含环卫保洁或垃圾分类或再生资源回收。</w:t>
            </w:r>
          </w:p>
        </w:tc>
        <w:tc>
          <w:tcPr>
            <w:tcW w:w="675" w:type="dxa"/>
            <w:noWrap w:val="0"/>
            <w:vAlign w:val="center"/>
          </w:tcPr>
          <w:p>
            <w:pPr>
              <w:spacing w:line="340" w:lineRule="exact"/>
              <w:jc w:val="center"/>
              <w:rPr>
                <w:rFonts w:hint="default" w:ascii="宋体" w:hAnsi="宋体" w:eastAsia="宋体" w:cs="宋体"/>
                <w:color w:val="auto"/>
                <w:kern w:val="2"/>
                <w:sz w:val="21"/>
                <w:highlight w:val="none"/>
                <w:lang w:val="en-US" w:eastAsia="zh-CN" w:bidi="ar-SA"/>
              </w:rPr>
            </w:pPr>
            <w:r>
              <w:rPr>
                <w:rFonts w:hint="eastAsia" w:ascii="宋体" w:hAnsi="宋体" w:cs="宋体"/>
                <w:color w:val="auto"/>
                <w:kern w:val="2"/>
                <w:sz w:val="21"/>
                <w:highlight w:val="none"/>
                <w:lang w:val="en-US" w:eastAsia="zh-CN" w:bidi="ar-SA"/>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trPr>
        <w:tc>
          <w:tcPr>
            <w:tcW w:w="937" w:type="dxa"/>
            <w:vMerge w:val="restart"/>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技术分</w:t>
            </w:r>
          </w:p>
          <w:p>
            <w:pPr>
              <w:spacing w:line="340" w:lineRule="exact"/>
              <w:ind w:firstLine="0" w:firstLineChars="0"/>
              <w:jc w:val="center"/>
              <w:rPr>
                <w:rFonts w:hint="eastAsia" w:ascii="宋体" w:hAnsi="宋体" w:eastAsia="宋体" w:cs="宋体"/>
                <w:color w:val="auto"/>
                <w:highlight w:val="none"/>
              </w:rPr>
            </w:pPr>
            <w:r>
              <w:rPr>
                <w:rFonts w:hint="eastAsia" w:ascii="宋体" w:hAnsi="宋体" w:cs="宋体"/>
                <w:b/>
                <w:bCs/>
                <w:color w:val="auto"/>
                <w:highlight w:val="none"/>
                <w:lang w:val="en-US" w:eastAsia="zh-CN"/>
              </w:rPr>
              <w:t>57</w:t>
            </w:r>
            <w:r>
              <w:rPr>
                <w:rFonts w:hint="eastAsia" w:ascii="宋体" w:hAnsi="宋体" w:eastAsia="宋体" w:cs="宋体"/>
                <w:b/>
                <w:bCs/>
                <w:color w:val="auto"/>
                <w:highlight w:val="none"/>
              </w:rPr>
              <w:t>分</w:t>
            </w:r>
          </w:p>
        </w:tc>
        <w:tc>
          <w:tcPr>
            <w:tcW w:w="1380"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智</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慧</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环</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卫</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管</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理</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系</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统</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方</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案</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default"/>
                <w:color w:val="auto"/>
                <w:highlight w:val="none"/>
                <w:lang w:val="en-US" w:eastAsia="zh-CN"/>
              </w:rPr>
            </w:pPr>
            <w:r>
              <w:rPr>
                <w:rFonts w:hint="eastAsia" w:ascii="宋体" w:hAnsi="宋体" w:cs="仿宋_GB2312"/>
                <w:b/>
                <w:bCs/>
                <w:color w:val="auto"/>
                <w:szCs w:val="21"/>
                <w:highlight w:val="none"/>
                <w:lang w:val="en-US" w:eastAsia="zh-CN"/>
              </w:rPr>
              <w:t>（10分）</w:t>
            </w:r>
          </w:p>
        </w:tc>
        <w:tc>
          <w:tcPr>
            <w:tcW w:w="6134" w:type="dxa"/>
            <w:tcBorders>
              <w:left w:val="single" w:color="auto" w:sz="4" w:space="0"/>
            </w:tcBorders>
            <w:noWrap w:val="0"/>
            <w:vAlign w:val="center"/>
          </w:tcPr>
          <w:p>
            <w:pPr>
              <w:keepNext w:val="0"/>
              <w:keepLines w:val="0"/>
              <w:widowControl/>
              <w:numPr>
                <w:ilvl w:val="0"/>
                <w:numId w:val="8"/>
              </w:numPr>
              <w:suppressLineNumbers w:val="0"/>
              <w:spacing w:line="380" w:lineRule="exact"/>
              <w:jc w:val="left"/>
              <w:rPr>
                <w:rFonts w:hint="eastAsia" w:ascii="宋体" w:hAnsi="宋体" w:cs="宋体"/>
                <w:b/>
                <w:bCs/>
                <w:color w:val="auto"/>
                <w:kern w:val="0"/>
                <w:sz w:val="22"/>
                <w:szCs w:val="22"/>
                <w:highlight w:val="none"/>
                <w:lang w:val="en-US" w:eastAsia="zh-CN" w:bidi="ar"/>
              </w:rPr>
            </w:pPr>
            <w:r>
              <w:rPr>
                <w:rFonts w:hint="eastAsia" w:ascii="宋体" w:hAnsi="宋体" w:cs="宋体"/>
                <w:b/>
                <w:bCs/>
                <w:color w:val="auto"/>
                <w:kern w:val="0"/>
                <w:sz w:val="22"/>
                <w:szCs w:val="22"/>
                <w:highlight w:val="none"/>
                <w:lang w:val="en-US" w:eastAsia="zh-CN" w:bidi="ar"/>
              </w:rPr>
              <w:t>桥头镇智慧</w:t>
            </w:r>
            <w:r>
              <w:rPr>
                <w:rFonts w:hint="eastAsia" w:ascii="宋体" w:hAnsi="宋体" w:eastAsia="宋体" w:cs="宋体"/>
                <w:b/>
                <w:bCs/>
                <w:color w:val="auto"/>
                <w:kern w:val="0"/>
                <w:sz w:val="22"/>
                <w:szCs w:val="22"/>
                <w:highlight w:val="none"/>
                <w:lang w:val="en-US" w:eastAsia="zh-CN" w:bidi="ar"/>
              </w:rPr>
              <w:t>环卫一体化管理系统</w:t>
            </w:r>
            <w:r>
              <w:rPr>
                <w:rFonts w:hint="eastAsia" w:ascii="宋体" w:hAnsi="宋体" w:cs="宋体"/>
                <w:b/>
                <w:bCs/>
                <w:color w:val="auto"/>
                <w:kern w:val="0"/>
                <w:sz w:val="22"/>
                <w:szCs w:val="22"/>
                <w:highlight w:val="none"/>
                <w:lang w:val="en-US" w:eastAsia="zh-CN" w:bidi="ar"/>
              </w:rPr>
              <w:t>建设（4分）</w:t>
            </w:r>
          </w:p>
          <w:p>
            <w:pPr>
              <w:pStyle w:val="2"/>
              <w:widowControl/>
              <w:numPr>
                <w:ilvl w:val="0"/>
                <w:numId w:val="0"/>
              </w:numPr>
              <w:spacing w:line="380" w:lineRule="exact"/>
              <w:ind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方正书宋简体" w:cs="宋体"/>
                <w:bCs w:val="0"/>
                <w:color w:val="auto"/>
                <w:kern w:val="2"/>
                <w:sz w:val="21"/>
                <w:szCs w:val="21"/>
                <w:highlight w:val="none"/>
                <w:lang w:val="en-US" w:eastAsia="zh-CN" w:bidi="ar-SA"/>
              </w:rPr>
              <w:t>针对</w:t>
            </w:r>
            <w:r>
              <w:rPr>
                <w:rFonts w:hint="eastAsia" w:ascii="宋体" w:hAnsi="宋体" w:cs="宋体"/>
                <w:bCs w:val="0"/>
                <w:color w:val="auto"/>
                <w:kern w:val="2"/>
                <w:sz w:val="21"/>
                <w:szCs w:val="21"/>
                <w:highlight w:val="none"/>
                <w:lang w:val="en-US" w:eastAsia="zh-CN" w:bidi="ar-SA"/>
              </w:rPr>
              <w:t>桥头镇</w:t>
            </w:r>
            <w:r>
              <w:rPr>
                <w:rFonts w:hint="eastAsia" w:ascii="宋体" w:hAnsi="宋体" w:eastAsia="方正书宋简体" w:cs="宋体"/>
                <w:bCs w:val="0"/>
                <w:color w:val="auto"/>
                <w:kern w:val="2"/>
                <w:sz w:val="21"/>
                <w:szCs w:val="21"/>
                <w:highlight w:val="none"/>
                <w:lang w:val="en-US" w:eastAsia="zh-CN" w:bidi="ar-SA"/>
              </w:rPr>
              <w:t>智慧环卫</w:t>
            </w:r>
            <w:r>
              <w:rPr>
                <w:rFonts w:hint="eastAsia" w:ascii="宋体" w:hAnsi="宋体" w:cs="宋体"/>
                <w:bCs w:val="0"/>
                <w:color w:val="auto"/>
                <w:kern w:val="2"/>
                <w:sz w:val="21"/>
                <w:szCs w:val="21"/>
                <w:highlight w:val="none"/>
                <w:lang w:val="en-US" w:eastAsia="zh-CN" w:bidi="ar-SA"/>
              </w:rPr>
              <w:t>管理</w:t>
            </w:r>
            <w:r>
              <w:rPr>
                <w:rFonts w:hint="eastAsia" w:ascii="宋体" w:hAnsi="宋体" w:eastAsia="方正书宋简体" w:cs="宋体"/>
                <w:bCs w:val="0"/>
                <w:color w:val="auto"/>
                <w:kern w:val="2"/>
                <w:sz w:val="21"/>
                <w:szCs w:val="21"/>
                <w:highlight w:val="none"/>
                <w:lang w:val="en-US" w:eastAsia="zh-CN" w:bidi="ar-SA"/>
              </w:rPr>
              <w:t>系统</w:t>
            </w:r>
            <w:r>
              <w:rPr>
                <w:rFonts w:hint="eastAsia" w:ascii="宋体" w:hAnsi="宋体" w:cs="宋体"/>
                <w:bCs w:val="0"/>
                <w:color w:val="auto"/>
                <w:kern w:val="2"/>
                <w:sz w:val="21"/>
                <w:szCs w:val="21"/>
                <w:highlight w:val="none"/>
                <w:lang w:val="en-US" w:eastAsia="zh-CN" w:bidi="ar-SA"/>
              </w:rPr>
              <w:t>、互联网</w:t>
            </w:r>
            <w:r>
              <w:rPr>
                <w:rFonts w:hint="eastAsia" w:ascii="宋体" w:hAnsi="宋体" w:eastAsia="方正书宋简体" w:cs="宋体"/>
                <w:bCs w:val="0"/>
                <w:color w:val="auto"/>
                <w:kern w:val="2"/>
                <w:sz w:val="21"/>
                <w:szCs w:val="21"/>
                <w:highlight w:val="none"/>
                <w:lang w:val="en-US" w:eastAsia="zh-CN" w:bidi="ar-SA"/>
              </w:rPr>
              <w:t>与人工智能等技术</w:t>
            </w:r>
            <w:r>
              <w:rPr>
                <w:rFonts w:hint="eastAsia" w:ascii="宋体" w:hAnsi="宋体" w:cs="宋体"/>
                <w:bCs w:val="0"/>
                <w:color w:val="auto"/>
                <w:kern w:val="2"/>
                <w:sz w:val="21"/>
                <w:szCs w:val="21"/>
                <w:highlight w:val="none"/>
                <w:lang w:val="en-US" w:eastAsia="zh-CN" w:bidi="ar-SA"/>
              </w:rPr>
              <w:t>系统开发，系统应包括对人员管理、车辆管理、垃圾分类大数据统计、再生资源回收、生活垃圾量统计系统等</w:t>
            </w:r>
            <w:r>
              <w:rPr>
                <w:rFonts w:hint="eastAsia" w:ascii="宋体" w:hAnsi="宋体" w:eastAsia="宋体" w:cs="宋体"/>
                <w:bCs/>
                <w:color w:val="auto"/>
                <w:kern w:val="2"/>
                <w:sz w:val="21"/>
                <w:szCs w:val="22"/>
                <w:highlight w:val="none"/>
                <w:lang w:val="en-US" w:eastAsia="zh-CN" w:bidi="ar-SA"/>
              </w:rPr>
              <w:t>方案合理、科学，可操作性强的得3-4分，方案基本合理、科学，具有可操作性的得2-3分，方案欠科学合理，可操作性欠缺的得0-2分。</w:t>
            </w:r>
          </w:p>
        </w:tc>
        <w:tc>
          <w:tcPr>
            <w:tcW w:w="675" w:type="dxa"/>
            <w:tcBorders>
              <w:right w:val="single" w:color="auto" w:sz="4" w:space="0"/>
            </w:tcBorders>
            <w:noWrap w:val="0"/>
            <w:vAlign w:val="center"/>
          </w:tcPr>
          <w:p>
            <w:pPr>
              <w:widowControl/>
              <w:snapToGrid w:val="0"/>
              <w:spacing w:line="340" w:lineRule="exact"/>
              <w:jc w:val="center"/>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4</w:t>
            </w:r>
          </w:p>
        </w:tc>
        <w:tc>
          <w:tcPr>
            <w:tcW w:w="754" w:type="dxa"/>
            <w:gridSpan w:val="2"/>
            <w:vMerge w:val="restart"/>
            <w:tcBorders>
              <w:left w:val="single" w:color="auto" w:sz="4" w:space="0"/>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lang w:val="en-US" w:eastAsia="zh-CN"/>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kern w:val="2"/>
                <w:sz w:val="21"/>
                <w:szCs w:val="21"/>
                <w:highlight w:val="none"/>
                <w:lang w:val="en-US" w:eastAsia="zh-CN" w:bidi="ar-SA"/>
              </w:rPr>
            </w:pPr>
          </w:p>
        </w:tc>
        <w:tc>
          <w:tcPr>
            <w:tcW w:w="6134" w:type="dxa"/>
            <w:tcBorders>
              <w:left w:val="single" w:color="auto" w:sz="4" w:space="0"/>
            </w:tcBorders>
            <w:noWrap w:val="0"/>
            <w:vAlign w:val="center"/>
          </w:tcPr>
          <w:p>
            <w:pPr>
              <w:keepNext w:val="0"/>
              <w:keepLines w:val="0"/>
              <w:widowControl/>
              <w:suppressLineNumbers w:val="0"/>
              <w:spacing w:line="380" w:lineRule="exact"/>
              <w:jc w:val="left"/>
              <w:rPr>
                <w:rFonts w:hint="default"/>
                <w:b/>
                <w:bCs/>
                <w:color w:val="auto"/>
                <w:highlight w:val="none"/>
                <w:lang w:val="en-US"/>
              </w:rPr>
            </w:pPr>
            <w:r>
              <w:rPr>
                <w:rFonts w:hint="eastAsia" w:ascii="宋体" w:hAnsi="宋体" w:cs="宋体"/>
                <w:b/>
                <w:bCs/>
                <w:color w:val="auto"/>
                <w:kern w:val="0"/>
                <w:sz w:val="22"/>
                <w:szCs w:val="22"/>
                <w:highlight w:val="none"/>
                <w:lang w:val="en-US" w:eastAsia="zh-CN" w:bidi="ar"/>
              </w:rPr>
              <w:t>2、桥头镇智慧</w:t>
            </w:r>
            <w:r>
              <w:rPr>
                <w:rFonts w:hint="eastAsia" w:ascii="宋体" w:hAnsi="宋体" w:eastAsia="宋体" w:cs="宋体"/>
                <w:b/>
                <w:bCs/>
                <w:color w:val="auto"/>
                <w:kern w:val="0"/>
                <w:sz w:val="22"/>
                <w:szCs w:val="22"/>
                <w:highlight w:val="none"/>
                <w:lang w:val="en-US" w:eastAsia="zh-CN" w:bidi="ar"/>
              </w:rPr>
              <w:t>环卫一体化</w:t>
            </w:r>
            <w:r>
              <w:rPr>
                <w:rFonts w:hint="eastAsia" w:ascii="宋体" w:hAnsi="宋体" w:cs="宋体"/>
                <w:b/>
                <w:bCs/>
                <w:color w:val="auto"/>
                <w:kern w:val="0"/>
                <w:sz w:val="22"/>
                <w:szCs w:val="22"/>
                <w:highlight w:val="none"/>
                <w:lang w:val="en-US" w:eastAsia="zh-CN" w:bidi="ar"/>
              </w:rPr>
              <w:t>系统硬件应用方案（3分）</w:t>
            </w:r>
          </w:p>
          <w:p>
            <w:pPr>
              <w:pStyle w:val="2"/>
              <w:widowControl/>
              <w:numPr>
                <w:ilvl w:val="0"/>
                <w:numId w:val="0"/>
              </w:numPr>
              <w:spacing w:line="380" w:lineRule="exact"/>
              <w:ind w:firstLine="0" w:firstLineChars="0"/>
              <w:rPr>
                <w:rFonts w:hint="default" w:ascii="宋体" w:hAnsi="宋体" w:eastAsia="宋体" w:cs="宋体"/>
                <w:bCs/>
                <w:color w:val="auto"/>
                <w:kern w:val="2"/>
                <w:sz w:val="21"/>
                <w:szCs w:val="22"/>
                <w:highlight w:val="none"/>
                <w:lang w:val="en-US" w:eastAsia="zh-CN" w:bidi="ar-SA"/>
              </w:rPr>
            </w:pPr>
            <w:r>
              <w:rPr>
                <w:rFonts w:hint="eastAsia" w:ascii="宋体" w:hAnsi="宋体" w:cs="宋体"/>
                <w:bCs w:val="0"/>
                <w:color w:val="auto"/>
                <w:kern w:val="2"/>
                <w:sz w:val="21"/>
                <w:szCs w:val="21"/>
                <w:highlight w:val="none"/>
                <w:lang w:val="en-US" w:eastAsia="zh-CN" w:bidi="ar-SA"/>
              </w:rPr>
              <w:t>针对开发的桥头镇智慧环卫一体化管理系统</w:t>
            </w:r>
            <w:r>
              <w:rPr>
                <w:rFonts w:hint="eastAsia" w:ascii="宋体" w:hAnsi="宋体" w:eastAsia="方正书宋简体" w:cs="宋体"/>
                <w:bCs w:val="0"/>
                <w:color w:val="auto"/>
                <w:kern w:val="2"/>
                <w:sz w:val="21"/>
                <w:szCs w:val="21"/>
                <w:highlight w:val="none"/>
                <w:lang w:val="en-US" w:eastAsia="zh-CN" w:bidi="ar-SA"/>
              </w:rPr>
              <w:t>，</w:t>
            </w:r>
            <w:r>
              <w:rPr>
                <w:rFonts w:hint="eastAsia" w:ascii="宋体" w:hAnsi="宋体" w:cs="宋体"/>
                <w:bCs w:val="0"/>
                <w:color w:val="auto"/>
                <w:kern w:val="2"/>
                <w:sz w:val="21"/>
                <w:szCs w:val="21"/>
                <w:highlight w:val="none"/>
                <w:lang w:val="en-US" w:eastAsia="zh-CN" w:bidi="ar-SA"/>
              </w:rPr>
              <w:t>拟投入匹配系统的硬件介绍，硬件投入合理、科学，应用</w:t>
            </w:r>
            <w:r>
              <w:rPr>
                <w:rFonts w:hint="eastAsia" w:ascii="宋体" w:hAnsi="宋体" w:eastAsia="方正书宋简体" w:cs="宋体"/>
                <w:bCs w:val="0"/>
                <w:color w:val="auto"/>
                <w:kern w:val="2"/>
                <w:sz w:val="21"/>
                <w:szCs w:val="21"/>
                <w:highlight w:val="none"/>
                <w:lang w:val="en-US" w:eastAsia="zh-CN" w:bidi="ar-SA"/>
              </w:rPr>
              <w:t>性强的得</w:t>
            </w:r>
            <w:r>
              <w:rPr>
                <w:rFonts w:hint="eastAsia" w:ascii="宋体" w:hAnsi="宋体" w:cs="宋体"/>
                <w:bCs w:val="0"/>
                <w:color w:val="auto"/>
                <w:kern w:val="2"/>
                <w:sz w:val="21"/>
                <w:szCs w:val="21"/>
                <w:highlight w:val="none"/>
                <w:lang w:val="en-US" w:eastAsia="zh-CN" w:bidi="ar-SA"/>
              </w:rPr>
              <w:t>2</w:t>
            </w:r>
            <w:r>
              <w:rPr>
                <w:rFonts w:hint="eastAsia" w:ascii="宋体" w:hAnsi="宋体" w:eastAsia="方正书宋简体" w:cs="宋体"/>
                <w:bCs w:val="0"/>
                <w:color w:val="auto"/>
                <w:kern w:val="2"/>
                <w:sz w:val="21"/>
                <w:szCs w:val="21"/>
                <w:highlight w:val="none"/>
                <w:lang w:val="en-US" w:eastAsia="zh-CN" w:bidi="ar-SA"/>
              </w:rPr>
              <w:t>-</w:t>
            </w:r>
            <w:r>
              <w:rPr>
                <w:rFonts w:hint="eastAsia" w:ascii="宋体" w:hAnsi="宋体" w:cs="宋体"/>
                <w:bCs w:val="0"/>
                <w:color w:val="auto"/>
                <w:kern w:val="2"/>
                <w:sz w:val="21"/>
                <w:szCs w:val="21"/>
                <w:highlight w:val="none"/>
                <w:lang w:val="en-US" w:eastAsia="zh-CN" w:bidi="ar-SA"/>
              </w:rPr>
              <w:t>3</w:t>
            </w:r>
            <w:r>
              <w:rPr>
                <w:rFonts w:hint="eastAsia" w:ascii="宋体" w:hAnsi="宋体" w:eastAsia="方正书宋简体" w:cs="宋体"/>
                <w:bCs w:val="0"/>
                <w:color w:val="auto"/>
                <w:kern w:val="2"/>
                <w:sz w:val="21"/>
                <w:szCs w:val="21"/>
                <w:highlight w:val="none"/>
                <w:lang w:val="en-US" w:eastAsia="zh-CN" w:bidi="ar-SA"/>
              </w:rPr>
              <w:t>分，</w:t>
            </w:r>
            <w:r>
              <w:rPr>
                <w:rFonts w:hint="eastAsia" w:ascii="宋体" w:hAnsi="宋体" w:cs="宋体"/>
                <w:bCs w:val="0"/>
                <w:color w:val="auto"/>
                <w:kern w:val="2"/>
                <w:sz w:val="21"/>
                <w:szCs w:val="21"/>
                <w:highlight w:val="none"/>
                <w:lang w:val="en-US" w:eastAsia="zh-CN" w:bidi="ar-SA"/>
              </w:rPr>
              <w:t>应用硬件</w:t>
            </w:r>
            <w:r>
              <w:rPr>
                <w:rFonts w:hint="eastAsia" w:ascii="宋体" w:hAnsi="宋体" w:eastAsia="方正书宋简体" w:cs="宋体"/>
                <w:bCs w:val="0"/>
                <w:color w:val="auto"/>
                <w:kern w:val="2"/>
                <w:sz w:val="21"/>
                <w:szCs w:val="21"/>
                <w:highlight w:val="none"/>
                <w:lang w:val="en-US" w:eastAsia="zh-CN" w:bidi="ar-SA"/>
              </w:rPr>
              <w:t>基本合理、科学，具有可操作性的得</w:t>
            </w:r>
            <w:r>
              <w:rPr>
                <w:rFonts w:hint="eastAsia" w:ascii="宋体" w:hAnsi="宋体" w:cs="宋体"/>
                <w:bCs w:val="0"/>
                <w:color w:val="auto"/>
                <w:kern w:val="2"/>
                <w:sz w:val="21"/>
                <w:szCs w:val="21"/>
                <w:highlight w:val="none"/>
                <w:lang w:val="en-US" w:eastAsia="zh-CN" w:bidi="ar-SA"/>
              </w:rPr>
              <w:t>1</w:t>
            </w:r>
            <w:r>
              <w:rPr>
                <w:rFonts w:hint="eastAsia" w:ascii="宋体" w:hAnsi="宋体" w:eastAsia="方正书宋简体" w:cs="宋体"/>
                <w:bCs w:val="0"/>
                <w:color w:val="auto"/>
                <w:kern w:val="2"/>
                <w:sz w:val="21"/>
                <w:szCs w:val="21"/>
                <w:highlight w:val="none"/>
                <w:lang w:val="en-US" w:eastAsia="zh-CN" w:bidi="ar-SA"/>
              </w:rPr>
              <w:t>-</w:t>
            </w:r>
            <w:r>
              <w:rPr>
                <w:rFonts w:hint="eastAsia" w:ascii="宋体" w:hAnsi="宋体" w:cs="宋体"/>
                <w:bCs w:val="0"/>
                <w:color w:val="auto"/>
                <w:kern w:val="2"/>
                <w:sz w:val="21"/>
                <w:szCs w:val="21"/>
                <w:highlight w:val="none"/>
                <w:lang w:val="en-US" w:eastAsia="zh-CN" w:bidi="ar-SA"/>
              </w:rPr>
              <w:t>2</w:t>
            </w:r>
            <w:r>
              <w:rPr>
                <w:rFonts w:hint="eastAsia" w:ascii="宋体" w:hAnsi="宋体" w:eastAsia="方正书宋简体" w:cs="宋体"/>
                <w:bCs w:val="0"/>
                <w:color w:val="auto"/>
                <w:kern w:val="2"/>
                <w:sz w:val="21"/>
                <w:szCs w:val="21"/>
                <w:highlight w:val="none"/>
                <w:lang w:val="en-US" w:eastAsia="zh-CN" w:bidi="ar-SA"/>
              </w:rPr>
              <w:t>分，</w:t>
            </w:r>
            <w:r>
              <w:rPr>
                <w:rFonts w:hint="eastAsia" w:ascii="宋体" w:hAnsi="宋体" w:cs="宋体"/>
                <w:bCs w:val="0"/>
                <w:color w:val="auto"/>
                <w:kern w:val="2"/>
                <w:sz w:val="21"/>
                <w:szCs w:val="21"/>
                <w:highlight w:val="none"/>
                <w:lang w:val="en-US" w:eastAsia="zh-CN" w:bidi="ar-SA"/>
              </w:rPr>
              <w:t>投入硬件</w:t>
            </w:r>
            <w:r>
              <w:rPr>
                <w:rFonts w:hint="eastAsia" w:ascii="宋体" w:hAnsi="宋体" w:eastAsia="方正书宋简体" w:cs="宋体"/>
                <w:bCs w:val="0"/>
                <w:color w:val="auto"/>
                <w:kern w:val="2"/>
                <w:sz w:val="21"/>
                <w:szCs w:val="21"/>
                <w:highlight w:val="none"/>
                <w:lang w:val="en-US" w:eastAsia="zh-CN" w:bidi="ar-SA"/>
              </w:rPr>
              <w:t>欠科学合理，可操作性欠缺的得0-</w:t>
            </w:r>
            <w:r>
              <w:rPr>
                <w:rFonts w:hint="eastAsia" w:ascii="宋体" w:hAnsi="宋体" w:cs="宋体"/>
                <w:bCs w:val="0"/>
                <w:color w:val="auto"/>
                <w:kern w:val="2"/>
                <w:sz w:val="21"/>
                <w:szCs w:val="21"/>
                <w:highlight w:val="none"/>
                <w:lang w:val="en-US" w:eastAsia="zh-CN" w:bidi="ar-SA"/>
              </w:rPr>
              <w:t>1</w:t>
            </w:r>
            <w:r>
              <w:rPr>
                <w:rFonts w:hint="eastAsia" w:ascii="宋体" w:hAnsi="宋体" w:eastAsia="方正书宋简体" w:cs="宋体"/>
                <w:bCs w:val="0"/>
                <w:color w:val="auto"/>
                <w:kern w:val="2"/>
                <w:sz w:val="21"/>
                <w:szCs w:val="21"/>
                <w:highlight w:val="none"/>
                <w:lang w:val="en-US" w:eastAsia="zh-CN" w:bidi="ar-SA"/>
              </w:rPr>
              <w:t>分。</w:t>
            </w:r>
          </w:p>
        </w:tc>
        <w:tc>
          <w:tcPr>
            <w:tcW w:w="675" w:type="dxa"/>
            <w:tcBorders>
              <w:right w:val="single" w:color="auto" w:sz="4" w:space="0"/>
            </w:tcBorders>
            <w:noWrap w:val="0"/>
            <w:vAlign w:val="center"/>
          </w:tcPr>
          <w:p>
            <w:pPr>
              <w:pStyle w:val="2"/>
              <w:ind w:left="0" w:leftChars="0" w:firstLine="240" w:firstLineChars="100"/>
              <w:jc w:val="both"/>
              <w:rPr>
                <w:rFonts w:hint="eastAsia"/>
                <w:color w:val="auto"/>
                <w:highlight w:val="none"/>
                <w:lang w:val="en-US" w:eastAsia="zh-CN"/>
              </w:rPr>
            </w:pPr>
          </w:p>
          <w:p>
            <w:pPr>
              <w:pStyle w:val="2"/>
              <w:ind w:firstLine="0" w:firstLineChars="0"/>
              <w:jc w:val="center"/>
              <w:rPr>
                <w:rFonts w:hint="eastAsia" w:ascii="宋体" w:hAnsi="宋体" w:cs="仿宋_GB2312"/>
                <w:color w:val="auto"/>
                <w:kern w:val="0"/>
                <w:sz w:val="21"/>
                <w:szCs w:val="21"/>
                <w:highlight w:val="none"/>
                <w:lang w:val="en-US" w:eastAsia="zh-CN" w:bidi="ar-SA"/>
              </w:rPr>
            </w:pPr>
            <w:r>
              <w:rPr>
                <w:rFonts w:hint="eastAsia" w:ascii="宋体" w:hAnsi="宋体" w:eastAsia="宋体" w:cs="仿宋_GB2312"/>
                <w:color w:val="auto"/>
                <w:kern w:val="0"/>
                <w:sz w:val="21"/>
                <w:szCs w:val="21"/>
                <w:highlight w:val="none"/>
                <w:lang w:val="en-US" w:eastAsia="zh-CN" w:bidi="ar-SA"/>
              </w:rPr>
              <w:t>3</w:t>
            </w:r>
          </w:p>
        </w:tc>
        <w:tc>
          <w:tcPr>
            <w:tcW w:w="754" w:type="dxa"/>
            <w:gridSpan w:val="2"/>
            <w:vMerge w:val="continue"/>
            <w:tcBorders>
              <w:left w:val="single" w:color="auto" w:sz="4" w:space="0"/>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b/>
                <w:bCs/>
                <w:color w:val="auto"/>
                <w:highlight w:val="none"/>
                <w:lang w:val="en-US" w:eastAsia="zh-CN"/>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kern w:val="2"/>
                <w:sz w:val="21"/>
                <w:szCs w:val="21"/>
                <w:highlight w:val="none"/>
                <w:lang w:val="en-US" w:eastAsia="zh-CN" w:bidi="ar-SA"/>
              </w:rPr>
            </w:pPr>
          </w:p>
        </w:tc>
        <w:tc>
          <w:tcPr>
            <w:tcW w:w="6134" w:type="dxa"/>
            <w:tcBorders>
              <w:left w:val="single" w:color="auto" w:sz="4" w:space="0"/>
            </w:tcBorders>
            <w:noWrap w:val="0"/>
            <w:vAlign w:val="center"/>
          </w:tcPr>
          <w:p>
            <w:pPr>
              <w:keepNext w:val="0"/>
              <w:keepLines w:val="0"/>
              <w:widowControl/>
              <w:suppressLineNumbers w:val="0"/>
              <w:spacing w:line="380" w:lineRule="exact"/>
              <w:jc w:val="left"/>
              <w:rPr>
                <w:rFonts w:hint="default"/>
                <w:b/>
                <w:bCs/>
                <w:color w:val="auto"/>
                <w:highlight w:val="none"/>
                <w:lang w:val="en-US"/>
              </w:rPr>
            </w:pPr>
            <w:r>
              <w:rPr>
                <w:rFonts w:hint="eastAsia" w:ascii="宋体" w:hAnsi="宋体" w:cs="宋体"/>
                <w:b/>
                <w:bCs/>
                <w:color w:val="auto"/>
                <w:kern w:val="0"/>
                <w:sz w:val="22"/>
                <w:szCs w:val="22"/>
                <w:highlight w:val="none"/>
                <w:lang w:val="en-US" w:eastAsia="zh-CN" w:bidi="ar"/>
              </w:rPr>
              <w:t>3、桥头镇智慧</w:t>
            </w:r>
            <w:r>
              <w:rPr>
                <w:rFonts w:hint="eastAsia" w:ascii="宋体" w:hAnsi="宋体" w:eastAsia="宋体" w:cs="宋体"/>
                <w:b/>
                <w:bCs/>
                <w:color w:val="auto"/>
                <w:kern w:val="0"/>
                <w:sz w:val="22"/>
                <w:szCs w:val="22"/>
                <w:highlight w:val="none"/>
                <w:lang w:val="en-US" w:eastAsia="zh-CN" w:bidi="ar"/>
              </w:rPr>
              <w:t>环卫一体化管理系统具体实施</w:t>
            </w:r>
            <w:r>
              <w:rPr>
                <w:rFonts w:hint="eastAsia" w:ascii="宋体" w:hAnsi="宋体" w:cs="宋体"/>
                <w:b/>
                <w:bCs/>
                <w:color w:val="auto"/>
                <w:kern w:val="0"/>
                <w:sz w:val="22"/>
                <w:szCs w:val="22"/>
                <w:highlight w:val="none"/>
                <w:lang w:val="en-US" w:eastAsia="zh-CN" w:bidi="ar"/>
              </w:rPr>
              <w:t>应用方案（3分）</w:t>
            </w:r>
          </w:p>
          <w:p>
            <w:pPr>
              <w:keepNext w:val="0"/>
              <w:keepLines w:val="0"/>
              <w:widowControl/>
              <w:suppressLineNumbers w:val="0"/>
              <w:spacing w:line="380" w:lineRule="exact"/>
              <w:jc w:val="left"/>
              <w:rPr>
                <w:rFonts w:hint="eastAsia" w:ascii="宋体" w:hAnsi="宋体" w:eastAsia="宋体" w:cs="宋体"/>
                <w:bCs/>
                <w:color w:val="auto"/>
                <w:kern w:val="2"/>
                <w:sz w:val="21"/>
                <w:szCs w:val="22"/>
                <w:highlight w:val="none"/>
                <w:lang w:val="en-US" w:eastAsia="zh-CN" w:bidi="ar-SA"/>
              </w:rPr>
            </w:pPr>
            <w:r>
              <w:rPr>
                <w:rFonts w:hint="eastAsia" w:ascii="宋体" w:hAnsi="宋体" w:eastAsia="方正书宋简体" w:cs="宋体"/>
                <w:bCs w:val="0"/>
                <w:color w:val="auto"/>
                <w:kern w:val="2"/>
                <w:sz w:val="21"/>
                <w:szCs w:val="21"/>
                <w:highlight w:val="none"/>
                <w:lang w:val="en-US" w:eastAsia="zh-CN" w:bidi="ar-SA"/>
              </w:rPr>
              <w:t>桥头镇环卫管理涉及到的人、车、物、事进行全过程实时管理，合理设计规划环卫管理模式，提升环卫作业质量等内容进行评审，方案合理、科学，可操作性强的得2-3分，方案基本合理、科学，具有可操作性的得1-2分，方案欠科学合理，可操作性欠缺的得0-1分。</w:t>
            </w:r>
          </w:p>
        </w:tc>
        <w:tc>
          <w:tcPr>
            <w:tcW w:w="675" w:type="dxa"/>
            <w:tcBorders>
              <w:right w:val="single" w:color="auto" w:sz="4" w:space="0"/>
            </w:tcBorders>
            <w:noWrap w:val="0"/>
            <w:vAlign w:val="center"/>
          </w:tcPr>
          <w:p>
            <w:pPr>
              <w:widowControl/>
              <w:snapToGrid w:val="0"/>
              <w:spacing w:line="340" w:lineRule="exact"/>
              <w:ind w:firstLine="210" w:firstLineChars="100"/>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754" w:type="dxa"/>
            <w:gridSpan w:val="2"/>
            <w:vMerge w:val="continue"/>
            <w:tcBorders>
              <w:left w:val="single" w:color="auto" w:sz="4" w:space="0"/>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color w:val="auto"/>
                <w:highlight w:val="none"/>
              </w:rPr>
            </w:pPr>
          </w:p>
        </w:tc>
        <w:tc>
          <w:tcPr>
            <w:tcW w:w="1380"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智</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慧</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环</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卫</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一</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体</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化</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服</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务</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项</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目</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实</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施</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方</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default" w:ascii="宋体" w:hAnsi="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案</w:t>
            </w:r>
          </w:p>
          <w:p>
            <w:pPr>
              <w:spacing w:line="340" w:lineRule="exact"/>
              <w:rPr>
                <w:rFonts w:hint="eastAsia" w:ascii="宋体" w:hAnsi="宋体" w:cs="宋体"/>
                <w:color w:val="auto"/>
                <w:kern w:val="2"/>
                <w:sz w:val="21"/>
                <w:szCs w:val="21"/>
                <w:highlight w:val="none"/>
                <w:lang w:val="en-US" w:eastAsia="zh-CN" w:bidi="ar-SA"/>
              </w:rPr>
            </w:pPr>
            <w:r>
              <w:rPr>
                <w:rFonts w:hint="eastAsia" w:ascii="宋体" w:hAnsi="宋体" w:cs="仿宋_GB2312"/>
                <w:b/>
                <w:bCs/>
                <w:color w:val="auto"/>
                <w:szCs w:val="21"/>
                <w:highlight w:val="none"/>
                <w:lang w:val="en-US" w:eastAsia="zh-CN"/>
              </w:rPr>
              <w:t>（11分）</w:t>
            </w:r>
          </w:p>
        </w:tc>
        <w:tc>
          <w:tcPr>
            <w:tcW w:w="6134" w:type="dxa"/>
            <w:tcBorders>
              <w:left w:val="single" w:color="auto" w:sz="4" w:space="0"/>
            </w:tcBorders>
            <w:noWrap w:val="0"/>
            <w:vAlign w:val="center"/>
          </w:tcPr>
          <w:p>
            <w:pPr>
              <w:pStyle w:val="2"/>
              <w:numPr>
                <w:ilvl w:val="0"/>
                <w:numId w:val="0"/>
              </w:numPr>
              <w:spacing w:line="340" w:lineRule="exact"/>
              <w:ind w:leftChars="0"/>
              <w:rPr>
                <w:rFonts w:hint="default"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1、机构设置及人员配置（4分）</w:t>
            </w:r>
          </w:p>
          <w:p>
            <w:pPr>
              <w:pStyle w:val="2"/>
              <w:numPr>
                <w:ilvl w:val="0"/>
                <w:numId w:val="0"/>
              </w:numPr>
              <w:spacing w:line="340" w:lineRule="exact"/>
              <w:ind w:left="0" w:leftChars="0" w:firstLine="0" w:firstLineChars="0"/>
              <w:rPr>
                <w:rFonts w:hint="eastAsia" w:ascii="宋体" w:hAnsi="宋体" w:eastAsia="宋体" w:cs="宋体"/>
                <w:b/>
                <w:bCs w:val="0"/>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对桥头镇环卫保洁一体化项目管理的组织框架，人员配置，岗位安排，人员要求等内容进行评审；配置合理、科学，可操作性强的得3-4分，配置基本合理、科学，具有可操作性的得2-3分，配置欠科学合理，可操作性欠缺的得0-2分。</w:t>
            </w:r>
          </w:p>
        </w:tc>
        <w:tc>
          <w:tcPr>
            <w:tcW w:w="675" w:type="dxa"/>
            <w:tcBorders>
              <w:right w:val="single" w:color="auto" w:sz="4" w:space="0"/>
            </w:tcBorders>
            <w:noWrap w:val="0"/>
            <w:vAlign w:val="center"/>
          </w:tcPr>
          <w:p>
            <w:pPr>
              <w:widowControl/>
              <w:snapToGrid w:val="0"/>
              <w:spacing w:line="340" w:lineRule="exact"/>
              <w:ind w:firstLine="210" w:firstLineChars="100"/>
              <w:rPr>
                <w:rFonts w:hint="eastAsia"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4</w:t>
            </w:r>
          </w:p>
        </w:tc>
        <w:tc>
          <w:tcPr>
            <w:tcW w:w="754" w:type="dxa"/>
            <w:gridSpan w:val="2"/>
            <w:tcBorders>
              <w:left w:val="single" w:color="auto" w:sz="4" w:space="0"/>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pStyle w:val="2"/>
              <w:numPr>
                <w:ilvl w:val="0"/>
                <w:numId w:val="0"/>
              </w:numPr>
              <w:spacing w:line="340" w:lineRule="exact"/>
              <w:ind w:leftChars="0"/>
              <w:rPr>
                <w:rFonts w:hint="default"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2、道路保洁实施方案，各岗位人员管理规定和人员考核方案（4分）</w:t>
            </w:r>
          </w:p>
          <w:p>
            <w:pPr>
              <w:pStyle w:val="2"/>
              <w:numPr>
                <w:ilvl w:val="0"/>
                <w:numId w:val="0"/>
              </w:numPr>
              <w:spacing w:line="340" w:lineRule="exact"/>
              <w:ind w:left="0" w:leftChars="0" w:firstLine="0" w:firstLineChars="0"/>
              <w:rPr>
                <w:rFonts w:hint="eastAsia" w:ascii="宋体" w:hAnsi="宋体" w:eastAsia="方正书宋简体" w:cs="仿宋_GB2312"/>
                <w:color w:val="auto"/>
                <w:kern w:val="2"/>
                <w:sz w:val="24"/>
                <w:szCs w:val="21"/>
                <w:highlight w:val="none"/>
                <w:lang w:val="en-US" w:eastAsia="zh-CN" w:bidi="ar-SA"/>
              </w:rPr>
            </w:pPr>
            <w:r>
              <w:rPr>
                <w:rFonts w:hint="eastAsia" w:ascii="宋体" w:hAnsi="宋体" w:eastAsia="宋体" w:cs="宋体"/>
                <w:bCs/>
                <w:color w:val="auto"/>
                <w:kern w:val="2"/>
                <w:sz w:val="21"/>
                <w:szCs w:val="22"/>
                <w:highlight w:val="none"/>
                <w:lang w:val="en-US" w:eastAsia="zh-CN" w:bidi="ar-SA"/>
              </w:rPr>
              <w:t>方案合理、科学，可操作性强的得3-4分，方案基本合理、科学，具有可操作性的得2-3分，方案欠科学合理，可操作性欠缺的得0-2分。</w:t>
            </w:r>
          </w:p>
        </w:tc>
        <w:tc>
          <w:tcPr>
            <w:tcW w:w="675" w:type="dxa"/>
            <w:noWrap w:val="0"/>
            <w:vAlign w:val="center"/>
          </w:tcPr>
          <w:p>
            <w:pPr>
              <w:widowControl/>
              <w:snapToGrid w:val="0"/>
              <w:spacing w:line="340" w:lineRule="exact"/>
              <w:ind w:firstLine="210" w:firstLineChars="100"/>
              <w:rPr>
                <w:rFonts w:hint="default"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4</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206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pStyle w:val="2"/>
              <w:numPr>
                <w:ilvl w:val="0"/>
                <w:numId w:val="0"/>
              </w:numPr>
              <w:spacing w:line="340" w:lineRule="exact"/>
              <w:ind w:leftChars="0"/>
              <w:rPr>
                <w:rFonts w:hint="default"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3、绿化带保洁实施方案，各岗位人员管理规定和人员考核方案（3分）</w:t>
            </w:r>
          </w:p>
          <w:p>
            <w:pPr>
              <w:pStyle w:val="2"/>
              <w:numPr>
                <w:ilvl w:val="0"/>
                <w:numId w:val="0"/>
              </w:numPr>
              <w:spacing w:line="340" w:lineRule="exact"/>
              <w:ind w:left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eastAsia" w:ascii="宋体" w:hAnsi="宋体" w:eastAsia="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2095" w:hRule="atLeast"/>
        </w:trPr>
        <w:tc>
          <w:tcPr>
            <w:tcW w:w="937" w:type="dxa"/>
            <w:vMerge w:val="restart"/>
            <w:tcBorders>
              <w:left w:val="double" w:color="auto" w:sz="4" w:space="0"/>
              <w:right w:val="single" w:color="auto" w:sz="4" w:space="0"/>
            </w:tcBorders>
            <w:noWrap w:val="0"/>
            <w:vAlign w:val="center"/>
          </w:tcPr>
          <w:p>
            <w:pPr>
              <w:spacing w:line="340" w:lineRule="exact"/>
              <w:ind w:firstLine="0" w:firstLineChars="0"/>
              <w:jc w:val="both"/>
              <w:rPr>
                <w:rFonts w:hint="eastAsia" w:ascii="宋体" w:hAnsi="宋体" w:eastAsia="宋体" w:cs="宋体"/>
                <w:color w:val="auto"/>
                <w:highlight w:val="none"/>
              </w:rPr>
            </w:pPr>
          </w:p>
        </w:tc>
        <w:tc>
          <w:tcPr>
            <w:tcW w:w="1380"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环</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卫</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垃</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圾</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智</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慧</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收</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运</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项</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目</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实</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施</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方</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eastAsia="方正书宋简体" w:cs="仿宋_GB2312"/>
                <w:b/>
                <w:bCs/>
                <w:color w:val="auto"/>
                <w:kern w:val="2"/>
                <w:sz w:val="24"/>
                <w:szCs w:val="21"/>
                <w:highlight w:val="none"/>
                <w:lang w:val="en-US" w:eastAsia="zh-CN" w:bidi="ar-SA"/>
              </w:rPr>
            </w:pPr>
            <w:r>
              <w:rPr>
                <w:rFonts w:hint="eastAsia" w:ascii="宋体" w:hAnsi="宋体" w:eastAsia="方正书宋简体" w:cs="仿宋_GB2312"/>
                <w:b/>
                <w:bCs/>
                <w:color w:val="auto"/>
                <w:kern w:val="2"/>
                <w:sz w:val="24"/>
                <w:szCs w:val="21"/>
                <w:highlight w:val="none"/>
                <w:lang w:val="en-US" w:eastAsia="zh-CN" w:bidi="ar-SA"/>
              </w:rPr>
              <w:t>案</w:t>
            </w:r>
          </w:p>
          <w:p>
            <w:pPr>
              <w:pStyle w:val="2"/>
              <w:ind w:left="0" w:leftChars="0" w:firstLine="0" w:firstLineChars="0"/>
              <w:rPr>
                <w:rFonts w:hint="default"/>
                <w:lang w:val="en-US"/>
              </w:rPr>
            </w:pPr>
            <w:r>
              <w:rPr>
                <w:rFonts w:hint="eastAsia" w:ascii="Times New Roman" w:hAnsi="Times New Roman" w:eastAsia="宋体" w:cs="Times New Roman"/>
                <w:b/>
                <w:bCs/>
                <w:kern w:val="2"/>
                <w:sz w:val="21"/>
                <w:lang w:val="en-US" w:eastAsia="zh-CN" w:bidi="ar-SA"/>
              </w:rPr>
              <w:t>（15分）</w:t>
            </w:r>
          </w:p>
        </w:tc>
        <w:tc>
          <w:tcPr>
            <w:tcW w:w="6134" w:type="dxa"/>
            <w:tcBorders>
              <w:left w:val="single" w:color="auto" w:sz="4" w:space="0"/>
            </w:tcBorders>
            <w:noWrap w:val="0"/>
            <w:vAlign w:val="center"/>
          </w:tcPr>
          <w:p>
            <w:pPr>
              <w:pStyle w:val="2"/>
              <w:numPr>
                <w:ilvl w:val="0"/>
                <w:numId w:val="0"/>
              </w:numPr>
              <w:spacing w:line="340" w:lineRule="exact"/>
              <w:ind w:leftChars="0"/>
              <w:rPr>
                <w:rFonts w:hint="default"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1、机构设置及人员配置（3分）</w:t>
            </w:r>
          </w:p>
          <w:p>
            <w:pPr>
              <w:pStyle w:val="2"/>
              <w:numPr>
                <w:ilvl w:val="0"/>
                <w:numId w:val="0"/>
              </w:numPr>
              <w:spacing w:line="340" w:lineRule="exact"/>
              <w:ind w:left="0" w:leftChars="0"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对桥头镇</w:t>
            </w:r>
            <w:r>
              <w:rPr>
                <w:rFonts w:hint="eastAsia" w:ascii="宋体" w:hAnsi="宋体" w:cs="宋体"/>
                <w:bCs/>
                <w:color w:val="auto"/>
                <w:kern w:val="2"/>
                <w:sz w:val="21"/>
                <w:szCs w:val="22"/>
                <w:highlight w:val="none"/>
                <w:lang w:val="en-US" w:eastAsia="zh-CN" w:bidi="ar-SA"/>
              </w:rPr>
              <w:t>以桶换桶、压缩压块操作、垃圾中转站运营、其他垃圾和厨余垃圾运输</w:t>
            </w:r>
            <w:r>
              <w:rPr>
                <w:rFonts w:hint="eastAsia" w:ascii="宋体" w:hAnsi="宋体" w:eastAsia="宋体" w:cs="宋体"/>
                <w:bCs/>
                <w:color w:val="auto"/>
                <w:kern w:val="2"/>
                <w:sz w:val="21"/>
                <w:szCs w:val="22"/>
                <w:highlight w:val="none"/>
                <w:lang w:val="en-US" w:eastAsia="zh-CN" w:bidi="ar-SA"/>
              </w:rPr>
              <w:t>项目管理的组织框架，人员配置，岗位安排，人员要求等内容进行评审；配置合理、科学，可操作性强的得2-3分，配置基本合理、科学，具有可操作性的得1-2分，配置欠科学合理，可操作性欠缺的得0-1分。</w:t>
            </w:r>
          </w:p>
        </w:tc>
        <w:tc>
          <w:tcPr>
            <w:tcW w:w="675" w:type="dxa"/>
            <w:noWrap w:val="0"/>
            <w:vAlign w:val="center"/>
          </w:tcPr>
          <w:p>
            <w:pPr>
              <w:widowControl/>
              <w:snapToGrid w:val="0"/>
              <w:spacing w:line="340" w:lineRule="exact"/>
              <w:ind w:firstLine="210" w:firstLineChars="100"/>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205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40" w:lineRule="exact"/>
              <w:ind w:leftChars="0"/>
              <w:textAlignment w:val="auto"/>
              <w:rPr>
                <w:rFonts w:hint="eastAsia" w:ascii="宋体" w:hAnsi="宋体" w:eastAsia="宋体" w:cs="仿宋_GB2312"/>
                <w:b/>
                <w:bCs/>
                <w:color w:val="auto"/>
                <w:szCs w:val="21"/>
                <w:highlight w:val="none"/>
                <w:lang w:val="en-US" w:eastAsia="zh-CN"/>
              </w:rPr>
            </w:pPr>
            <w:r>
              <w:rPr>
                <w:rFonts w:hint="eastAsia" w:ascii="宋体" w:hAnsi="宋体" w:cs="仿宋_GB2312"/>
                <w:b/>
                <w:bCs/>
                <w:color w:val="auto"/>
                <w:szCs w:val="21"/>
                <w:highlight w:val="none"/>
                <w:lang w:val="en-US" w:eastAsia="zh-CN"/>
              </w:rPr>
              <w:t>2、</w:t>
            </w:r>
            <w:r>
              <w:rPr>
                <w:rFonts w:hint="eastAsia" w:ascii="宋体" w:hAnsi="宋体" w:cs="仿宋_GB2312"/>
                <w:b/>
                <w:bCs/>
                <w:color w:val="auto"/>
                <w:szCs w:val="21"/>
                <w:highlight w:val="none"/>
              </w:rPr>
              <w:t>垃圾桶</w:t>
            </w:r>
            <w:r>
              <w:rPr>
                <w:rFonts w:hint="eastAsia" w:ascii="宋体" w:hAnsi="宋体" w:cs="仿宋_GB2312"/>
                <w:b/>
                <w:bCs/>
                <w:color w:val="auto"/>
                <w:szCs w:val="21"/>
                <w:highlight w:val="none"/>
                <w:lang w:eastAsia="zh-CN"/>
              </w:rPr>
              <w:t>“</w:t>
            </w:r>
            <w:r>
              <w:rPr>
                <w:rFonts w:hint="eastAsia" w:ascii="宋体" w:hAnsi="宋体" w:cs="仿宋_GB2312"/>
                <w:b/>
                <w:bCs/>
                <w:color w:val="auto"/>
                <w:szCs w:val="21"/>
                <w:highlight w:val="none"/>
              </w:rPr>
              <w:t>以桶换桶</w:t>
            </w:r>
            <w:r>
              <w:rPr>
                <w:rFonts w:hint="eastAsia" w:ascii="宋体" w:hAnsi="宋体" w:cs="仿宋_GB2312"/>
                <w:b/>
                <w:bCs/>
                <w:color w:val="auto"/>
                <w:szCs w:val="21"/>
                <w:highlight w:val="none"/>
                <w:lang w:eastAsia="zh-CN"/>
              </w:rPr>
              <w:t>”</w:t>
            </w:r>
            <w:r>
              <w:rPr>
                <w:rFonts w:hint="eastAsia" w:ascii="宋体" w:hAnsi="宋体" w:cs="仿宋_GB2312"/>
                <w:b/>
                <w:bCs/>
                <w:color w:val="auto"/>
                <w:szCs w:val="21"/>
                <w:highlight w:val="none"/>
              </w:rPr>
              <w:t>实施方案</w:t>
            </w:r>
            <w:r>
              <w:rPr>
                <w:rFonts w:hint="eastAsia" w:ascii="宋体" w:hAnsi="宋体" w:cs="宋体"/>
                <w:b/>
                <w:bCs w:val="0"/>
                <w:color w:val="auto"/>
                <w:kern w:val="2"/>
                <w:sz w:val="21"/>
                <w:szCs w:val="22"/>
                <w:highlight w:val="none"/>
                <w:lang w:val="en-US" w:eastAsia="zh-CN" w:bidi="ar-SA"/>
              </w:rPr>
              <w:t>，</w:t>
            </w:r>
            <w:r>
              <w:rPr>
                <w:rFonts w:hint="eastAsia" w:ascii="宋体" w:hAnsi="宋体" w:eastAsia="宋体" w:cs="宋体"/>
                <w:b/>
                <w:bCs w:val="0"/>
                <w:color w:val="auto"/>
                <w:kern w:val="2"/>
                <w:sz w:val="21"/>
                <w:szCs w:val="22"/>
                <w:highlight w:val="none"/>
                <w:lang w:val="en-US" w:eastAsia="zh-CN" w:bidi="ar-SA"/>
              </w:rPr>
              <w:t>各岗位人员管理规定和人员考核方案</w:t>
            </w:r>
            <w:r>
              <w:rPr>
                <w:rFonts w:hint="eastAsia" w:ascii="宋体" w:hAnsi="宋体" w:cs="仿宋_GB2312"/>
                <w:b/>
                <w:bCs/>
                <w:color w:val="auto"/>
                <w:szCs w:val="21"/>
                <w:highlight w:val="none"/>
              </w:rPr>
              <w:t>（</w:t>
            </w:r>
            <w:r>
              <w:rPr>
                <w:rFonts w:hint="eastAsia" w:ascii="宋体" w:hAnsi="宋体" w:cs="仿宋_GB2312"/>
                <w:b/>
                <w:bCs/>
                <w:color w:val="auto"/>
                <w:szCs w:val="21"/>
                <w:highlight w:val="none"/>
                <w:lang w:val="en-US" w:eastAsia="zh-CN"/>
              </w:rPr>
              <w:t>3</w:t>
            </w:r>
            <w:r>
              <w:rPr>
                <w:rFonts w:hint="eastAsia" w:ascii="宋体" w:hAnsi="宋体" w:cs="仿宋_GB2312"/>
                <w:b/>
                <w:bCs/>
                <w:color w:val="auto"/>
                <w:szCs w:val="21"/>
                <w:highlight w:val="none"/>
              </w:rPr>
              <w:t>分）</w:t>
            </w:r>
          </w:p>
          <w:p>
            <w:pPr>
              <w:pStyle w:val="2"/>
              <w:numPr>
                <w:ilvl w:val="0"/>
                <w:numId w:val="0"/>
              </w:numPr>
              <w:spacing w:line="340" w:lineRule="exact"/>
              <w:ind w:left="0" w:leftChars="0"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评审专家根据投标人针对本项目的垃圾桶“以桶换桶”收集、投放、运输等实施方案等进行综合评议，实施方案科学合理的得2-3分；实施方案基本合理的得1-2分；实施方案存在缺陷或缺项的得0-1分。</w:t>
            </w:r>
          </w:p>
        </w:tc>
        <w:tc>
          <w:tcPr>
            <w:tcW w:w="675" w:type="dxa"/>
            <w:noWrap w:val="0"/>
            <w:vAlign w:val="center"/>
          </w:tcPr>
          <w:p>
            <w:pPr>
              <w:widowControl/>
              <w:snapToGrid w:val="0"/>
              <w:spacing w:line="340" w:lineRule="exact"/>
              <w:ind w:firstLine="210" w:firstLineChars="100"/>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173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宋体" w:hAnsi="宋体" w:eastAsia="宋体" w:cs="宋体"/>
                <w:b/>
                <w:bCs w:val="0"/>
                <w:color w:val="auto"/>
                <w:kern w:val="2"/>
                <w:sz w:val="21"/>
                <w:szCs w:val="22"/>
                <w:highlight w:val="none"/>
                <w:lang w:val="en-US" w:eastAsia="zh-CN" w:bidi="ar-SA"/>
              </w:rPr>
            </w:pPr>
            <w:r>
              <w:rPr>
                <w:rFonts w:hint="eastAsia" w:ascii="宋体" w:hAnsi="宋体"/>
                <w:b/>
                <w:bCs w:val="0"/>
                <w:color w:val="auto"/>
                <w:spacing w:val="-2"/>
                <w:szCs w:val="21"/>
                <w:highlight w:val="none"/>
                <w:lang w:val="en-US" w:eastAsia="zh-CN"/>
              </w:rPr>
              <w:t>3、垃圾桶清洗、维护方案</w:t>
            </w:r>
            <w:r>
              <w:rPr>
                <w:rFonts w:hint="eastAsia" w:ascii="宋体" w:hAnsi="宋体" w:cs="宋体"/>
                <w:b/>
                <w:bCs w:val="0"/>
                <w:color w:val="auto"/>
                <w:kern w:val="2"/>
                <w:sz w:val="21"/>
                <w:szCs w:val="22"/>
                <w:highlight w:val="none"/>
                <w:lang w:val="en-US" w:eastAsia="zh-CN" w:bidi="ar-SA"/>
              </w:rPr>
              <w:t>，</w:t>
            </w:r>
            <w:r>
              <w:rPr>
                <w:rFonts w:hint="eastAsia" w:ascii="宋体" w:hAnsi="宋体" w:eastAsia="宋体" w:cs="宋体"/>
                <w:b/>
                <w:bCs w:val="0"/>
                <w:color w:val="auto"/>
                <w:kern w:val="2"/>
                <w:sz w:val="21"/>
                <w:szCs w:val="22"/>
                <w:highlight w:val="none"/>
                <w:lang w:val="en-US" w:eastAsia="zh-CN" w:bidi="ar-SA"/>
              </w:rPr>
              <w:t>各岗位人员管理规定和人员考核方案</w:t>
            </w:r>
          </w:p>
          <w:p>
            <w:pPr>
              <w:keepNext w:val="0"/>
              <w:keepLines w:val="0"/>
              <w:pageBreakBefore w:val="0"/>
              <w:numPr>
                <w:ilvl w:val="0"/>
                <w:numId w:val="0"/>
              </w:numPr>
              <w:kinsoku/>
              <w:wordWrap/>
              <w:overflowPunct/>
              <w:topLinePunct w:val="0"/>
              <w:autoSpaceDE/>
              <w:autoSpaceDN/>
              <w:bidi w:val="0"/>
              <w:adjustRightInd/>
              <w:spacing w:line="340" w:lineRule="exact"/>
              <w:ind w:leftChars="0"/>
              <w:textAlignment w:val="auto"/>
              <w:rPr>
                <w:rFonts w:hint="eastAsia" w:ascii="宋体" w:hAnsi="宋体"/>
                <w:b/>
                <w:bCs w:val="0"/>
                <w:color w:val="auto"/>
                <w:spacing w:val="-2"/>
                <w:szCs w:val="21"/>
                <w:highlight w:val="none"/>
                <w:lang w:val="en-US" w:eastAsia="zh-CN"/>
              </w:rPr>
            </w:pPr>
            <w:r>
              <w:rPr>
                <w:rFonts w:hint="eastAsia" w:ascii="宋体" w:hAnsi="宋体"/>
                <w:b/>
                <w:bCs w:val="0"/>
                <w:color w:val="auto"/>
                <w:spacing w:val="-2"/>
                <w:szCs w:val="21"/>
                <w:highlight w:val="none"/>
                <w:lang w:val="en-US" w:eastAsia="zh-CN"/>
              </w:rPr>
              <w:t>（3分）</w:t>
            </w:r>
          </w:p>
          <w:p>
            <w:pPr>
              <w:pStyle w:val="2"/>
              <w:numPr>
                <w:ilvl w:val="0"/>
                <w:numId w:val="0"/>
              </w:numPr>
              <w:spacing w:line="340" w:lineRule="exact"/>
              <w:ind w:left="0" w:leftChars="0"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对垃圾桶日常清洗、破损维护、更新等方案进行评审；方案合理、科学，可操作性强的得2-3分，方案基本合理、科学，具有可操作性的得1-2分，方案欠科学合理，可操作性欠缺的得0-1分。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143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ind w:firstLine="0" w:firstLineChars="0"/>
              <w:textAlignment w:val="auto"/>
              <w:rPr>
                <w:rFonts w:hint="eastAsia" w:ascii="宋体" w:hAnsi="宋体"/>
                <w:b/>
                <w:bCs w:val="0"/>
                <w:color w:val="auto"/>
                <w:spacing w:val="-2"/>
                <w:szCs w:val="21"/>
                <w:highlight w:val="none"/>
                <w:lang w:val="en-US" w:eastAsia="zh-CN"/>
              </w:rPr>
            </w:pPr>
            <w:r>
              <w:rPr>
                <w:rFonts w:hint="eastAsia" w:ascii="宋体" w:hAnsi="宋体"/>
                <w:b/>
                <w:bCs w:val="0"/>
                <w:color w:val="auto"/>
                <w:spacing w:val="-2"/>
                <w:szCs w:val="21"/>
                <w:highlight w:val="none"/>
                <w:lang w:val="en-US" w:eastAsia="zh-CN"/>
              </w:rPr>
              <w:t>4、垃圾中转站管理运营及设备设施维护方案（3分）</w:t>
            </w:r>
          </w:p>
          <w:p>
            <w:pPr>
              <w:pStyle w:val="2"/>
              <w:numPr>
                <w:ilvl w:val="0"/>
                <w:numId w:val="0"/>
              </w:numPr>
              <w:spacing w:line="340" w:lineRule="exact"/>
              <w:ind w:left="0" w:leftChars="0"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对垃圾中转站日常管理运营、设备设施维护等方案进行评审；方案合理、科学，可操作性强的得2-3分，方案基本合理、科学，具有可操作性的得1-2分，方案欠科学合理，可操作性欠缺的得0-1分。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119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cs="宋体"/>
                <w:color w:val="auto"/>
                <w:szCs w:val="21"/>
                <w:highlight w:val="none"/>
              </w:rPr>
            </w:pPr>
          </w:p>
        </w:tc>
        <w:tc>
          <w:tcPr>
            <w:tcW w:w="6134" w:type="dxa"/>
            <w:tcBorders>
              <w:left w:val="single" w:color="auto" w:sz="4" w:space="0"/>
            </w:tcBorders>
            <w:noWrap w:val="0"/>
            <w:vAlign w:val="center"/>
          </w:tcPr>
          <w:p>
            <w:pPr>
              <w:pStyle w:val="2"/>
              <w:numPr>
                <w:ilvl w:val="0"/>
                <w:numId w:val="9"/>
              </w:numPr>
              <w:spacing w:line="340" w:lineRule="exact"/>
              <w:ind w:left="0" w:leftChars="0" w:firstLine="0" w:firstLineChars="0"/>
              <w:rPr>
                <w:rFonts w:hint="eastAsia" w:ascii="宋体" w:hAnsi="宋体" w:eastAsia="宋体" w:cs="Times New Roman"/>
                <w:b/>
                <w:bCs w:val="0"/>
                <w:color w:val="000000"/>
                <w:spacing w:val="-2"/>
                <w:kern w:val="2"/>
                <w:sz w:val="21"/>
                <w:szCs w:val="21"/>
                <w:highlight w:val="none"/>
                <w:lang w:val="en-US" w:eastAsia="zh-CN" w:bidi="ar-SA"/>
              </w:rPr>
            </w:pPr>
            <w:r>
              <w:rPr>
                <w:rFonts w:hint="eastAsia" w:ascii="宋体" w:hAnsi="宋体" w:eastAsia="宋体" w:cs="Times New Roman"/>
                <w:b/>
                <w:bCs w:val="0"/>
                <w:color w:val="000000"/>
                <w:spacing w:val="-2"/>
                <w:kern w:val="2"/>
                <w:sz w:val="21"/>
                <w:szCs w:val="21"/>
                <w:highlight w:val="none"/>
                <w:lang w:val="en-US" w:eastAsia="zh-CN" w:bidi="ar-SA"/>
              </w:rPr>
              <w:t>其他垃圾压缩车、厨余垃圾压缩车操作管理方案（3分）</w:t>
            </w:r>
          </w:p>
          <w:p>
            <w:pPr>
              <w:pStyle w:val="2"/>
              <w:numPr>
                <w:ilvl w:val="0"/>
                <w:numId w:val="0"/>
              </w:numPr>
              <w:spacing w:line="340" w:lineRule="exact"/>
              <w:ind w:left="0" w:leftChars="0" w:firstLine="0" w:firstLineChars="0"/>
              <w:rPr>
                <w:rFonts w:hint="eastAsia" w:ascii="宋体" w:hAnsi="宋体" w:eastAsia="宋体" w:cs="宋体"/>
                <w:bCs/>
                <w:color w:val="auto"/>
                <w:kern w:val="2"/>
                <w:sz w:val="21"/>
                <w:szCs w:val="22"/>
                <w:highlight w:val="none"/>
                <w:lang w:val="en-US" w:eastAsia="zh-CN" w:bidi="ar-SA"/>
              </w:rPr>
            </w:pPr>
            <w:r>
              <w:rPr>
                <w:rFonts w:hint="eastAsia" w:ascii="宋体" w:hAnsi="宋体" w:eastAsia="宋体" w:cs="宋体"/>
                <w:bCs/>
                <w:color w:val="auto"/>
                <w:kern w:val="2"/>
                <w:sz w:val="21"/>
                <w:szCs w:val="22"/>
                <w:highlight w:val="none"/>
                <w:lang w:val="en-US" w:eastAsia="zh-CN" w:bidi="ar-SA"/>
              </w:rPr>
              <w:t>对压缩车、压块车操作方案，方案合理、科学，可操作性强的得2-3分，方案基本合理、科学，具有可操作性的得1-2分，方案欠科学合理，可操作性欠缺的得0-1分。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eastAsia"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7" w:type="dxa"/>
          <w:cantSplit/>
          <w:trHeight w:val="1855" w:hRule="atLeast"/>
        </w:trPr>
        <w:tc>
          <w:tcPr>
            <w:tcW w:w="937" w:type="dxa"/>
            <w:vMerge w:val="restart"/>
            <w:tcBorders>
              <w:left w:val="double" w:color="auto" w:sz="4" w:space="0"/>
              <w:right w:val="single" w:color="auto" w:sz="4" w:space="0"/>
            </w:tcBorders>
            <w:noWrap w:val="0"/>
            <w:vAlign w:val="center"/>
          </w:tcPr>
          <w:p>
            <w:pPr>
              <w:spacing w:line="340" w:lineRule="exact"/>
              <w:ind w:firstLine="0" w:firstLineChars="0"/>
              <w:jc w:val="center"/>
              <w:rPr>
                <w:rFonts w:hint="eastAsia" w:ascii="宋体" w:hAnsi="宋体" w:eastAsia="宋体" w:cs="宋体"/>
                <w:color w:val="auto"/>
                <w:highlight w:val="none"/>
              </w:rPr>
            </w:pPr>
          </w:p>
        </w:tc>
        <w:tc>
          <w:tcPr>
            <w:tcW w:w="1380" w:type="dxa"/>
            <w:tcBorders>
              <w:left w:val="single" w:color="auto" w:sz="4" w:space="0"/>
            </w:tcBorders>
            <w:noWrap w:val="0"/>
            <w:vAlign w:val="center"/>
          </w:tcPr>
          <w:p>
            <w:pPr>
              <w:spacing w:line="340" w:lineRule="exact"/>
              <w:jc w:val="center"/>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一般工业固废收集及处置项目实施</w:t>
            </w:r>
          </w:p>
          <w:p>
            <w:pPr>
              <w:spacing w:line="340" w:lineRule="exact"/>
              <w:jc w:val="center"/>
              <w:rPr>
                <w:rFonts w:hint="eastAsia" w:ascii="Times New Roman" w:hAnsi="Times New Roman" w:eastAsia="宋体" w:cs="Times New Roman"/>
                <w:b/>
                <w:bCs/>
                <w:kern w:val="2"/>
                <w:sz w:val="21"/>
                <w:lang w:val="en-US" w:eastAsia="zh-CN" w:bidi="ar-SA"/>
              </w:rPr>
            </w:pPr>
            <w:r>
              <w:rPr>
                <w:rFonts w:hint="eastAsia" w:ascii="Times New Roman" w:hAnsi="Times New Roman" w:eastAsia="宋体" w:cs="Times New Roman"/>
                <w:b/>
                <w:bCs/>
                <w:kern w:val="2"/>
                <w:sz w:val="21"/>
                <w:lang w:val="en-US" w:eastAsia="zh-CN" w:bidi="ar-SA"/>
              </w:rPr>
              <w:t>方案</w:t>
            </w:r>
          </w:p>
          <w:p>
            <w:pPr>
              <w:spacing w:line="340" w:lineRule="exact"/>
              <w:jc w:val="center"/>
              <w:rPr>
                <w:rFonts w:hint="eastAsia" w:ascii="宋体" w:hAnsi="宋体" w:cs="宋体"/>
                <w:color w:val="auto"/>
                <w:szCs w:val="21"/>
                <w:highlight w:val="none"/>
              </w:rPr>
            </w:pPr>
            <w:r>
              <w:rPr>
                <w:rFonts w:hint="eastAsia" w:ascii="Times New Roman" w:hAnsi="Times New Roman" w:eastAsia="宋体" w:cs="Times New Roman"/>
                <w:b/>
                <w:bCs/>
                <w:kern w:val="2"/>
                <w:sz w:val="21"/>
                <w:lang w:val="en-US" w:eastAsia="zh-CN" w:bidi="ar-SA"/>
              </w:rPr>
              <w:t>（</w:t>
            </w:r>
            <w:r>
              <w:rPr>
                <w:rFonts w:hint="eastAsia" w:ascii="Times New Roman" w:hAnsi="Times New Roman" w:cs="Times New Roman"/>
                <w:b/>
                <w:bCs/>
                <w:kern w:val="2"/>
                <w:sz w:val="21"/>
                <w:lang w:val="en-US" w:eastAsia="zh-CN" w:bidi="ar-SA"/>
              </w:rPr>
              <w:t>3</w:t>
            </w:r>
            <w:r>
              <w:rPr>
                <w:rFonts w:hint="eastAsia" w:ascii="Times New Roman" w:hAnsi="Times New Roman" w:eastAsia="宋体" w:cs="Times New Roman"/>
                <w:b/>
                <w:bCs/>
                <w:kern w:val="2"/>
                <w:sz w:val="21"/>
                <w:lang w:val="en-US" w:eastAsia="zh-CN" w:bidi="ar-SA"/>
              </w:rPr>
              <w:t>分）</w:t>
            </w:r>
          </w:p>
        </w:tc>
        <w:tc>
          <w:tcPr>
            <w:tcW w:w="6134" w:type="dxa"/>
            <w:tcBorders>
              <w:left w:val="single" w:color="auto" w:sz="4" w:space="0"/>
            </w:tcBorders>
            <w:noWrap w:val="0"/>
            <w:vAlign w:val="center"/>
          </w:tcPr>
          <w:p>
            <w:pPr>
              <w:pStyle w:val="2"/>
              <w:numPr>
                <w:ilvl w:val="0"/>
                <w:numId w:val="0"/>
              </w:numPr>
              <w:spacing w:line="340" w:lineRule="exact"/>
              <w:ind w:leftChars="0"/>
              <w:rPr>
                <w:rFonts w:hint="eastAsia"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一般工业固废收集及处置实施方案（3分）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宋体" w:hAnsi="宋体" w:eastAsia="宋体" w:cs="宋体"/>
                <w:b/>
                <w:bCs w:val="0"/>
                <w:color w:val="auto"/>
                <w:kern w:val="2"/>
                <w:sz w:val="21"/>
                <w:szCs w:val="22"/>
                <w:highlight w:val="none"/>
                <w:lang w:val="en-US" w:eastAsia="zh-CN" w:bidi="ar-SA"/>
              </w:rPr>
            </w:pPr>
            <w:r>
              <w:rPr>
                <w:rFonts w:hint="eastAsia" w:ascii="宋体" w:hAnsi="宋体" w:eastAsia="宋体" w:cs="宋体"/>
                <w:b w:val="0"/>
                <w:bCs/>
                <w:color w:val="auto"/>
                <w:kern w:val="2"/>
                <w:sz w:val="21"/>
                <w:szCs w:val="22"/>
                <w:highlight w:val="none"/>
                <w:lang w:val="en-US" w:eastAsia="zh-CN" w:bidi="ar-SA"/>
              </w:rPr>
              <w:t>对一般工业固废收集方案，</w:t>
            </w:r>
            <w:r>
              <w:rPr>
                <w:rFonts w:hint="eastAsia" w:ascii="宋体" w:hAnsi="宋体" w:eastAsia="宋体" w:cs="宋体"/>
                <w:bCs/>
                <w:color w:val="auto"/>
                <w:kern w:val="2"/>
                <w:sz w:val="21"/>
                <w:szCs w:val="22"/>
                <w:highlight w:val="none"/>
                <w:lang w:val="en-US" w:eastAsia="zh-CN" w:bidi="ar-SA"/>
              </w:rPr>
              <w:t>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607" w:type="dxa"/>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restart"/>
            <w:tcBorders>
              <w:left w:val="single" w:color="auto" w:sz="4" w:space="0"/>
            </w:tcBorders>
            <w:noWrap w:val="0"/>
            <w:vAlign w:val="center"/>
          </w:tcPr>
          <w:p>
            <w:pPr>
              <w:spacing w:line="340" w:lineRule="exact"/>
              <w:jc w:val="center"/>
              <w:rPr>
                <w:rFonts w:hint="eastAsia"/>
                <w:b/>
                <w:bCs/>
                <w:lang w:val="en-US" w:eastAsia="zh-CN"/>
              </w:rPr>
            </w:pPr>
          </w:p>
          <w:p>
            <w:pPr>
              <w:spacing w:line="340" w:lineRule="exact"/>
              <w:jc w:val="center"/>
              <w:rPr>
                <w:rFonts w:hint="eastAsia"/>
                <w:b/>
                <w:bCs/>
                <w:lang w:val="en-US" w:eastAsia="zh-CN"/>
              </w:rPr>
            </w:pPr>
          </w:p>
          <w:p>
            <w:pPr>
              <w:spacing w:line="340" w:lineRule="exact"/>
              <w:jc w:val="center"/>
              <w:rPr>
                <w:rFonts w:hint="eastAsia"/>
                <w:b/>
                <w:bCs/>
                <w:lang w:val="en-US" w:eastAsia="zh-CN"/>
              </w:rPr>
            </w:pPr>
            <w:r>
              <w:rPr>
                <w:rFonts w:hint="eastAsia"/>
                <w:b/>
                <w:bCs/>
                <w:lang w:val="en-US" w:eastAsia="zh-CN"/>
              </w:rPr>
              <w:t>再生</w:t>
            </w:r>
          </w:p>
          <w:p>
            <w:pPr>
              <w:spacing w:line="340" w:lineRule="exact"/>
              <w:jc w:val="center"/>
              <w:rPr>
                <w:rFonts w:hint="eastAsia"/>
                <w:b/>
                <w:bCs/>
                <w:lang w:val="en-US" w:eastAsia="zh-CN"/>
              </w:rPr>
            </w:pPr>
            <w:r>
              <w:rPr>
                <w:rFonts w:hint="eastAsia"/>
                <w:b/>
                <w:bCs/>
                <w:lang w:val="en-US" w:eastAsia="zh-CN"/>
              </w:rPr>
              <w:t>资源</w:t>
            </w:r>
          </w:p>
          <w:p>
            <w:pPr>
              <w:spacing w:line="340" w:lineRule="exact"/>
              <w:jc w:val="center"/>
              <w:rPr>
                <w:rFonts w:hint="eastAsia"/>
                <w:b/>
                <w:bCs/>
                <w:lang w:val="en-US" w:eastAsia="zh-CN"/>
              </w:rPr>
            </w:pPr>
            <w:r>
              <w:rPr>
                <w:rFonts w:hint="eastAsia"/>
                <w:b/>
                <w:bCs/>
                <w:lang w:val="en-US" w:eastAsia="zh-CN"/>
              </w:rPr>
              <w:t>可回</w:t>
            </w:r>
          </w:p>
          <w:p>
            <w:pPr>
              <w:spacing w:line="340" w:lineRule="exact"/>
              <w:jc w:val="center"/>
              <w:rPr>
                <w:rFonts w:hint="eastAsia"/>
                <w:b/>
                <w:bCs/>
                <w:lang w:val="en-US" w:eastAsia="zh-CN"/>
              </w:rPr>
            </w:pPr>
            <w:r>
              <w:rPr>
                <w:rFonts w:hint="eastAsia"/>
                <w:b/>
                <w:bCs/>
                <w:lang w:val="en-US" w:eastAsia="zh-CN"/>
              </w:rPr>
              <w:t>收体</w:t>
            </w:r>
          </w:p>
          <w:p>
            <w:pPr>
              <w:spacing w:line="340" w:lineRule="exact"/>
              <w:jc w:val="center"/>
              <w:rPr>
                <w:rFonts w:hint="eastAsia"/>
                <w:b/>
                <w:bCs/>
                <w:lang w:val="en-US" w:eastAsia="zh-CN"/>
              </w:rPr>
            </w:pPr>
            <w:r>
              <w:rPr>
                <w:rFonts w:hint="eastAsia"/>
                <w:b/>
                <w:bCs/>
                <w:lang w:val="en-US" w:eastAsia="zh-CN"/>
              </w:rPr>
              <w:t>系</w:t>
            </w:r>
          </w:p>
          <w:p>
            <w:pPr>
              <w:spacing w:line="340" w:lineRule="exact"/>
              <w:jc w:val="center"/>
              <w:rPr>
                <w:rFonts w:hint="eastAsia"/>
                <w:b/>
                <w:bCs/>
                <w:lang w:val="en-US" w:eastAsia="zh-CN"/>
              </w:rPr>
            </w:pPr>
            <w:r>
              <w:rPr>
                <w:rFonts w:hint="eastAsia"/>
                <w:b/>
                <w:bCs/>
                <w:lang w:val="en-US" w:eastAsia="zh-CN"/>
              </w:rPr>
              <w:t>建设</w:t>
            </w:r>
          </w:p>
          <w:p>
            <w:pPr>
              <w:spacing w:line="340" w:lineRule="exact"/>
              <w:jc w:val="center"/>
              <w:rPr>
                <w:rFonts w:hint="eastAsia" w:ascii="Times New Roman" w:hAnsi="Times New Roman" w:cs="Times New Roman"/>
                <w:b/>
                <w:bCs/>
                <w:lang w:val="en-US" w:eastAsia="zh-CN"/>
              </w:rPr>
            </w:pPr>
            <w:r>
              <w:rPr>
                <w:rFonts w:hint="eastAsia"/>
                <w:b/>
                <w:bCs/>
                <w:lang w:val="en-US" w:eastAsia="zh-CN"/>
              </w:rPr>
              <w:t>运</w:t>
            </w:r>
            <w:r>
              <w:rPr>
                <w:rFonts w:hint="eastAsia" w:ascii="Times New Roman" w:hAnsi="Times New Roman" w:cs="Times New Roman"/>
                <w:b/>
                <w:bCs/>
                <w:lang w:val="en-US" w:eastAsia="zh-CN"/>
              </w:rPr>
              <w:t>营</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项目</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实施</w:t>
            </w:r>
          </w:p>
          <w:p>
            <w:pPr>
              <w:spacing w:line="340" w:lineRule="exact"/>
              <w:jc w:val="center"/>
              <w:rPr>
                <w:rFonts w:hint="default" w:ascii="Times New Roman" w:hAnsi="Times New Roman" w:cs="Times New Roman"/>
                <w:b/>
                <w:bCs/>
                <w:lang w:val="en-US" w:eastAsia="zh-CN"/>
              </w:rPr>
            </w:pPr>
            <w:r>
              <w:rPr>
                <w:rFonts w:hint="eastAsia" w:ascii="Times New Roman" w:hAnsi="Times New Roman" w:cs="Times New Roman"/>
                <w:b/>
                <w:bCs/>
                <w:lang w:val="en-US" w:eastAsia="zh-CN"/>
              </w:rPr>
              <w:t>方案</w:t>
            </w:r>
          </w:p>
          <w:p>
            <w:pPr>
              <w:pStyle w:val="2"/>
              <w:ind w:left="0" w:leftChars="0" w:firstLine="0" w:firstLineChars="0"/>
              <w:jc w:val="center"/>
              <w:rPr>
                <w:rFonts w:hint="eastAsia"/>
                <w:lang w:val="en-US" w:eastAsia="zh-CN"/>
              </w:rPr>
            </w:pPr>
            <w:r>
              <w:rPr>
                <w:rFonts w:hint="eastAsia" w:ascii="Times New Roman" w:hAnsi="Times New Roman" w:eastAsia="宋体" w:cs="Times New Roman"/>
                <w:b/>
                <w:bCs/>
                <w:kern w:val="2"/>
                <w:sz w:val="21"/>
                <w:lang w:val="en-US" w:eastAsia="zh-CN" w:bidi="ar-SA"/>
              </w:rPr>
              <w:t>（6分）</w:t>
            </w:r>
          </w:p>
        </w:tc>
        <w:tc>
          <w:tcPr>
            <w:tcW w:w="6134" w:type="dxa"/>
            <w:tcBorders>
              <w:left w:val="single" w:color="auto" w:sz="4" w:space="0"/>
            </w:tcBorders>
            <w:noWrap w:val="0"/>
            <w:vAlign w:val="center"/>
          </w:tcPr>
          <w:p>
            <w:pPr>
              <w:pStyle w:val="2"/>
              <w:numPr>
                <w:ilvl w:val="0"/>
                <w:numId w:val="0"/>
              </w:numPr>
              <w:spacing w:line="320" w:lineRule="exact"/>
              <w:rPr>
                <w:rFonts w:hint="eastAsia" w:ascii="Times New Roman" w:hAnsi="Times New Roman" w:eastAsia="宋体" w:cs="Times New Roman"/>
                <w:b/>
                <w:bCs/>
                <w:color w:val="auto"/>
                <w:kern w:val="2"/>
                <w:sz w:val="21"/>
                <w:szCs w:val="22"/>
                <w:lang w:val="en-US" w:eastAsia="zh-CN" w:bidi="ar-SA"/>
              </w:rPr>
            </w:pPr>
            <w:r>
              <w:rPr>
                <w:rFonts w:hint="eastAsia" w:ascii="Times New Roman" w:hAnsi="Times New Roman" w:eastAsia="宋体" w:cs="Times New Roman"/>
                <w:b/>
                <w:bCs/>
                <w:color w:val="auto"/>
                <w:kern w:val="2"/>
                <w:sz w:val="21"/>
                <w:szCs w:val="22"/>
                <w:lang w:val="en-US" w:eastAsia="zh-CN" w:bidi="ar-SA"/>
              </w:rPr>
              <w:t>1、桥头镇可回收体系建设方案（3分）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Cs/>
                <w:color w:val="auto"/>
                <w:kern w:val="2"/>
                <w:sz w:val="21"/>
                <w:szCs w:val="22"/>
                <w:lang w:val="en-US" w:eastAsia="zh-CN" w:bidi="ar-SA"/>
              </w:rPr>
            </w:pPr>
            <w:r>
              <w:rPr>
                <w:rFonts w:hint="eastAsia" w:ascii="宋体" w:hAnsi="宋体" w:eastAsia="宋体" w:cs="宋体"/>
                <w:bCs/>
                <w:color w:val="auto"/>
                <w:kern w:val="2"/>
                <w:sz w:val="21"/>
                <w:szCs w:val="22"/>
                <w:lang w:val="en-US" w:eastAsia="zh-CN" w:bidi="ar-SA"/>
              </w:rPr>
              <w:t>方案要求建立以车联网、互联网+大数据信息技术为支撑，结合原有的再生资源回收体系，构建一个从源头到终端为一体的智能化、网格化、全覆盖的再生资源回收体系，提升行业规范，提高资源利用效率，实施回收物全品类回收，实现垃圾减量化、资源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color w:val="auto"/>
                <w:spacing w:val="0"/>
                <w:sz w:val="21"/>
                <w:szCs w:val="22"/>
                <w:highlight w:val="none"/>
                <w:lang w:val="en-US" w:eastAsia="zh-CN"/>
              </w:rPr>
            </w:pPr>
            <w:r>
              <w:rPr>
                <w:rFonts w:hint="eastAsia" w:ascii="宋体" w:hAnsi="宋体" w:eastAsia="宋体" w:cs="宋体"/>
                <w:bCs/>
                <w:color w:val="auto"/>
                <w:kern w:val="2"/>
                <w:sz w:val="21"/>
                <w:szCs w:val="22"/>
                <w:lang w:val="en-US" w:eastAsia="zh-CN" w:bidi="ar-SA"/>
              </w:rPr>
              <w:t>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9"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vMerge w:val="continue"/>
            <w:tcBorders>
              <w:left w:val="single" w:color="auto" w:sz="4" w:space="0"/>
            </w:tcBorders>
            <w:noWrap w:val="0"/>
            <w:vAlign w:val="center"/>
          </w:tcPr>
          <w:p>
            <w:pPr>
              <w:spacing w:line="340" w:lineRule="exact"/>
              <w:rPr>
                <w:rFonts w:hint="eastAsia" w:ascii="宋体" w:hAnsi="宋体" w:eastAsia="宋体" w:cs="宋体"/>
                <w:b/>
                <w:bCs w:val="0"/>
                <w:color w:val="auto"/>
                <w:kern w:val="2"/>
                <w:sz w:val="21"/>
                <w:szCs w:val="22"/>
                <w:highlight w:val="none"/>
                <w:lang w:val="en-US" w:eastAsia="zh-CN" w:bidi="ar-SA"/>
              </w:rPr>
            </w:pPr>
          </w:p>
        </w:tc>
        <w:tc>
          <w:tcPr>
            <w:tcW w:w="6134" w:type="dxa"/>
            <w:tcBorders>
              <w:lef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b/>
                <w:bCs/>
                <w:color w:val="auto"/>
                <w:lang w:val="en-US" w:eastAsia="zh-CN"/>
              </w:rPr>
            </w:pPr>
            <w:r>
              <w:rPr>
                <w:rFonts w:hint="eastAsia"/>
                <w:b/>
                <w:bCs/>
                <w:color w:val="auto"/>
                <w:lang w:val="en-US" w:eastAsia="zh-CN"/>
              </w:rPr>
              <w:t>2、桥头镇可回收模式具体实施方案（3分）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pacing w:val="0"/>
                <w:sz w:val="21"/>
                <w:szCs w:val="22"/>
                <w:highlight w:val="none"/>
                <w:lang w:val="en-US" w:eastAsia="zh-CN"/>
              </w:rPr>
            </w:pPr>
            <w:r>
              <w:rPr>
                <w:rFonts w:hint="eastAsia" w:ascii="宋体" w:hAnsi="宋体" w:eastAsia="宋体" w:cs="宋体"/>
                <w:bCs/>
                <w:color w:val="auto"/>
                <w:kern w:val="2"/>
                <w:sz w:val="21"/>
                <w:szCs w:val="22"/>
                <w:lang w:val="en-US" w:eastAsia="zh-CN" w:bidi="ar-SA"/>
              </w:rPr>
              <w:t>投标单位按招标文件配备回收车辆和人员，要求回收方案能覆盖桥头镇全区域，制定对可回收物的全品类回收及提供预约回收、上门流动回收、定时定点回收三种回收模式，和对可回收垃圾的前端分类收集、分类运输、末端分选、标准化处理、再生利用的方案。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tcBorders>
              <w:left w:val="single" w:color="auto" w:sz="4" w:space="0"/>
            </w:tcBorders>
            <w:noWrap w:val="0"/>
            <w:vAlign w:val="center"/>
          </w:tcPr>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商铺</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上门收集</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垃圾分类</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项目实施</w:t>
            </w:r>
          </w:p>
          <w:p>
            <w:pPr>
              <w:spacing w:line="340" w:lineRule="exact"/>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方案</w:t>
            </w:r>
          </w:p>
          <w:p>
            <w:pPr>
              <w:spacing w:line="340" w:lineRule="exact"/>
              <w:jc w:val="center"/>
              <w:rPr>
                <w:rFonts w:hint="default" w:ascii="宋体" w:hAnsi="宋体" w:cs="Times New Roman"/>
                <w:color w:val="000000"/>
                <w:kern w:val="0"/>
                <w:sz w:val="24"/>
                <w:szCs w:val="24"/>
                <w:lang w:val="en-US" w:eastAsia="zh-CN" w:bidi="ar-SA"/>
              </w:rPr>
            </w:pPr>
            <w:r>
              <w:rPr>
                <w:rFonts w:hint="eastAsia" w:ascii="Times New Roman" w:hAnsi="Times New Roman" w:cs="Times New Roman"/>
                <w:b/>
                <w:bCs/>
                <w:lang w:val="en-US" w:eastAsia="zh-CN"/>
              </w:rPr>
              <w:t>（3分）</w:t>
            </w:r>
          </w:p>
        </w:tc>
        <w:tc>
          <w:tcPr>
            <w:tcW w:w="6134" w:type="dxa"/>
            <w:tcBorders>
              <w:left w:val="single" w:color="auto" w:sz="4" w:space="0"/>
            </w:tcBorders>
            <w:noWrap w:val="0"/>
            <w:vAlign w:val="center"/>
          </w:tcPr>
          <w:p>
            <w:pPr>
              <w:pStyle w:val="2"/>
              <w:numPr>
                <w:ilvl w:val="0"/>
                <w:numId w:val="0"/>
              </w:numPr>
              <w:spacing w:line="300" w:lineRule="exact"/>
              <w:rPr>
                <w:rFonts w:hint="eastAsia" w:ascii="宋体" w:hAnsi="宋体" w:eastAsia="宋体" w:cs="宋体"/>
                <w:b/>
                <w:bCs w:val="0"/>
                <w:color w:val="auto"/>
                <w:kern w:val="2"/>
                <w:sz w:val="21"/>
                <w:szCs w:val="22"/>
                <w:lang w:val="en-US" w:eastAsia="zh-CN" w:bidi="ar-SA"/>
              </w:rPr>
            </w:pPr>
            <w:r>
              <w:rPr>
                <w:rFonts w:hint="eastAsia" w:ascii="宋体" w:hAnsi="宋体" w:eastAsia="宋体" w:cs="宋体"/>
                <w:b/>
                <w:bCs w:val="0"/>
                <w:color w:val="auto"/>
                <w:kern w:val="2"/>
                <w:sz w:val="21"/>
                <w:szCs w:val="22"/>
                <w:lang w:val="en-US" w:eastAsia="zh-CN" w:bidi="ar-SA"/>
              </w:rPr>
              <w:t>建成区商铺二分类垃圾（其他垃圾、厨余垃圾）上门收集实施方案（3分）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b w:val="0"/>
                <w:bCs/>
                <w:color w:val="auto"/>
                <w:spacing w:val="0"/>
                <w:sz w:val="21"/>
                <w:szCs w:val="22"/>
                <w:highlight w:val="none"/>
                <w:lang w:val="en-US" w:eastAsia="zh-CN"/>
              </w:rPr>
            </w:pPr>
            <w:r>
              <w:rPr>
                <w:rFonts w:hint="eastAsia" w:ascii="宋体" w:hAnsi="宋体" w:eastAsia="宋体" w:cs="宋体"/>
                <w:bCs/>
                <w:color w:val="auto"/>
                <w:kern w:val="2"/>
                <w:sz w:val="21"/>
                <w:szCs w:val="22"/>
                <w:lang w:val="en-US" w:eastAsia="zh-CN" w:bidi="ar-SA"/>
              </w:rPr>
              <w:t>根据投标单位对建成区商铺配置上门收集人员，对二分类垃圾实行上门收集和对商铺分类情况建立互联网评分统计系统实施方案，方案合理、科学，可操作性强的得2-3分，方案基本合理、科学，具有可操作性的得1-2分，方案欠科学合理，可操作性欠缺的得0-1分。</w:t>
            </w:r>
          </w:p>
        </w:tc>
        <w:tc>
          <w:tcPr>
            <w:tcW w:w="675" w:type="dxa"/>
            <w:noWrap w:val="0"/>
            <w:vAlign w:val="center"/>
          </w:tcPr>
          <w:p>
            <w:pPr>
              <w:widowControl/>
              <w:snapToGrid w:val="0"/>
              <w:spacing w:line="340" w:lineRule="exact"/>
              <w:ind w:firstLine="210" w:firstLineChars="100"/>
              <w:rPr>
                <w:rFonts w:hint="default" w:ascii="宋体" w:hAnsi="宋体" w:cs="仿宋_GB2312"/>
                <w:color w:val="auto"/>
                <w:kern w:val="0"/>
                <w:sz w:val="21"/>
                <w:szCs w:val="21"/>
                <w:highlight w:val="none"/>
                <w:lang w:val="en-US" w:eastAsia="zh-CN" w:bidi="ar-SA"/>
              </w:rPr>
            </w:pPr>
            <w:r>
              <w:rPr>
                <w:rFonts w:hint="eastAsia" w:ascii="宋体" w:hAnsi="宋体" w:cs="仿宋_GB2312"/>
                <w:color w:val="auto"/>
                <w:kern w:val="0"/>
                <w:sz w:val="21"/>
                <w:szCs w:val="21"/>
                <w:highlight w:val="none"/>
                <w:lang w:val="en-US" w:eastAsia="zh-CN" w:bidi="ar-SA"/>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937" w:type="dxa"/>
            <w:vMerge w:val="restart"/>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应急方案</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center"/>
              <w:textAlignment w:val="auto"/>
              <w:rPr>
                <w:rFonts w:hint="eastAsia" w:ascii="宋体" w:hAnsi="宋体" w:cs="宋体"/>
                <w:color w:val="auto"/>
                <w:szCs w:val="21"/>
                <w:highlight w:val="none"/>
              </w:rPr>
            </w:pPr>
            <w:r>
              <w:rPr>
                <w:rFonts w:hint="eastAsia" w:ascii="宋体" w:hAnsi="宋体" w:cs="仿宋_GB2312"/>
                <w:b/>
                <w:bCs/>
                <w:color w:val="auto"/>
                <w:szCs w:val="21"/>
                <w:highlight w:val="none"/>
                <w:lang w:eastAsia="zh-CN"/>
              </w:rPr>
              <w:t>（</w:t>
            </w:r>
            <w:r>
              <w:rPr>
                <w:rFonts w:hint="eastAsia" w:ascii="宋体" w:hAnsi="宋体" w:cs="仿宋_GB2312"/>
                <w:b/>
                <w:bCs/>
                <w:color w:val="auto"/>
                <w:szCs w:val="21"/>
                <w:highlight w:val="none"/>
                <w:lang w:val="en-US" w:eastAsia="zh-CN"/>
              </w:rPr>
              <w:t>3分</w:t>
            </w:r>
            <w:r>
              <w:rPr>
                <w:rFonts w:hint="eastAsia" w:ascii="宋体" w:hAnsi="宋体" w:cs="仿宋_GB2312"/>
                <w:b/>
                <w:bCs/>
                <w:color w:val="auto"/>
                <w:szCs w:val="21"/>
                <w:highlight w:val="none"/>
                <w:lang w:eastAsia="zh-CN"/>
              </w:rPr>
              <w:t>）</w:t>
            </w:r>
          </w:p>
        </w:tc>
        <w:tc>
          <w:tcPr>
            <w:tcW w:w="6134" w:type="dxa"/>
            <w:tcBorders>
              <w:left w:val="single" w:color="auto" w:sz="4" w:space="0"/>
            </w:tcBorders>
            <w:noWrap w:val="0"/>
            <w:vAlign w:val="center"/>
          </w:tcPr>
          <w:p>
            <w:pPr>
              <w:spacing w:line="320" w:lineRule="exact"/>
              <w:rPr>
                <w:rFonts w:hint="eastAsia" w:ascii="宋体" w:hAnsi="宋体" w:cs="宋体"/>
                <w:color w:val="auto"/>
                <w:szCs w:val="21"/>
                <w:highlight w:val="none"/>
              </w:rPr>
            </w:pPr>
            <w:r>
              <w:rPr>
                <w:rFonts w:hint="eastAsia"/>
                <w:color w:val="auto"/>
                <w:highlight w:val="none"/>
                <w:lang w:val="en-US" w:eastAsia="zh-CN"/>
              </w:rPr>
              <w:t>对重大检查、突发事件（包括发生台风、暴雨等灾害性天气及其他突发事件）时的应急预案及相应的措施等方案等进行评审；方案合理、科学，可操作性强的得</w:t>
            </w:r>
            <w:r>
              <w:rPr>
                <w:rFonts w:hint="eastAsia" w:ascii="宋体" w:hAnsi="宋体" w:eastAsia="宋体" w:cs="宋体"/>
                <w:bCs/>
                <w:color w:val="auto"/>
                <w:kern w:val="2"/>
                <w:sz w:val="21"/>
                <w:szCs w:val="22"/>
                <w:highlight w:val="none"/>
                <w:lang w:val="en-US" w:eastAsia="zh-CN" w:bidi="ar-SA"/>
              </w:rPr>
              <w:t>2-3</w:t>
            </w:r>
            <w:r>
              <w:rPr>
                <w:rFonts w:hint="eastAsia"/>
                <w:color w:val="auto"/>
                <w:highlight w:val="none"/>
                <w:lang w:val="en-US" w:eastAsia="zh-CN"/>
              </w:rPr>
              <w:t>分，方案基本合理、科学，具有可操作性的得</w:t>
            </w:r>
            <w:r>
              <w:rPr>
                <w:rFonts w:hint="eastAsia" w:ascii="宋体" w:hAnsi="宋体" w:eastAsia="宋体" w:cs="宋体"/>
                <w:bCs/>
                <w:color w:val="auto"/>
                <w:kern w:val="2"/>
                <w:sz w:val="21"/>
                <w:szCs w:val="22"/>
                <w:highlight w:val="none"/>
                <w:lang w:val="en-US" w:eastAsia="zh-CN" w:bidi="ar-SA"/>
              </w:rPr>
              <w:t>1-2</w:t>
            </w:r>
            <w:r>
              <w:rPr>
                <w:rFonts w:hint="eastAsia"/>
                <w:color w:val="auto"/>
                <w:highlight w:val="none"/>
                <w:lang w:val="en-US" w:eastAsia="zh-CN"/>
              </w:rPr>
              <w:t>分，方案欠科学合理，可操作性欠缺的得</w:t>
            </w:r>
            <w:r>
              <w:rPr>
                <w:rFonts w:hint="eastAsia" w:ascii="宋体" w:hAnsi="宋体" w:eastAsia="宋体" w:cs="宋体"/>
                <w:bCs/>
                <w:color w:val="auto"/>
                <w:kern w:val="2"/>
                <w:sz w:val="21"/>
                <w:szCs w:val="22"/>
                <w:highlight w:val="none"/>
                <w:lang w:val="en-US" w:eastAsia="zh-CN" w:bidi="ar-SA"/>
              </w:rPr>
              <w:t>0-</w:t>
            </w:r>
            <w:r>
              <w:rPr>
                <w:rFonts w:hint="eastAsia" w:ascii="宋体" w:hAnsi="宋体" w:cs="宋体"/>
                <w:bCs/>
                <w:color w:val="auto"/>
                <w:kern w:val="2"/>
                <w:sz w:val="21"/>
                <w:szCs w:val="22"/>
                <w:highlight w:val="none"/>
                <w:lang w:val="en-US" w:eastAsia="zh-CN" w:bidi="ar-SA"/>
              </w:rPr>
              <w:t>1</w:t>
            </w:r>
            <w:r>
              <w:rPr>
                <w:rFonts w:hint="eastAsia"/>
                <w:color w:val="auto"/>
                <w:highlight w:val="none"/>
                <w:lang w:val="en-US" w:eastAsia="zh-CN"/>
              </w:rPr>
              <w:t>分。</w:t>
            </w:r>
          </w:p>
        </w:tc>
        <w:tc>
          <w:tcPr>
            <w:tcW w:w="675" w:type="dxa"/>
            <w:noWrap w:val="0"/>
            <w:vAlign w:val="center"/>
          </w:tcPr>
          <w:p>
            <w:pPr>
              <w:widowControl/>
              <w:snapToGrid w:val="0"/>
              <w:spacing w:line="340" w:lineRule="exact"/>
              <w:ind w:firstLine="210" w:firstLineChars="100"/>
              <w:rPr>
                <w:rFonts w:hint="default" w:ascii="宋体" w:hAnsi="宋体" w:eastAsia="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tcBorders>
              <w:left w:val="single" w:color="auto" w:sz="4" w:space="0"/>
            </w:tcBorders>
            <w:noWrap w:val="0"/>
            <w:vAlign w:val="center"/>
          </w:tcPr>
          <w:p>
            <w:pPr>
              <w:widowControl/>
              <w:snapToGrid w:val="0"/>
              <w:spacing w:line="340" w:lineRule="exact"/>
              <w:jc w:val="center"/>
              <w:rPr>
                <w:rFonts w:hint="eastAsia" w:ascii="宋体" w:hAnsi="宋体" w:cs="Times New Roman"/>
                <w:b/>
                <w:bCs w:val="0"/>
                <w:color w:val="auto"/>
                <w:szCs w:val="21"/>
                <w:highlight w:val="none"/>
              </w:rPr>
            </w:pPr>
            <w:r>
              <w:rPr>
                <w:rFonts w:hint="eastAsia" w:ascii="宋体" w:hAnsi="宋体" w:cs="Times New Roman"/>
                <w:b/>
                <w:bCs w:val="0"/>
                <w:color w:val="auto"/>
                <w:szCs w:val="21"/>
                <w:highlight w:val="none"/>
              </w:rPr>
              <w:t>文明作业</w:t>
            </w:r>
          </w:p>
          <w:p>
            <w:pPr>
              <w:widowControl/>
              <w:snapToGrid w:val="0"/>
              <w:spacing w:line="340" w:lineRule="exact"/>
              <w:jc w:val="center"/>
              <w:rPr>
                <w:rFonts w:hint="eastAsia" w:ascii="宋体" w:hAnsi="宋体" w:cs="Times New Roman"/>
                <w:b/>
                <w:color w:val="auto"/>
                <w:szCs w:val="21"/>
                <w:highlight w:val="none"/>
              </w:rPr>
            </w:pP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3分</w:t>
            </w:r>
            <w:r>
              <w:rPr>
                <w:rFonts w:hint="eastAsia" w:ascii="宋体" w:hAnsi="宋体" w:cs="Times New Roman"/>
                <w:b/>
                <w:bCs w:val="0"/>
                <w:color w:val="auto"/>
                <w:szCs w:val="21"/>
                <w:highlight w:val="none"/>
                <w:lang w:eastAsia="zh-CN"/>
              </w:rPr>
              <w:t>）</w:t>
            </w:r>
          </w:p>
        </w:tc>
        <w:tc>
          <w:tcPr>
            <w:tcW w:w="6134" w:type="dxa"/>
            <w:tcBorders>
              <w:left w:val="single" w:color="auto" w:sz="4" w:space="0"/>
            </w:tcBorders>
            <w:noWrap w:val="0"/>
            <w:vAlign w:val="center"/>
          </w:tcPr>
          <w:p>
            <w:pPr>
              <w:spacing w:line="320" w:lineRule="exact"/>
              <w:rPr>
                <w:rFonts w:hint="eastAsia"/>
                <w:color w:val="auto"/>
                <w:highlight w:val="none"/>
                <w:lang w:val="en-US" w:eastAsia="zh-CN"/>
              </w:rPr>
            </w:pPr>
            <w:r>
              <w:rPr>
                <w:rFonts w:hint="eastAsia" w:ascii="宋体" w:hAnsi="宋体" w:cs="宋体"/>
                <w:color w:val="auto"/>
                <w:szCs w:val="21"/>
                <w:highlight w:val="none"/>
              </w:rPr>
              <w:t>针对</w:t>
            </w:r>
            <w:r>
              <w:rPr>
                <w:rFonts w:hint="eastAsia" w:ascii="宋体" w:hAnsi="宋体" w:cs="宋体"/>
                <w:bCs w:val="0"/>
                <w:color w:val="auto"/>
                <w:szCs w:val="21"/>
                <w:highlight w:val="none"/>
              </w:rPr>
              <w:t>本项目文明作业方案及措施进行评分。内容齐全、完整，操作性强，科学、合理的得</w:t>
            </w:r>
            <w:r>
              <w:rPr>
                <w:rFonts w:hint="eastAsia" w:ascii="宋体" w:hAnsi="宋体" w:eastAsia="宋体" w:cs="宋体"/>
                <w:bCs/>
                <w:color w:val="auto"/>
                <w:kern w:val="2"/>
                <w:sz w:val="21"/>
                <w:szCs w:val="22"/>
                <w:highlight w:val="none"/>
                <w:lang w:val="en-US" w:eastAsia="zh-CN" w:bidi="ar-SA"/>
              </w:rPr>
              <w:t>2-3</w:t>
            </w:r>
            <w:r>
              <w:rPr>
                <w:rFonts w:hint="eastAsia" w:ascii="宋体" w:hAnsi="宋体" w:cs="宋体"/>
                <w:bCs w:val="0"/>
                <w:color w:val="auto"/>
                <w:szCs w:val="21"/>
                <w:highlight w:val="none"/>
              </w:rPr>
              <w:t>分，内容基本完整、操作性及合理性较为一般的得</w:t>
            </w:r>
            <w:r>
              <w:rPr>
                <w:rFonts w:hint="eastAsia" w:ascii="宋体" w:hAnsi="宋体" w:eastAsia="宋体" w:cs="宋体"/>
                <w:bCs/>
                <w:color w:val="auto"/>
                <w:kern w:val="2"/>
                <w:sz w:val="21"/>
                <w:szCs w:val="22"/>
                <w:highlight w:val="none"/>
                <w:lang w:val="en-US" w:eastAsia="zh-CN" w:bidi="ar-SA"/>
              </w:rPr>
              <w:t>1-2</w:t>
            </w:r>
            <w:r>
              <w:rPr>
                <w:rFonts w:hint="eastAsia" w:ascii="宋体" w:hAnsi="宋体" w:cs="宋体"/>
                <w:bCs w:val="0"/>
                <w:color w:val="auto"/>
                <w:szCs w:val="21"/>
                <w:highlight w:val="none"/>
              </w:rPr>
              <w:t>分，内容不齐全、混乱，不能很好符合项目实际开展的得</w:t>
            </w:r>
            <w:r>
              <w:rPr>
                <w:rFonts w:hint="eastAsia" w:ascii="宋体" w:hAnsi="宋体" w:eastAsia="宋体" w:cs="宋体"/>
                <w:bCs/>
                <w:color w:val="auto"/>
                <w:kern w:val="2"/>
                <w:sz w:val="21"/>
                <w:szCs w:val="22"/>
                <w:highlight w:val="none"/>
                <w:lang w:val="en-US" w:eastAsia="zh-CN" w:bidi="ar-SA"/>
              </w:rPr>
              <w:t>0-</w:t>
            </w:r>
            <w:r>
              <w:rPr>
                <w:rFonts w:hint="eastAsia" w:ascii="宋体" w:hAnsi="宋体" w:cs="宋体"/>
                <w:bCs/>
                <w:color w:val="auto"/>
                <w:kern w:val="2"/>
                <w:sz w:val="21"/>
                <w:szCs w:val="22"/>
                <w:highlight w:val="none"/>
                <w:lang w:val="en-US" w:eastAsia="zh-CN" w:bidi="ar-SA"/>
              </w:rPr>
              <w:t>1</w:t>
            </w:r>
            <w:r>
              <w:rPr>
                <w:rFonts w:hint="eastAsia" w:ascii="宋体" w:hAnsi="宋体" w:cs="宋体"/>
                <w:bCs w:val="0"/>
                <w:color w:val="auto"/>
                <w:szCs w:val="21"/>
                <w:highlight w:val="none"/>
              </w:rPr>
              <w:t>分。</w:t>
            </w:r>
          </w:p>
        </w:tc>
        <w:tc>
          <w:tcPr>
            <w:tcW w:w="675" w:type="dxa"/>
            <w:noWrap w:val="0"/>
            <w:vAlign w:val="center"/>
          </w:tcPr>
          <w:p>
            <w:pPr>
              <w:widowControl/>
              <w:snapToGrid w:val="0"/>
              <w:spacing w:line="340" w:lineRule="exact"/>
              <w:ind w:firstLine="210" w:firstLineChars="100"/>
              <w:rPr>
                <w:rFonts w:hint="default" w:ascii="宋体" w:hAnsi="宋体" w:eastAsia="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37" w:type="dxa"/>
            <w:vMerge w:val="continue"/>
            <w:tcBorders>
              <w:left w:val="double" w:color="auto" w:sz="4" w:space="0"/>
              <w:right w:val="sing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c>
          <w:tcPr>
            <w:tcW w:w="1380" w:type="dxa"/>
            <w:tcBorders>
              <w:left w:val="single" w:color="auto" w:sz="4" w:space="0"/>
            </w:tcBorders>
            <w:noWrap w:val="0"/>
            <w:vAlign w:val="center"/>
          </w:tcPr>
          <w:p>
            <w:pPr>
              <w:widowControl/>
              <w:snapToGrid w:val="0"/>
              <w:spacing w:line="340" w:lineRule="exact"/>
              <w:jc w:val="center"/>
              <w:rPr>
                <w:rFonts w:hint="eastAsia" w:ascii="宋体" w:hAnsi="宋体" w:cs="Times New Roman"/>
                <w:b/>
                <w:bCs w:val="0"/>
                <w:color w:val="auto"/>
                <w:szCs w:val="21"/>
                <w:highlight w:val="none"/>
              </w:rPr>
            </w:pPr>
            <w:r>
              <w:rPr>
                <w:rFonts w:hint="eastAsia" w:ascii="宋体" w:hAnsi="宋体" w:cs="Times New Roman"/>
                <w:b/>
                <w:bCs w:val="0"/>
                <w:color w:val="auto"/>
                <w:szCs w:val="21"/>
                <w:highlight w:val="none"/>
                <w:lang w:eastAsia="zh-CN"/>
              </w:rPr>
              <w:t>服务便捷性（</w:t>
            </w:r>
            <w:r>
              <w:rPr>
                <w:rFonts w:hint="eastAsia" w:ascii="宋体" w:hAnsi="宋体" w:cs="Times New Roman"/>
                <w:b/>
                <w:bCs w:val="0"/>
                <w:color w:val="auto"/>
                <w:szCs w:val="21"/>
                <w:highlight w:val="none"/>
                <w:lang w:val="en-US" w:eastAsia="zh-CN"/>
              </w:rPr>
              <w:t>3</w:t>
            </w:r>
            <w:r>
              <w:rPr>
                <w:rFonts w:hint="eastAsia" w:ascii="宋体" w:hAnsi="宋体" w:cs="Times New Roman"/>
                <w:b/>
                <w:bCs w:val="0"/>
                <w:color w:val="auto"/>
                <w:szCs w:val="21"/>
                <w:highlight w:val="none"/>
                <w:lang w:eastAsia="zh-CN"/>
              </w:rPr>
              <w:t>分）</w:t>
            </w:r>
          </w:p>
        </w:tc>
        <w:tc>
          <w:tcPr>
            <w:tcW w:w="6134" w:type="dxa"/>
            <w:tcBorders>
              <w:left w:val="single" w:color="auto" w:sz="4" w:space="0"/>
            </w:tcBorders>
            <w:noWrap w:val="0"/>
            <w:vAlign w:val="center"/>
          </w:tcPr>
          <w:p>
            <w:pPr>
              <w:spacing w:line="320" w:lineRule="exact"/>
              <w:rPr>
                <w:rFonts w:hint="eastAsia" w:ascii="宋体" w:hAnsi="宋体" w:cs="宋体"/>
                <w:color w:val="auto"/>
                <w:szCs w:val="21"/>
                <w:highlight w:val="none"/>
              </w:rPr>
            </w:pPr>
            <w:r>
              <w:rPr>
                <w:rFonts w:hint="eastAsia" w:ascii="宋体" w:hAnsi="宋体" w:cs="宋体"/>
                <w:bCs/>
                <w:color w:val="auto"/>
                <w:szCs w:val="21"/>
                <w:highlight w:val="none"/>
              </w:rPr>
              <w:t>供应商已有服务场所的稳定性及服务场所相对本项目服务地点的便捷性等情况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根据供应商提供的便捷性服务相关证明或承诺进行综合评议</w:t>
            </w:r>
            <w:r>
              <w:rPr>
                <w:rFonts w:hint="eastAsia" w:ascii="宋体" w:hAnsi="宋体" w:cs="宋体"/>
                <w:bCs/>
                <w:color w:val="auto"/>
                <w:szCs w:val="21"/>
                <w:highlight w:val="none"/>
              </w:rPr>
              <w:t>。</w:t>
            </w:r>
            <w:r>
              <w:rPr>
                <w:rFonts w:hint="eastAsia" w:ascii="宋体" w:hAnsi="宋体"/>
                <w:color w:val="auto"/>
                <w:highlight w:val="none"/>
                <w:lang w:val="en-US" w:eastAsia="zh-CN"/>
              </w:rPr>
              <w:t>供应商已有服务场所稳定，能提供便捷的服务能力的得</w:t>
            </w:r>
            <w:r>
              <w:rPr>
                <w:rFonts w:hint="eastAsia" w:ascii="宋体" w:hAnsi="宋体" w:eastAsia="宋体" w:cs="宋体"/>
                <w:bCs/>
                <w:color w:val="auto"/>
                <w:kern w:val="2"/>
                <w:sz w:val="21"/>
                <w:szCs w:val="22"/>
                <w:highlight w:val="none"/>
                <w:lang w:val="en-US" w:eastAsia="zh-CN" w:bidi="ar-SA"/>
              </w:rPr>
              <w:t>2-3</w:t>
            </w:r>
            <w:r>
              <w:rPr>
                <w:rFonts w:hint="eastAsia" w:ascii="宋体" w:hAnsi="宋体"/>
                <w:color w:val="auto"/>
                <w:highlight w:val="none"/>
                <w:lang w:val="en-US" w:eastAsia="zh-CN"/>
              </w:rPr>
              <w:t>分；供应商基本能够提供便捷的服务能力的得</w:t>
            </w:r>
            <w:r>
              <w:rPr>
                <w:rFonts w:hint="eastAsia" w:ascii="宋体" w:hAnsi="宋体" w:eastAsia="宋体" w:cs="宋体"/>
                <w:bCs/>
                <w:color w:val="auto"/>
                <w:kern w:val="2"/>
                <w:sz w:val="21"/>
                <w:szCs w:val="22"/>
                <w:highlight w:val="none"/>
                <w:lang w:val="en-US" w:eastAsia="zh-CN" w:bidi="ar-SA"/>
              </w:rPr>
              <w:t>1-2</w:t>
            </w:r>
            <w:r>
              <w:rPr>
                <w:rFonts w:hint="eastAsia" w:ascii="宋体" w:hAnsi="宋体"/>
                <w:color w:val="auto"/>
                <w:highlight w:val="none"/>
                <w:lang w:val="en-US" w:eastAsia="zh-CN"/>
              </w:rPr>
              <w:t>分；供应商不能够提供便捷的服务能力的得</w:t>
            </w:r>
            <w:r>
              <w:rPr>
                <w:rFonts w:hint="eastAsia" w:ascii="宋体" w:hAnsi="宋体" w:eastAsia="宋体" w:cs="宋体"/>
                <w:bCs/>
                <w:color w:val="auto"/>
                <w:kern w:val="2"/>
                <w:sz w:val="21"/>
                <w:szCs w:val="22"/>
                <w:highlight w:val="none"/>
                <w:lang w:val="en-US" w:eastAsia="zh-CN" w:bidi="ar-SA"/>
              </w:rPr>
              <w:t>0-</w:t>
            </w:r>
            <w:r>
              <w:rPr>
                <w:rFonts w:hint="eastAsia" w:ascii="宋体" w:hAnsi="宋体" w:cs="宋体"/>
                <w:bCs/>
                <w:color w:val="auto"/>
                <w:kern w:val="2"/>
                <w:sz w:val="21"/>
                <w:szCs w:val="22"/>
                <w:highlight w:val="none"/>
                <w:lang w:val="en-US" w:eastAsia="zh-CN" w:bidi="ar-SA"/>
              </w:rPr>
              <w:t>1</w:t>
            </w:r>
            <w:r>
              <w:rPr>
                <w:rFonts w:hint="eastAsia" w:ascii="宋体" w:hAnsi="宋体"/>
                <w:color w:val="auto"/>
                <w:highlight w:val="none"/>
                <w:lang w:val="en-US" w:eastAsia="zh-CN"/>
              </w:rPr>
              <w:t>分</w:t>
            </w:r>
            <w:r>
              <w:rPr>
                <w:rFonts w:hint="eastAsia" w:ascii="宋体" w:hAnsi="宋体"/>
                <w:color w:val="auto"/>
                <w:highlight w:val="none"/>
              </w:rPr>
              <w:t>。</w:t>
            </w:r>
          </w:p>
        </w:tc>
        <w:tc>
          <w:tcPr>
            <w:tcW w:w="675" w:type="dxa"/>
            <w:noWrap w:val="0"/>
            <w:vAlign w:val="center"/>
          </w:tcPr>
          <w:p>
            <w:pPr>
              <w:widowControl/>
              <w:snapToGrid w:val="0"/>
              <w:spacing w:line="340" w:lineRule="exact"/>
              <w:ind w:firstLine="210" w:firstLineChars="100"/>
              <w:rPr>
                <w:rFonts w:hint="default"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val="en-US" w:eastAsia="zh-CN"/>
              </w:rPr>
              <w:t>3</w:t>
            </w:r>
          </w:p>
        </w:tc>
        <w:tc>
          <w:tcPr>
            <w:tcW w:w="754" w:type="dxa"/>
            <w:gridSpan w:val="2"/>
            <w:tcBorders>
              <w:right w:val="double" w:color="auto" w:sz="4" w:space="0"/>
            </w:tcBorders>
            <w:noWrap w:val="0"/>
            <w:vAlign w:val="top"/>
          </w:tcPr>
          <w:p>
            <w:pPr>
              <w:spacing w:line="340" w:lineRule="exact"/>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451" w:type="dxa"/>
            <w:gridSpan w:val="3"/>
            <w:tcBorders>
              <w:left w:val="double" w:color="auto" w:sz="4" w:space="0"/>
              <w:bottom w:val="double" w:color="auto" w:sz="4" w:space="0"/>
            </w:tcBorders>
            <w:noWrap w:val="0"/>
            <w:vAlign w:val="center"/>
          </w:tcPr>
          <w:p>
            <w:pPr>
              <w:spacing w:line="3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总得分</w:t>
            </w:r>
          </w:p>
        </w:tc>
        <w:tc>
          <w:tcPr>
            <w:tcW w:w="675" w:type="dxa"/>
            <w:tcBorders>
              <w:bottom w:val="double" w:color="auto" w:sz="4" w:space="0"/>
            </w:tcBorders>
            <w:noWrap w:val="0"/>
            <w:vAlign w:val="center"/>
          </w:tcPr>
          <w:p>
            <w:pPr>
              <w:spacing w:line="340" w:lineRule="exact"/>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c>
          <w:tcPr>
            <w:tcW w:w="754" w:type="dxa"/>
            <w:gridSpan w:val="2"/>
            <w:tcBorders>
              <w:bottom w:val="double" w:color="auto" w:sz="4" w:space="0"/>
              <w:right w:val="double" w:color="auto" w:sz="4" w:space="0"/>
            </w:tcBorders>
            <w:noWrap w:val="0"/>
            <w:vAlign w:val="center"/>
          </w:tcPr>
          <w:p>
            <w:pPr>
              <w:spacing w:line="340" w:lineRule="exact"/>
              <w:ind w:firstLine="0" w:firstLineChars="0"/>
              <w:rPr>
                <w:rFonts w:hint="eastAsia" w:ascii="宋体" w:hAnsi="宋体" w:eastAsia="宋体" w:cs="宋体"/>
                <w:color w:val="auto"/>
                <w:highlight w:val="none"/>
              </w:rPr>
            </w:pPr>
          </w:p>
        </w:tc>
      </w:tr>
    </w:tbl>
    <w:p>
      <w:pPr>
        <w:spacing w:line="360" w:lineRule="exact"/>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注：1、各评委成员自行按以上参考分值评分，小数点后保留一位数。</w:t>
      </w:r>
    </w:p>
    <w:p>
      <w:pPr>
        <w:spacing w:line="360" w:lineRule="exact"/>
        <w:ind w:firstLine="211" w:firstLineChars="100"/>
        <w:rPr>
          <w:rFonts w:hint="eastAsia" w:ascii="宋体" w:hAnsi="宋体" w:eastAsia="宋体" w:cs="宋体"/>
          <w:color w:val="auto"/>
          <w:szCs w:val="21"/>
          <w:highlight w:val="none"/>
          <w:lang w:bidi="ar"/>
        </w:rPr>
      </w:pPr>
      <w:r>
        <w:rPr>
          <w:rFonts w:hint="eastAsia" w:ascii="宋体" w:hAnsi="宋体" w:eastAsia="宋体" w:cs="宋体"/>
          <w:b/>
          <w:color w:val="auto"/>
          <w:szCs w:val="22"/>
          <w:highlight w:val="none"/>
          <w:lang w:bidi="ar"/>
        </w:rPr>
        <w:t>2、以上分值重复的地方，下限不含，上限含。</w:t>
      </w:r>
    </w:p>
    <w:p>
      <w:pPr>
        <w:pStyle w:val="2"/>
        <w:rPr>
          <w:rFonts w:hint="eastAsia"/>
          <w:color w:val="auto"/>
          <w:highlight w:val="none"/>
        </w:rPr>
      </w:pP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评委签名：                                              </w:t>
      </w:r>
    </w:p>
    <w:p>
      <w:pPr>
        <w:jc w:val="righ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年  月   日  </w:t>
      </w:r>
    </w:p>
    <w:p>
      <w:pPr>
        <w:pStyle w:val="2"/>
        <w:rPr>
          <w:rFonts w:hint="eastAsia" w:ascii="宋体" w:hAnsi="宋体" w:eastAsia="宋体" w:cs="宋体"/>
          <w:color w:val="auto"/>
          <w:szCs w:val="21"/>
          <w:highlight w:val="none"/>
          <w:lang w:val="en-US" w:eastAsia="zh-CN" w:bidi="ar"/>
        </w:rPr>
      </w:pPr>
      <w:bookmarkStart w:id="53" w:name="_Toc16187"/>
    </w:p>
    <w:p>
      <w:pPr>
        <w:widowControl/>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附表4</w:t>
      </w:r>
    </w:p>
    <w:p>
      <w:pPr>
        <w:pStyle w:val="2"/>
        <w:spacing w:line="360" w:lineRule="auto"/>
        <w:ind w:firstLine="0" w:firstLineChars="0"/>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报价文件符合性审查表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要求</w:t>
            </w:r>
          </w:p>
        </w:tc>
        <w:tc>
          <w:tcPr>
            <w:tcW w:w="510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cs="宋体"/>
                <w:color w:val="auto"/>
                <w:szCs w:val="21"/>
                <w:highlight w:val="none"/>
                <w:lang w:bidi="ar"/>
              </w:rPr>
              <w:t>供应商名称与</w:t>
            </w:r>
            <w:r>
              <w:rPr>
                <w:rFonts w:hint="eastAsia" w:ascii="宋体" w:hAnsi="宋体"/>
                <w:color w:val="auto"/>
                <w:highlight w:val="none"/>
              </w:rPr>
              <w:t>企业法人营业执照（或事业法人登记证）或其他组织（个体工商户）的营业执照或者民办非企业单位登记证书</w:t>
            </w:r>
            <w:r>
              <w:rPr>
                <w:rFonts w:hint="eastAsia" w:ascii="宋体" w:hAnsi="宋体" w:cs="宋体"/>
                <w:color w:val="auto"/>
                <w:szCs w:val="21"/>
                <w:highlight w:val="none"/>
                <w:lang w:bidi="ar"/>
              </w:rPr>
              <w:t>一致。</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cs="宋体"/>
                <w:color w:val="auto"/>
                <w:szCs w:val="21"/>
                <w:highlight w:val="none"/>
                <w:lang w:bidi="ar"/>
              </w:rPr>
              <w:t>供应商名称与</w:t>
            </w:r>
            <w:r>
              <w:rPr>
                <w:rFonts w:hint="eastAsia" w:ascii="宋体" w:hAnsi="宋体"/>
                <w:color w:val="auto"/>
                <w:highlight w:val="none"/>
              </w:rPr>
              <w:t>企业法人营业执照（或事业法人登记证）或其他组织（个体工商户）的营业执照或者民办非企业单位登记证书</w:t>
            </w:r>
            <w:r>
              <w:rPr>
                <w:rFonts w:hint="eastAsia" w:ascii="宋体" w:hAnsi="宋体" w:cs="宋体"/>
                <w:color w:val="auto"/>
                <w:szCs w:val="21"/>
                <w:highlight w:val="none"/>
                <w:lang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3594"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总投标报价超出预算价的或最高限价的投标为无效投标</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预算价为</w:t>
            </w:r>
            <w:r>
              <w:rPr>
                <w:rFonts w:hint="eastAsia" w:ascii="Times New Roman" w:hAnsi="Times New Roman" w:eastAsia="宋体" w:cs="Times New Roman"/>
                <w:bCs w:val="0"/>
                <w:color w:val="auto"/>
                <w:szCs w:val="20"/>
                <w:highlight w:val="none"/>
                <w:lang w:val="en-US" w:eastAsia="zh-CN" w:bidi="ar"/>
              </w:rPr>
              <w:t>537万元</w:t>
            </w:r>
            <w:r>
              <w:rPr>
                <w:rFonts w:hint="default" w:ascii="Times New Roman" w:hAnsi="Times New Roman" w:eastAsia="宋体" w:cs="Times New Roman"/>
                <w:bCs w:val="0"/>
                <w:color w:val="auto"/>
                <w:szCs w:val="20"/>
                <w:highlight w:val="none"/>
                <w:lang w:bidi="ar"/>
              </w:rPr>
              <w:t>（</w:t>
            </w:r>
            <w:r>
              <w:rPr>
                <w:rFonts w:hint="default" w:ascii="Times New Roman" w:hAnsi="Times New Roman" w:eastAsia="宋体" w:cs="Times New Roman"/>
                <w:color w:val="auto"/>
                <w:szCs w:val="20"/>
                <w:highlight w:val="none"/>
              </w:rPr>
              <w:t>最高限价：</w:t>
            </w:r>
            <w:r>
              <w:rPr>
                <w:rFonts w:hint="eastAsia" w:ascii="Times New Roman" w:hAnsi="Times New Roman" w:eastAsia="宋体" w:cs="Times New Roman"/>
                <w:strike w:val="0"/>
                <w:color w:val="auto"/>
                <w:szCs w:val="20"/>
                <w:highlight w:val="none"/>
                <w:u w:val="none"/>
                <w:lang w:val="en-US" w:eastAsia="zh-CN"/>
              </w:rPr>
              <w:t>537万元</w:t>
            </w:r>
            <w:r>
              <w:rPr>
                <w:rFonts w:hint="default" w:ascii="Times New Roman" w:hAnsi="Times New Roman" w:eastAsia="宋体" w:cs="Times New Roman"/>
                <w:bCs w:val="0"/>
                <w:color w:val="auto"/>
                <w:szCs w:val="20"/>
                <w:highlight w:val="none"/>
                <w:lang w:bidi="ar"/>
              </w:rPr>
              <w:t>）</w:t>
            </w:r>
            <w:r>
              <w:rPr>
                <w:rFonts w:hint="eastAsia" w:ascii="宋体" w:hAnsi="宋体" w:eastAsia="宋体" w:cs="宋体"/>
                <w:bCs/>
                <w:color w:val="auto"/>
                <w:szCs w:val="21"/>
                <w:highlight w:val="none"/>
                <w:lang w:bidi="ar"/>
              </w:rPr>
              <w:t>，总投标报价超出预算价的最高限价的投标为无效投标；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标文件的签署盖章符合第二章“投标须知”第九、2条的要求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val="en-US" w:eastAsia="zh-CN"/>
              </w:rPr>
              <w:t>4</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供应商编制的投标文件符合法律、法规和采购文件中规定并对实质性要求完全响应</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供应商编制的投标文件符合法律、法规和采购文件中规定的并对其他实质性要求完全响应（实质性要求招标文件中“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初步审查结论</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p>
        </w:tc>
      </w:tr>
    </w:tbl>
    <w:p>
      <w:pPr>
        <w:spacing w:line="400" w:lineRule="exact"/>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注：1、上述审查项目中，任意一项不符合的，</w:t>
      </w:r>
      <w:r>
        <w:rPr>
          <w:rFonts w:hint="eastAsia" w:ascii="宋体" w:hAnsi="宋体" w:eastAsia="宋体" w:cs="宋体"/>
          <w:b/>
          <w:color w:val="auto"/>
          <w:szCs w:val="22"/>
          <w:highlight w:val="none"/>
          <w:lang w:eastAsia="zh-CN" w:bidi="ar"/>
        </w:rPr>
        <w:t>报价</w:t>
      </w:r>
      <w:r>
        <w:rPr>
          <w:rFonts w:hint="eastAsia" w:ascii="宋体" w:hAnsi="宋体" w:eastAsia="宋体" w:cs="宋体"/>
          <w:b/>
          <w:color w:val="auto"/>
          <w:szCs w:val="22"/>
          <w:highlight w:val="none"/>
          <w:lang w:bidi="ar"/>
        </w:rPr>
        <w:t>文件符合性审查不合格。</w:t>
      </w:r>
    </w:p>
    <w:p>
      <w:pPr>
        <w:spacing w:line="400" w:lineRule="exact"/>
        <w:ind w:firstLine="422" w:firstLineChars="200"/>
        <w:rPr>
          <w:rFonts w:hint="eastAsia" w:ascii="宋体" w:hAnsi="宋体" w:eastAsia="宋体" w:cs="宋体"/>
          <w:b/>
          <w:color w:val="auto"/>
          <w:szCs w:val="22"/>
          <w:highlight w:val="none"/>
          <w:lang w:bidi="ar"/>
        </w:rPr>
      </w:pPr>
      <w:r>
        <w:rPr>
          <w:rFonts w:hint="eastAsia" w:ascii="宋体" w:hAnsi="宋体" w:eastAsia="宋体" w:cs="宋体"/>
          <w:b/>
          <w:color w:val="auto"/>
          <w:szCs w:val="22"/>
          <w:highlight w:val="none"/>
          <w:lang w:bidi="ar"/>
        </w:rPr>
        <w:t>2、本项目实行网上投标，供应商在制作投标文件时须根据上表要求说明要求的资料，将资料逐一对应上传或关联（有特殊备注的除外）（若关联页码有多页而只能关联一页的，则关联相应页码的第一页）。</w:t>
      </w:r>
    </w:p>
    <w:p>
      <w:pPr>
        <w:spacing w:line="360" w:lineRule="auto"/>
        <w:rPr>
          <w:rFonts w:hint="eastAsia" w:ascii="宋体" w:hAnsi="宋体" w:eastAsia="宋体" w:cs="宋体"/>
          <w:color w:val="auto"/>
          <w:szCs w:val="21"/>
          <w:highlight w:val="none"/>
          <w:lang w:bidi="ar"/>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附表5</w:t>
      </w:r>
    </w:p>
    <w:p>
      <w:pPr>
        <w:spacing w:line="360" w:lineRule="auto"/>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价格评分表</w:t>
      </w:r>
    </w:p>
    <w:p>
      <w:pPr>
        <w:pStyle w:val="2"/>
        <w:rPr>
          <w:rFonts w:hint="eastAsia" w:ascii="宋体" w:hAnsi="宋体" w:eastAsia="宋体" w:cs="宋体"/>
          <w:color w:val="auto"/>
          <w:highlight w:val="none"/>
        </w:rPr>
      </w:pPr>
    </w:p>
    <w:p>
      <w:pPr>
        <w:pStyle w:val="2"/>
        <w:spacing w:line="360" w:lineRule="auto"/>
        <w:ind w:firstLine="1968" w:firstLineChars="700"/>
        <w:jc w:val="both"/>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慈溪市桥头镇“无废绿色乡镇”建设服务采购项目</w:t>
      </w:r>
    </w:p>
    <w:tbl>
      <w:tblPr>
        <w:tblStyle w:val="44"/>
        <w:tblpPr w:leftFromText="180" w:rightFromText="180" w:vertAnchor="text" w:horzAnchor="page" w:tblpX="1049"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98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000" w:type="dxa"/>
            <w:gridSpan w:val="2"/>
            <w:tcBorders>
              <w:top w:val="single" w:color="auto" w:sz="4" w:space="0"/>
              <w:left w:val="single" w:color="auto" w:sz="4" w:space="0"/>
              <w:bottom w:val="single" w:color="auto" w:sz="4" w:space="0"/>
              <w:right w:val="single" w:color="auto" w:sz="4" w:space="0"/>
              <w:tl2br w:val="single" w:color="000000" w:sz="4" w:space="0"/>
            </w:tcBorders>
            <w:noWrap w:val="0"/>
            <w:vAlign w:val="top"/>
          </w:tcPr>
          <w:p>
            <w:pPr>
              <w:spacing w:line="320" w:lineRule="exact"/>
              <w:ind w:right="420"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供应商</w:t>
            </w:r>
          </w:p>
          <w:p>
            <w:pPr>
              <w:spacing w:line="320" w:lineRule="exact"/>
              <w:ind w:firstLine="945" w:firstLineChars="450"/>
              <w:rPr>
                <w:rFonts w:hint="eastAsia" w:ascii="宋体" w:hAnsi="宋体" w:eastAsia="宋体" w:cs="宋体"/>
                <w:color w:val="auto"/>
                <w:szCs w:val="21"/>
                <w:highlight w:val="none"/>
                <w:lang w:val="ru"/>
              </w:rPr>
            </w:pPr>
            <w:r>
              <w:rPr>
                <w:rFonts w:hint="eastAsia" w:ascii="宋体" w:hAnsi="宋体" w:eastAsia="宋体" w:cs="宋体"/>
                <w:color w:val="auto"/>
                <w:szCs w:val="21"/>
                <w:highlight w:val="none"/>
                <w:lang w:bidi="ar"/>
              </w:rPr>
              <w:t>分值</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lang w:val="ru"/>
              </w:rPr>
            </w:pPr>
            <w:r>
              <w:rPr>
                <w:rFonts w:hint="eastAsia" w:ascii="宋体" w:hAnsi="宋体" w:eastAsia="宋体" w:cs="宋体"/>
                <w:color w:val="auto"/>
                <w:szCs w:val="21"/>
                <w:highlight w:val="none"/>
                <w:lang w:val="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102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价格</w:t>
            </w:r>
          </w:p>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w:t>
            </w:r>
            <w:r>
              <w:rPr>
                <w:rFonts w:hint="eastAsia" w:ascii="宋体" w:hAnsi="宋体" w:eastAsia="宋体" w:cs="宋体"/>
                <w:color w:val="auto"/>
                <w:spacing w:val="-4"/>
                <w:szCs w:val="21"/>
                <w:highlight w:val="none"/>
                <w:lang w:val="en-US" w:eastAsia="zh-CN"/>
              </w:rPr>
              <w:t>25</w:t>
            </w:r>
            <w:r>
              <w:rPr>
                <w:rFonts w:hint="eastAsia" w:ascii="宋体" w:hAnsi="宋体" w:eastAsia="宋体" w:cs="宋体"/>
                <w:color w:val="auto"/>
                <w:spacing w:val="-4"/>
                <w:szCs w:val="21"/>
                <w:highlight w:val="none"/>
              </w:rPr>
              <w:t>分）</w:t>
            </w:r>
          </w:p>
        </w:tc>
        <w:tc>
          <w:tcPr>
            <w:tcW w:w="7980" w:type="dxa"/>
            <w:tcBorders>
              <w:top w:val="single" w:color="auto" w:sz="4" w:space="0"/>
              <w:left w:val="single" w:color="auto" w:sz="4" w:space="0"/>
              <w:right w:val="single" w:color="auto" w:sz="4" w:space="0"/>
            </w:tcBorders>
            <w:noWrap w:val="0"/>
            <w:vAlign w:val="center"/>
          </w:tcPr>
          <w:p>
            <w:pPr>
              <w:spacing w:line="32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本次采购为非专门面向中小企业，本次评审将对中小企业声明函中满足采购文件要求的小微型企业的投标报价给予6%的扣除，用扣除后的价格参与评审。</w:t>
            </w:r>
          </w:p>
          <w:p>
            <w:pPr>
              <w:spacing w:line="32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满足采购文件要求且投标报价最低的为评审基准价，等于基准价的得分为满分。其他投标人的报价分按照下式计算：</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highlight w:val="none"/>
              </w:rPr>
              <w:t>报价得分＝（基准价÷参与评审报价）×</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2"/>
                <w:szCs w:val="18"/>
                <w:highlight w:val="none"/>
                <w:lang w:bidi="ar"/>
              </w:rPr>
              <w:t>报价得分（</w:t>
            </w:r>
            <w:r>
              <w:rPr>
                <w:rFonts w:hint="eastAsia" w:ascii="宋体" w:hAnsi="宋体" w:eastAsia="宋体" w:cs="宋体"/>
                <w:b/>
                <w:color w:val="auto"/>
                <w:sz w:val="22"/>
                <w:szCs w:val="18"/>
                <w:highlight w:val="none"/>
                <w:lang w:val="en-US" w:eastAsia="zh-CN" w:bidi="ar"/>
              </w:rPr>
              <w:t>2</w:t>
            </w:r>
            <w:r>
              <w:rPr>
                <w:rFonts w:hint="eastAsia" w:ascii="宋体" w:hAnsi="宋体" w:eastAsia="宋体" w:cs="宋体"/>
                <w:b/>
                <w:color w:val="auto"/>
                <w:sz w:val="22"/>
                <w:szCs w:val="18"/>
                <w:highlight w:val="none"/>
                <w:lang w:val="en-US" w:eastAsia="zh-CN" w:bidi="ar"/>
              </w:rPr>
              <w:t>5</w:t>
            </w:r>
            <w:r>
              <w:rPr>
                <w:rFonts w:hint="eastAsia" w:ascii="宋体" w:hAnsi="宋体" w:eastAsia="宋体" w:cs="宋体"/>
                <w:b/>
                <w:color w:val="auto"/>
                <w:sz w:val="22"/>
                <w:szCs w:val="18"/>
                <w:highlight w:val="none"/>
                <w:lang w:bidi="ar"/>
              </w:rPr>
              <w:t>分）</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p>
        </w:tc>
      </w:tr>
    </w:tbl>
    <w:p>
      <w:pPr>
        <w:spacing w:line="320" w:lineRule="exact"/>
        <w:ind w:firstLine="211" w:firstLineChars="100"/>
        <w:rPr>
          <w:rFonts w:hint="eastAsia" w:ascii="宋体" w:hAnsi="宋体" w:eastAsia="宋体" w:cs="宋体"/>
          <w:b/>
          <w:color w:val="auto"/>
          <w:szCs w:val="21"/>
          <w:highlight w:val="none"/>
          <w:lang w:bidi="ar"/>
        </w:rPr>
      </w:pPr>
      <w:r>
        <w:rPr>
          <w:rFonts w:hint="eastAsia" w:ascii="宋体" w:hAnsi="宋体" w:eastAsia="宋体" w:cs="宋体"/>
          <w:b/>
          <w:bCs/>
          <w:color w:val="auto"/>
          <w:szCs w:val="21"/>
          <w:highlight w:val="none"/>
          <w:lang w:bidi="ar"/>
        </w:rPr>
        <w:t xml:space="preserve">   </w:t>
      </w:r>
      <w:r>
        <w:rPr>
          <w:rFonts w:hint="eastAsia" w:ascii="宋体" w:hAnsi="宋体" w:eastAsia="宋体" w:cs="宋体"/>
          <w:b/>
          <w:color w:val="auto"/>
          <w:szCs w:val="21"/>
          <w:highlight w:val="none"/>
          <w:lang w:bidi="ar"/>
        </w:rPr>
        <w:t xml:space="preserve">   </w:t>
      </w:r>
    </w:p>
    <w:p>
      <w:pPr>
        <w:spacing w:line="320" w:lineRule="exact"/>
        <w:ind w:firstLine="211" w:firstLineChars="1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 xml:space="preserve">             </w:t>
      </w:r>
    </w:p>
    <w:p>
      <w:pPr>
        <w:spacing w:line="320" w:lineRule="exact"/>
        <w:rPr>
          <w:rFonts w:hint="eastAsia" w:ascii="宋体" w:hAnsi="宋体" w:eastAsia="宋体" w:cs="宋体"/>
          <w:color w:val="auto"/>
          <w:sz w:val="28"/>
          <w:szCs w:val="28"/>
          <w:highlight w:val="none"/>
          <w:lang w:bidi="ar"/>
        </w:rPr>
        <w:sectPr>
          <w:headerReference r:id="rId10" w:type="default"/>
          <w:footerReference r:id="rId11" w:type="default"/>
          <w:pgSz w:w="11915" w:h="16840"/>
          <w:pgMar w:top="1418" w:right="1135" w:bottom="1418" w:left="1135" w:header="285" w:footer="616" w:gutter="0"/>
          <w:pgBorders w:offsetFrom="page">
            <w:top w:val="none" w:sz="0" w:space="0"/>
            <w:left w:val="none" w:sz="0" w:space="0"/>
            <w:bottom w:val="none" w:sz="0" w:space="0"/>
            <w:right w:val="none" w:sz="0" w:space="0"/>
          </w:pgBorders>
          <w:pgNumType w:start="1"/>
          <w:cols w:space="720" w:num="1"/>
          <w:docGrid w:linePitch="285" w:charSpace="0"/>
        </w:sectPr>
      </w:pPr>
    </w:p>
    <w:p>
      <w:pPr>
        <w:pStyle w:val="4"/>
        <w:keepLines/>
        <w:spacing w:before="340" w:after="330" w:line="24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采购合同样本</w:t>
      </w:r>
      <w:bookmarkEnd w:id="51"/>
      <w:bookmarkEnd w:id="53"/>
    </w:p>
    <w:p>
      <w:pPr>
        <w:pStyle w:val="4"/>
        <w:keepLines/>
        <w:spacing w:before="340" w:after="330" w:line="240" w:lineRule="auto"/>
        <w:rPr>
          <w:rFonts w:hint="eastAsia" w:ascii="宋体" w:hAnsi="宋体" w:eastAsia="宋体" w:cs="宋体"/>
          <w:color w:val="auto"/>
          <w:sz w:val="30"/>
          <w:szCs w:val="30"/>
          <w:highlight w:val="none"/>
        </w:rPr>
      </w:pPr>
      <w:bookmarkStart w:id="54" w:name="_Toc2199"/>
      <w:bookmarkStart w:id="55" w:name="_Toc32584"/>
      <w:bookmarkStart w:id="56" w:name="_Toc29021"/>
      <w:bookmarkStart w:id="57" w:name="_Toc18645"/>
      <w:bookmarkStart w:id="58" w:name="_Toc508626485"/>
      <w:r>
        <w:rPr>
          <w:rFonts w:hint="eastAsia" w:ascii="宋体" w:hAnsi="宋体" w:eastAsia="宋体" w:cs="宋体"/>
          <w:color w:val="auto"/>
          <w:sz w:val="30"/>
          <w:szCs w:val="30"/>
          <w:highlight w:val="none"/>
        </w:rPr>
        <w:t>（本合同为合同样稿，最终稿由甲乙双方协商后确定）</w:t>
      </w:r>
      <w:bookmarkEnd w:id="54"/>
      <w:bookmarkEnd w:id="55"/>
      <w:bookmarkEnd w:id="56"/>
      <w:bookmarkEnd w:id="57"/>
      <w:bookmarkEnd w:id="58"/>
    </w:p>
    <w:p>
      <w:pPr>
        <w:spacing w:line="420" w:lineRule="exact"/>
        <w:ind w:firstLine="420"/>
        <w:rPr>
          <w:rFonts w:hint="eastAsia" w:ascii="宋体" w:hAnsi="宋体" w:cs="宋体"/>
          <w:color w:val="auto"/>
          <w:szCs w:val="21"/>
          <w:highlight w:val="none"/>
        </w:rPr>
      </w:pPr>
      <w:bookmarkStart w:id="59" w:name="_Toc21364"/>
      <w:r>
        <w:rPr>
          <w:rFonts w:hint="eastAsia" w:ascii="宋体" w:hAnsi="宋体" w:cs="宋体"/>
          <w:color w:val="auto"/>
          <w:szCs w:val="21"/>
          <w:highlight w:val="none"/>
        </w:rPr>
        <w:t>甲方：（招标方）</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乙方：（中标方）</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经过公开招标，确定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（乙方）</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的中标方，双方在自愿、平等、协商一致的基础上，特订立本合同。</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第一条  合同事项</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本合同就甲方委托乙方管理的事项仅做如下简要说明，具体详见甲方发出的“</w:t>
      </w:r>
      <w:r>
        <w:rPr>
          <w:rFonts w:hint="eastAsia" w:ascii="宋体" w:hAnsi="宋体" w:cs="宋体"/>
          <w:b w:val="0"/>
          <w:bCs w:val="0"/>
          <w:color w:val="auto"/>
          <w:sz w:val="21"/>
          <w:szCs w:val="21"/>
          <w:highlight w:val="none"/>
          <w:lang w:val="en-US" w:eastAsia="zh-CN"/>
        </w:rPr>
        <w:t>慈溪市桥头镇“无废绿色乡镇”建设服务</w:t>
      </w:r>
      <w:r>
        <w:rPr>
          <w:rFonts w:hint="eastAsia" w:ascii="宋体" w:hAnsi="宋体" w:cs="宋体"/>
          <w:color w:val="auto"/>
          <w:szCs w:val="21"/>
          <w:highlight w:val="none"/>
        </w:rPr>
        <w:t>采购项目”招标文件及乙方针对本项目的投标文件。</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第二条  合同文件组成及解释顺序</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1、下列文件一起组成本合同文件：</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（1）本采购合同及其补充协议（如有）；</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（2）中标通知书；</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（3）招标文件及其修改、补充文件（如有）；</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（4）询标承诺、询疑答复；</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（5）投标文件及其补充文件；</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（6）双方来函</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第三条  服务期限</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1、服务期限为壹年，自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第四条  合同金额及费用支付</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1、合同金额：本合同金额为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元/年。 </w:t>
      </w:r>
    </w:p>
    <w:p>
      <w:pPr>
        <w:spacing w:line="4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（1）项目费用为完成本项目一年期的</w:t>
      </w:r>
      <w:r>
        <w:rPr>
          <w:rFonts w:hint="eastAsia" w:ascii="宋体" w:hAnsi="宋体" w:eastAsia="宋体" w:cs="Times New Roman"/>
          <w:bCs w:val="0"/>
          <w:color w:val="auto"/>
          <w:szCs w:val="21"/>
          <w:highlight w:val="none"/>
          <w:lang w:val="en-US" w:eastAsia="zh-CN"/>
        </w:rPr>
        <w:t>人员基本工资，各类福利补贴（如高温、加班等）社保（五金）各种保险、人员工作服、作业工具耗材、食宿费、车辆运营费（油费、保险、维修、保养等）、管理费（管理人员工资、人员培训费、办公用房租赁费、其他管理费用）、软件服务费、设备折旧费、安全文明作业费、税金及其他费用</w:t>
      </w:r>
      <w:r>
        <w:rPr>
          <w:rFonts w:hint="eastAsia" w:ascii="宋体" w:hAnsi="宋体" w:eastAsia="宋体" w:cs="Times New Roman"/>
          <w:color w:val="auto"/>
          <w:szCs w:val="21"/>
          <w:highlight w:val="none"/>
        </w:rPr>
        <w:t>。</w:t>
      </w:r>
    </w:p>
    <w:p>
      <w:pPr>
        <w:spacing w:line="420" w:lineRule="exact"/>
        <w:ind w:firstLine="420"/>
        <w:rPr>
          <w:rFonts w:hint="eastAsia" w:ascii="宋体" w:hAnsi="宋体" w:eastAsia="宋体" w:cs="宋体"/>
          <w:sz w:val="24"/>
          <w:szCs w:val="24"/>
          <w:lang w:eastAsia="zh-CN"/>
        </w:rPr>
      </w:pPr>
      <w:bookmarkStart w:id="60" w:name="_Hlk10544831"/>
      <w:r>
        <w:rPr>
          <w:rFonts w:hint="eastAsia" w:ascii="宋体" w:hAnsi="宋体"/>
          <w:color w:val="auto"/>
          <w:szCs w:val="21"/>
          <w:highlight w:val="none"/>
        </w:rPr>
        <w:t>服务期内服务人员工资福利、社保等不得违反慈溪市政府及当地劳动部门相关规定，合同期遇社保或最低基本工资调整，</w:t>
      </w:r>
      <w:r>
        <w:rPr>
          <w:rFonts w:hint="eastAsia" w:ascii="宋体" w:hAnsi="宋体" w:eastAsia="宋体" w:cs="Times New Roman"/>
          <w:color w:val="auto"/>
          <w:szCs w:val="21"/>
          <w:highlight w:val="none"/>
        </w:rPr>
        <w:t>相应差价</w:t>
      </w:r>
      <w:r>
        <w:rPr>
          <w:rFonts w:hint="eastAsia" w:ascii="宋体" w:hAnsi="宋体" w:eastAsia="宋体" w:cs="Times New Roman"/>
          <w:color w:val="auto"/>
          <w:sz w:val="21"/>
          <w:szCs w:val="21"/>
          <w:highlight w:val="none"/>
        </w:rPr>
        <w:t>不予增补”</w:t>
      </w:r>
      <w:r>
        <w:rPr>
          <w:rFonts w:hint="eastAsia" w:ascii="宋体" w:hAnsi="宋体" w:eastAsia="宋体" w:cs="Times New Roman"/>
          <w:color w:val="auto"/>
          <w:sz w:val="21"/>
          <w:szCs w:val="21"/>
          <w:highlight w:val="none"/>
          <w:lang w:eastAsia="zh-CN"/>
        </w:rPr>
        <w:t>。</w:t>
      </w:r>
    </w:p>
    <w:bookmarkEnd w:id="60"/>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政府采购合同履行过程中，甲方需增加合同标的相同服务的，在不改变合同其他条款的前提下，与乙方协商签订补充合同，但所有补充合同的采购金额不得超过原合同采购金额的10%。</w:t>
      </w:r>
    </w:p>
    <w:p>
      <w:pPr>
        <w:tabs>
          <w:tab w:val="left" w:pos="840"/>
        </w:tabs>
        <w:spacing w:line="36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付款方式</w:t>
      </w:r>
      <w:r>
        <w:rPr>
          <w:rFonts w:hint="eastAsia" w:ascii="宋体" w:hAnsi="宋体" w:cs="Times New Roman"/>
          <w:color w:val="auto"/>
          <w:szCs w:val="21"/>
          <w:highlight w:val="none"/>
        </w:rPr>
        <w:t>：</w:t>
      </w:r>
      <w:r>
        <w:rPr>
          <w:rFonts w:hint="eastAsia" w:ascii="宋体" w:hAnsi="宋体"/>
          <w:color w:val="auto"/>
          <w:szCs w:val="21"/>
          <w:highlight w:val="none"/>
        </w:rPr>
        <w:t>合同签订后十个工作日内支付合同价</w:t>
      </w:r>
      <w:r>
        <w:rPr>
          <w:rFonts w:hint="eastAsia" w:ascii="宋体" w:hAnsi="宋体"/>
          <w:color w:val="auto"/>
          <w:szCs w:val="21"/>
          <w:highlight w:val="none"/>
          <w:lang w:val="en-US" w:eastAsia="zh-CN"/>
        </w:rPr>
        <w:t>3</w:t>
      </w:r>
      <w:r>
        <w:rPr>
          <w:rFonts w:hint="eastAsia" w:ascii="宋体" w:hAnsi="宋体"/>
          <w:color w:val="auto"/>
          <w:szCs w:val="21"/>
          <w:highlight w:val="none"/>
        </w:rPr>
        <w:t>0%的预付款，之后三个季度，每季度满后</w:t>
      </w:r>
      <w:r>
        <w:rPr>
          <w:rFonts w:hint="eastAsia" w:ascii="宋体" w:hAnsi="宋体"/>
          <w:color w:val="auto"/>
          <w:szCs w:val="21"/>
          <w:highlight w:val="none"/>
          <w:lang w:val="en-US" w:eastAsia="zh-CN"/>
        </w:rPr>
        <w:t>10</w:t>
      </w:r>
      <w:r>
        <w:rPr>
          <w:rFonts w:hint="eastAsia" w:ascii="宋体" w:hAnsi="宋体"/>
          <w:color w:val="auto"/>
          <w:szCs w:val="21"/>
          <w:highlight w:val="none"/>
        </w:rPr>
        <w:t>个工作日内支付合同价的2</w:t>
      </w:r>
      <w:r>
        <w:rPr>
          <w:rFonts w:hint="eastAsia" w:ascii="宋体" w:hAnsi="宋体"/>
          <w:color w:val="auto"/>
          <w:szCs w:val="21"/>
          <w:highlight w:val="none"/>
          <w:lang w:val="en-US" w:eastAsia="zh-CN"/>
        </w:rPr>
        <w:t>0</w:t>
      </w:r>
      <w:r>
        <w:rPr>
          <w:rFonts w:hint="eastAsia" w:ascii="宋体" w:hAnsi="宋体"/>
          <w:color w:val="auto"/>
          <w:szCs w:val="21"/>
          <w:highlight w:val="none"/>
        </w:rPr>
        <w:t>%，第四季度满后</w:t>
      </w:r>
      <w:r>
        <w:rPr>
          <w:rFonts w:hint="eastAsia" w:ascii="宋体" w:hAnsi="宋体"/>
          <w:color w:val="auto"/>
          <w:szCs w:val="21"/>
          <w:highlight w:val="none"/>
          <w:lang w:val="en-US" w:eastAsia="zh-CN"/>
        </w:rPr>
        <w:t>10</w:t>
      </w:r>
      <w:r>
        <w:rPr>
          <w:rFonts w:hint="eastAsia" w:ascii="宋体" w:hAnsi="宋体"/>
          <w:color w:val="auto"/>
          <w:szCs w:val="21"/>
          <w:highlight w:val="none"/>
        </w:rPr>
        <w:t>个工作日内结算剩余应付价款。</w:t>
      </w:r>
      <w:r>
        <w:rPr>
          <w:rFonts w:hint="eastAsia" w:ascii="宋体" w:hAnsi="宋体"/>
          <w:bCs/>
          <w:color w:val="auto"/>
          <w:szCs w:val="21"/>
          <w:highlight w:val="none"/>
        </w:rPr>
        <w:t>费用支付前</w:t>
      </w:r>
      <w:r>
        <w:rPr>
          <w:rFonts w:hint="eastAsia" w:ascii="宋体" w:hAnsi="宋体"/>
          <w:color w:val="auto"/>
          <w:szCs w:val="21"/>
          <w:highlight w:val="none"/>
        </w:rPr>
        <w:t>根据考核情况扣除应扣款，乙方提供税务发票</w:t>
      </w:r>
      <w:r>
        <w:rPr>
          <w:rFonts w:hint="eastAsia" w:ascii="宋体" w:hAnsi="宋体"/>
          <w:color w:val="auto"/>
          <w:szCs w:val="21"/>
          <w:highlight w:val="none"/>
          <w:lang w:eastAsia="zh-CN"/>
        </w:rPr>
        <w:t>。</w:t>
      </w:r>
    </w:p>
    <w:p>
      <w:pPr>
        <w:spacing w:line="420" w:lineRule="exact"/>
        <w:ind w:firstLine="420"/>
        <w:rPr>
          <w:rFonts w:hint="eastAsia" w:ascii="宋体" w:hAnsi="宋体" w:cs="宋体"/>
          <w:color w:val="auto"/>
          <w:szCs w:val="21"/>
          <w:highlight w:val="none"/>
        </w:rPr>
      </w:pPr>
      <w:r>
        <w:rPr>
          <w:rFonts w:hint="eastAsia" w:ascii="宋体" w:hAnsi="宋体"/>
          <w:color w:val="auto"/>
          <w:szCs w:val="21"/>
          <w:highlight w:val="none"/>
        </w:rPr>
        <w:t>甲方根据乙方实际服务质量，认为按招标文件人员配置仍不能达到招标文件中采购质量要求的，甲方有权要求乙方增派人员以确保服务质量，但不得增加费用</w:t>
      </w:r>
      <w:r>
        <w:rPr>
          <w:rFonts w:hint="eastAsia" w:ascii="宋体" w:hAnsi="宋体" w:cs="宋体"/>
          <w:color w:val="auto"/>
          <w:szCs w:val="21"/>
          <w:highlight w:val="none"/>
        </w:rPr>
        <w:t>。</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第五条  履约保证</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本合同履约保证金为合同总价的5%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可以采用银行保函、保险保单、担保公司担保等方式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元，乙方在签订合同</w:t>
      </w:r>
      <w:r>
        <w:rPr>
          <w:rFonts w:hint="eastAsia" w:ascii="宋体" w:hAnsi="宋体" w:cs="宋体"/>
          <w:color w:val="auto"/>
          <w:szCs w:val="21"/>
          <w:highlight w:val="none"/>
          <w:lang w:val="en-US" w:eastAsia="zh-CN"/>
        </w:rPr>
        <w:t>后5个工作日内</w:t>
      </w:r>
      <w:r>
        <w:rPr>
          <w:rFonts w:hint="eastAsia" w:ascii="宋体" w:hAnsi="宋体" w:cs="宋体"/>
          <w:color w:val="auto"/>
          <w:szCs w:val="21"/>
          <w:highlight w:val="none"/>
        </w:rPr>
        <w:t>提交。</w:t>
      </w:r>
      <w:r>
        <w:rPr>
          <w:rFonts w:hint="eastAsia" w:ascii="宋体" w:hAnsi="宋体"/>
          <w:color w:val="auto"/>
          <w:szCs w:val="21"/>
          <w:highlight w:val="none"/>
        </w:rPr>
        <w:t>履约保证金有效期到乙方按合同要求完成合同义务后终止，履约保证金于有效期止后30天内无息退还；但如果存在合同履行争议且尚未解决，则履约保证金有效期等争议最终解决且理赔完毕后终止。</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第六条  甲、乙双方的权利和义务</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1、甲方的权利和义务</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（1）代表和维护甲方的合法权益；审定乙方制定的管理服务方案、制度；</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（2）检查监督乙方根据招标文件、投标文件及管理方案的实施和制度的实行情况；</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（3）审议乙方制订的服务年度计划等；</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（4）按本合同的规定支付费用；</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（5）负责对乙方执行日常工作的监督及乙方派驻现场的工作人员的监督；</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（6）协助乙方做好服务工作和服务的宣传工作；</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（7）处理合同期间在管理服务工作中需甲方出面协调的问题；</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（8）配合乙方共同协调处理相关问题；</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（9）对乙方违反法规、规章的行为，提请有关部门处理；</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（10）负责对乙方管理服务工作质量的考核，考核标准详见</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2、乙方权利和义务</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（2）需建立健全项目管理档案资料，如</w:t>
      </w:r>
      <w:r>
        <w:rPr>
          <w:rFonts w:hint="eastAsia" w:ascii="宋体" w:hAnsi="宋体" w:cs="宋体"/>
          <w:color w:val="auto"/>
          <w:szCs w:val="21"/>
          <w:highlight w:val="none"/>
          <w:lang w:val="en-US" w:eastAsia="zh-CN"/>
        </w:rPr>
        <w:t>巡逻</w:t>
      </w:r>
      <w:r>
        <w:rPr>
          <w:rFonts w:hint="eastAsia" w:ascii="宋体" w:hAnsi="宋体" w:cs="宋体"/>
          <w:color w:val="auto"/>
          <w:szCs w:val="21"/>
          <w:highlight w:val="none"/>
        </w:rPr>
        <w:t>工作记录以及其他需要记录在案的文档，并做好各项保密工作；</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（3）应认真听取甲方提出的建议和意见，并接受甲方的考核管理规定，对在服务管理中出现的问题和薄弱环节应立即整改；</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（4）对服务人员违反法规、规章的行为，根据情节轻重，采取批评、规劝、警告、制止等措施或提请有关部门处理；</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（5）加强治安形势教育和加强内部管理，根据项目开展的工作进度适时调整管理办法；</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（6）项目实施过程中服务年度计划、月度人员排班计划，以及人员调动情况需及时上报甲方备案；</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（7）所有项目人员必须经严格培训，经考核合格后上岗，要求身体健康，无犯罪等不良记录；</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）乙方应按照甲方要求做好日常节能工作；</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（9）本合同终止时，乙方必须向甲方移交全部管理用房、甲方资产及全部的管理档案资料；</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（10）乙方不得将整体或部分管理责任及利益对外转让或发包，不得将未征得甲方同意的服务业务对外分包或转包。</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日常迎检，需按甲方要求增配临时保障人员，费用包含在本合同价中，不另行结算。</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（12）重大活动的人员保障，根据甲方的要求增配临时保障人员，费用按实结算。</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第七条 </w:t>
      </w:r>
      <w:bookmarkStart w:id="61" w:name="_Hlk10545471"/>
      <w:r>
        <w:rPr>
          <w:rFonts w:hint="eastAsia" w:ascii="宋体" w:hAnsi="宋体" w:cs="宋体"/>
          <w:color w:val="auto"/>
          <w:szCs w:val="21"/>
          <w:highlight w:val="none"/>
        </w:rPr>
        <w:t xml:space="preserve"> 甲、乙双方责任限定</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1、乙方工作人员在服务过程中，因其工作失职造成甲方损失的</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乙方应承担相应的经济赔偿。</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2、甲方禁止安排乙方工作人员参与其他违反法律规定及工作职责以外的活动，违者由甲方承担法律和经济责任。</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4、乙方在服务期间如遇招工困难，造成项目人员数量配置不足，应在5个工作日内及时补齐，并扣除缺岗人员的所有费用。缺岗人数累加超过20人次的，甲方有权终止合同，并罚没其履约保证金。</w:t>
      </w:r>
    </w:p>
    <w:bookmarkEnd w:id="61"/>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第八条  合同的变更、终止及违约责任</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1、甲方在乙方存在如下违约情况时，有权单方面终止全部或部分合同，乙方所交的履约保证金不予退还，并保留进一步追究乙方责任的权利（包括经济赔偿）。</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（1）乙方未能履行合同规定的义务；</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（2）有严重影响项目正常工作及甲方形象；</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（3）乙方存在与招标文件不符合的做法，或不履行其响应文件的承诺；</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（4）乙方存在其他违约行为经甲方书面催告后仍不改正的；</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（5）在合同有效期内，对本合同范围内的工作内容乙方擅自委托或转包给其它单位或个人。</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2、乙方如要提前中止合同，需提前3个月，并征得甲方同意，否则按合同执行。</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（1）乙方不能履行合同义务，应按未履行部分合同价格的10%向甲方偿付违约金，同时履约保证金不予退还。</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（2）如乙方未能履行合同规定的任何一项义务，甲方均有权从履约保证金中得到补偿。</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（3）经双方协商可终止部分或全部合同的，无须承担违约责任。</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4、乙方因工作疏忽而造成甲方财产损失的，乙方应按损失的价值照价赔偿。</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420" w:lineRule="exact"/>
        <w:ind w:firstLine="420"/>
        <w:rPr>
          <w:rFonts w:hint="eastAsia" w:eastAsia="宋体"/>
          <w:color w:val="auto"/>
          <w:highlight w:val="none"/>
          <w:lang w:eastAsia="zh-CN"/>
        </w:rPr>
      </w:pPr>
      <w:r>
        <w:rPr>
          <w:rFonts w:hint="eastAsia" w:ascii="宋体" w:hAnsi="宋体" w:cs="宋体"/>
          <w:color w:val="auto"/>
          <w:szCs w:val="21"/>
          <w:highlight w:val="none"/>
        </w:rPr>
        <w:t>6、考核：乙方应无条件接受甲方定期或不定期检查监督，按附件考核细则</w:t>
      </w:r>
      <w:r>
        <w:rPr>
          <w:rFonts w:hint="eastAsia" w:ascii="宋体" w:hAnsi="宋体" w:cs="宋体"/>
          <w:color w:val="auto"/>
          <w:szCs w:val="21"/>
          <w:highlight w:val="none"/>
          <w:lang w:eastAsia="zh-CN"/>
        </w:rPr>
        <w:t>开展月度考核工作，</w:t>
      </w:r>
      <w:r>
        <w:rPr>
          <w:rFonts w:hint="eastAsia" w:ascii="宋体" w:hAnsi="宋体" w:cs="宋体"/>
          <w:color w:val="auto"/>
          <w:szCs w:val="21"/>
          <w:highlight w:val="none"/>
        </w:rPr>
        <w:t>每</w:t>
      </w:r>
      <w:r>
        <w:rPr>
          <w:rFonts w:hint="eastAsia" w:ascii="宋体" w:hAnsi="宋体" w:cs="宋体"/>
          <w:color w:val="auto"/>
          <w:szCs w:val="21"/>
          <w:highlight w:val="none"/>
          <w:lang w:val="en-US" w:eastAsia="zh-CN"/>
        </w:rPr>
        <w:t>季度</w:t>
      </w:r>
      <w:r>
        <w:rPr>
          <w:rFonts w:hint="eastAsia" w:ascii="宋体" w:hAnsi="宋体" w:cs="宋体"/>
          <w:color w:val="auto"/>
          <w:szCs w:val="21"/>
          <w:highlight w:val="none"/>
        </w:rPr>
        <w:t>服务费与该考评结果挂钩</w:t>
      </w:r>
      <w:r>
        <w:rPr>
          <w:rFonts w:hint="eastAsia" w:ascii="宋体" w:hAnsi="宋体" w:cs="宋体"/>
          <w:color w:val="auto"/>
          <w:szCs w:val="21"/>
          <w:highlight w:val="none"/>
          <w:lang w:eastAsia="zh-CN"/>
        </w:rPr>
        <w:t>，</w:t>
      </w:r>
      <w:r>
        <w:rPr>
          <w:rFonts w:hint="eastAsia" w:ascii="宋体" w:hAnsi="宋体" w:cs="宋体"/>
          <w:color w:val="auto"/>
          <w:szCs w:val="21"/>
          <w:highlight w:val="none"/>
        </w:rPr>
        <w:t>满分为100分，</w:t>
      </w:r>
      <w:r>
        <w:rPr>
          <w:rFonts w:hint="eastAsia" w:ascii="宋体" w:hAnsi="宋体" w:eastAsia="宋体" w:cs="Times New Roman"/>
          <w:color w:val="auto"/>
          <w:kern w:val="2"/>
          <w:sz w:val="21"/>
          <w:szCs w:val="21"/>
          <w:highlight w:val="none"/>
          <w:lang w:val="en-US" w:eastAsia="zh-CN" w:bidi="ar-SA"/>
        </w:rPr>
        <w:t>采用倒扣分制，每次考核90分（含）以上者，允许中标人进行限期整改，整改完毕后每月服务费用按实全额支付；考核85分（含）~90分的，每分扣500元，并限期整改完成，逾期未整改完成的另扣2000元；考核成绩在85分以下的，每分扣800元，并限期整改完成，逾期未整改完成的另扣5000元，年度中若出现三次考核成绩低于85分的，直接解除合同关系。</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7、其他违约情形：</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（1）乙方未确保响应承诺的人员到位，或人员素质不符合招标文件要求，或与响应承诺不一致的，按实际缺席天数扣除人员费用，一周后仍没到位，加扣当月服务费的50%。</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（2）甲方要求乙方变动或更换人员，乙方未在规定时间内变动或更换的，每人次扣1000元。</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）乙方未按投标文件承诺配置设备及耗材的，或配置设备及耗材质量、数量不能满足日常需要的，每次扣1000元。</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第九条  不可抗力事件处理</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3、不可抗力事件延续10天及以上，双方应通过友好协商，确定是否继续履行合同。</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第十条  其他事项</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1、自本合同生效之日起15个自然日内，根据甲方委托管理事项，办理完交接验收手续。</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2、甲、乙方对《招标文件》以外的服务项目，可根据实际情况另行签订补充协议。补充协议和本合同的附件与本合同具有同等效力。</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3、本合同在履行过程中发生争议时，当事人双方应及时协调解决。协商不成时，向慈溪市人民法院起诉。</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、由于乙方原因而损坏设施设备的，由乙方负责赔偿。</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、如因政策性调整，乙方在服务期间因国家相关政策调整致使中途服务停止，乙方不得提出任何索赔。</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第十一条  合同生效及其他</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1、合同经双方法定代表人或授权代表签字加盖单位公章后生效。</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2、本合同未尽事宜，经双方协商一致，签订补充协议，补充协议与本协议书具有同等效力。</w:t>
      </w:r>
    </w:p>
    <w:p>
      <w:pPr>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3、本合同一式六份，甲、乙双方各执三份，均具有同等效力。</w:t>
      </w:r>
    </w:p>
    <w:p>
      <w:pPr>
        <w:spacing w:line="420" w:lineRule="exact"/>
        <w:ind w:firstLine="420"/>
        <w:rPr>
          <w:rFonts w:hint="eastAsia" w:ascii="宋体" w:hAnsi="宋体" w:cs="宋体"/>
          <w:color w:val="auto"/>
          <w:szCs w:val="21"/>
          <w:highlight w:val="none"/>
        </w:rPr>
      </w:pPr>
    </w:p>
    <w:p>
      <w:pPr>
        <w:spacing w:line="420" w:lineRule="exact"/>
        <w:ind w:firstLine="420"/>
        <w:rPr>
          <w:rFonts w:hint="eastAsia" w:ascii="宋体" w:hAnsi="宋体" w:cs="宋体"/>
          <w:color w:val="auto"/>
          <w:szCs w:val="21"/>
          <w:highlight w:val="none"/>
        </w:rPr>
      </w:pPr>
    </w:p>
    <w:p>
      <w:pPr>
        <w:spacing w:line="420" w:lineRule="exact"/>
        <w:ind w:firstLine="420"/>
        <w:rPr>
          <w:rFonts w:hint="eastAsia" w:ascii="宋体" w:hAnsi="宋体" w:cs="宋体"/>
          <w:color w:val="auto"/>
          <w:szCs w:val="21"/>
          <w:highlight w:val="none"/>
        </w:rPr>
      </w:pPr>
    </w:p>
    <w:tbl>
      <w:tblPr>
        <w:tblStyle w:val="44"/>
        <w:tblW w:w="0" w:type="auto"/>
        <w:jc w:val="center"/>
        <w:tblLayout w:type="fixed"/>
        <w:tblCellMar>
          <w:top w:w="0" w:type="dxa"/>
          <w:left w:w="108" w:type="dxa"/>
          <w:bottom w:w="0" w:type="dxa"/>
          <w:right w:w="108" w:type="dxa"/>
        </w:tblCellMar>
      </w:tblPr>
      <w:tblGrid>
        <w:gridCol w:w="1526"/>
        <w:gridCol w:w="3120"/>
        <w:gridCol w:w="1559"/>
        <w:gridCol w:w="3084"/>
      </w:tblGrid>
      <w:tr>
        <w:tblPrEx>
          <w:tblCellMar>
            <w:top w:w="0" w:type="dxa"/>
            <w:left w:w="108" w:type="dxa"/>
            <w:bottom w:w="0" w:type="dxa"/>
            <w:right w:w="108" w:type="dxa"/>
          </w:tblCellMar>
        </w:tblPrEx>
        <w:trPr>
          <w:trHeight w:val="535" w:hRule="atLeast"/>
          <w:jc w:val="center"/>
        </w:trPr>
        <w:tc>
          <w:tcPr>
            <w:tcW w:w="1526"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甲  方</w:t>
            </w:r>
          </w:p>
        </w:tc>
        <w:tc>
          <w:tcPr>
            <w:tcW w:w="3120" w:type="dxa"/>
            <w:noWrap w:val="0"/>
            <w:vAlign w:val="center"/>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（盖章）</w:t>
            </w:r>
          </w:p>
        </w:tc>
        <w:tc>
          <w:tcPr>
            <w:tcW w:w="1559"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乙  方</w:t>
            </w:r>
          </w:p>
        </w:tc>
        <w:tc>
          <w:tcPr>
            <w:tcW w:w="3084" w:type="dxa"/>
            <w:noWrap w:val="0"/>
            <w:vAlign w:val="center"/>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（盖章）</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120" w:type="dxa"/>
            <w:vMerge w:val="restart"/>
            <w:noWrap w:val="0"/>
            <w:vAlign w:val="center"/>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559" w:type="dxa"/>
            <w:noWrap w:val="0"/>
            <w:vAlign w:val="top"/>
          </w:tcPr>
          <w:p>
            <w:pPr>
              <w:spacing w:line="5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084" w:type="dxa"/>
            <w:vMerge w:val="restart"/>
            <w:noWrap w:val="0"/>
            <w:vAlign w:val="center"/>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（签字）</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120" w:type="dxa"/>
            <w:vMerge w:val="continue"/>
            <w:noWrap w:val="0"/>
            <w:vAlign w:val="top"/>
          </w:tcPr>
          <w:p>
            <w:pPr>
              <w:spacing w:line="520" w:lineRule="exact"/>
              <w:ind w:firstLine="420"/>
              <w:rPr>
                <w:rFonts w:hint="eastAsia" w:ascii="宋体" w:hAnsi="宋体" w:cs="宋体"/>
                <w:color w:val="auto"/>
                <w:szCs w:val="21"/>
                <w:highlight w:val="none"/>
              </w:rPr>
            </w:pPr>
          </w:p>
        </w:tc>
        <w:tc>
          <w:tcPr>
            <w:tcW w:w="1559" w:type="dxa"/>
            <w:noWrap w:val="0"/>
            <w:vAlign w:val="top"/>
          </w:tcPr>
          <w:p>
            <w:pPr>
              <w:spacing w:line="5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084" w:type="dxa"/>
            <w:vMerge w:val="continue"/>
            <w:noWrap w:val="0"/>
            <w:vAlign w:val="top"/>
          </w:tcPr>
          <w:p>
            <w:pPr>
              <w:spacing w:line="520" w:lineRule="exact"/>
              <w:ind w:firstLine="42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120" w:type="dxa"/>
            <w:noWrap w:val="0"/>
            <w:vAlign w:val="top"/>
          </w:tcPr>
          <w:p>
            <w:pPr>
              <w:spacing w:line="520" w:lineRule="exact"/>
              <w:ind w:firstLine="420"/>
              <w:rPr>
                <w:rFonts w:hint="eastAsia" w:ascii="宋体" w:hAnsi="宋体" w:cs="宋体"/>
                <w:color w:val="auto"/>
                <w:szCs w:val="21"/>
                <w:highlight w:val="none"/>
              </w:rPr>
            </w:pPr>
          </w:p>
        </w:tc>
        <w:tc>
          <w:tcPr>
            <w:tcW w:w="1559"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084" w:type="dxa"/>
            <w:noWrap w:val="0"/>
            <w:vAlign w:val="top"/>
          </w:tcPr>
          <w:p>
            <w:pPr>
              <w:spacing w:line="520" w:lineRule="exact"/>
              <w:ind w:firstLine="42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120" w:type="dxa"/>
            <w:noWrap w:val="0"/>
            <w:vAlign w:val="top"/>
          </w:tcPr>
          <w:p>
            <w:pPr>
              <w:spacing w:line="520" w:lineRule="exact"/>
              <w:ind w:firstLine="420"/>
              <w:rPr>
                <w:rFonts w:hint="eastAsia" w:ascii="宋体" w:hAnsi="宋体" w:cs="宋体"/>
                <w:color w:val="auto"/>
                <w:szCs w:val="21"/>
                <w:highlight w:val="none"/>
              </w:rPr>
            </w:pPr>
          </w:p>
        </w:tc>
        <w:tc>
          <w:tcPr>
            <w:tcW w:w="1559"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084" w:type="dxa"/>
            <w:noWrap w:val="0"/>
            <w:vAlign w:val="top"/>
          </w:tcPr>
          <w:p>
            <w:pPr>
              <w:spacing w:line="520" w:lineRule="exact"/>
              <w:ind w:firstLine="42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120" w:type="dxa"/>
            <w:noWrap w:val="0"/>
            <w:vAlign w:val="top"/>
          </w:tcPr>
          <w:p>
            <w:pPr>
              <w:spacing w:line="520" w:lineRule="exact"/>
              <w:ind w:firstLine="420"/>
              <w:rPr>
                <w:rFonts w:hint="eastAsia" w:ascii="宋体" w:hAnsi="宋体" w:cs="宋体"/>
                <w:color w:val="auto"/>
                <w:szCs w:val="21"/>
                <w:highlight w:val="none"/>
              </w:rPr>
            </w:pPr>
          </w:p>
        </w:tc>
        <w:tc>
          <w:tcPr>
            <w:tcW w:w="1559" w:type="dxa"/>
            <w:noWrap w:val="0"/>
            <w:vAlign w:val="top"/>
          </w:tcPr>
          <w:p>
            <w:pPr>
              <w:spacing w:line="5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084" w:type="dxa"/>
            <w:noWrap w:val="0"/>
            <w:vAlign w:val="top"/>
          </w:tcPr>
          <w:p>
            <w:pPr>
              <w:spacing w:line="520" w:lineRule="exact"/>
              <w:ind w:firstLine="42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120" w:type="dxa"/>
            <w:noWrap w:val="0"/>
            <w:vAlign w:val="top"/>
          </w:tcPr>
          <w:p>
            <w:pPr>
              <w:spacing w:line="520" w:lineRule="exact"/>
              <w:ind w:firstLine="420"/>
              <w:rPr>
                <w:rFonts w:hint="eastAsia" w:ascii="宋体" w:hAnsi="宋体" w:cs="宋体"/>
                <w:color w:val="auto"/>
                <w:szCs w:val="21"/>
                <w:highlight w:val="none"/>
              </w:rPr>
            </w:pPr>
          </w:p>
        </w:tc>
        <w:tc>
          <w:tcPr>
            <w:tcW w:w="1559" w:type="dxa"/>
            <w:noWrap w:val="0"/>
            <w:vAlign w:val="top"/>
          </w:tcPr>
          <w:p>
            <w:pPr>
              <w:spacing w:line="5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084" w:type="dxa"/>
            <w:noWrap w:val="0"/>
            <w:vAlign w:val="top"/>
          </w:tcPr>
          <w:p>
            <w:pPr>
              <w:spacing w:line="520" w:lineRule="exact"/>
              <w:ind w:firstLine="420"/>
              <w:rPr>
                <w:rFonts w:hint="eastAsia" w:ascii="宋体" w:hAnsi="宋体" w:cs="宋体"/>
                <w:color w:val="auto"/>
                <w:szCs w:val="21"/>
                <w:highlight w:val="none"/>
              </w:rPr>
            </w:pPr>
          </w:p>
        </w:tc>
      </w:tr>
    </w:tbl>
    <w:p>
      <w:pPr>
        <w:adjustRightInd/>
        <w:snapToGrid/>
        <w:spacing w:line="360" w:lineRule="auto"/>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br w:type="page"/>
      </w:r>
    </w:p>
    <w:p>
      <w:pPr>
        <w:pStyle w:val="4"/>
        <w:keepNext/>
        <w:keepLines/>
        <w:pageBreakBefore w:val="0"/>
        <w:widowControl w:val="0"/>
        <w:numPr>
          <w:ilvl w:val="0"/>
          <w:numId w:val="10"/>
        </w:numPr>
        <w:kinsoku/>
        <w:wordWrap/>
        <w:overflowPunct/>
        <w:topLinePunct w:val="0"/>
        <w:autoSpaceDE/>
        <w:autoSpaceDN/>
        <w:bidi w:val="0"/>
        <w:adjustRightInd/>
        <w:snapToGrid/>
        <w:spacing w:before="120" w:after="330" w:line="360" w:lineRule="auto"/>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招标内容与服务要求</w:t>
      </w:r>
      <w:bookmarkEnd w:id="59"/>
    </w:p>
    <w:bookmarkEnd w:id="52"/>
    <w:p>
      <w:pPr>
        <w:spacing w:line="500" w:lineRule="atLeast"/>
        <w:ind w:firstLine="480" w:firstLineChars="200"/>
        <w:rPr>
          <w:rFonts w:ascii="宋体" w:hAnsi="宋体"/>
          <w:color w:val="000000"/>
          <w:sz w:val="28"/>
          <w:szCs w:val="28"/>
        </w:rPr>
      </w:pPr>
      <w:bookmarkStart w:id="62" w:name="_Toc216662965"/>
      <w:bookmarkStart w:id="63" w:name="_Toc5926"/>
      <w:r>
        <w:rPr>
          <w:rFonts w:hint="eastAsia" w:ascii="宋体" w:hAnsi="宋体"/>
          <w:color w:val="000000"/>
          <w:kern w:val="0"/>
          <w:sz w:val="24"/>
          <w:szCs w:val="24"/>
        </w:rPr>
        <w:t>为有效破解城镇环境治理难题，解决美丽城镇环境建设痛点，加快环境管理体系、生活垃圾分类体系、再生资源可回收体系、一般工业固废收运体系建设，切实提升垃圾分类实效，我镇拟以“无废绿色乡镇”理念为抓手，打破原先各项块间的独立运行壁垒，拟招标慈溪市桥头镇“无废绿色乡镇”建设</w:t>
      </w:r>
      <w:r>
        <w:rPr>
          <w:rFonts w:hint="eastAsia" w:ascii="宋体" w:hAnsi="宋体"/>
          <w:color w:val="000000"/>
          <w:kern w:val="0"/>
          <w:sz w:val="24"/>
          <w:szCs w:val="24"/>
          <w:lang w:val="en-US" w:eastAsia="zh-CN"/>
        </w:rPr>
        <w:t>服务采购</w:t>
      </w:r>
      <w:r>
        <w:rPr>
          <w:rFonts w:hint="eastAsia" w:ascii="宋体" w:hAnsi="宋体"/>
          <w:color w:val="000000"/>
          <w:kern w:val="0"/>
          <w:sz w:val="24"/>
          <w:szCs w:val="24"/>
        </w:rPr>
        <w:t>项目，其中包括智慧环卫一体化管理中心+智慧环卫一体化服务项目+环卫垃圾智慧收运管理项目+一般工业固废收集及处置项目+再生资源可回收体系建设运营项目+商铺上门收集、垃圾分类项目六大块内容，逐步实现环卫操作市场化、科技化、机械化对环卫作业流程进行优化提升，推进环卫业务“</w:t>
      </w:r>
      <w:r>
        <w:rPr>
          <w:rFonts w:hint="eastAsia" w:ascii="宋体" w:hAnsi="宋体"/>
          <w:b/>
          <w:bCs/>
          <w:color w:val="000000"/>
          <w:kern w:val="0"/>
          <w:sz w:val="24"/>
          <w:szCs w:val="24"/>
        </w:rPr>
        <w:t>数据化</w:t>
      </w:r>
      <w:r>
        <w:rPr>
          <w:rFonts w:hint="eastAsia" w:ascii="宋体" w:hAnsi="宋体"/>
          <w:color w:val="000000"/>
          <w:kern w:val="0"/>
          <w:sz w:val="24"/>
          <w:szCs w:val="24"/>
        </w:rPr>
        <w:t>、</w:t>
      </w:r>
      <w:r>
        <w:rPr>
          <w:rFonts w:hint="eastAsia" w:ascii="宋体" w:hAnsi="宋体"/>
          <w:b/>
          <w:bCs/>
          <w:color w:val="000000"/>
          <w:kern w:val="0"/>
          <w:sz w:val="24"/>
          <w:szCs w:val="24"/>
        </w:rPr>
        <w:t>网络化</w:t>
      </w:r>
      <w:r>
        <w:rPr>
          <w:rFonts w:hint="eastAsia" w:ascii="宋体" w:hAnsi="宋体"/>
          <w:color w:val="000000"/>
          <w:kern w:val="0"/>
          <w:sz w:val="24"/>
          <w:szCs w:val="24"/>
        </w:rPr>
        <w:t>、</w:t>
      </w:r>
      <w:r>
        <w:rPr>
          <w:rFonts w:hint="eastAsia" w:ascii="宋体" w:hAnsi="宋体"/>
          <w:b/>
          <w:bCs/>
          <w:color w:val="000000"/>
          <w:kern w:val="0"/>
          <w:sz w:val="24"/>
          <w:szCs w:val="24"/>
        </w:rPr>
        <w:t>平台化</w:t>
      </w:r>
      <w:r>
        <w:rPr>
          <w:rFonts w:hint="eastAsia" w:ascii="宋体" w:hAnsi="宋体"/>
          <w:color w:val="000000"/>
          <w:kern w:val="0"/>
          <w:sz w:val="24"/>
          <w:szCs w:val="24"/>
        </w:rPr>
        <w:t>、</w:t>
      </w:r>
      <w:r>
        <w:rPr>
          <w:rFonts w:hint="eastAsia" w:ascii="宋体" w:hAnsi="宋体"/>
          <w:b/>
          <w:bCs/>
          <w:color w:val="000000"/>
          <w:kern w:val="0"/>
          <w:sz w:val="24"/>
          <w:szCs w:val="24"/>
        </w:rPr>
        <w:t>可视化</w:t>
      </w:r>
      <w:r>
        <w:rPr>
          <w:rFonts w:hint="eastAsia" w:ascii="宋体" w:hAnsi="宋体"/>
          <w:color w:val="000000"/>
          <w:kern w:val="0"/>
          <w:sz w:val="24"/>
          <w:szCs w:val="24"/>
        </w:rPr>
        <w:t>、</w:t>
      </w:r>
      <w:r>
        <w:rPr>
          <w:rFonts w:hint="eastAsia" w:ascii="宋体" w:hAnsi="宋体"/>
          <w:b/>
          <w:bCs/>
          <w:color w:val="000000"/>
          <w:kern w:val="0"/>
          <w:sz w:val="24"/>
          <w:szCs w:val="24"/>
        </w:rPr>
        <w:t>智能化</w:t>
      </w:r>
      <w:r>
        <w:rPr>
          <w:rFonts w:hint="eastAsia" w:ascii="宋体" w:hAnsi="宋体"/>
          <w:color w:val="000000"/>
          <w:kern w:val="0"/>
          <w:sz w:val="24"/>
          <w:szCs w:val="24"/>
        </w:rPr>
        <w:t>”，以提升桥头镇环境卫生、垃圾“</w:t>
      </w:r>
      <w:r>
        <w:rPr>
          <w:rFonts w:hint="eastAsia" w:ascii="宋体" w:hAnsi="宋体"/>
          <w:b/>
          <w:bCs/>
          <w:color w:val="000000"/>
          <w:kern w:val="0"/>
          <w:sz w:val="24"/>
          <w:szCs w:val="24"/>
        </w:rPr>
        <w:t>减量化、资源化、无害化</w:t>
      </w:r>
      <w:r>
        <w:rPr>
          <w:rFonts w:hint="eastAsia" w:ascii="宋体" w:hAnsi="宋体"/>
          <w:color w:val="000000"/>
          <w:kern w:val="0"/>
          <w:sz w:val="24"/>
          <w:szCs w:val="24"/>
        </w:rPr>
        <w:t>”，为桥头镇绿色无废乡镇建设指明方向，为助力创新活力之城美丽幸福慈溪建设作出积极贡献。</w:t>
      </w:r>
    </w:p>
    <w:p>
      <w:pPr>
        <w:spacing w:line="500" w:lineRule="exact"/>
        <w:jc w:val="center"/>
        <w:rPr>
          <w:rFonts w:ascii="宋体" w:hAnsi="宋体"/>
          <w:b/>
          <w:bCs/>
          <w:color w:val="000000"/>
          <w:sz w:val="24"/>
          <w:szCs w:val="24"/>
        </w:rPr>
      </w:pPr>
      <w:r>
        <w:rPr>
          <w:rFonts w:hint="eastAsia" w:ascii="宋体" w:hAnsi="宋体"/>
          <w:b/>
          <w:bCs/>
          <w:color w:val="000000"/>
          <w:sz w:val="24"/>
          <w:szCs w:val="24"/>
        </w:rPr>
        <w:t>第一节 智慧环卫一体化管理中心招标内容及服务要求</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桥头镇目标通过智慧环卫一体化管理中心控制，建立全程数字化监控平台，综合运用物联网、数据库、5G通信、专业模型和 3S 等一系列新技术，实现实时采集、传输、存储和管理环卫信息，提供与环卫指挥决策相关的信息层面和模型层面的决策支持，提高环卫指挥工作的正确性、实时性和有效性。环卫管理人员可以全面、实时、透明的掌握全镇的环卫作业情况，随时掌握可能出现的问题，统筹调配作业资源，多级协同处理。针对突发事件快速反应，监理管理部门与作业人员的实时互动，最大限度的提高应急处理能力。</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通过数字化环卫管理系统，可实现实时掌握一线管理、作业部门的绩效情况，及时反应各部门的响应灵敏度和处理问题的效果，形成长效管理考核机制， 使环卫管理更科学、合理、规范。</w:t>
      </w:r>
    </w:p>
    <w:p>
      <w:pPr>
        <w:pStyle w:val="166"/>
        <w:numPr>
          <w:ilvl w:val="0"/>
          <w:numId w:val="11"/>
        </w:numPr>
        <w:autoSpaceDN w:val="0"/>
        <w:adjustRightInd w:val="0"/>
        <w:snapToGrid w:val="0"/>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管理人员、场地、设备投入要求</w:t>
      </w:r>
    </w:p>
    <w:p>
      <w:pPr>
        <w:spacing w:line="500" w:lineRule="atLeast"/>
        <w:ind w:firstLine="240" w:firstLineChars="100"/>
        <w:rPr>
          <w:rFonts w:ascii="宋体" w:hAnsi="宋体"/>
          <w:color w:val="000000"/>
          <w:kern w:val="0"/>
          <w:sz w:val="24"/>
          <w:szCs w:val="24"/>
        </w:rPr>
      </w:pPr>
      <w:r>
        <w:rPr>
          <w:rFonts w:hint="eastAsia" w:ascii="宋体" w:hAnsi="宋体"/>
          <w:color w:val="000000"/>
          <w:kern w:val="0"/>
          <w:sz w:val="24"/>
          <w:szCs w:val="24"/>
        </w:rPr>
        <w:t>★（一）招标方提供管理中心场地，承担管理中心电费、网络费用；</w:t>
      </w:r>
    </w:p>
    <w:p>
      <w:pPr>
        <w:spacing w:line="500" w:lineRule="atLeast"/>
        <w:ind w:firstLine="240" w:firstLineChars="100"/>
        <w:rPr>
          <w:rFonts w:hint="eastAsia" w:ascii="宋体" w:hAnsi="宋体" w:eastAsia="宋体"/>
          <w:color w:val="000000"/>
          <w:kern w:val="0"/>
          <w:sz w:val="24"/>
          <w:szCs w:val="24"/>
          <w:lang w:eastAsia="zh-CN"/>
        </w:rPr>
      </w:pPr>
      <w:r>
        <w:rPr>
          <w:rFonts w:hint="eastAsia" w:ascii="宋体" w:hAnsi="宋体"/>
          <w:color w:val="000000"/>
          <w:kern w:val="0"/>
          <w:sz w:val="24"/>
          <w:szCs w:val="24"/>
        </w:rPr>
        <w:t>★（二）中标方负责完成管理中心系统控制分屏、操作电脑主机，与招标文件要求开发智慧环卫管理系统匹配的相应硬件费用</w:t>
      </w:r>
      <w:r>
        <w:rPr>
          <w:rFonts w:hint="eastAsia" w:ascii="宋体" w:hAnsi="宋体"/>
          <w:color w:val="000000"/>
          <w:kern w:val="0"/>
          <w:sz w:val="24"/>
          <w:szCs w:val="24"/>
          <w:lang w:eastAsia="zh-CN"/>
        </w:rPr>
        <w:t>；</w:t>
      </w:r>
    </w:p>
    <w:p>
      <w:pPr>
        <w:spacing w:line="500" w:lineRule="atLeast"/>
        <w:ind w:firstLine="240" w:firstLineChars="100"/>
        <w:rPr>
          <w:rFonts w:hint="default" w:eastAsia="宋体"/>
          <w:color w:val="000000"/>
          <w:lang w:val="en-US" w:eastAsia="zh-CN"/>
        </w:rPr>
      </w:pPr>
      <w:r>
        <w:rPr>
          <w:rFonts w:hint="eastAsia" w:ascii="宋体" w:hAnsi="宋体"/>
          <w:color w:val="000000"/>
          <w:kern w:val="0"/>
          <w:sz w:val="24"/>
          <w:szCs w:val="24"/>
        </w:rPr>
        <w:t>★（</w:t>
      </w:r>
      <w:r>
        <w:rPr>
          <w:rFonts w:hint="eastAsia" w:ascii="宋体" w:hAnsi="宋体"/>
          <w:color w:val="000000"/>
          <w:kern w:val="0"/>
          <w:sz w:val="24"/>
          <w:szCs w:val="24"/>
          <w:lang w:val="en-US" w:eastAsia="zh-CN"/>
        </w:rPr>
        <w:t>三</w:t>
      </w:r>
      <w:r>
        <w:rPr>
          <w:rFonts w:hint="eastAsia" w:ascii="宋体" w:hAnsi="宋体"/>
          <w:color w:val="000000"/>
          <w:kern w:val="0"/>
          <w:sz w:val="24"/>
          <w:szCs w:val="24"/>
        </w:rPr>
        <w:t>）</w:t>
      </w:r>
      <w:r>
        <w:rPr>
          <w:rFonts w:hint="eastAsia" w:ascii="宋体" w:hAnsi="宋体"/>
          <w:color w:val="000000"/>
          <w:kern w:val="0"/>
          <w:sz w:val="24"/>
          <w:szCs w:val="24"/>
          <w:lang w:val="en-US" w:eastAsia="zh-CN"/>
        </w:rPr>
        <w:t>智慧环卫管理中心大屏，合同结束后产权属于甲方所有。</w:t>
      </w:r>
    </w:p>
    <w:p>
      <w:pPr>
        <w:spacing w:line="500" w:lineRule="atLeast"/>
        <w:ind w:firstLine="241" w:firstLineChars="100"/>
        <w:rPr>
          <w:rFonts w:ascii="宋体" w:hAnsi="宋体"/>
          <w:b/>
          <w:bCs/>
          <w:color w:val="000000"/>
          <w:kern w:val="0"/>
          <w:sz w:val="24"/>
          <w:szCs w:val="24"/>
        </w:rPr>
      </w:pPr>
      <w:r>
        <w:rPr>
          <w:rFonts w:hint="eastAsia" w:ascii="宋体" w:hAnsi="宋体"/>
          <w:b/>
          <w:bCs/>
          <w:color w:val="000000"/>
          <w:kern w:val="0"/>
          <w:sz w:val="24"/>
          <w:szCs w:val="24"/>
        </w:rPr>
        <w:t>★（</w:t>
      </w:r>
      <w:r>
        <w:rPr>
          <w:rFonts w:hint="eastAsia" w:ascii="宋体" w:hAnsi="宋体"/>
          <w:b/>
          <w:bCs/>
          <w:color w:val="000000"/>
          <w:kern w:val="0"/>
          <w:sz w:val="24"/>
          <w:szCs w:val="24"/>
          <w:lang w:val="en-US" w:eastAsia="zh-CN"/>
        </w:rPr>
        <w:t>四</w:t>
      </w:r>
      <w:r>
        <w:rPr>
          <w:rFonts w:hint="eastAsia" w:ascii="宋体" w:hAnsi="宋体"/>
          <w:b/>
          <w:bCs/>
          <w:color w:val="000000"/>
          <w:kern w:val="0"/>
          <w:sz w:val="24"/>
          <w:szCs w:val="24"/>
        </w:rPr>
        <w:t>）软件使用服务费及相关系统设备硬件费用报价在对应工作内容报价中体现。</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中标方负责完成管理中心相关的前期软件开发、后期新增软件及迭代费用、服务器、平台费用，招标方按年支付中标方软件使用服务费，相应的系统和硬件在各个招标所在区块内报价。所有软件、服务器、平台所有权归中标方所有，投标报价按年服务费考虑。</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要求中标方投入设备，招标方按折旧支付中标方硬件设备费用，相应的设备硬件在各个招标所在区块内报价。</w:t>
      </w:r>
    </w:p>
    <w:p>
      <w:pPr>
        <w:spacing w:line="500" w:lineRule="atLeast"/>
        <w:ind w:firstLine="241" w:firstLineChars="100"/>
        <w:rPr>
          <w:rFonts w:ascii="宋体" w:hAnsi="宋体"/>
          <w:b/>
          <w:bCs/>
          <w:color w:val="000000"/>
          <w:kern w:val="0"/>
          <w:sz w:val="24"/>
          <w:szCs w:val="24"/>
        </w:rPr>
      </w:pPr>
      <w:r>
        <w:rPr>
          <w:rFonts w:hint="eastAsia" w:ascii="宋体" w:hAnsi="宋体"/>
          <w:b/>
          <w:bCs/>
          <w:color w:val="000000"/>
          <w:kern w:val="0"/>
          <w:sz w:val="24"/>
          <w:szCs w:val="24"/>
        </w:rPr>
        <w:t>一）如下智能管理系统费用报价，在相对应的各个招标区块内已注明，实际管理和操作在管理中心内。</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1、环卫员工健康智能管理系统；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2、无人机环境巡查系统；</w:t>
      </w:r>
    </w:p>
    <w:p>
      <w:pPr>
        <w:spacing w:line="500" w:lineRule="atLeast"/>
        <w:ind w:firstLine="480" w:firstLineChars="200"/>
        <w:rPr>
          <w:color w:val="000000"/>
          <w:sz w:val="24"/>
          <w:szCs w:val="24"/>
        </w:rPr>
      </w:pPr>
      <w:r>
        <w:rPr>
          <w:rFonts w:hint="eastAsia" w:ascii="宋体" w:hAnsi="宋体"/>
          <w:color w:val="000000"/>
          <w:kern w:val="0"/>
          <w:sz w:val="24"/>
          <w:szCs w:val="24"/>
        </w:rPr>
        <w:t>3、作业人</w:t>
      </w:r>
      <w:r>
        <w:rPr>
          <w:rFonts w:hint="eastAsia"/>
          <w:color w:val="000000"/>
          <w:sz w:val="24"/>
          <w:szCs w:val="24"/>
        </w:rPr>
        <w:t>员轨迹、实时定位系统</w:t>
      </w:r>
      <w:r>
        <w:rPr>
          <w:rFonts w:hint="eastAsia" w:ascii="宋体" w:hAnsi="宋体"/>
          <w:color w:val="000000"/>
          <w:kern w:val="0"/>
          <w:sz w:val="24"/>
          <w:szCs w:val="24"/>
        </w:rPr>
        <w:t>；</w:t>
      </w:r>
    </w:p>
    <w:p>
      <w:pPr>
        <w:spacing w:line="500" w:lineRule="atLeast"/>
        <w:ind w:firstLine="480" w:firstLineChars="200"/>
        <w:rPr>
          <w:color w:val="000000"/>
          <w:sz w:val="24"/>
          <w:szCs w:val="24"/>
        </w:rPr>
      </w:pPr>
      <w:r>
        <w:rPr>
          <w:rFonts w:hint="eastAsia" w:ascii="宋体" w:hAnsi="宋体"/>
          <w:color w:val="000000"/>
          <w:kern w:val="0"/>
          <w:sz w:val="24"/>
          <w:szCs w:val="24"/>
        </w:rPr>
        <w:t>4、环</w:t>
      </w:r>
      <w:r>
        <w:rPr>
          <w:rFonts w:hint="eastAsia"/>
          <w:color w:val="000000"/>
          <w:sz w:val="24"/>
          <w:szCs w:val="24"/>
        </w:rPr>
        <w:t>卫作业车辆作业轨迹、作业视频实时监控系统；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5、乡镇再生资源回收数据统计系统；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6、厨余垃圾、其他垃圾量、工业固废量统计分析系统；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7、环卫员工智能考勤系统；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8、沿街商铺垃圾上门收集统计系统；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9、天气预警及智能应急预案管理系统；</w:t>
      </w:r>
    </w:p>
    <w:p>
      <w:pPr>
        <w:pStyle w:val="2"/>
        <w:spacing w:line="500" w:lineRule="atLeast"/>
        <w:ind w:firstLine="480"/>
        <w:rPr>
          <w:color w:val="000000"/>
        </w:rPr>
      </w:pPr>
      <w:r>
        <w:rPr>
          <w:rFonts w:hint="eastAsia" w:ascii="宋体" w:hAnsi="宋体"/>
          <w:color w:val="000000"/>
          <w:kern w:val="0"/>
          <w:szCs w:val="24"/>
        </w:rPr>
        <w:t>10、PM空气质量检测系统。</w:t>
      </w:r>
    </w:p>
    <w:p>
      <w:pPr>
        <w:spacing w:line="500" w:lineRule="atLeast"/>
        <w:rPr>
          <w:rFonts w:ascii="宋体" w:hAnsi="宋体"/>
          <w:color w:val="000000"/>
          <w:kern w:val="0"/>
          <w:sz w:val="24"/>
          <w:szCs w:val="24"/>
        </w:rPr>
      </w:pPr>
      <w:r>
        <w:rPr>
          <w:rFonts w:hint="eastAsia" w:ascii="宋体" w:hAnsi="宋体"/>
          <w:b/>
          <w:bCs/>
          <w:color w:val="000000"/>
          <w:kern w:val="0"/>
          <w:sz w:val="24"/>
          <w:szCs w:val="24"/>
        </w:rPr>
        <w:t>二）如下设备投入费用报价，在相对应的各个招标区块内已注明，根据项目实际要求放置。</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空气质量检测设备1台；</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环卫人员定时定位管理（</w:t>
      </w:r>
      <w:r>
        <w:rPr>
          <w:rFonts w:hint="eastAsia" w:ascii="宋体" w:hAnsi="宋体"/>
          <w:color w:val="000000"/>
          <w:kern w:val="0"/>
          <w:sz w:val="24"/>
          <w:szCs w:val="24"/>
          <w:lang w:val="en-US" w:eastAsia="zh-CN"/>
        </w:rPr>
        <w:t>29</w:t>
      </w:r>
      <w:r>
        <w:rPr>
          <w:rFonts w:hint="eastAsia" w:ascii="宋体" w:hAnsi="宋体"/>
          <w:color w:val="000000"/>
          <w:kern w:val="0"/>
          <w:sz w:val="24"/>
          <w:szCs w:val="24"/>
        </w:rPr>
        <w:t>人）；</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环卫作业车辆实时视频监控车辆管理（10辆车）；</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环卫员工健康管理设备1台；</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环卫员工智能考勤设备1台；</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环境巡查无人机1台；</w:t>
      </w:r>
    </w:p>
    <w:p>
      <w:pPr>
        <w:numPr>
          <w:ilvl w:val="0"/>
          <w:numId w:val="12"/>
        </w:numPr>
        <w:spacing w:line="500" w:lineRule="atLeast"/>
        <w:ind w:firstLine="960"/>
        <w:rPr>
          <w:rFonts w:ascii="宋体" w:hAnsi="宋体"/>
          <w:color w:val="000000"/>
          <w:kern w:val="0"/>
          <w:sz w:val="24"/>
          <w:szCs w:val="24"/>
        </w:rPr>
      </w:pPr>
      <w:r>
        <w:rPr>
          <w:rFonts w:hint="eastAsia" w:ascii="宋体" w:hAnsi="宋体"/>
          <w:color w:val="000000"/>
          <w:kern w:val="0"/>
          <w:sz w:val="24"/>
          <w:szCs w:val="24"/>
        </w:rPr>
        <w:t>智能过磅称重机（3台）；</w:t>
      </w:r>
    </w:p>
    <w:p>
      <w:pPr>
        <w:numPr>
          <w:ilvl w:val="0"/>
          <w:numId w:val="12"/>
        </w:numPr>
        <w:spacing w:line="500" w:lineRule="atLeast"/>
        <w:ind w:firstLine="96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新能源智能清扫车1辆；</w:t>
      </w:r>
    </w:p>
    <w:p>
      <w:pPr>
        <w:numPr>
          <w:ilvl w:val="0"/>
          <w:numId w:val="12"/>
        </w:numPr>
        <w:spacing w:line="500" w:lineRule="atLeast"/>
        <w:ind w:firstLine="96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高压清洗车1台；</w:t>
      </w:r>
    </w:p>
    <w:p>
      <w:pPr>
        <w:numPr>
          <w:ilvl w:val="0"/>
          <w:numId w:val="12"/>
        </w:numPr>
        <w:spacing w:line="500" w:lineRule="atLeast"/>
        <w:ind w:firstLine="960"/>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收运车辆进站称重监测识别设备1台；</w:t>
      </w:r>
    </w:p>
    <w:p>
      <w:pPr>
        <w:numPr>
          <w:ilvl w:val="0"/>
          <w:numId w:val="12"/>
        </w:numPr>
        <w:spacing w:line="500" w:lineRule="atLeast"/>
        <w:ind w:firstLine="96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商铺环境反馈二维码（250块）。</w:t>
      </w:r>
    </w:p>
    <w:p>
      <w:pPr>
        <w:spacing w:line="500" w:lineRule="atLeast"/>
        <w:ind w:firstLine="720" w:firstLineChars="300"/>
        <w:rPr>
          <w:rFonts w:ascii="宋体" w:hAnsi="宋体"/>
          <w:color w:val="000000"/>
          <w:kern w:val="0"/>
          <w:sz w:val="24"/>
          <w:szCs w:val="24"/>
        </w:rPr>
      </w:pPr>
      <w:r>
        <w:rPr>
          <w:rFonts w:hint="eastAsia" w:ascii="宋体" w:hAnsi="宋体"/>
          <w:color w:val="000000"/>
          <w:kern w:val="0"/>
          <w:sz w:val="24"/>
          <w:szCs w:val="24"/>
        </w:rPr>
        <w:t>★要求中标方配置管理中心人员3人</w:t>
      </w:r>
    </w:p>
    <w:p>
      <w:pPr>
        <w:numPr>
          <w:ilvl w:val="0"/>
          <w:numId w:val="13"/>
        </w:numPr>
        <w:spacing w:line="500" w:lineRule="atLeast"/>
        <w:ind w:firstLine="720" w:firstLineChars="300"/>
        <w:rPr>
          <w:rFonts w:ascii="宋体" w:hAnsi="宋体"/>
          <w:color w:val="000000"/>
          <w:kern w:val="0"/>
          <w:sz w:val="24"/>
          <w:szCs w:val="24"/>
        </w:rPr>
      </w:pPr>
      <w:r>
        <w:rPr>
          <w:rFonts w:hint="eastAsia" w:ascii="宋体" w:hAnsi="宋体"/>
          <w:color w:val="000000"/>
          <w:kern w:val="0"/>
          <w:sz w:val="24"/>
          <w:szCs w:val="24"/>
        </w:rPr>
        <w:t>操作人员1人；</w:t>
      </w:r>
    </w:p>
    <w:p>
      <w:pPr>
        <w:numPr>
          <w:ilvl w:val="0"/>
          <w:numId w:val="13"/>
        </w:numPr>
        <w:spacing w:line="500" w:lineRule="atLeast"/>
        <w:ind w:firstLine="720" w:firstLineChars="300"/>
        <w:rPr>
          <w:rFonts w:ascii="宋体" w:hAnsi="宋体"/>
          <w:color w:val="000000"/>
          <w:kern w:val="0"/>
          <w:sz w:val="24"/>
          <w:szCs w:val="24"/>
        </w:rPr>
      </w:pPr>
      <w:r>
        <w:rPr>
          <w:rFonts w:hint="eastAsia" w:ascii="宋体" w:hAnsi="宋体"/>
          <w:color w:val="000000"/>
          <w:kern w:val="0"/>
          <w:sz w:val="24"/>
          <w:szCs w:val="24"/>
        </w:rPr>
        <w:t>接待、人事、行政1人；</w:t>
      </w:r>
    </w:p>
    <w:p>
      <w:pPr>
        <w:numPr>
          <w:ilvl w:val="0"/>
          <w:numId w:val="13"/>
        </w:numPr>
        <w:spacing w:line="500" w:lineRule="atLeast"/>
        <w:ind w:firstLine="720" w:firstLineChars="300"/>
        <w:rPr>
          <w:rFonts w:ascii="宋体" w:hAnsi="宋体"/>
          <w:color w:val="000000"/>
          <w:kern w:val="0"/>
          <w:sz w:val="24"/>
          <w:szCs w:val="24"/>
        </w:rPr>
      </w:pPr>
      <w:r>
        <w:rPr>
          <w:rFonts w:hint="eastAsia" w:ascii="宋体" w:hAnsi="宋体"/>
          <w:color w:val="000000"/>
          <w:kern w:val="0"/>
          <w:sz w:val="24"/>
          <w:szCs w:val="24"/>
        </w:rPr>
        <w:t>技术、现场巡查1人；</w:t>
      </w:r>
    </w:p>
    <w:p>
      <w:pPr>
        <w:spacing w:line="500" w:lineRule="atLeast"/>
        <w:rPr>
          <w:rFonts w:ascii="宋体" w:hAnsi="宋体"/>
          <w:b/>
          <w:bCs/>
          <w:color w:val="000000"/>
          <w:kern w:val="0"/>
          <w:sz w:val="24"/>
          <w:szCs w:val="24"/>
        </w:rPr>
      </w:pPr>
      <w:r>
        <w:rPr>
          <w:rFonts w:hint="eastAsia" w:ascii="宋体" w:hAnsi="宋体"/>
          <w:b/>
          <w:bCs/>
          <w:color w:val="000000"/>
          <w:kern w:val="0"/>
          <w:sz w:val="24"/>
          <w:szCs w:val="24"/>
        </w:rPr>
        <w:t>注：管理中心报价包含人员3人工资、社保费、福利费、高温费、法定节假日加班费、年终考核、服装费、管理中心硬件（系统分屏、主机）、管理费、税金基本费用，管理中心系统软件服务费、硬件设备在各个招标区块里报价。</w:t>
      </w:r>
    </w:p>
    <w:p>
      <w:pPr>
        <w:pStyle w:val="166"/>
        <w:autoSpaceDN w:val="0"/>
        <w:adjustRightInd w:val="0"/>
        <w:snapToGrid w:val="0"/>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二、管理中心运营工作要求</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管理中心启用后，中标方应完成覆盖桥头镇辖区内人员、各类硬件设备投入，设备数据后台考核监督，符合相关规程作业，中标方定期报送相关数据报表</w:t>
      </w:r>
      <w:r>
        <w:rPr>
          <w:rFonts w:hint="eastAsia" w:ascii="宋体" w:hAnsi="宋体"/>
          <w:color w:val="000000"/>
          <w:kern w:val="0"/>
          <w:sz w:val="24"/>
          <w:szCs w:val="24"/>
          <w:lang w:eastAsia="zh-CN"/>
        </w:rPr>
        <w:t>，</w:t>
      </w:r>
      <w:r>
        <w:rPr>
          <w:rFonts w:hint="eastAsia" w:ascii="宋体" w:hAnsi="宋体"/>
          <w:color w:val="000000"/>
          <w:kern w:val="0"/>
          <w:sz w:val="24"/>
          <w:szCs w:val="24"/>
        </w:rPr>
        <w:t>环卫管理涉及到的人、车、物、事进行全过程实时管理，合理设计规划环卫管理模式，提升环卫作业质量。</w:t>
      </w:r>
    </w:p>
    <w:p>
      <w:pPr>
        <w:pStyle w:val="166"/>
        <w:autoSpaceDN w:val="0"/>
        <w:adjustRightInd w:val="0"/>
        <w:snapToGrid w:val="0"/>
        <w:spacing w:line="500" w:lineRule="exact"/>
        <w:ind w:firstLine="482" w:firstLineChars="200"/>
        <w:rPr>
          <w:rFonts w:ascii="宋体" w:hAnsi="宋体"/>
          <w:b/>
          <w:bCs/>
          <w:color w:val="000000"/>
          <w:sz w:val="24"/>
          <w:szCs w:val="24"/>
        </w:rPr>
      </w:pPr>
      <w:r>
        <w:rPr>
          <w:rFonts w:hint="eastAsia" w:ascii="宋体" w:hAnsi="宋体"/>
          <w:b/>
          <w:bCs/>
          <w:color w:val="000000"/>
          <w:sz w:val="24"/>
          <w:szCs w:val="24"/>
        </w:rPr>
        <w:t>三、管理中心运营其它要求</w:t>
      </w:r>
    </w:p>
    <w:p>
      <w:pPr>
        <w:spacing w:line="500" w:lineRule="atLeast"/>
        <w:ind w:firstLine="720" w:firstLineChars="300"/>
        <w:rPr>
          <w:rFonts w:ascii="宋体" w:hAnsi="宋体"/>
          <w:color w:val="000000"/>
          <w:kern w:val="0"/>
          <w:sz w:val="24"/>
          <w:szCs w:val="24"/>
        </w:rPr>
      </w:pPr>
      <w:r>
        <w:rPr>
          <w:rFonts w:hint="eastAsia" w:ascii="宋体" w:hAnsi="宋体"/>
          <w:color w:val="000000"/>
          <w:kern w:val="0"/>
          <w:sz w:val="24"/>
          <w:szCs w:val="24"/>
        </w:rPr>
        <w:t>管理中心的建筑物后期维修由招标方负责，中标方对管理中心进行必要的维护，使其处于良好的运行状态。因中标方的管理、使用、维护不当等原因造成招标方资产受损或对他人造成人身伤害，由中标方自行修复，赔偿相应的损失，承担相关责任。</w:t>
      </w:r>
    </w:p>
    <w:p>
      <w:pPr>
        <w:spacing w:line="500" w:lineRule="atLeast"/>
        <w:ind w:firstLine="720" w:firstLineChars="300"/>
        <w:rPr>
          <w:rFonts w:hint="eastAsia" w:ascii="宋体" w:hAnsi="宋体"/>
          <w:b/>
          <w:bCs/>
          <w:color w:val="000000"/>
          <w:sz w:val="24"/>
          <w:szCs w:val="24"/>
        </w:rPr>
      </w:pPr>
      <w:r>
        <w:rPr>
          <w:rFonts w:hint="eastAsia" w:ascii="宋体" w:hAnsi="宋体"/>
          <w:color w:val="000000"/>
          <w:kern w:val="0"/>
          <w:sz w:val="24"/>
          <w:szCs w:val="24"/>
        </w:rPr>
        <w:t>中标方应依法开展经营活动，企业内部管理、劳动用工、安全生产、环保培训等必须符合政府相关规定，经营过程中发生的一切事故及纠纷，均由中标方自行承担相关经济责任及法律后果。</w:t>
      </w:r>
    </w:p>
    <w:p>
      <w:pPr>
        <w:spacing w:line="500" w:lineRule="exact"/>
        <w:jc w:val="center"/>
        <w:rPr>
          <w:b/>
          <w:bCs/>
          <w:color w:val="000000"/>
          <w:sz w:val="24"/>
          <w:szCs w:val="24"/>
        </w:rPr>
      </w:pPr>
      <w:r>
        <w:rPr>
          <w:rFonts w:hint="eastAsia" w:ascii="宋体" w:hAnsi="宋体"/>
          <w:b/>
          <w:bCs/>
          <w:color w:val="000000"/>
          <w:sz w:val="24"/>
          <w:szCs w:val="24"/>
        </w:rPr>
        <w:t>第二节 智慧环卫一体化服务项</w:t>
      </w:r>
      <w:r>
        <w:rPr>
          <w:rFonts w:hint="eastAsia" w:ascii="宋体" w:hAnsi="宋体"/>
          <w:b/>
          <w:bCs/>
          <w:color w:val="000000"/>
          <w:kern w:val="0"/>
          <w:sz w:val="24"/>
          <w:szCs w:val="24"/>
        </w:rPr>
        <w:t>目</w:t>
      </w:r>
      <w:r>
        <w:rPr>
          <w:rFonts w:hint="eastAsia" w:ascii="宋体" w:hAnsi="宋体"/>
          <w:b/>
          <w:bCs/>
          <w:color w:val="000000"/>
          <w:sz w:val="24"/>
          <w:szCs w:val="24"/>
        </w:rPr>
        <w:t>招标内容与服务要求</w:t>
      </w:r>
    </w:p>
    <w:p>
      <w:pPr>
        <w:pStyle w:val="166"/>
        <w:autoSpaceDN w:val="0"/>
        <w:adjustRightInd w:val="0"/>
        <w:snapToGrid w:val="0"/>
        <w:spacing w:line="500" w:lineRule="exact"/>
        <w:ind w:firstLine="561"/>
        <w:rPr>
          <w:rFonts w:ascii="宋体" w:hAnsi="宋体"/>
          <w:b/>
          <w:bCs/>
          <w:color w:val="000000"/>
          <w:sz w:val="24"/>
          <w:szCs w:val="24"/>
        </w:rPr>
      </w:pPr>
      <w:r>
        <w:rPr>
          <w:rFonts w:hint="eastAsia" w:ascii="宋体" w:hAnsi="宋体"/>
          <w:b/>
          <w:bCs/>
          <w:color w:val="000000"/>
          <w:sz w:val="24"/>
          <w:szCs w:val="24"/>
        </w:rPr>
        <w:t>一、项目概况</w:t>
      </w:r>
    </w:p>
    <w:p>
      <w:pPr>
        <w:tabs>
          <w:tab w:val="left" w:pos="0"/>
        </w:tabs>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桥头镇保洁服务总面积为</w:t>
      </w:r>
      <w:r>
        <w:rPr>
          <w:rFonts w:hint="eastAsia" w:ascii="宋体" w:hAnsi="宋体"/>
          <w:color w:val="000000"/>
          <w:sz w:val="24"/>
          <w:szCs w:val="24"/>
          <w:lang w:val="en-US" w:eastAsia="zh-CN"/>
        </w:rPr>
        <w:t>415895</w:t>
      </w:r>
      <w:r>
        <w:rPr>
          <w:rFonts w:hint="eastAsia" w:ascii="宋体" w:hAnsi="宋体" w:cs="宋体"/>
          <w:color w:val="000000"/>
          <w:szCs w:val="21"/>
        </w:rPr>
        <w:t>㎡</w:t>
      </w:r>
      <w:r>
        <w:rPr>
          <w:rFonts w:hint="eastAsia" w:ascii="宋体" w:hAnsi="宋体"/>
          <w:color w:val="000000"/>
          <w:sz w:val="24"/>
          <w:szCs w:val="24"/>
        </w:rPr>
        <w:t>（其中需要8小时保洁、12小时保洁），工作范围：桥头镇道路保洁、绿化带保洁、果壳箱擦洗、道路垃圾清运等。</w:t>
      </w:r>
    </w:p>
    <w:p>
      <w:pPr>
        <w:tabs>
          <w:tab w:val="left" w:pos="0"/>
        </w:tabs>
        <w:spacing w:line="360" w:lineRule="auto"/>
        <w:ind w:firstLine="480" w:firstLineChars="200"/>
        <w:jc w:val="left"/>
        <w:rPr>
          <w:rFonts w:hint="eastAsia" w:ascii="宋体" w:hAnsi="宋体" w:cs="宋体"/>
          <w:color w:val="000000"/>
          <w:szCs w:val="21"/>
        </w:rPr>
      </w:pPr>
      <w:r>
        <w:rPr>
          <w:rFonts w:hint="eastAsia" w:ascii="宋体" w:hAnsi="宋体"/>
          <w:color w:val="000000"/>
          <w:sz w:val="24"/>
          <w:szCs w:val="24"/>
        </w:rPr>
        <w:t xml:space="preserve"> 8小时保洁道路面积</w:t>
      </w:r>
      <w:r>
        <w:rPr>
          <w:rFonts w:hint="eastAsia" w:ascii="宋体" w:hAnsi="宋体"/>
          <w:color w:val="000000"/>
          <w:sz w:val="24"/>
          <w:szCs w:val="24"/>
          <w:lang w:val="en-US" w:eastAsia="zh-CN"/>
        </w:rPr>
        <w:t>272305.5</w:t>
      </w:r>
      <w:r>
        <w:rPr>
          <w:rFonts w:hint="eastAsia" w:ascii="宋体" w:hAnsi="宋体" w:cs="宋体"/>
          <w:color w:val="000000"/>
          <w:szCs w:val="21"/>
        </w:rPr>
        <w:t>㎡</w:t>
      </w:r>
      <w:r>
        <w:rPr>
          <w:rFonts w:hint="eastAsia" w:ascii="宋体" w:hAnsi="宋体"/>
          <w:color w:val="000000"/>
          <w:sz w:val="24"/>
          <w:szCs w:val="24"/>
        </w:rPr>
        <w:t>； 12小时保洁道路面积58200</w:t>
      </w:r>
      <w:r>
        <w:rPr>
          <w:rFonts w:hint="eastAsia" w:ascii="宋体" w:hAnsi="宋体" w:cs="宋体"/>
          <w:color w:val="000000"/>
          <w:szCs w:val="21"/>
        </w:rPr>
        <w:t>㎡；</w:t>
      </w:r>
    </w:p>
    <w:p>
      <w:pPr>
        <w:tabs>
          <w:tab w:val="left" w:pos="0"/>
        </w:tabs>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 xml:space="preserve"> 绿化带保洁面积85389.5</w:t>
      </w:r>
      <w:r>
        <w:rPr>
          <w:rFonts w:hint="eastAsia" w:ascii="宋体" w:hAnsi="宋体" w:cs="宋体"/>
          <w:color w:val="000000"/>
          <w:szCs w:val="21"/>
        </w:rPr>
        <w:t>㎡</w:t>
      </w:r>
      <w:r>
        <w:rPr>
          <w:rFonts w:hint="eastAsia" w:ascii="宋体" w:hAnsi="宋体"/>
          <w:color w:val="000000"/>
          <w:sz w:val="24"/>
          <w:szCs w:val="24"/>
        </w:rPr>
        <w:t xml:space="preserve"> ；</w:t>
      </w:r>
    </w:p>
    <w:p>
      <w:pPr>
        <w:pStyle w:val="166"/>
        <w:autoSpaceDN w:val="0"/>
        <w:adjustRightInd w:val="0"/>
        <w:snapToGrid w:val="0"/>
        <w:spacing w:line="440" w:lineRule="exact"/>
        <w:ind w:firstLine="561"/>
        <w:rPr>
          <w:rFonts w:ascii="宋体" w:hAnsi="宋体"/>
          <w:b/>
          <w:bCs/>
          <w:color w:val="000000"/>
          <w:sz w:val="24"/>
          <w:szCs w:val="24"/>
        </w:rPr>
      </w:pPr>
      <w:r>
        <w:rPr>
          <w:rFonts w:hint="eastAsia" w:ascii="宋体" w:hAnsi="宋体"/>
          <w:b/>
          <w:bCs/>
          <w:color w:val="000000"/>
          <w:sz w:val="24"/>
          <w:szCs w:val="24"/>
        </w:rPr>
        <w:t>二、人员及工具配置配置要求（总3</w:t>
      </w:r>
      <w:r>
        <w:rPr>
          <w:rFonts w:hint="eastAsia" w:ascii="宋体" w:hAnsi="宋体"/>
          <w:b/>
          <w:bCs/>
          <w:color w:val="000000"/>
          <w:sz w:val="24"/>
          <w:szCs w:val="24"/>
          <w:lang w:val="en-US" w:eastAsia="zh-CN"/>
        </w:rPr>
        <w:t>5</w:t>
      </w:r>
      <w:r>
        <w:rPr>
          <w:rFonts w:hint="eastAsia" w:ascii="宋体" w:hAnsi="宋体"/>
          <w:b/>
          <w:bCs/>
          <w:color w:val="000000"/>
          <w:sz w:val="24"/>
          <w:szCs w:val="24"/>
        </w:rPr>
        <w:t>人）</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b/>
          <w:color w:val="000000"/>
          <w:sz w:val="24"/>
          <w:szCs w:val="24"/>
        </w:rPr>
        <w:t>（一）</w:t>
      </w:r>
      <w:r>
        <w:rPr>
          <w:rFonts w:hint="eastAsia" w:ascii="宋体" w:hAnsi="宋体"/>
          <w:bCs/>
          <w:color w:val="000000"/>
          <w:sz w:val="24"/>
          <w:szCs w:val="24"/>
        </w:rPr>
        <w:t>管理人员配置：1人，</w:t>
      </w:r>
      <w:r>
        <w:rPr>
          <w:rFonts w:hint="eastAsia" w:ascii="宋体" w:hAnsi="宋体"/>
          <w:color w:val="000000"/>
          <w:sz w:val="24"/>
          <w:szCs w:val="24"/>
        </w:rPr>
        <w:t>大专及以上学历，从事环卫保洁管理工作3年及以上。</w:t>
      </w:r>
    </w:p>
    <w:p>
      <w:pPr>
        <w:pStyle w:val="166"/>
        <w:autoSpaceDN w:val="0"/>
        <w:adjustRightInd w:val="0"/>
        <w:snapToGrid w:val="0"/>
        <w:spacing w:line="440" w:lineRule="exact"/>
        <w:ind w:firstLine="482" w:firstLineChars="200"/>
        <w:rPr>
          <w:rFonts w:ascii="宋体" w:hAnsi="宋体"/>
          <w:color w:val="000000"/>
          <w:sz w:val="24"/>
          <w:szCs w:val="24"/>
        </w:rPr>
      </w:pPr>
      <w:r>
        <w:rPr>
          <w:rFonts w:hint="eastAsia" w:ascii="宋体" w:hAnsi="宋体"/>
          <w:b/>
          <w:bCs/>
          <w:color w:val="000000"/>
          <w:sz w:val="24"/>
          <w:szCs w:val="24"/>
        </w:rPr>
        <w:t>（二）</w:t>
      </w:r>
      <w:r>
        <w:rPr>
          <w:rFonts w:hint="eastAsia" w:ascii="宋体" w:hAnsi="宋体"/>
          <w:color w:val="000000"/>
          <w:sz w:val="24"/>
          <w:szCs w:val="24"/>
        </w:rPr>
        <w:t>道路保洁人员及驾驶员配置（3</w:t>
      </w:r>
      <w:r>
        <w:rPr>
          <w:rFonts w:hint="eastAsia" w:ascii="宋体" w:hAnsi="宋体"/>
          <w:color w:val="000000"/>
          <w:sz w:val="24"/>
          <w:szCs w:val="24"/>
          <w:lang w:val="en-US" w:eastAsia="zh-CN"/>
        </w:rPr>
        <w:t>4</w:t>
      </w:r>
      <w:r>
        <w:rPr>
          <w:rFonts w:hint="eastAsia" w:ascii="宋体" w:hAnsi="宋体"/>
          <w:color w:val="000000"/>
          <w:sz w:val="24"/>
          <w:szCs w:val="24"/>
        </w:rPr>
        <w:t>人）</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1、保洁主管：1人 ，具有道路保洁等管理工作经验。</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2、道路清扫保洁员：2</w:t>
      </w:r>
      <w:r>
        <w:rPr>
          <w:rFonts w:hint="eastAsia" w:ascii="宋体" w:hAnsi="宋体"/>
          <w:color w:val="000000"/>
          <w:sz w:val="24"/>
          <w:szCs w:val="24"/>
          <w:lang w:val="en-US" w:eastAsia="zh-CN"/>
        </w:rPr>
        <w:t>3</w:t>
      </w:r>
      <w:r>
        <w:rPr>
          <w:rFonts w:hint="eastAsia" w:ascii="宋体" w:hAnsi="宋体"/>
          <w:color w:val="000000"/>
          <w:sz w:val="24"/>
          <w:szCs w:val="24"/>
        </w:rPr>
        <w:t>人，其中包括8小时制18人，12小时制5人。</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3、绿化带保洁员：6人（白色垃圾捡拾，不包含绿化养护）</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4、路段巡检巡查专员：1人（兼机动保洁）</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5、道路扫车驾驶员：1人，具有相应车辆驾驶证。</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6、洒水雾炮车驾驶员：1人，具有相应车辆驾驶证。</w:t>
      </w:r>
    </w:p>
    <w:p>
      <w:pPr>
        <w:pStyle w:val="166"/>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7、垃圾清运车驾驶员：1人，具有相应车辆驾驶证。（符合垃圾清运要求）</w:t>
      </w:r>
    </w:p>
    <w:p>
      <w:pPr>
        <w:spacing w:line="500" w:lineRule="atLeast"/>
        <w:ind w:firstLine="482" w:firstLineChars="200"/>
        <w:rPr>
          <w:rFonts w:ascii="宋体" w:hAnsi="宋体"/>
          <w:color w:val="000000"/>
          <w:sz w:val="24"/>
          <w:szCs w:val="24"/>
        </w:rPr>
      </w:pPr>
      <w:r>
        <w:rPr>
          <w:rFonts w:hint="eastAsia" w:ascii="宋体" w:hAnsi="宋体"/>
          <w:b/>
          <w:bCs/>
          <w:color w:val="000000"/>
          <w:kern w:val="0"/>
          <w:sz w:val="24"/>
          <w:szCs w:val="24"/>
        </w:rPr>
        <w:t>★</w:t>
      </w:r>
      <w:r>
        <w:rPr>
          <w:rFonts w:hint="eastAsia" w:ascii="宋体" w:hAnsi="宋体"/>
          <w:b/>
          <w:bCs/>
          <w:color w:val="000000"/>
          <w:sz w:val="24"/>
          <w:szCs w:val="24"/>
        </w:rPr>
        <w:t>（三）</w:t>
      </w:r>
      <w:r>
        <w:rPr>
          <w:rFonts w:hint="eastAsia" w:ascii="宋体" w:hAnsi="宋体"/>
          <w:b/>
          <w:bCs/>
          <w:color w:val="000000"/>
          <w:kern w:val="0"/>
          <w:sz w:val="24"/>
          <w:szCs w:val="24"/>
        </w:rPr>
        <w:t>要求中标方配置</w:t>
      </w:r>
      <w:r>
        <w:rPr>
          <w:rFonts w:hint="eastAsia" w:ascii="宋体" w:hAnsi="宋体"/>
          <w:b/>
          <w:bCs/>
          <w:color w:val="000000"/>
          <w:sz w:val="24"/>
          <w:szCs w:val="24"/>
        </w:rPr>
        <w:t>车辆（3辆）</w:t>
      </w:r>
    </w:p>
    <w:p>
      <w:pPr>
        <w:pStyle w:val="166"/>
        <w:numPr>
          <w:ilvl w:val="0"/>
          <w:numId w:val="14"/>
        </w:numPr>
        <w:autoSpaceDN w:val="0"/>
        <w:adjustRightInd w:val="0"/>
        <w:snapToGrid w:val="0"/>
        <w:spacing w:line="440" w:lineRule="exact"/>
        <w:ind w:firstLine="560"/>
        <w:rPr>
          <w:rFonts w:ascii="宋体" w:hAnsi="宋体"/>
          <w:color w:val="000000"/>
          <w:sz w:val="24"/>
          <w:szCs w:val="24"/>
        </w:rPr>
      </w:pPr>
      <w:r>
        <w:rPr>
          <w:rFonts w:hint="eastAsia" w:ascii="宋体" w:hAnsi="宋体"/>
          <w:color w:val="000000"/>
          <w:sz w:val="24"/>
          <w:szCs w:val="24"/>
        </w:rPr>
        <w:t>道路清扫车1辆；2、洒水雾炮车1辆；3、垃圾清运车1辆。</w:t>
      </w:r>
    </w:p>
    <w:p>
      <w:pPr>
        <w:pStyle w:val="166"/>
        <w:numPr>
          <w:ilvl w:val="0"/>
          <w:numId w:val="15"/>
        </w:numPr>
        <w:autoSpaceDN w:val="0"/>
        <w:adjustRightInd w:val="0"/>
        <w:snapToGrid w:val="0"/>
        <w:spacing w:line="440" w:lineRule="exact"/>
        <w:rPr>
          <w:rFonts w:ascii="宋体" w:hAnsi="宋体"/>
          <w:color w:val="000000"/>
          <w:sz w:val="24"/>
          <w:szCs w:val="24"/>
        </w:rPr>
      </w:pPr>
      <w:r>
        <w:rPr>
          <w:rFonts w:hint="eastAsia" w:ascii="宋体" w:hAnsi="宋体"/>
          <w:color w:val="000000"/>
          <w:sz w:val="24"/>
          <w:szCs w:val="24"/>
        </w:rPr>
        <w:t>招标方承担洒水雾炮车油耗、水耗费用，招标方按实际结算支付；</w:t>
      </w:r>
    </w:p>
    <w:p>
      <w:pPr>
        <w:pStyle w:val="166"/>
        <w:numPr>
          <w:ilvl w:val="0"/>
          <w:numId w:val="15"/>
        </w:numPr>
        <w:autoSpaceDN w:val="0"/>
        <w:adjustRightInd w:val="0"/>
        <w:snapToGrid w:val="0"/>
        <w:spacing w:line="440" w:lineRule="exact"/>
        <w:rPr>
          <w:rFonts w:ascii="宋体" w:hAnsi="宋体"/>
          <w:color w:val="000000"/>
          <w:sz w:val="24"/>
          <w:szCs w:val="24"/>
        </w:rPr>
      </w:pPr>
      <w:r>
        <w:rPr>
          <w:rFonts w:hint="eastAsia" w:ascii="宋体" w:hAnsi="宋体"/>
          <w:color w:val="000000"/>
          <w:sz w:val="24"/>
          <w:szCs w:val="24"/>
        </w:rPr>
        <w:t>中标方承担</w:t>
      </w:r>
      <w:r>
        <w:rPr>
          <w:rFonts w:hint="eastAsia" w:ascii="宋体" w:hAnsi="宋体"/>
          <w:color w:val="000000"/>
          <w:sz w:val="24"/>
          <w:szCs w:val="24"/>
          <w:lang w:val="en-US" w:eastAsia="zh-CN"/>
        </w:rPr>
        <w:t>道路</w:t>
      </w:r>
      <w:r>
        <w:rPr>
          <w:rFonts w:hint="eastAsia" w:ascii="宋体" w:hAnsi="宋体"/>
          <w:color w:val="000000"/>
          <w:sz w:val="24"/>
          <w:szCs w:val="24"/>
        </w:rPr>
        <w:t>清扫车、垃圾清运车维修保养、保险、油耗等费用；</w:t>
      </w:r>
    </w:p>
    <w:p>
      <w:pPr>
        <w:pStyle w:val="166"/>
        <w:numPr>
          <w:ilvl w:val="0"/>
          <w:numId w:val="15"/>
        </w:numPr>
        <w:autoSpaceDN w:val="0"/>
        <w:adjustRightInd w:val="0"/>
        <w:snapToGrid w:val="0"/>
        <w:spacing w:line="440" w:lineRule="exact"/>
        <w:rPr>
          <w:rFonts w:ascii="宋体" w:hAnsi="宋体"/>
          <w:color w:val="000000"/>
          <w:sz w:val="24"/>
          <w:szCs w:val="24"/>
        </w:rPr>
      </w:pPr>
      <w:r>
        <w:rPr>
          <w:rFonts w:hint="eastAsia" w:ascii="宋体" w:hAnsi="宋体"/>
          <w:color w:val="000000"/>
          <w:sz w:val="24"/>
          <w:szCs w:val="24"/>
        </w:rPr>
        <w:t>中标方承担洒水雾炮车维修保养、保险等费用。</w:t>
      </w:r>
    </w:p>
    <w:p>
      <w:pPr>
        <w:spacing w:line="500" w:lineRule="atLeast"/>
        <w:ind w:firstLine="482" w:firstLineChars="200"/>
        <w:rPr>
          <w:rFonts w:ascii="宋体" w:hAnsi="宋体"/>
          <w:color w:val="000000"/>
          <w:kern w:val="0"/>
          <w:sz w:val="24"/>
          <w:szCs w:val="24"/>
        </w:rPr>
      </w:pPr>
      <w:r>
        <w:rPr>
          <w:rFonts w:hint="eastAsia" w:ascii="宋体" w:hAnsi="宋体"/>
          <w:b/>
          <w:bCs/>
          <w:color w:val="000000"/>
          <w:kern w:val="0"/>
          <w:sz w:val="24"/>
          <w:szCs w:val="24"/>
        </w:rPr>
        <w:t>（四）</w:t>
      </w:r>
      <w:r>
        <w:rPr>
          <w:rFonts w:hint="eastAsia" w:ascii="宋体" w:hAnsi="宋体"/>
          <w:color w:val="000000"/>
          <w:kern w:val="0"/>
          <w:sz w:val="24"/>
          <w:szCs w:val="24"/>
        </w:rPr>
        <w:t>智能化软件费用，招标方按年支付中标方软件使用服务费用</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1、环卫员工健康智能管理系统；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2、无人机环境巡查系统；</w:t>
      </w:r>
    </w:p>
    <w:p>
      <w:pPr>
        <w:spacing w:line="500" w:lineRule="atLeast"/>
        <w:ind w:firstLine="480" w:firstLineChars="200"/>
        <w:rPr>
          <w:color w:val="000000"/>
          <w:sz w:val="24"/>
          <w:szCs w:val="24"/>
        </w:rPr>
      </w:pPr>
      <w:r>
        <w:rPr>
          <w:rFonts w:hint="eastAsia" w:ascii="宋体" w:hAnsi="宋体"/>
          <w:color w:val="000000"/>
          <w:kern w:val="0"/>
          <w:sz w:val="24"/>
          <w:szCs w:val="24"/>
        </w:rPr>
        <w:t>3、作业人</w:t>
      </w:r>
      <w:r>
        <w:rPr>
          <w:rFonts w:hint="eastAsia"/>
          <w:color w:val="000000"/>
          <w:sz w:val="24"/>
          <w:szCs w:val="24"/>
        </w:rPr>
        <w:t>员轨迹、实时定位系统</w:t>
      </w:r>
      <w:r>
        <w:rPr>
          <w:rFonts w:hint="eastAsia" w:ascii="宋体" w:hAnsi="宋体"/>
          <w:color w:val="000000"/>
          <w:kern w:val="0"/>
          <w:sz w:val="24"/>
          <w:szCs w:val="24"/>
        </w:rPr>
        <w:t>；</w:t>
      </w:r>
    </w:p>
    <w:p>
      <w:pPr>
        <w:spacing w:line="500" w:lineRule="atLeast"/>
        <w:ind w:firstLine="480" w:firstLineChars="200"/>
        <w:rPr>
          <w:color w:val="000000"/>
          <w:sz w:val="24"/>
          <w:szCs w:val="24"/>
        </w:rPr>
      </w:pPr>
      <w:r>
        <w:rPr>
          <w:rFonts w:hint="eastAsia" w:ascii="宋体" w:hAnsi="宋体"/>
          <w:color w:val="000000"/>
          <w:kern w:val="0"/>
          <w:sz w:val="24"/>
          <w:szCs w:val="24"/>
        </w:rPr>
        <w:t>4、</w:t>
      </w:r>
      <w:r>
        <w:rPr>
          <w:rFonts w:hint="eastAsia"/>
          <w:color w:val="000000"/>
          <w:sz w:val="24"/>
          <w:szCs w:val="24"/>
        </w:rPr>
        <w:t>环卫作业车辆作业轨迹、作业视频实时监控系统；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5、</w:t>
      </w:r>
      <w:r>
        <w:rPr>
          <w:rFonts w:hint="eastAsia"/>
          <w:color w:val="000000"/>
          <w:sz w:val="24"/>
          <w:szCs w:val="24"/>
        </w:rPr>
        <w:t>环卫员工智能考勤系统；</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6、天气预警及智能应急预案管理系统；</w:t>
      </w:r>
    </w:p>
    <w:p>
      <w:pPr>
        <w:spacing w:line="500" w:lineRule="atLeast"/>
        <w:ind w:firstLine="480" w:firstLineChars="200"/>
        <w:rPr>
          <w:rFonts w:ascii="宋体" w:hAnsi="宋体"/>
          <w:b/>
          <w:bCs/>
          <w:color w:val="000000"/>
          <w:sz w:val="24"/>
          <w:szCs w:val="24"/>
        </w:rPr>
      </w:pPr>
      <w:r>
        <w:rPr>
          <w:rFonts w:hint="eastAsia" w:ascii="宋体" w:hAnsi="宋体"/>
          <w:color w:val="000000"/>
          <w:kern w:val="0"/>
          <w:sz w:val="24"/>
          <w:szCs w:val="24"/>
        </w:rPr>
        <w:t>7、PM空气质量检测系统。</w:t>
      </w:r>
    </w:p>
    <w:p>
      <w:pPr>
        <w:spacing w:line="500" w:lineRule="atLeast"/>
        <w:ind w:firstLine="482" w:firstLineChars="200"/>
        <w:rPr>
          <w:rFonts w:ascii="宋体" w:hAnsi="宋体"/>
          <w:color w:val="000000"/>
          <w:kern w:val="0"/>
          <w:sz w:val="24"/>
          <w:szCs w:val="24"/>
        </w:rPr>
      </w:pPr>
      <w:r>
        <w:rPr>
          <w:rFonts w:hint="eastAsia" w:ascii="宋体" w:hAnsi="宋体"/>
          <w:b/>
          <w:bCs/>
          <w:color w:val="000000"/>
          <w:sz w:val="24"/>
          <w:szCs w:val="24"/>
        </w:rPr>
        <w:t>（五）</w:t>
      </w:r>
      <w:r>
        <w:rPr>
          <w:rFonts w:hint="eastAsia" w:ascii="宋体" w:hAnsi="宋体"/>
          <w:color w:val="000000"/>
          <w:sz w:val="24"/>
          <w:szCs w:val="24"/>
        </w:rPr>
        <w:t>智能化</w:t>
      </w:r>
      <w:r>
        <w:rPr>
          <w:rFonts w:hint="eastAsia" w:ascii="宋体" w:hAnsi="宋体"/>
          <w:color w:val="000000"/>
          <w:kern w:val="0"/>
          <w:sz w:val="24"/>
          <w:szCs w:val="24"/>
        </w:rPr>
        <w:t>设备投入硬件费用，招标方按折旧支付中标方硬件设备费用</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1、空气质量检测设备1台；</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2、环卫人员定时定位管理（</w:t>
      </w:r>
      <w:r>
        <w:rPr>
          <w:rFonts w:hint="eastAsia" w:ascii="宋体" w:hAnsi="宋体"/>
          <w:color w:val="000000"/>
          <w:kern w:val="0"/>
          <w:sz w:val="24"/>
          <w:szCs w:val="24"/>
          <w:lang w:val="en-US" w:eastAsia="zh-CN"/>
        </w:rPr>
        <w:t>29</w:t>
      </w:r>
      <w:r>
        <w:rPr>
          <w:rFonts w:hint="eastAsia" w:ascii="宋体" w:hAnsi="宋体"/>
          <w:color w:val="000000"/>
          <w:kern w:val="0"/>
          <w:sz w:val="24"/>
          <w:szCs w:val="24"/>
        </w:rPr>
        <w:t>人）；</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3、环卫作业车辆实时视频监控车辆管理（3辆车）；</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4、环卫员工健康管理设备1台；</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5、环卫员工智能考勤设备1台；</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6、环境巡查无人机1台；</w:t>
      </w:r>
    </w:p>
    <w:p>
      <w:pPr>
        <w:spacing w:line="500" w:lineRule="atLeast"/>
        <w:ind w:firstLine="480" w:firstLineChars="200"/>
        <w:rPr>
          <w:rFonts w:ascii="宋体" w:hAnsi="宋体"/>
          <w:color w:val="000000"/>
          <w:kern w:val="0"/>
          <w:sz w:val="24"/>
          <w:szCs w:val="24"/>
        </w:rPr>
      </w:pPr>
      <w:r>
        <w:rPr>
          <w:rFonts w:hint="eastAsia" w:ascii="宋体" w:hAnsi="宋体"/>
          <w:color w:val="000000"/>
          <w:kern w:val="0"/>
          <w:sz w:val="24"/>
          <w:szCs w:val="24"/>
        </w:rPr>
        <w:t>7、新能源智能清扫车1辆；</w:t>
      </w:r>
    </w:p>
    <w:p>
      <w:pPr>
        <w:spacing w:line="500" w:lineRule="atLeast"/>
        <w:ind w:firstLine="480" w:firstLineChars="200"/>
        <w:rPr>
          <w:rFonts w:ascii="宋体" w:hAnsi="宋体"/>
          <w:b/>
          <w:bCs/>
          <w:color w:val="000000"/>
          <w:sz w:val="24"/>
          <w:szCs w:val="24"/>
        </w:rPr>
      </w:pPr>
      <w:r>
        <w:rPr>
          <w:rFonts w:hint="eastAsia" w:ascii="宋体" w:hAnsi="宋体"/>
          <w:color w:val="000000"/>
          <w:kern w:val="0"/>
          <w:sz w:val="24"/>
          <w:szCs w:val="24"/>
        </w:rPr>
        <w:t>8、高压清洗车1台。</w:t>
      </w:r>
    </w:p>
    <w:p>
      <w:pPr>
        <w:pStyle w:val="166"/>
        <w:autoSpaceDN w:val="0"/>
        <w:adjustRightInd w:val="0"/>
        <w:snapToGrid w:val="0"/>
        <w:spacing w:line="440" w:lineRule="exact"/>
        <w:ind w:firstLine="241" w:firstLineChars="100"/>
        <w:rPr>
          <w:rFonts w:ascii="宋体" w:hAnsi="宋体"/>
          <w:color w:val="000000"/>
          <w:sz w:val="24"/>
          <w:szCs w:val="24"/>
        </w:rPr>
      </w:pPr>
      <w:r>
        <w:rPr>
          <w:rFonts w:hint="eastAsia" w:ascii="宋体" w:hAnsi="宋体"/>
          <w:b/>
          <w:bCs/>
          <w:color w:val="000000"/>
          <w:sz w:val="24"/>
          <w:szCs w:val="24"/>
        </w:rPr>
        <w:t>（六）</w:t>
      </w:r>
      <w:r>
        <w:rPr>
          <w:rFonts w:hint="eastAsia" w:ascii="宋体" w:hAnsi="宋体"/>
          <w:color w:val="000000"/>
          <w:sz w:val="24"/>
          <w:szCs w:val="24"/>
        </w:rPr>
        <w:t>其他说明</w:t>
      </w:r>
    </w:p>
    <w:p>
      <w:pPr>
        <w:pStyle w:val="166"/>
        <w:autoSpaceDN w:val="0"/>
        <w:adjustRightInd w:val="0"/>
        <w:snapToGrid w:val="0"/>
        <w:spacing w:line="440" w:lineRule="exact"/>
        <w:ind w:firstLine="480" w:firstLineChars="200"/>
        <w:rPr>
          <w:rFonts w:ascii="宋体" w:hAnsi="宋体" w:cs="宋体"/>
          <w:b/>
          <w:bCs/>
          <w:color w:val="000000"/>
          <w:sz w:val="24"/>
          <w:szCs w:val="24"/>
        </w:rPr>
      </w:pPr>
      <w:r>
        <w:rPr>
          <w:rFonts w:hint="eastAsia" w:ascii="宋体" w:hAnsi="宋体"/>
          <w:color w:val="000000"/>
          <w:sz w:val="24"/>
          <w:szCs w:val="24"/>
        </w:rPr>
        <w:t>★</w:t>
      </w:r>
      <w:r>
        <w:rPr>
          <w:rFonts w:hint="eastAsia" w:ascii="宋体" w:hAnsi="宋体" w:cs="宋体"/>
          <w:b/>
          <w:bCs/>
          <w:color w:val="000000"/>
          <w:sz w:val="24"/>
          <w:szCs w:val="24"/>
        </w:rPr>
        <w:t>1、招标方提供办公水电。</w:t>
      </w:r>
    </w:p>
    <w:p>
      <w:pPr>
        <w:pStyle w:val="166"/>
        <w:autoSpaceDN w:val="0"/>
        <w:adjustRightInd w:val="0"/>
        <w:snapToGrid w:val="0"/>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w:t>
      </w:r>
      <w:r>
        <w:rPr>
          <w:rFonts w:hint="eastAsia" w:ascii="宋体" w:hAnsi="宋体" w:cs="宋体"/>
          <w:b/>
          <w:bCs/>
          <w:color w:val="000000"/>
          <w:sz w:val="24"/>
          <w:szCs w:val="24"/>
        </w:rPr>
        <w:t>2、费用包括：人员工资、社保、商业险、福利（体检）、高温、法定节假日加班费、年终考核、服装费、车辆配置及维修保养、保险、油耗、智能化系统软件、硬件设备费用、保洁工具、管理费、税金等费用</w:t>
      </w:r>
      <w:r>
        <w:rPr>
          <w:rFonts w:hint="eastAsia" w:ascii="宋体" w:hAnsi="宋体" w:cs="宋体"/>
          <w:b/>
          <w:bCs/>
          <w:color w:val="000000"/>
          <w:sz w:val="24"/>
          <w:szCs w:val="24"/>
          <w:lang w:eastAsia="zh-CN"/>
        </w:rPr>
        <w:t>。</w:t>
      </w:r>
    </w:p>
    <w:p>
      <w:pPr>
        <w:pStyle w:val="166"/>
        <w:autoSpaceDN w:val="0"/>
        <w:adjustRightInd w:val="0"/>
        <w:snapToGrid w:val="0"/>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、年龄要求：</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人：男性55周岁以下，女性50周岁以下。其中</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人年龄可放宽到男性60周岁以下，女性55周岁以下。</w:t>
      </w:r>
    </w:p>
    <w:p>
      <w:pPr>
        <w:pStyle w:val="166"/>
        <w:autoSpaceDN w:val="0"/>
        <w:adjustRightInd w:val="0"/>
        <w:snapToGrid w:val="0"/>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、身体健康，敬岗爱业，服从管理，无不良嗜好。</w:t>
      </w:r>
    </w:p>
    <w:p>
      <w:pPr>
        <w:pStyle w:val="166"/>
        <w:autoSpaceDN w:val="0"/>
        <w:adjustRightInd w:val="0"/>
        <w:snapToGrid w:val="0"/>
        <w:spacing w:line="440" w:lineRule="exact"/>
        <w:ind w:firstLine="480" w:firstLineChars="200"/>
        <w:rPr>
          <w:rFonts w:ascii="宋体" w:hAnsi="宋体" w:eastAsia="宋体" w:cs="宋体"/>
          <w:color w:val="000000"/>
          <w:sz w:val="24"/>
          <w:szCs w:val="24"/>
        </w:rPr>
        <w:sectPr>
          <w:footerReference r:id="rId12" w:type="default"/>
          <w:pgSz w:w="11906" w:h="16838"/>
          <w:pgMar w:top="1440" w:right="1800" w:bottom="1440" w:left="1800" w:header="851" w:footer="992" w:gutter="0"/>
          <w:cols w:space="720" w:num="1"/>
          <w:docGrid w:type="lines" w:linePitch="312" w:charSpace="0"/>
        </w:sectPr>
      </w:pPr>
    </w:p>
    <w:p>
      <w:pPr>
        <w:spacing w:line="440" w:lineRule="exact"/>
        <w:ind w:firstLine="361" w:firstLineChars="150"/>
        <w:rPr>
          <w:rFonts w:hint="default" w:ascii="宋体" w:hAnsi="宋体" w:eastAsia="宋体" w:cs="仿宋_GB2312"/>
          <w:b/>
          <w:bCs/>
          <w:color w:val="000000"/>
          <w:sz w:val="24"/>
          <w:szCs w:val="24"/>
          <w:lang w:val="en-US" w:eastAsia="zh-CN"/>
        </w:rPr>
      </w:pPr>
      <w:r>
        <w:rPr>
          <w:rFonts w:hint="eastAsia" w:ascii="宋体" w:hAnsi="宋体" w:cs="仿宋_GB2312"/>
          <w:b/>
          <w:bCs/>
          <w:color w:val="000000"/>
          <w:sz w:val="24"/>
          <w:szCs w:val="24"/>
        </w:rPr>
        <w:t>三、保洁范围</w:t>
      </w:r>
      <w:r>
        <w:rPr>
          <w:rFonts w:hint="eastAsia" w:ascii="宋体" w:hAnsi="宋体" w:cs="仿宋_GB2312"/>
          <w:b/>
          <w:bCs/>
          <w:color w:val="000000"/>
          <w:sz w:val="24"/>
          <w:szCs w:val="24"/>
          <w:lang w:val="en-US" w:eastAsia="zh-CN"/>
        </w:rPr>
        <w:t>及车辆作业路线</w:t>
      </w:r>
    </w:p>
    <w:p>
      <w:pPr>
        <w:pStyle w:val="166"/>
        <w:autoSpaceDN w:val="0"/>
        <w:adjustRightInd w:val="0"/>
        <w:snapToGrid w:val="0"/>
        <w:spacing w:line="300" w:lineRule="auto"/>
        <w:jc w:val="center"/>
        <w:rPr>
          <w:rFonts w:ascii="宋体" w:hAnsi="宋体"/>
          <w:b/>
          <w:bCs/>
          <w:color w:val="000000"/>
          <w:sz w:val="24"/>
          <w:szCs w:val="24"/>
        </w:rPr>
      </w:pP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一</w:t>
      </w:r>
      <w:r>
        <w:rPr>
          <w:rFonts w:hint="eastAsia" w:ascii="宋体" w:hAnsi="宋体"/>
          <w:b/>
          <w:bCs/>
          <w:color w:val="000000"/>
          <w:sz w:val="24"/>
          <w:szCs w:val="24"/>
          <w:lang w:eastAsia="zh-CN"/>
        </w:rPr>
        <w:t>）</w:t>
      </w:r>
      <w:r>
        <w:rPr>
          <w:rFonts w:hint="eastAsia" w:ascii="宋体" w:hAnsi="宋体"/>
          <w:b/>
          <w:bCs/>
          <w:color w:val="000000"/>
          <w:sz w:val="24"/>
          <w:szCs w:val="24"/>
        </w:rPr>
        <w:t>桥头镇主要道路、绿化保洁一览表</w:t>
      </w:r>
    </w:p>
    <w:tbl>
      <w:tblPr>
        <w:tblStyle w:val="44"/>
        <w:tblW w:w="0" w:type="auto"/>
        <w:tblInd w:w="117" w:type="dxa"/>
        <w:tblLayout w:type="fixed"/>
        <w:tblCellMar>
          <w:top w:w="0" w:type="dxa"/>
          <w:left w:w="0" w:type="dxa"/>
          <w:bottom w:w="0" w:type="dxa"/>
          <w:right w:w="0" w:type="dxa"/>
        </w:tblCellMar>
      </w:tblPr>
      <w:tblGrid>
        <w:gridCol w:w="750"/>
        <w:gridCol w:w="1275"/>
        <w:gridCol w:w="1134"/>
        <w:gridCol w:w="1941"/>
        <w:gridCol w:w="1230"/>
        <w:gridCol w:w="1320"/>
        <w:gridCol w:w="2190"/>
        <w:gridCol w:w="1575"/>
        <w:gridCol w:w="2415"/>
      </w:tblGrid>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路名、区块</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类别</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起止地点</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长度（米）</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宽度（米）</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路面面积 （平方米）</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折合面积</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保洁要求</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镇前路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329国道至吴山南路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1360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吴山南路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镇前路至安置小区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28800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节点</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罗家路南、北</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镇政府到环卫站东</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9920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9920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环卫站东到开发大道</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镇政府西到环卫站东</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3230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3230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杨家江-五姓路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五姓路-余家江</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22320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22320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杨家江-五姓路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217.5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1044</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1044</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桥头公园</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公园范围内的所有绿化</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6496</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6496</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大众化纤东</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桥升广场</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红房子小区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765</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329国道至新周塘路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58500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新周塘路至川浪厂</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天桥</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中欣铭苑</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329国道北</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2502</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2502</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背街小巷</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邮局北侧</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***北侧</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卫生院北侧</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明阳汽修厂南侧</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吴山北路北侧</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桥三路454弄</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吴山北路北侧，西边</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***对面</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镇政府对面1#</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镇政府对面2#</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惠隆超市旁</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宝石公寓区域</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1780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1780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宁波银行区块</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吴山中路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桥三路东—安置小区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桥三路西</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桥三路东—安置小区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开发大道</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329国道至新周塘路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27579</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27579</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2421</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2421</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节点</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国道口</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329国道童鞋三厂</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1740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1740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安置小区道路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安置区（区间道路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14375</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14375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五姓区块</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吴山北路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桥三路至陈宅路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桥三路至日旺路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8450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杜家江至日旺路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8199.8</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8199.8</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镇工业开发园区道路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吴山北路至建林化纤</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2560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2560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新周塘路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五丰村王家路江至日旺路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25600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25600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桥三路至吴山西路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2190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13140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13140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吴山西路至逍林交界</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11573.7</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11573.7</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陈家江至吴山西路东、桥三路至杜家江</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日旺工业园区道路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沿江路（日旺路东）</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经一路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8120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8120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横一路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4340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4340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东星厂东</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东星厂西</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日旺路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329国道至震旦包装</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1818</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1818</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节点</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纵一路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（吴山南路）至荣果公司</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吴山南路到容果</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吴山西路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329国道至新周塘路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绿化</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(329国道至吴山北路)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公园路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吴山南路到吴山北路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陈宅路</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329国道至新周塘路</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27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11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节点</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329国道口</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横筋线桥头段</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樟树山林队至孙其山林队</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14000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红房子路南</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红房子路南</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上林湖安置区中间段</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上林湖安置区中间段</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1920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1920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幼儿园南停车场</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幼儿园南停车场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1275</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1275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桥三路路东包子叔叔南一段</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桥三路路东包子叔叔南一段</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294</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294</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桥三路路东包子叔叔南二段</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桥三路路东包子叔叔南二段</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148.5</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148.5</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r>
        <w:tblPrEx>
          <w:tblCellMar>
            <w:top w:w="0" w:type="dxa"/>
            <w:left w:w="0" w:type="dxa"/>
            <w:bottom w:w="0" w:type="dxa"/>
            <w:right w:w="0"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塑料市场南门至老市场西门</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道路</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塑料市场南门至老市场西门</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1764</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1764</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8小时</w:t>
            </w:r>
          </w:p>
        </w:tc>
      </w:tr>
    </w:tbl>
    <w:p>
      <w:pPr>
        <w:spacing w:line="440" w:lineRule="exact"/>
        <w:jc w:val="both"/>
        <w:rPr>
          <w:rFonts w:hint="eastAsia" w:ascii="宋体" w:hAnsi="宋体"/>
          <w:b/>
          <w:bCs/>
          <w:color w:val="000000"/>
          <w:sz w:val="24"/>
          <w:szCs w:val="24"/>
          <w:lang w:eastAsia="zh-CN"/>
        </w:rPr>
      </w:pPr>
    </w:p>
    <w:p>
      <w:pPr>
        <w:numPr>
          <w:ilvl w:val="0"/>
          <w:numId w:val="16"/>
        </w:numPr>
        <w:spacing w:line="440" w:lineRule="exact"/>
        <w:ind w:firstLine="361" w:firstLineChars="150"/>
        <w:jc w:val="center"/>
        <w:rPr>
          <w:rFonts w:hint="eastAsia" w:ascii="宋体" w:hAnsi="宋体"/>
          <w:b/>
          <w:bCs/>
          <w:color w:val="000000"/>
          <w:sz w:val="24"/>
          <w:szCs w:val="24"/>
          <w:lang w:val="en-US" w:eastAsia="zh-CN"/>
        </w:rPr>
      </w:pPr>
      <w:r>
        <w:rPr>
          <w:rFonts w:hint="eastAsia" w:ascii="宋体" w:hAnsi="宋体"/>
          <w:b/>
          <w:bCs/>
          <w:color w:val="000000"/>
          <w:sz w:val="24"/>
          <w:szCs w:val="24"/>
        </w:rPr>
        <w:t>桥头镇</w:t>
      </w:r>
      <w:r>
        <w:rPr>
          <w:rFonts w:hint="eastAsia" w:ascii="宋体" w:hAnsi="宋体"/>
          <w:b/>
          <w:bCs/>
          <w:color w:val="000000"/>
          <w:sz w:val="24"/>
          <w:szCs w:val="24"/>
          <w:lang w:val="en-US" w:eastAsia="zh-CN"/>
        </w:rPr>
        <w:t>洒水雾炮车保洁范围路线图</w:t>
      </w:r>
    </w:p>
    <w:p>
      <w:pPr>
        <w:pStyle w:val="2"/>
        <w:numPr>
          <w:ilvl w:val="0"/>
          <w:numId w:val="0"/>
        </w:numPr>
        <w:rPr>
          <w:rFonts w:hint="default"/>
          <w:lang w:val="en-US" w:eastAsia="zh-CN"/>
        </w:rPr>
      </w:pPr>
      <w:r>
        <w:drawing>
          <wp:anchor distT="0" distB="0" distL="0" distR="0" simplePos="0" relativeHeight="251659264" behindDoc="0" locked="0" layoutInCell="1" allowOverlap="1">
            <wp:simplePos x="0" y="0"/>
            <wp:positionH relativeFrom="column">
              <wp:posOffset>402590</wp:posOffset>
            </wp:positionH>
            <wp:positionV relativeFrom="paragraph">
              <wp:posOffset>61595</wp:posOffset>
            </wp:positionV>
            <wp:extent cx="8194675" cy="3441065"/>
            <wp:effectExtent l="0" t="0" r="15875" b="6985"/>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21"/>
                    <a:stretch>
                      <a:fillRect/>
                    </a:stretch>
                  </pic:blipFill>
                  <pic:spPr>
                    <a:xfrm>
                      <a:off x="0" y="0"/>
                      <a:ext cx="8194675" cy="3441065"/>
                    </a:xfrm>
                    <a:prstGeom prst="rect">
                      <a:avLst/>
                    </a:prstGeom>
                    <a:noFill/>
                    <a:ln>
                      <a:noFill/>
                    </a:ln>
                  </pic:spPr>
                </pic:pic>
              </a:graphicData>
            </a:graphic>
          </wp:anchor>
        </w:drawing>
      </w:r>
    </w:p>
    <w:p>
      <w:pPr>
        <w:pStyle w:val="166"/>
        <w:autoSpaceDN w:val="0"/>
        <w:adjustRightInd w:val="0"/>
        <w:snapToGrid w:val="0"/>
        <w:spacing w:line="300" w:lineRule="auto"/>
        <w:rPr>
          <w:rFonts w:hint="eastAsia" w:ascii="宋体" w:hAnsi="宋体"/>
          <w:b/>
          <w:bCs/>
          <w:color w:val="000000"/>
          <w:sz w:val="24"/>
          <w:szCs w:val="24"/>
          <w:lang w:eastAsia="zh-CN"/>
        </w:rPr>
      </w:pPr>
    </w:p>
    <w:p>
      <w:pPr>
        <w:pStyle w:val="166"/>
        <w:autoSpaceDN w:val="0"/>
        <w:adjustRightInd w:val="0"/>
        <w:snapToGrid w:val="0"/>
        <w:spacing w:line="300" w:lineRule="auto"/>
        <w:rPr>
          <w:rFonts w:hint="eastAsia" w:ascii="宋体" w:hAnsi="宋体"/>
          <w:b/>
          <w:bCs/>
          <w:color w:val="000000"/>
          <w:sz w:val="24"/>
          <w:szCs w:val="24"/>
          <w:lang w:eastAsia="zh-CN"/>
        </w:rPr>
      </w:pPr>
    </w:p>
    <w:p>
      <w:pPr>
        <w:pStyle w:val="166"/>
        <w:autoSpaceDN w:val="0"/>
        <w:adjustRightInd w:val="0"/>
        <w:snapToGrid w:val="0"/>
        <w:spacing w:line="300" w:lineRule="auto"/>
        <w:rPr>
          <w:rFonts w:hint="eastAsia" w:ascii="宋体" w:hAnsi="宋体"/>
          <w:b/>
          <w:bCs/>
          <w:color w:val="000000"/>
          <w:sz w:val="24"/>
          <w:szCs w:val="24"/>
          <w:lang w:eastAsia="zh-CN"/>
        </w:rPr>
        <w:sectPr>
          <w:pgSz w:w="16838" w:h="11906" w:orient="landscape"/>
          <w:pgMar w:top="1800" w:right="1440" w:bottom="1800" w:left="1440" w:header="851" w:footer="992" w:gutter="0"/>
          <w:cols w:space="720" w:num="1"/>
          <w:docGrid w:type="lines" w:linePitch="312" w:charSpace="0"/>
        </w:sectPr>
      </w:pPr>
    </w:p>
    <w:p>
      <w:pPr>
        <w:numPr>
          <w:ilvl w:val="0"/>
          <w:numId w:val="16"/>
        </w:numPr>
        <w:spacing w:line="440" w:lineRule="exact"/>
        <w:ind w:firstLine="361" w:firstLineChars="150"/>
        <w:jc w:val="center"/>
        <w:rPr>
          <w:rFonts w:hint="eastAsia" w:ascii="宋体" w:hAnsi="宋体"/>
          <w:b/>
          <w:bCs/>
          <w:color w:val="000000"/>
          <w:sz w:val="24"/>
          <w:szCs w:val="24"/>
          <w:lang w:val="en-US" w:eastAsia="zh-CN"/>
        </w:rPr>
      </w:pPr>
      <w:r>
        <w:rPr>
          <w:rFonts w:hint="eastAsia" w:ascii="宋体" w:hAnsi="宋体"/>
          <w:b/>
          <w:bCs/>
          <w:color w:val="000000"/>
          <w:sz w:val="24"/>
          <w:szCs w:val="24"/>
        </w:rPr>
        <w:t>桥头镇</w:t>
      </w:r>
      <w:r>
        <w:rPr>
          <w:rFonts w:hint="eastAsia" w:ascii="宋体" w:hAnsi="宋体"/>
          <w:b/>
          <w:bCs/>
          <w:color w:val="000000"/>
          <w:sz w:val="24"/>
          <w:szCs w:val="24"/>
          <w:lang w:val="en-US" w:eastAsia="zh-CN"/>
        </w:rPr>
        <w:t>洒水雾炮车保洁范围路线图</w:t>
      </w:r>
    </w:p>
    <w:tbl>
      <w:tblPr>
        <w:tblStyle w:val="44"/>
        <w:tblpPr w:leftFromText="180" w:rightFromText="180" w:vertAnchor="text" w:horzAnchor="margin" w:tblpXSpec="center" w:tblpY="179"/>
        <w:tblOverlap w:val="never"/>
        <w:tblW w:w="9388" w:type="dxa"/>
        <w:tblInd w:w="-423" w:type="dxa"/>
        <w:tblLayout w:type="fixed"/>
        <w:tblCellMar>
          <w:top w:w="0" w:type="dxa"/>
          <w:left w:w="0" w:type="dxa"/>
          <w:bottom w:w="0" w:type="dxa"/>
          <w:right w:w="0" w:type="dxa"/>
        </w:tblCellMar>
      </w:tblPr>
      <w:tblGrid>
        <w:gridCol w:w="1319"/>
        <w:gridCol w:w="2100"/>
        <w:gridCol w:w="1981"/>
        <w:gridCol w:w="3988"/>
      </w:tblGrid>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序号</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区域</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道路名称</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起止点</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1</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吴山南路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开发大道——纵一路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2</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日旺工业区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纵一路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吴山南路——横一路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3</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日旺工业区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横一路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纵一路——日旺北路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4</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日旺工业区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日旺北路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rPr>
            </w:pPr>
            <w:r>
              <w:rPr>
                <w:rFonts w:hint="eastAsia"/>
                <w:color w:val="auto"/>
                <w:kern w:val="0"/>
              </w:rPr>
              <w:t>横一路——新周塘路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5</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毛三斢村</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新周塘路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日旺北路——余家江南路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6</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毛三斢村</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新周塘路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余家江南路——日往北路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7</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日旺工业区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日旺北路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新周塘路——吴山北路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8</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日旺北路——桥三路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9</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桥三路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吴山北路——新周塘路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10</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新周塘路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桥三路——开发大道</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11</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桥头镇西工业区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开发大道</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新周塘路——吴山北路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12</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开发大道——桥三路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13</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桥三路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吴山北路——吴山南路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14</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桥头镇建成区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吴山南路</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桥三路——开发大道</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15</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桥头镇西工业区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开发大道</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吴山南路——吴山北路</w:t>
            </w:r>
          </w:p>
        </w:tc>
      </w:tr>
      <w:tr>
        <w:tblPrEx>
          <w:tblCellMar>
            <w:top w:w="0" w:type="dxa"/>
            <w:left w:w="0" w:type="dxa"/>
            <w:bottom w:w="0" w:type="dxa"/>
            <w:right w:w="0" w:type="dxa"/>
          </w:tblCellMar>
        </w:tblPrEx>
        <w:trPr>
          <w:trHeight w:val="408" w:hRule="atLeast"/>
        </w:trPr>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16</w:t>
            </w:r>
          </w:p>
        </w:tc>
        <w:tc>
          <w:tcPr>
            <w:tcW w:w="21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桥头镇西工业区</w:t>
            </w:r>
          </w:p>
        </w:tc>
        <w:tc>
          <w:tcPr>
            <w:tcW w:w="19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开发大道</w:t>
            </w:r>
          </w:p>
        </w:tc>
        <w:tc>
          <w:tcPr>
            <w:tcW w:w="3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color w:val="auto"/>
                <w:kern w:val="0"/>
              </w:rPr>
            </w:pPr>
            <w:r>
              <w:rPr>
                <w:rFonts w:hint="eastAsia"/>
                <w:color w:val="auto"/>
                <w:kern w:val="0"/>
              </w:rPr>
              <w:t>吴山北路——吴山南路</w:t>
            </w:r>
          </w:p>
        </w:tc>
      </w:tr>
    </w:tbl>
    <w:p>
      <w:pPr>
        <w:spacing w:line="360" w:lineRule="auto"/>
        <w:jc w:val="both"/>
        <w:rPr>
          <w:rFonts w:hint="eastAsia" w:ascii="宋体" w:hAnsi="宋体"/>
          <w:b/>
          <w:bCs/>
          <w:color w:val="000000"/>
          <w:sz w:val="24"/>
          <w:szCs w:val="24"/>
          <w:lang w:eastAsia="zh-CN"/>
        </w:rPr>
      </w:pPr>
    </w:p>
    <w:p>
      <w:pPr>
        <w:spacing w:line="36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四</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桥头镇建成区道路清扫车作业路线</w:t>
      </w:r>
    </w:p>
    <w:tbl>
      <w:tblPr>
        <w:tblStyle w:val="45"/>
        <w:tblW w:w="9314"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7"/>
        <w:gridCol w:w="1861"/>
        <w:gridCol w:w="4133"/>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b/>
                <w:sz w:val="24"/>
              </w:rPr>
            </w:pPr>
            <w:r>
              <w:rPr>
                <w:rFonts w:hint="eastAsia"/>
                <w:b/>
                <w:sz w:val="24"/>
              </w:rPr>
              <w:t>序号</w:t>
            </w:r>
          </w:p>
        </w:tc>
        <w:tc>
          <w:tcPr>
            <w:tcW w:w="1861" w:type="dxa"/>
            <w:noWrap w:val="0"/>
            <w:vAlign w:val="center"/>
          </w:tcPr>
          <w:p>
            <w:pPr>
              <w:jc w:val="center"/>
              <w:rPr>
                <w:b/>
                <w:sz w:val="24"/>
              </w:rPr>
            </w:pPr>
            <w:r>
              <w:rPr>
                <w:rFonts w:hint="eastAsia"/>
                <w:b/>
                <w:sz w:val="24"/>
              </w:rPr>
              <w:t>区域</w:t>
            </w:r>
          </w:p>
        </w:tc>
        <w:tc>
          <w:tcPr>
            <w:tcW w:w="4133" w:type="dxa"/>
            <w:noWrap w:val="0"/>
            <w:vAlign w:val="center"/>
          </w:tcPr>
          <w:p>
            <w:pPr>
              <w:jc w:val="center"/>
              <w:rPr>
                <w:b/>
                <w:sz w:val="24"/>
              </w:rPr>
            </w:pPr>
            <w:r>
              <w:rPr>
                <w:rFonts w:hint="eastAsia"/>
                <w:b/>
                <w:sz w:val="24"/>
              </w:rPr>
              <w:t>道路名称起止点</w:t>
            </w:r>
          </w:p>
        </w:tc>
        <w:tc>
          <w:tcPr>
            <w:tcW w:w="2053" w:type="dxa"/>
            <w:noWrap w:val="0"/>
            <w:vAlign w:val="center"/>
          </w:tcPr>
          <w:p>
            <w:pPr>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1</w:t>
            </w:r>
          </w:p>
        </w:tc>
        <w:tc>
          <w:tcPr>
            <w:tcW w:w="1861" w:type="dxa"/>
            <w:noWrap w:val="0"/>
            <w:vAlign w:val="center"/>
          </w:tcPr>
          <w:p>
            <w:pPr>
              <w:jc w:val="center"/>
              <w:rPr>
                <w:sz w:val="24"/>
              </w:rPr>
            </w:pPr>
            <w:r>
              <w:rPr>
                <w:rFonts w:hint="eastAsia"/>
                <w:sz w:val="24"/>
              </w:rPr>
              <w:t>吴山南路</w:t>
            </w:r>
          </w:p>
        </w:tc>
        <w:tc>
          <w:tcPr>
            <w:tcW w:w="4133" w:type="dxa"/>
            <w:noWrap w:val="0"/>
            <w:vAlign w:val="center"/>
          </w:tcPr>
          <w:p>
            <w:pPr>
              <w:jc w:val="center"/>
              <w:rPr>
                <w:sz w:val="24"/>
              </w:rPr>
            </w:pPr>
            <w:r>
              <w:rPr>
                <w:rFonts w:hint="eastAsia"/>
                <w:sz w:val="24"/>
              </w:rPr>
              <w:t>开发大道 至 塑料市场南门</w:t>
            </w:r>
          </w:p>
        </w:tc>
        <w:tc>
          <w:tcPr>
            <w:tcW w:w="2053" w:type="dxa"/>
            <w:noWrap w:val="0"/>
            <w:vAlign w:val="center"/>
          </w:tcPr>
          <w:p>
            <w:pPr>
              <w:jc w:val="center"/>
              <w:rPr>
                <w:sz w:val="24"/>
              </w:rPr>
            </w:pPr>
          </w:p>
        </w:tc>
      </w:tr>
      <w:tr>
        <w:tblPrEx>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2</w:t>
            </w:r>
          </w:p>
        </w:tc>
        <w:tc>
          <w:tcPr>
            <w:tcW w:w="1861" w:type="dxa"/>
            <w:noWrap w:val="0"/>
            <w:vAlign w:val="center"/>
          </w:tcPr>
          <w:p>
            <w:pPr>
              <w:jc w:val="center"/>
              <w:rPr>
                <w:sz w:val="24"/>
              </w:rPr>
            </w:pPr>
            <w:r>
              <w:rPr>
                <w:rFonts w:hint="eastAsia"/>
                <w:sz w:val="24"/>
              </w:rPr>
              <w:t>吴山北路</w:t>
            </w:r>
          </w:p>
        </w:tc>
        <w:tc>
          <w:tcPr>
            <w:tcW w:w="4133" w:type="dxa"/>
            <w:noWrap w:val="0"/>
            <w:vAlign w:val="center"/>
          </w:tcPr>
          <w:p>
            <w:pPr>
              <w:jc w:val="center"/>
              <w:rPr>
                <w:sz w:val="24"/>
              </w:rPr>
            </w:pPr>
            <w:r>
              <w:rPr>
                <w:rFonts w:hint="eastAsia"/>
                <w:sz w:val="24"/>
              </w:rPr>
              <w:t>开发大道 至 日旺北路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3</w:t>
            </w:r>
          </w:p>
        </w:tc>
        <w:tc>
          <w:tcPr>
            <w:tcW w:w="1861" w:type="dxa"/>
            <w:noWrap w:val="0"/>
            <w:vAlign w:val="center"/>
          </w:tcPr>
          <w:p>
            <w:pPr>
              <w:jc w:val="center"/>
              <w:rPr>
                <w:sz w:val="24"/>
              </w:rPr>
            </w:pPr>
            <w:r>
              <w:rPr>
                <w:rFonts w:hint="eastAsia"/>
                <w:sz w:val="24"/>
              </w:rPr>
              <w:t>新周塘路</w:t>
            </w:r>
          </w:p>
        </w:tc>
        <w:tc>
          <w:tcPr>
            <w:tcW w:w="4133" w:type="dxa"/>
            <w:noWrap w:val="0"/>
            <w:vAlign w:val="center"/>
          </w:tcPr>
          <w:p>
            <w:pPr>
              <w:jc w:val="center"/>
              <w:rPr>
                <w:sz w:val="24"/>
              </w:rPr>
            </w:pPr>
            <w:r>
              <w:rPr>
                <w:rFonts w:hint="eastAsia"/>
                <w:sz w:val="24"/>
              </w:rPr>
              <w:t>逍林连接 至 日旺北路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4</w:t>
            </w:r>
          </w:p>
        </w:tc>
        <w:tc>
          <w:tcPr>
            <w:tcW w:w="1861" w:type="dxa"/>
            <w:noWrap w:val="0"/>
            <w:vAlign w:val="center"/>
          </w:tcPr>
          <w:p>
            <w:pPr>
              <w:jc w:val="center"/>
              <w:rPr>
                <w:sz w:val="24"/>
              </w:rPr>
            </w:pPr>
            <w:r>
              <w:rPr>
                <w:rFonts w:hint="eastAsia"/>
                <w:sz w:val="24"/>
              </w:rPr>
              <w:t>开发大道</w:t>
            </w:r>
          </w:p>
        </w:tc>
        <w:tc>
          <w:tcPr>
            <w:tcW w:w="4133" w:type="dxa"/>
            <w:noWrap w:val="0"/>
            <w:vAlign w:val="center"/>
          </w:tcPr>
          <w:p>
            <w:pPr>
              <w:jc w:val="center"/>
              <w:rPr>
                <w:sz w:val="24"/>
              </w:rPr>
            </w:pPr>
            <w:r>
              <w:rPr>
                <w:rFonts w:hint="eastAsia"/>
                <w:sz w:val="24"/>
              </w:rPr>
              <w:t>老国道 至 新周塘路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5</w:t>
            </w:r>
          </w:p>
        </w:tc>
        <w:tc>
          <w:tcPr>
            <w:tcW w:w="1861" w:type="dxa"/>
            <w:noWrap w:val="0"/>
            <w:vAlign w:val="center"/>
          </w:tcPr>
          <w:p>
            <w:pPr>
              <w:jc w:val="center"/>
              <w:rPr>
                <w:sz w:val="24"/>
              </w:rPr>
            </w:pPr>
            <w:r>
              <w:rPr>
                <w:rFonts w:hint="eastAsia"/>
                <w:sz w:val="24"/>
              </w:rPr>
              <w:t>桥三路</w:t>
            </w:r>
          </w:p>
        </w:tc>
        <w:tc>
          <w:tcPr>
            <w:tcW w:w="4133" w:type="dxa"/>
            <w:noWrap w:val="0"/>
            <w:vAlign w:val="center"/>
          </w:tcPr>
          <w:p>
            <w:pPr>
              <w:jc w:val="center"/>
              <w:rPr>
                <w:sz w:val="24"/>
              </w:rPr>
            </w:pPr>
            <w:r>
              <w:rPr>
                <w:rFonts w:hint="eastAsia"/>
                <w:sz w:val="24"/>
              </w:rPr>
              <w:t>老国道 至 潭河沿村</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6</w:t>
            </w:r>
          </w:p>
        </w:tc>
        <w:tc>
          <w:tcPr>
            <w:tcW w:w="1861" w:type="dxa"/>
            <w:noWrap w:val="0"/>
            <w:vAlign w:val="center"/>
          </w:tcPr>
          <w:p>
            <w:pPr>
              <w:jc w:val="center"/>
              <w:rPr>
                <w:sz w:val="24"/>
              </w:rPr>
            </w:pPr>
            <w:r>
              <w:rPr>
                <w:rFonts w:hint="eastAsia"/>
                <w:sz w:val="24"/>
              </w:rPr>
              <w:t>吴山西路</w:t>
            </w:r>
          </w:p>
        </w:tc>
        <w:tc>
          <w:tcPr>
            <w:tcW w:w="4133" w:type="dxa"/>
            <w:noWrap w:val="0"/>
            <w:vAlign w:val="center"/>
          </w:tcPr>
          <w:p>
            <w:pPr>
              <w:jc w:val="center"/>
              <w:rPr>
                <w:sz w:val="24"/>
              </w:rPr>
            </w:pPr>
            <w:r>
              <w:rPr>
                <w:rFonts w:hint="eastAsia"/>
                <w:sz w:val="24"/>
              </w:rPr>
              <w:t>老国道 至 吴山北路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7</w:t>
            </w:r>
          </w:p>
        </w:tc>
        <w:tc>
          <w:tcPr>
            <w:tcW w:w="1861" w:type="dxa"/>
            <w:noWrap w:val="0"/>
            <w:vAlign w:val="center"/>
          </w:tcPr>
          <w:p>
            <w:pPr>
              <w:jc w:val="center"/>
              <w:rPr>
                <w:sz w:val="24"/>
              </w:rPr>
            </w:pPr>
            <w:r>
              <w:rPr>
                <w:rFonts w:hint="eastAsia"/>
                <w:sz w:val="24"/>
              </w:rPr>
              <w:t>陈宅路</w:t>
            </w:r>
          </w:p>
        </w:tc>
        <w:tc>
          <w:tcPr>
            <w:tcW w:w="4133" w:type="dxa"/>
            <w:noWrap w:val="0"/>
            <w:vAlign w:val="center"/>
          </w:tcPr>
          <w:p>
            <w:pPr>
              <w:jc w:val="center"/>
              <w:rPr>
                <w:sz w:val="24"/>
              </w:rPr>
            </w:pPr>
            <w:r>
              <w:rPr>
                <w:rFonts w:hint="eastAsia"/>
                <w:sz w:val="24"/>
              </w:rPr>
              <w:t>老国道 至 新周塘路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8</w:t>
            </w:r>
          </w:p>
        </w:tc>
        <w:tc>
          <w:tcPr>
            <w:tcW w:w="1861" w:type="dxa"/>
            <w:noWrap w:val="0"/>
            <w:vAlign w:val="center"/>
          </w:tcPr>
          <w:p>
            <w:pPr>
              <w:jc w:val="center"/>
              <w:rPr>
                <w:sz w:val="24"/>
              </w:rPr>
            </w:pPr>
            <w:r>
              <w:rPr>
                <w:rFonts w:hint="eastAsia"/>
                <w:sz w:val="24"/>
              </w:rPr>
              <w:t>东工业区</w:t>
            </w:r>
          </w:p>
        </w:tc>
        <w:tc>
          <w:tcPr>
            <w:tcW w:w="4133" w:type="dxa"/>
            <w:noWrap w:val="0"/>
            <w:vAlign w:val="center"/>
          </w:tcPr>
          <w:p>
            <w:pPr>
              <w:jc w:val="center"/>
              <w:rPr>
                <w:sz w:val="24"/>
              </w:rPr>
            </w:pPr>
            <w:r>
              <w:rPr>
                <w:rFonts w:hint="eastAsia"/>
                <w:sz w:val="24"/>
              </w:rPr>
              <w:t>纵一路 至 横一路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9</w:t>
            </w:r>
          </w:p>
        </w:tc>
        <w:tc>
          <w:tcPr>
            <w:tcW w:w="1861" w:type="dxa"/>
            <w:noWrap w:val="0"/>
            <w:vAlign w:val="center"/>
          </w:tcPr>
          <w:p>
            <w:pPr>
              <w:jc w:val="center"/>
              <w:rPr>
                <w:sz w:val="24"/>
              </w:rPr>
            </w:pPr>
            <w:r>
              <w:rPr>
                <w:rFonts w:hint="eastAsia"/>
                <w:sz w:val="24"/>
              </w:rPr>
              <w:t>东工业区</w:t>
            </w:r>
          </w:p>
        </w:tc>
        <w:tc>
          <w:tcPr>
            <w:tcW w:w="4133" w:type="dxa"/>
            <w:noWrap w:val="0"/>
            <w:vAlign w:val="center"/>
          </w:tcPr>
          <w:p>
            <w:pPr>
              <w:jc w:val="center"/>
              <w:rPr>
                <w:sz w:val="24"/>
              </w:rPr>
            </w:pPr>
            <w:r>
              <w:rPr>
                <w:rFonts w:hint="eastAsia"/>
                <w:sz w:val="24"/>
              </w:rPr>
              <w:t>纵一路 至 日旺北路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10</w:t>
            </w:r>
          </w:p>
        </w:tc>
        <w:tc>
          <w:tcPr>
            <w:tcW w:w="1861" w:type="dxa"/>
            <w:noWrap w:val="0"/>
            <w:vAlign w:val="center"/>
          </w:tcPr>
          <w:p>
            <w:pPr>
              <w:jc w:val="center"/>
              <w:rPr>
                <w:rFonts w:hint="eastAsia"/>
                <w:sz w:val="24"/>
              </w:rPr>
            </w:pPr>
            <w:r>
              <w:rPr>
                <w:rFonts w:hint="eastAsia"/>
                <w:sz w:val="24"/>
              </w:rPr>
              <w:t>镇前路</w:t>
            </w:r>
          </w:p>
        </w:tc>
        <w:tc>
          <w:tcPr>
            <w:tcW w:w="4133" w:type="dxa"/>
            <w:noWrap w:val="0"/>
            <w:vAlign w:val="center"/>
          </w:tcPr>
          <w:p>
            <w:pPr>
              <w:jc w:val="center"/>
              <w:rPr>
                <w:sz w:val="24"/>
              </w:rPr>
            </w:pPr>
            <w:r>
              <w:rPr>
                <w:rFonts w:hint="eastAsia"/>
                <w:sz w:val="24"/>
              </w:rPr>
              <w:t>老国道 至 吴山南路</w:t>
            </w:r>
          </w:p>
        </w:tc>
        <w:tc>
          <w:tcPr>
            <w:tcW w:w="2053"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267" w:type="dxa"/>
            <w:noWrap w:val="0"/>
            <w:vAlign w:val="center"/>
          </w:tcPr>
          <w:p>
            <w:pPr>
              <w:jc w:val="center"/>
              <w:rPr>
                <w:sz w:val="24"/>
              </w:rPr>
            </w:pPr>
            <w:r>
              <w:rPr>
                <w:rFonts w:hint="eastAsia"/>
                <w:sz w:val="24"/>
              </w:rPr>
              <w:t>11</w:t>
            </w:r>
          </w:p>
        </w:tc>
        <w:tc>
          <w:tcPr>
            <w:tcW w:w="1861" w:type="dxa"/>
            <w:noWrap w:val="0"/>
            <w:vAlign w:val="center"/>
          </w:tcPr>
          <w:p>
            <w:pPr>
              <w:jc w:val="center"/>
              <w:rPr>
                <w:sz w:val="24"/>
              </w:rPr>
            </w:pPr>
            <w:r>
              <w:rPr>
                <w:rFonts w:hint="eastAsia"/>
                <w:sz w:val="24"/>
              </w:rPr>
              <w:t>横筋线</w:t>
            </w:r>
          </w:p>
        </w:tc>
        <w:tc>
          <w:tcPr>
            <w:tcW w:w="4133" w:type="dxa"/>
            <w:noWrap w:val="0"/>
            <w:vAlign w:val="center"/>
          </w:tcPr>
          <w:p>
            <w:pPr>
              <w:jc w:val="center"/>
              <w:rPr>
                <w:sz w:val="24"/>
              </w:rPr>
            </w:pPr>
            <w:r>
              <w:rPr>
                <w:rFonts w:hint="eastAsia"/>
                <w:sz w:val="24"/>
              </w:rPr>
              <w:t>樟树山林队 至 孙其山林队</w:t>
            </w:r>
          </w:p>
        </w:tc>
        <w:tc>
          <w:tcPr>
            <w:tcW w:w="2053" w:type="dxa"/>
            <w:noWrap w:val="0"/>
            <w:vAlign w:val="center"/>
          </w:tcPr>
          <w:p>
            <w:pPr>
              <w:jc w:val="center"/>
              <w:rPr>
                <w:sz w:val="24"/>
              </w:rPr>
            </w:pPr>
          </w:p>
        </w:tc>
      </w:tr>
    </w:tbl>
    <w:p>
      <w:pPr>
        <w:spacing w:line="360" w:lineRule="auto"/>
        <w:rPr>
          <w:rFonts w:ascii="宋体" w:hAnsi="宋体"/>
          <w:b/>
          <w:bCs/>
          <w:color w:val="000000"/>
          <w:sz w:val="24"/>
          <w:szCs w:val="24"/>
        </w:rPr>
      </w:pPr>
      <w:r>
        <w:rPr>
          <w:rFonts w:hint="eastAsia" w:ascii="宋体" w:hAnsi="宋体"/>
          <w:b/>
          <w:bCs/>
          <w:color w:val="000000"/>
          <w:sz w:val="24"/>
          <w:szCs w:val="24"/>
        </w:rPr>
        <w:t>四、道路、绿化带等保洁管理职责和要求：</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一）以智慧环卫实现对保洁人员信息管理、健康管理，路面保洁、环卫作业数字化的监管，可通过无人机等巡查设备及流动检查对镇级环卫保洁情况进行督查与考核，实现对桥头镇环卫清扫保洁作业情况的监管，通过安装环卫车辆专用-体机设备与车载视频监控设备，对车辆实时位置、作业状态、作业轨迹、作业里程、违规情况、作业质量、作业等信息进行综合监控。</w:t>
      </w:r>
    </w:p>
    <w:p>
      <w:pPr>
        <w:pStyle w:val="166"/>
        <w:autoSpaceDN w:val="0"/>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二）道路保洁</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1、道路每天巡回保洁8小时</w:t>
      </w:r>
      <w:r>
        <w:rPr>
          <w:rFonts w:hint="eastAsia" w:ascii="宋体" w:hAnsi="宋体" w:cs="宋体"/>
          <w:bCs/>
          <w:color w:val="000000"/>
          <w:sz w:val="24"/>
          <w:szCs w:val="24"/>
        </w:rPr>
        <w:t>、12小时巡回保洁时间：6：00—</w:t>
      </w:r>
      <w:r>
        <w:rPr>
          <w:rFonts w:hint="eastAsia" w:ascii="宋体" w:hAnsi="宋体" w:cs="宋体"/>
          <w:bCs/>
          <w:color w:val="000000"/>
          <w:sz w:val="24"/>
          <w:szCs w:val="24"/>
          <w:lang w:val="en-US" w:eastAsia="zh-CN"/>
        </w:rPr>
        <w:t>18</w:t>
      </w:r>
      <w:r>
        <w:rPr>
          <w:rFonts w:hint="eastAsia" w:ascii="宋体" w:hAnsi="宋体" w:cs="宋体"/>
          <w:bCs/>
          <w:color w:val="000000"/>
          <w:sz w:val="24"/>
          <w:szCs w:val="24"/>
        </w:rPr>
        <w:t>：00，</w:t>
      </w:r>
      <w:r>
        <w:rPr>
          <w:rFonts w:hint="eastAsia" w:ascii="宋体" w:hAnsi="宋体"/>
          <w:color w:val="000000"/>
          <w:sz w:val="24"/>
          <w:szCs w:val="24"/>
          <w:lang w:eastAsia="zh-CN"/>
        </w:rPr>
        <w:t>中标方</w:t>
      </w:r>
      <w:r>
        <w:rPr>
          <w:rFonts w:hint="eastAsia" w:ascii="宋体" w:hAnsi="宋体"/>
          <w:color w:val="000000"/>
          <w:sz w:val="24"/>
          <w:szCs w:val="24"/>
        </w:rPr>
        <w:t>应确保人员、工具到位，保洁人员作业时应着制式荧光保洁服、头戴安全帽。</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2、道路清扫每天清扫2次，早上、中午各1次，做到路面干净整洁；洒水车根据季节及气候情况调整洒水次数及时间：5月--10月每天3次，11月--次年4月每天2次，除雨雪天或气温低于2度时等不适合洒水的天气外。</w:t>
      </w:r>
    </w:p>
    <w:p>
      <w:pPr>
        <w:pStyle w:val="166"/>
        <w:autoSpaceDN w:val="0"/>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、保洁车辆应保持外观整洁，防止跑、冒、滴、漏、溢等现象；随时接受招标方的监督和管理，镇级政府有其他突击性工作时，要服从管理单位的突击性安排。</w:t>
      </w:r>
    </w:p>
    <w:p>
      <w:pPr>
        <w:spacing w:line="360" w:lineRule="auto"/>
        <w:ind w:firstLine="480"/>
        <w:rPr>
          <w:rFonts w:ascii="宋体" w:hAnsi="宋体" w:cs="宋体"/>
          <w:bCs/>
          <w:color w:val="000000"/>
          <w:sz w:val="24"/>
          <w:szCs w:val="24"/>
        </w:rPr>
      </w:pPr>
      <w:r>
        <w:rPr>
          <w:rFonts w:hint="eastAsia" w:ascii="宋体" w:hAnsi="宋体" w:cs="宋体"/>
          <w:bCs/>
          <w:color w:val="000000"/>
          <w:sz w:val="24"/>
          <w:szCs w:val="24"/>
        </w:rPr>
        <w:t>三）绿化带保洁要求</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1、绿化带内无生活及建筑垃圾、无杂草、无散落树枝和影响道路整洁美观的其他物品堆放等。</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2、严禁在绿化带放置垃圾桶、垃圾袋。</w:t>
      </w:r>
    </w:p>
    <w:p>
      <w:pPr>
        <w:pStyle w:val="166"/>
        <w:autoSpaceDN w:val="0"/>
        <w:adjustRightInd w:val="0"/>
        <w:snapToGrid w:val="0"/>
        <w:spacing w:line="360" w:lineRule="auto"/>
        <w:ind w:firstLine="561"/>
        <w:rPr>
          <w:rFonts w:ascii="宋体" w:hAnsi="宋体"/>
          <w:color w:val="000000"/>
          <w:sz w:val="24"/>
          <w:szCs w:val="24"/>
        </w:rPr>
      </w:pPr>
      <w:r>
        <w:rPr>
          <w:rFonts w:hint="eastAsia" w:ascii="宋体" w:hAnsi="宋体"/>
          <w:color w:val="000000"/>
          <w:sz w:val="24"/>
          <w:szCs w:val="24"/>
        </w:rPr>
        <w:t>3、保洁时间同道路保洁。</w:t>
      </w:r>
    </w:p>
    <w:p>
      <w:pPr>
        <w:pStyle w:val="166"/>
        <w:autoSpaceDN w:val="0"/>
        <w:adjustRightInd w:val="0"/>
        <w:snapToGrid w:val="0"/>
        <w:spacing w:line="360" w:lineRule="auto"/>
        <w:rPr>
          <w:rFonts w:ascii="宋体" w:hAnsi="宋体"/>
          <w:b/>
          <w:bCs/>
          <w:color w:val="000000"/>
          <w:sz w:val="24"/>
          <w:szCs w:val="24"/>
        </w:rPr>
      </w:pPr>
      <w:r>
        <w:rPr>
          <w:rFonts w:hint="eastAsia" w:ascii="宋体" w:hAnsi="宋体"/>
          <w:b/>
          <w:bCs/>
          <w:color w:val="000000"/>
          <w:sz w:val="24"/>
          <w:szCs w:val="24"/>
        </w:rPr>
        <w:t>五、道路、及其他保洁管理的设备、人员要求：</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1、中标方必须组织一支有实力，且能经得起市、镇级两级明查暗访考核的道路保洁队伍。主要管理人员要亲自抓、叫得应，并具有保洁操作养护管理能力水平，经常组织环卫工人业务知识培训，安全生产教育和指导。</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2、招标方下达的市级迎检任务作为</w:t>
      </w:r>
      <w:r>
        <w:rPr>
          <w:rFonts w:hint="eastAsia" w:ascii="宋体" w:hAnsi="宋体"/>
          <w:color w:val="000000"/>
          <w:sz w:val="24"/>
          <w:szCs w:val="24"/>
          <w:lang w:eastAsia="zh-CN"/>
        </w:rPr>
        <w:t>中标方</w:t>
      </w:r>
      <w:r>
        <w:rPr>
          <w:rFonts w:hint="eastAsia" w:ascii="宋体" w:hAnsi="宋体"/>
          <w:color w:val="000000"/>
          <w:sz w:val="24"/>
          <w:szCs w:val="24"/>
        </w:rPr>
        <w:t>中心工作，</w:t>
      </w:r>
      <w:r>
        <w:rPr>
          <w:rFonts w:hint="eastAsia" w:ascii="宋体" w:hAnsi="宋体"/>
          <w:color w:val="000000"/>
          <w:sz w:val="24"/>
          <w:szCs w:val="24"/>
          <w:lang w:eastAsia="zh-CN"/>
        </w:rPr>
        <w:t>中标方</w:t>
      </w:r>
      <w:r>
        <w:rPr>
          <w:rFonts w:hint="eastAsia" w:ascii="宋体" w:hAnsi="宋体"/>
          <w:color w:val="000000"/>
          <w:sz w:val="24"/>
          <w:szCs w:val="24"/>
        </w:rPr>
        <w:t>应无条件积极配合完成。</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中标方</w:t>
      </w:r>
      <w:r>
        <w:rPr>
          <w:rFonts w:hint="eastAsia" w:ascii="宋体" w:hAnsi="宋体"/>
          <w:color w:val="000000"/>
          <w:sz w:val="24"/>
          <w:szCs w:val="24"/>
        </w:rPr>
        <w:t>要认真细致、经常性地对照招投标文件的承诺内容自觉操作执行，发现有程序操作不规范，环卫工人不到位，多次检查得不到大多数老百姓满意；镇级相关部门多次提出整改意见都不到位的，终止合同，并没收履约保证金。</w:t>
      </w:r>
    </w:p>
    <w:p>
      <w:pPr>
        <w:pStyle w:val="166"/>
        <w:autoSpaceDN w:val="0"/>
        <w:adjustRightInd w:val="0"/>
        <w:snapToGrid w:val="0"/>
        <w:spacing w:line="360" w:lineRule="auto"/>
        <w:ind w:firstLine="560"/>
        <w:rPr>
          <w:rFonts w:ascii="宋体" w:hAnsi="宋体"/>
          <w:b/>
          <w:bCs/>
          <w:color w:val="000000"/>
          <w:sz w:val="24"/>
          <w:szCs w:val="24"/>
        </w:rPr>
      </w:pPr>
      <w:r>
        <w:rPr>
          <w:rFonts w:hint="eastAsia" w:ascii="宋体" w:hAnsi="宋体"/>
          <w:color w:val="000000"/>
          <w:sz w:val="24"/>
          <w:szCs w:val="24"/>
        </w:rPr>
        <w:t>4、及时配合做好市级以上部门对镇级考核的相关资料。</w:t>
      </w:r>
    </w:p>
    <w:p>
      <w:pPr>
        <w:pStyle w:val="166"/>
        <w:autoSpaceDN w:val="0"/>
        <w:adjustRightInd w:val="0"/>
        <w:snapToGrid w:val="0"/>
        <w:spacing w:line="360" w:lineRule="auto"/>
        <w:ind w:firstLine="241" w:firstLineChars="100"/>
        <w:rPr>
          <w:rFonts w:ascii="宋体" w:hAnsi="宋体"/>
          <w:b/>
          <w:bCs/>
          <w:color w:val="000000"/>
          <w:sz w:val="24"/>
          <w:szCs w:val="24"/>
        </w:rPr>
      </w:pPr>
      <w:r>
        <w:rPr>
          <w:rFonts w:hint="eastAsia" w:ascii="宋体" w:hAnsi="宋体"/>
          <w:b/>
          <w:bCs/>
          <w:color w:val="000000"/>
          <w:sz w:val="24"/>
          <w:szCs w:val="24"/>
        </w:rPr>
        <w:t>六、其他</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一）服务工具和服装等由中标方自行负责 (保洁人力车、扫帚、畚斗、擦布、保洁荧光服、安全帽、防治病虫害药物等)。</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二）中标方要正确对待《劳动合同法》的有关规定，给予劳动者有关保险和业务培训，各配置人员名单在合同续签、保洁进场后一周内上报镇环卫站。</w:t>
      </w:r>
    </w:p>
    <w:p>
      <w:pPr>
        <w:pStyle w:val="166"/>
        <w:autoSpaceDN w:val="0"/>
        <w:adjustRightInd w:val="0"/>
        <w:snapToGrid w:val="0"/>
        <w:spacing w:line="360" w:lineRule="auto"/>
        <w:ind w:firstLine="560"/>
        <w:rPr>
          <w:rFonts w:ascii="宋体" w:hAnsi="宋体"/>
          <w:color w:val="000000"/>
          <w:sz w:val="24"/>
          <w:szCs w:val="24"/>
        </w:rPr>
      </w:pPr>
      <w:r>
        <w:rPr>
          <w:rFonts w:hint="eastAsia" w:ascii="宋体" w:hAnsi="宋体"/>
          <w:color w:val="000000"/>
          <w:sz w:val="24"/>
          <w:szCs w:val="24"/>
        </w:rPr>
        <w:t>三）招标方下达的市级迎检任务作为</w:t>
      </w:r>
      <w:r>
        <w:rPr>
          <w:rFonts w:hint="eastAsia" w:ascii="宋体" w:hAnsi="宋体"/>
          <w:color w:val="000000"/>
          <w:sz w:val="24"/>
          <w:szCs w:val="24"/>
          <w:lang w:eastAsia="zh-CN"/>
        </w:rPr>
        <w:t>中标方</w:t>
      </w:r>
      <w:r>
        <w:rPr>
          <w:rFonts w:hint="eastAsia" w:ascii="宋体" w:hAnsi="宋体"/>
          <w:color w:val="000000"/>
          <w:sz w:val="24"/>
          <w:szCs w:val="24"/>
        </w:rPr>
        <w:t>的中心工作，应无条件积极配合完成。</w:t>
      </w:r>
      <w:r>
        <w:rPr>
          <w:rFonts w:hint="eastAsia" w:ascii="宋体" w:hAnsi="宋体"/>
          <w:color w:val="000000"/>
          <w:sz w:val="24"/>
          <w:szCs w:val="24"/>
          <w:lang w:eastAsia="zh-CN"/>
        </w:rPr>
        <w:t>中标方</w:t>
      </w:r>
      <w:r>
        <w:rPr>
          <w:rFonts w:hint="eastAsia" w:ascii="宋体" w:hAnsi="宋体"/>
          <w:color w:val="000000"/>
          <w:sz w:val="24"/>
          <w:szCs w:val="24"/>
        </w:rPr>
        <w:t>要认真细致、经常性地对照招投标文件，对作出的承诺内容自觉执行。如招标方发现保洁人员少于规定人数5人（含5人）以上，或在保洁过程中群众举报较多，镇级相关部门多次提出整改意见，整改不到位的招标方有权终止合同，并没收履约保证金。</w:t>
      </w: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rPr>
          <w:rFonts w:ascii="宋体" w:hAnsi="宋体"/>
          <w:color w:val="000000"/>
        </w:rPr>
      </w:pPr>
    </w:p>
    <w:p>
      <w:pPr>
        <w:pStyle w:val="166"/>
        <w:autoSpaceDN w:val="0"/>
        <w:adjustRightInd w:val="0"/>
        <w:snapToGrid w:val="0"/>
        <w:spacing w:line="360" w:lineRule="auto"/>
        <w:rPr>
          <w:rFonts w:ascii="宋体" w:hAnsi="宋体"/>
          <w:color w:val="000000"/>
        </w:rPr>
      </w:pPr>
    </w:p>
    <w:p>
      <w:pPr>
        <w:pStyle w:val="166"/>
        <w:autoSpaceDN w:val="0"/>
        <w:adjustRightInd w:val="0"/>
        <w:snapToGrid w:val="0"/>
        <w:spacing w:line="360" w:lineRule="auto"/>
        <w:rPr>
          <w:rFonts w:ascii="宋体" w:hAnsi="宋体"/>
          <w:color w:val="000000"/>
        </w:rPr>
      </w:pPr>
    </w:p>
    <w:p>
      <w:pPr>
        <w:pStyle w:val="166"/>
        <w:autoSpaceDN w:val="0"/>
        <w:adjustRightInd w:val="0"/>
        <w:snapToGrid w:val="0"/>
        <w:spacing w:line="360" w:lineRule="auto"/>
        <w:rPr>
          <w:rFonts w:ascii="宋体" w:hAnsi="宋体"/>
          <w:color w:val="000000"/>
        </w:rPr>
      </w:pPr>
    </w:p>
    <w:p>
      <w:pPr>
        <w:pStyle w:val="166"/>
        <w:autoSpaceDN w:val="0"/>
        <w:adjustRightInd w:val="0"/>
        <w:snapToGrid w:val="0"/>
        <w:spacing w:line="360" w:lineRule="auto"/>
        <w:ind w:firstLine="420" w:firstLineChars="200"/>
        <w:rPr>
          <w:rFonts w:ascii="宋体" w:hAnsi="宋体"/>
          <w:color w:val="000000"/>
        </w:rPr>
      </w:pPr>
    </w:p>
    <w:p>
      <w:pPr>
        <w:pStyle w:val="166"/>
        <w:autoSpaceDN w:val="0"/>
        <w:adjustRightInd w:val="0"/>
        <w:snapToGrid w:val="0"/>
        <w:spacing w:line="360" w:lineRule="auto"/>
        <w:jc w:val="center"/>
        <w:rPr>
          <w:rFonts w:ascii="宋体" w:hAnsi="宋体"/>
          <w:color w:val="000000"/>
        </w:rPr>
      </w:pPr>
      <w:r>
        <w:rPr>
          <w:rFonts w:hint="eastAsia" w:ascii="宋体" w:hAnsi="宋体"/>
          <w:b/>
          <w:bCs/>
          <w:color w:val="000000"/>
          <w:sz w:val="24"/>
          <w:szCs w:val="24"/>
        </w:rPr>
        <w:t>第三节 环卫垃圾智慧收运管理项目招标内容与服务要求</w:t>
      </w:r>
    </w:p>
    <w:p>
      <w:pPr>
        <w:pStyle w:val="166"/>
        <w:numPr>
          <w:ilvl w:val="0"/>
          <w:numId w:val="17"/>
        </w:numPr>
        <w:autoSpaceDN w:val="0"/>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基本概况</w:t>
      </w:r>
    </w:p>
    <w:p>
      <w:pPr>
        <w:pStyle w:val="166"/>
        <w:numPr>
          <w:ilvl w:val="0"/>
          <w:numId w:val="18"/>
        </w:numPr>
        <w:autoSpaceDN w:val="0"/>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以桶换桶服务</w:t>
      </w:r>
    </w:p>
    <w:p>
      <w:pPr>
        <w:spacing w:line="360" w:lineRule="auto"/>
        <w:ind w:firstLine="420"/>
        <w:rPr>
          <w:rFonts w:ascii="宋体" w:hAnsi="宋体" w:cs="宋体"/>
          <w:color w:val="000000"/>
          <w:kern w:val="0"/>
          <w:sz w:val="24"/>
          <w:szCs w:val="24"/>
        </w:rPr>
      </w:pPr>
      <w:r>
        <w:rPr>
          <w:rFonts w:hint="eastAsia" w:ascii="宋体" w:hAnsi="宋体" w:cs="宋体"/>
          <w:color w:val="000000"/>
          <w:sz w:val="24"/>
          <w:szCs w:val="24"/>
        </w:rPr>
        <w:t>慈溪市桥头镇换桶工作，配置3辆桶换桶车，负责镇级收运清洗358只桶，村级收运镇级清洗2142只桶，其余所需设施由中标方视情况自行配足，确保“以桶换桶”日产日清。</w:t>
      </w:r>
    </w:p>
    <w:p>
      <w:pPr>
        <w:pStyle w:val="166"/>
        <w:numPr>
          <w:ilvl w:val="0"/>
          <w:numId w:val="18"/>
        </w:numPr>
        <w:autoSpaceDN w:val="0"/>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中转站日常运营服务</w:t>
      </w:r>
    </w:p>
    <w:p>
      <w:pPr>
        <w:pStyle w:val="166"/>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负责运营桥头镇1个垃圾中转站，1个清洗场地垃圾桶相关工作，完成桥头镇厨余垃圾、生活垃圾的压缩中转。要求能熟练掌握压缩机的操作，每日完成其它垃圾的压缩，确保中转站安全操作，环境卫生干净、整洁。</w:t>
      </w:r>
    </w:p>
    <w:p>
      <w:pPr>
        <w:pStyle w:val="166"/>
        <w:autoSpaceDN w:val="0"/>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二、人员数量和配备要求（总18人）</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b/>
          <w:bCs/>
          <w:color w:val="000000"/>
          <w:sz w:val="24"/>
          <w:szCs w:val="24"/>
        </w:rPr>
        <w:t>（一）要求配置管理人员1人，压缩、厨余垃圾运输驾驶员3人，建成区以桶换桶驾驶员兼换桶工3人、洗桶工8人（镇级清洗358只桶，村级清洗2142只桶）。</w:t>
      </w:r>
      <w:r>
        <w:rPr>
          <w:rFonts w:hint="eastAsia" w:ascii="宋体" w:hAnsi="宋体" w:cs="宋体"/>
          <w:color w:val="000000"/>
          <w:sz w:val="24"/>
          <w:szCs w:val="24"/>
        </w:rPr>
        <w:t>所有驾驶员须有与车型相适应的准驾驾驶证。所有人员身体健康，服务意识强，敬岗爱业，服从管理。</w:t>
      </w:r>
    </w:p>
    <w:p>
      <w:pPr>
        <w:pStyle w:val="2"/>
        <w:spacing w:line="360" w:lineRule="auto"/>
        <w:ind w:left="420" w:leftChars="200" w:firstLine="0" w:firstLineChars="0"/>
        <w:rPr>
          <w:rFonts w:ascii="宋体" w:hAnsi="宋体" w:eastAsia="宋体" w:cs="宋体"/>
          <w:color w:val="000000"/>
          <w:szCs w:val="24"/>
        </w:rPr>
      </w:pPr>
      <w:r>
        <w:rPr>
          <w:rFonts w:hint="eastAsia" w:ascii="宋体" w:hAnsi="宋体" w:eastAsia="宋体" w:cs="宋体"/>
          <w:b/>
          <w:bCs/>
          <w:color w:val="000000"/>
          <w:szCs w:val="24"/>
        </w:rPr>
        <w:t>★（二）中转站压缩车操作工3人。</w:t>
      </w:r>
    </w:p>
    <w:p>
      <w:pPr>
        <w:spacing w:line="360" w:lineRule="auto"/>
        <w:ind w:left="420" w:leftChars="200"/>
        <w:rPr>
          <w:rFonts w:ascii="宋体" w:hAnsi="宋体" w:cs="宋体"/>
          <w:b/>
          <w:bCs/>
          <w:color w:val="000000"/>
          <w:sz w:val="24"/>
          <w:szCs w:val="24"/>
        </w:rPr>
      </w:pPr>
      <w:r>
        <w:rPr>
          <w:rFonts w:hint="eastAsia" w:ascii="宋体" w:hAnsi="宋体" w:cs="宋体"/>
          <w:b/>
          <w:bCs/>
          <w:color w:val="000000"/>
          <w:sz w:val="24"/>
          <w:szCs w:val="24"/>
        </w:rPr>
        <w:t>★（三）人员费用测算：工资、社保、商业险、福利（体检）、高温、法定节假日加班费、年终考核、服装费、管理费、税金。</w:t>
      </w:r>
    </w:p>
    <w:p>
      <w:pPr>
        <w:spacing w:line="360" w:lineRule="auto"/>
        <w:ind w:firstLine="482" w:firstLineChars="200"/>
        <w:rPr>
          <w:color w:val="000000"/>
          <w:sz w:val="24"/>
          <w:szCs w:val="24"/>
        </w:rPr>
      </w:pPr>
      <w:r>
        <w:rPr>
          <w:rFonts w:hint="eastAsia" w:ascii="宋体" w:hAnsi="宋体" w:cs="宋体"/>
          <w:b/>
          <w:bCs/>
          <w:color w:val="000000"/>
          <w:sz w:val="24"/>
          <w:szCs w:val="24"/>
        </w:rPr>
        <w:t>注：</w:t>
      </w:r>
      <w:r>
        <w:rPr>
          <w:rFonts w:hint="eastAsia" w:ascii="宋体" w:hAnsi="宋体" w:cs="宋体"/>
          <w:color w:val="000000"/>
          <w:sz w:val="24"/>
          <w:szCs w:val="24"/>
        </w:rPr>
        <w:t>年龄要求：7人按要求男性55周岁以下，女性50周岁以下。其中11人年龄可放宽到男性60周岁以下，女性55周岁以下。</w:t>
      </w:r>
    </w:p>
    <w:p>
      <w:pPr>
        <w:pStyle w:val="2"/>
        <w:spacing w:line="360" w:lineRule="auto"/>
        <w:ind w:left="420" w:leftChars="200" w:firstLine="0" w:firstLineChars="0"/>
        <w:rPr>
          <w:rFonts w:ascii="宋体" w:hAnsi="宋体" w:eastAsia="宋体" w:cs="宋体"/>
          <w:b/>
          <w:bCs/>
          <w:color w:val="000000"/>
          <w:szCs w:val="24"/>
        </w:rPr>
      </w:pPr>
      <w:r>
        <w:rPr>
          <w:rFonts w:hint="eastAsia" w:ascii="宋体" w:hAnsi="宋体" w:eastAsia="宋体" w:cs="宋体"/>
          <w:b/>
          <w:bCs/>
          <w:color w:val="000000"/>
          <w:szCs w:val="24"/>
        </w:rPr>
        <w:t>★（四）设备投入要求费用</w:t>
      </w:r>
    </w:p>
    <w:p>
      <w:pPr>
        <w:pStyle w:val="2"/>
        <w:spacing w:line="360" w:lineRule="auto"/>
        <w:ind w:firstLine="482"/>
        <w:rPr>
          <w:rFonts w:ascii="宋体" w:hAnsi="宋体" w:eastAsia="宋体" w:cs="宋体"/>
          <w:color w:val="000000"/>
          <w:szCs w:val="24"/>
        </w:rPr>
      </w:pPr>
      <w:r>
        <w:rPr>
          <w:rFonts w:hint="eastAsia" w:ascii="宋体" w:hAnsi="宋体" w:eastAsia="宋体" w:cs="宋体"/>
          <w:b/>
          <w:bCs/>
          <w:color w:val="000000"/>
          <w:szCs w:val="24"/>
        </w:rPr>
        <w:t>1、招标方承担费用：</w:t>
      </w:r>
      <w:r>
        <w:rPr>
          <w:rFonts w:hint="eastAsia" w:ascii="宋体" w:hAnsi="宋体" w:eastAsia="宋体" w:cs="宋体"/>
          <w:color w:val="000000"/>
          <w:szCs w:val="24"/>
        </w:rPr>
        <w:t>中转站维护费用、清洗水电费用。</w:t>
      </w:r>
    </w:p>
    <w:p>
      <w:pPr>
        <w:pStyle w:val="2"/>
        <w:spacing w:line="360" w:lineRule="auto"/>
        <w:ind w:left="420" w:leftChars="200" w:firstLine="0" w:firstLineChars="0"/>
        <w:rPr>
          <w:rFonts w:ascii="宋体" w:hAnsi="宋体" w:eastAsia="宋体" w:cs="宋体"/>
          <w:b/>
          <w:bCs/>
          <w:color w:val="000000"/>
          <w:szCs w:val="24"/>
        </w:rPr>
      </w:pPr>
      <w:r>
        <w:rPr>
          <w:rFonts w:hint="eastAsia" w:ascii="宋体" w:hAnsi="宋体" w:eastAsia="宋体" w:cs="宋体"/>
          <w:b/>
          <w:bCs/>
          <w:color w:val="000000"/>
          <w:szCs w:val="24"/>
        </w:rPr>
        <w:t>2、招标方提供车辆：压缩车3辆、以桶换桶车1辆。</w:t>
      </w:r>
    </w:p>
    <w:p>
      <w:pPr>
        <w:pStyle w:val="2"/>
        <w:spacing w:line="360" w:lineRule="auto"/>
        <w:ind w:left="420" w:leftChars="200" w:firstLine="241" w:firstLineChars="100"/>
        <w:rPr>
          <w:rFonts w:ascii="宋体" w:hAnsi="宋体" w:eastAsia="宋体" w:cs="宋体"/>
          <w:b/>
          <w:bCs/>
          <w:color w:val="000000"/>
          <w:szCs w:val="24"/>
        </w:rPr>
      </w:pPr>
      <w:r>
        <w:rPr>
          <w:rFonts w:hint="eastAsia" w:ascii="宋体" w:hAnsi="宋体" w:eastAsia="宋体" w:cs="宋体"/>
          <w:b/>
          <w:bCs/>
          <w:color w:val="000000"/>
          <w:szCs w:val="24"/>
        </w:rPr>
        <w:t>★招标方承担以桶换桶车1辆、压缩车3辆的保险费用。</w:t>
      </w:r>
    </w:p>
    <w:p>
      <w:pPr>
        <w:pStyle w:val="2"/>
        <w:spacing w:line="360" w:lineRule="auto"/>
        <w:ind w:firstLine="482"/>
        <w:jc w:val="left"/>
        <w:rPr>
          <w:rFonts w:ascii="宋体" w:hAnsi="宋体" w:eastAsia="宋体" w:cs="宋体"/>
          <w:b/>
          <w:bCs/>
          <w:color w:val="000000"/>
          <w:szCs w:val="24"/>
        </w:rPr>
      </w:pPr>
      <w:r>
        <w:rPr>
          <w:rFonts w:hint="eastAsia" w:ascii="宋体" w:hAnsi="宋体" w:eastAsia="宋体" w:cs="宋体"/>
          <w:b/>
          <w:bCs/>
          <w:color w:val="000000"/>
          <w:szCs w:val="24"/>
        </w:rPr>
        <w:t>3、中标方：</w:t>
      </w:r>
    </w:p>
    <w:p>
      <w:pPr>
        <w:pStyle w:val="2"/>
        <w:spacing w:line="360" w:lineRule="auto"/>
        <w:ind w:firstLine="482"/>
        <w:jc w:val="left"/>
        <w:rPr>
          <w:rFonts w:ascii="宋体" w:hAnsi="宋体" w:eastAsia="宋体" w:cs="宋体"/>
          <w:b/>
          <w:bCs/>
          <w:color w:val="000000"/>
          <w:szCs w:val="24"/>
        </w:rPr>
      </w:pPr>
      <w:r>
        <w:rPr>
          <w:rFonts w:hint="eastAsia" w:ascii="宋体" w:hAnsi="宋体" w:eastAsia="宋体" w:cs="宋体"/>
          <w:b/>
          <w:bCs/>
          <w:color w:val="000000"/>
          <w:szCs w:val="24"/>
        </w:rPr>
        <w:t>（1）垃圾桶清洗设备（4套）；</w:t>
      </w:r>
    </w:p>
    <w:p>
      <w:pPr>
        <w:pStyle w:val="2"/>
        <w:spacing w:line="360" w:lineRule="auto"/>
        <w:ind w:firstLine="482"/>
        <w:jc w:val="left"/>
        <w:rPr>
          <w:rFonts w:ascii="宋体" w:hAnsi="宋体" w:eastAsia="宋体" w:cs="宋体"/>
          <w:b/>
          <w:bCs/>
          <w:color w:val="000000"/>
          <w:spacing w:val="6"/>
          <w:szCs w:val="24"/>
        </w:rPr>
      </w:pPr>
      <w:r>
        <w:rPr>
          <w:rFonts w:hint="eastAsia" w:ascii="宋体" w:hAnsi="宋体" w:eastAsia="宋体" w:cs="宋体"/>
          <w:b/>
          <w:bCs/>
          <w:color w:val="000000"/>
          <w:szCs w:val="24"/>
        </w:rPr>
        <w:t>（2）配置不滴洒厨余车1辆，压缩、厨余车合计4辆，承担4辆</w:t>
      </w:r>
      <w:r>
        <w:rPr>
          <w:rFonts w:hint="eastAsia" w:ascii="宋体" w:hAnsi="宋体" w:eastAsia="宋体" w:cs="宋体"/>
          <w:b/>
          <w:bCs/>
          <w:color w:val="000000"/>
          <w:spacing w:val="6"/>
          <w:szCs w:val="24"/>
        </w:rPr>
        <w:t>维修保养费、油耗费用，1辆保险费用。</w:t>
      </w:r>
    </w:p>
    <w:p>
      <w:pPr>
        <w:pStyle w:val="2"/>
        <w:spacing w:line="360" w:lineRule="auto"/>
        <w:ind w:firstLine="506"/>
        <w:jc w:val="left"/>
        <w:rPr>
          <w:rFonts w:ascii="宋体" w:hAnsi="宋体" w:eastAsia="宋体" w:cs="宋体"/>
          <w:b/>
          <w:bCs/>
          <w:color w:val="000000"/>
          <w:spacing w:val="6"/>
          <w:szCs w:val="24"/>
        </w:rPr>
      </w:pPr>
      <w:r>
        <w:rPr>
          <w:rFonts w:hint="eastAsia" w:ascii="宋体" w:hAnsi="宋体" w:eastAsia="宋体" w:cs="宋体"/>
          <w:b/>
          <w:bCs/>
          <w:color w:val="000000"/>
          <w:spacing w:val="6"/>
          <w:szCs w:val="24"/>
        </w:rPr>
        <w:t>（3）配置以桶换桶清运车2辆，以桶换桶清运车合计3辆，承担3辆维修保养、油耗费用，2辆保险费用。</w:t>
      </w:r>
    </w:p>
    <w:p>
      <w:pPr>
        <w:spacing w:line="500" w:lineRule="atLeast"/>
        <w:ind w:firstLine="506" w:firstLineChars="200"/>
        <w:rPr>
          <w:rFonts w:ascii="宋体" w:hAnsi="宋体" w:cs="宋体"/>
          <w:b/>
          <w:bCs/>
          <w:color w:val="000000"/>
          <w:spacing w:val="6"/>
          <w:sz w:val="24"/>
          <w:szCs w:val="24"/>
        </w:rPr>
      </w:pPr>
      <w:r>
        <w:rPr>
          <w:rFonts w:hint="eastAsia" w:ascii="宋体" w:hAnsi="宋体" w:cs="宋体"/>
          <w:b/>
          <w:bCs/>
          <w:color w:val="000000"/>
          <w:spacing w:val="6"/>
          <w:sz w:val="24"/>
          <w:szCs w:val="24"/>
        </w:rPr>
        <w:t>（</w:t>
      </w:r>
      <w:r>
        <w:rPr>
          <w:rFonts w:hint="eastAsia" w:ascii="宋体" w:hAnsi="宋体" w:cs="宋体"/>
          <w:b/>
          <w:bCs/>
          <w:color w:val="000000"/>
          <w:spacing w:val="6"/>
          <w:sz w:val="24"/>
          <w:szCs w:val="24"/>
          <w:lang w:val="en-US" w:eastAsia="zh-CN"/>
        </w:rPr>
        <w:t>4</w:t>
      </w:r>
      <w:r>
        <w:rPr>
          <w:rFonts w:hint="eastAsia" w:ascii="宋体" w:hAnsi="宋体" w:cs="宋体"/>
          <w:b/>
          <w:bCs/>
          <w:color w:val="000000"/>
          <w:spacing w:val="6"/>
          <w:sz w:val="24"/>
          <w:szCs w:val="24"/>
        </w:rPr>
        <w:t>）智能化软件服务费用，招标方按年支付中标方软件使用服务费用</w:t>
      </w:r>
    </w:p>
    <w:p>
      <w:pPr>
        <w:spacing w:line="500" w:lineRule="atLeast"/>
        <w:ind w:firstLine="756" w:firstLineChars="300"/>
        <w:rPr>
          <w:rFonts w:ascii="宋体" w:hAnsi="宋体" w:cs="宋体"/>
          <w:color w:val="000000"/>
          <w:spacing w:val="6"/>
          <w:sz w:val="24"/>
          <w:szCs w:val="24"/>
        </w:rPr>
      </w:pPr>
      <w:r>
        <w:rPr>
          <w:rFonts w:hint="eastAsia" w:ascii="宋体" w:hAnsi="宋体" w:cs="宋体"/>
          <w:color w:val="000000"/>
          <w:spacing w:val="6"/>
          <w:sz w:val="24"/>
          <w:szCs w:val="24"/>
        </w:rPr>
        <w:t>厨余垃圾、其他垃圾量、工业固废统计分析系统；</w:t>
      </w:r>
    </w:p>
    <w:p>
      <w:pPr>
        <w:pStyle w:val="2"/>
        <w:spacing w:line="360" w:lineRule="auto"/>
        <w:ind w:firstLine="506"/>
        <w:jc w:val="left"/>
        <w:rPr>
          <w:rFonts w:ascii="宋体" w:hAnsi="宋体" w:eastAsia="宋体" w:cs="宋体"/>
          <w:b/>
          <w:bCs/>
          <w:color w:val="000000"/>
          <w:spacing w:val="6"/>
          <w:szCs w:val="24"/>
        </w:rPr>
      </w:pPr>
      <w:r>
        <w:rPr>
          <w:rFonts w:hint="eastAsia" w:ascii="宋体" w:hAnsi="宋体" w:eastAsia="宋体" w:cs="宋体"/>
          <w:b/>
          <w:bCs/>
          <w:color w:val="000000"/>
          <w:spacing w:val="6"/>
          <w:szCs w:val="24"/>
        </w:rPr>
        <w:t>（6）智能化设备投入硬件费用，招标方按折旧支付中标方硬件设备费用</w:t>
      </w:r>
    </w:p>
    <w:p>
      <w:pPr>
        <w:adjustRightInd w:val="0"/>
        <w:snapToGrid w:val="0"/>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1）环卫作业车辆实时视频监控车辆管理（7辆车）；</w:t>
      </w:r>
    </w:p>
    <w:p>
      <w:pPr>
        <w:adjustRightInd w:val="0"/>
        <w:snapToGrid w:val="0"/>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2）智能过磅称重机（3台）；</w:t>
      </w:r>
    </w:p>
    <w:p>
      <w:pPr>
        <w:adjustRightInd w:val="0"/>
        <w:snapToGrid w:val="0"/>
        <w:spacing w:line="360" w:lineRule="auto"/>
        <w:ind w:firstLine="720" w:firstLineChars="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3）收运车辆进站称重监测识别设备1台。</w:t>
      </w:r>
    </w:p>
    <w:p>
      <w:pPr>
        <w:pStyle w:val="2"/>
        <w:spacing w:line="360" w:lineRule="auto"/>
        <w:ind w:firstLine="480"/>
        <w:jc w:val="left"/>
        <w:rPr>
          <w:rFonts w:ascii="宋体" w:hAnsi="宋体" w:eastAsia="宋体" w:cs="宋体"/>
          <w:b/>
          <w:bCs/>
          <w:color w:val="000000"/>
          <w:szCs w:val="24"/>
        </w:rPr>
      </w:pPr>
      <w:r>
        <w:rPr>
          <w:rFonts w:hint="eastAsia" w:ascii="宋体" w:hAnsi="宋体" w:eastAsia="宋体" w:cs="宋体"/>
          <w:color w:val="C00000"/>
          <w:szCs w:val="24"/>
        </w:rPr>
        <w:t xml:space="preserve"> </w:t>
      </w:r>
      <w:r>
        <w:rPr>
          <w:rFonts w:hint="eastAsia" w:ascii="宋体" w:hAnsi="宋体" w:eastAsia="宋体" w:cs="宋体"/>
          <w:b/>
          <w:bCs/>
          <w:color w:val="000000"/>
          <w:spacing w:val="6"/>
          <w:szCs w:val="24"/>
        </w:rPr>
        <w:t>（7）</w:t>
      </w:r>
      <w:r>
        <w:rPr>
          <w:rFonts w:hint="eastAsia" w:ascii="宋体" w:hAnsi="宋体" w:eastAsia="宋体" w:cs="宋体"/>
          <w:b/>
          <w:bCs/>
          <w:color w:val="000000"/>
          <w:szCs w:val="24"/>
        </w:rPr>
        <w:t>垃圾桶和汽车清洁剂，环卫站清污、除臭费，污水外运，保洁工具耗材费用；</w:t>
      </w:r>
    </w:p>
    <w:p>
      <w:pPr>
        <w:spacing w:line="360" w:lineRule="auto"/>
        <w:ind w:firstLine="422"/>
        <w:rPr>
          <w:rFonts w:ascii="宋体" w:hAnsi="宋体" w:cs="宋体"/>
          <w:b/>
          <w:bCs/>
          <w:color w:val="000000"/>
          <w:sz w:val="24"/>
          <w:szCs w:val="24"/>
        </w:rPr>
      </w:pPr>
      <w:r>
        <w:rPr>
          <w:rFonts w:hint="eastAsia" w:ascii="宋体" w:hAnsi="宋体" w:cs="宋体"/>
          <w:b/>
          <w:bCs/>
          <w:color w:val="000000"/>
          <w:sz w:val="24"/>
          <w:szCs w:val="24"/>
        </w:rPr>
        <w:t>三、投标报价：本项目投标报价包括但不限于以下内容：</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（1）车辆设备购置、折旧（招标方提供的车辆除外），购买保险</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招标方提供的车辆除外</w:t>
      </w:r>
      <w:r>
        <w:rPr>
          <w:rFonts w:hint="eastAsia" w:ascii="宋体" w:hAnsi="宋体" w:cs="宋体"/>
          <w:color w:val="000000"/>
          <w:sz w:val="24"/>
          <w:szCs w:val="24"/>
          <w:lang w:eastAsia="zh-CN"/>
        </w:rPr>
        <w:t>）</w:t>
      </w:r>
      <w:r>
        <w:rPr>
          <w:rFonts w:hint="eastAsia" w:ascii="宋体" w:hAnsi="宋体" w:cs="宋体"/>
          <w:color w:val="000000"/>
          <w:sz w:val="24"/>
          <w:szCs w:val="24"/>
        </w:rPr>
        <w:t>、车辆维修保养（含招标方提供的车辆）、</w:t>
      </w:r>
      <w:r>
        <w:rPr>
          <w:rFonts w:hint="eastAsia" w:ascii="宋体" w:hAnsi="宋体" w:cs="宋体"/>
          <w:color w:val="000000"/>
          <w:sz w:val="24"/>
          <w:szCs w:val="24"/>
          <w:lang w:eastAsia="zh-CN"/>
        </w:rPr>
        <w:t>车辆</w:t>
      </w:r>
      <w:r>
        <w:rPr>
          <w:rFonts w:hint="eastAsia" w:ascii="宋体" w:hAnsi="宋体" w:cs="宋体"/>
          <w:color w:val="000000"/>
          <w:sz w:val="24"/>
          <w:szCs w:val="24"/>
          <w:lang w:val="en-US" w:eastAsia="zh-CN"/>
        </w:rPr>
        <w:t>GPS运行费用、</w:t>
      </w:r>
      <w:r>
        <w:rPr>
          <w:rFonts w:hint="eastAsia" w:ascii="宋体" w:hAnsi="宋体" w:cs="宋体"/>
          <w:color w:val="000000"/>
          <w:sz w:val="24"/>
          <w:szCs w:val="24"/>
        </w:rPr>
        <w:t>车辆油耗能耗等；</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（2）服务人员工资、加班费、福利、补贴、社保、</w:t>
      </w:r>
      <w:r>
        <w:rPr>
          <w:rFonts w:hint="eastAsia" w:ascii="宋体" w:hAnsi="宋体" w:cs="宋体"/>
          <w:color w:val="000000"/>
          <w:sz w:val="24"/>
          <w:szCs w:val="24"/>
          <w:lang w:val="en-US" w:eastAsia="zh-CN"/>
        </w:rPr>
        <w:t>商业险、</w:t>
      </w:r>
      <w:r>
        <w:rPr>
          <w:rFonts w:hint="eastAsia" w:ascii="宋体" w:hAnsi="宋体" w:cs="宋体"/>
          <w:color w:val="000000"/>
          <w:sz w:val="24"/>
          <w:szCs w:val="24"/>
        </w:rPr>
        <w:t>体检、培训等；</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（3）智能化软件、硬件设备费用；</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（4）污水池吸污清渣及污水管道疏通维护费、除臭装置运行费、高压清洗泵更替及维修、清洗液及清洗工具（刷子、抹布、清洁球等）、清洗场地基础设施维护等；</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（5）风险费用：包括临时服务增加、服务过程中的不可预见的事件等；</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中标方</w:t>
      </w:r>
      <w:r>
        <w:rPr>
          <w:rFonts w:hint="eastAsia" w:ascii="宋体" w:hAnsi="宋体" w:cs="宋体"/>
          <w:color w:val="000000"/>
          <w:sz w:val="24"/>
          <w:szCs w:val="24"/>
        </w:rPr>
        <w:t>应承担的各项税、费及应获取的利润等。</w:t>
      </w:r>
    </w:p>
    <w:p>
      <w:pPr>
        <w:spacing w:line="360" w:lineRule="auto"/>
        <w:ind w:firstLine="422"/>
        <w:rPr>
          <w:rFonts w:ascii="宋体" w:hAnsi="宋体" w:cs="宋体"/>
          <w:b/>
          <w:bCs/>
          <w:color w:val="000000"/>
          <w:sz w:val="24"/>
          <w:szCs w:val="24"/>
        </w:rPr>
      </w:pPr>
      <w:r>
        <w:rPr>
          <w:rFonts w:hint="eastAsia" w:ascii="宋体" w:hAnsi="宋体" w:cs="宋体"/>
          <w:b/>
          <w:bCs/>
          <w:color w:val="000000"/>
          <w:sz w:val="24"/>
          <w:szCs w:val="24"/>
        </w:rPr>
        <w:t xml:space="preserve">四、服务要求 </w:t>
      </w:r>
    </w:p>
    <w:p>
      <w:pPr>
        <w:spacing w:line="360" w:lineRule="auto"/>
        <w:ind w:firstLine="420"/>
        <w:rPr>
          <w:rFonts w:hint="eastAsia" w:ascii="宋体" w:hAnsi="宋体" w:cs="宋体"/>
          <w:color w:val="000000"/>
          <w:sz w:val="24"/>
          <w:szCs w:val="24"/>
          <w:lang w:eastAsia="zh-CN"/>
        </w:rPr>
      </w:pPr>
      <w:r>
        <w:rPr>
          <w:rFonts w:hint="eastAsia" w:ascii="宋体" w:hAnsi="宋体" w:cs="宋体"/>
          <w:color w:val="000000"/>
          <w:sz w:val="24"/>
          <w:szCs w:val="24"/>
        </w:rPr>
        <w:t>1、在服务期间，由</w:t>
      </w:r>
      <w:r>
        <w:rPr>
          <w:rFonts w:hint="eastAsia" w:ascii="宋体" w:hAnsi="宋体" w:cs="宋体"/>
          <w:color w:val="000000"/>
          <w:sz w:val="24"/>
          <w:szCs w:val="24"/>
          <w:lang w:eastAsia="zh-CN"/>
        </w:rPr>
        <w:t>中标方</w:t>
      </w:r>
      <w:r>
        <w:rPr>
          <w:rFonts w:hint="eastAsia" w:ascii="宋体" w:hAnsi="宋体" w:cs="宋体"/>
          <w:color w:val="000000"/>
          <w:sz w:val="24"/>
          <w:szCs w:val="24"/>
        </w:rPr>
        <w:t>负责购买</w:t>
      </w:r>
      <w:r>
        <w:rPr>
          <w:rFonts w:hint="eastAsia" w:ascii="宋体" w:hAnsi="宋体" w:cs="宋体"/>
          <w:color w:val="000000"/>
          <w:sz w:val="24"/>
          <w:szCs w:val="24"/>
          <w:lang w:val="en-US" w:eastAsia="zh-CN"/>
        </w:rPr>
        <w:t>车辆保险（</w:t>
      </w:r>
      <w:r>
        <w:rPr>
          <w:rFonts w:hint="eastAsia" w:ascii="宋体" w:hAnsi="宋体" w:cs="宋体"/>
          <w:color w:val="000000"/>
          <w:sz w:val="24"/>
          <w:szCs w:val="24"/>
        </w:rPr>
        <w:t>招标方提供的</w:t>
      </w:r>
      <w:r>
        <w:rPr>
          <w:rFonts w:hint="eastAsia" w:ascii="宋体" w:hAnsi="宋体" w:cs="宋体"/>
          <w:color w:val="000000"/>
          <w:sz w:val="24"/>
          <w:szCs w:val="24"/>
          <w:lang w:val="en-US" w:eastAsia="zh-CN"/>
        </w:rPr>
        <w:t>3辆压缩车、1辆以桶换桶车保险费用除外）</w:t>
      </w:r>
      <w:r>
        <w:rPr>
          <w:rFonts w:hint="eastAsia" w:ascii="宋体" w:hAnsi="宋体" w:cs="宋体"/>
          <w:color w:val="000000"/>
          <w:sz w:val="24"/>
          <w:szCs w:val="24"/>
        </w:rPr>
        <w:t>包括商业保险和强制保险，其中第三者责任险不得低于100万元</w:t>
      </w:r>
      <w:r>
        <w:rPr>
          <w:rFonts w:hint="eastAsia" w:ascii="宋体" w:hAnsi="宋体" w:cs="宋体"/>
          <w:color w:val="000000"/>
          <w:sz w:val="24"/>
          <w:szCs w:val="24"/>
          <w:lang w:eastAsia="zh-CN"/>
        </w:rPr>
        <w:t>。</w:t>
      </w:r>
    </w:p>
    <w:p>
      <w:pPr>
        <w:spacing w:line="360" w:lineRule="auto"/>
        <w:ind w:firstLine="420"/>
        <w:rPr>
          <w:rFonts w:ascii="宋体" w:hAnsi="宋体" w:cs="宋体"/>
          <w:color w:val="000000"/>
          <w:sz w:val="24"/>
          <w:szCs w:val="24"/>
        </w:rPr>
      </w:pPr>
      <w:r>
        <w:rPr>
          <w:rFonts w:hint="eastAsia" w:ascii="宋体" w:hAnsi="宋体" w:cs="宋体"/>
          <w:color w:val="000000"/>
          <w:sz w:val="24"/>
          <w:szCs w:val="24"/>
          <w:lang w:val="en-US" w:eastAsia="zh-CN"/>
        </w:rPr>
        <w:t>2、中标方</w:t>
      </w:r>
      <w:r>
        <w:rPr>
          <w:rFonts w:hint="eastAsia" w:ascii="宋体" w:hAnsi="宋体" w:cs="宋体"/>
          <w:color w:val="000000"/>
          <w:sz w:val="24"/>
          <w:szCs w:val="24"/>
        </w:rPr>
        <w:t>办理车辆日常维修</w:t>
      </w:r>
      <w:r>
        <w:rPr>
          <w:rFonts w:hint="eastAsia" w:ascii="宋体" w:hAnsi="宋体" w:cs="宋体"/>
          <w:color w:val="000000"/>
          <w:sz w:val="24"/>
          <w:szCs w:val="24"/>
          <w:lang w:val="en-US" w:eastAsia="zh-CN"/>
        </w:rPr>
        <w:t>年检</w:t>
      </w:r>
      <w:r>
        <w:rPr>
          <w:rFonts w:hint="eastAsia" w:ascii="宋体" w:hAnsi="宋体" w:cs="宋体"/>
          <w:color w:val="000000"/>
          <w:sz w:val="24"/>
          <w:szCs w:val="24"/>
        </w:rPr>
        <w:t>、保养用油等。</w:t>
      </w:r>
    </w:p>
    <w:p>
      <w:pPr>
        <w:spacing w:line="360" w:lineRule="auto"/>
        <w:ind w:firstLine="42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中标方</w:t>
      </w:r>
      <w:r>
        <w:rPr>
          <w:rFonts w:hint="eastAsia" w:ascii="宋体" w:hAnsi="宋体" w:cs="宋体"/>
          <w:color w:val="000000"/>
          <w:sz w:val="24"/>
          <w:szCs w:val="24"/>
        </w:rPr>
        <w:t>使用招标方提供的车辆时，在服务过程中应按车辆的使用说明书妥善使用，按规定定期做好保养（每次保养后的记录应报招标方备案），发生问题时应及时维修；服务期满或服务中止时，</w:t>
      </w:r>
      <w:r>
        <w:rPr>
          <w:rFonts w:hint="eastAsia" w:ascii="宋体" w:hAnsi="宋体" w:cs="宋体"/>
          <w:color w:val="000000"/>
          <w:sz w:val="24"/>
          <w:szCs w:val="24"/>
          <w:lang w:eastAsia="zh-CN"/>
        </w:rPr>
        <w:t>中标方</w:t>
      </w:r>
      <w:r>
        <w:rPr>
          <w:rFonts w:hint="eastAsia" w:ascii="宋体" w:hAnsi="宋体" w:cs="宋体"/>
          <w:color w:val="000000"/>
          <w:sz w:val="24"/>
          <w:szCs w:val="24"/>
        </w:rPr>
        <w:t>应将车辆归还给招标方，并应保证车况的完好、年检合格及各功能的正常使用，如有故障应及时修复。经招标方验收合格后归还，如</w:t>
      </w:r>
      <w:r>
        <w:rPr>
          <w:rFonts w:hint="eastAsia" w:ascii="宋体" w:hAnsi="宋体" w:cs="宋体"/>
          <w:color w:val="000000"/>
          <w:sz w:val="24"/>
          <w:szCs w:val="24"/>
          <w:lang w:eastAsia="zh-CN"/>
        </w:rPr>
        <w:t>中标方</w:t>
      </w:r>
      <w:r>
        <w:rPr>
          <w:rFonts w:hint="eastAsia" w:ascii="宋体" w:hAnsi="宋体" w:cs="宋体"/>
          <w:color w:val="000000"/>
          <w:sz w:val="24"/>
          <w:szCs w:val="24"/>
        </w:rPr>
        <w:t>未修复的，招标方将在服务费中扣除该项费用。</w:t>
      </w:r>
    </w:p>
    <w:p>
      <w:pPr>
        <w:spacing w:line="360" w:lineRule="auto"/>
        <w:ind w:firstLine="420"/>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cs="宋体"/>
          <w:color w:val="000000"/>
          <w:sz w:val="24"/>
          <w:szCs w:val="24"/>
          <w:lang w:eastAsia="zh-CN"/>
        </w:rPr>
        <w:t>中标方</w:t>
      </w:r>
      <w:r>
        <w:rPr>
          <w:rFonts w:hint="eastAsia" w:ascii="宋体" w:hAnsi="宋体" w:cs="宋体"/>
          <w:color w:val="000000"/>
          <w:sz w:val="24"/>
          <w:szCs w:val="24"/>
        </w:rPr>
        <w:t>在使用招标方的车辆期间，场地工作人员的工资保险及所发生的各项安全责任事故均由</w:t>
      </w:r>
      <w:r>
        <w:rPr>
          <w:rFonts w:hint="eastAsia" w:ascii="宋体" w:hAnsi="宋体" w:cs="宋体"/>
          <w:color w:val="000000"/>
          <w:sz w:val="24"/>
          <w:szCs w:val="24"/>
          <w:lang w:eastAsia="zh-CN"/>
        </w:rPr>
        <w:t>中标方</w:t>
      </w:r>
      <w:r>
        <w:rPr>
          <w:rFonts w:hint="eastAsia" w:ascii="宋体" w:hAnsi="宋体" w:cs="宋体"/>
          <w:color w:val="000000"/>
          <w:sz w:val="24"/>
          <w:szCs w:val="24"/>
        </w:rPr>
        <w:t>承担所有责任并负责赔偿，招标方不承担任何责任。</w:t>
      </w:r>
    </w:p>
    <w:p>
      <w:pPr>
        <w:spacing w:line="360" w:lineRule="auto"/>
        <w:ind w:firstLine="420"/>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中标方</w:t>
      </w:r>
      <w:r>
        <w:rPr>
          <w:rFonts w:hint="eastAsia" w:ascii="宋体" w:hAnsi="宋体" w:cs="宋体"/>
          <w:color w:val="000000"/>
          <w:sz w:val="24"/>
          <w:szCs w:val="24"/>
        </w:rPr>
        <w:t>自行办理好城市生活垃圾经营性（清扫、收集、运输、处理）服务许可证等相关证件。</w:t>
      </w:r>
    </w:p>
    <w:p>
      <w:pPr>
        <w:spacing w:line="360" w:lineRule="auto"/>
        <w:ind w:firstLine="422"/>
        <w:rPr>
          <w:rFonts w:ascii="宋体" w:hAnsi="宋体" w:cs="宋体"/>
          <w:b/>
          <w:bCs/>
          <w:color w:val="000000"/>
          <w:sz w:val="24"/>
          <w:szCs w:val="24"/>
        </w:rPr>
      </w:pPr>
      <w:r>
        <w:rPr>
          <w:rFonts w:hint="eastAsia" w:ascii="宋体" w:hAnsi="宋体" w:cs="宋体"/>
          <w:b/>
          <w:bCs/>
          <w:color w:val="000000"/>
          <w:sz w:val="24"/>
          <w:szCs w:val="24"/>
        </w:rPr>
        <w:t>五、具体服务要求</w:t>
      </w:r>
    </w:p>
    <w:p>
      <w:pPr>
        <w:adjustRightInd w:val="0"/>
        <w:snapToGrid w:val="0"/>
        <w:spacing w:line="360" w:lineRule="auto"/>
        <w:ind w:firstLine="420"/>
        <w:rPr>
          <w:rFonts w:ascii="宋体" w:hAnsi="宋体" w:cs="宋体"/>
          <w:b/>
          <w:bCs/>
          <w:color w:val="000000"/>
          <w:sz w:val="24"/>
          <w:szCs w:val="24"/>
        </w:rPr>
      </w:pPr>
      <w:r>
        <w:rPr>
          <w:rFonts w:hint="eastAsia" w:ascii="宋体" w:hAnsi="宋体" w:cs="宋体"/>
          <w:color w:val="000000"/>
          <w:sz w:val="24"/>
          <w:szCs w:val="24"/>
        </w:rPr>
        <w:t>管理员、驾驶员、洗桶工、中转站压缩操作工等人员按需配足配齐，按时到岗到位，同时须将人员名单及变动情况及时上报环卫站，环卫站负责监督场地具体工作运营情况。</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（一）“以桶换桶”智慧收运工作要求</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1、开发智慧环卫管理系统+硬件设备，实时更新后台数据，互联网+智慧收运与管理，通过互联网+建设兼具垃圾分类与再生资源回收功能的交投点和相互衔接的物流体系,实现用户、垃圾分类投放、垃圾桶称重检测,分类收运物流全信息链接。</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2、提供以桶换桶工作人员名单和联系电话号码，人员有变化应及时提供新名册，工作人员按采购文件配备到位；工作人员要按规定着装，做到规范整洁，穿戴反光安全标志的服装，严格遵守环卫所及中转站管理制度。</w:t>
      </w:r>
    </w:p>
    <w:p>
      <w:pPr>
        <w:adjustRightInd w:val="0"/>
        <w:snapToGrid w:val="0"/>
        <w:spacing w:line="360" w:lineRule="auto"/>
        <w:ind w:firstLine="420"/>
        <w:rPr>
          <w:rFonts w:ascii="宋体" w:hAnsi="宋体" w:cs="宋体"/>
          <w:color w:val="000000"/>
          <w:sz w:val="24"/>
          <w:szCs w:val="24"/>
          <w:u w:val="single"/>
        </w:rPr>
      </w:pPr>
      <w:r>
        <w:rPr>
          <w:rFonts w:hint="eastAsia" w:ascii="宋体" w:hAnsi="宋体" w:cs="宋体"/>
          <w:color w:val="000000"/>
          <w:sz w:val="24"/>
          <w:szCs w:val="24"/>
        </w:rPr>
        <w:t>3、每一个点位垃圾桶每天至少清运二次，重点路段重点时段要增加清运次数，确保垃圾桶不满溢。回收的厨余垃圾单独清运指定位置，其他收回的桶装垃圾首先倾倒至垃圾压缩清运车。</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4、按照垃圾分类要求，做好垃圾桶的分类摆放和分类运输。有围栏的须把桶放入围栏并且桶背朝里，区分颜色摆放。无围栏的须把桶区分颜色并拢摆放，且桶背朝里，日常作业规范，无“混装”、“混收”、“混运”现象。</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5、配合做好清洗场地垃圾分类宣传氛围的布置，确保清洗场地干净整洁。</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6、配合做好清洗场地内再生资源可回收物暂存点和有害垃圾存储点的日常维护管理工作。</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7、配合做好村级垃圾分类投放知识的培训和督导工作。</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8、以桶换桶作业过程中不得发生超载、吊挂、飘洒、滴漏、随意停放影响交通等现象。</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9、垃圾倾倒要规范合理，轻拿轻放，严禁脚踢踹、抛、扔、摔等有损垃圾桶的行为。确保垃圾桶部件齐全、不破不漏，及时更换更新破桶。</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10、垃圾桶清洗要干净彻底，对桶口、桶盖把手、桶外表面等重点部位要重点擦拭清洗，确保垃圾桶外观光洁内部整洁，清洗后的垃圾桶按照标识分类堆放。</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11、管理维护好垃圾桶收集冲洗场地，做到场地干净整洁，无垃圾堆积。重点部位安装好监控摄像头，并配备30天以上录像保存。</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12、清运车驾驶员要爱惜车辆，保持车辆状态良好，每天收车前做好车辆外表、车后厢、升降板等装置的保洁清洗工作，保持车辆及附属装置干净光洁。</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13、招标方提供的清运车要按规定定期进行保养维修和参加年检，并提供相关发票备查。如因保养维修年检不到位造成损失由中标方承担。清运车做到安全驾驶，严禁私自用于其它途径。</w:t>
      </w:r>
    </w:p>
    <w:p>
      <w:pPr>
        <w:adjustRightInd w:val="0"/>
        <w:snapToGrid w:val="0"/>
        <w:spacing w:line="360" w:lineRule="auto"/>
        <w:ind w:firstLine="420"/>
        <w:rPr>
          <w:sz w:val="24"/>
          <w:szCs w:val="24"/>
        </w:rPr>
      </w:pPr>
      <w:r>
        <w:rPr>
          <w:rFonts w:hint="eastAsia" w:ascii="宋体" w:hAnsi="宋体" w:cs="宋体"/>
          <w:color w:val="000000"/>
          <w:sz w:val="24"/>
          <w:szCs w:val="24"/>
        </w:rPr>
        <w:t>14、垃圾桶布桶总数5%内上下浮动的，费用不变。如遇到上级部门各类检查必须积极配合，应无条件服从。</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（二）管理工作要求</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1、必须统一制服、着装整洁，不准混装，按要求佩戴帽子。</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2、做好管理范围内的秩序、消防、治安、安全、巡逻等各项管理工作。</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3、做好管理范围内的各类建（构）筑物和附属设施遭受人为破坏、损伤的防范工作。</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4、及时制止偷盗、破坏公共设施的行为。</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5、车辆管理：维持好入口处的进出车辆和停车秩序；经许可进入垃圾中转站的机动车或非机动车行驶速度不得超过10公里/小时；严禁未经许可的机动车和非机动车不得进入中转站；车辆应在指定的停车地点有序停放。</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6、每年安排不少于2次交通、作业等方面安全教育学习，学习台账纪录交招标方备案。</w:t>
      </w:r>
    </w:p>
    <w:p>
      <w:pPr>
        <w:spacing w:line="360" w:lineRule="auto"/>
        <w:rPr>
          <w:rFonts w:ascii="宋体" w:hAnsi="宋体" w:cs="宋体"/>
          <w:b/>
          <w:bCs/>
          <w:color w:val="000000"/>
          <w:sz w:val="24"/>
          <w:szCs w:val="24"/>
        </w:rPr>
      </w:pPr>
      <w:r>
        <w:rPr>
          <w:rFonts w:hint="eastAsia" w:ascii="宋体" w:hAnsi="宋体" w:cs="宋体"/>
          <w:b/>
          <w:bCs/>
          <w:color w:val="000000"/>
          <w:sz w:val="24"/>
          <w:szCs w:val="24"/>
        </w:rPr>
        <w:t>（三）垃圾中转站工作</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1、严格按照安全操作程序进行装卸作业，作业时其中装置边严禁人员、车辆通行。</w:t>
      </w:r>
      <w:r>
        <w:rPr>
          <w:rFonts w:hint="eastAsia" w:ascii="宋体" w:hAnsi="宋体" w:cs="宋体"/>
          <w:color w:val="000000"/>
          <w:sz w:val="24"/>
          <w:szCs w:val="24"/>
        </w:rPr>
        <w:br w:type="textWrapping"/>
      </w:r>
      <w:r>
        <w:rPr>
          <w:rFonts w:hint="eastAsia" w:ascii="宋体" w:hAnsi="宋体" w:cs="宋体"/>
          <w:color w:val="000000"/>
          <w:sz w:val="24"/>
          <w:szCs w:val="24"/>
        </w:rPr>
        <w:t xml:space="preserve">   2、垃圾箱满后，负责盖好箱盖，清扫箱面。</w:t>
      </w:r>
      <w:r>
        <w:rPr>
          <w:rFonts w:hint="eastAsia" w:ascii="宋体" w:hAnsi="宋体" w:cs="宋体"/>
          <w:color w:val="000000"/>
          <w:sz w:val="24"/>
          <w:szCs w:val="24"/>
        </w:rPr>
        <w:br w:type="textWrapping"/>
      </w:r>
      <w:r>
        <w:rPr>
          <w:rFonts w:hint="eastAsia" w:ascii="宋体" w:hAnsi="宋体" w:cs="宋体"/>
          <w:color w:val="000000"/>
          <w:sz w:val="24"/>
          <w:szCs w:val="24"/>
        </w:rPr>
        <w:t xml:space="preserve">   3、设备操作人员、清运人员配合互助，做好垃圾中转站工作日志记录工作。</w:t>
      </w:r>
      <w:r>
        <w:rPr>
          <w:rFonts w:hint="eastAsia" w:ascii="宋体" w:hAnsi="宋体" w:cs="宋体"/>
          <w:color w:val="000000"/>
          <w:sz w:val="24"/>
          <w:szCs w:val="24"/>
        </w:rPr>
        <w:br w:type="textWrapping"/>
      </w:r>
      <w:r>
        <w:rPr>
          <w:rFonts w:hint="eastAsia" w:ascii="宋体" w:hAnsi="宋体" w:cs="宋体"/>
          <w:color w:val="000000"/>
          <w:sz w:val="24"/>
          <w:szCs w:val="24"/>
        </w:rPr>
        <w:t xml:space="preserve">   4、未经允许，桥头镇外单位垃圾不得接受。严禁建筑垃圾倒入集装箱。</w:t>
      </w:r>
      <w:r>
        <w:rPr>
          <w:rFonts w:hint="eastAsia" w:ascii="宋体" w:hAnsi="宋体" w:cs="宋体"/>
          <w:color w:val="000000"/>
          <w:sz w:val="24"/>
          <w:szCs w:val="24"/>
        </w:rPr>
        <w:br w:type="textWrapping"/>
      </w:r>
      <w:r>
        <w:rPr>
          <w:rFonts w:hint="eastAsia" w:ascii="宋体" w:hAnsi="宋体" w:cs="宋体"/>
          <w:color w:val="000000"/>
          <w:sz w:val="24"/>
          <w:szCs w:val="24"/>
        </w:rPr>
        <w:t xml:space="preserve">   5、经常检查、养护、维修设备，及时排除隐患。</w:t>
      </w:r>
      <w:r>
        <w:rPr>
          <w:rFonts w:hint="eastAsia" w:ascii="宋体" w:hAnsi="宋体" w:cs="宋体"/>
          <w:color w:val="000000"/>
          <w:sz w:val="24"/>
          <w:szCs w:val="24"/>
        </w:rPr>
        <w:br w:type="textWrapping"/>
      </w:r>
      <w:r>
        <w:rPr>
          <w:rFonts w:hint="eastAsia" w:ascii="宋体" w:hAnsi="宋体" w:cs="宋体"/>
          <w:color w:val="000000"/>
          <w:sz w:val="24"/>
          <w:szCs w:val="24"/>
        </w:rPr>
        <w:t xml:space="preserve">   6、及时清理垃圾箱坑底污水垃圾，保持起重设备，垃圾桶，中转站内外干净整洁。</w:t>
      </w:r>
    </w:p>
    <w:p>
      <w:pPr>
        <w:adjustRightInd w:val="0"/>
        <w:snapToGrid w:val="0"/>
        <w:spacing w:line="360" w:lineRule="auto"/>
        <w:ind w:firstLine="240" w:firstLineChars="100"/>
        <w:rPr>
          <w:rFonts w:ascii="宋体" w:hAnsi="宋体" w:cs="宋体"/>
          <w:b/>
          <w:bCs/>
          <w:color w:val="000000"/>
          <w:sz w:val="24"/>
          <w:szCs w:val="24"/>
        </w:rPr>
      </w:pPr>
      <w:r>
        <w:rPr>
          <w:rFonts w:hint="eastAsia" w:ascii="宋体" w:hAnsi="宋体" w:cs="宋体"/>
          <w:color w:val="000000"/>
          <w:sz w:val="24"/>
          <w:szCs w:val="24"/>
        </w:rPr>
        <w:t>7、每天对各村运来的厨余垃圾要称重。</w:t>
      </w:r>
    </w:p>
    <w:p>
      <w:pPr>
        <w:pStyle w:val="2"/>
        <w:spacing w:line="360" w:lineRule="auto"/>
        <w:ind w:firstLine="0" w:firstLineChars="0"/>
        <w:rPr>
          <w:rFonts w:ascii="宋体" w:hAnsi="宋体" w:eastAsia="宋体" w:cs="宋体"/>
          <w:b/>
          <w:bCs/>
          <w:color w:val="000000"/>
          <w:szCs w:val="24"/>
        </w:rPr>
      </w:pPr>
      <w:r>
        <w:rPr>
          <w:rFonts w:hint="eastAsia" w:ascii="宋体" w:hAnsi="宋体" w:eastAsia="宋体" w:cs="宋体"/>
          <w:b/>
          <w:bCs/>
          <w:color w:val="000000"/>
          <w:szCs w:val="24"/>
        </w:rPr>
        <w:t>（四）压缩车的操作及转运工作</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一）服务要求：</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1、压缩式垃圾中转站操作员及车辆驾驶员必须考核通过，并经岗前培训方可上岗，严禁无证上岗操作。</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2、驾驶人员身体健康，身体素质好，服从管理人员指挥。</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3、每日工作结束后，必须将各自保管的车辆停放在指定场所，</w:t>
      </w:r>
      <w:r>
        <w:rPr>
          <w:rFonts w:hint="eastAsia" w:ascii="宋体" w:hAnsi="宋体" w:eastAsia="宋体" w:cs="宋体"/>
          <w:color w:val="000000"/>
          <w:szCs w:val="24"/>
          <w:lang w:eastAsia="zh-CN"/>
        </w:rPr>
        <w:t>中标方</w:t>
      </w:r>
      <w:r>
        <w:rPr>
          <w:rFonts w:ascii="宋体" w:hAnsi="宋体" w:eastAsia="宋体" w:cs="宋体"/>
          <w:color w:val="000000"/>
          <w:szCs w:val="24"/>
        </w:rPr>
        <w:t>在服务过程中所发生的各类人员、设施安全责任事故，均由</w:t>
      </w:r>
      <w:r>
        <w:rPr>
          <w:rFonts w:hint="eastAsia" w:ascii="宋体" w:hAnsi="宋体" w:eastAsia="宋体" w:cs="宋体"/>
          <w:color w:val="000000"/>
          <w:szCs w:val="24"/>
          <w:lang w:eastAsia="zh-CN"/>
        </w:rPr>
        <w:t>中标方</w:t>
      </w:r>
      <w:r>
        <w:rPr>
          <w:rFonts w:ascii="宋体" w:hAnsi="宋体" w:eastAsia="宋体" w:cs="宋体"/>
          <w:color w:val="000000"/>
          <w:szCs w:val="24"/>
        </w:rPr>
        <w:t>自行承担所有责任</w:t>
      </w:r>
      <w:r>
        <w:rPr>
          <w:rFonts w:hint="eastAsia" w:ascii="宋体" w:hAnsi="宋体" w:eastAsia="宋体" w:cs="宋体"/>
          <w:color w:val="000000"/>
          <w:szCs w:val="24"/>
        </w:rPr>
        <w:t>。</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 xml:space="preserve">4、垃圾中转站的垃圾必须每天日产日清，清运期间清扫落在地面上的垃圾并装回垃圾压缩车内，期间如垃圾较多影响垃圾存放时，应及时清运。             </w:t>
      </w:r>
      <w:r>
        <w:rPr>
          <w:rFonts w:ascii="宋体" w:hAnsi="宋体" w:eastAsia="宋体" w:cs="宋体"/>
          <w:color w:val="000000"/>
          <w:szCs w:val="24"/>
        </w:rPr>
        <w:br w:type="textWrapping"/>
      </w:r>
      <w:r>
        <w:rPr>
          <w:rFonts w:hint="eastAsia" w:ascii="宋体" w:hAnsi="宋体" w:eastAsia="宋体" w:cs="宋体"/>
          <w:color w:val="000000"/>
          <w:szCs w:val="24"/>
        </w:rPr>
        <w:t xml:space="preserve">    二)服务效率：</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1、垃圾应日产日清，不得隔夜。</w:t>
      </w:r>
    </w:p>
    <w:p>
      <w:pPr>
        <w:pStyle w:val="2"/>
        <w:spacing w:line="360" w:lineRule="auto"/>
        <w:ind w:left="479" w:leftChars="228" w:firstLine="0" w:firstLineChars="0"/>
        <w:rPr>
          <w:rFonts w:ascii="宋体" w:hAnsi="宋体" w:eastAsia="宋体" w:cs="宋体"/>
          <w:color w:val="000000"/>
          <w:szCs w:val="24"/>
        </w:rPr>
      </w:pPr>
      <w:r>
        <w:rPr>
          <w:rFonts w:hint="eastAsia" w:ascii="宋体" w:hAnsi="宋体" w:eastAsia="宋体" w:cs="宋体"/>
          <w:color w:val="000000"/>
          <w:szCs w:val="24"/>
        </w:rPr>
        <w:t>2、车辆全密封装运，运输过程中无滴、漏、酒及异味外泄等现象。</w:t>
      </w:r>
    </w:p>
    <w:p>
      <w:pPr>
        <w:pStyle w:val="2"/>
        <w:spacing w:line="360" w:lineRule="auto"/>
        <w:ind w:firstLine="480"/>
        <w:rPr>
          <w:rFonts w:ascii="宋体" w:hAnsi="宋体" w:eastAsia="宋体" w:cs="宋体"/>
          <w:color w:val="000000"/>
          <w:szCs w:val="24"/>
        </w:rPr>
      </w:pPr>
      <w:r>
        <w:rPr>
          <w:rFonts w:hint="eastAsia" w:ascii="宋体" w:hAnsi="宋体" w:eastAsia="宋体" w:cs="宋体"/>
          <w:color w:val="000000"/>
          <w:szCs w:val="24"/>
        </w:rPr>
        <w:t>3、因实际垃圾量比往日骤增或发生其它特殊原因，运力不能满足实际需求时，中标方应配合招标方增加运输车辆和服务人员的要求，并在招标方限定的时限内及时组织人力和物力。</w:t>
      </w:r>
    </w:p>
    <w:p>
      <w:pPr>
        <w:spacing w:line="360" w:lineRule="auto"/>
        <w:ind w:firstLine="422"/>
        <w:rPr>
          <w:rFonts w:ascii="宋体" w:hAnsi="宋体" w:cs="宋体"/>
          <w:b/>
          <w:bCs/>
          <w:color w:val="000000"/>
          <w:sz w:val="24"/>
          <w:szCs w:val="24"/>
        </w:rPr>
      </w:pPr>
      <w:r>
        <w:rPr>
          <w:rFonts w:hint="eastAsia" w:ascii="宋体" w:hAnsi="宋体" w:cs="宋体"/>
          <w:b/>
          <w:bCs/>
          <w:color w:val="000000"/>
          <w:sz w:val="24"/>
          <w:szCs w:val="24"/>
        </w:rPr>
        <w:t>六、其他要求</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1、要求车辆外观整洁无渗漏。</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2、有配套的措施和与招标相融合的定期督查机制。</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中标方</w:t>
      </w:r>
      <w:r>
        <w:rPr>
          <w:rFonts w:hint="eastAsia" w:ascii="宋体" w:hAnsi="宋体" w:cs="宋体"/>
          <w:color w:val="000000"/>
          <w:sz w:val="24"/>
          <w:szCs w:val="24"/>
        </w:rPr>
        <w:t>要制订用工计划和加强劳动用工管理，必须符合劳动法等法律法规及慈溪市相关政策规定的要求，与员工签订正规的劳动合同，负责支付上岗人员的工资、津贴、社会保险及根据国家规定应支付的各项费用。承担体检、培训费用，并负责办理上岗人员的居住证、计划生育证明等有关证件。如果招标方根据实际情况需要增加或减少人员，则按投标文件的标准支付或扣除相应费用。</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4、所有配置人员的劳动关系、工作安排、工作事故和一切意外伤害都与招标方无涉。</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5、所有服务人员食宿自理。</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6、所有油耗的价格上涨或下跌，合同价格均不作调整。</w:t>
      </w:r>
    </w:p>
    <w:p>
      <w:pPr>
        <w:adjustRightInd w:val="0"/>
        <w:snapToGrid w:val="0"/>
        <w:spacing w:line="360" w:lineRule="auto"/>
        <w:ind w:firstLine="420"/>
        <w:rPr>
          <w:rFonts w:ascii="宋体" w:hAnsi="宋体" w:cs="宋体"/>
          <w:color w:val="000000"/>
          <w:sz w:val="24"/>
          <w:szCs w:val="24"/>
        </w:rPr>
      </w:pPr>
      <w:r>
        <w:rPr>
          <w:rFonts w:hint="eastAsia" w:ascii="宋体" w:hAnsi="宋体" w:cs="宋体"/>
          <w:color w:val="000000"/>
          <w:sz w:val="24"/>
          <w:szCs w:val="24"/>
        </w:rPr>
        <w:t>7、提供以桶换桶工作人员名单和联系电话号码，人员有变化应及时补足并提供新名册。</w:t>
      </w:r>
    </w:p>
    <w:p>
      <w:pPr>
        <w:adjustRightInd w:val="0"/>
        <w:snapToGrid w:val="0"/>
        <w:spacing w:line="360" w:lineRule="auto"/>
        <w:ind w:firstLine="420"/>
        <w:rPr>
          <w:rFonts w:ascii="宋体" w:hAnsi="宋体"/>
          <w:sz w:val="24"/>
          <w:szCs w:val="24"/>
        </w:rPr>
      </w:pPr>
      <w:r>
        <w:rPr>
          <w:rFonts w:hint="eastAsia" w:ascii="宋体" w:hAnsi="宋体" w:cs="宋体"/>
          <w:snapToGrid w:val="0"/>
          <w:color w:val="000000"/>
          <w:sz w:val="24"/>
          <w:szCs w:val="24"/>
        </w:rPr>
        <w:t>8、</w:t>
      </w:r>
      <w:r>
        <w:rPr>
          <w:rFonts w:hint="eastAsia" w:ascii="宋体" w:hAnsi="宋体" w:cs="宋体"/>
          <w:snapToGrid w:val="0"/>
          <w:color w:val="000000"/>
          <w:sz w:val="24"/>
          <w:szCs w:val="24"/>
          <w:lang w:eastAsia="zh-CN"/>
        </w:rPr>
        <w:t>中标方</w:t>
      </w:r>
      <w:r>
        <w:rPr>
          <w:rFonts w:hint="eastAsia" w:ascii="宋体" w:hAnsi="宋体" w:cs="宋体"/>
          <w:snapToGrid w:val="0"/>
          <w:color w:val="000000"/>
          <w:sz w:val="24"/>
          <w:szCs w:val="24"/>
        </w:rPr>
        <w:t>如有需要自行组织现场踏勘，以充分了解项目实施位置、设备设施情况、周边情况及任何其他足以影响报价的情况，任何因忽视或误解现场情况而导致的索赔将不予受理。</w:t>
      </w:r>
    </w:p>
    <w:p>
      <w:pPr>
        <w:pStyle w:val="166"/>
        <w:autoSpaceDN w:val="0"/>
        <w:adjustRightInd w:val="0"/>
        <w:snapToGrid w:val="0"/>
        <w:spacing w:line="360" w:lineRule="auto"/>
        <w:jc w:val="center"/>
        <w:rPr>
          <w:rFonts w:ascii="宋体" w:hAnsi="宋体"/>
          <w:sz w:val="24"/>
          <w:szCs w:val="24"/>
        </w:rPr>
      </w:pPr>
      <w:r>
        <w:rPr>
          <w:rFonts w:ascii="宋体" w:hAnsi="宋体" w:cs="宋体"/>
          <w:color w:val="auto"/>
          <w:szCs w:val="21"/>
          <w:highlight w:val="none"/>
        </w:rPr>
        <w:br w:type="page"/>
      </w:r>
      <w:r>
        <w:rPr>
          <w:rFonts w:hint="eastAsia" w:ascii="宋体" w:hAnsi="宋体"/>
          <w:b/>
          <w:bCs/>
          <w:sz w:val="24"/>
          <w:szCs w:val="24"/>
        </w:rPr>
        <w:t>第四节 一般工业固废收集及处置项目招标内容与服务要求</w:t>
      </w:r>
    </w:p>
    <w:p>
      <w:pPr>
        <w:spacing w:line="360" w:lineRule="auto"/>
        <w:ind w:firstLine="420"/>
        <w:rPr>
          <w:rFonts w:ascii="宋体" w:hAnsi="宋体" w:cs="宋体"/>
          <w:b/>
          <w:bCs/>
          <w:sz w:val="24"/>
          <w:szCs w:val="24"/>
        </w:rPr>
      </w:pPr>
      <w:r>
        <w:rPr>
          <w:rFonts w:hint="eastAsia" w:ascii="宋体" w:hAnsi="宋体" w:cs="宋体"/>
          <w:b/>
          <w:bCs/>
          <w:sz w:val="24"/>
          <w:szCs w:val="24"/>
        </w:rPr>
        <w:t>一、服务范围</w:t>
      </w:r>
    </w:p>
    <w:p>
      <w:pPr>
        <w:spacing w:line="360" w:lineRule="auto"/>
        <w:ind w:firstLine="420"/>
        <w:rPr>
          <w:rFonts w:ascii="宋体" w:hAnsi="宋体" w:cs="宋体"/>
          <w:sz w:val="24"/>
          <w:szCs w:val="24"/>
        </w:rPr>
      </w:pPr>
      <w:r>
        <w:rPr>
          <w:rFonts w:hint="eastAsia" w:ascii="宋体" w:hAnsi="宋体" w:cs="宋体"/>
          <w:sz w:val="24"/>
          <w:szCs w:val="24"/>
        </w:rPr>
        <w:t>为慈溪市桥头镇一般工业固废上门收集及处置服务，根据招标人的要求，将桥头镇人民政府一般工业固废前端回收，应急处置等作业。</w:t>
      </w:r>
    </w:p>
    <w:p>
      <w:pPr>
        <w:spacing w:line="360" w:lineRule="auto"/>
        <w:ind w:firstLine="420"/>
        <w:rPr>
          <w:rFonts w:ascii="宋体" w:hAnsi="宋体" w:cs="宋体"/>
          <w:b/>
          <w:bCs/>
          <w:sz w:val="24"/>
          <w:szCs w:val="24"/>
        </w:rPr>
      </w:pPr>
      <w:r>
        <w:rPr>
          <w:rFonts w:hint="eastAsia" w:ascii="宋体" w:hAnsi="宋体" w:cs="宋体"/>
          <w:b/>
          <w:bCs/>
          <w:sz w:val="24"/>
          <w:szCs w:val="24"/>
        </w:rPr>
        <w:t>二、人员安排及要求</w:t>
      </w:r>
    </w:p>
    <w:p>
      <w:pPr>
        <w:spacing w:line="360" w:lineRule="auto"/>
        <w:ind w:firstLine="420"/>
        <w:rPr>
          <w:rFonts w:ascii="宋体" w:hAnsi="宋体" w:cs="宋体"/>
          <w:sz w:val="24"/>
          <w:szCs w:val="24"/>
        </w:rPr>
      </w:pPr>
      <w:r>
        <w:rPr>
          <w:rFonts w:hint="eastAsia" w:ascii="宋体" w:hAnsi="宋体" w:cs="宋体"/>
          <w:sz w:val="24"/>
          <w:szCs w:val="24"/>
        </w:rPr>
        <w:t>1、前端回收人员数量配置：工作人数不少于5人，每人各配1台前端回收机动车。</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2、人员要求：3人按男性55周岁以下，其中2人年龄可放宽到男性60周岁以下，身体健康，爱岗敬业，服从管理，无不良嗜好。</w:t>
      </w:r>
    </w:p>
    <w:p>
      <w:pPr>
        <w:spacing w:line="288"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3、设备车辆要求：不少于5辆（车辆只能为本项目服务和使用）</w:t>
      </w:r>
    </w:p>
    <w:p>
      <w:pPr>
        <w:spacing w:line="360" w:lineRule="auto"/>
        <w:ind w:firstLine="420"/>
        <w:rPr>
          <w:rFonts w:ascii="宋体" w:hAnsi="宋体" w:cs="宋体"/>
          <w:b/>
          <w:bCs/>
          <w:sz w:val="24"/>
          <w:szCs w:val="24"/>
        </w:rPr>
      </w:pPr>
      <w:r>
        <w:rPr>
          <w:rFonts w:hint="eastAsia" w:ascii="宋体" w:hAnsi="宋体" w:cs="宋体"/>
          <w:b/>
          <w:bCs/>
          <w:sz w:val="24"/>
          <w:szCs w:val="24"/>
        </w:rPr>
        <w:t>注：投标报价：人员工资、社保费、商业险、福利费、高温费、法定节假日加班费用、年终考核、服装费、回收车投入及电瓶更换费、管理费、税金等基本费用。</w:t>
      </w:r>
    </w:p>
    <w:p>
      <w:pPr>
        <w:pStyle w:val="2"/>
        <w:spacing w:line="360" w:lineRule="auto"/>
        <w:ind w:firstLine="482"/>
        <w:rPr>
          <w:rFonts w:ascii="宋体" w:hAnsi="宋体" w:eastAsia="宋体" w:cs="宋体"/>
          <w:b/>
          <w:bCs/>
          <w:color w:val="000000"/>
          <w:szCs w:val="24"/>
        </w:rPr>
      </w:pPr>
      <w:r>
        <w:rPr>
          <w:rFonts w:hint="eastAsia" w:ascii="宋体" w:hAnsi="宋体" w:eastAsia="宋体" w:cs="宋体"/>
          <w:b/>
          <w:bCs/>
          <w:color w:val="000000"/>
          <w:szCs w:val="24"/>
        </w:rPr>
        <w:t>三、★ 招标方完成一般工业固废打包工作。</w:t>
      </w:r>
    </w:p>
    <w:p>
      <w:pPr>
        <w:pStyle w:val="2"/>
        <w:spacing w:line="360" w:lineRule="auto"/>
        <w:ind w:firstLine="0" w:firstLineChars="0"/>
        <w:rPr>
          <w:rFonts w:ascii="宋体" w:hAnsi="宋体" w:eastAsia="宋体" w:cs="宋体"/>
          <w:b/>
          <w:bCs/>
          <w:color w:val="000000"/>
          <w:szCs w:val="24"/>
        </w:rPr>
      </w:pPr>
      <w:r>
        <w:rPr>
          <w:rFonts w:hint="eastAsia" w:ascii="宋体" w:hAnsi="宋体" w:eastAsia="宋体" w:cs="宋体"/>
          <w:b/>
          <w:bCs/>
          <w:color w:val="000000"/>
          <w:szCs w:val="24"/>
        </w:rPr>
        <w:t xml:space="preserve">        ★一般工业固废上门收集暂定18000电瓶车/年。</w:t>
      </w:r>
    </w:p>
    <w:p>
      <w:pPr>
        <w:pStyle w:val="2"/>
        <w:spacing w:line="360" w:lineRule="auto"/>
        <w:rPr>
          <w:rFonts w:hint="default"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四、若招标人需要对固废进行应急处置，处置方式及处置费用将另行签订补充协议，但增加的费用不超过合同金额的10%。</w:t>
      </w:r>
    </w:p>
    <w:p>
      <w:pPr>
        <w:spacing w:line="288" w:lineRule="auto"/>
        <w:ind w:firstLine="482" w:firstLineChars="200"/>
        <w:rPr>
          <w:bCs/>
          <w:sz w:val="24"/>
          <w:szCs w:val="24"/>
        </w:rPr>
      </w:pPr>
      <w:r>
        <w:rPr>
          <w:rFonts w:hint="eastAsia" w:ascii="宋体" w:hAnsi="宋体" w:cs="宋体"/>
          <w:b/>
          <w:color w:val="000000"/>
          <w:sz w:val="24"/>
          <w:szCs w:val="24"/>
        </w:rPr>
        <w:t>五、服务要求</w:t>
      </w:r>
    </w:p>
    <w:p>
      <w:pPr>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1、将桥头镇人民政府一般工业固废收集运至中转站，压缩打包等其他工作不包含在内；</w:t>
      </w:r>
    </w:p>
    <w:p>
      <w:pPr>
        <w:spacing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2、一般工业固废定时定点上门收集，收运完成日产日清；</w:t>
      </w:r>
    </w:p>
    <w:p>
      <w:pPr>
        <w:spacing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rPr>
        <w:t>3、一般工业固废不得与生活垃圾混装混投；</w:t>
      </w:r>
    </w:p>
    <w:p>
      <w:pPr>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4、桥头镇人民政府如有需要，一般工业固废应急处置费用不得高于第四点价格，若中标方自有处置能力，提供相关证明，若中标方与一般工业固废处置单位合作，需提供对方接受证明</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sz w:val="24"/>
          <w:szCs w:val="24"/>
        </w:rPr>
        <w:t>合同，及合作企业处置能力证明材料。</w:t>
      </w:r>
    </w:p>
    <w:p>
      <w:pPr>
        <w:spacing w:line="288" w:lineRule="auto"/>
        <w:ind w:firstLine="482" w:firstLineChars="0"/>
        <w:jc w:val="left"/>
        <w:rPr>
          <w:rFonts w:hint="eastAsia" w:ascii="宋体" w:hAnsi="宋体" w:eastAsia="宋体" w:cs="宋体"/>
          <w:bCs/>
          <w:color w:val="000000"/>
          <w:kern w:val="0"/>
          <w:sz w:val="24"/>
          <w:szCs w:val="24"/>
        </w:rPr>
      </w:pPr>
      <w:r>
        <w:rPr>
          <w:rFonts w:hint="eastAsia" w:ascii="宋体" w:hAnsi="宋体" w:eastAsia="宋体" w:cs="宋体"/>
          <w:b/>
          <w:color w:val="000000"/>
          <w:sz w:val="24"/>
          <w:szCs w:val="24"/>
        </w:rPr>
        <w:t>六、其他要求</w:t>
      </w:r>
    </w:p>
    <w:p>
      <w:pPr>
        <w:spacing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、中标方在承包期内应服从招标方的指挥和工作安排，如不服从招标方有权终止合同。</w:t>
      </w:r>
    </w:p>
    <w:p>
      <w:pPr>
        <w:spacing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、由于招标方原因不能使工作正常运转，招标方不应追究中标方责任。</w:t>
      </w:r>
    </w:p>
    <w:p>
      <w:pPr>
        <w:spacing w:line="360" w:lineRule="auto"/>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、未经招标方同意，擅自转让，招标方有权终止合同。</w:t>
      </w:r>
    </w:p>
    <w:p>
      <w:pPr>
        <w:ind w:firstLine="480" w:firstLineChars="200"/>
        <w:jc w:val="left"/>
        <w:rPr>
          <w:rFonts w:hint="eastAsia" w:ascii="宋体" w:hAnsi="宋体" w:eastAsia="宋体" w:cs="宋体"/>
          <w:bCs/>
          <w:color w:val="000000"/>
          <w:kern w:val="0"/>
          <w:sz w:val="24"/>
          <w:szCs w:val="24"/>
        </w:rPr>
      </w:pPr>
      <w:r>
        <w:rPr>
          <w:rFonts w:hint="eastAsia" w:ascii="宋体" w:hAnsi="宋体" w:eastAsia="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、中标方做好消防安全工作。</w:t>
      </w:r>
    </w:p>
    <w:p>
      <w:pPr>
        <w:pStyle w:val="166"/>
        <w:autoSpaceDN w:val="0"/>
        <w:adjustRightInd w:val="0"/>
        <w:snapToGrid w:val="0"/>
        <w:spacing w:line="360" w:lineRule="auto"/>
        <w:jc w:val="center"/>
        <w:rPr>
          <w:rFonts w:ascii="宋体" w:hAnsi="宋体"/>
          <w:b/>
          <w:bCs/>
          <w:sz w:val="24"/>
          <w:szCs w:val="24"/>
        </w:rPr>
      </w:pPr>
    </w:p>
    <w:p>
      <w:pPr>
        <w:pStyle w:val="166"/>
        <w:autoSpaceDN w:val="0"/>
        <w:adjustRightInd w:val="0"/>
        <w:snapToGrid w:val="0"/>
        <w:spacing w:line="360" w:lineRule="auto"/>
        <w:jc w:val="center"/>
        <w:rPr>
          <w:rFonts w:ascii="宋体" w:hAnsi="宋体"/>
          <w:b/>
          <w:bCs/>
          <w:sz w:val="24"/>
          <w:szCs w:val="24"/>
        </w:rPr>
      </w:pPr>
    </w:p>
    <w:p>
      <w:pPr>
        <w:pStyle w:val="166"/>
        <w:autoSpaceDN w:val="0"/>
        <w:adjustRightInd w:val="0"/>
        <w:snapToGrid w:val="0"/>
        <w:spacing w:line="360" w:lineRule="auto"/>
        <w:jc w:val="both"/>
        <w:rPr>
          <w:rFonts w:ascii="宋体" w:hAnsi="宋体"/>
          <w:b/>
          <w:bCs/>
          <w:sz w:val="24"/>
          <w:szCs w:val="24"/>
        </w:rPr>
      </w:pPr>
    </w:p>
    <w:p>
      <w:pPr>
        <w:pStyle w:val="166"/>
        <w:autoSpaceDN w:val="0"/>
        <w:adjustRightInd w:val="0"/>
        <w:snapToGrid w:val="0"/>
        <w:spacing w:line="360" w:lineRule="auto"/>
        <w:jc w:val="center"/>
        <w:rPr>
          <w:rFonts w:ascii="宋体" w:hAnsi="宋体"/>
          <w:b/>
          <w:bCs/>
          <w:sz w:val="32"/>
          <w:szCs w:val="32"/>
        </w:rPr>
      </w:pPr>
      <w:r>
        <w:rPr>
          <w:rFonts w:hint="eastAsia" w:ascii="宋体" w:hAnsi="宋体"/>
          <w:b/>
          <w:bCs/>
          <w:sz w:val="32"/>
          <w:szCs w:val="32"/>
        </w:rPr>
        <w:t>第五节 再生资源可回收体系建设运营项目招标内容与服务要求</w:t>
      </w:r>
    </w:p>
    <w:p>
      <w:pPr>
        <w:spacing w:line="360" w:lineRule="auto"/>
        <w:ind w:firstLine="480" w:firstLineChars="200"/>
        <w:rPr>
          <w:rFonts w:ascii="宋体" w:hAnsi="宋体"/>
          <w:sz w:val="24"/>
          <w:szCs w:val="24"/>
        </w:rPr>
      </w:pPr>
      <w:r>
        <w:rPr>
          <w:rFonts w:hint="eastAsia" w:ascii="宋体" w:hAnsi="宋体"/>
          <w:sz w:val="24"/>
          <w:szCs w:val="24"/>
        </w:rPr>
        <w:t>为进一步推进桥头镇垃圾分类工作，以车联网、互联网+和大数据信息技术为支撑，结合原有的再生资源回收体系，构建一个从源头到终端为一体的智能化、网格化、全覆盖的再生资源回收体系，从而提升行业规范，提高资源利用效率，实施回收物全品类回收，实现垃圾减量化、资源化。</w:t>
      </w:r>
    </w:p>
    <w:p>
      <w:pPr>
        <w:pStyle w:val="2"/>
        <w:spacing w:line="360" w:lineRule="auto"/>
        <w:ind w:firstLine="0" w:firstLineChars="0"/>
        <w:rPr>
          <w:b/>
          <w:bCs/>
          <w:szCs w:val="24"/>
        </w:rPr>
      </w:pPr>
      <w:r>
        <w:rPr>
          <w:rFonts w:hint="eastAsia" w:ascii="宋体" w:hAnsi="宋体"/>
          <w:b/>
          <w:bCs/>
          <w:szCs w:val="24"/>
        </w:rPr>
        <w:t>一、桥头镇再生资源分拣中心场地及设备设施、车辆等投入要求</w:t>
      </w:r>
    </w:p>
    <w:p>
      <w:pPr>
        <w:spacing w:line="360" w:lineRule="auto"/>
        <w:ind w:firstLine="480" w:firstLineChars="200"/>
        <w:rPr>
          <w:rFonts w:ascii="宋体" w:hAnsi="宋体"/>
          <w:sz w:val="24"/>
          <w:szCs w:val="24"/>
        </w:rPr>
      </w:pPr>
      <w:r>
        <w:rPr>
          <w:rFonts w:hint="eastAsia" w:ascii="宋体" w:hAnsi="宋体"/>
          <w:sz w:val="24"/>
          <w:szCs w:val="24"/>
        </w:rPr>
        <w:t>招标方要求</w:t>
      </w:r>
      <w:r>
        <w:rPr>
          <w:rFonts w:hint="eastAsia" w:ascii="宋体" w:hAnsi="宋体"/>
          <w:sz w:val="24"/>
          <w:szCs w:val="24"/>
          <w:lang w:eastAsia="zh-CN"/>
        </w:rPr>
        <w:t>中标方</w:t>
      </w:r>
      <w:r>
        <w:rPr>
          <w:rFonts w:hint="eastAsia" w:ascii="宋体" w:hAnsi="宋体"/>
          <w:sz w:val="24"/>
          <w:szCs w:val="24"/>
        </w:rPr>
        <w:t>以市场化运作模式，招标方提供桥头镇分拣中心场地和建筑（暂定清洗场地内），</w:t>
      </w:r>
      <w:r>
        <w:rPr>
          <w:rFonts w:hint="eastAsia" w:ascii="宋体" w:hAnsi="宋体"/>
          <w:sz w:val="24"/>
          <w:szCs w:val="24"/>
          <w:lang w:eastAsia="zh-CN"/>
        </w:rPr>
        <w:t>中标方</w:t>
      </w:r>
      <w:r>
        <w:rPr>
          <w:rFonts w:hint="eastAsia" w:ascii="宋体" w:hAnsi="宋体"/>
          <w:sz w:val="24"/>
          <w:szCs w:val="24"/>
        </w:rPr>
        <w:t>负责完成分拣中心相关的设施设备、车辆、上墙制度及广告宣传，相关设计方案应充分考虑绿色、环保、垃圾分类等元素并征求招标方意见，经同意后方可施工。</w:t>
      </w:r>
    </w:p>
    <w:p>
      <w:pPr>
        <w:pStyle w:val="2"/>
        <w:spacing w:line="360" w:lineRule="auto"/>
        <w:ind w:firstLine="482"/>
        <w:rPr>
          <w:rFonts w:ascii="宋体" w:hAnsi="宋体" w:eastAsia="宋体"/>
          <w:b/>
          <w:bCs/>
          <w:szCs w:val="24"/>
        </w:rPr>
      </w:pPr>
      <w:r>
        <w:rPr>
          <w:rFonts w:hint="eastAsia" w:ascii="宋体" w:hAnsi="宋体" w:eastAsia="宋体"/>
          <w:b/>
          <w:bCs/>
          <w:szCs w:val="24"/>
        </w:rPr>
        <w:t>★要求</w:t>
      </w:r>
      <w:r>
        <w:rPr>
          <w:rFonts w:hint="eastAsia" w:ascii="宋体" w:hAnsi="宋体" w:eastAsia="宋体"/>
          <w:b/>
          <w:bCs/>
          <w:szCs w:val="24"/>
          <w:lang w:eastAsia="zh-CN"/>
        </w:rPr>
        <w:t>中标方</w:t>
      </w:r>
      <w:r>
        <w:rPr>
          <w:rFonts w:hint="eastAsia" w:ascii="宋体" w:hAnsi="宋体" w:eastAsia="宋体"/>
          <w:b/>
          <w:bCs/>
          <w:szCs w:val="24"/>
        </w:rPr>
        <w:t>配置再生资源分拣中心管理人员1人、出纳员1人、质检1人、打包员1人，分拣员2人，前端回收人员不得少于3人，人员费用包含：工资、社保、商业险、福利、高温、法定节假日加班、年终考核、服装费等。</w:t>
      </w:r>
    </w:p>
    <w:p>
      <w:pPr>
        <w:pStyle w:val="2"/>
        <w:spacing w:line="360" w:lineRule="auto"/>
        <w:ind w:firstLine="482"/>
        <w:rPr>
          <w:rFonts w:ascii="宋体" w:hAnsi="宋体" w:eastAsia="宋体"/>
          <w:b/>
          <w:bCs/>
          <w:szCs w:val="24"/>
        </w:rPr>
      </w:pPr>
      <w:r>
        <w:rPr>
          <w:rFonts w:hint="eastAsia" w:ascii="宋体" w:hAnsi="宋体" w:eastAsia="宋体"/>
          <w:b/>
          <w:bCs/>
          <w:szCs w:val="24"/>
        </w:rPr>
        <w:t>★要求</w:t>
      </w:r>
      <w:r>
        <w:rPr>
          <w:rFonts w:hint="eastAsia" w:ascii="宋体" w:hAnsi="宋体" w:eastAsia="宋体"/>
          <w:b/>
          <w:bCs/>
          <w:szCs w:val="24"/>
          <w:lang w:eastAsia="zh-CN"/>
        </w:rPr>
        <w:t>中标方</w:t>
      </w:r>
      <w:r>
        <w:rPr>
          <w:rFonts w:hint="eastAsia" w:ascii="宋体" w:hAnsi="宋体" w:eastAsia="宋体"/>
          <w:b/>
          <w:bCs/>
          <w:szCs w:val="24"/>
        </w:rPr>
        <w:t>在桥头镇投放玻璃、织物低值类回收柜200台，地磅1台，智能回收机2套，打包机1台，承诺分拣中心投入分选设备、叉抱车等设备。</w:t>
      </w:r>
    </w:p>
    <w:p>
      <w:pPr>
        <w:pStyle w:val="2"/>
        <w:spacing w:line="360" w:lineRule="auto"/>
        <w:ind w:firstLine="482"/>
        <w:rPr>
          <w:rFonts w:ascii="宋体" w:hAnsi="宋体" w:eastAsia="宋体"/>
          <w:b/>
          <w:bCs/>
          <w:szCs w:val="24"/>
        </w:rPr>
      </w:pPr>
      <w:r>
        <w:rPr>
          <w:rFonts w:hint="eastAsia" w:ascii="宋体" w:hAnsi="宋体" w:eastAsia="宋体"/>
          <w:b/>
          <w:bCs/>
          <w:szCs w:val="24"/>
        </w:rPr>
        <w:t>★要求包含智能软件费用，再生资源回收数据统计系统。</w:t>
      </w:r>
    </w:p>
    <w:p>
      <w:pPr>
        <w:pStyle w:val="2"/>
        <w:spacing w:line="360" w:lineRule="auto"/>
        <w:ind w:firstLine="0" w:firstLineChars="0"/>
        <w:rPr>
          <w:rFonts w:ascii="宋体" w:hAnsi="宋体" w:eastAsia="宋体"/>
          <w:b/>
          <w:bCs/>
          <w:szCs w:val="24"/>
        </w:rPr>
      </w:pPr>
      <w:r>
        <w:rPr>
          <w:rFonts w:hint="eastAsia" w:ascii="宋体" w:hAnsi="宋体" w:eastAsia="宋体"/>
          <w:b/>
          <w:bCs/>
          <w:szCs w:val="24"/>
        </w:rPr>
        <w:t>二、再生资源分拣中心运营工作要求</w:t>
      </w:r>
    </w:p>
    <w:p>
      <w:pPr>
        <w:spacing w:line="360" w:lineRule="auto"/>
        <w:ind w:firstLine="480" w:firstLineChars="200"/>
        <w:rPr>
          <w:rFonts w:ascii="宋体" w:hAnsi="宋体"/>
          <w:sz w:val="24"/>
          <w:szCs w:val="24"/>
        </w:rPr>
      </w:pPr>
      <w:r>
        <w:rPr>
          <w:rFonts w:hint="eastAsia" w:ascii="宋体" w:hAnsi="宋体"/>
          <w:sz w:val="24"/>
          <w:szCs w:val="24"/>
        </w:rPr>
        <w:t>分拣中心启用后，</w:t>
      </w:r>
      <w:r>
        <w:rPr>
          <w:rFonts w:hint="eastAsia" w:ascii="宋体" w:hAnsi="宋体"/>
          <w:sz w:val="24"/>
          <w:szCs w:val="24"/>
          <w:lang w:eastAsia="zh-CN"/>
        </w:rPr>
        <w:t>中标方</w:t>
      </w:r>
      <w:r>
        <w:rPr>
          <w:rFonts w:hint="eastAsia" w:ascii="宋体" w:hAnsi="宋体"/>
          <w:sz w:val="24"/>
          <w:szCs w:val="24"/>
        </w:rPr>
        <w:t>应完成覆盖桥头镇辖区内全类别可回收物的收集、分选及分拣中心管理，必须具备预约回收、上门流动回收、定时定点回收三种回收模式，可回收物后续处置需符合相关规程或有相应处置资质的合作企业。</w:t>
      </w:r>
    </w:p>
    <w:p>
      <w:pPr>
        <w:spacing w:line="360" w:lineRule="auto"/>
        <w:ind w:firstLine="480" w:firstLineChars="200"/>
        <w:rPr>
          <w:rFonts w:ascii="宋体" w:hAnsi="宋体"/>
          <w:sz w:val="24"/>
          <w:szCs w:val="24"/>
        </w:rPr>
      </w:pPr>
      <w:r>
        <w:rPr>
          <w:rFonts w:hint="eastAsia" w:ascii="宋体" w:hAnsi="宋体"/>
          <w:sz w:val="24"/>
          <w:szCs w:val="24"/>
          <w:lang w:eastAsia="zh-CN"/>
        </w:rPr>
        <w:t>中标方</w:t>
      </w:r>
      <w:r>
        <w:rPr>
          <w:rFonts w:hint="eastAsia" w:ascii="宋体" w:hAnsi="宋体"/>
          <w:sz w:val="24"/>
          <w:szCs w:val="24"/>
        </w:rPr>
        <w:t>应配合招标方做好桥头镇生活垃圾分类体系的建立和完善，并按要求向招标方定期报送垃圾分类相关数据报表。</w:t>
      </w:r>
    </w:p>
    <w:p>
      <w:pPr>
        <w:pStyle w:val="2"/>
        <w:spacing w:line="360" w:lineRule="auto"/>
        <w:ind w:firstLine="0" w:firstLineChars="0"/>
        <w:rPr>
          <w:b/>
          <w:bCs/>
          <w:szCs w:val="24"/>
        </w:rPr>
      </w:pPr>
      <w:r>
        <w:rPr>
          <w:rFonts w:hint="eastAsia"/>
          <w:b/>
          <w:bCs/>
          <w:szCs w:val="24"/>
        </w:rPr>
        <w:t>三、再生资源分拣中心运营其它要求</w:t>
      </w:r>
    </w:p>
    <w:p>
      <w:pPr>
        <w:spacing w:line="360" w:lineRule="auto"/>
        <w:ind w:firstLine="480" w:firstLineChars="200"/>
        <w:rPr>
          <w:rFonts w:ascii="宋体" w:hAnsi="宋体"/>
          <w:sz w:val="24"/>
          <w:szCs w:val="24"/>
        </w:rPr>
      </w:pPr>
      <w:r>
        <w:rPr>
          <w:rFonts w:hint="eastAsia" w:ascii="宋体" w:hAnsi="宋体"/>
          <w:sz w:val="24"/>
          <w:szCs w:val="24"/>
        </w:rPr>
        <w:t>分拣中心的维护和维修在质保期内由招标方负责，质保期后由</w:t>
      </w:r>
      <w:r>
        <w:rPr>
          <w:rFonts w:hint="eastAsia" w:ascii="宋体" w:hAnsi="宋体"/>
          <w:sz w:val="24"/>
          <w:szCs w:val="24"/>
          <w:lang w:eastAsia="zh-CN"/>
        </w:rPr>
        <w:t>中标方</w:t>
      </w:r>
      <w:r>
        <w:rPr>
          <w:rFonts w:hint="eastAsia" w:ascii="宋体" w:hAnsi="宋体"/>
          <w:sz w:val="24"/>
          <w:szCs w:val="24"/>
        </w:rPr>
        <w:t>对分拣中心进行必要的维护和维修，使其处于良好的运行状态，不得随意改变结构。因</w:t>
      </w:r>
      <w:r>
        <w:rPr>
          <w:rFonts w:hint="eastAsia" w:ascii="宋体" w:hAnsi="宋体"/>
          <w:sz w:val="24"/>
          <w:szCs w:val="24"/>
          <w:lang w:eastAsia="zh-CN"/>
        </w:rPr>
        <w:t>中标方</w:t>
      </w:r>
      <w:r>
        <w:rPr>
          <w:rFonts w:hint="eastAsia" w:ascii="宋体" w:hAnsi="宋体"/>
          <w:sz w:val="24"/>
          <w:szCs w:val="24"/>
        </w:rPr>
        <w:t>的管理、使用、维护不当等原因造成招标方资产受损或对他人造成人身伤害，由</w:t>
      </w:r>
      <w:r>
        <w:rPr>
          <w:rFonts w:hint="eastAsia" w:ascii="宋体" w:hAnsi="宋体"/>
          <w:sz w:val="24"/>
          <w:szCs w:val="24"/>
          <w:lang w:eastAsia="zh-CN"/>
        </w:rPr>
        <w:t>中标方</w:t>
      </w:r>
      <w:r>
        <w:rPr>
          <w:rFonts w:hint="eastAsia" w:ascii="宋体" w:hAnsi="宋体"/>
          <w:sz w:val="24"/>
          <w:szCs w:val="24"/>
        </w:rPr>
        <w:t>自行修复，赔偿相应的损失，承担相关责任。</w:t>
      </w:r>
    </w:p>
    <w:p>
      <w:pPr>
        <w:spacing w:line="360" w:lineRule="auto"/>
        <w:ind w:firstLine="480" w:firstLineChars="200"/>
        <w:rPr>
          <w:rFonts w:ascii="宋体" w:hAnsi="宋体" w:cs="宋体"/>
          <w:kern w:val="0"/>
          <w:sz w:val="24"/>
          <w:szCs w:val="24"/>
        </w:rPr>
      </w:pPr>
      <w:r>
        <w:rPr>
          <w:rFonts w:hint="eastAsia" w:ascii="宋体" w:hAnsi="宋体"/>
          <w:sz w:val="24"/>
          <w:szCs w:val="24"/>
          <w:lang w:eastAsia="zh-CN"/>
        </w:rPr>
        <w:t>中标方</w:t>
      </w:r>
      <w:r>
        <w:rPr>
          <w:rFonts w:hint="eastAsia" w:ascii="宋体" w:hAnsi="宋体"/>
          <w:sz w:val="24"/>
          <w:szCs w:val="24"/>
        </w:rPr>
        <w:t>应依法开展经营活动，企业内部管理、劳动用工、安全生产、环保等必须符合政府相关规定，经营过程中发生的一切事故及纠纷，均由</w:t>
      </w:r>
      <w:r>
        <w:rPr>
          <w:rFonts w:hint="eastAsia" w:ascii="宋体" w:hAnsi="宋体"/>
          <w:sz w:val="24"/>
          <w:szCs w:val="24"/>
          <w:lang w:eastAsia="zh-CN"/>
        </w:rPr>
        <w:t>中标方</w:t>
      </w:r>
      <w:r>
        <w:rPr>
          <w:rFonts w:hint="eastAsia" w:ascii="宋体" w:hAnsi="宋体"/>
          <w:sz w:val="24"/>
          <w:szCs w:val="24"/>
        </w:rPr>
        <w:t>自行承担相关经济责任及法律后果。</w:t>
      </w:r>
      <w:r>
        <w:rPr>
          <w:rFonts w:hint="eastAsia" w:ascii="宋体" w:hAnsi="宋体" w:cs="宋体"/>
          <w:sz w:val="24"/>
          <w:szCs w:val="24"/>
        </w:rPr>
        <w:t>分拣中心运营合同</w:t>
      </w:r>
      <w:r>
        <w:rPr>
          <w:rFonts w:hint="eastAsia" w:ascii="宋体" w:hAnsi="宋体" w:cs="宋体"/>
          <w:kern w:val="0"/>
          <w:sz w:val="24"/>
          <w:szCs w:val="24"/>
        </w:rPr>
        <w:t>期间发生的水、电等费用由</w:t>
      </w:r>
      <w:r>
        <w:rPr>
          <w:rFonts w:hint="eastAsia" w:ascii="宋体" w:hAnsi="宋体" w:cs="宋体"/>
          <w:kern w:val="0"/>
          <w:sz w:val="24"/>
          <w:szCs w:val="24"/>
          <w:lang w:eastAsia="zh-CN"/>
        </w:rPr>
        <w:t>中标方</w:t>
      </w:r>
      <w:r>
        <w:rPr>
          <w:rFonts w:hint="eastAsia" w:ascii="宋体" w:hAnsi="宋体" w:cs="宋体"/>
          <w:kern w:val="0"/>
          <w:sz w:val="24"/>
          <w:szCs w:val="24"/>
        </w:rPr>
        <w:t>承担。</w:t>
      </w:r>
    </w:p>
    <w:p>
      <w:pPr>
        <w:spacing w:line="360" w:lineRule="auto"/>
        <w:rPr>
          <w:rFonts w:ascii="宋体" w:hAnsi="宋体" w:cs="宋体"/>
          <w:b/>
          <w:bCs/>
          <w:sz w:val="24"/>
          <w:szCs w:val="24"/>
        </w:rPr>
      </w:pPr>
      <w:r>
        <w:rPr>
          <w:rFonts w:hint="eastAsia" w:ascii="宋体" w:hAnsi="宋体" w:cs="宋体"/>
          <w:b/>
          <w:bCs/>
          <w:sz w:val="24"/>
          <w:szCs w:val="24"/>
        </w:rPr>
        <w:t>四、低价值可回收物回收工作</w:t>
      </w:r>
    </w:p>
    <w:p>
      <w:pPr>
        <w:ind w:firstLine="420"/>
        <w:rPr>
          <w:rFonts w:ascii="宋体" w:hAnsi="宋体"/>
          <w:b/>
          <w:bCs/>
          <w:sz w:val="24"/>
          <w:szCs w:val="24"/>
        </w:rPr>
      </w:pPr>
      <w:r>
        <w:rPr>
          <w:rFonts w:hint="eastAsia" w:ascii="宋体" w:hAnsi="宋体" w:cs="宋体"/>
          <w:sz w:val="24"/>
          <w:szCs w:val="24"/>
        </w:rPr>
        <w:t>低价值可回收物，指具有一定循环利用价值，单纯依靠市场调节难以有效回收处理，需要经过规模化回收，集中处理才能够重新获得循环使用价值的废玻璃类、废木质类、废织物类等固体废物，要求以流动回收和投放不少于200台智能回收柜的模式，完成覆盖桥头镇的低价值可回收物回收工作。</w:t>
      </w:r>
    </w:p>
    <w:p>
      <w:pPr>
        <w:pStyle w:val="166"/>
        <w:tabs>
          <w:tab w:val="left" w:pos="2210"/>
        </w:tabs>
        <w:autoSpaceDN w:val="0"/>
        <w:adjustRightInd w:val="0"/>
        <w:snapToGrid w:val="0"/>
        <w:spacing w:line="360" w:lineRule="auto"/>
        <w:rPr>
          <w:rFonts w:hint="eastAsia" w:ascii="宋体" w:hAnsi="宋体"/>
          <w:b/>
          <w:bCs/>
          <w:sz w:val="24"/>
          <w:szCs w:val="24"/>
          <w:lang w:eastAsia="zh-CN"/>
        </w:rPr>
      </w:pPr>
    </w:p>
    <w:p>
      <w:pPr>
        <w:pStyle w:val="166"/>
        <w:autoSpaceDN w:val="0"/>
        <w:adjustRightInd w:val="0"/>
        <w:snapToGrid w:val="0"/>
        <w:spacing w:line="360" w:lineRule="auto"/>
        <w:jc w:val="center"/>
        <w:rPr>
          <w:rFonts w:ascii="宋体" w:hAnsi="宋体"/>
        </w:rPr>
      </w:pPr>
      <w:r>
        <w:rPr>
          <w:rFonts w:hint="eastAsia" w:ascii="宋体" w:hAnsi="宋体"/>
          <w:b/>
          <w:bCs/>
          <w:sz w:val="24"/>
          <w:szCs w:val="24"/>
        </w:rPr>
        <w:t>第六节 商铺上门收集、垃圾分类项目招标内容与服务要求</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要求对桥头镇建成区商铺开辟源头垃圾分类攻克深化推进服务，争取5个月内实现建成区源头垃圾分类（厨余垃圾和其他垃圾的分类）完成率90%以上。</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具体要求如下：</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一、所有建成区商铺配置专人上门对2分类实行上门收集模式，并对商铺分类情况，要求中标方具备互联网评分统计系统，期间商铺的上门动员和告知工作。要求配置上门收集专员1人，</w:t>
      </w:r>
      <w:r>
        <w:rPr>
          <w:rFonts w:hint="eastAsia" w:ascii="宋体" w:hAnsi="宋体" w:cs="宋体"/>
          <w:color w:val="000000"/>
          <w:spacing w:val="6"/>
          <w:sz w:val="24"/>
          <w:szCs w:val="24"/>
        </w:rPr>
        <w:t>商铺回收要求250户。</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二、上门宣传由中标方负责，一年不少于</w:t>
      </w:r>
      <w:r>
        <w:rPr>
          <w:rFonts w:hint="eastAsia" w:ascii="宋体" w:hAnsi="宋体" w:cs="宋体"/>
          <w:spacing w:val="6"/>
          <w:sz w:val="24"/>
          <w:szCs w:val="24"/>
          <w:lang w:val="en-US" w:eastAsia="zh-CN"/>
        </w:rPr>
        <w:t>4</w:t>
      </w:r>
      <w:r>
        <w:rPr>
          <w:rFonts w:hint="eastAsia" w:ascii="宋体" w:hAnsi="宋体" w:cs="宋体"/>
          <w:spacing w:val="6"/>
          <w:sz w:val="24"/>
          <w:szCs w:val="24"/>
        </w:rPr>
        <w:t>次。</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三、由中标方做好商户垃圾分类宣传、指导、质检、评分、记录工作。</w:t>
      </w:r>
    </w:p>
    <w:p>
      <w:pPr>
        <w:spacing w:line="360" w:lineRule="auto"/>
        <w:ind w:firstLine="506" w:firstLineChars="200"/>
        <w:rPr>
          <w:rFonts w:ascii="宋体" w:hAnsi="宋体" w:cs="宋体"/>
          <w:b/>
          <w:bCs/>
          <w:spacing w:val="6"/>
          <w:sz w:val="24"/>
          <w:szCs w:val="24"/>
        </w:rPr>
      </w:pPr>
      <w:r>
        <w:rPr>
          <w:rFonts w:hint="eastAsia" w:ascii="宋体" w:hAnsi="宋体" w:cs="宋体"/>
          <w:b/>
          <w:bCs/>
          <w:spacing w:val="6"/>
          <w:sz w:val="24"/>
          <w:szCs w:val="24"/>
        </w:rPr>
        <w:t>1、专人+专车每日对建成区商铺上门回收厨余垃圾和其他垃圾，配置二分类收集车辆，人员工资、社保、福利、高温、法定、年终、服装等费用包含在测算。</w:t>
      </w:r>
    </w:p>
    <w:p>
      <w:pPr>
        <w:spacing w:line="360" w:lineRule="auto"/>
        <w:ind w:firstLine="506" w:firstLineChars="200"/>
        <w:rPr>
          <w:rFonts w:ascii="宋体" w:hAnsi="宋体" w:cs="宋体"/>
          <w:b/>
          <w:bCs/>
          <w:spacing w:val="6"/>
          <w:sz w:val="24"/>
          <w:szCs w:val="24"/>
        </w:rPr>
      </w:pPr>
      <w:r>
        <w:rPr>
          <w:rFonts w:hint="eastAsia" w:ascii="宋体" w:hAnsi="宋体" w:cs="宋体"/>
          <w:b/>
          <w:bCs/>
          <w:spacing w:val="6"/>
          <w:sz w:val="24"/>
          <w:szCs w:val="24"/>
        </w:rPr>
        <w:t>2、开发沿街商铺垃圾上门收集系统，包含在测算；</w:t>
      </w:r>
    </w:p>
    <w:p>
      <w:pPr>
        <w:spacing w:line="360" w:lineRule="auto"/>
        <w:ind w:left="210" w:firstLine="253" w:firstLineChars="100"/>
        <w:rPr>
          <w:rFonts w:ascii="宋体" w:hAnsi="宋体" w:cs="宋体"/>
          <w:b/>
          <w:bCs/>
          <w:spacing w:val="6"/>
          <w:sz w:val="24"/>
          <w:szCs w:val="24"/>
        </w:rPr>
      </w:pPr>
      <w:r>
        <w:rPr>
          <w:rFonts w:hint="eastAsia" w:ascii="宋体" w:hAnsi="宋体" w:cs="宋体"/>
          <w:b/>
          <w:bCs/>
          <w:spacing w:val="6"/>
          <w:sz w:val="24"/>
          <w:szCs w:val="24"/>
        </w:rPr>
        <w:t>3、设立商户环境反馈二维码，每日监控记录分类情况，包含在测算；</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以每个商铺为一个单位，采用垃圾分类评分制度。每天上门回收垃圾，垃圾分类回收人员对垃圾进行破袋质检回收，根据分类标准对每户进行扫码评分。按月统计，根据每月积分前三评选出垃圾分类优秀商铺，以资鼓励；积分后5名，商讨原因，结合实际情况，更好去完善垃圾分类工作。</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四、要求建立垃圾分类持续宣传、巩固方案，打造特色垃圾分类氛围</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（一）制定公共宣传方案（要求覆盖面广、力度大）：</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（二）要求垃圾分类上门宣传</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垃圾分类宣传督导一年6次，让居民养成垃圾分类习惯，要求建立垃圾分类持续宣传、巩固方案，打造特色垃圾分类方案：</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（1）制定公共宣传方案（要求覆盖面广、力度大）</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（2）做到“手把手”宣传指导，做好整个区域的垃圾分类工作。</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1）制定垃圾分类倡议书（第一次活动、培训）；</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2）“手把手”宣传：对桥头镇居民、商铺每户分类情况进行手把手的现场宣传、指导，纠正错误的分类情况。</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3）制定并实施每月的垃圾分类培训+活动（评选垃圾分类优秀商铺）目标完成后，总结经验，建立长效巩固机制和可持续运营方案。</w:t>
      </w:r>
    </w:p>
    <w:p>
      <w:pPr>
        <w:pStyle w:val="2"/>
        <w:spacing w:line="360" w:lineRule="auto"/>
        <w:ind w:firstLine="0" w:firstLineChars="0"/>
        <w:jc w:val="center"/>
        <w:rPr>
          <w:rFonts w:hint="default" w:ascii="宋体" w:hAnsi="宋体" w:eastAsia="宋体" w:cs="Times New Roman"/>
          <w:color w:val="auto"/>
          <w:kern w:val="0"/>
          <w:sz w:val="22"/>
          <w:szCs w:val="22"/>
          <w:highlight w:val="none"/>
          <w:lang w:val="en-US" w:eastAsia="zh-CN" w:bidi="ar-SA"/>
        </w:rPr>
      </w:pPr>
      <w:r>
        <w:rPr>
          <w:rFonts w:hint="eastAsia" w:ascii="宋体" w:hAnsi="宋体" w:eastAsia="宋体" w:cs="宋体"/>
          <w:b/>
          <w:bCs/>
          <w:color w:val="auto"/>
          <w:spacing w:val="-16"/>
          <w:sz w:val="28"/>
          <w:szCs w:val="28"/>
          <w:highlight w:val="none"/>
          <w:lang w:val="en-US" w:eastAsia="zh-CN"/>
        </w:rPr>
        <w:br w:type="page"/>
      </w:r>
      <w:r>
        <w:rPr>
          <w:rFonts w:hint="eastAsia" w:ascii="宋体" w:hAnsi="宋体" w:eastAsia="宋体" w:cs="宋体"/>
          <w:b/>
          <w:bCs/>
          <w:color w:val="auto"/>
          <w:spacing w:val="-16"/>
          <w:sz w:val="28"/>
          <w:szCs w:val="28"/>
          <w:highlight w:val="none"/>
          <w:lang w:val="en-US" w:eastAsia="zh-CN"/>
        </w:rPr>
        <w:t>监督考核细则</w:t>
      </w:r>
    </w:p>
    <w:p>
      <w:pPr>
        <w:pStyle w:val="2"/>
        <w:spacing w:line="360" w:lineRule="auto"/>
        <w:ind w:firstLine="440" w:firstLineChars="200"/>
        <w:jc w:val="left"/>
        <w:rPr>
          <w:rFonts w:hint="default" w:ascii="宋体" w:hAnsi="宋体" w:cs="Times New Roman"/>
          <w:color w:val="auto"/>
          <w:kern w:val="0"/>
          <w:sz w:val="22"/>
          <w:szCs w:val="22"/>
          <w:highlight w:val="none"/>
          <w:lang w:val="en-US" w:eastAsia="zh-CN" w:bidi="ar-SA"/>
        </w:rPr>
      </w:pPr>
      <w:r>
        <w:rPr>
          <w:rFonts w:hint="eastAsia" w:ascii="宋体" w:hAnsi="宋体" w:cs="Times New Roman"/>
          <w:color w:val="auto"/>
          <w:kern w:val="0"/>
          <w:sz w:val="22"/>
          <w:szCs w:val="22"/>
          <w:highlight w:val="none"/>
          <w:lang w:val="en-US" w:eastAsia="zh-CN" w:bidi="ar-SA"/>
        </w:rPr>
        <w:t>为加强慈溪市桥头镇</w:t>
      </w:r>
      <w:r>
        <w:rPr>
          <w:rFonts w:hint="eastAsia" w:ascii="宋体" w:hAnsi="宋体" w:cs="Times New Roman"/>
          <w:b/>
          <w:bCs/>
          <w:color w:val="auto"/>
          <w:kern w:val="0"/>
          <w:sz w:val="22"/>
          <w:szCs w:val="22"/>
          <w:highlight w:val="none"/>
          <w:lang w:val="en-US" w:eastAsia="zh-CN" w:bidi="ar-SA"/>
        </w:rPr>
        <w:t>慈溪市桥头镇“无废绿色乡镇”建设服务采购项目</w:t>
      </w:r>
      <w:r>
        <w:rPr>
          <w:rFonts w:hint="eastAsia" w:ascii="宋体" w:hAnsi="宋体" w:cs="Times New Roman"/>
          <w:b w:val="0"/>
          <w:bCs w:val="0"/>
          <w:color w:val="auto"/>
          <w:kern w:val="0"/>
          <w:sz w:val="22"/>
          <w:szCs w:val="22"/>
          <w:highlight w:val="none"/>
          <w:lang w:val="en-US" w:eastAsia="zh-CN" w:bidi="ar-SA"/>
        </w:rPr>
        <w:t>的</w:t>
      </w:r>
      <w:r>
        <w:rPr>
          <w:rFonts w:hint="eastAsia" w:ascii="宋体" w:hAnsi="宋体" w:cs="Times New Roman"/>
          <w:color w:val="auto"/>
          <w:kern w:val="0"/>
          <w:sz w:val="22"/>
          <w:szCs w:val="22"/>
          <w:highlight w:val="none"/>
          <w:lang w:val="en-US" w:eastAsia="zh-CN" w:bidi="ar-SA"/>
        </w:rPr>
        <w:t>管理，约束服务过程中的不文明行为，提高中标方人员的工作责任心，促进各项工作的有序开展，特对投标方制订以下考核细则：</w:t>
      </w:r>
    </w:p>
    <w:tbl>
      <w:tblPr>
        <w:tblStyle w:val="44"/>
        <w:tblW w:w="9505"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37"/>
        <w:gridCol w:w="231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Fonts w:ascii="宋体" w:hAnsi="宋体"/>
                <w:b/>
                <w:bCs/>
                <w:color w:val="auto"/>
                <w:sz w:val="21"/>
                <w:szCs w:val="21"/>
                <w:highlight w:val="none"/>
              </w:rPr>
            </w:pPr>
            <w:r>
              <w:rPr>
                <w:rFonts w:hint="eastAsia" w:ascii="宋体" w:hAnsi="宋体"/>
                <w:b/>
                <w:bCs/>
                <w:color w:val="auto"/>
                <w:sz w:val="21"/>
                <w:szCs w:val="21"/>
                <w:highlight w:val="none"/>
              </w:rPr>
              <w:t>序号</w:t>
            </w:r>
          </w:p>
        </w:tc>
        <w:tc>
          <w:tcPr>
            <w:tcW w:w="4937" w:type="dxa"/>
            <w:tcBorders>
              <w:top w:val="single" w:color="auto" w:sz="4" w:space="0"/>
              <w:left w:val="nil"/>
              <w:bottom w:val="single" w:color="auto" w:sz="4" w:space="0"/>
              <w:right w:val="single" w:color="auto" w:sz="4" w:space="0"/>
            </w:tcBorders>
            <w:noWrap w:val="0"/>
            <w:vAlign w:val="center"/>
          </w:tcPr>
          <w:p>
            <w:pPr>
              <w:widowControl/>
              <w:ind w:firstLine="420"/>
              <w:jc w:val="center"/>
              <w:rPr>
                <w:rFonts w:ascii="宋体" w:hAnsi="宋体"/>
                <w:b/>
                <w:bCs/>
                <w:color w:val="auto"/>
                <w:sz w:val="21"/>
                <w:szCs w:val="21"/>
                <w:highlight w:val="none"/>
              </w:rPr>
            </w:pPr>
            <w:r>
              <w:rPr>
                <w:rFonts w:hint="eastAsia" w:ascii="宋体" w:hAnsi="宋体"/>
                <w:b/>
                <w:bCs/>
                <w:color w:val="auto"/>
                <w:sz w:val="21"/>
                <w:szCs w:val="21"/>
                <w:highlight w:val="none"/>
              </w:rPr>
              <w:t>考核内容</w:t>
            </w:r>
          </w:p>
        </w:tc>
        <w:tc>
          <w:tcPr>
            <w:tcW w:w="2310" w:type="dxa"/>
            <w:tcBorders>
              <w:top w:val="single" w:color="auto" w:sz="4" w:space="0"/>
              <w:left w:val="nil"/>
              <w:bottom w:val="single" w:color="auto" w:sz="4" w:space="0"/>
              <w:right w:val="single" w:color="auto" w:sz="4" w:space="0"/>
            </w:tcBorders>
            <w:noWrap w:val="0"/>
            <w:vAlign w:val="center"/>
          </w:tcPr>
          <w:p>
            <w:pPr>
              <w:widowControl/>
              <w:ind w:firstLine="632" w:firstLineChars="300"/>
              <w:rPr>
                <w:rFonts w:ascii="宋体" w:hAnsi="宋体"/>
                <w:b/>
                <w:bCs/>
                <w:color w:val="auto"/>
                <w:sz w:val="21"/>
                <w:szCs w:val="21"/>
                <w:highlight w:val="none"/>
              </w:rPr>
            </w:pPr>
            <w:r>
              <w:rPr>
                <w:rFonts w:hint="eastAsia" w:ascii="宋体" w:hAnsi="宋体"/>
                <w:b/>
                <w:bCs/>
                <w:color w:val="auto"/>
                <w:sz w:val="21"/>
                <w:szCs w:val="21"/>
                <w:highlight w:val="none"/>
              </w:rPr>
              <w:t>考核标准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211" w:firstLineChars="100"/>
              <w:rPr>
                <w:rFonts w:ascii="宋体" w:hAnsi="宋体"/>
                <w:b/>
                <w:bCs/>
                <w:color w:val="auto"/>
                <w:sz w:val="21"/>
                <w:szCs w:val="21"/>
                <w:highlight w:val="none"/>
              </w:rPr>
            </w:pPr>
            <w:r>
              <w:rPr>
                <w:rFonts w:hint="eastAsia" w:ascii="宋体" w:hAnsi="宋体"/>
                <w:b/>
                <w:bCs/>
                <w:color w:val="auto"/>
                <w:sz w:val="21"/>
                <w:szCs w:val="21"/>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一、</w:t>
            </w:r>
            <w:r>
              <w:rPr>
                <w:rFonts w:hint="eastAsia" w:ascii="Times New Roman" w:hAnsi="Times New Roman" w:eastAsia="方正书宋简体" w:cs="Times New Roman"/>
                <w:b/>
                <w:bCs/>
                <w:color w:val="auto"/>
                <w:kern w:val="2"/>
                <w:sz w:val="21"/>
                <w:szCs w:val="21"/>
                <w:highlight w:val="none"/>
                <w:lang w:val="en-US" w:eastAsia="zh-CN" w:bidi="ar-SA"/>
              </w:rPr>
              <w:t>智慧环卫一体化管理中心</w:t>
            </w:r>
            <w:r>
              <w:rPr>
                <w:rFonts w:hint="eastAsia"/>
                <w:b/>
                <w:bCs/>
                <w:color w:val="auto"/>
                <w:sz w:val="21"/>
                <w:szCs w:val="21"/>
                <w:highlight w:val="none"/>
                <w:lang w:val="en-US" w:eastAsia="zh-CN"/>
              </w:rPr>
              <w:t>服务考核细则（总分18分）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通过信息系统的信息存储和信息查询，实现对历史数据按期或实时的统计，保证作业考核的公平和公开。</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未完成</w:t>
            </w:r>
            <w:r>
              <w:rPr>
                <w:rFonts w:hint="eastAsia" w:ascii="宋体" w:hAnsi="宋体"/>
                <w:color w:val="auto"/>
                <w:sz w:val="21"/>
                <w:szCs w:val="21"/>
                <w:highlight w:val="none"/>
              </w:rPr>
              <w:t>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系统实现对各阶段垃圾量进行对比、监管，确保垃圾全部进入末端处置点。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未完成</w:t>
            </w:r>
            <w:r>
              <w:rPr>
                <w:rFonts w:hint="eastAsia" w:ascii="宋体" w:hAnsi="宋体"/>
                <w:color w:val="auto"/>
                <w:sz w:val="21"/>
                <w:szCs w:val="21"/>
                <w:highlight w:val="none"/>
              </w:rPr>
              <w:t>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系统实现标识清运车辆的作业轨迹，</w:t>
            </w:r>
            <w:r>
              <w:rPr>
                <w:rFonts w:hint="default" w:ascii="宋体" w:hAnsi="宋体"/>
                <w:color w:val="auto"/>
                <w:sz w:val="21"/>
                <w:szCs w:val="21"/>
                <w:highlight w:val="none"/>
                <w:lang w:val="en-US" w:eastAsia="zh-CN"/>
              </w:rPr>
              <w:t>可基于地图对作业过程进行回放。</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未完成</w:t>
            </w:r>
            <w:r>
              <w:rPr>
                <w:rFonts w:hint="eastAsia" w:ascii="宋体" w:hAnsi="宋体"/>
                <w:color w:val="auto"/>
                <w:sz w:val="21"/>
                <w:szCs w:val="21"/>
                <w:highlight w:val="none"/>
              </w:rPr>
              <w:t>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系统实现对一线环卫工人及基层管理人员的实时监督及统一管理。</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未完成</w:t>
            </w:r>
            <w:r>
              <w:rPr>
                <w:rFonts w:hint="eastAsia" w:ascii="宋体" w:hAnsi="宋体"/>
                <w:color w:val="auto"/>
                <w:sz w:val="21"/>
                <w:szCs w:val="21"/>
                <w:highlight w:val="none"/>
              </w:rPr>
              <w:t>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操作人员没有无故迟到或早退现象，上班时间不得做与工作无关之事。</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操作人员对管理中心进行日常维护、运行管理，使其处于良好的运行状态，不得恶意损坏。</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每</w:t>
            </w:r>
            <w:r>
              <w:rPr>
                <w:rFonts w:hint="eastAsia" w:ascii="宋体" w:hAnsi="宋体"/>
                <w:color w:val="auto"/>
                <w:sz w:val="21"/>
                <w:szCs w:val="21"/>
                <w:highlight w:val="none"/>
              </w:rPr>
              <w:t>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pStyle w:val="166"/>
              <w:numPr>
                <w:ilvl w:val="0"/>
                <w:numId w:val="0"/>
              </w:numPr>
              <w:autoSpaceDN w:val="0"/>
              <w:adjustRightInd w:val="0"/>
              <w:snapToGrid w:val="0"/>
              <w:spacing w:line="30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二、智慧环卫一体化服务项目</w:t>
            </w:r>
            <w:r>
              <w:rPr>
                <w:rFonts w:hint="eastAsia" w:ascii="Times New Roman" w:hAnsi="Times New Roman" w:eastAsia="宋体" w:cs="Times New Roman"/>
                <w:b/>
                <w:bCs/>
                <w:color w:val="auto"/>
                <w:kern w:val="2"/>
                <w:sz w:val="21"/>
                <w:szCs w:val="21"/>
                <w:highlight w:val="none"/>
                <w:lang w:val="en-US" w:eastAsia="zh-CN" w:bidi="ar-SA"/>
              </w:rPr>
              <w:t>考核细则（总分</w:t>
            </w:r>
            <w:r>
              <w:rPr>
                <w:rFonts w:hint="eastAsia" w:ascii="Times New Roman" w:hAnsi="Times New Roman" w:cs="Times New Roman"/>
                <w:b/>
                <w:bCs/>
                <w:color w:val="auto"/>
                <w:kern w:val="2"/>
                <w:sz w:val="21"/>
                <w:szCs w:val="21"/>
                <w:highlight w:val="none"/>
                <w:lang w:val="en-US" w:eastAsia="zh-CN" w:bidi="ar-SA"/>
              </w:rPr>
              <w:t>28</w:t>
            </w:r>
            <w:r>
              <w:rPr>
                <w:rFonts w:hint="eastAsia" w:ascii="Times New Roman" w:hAnsi="Times New Roman" w:eastAsia="宋体" w:cs="Times New Roman"/>
                <w:b/>
                <w:bCs/>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rPr>
              <w:t>工作人员按规定着装，做到规范整洁，穿戴反光安全标志的服装</w:t>
            </w:r>
            <w:r>
              <w:rPr>
                <w:rFonts w:hint="eastAsia" w:ascii="宋体" w:hAnsi="宋体"/>
                <w:color w:val="auto"/>
                <w:sz w:val="21"/>
                <w:szCs w:val="21"/>
                <w:highlight w:val="none"/>
                <w:lang w:eastAsia="zh-CN"/>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rPr>
              <w:t>工作人员按招标文件配备到位，不得擅离职守。</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保洁车辆按招标文件配备到位，保持车辆整洁，作业过程中按规定停放车辆。</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每发现一次扣1分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中标方按招标文件要求的路段，按规定路线洒水、机扫。</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未按规定路线作业的，</w:t>
            </w: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对于环卫站中日常检查的问题及时改正。</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未及时改正到位的，</w:t>
            </w:r>
          </w:p>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rPr>
              <w:t>在镇级主管部门检查中</w:t>
            </w:r>
            <w:r>
              <w:rPr>
                <w:rFonts w:hint="eastAsia" w:ascii="宋体" w:hAnsi="宋体"/>
                <w:color w:val="auto"/>
                <w:sz w:val="21"/>
                <w:szCs w:val="21"/>
                <w:highlight w:val="none"/>
                <w:lang w:val="en-US" w:eastAsia="zh-CN"/>
              </w:rPr>
              <w:t>被</w:t>
            </w:r>
            <w:r>
              <w:rPr>
                <w:rFonts w:hint="eastAsia" w:ascii="宋体" w:hAnsi="宋体"/>
                <w:color w:val="auto"/>
                <w:sz w:val="21"/>
                <w:szCs w:val="21"/>
                <w:highlight w:val="none"/>
              </w:rPr>
              <w:t>发现问题并发督查单</w:t>
            </w:r>
            <w:r>
              <w:rPr>
                <w:rFonts w:hint="eastAsia" w:ascii="宋体" w:hAnsi="宋体"/>
                <w:color w:val="auto"/>
                <w:sz w:val="21"/>
                <w:szCs w:val="21"/>
                <w:highlight w:val="none"/>
                <w:lang w:eastAsia="zh-CN"/>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每发现一次扣2分，</w:t>
            </w:r>
          </w:p>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并要求及时改正到位</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color w:val="auto"/>
                <w:sz w:val="21"/>
                <w:szCs w:val="21"/>
                <w:highlight w:val="none"/>
                <w:lang w:val="en-US" w:eastAsia="zh-CN"/>
              </w:rPr>
              <w:t>在</w:t>
            </w:r>
            <w:r>
              <w:rPr>
                <w:rFonts w:hint="eastAsia"/>
                <w:color w:val="auto"/>
                <w:sz w:val="21"/>
                <w:szCs w:val="21"/>
                <w:highlight w:val="none"/>
              </w:rPr>
              <w:t>市级部门检查中发现问题的</w:t>
            </w:r>
            <w:r>
              <w:rPr>
                <w:rFonts w:hint="eastAsia"/>
                <w:color w:val="auto"/>
                <w:sz w:val="21"/>
                <w:szCs w:val="21"/>
                <w:highlight w:val="none"/>
                <w:lang w:eastAsia="zh-CN"/>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每发现一次扣2分，</w:t>
            </w:r>
          </w:p>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并要求及时改正到位</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rPr>
              <w:t>被市级主要媒体爆光并经查实的</w:t>
            </w:r>
            <w:r>
              <w:rPr>
                <w:rFonts w:hint="eastAsia" w:ascii="宋体" w:hAnsi="宋体"/>
                <w:color w:val="auto"/>
                <w:sz w:val="21"/>
                <w:szCs w:val="21"/>
                <w:highlight w:val="none"/>
                <w:lang w:eastAsia="zh-CN"/>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每发现一次扣2分，</w:t>
            </w:r>
          </w:p>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并要求及时改正到位。</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从业人员垃圾分类知晓率、准确率100%。</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每发现一次扣2分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10</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随机抽查桥头镇内群众，了解工作满意率及情况，满意率达90%以上为合格。</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招标方提供的机扫车、洒水车定期进行保养维修，并提供相关发票及单据备查，车辆保持清洁卫生。</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机扫、洒水车辆按要求确保GPS定位系统运行正常。</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机扫、洒水车发生保险理赔。</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rPr>
              <w:t>其他违规情况。</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每发现一次扣3分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olor w:val="auto"/>
                <w:sz w:val="21"/>
                <w:szCs w:val="21"/>
                <w:highlight w:val="none"/>
                <w:lang w:val="en-US" w:eastAsia="zh-CN"/>
              </w:rPr>
            </w:pPr>
            <w:r>
              <w:rPr>
                <w:rFonts w:hint="eastAsia" w:ascii="Times New Roman" w:hAnsi="Times New Roman" w:cs="Times New Roman"/>
                <w:b/>
                <w:bCs/>
                <w:color w:val="auto"/>
                <w:kern w:val="2"/>
                <w:sz w:val="21"/>
                <w:szCs w:val="21"/>
                <w:highlight w:val="none"/>
                <w:lang w:val="en-US" w:eastAsia="zh-CN" w:bidi="ar-SA"/>
              </w:rPr>
              <w:t>三、</w:t>
            </w:r>
            <w:r>
              <w:rPr>
                <w:rFonts w:hint="eastAsia" w:ascii="Times New Roman" w:hAnsi="Times New Roman" w:eastAsia="宋体" w:cs="Times New Roman"/>
                <w:b/>
                <w:bCs/>
                <w:color w:val="auto"/>
                <w:kern w:val="2"/>
                <w:sz w:val="21"/>
                <w:szCs w:val="21"/>
                <w:highlight w:val="none"/>
                <w:lang w:val="en-US" w:eastAsia="zh-CN" w:bidi="ar-SA"/>
              </w:rPr>
              <w:t>环卫垃圾智慧收运管理项目服务考核细则（总分</w:t>
            </w:r>
            <w:r>
              <w:rPr>
                <w:rFonts w:hint="eastAsia" w:ascii="Times New Roman" w:hAnsi="Times New Roman" w:cs="Times New Roman"/>
                <w:b/>
                <w:bCs/>
                <w:color w:val="auto"/>
                <w:kern w:val="2"/>
                <w:sz w:val="21"/>
                <w:szCs w:val="21"/>
                <w:highlight w:val="none"/>
                <w:lang w:val="en-US" w:eastAsia="zh-CN" w:bidi="ar-SA"/>
              </w:rPr>
              <w:t>28</w:t>
            </w:r>
            <w:r>
              <w:rPr>
                <w:rFonts w:hint="eastAsia" w:ascii="Times New Roman" w:hAnsi="Times New Roman" w:eastAsia="宋体" w:cs="Times New Roman"/>
                <w:b/>
                <w:bCs/>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工作人员按规定着装，做到规范整洁，穿戴反光安全标志的服装。</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工作人员按招标文件配备到位，不得擅离职守。</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按垃圾分类要求进行分类运输，无“混装、混收、混运”现象，每一个垃圾桶每天至少清运一次，重点路段重点时段要增加清运次数，确保垃圾桶不满溢。做到垃圾桶标识清楚，外观整洁外，无残缺破损，投放点周边环境干净。</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垃圾桶满溢，标识模糊，外观脏、残缺破损，投放点周边脏乱差的，每次扣1分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垃圾桶要按垃圾分类要求区分颜色有序摆放，有围栏的须把桶放入围栏并且桶背朝外。</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每发现一次垃圾桶</w:t>
            </w:r>
          </w:p>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错误摆放的扣1分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以桶换桶作业过程中不得发生吊挂、飘洒、滴漏、随意停放影响交通等现象。</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垃圾倾倒要规范合理，轻拿轻放，严禁脚踢踹、抛、扔、摔等有损垃圾桶的行为。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垃圾桶清洗要干净彻底，对桶口、桶盖把手、桶外表面等重点部位要重点擦拭清洗，确保垃圾桶外观光洁内部整洁。垃圾桶围挡及围挡内外周边场地干净整洁。</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厨余垃圾运输运送到指定位置，不得“混装、混运”。</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rPr>
              <w:t>未按规定</w:t>
            </w:r>
            <w:r>
              <w:rPr>
                <w:rFonts w:hint="eastAsia" w:ascii="宋体" w:hAnsi="宋体"/>
                <w:color w:val="auto"/>
                <w:sz w:val="21"/>
                <w:szCs w:val="21"/>
                <w:highlight w:val="none"/>
                <w:lang w:val="en-US" w:eastAsia="zh-CN"/>
              </w:rPr>
              <w:t>操作的，</w:t>
            </w:r>
          </w:p>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每发现一次扣1分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运输车压缩完成后应关闭排污口，在运输过程中不得有滴、漏、酒等现象。</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运输途中不得大面积撒漏，不得造成严重污染。</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做好垃圾中转站可回收物暂存点和有害垃圾储存点，日常管理并做好台账记录、制度上墙。</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未按规定</w:t>
            </w:r>
            <w:r>
              <w:rPr>
                <w:rFonts w:hint="eastAsia" w:ascii="宋体" w:hAnsi="宋体"/>
                <w:color w:val="auto"/>
                <w:sz w:val="21"/>
                <w:szCs w:val="21"/>
                <w:highlight w:val="none"/>
                <w:lang w:val="en-US" w:eastAsia="zh-CN"/>
              </w:rPr>
              <w:t>做好日常管理，有破损的，</w:t>
            </w: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未做台账的、制度未上墙的，每发现一次扣2分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从业人员垃圾分类知晓率、准确率100%。</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13</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招标方提供的清运车定期进行保养维修，并提供相关发票及单据备查，清运车辆保持清洁卫生。</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清运车辆按要求确保GPS定位系统运行正常。</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清运车严禁私自用于其它途径的。</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w:t>
            </w:r>
          </w:p>
        </w:tc>
        <w:tc>
          <w:tcPr>
            <w:tcW w:w="493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清运车发生交通事故负主要责任以上、保险理赔的。</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olor w:val="auto"/>
                <w:sz w:val="21"/>
                <w:szCs w:val="21"/>
                <w:highlight w:val="none"/>
                <w:lang w:val="en-US" w:eastAsia="zh-CN"/>
              </w:rPr>
            </w:pPr>
            <w:r>
              <w:rPr>
                <w:rFonts w:hint="eastAsia" w:ascii="Times New Roman" w:hAnsi="Times New Roman" w:cs="Times New Roman"/>
                <w:b/>
                <w:bCs/>
                <w:color w:val="auto"/>
                <w:kern w:val="2"/>
                <w:sz w:val="21"/>
                <w:szCs w:val="21"/>
                <w:highlight w:val="none"/>
                <w:lang w:val="en-US" w:eastAsia="zh-CN" w:bidi="ar-SA"/>
              </w:rPr>
              <w:t>四、一般工业固废收集及处置项目服务考核细则（总分8分）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工作人员按规定着装，做到规范整洁，穿戴反光安全标志的服装。</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nil"/>
              <w:bottom w:val="single" w:color="auto" w:sz="4" w:space="0"/>
              <w:right w:val="single" w:color="auto" w:sz="4" w:space="0"/>
            </w:tcBorders>
            <w:noWrap w:val="0"/>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按招标文件设备、人员配备到位。</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每发现一次扣</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c>
          <w:tcPr>
            <w:tcW w:w="1380" w:type="dxa"/>
            <w:tcBorders>
              <w:top w:val="single" w:color="auto" w:sz="4" w:space="0"/>
              <w:left w:val="nil"/>
              <w:bottom w:val="single" w:color="auto" w:sz="4" w:space="0"/>
              <w:right w:val="single" w:color="auto" w:sz="4" w:space="0"/>
            </w:tcBorders>
            <w:noWrap w:val="0"/>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将一般工业固废收集运至中转站，不得</w:t>
            </w:r>
            <w:r>
              <w:rPr>
                <w:rFonts w:hint="eastAsia" w:ascii="宋体" w:hAnsi="宋体"/>
                <w:color w:val="auto"/>
                <w:sz w:val="21"/>
                <w:szCs w:val="21"/>
                <w:highlight w:val="none"/>
                <w:lang w:val="en-US" w:eastAsia="zh-CN"/>
              </w:rPr>
              <w:t>“混装混运”。</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rPr>
              <w:t>未按规定</w:t>
            </w:r>
            <w:r>
              <w:rPr>
                <w:rFonts w:hint="eastAsia" w:ascii="宋体" w:hAnsi="宋体"/>
                <w:color w:val="auto"/>
                <w:sz w:val="21"/>
                <w:szCs w:val="21"/>
                <w:highlight w:val="none"/>
                <w:lang w:val="en-US" w:eastAsia="zh-CN"/>
              </w:rPr>
              <w:t>操作的，</w:t>
            </w:r>
          </w:p>
          <w:p>
            <w:pPr>
              <w:widowControl/>
              <w:spacing w:line="340" w:lineRule="exact"/>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每发现一次扣3分</w:t>
            </w:r>
          </w:p>
        </w:tc>
        <w:tc>
          <w:tcPr>
            <w:tcW w:w="1380" w:type="dxa"/>
            <w:tcBorders>
              <w:top w:val="single" w:color="auto" w:sz="4" w:space="0"/>
              <w:left w:val="nil"/>
              <w:bottom w:val="single" w:color="auto" w:sz="4" w:space="0"/>
              <w:right w:val="single" w:color="auto" w:sz="4" w:space="0"/>
            </w:tcBorders>
            <w:noWrap w:val="0"/>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default" w:ascii="宋体" w:hAnsi="宋体" w:eastAsia="宋体"/>
                <w:color w:val="auto"/>
                <w:sz w:val="21"/>
                <w:szCs w:val="21"/>
                <w:highlight w:val="none"/>
                <w:lang w:val="en-US" w:eastAsia="zh-CN"/>
              </w:rPr>
            </w:pPr>
            <w:r>
              <w:rPr>
                <w:rFonts w:hint="eastAsia" w:ascii="宋体" w:hAnsi="宋体" w:cs="Times New Roman"/>
                <w:color w:val="auto"/>
                <w:sz w:val="21"/>
                <w:szCs w:val="21"/>
                <w:highlight w:val="none"/>
                <w:lang w:val="en-US" w:eastAsia="zh-CN"/>
              </w:rPr>
              <w:t>一般工业固废定时定点上门收集，收运完成日产日清。</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rPr>
              <w:t>未按规定</w:t>
            </w:r>
            <w:r>
              <w:rPr>
                <w:rFonts w:hint="eastAsia" w:ascii="宋体" w:hAnsi="宋体"/>
                <w:color w:val="auto"/>
                <w:sz w:val="21"/>
                <w:szCs w:val="21"/>
                <w:highlight w:val="none"/>
                <w:lang w:val="en-US" w:eastAsia="zh-CN"/>
              </w:rPr>
              <w:t>操作的，</w:t>
            </w:r>
          </w:p>
          <w:p>
            <w:pPr>
              <w:widowControl/>
              <w:spacing w:line="340" w:lineRule="exact"/>
              <w:ind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每发现一次扣3分</w:t>
            </w:r>
          </w:p>
        </w:tc>
        <w:tc>
          <w:tcPr>
            <w:tcW w:w="1380" w:type="dxa"/>
            <w:tcBorders>
              <w:top w:val="single" w:color="auto" w:sz="4" w:space="0"/>
              <w:left w:val="nil"/>
              <w:bottom w:val="single" w:color="auto" w:sz="4" w:space="0"/>
              <w:right w:val="single" w:color="auto" w:sz="4" w:space="0"/>
            </w:tcBorders>
            <w:noWrap w:val="0"/>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1"/>
                <w:szCs w:val="21"/>
                <w:highlight w:val="none"/>
              </w:rPr>
            </w:pPr>
            <w:r>
              <w:rPr>
                <w:rFonts w:hint="eastAsia" w:ascii="Times New Roman" w:hAnsi="Times New Roman" w:cs="Times New Roman"/>
                <w:b/>
                <w:bCs/>
                <w:color w:val="auto"/>
                <w:kern w:val="2"/>
                <w:sz w:val="21"/>
                <w:szCs w:val="21"/>
                <w:highlight w:val="none"/>
                <w:lang w:val="en-US" w:eastAsia="zh-CN" w:bidi="ar-SA"/>
              </w:rPr>
              <w:t>五、再生资源可回收习题建设运营项目服务考核细则（总分4分）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按招标方要求，市场化运作，不得随意改变分拣中心结构。</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rPr>
              <w:t>未按规定</w:t>
            </w:r>
            <w:r>
              <w:rPr>
                <w:rFonts w:hint="eastAsia" w:ascii="宋体" w:hAnsi="宋体"/>
                <w:color w:val="auto"/>
                <w:sz w:val="21"/>
                <w:szCs w:val="21"/>
                <w:highlight w:val="none"/>
                <w:lang w:val="en-US" w:eastAsia="zh-CN"/>
              </w:rPr>
              <w:t>操作的，</w:t>
            </w:r>
          </w:p>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每发现一次扣4分</w:t>
            </w:r>
          </w:p>
        </w:tc>
        <w:tc>
          <w:tcPr>
            <w:tcW w:w="1380" w:type="dxa"/>
            <w:tcBorders>
              <w:top w:val="single" w:color="auto" w:sz="4" w:space="0"/>
              <w:left w:val="nil"/>
              <w:bottom w:val="single" w:color="auto" w:sz="4" w:space="0"/>
              <w:right w:val="single" w:color="auto" w:sz="4" w:space="0"/>
            </w:tcBorders>
            <w:noWrap w:val="0"/>
            <w:vAlign w:val="top"/>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0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1"/>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六、</w:t>
            </w:r>
            <w:r>
              <w:rPr>
                <w:rFonts w:hint="eastAsia" w:ascii="Times New Roman" w:hAnsi="Times New Roman" w:cs="Times New Roman"/>
                <w:b/>
                <w:bCs/>
                <w:color w:val="auto"/>
                <w:kern w:val="2"/>
                <w:sz w:val="21"/>
                <w:szCs w:val="21"/>
                <w:highlight w:val="none"/>
                <w:lang w:val="en-US" w:eastAsia="zh-CN" w:bidi="ar-SA"/>
              </w:rPr>
              <w:t>商铺上门收集、垃圾分类项目</w:t>
            </w:r>
            <w:r>
              <w:rPr>
                <w:rFonts w:hint="eastAsia" w:ascii="Times New Roman" w:hAnsi="Times New Roman" w:eastAsia="宋体" w:cs="Times New Roman"/>
                <w:b/>
                <w:bCs/>
                <w:color w:val="auto"/>
                <w:kern w:val="2"/>
                <w:sz w:val="21"/>
                <w:szCs w:val="21"/>
                <w:highlight w:val="none"/>
                <w:lang w:val="en-US" w:eastAsia="zh-CN" w:bidi="ar-SA"/>
              </w:rPr>
              <w:t>服务考核细则</w:t>
            </w:r>
            <w:r>
              <w:rPr>
                <w:rFonts w:hint="eastAsia" w:ascii="Times New Roman" w:hAnsi="Times New Roman" w:cs="Times New Roman"/>
                <w:b/>
                <w:bCs/>
                <w:color w:val="auto"/>
                <w:kern w:val="2"/>
                <w:sz w:val="21"/>
                <w:szCs w:val="21"/>
                <w:highlight w:val="none"/>
                <w:lang w:val="en-US" w:eastAsia="zh-CN" w:bidi="ar-SA"/>
              </w:rPr>
              <w:t>（总分14分）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auto"/>
                <w:sz w:val="21"/>
                <w:szCs w:val="21"/>
                <w:highlight w:val="none"/>
                <w:lang w:val="en-US" w:eastAsia="zh-CN"/>
              </w:rPr>
            </w:pPr>
            <w:r>
              <w:rPr>
                <w:rFonts w:hint="eastAsia" w:ascii="宋体" w:hAnsi="宋体"/>
                <w:color w:val="auto"/>
                <w:sz w:val="21"/>
                <w:szCs w:val="21"/>
              </w:rPr>
              <w:t>1</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rPr>
              <w:t>工作人员按规定着装，做到规范整洁</w:t>
            </w:r>
            <w:r>
              <w:rPr>
                <w:rFonts w:hint="eastAsia" w:ascii="宋体" w:hAnsi="宋体"/>
                <w:color w:val="auto"/>
                <w:sz w:val="21"/>
                <w:szCs w:val="21"/>
                <w:lang w:eastAsia="zh-CN"/>
              </w:rPr>
              <w:t>。</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rPr>
              <w:t>每发现一次扣</w:t>
            </w:r>
            <w:r>
              <w:rPr>
                <w:rFonts w:hint="eastAsia" w:ascii="宋体" w:hAnsi="宋体"/>
                <w:color w:val="auto"/>
                <w:sz w:val="21"/>
                <w:szCs w:val="21"/>
                <w:lang w:val="en-US" w:eastAsia="zh-CN"/>
              </w:rPr>
              <w:t>1</w:t>
            </w:r>
            <w:r>
              <w:rPr>
                <w:rFonts w:hint="eastAsia" w:ascii="宋体" w:hAnsi="宋体"/>
                <w:color w:val="auto"/>
                <w:sz w:val="21"/>
                <w:szCs w:val="21"/>
              </w:rPr>
              <w:t>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lang w:val="en-US" w:eastAsia="zh-CN"/>
              </w:rPr>
              <w:t>根据招标文件按规定做好垃圾分类入户上门宣传工作。</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未按规定完成的，</w:t>
            </w:r>
          </w:p>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rPr>
              <w:t>每发现一次扣</w:t>
            </w:r>
            <w:r>
              <w:rPr>
                <w:rFonts w:hint="eastAsia" w:ascii="宋体" w:hAnsi="宋体"/>
                <w:color w:val="auto"/>
                <w:sz w:val="21"/>
                <w:szCs w:val="21"/>
                <w:lang w:val="en-US" w:eastAsia="zh-CN"/>
              </w:rPr>
              <w:t>1</w:t>
            </w:r>
            <w:r>
              <w:rPr>
                <w:rFonts w:hint="eastAsia" w:ascii="宋体" w:hAnsi="宋体"/>
                <w:color w:val="auto"/>
                <w:sz w:val="21"/>
                <w:szCs w:val="21"/>
              </w:rPr>
              <w:t>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lang w:val="en-US" w:eastAsia="zh-CN"/>
              </w:rPr>
              <w:t>服务覆盖区域，每月分类率和分类量提升10%（含）以上</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lang w:val="en-US" w:eastAsia="zh-CN"/>
              </w:rPr>
              <w:t>未按规定完成的</w:t>
            </w:r>
            <w:r>
              <w:rPr>
                <w:rFonts w:hint="eastAsia" w:ascii="宋体" w:hAnsi="宋体"/>
                <w:color w:val="auto"/>
                <w:sz w:val="21"/>
                <w:szCs w:val="21"/>
              </w:rPr>
              <w:t>每发现一次扣</w:t>
            </w:r>
            <w:r>
              <w:rPr>
                <w:rFonts w:hint="eastAsia" w:ascii="宋体" w:hAnsi="宋体"/>
                <w:color w:val="auto"/>
                <w:sz w:val="21"/>
                <w:szCs w:val="21"/>
                <w:lang w:val="en-US" w:eastAsia="zh-CN"/>
              </w:rPr>
              <w:t>1</w:t>
            </w:r>
            <w:r>
              <w:rPr>
                <w:rFonts w:hint="eastAsia" w:ascii="宋体" w:hAnsi="宋体"/>
                <w:color w:val="auto"/>
                <w:sz w:val="21"/>
                <w:szCs w:val="21"/>
              </w:rPr>
              <w:t>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lang w:val="en-US" w:eastAsia="zh-CN"/>
              </w:rPr>
              <w:t>按要求对商铺商户进行垃圾分类评分并统计汇总。</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s="Times New Roman"/>
                <w:color w:val="auto"/>
                <w:sz w:val="21"/>
                <w:szCs w:val="21"/>
                <w:lang w:val="en-US" w:eastAsia="zh-CN"/>
              </w:rPr>
              <w:t>未按规定完成的每发现一次扣2分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根据招标文件规定做好垃圾分类宣传活动，一年6次。</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未按规定完成的，每发现一次扣2分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组织配合镇级开展垃圾分类投放知识的培训和督导。</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未按规定的完成的，每发现一次扣2分</w:t>
            </w:r>
          </w:p>
        </w:tc>
        <w:tc>
          <w:tcPr>
            <w:tcW w:w="1380" w:type="dxa"/>
            <w:tcBorders>
              <w:top w:val="single" w:color="auto" w:sz="4" w:space="0"/>
              <w:left w:val="nil"/>
              <w:bottom w:val="single" w:color="auto" w:sz="4" w:space="0"/>
              <w:right w:val="single" w:color="auto" w:sz="4" w:space="0"/>
            </w:tcBorders>
            <w:noWrap w:val="0"/>
            <w:vAlign w:val="center"/>
          </w:tcPr>
          <w:p>
            <w:pPr>
              <w:widowControl/>
              <w:ind w:firstLine="199" w:firstLineChars="95"/>
              <w:jc w:val="center"/>
              <w:rPr>
                <w:rFonts w:hint="eastAsia"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lang w:val="en-US" w:eastAsia="zh-CN"/>
              </w:rPr>
            </w:pPr>
            <w:r>
              <w:rPr>
                <w:rFonts w:hint="eastAsia" w:ascii="宋体" w:hAnsi="宋体"/>
                <w:color w:val="auto"/>
                <w:sz w:val="21"/>
                <w:szCs w:val="21"/>
                <w:lang w:val="en-US" w:eastAsia="zh-CN"/>
              </w:rPr>
              <w:t>随机抽查建成区内群众，了解工作满意率及情况，满意率达90%以上为合格。</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rPr>
              <w:t>每发现一次扣</w:t>
            </w:r>
            <w:r>
              <w:rPr>
                <w:rFonts w:hint="eastAsia" w:ascii="宋体" w:hAnsi="宋体"/>
                <w:color w:val="auto"/>
                <w:sz w:val="21"/>
                <w:szCs w:val="21"/>
                <w:lang w:val="en-US" w:eastAsia="zh-CN"/>
              </w:rPr>
              <w:t>2</w:t>
            </w:r>
            <w:r>
              <w:rPr>
                <w:rFonts w:hint="eastAsia" w:ascii="宋体" w:hAnsi="宋体"/>
                <w:color w:val="auto"/>
                <w:sz w:val="21"/>
                <w:szCs w:val="21"/>
              </w:rPr>
              <w:t>分</w:t>
            </w:r>
          </w:p>
        </w:tc>
        <w:tc>
          <w:tcPr>
            <w:tcW w:w="1380" w:type="dxa"/>
            <w:tcBorders>
              <w:top w:val="single" w:color="auto" w:sz="4" w:space="0"/>
              <w:left w:val="nil"/>
              <w:bottom w:val="single" w:color="auto" w:sz="4" w:space="0"/>
              <w:right w:val="single" w:color="auto" w:sz="4" w:space="0"/>
            </w:tcBorders>
            <w:noWrap w:val="0"/>
            <w:vAlign w:val="center"/>
          </w:tcPr>
          <w:p>
            <w:pPr>
              <w:widowControl/>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4937"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rPr>
                <w:rFonts w:hint="eastAsia" w:ascii="宋体" w:hAnsi="宋体"/>
                <w:color w:val="auto"/>
                <w:sz w:val="21"/>
                <w:szCs w:val="21"/>
                <w:highlight w:val="none"/>
              </w:rPr>
            </w:pPr>
            <w:r>
              <w:rPr>
                <w:rFonts w:hint="eastAsia" w:ascii="宋体" w:hAnsi="宋体"/>
                <w:color w:val="auto"/>
                <w:sz w:val="21"/>
                <w:szCs w:val="21"/>
                <w:lang w:val="en-US" w:eastAsia="zh-CN"/>
              </w:rPr>
              <w:t>在市级或市级以上检查中发现问题的</w:t>
            </w:r>
          </w:p>
        </w:tc>
        <w:tc>
          <w:tcPr>
            <w:tcW w:w="2310" w:type="dxa"/>
            <w:tcBorders>
              <w:top w:val="single" w:color="auto" w:sz="4" w:space="0"/>
              <w:left w:val="nil"/>
              <w:bottom w:val="single" w:color="auto" w:sz="4" w:space="0"/>
              <w:right w:val="single" w:color="auto" w:sz="4" w:space="0"/>
            </w:tcBorders>
            <w:noWrap w:val="0"/>
            <w:vAlign w:val="center"/>
          </w:tcPr>
          <w:p>
            <w:pPr>
              <w:widowControl/>
              <w:spacing w:line="340" w:lineRule="exact"/>
              <w:ind w:firstLine="0" w:firstLineChars="0"/>
              <w:jc w:val="center"/>
              <w:rPr>
                <w:rFonts w:hint="eastAsia" w:ascii="宋体" w:hAnsi="宋体"/>
                <w:color w:val="auto"/>
                <w:sz w:val="21"/>
                <w:szCs w:val="21"/>
                <w:highlight w:val="none"/>
                <w:lang w:val="en-US" w:eastAsia="zh-CN"/>
              </w:rPr>
            </w:pPr>
            <w:r>
              <w:rPr>
                <w:rFonts w:hint="eastAsia" w:ascii="宋体" w:hAnsi="宋体"/>
                <w:color w:val="auto"/>
                <w:sz w:val="21"/>
                <w:szCs w:val="21"/>
              </w:rPr>
              <w:t>每发现一次扣</w:t>
            </w:r>
            <w:r>
              <w:rPr>
                <w:rFonts w:hint="eastAsia" w:ascii="宋体" w:hAnsi="宋体"/>
                <w:color w:val="auto"/>
                <w:sz w:val="21"/>
                <w:szCs w:val="21"/>
                <w:lang w:val="en-US" w:eastAsia="zh-CN"/>
              </w:rPr>
              <w:t>3</w:t>
            </w:r>
            <w:r>
              <w:rPr>
                <w:rFonts w:hint="eastAsia" w:ascii="宋体" w:hAnsi="宋体"/>
                <w:color w:val="auto"/>
                <w:sz w:val="21"/>
                <w:szCs w:val="21"/>
              </w:rPr>
              <w:t>分</w:t>
            </w:r>
          </w:p>
        </w:tc>
        <w:tc>
          <w:tcPr>
            <w:tcW w:w="1380" w:type="dxa"/>
            <w:tcBorders>
              <w:top w:val="single" w:color="auto" w:sz="4" w:space="0"/>
              <w:left w:val="nil"/>
              <w:bottom w:val="single" w:color="auto" w:sz="4" w:space="0"/>
              <w:right w:val="single" w:color="auto" w:sz="4" w:space="0"/>
            </w:tcBorders>
            <w:noWrap w:val="0"/>
            <w:vAlign w:val="center"/>
          </w:tcPr>
          <w:p>
            <w:pPr>
              <w:widowControl/>
              <w:jc w:val="center"/>
              <w:rPr>
                <w:color w:val="auto"/>
                <w:sz w:val="21"/>
                <w:szCs w:val="21"/>
                <w:highlight w:val="none"/>
              </w:rPr>
            </w:pPr>
          </w:p>
        </w:tc>
      </w:tr>
    </w:tbl>
    <w:p>
      <w:pPr>
        <w:pStyle w:val="122"/>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宋体" w:hAnsi="宋体"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备注：</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1、投标方要无条件接受采购人定期或不定期检查监督、本考核办法按每月综合考评一次。</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打分考核，满分为100分。采用倒扣分制，每次考核90分（含）以上者，允许中标人进行限期整改，整改完毕后每月服务费用按实全额支付；考核85分（含）~90分的，每分扣500元，并限期整改完成，逾期未整改完成的另扣2000元；考核成绩在85分以下的，每分扣800元，并限期整改完成，逾期未整改完成的另扣5000元，年度中若出现三次考核成绩低于85分的，直接解除合同关系。</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3、合同续签条件： 每月考核必须达到85分（含）以上。</w:t>
      </w:r>
    </w:p>
    <w:p>
      <w:pPr>
        <w:ind w:firstLine="420" w:firstLineChars="200"/>
        <w:jc w:val="both"/>
        <w:rPr>
          <w:rFonts w:hint="eastAsia" w:ascii="宋体" w:hAnsi="宋体" w:eastAsia="宋体" w:cs="宋体"/>
          <w:color w:val="auto"/>
          <w:kern w:val="2"/>
          <w:sz w:val="32"/>
          <w:szCs w:val="32"/>
          <w:highlight w:val="none"/>
          <w:lang w:val="en-US" w:eastAsia="zh-CN" w:bidi="ar-SA"/>
        </w:rPr>
      </w:pPr>
      <w:r>
        <w:rPr>
          <w:rFonts w:ascii="宋体" w:hAnsi="宋体" w:cs="宋体"/>
          <w:color w:val="auto"/>
          <w:szCs w:val="21"/>
          <w:highlight w:val="none"/>
        </w:rPr>
        <w:br w:type="page"/>
      </w: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 w:val="20"/>
          <w:szCs w:val="20"/>
          <w:highlight w:val="none"/>
          <w:lang w:val="en-US" w:eastAsia="zh-CN"/>
        </w:rPr>
        <w:t xml:space="preserve"> </w:t>
      </w:r>
      <w:r>
        <w:rPr>
          <w:rFonts w:hint="eastAsia" w:ascii="宋体" w:hAnsi="宋体" w:eastAsia="宋体" w:cs="宋体"/>
          <w:b/>
          <w:bCs/>
          <w:color w:val="auto"/>
          <w:kern w:val="2"/>
          <w:sz w:val="32"/>
          <w:szCs w:val="32"/>
          <w:highlight w:val="none"/>
          <w:lang w:val="en-US" w:eastAsia="zh-CN" w:bidi="ar-SA"/>
        </w:rPr>
        <w:t>第六章 商务条款</w:t>
      </w:r>
    </w:p>
    <w:p>
      <w:pPr>
        <w:pStyle w:val="2"/>
        <w:rPr>
          <w:rFonts w:hint="default"/>
          <w:color w:val="auto"/>
          <w:highlight w:val="none"/>
          <w:lang w:val="en-US"/>
        </w:rPr>
      </w:pPr>
    </w:p>
    <w:p>
      <w:pPr>
        <w:keepNext w:val="0"/>
        <w:keepLines w:val="0"/>
        <w:pageBreakBefore w:val="0"/>
        <w:widowControl w:val="0"/>
        <w:tabs>
          <w:tab w:val="left" w:pos="840"/>
        </w:tabs>
        <w:kinsoku/>
        <w:wordWrap/>
        <w:overflowPunct/>
        <w:topLinePunct w:val="0"/>
        <w:bidi w:val="0"/>
        <w:spacing w:line="360" w:lineRule="auto"/>
        <w:ind w:firstLine="414" w:firstLineChars="200"/>
        <w:rPr>
          <w:rFonts w:hint="eastAsia" w:ascii="宋体" w:hAnsi="宋体" w:cs="仿宋_GB2312"/>
          <w:b/>
          <w:color w:val="auto"/>
          <w:sz w:val="21"/>
          <w:szCs w:val="21"/>
          <w:highlight w:val="none"/>
        </w:rPr>
      </w:pPr>
      <w:r>
        <w:rPr>
          <w:rFonts w:hint="eastAsia" w:ascii="宋体" w:hAnsi="宋体" w:cs="仿宋_GB2312"/>
          <w:b/>
          <w:color w:val="auto"/>
          <w:spacing w:val="-2"/>
          <w:sz w:val="21"/>
          <w:szCs w:val="21"/>
          <w:highlight w:val="none"/>
        </w:rPr>
        <w:t>★</w:t>
      </w:r>
      <w:r>
        <w:rPr>
          <w:rFonts w:hint="eastAsia" w:ascii="宋体" w:hAnsi="宋体" w:cs="仿宋_GB2312"/>
          <w:b/>
          <w:color w:val="auto"/>
          <w:sz w:val="21"/>
          <w:szCs w:val="21"/>
          <w:highlight w:val="none"/>
        </w:rPr>
        <w:t>一、付款方式：</w:t>
      </w:r>
      <w:r>
        <w:rPr>
          <w:rFonts w:hint="eastAsia" w:ascii="宋体" w:hAnsi="宋体"/>
          <w:color w:val="auto"/>
          <w:sz w:val="21"/>
          <w:szCs w:val="21"/>
          <w:highlight w:val="none"/>
        </w:rPr>
        <w:t>合同签订后</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个工作日内支付合同价</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0%的预付款，之后三个季度，每季度满后</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个工作日内支付合同价的2</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%，第四季度满后</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个工作日内结算剩余应付价款。</w:t>
      </w:r>
      <w:r>
        <w:rPr>
          <w:rFonts w:hint="eastAsia" w:ascii="宋体" w:hAnsi="宋体"/>
          <w:bCs/>
          <w:color w:val="auto"/>
          <w:sz w:val="21"/>
          <w:szCs w:val="21"/>
          <w:highlight w:val="none"/>
        </w:rPr>
        <w:t>费用支付前</w:t>
      </w:r>
      <w:r>
        <w:rPr>
          <w:rFonts w:hint="eastAsia" w:ascii="宋体" w:hAnsi="宋体"/>
          <w:color w:val="auto"/>
          <w:sz w:val="21"/>
          <w:szCs w:val="21"/>
          <w:highlight w:val="none"/>
        </w:rPr>
        <w:t>根据考核情况扣除应扣款，中标方提供税务发票。</w:t>
      </w:r>
    </w:p>
    <w:p>
      <w:pPr>
        <w:keepNext w:val="0"/>
        <w:keepLines w:val="0"/>
        <w:pageBreakBefore w:val="0"/>
        <w:widowControl w:val="0"/>
        <w:kinsoku/>
        <w:wordWrap/>
        <w:overflowPunct/>
        <w:topLinePunct w:val="0"/>
        <w:bidi w:val="0"/>
        <w:spacing w:line="360" w:lineRule="auto"/>
        <w:ind w:firstLine="414"/>
        <w:rPr>
          <w:rFonts w:hint="eastAsia" w:ascii="宋体" w:hAnsi="宋体" w:cs="仿宋_GB2312"/>
          <w:b/>
          <w:color w:val="auto"/>
          <w:sz w:val="21"/>
          <w:szCs w:val="21"/>
          <w:highlight w:val="none"/>
        </w:rPr>
      </w:pPr>
      <w:r>
        <w:rPr>
          <w:rFonts w:hint="eastAsia" w:ascii="宋体" w:hAnsi="宋体" w:cs="仿宋_GB2312"/>
          <w:b/>
          <w:color w:val="auto"/>
          <w:spacing w:val="-2"/>
          <w:sz w:val="21"/>
          <w:szCs w:val="21"/>
          <w:highlight w:val="none"/>
        </w:rPr>
        <w:t>★</w:t>
      </w:r>
      <w:r>
        <w:rPr>
          <w:rFonts w:hint="eastAsia" w:ascii="宋体" w:hAnsi="宋体" w:cs="仿宋_GB2312"/>
          <w:b/>
          <w:color w:val="auto"/>
          <w:sz w:val="21"/>
          <w:szCs w:val="21"/>
          <w:highlight w:val="none"/>
        </w:rPr>
        <w:t>二、履约保证：</w:t>
      </w:r>
      <w:r>
        <w:rPr>
          <w:rFonts w:hint="eastAsia" w:ascii="宋体" w:hAnsi="宋体" w:cs="宋体"/>
          <w:color w:val="auto"/>
          <w:sz w:val="21"/>
          <w:szCs w:val="21"/>
          <w:highlight w:val="none"/>
        </w:rPr>
        <w:t>本合同履约保证金为合同总价的5%（可以采用银行保函、保险保单、担保公司担保等方式），中标供应商在签订合同后</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个工作日内提交。</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cs="仿宋_GB2312"/>
          <w:bCs/>
          <w:color w:val="auto"/>
          <w:sz w:val="21"/>
          <w:szCs w:val="21"/>
          <w:highlight w:val="none"/>
        </w:rPr>
      </w:pPr>
      <w:r>
        <w:rPr>
          <w:rFonts w:hint="eastAsia" w:ascii="宋体" w:hAnsi="宋体" w:cs="仿宋_GB2312"/>
          <w:b/>
          <w:color w:val="auto"/>
          <w:spacing w:val="-2"/>
          <w:sz w:val="21"/>
          <w:szCs w:val="21"/>
          <w:highlight w:val="none"/>
        </w:rPr>
        <w:t>★</w:t>
      </w:r>
      <w:r>
        <w:rPr>
          <w:rFonts w:hint="eastAsia" w:ascii="宋体" w:hAnsi="宋体" w:cs="仿宋_GB2312"/>
          <w:bCs/>
          <w:color w:val="auto"/>
          <w:sz w:val="21"/>
          <w:szCs w:val="21"/>
          <w:highlight w:val="none"/>
        </w:rPr>
        <w:t>三、服务期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仿宋_GB2312"/>
          <w:bCs/>
          <w:color w:val="auto"/>
          <w:sz w:val="21"/>
          <w:szCs w:val="21"/>
          <w:highlight w:val="none"/>
        </w:rPr>
      </w:pPr>
      <w:r>
        <w:rPr>
          <w:rFonts w:hint="eastAsia" w:ascii="宋体" w:hAnsi="宋体" w:cs="宋体"/>
          <w:color w:val="auto"/>
          <w:kern w:val="0"/>
          <w:sz w:val="21"/>
          <w:szCs w:val="21"/>
          <w:highlight w:val="none"/>
        </w:rPr>
        <w:t>本服务项目一年，</w:t>
      </w:r>
      <w:r>
        <w:rPr>
          <w:rFonts w:hint="eastAsia" w:ascii="宋体" w:hAnsi="宋体" w:eastAsia="宋体" w:cs="宋体"/>
          <w:color w:val="auto"/>
          <w:sz w:val="21"/>
          <w:szCs w:val="21"/>
          <w:highlight w:val="none"/>
        </w:rPr>
        <w:t>服务期满经采购人考核合格</w:t>
      </w:r>
      <w:r>
        <w:rPr>
          <w:rFonts w:hint="eastAsia" w:ascii="宋体" w:hAnsi="宋体" w:eastAsia="宋体" w:cs="宋体"/>
          <w:color w:val="auto"/>
          <w:sz w:val="21"/>
          <w:szCs w:val="21"/>
          <w:highlight w:val="none"/>
          <w:lang w:val="en-US" w:eastAsia="zh-CN"/>
        </w:rPr>
        <w:t>并达到续签条件</w:t>
      </w:r>
      <w:r>
        <w:rPr>
          <w:rFonts w:hint="eastAsia" w:ascii="宋体" w:hAnsi="宋体" w:eastAsia="宋体" w:cs="宋体"/>
          <w:color w:val="auto"/>
          <w:sz w:val="21"/>
          <w:szCs w:val="21"/>
          <w:highlight w:val="none"/>
        </w:rPr>
        <w:t>后，下一年度合同经费符合政府采购预算安排要求，</w:t>
      </w:r>
      <w:r>
        <w:rPr>
          <w:rFonts w:hint="eastAsia" w:ascii="宋体" w:hAnsi="宋体" w:cs="宋体"/>
          <w:color w:val="auto"/>
          <w:szCs w:val="21"/>
          <w:highlight w:val="none"/>
        </w:rPr>
        <w:t>报慈溪市公共资源交易管理办公室备案</w:t>
      </w:r>
      <w:r>
        <w:rPr>
          <w:rFonts w:hint="eastAsia" w:ascii="宋体" w:hAnsi="宋体" w:eastAsia="宋体" w:cs="宋体"/>
          <w:color w:val="auto"/>
          <w:sz w:val="21"/>
          <w:szCs w:val="21"/>
          <w:highlight w:val="none"/>
        </w:rPr>
        <w:t>后，可续签下一年度的合同，最多可续签2年</w:t>
      </w:r>
      <w:r>
        <w:rPr>
          <w:rFonts w:hint="eastAsia" w:ascii="宋体" w:hAnsi="宋体" w:cs="仿宋_GB2312"/>
          <w:bCs/>
          <w:color w:val="auto"/>
          <w:sz w:val="21"/>
          <w:szCs w:val="21"/>
          <w:highlight w:val="none"/>
        </w:rPr>
        <w:t>。</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cs="仿宋_GB2312"/>
          <w:bCs/>
          <w:color w:val="auto"/>
          <w:sz w:val="21"/>
          <w:szCs w:val="21"/>
          <w:highlight w:val="none"/>
        </w:rPr>
      </w:pPr>
      <w:r>
        <w:rPr>
          <w:rFonts w:hint="eastAsia" w:ascii="宋体" w:hAnsi="宋体" w:cs="仿宋_GB2312"/>
          <w:b/>
          <w:color w:val="auto"/>
          <w:spacing w:val="-2"/>
          <w:sz w:val="21"/>
          <w:szCs w:val="21"/>
          <w:highlight w:val="none"/>
        </w:rPr>
        <w:t>★</w:t>
      </w:r>
      <w:r>
        <w:rPr>
          <w:rFonts w:hint="eastAsia" w:ascii="宋体" w:hAnsi="宋体" w:cs="仿宋_GB2312"/>
          <w:bCs/>
          <w:color w:val="auto"/>
          <w:sz w:val="21"/>
          <w:szCs w:val="21"/>
          <w:highlight w:val="none"/>
        </w:rPr>
        <w:t>四、考核</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cs="仿宋_GB2312"/>
          <w:bCs/>
          <w:color w:val="auto"/>
          <w:sz w:val="21"/>
          <w:szCs w:val="21"/>
          <w:highlight w:val="none"/>
        </w:rPr>
      </w:pPr>
      <w:r>
        <w:rPr>
          <w:rFonts w:hint="eastAsia" w:ascii="宋体" w:hAnsi="宋体" w:cs="仿宋_GB2312"/>
          <w:bCs/>
          <w:color w:val="auto"/>
          <w:sz w:val="21"/>
          <w:szCs w:val="21"/>
          <w:highlight w:val="none"/>
        </w:rPr>
        <w:t>按采购第五章招标内容与服务要求中的</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监督考核细则</w:t>
      </w:r>
      <w:r>
        <w:rPr>
          <w:rFonts w:hint="eastAsia" w:ascii="宋体" w:hAnsi="宋体"/>
          <w:b/>
          <w:color w:val="auto"/>
          <w:sz w:val="21"/>
          <w:szCs w:val="21"/>
          <w:highlight w:val="none"/>
        </w:rPr>
        <w:t>”</w:t>
      </w:r>
      <w:r>
        <w:rPr>
          <w:rFonts w:hint="eastAsia" w:ascii="宋体" w:hAnsi="宋体" w:cs="仿宋_GB2312"/>
          <w:bCs/>
          <w:color w:val="auto"/>
          <w:sz w:val="21"/>
          <w:szCs w:val="21"/>
          <w:highlight w:val="none"/>
        </w:rPr>
        <w:t>执行。</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2"/>
        <w:textAlignment w:val="bottom"/>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rPr>
        <w:t>★五、其他说明</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2" w:firstLineChars="200"/>
        <w:textAlignment w:val="bottom"/>
        <w:rPr>
          <w:rFonts w:hint="eastAsia" w:ascii="宋体" w:hAnsi="宋体"/>
          <w:b/>
          <w:color w:val="auto"/>
          <w:sz w:val="21"/>
          <w:szCs w:val="21"/>
          <w:highlight w:val="none"/>
        </w:rPr>
      </w:pPr>
      <w:r>
        <w:rPr>
          <w:rFonts w:hint="eastAsia" w:ascii="宋体" w:hAnsi="宋体"/>
          <w:b/>
          <w:color w:val="auto"/>
          <w:sz w:val="21"/>
          <w:szCs w:val="21"/>
          <w:highlight w:val="none"/>
        </w:rPr>
        <w:t>1、在中标通知书发出后30日历天内，与采购人签订服务合同，否则招标方有权取消中标方的中标资格，</w:t>
      </w:r>
      <w:r>
        <w:rPr>
          <w:rFonts w:hint="eastAsia" w:ascii="宋体" w:hAnsi="宋体"/>
          <w:b/>
          <w:color w:val="auto"/>
          <w:sz w:val="21"/>
          <w:szCs w:val="21"/>
          <w:highlight w:val="none"/>
          <w:lang w:val="en-US" w:eastAsia="zh-CN"/>
        </w:rPr>
        <w:t>可</w:t>
      </w:r>
      <w:r>
        <w:rPr>
          <w:rFonts w:hint="eastAsia" w:ascii="宋体" w:hAnsi="宋体"/>
          <w:b/>
          <w:color w:val="auto"/>
          <w:sz w:val="21"/>
          <w:szCs w:val="21"/>
          <w:highlight w:val="none"/>
        </w:rPr>
        <w:t>推荐排序居次的中标候选人为中标方。</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bCs/>
          <w:color w:val="auto"/>
          <w:sz w:val="21"/>
          <w:szCs w:val="21"/>
          <w:highlight w:val="none"/>
        </w:rPr>
      </w:pPr>
      <w:r>
        <w:rPr>
          <w:rFonts w:hint="eastAsia" w:ascii="宋体" w:hAnsi="宋体"/>
          <w:bCs/>
          <w:color w:val="auto"/>
          <w:sz w:val="21"/>
          <w:szCs w:val="21"/>
          <w:highlight w:val="none"/>
        </w:rPr>
        <w:t>2、投标方要制订用工计划并加强劳动用工管理，必须符合劳动法、劳动合同法等法律法规的要求，与员工签订正规的劳动合同，负责支付上岗人员的工资、津贴、社会保险及根据国家规定应支付的各项费用、承担体检、培训费用。</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bCs/>
          <w:color w:val="auto"/>
          <w:sz w:val="21"/>
          <w:szCs w:val="21"/>
          <w:highlight w:val="none"/>
        </w:rPr>
      </w:pPr>
      <w:r>
        <w:rPr>
          <w:rFonts w:hint="eastAsia" w:ascii="宋体" w:hAnsi="宋体"/>
          <w:bCs/>
          <w:color w:val="auto"/>
          <w:sz w:val="21"/>
          <w:szCs w:val="21"/>
          <w:highlight w:val="none"/>
        </w:rPr>
        <w:t>3、如发生劳动纠纷，招标方不承担连带责任，用工调整须报招标方备案。</w:t>
      </w:r>
    </w:p>
    <w:p>
      <w:pPr>
        <w:keepNext w:val="0"/>
        <w:keepLines w:val="0"/>
        <w:pageBreakBefore w:val="0"/>
        <w:widowControl w:val="0"/>
        <w:tabs>
          <w:tab w:val="left" w:pos="1243"/>
        </w:tabs>
        <w:kinsoku/>
        <w:wordWrap/>
        <w:overflowPunct/>
        <w:topLinePunct w:val="0"/>
        <w:autoSpaceDE w:val="0"/>
        <w:autoSpaceDN w:val="0"/>
        <w:bidi w:val="0"/>
        <w:adjustRightInd w:val="0"/>
        <w:snapToGrid w:val="0"/>
        <w:spacing w:line="360" w:lineRule="auto"/>
        <w:ind w:firstLine="420"/>
        <w:textAlignment w:val="bottom"/>
        <w:rPr>
          <w:rFonts w:hint="eastAsia" w:ascii="宋体" w:hAnsi="宋体"/>
          <w:bCs/>
          <w:color w:val="auto"/>
          <w:sz w:val="21"/>
          <w:szCs w:val="21"/>
          <w:highlight w:val="none"/>
        </w:rPr>
      </w:pPr>
      <w:r>
        <w:rPr>
          <w:rFonts w:hint="eastAsia" w:ascii="宋体" w:hAnsi="宋体"/>
          <w:bCs/>
          <w:color w:val="auto"/>
          <w:sz w:val="21"/>
          <w:szCs w:val="21"/>
          <w:highlight w:val="none"/>
        </w:rPr>
        <w:t>4、中标方不得将本项目转包或分包，否则招标方视中标方单方面违约，招标方可单方面终止合同，中标方承担违约赔偿责任，并没收履约保证金。</w:t>
      </w:r>
    </w:p>
    <w:p>
      <w:pPr>
        <w:tabs>
          <w:tab w:val="left" w:pos="1243"/>
        </w:tabs>
        <w:autoSpaceDE w:val="0"/>
        <w:autoSpaceDN w:val="0"/>
        <w:adjustRightInd w:val="0"/>
        <w:snapToGrid w:val="0"/>
        <w:spacing w:line="360" w:lineRule="auto"/>
        <w:ind w:firstLine="420"/>
        <w:textAlignment w:val="bottom"/>
        <w:rPr>
          <w:rFonts w:hint="eastAsia" w:ascii="宋体" w:hAnsi="宋体" w:eastAsia="宋体" w:cs="宋体"/>
          <w:color w:val="auto"/>
          <w:sz w:val="36"/>
          <w:szCs w:val="36"/>
          <w:highlight w:val="none"/>
        </w:rPr>
      </w:pPr>
      <w:r>
        <w:rPr>
          <w:rFonts w:hint="eastAsia" w:ascii="宋体" w:hAnsi="宋体"/>
          <w:bCs/>
          <w:color w:val="auto"/>
          <w:sz w:val="21"/>
          <w:szCs w:val="21"/>
          <w:highlight w:val="none"/>
          <w:lang w:val="en-US" w:eastAsia="zh-CN"/>
        </w:rPr>
        <w:t>5、</w:t>
      </w:r>
      <w:r>
        <w:rPr>
          <w:rFonts w:hint="eastAsia" w:ascii="宋体" w:hAnsi="宋体"/>
          <w:bCs/>
          <w:color w:val="auto"/>
          <w:sz w:val="21"/>
          <w:szCs w:val="21"/>
          <w:highlight w:val="none"/>
        </w:rPr>
        <w:t>考虑到项目进场情况，中标单位须在领取中标通知书后，10日历天内将投标文件中承诺的机械设备、人员配备到位，否则采购人有权取消其中标资格。</w:t>
      </w:r>
    </w:p>
    <w:p>
      <w:pPr>
        <w:tabs>
          <w:tab w:val="left" w:pos="1243"/>
        </w:tabs>
        <w:autoSpaceDE w:val="0"/>
        <w:autoSpaceDN w:val="0"/>
        <w:adjustRightInd w:val="0"/>
        <w:snapToGrid w:val="0"/>
        <w:spacing w:line="360" w:lineRule="auto"/>
        <w:ind w:firstLine="420"/>
        <w:textAlignment w:val="bottom"/>
        <w:rPr>
          <w:rFonts w:hint="eastAsia" w:ascii="宋体" w:hAnsi="宋体" w:eastAsia="宋体" w:cs="Times New Roman"/>
          <w:bCs/>
          <w:color w:val="auto"/>
          <w:szCs w:val="21"/>
          <w:highlight w:val="none"/>
        </w:rPr>
      </w:pPr>
      <w:r>
        <w:rPr>
          <w:rFonts w:hint="eastAsia" w:ascii="宋体" w:hAnsi="宋体" w:eastAsia="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rPr>
        <w:t>供应商报价时充分考虑合同期间履行最低工资标准、社保缴纳基数调整等政策因素的变动，合同履行期间采购人不予增补”；续签合同根据报价低于最低工资的补差价但不超10%。</w:t>
      </w:r>
    </w:p>
    <w:p>
      <w:pPr>
        <w:pStyle w:val="2"/>
        <w:numPr>
          <w:ilvl w:val="0"/>
          <w:numId w:val="19"/>
        </w:numP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36"/>
          <w:highlight w:val="none"/>
        </w:rPr>
        <w:t xml:space="preserve"> </w:t>
      </w:r>
      <w:bookmarkEnd w:id="62"/>
      <w:r>
        <w:rPr>
          <w:rFonts w:hint="eastAsia" w:ascii="宋体" w:hAnsi="宋体" w:eastAsia="宋体" w:cs="宋体"/>
          <w:color w:val="auto"/>
          <w:sz w:val="36"/>
          <w:szCs w:val="36"/>
          <w:highlight w:val="none"/>
        </w:rPr>
        <w:t>附件</w:t>
      </w:r>
      <w:bookmarkEnd w:id="63"/>
    </w:p>
    <w:p>
      <w:pPr>
        <w:spacing w:line="400" w:lineRule="exact"/>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pacing w:val="-2"/>
          <w:kern w:val="0"/>
          <w:sz w:val="24"/>
          <w:szCs w:val="21"/>
          <w:highlight w:val="none"/>
          <w:lang w:bidi="ar"/>
        </w:rPr>
        <w:t>附件</w:t>
      </w:r>
      <w:r>
        <w:rPr>
          <w:rFonts w:hint="eastAsia" w:ascii="宋体" w:hAnsi="宋体" w:eastAsia="宋体" w:cs="宋体"/>
          <w:b/>
          <w:color w:val="auto"/>
          <w:spacing w:val="-2"/>
          <w:kern w:val="0"/>
          <w:sz w:val="24"/>
          <w:szCs w:val="21"/>
          <w:highlight w:val="none"/>
          <w:lang w:val="en-US" w:eastAsia="zh-CN" w:bidi="ar"/>
        </w:rPr>
        <w:t>1</w:t>
      </w:r>
    </w:p>
    <w:p>
      <w:pPr>
        <w:spacing w:line="400" w:lineRule="exact"/>
        <w:jc w:val="left"/>
        <w:rPr>
          <w:rFonts w:hint="eastAsia" w:ascii="宋体" w:hAnsi="宋体" w:eastAsia="宋体" w:cs="宋体"/>
          <w:b/>
          <w:color w:val="auto"/>
          <w:szCs w:val="21"/>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关于资格的声明函</w:t>
      </w:r>
    </w:p>
    <w:p>
      <w:pPr>
        <w:spacing w:line="400" w:lineRule="exact"/>
        <w:ind w:left="540" w:firstLine="30"/>
        <w:jc w:val="center"/>
        <w:rPr>
          <w:rFonts w:hint="eastAsia" w:ascii="宋体" w:hAnsi="宋体" w:eastAsia="宋体" w:cs="宋体"/>
          <w:b/>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致：采购人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关于贵方对采购编号为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的</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（项目名称），本单位申明如下：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我单位符合《中华人民共和国政府采购法》第22条的一般资格条件的规定：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供应商（盖章）：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line="40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日            期：</w:t>
      </w:r>
      <w:r>
        <w:rPr>
          <w:rFonts w:hint="eastAsia" w:ascii="宋体" w:hAnsi="宋体" w:eastAsia="宋体" w:cs="宋体"/>
          <w:color w:val="auto"/>
          <w:szCs w:val="21"/>
          <w:highlight w:val="none"/>
          <w:u w:val="single"/>
          <w:lang w:bidi="ar"/>
        </w:rPr>
        <w:t xml:space="preserve">                             </w:t>
      </w:r>
    </w:p>
    <w:p>
      <w:pPr>
        <w:spacing w:line="400" w:lineRule="exact"/>
        <w:ind w:firstLine="600" w:firstLineChars="250"/>
        <w:jc w:val="center"/>
        <w:rPr>
          <w:rFonts w:hint="eastAsia" w:ascii="宋体" w:hAnsi="宋体" w:eastAsia="宋体" w:cs="宋体"/>
          <w:color w:val="auto"/>
          <w:sz w:val="24"/>
          <w:szCs w:val="21"/>
          <w:highlight w:val="none"/>
        </w:rPr>
      </w:pPr>
    </w:p>
    <w:p>
      <w:pPr>
        <w:spacing w:line="400" w:lineRule="exact"/>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pacing w:val="-2"/>
          <w:sz w:val="24"/>
          <w:szCs w:val="21"/>
          <w:highlight w:val="none"/>
          <w:lang w:bidi="ar"/>
        </w:rPr>
        <w:br w:type="page"/>
      </w:r>
      <w:r>
        <w:rPr>
          <w:rFonts w:hint="eastAsia" w:ascii="宋体" w:hAnsi="宋体" w:eastAsia="宋体" w:cs="宋体"/>
          <w:b/>
          <w:color w:val="auto"/>
          <w:spacing w:val="-2"/>
          <w:kern w:val="0"/>
          <w:sz w:val="24"/>
          <w:szCs w:val="21"/>
          <w:highlight w:val="none"/>
          <w:lang w:bidi="ar"/>
        </w:rPr>
        <w:t>附件</w:t>
      </w:r>
      <w:r>
        <w:rPr>
          <w:rFonts w:hint="eastAsia" w:ascii="宋体" w:hAnsi="宋体" w:eastAsia="宋体" w:cs="宋体"/>
          <w:b/>
          <w:color w:val="auto"/>
          <w:szCs w:val="21"/>
          <w:highlight w:val="none"/>
          <w:lang w:val="en-US" w:eastAsia="zh-CN"/>
        </w:rPr>
        <w:t>2</w:t>
      </w:r>
    </w:p>
    <w:p>
      <w:pPr>
        <w:spacing w:line="400" w:lineRule="exact"/>
        <w:jc w:val="left"/>
        <w:rPr>
          <w:rFonts w:hint="eastAsia" w:ascii="宋体" w:hAnsi="宋体" w:eastAsia="宋体" w:cs="宋体"/>
          <w:b/>
          <w:color w:val="auto"/>
          <w:szCs w:val="21"/>
          <w:highlight w:val="none"/>
          <w:lang w:val="en-US" w:eastAsia="zh-CN"/>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具有良好的商业信誉和健全的财务会计制度声明函</w:t>
      </w:r>
    </w:p>
    <w:p>
      <w:pPr>
        <w:pStyle w:val="2"/>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致：采购人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本公司在参加</w:t>
      </w:r>
      <w:r>
        <w:rPr>
          <w:rFonts w:hint="eastAsia" w:ascii="宋体" w:hAnsi="宋体" w:eastAsia="宋体" w:cs="宋体"/>
          <w:color w:val="auto"/>
          <w:kern w:val="0"/>
          <w:szCs w:val="21"/>
          <w:highlight w:val="none"/>
        </w:rPr>
        <w:t>采购编号为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lang w:eastAsia="zh-CN"/>
        </w:rPr>
        <w:t>慈溪市桥头镇“无废绿色乡镇”建设服务采购项目</w:t>
      </w:r>
      <w:r>
        <w:rPr>
          <w:rFonts w:hint="eastAsia" w:ascii="宋体" w:hAnsi="宋体" w:eastAsia="宋体" w:cs="宋体"/>
          <w:color w:val="auto"/>
          <w:szCs w:val="21"/>
          <w:highlight w:val="none"/>
        </w:rPr>
        <w:t>政府采购活动以前，在生产经营活动中始终做到遵纪守法，诚实守信，并具有良好的履约业绩；严格执行现行的财务会计管理制度，财务管理制度健全，帐务清晰，能够按规定真实、全面地反映企业的生产经营活动。特此声明。</w:t>
      </w:r>
    </w:p>
    <w:p>
      <w:pPr>
        <w:keepNext w:val="0"/>
        <w:keepLines w:val="0"/>
        <w:pageBreakBefore w:val="0"/>
        <w:widowControl w:val="0"/>
        <w:kinsoku/>
        <w:wordWrap/>
        <w:overflowPunct/>
        <w:topLinePunct w:val="0"/>
        <w:autoSpaceDE/>
        <w:autoSpaceDN/>
        <w:bidi w:val="0"/>
        <w:adjustRightInd w:val="0"/>
        <w:snapToGrid w:val="0"/>
        <w:spacing w:line="480" w:lineRule="auto"/>
        <w:ind w:firstLine="42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spacing w:line="480" w:lineRule="auto"/>
        <w:ind w:left="170" w:firstLine="1680" w:firstLineChars="8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Style w:val="85"/>
          <w:rFonts w:hint="default" w:ascii="宋体" w:hAnsi="宋体" w:cs="宋体"/>
          <w:color w:val="auto"/>
          <w:sz w:val="21"/>
          <w:szCs w:val="21"/>
          <w:highlight w:val="none"/>
          <w:lang w:val="en-US"/>
        </w:rPr>
      </w:pPr>
      <w:r>
        <w:rPr>
          <w:rFonts w:hint="eastAsia" w:ascii="宋体" w:hAnsi="宋体" w:eastAsia="宋体" w:cs="宋体"/>
          <w:color w:val="auto"/>
          <w:szCs w:val="21"/>
          <w:highlight w:val="none"/>
        </w:rPr>
        <w:br w:type="page"/>
      </w:r>
      <w:r>
        <w:rPr>
          <w:rFonts w:hint="eastAsia" w:ascii="宋体" w:hAnsi="宋体" w:eastAsia="宋体" w:cs="宋体"/>
          <w:b/>
          <w:color w:val="auto"/>
          <w:spacing w:val="-2"/>
          <w:kern w:val="0"/>
          <w:sz w:val="24"/>
          <w:szCs w:val="21"/>
          <w:highlight w:val="none"/>
          <w:lang w:val="en-US" w:eastAsia="zh-CN" w:bidi="ar"/>
        </w:rPr>
        <w:t>附件3</w:t>
      </w:r>
    </w:p>
    <w:p>
      <w:pPr>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具有</w:t>
      </w:r>
      <w:r>
        <w:rPr>
          <w:rFonts w:hint="eastAsia" w:ascii="宋体" w:hAnsi="宋体" w:eastAsia="宋体" w:cs="宋体"/>
          <w:b/>
          <w:color w:val="auto"/>
          <w:sz w:val="30"/>
          <w:szCs w:val="30"/>
          <w:highlight w:val="none"/>
        </w:rPr>
        <w:t>履行合同所需的设备和专业技术能力的声明</w:t>
      </w:r>
      <w:r>
        <w:rPr>
          <w:rFonts w:hint="eastAsia" w:ascii="宋体" w:hAnsi="宋体" w:eastAsia="宋体" w:cs="宋体"/>
          <w:b/>
          <w:color w:val="auto"/>
          <w:sz w:val="30"/>
          <w:szCs w:val="30"/>
          <w:highlight w:val="none"/>
          <w:lang w:val="en-US" w:eastAsia="zh-CN"/>
        </w:rPr>
        <w:t>函</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我公司（单位）具备履行合同所需的设备和专业技术能力，具体情况介绍如下：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（内容包括：主要设备、专业技术人员、公司资质等）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特此承诺。</w:t>
      </w:r>
    </w:p>
    <w:p>
      <w:pPr>
        <w:widowControl/>
        <w:jc w:val="left"/>
        <w:rPr>
          <w:rFonts w:ascii="宋体" w:hAnsi="宋体"/>
          <w:bCs/>
          <w:color w:val="auto"/>
          <w:kern w:val="0"/>
          <w:sz w:val="21"/>
          <w:szCs w:val="21"/>
          <w:highlight w:val="none"/>
        </w:rPr>
      </w:pPr>
    </w:p>
    <w:p>
      <w:pPr>
        <w:widowControl/>
        <w:jc w:val="left"/>
        <w:rPr>
          <w:rFonts w:ascii="宋体" w:hAnsi="宋体"/>
          <w:bCs/>
          <w:color w:val="auto"/>
          <w:kern w:val="0"/>
          <w:sz w:val="21"/>
          <w:szCs w:val="21"/>
          <w:highlight w:val="none"/>
        </w:rPr>
      </w:pPr>
    </w:p>
    <w:p>
      <w:pPr>
        <w:keepNext w:val="0"/>
        <w:keepLines w:val="0"/>
        <w:pageBreakBefore w:val="0"/>
        <w:widowControl w:val="0"/>
        <w:kinsoku/>
        <w:wordWrap/>
        <w:overflowPunct/>
        <w:topLinePunct w:val="0"/>
        <w:autoSpaceDE/>
        <w:autoSpaceDN/>
        <w:bidi w:val="0"/>
        <w:spacing w:line="480" w:lineRule="auto"/>
        <w:ind w:left="170" w:firstLine="1680" w:firstLineChars="8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pacing w:val="-2"/>
          <w:kern w:val="0"/>
          <w:sz w:val="24"/>
          <w:szCs w:val="21"/>
          <w:highlight w:val="none"/>
          <w:lang w:bidi="ar"/>
        </w:rPr>
        <w:br w:type="page"/>
      </w:r>
    </w:p>
    <w:p>
      <w:pPr>
        <w:spacing w:line="400" w:lineRule="exact"/>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pacing w:val="-2"/>
          <w:kern w:val="0"/>
          <w:sz w:val="24"/>
          <w:szCs w:val="21"/>
          <w:highlight w:val="none"/>
          <w:lang w:bidi="ar"/>
        </w:rPr>
        <w:t>附件</w:t>
      </w:r>
      <w:r>
        <w:rPr>
          <w:rFonts w:hint="eastAsia" w:ascii="宋体" w:hAnsi="宋体" w:eastAsia="宋体" w:cs="宋体"/>
          <w:b/>
          <w:color w:val="auto"/>
          <w:spacing w:val="-2"/>
          <w:kern w:val="0"/>
          <w:sz w:val="24"/>
          <w:szCs w:val="21"/>
          <w:highlight w:val="none"/>
          <w:lang w:val="en-US" w:eastAsia="zh-CN" w:bidi="ar"/>
        </w:rPr>
        <w:t>4</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无重大违法记录声明函</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致：采购人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我单位承诺：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我单位参与本次采购活动前三年内，在经营活动中没有重大违法记录。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我单位对上述声明的真实性负责。如有虚假，将依法承担相应法律责任。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特此承诺。</w:t>
      </w:r>
    </w:p>
    <w:p>
      <w:pPr>
        <w:pStyle w:val="40"/>
        <w:spacing w:before="0" w:beforeAutospacing="0" w:after="0" w:afterAutospacing="0" w:line="400" w:lineRule="exact"/>
        <w:ind w:right="159" w:firstLine="660"/>
        <w:jc w:val="both"/>
        <w:rPr>
          <w:rFonts w:hint="eastAsia" w:ascii="宋体" w:hAnsi="宋体" w:eastAsia="宋体" w:cs="宋体"/>
          <w:bCs/>
          <w:color w:val="auto"/>
          <w:sz w:val="21"/>
          <w:szCs w:val="21"/>
          <w:highlight w:val="none"/>
        </w:rPr>
      </w:pPr>
    </w:p>
    <w:p>
      <w:pPr>
        <w:pStyle w:val="40"/>
        <w:spacing w:before="0" w:beforeAutospacing="0" w:after="0" w:afterAutospacing="0" w:line="400" w:lineRule="exact"/>
        <w:ind w:right="159" w:firstLine="660"/>
        <w:jc w:val="both"/>
        <w:rPr>
          <w:rFonts w:hint="eastAsia" w:ascii="宋体" w:hAnsi="宋体" w:eastAsia="宋体" w:cs="宋体"/>
          <w:bCs/>
          <w:color w:val="auto"/>
          <w:sz w:val="21"/>
          <w:szCs w:val="21"/>
          <w:highlight w:val="none"/>
        </w:rPr>
      </w:pPr>
    </w:p>
    <w:p>
      <w:pPr>
        <w:spacing w:line="400" w:lineRule="exact"/>
        <w:rPr>
          <w:rFonts w:hint="eastAsia" w:ascii="宋体" w:hAnsi="宋体" w:eastAsia="宋体" w:cs="宋体"/>
          <w:color w:val="auto"/>
          <w:kern w:val="0"/>
          <w:szCs w:val="21"/>
          <w:highlight w:val="none"/>
        </w:rPr>
      </w:pPr>
    </w:p>
    <w:p>
      <w:pPr>
        <w:spacing w:line="400" w:lineRule="exact"/>
        <w:rPr>
          <w:rFonts w:hint="eastAsia" w:ascii="宋体" w:hAnsi="宋体" w:eastAsia="宋体" w:cs="宋体"/>
          <w:color w:val="auto"/>
          <w:kern w:val="0"/>
          <w:szCs w:val="21"/>
          <w:highlight w:val="none"/>
        </w:rPr>
      </w:pPr>
    </w:p>
    <w:p>
      <w:pPr>
        <w:spacing w:line="400" w:lineRule="exact"/>
        <w:rPr>
          <w:rFonts w:hint="eastAsia" w:ascii="宋体" w:hAnsi="宋体" w:eastAsia="宋体" w:cs="宋体"/>
          <w:color w:val="auto"/>
          <w:kern w:val="0"/>
          <w:szCs w:val="21"/>
          <w:highlight w:val="none"/>
        </w:rPr>
      </w:pPr>
    </w:p>
    <w:p>
      <w:pPr>
        <w:spacing w:line="40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供应商（盖章）：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line="400" w:lineRule="atLeas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日            期：</w:t>
      </w:r>
      <w:r>
        <w:rPr>
          <w:rFonts w:hint="eastAsia" w:ascii="宋体" w:hAnsi="宋体" w:eastAsia="宋体" w:cs="宋体"/>
          <w:color w:val="auto"/>
          <w:szCs w:val="21"/>
          <w:highlight w:val="none"/>
          <w:u w:val="single"/>
          <w:lang w:bidi="ar"/>
        </w:rPr>
        <w:t xml:space="preserve">                             </w:t>
      </w:r>
    </w:p>
    <w:p>
      <w:pPr>
        <w:pStyle w:val="40"/>
        <w:spacing w:before="0" w:beforeAutospacing="0" w:after="0" w:afterAutospacing="0" w:line="400" w:lineRule="exact"/>
        <w:ind w:right="159" w:firstLine="660"/>
        <w:jc w:val="both"/>
        <w:rPr>
          <w:rFonts w:hint="eastAsia" w:ascii="宋体" w:hAnsi="宋体" w:eastAsia="宋体" w:cs="宋体"/>
          <w:bCs/>
          <w:color w:val="auto"/>
          <w:sz w:val="21"/>
          <w:szCs w:val="21"/>
          <w:highlight w:val="none"/>
        </w:rPr>
      </w:pPr>
    </w:p>
    <w:p>
      <w:pPr>
        <w:pStyle w:val="40"/>
        <w:spacing w:before="0" w:beforeAutospacing="0" w:after="0" w:afterAutospacing="0" w:line="400" w:lineRule="exact"/>
        <w:ind w:right="159" w:firstLine="660"/>
        <w:jc w:val="both"/>
        <w:rPr>
          <w:rFonts w:hint="eastAsia" w:ascii="宋体" w:hAnsi="宋体" w:eastAsia="宋体" w:cs="宋体"/>
          <w:bCs/>
          <w:color w:val="auto"/>
          <w:sz w:val="21"/>
          <w:szCs w:val="21"/>
          <w:highlight w:val="none"/>
        </w:rPr>
      </w:pPr>
    </w:p>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注：1、供应商注册成立不足三年的，应就供应商单位成立至参加政府采购活动时段进行承诺。</w:t>
      </w:r>
    </w:p>
    <w:p>
      <w:pPr>
        <w:pStyle w:val="40"/>
        <w:spacing w:before="0" w:beforeAutospacing="0" w:after="0" w:afterAutospacing="0" w:line="400" w:lineRule="exact"/>
        <w:ind w:right="159"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2、政府采购法所称重大违法记录：是指供应商因违法经营受到刑事处罚或者责令停产停业、吊销许可证或者执照、较大数额罚款等行政处罚。</w:t>
      </w:r>
    </w:p>
    <w:p>
      <w:pPr>
        <w:spacing w:line="440" w:lineRule="exact"/>
        <w:jc w:val="center"/>
        <w:rPr>
          <w:rFonts w:hint="eastAsia" w:ascii="宋体" w:hAnsi="宋体" w:eastAsia="宋体" w:cs="宋体"/>
          <w:color w:val="auto"/>
          <w:sz w:val="24"/>
          <w:szCs w:val="21"/>
          <w:highlight w:val="none"/>
        </w:rPr>
      </w:pPr>
    </w:p>
    <w:p>
      <w:pPr>
        <w:spacing w:line="400" w:lineRule="exact"/>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pacing w:val="-2"/>
          <w:sz w:val="24"/>
          <w:szCs w:val="21"/>
          <w:highlight w:val="none"/>
          <w:lang w:bidi="ar"/>
        </w:rPr>
        <w:br w:type="page"/>
      </w:r>
      <w:r>
        <w:rPr>
          <w:rFonts w:hint="eastAsia" w:ascii="宋体" w:hAnsi="宋体" w:eastAsia="宋体" w:cs="宋体"/>
          <w:b/>
          <w:color w:val="auto"/>
          <w:spacing w:val="-2"/>
          <w:kern w:val="0"/>
          <w:sz w:val="24"/>
          <w:szCs w:val="21"/>
          <w:highlight w:val="none"/>
          <w:lang w:bidi="ar"/>
        </w:rPr>
        <w:t>附件</w:t>
      </w:r>
      <w:r>
        <w:rPr>
          <w:rFonts w:hint="eastAsia" w:ascii="宋体" w:hAnsi="宋体" w:eastAsia="宋体" w:cs="宋体"/>
          <w:b/>
          <w:color w:val="auto"/>
          <w:spacing w:val="-2"/>
          <w:kern w:val="0"/>
          <w:sz w:val="24"/>
          <w:szCs w:val="21"/>
          <w:highlight w:val="none"/>
          <w:lang w:val="en-US" w:eastAsia="zh-CN" w:bidi="ar"/>
        </w:rPr>
        <w:t>5</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  话：</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传  真：</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注册地：</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公司的经营范围（请附上有关证书的复印件）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从业人员数量</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营业收入</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其他需要说明的情况</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Cs w:val="21"/>
                <w:highlight w:val="none"/>
              </w:rPr>
            </w:pPr>
          </w:p>
        </w:tc>
      </w:tr>
    </w:tbl>
    <w:p>
      <w:pPr>
        <w:spacing w:line="400" w:lineRule="exact"/>
        <w:jc w:val="left"/>
        <w:rPr>
          <w:rFonts w:hint="eastAsia" w:ascii="宋体" w:hAnsi="宋体" w:eastAsia="宋体" w:cs="宋体"/>
          <w:color w:val="auto"/>
          <w:szCs w:val="21"/>
          <w:highlight w:val="none"/>
        </w:rPr>
      </w:pPr>
    </w:p>
    <w:p>
      <w:pPr>
        <w:pStyle w:val="2"/>
        <w:ind w:firstLine="480"/>
        <w:rPr>
          <w:rFonts w:hint="eastAsia" w:ascii="宋体" w:hAnsi="宋体" w:eastAsia="宋体" w:cs="宋体"/>
          <w:color w:val="auto"/>
          <w:highlight w:val="none"/>
        </w:rPr>
      </w:pP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供应商（盖章）：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日            期：</w:t>
      </w:r>
      <w:r>
        <w:rPr>
          <w:rFonts w:hint="eastAsia" w:ascii="宋体" w:hAnsi="宋体" w:eastAsia="宋体" w:cs="宋体"/>
          <w:color w:val="auto"/>
          <w:szCs w:val="21"/>
          <w:highlight w:val="none"/>
          <w:u w:val="single"/>
          <w:lang w:bidi="ar"/>
        </w:rPr>
        <w:t xml:space="preserve">                             </w:t>
      </w:r>
    </w:p>
    <w:p>
      <w:pPr>
        <w:pStyle w:val="2"/>
        <w:numPr>
          <w:ilvl w:val="0"/>
          <w:numId w:val="0"/>
        </w:numPr>
        <w:ind w:firstLine="0" w:firstLineChars="0"/>
        <w:jc w:val="both"/>
        <w:rPr>
          <w:rFonts w:hint="eastAsia" w:ascii="宋体" w:hAnsi="宋体" w:eastAsia="宋体" w:cs="宋体"/>
          <w:color w:val="auto"/>
          <w:sz w:val="36"/>
          <w:szCs w:val="36"/>
          <w:highlight w:val="none"/>
        </w:rPr>
      </w:pPr>
    </w:p>
    <w:p>
      <w:pPr>
        <w:rPr>
          <w:rStyle w:val="85"/>
          <w:rFonts w:hint="default" w:ascii="宋体" w:hAnsi="宋体" w:eastAsia="宋体" w:cs="宋体"/>
          <w:color w:val="auto"/>
          <w:szCs w:val="24"/>
          <w:highlight w:val="none"/>
          <w:lang w:val="en-US"/>
        </w:rPr>
      </w:pPr>
      <w:r>
        <w:rPr>
          <w:rStyle w:val="85"/>
          <w:rFonts w:hint="eastAsia" w:ascii="宋体" w:hAnsi="宋体" w:eastAsia="宋体" w:cs="宋体"/>
          <w:color w:val="auto"/>
          <w:szCs w:val="24"/>
          <w:highlight w:val="none"/>
        </w:rPr>
        <w:br w:type="page"/>
      </w: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6</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 标 函</w:t>
      </w:r>
    </w:p>
    <w:p>
      <w:pPr>
        <w:ind w:left="540" w:leftChars="257" w:firstLine="1703" w:firstLineChars="808"/>
        <w:rPr>
          <w:rFonts w:hint="eastAsia" w:ascii="宋体" w:hAnsi="宋体" w:eastAsia="宋体" w:cs="宋体"/>
          <w:b/>
          <w:color w:val="auto"/>
          <w:szCs w:val="21"/>
          <w:highlight w:val="none"/>
        </w:rPr>
      </w:pPr>
    </w:p>
    <w:p>
      <w:pPr>
        <w:spacing w:line="400" w:lineRule="exact"/>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(供应商全称)授权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（全名、职务）为全权代表，参加贵方组织的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）招标活动并投标。为此：</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（1）、我方同意在供应商须知规定的开标日期起遵守本投标函中的承诺且在投标有效期满之前均具有约束力。</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（2）、提供供应商须知规定的全部投标文件。</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（3）、我方已详细阅读全部招标文件，包括招标文件修改书（如有的话）、参考资料及有关附件，确认无误。同意招标文件中的各项要求。</w:t>
      </w:r>
    </w:p>
    <w:p>
      <w:pPr>
        <w:spacing w:line="400" w:lineRule="exact"/>
        <w:rPr>
          <w:rFonts w:hint="eastAsia" w:ascii="宋体" w:hAnsi="宋体" w:eastAsia="宋体" w:cs="宋体"/>
          <w:color w:val="auto"/>
          <w:szCs w:val="21"/>
          <w:highlight w:val="none"/>
        </w:rPr>
      </w:pPr>
      <w:bookmarkStart w:id="64" w:name="_Toc437251189"/>
      <w:bookmarkStart w:id="65" w:name="_Toc360457891"/>
      <w:bookmarkStart w:id="66" w:name="_Toc231780372"/>
      <w:r>
        <w:rPr>
          <w:rFonts w:hint="eastAsia" w:ascii="宋体" w:hAnsi="宋体" w:eastAsia="宋体" w:cs="宋体"/>
          <w:color w:val="auto"/>
          <w:szCs w:val="21"/>
          <w:highlight w:val="none"/>
        </w:rPr>
        <w:t>（4）、保证忠实地执行双方所签订的合同，并承担合同规定的责任和义务。</w:t>
      </w:r>
      <w:bookmarkEnd w:id="64"/>
      <w:bookmarkEnd w:id="65"/>
      <w:bookmarkEnd w:id="66"/>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（5）、保证遵守招标文件中的其他有关规定。</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（6）、如果在开标后的投标有效期内撤回投标，我方同意按招标人的规定进行处罚。</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（7）、我方完全理解贵方不一定要接受最低价的投标或收到的任何投标。</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（8）、我方同意提供按照贵方可能要求的与其投标有关的一切数据或资料，并保证其真实性、合法性。</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（9）、投标有效期为自开标日起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（10）、我们郑重声明：</w:t>
      </w:r>
      <w:r>
        <w:rPr>
          <w:rFonts w:hint="eastAsia" w:ascii="宋体" w:hAnsi="宋体" w:eastAsia="宋体" w:cs="宋体"/>
          <w:bCs/>
          <w:color w:val="auto"/>
          <w:szCs w:val="21"/>
          <w:highlight w:val="none"/>
        </w:rPr>
        <w:t>在同一合同项下的政府采购活动中，不存在单位负责人为同一人或者存在直接控股、管理关系。</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与本投标有关的一切往来通讯请寄：</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地址：_______________________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邮编：_______________________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电话：_______________________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传真：_______________________</w:t>
      </w:r>
    </w:p>
    <w:p>
      <w:pPr>
        <w:adjustRightInd w:val="0"/>
        <w:snapToGrid w:val="0"/>
        <w:spacing w:after="120" w:afterLines="50"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djustRightInd w:val="0"/>
        <w:snapToGrid w:val="0"/>
        <w:spacing w:after="120" w:afterLines="5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供应商名称（公章）：                               </w:t>
      </w:r>
    </w:p>
    <w:p>
      <w:pPr>
        <w:spacing w:line="40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kern w:val="0"/>
          <w:szCs w:val="21"/>
          <w:highlight w:val="none"/>
          <w:u w:val="single"/>
        </w:rPr>
        <w:t xml:space="preserve">        </w:t>
      </w:r>
    </w:p>
    <w:p>
      <w:pPr>
        <w:spacing w:line="360" w:lineRule="auto"/>
        <w:rPr>
          <w:rFonts w:hint="eastAsia" w:ascii="宋体" w:hAnsi="宋体" w:eastAsia="宋体" w:cs="宋体"/>
          <w:color w:val="auto"/>
          <w:kern w:val="0"/>
          <w:szCs w:val="21"/>
          <w:highlight w:val="none"/>
          <w:u w:val="single"/>
        </w:rPr>
      </w:pPr>
    </w:p>
    <w:p>
      <w:pPr>
        <w:spacing w:line="360" w:lineRule="auto"/>
        <w:rPr>
          <w:rFonts w:hint="eastAsia" w:ascii="宋体" w:hAnsi="宋体" w:eastAsia="宋体" w:cs="宋体"/>
          <w:color w:val="auto"/>
          <w:kern w:val="0"/>
          <w:szCs w:val="21"/>
          <w:highlight w:val="none"/>
          <w:u w:val="single"/>
        </w:rPr>
      </w:pPr>
    </w:p>
    <w:p>
      <w:pPr>
        <w:spacing w:line="360" w:lineRule="auto"/>
        <w:rPr>
          <w:rStyle w:val="85"/>
          <w:rFonts w:hint="eastAsia" w:ascii="宋体" w:hAnsi="宋体" w:eastAsia="宋体" w:cs="宋体"/>
          <w:color w:val="auto"/>
          <w:sz w:val="28"/>
          <w:szCs w:val="28"/>
          <w:highlight w:val="none"/>
        </w:rPr>
      </w:pPr>
    </w:p>
    <w:p>
      <w:pPr>
        <w:spacing w:line="480" w:lineRule="auto"/>
        <w:jc w:val="left"/>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eastAsia" w:ascii="宋体" w:hAnsi="宋体" w:eastAsia="宋体" w:cs="宋体"/>
          <w:color w:val="auto"/>
          <w:sz w:val="30"/>
          <w:szCs w:val="30"/>
          <w:highlight w:val="none"/>
        </w:rPr>
      </w:pP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7</w:t>
      </w:r>
      <w:r>
        <w:rPr>
          <w:rFonts w:hint="eastAsia" w:ascii="宋体" w:hAnsi="宋体" w:eastAsia="宋体" w:cs="宋体"/>
          <w:b/>
          <w:color w:val="auto"/>
          <w:sz w:val="32"/>
          <w:highlight w:val="none"/>
        </w:rPr>
        <w:t xml:space="preserve">   </w:t>
      </w:r>
    </w:p>
    <w:p>
      <w:pPr>
        <w:jc w:val="center"/>
        <w:rPr>
          <w:rFonts w:hint="eastAsia" w:ascii="宋体" w:hAnsi="宋体" w:eastAsia="宋体" w:cs="宋体"/>
          <w:b/>
          <w:color w:val="auto"/>
          <w:sz w:val="30"/>
          <w:szCs w:val="30"/>
          <w:highlight w:val="none"/>
        </w:rPr>
      </w:pPr>
      <w:bookmarkStart w:id="67" w:name="_Toc12374303"/>
      <w:bookmarkStart w:id="68" w:name="_Toc12376828"/>
      <w:bookmarkStart w:id="69" w:name="_Toc529781151"/>
      <w:bookmarkStart w:id="70" w:name="_Toc12428987"/>
      <w:r>
        <w:rPr>
          <w:rFonts w:hint="eastAsia" w:ascii="宋体" w:hAnsi="宋体" w:eastAsia="宋体" w:cs="宋体"/>
          <w:b/>
          <w:color w:val="auto"/>
          <w:sz w:val="30"/>
          <w:szCs w:val="30"/>
          <w:highlight w:val="none"/>
        </w:rPr>
        <w:t>法定代表人身份证明</w:t>
      </w:r>
      <w:bookmarkEnd w:id="67"/>
      <w:bookmarkEnd w:id="68"/>
      <w:bookmarkEnd w:id="69"/>
      <w:bookmarkEnd w:id="70"/>
    </w:p>
    <w:p>
      <w:pPr>
        <w:spacing w:line="400" w:lineRule="exact"/>
        <w:jc w:val="center"/>
        <w:outlineLvl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（若法定代表人参加开标的，</w:t>
      </w:r>
      <w:r>
        <w:rPr>
          <w:rFonts w:hint="eastAsia" w:ascii="宋体" w:hAnsi="宋体" w:eastAsia="宋体" w:cs="宋体"/>
          <w:bCs/>
          <w:color w:val="auto"/>
          <w:szCs w:val="21"/>
          <w:highlight w:val="none"/>
        </w:rPr>
        <w:t>在开标身份确认时</w:t>
      </w:r>
      <w:r>
        <w:rPr>
          <w:rFonts w:hint="eastAsia" w:ascii="宋体" w:hAnsi="宋体" w:eastAsia="宋体" w:cs="宋体"/>
          <w:bCs/>
          <w:color w:val="auto"/>
          <w:szCs w:val="21"/>
          <w:highlight w:val="none"/>
          <w:lang w:val="en-US" w:eastAsia="zh-CN"/>
        </w:rPr>
        <w:t>另</w:t>
      </w:r>
      <w:r>
        <w:rPr>
          <w:rFonts w:hint="eastAsia" w:ascii="宋体" w:hAnsi="宋体" w:eastAsia="宋体" w:cs="宋体"/>
          <w:bCs/>
          <w:color w:val="auto"/>
          <w:szCs w:val="21"/>
          <w:highlight w:val="none"/>
        </w:rPr>
        <w:t>提供一份原件</w:t>
      </w:r>
      <w:r>
        <w:rPr>
          <w:rFonts w:hint="eastAsia" w:ascii="宋体" w:hAnsi="宋体" w:eastAsia="宋体" w:cs="宋体"/>
          <w:bCs/>
          <w:color w:val="auto"/>
          <w:szCs w:val="21"/>
          <w:highlight w:val="none"/>
          <w:lang w:val="en-US" w:eastAsia="zh-CN"/>
        </w:rPr>
        <w:t>）</w:t>
      </w:r>
    </w:p>
    <w:p>
      <w:pPr>
        <w:pStyle w:val="2"/>
        <w:rPr>
          <w:rFonts w:hint="eastAsia" w:ascii="宋体" w:hAnsi="宋体" w:eastAsia="宋体" w:cs="宋体"/>
          <w:color w:val="auto"/>
          <w:highlight w:val="none"/>
        </w:rPr>
      </w:pP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供应商名称：</w:t>
      </w:r>
      <w:r>
        <w:rPr>
          <w:rFonts w:hint="eastAsia" w:ascii="宋体" w:hAnsi="宋体" w:eastAsia="宋体" w:cs="宋体"/>
          <w:color w:val="auto"/>
          <w:szCs w:val="21"/>
          <w:highlight w:val="none"/>
          <w:u w:val="single"/>
          <w:lang w:bidi="ar"/>
        </w:rPr>
        <w:t xml:space="preserve">                                  </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单位性质：</w:t>
      </w:r>
      <w:r>
        <w:rPr>
          <w:rFonts w:hint="eastAsia" w:ascii="宋体" w:hAnsi="宋体" w:eastAsia="宋体" w:cs="宋体"/>
          <w:color w:val="auto"/>
          <w:szCs w:val="21"/>
          <w:highlight w:val="none"/>
          <w:u w:val="single"/>
          <w:lang w:bidi="ar"/>
        </w:rPr>
        <w:t xml:space="preserve">                                    </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地址：</w:t>
      </w:r>
      <w:r>
        <w:rPr>
          <w:rFonts w:hint="eastAsia" w:ascii="宋体" w:hAnsi="宋体" w:eastAsia="宋体" w:cs="宋体"/>
          <w:color w:val="auto"/>
          <w:szCs w:val="21"/>
          <w:highlight w:val="none"/>
          <w:u w:val="single"/>
          <w:lang w:bidi="ar"/>
        </w:rPr>
        <w:t xml:space="preserve">                                        </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成立时间：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经营期限：</w:t>
      </w:r>
      <w:r>
        <w:rPr>
          <w:rFonts w:hint="eastAsia" w:ascii="宋体" w:hAnsi="宋体" w:eastAsia="宋体" w:cs="宋体"/>
          <w:color w:val="auto"/>
          <w:szCs w:val="21"/>
          <w:highlight w:val="none"/>
          <w:u w:val="single"/>
          <w:lang w:bidi="ar"/>
        </w:rPr>
        <w:t xml:space="preserve">                                     </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姓名：</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性别：</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年龄：</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highlight w:val="none"/>
          <w:lang w:bidi="ar"/>
        </w:rPr>
        <w:t>职务：</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after="120" w:afterLines="50"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身份证号码：</w:t>
      </w:r>
      <w:r>
        <w:rPr>
          <w:rFonts w:hint="eastAsia" w:ascii="宋体" w:hAnsi="宋体" w:eastAsia="宋体" w:cs="宋体"/>
          <w:color w:val="auto"/>
          <w:szCs w:val="21"/>
          <w:highlight w:val="none"/>
          <w:u w:val="single"/>
          <w:lang w:bidi="ar"/>
        </w:rPr>
        <w:t xml:space="preserve">                           </w:t>
      </w:r>
    </w:p>
    <w:p>
      <w:pPr>
        <w:spacing w:line="400" w:lineRule="exact"/>
        <w:ind w:firstLine="560"/>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系</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（供应商名称）的法定代表人。</w:t>
      </w:r>
    </w:p>
    <w:p>
      <w:pPr>
        <w:spacing w:line="400" w:lineRule="exact"/>
        <w:ind w:firstLine="560"/>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特此证明。</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供应商（盖章）：</w:t>
      </w:r>
    </w:p>
    <w:p>
      <w:pPr>
        <w:spacing w:line="400" w:lineRule="exact"/>
        <w:ind w:right="56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pPr>
        <w:spacing w:line="400" w:lineRule="exact"/>
        <w:ind w:right="560"/>
        <w:rPr>
          <w:rFonts w:hint="eastAsia" w:ascii="宋体" w:hAnsi="宋体" w:eastAsia="宋体" w:cs="宋体"/>
          <w:color w:val="auto"/>
          <w:szCs w:val="21"/>
          <w:highlight w:val="none"/>
        </w:rPr>
      </w:pPr>
    </w:p>
    <w:p>
      <w:pPr>
        <w:spacing w:line="400" w:lineRule="exact"/>
        <w:ind w:right="560"/>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附：法定代表人身份证</w:t>
      </w:r>
      <w:r>
        <w:rPr>
          <w:rFonts w:hint="eastAsia" w:ascii="宋体" w:hAnsi="宋体" w:eastAsia="宋体" w:cs="宋体"/>
          <w:color w:val="auto"/>
          <w:szCs w:val="21"/>
          <w:highlight w:val="none"/>
          <w:lang w:val="en-US" w:eastAsia="zh-CN" w:bidi="ar"/>
        </w:rPr>
        <w:t>扫描</w:t>
      </w:r>
      <w:r>
        <w:rPr>
          <w:rFonts w:hint="eastAsia" w:ascii="宋体" w:hAnsi="宋体" w:eastAsia="宋体" w:cs="宋体"/>
          <w:color w:val="auto"/>
          <w:szCs w:val="21"/>
          <w:highlight w:val="none"/>
          <w:lang w:bidi="ar"/>
        </w:rPr>
        <w:t>件</w:t>
      </w:r>
    </w:p>
    <w:p>
      <w:pPr>
        <w:spacing w:line="400" w:lineRule="exact"/>
        <w:jc w:val="left"/>
        <w:rPr>
          <w:rFonts w:hint="eastAsia" w:ascii="宋体" w:hAnsi="宋体" w:eastAsia="宋体" w:cs="宋体"/>
          <w:color w:val="auto"/>
          <w:sz w:val="24"/>
          <w:szCs w:val="21"/>
          <w:highlight w:val="none"/>
        </w:rPr>
      </w:pPr>
    </w:p>
    <w:p>
      <w:pPr>
        <w:spacing w:line="400" w:lineRule="exact"/>
        <w:jc w:val="left"/>
        <w:rPr>
          <w:rFonts w:hint="eastAsia" w:ascii="宋体" w:hAnsi="宋体" w:eastAsia="宋体" w:cs="宋体"/>
          <w:color w:val="auto"/>
          <w:sz w:val="24"/>
          <w:szCs w:val="21"/>
          <w:highlight w:val="none"/>
        </w:rPr>
      </w:pPr>
    </w:p>
    <w:p>
      <w:pPr>
        <w:jc w:val="center"/>
        <w:rPr>
          <w:rFonts w:hint="eastAsia" w:ascii="宋体" w:hAnsi="宋体" w:eastAsia="宋体" w:cs="宋体"/>
          <w:b/>
          <w:color w:val="auto"/>
          <w:spacing w:val="40"/>
          <w:sz w:val="28"/>
          <w:szCs w:val="28"/>
          <w:highlight w:val="none"/>
        </w:rPr>
      </w:pPr>
    </w:p>
    <w:p>
      <w:pPr>
        <w:jc w:val="center"/>
        <w:rPr>
          <w:rFonts w:hint="eastAsia" w:ascii="宋体" w:hAnsi="宋体" w:eastAsia="宋体" w:cs="宋体"/>
          <w:b/>
          <w:color w:val="auto"/>
          <w:spacing w:val="40"/>
          <w:sz w:val="28"/>
          <w:szCs w:val="28"/>
          <w:highlight w:val="none"/>
        </w:rPr>
      </w:pPr>
    </w:p>
    <w:p>
      <w:pPr>
        <w:spacing w:line="400" w:lineRule="exact"/>
        <w:jc w:val="left"/>
        <w:outlineLvl w:val="0"/>
        <w:rPr>
          <w:rStyle w:val="85"/>
          <w:rFonts w:hint="eastAsia" w:ascii="宋体" w:hAnsi="宋体" w:eastAsia="宋体" w:cs="宋体"/>
          <w:color w:val="auto"/>
          <w:sz w:val="30"/>
          <w:szCs w:val="30"/>
          <w:highlight w:val="none"/>
        </w:rPr>
      </w:pPr>
    </w:p>
    <w:p>
      <w:pPr>
        <w:spacing w:line="400" w:lineRule="exact"/>
        <w:jc w:val="left"/>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pStyle w:val="2"/>
        <w:rPr>
          <w:rFonts w:hint="eastAsia" w:ascii="宋体" w:hAnsi="宋体" w:eastAsia="宋体" w:cs="宋体"/>
          <w:b/>
          <w:color w:val="auto"/>
          <w:spacing w:val="-2"/>
          <w:kern w:val="0"/>
          <w:sz w:val="24"/>
          <w:szCs w:val="21"/>
          <w:highlight w:val="none"/>
          <w:lang w:bidi="ar"/>
        </w:rPr>
      </w:pPr>
    </w:p>
    <w:p>
      <w:pPr>
        <w:spacing w:line="480" w:lineRule="auto"/>
        <w:jc w:val="left"/>
        <w:rPr>
          <w:rStyle w:val="85"/>
          <w:rFonts w:hint="default" w:ascii="宋体" w:hAnsi="宋体" w:eastAsia="宋体" w:cs="宋体"/>
          <w:color w:val="auto"/>
          <w:szCs w:val="24"/>
          <w:highlight w:val="none"/>
          <w:lang w:val="en-US"/>
        </w:rPr>
      </w:pPr>
      <w:r>
        <w:rPr>
          <w:rFonts w:hint="eastAsia" w:ascii="宋体" w:hAnsi="宋体" w:eastAsia="宋体" w:cs="宋体"/>
          <w:b/>
          <w:color w:val="auto"/>
          <w:spacing w:val="-2"/>
          <w:sz w:val="24"/>
          <w:szCs w:val="21"/>
          <w:highlight w:val="none"/>
          <w:lang w:bidi="ar"/>
        </w:rPr>
        <w:br w:type="page"/>
      </w: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8</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商务条款响应表</w:t>
      </w:r>
    </w:p>
    <w:p>
      <w:pPr>
        <w:spacing w:line="400" w:lineRule="exact"/>
        <w:ind w:left="540"/>
        <w:jc w:val="center"/>
        <w:rPr>
          <w:rFonts w:hint="eastAsia" w:ascii="宋体" w:hAnsi="宋体" w:eastAsia="宋体" w:cs="宋体"/>
          <w:b/>
          <w:color w:val="auto"/>
          <w:szCs w:val="21"/>
          <w:highlight w:val="none"/>
        </w:rPr>
      </w:pPr>
    </w:p>
    <w:p>
      <w:pPr>
        <w:adjustRightInd w:val="0"/>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采购编号：</w:t>
      </w:r>
      <w:r>
        <w:rPr>
          <w:rFonts w:hint="eastAsia" w:ascii="宋体" w:hAnsi="宋体" w:eastAsia="宋体" w:cs="宋体"/>
          <w:color w:val="auto"/>
          <w:szCs w:val="21"/>
          <w:highlight w:val="none"/>
          <w:u w:val="single"/>
        </w:rPr>
        <w:t xml:space="preserve">       </w:t>
      </w:r>
    </w:p>
    <w:p>
      <w:pPr>
        <w:adjustRightInd w:val="0"/>
        <w:snapToGrid w:val="0"/>
        <w:spacing w:line="400" w:lineRule="exac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tbl>
      <w:tblPr>
        <w:tblStyle w:val="4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序号</w:t>
            </w: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招标要求</w:t>
            </w: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投标响应</w:t>
            </w: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bl>
    <w:p>
      <w:pPr>
        <w:adjustRightInd w:val="0"/>
        <w:snapToGrid w:val="0"/>
        <w:spacing w:line="400" w:lineRule="exact"/>
        <w:ind w:left="250" w:hanging="250" w:hangingChars="1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注：1、须与相应标项的商务条款逐项比较填写。</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ind w:firstLine="5880" w:firstLineChars="2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（公章）　</w:t>
      </w:r>
    </w:p>
    <w:p>
      <w:pPr>
        <w:snapToGrid w:val="0"/>
        <w:spacing w:line="400" w:lineRule="exact"/>
        <w:ind w:firstLine="3150" w:firstLineChars="1500"/>
        <w:rPr>
          <w:rFonts w:hint="eastAsia" w:ascii="宋体" w:hAnsi="宋体" w:eastAsia="宋体" w:cs="宋体"/>
          <w:color w:val="auto"/>
          <w:szCs w:val="21"/>
          <w:highlight w:val="none"/>
        </w:rPr>
      </w:pPr>
    </w:p>
    <w:p>
      <w:pPr>
        <w:spacing w:line="400" w:lineRule="exact"/>
        <w:ind w:firstLine="5880" w:firstLineChars="28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80" w:lineRule="auto"/>
        <w:jc w:val="left"/>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 xml:space="preserve"> </w:t>
      </w:r>
    </w:p>
    <w:p>
      <w:pPr>
        <w:pStyle w:val="2"/>
        <w:ind w:firstLine="480"/>
        <w:rPr>
          <w:rFonts w:hint="eastAsia" w:ascii="宋体" w:hAnsi="宋体" w:eastAsia="宋体" w:cs="宋体"/>
          <w:color w:val="auto"/>
          <w:highlight w:val="none"/>
        </w:rPr>
      </w:pPr>
    </w:p>
    <w:p>
      <w:pPr>
        <w:spacing w:line="400" w:lineRule="exact"/>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spacing w:line="400" w:lineRule="exact"/>
        <w:rPr>
          <w:rFonts w:hint="eastAsia" w:ascii="宋体" w:hAnsi="宋体" w:eastAsia="宋体" w:cs="宋体"/>
          <w:b/>
          <w:bCs/>
          <w:iCs/>
          <w:color w:val="auto"/>
          <w:spacing w:val="20"/>
          <w:szCs w:val="21"/>
          <w:highlight w:val="none"/>
        </w:rPr>
      </w:pP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9</w:t>
      </w:r>
      <w:r>
        <w:rPr>
          <w:rFonts w:hint="eastAsia" w:ascii="宋体" w:hAnsi="宋体" w:eastAsia="宋体" w:cs="宋体"/>
          <w:color w:val="auto"/>
          <w:spacing w:val="20"/>
          <w:sz w:val="30"/>
          <w:szCs w:val="30"/>
          <w:highlight w:val="none"/>
        </w:rPr>
        <w:t xml:space="preserve"> </w:t>
      </w: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val="en-US" w:eastAsia="zh-CN"/>
        </w:rPr>
        <w:t>服务</w:t>
      </w:r>
      <w:r>
        <w:rPr>
          <w:rFonts w:hint="eastAsia" w:ascii="宋体" w:hAnsi="宋体" w:eastAsia="宋体" w:cs="宋体"/>
          <w:b/>
          <w:color w:val="auto"/>
          <w:sz w:val="30"/>
          <w:szCs w:val="30"/>
          <w:highlight w:val="none"/>
        </w:rPr>
        <w:t>响应表</w:t>
      </w:r>
    </w:p>
    <w:p>
      <w:pPr>
        <w:adjustRightInd w:val="0"/>
        <w:snapToGrid w:val="0"/>
        <w:spacing w:line="400" w:lineRule="exact"/>
        <w:rPr>
          <w:rFonts w:hint="eastAsia" w:ascii="宋体" w:hAnsi="宋体" w:eastAsia="宋体" w:cs="宋体"/>
          <w:color w:val="auto"/>
          <w:szCs w:val="21"/>
          <w:highlight w:val="none"/>
        </w:rPr>
      </w:pPr>
    </w:p>
    <w:p>
      <w:pPr>
        <w:adjustRightInd w:val="0"/>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采购编号：</w:t>
      </w:r>
      <w:r>
        <w:rPr>
          <w:rFonts w:hint="eastAsia" w:ascii="宋体" w:hAnsi="宋体" w:eastAsia="宋体" w:cs="宋体"/>
          <w:color w:val="auto"/>
          <w:szCs w:val="21"/>
          <w:highlight w:val="none"/>
          <w:u w:val="single"/>
        </w:rPr>
        <w:t xml:space="preserve">      </w:t>
      </w:r>
    </w:p>
    <w:p>
      <w:pPr>
        <w:adjustRightInd w:val="0"/>
        <w:snapToGrid w:val="0"/>
        <w:spacing w:line="400" w:lineRule="exac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4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序号</w:t>
            </w: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招标要求</w:t>
            </w: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投标响应</w:t>
            </w: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1794"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c>
          <w:tcPr>
            <w:tcW w:w="4517" w:type="dxa"/>
            <w:noWrap w:val="0"/>
            <w:vAlign w:val="center"/>
          </w:tcPr>
          <w:p>
            <w:pPr>
              <w:adjustRightInd w:val="0"/>
              <w:snapToGrid w:val="0"/>
              <w:spacing w:line="400" w:lineRule="exact"/>
              <w:jc w:val="center"/>
              <w:rPr>
                <w:rFonts w:hint="eastAsia" w:ascii="宋体" w:hAnsi="宋体" w:eastAsia="宋体" w:cs="宋体"/>
                <w:color w:val="auto"/>
                <w:spacing w:val="20"/>
                <w:szCs w:val="21"/>
                <w:highlight w:val="none"/>
              </w:rPr>
            </w:pPr>
          </w:p>
        </w:tc>
      </w:tr>
    </w:tbl>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注：1、须与相应标项的所有技术需求逐项比较填写</w:t>
      </w:r>
      <w:r>
        <w:rPr>
          <w:rFonts w:hint="eastAsia" w:ascii="宋体" w:hAnsi="宋体" w:eastAsia="宋体" w:cs="宋体"/>
          <w:color w:val="auto"/>
          <w:spacing w:val="20"/>
          <w:szCs w:val="21"/>
          <w:highlight w:val="none"/>
          <w:lang w:eastAsia="zh-CN"/>
        </w:rPr>
        <w:t>，</w:t>
      </w:r>
      <w:r>
        <w:rPr>
          <w:rFonts w:hint="eastAsia" w:ascii="宋体" w:hAnsi="宋体" w:eastAsia="宋体" w:cs="宋体"/>
          <w:color w:val="auto"/>
          <w:spacing w:val="20"/>
          <w:szCs w:val="21"/>
          <w:highlight w:val="none"/>
          <w:lang w:val="en-US" w:eastAsia="zh-CN"/>
        </w:rPr>
        <w:t>若全部响应的，在明显位置标注全部响应</w:t>
      </w:r>
      <w:r>
        <w:rPr>
          <w:rFonts w:hint="eastAsia" w:ascii="宋体" w:hAnsi="宋体" w:eastAsia="宋体" w:cs="宋体"/>
          <w:color w:val="auto"/>
          <w:spacing w:val="20"/>
          <w:szCs w:val="21"/>
          <w:highlight w:val="none"/>
        </w:rPr>
        <w:t>。</w:t>
      </w:r>
    </w:p>
    <w:p>
      <w:pPr>
        <w:adjustRightInd w:val="0"/>
        <w:snapToGrid w:val="0"/>
        <w:spacing w:line="400" w:lineRule="exact"/>
        <w:rPr>
          <w:rFonts w:hint="eastAsia" w:ascii="宋体" w:hAnsi="宋体" w:eastAsia="宋体" w:cs="宋体"/>
          <w:color w:val="auto"/>
          <w:spacing w:val="20"/>
          <w:szCs w:val="21"/>
          <w:highlight w:val="none"/>
        </w:rPr>
      </w:pPr>
    </w:p>
    <w:p>
      <w:pPr>
        <w:adjustRightInd w:val="0"/>
        <w:snapToGrid w:val="0"/>
        <w:spacing w:line="400" w:lineRule="exact"/>
        <w:rPr>
          <w:rFonts w:hint="eastAsia" w:ascii="宋体" w:hAnsi="宋体" w:eastAsia="宋体" w:cs="宋体"/>
          <w:color w:val="auto"/>
          <w:spacing w:val="20"/>
          <w:szCs w:val="21"/>
          <w:highlight w:val="none"/>
        </w:rPr>
      </w:pPr>
    </w:p>
    <w:p>
      <w:pPr>
        <w:spacing w:line="400" w:lineRule="exact"/>
        <w:ind w:firstLine="315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（公章）　</w:t>
      </w:r>
    </w:p>
    <w:p>
      <w:pPr>
        <w:snapToGrid w:val="0"/>
        <w:spacing w:line="400" w:lineRule="exact"/>
        <w:ind w:firstLine="3150" w:firstLineChars="1500"/>
        <w:rPr>
          <w:rFonts w:hint="eastAsia" w:ascii="宋体" w:hAnsi="宋体" w:eastAsia="宋体" w:cs="宋体"/>
          <w:color w:val="auto"/>
          <w:szCs w:val="21"/>
          <w:highlight w:val="none"/>
        </w:rPr>
      </w:pPr>
    </w:p>
    <w:p>
      <w:pPr>
        <w:spacing w:line="400" w:lineRule="exact"/>
        <w:ind w:firstLine="3360" w:firstLineChars="1600"/>
        <w:rPr>
          <w:rFonts w:hint="eastAsia" w:ascii="宋体" w:hAnsi="宋体" w:eastAsia="宋体" w:cs="宋体"/>
          <w:color w:val="auto"/>
          <w:szCs w:val="21"/>
          <w:highlight w:val="none"/>
          <w:lang w:bidi="ar"/>
        </w:rPr>
        <w:sectPr>
          <w:headerReference r:id="rId13" w:type="default"/>
          <w:pgSz w:w="11907" w:h="16840"/>
          <w:pgMar w:top="1134" w:right="1417" w:bottom="1134" w:left="1417" w:header="284" w:footer="990" w:gutter="0"/>
          <w:cols w:space="720" w:num="1"/>
          <w:docGrid w:linePitch="285" w:charSpace="0"/>
        </w:sect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p>
    <w:p>
      <w:pPr>
        <w:rPr>
          <w:rStyle w:val="85"/>
          <w:rFonts w:hint="eastAsia" w:ascii="宋体" w:hAnsi="宋体" w:eastAsia="宋体" w:cs="宋体"/>
          <w:color w:val="auto"/>
          <w:szCs w:val="24"/>
          <w:highlight w:val="none"/>
        </w:rPr>
      </w:pPr>
    </w:p>
    <w:p>
      <w:pPr>
        <w:rPr>
          <w:rFonts w:hint="eastAsia" w:ascii="宋体" w:hAnsi="宋体" w:eastAsia="宋体" w:cs="宋体"/>
          <w:color w:val="auto"/>
          <w:kern w:val="0"/>
          <w:sz w:val="20"/>
          <w:highlight w:val="none"/>
        </w:rPr>
      </w:pPr>
    </w:p>
    <w:p>
      <w:pPr>
        <w:rPr>
          <w:rStyle w:val="85"/>
          <w:rFonts w:hint="default" w:ascii="宋体" w:hAnsi="宋体" w:eastAsia="宋体" w:cs="宋体"/>
          <w:color w:val="auto"/>
          <w:szCs w:val="24"/>
          <w:highlight w:val="none"/>
          <w:lang w:val="en-US"/>
        </w:rPr>
      </w:pP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10</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开标一览表</w:t>
      </w:r>
    </w:p>
    <w:p>
      <w:pPr>
        <w:spacing w:line="460" w:lineRule="exact"/>
        <w:rPr>
          <w:rFonts w:hint="eastAsia" w:ascii="宋体" w:hAnsi="宋体" w:eastAsia="宋体" w:cs="宋体"/>
          <w:color w:val="auto"/>
          <w:highlight w:val="none"/>
        </w:rPr>
      </w:pPr>
    </w:p>
    <w:p>
      <w:pPr>
        <w:adjustRightInd w:val="0"/>
        <w:snapToGrid w:val="0"/>
        <w:spacing w:after="120" w:afterLines="50"/>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u w:val="single"/>
          <w:lang w:eastAsia="zh-CN"/>
        </w:rPr>
        <w:t>慈溪市桥头镇“无废绿色乡镇”建设服务采购项目</w:t>
      </w:r>
    </w:p>
    <w:p>
      <w:pPr>
        <w:adjustRightInd w:val="0"/>
        <w:snapToGrid w:val="0"/>
        <w:spacing w:after="120" w:afterLines="50"/>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 xml:space="preserve"> </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2392"/>
        <w:gridCol w:w="24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08"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392"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2410" w:type="dxa"/>
            <w:noWrap w:val="0"/>
            <w:vAlign w:val="center"/>
          </w:tcPr>
          <w:p>
            <w:pPr>
              <w:spacing w:line="540" w:lineRule="exact"/>
              <w:ind w:firstLine="420"/>
              <w:jc w:val="both"/>
              <w:rPr>
                <w:rFonts w:hint="eastAsia" w:ascii="宋体" w:hAnsi="宋体" w:cs="宋体"/>
                <w:color w:val="auto"/>
                <w:szCs w:val="21"/>
                <w:highlight w:val="none"/>
              </w:rPr>
            </w:pPr>
            <w:r>
              <w:rPr>
                <w:rFonts w:hint="eastAsia" w:ascii="宋体" w:hAnsi="宋体" w:cs="宋体"/>
                <w:color w:val="auto"/>
                <w:szCs w:val="21"/>
                <w:highlight w:val="none"/>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308" w:type="dxa"/>
            <w:noWrap w:val="0"/>
            <w:vAlign w:val="center"/>
          </w:tcPr>
          <w:p>
            <w:pPr>
              <w:jc w:val="both"/>
              <w:rPr>
                <w:rFonts w:hint="eastAsia"/>
                <w:color w:val="auto"/>
                <w:highlight w:val="none"/>
              </w:rPr>
            </w:pPr>
            <w:r>
              <w:rPr>
                <w:rFonts w:hint="eastAsia"/>
                <w:color w:val="auto"/>
                <w:highlight w:val="none"/>
                <w:lang w:eastAsia="zh-CN"/>
              </w:rPr>
              <w:t>慈溪市桥头镇“无废绿色乡镇”建设服务采购项目</w:t>
            </w:r>
          </w:p>
        </w:tc>
        <w:tc>
          <w:tcPr>
            <w:tcW w:w="2392" w:type="dxa"/>
            <w:noWrap w:val="0"/>
            <w:vAlign w:val="top"/>
          </w:tcPr>
          <w:p>
            <w:pPr>
              <w:spacing w:line="540" w:lineRule="exact"/>
              <w:ind w:firstLine="420"/>
              <w:rPr>
                <w:rFonts w:hint="eastAsia"/>
                <w:color w:val="auto"/>
                <w:highlight w:val="none"/>
                <w:lang w:val="en-US" w:eastAsia="zh-CN"/>
              </w:rPr>
            </w:pPr>
            <w:r>
              <w:rPr>
                <w:rFonts w:hint="eastAsia"/>
                <w:color w:val="auto"/>
                <w:highlight w:val="none"/>
                <w:lang w:val="en-US" w:eastAsia="zh-CN"/>
              </w:rPr>
              <w:t>小写：</w:t>
            </w:r>
          </w:p>
          <w:p>
            <w:pPr>
              <w:pStyle w:val="2"/>
              <w:rPr>
                <w:rFonts w:hint="default"/>
                <w:color w:val="auto"/>
                <w:highlight w:val="none"/>
                <w:lang w:val="en-US" w:eastAsia="zh-CN"/>
              </w:rPr>
            </w:pPr>
            <w:r>
              <w:rPr>
                <w:rFonts w:hint="eastAsia"/>
                <w:color w:val="auto"/>
                <w:kern w:val="2"/>
                <w:sz w:val="21"/>
                <w:szCs w:val="22"/>
                <w:highlight w:val="none"/>
                <w:lang w:val="en-US" w:eastAsia="zh-CN" w:bidi="ar-SA"/>
              </w:rPr>
              <w:t>大写：</w:t>
            </w:r>
          </w:p>
        </w:tc>
        <w:tc>
          <w:tcPr>
            <w:tcW w:w="2410" w:type="dxa"/>
            <w:noWrap w:val="0"/>
            <w:vAlign w:val="center"/>
          </w:tcPr>
          <w:p>
            <w:pPr>
              <w:ind w:firstLine="420"/>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一年 </w:t>
            </w:r>
          </w:p>
        </w:tc>
      </w:tr>
    </w:tbl>
    <w:p>
      <w:pPr>
        <w:spacing w:line="540" w:lineRule="exact"/>
        <w:ind w:left="539" w:firstLine="420"/>
        <w:rPr>
          <w:rFonts w:hint="eastAsia" w:ascii="宋体" w:hAnsi="宋体" w:cs="宋体"/>
          <w:color w:val="auto"/>
          <w:szCs w:val="21"/>
          <w:highlight w:val="none"/>
        </w:rPr>
      </w:pPr>
      <w:r>
        <w:rPr>
          <w:rFonts w:hint="eastAsia" w:ascii="宋体" w:hAnsi="宋体" w:cs="宋体"/>
          <w:color w:val="auto"/>
          <w:szCs w:val="21"/>
          <w:highlight w:val="none"/>
        </w:rPr>
        <w:t xml:space="preserve">备注：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公开招标实行一次性报价，投标价即为最终有效价。</w:t>
      </w:r>
    </w:p>
    <w:p>
      <w:pPr>
        <w:spacing w:line="540" w:lineRule="exact"/>
        <w:ind w:left="0" w:firstLine="1680" w:firstLineChars="800"/>
        <w:rPr>
          <w:rFonts w:hint="eastAsia" w:ascii="宋体" w:hAnsi="宋体" w:cs="宋体"/>
          <w:color w:val="auto"/>
          <w:kern w:val="2"/>
          <w:sz w:val="21"/>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cs="宋体"/>
          <w:color w:val="auto"/>
          <w:kern w:val="2"/>
          <w:sz w:val="21"/>
          <w:szCs w:val="21"/>
          <w:highlight w:val="none"/>
        </w:rPr>
        <w:t>大写总价与小写总价不一致，以大写总价为准。</w:t>
      </w:r>
    </w:p>
    <w:p>
      <w:pPr>
        <w:ind w:firstLine="422"/>
        <w:rPr>
          <w:rFonts w:hint="eastAsia" w:ascii="宋体" w:hAnsi="宋体" w:eastAsia="宋体" w:cs="宋体"/>
          <w:b/>
          <w:bCs/>
          <w:color w:val="auto"/>
          <w:szCs w:val="21"/>
          <w:highlight w:val="none"/>
          <w:lang w:val="en-US" w:eastAsia="zh-CN"/>
        </w:rPr>
      </w:pPr>
    </w:p>
    <w:p>
      <w:pPr>
        <w:spacing w:line="400" w:lineRule="exact"/>
        <w:ind w:firstLine="3570" w:firstLineChars="17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70" w:firstLine="1680" w:firstLineChars="8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color w:val="auto"/>
          <w:kern w:val="2"/>
          <w:sz w:val="21"/>
          <w:highlight w:val="none"/>
          <w:lang w:val="en-US" w:eastAsia="zh-CN" w:bidi="ar-SA"/>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tabs>
          <w:tab w:val="left" w:pos="3725"/>
        </w:tabs>
        <w:rPr>
          <w:rFonts w:hint="eastAsia"/>
          <w:color w:val="auto"/>
          <w:highlight w:val="none"/>
          <w:lang w:val="en-US" w:eastAsia="zh-CN"/>
        </w:rPr>
      </w:pPr>
      <w:r>
        <w:rPr>
          <w:rFonts w:hint="eastAsia"/>
          <w:color w:val="auto"/>
          <w:highlight w:val="none"/>
          <w:lang w:val="en-US" w:eastAsia="zh-CN"/>
        </w:rPr>
        <w:tab/>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tabs>
          <w:tab w:val="left" w:pos="3808"/>
        </w:tabs>
        <w:jc w:val="left"/>
        <w:rPr>
          <w:rFonts w:hint="eastAsia"/>
          <w:color w:val="auto"/>
          <w:highlight w:val="none"/>
          <w:lang w:val="en-US" w:eastAsia="zh-CN"/>
        </w:rPr>
        <w:sectPr>
          <w:footerReference r:id="rId15" w:type="first"/>
          <w:footerReference r:id="rId14" w:type="default"/>
          <w:pgSz w:w="11906" w:h="16838"/>
          <w:pgMar w:top="1361" w:right="1247" w:bottom="1361" w:left="1361" w:header="851" w:footer="992" w:gutter="0"/>
          <w:pgBorders>
            <w:top w:val="none" w:sz="0" w:space="0"/>
            <w:left w:val="none" w:sz="0" w:space="0"/>
            <w:bottom w:val="none" w:sz="0" w:space="0"/>
            <w:right w:val="none" w:sz="0" w:space="0"/>
          </w:pgBorders>
          <w:pgNumType w:fmt="decimal"/>
          <w:cols w:space="720" w:num="1"/>
          <w:titlePg/>
          <w:docGrid w:linePitch="391" w:charSpace="0"/>
        </w:sectPr>
      </w:pPr>
      <w:r>
        <w:rPr>
          <w:rFonts w:hint="eastAsia"/>
          <w:color w:val="auto"/>
          <w:highlight w:val="none"/>
          <w:lang w:val="en-US" w:eastAsia="zh-CN"/>
        </w:rPr>
        <w:tab/>
      </w:r>
    </w:p>
    <w:p>
      <w:pPr>
        <w:rPr>
          <w:rStyle w:val="85"/>
          <w:rFonts w:hint="eastAsia" w:ascii="宋体" w:hAnsi="宋体" w:eastAsia="宋体" w:cs="宋体"/>
          <w:color w:val="auto"/>
          <w:szCs w:val="24"/>
          <w:highlight w:val="none"/>
          <w:lang w:val="en-US" w:eastAsia="zh-CN"/>
        </w:rPr>
      </w:pPr>
    </w:p>
    <w:p>
      <w:pPr>
        <w:rPr>
          <w:rStyle w:val="85"/>
          <w:rFonts w:hint="default" w:ascii="宋体" w:hAnsi="宋体" w:eastAsia="宋体" w:cs="宋体"/>
          <w:color w:val="auto"/>
          <w:szCs w:val="24"/>
          <w:highlight w:val="none"/>
          <w:lang w:val="en-US" w:eastAsia="zh-CN"/>
        </w:rPr>
      </w:pPr>
      <w:r>
        <w:rPr>
          <w:rStyle w:val="85"/>
          <w:rFonts w:hint="eastAsia" w:ascii="宋体" w:hAnsi="宋体" w:eastAsia="宋体" w:cs="宋体"/>
          <w:color w:val="auto"/>
          <w:szCs w:val="24"/>
          <w:highlight w:val="none"/>
          <w:lang w:val="en-US" w:eastAsia="zh-CN"/>
        </w:rPr>
        <w:t>附件11</w:t>
      </w:r>
    </w:p>
    <w:p>
      <w:pPr>
        <w:pStyle w:val="2"/>
        <w:rPr>
          <w:rFonts w:hint="eastAsia"/>
          <w:color w:val="auto"/>
          <w:highlight w:val="none"/>
          <w:lang w:val="en-US" w:eastAsia="zh-CN"/>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投标</w:t>
      </w:r>
      <w:r>
        <w:rPr>
          <w:rFonts w:hint="eastAsia" w:ascii="宋体" w:hAnsi="宋体" w:eastAsia="宋体" w:cs="宋体"/>
          <w:b/>
          <w:color w:val="auto"/>
          <w:sz w:val="30"/>
          <w:szCs w:val="30"/>
          <w:highlight w:val="none"/>
        </w:rPr>
        <w:t>报价明细表</w:t>
      </w:r>
    </w:p>
    <w:p>
      <w:pPr>
        <w:pStyle w:val="2"/>
        <w:rPr>
          <w:rFonts w:hint="eastAsia"/>
          <w:color w:val="auto"/>
          <w:highlight w:val="none"/>
        </w:rPr>
      </w:pPr>
    </w:p>
    <w:p>
      <w:pPr>
        <w:adjustRightInd w:val="0"/>
        <w:snapToGrid w:val="0"/>
        <w:spacing w:after="120" w:afterLines="50"/>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u w:val="single"/>
          <w:lang w:eastAsia="zh-CN"/>
        </w:rPr>
        <w:t>慈溪市桥头镇“无废绿色乡镇”建设服务采购项目</w:t>
      </w:r>
    </w:p>
    <w:p>
      <w:pPr>
        <w:adjustRightInd w:val="0"/>
        <w:snapToGrid w:val="0"/>
        <w:spacing w:after="120" w:afterLines="50"/>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 xml:space="preserve"> </w:t>
      </w:r>
    </w:p>
    <w:tbl>
      <w:tblPr>
        <w:tblStyle w:val="44"/>
        <w:tblW w:w="9674"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25"/>
        <w:gridCol w:w="440"/>
        <w:gridCol w:w="1807"/>
        <w:gridCol w:w="1045"/>
        <w:gridCol w:w="8"/>
        <w:gridCol w:w="1467"/>
        <w:gridCol w:w="36"/>
        <w:gridCol w:w="1318"/>
        <w:gridCol w:w="29"/>
        <w:gridCol w:w="1247"/>
        <w:gridCol w:w="20"/>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08" w:type="dxa"/>
            <w:gridSpan w:val="2"/>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序号</w:t>
            </w:r>
          </w:p>
        </w:tc>
        <w:tc>
          <w:tcPr>
            <w:tcW w:w="2247"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品名</w:t>
            </w:r>
          </w:p>
        </w:tc>
        <w:tc>
          <w:tcPr>
            <w:tcW w:w="1053"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内容</w:t>
            </w:r>
          </w:p>
        </w:tc>
        <w:tc>
          <w:tcPr>
            <w:tcW w:w="1467"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单位</w:t>
            </w:r>
          </w:p>
        </w:tc>
        <w:tc>
          <w:tcPr>
            <w:tcW w:w="1383"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数量</w:t>
            </w:r>
          </w:p>
        </w:tc>
        <w:tc>
          <w:tcPr>
            <w:tcW w:w="1267"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单价</w:t>
            </w:r>
          </w:p>
        </w:tc>
        <w:tc>
          <w:tcPr>
            <w:tcW w:w="1249"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74" w:type="dxa"/>
            <w:gridSpan w:val="1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center"/>
              <w:rPr>
                <w:color w:val="auto"/>
                <w:kern w:val="0"/>
                <w:sz w:val="24"/>
                <w:highlight w:val="none"/>
              </w:rPr>
            </w:pPr>
            <w:r>
              <w:rPr>
                <w:rFonts w:hint="eastAsia"/>
                <w:b/>
                <w:bCs/>
                <w:color w:val="auto"/>
                <w:sz w:val="24"/>
                <w:szCs w:val="24"/>
                <w:highlight w:val="none"/>
                <w:lang w:val="en-US" w:eastAsia="zh-CN"/>
              </w:rPr>
              <w:t>一、智慧环卫一体化管理中心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eastAsia="宋体"/>
                <w:color w:val="auto"/>
                <w:kern w:val="0"/>
                <w:sz w:val="24"/>
                <w:highlight w:val="none"/>
                <w:lang w:val="en-US" w:eastAsia="zh-CN"/>
              </w:rPr>
            </w:pPr>
            <w:r>
              <w:rPr>
                <w:rFonts w:hint="eastAsia"/>
                <w:color w:val="auto"/>
                <w:kern w:val="0"/>
                <w:sz w:val="24"/>
                <w:highlight w:val="none"/>
                <w:lang w:val="en-US" w:eastAsia="zh-CN"/>
              </w:rPr>
              <w:t>人工工资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2</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color w:val="auto"/>
                <w:kern w:val="0"/>
                <w:sz w:val="24"/>
                <w:highlight w:val="none"/>
                <w:lang w:val="en-US" w:eastAsia="zh-CN"/>
              </w:rPr>
            </w:pPr>
            <w:r>
              <w:rPr>
                <w:rFonts w:hint="eastAsia"/>
                <w:color w:val="auto"/>
                <w:kern w:val="0"/>
                <w:sz w:val="24"/>
                <w:highlight w:val="none"/>
                <w:lang w:val="en-US" w:eastAsia="zh-CN"/>
              </w:rPr>
              <w:t>加班工资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eastAsia="宋体"/>
                <w:color w:val="auto"/>
                <w:kern w:val="0"/>
                <w:sz w:val="24"/>
                <w:highlight w:val="none"/>
                <w:lang w:val="en-US" w:eastAsia="zh-CN"/>
              </w:rPr>
            </w:pPr>
            <w:r>
              <w:rPr>
                <w:rFonts w:hint="eastAsia"/>
                <w:color w:val="auto"/>
                <w:kern w:val="0"/>
                <w:sz w:val="24"/>
                <w:highlight w:val="none"/>
                <w:lang w:val="en-US" w:eastAsia="zh-CN"/>
              </w:rPr>
              <w:t>社保</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eastAsia"/>
                <w:color w:val="auto"/>
                <w:kern w:val="0"/>
                <w:sz w:val="24"/>
                <w:highlight w:val="none"/>
                <w:lang w:val="en-US" w:eastAsia="zh-CN"/>
              </w:rPr>
            </w:pPr>
            <w:r>
              <w:rPr>
                <w:rFonts w:hint="eastAsia"/>
                <w:color w:val="auto"/>
                <w:kern w:val="0"/>
                <w:sz w:val="24"/>
                <w:highlight w:val="none"/>
                <w:lang w:val="en-US" w:eastAsia="zh-CN"/>
              </w:rPr>
              <w:t>高温费、</w:t>
            </w:r>
          </w:p>
          <w:p>
            <w:pPr>
              <w:autoSpaceDE w:val="0"/>
              <w:autoSpaceDN w:val="0"/>
              <w:adjustRightInd w:val="0"/>
              <w:spacing w:line="320" w:lineRule="exact"/>
              <w:jc w:val="left"/>
              <w:rPr>
                <w:rFonts w:hint="eastAsia"/>
                <w:color w:val="auto"/>
                <w:kern w:val="0"/>
                <w:sz w:val="24"/>
                <w:highlight w:val="none"/>
                <w:lang w:val="en-US" w:eastAsia="zh-CN"/>
              </w:rPr>
            </w:pPr>
            <w:r>
              <w:rPr>
                <w:rFonts w:hint="eastAsia"/>
                <w:color w:val="auto"/>
                <w:kern w:val="0"/>
                <w:sz w:val="24"/>
                <w:highlight w:val="none"/>
                <w:lang w:val="en-US" w:eastAsia="zh-CN"/>
              </w:rPr>
              <w:t>过节补贴</w:t>
            </w:r>
          </w:p>
          <w:p>
            <w:pPr>
              <w:autoSpaceDE w:val="0"/>
              <w:autoSpaceDN w:val="0"/>
              <w:adjustRightInd w:val="0"/>
              <w:spacing w:line="320" w:lineRule="exact"/>
              <w:jc w:val="left"/>
              <w:rPr>
                <w:rFonts w:hint="eastAsia"/>
                <w:color w:val="auto"/>
                <w:kern w:val="0"/>
                <w:sz w:val="24"/>
                <w:highlight w:val="none"/>
                <w:lang w:val="en-US" w:eastAsia="zh-CN"/>
              </w:rPr>
            </w:pPr>
            <w:r>
              <w:rPr>
                <w:rFonts w:hint="eastAsia"/>
                <w:color w:val="auto"/>
                <w:kern w:val="0"/>
                <w:sz w:val="24"/>
                <w:highlight w:val="none"/>
                <w:lang w:val="en-US" w:eastAsia="zh-CN"/>
              </w:rPr>
              <w:t>等福利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eastAsia="宋体"/>
                <w:color w:val="auto"/>
                <w:kern w:val="0"/>
                <w:sz w:val="24"/>
                <w:highlight w:val="none"/>
                <w:lang w:val="en-US" w:eastAsia="zh-CN"/>
              </w:rPr>
            </w:pPr>
            <w:r>
              <w:rPr>
                <w:rFonts w:hint="eastAsia"/>
                <w:color w:val="auto"/>
                <w:kern w:val="0"/>
                <w:sz w:val="24"/>
                <w:highlight w:val="none"/>
                <w:lang w:val="en-US" w:eastAsia="zh-CN"/>
              </w:rPr>
              <w:t>服装</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5</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color w:val="auto"/>
                <w:kern w:val="0"/>
                <w:sz w:val="24"/>
                <w:highlight w:val="none"/>
                <w:lang w:val="en-US" w:eastAsia="zh-CN"/>
              </w:rPr>
            </w:pPr>
            <w:r>
              <w:rPr>
                <w:rFonts w:hint="eastAsia"/>
                <w:color w:val="auto"/>
                <w:kern w:val="0"/>
                <w:sz w:val="24"/>
                <w:highlight w:val="none"/>
                <w:lang w:val="en-US" w:eastAsia="zh-CN"/>
              </w:rPr>
              <w:t>能耗</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6</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color w:val="auto"/>
                <w:kern w:val="0"/>
                <w:sz w:val="24"/>
                <w:highlight w:val="none"/>
                <w:lang w:val="en-US" w:eastAsia="zh-CN"/>
              </w:rPr>
            </w:pPr>
            <w:r>
              <w:rPr>
                <w:rFonts w:hint="eastAsia"/>
                <w:color w:val="auto"/>
                <w:kern w:val="0"/>
                <w:sz w:val="24"/>
                <w:highlight w:val="none"/>
                <w:lang w:val="en-US" w:eastAsia="zh-CN"/>
              </w:rPr>
              <w:t>软件服务费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7</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color w:val="auto"/>
                <w:kern w:val="0"/>
                <w:sz w:val="24"/>
                <w:highlight w:val="none"/>
                <w:lang w:val="en-US"/>
              </w:rPr>
            </w:pPr>
            <w:r>
              <w:rPr>
                <w:rFonts w:hint="eastAsia"/>
                <w:color w:val="auto"/>
                <w:kern w:val="0"/>
                <w:sz w:val="24"/>
                <w:highlight w:val="none"/>
                <w:lang w:val="en-US" w:eastAsia="zh-CN"/>
              </w:rPr>
              <w:t>管理中心系统控制大屏（或分屏）、操作电脑主机等折旧</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8</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20" w:lineRule="exact"/>
              <w:jc w:val="left"/>
              <w:rPr>
                <w:rFonts w:hint="default"/>
                <w:color w:val="auto"/>
                <w:kern w:val="0"/>
                <w:sz w:val="24"/>
                <w:highlight w:val="none"/>
                <w:lang w:val="en-US" w:eastAsia="zh-CN"/>
              </w:rPr>
            </w:pPr>
            <w:r>
              <w:rPr>
                <w:rFonts w:hint="eastAsia"/>
                <w:color w:val="auto"/>
                <w:kern w:val="0"/>
                <w:sz w:val="24"/>
                <w:highlight w:val="none"/>
                <w:lang w:val="en-US" w:eastAsia="zh-CN"/>
              </w:rPr>
              <w:t>其他</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w:t>
            </w:r>
          </w:p>
        </w:tc>
        <w:tc>
          <w:tcPr>
            <w:tcW w:w="2272"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管理费及利润</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税金</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小计</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74" w:type="dxa"/>
            <w:gridSpan w:val="1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b/>
                <w:bCs/>
                <w:color w:val="auto"/>
                <w:kern w:val="0"/>
                <w:sz w:val="24"/>
                <w:highlight w:val="none"/>
                <w:lang w:val="en-US" w:eastAsia="zh-CN"/>
              </w:rPr>
              <w:t>二、</w:t>
            </w:r>
            <w:r>
              <w:rPr>
                <w:rFonts w:hint="eastAsia" w:ascii="宋体" w:hAnsi="宋体"/>
                <w:b/>
                <w:bCs/>
                <w:color w:val="000000"/>
                <w:kern w:val="0"/>
                <w:sz w:val="24"/>
                <w:szCs w:val="24"/>
              </w:rPr>
              <w:t>智慧环卫一体化服务项目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人工工资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加班费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社保</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4</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高温费、</w:t>
            </w:r>
          </w:p>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过节补贴</w:t>
            </w:r>
          </w:p>
          <w:p>
            <w:pPr>
              <w:autoSpaceDE w:val="0"/>
              <w:autoSpaceDN w:val="0"/>
              <w:adjustRightInd w:val="0"/>
              <w:spacing w:line="400" w:lineRule="atLeast"/>
              <w:rPr>
                <w:rFonts w:hint="eastAsia" w:eastAsia="宋体"/>
                <w:color w:val="auto"/>
                <w:kern w:val="0"/>
                <w:sz w:val="24"/>
                <w:highlight w:val="none"/>
                <w:lang w:val="en-US" w:eastAsia="zh-CN"/>
              </w:rPr>
            </w:pPr>
            <w:r>
              <w:rPr>
                <w:rFonts w:hint="eastAsia"/>
                <w:color w:val="auto"/>
                <w:kern w:val="0"/>
                <w:sz w:val="24"/>
                <w:highlight w:val="none"/>
                <w:lang w:val="en-US" w:eastAsia="zh-CN"/>
              </w:rPr>
              <w:t>等福利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5</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服装</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6</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拟投入设备折旧费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7</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智能系统软件及硬件费用</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8</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车辆维修、保养、保险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9</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color w:val="auto"/>
                <w:kern w:val="0"/>
                <w:sz w:val="24"/>
                <w:highlight w:val="none"/>
                <w:lang w:val="en-US" w:eastAsia="zh-CN"/>
              </w:rPr>
            </w:pPr>
            <w:r>
              <w:rPr>
                <w:rFonts w:hint="eastAsia"/>
                <w:color w:val="auto"/>
                <w:kern w:val="0"/>
                <w:sz w:val="24"/>
                <w:highlight w:val="none"/>
                <w:lang w:val="en-US" w:eastAsia="zh-CN"/>
              </w:rPr>
              <w:t>耗材</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ind w:firstLine="242"/>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其他</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ind w:firstLine="242"/>
              <w:rPr>
                <w:rFonts w:hint="eastAsia"/>
                <w:color w:val="auto"/>
                <w:kern w:val="0"/>
                <w:sz w:val="24"/>
                <w:highlight w:val="none"/>
                <w:lang w:val="en-US" w:eastAsia="zh-CN"/>
              </w:rPr>
            </w:pPr>
            <w:r>
              <w:rPr>
                <w:rFonts w:hint="eastAsia"/>
                <w:color w:val="auto"/>
                <w:kern w:val="0"/>
                <w:sz w:val="24"/>
                <w:highlight w:val="none"/>
                <w:lang w:val="en-US" w:eastAsia="zh-CN"/>
              </w:rPr>
              <w:t>...</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ind w:firstLine="242"/>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管理费及利润</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ind w:firstLine="242"/>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税金</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小计</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74" w:type="dxa"/>
            <w:gridSpan w:val="1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center"/>
              <w:rPr>
                <w:color w:val="auto"/>
                <w:kern w:val="0"/>
                <w:sz w:val="24"/>
                <w:highlight w:val="none"/>
              </w:rPr>
            </w:pPr>
            <w:r>
              <w:rPr>
                <w:rFonts w:hint="eastAsia"/>
                <w:b/>
                <w:bCs/>
                <w:color w:val="auto"/>
                <w:sz w:val="24"/>
                <w:szCs w:val="24"/>
                <w:highlight w:val="none"/>
                <w:lang w:val="en-US" w:eastAsia="zh-CN"/>
              </w:rPr>
              <w:t>三、</w:t>
            </w:r>
            <w:r>
              <w:rPr>
                <w:rFonts w:hint="eastAsia" w:ascii="宋体" w:hAnsi="宋体"/>
                <w:b/>
                <w:bCs/>
                <w:color w:val="000000"/>
                <w:kern w:val="0"/>
                <w:sz w:val="24"/>
                <w:szCs w:val="24"/>
              </w:rPr>
              <w:t>环卫垃圾智慧收运管理</w:t>
            </w:r>
            <w:r>
              <w:rPr>
                <w:rFonts w:hint="eastAsia" w:ascii="宋体" w:hAnsi="宋体"/>
                <w:b/>
                <w:bCs/>
                <w:color w:val="000000"/>
                <w:kern w:val="0"/>
                <w:sz w:val="22"/>
                <w:szCs w:val="22"/>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bidi="ar-SA"/>
              </w:rPr>
            </w:pPr>
            <w:r>
              <w:rPr>
                <w:rFonts w:hint="eastAsia"/>
                <w:color w:val="auto"/>
                <w:kern w:val="0"/>
                <w:sz w:val="24"/>
                <w:highlight w:val="none"/>
                <w:lang w:val="en-US" w:eastAsia="zh-CN"/>
              </w:rPr>
              <w:t>人工工资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bidi="ar-SA"/>
              </w:rPr>
            </w:pPr>
            <w:r>
              <w:rPr>
                <w:rFonts w:hint="eastAsia"/>
                <w:color w:val="auto"/>
                <w:kern w:val="0"/>
                <w:sz w:val="24"/>
                <w:highlight w:val="none"/>
                <w:lang w:val="en-US" w:eastAsia="zh-CN"/>
              </w:rPr>
              <w:t>加班费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bidi="ar-SA"/>
              </w:rPr>
            </w:pPr>
            <w:r>
              <w:rPr>
                <w:rFonts w:hint="eastAsia"/>
                <w:color w:val="auto"/>
                <w:kern w:val="0"/>
                <w:sz w:val="24"/>
                <w:highlight w:val="none"/>
                <w:lang w:val="en-US" w:eastAsia="zh-CN"/>
              </w:rPr>
              <w:t>社保</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4</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高温费、</w:t>
            </w:r>
          </w:p>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过节补贴</w:t>
            </w:r>
          </w:p>
          <w:p>
            <w:pPr>
              <w:autoSpaceDE w:val="0"/>
              <w:autoSpaceDN w:val="0"/>
              <w:adjustRightInd w:val="0"/>
              <w:spacing w:line="400" w:lineRule="atLeast"/>
              <w:rPr>
                <w:rFonts w:hint="eastAsia" w:eastAsia="宋体"/>
                <w:color w:val="auto"/>
                <w:kern w:val="0"/>
                <w:sz w:val="24"/>
                <w:highlight w:val="none"/>
                <w:lang w:val="en-US" w:eastAsia="zh-CN" w:bidi="ar-SA"/>
              </w:rPr>
            </w:pPr>
            <w:r>
              <w:rPr>
                <w:rFonts w:hint="eastAsia"/>
                <w:color w:val="auto"/>
                <w:kern w:val="0"/>
                <w:sz w:val="24"/>
                <w:highlight w:val="none"/>
                <w:lang w:val="en-US" w:eastAsia="zh-CN"/>
              </w:rPr>
              <w:t>等福利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5</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lang w:val="en-US" w:eastAsia="zh-CN" w:bidi="ar-SA"/>
              </w:rPr>
            </w:pPr>
            <w:r>
              <w:rPr>
                <w:rFonts w:hint="eastAsia"/>
                <w:color w:val="auto"/>
                <w:kern w:val="0"/>
                <w:sz w:val="24"/>
                <w:highlight w:val="none"/>
                <w:lang w:val="en-US" w:eastAsia="zh-CN"/>
              </w:rPr>
              <w:t>服装</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6</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bidi="ar-SA"/>
              </w:rPr>
            </w:pPr>
            <w:r>
              <w:rPr>
                <w:rFonts w:hint="eastAsia"/>
                <w:color w:val="auto"/>
                <w:kern w:val="0"/>
                <w:sz w:val="24"/>
                <w:highlight w:val="none"/>
                <w:lang w:val="en-US" w:eastAsia="zh-CN"/>
              </w:rPr>
              <w:t>拟投入设备折旧费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7</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bidi="ar-SA"/>
              </w:rPr>
            </w:pPr>
            <w:r>
              <w:rPr>
                <w:rFonts w:hint="eastAsia"/>
                <w:color w:val="auto"/>
                <w:kern w:val="0"/>
                <w:sz w:val="24"/>
                <w:highlight w:val="none"/>
                <w:lang w:val="en-US" w:eastAsia="zh-CN"/>
              </w:rPr>
              <w:t>车辆维修、保养、保险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8</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智能系统软件及硬件费用</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9</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耗材</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10</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其他</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管理费及利润</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税金</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小计</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74" w:type="dxa"/>
            <w:gridSpan w:val="1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center"/>
              <w:rPr>
                <w:rFonts w:hint="eastAsia" w:eastAsia="宋体"/>
                <w:color w:val="auto"/>
                <w:kern w:val="0"/>
                <w:sz w:val="24"/>
                <w:highlight w:val="none"/>
                <w:lang w:val="en-US" w:eastAsia="zh-CN"/>
              </w:rPr>
            </w:pPr>
            <w:r>
              <w:rPr>
                <w:rFonts w:hint="eastAsia"/>
                <w:b/>
                <w:bCs/>
                <w:color w:val="auto"/>
                <w:sz w:val="24"/>
                <w:szCs w:val="24"/>
                <w:highlight w:val="none"/>
                <w:lang w:val="en-US" w:eastAsia="zh-CN"/>
              </w:rPr>
              <w:t>四、一般工业固废收集及处置项目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1</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人工工资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2</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加班费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社保</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4</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高温费、过节补贴等福利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5</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服装</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6</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拟投入设备折旧费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7</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智能化设备硬件费用</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8</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color w:val="auto"/>
                <w:kern w:val="0"/>
                <w:sz w:val="24"/>
                <w:highlight w:val="none"/>
              </w:rPr>
            </w:pPr>
            <w:r>
              <w:rPr>
                <w:rFonts w:hint="eastAsia"/>
                <w:color w:val="auto"/>
                <w:kern w:val="0"/>
                <w:sz w:val="24"/>
                <w:highlight w:val="none"/>
                <w:lang w:val="en-US" w:eastAsia="zh-CN"/>
              </w:rPr>
              <w:t>其他</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管理费及利润</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Times New Roman" w:hAnsi="Times New Roman" w:eastAsia="宋体" w:cs="Times New Roman"/>
                <w:color w:val="auto"/>
                <w:kern w:val="0"/>
                <w:sz w:val="24"/>
                <w:highlight w:val="none"/>
                <w:lang w:val="en-US" w:eastAsia="zh-CN" w:bidi="ar-SA"/>
              </w:rPr>
            </w:pPr>
            <w:r>
              <w:rPr>
                <w:rFonts w:hint="eastAsia"/>
                <w:color w:val="auto"/>
                <w:kern w:val="0"/>
                <w:sz w:val="24"/>
                <w:highlight w:val="none"/>
                <w:lang w:val="en-US" w:eastAsia="zh-CN"/>
              </w:rPr>
              <w:t>税金</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小计</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74" w:type="dxa"/>
            <w:gridSpan w:val="1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center"/>
              <w:rPr>
                <w:color w:val="auto"/>
                <w:kern w:val="0"/>
                <w:sz w:val="24"/>
                <w:highlight w:val="none"/>
              </w:rPr>
            </w:pPr>
            <w:r>
              <w:rPr>
                <w:rFonts w:hint="eastAsia"/>
                <w:b/>
                <w:bCs/>
                <w:color w:val="auto"/>
                <w:sz w:val="24"/>
                <w:szCs w:val="24"/>
                <w:highlight w:val="none"/>
                <w:lang w:val="en-US" w:eastAsia="zh-CN"/>
              </w:rPr>
              <w:t>五、商铺上门收集、垃圾分类项目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1</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人工工资</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2</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加班费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3</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社保</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4</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高温费、过节补贴等福利</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5</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服装</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6</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拟投入设备折旧费</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7</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耗材</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default"/>
                <w:color w:val="auto"/>
                <w:kern w:val="0"/>
                <w:sz w:val="24"/>
                <w:highlight w:val="none"/>
                <w:lang w:val="en-US" w:eastAsia="zh-CN"/>
              </w:rPr>
            </w:pPr>
            <w:r>
              <w:rPr>
                <w:rFonts w:hint="eastAsia"/>
                <w:color w:val="auto"/>
                <w:kern w:val="0"/>
                <w:sz w:val="24"/>
                <w:highlight w:val="none"/>
                <w:lang w:val="en-US" w:eastAsia="zh-CN"/>
              </w:rPr>
              <w:t>8</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r>
              <w:rPr>
                <w:rFonts w:hint="eastAsia"/>
                <w:color w:val="auto"/>
                <w:kern w:val="0"/>
                <w:sz w:val="24"/>
                <w:highlight w:val="none"/>
                <w:lang w:val="en-US" w:eastAsia="zh-CN"/>
              </w:rPr>
              <w:t>其他</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983"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default" w:eastAsia="宋体"/>
                <w:color w:val="auto"/>
                <w:kern w:val="0"/>
                <w:sz w:val="24"/>
                <w:highlight w:val="none"/>
                <w:lang w:val="en-US" w:eastAsia="zh-CN"/>
              </w:rPr>
            </w:pPr>
            <w:r>
              <w:rPr>
                <w:rFonts w:hint="eastAsia"/>
                <w:color w:val="auto"/>
                <w:kern w:val="0"/>
                <w:sz w:val="24"/>
                <w:highlight w:val="none"/>
                <w:lang w:val="en-US" w:eastAsia="zh-CN"/>
              </w:rPr>
              <w:t>管理费及利润</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eastAsia="宋体"/>
                <w:color w:val="auto"/>
                <w:kern w:val="0"/>
                <w:sz w:val="24"/>
                <w:highlight w:val="none"/>
                <w:lang w:val="en-US" w:eastAsia="zh-CN"/>
              </w:rPr>
            </w:pPr>
            <w:r>
              <w:rPr>
                <w:rFonts w:hint="eastAsia"/>
                <w:color w:val="auto"/>
                <w:kern w:val="0"/>
                <w:sz w:val="24"/>
                <w:highlight w:val="none"/>
                <w:lang w:val="en-US" w:eastAsia="zh-CN"/>
              </w:rPr>
              <w:t>税金</w:t>
            </w: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8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jc w:val="center"/>
              <w:rPr>
                <w:rFonts w:hint="eastAsia"/>
                <w:color w:val="auto"/>
                <w:kern w:val="0"/>
                <w:sz w:val="24"/>
                <w:highlight w:val="none"/>
                <w:lang w:val="en-US" w:eastAsia="zh-CN"/>
              </w:rPr>
            </w:pPr>
            <w:r>
              <w:rPr>
                <w:rFonts w:hint="eastAsia"/>
                <w:color w:val="auto"/>
                <w:kern w:val="0"/>
                <w:sz w:val="24"/>
                <w:highlight w:val="none"/>
                <w:lang w:val="en-US" w:eastAsia="zh-CN"/>
              </w:rPr>
              <w:t>小计</w:t>
            </w:r>
          </w:p>
        </w:tc>
        <w:tc>
          <w:tcPr>
            <w:tcW w:w="2272" w:type="dxa"/>
            <w:gridSpan w:val="3"/>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color w:val="auto"/>
                <w:kern w:val="0"/>
                <w:sz w:val="24"/>
                <w:highlight w:val="none"/>
                <w:lang w:val="en-US" w:eastAsia="zh-CN"/>
              </w:rPr>
            </w:pPr>
          </w:p>
        </w:tc>
        <w:tc>
          <w:tcPr>
            <w:tcW w:w="1045"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511"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c>
          <w:tcPr>
            <w:tcW w:w="126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448" w:type="dxa"/>
            <w:gridSpan w:val="3"/>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b/>
                <w:color w:val="auto"/>
                <w:kern w:val="0"/>
                <w:sz w:val="24"/>
                <w:highlight w:val="none"/>
              </w:rPr>
            </w:pPr>
            <w:r>
              <w:rPr>
                <w:b/>
                <w:color w:val="auto"/>
                <w:kern w:val="0"/>
                <w:sz w:val="24"/>
                <w:highlight w:val="none"/>
              </w:rPr>
              <w:t>合计：</w:t>
            </w:r>
          </w:p>
        </w:tc>
        <w:tc>
          <w:tcPr>
            <w:tcW w:w="8226" w:type="dxa"/>
            <w:gridSpan w:val="10"/>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00" w:lineRule="atLeast"/>
              <w:rPr>
                <w:b/>
                <w:color w:val="auto"/>
                <w:kern w:val="0"/>
                <w:sz w:val="24"/>
                <w:highlight w:val="none"/>
              </w:rPr>
            </w:pPr>
            <w:r>
              <w:rPr>
                <w:b/>
                <w:color w:val="auto"/>
                <w:kern w:val="0"/>
                <w:sz w:val="24"/>
                <w:highlight w:val="none"/>
              </w:rPr>
              <w:t>大写：</w:t>
            </w:r>
            <w:r>
              <w:rPr>
                <w:b/>
                <w:color w:val="auto"/>
                <w:sz w:val="24"/>
                <w:highlight w:val="none"/>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448" w:type="dxa"/>
            <w:gridSpan w:val="3"/>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atLeast"/>
              <w:jc w:val="left"/>
              <w:rPr>
                <w:b/>
                <w:color w:val="auto"/>
                <w:kern w:val="0"/>
                <w:sz w:val="24"/>
                <w:highlight w:val="none"/>
              </w:rPr>
            </w:pPr>
          </w:p>
        </w:tc>
        <w:tc>
          <w:tcPr>
            <w:tcW w:w="8226" w:type="dxa"/>
            <w:gridSpan w:val="10"/>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b/>
                <w:color w:val="auto"/>
                <w:kern w:val="0"/>
                <w:sz w:val="24"/>
                <w:highlight w:val="none"/>
              </w:rPr>
            </w:pPr>
            <w:r>
              <w:rPr>
                <w:b/>
                <w:color w:val="auto"/>
                <w:kern w:val="0"/>
                <w:sz w:val="24"/>
                <w:highlight w:val="none"/>
              </w:rPr>
              <w:t>小写：</w:t>
            </w:r>
            <w:r>
              <w:rPr>
                <w:b/>
                <w:color w:val="auto"/>
                <w:sz w:val="24"/>
                <w:highlight w:val="none"/>
              </w:rPr>
              <w:t>￥</w:t>
            </w:r>
          </w:p>
        </w:tc>
      </w:tr>
    </w:tbl>
    <w:p>
      <w:pPr>
        <w:adjustRightInd w:val="0"/>
        <w:snapToGrid w:val="0"/>
        <w:ind w:firstLine="50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 xml:space="preserve">   </w:t>
      </w:r>
    </w:p>
    <w:p>
      <w:pPr>
        <w:pStyle w:val="122"/>
        <w:rPr>
          <w:color w:val="auto"/>
          <w:kern w:val="0"/>
          <w:sz w:val="22"/>
          <w:szCs w:val="21"/>
          <w:highlight w:val="none"/>
        </w:rPr>
      </w:pPr>
      <w:r>
        <w:rPr>
          <w:color w:val="auto"/>
          <w:kern w:val="0"/>
          <w:sz w:val="22"/>
          <w:szCs w:val="21"/>
          <w:highlight w:val="none"/>
        </w:rPr>
        <w:t>备注：</w:t>
      </w:r>
    </w:p>
    <w:p>
      <w:pPr>
        <w:autoSpaceDE w:val="0"/>
        <w:autoSpaceDN w:val="0"/>
        <w:adjustRightInd w:val="0"/>
        <w:spacing w:line="320" w:lineRule="exact"/>
        <w:rPr>
          <w:color w:val="auto"/>
          <w:kern w:val="0"/>
          <w:sz w:val="22"/>
          <w:szCs w:val="18"/>
          <w:highlight w:val="none"/>
        </w:rPr>
      </w:pPr>
      <w:r>
        <w:rPr>
          <w:rFonts w:hint="eastAsia"/>
          <w:color w:val="auto"/>
          <w:kern w:val="0"/>
          <w:sz w:val="22"/>
          <w:szCs w:val="18"/>
          <w:highlight w:val="none"/>
          <w:lang w:val="en-US" w:eastAsia="zh-CN"/>
        </w:rPr>
        <w:t>1</w:t>
      </w:r>
      <w:r>
        <w:rPr>
          <w:color w:val="auto"/>
          <w:kern w:val="0"/>
          <w:sz w:val="22"/>
          <w:szCs w:val="18"/>
          <w:highlight w:val="none"/>
        </w:rPr>
        <w:t>、分项报价表中合计总价应与开标一览表中的相应报价相一致。</w:t>
      </w:r>
    </w:p>
    <w:p>
      <w:pPr>
        <w:autoSpaceDE w:val="0"/>
        <w:autoSpaceDN w:val="0"/>
        <w:adjustRightInd w:val="0"/>
        <w:spacing w:line="320" w:lineRule="exact"/>
        <w:rPr>
          <w:color w:val="auto"/>
          <w:kern w:val="0"/>
          <w:sz w:val="22"/>
          <w:szCs w:val="18"/>
          <w:highlight w:val="none"/>
        </w:rPr>
      </w:pPr>
      <w:r>
        <w:rPr>
          <w:rFonts w:hint="eastAsia"/>
          <w:color w:val="auto"/>
          <w:kern w:val="0"/>
          <w:sz w:val="22"/>
          <w:szCs w:val="18"/>
          <w:highlight w:val="none"/>
          <w:lang w:val="en-US" w:eastAsia="zh-CN"/>
        </w:rPr>
        <w:t>2</w:t>
      </w:r>
      <w:r>
        <w:rPr>
          <w:color w:val="auto"/>
          <w:kern w:val="0"/>
          <w:sz w:val="22"/>
          <w:szCs w:val="18"/>
          <w:highlight w:val="none"/>
        </w:rPr>
        <w:t>、此表在不改变格式内容时，</w:t>
      </w:r>
      <w:r>
        <w:rPr>
          <w:rFonts w:hint="eastAsia"/>
          <w:color w:val="auto"/>
          <w:kern w:val="0"/>
          <w:sz w:val="22"/>
          <w:szCs w:val="18"/>
          <w:highlight w:val="none"/>
          <w:lang w:val="en-US" w:eastAsia="zh-CN"/>
        </w:rPr>
        <w:t>内容不够</w:t>
      </w:r>
      <w:r>
        <w:rPr>
          <w:color w:val="auto"/>
          <w:kern w:val="0"/>
          <w:sz w:val="22"/>
          <w:szCs w:val="18"/>
          <w:highlight w:val="none"/>
        </w:rPr>
        <w:t>可自行</w:t>
      </w:r>
      <w:r>
        <w:rPr>
          <w:rFonts w:hint="eastAsia"/>
          <w:color w:val="auto"/>
          <w:kern w:val="0"/>
          <w:sz w:val="22"/>
          <w:szCs w:val="18"/>
          <w:highlight w:val="none"/>
          <w:lang w:val="en-US" w:eastAsia="zh-CN"/>
        </w:rPr>
        <w:t>扩展。明细内容可以以附件形式另行说明</w:t>
      </w:r>
      <w:r>
        <w:rPr>
          <w:color w:val="auto"/>
          <w:kern w:val="0"/>
          <w:sz w:val="22"/>
          <w:szCs w:val="18"/>
          <w:highlight w:val="none"/>
        </w:rPr>
        <w:t>。</w:t>
      </w:r>
    </w:p>
    <w:p>
      <w:pPr>
        <w:autoSpaceDE w:val="0"/>
        <w:autoSpaceDN w:val="0"/>
        <w:adjustRightInd w:val="0"/>
        <w:spacing w:line="320" w:lineRule="exact"/>
        <w:rPr>
          <w:rFonts w:ascii="宋体"/>
          <w:color w:val="auto"/>
          <w:kern w:val="0"/>
          <w:sz w:val="22"/>
          <w:szCs w:val="18"/>
          <w:highlight w:val="none"/>
        </w:rPr>
      </w:pPr>
      <w:r>
        <w:rPr>
          <w:rFonts w:hint="eastAsia" w:ascii="宋体" w:hAnsi="宋体"/>
          <w:color w:val="auto"/>
          <w:kern w:val="0"/>
          <w:sz w:val="22"/>
          <w:szCs w:val="18"/>
          <w:highlight w:val="none"/>
          <w:lang w:val="en-US" w:eastAsia="zh-CN"/>
        </w:rPr>
        <w:t>3</w:t>
      </w:r>
      <w:r>
        <w:rPr>
          <w:rFonts w:hint="eastAsia" w:ascii="宋体" w:hAnsi="宋体"/>
          <w:color w:val="auto"/>
          <w:kern w:val="0"/>
          <w:sz w:val="22"/>
          <w:szCs w:val="18"/>
          <w:highlight w:val="none"/>
        </w:rPr>
        <w:t>、漏报的视同已包含在投标总价内。有重大缺项的将作无效标处理。</w:t>
      </w:r>
    </w:p>
    <w:p>
      <w:pPr>
        <w:pStyle w:val="122"/>
        <w:rPr>
          <w:rFonts w:hint="eastAsia" w:ascii="宋体" w:hAnsi="宋体" w:eastAsia="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70" w:firstLine="1680" w:firstLineChars="800"/>
        <w:jc w:val="both"/>
        <w:textAlignment w:val="auto"/>
        <w:rPr>
          <w:rFonts w:hint="eastAsia" w:ascii="宋体" w:hAnsi="宋体" w:eastAsia="宋体" w:cs="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70" w:firstLine="4200" w:firstLineChars="20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jc w:val="left"/>
        <w:rPr>
          <w:rStyle w:val="85"/>
          <w:rFonts w:hint="eastAsia" w:ascii="宋体" w:hAnsi="宋体" w:eastAsia="宋体" w:cs="宋体"/>
          <w:color w:val="auto"/>
          <w:sz w:val="30"/>
          <w:szCs w:val="30"/>
          <w:highlight w:val="none"/>
        </w:rPr>
      </w:pPr>
    </w:p>
    <w:p>
      <w:pPr>
        <w:spacing w:line="400" w:lineRule="exact"/>
        <w:jc w:val="left"/>
        <w:rPr>
          <w:rStyle w:val="85"/>
          <w:rFonts w:hint="eastAsia" w:ascii="宋体" w:hAnsi="宋体" w:eastAsia="宋体" w:cs="宋体"/>
          <w:color w:val="auto"/>
          <w:sz w:val="30"/>
          <w:szCs w:val="30"/>
          <w:highlight w:val="none"/>
          <w:lang w:val="en-US"/>
        </w:rPr>
      </w:pPr>
      <w:r>
        <w:rPr>
          <w:rStyle w:val="85"/>
          <w:rFonts w:hint="eastAsia" w:ascii="宋体" w:hAnsi="宋体" w:eastAsia="宋体" w:cs="宋体"/>
          <w:color w:val="auto"/>
          <w:sz w:val="30"/>
          <w:szCs w:val="30"/>
          <w:highlight w:val="none"/>
        </w:rPr>
        <w:t>附件</w:t>
      </w:r>
      <w:r>
        <w:rPr>
          <w:rStyle w:val="85"/>
          <w:rFonts w:hint="eastAsia" w:ascii="宋体" w:hAnsi="宋体" w:eastAsia="宋体" w:cs="宋体"/>
          <w:color w:val="auto"/>
          <w:sz w:val="30"/>
          <w:szCs w:val="30"/>
          <w:highlight w:val="none"/>
          <w:lang w:val="en-US"/>
        </w:rPr>
        <w:t>12</w:t>
      </w:r>
    </w:p>
    <w:p>
      <w:pPr>
        <w:spacing w:line="400" w:lineRule="exact"/>
        <w:jc w:val="center"/>
        <w:rPr>
          <w:rStyle w:val="85"/>
          <w:rFonts w:hint="eastAsia" w:ascii="宋体" w:hAnsi="宋体" w:eastAsia="宋体" w:cs="宋体"/>
          <w:color w:val="auto"/>
          <w:sz w:val="30"/>
          <w:szCs w:val="30"/>
          <w:highlight w:val="none"/>
          <w:lang w:val="en-US"/>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中小企业声明函</w:t>
      </w:r>
    </w:p>
    <w:p>
      <w:pPr>
        <w:jc w:val="center"/>
        <w:rPr>
          <w:rFonts w:ascii="宋体" w:hAnsi="宋体" w:cs="宋体"/>
          <w:b/>
          <w:bCs/>
          <w:color w:val="auto"/>
          <w:sz w:val="32"/>
          <w:szCs w:val="32"/>
          <w:highlight w:val="none"/>
        </w:rPr>
      </w:pPr>
    </w:p>
    <w:p>
      <w:pPr>
        <w:pStyle w:val="18"/>
        <w:spacing w:line="400" w:lineRule="exact"/>
        <w:ind w:firstLine="420" w:firstLineChars="200"/>
        <w:jc w:val="left"/>
        <w:rPr>
          <w:rFonts w:hint="eastAsia" w:cs="宋体"/>
          <w:i w:val="0"/>
          <w:iCs/>
          <w:color w:val="auto"/>
          <w:sz w:val="21"/>
          <w:szCs w:val="21"/>
          <w:highlight w:val="none"/>
        </w:rPr>
      </w:pPr>
      <w:r>
        <w:rPr>
          <w:rFonts w:hint="eastAsia" w:cs="宋体"/>
          <w:i w:val="0"/>
          <w:iCs/>
          <w:color w:val="auto"/>
          <w:sz w:val="21"/>
          <w:szCs w:val="21"/>
          <w:highlight w:val="none"/>
        </w:rPr>
        <w:t>本公司（联合体）郑重声明，根据《政府采购促进中小企业发展管理办法》（财库﹝2020﹞46 号）的规定，本公司（联合体）参加</w:t>
      </w:r>
      <w:r>
        <w:rPr>
          <w:rFonts w:hint="eastAsia" w:cs="宋体"/>
          <w:i w:val="0"/>
          <w:iCs/>
          <w:color w:val="auto"/>
          <w:sz w:val="21"/>
          <w:szCs w:val="21"/>
          <w:highlight w:val="none"/>
          <w:u w:val="single"/>
        </w:rPr>
        <w:t>（单位名称）</w:t>
      </w:r>
      <w:r>
        <w:rPr>
          <w:rFonts w:hint="eastAsia" w:cs="宋体"/>
          <w:i w:val="0"/>
          <w:iCs/>
          <w:color w:val="auto"/>
          <w:sz w:val="21"/>
          <w:szCs w:val="21"/>
          <w:highlight w:val="none"/>
        </w:rPr>
        <w:t>的</w:t>
      </w:r>
      <w:r>
        <w:rPr>
          <w:rFonts w:hint="eastAsia" w:cs="宋体"/>
          <w:i w:val="0"/>
          <w:iCs/>
          <w:color w:val="auto"/>
          <w:sz w:val="21"/>
          <w:szCs w:val="21"/>
          <w:highlight w:val="none"/>
          <w:u w:val="single"/>
        </w:rPr>
        <w:t>（项目名称）</w:t>
      </w:r>
      <w:r>
        <w:rPr>
          <w:rFonts w:hint="eastAsia" w:cs="宋体"/>
          <w:i w:val="0"/>
          <w:i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
        <w:spacing w:line="400" w:lineRule="exact"/>
        <w:ind w:firstLine="420" w:firstLineChars="200"/>
        <w:rPr>
          <w:rFonts w:hint="eastAsia" w:cs="宋体"/>
          <w:i w:val="0"/>
          <w:iCs/>
          <w:color w:val="auto"/>
          <w:sz w:val="21"/>
          <w:szCs w:val="21"/>
          <w:highlight w:val="none"/>
        </w:rPr>
      </w:pPr>
      <w:r>
        <w:rPr>
          <w:rFonts w:hint="eastAsia" w:cs="宋体"/>
          <w:i w:val="0"/>
          <w:iCs/>
          <w:color w:val="auto"/>
          <w:sz w:val="21"/>
          <w:szCs w:val="21"/>
          <w:highlight w:val="none"/>
        </w:rPr>
        <w:t>1.</w:t>
      </w:r>
      <w:r>
        <w:rPr>
          <w:rFonts w:hint="eastAsia" w:cs="宋体"/>
          <w:i w:val="0"/>
          <w:iCs/>
          <w:color w:val="auto"/>
          <w:sz w:val="21"/>
          <w:szCs w:val="21"/>
          <w:highlight w:val="none"/>
          <w:u w:val="single"/>
        </w:rPr>
        <w:t>（标的名称）</w:t>
      </w:r>
      <w:r>
        <w:rPr>
          <w:rFonts w:hint="eastAsia" w:cs="宋体"/>
          <w:i w:val="0"/>
          <w:iCs/>
          <w:color w:val="auto"/>
          <w:sz w:val="21"/>
          <w:szCs w:val="21"/>
          <w:highlight w:val="none"/>
        </w:rPr>
        <w:t>，属于</w:t>
      </w:r>
      <w:r>
        <w:rPr>
          <w:rFonts w:hint="eastAsia" w:cs="宋体"/>
          <w:i w:val="0"/>
          <w:iCs/>
          <w:color w:val="auto"/>
          <w:sz w:val="21"/>
          <w:szCs w:val="21"/>
          <w:highlight w:val="none"/>
          <w:u w:val="single"/>
        </w:rPr>
        <w:t>（采购文件中明确的所属行业）</w:t>
      </w:r>
      <w:r>
        <w:rPr>
          <w:rFonts w:hint="eastAsia" w:cs="宋体"/>
          <w:i w:val="0"/>
          <w:iCs/>
          <w:color w:val="auto"/>
          <w:sz w:val="21"/>
          <w:szCs w:val="21"/>
          <w:highlight w:val="none"/>
        </w:rPr>
        <w:t>；承建（承接）企业为</w:t>
      </w:r>
      <w:r>
        <w:rPr>
          <w:rFonts w:hint="eastAsia" w:cs="宋体"/>
          <w:i w:val="0"/>
          <w:iCs/>
          <w:color w:val="auto"/>
          <w:sz w:val="21"/>
          <w:szCs w:val="21"/>
          <w:highlight w:val="none"/>
          <w:u w:val="single"/>
        </w:rPr>
        <w:t>（企业名称）</w:t>
      </w:r>
      <w:r>
        <w:rPr>
          <w:rFonts w:hint="eastAsia" w:cs="宋体"/>
          <w:i w:val="0"/>
          <w:iCs/>
          <w:color w:val="auto"/>
          <w:sz w:val="21"/>
          <w:szCs w:val="21"/>
          <w:highlight w:val="none"/>
        </w:rPr>
        <w:t>，从业人员</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人，营业收入为</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万元，资产总额为</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万元</w:t>
      </w:r>
      <w:r>
        <w:rPr>
          <w:rFonts w:hint="eastAsia" w:cs="宋体"/>
          <w:i w:val="0"/>
          <w:iCs/>
          <w:color w:val="auto"/>
          <w:sz w:val="21"/>
          <w:szCs w:val="21"/>
          <w:highlight w:val="none"/>
          <w:vertAlign w:val="superscript"/>
        </w:rPr>
        <w:t>1</w:t>
      </w:r>
      <w:r>
        <w:rPr>
          <w:rFonts w:hint="eastAsia" w:cs="宋体"/>
          <w:i w:val="0"/>
          <w:iCs/>
          <w:color w:val="auto"/>
          <w:sz w:val="21"/>
          <w:szCs w:val="21"/>
          <w:highlight w:val="none"/>
        </w:rPr>
        <w:t>，属于</w:t>
      </w:r>
      <w:r>
        <w:rPr>
          <w:rFonts w:hint="eastAsia" w:cs="宋体"/>
          <w:i w:val="0"/>
          <w:iCs/>
          <w:color w:val="auto"/>
          <w:sz w:val="21"/>
          <w:szCs w:val="21"/>
          <w:highlight w:val="none"/>
          <w:u w:val="single"/>
        </w:rPr>
        <w:t>（中型企业、小型企业、微型企业）</w:t>
      </w:r>
      <w:r>
        <w:rPr>
          <w:rFonts w:hint="eastAsia" w:cs="宋体"/>
          <w:i w:val="0"/>
          <w:iCs/>
          <w:color w:val="auto"/>
          <w:sz w:val="21"/>
          <w:szCs w:val="21"/>
          <w:highlight w:val="none"/>
        </w:rPr>
        <w:t>；</w:t>
      </w:r>
    </w:p>
    <w:p>
      <w:pPr>
        <w:pStyle w:val="18"/>
        <w:spacing w:line="400" w:lineRule="exact"/>
        <w:ind w:firstLine="420" w:firstLineChars="200"/>
        <w:rPr>
          <w:rFonts w:hint="eastAsia" w:cs="宋体"/>
          <w:i w:val="0"/>
          <w:iCs/>
          <w:color w:val="auto"/>
          <w:sz w:val="21"/>
          <w:szCs w:val="21"/>
          <w:highlight w:val="none"/>
        </w:rPr>
      </w:pPr>
      <w:r>
        <w:rPr>
          <w:rFonts w:hint="eastAsia" w:cs="宋体"/>
          <w:i w:val="0"/>
          <w:iCs/>
          <w:color w:val="auto"/>
          <w:sz w:val="21"/>
          <w:szCs w:val="21"/>
          <w:highlight w:val="none"/>
        </w:rPr>
        <w:t>2.</w:t>
      </w:r>
      <w:r>
        <w:rPr>
          <w:rFonts w:hint="eastAsia" w:cs="宋体"/>
          <w:i w:val="0"/>
          <w:iCs/>
          <w:color w:val="auto"/>
          <w:sz w:val="21"/>
          <w:szCs w:val="21"/>
          <w:highlight w:val="none"/>
          <w:u w:val="single"/>
        </w:rPr>
        <w:t>（标的名称）</w:t>
      </w:r>
      <w:r>
        <w:rPr>
          <w:rFonts w:hint="eastAsia" w:cs="宋体"/>
          <w:i w:val="0"/>
          <w:iCs/>
          <w:color w:val="auto"/>
          <w:sz w:val="21"/>
          <w:szCs w:val="21"/>
          <w:highlight w:val="none"/>
        </w:rPr>
        <w:t>，属于</w:t>
      </w:r>
      <w:r>
        <w:rPr>
          <w:rFonts w:hint="eastAsia" w:cs="宋体"/>
          <w:i w:val="0"/>
          <w:iCs/>
          <w:color w:val="auto"/>
          <w:sz w:val="21"/>
          <w:szCs w:val="21"/>
          <w:highlight w:val="none"/>
          <w:u w:val="single"/>
        </w:rPr>
        <w:t>（采购文件中明确的所属行业）</w:t>
      </w:r>
      <w:r>
        <w:rPr>
          <w:rFonts w:hint="eastAsia" w:cs="宋体"/>
          <w:i w:val="0"/>
          <w:iCs/>
          <w:color w:val="auto"/>
          <w:sz w:val="21"/>
          <w:szCs w:val="21"/>
          <w:highlight w:val="none"/>
        </w:rPr>
        <w:t>；承建（承接）企业为</w:t>
      </w:r>
      <w:r>
        <w:rPr>
          <w:rFonts w:hint="eastAsia" w:cs="宋体"/>
          <w:i w:val="0"/>
          <w:iCs/>
          <w:color w:val="auto"/>
          <w:sz w:val="21"/>
          <w:szCs w:val="21"/>
          <w:highlight w:val="none"/>
          <w:u w:val="single"/>
        </w:rPr>
        <w:t>（企业名称）</w:t>
      </w:r>
      <w:r>
        <w:rPr>
          <w:rFonts w:hint="eastAsia" w:cs="宋体"/>
          <w:i w:val="0"/>
          <w:iCs/>
          <w:color w:val="auto"/>
          <w:sz w:val="21"/>
          <w:szCs w:val="21"/>
          <w:highlight w:val="none"/>
        </w:rPr>
        <w:t>，从业人员</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u w:val="single"/>
          <w:lang w:val="en-US" w:eastAsia="zh-CN"/>
        </w:rPr>
        <w:t xml:space="preserve"> </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人，营业收入为</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万元，资产总额为</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u w:val="single"/>
          <w:lang w:val="en-US" w:eastAsia="zh-CN"/>
        </w:rPr>
        <w:t xml:space="preserve"> </w:t>
      </w:r>
      <w:r>
        <w:rPr>
          <w:rFonts w:hint="eastAsia" w:cs="宋体"/>
          <w:i w:val="0"/>
          <w:iCs/>
          <w:color w:val="auto"/>
          <w:sz w:val="21"/>
          <w:szCs w:val="21"/>
          <w:highlight w:val="none"/>
          <w:u w:val="single"/>
        </w:rPr>
        <w:t xml:space="preserve"> </w:t>
      </w:r>
      <w:r>
        <w:rPr>
          <w:rFonts w:hint="eastAsia" w:cs="宋体"/>
          <w:i w:val="0"/>
          <w:iCs/>
          <w:color w:val="auto"/>
          <w:sz w:val="21"/>
          <w:szCs w:val="21"/>
          <w:highlight w:val="none"/>
        </w:rPr>
        <w:t>万元，属于</w:t>
      </w:r>
      <w:r>
        <w:rPr>
          <w:rFonts w:hint="eastAsia" w:cs="宋体"/>
          <w:i w:val="0"/>
          <w:iCs/>
          <w:color w:val="auto"/>
          <w:sz w:val="21"/>
          <w:szCs w:val="21"/>
          <w:highlight w:val="none"/>
          <w:u w:val="single"/>
        </w:rPr>
        <w:t>（中型企业、小型企业、微型企业）</w:t>
      </w:r>
      <w:r>
        <w:rPr>
          <w:rFonts w:hint="eastAsia" w:cs="宋体"/>
          <w:i w:val="0"/>
          <w:iCs/>
          <w:color w:val="auto"/>
          <w:sz w:val="21"/>
          <w:szCs w:val="21"/>
          <w:highlight w:val="none"/>
        </w:rPr>
        <w:t>；</w:t>
      </w:r>
    </w:p>
    <w:p>
      <w:pPr>
        <w:pStyle w:val="18"/>
        <w:spacing w:line="400" w:lineRule="exact"/>
        <w:ind w:firstLine="420" w:firstLineChars="200"/>
        <w:rPr>
          <w:rFonts w:hint="eastAsia" w:cs="宋体"/>
          <w:i w:val="0"/>
          <w:iCs/>
          <w:color w:val="auto"/>
          <w:sz w:val="21"/>
          <w:szCs w:val="21"/>
          <w:highlight w:val="none"/>
        </w:rPr>
      </w:pPr>
      <w:r>
        <w:rPr>
          <w:rFonts w:hint="eastAsia" w:cs="宋体"/>
          <w:i w:val="0"/>
          <w:iCs/>
          <w:color w:val="auto"/>
          <w:sz w:val="21"/>
          <w:szCs w:val="21"/>
          <w:highlight w:val="none"/>
        </w:rPr>
        <w:t xml:space="preserve">…… </w:t>
      </w:r>
    </w:p>
    <w:p>
      <w:pPr>
        <w:pStyle w:val="18"/>
        <w:spacing w:line="400" w:lineRule="exact"/>
        <w:ind w:firstLine="420" w:firstLineChars="200"/>
        <w:jc w:val="left"/>
        <w:rPr>
          <w:rFonts w:hint="eastAsia" w:cs="宋体"/>
          <w:i w:val="0"/>
          <w:iCs/>
          <w:color w:val="auto"/>
          <w:sz w:val="21"/>
          <w:szCs w:val="21"/>
          <w:highlight w:val="none"/>
        </w:rPr>
      </w:pPr>
      <w:r>
        <w:rPr>
          <w:rFonts w:hint="eastAsia" w:cs="宋体"/>
          <w:i w:val="0"/>
          <w:iCs/>
          <w:color w:val="auto"/>
          <w:sz w:val="21"/>
          <w:szCs w:val="21"/>
          <w:highlight w:val="none"/>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hint="eastAsia" w:cs="宋体"/>
          <w:i w:val="0"/>
          <w:iCs/>
          <w:color w:val="auto"/>
          <w:sz w:val="21"/>
          <w:szCs w:val="21"/>
          <w:highlight w:val="none"/>
        </w:rPr>
      </w:pPr>
      <w:r>
        <w:rPr>
          <w:rFonts w:hint="eastAsia" w:cs="宋体"/>
          <w:i w:val="0"/>
          <w:iCs/>
          <w:color w:val="auto"/>
          <w:sz w:val="21"/>
          <w:szCs w:val="21"/>
          <w:highlight w:val="none"/>
        </w:rPr>
        <w:t>本企业对上述声明内容的真实性负责。如有虚假，将依法承担相应责任。</w:t>
      </w:r>
    </w:p>
    <w:p>
      <w:pPr>
        <w:pStyle w:val="18"/>
        <w:spacing w:line="400" w:lineRule="exact"/>
        <w:ind w:firstLine="3360" w:firstLineChars="1600"/>
        <w:jc w:val="left"/>
        <w:rPr>
          <w:rFonts w:hint="eastAsia" w:cs="宋体"/>
          <w:color w:val="auto"/>
          <w:sz w:val="21"/>
          <w:szCs w:val="21"/>
          <w:highlight w:val="none"/>
        </w:rPr>
      </w:pPr>
    </w:p>
    <w:p>
      <w:pPr>
        <w:pStyle w:val="18"/>
        <w:spacing w:line="400" w:lineRule="exact"/>
        <w:ind w:firstLine="4095" w:firstLineChars="1950"/>
        <w:jc w:val="left"/>
        <w:rPr>
          <w:rFonts w:hint="eastAsia" w:cs="宋体"/>
          <w:i w:val="0"/>
          <w:iCs/>
          <w:color w:val="auto"/>
          <w:sz w:val="21"/>
          <w:szCs w:val="21"/>
          <w:highlight w:val="none"/>
        </w:rPr>
      </w:pPr>
      <w:r>
        <w:rPr>
          <w:rFonts w:hint="eastAsia" w:cs="宋体"/>
          <w:i w:val="0"/>
          <w:iCs/>
          <w:color w:val="auto"/>
          <w:sz w:val="21"/>
          <w:szCs w:val="21"/>
          <w:highlight w:val="none"/>
        </w:rPr>
        <w:t>企业名称（盖章）：</w:t>
      </w:r>
    </w:p>
    <w:p>
      <w:pPr>
        <w:spacing w:line="400" w:lineRule="exact"/>
        <w:jc w:val="center"/>
        <w:rPr>
          <w:rFonts w:hint="eastAsia" w:ascii="宋体" w:hAnsi="宋体" w:cs="宋体"/>
          <w:i w:val="0"/>
          <w:iCs/>
          <w:color w:val="auto"/>
          <w:szCs w:val="21"/>
          <w:highlight w:val="none"/>
        </w:rPr>
      </w:pPr>
      <w:r>
        <w:rPr>
          <w:rFonts w:hint="eastAsia" w:ascii="宋体" w:hAnsi="宋体" w:cs="宋体"/>
          <w:i w:val="0"/>
          <w:iCs/>
          <w:color w:val="auto"/>
          <w:szCs w:val="21"/>
          <w:highlight w:val="none"/>
        </w:rPr>
        <w:t>日 期：</w:t>
      </w: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spacing w:line="400" w:lineRule="exact"/>
        <w:ind w:firstLine="420" w:firstLineChars="200"/>
        <w:rPr>
          <w:rFonts w:hint="eastAsia" w:ascii="宋体" w:hAnsi="宋体" w:cs="宋体"/>
          <w:color w:val="auto"/>
          <w:highlight w:val="none"/>
        </w:rPr>
      </w:pPr>
      <w:r>
        <w:rPr>
          <w:rFonts w:ascii="宋体" w:hAnsi="宋体"/>
          <w:color w:val="auto"/>
          <w:szCs w:val="21"/>
          <w:highlight w:val="none"/>
        </w:rPr>
        <w:t>1从业人员、营业收入、资产总额填报上一年度数据，无上一年度数据的新成立企业可不填报。</w:t>
      </w:r>
    </w:p>
    <w:p>
      <w:pPr>
        <w:spacing w:line="400" w:lineRule="exact"/>
        <w:jc w:val="left"/>
        <w:rPr>
          <w:rStyle w:val="85"/>
          <w:rFonts w:hint="default" w:ascii="宋体" w:hAnsi="宋体" w:eastAsia="宋体" w:cs="宋体"/>
          <w:color w:val="auto"/>
          <w:sz w:val="30"/>
          <w:szCs w:val="30"/>
          <w:highlight w:val="none"/>
          <w:lang w:val="en-US"/>
        </w:rPr>
      </w:pPr>
      <w:r>
        <w:rPr>
          <w:rStyle w:val="85"/>
          <w:rFonts w:hint="eastAsia" w:ascii="宋体" w:hAnsi="宋体" w:eastAsia="宋体" w:cs="宋体"/>
          <w:color w:val="auto"/>
          <w:sz w:val="30"/>
          <w:szCs w:val="30"/>
          <w:highlight w:val="none"/>
        </w:rPr>
        <w:br w:type="page"/>
      </w:r>
      <w:r>
        <w:rPr>
          <w:rStyle w:val="85"/>
          <w:rFonts w:hint="eastAsia" w:ascii="宋体" w:hAnsi="宋体" w:eastAsia="宋体" w:cs="宋体"/>
          <w:color w:val="auto"/>
          <w:sz w:val="30"/>
          <w:szCs w:val="30"/>
          <w:highlight w:val="none"/>
        </w:rPr>
        <w:t>附件</w:t>
      </w:r>
      <w:r>
        <w:rPr>
          <w:rStyle w:val="85"/>
          <w:rFonts w:hint="eastAsia" w:ascii="宋体" w:hAnsi="宋体" w:eastAsia="宋体" w:cs="宋体"/>
          <w:color w:val="auto"/>
          <w:sz w:val="30"/>
          <w:szCs w:val="30"/>
          <w:highlight w:val="none"/>
          <w:lang w:val="en-US"/>
        </w:rPr>
        <w:t>13</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w:t>
      </w:r>
    </w:p>
    <w:p>
      <w:pPr>
        <w:spacing w:line="588" w:lineRule="exact"/>
        <w:ind w:firstLine="446"/>
        <w:rPr>
          <w:rFonts w:hint="eastAsia" w:ascii="宋体" w:hAnsi="宋体" w:eastAsia="宋体" w:cs="宋体"/>
          <w:b/>
          <w:color w:val="auto"/>
          <w:spacing w:val="6"/>
          <w:szCs w:val="21"/>
          <w:highlight w:val="none"/>
        </w:rPr>
      </w:pPr>
    </w:p>
    <w:p>
      <w:pPr>
        <w:spacing w:line="588" w:lineRule="exact"/>
        <w:ind w:firstLine="446"/>
        <w:rPr>
          <w:rFonts w:hint="eastAsia" w:ascii="宋体" w:hAnsi="宋体" w:cs="宋体"/>
          <w:b/>
          <w:color w:val="auto"/>
          <w:spacing w:val="6"/>
          <w:szCs w:val="21"/>
          <w:highlight w:val="none"/>
        </w:rPr>
      </w:pP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snapToGrid w:val="0"/>
        <w:spacing w:line="360" w:lineRule="auto"/>
        <w:ind w:firstLine="420" w:firstLineChars="200"/>
        <w:rPr>
          <w:rFonts w:ascii="宋体" w:hAnsi="宋体" w:cs="宋体"/>
          <w:color w:val="auto"/>
          <w:highlight w:val="none"/>
        </w:rPr>
      </w:pPr>
    </w:p>
    <w:p>
      <w:pPr>
        <w:spacing w:line="588" w:lineRule="exact"/>
        <w:ind w:firstLine="444" w:firstLineChars="200"/>
        <w:rPr>
          <w:rFonts w:ascii="宋体" w:hAnsi="宋体" w:cs="宋体"/>
          <w:color w:val="auto"/>
          <w:spacing w:val="6"/>
          <w:highlight w:val="none"/>
        </w:rPr>
      </w:pPr>
    </w:p>
    <w:p>
      <w:pPr>
        <w:snapToGrid w:val="0"/>
        <w:spacing w:line="360" w:lineRule="auto"/>
        <w:ind w:firstLine="420" w:firstLineChars="200"/>
        <w:jc w:val="right"/>
        <w:rPr>
          <w:rFonts w:ascii="宋体" w:hAnsi="宋体" w:cs="宋体"/>
          <w:color w:val="auto"/>
          <w:highlight w:val="none"/>
        </w:rPr>
      </w:pPr>
      <w:r>
        <w:rPr>
          <w:rFonts w:hint="eastAsia" w:ascii="宋体" w:hAnsi="宋体" w:cs="宋体"/>
          <w:color w:val="auto"/>
          <w:highlight w:val="none"/>
        </w:rPr>
        <w:t xml:space="preserve">      单位名称（盖章）：</w:t>
      </w:r>
    </w:p>
    <w:p>
      <w:pPr>
        <w:snapToGrid w:val="0"/>
        <w:spacing w:line="360" w:lineRule="auto"/>
        <w:ind w:firstLine="420" w:firstLineChars="200"/>
        <w:jc w:val="right"/>
        <w:rPr>
          <w:rFonts w:ascii="宋体" w:hAnsi="宋体" w:cs="宋体"/>
          <w:color w:val="auto"/>
          <w:highlight w:val="none"/>
        </w:rPr>
      </w:pPr>
      <w:r>
        <w:rPr>
          <w:rFonts w:hint="eastAsia" w:ascii="宋体" w:hAnsi="宋体" w:cs="宋体"/>
          <w:color w:val="auto"/>
          <w:highlight w:val="none"/>
        </w:rPr>
        <w:t xml:space="preserve">       日  期：</w:t>
      </w:r>
    </w:p>
    <w:p>
      <w:pPr>
        <w:tabs>
          <w:tab w:val="left" w:pos="4860"/>
        </w:tabs>
        <w:spacing w:line="588" w:lineRule="exact"/>
        <w:ind w:right="1560" w:firstLine="444" w:firstLineChars="200"/>
        <w:rPr>
          <w:rFonts w:ascii="宋体" w:hAnsi="宋体" w:cs="宋体"/>
          <w:color w:val="auto"/>
          <w:spacing w:val="6"/>
          <w:highlight w:val="none"/>
        </w:rPr>
      </w:pPr>
      <w:r>
        <w:rPr>
          <w:rFonts w:hint="eastAsia" w:ascii="宋体" w:hAnsi="宋体" w:cs="宋体"/>
          <w:color w:val="auto"/>
          <w:spacing w:val="6"/>
          <w:highlight w:val="none"/>
        </w:rPr>
        <w:t>填写说明：</w:t>
      </w:r>
    </w:p>
    <w:p>
      <w:pPr>
        <w:numPr>
          <w:ilvl w:val="0"/>
          <w:numId w:val="20"/>
        </w:numPr>
        <w:tabs>
          <w:tab w:val="left" w:pos="4860"/>
        </w:tabs>
        <w:ind w:right="106" w:firstLine="446" w:firstLineChars="200"/>
        <w:rPr>
          <w:rFonts w:ascii="宋体" w:hAnsi="宋体" w:cs="宋体"/>
          <w:b/>
          <w:bCs/>
          <w:color w:val="auto"/>
          <w:highlight w:val="none"/>
        </w:rPr>
      </w:pPr>
      <w:r>
        <w:rPr>
          <w:rFonts w:hint="eastAsia" w:ascii="宋体" w:hAnsi="宋体" w:cs="宋体"/>
          <w:b/>
          <w:bCs/>
          <w:color w:val="auto"/>
          <w:spacing w:val="6"/>
          <w:highlight w:val="none"/>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20"/>
        </w:numPr>
        <w:tabs>
          <w:tab w:val="left" w:pos="4860"/>
        </w:tabs>
        <w:ind w:right="251" w:firstLine="420" w:firstLineChars="200"/>
        <w:rPr>
          <w:rFonts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pPr>
        <w:pStyle w:val="40"/>
        <w:rPr>
          <w:color w:val="auto"/>
          <w:sz w:val="20"/>
          <w:szCs w:val="20"/>
          <w:highlight w:val="none"/>
        </w:rPr>
      </w:pPr>
      <w:r>
        <w:rPr>
          <w:rFonts w:hint="eastAsia"/>
          <w:color w:val="auto"/>
          <w:sz w:val="20"/>
          <w:szCs w:val="20"/>
          <w:highlight w:val="none"/>
        </w:rPr>
        <w:t>　　（1）安置的残疾人占本单位在职职工人数的比例不低于210%（含210%），并且安置的残疾人人数不少于10人（含10人）；</w:t>
      </w:r>
    </w:p>
    <w:p>
      <w:pPr>
        <w:pStyle w:val="40"/>
        <w:rPr>
          <w:color w:val="auto"/>
          <w:sz w:val="20"/>
          <w:szCs w:val="20"/>
          <w:highlight w:val="none"/>
        </w:rPr>
      </w:pPr>
      <w:r>
        <w:rPr>
          <w:rFonts w:hint="eastAsia"/>
          <w:color w:val="auto"/>
          <w:sz w:val="20"/>
          <w:szCs w:val="20"/>
          <w:highlight w:val="none"/>
        </w:rPr>
        <w:t>　　（2）依法与安置的每位残疾人签订了一年以上（含一年）的劳动合同或服务协议；</w:t>
      </w:r>
    </w:p>
    <w:p>
      <w:pPr>
        <w:pStyle w:val="40"/>
        <w:rPr>
          <w:color w:val="auto"/>
          <w:sz w:val="20"/>
          <w:szCs w:val="20"/>
          <w:highlight w:val="none"/>
        </w:rPr>
      </w:pPr>
      <w:r>
        <w:rPr>
          <w:rFonts w:hint="eastAsia"/>
          <w:color w:val="auto"/>
          <w:sz w:val="20"/>
          <w:szCs w:val="20"/>
          <w:highlight w:val="none"/>
        </w:rPr>
        <w:t>　　（3）为安置的每位残疾人按月足额缴纳了基本养老保险、基本医疗保险、失业保险、工伤保险和生育保险等社会保险费；</w:t>
      </w:r>
    </w:p>
    <w:p>
      <w:pPr>
        <w:pStyle w:val="40"/>
        <w:rPr>
          <w:color w:val="auto"/>
          <w:sz w:val="20"/>
          <w:szCs w:val="20"/>
          <w:highlight w:val="none"/>
        </w:rPr>
      </w:pPr>
      <w:r>
        <w:rPr>
          <w:rFonts w:hint="eastAsia"/>
          <w:color w:val="auto"/>
          <w:sz w:val="20"/>
          <w:szCs w:val="20"/>
          <w:highlight w:val="none"/>
        </w:rPr>
        <w:t>　　（4）通过银行等金融机构向安置的每位残疾人，按月支付了不低于单位所在区县适用的经省级人民政府批准的月最低工资标准的工资；</w:t>
      </w:r>
    </w:p>
    <w:p>
      <w:pPr>
        <w:pStyle w:val="40"/>
        <w:rPr>
          <w:color w:val="auto"/>
          <w:sz w:val="20"/>
          <w:szCs w:val="20"/>
          <w:highlight w:val="none"/>
        </w:rPr>
      </w:pPr>
      <w:r>
        <w:rPr>
          <w:rFonts w:hint="eastAsia"/>
          <w:color w:val="auto"/>
          <w:sz w:val="20"/>
          <w:szCs w:val="20"/>
          <w:highlight w:val="none"/>
        </w:rPr>
        <w:t>　　（5）提供本单位制造的货物、承担的工程或者服务（以下简称产品），或者提供其他残疾人福利性单位制造的货物（不包括使用非残疾人福利性单位注册商标的货物）。</w:t>
      </w:r>
    </w:p>
    <w:p>
      <w:pPr>
        <w:spacing w:line="400" w:lineRule="exact"/>
        <w:ind w:firstLine="400" w:firstLineChars="200"/>
        <w:rPr>
          <w:rFonts w:ascii="宋体" w:hAnsi="宋体"/>
          <w:color w:val="auto"/>
          <w:szCs w:val="21"/>
          <w:highlight w:val="none"/>
        </w:rPr>
      </w:pPr>
      <w:r>
        <w:rPr>
          <w:rFonts w:hint="eastAsia"/>
          <w:color w:val="auto"/>
          <w:sz w:val="20"/>
          <w:szCs w:val="20"/>
          <w:highlight w:val="none"/>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
        <w:rPr>
          <w:rFonts w:hint="eastAsia" w:ascii="宋体" w:hAnsi="宋体"/>
          <w:color w:val="auto"/>
          <w:highlight w:val="none"/>
        </w:rPr>
        <w:sectPr>
          <w:headerReference r:id="rId16" w:type="default"/>
          <w:footerReference r:id="rId17" w:type="default"/>
          <w:pgSz w:w="11907" w:h="16840"/>
          <w:pgMar w:top="1134" w:right="1417" w:bottom="1134" w:left="1417" w:header="284" w:footer="990" w:gutter="0"/>
          <w:pgNumType w:fmt="decimal"/>
          <w:cols w:space="720" w:num="1"/>
          <w:docGrid w:linePitch="285" w:charSpace="0"/>
        </w:sectPr>
      </w:pPr>
    </w:p>
    <w:tbl>
      <w:tblPr>
        <w:tblStyle w:val="44"/>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sz w:val="14"/>
                <w:szCs w:val="14"/>
                <w:highlight w:val="none"/>
              </w:rPr>
            </w:pPr>
            <w:r>
              <w:rPr>
                <w:rFonts w:hint="eastAsia" w:ascii="宋体" w:hAnsi="宋体" w:cs="宋体"/>
                <w:b/>
                <w:bCs/>
                <w:color w:val="auto"/>
                <w:sz w:val="15"/>
                <w:szCs w:val="15"/>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4"/>
                <w:szCs w:val="14"/>
                <w:highlight w:val="none"/>
              </w:rPr>
            </w:pPr>
            <w:r>
              <w:rPr>
                <w:rFonts w:hint="eastAsia" w:ascii="宋体" w:hAnsi="宋体" w:cs="宋体"/>
                <w:b/>
                <w:bCs/>
                <w:color w:val="auto"/>
                <w:sz w:val="14"/>
                <w:szCs w:val="1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sz w:val="14"/>
                <w:szCs w:val="14"/>
                <w:highlight w:val="none"/>
              </w:rPr>
            </w:pPr>
            <w:r>
              <w:rPr>
                <w:rFonts w:hint="eastAsia" w:ascii="宋体" w:hAnsi="宋体" w:cs="宋体"/>
                <w:b/>
                <w:bCs/>
                <w:color w:val="auto"/>
                <w:sz w:val="14"/>
                <w:szCs w:val="14"/>
                <w:highlight w:val="none"/>
              </w:rPr>
              <w:t>中型企业</w:t>
            </w:r>
          </w:p>
        </w:tc>
        <w:tc>
          <w:tcPr>
            <w:tcW w:w="4392" w:type="dxa"/>
            <w:gridSpan w:val="3"/>
            <w:tcBorders>
              <w:top w:val="single" w:color="auto" w:sz="8" w:space="0"/>
              <w:left w:val="nil"/>
              <w:bottom w:val="single" w:color="auto" w:sz="4" w:space="0"/>
              <w:right w:val="single" w:color="000000"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sz w:val="14"/>
                <w:szCs w:val="14"/>
                <w:highlight w:val="none"/>
              </w:rPr>
            </w:pPr>
            <w:r>
              <w:rPr>
                <w:rFonts w:hint="eastAsia" w:ascii="宋体" w:hAnsi="宋体" w:cs="宋体"/>
                <w:b/>
                <w:bCs/>
                <w:color w:val="auto"/>
                <w:sz w:val="14"/>
                <w:szCs w:val="14"/>
                <w:highlight w:val="none"/>
              </w:rPr>
              <w:t>小型企业</w:t>
            </w:r>
          </w:p>
        </w:tc>
        <w:tc>
          <w:tcPr>
            <w:tcW w:w="3781" w:type="dxa"/>
            <w:gridSpan w:val="4"/>
            <w:tcBorders>
              <w:top w:val="single" w:color="auto" w:sz="8" w:space="0"/>
              <w:left w:val="nil"/>
              <w:bottom w:val="single" w:color="auto" w:sz="4" w:space="0"/>
              <w:right w:val="single" w:color="000000"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sz w:val="14"/>
                <w:szCs w:val="14"/>
                <w:highlight w:val="none"/>
              </w:rPr>
            </w:pPr>
            <w:r>
              <w:rPr>
                <w:rFonts w:hint="eastAsia" w:ascii="宋体" w:hAnsi="宋体" w:cs="宋体"/>
                <w:b/>
                <w:bCs/>
                <w:color w:val="auto"/>
                <w:sz w:val="14"/>
                <w:szCs w:val="14"/>
                <w:highlight w:val="none"/>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14"/>
                <w:szCs w:val="14"/>
                <w:highlight w:val="none"/>
              </w:rPr>
            </w:pP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营业收入Y</w:t>
            </w:r>
          </w:p>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（万元）</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资产总额Z</w:t>
            </w:r>
          </w:p>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（万元）</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营业收入Y</w:t>
            </w:r>
          </w:p>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（万元）</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资产总额Z</w:t>
            </w:r>
          </w:p>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（万元）</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营业收入Y（万元）</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sz w:val="14"/>
                <w:szCs w:val="14"/>
                <w:highlight w:val="none"/>
              </w:rPr>
            </w:pPr>
            <w:r>
              <w:rPr>
                <w:rFonts w:hint="eastAsia" w:ascii="宋体" w:hAnsi="宋体" w:cs="宋体"/>
                <w:color w:val="auto"/>
                <w:sz w:val="14"/>
                <w:szCs w:val="14"/>
                <w:highlight w:val="none"/>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50≤Y＜500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2、工业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2000≤Y＜40000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300≤Y＜2000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3、建筑业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6000≤Y＜80000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5000≤Z＜80000</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300≤Y＜6000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300≤Z＜5000</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4、批发业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20≤X＜200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5000≤Y＜40000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5≤X＜20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X＜5</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5、零售业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50≤X＜300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10≤X＜50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100≤Y＜500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3000≤Y＜30000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200≤Y＜3000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V＜200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7、仓储业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100≤X＜200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1000≤Y＜30000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8、邮政业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2000≤Y＜30000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9、住宿业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10、餐饮业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V＜100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11、信息传输业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100≤X＜2000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1000≤Y＜100000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1000≤Y＜10000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50≤Y＜1000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13、房地产开发经营</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1000≤Y＜200000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5000≤Z＜10000</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2000≤Z＜5000</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Z＜2000</w:t>
            </w:r>
          </w:p>
        </w:tc>
      </w:tr>
      <w:tr>
        <w:tblPrEx>
          <w:tblCellMar>
            <w:top w:w="0" w:type="dxa"/>
            <w:left w:w="108" w:type="dxa"/>
            <w:bottom w:w="0" w:type="dxa"/>
            <w:right w:w="108" w:type="dxa"/>
          </w:tblCellMar>
        </w:tblPrEx>
        <w:trPr>
          <w:trHeight w:val="41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14、物业管理</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500≤Y＜1000</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Y＜500</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8000≤Z＜120000</w:t>
            </w:r>
          </w:p>
        </w:tc>
        <w:tc>
          <w:tcPr>
            <w:tcW w:w="1240"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xml:space="preserve"> 100≤Z＜8000</w:t>
            </w:r>
          </w:p>
        </w:tc>
        <w:tc>
          <w:tcPr>
            <w:tcW w:w="128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4"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16、其他未列明行业</w:t>
            </w:r>
          </w:p>
        </w:tc>
        <w:tc>
          <w:tcPr>
            <w:tcW w:w="1498"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8"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8"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8" w:space="0"/>
              <w:right w:val="single" w:color="auto" w:sz="4"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8" w:space="0"/>
              <w:right w:val="single" w:color="auto" w:sz="8" w:space="0"/>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　</w:t>
            </w:r>
          </w:p>
        </w:tc>
      </w:tr>
      <w:tr>
        <w:tblPrEx>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noWrap w:val="0"/>
            <w:vAlign w:val="bottom"/>
          </w:tcPr>
          <w:p>
            <w:pPr>
              <w:keepNext w:val="0"/>
              <w:keepLines w:val="0"/>
              <w:suppressLineNumbers w:val="0"/>
              <w:spacing w:before="0" w:beforeAutospacing="0" w:after="0" w:afterAutospacing="0"/>
              <w:ind w:left="0" w:right="0"/>
              <w:rPr>
                <w:rFonts w:hint="default" w:ascii="宋体" w:hAnsi="宋体" w:cs="宋体"/>
                <w:color w:val="auto"/>
                <w:sz w:val="14"/>
                <w:szCs w:val="14"/>
                <w:highlight w:val="none"/>
              </w:rPr>
            </w:pPr>
            <w:r>
              <w:rPr>
                <w:rFonts w:hint="eastAsia" w:ascii="宋体" w:hAnsi="宋体" w:cs="宋体"/>
                <w:color w:val="auto"/>
                <w:sz w:val="14"/>
                <w:szCs w:val="14"/>
                <w:highlight w:val="none"/>
              </w:rPr>
              <w:t>说明　1、企业类型的划分以统计部门的统计数据为依据。</w:t>
            </w:r>
          </w:p>
          <w:p>
            <w:pPr>
              <w:keepNext w:val="0"/>
              <w:keepLines w:val="0"/>
              <w:numPr>
                <w:ilvl w:val="0"/>
                <w:numId w:val="21"/>
              </w:numPr>
              <w:suppressLineNumbers w:val="0"/>
              <w:spacing w:before="0" w:beforeAutospacing="0" w:after="0" w:afterAutospacing="0"/>
              <w:ind w:left="0" w:right="0" w:firstLine="420" w:firstLineChars="300"/>
              <w:rPr>
                <w:rFonts w:hint="default" w:ascii="宋体" w:hAnsi="宋体" w:cs="宋体"/>
                <w:color w:val="auto"/>
                <w:sz w:val="14"/>
                <w:szCs w:val="14"/>
                <w:highlight w:val="none"/>
              </w:rPr>
            </w:pPr>
            <w:r>
              <w:rPr>
                <w:rFonts w:hint="eastAsia" w:ascii="宋体" w:hAnsi="宋体" w:cs="宋体"/>
                <w:color w:val="auto"/>
                <w:sz w:val="14"/>
                <w:szCs w:val="14"/>
                <w:highlight w:val="none"/>
              </w:rPr>
              <w:t>个体工商户和本规定以外的行业，参照本规定进行划型。</w:t>
            </w:r>
          </w:p>
          <w:p>
            <w:pPr>
              <w:keepNext w:val="0"/>
              <w:keepLines w:val="0"/>
              <w:numPr>
                <w:ilvl w:val="0"/>
                <w:numId w:val="21"/>
              </w:numPr>
              <w:suppressLineNumbers w:val="0"/>
              <w:spacing w:before="0" w:beforeAutospacing="0" w:after="0" w:afterAutospacing="0"/>
              <w:ind w:left="0" w:right="0" w:firstLine="420" w:firstLineChars="300"/>
              <w:rPr>
                <w:rFonts w:hint="default" w:ascii="宋体" w:hAnsi="宋体" w:cs="宋体"/>
                <w:color w:val="auto"/>
                <w:sz w:val="14"/>
                <w:szCs w:val="14"/>
                <w:highlight w:val="none"/>
              </w:rPr>
            </w:pPr>
            <w:r>
              <w:rPr>
                <w:rFonts w:hint="eastAsia" w:ascii="宋体" w:hAnsi="宋体" w:cs="宋体"/>
                <w:color w:val="auto"/>
                <w:sz w:val="14"/>
                <w:szCs w:val="14"/>
                <w:highlight w:val="none"/>
              </w:rPr>
              <w:t>本规定的中型企业标准上限即为大型企业标准的下限。</w:t>
            </w:r>
          </w:p>
        </w:tc>
      </w:tr>
    </w:tbl>
    <w:p>
      <w:pPr>
        <w:spacing w:line="400" w:lineRule="exact"/>
        <w:jc w:val="left"/>
        <w:rPr>
          <w:rStyle w:val="85"/>
          <w:rFonts w:hint="eastAsia" w:ascii="宋体" w:hAnsi="宋体" w:cs="仿宋_GB2312"/>
          <w:color w:val="auto"/>
          <w:sz w:val="30"/>
          <w:szCs w:val="30"/>
          <w:highlight w:val="none"/>
        </w:rPr>
        <w:sectPr>
          <w:headerReference r:id="rId18" w:type="default"/>
          <w:footerReference r:id="rId19" w:type="default"/>
          <w:pgSz w:w="16840" w:h="11907" w:orient="landscape"/>
          <w:pgMar w:top="1134" w:right="1077" w:bottom="1134" w:left="1077" w:header="284" w:footer="992" w:gutter="0"/>
          <w:paperSrc/>
          <w:pgNumType w:fmt="decimal"/>
          <w:cols w:space="720" w:num="1"/>
          <w:rtlGutter w:val="0"/>
          <w:docGrid w:linePitch="285" w:charSpace="0"/>
        </w:sectPr>
      </w:pPr>
    </w:p>
    <w:p>
      <w:pPr>
        <w:spacing w:line="400" w:lineRule="exact"/>
        <w:jc w:val="left"/>
        <w:rPr>
          <w:rStyle w:val="85"/>
          <w:rFonts w:hint="default" w:ascii="宋体" w:hAnsi="宋体" w:cs="仿宋_GB2312"/>
          <w:color w:val="auto"/>
          <w:sz w:val="30"/>
          <w:szCs w:val="30"/>
          <w:highlight w:val="none"/>
          <w:lang w:val="en-US"/>
        </w:rPr>
      </w:pPr>
      <w:r>
        <w:rPr>
          <w:rStyle w:val="85"/>
          <w:rFonts w:hint="eastAsia" w:ascii="宋体" w:hAnsi="宋体" w:cs="仿宋_GB2312"/>
          <w:color w:val="auto"/>
          <w:sz w:val="30"/>
          <w:szCs w:val="30"/>
          <w:highlight w:val="none"/>
        </w:rPr>
        <w:t>附件</w:t>
      </w:r>
      <w:r>
        <w:rPr>
          <w:rStyle w:val="85"/>
          <w:rFonts w:hint="eastAsia" w:ascii="宋体" w:hAnsi="宋体" w:cs="仿宋_GB2312"/>
          <w:color w:val="auto"/>
          <w:sz w:val="30"/>
          <w:szCs w:val="30"/>
          <w:highlight w:val="none"/>
          <w:lang w:val="en-US"/>
        </w:rPr>
        <w:t>14</w:t>
      </w:r>
    </w:p>
    <w:p>
      <w:pPr>
        <w:rPr>
          <w:rFonts w:hint="eastAsia" w:ascii="宋体" w:hAnsi="宋体" w:eastAsia="宋体" w:cs="仿宋_GB2312"/>
          <w:color w:val="auto"/>
          <w:sz w:val="44"/>
          <w:szCs w:val="44"/>
          <w:highlight w:val="none"/>
          <w:lang w:eastAsia="zh-CN"/>
        </w:rPr>
      </w:pPr>
      <w:r>
        <w:rPr>
          <w:rFonts w:hint="eastAsia" w:ascii="宋体" w:hAnsi="宋体" w:cs="仿宋_GB2312"/>
          <w:b/>
          <w:bCs/>
          <w:color w:val="auto"/>
          <w:sz w:val="32"/>
          <w:szCs w:val="32"/>
          <w:highlight w:val="none"/>
          <w:lang w:val="en-US" w:eastAsia="zh-CN"/>
        </w:rPr>
        <w:t xml:space="preserve"> </w:t>
      </w:r>
    </w:p>
    <w:p>
      <w:pPr>
        <w:spacing w:line="360" w:lineRule="auto"/>
        <w:jc w:val="center"/>
        <w:rPr>
          <w:rFonts w:ascii="宋体" w:hAnsi="宋体" w:cs="仿宋_GB2312"/>
          <w:color w:val="auto"/>
          <w:sz w:val="52"/>
          <w:szCs w:val="52"/>
          <w:highlight w:val="none"/>
        </w:rPr>
      </w:pPr>
      <w:r>
        <w:rPr>
          <w:rFonts w:ascii="宋体" w:hAnsi="宋体" w:cs="仿宋_GB2312"/>
          <w:color w:val="auto"/>
          <w:sz w:val="52"/>
          <w:szCs w:val="52"/>
          <w:highlight w:val="none"/>
        </w:rPr>
        <w:t>(项目名称)项目</w:t>
      </w:r>
    </w:p>
    <w:p>
      <w:pPr>
        <w:spacing w:line="360" w:lineRule="auto"/>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采购</w:t>
      </w:r>
      <w:r>
        <w:rPr>
          <w:rFonts w:ascii="宋体" w:hAnsi="宋体" w:cs="仿宋_GB2312"/>
          <w:color w:val="auto"/>
          <w:sz w:val="32"/>
          <w:szCs w:val="32"/>
          <w:highlight w:val="none"/>
        </w:rPr>
        <w:t>编号：</w:t>
      </w:r>
    </w:p>
    <w:p>
      <w:pPr>
        <w:jc w:val="center"/>
        <w:rPr>
          <w:rFonts w:ascii="宋体" w:hAnsi="宋体" w:cs="仿宋_GB2312"/>
          <w:color w:val="auto"/>
          <w:sz w:val="32"/>
          <w:szCs w:val="32"/>
          <w:highlight w:val="none"/>
        </w:rPr>
      </w:pPr>
      <w:r>
        <w:rPr>
          <w:rFonts w:ascii="宋体" w:hAnsi="宋体" w:cs="仿宋_GB2312"/>
          <w:color w:val="auto"/>
          <w:sz w:val="32"/>
          <w:szCs w:val="32"/>
          <w:highlight w:val="none"/>
        </w:rPr>
        <w:t>（</w:t>
      </w:r>
      <w:r>
        <w:rPr>
          <w:rFonts w:hint="eastAsia" w:ascii="宋体" w:hAnsi="宋体" w:cs="仿宋_GB2312"/>
          <w:color w:val="auto"/>
          <w:sz w:val="32"/>
          <w:szCs w:val="32"/>
          <w:highlight w:val="none"/>
        </w:rPr>
        <w:t>商务技术文件</w:t>
      </w:r>
      <w:r>
        <w:rPr>
          <w:rFonts w:ascii="宋体" w:hAnsi="宋体" w:cs="仿宋_GB2312"/>
          <w:color w:val="auto"/>
          <w:sz w:val="32"/>
          <w:szCs w:val="32"/>
          <w:highlight w:val="none"/>
        </w:rPr>
        <w:t>或报价文件）</w:t>
      </w:r>
    </w:p>
    <w:p>
      <w:pPr>
        <w:jc w:val="center"/>
        <w:rPr>
          <w:rFonts w:ascii="宋体" w:hAnsi="宋体" w:cs="仿宋_GB2312"/>
          <w:color w:val="auto"/>
          <w:sz w:val="84"/>
          <w:highlight w:val="none"/>
        </w:rPr>
      </w:pPr>
    </w:p>
    <w:p>
      <w:pPr>
        <w:jc w:val="center"/>
        <w:rPr>
          <w:rFonts w:ascii="宋体" w:hAnsi="宋体" w:cs="仿宋_GB2312"/>
          <w:color w:val="auto"/>
          <w:sz w:val="84"/>
          <w:highlight w:val="none"/>
        </w:rPr>
      </w:pPr>
      <w:r>
        <w:rPr>
          <w:rFonts w:ascii="宋体" w:hAnsi="宋体" w:cs="仿宋_GB2312"/>
          <w:color w:val="auto"/>
          <w:sz w:val="84"/>
          <w:highlight w:val="none"/>
        </w:rPr>
        <w:t>投</w:t>
      </w:r>
    </w:p>
    <w:p>
      <w:pPr>
        <w:jc w:val="center"/>
        <w:rPr>
          <w:rFonts w:ascii="宋体" w:hAnsi="宋体" w:cs="仿宋_GB2312"/>
          <w:color w:val="auto"/>
          <w:sz w:val="84"/>
          <w:highlight w:val="none"/>
        </w:rPr>
      </w:pPr>
      <w:r>
        <w:rPr>
          <w:rFonts w:ascii="宋体" w:hAnsi="宋体" w:cs="仿宋_GB2312"/>
          <w:color w:val="auto"/>
          <w:sz w:val="84"/>
          <w:highlight w:val="none"/>
        </w:rPr>
        <w:t>标</w:t>
      </w:r>
    </w:p>
    <w:p>
      <w:pPr>
        <w:jc w:val="center"/>
        <w:rPr>
          <w:rFonts w:ascii="宋体" w:hAnsi="宋体" w:cs="仿宋_GB2312"/>
          <w:color w:val="auto"/>
          <w:sz w:val="84"/>
          <w:highlight w:val="none"/>
        </w:rPr>
      </w:pPr>
      <w:r>
        <w:rPr>
          <w:rFonts w:ascii="宋体" w:hAnsi="宋体" w:cs="仿宋_GB2312"/>
          <w:color w:val="auto"/>
          <w:sz w:val="84"/>
          <w:highlight w:val="none"/>
        </w:rPr>
        <w:t>文</w:t>
      </w:r>
    </w:p>
    <w:p>
      <w:pPr>
        <w:jc w:val="center"/>
        <w:rPr>
          <w:rFonts w:ascii="宋体" w:hAnsi="宋体" w:cs="仿宋_GB2312"/>
          <w:color w:val="auto"/>
          <w:sz w:val="84"/>
          <w:highlight w:val="none"/>
        </w:rPr>
      </w:pPr>
      <w:r>
        <w:rPr>
          <w:rFonts w:ascii="宋体" w:hAnsi="宋体" w:cs="仿宋_GB2312"/>
          <w:color w:val="auto"/>
          <w:sz w:val="84"/>
          <w:highlight w:val="none"/>
        </w:rPr>
        <w:t>件</w:t>
      </w:r>
    </w:p>
    <w:p>
      <w:pPr>
        <w:jc w:val="center"/>
        <w:rPr>
          <w:rFonts w:ascii="宋体" w:hAnsi="宋体" w:cs="仿宋_GB2312"/>
          <w:color w:val="auto"/>
          <w:sz w:val="24"/>
          <w:highlight w:val="none"/>
        </w:rPr>
      </w:pPr>
    </w:p>
    <w:p>
      <w:pPr>
        <w:jc w:val="center"/>
        <w:rPr>
          <w:rFonts w:ascii="宋体" w:hAnsi="宋体" w:cs="仿宋_GB2312"/>
          <w:color w:val="auto"/>
          <w:sz w:val="24"/>
          <w:highlight w:val="none"/>
        </w:rPr>
      </w:pPr>
    </w:p>
    <w:p>
      <w:pPr>
        <w:pStyle w:val="2"/>
        <w:rPr>
          <w:color w:val="auto"/>
          <w:highlight w:val="none"/>
        </w:rPr>
      </w:pPr>
    </w:p>
    <w:p>
      <w:pPr>
        <w:spacing w:line="480" w:lineRule="auto"/>
        <w:ind w:firstLine="1920" w:firstLineChars="600"/>
        <w:rPr>
          <w:rFonts w:ascii="宋体" w:hAnsi="宋体" w:cs="仿宋_GB2312"/>
          <w:color w:val="auto"/>
          <w:sz w:val="32"/>
          <w:szCs w:val="32"/>
          <w:highlight w:val="none"/>
        </w:rPr>
      </w:pPr>
      <w:r>
        <w:rPr>
          <w:rFonts w:hint="eastAsia" w:ascii="宋体" w:hAnsi="宋体" w:cs="仿宋_GB2312"/>
          <w:color w:val="auto"/>
          <w:sz w:val="32"/>
          <w:szCs w:val="32"/>
          <w:highlight w:val="none"/>
        </w:rPr>
        <w:t>供应商</w:t>
      </w:r>
      <w:r>
        <w:rPr>
          <w:rFonts w:ascii="宋体" w:hAnsi="宋体" w:cs="仿宋_GB2312"/>
          <w:color w:val="auto"/>
          <w:sz w:val="32"/>
          <w:szCs w:val="32"/>
          <w:highlight w:val="none"/>
        </w:rPr>
        <w:t>全称：（加盖单位公章）</w:t>
      </w:r>
    </w:p>
    <w:p>
      <w:pPr>
        <w:spacing w:line="480" w:lineRule="auto"/>
        <w:ind w:firstLine="1920" w:firstLineChars="600"/>
        <w:rPr>
          <w:rFonts w:ascii="宋体" w:hAnsi="宋体" w:cs="仿宋_GB2312"/>
          <w:color w:val="auto"/>
          <w:sz w:val="32"/>
          <w:szCs w:val="32"/>
          <w:highlight w:val="none"/>
        </w:rPr>
      </w:pPr>
      <w:r>
        <w:rPr>
          <w:rFonts w:ascii="宋体" w:hAnsi="宋体" w:cs="仿宋_GB2312"/>
          <w:color w:val="auto"/>
          <w:sz w:val="32"/>
          <w:szCs w:val="32"/>
          <w:highlight w:val="none"/>
        </w:rPr>
        <w:t>地址：</w:t>
      </w: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eastAsia" w:ascii="宋体" w:hAnsi="宋体" w:eastAsia="宋体" w:cs="宋体"/>
          <w:color w:val="auto"/>
          <w:szCs w:val="24"/>
          <w:highlight w:val="none"/>
        </w:rPr>
      </w:pPr>
    </w:p>
    <w:p>
      <w:pPr>
        <w:pStyle w:val="2"/>
        <w:rPr>
          <w:rFonts w:hint="eastAsia"/>
          <w:color w:val="auto"/>
          <w:highlight w:val="none"/>
        </w:rPr>
      </w:pPr>
    </w:p>
    <w:p>
      <w:pPr>
        <w:spacing w:line="480" w:lineRule="auto"/>
        <w:jc w:val="left"/>
        <w:rPr>
          <w:rStyle w:val="85"/>
          <w:rFonts w:hint="default" w:ascii="宋体" w:hAnsi="宋体" w:eastAsia="宋体" w:cs="宋体"/>
          <w:color w:val="auto"/>
          <w:szCs w:val="24"/>
          <w:highlight w:val="none"/>
          <w:lang w:val="en-US"/>
        </w:rPr>
      </w:pP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15</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法定代表人授权书</w:t>
      </w:r>
    </w:p>
    <w:p>
      <w:pPr>
        <w:jc w:val="center"/>
        <w:rPr>
          <w:rFonts w:hint="eastAsia" w:ascii="宋体" w:hAnsi="宋体" w:eastAsia="宋体" w:cs="宋体"/>
          <w:bCs/>
          <w:color w:val="auto"/>
          <w:szCs w:val="21"/>
          <w:highlight w:val="none"/>
        </w:rPr>
      </w:pPr>
    </w:p>
    <w:p>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若授权委托人参加开标的，</w:t>
      </w:r>
      <w:r>
        <w:rPr>
          <w:rFonts w:hint="eastAsia" w:ascii="宋体" w:hAnsi="宋体" w:eastAsia="宋体" w:cs="宋体"/>
          <w:bCs/>
          <w:color w:val="auto"/>
          <w:szCs w:val="21"/>
          <w:highlight w:val="none"/>
        </w:rPr>
        <w:t>在开标身份确认时提供一份原件）</w:t>
      </w:r>
    </w:p>
    <w:p>
      <w:pPr>
        <w:jc w:val="center"/>
        <w:rPr>
          <w:rFonts w:hint="eastAsia" w:ascii="宋体" w:hAnsi="宋体" w:eastAsia="宋体" w:cs="宋体"/>
          <w:bCs/>
          <w:color w:val="auto"/>
          <w:szCs w:val="21"/>
          <w:highlight w:val="none"/>
        </w:rPr>
      </w:pPr>
    </w:p>
    <w:p>
      <w:pPr>
        <w:spacing w:line="6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p>
    <w:p>
      <w:pPr>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（供应商全称）法定代表人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（授权代表名称）为授权代表，参加贵单位组织的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（项目名称）政府采购招标，采购编号为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，其在招投标活动中的一切活动本公司均予承认。</w:t>
      </w:r>
    </w:p>
    <w:p>
      <w:pPr>
        <w:spacing w:line="600" w:lineRule="exact"/>
        <w:rPr>
          <w:rFonts w:hint="eastAsia" w:ascii="宋体" w:hAnsi="宋体" w:eastAsia="宋体" w:cs="宋体"/>
          <w:color w:val="auto"/>
          <w:highlight w:val="none"/>
        </w:rPr>
      </w:pPr>
    </w:p>
    <w:p>
      <w:pPr>
        <w:spacing w:line="600" w:lineRule="exact"/>
        <w:rPr>
          <w:rFonts w:hint="eastAsia" w:ascii="宋体" w:hAnsi="宋体" w:eastAsia="宋体" w:cs="宋体"/>
          <w:color w:val="auto"/>
          <w:highlight w:val="none"/>
        </w:rPr>
      </w:pPr>
    </w:p>
    <w:p>
      <w:pPr>
        <w:adjustRightInd w:val="0"/>
        <w:snapToGrid w:val="0"/>
        <w:spacing w:after="120" w:afterLines="50"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供应商名称（公章）：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spacing w:line="400" w:lineRule="exact"/>
        <w:rPr>
          <w:rFonts w:hint="eastAsia" w:ascii="宋体" w:hAnsi="宋体" w:eastAsia="宋体" w:cs="宋体"/>
          <w:color w:val="auto"/>
          <w:spacing w:val="2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20"/>
          <w:highlight w:val="none"/>
        </w:rPr>
        <w:t xml:space="preserve">    </w:t>
      </w:r>
    </w:p>
    <w:p>
      <w:pPr>
        <w:spacing w:line="56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日 期：        年    月    日</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00" w:lineRule="exact"/>
        <w:rPr>
          <w:rFonts w:hint="eastAsia" w:ascii="宋体" w:hAnsi="宋体" w:eastAsia="宋体" w:cs="宋体"/>
          <w:color w:val="auto"/>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pPr>
        <w:spacing w:line="48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授权代表姓名：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详细通讯地址：</w:t>
      </w:r>
      <w:r>
        <w:rPr>
          <w:rFonts w:hint="eastAsia" w:ascii="宋体" w:hAnsi="宋体" w:eastAsia="宋体" w:cs="宋体"/>
          <w:color w:val="auto"/>
          <w:highlight w:val="none"/>
          <w:u w:val="single"/>
        </w:rPr>
        <w:t xml:space="preserve">                     </w:t>
      </w:r>
    </w:p>
    <w:p>
      <w:pPr>
        <w:spacing w:line="48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邮编：</w:t>
      </w:r>
      <w:r>
        <w:rPr>
          <w:rFonts w:hint="eastAsia" w:ascii="宋体" w:hAnsi="宋体" w:eastAsia="宋体" w:cs="宋体"/>
          <w:color w:val="auto"/>
          <w:highlight w:val="none"/>
          <w:u w:val="single"/>
        </w:rPr>
        <w:t xml:space="preserve">          </w:t>
      </w:r>
    </w:p>
    <w:p>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后附：授权代表身份证复印件加盖供应商公章</w:t>
      </w:r>
      <w:r>
        <w:rPr>
          <w:rFonts w:hint="eastAsia" w:ascii="宋体" w:hAnsi="宋体" w:eastAsia="宋体" w:cs="宋体"/>
          <w:color w:val="auto"/>
          <w:szCs w:val="21"/>
          <w:highlight w:val="none"/>
          <w:lang w:eastAsia="zh-CN" w:bidi="ar"/>
        </w:rPr>
        <w:t>。</w:t>
      </w:r>
    </w:p>
    <w:p>
      <w:pPr>
        <w:spacing w:line="480" w:lineRule="auto"/>
        <w:jc w:val="left"/>
        <w:rPr>
          <w:rFonts w:hint="eastAsia" w:ascii="宋体" w:hAnsi="宋体" w:eastAsia="宋体" w:cs="宋体"/>
          <w:b/>
          <w:bCs/>
          <w:color w:val="auto"/>
          <w:highlight w:val="none"/>
        </w:rPr>
      </w:pPr>
    </w:p>
    <w:p>
      <w:pPr>
        <w:spacing w:line="480" w:lineRule="auto"/>
        <w:jc w:val="left"/>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pStyle w:val="2"/>
        <w:rPr>
          <w:rStyle w:val="85"/>
          <w:rFonts w:hint="eastAsia" w:ascii="宋体" w:hAnsi="宋体" w:eastAsia="宋体" w:cs="宋体"/>
          <w:color w:val="auto"/>
          <w:sz w:val="30"/>
          <w:szCs w:val="30"/>
          <w:highlight w:val="none"/>
        </w:rPr>
      </w:pPr>
    </w:p>
    <w:p>
      <w:pPr>
        <w:spacing w:line="480" w:lineRule="auto"/>
        <w:jc w:val="left"/>
        <w:rPr>
          <w:rStyle w:val="85"/>
          <w:rFonts w:hint="eastAsia" w:ascii="宋体" w:hAnsi="宋体" w:eastAsia="宋体" w:cs="宋体"/>
          <w:color w:val="auto"/>
          <w:szCs w:val="24"/>
          <w:highlight w:val="none"/>
        </w:rPr>
      </w:pPr>
    </w:p>
    <w:p>
      <w:pPr>
        <w:spacing w:line="480" w:lineRule="auto"/>
        <w:jc w:val="left"/>
        <w:rPr>
          <w:rStyle w:val="85"/>
          <w:rFonts w:hint="default" w:ascii="宋体" w:hAnsi="宋体" w:eastAsia="宋体" w:cs="宋体"/>
          <w:color w:val="auto"/>
          <w:szCs w:val="24"/>
          <w:highlight w:val="none"/>
          <w:lang w:val="en-US"/>
        </w:rPr>
      </w:pPr>
      <w:r>
        <w:rPr>
          <w:rStyle w:val="85"/>
          <w:rFonts w:hint="eastAsia" w:ascii="宋体" w:hAnsi="宋体" w:eastAsia="宋体" w:cs="宋体"/>
          <w:color w:val="auto"/>
          <w:szCs w:val="24"/>
          <w:highlight w:val="none"/>
        </w:rPr>
        <w:t>附件</w:t>
      </w:r>
      <w:r>
        <w:rPr>
          <w:rStyle w:val="85"/>
          <w:rFonts w:hint="eastAsia" w:ascii="宋体" w:hAnsi="宋体" w:eastAsia="宋体" w:cs="宋体"/>
          <w:color w:val="auto"/>
          <w:szCs w:val="24"/>
          <w:highlight w:val="none"/>
          <w:lang w:val="en-US"/>
        </w:rPr>
        <w:t>16</w:t>
      </w:r>
    </w:p>
    <w:p>
      <w:pPr>
        <w:pStyle w:val="15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政府采购活动现场确认声明书</w:t>
      </w:r>
    </w:p>
    <w:p>
      <w:pPr>
        <w:adjustRightInd w:val="0"/>
        <w:snapToGrid w:val="0"/>
        <w:spacing w:line="700" w:lineRule="exact"/>
        <w:rPr>
          <w:rFonts w:hint="eastAsia" w:ascii="宋体" w:hAnsi="宋体" w:eastAsia="宋体" w:cs="宋体"/>
          <w:b/>
          <w:color w:val="auto"/>
          <w:szCs w:val="21"/>
          <w:highlight w:val="none"/>
        </w:rPr>
      </w:pP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150"/>
        <w:snapToGrid w:val="0"/>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kern w:val="0"/>
          <w:szCs w:val="21"/>
          <w:highlight w:val="none"/>
          <w:u w:val="single"/>
        </w:rPr>
        <w:t xml:space="preserve">（供应商名称）  </w:t>
      </w:r>
      <w:r>
        <w:rPr>
          <w:rFonts w:hint="eastAsia" w:ascii="宋体" w:hAnsi="宋体" w:eastAsia="宋体" w:cs="宋体"/>
          <w:color w:val="auto"/>
          <w:spacing w:val="6"/>
          <w:szCs w:val="21"/>
          <w:highlight w:val="none"/>
        </w:rPr>
        <w:t>法人代表（负责人）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项目（采购编号：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）政府采购活动，经与本单位法人代表（负责人）联系确认，现就有关公平竞争事项郑重声明如下：</w:t>
      </w:r>
    </w:p>
    <w:p>
      <w:pPr>
        <w:pStyle w:val="134"/>
        <w:widowControl/>
        <w:numPr>
          <w:ilvl w:val="0"/>
          <w:numId w:val="22"/>
        </w:numPr>
        <w:snapToGrid w:val="0"/>
        <w:spacing w:line="40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134"/>
        <w:widowControl/>
        <w:snapToGrid w:val="0"/>
        <w:spacing w:line="400" w:lineRule="exact"/>
        <w:ind w:left="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pPr>
        <w:pStyle w:val="134"/>
        <w:widowControl/>
        <w:snapToGrid w:val="0"/>
        <w:spacing w:line="400" w:lineRule="exact"/>
        <w:ind w:left="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134"/>
        <w:widowControl/>
        <w:snapToGrid w:val="0"/>
        <w:spacing w:line="400" w:lineRule="exact"/>
        <w:ind w:firstLine="444"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B.法定代表人或负责人或实际控制人是夫妻关系</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C.法定代表人或负责人或实际控制人是直系血亲关系</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pPr>
        <w:pStyle w:val="134"/>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H.存在分级代理或代销关系、同一生产制造商关系、管理关系、重要业务（占主营业务收入50%以上）或重要财务往来关系（如融资）等其他实质性控制关系</w:t>
      </w:r>
    </w:p>
    <w:p>
      <w:pPr>
        <w:pStyle w:val="134"/>
        <w:widowControl/>
        <w:snapToGrid w:val="0"/>
        <w:spacing w:line="400" w:lineRule="exact"/>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pStyle w:val="134"/>
        <w:widowControl/>
        <w:numPr>
          <w:ilvl w:val="0"/>
          <w:numId w:val="23"/>
        </w:numPr>
        <w:snapToGrid w:val="0"/>
        <w:spacing w:line="40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134"/>
        <w:widowControl/>
        <w:numPr>
          <w:ilvl w:val="0"/>
          <w:numId w:val="23"/>
        </w:numPr>
        <w:snapToGrid w:val="0"/>
        <w:spacing w:line="40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150"/>
        <w:snapToGrid w:val="0"/>
        <w:spacing w:line="400" w:lineRule="exact"/>
        <w:ind w:firstLine="420" w:firstLineChars="200"/>
        <w:rPr>
          <w:rFonts w:hint="eastAsia" w:ascii="宋体" w:hAnsi="宋体" w:eastAsia="宋体" w:cs="宋体"/>
          <w:color w:val="auto"/>
          <w:szCs w:val="21"/>
          <w:highlight w:val="none"/>
        </w:rPr>
      </w:pPr>
    </w:p>
    <w:p>
      <w:pPr>
        <w:pStyle w:val="150"/>
        <w:snapToGrid w:val="0"/>
        <w:spacing w:line="400" w:lineRule="exact"/>
        <w:ind w:firstLine="1365" w:firstLineChars="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pPr>
        <w:spacing w:line="400" w:lineRule="exact"/>
        <w:ind w:firstLine="1318" w:firstLineChars="62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500" w:lineRule="exact"/>
        <w:rPr>
          <w:rFonts w:hint="eastAsia" w:ascii="宋体" w:hAnsi="宋体" w:eastAsia="宋体" w:cs="宋体"/>
          <w:b/>
          <w:color w:val="auto"/>
          <w:highlight w:val="none"/>
        </w:rPr>
      </w:pPr>
      <w:r>
        <w:rPr>
          <w:rFonts w:hint="eastAsia" w:ascii="宋体" w:hAnsi="宋体" w:eastAsia="宋体" w:cs="宋体"/>
          <w:b/>
          <w:color w:val="auto"/>
          <w:highlight w:val="none"/>
        </w:rPr>
        <w:t>注：1、本表非投标文件的组成内容，不须在投标文件中提供。</w:t>
      </w:r>
    </w:p>
    <w:p>
      <w:pPr>
        <w:numPr>
          <w:ilvl w:val="0"/>
          <w:numId w:val="24"/>
        </w:numPr>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highlight w:val="none"/>
        </w:rPr>
        <w:t>本表在开标现场由代理机构提供给各供应商，由各供应商签署。</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sectPr>
      <w:pgSz w:w="11907" w:h="16840"/>
      <w:pgMar w:top="1077" w:right="1134" w:bottom="1077" w:left="1134" w:header="284" w:footer="992"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2010601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w:t>
    </w:r>
    <w:r>
      <w:fldChar w:fldCharType="end"/>
    </w: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229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48</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229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BQlc1g7wEAAMoDAAAOAAAAZHJzL2Uyb0RvYy54bWytU82O0zAQ viPxDtbcaZr+QDdqugKqRUgIkBYewHWcxpL/ZLtNygPAG3Disneeq8/B2Em6q93LHrgkY8/MN/N9 M15fd0qSI3deGF1CPpkC4ZqZSuh9Cd+/3bxaAfGB6opKo3kJJ+7hevPyxbq1BZ+ZxsiKO4Ig2het LaEJwRZZ5lnDFfUTY7lGZ22cogGPbp9VjraIrmQ2m05fZ61xlXWGce/xdts7YUB0zwE0dS0Y3xp2 UFyHHtVxSQNS8o2wHjap27rmLHypa88DkSUg05C+WATtXfxmmzUt9o7aRrChBfqcFh5xUlRoLHqB 2tJAycGJJ1BKMGe8qcOEGZX1RJIiyCKfPtLmtqGWJy4otbcX0f3/g2Wfj18dEVUJcyCaKhz4+fev 85+/57ufJJ/NrlZRotb6AiNvLcaG7p3pcHHGe4+XkXlXOxX/yImgHwU+XQTmXSAsJuWLq/kSCENX Ps8Xi2VEye6TrfPhAzeKRKMEh/NLstLjJx/60DEk1tLmRkiZZig1aRF0uXqzTBkXF6JLjUUih77X aIVu1w3EdqY6IS98ElixMe4HkBYXogSN+w9EftSod9yd0XCjsRsNqhkmlhCA9Ob70O/YwTqxb9LW xX69fXsI2HOiEtvoaw/d4YiTGMM6xh16eE5R909w8w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A DMeA1AAAAAMBAAAPAAAAAAAAAAEAIAAAACIAAABkcnMvZG93bnJldi54bWxQSwECFAAUAAAACACH TuJAUJXNYO8BAADKAwAADgAAAAAAAAABACAAAAAjAQAAZHJzL2Uyb0RvYy54bWxQSwUGAAAAAAYA BgBZAQAAhA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48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30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vDun3qAQAAzAMAAA4AAABkcnMvZTJvRG9jLnhtbK1TwY7TMBC9 I/EPlu80aWGXKGq6AqpFSAiQFj7AdezGku2xbLdJ+QD4A05cuPNd/Q7GTtJFy2UPXJKxZ+bNvDfj 9c1gNDkKHxTYhi4XJSXCcmiV3Tf0y+fbZxUlITLbMg1WNPQkAr3ZPH2y7l0tVtCBboUnCGJD3buG djG6uigC74RhYQFOWHRK8IZFPPp90XrWI7rRxaosr4sefOs8cBEC3m5HJ50Q/WMAQUrFxRb4wQgb R1QvNItIKXTKBbrJ3UopePwoZRCR6IYi05i/WATtXfoWmzWr9565TvGpBfaYFh5wMkxZLHqB2rLI yMGrf6CM4h4CyLjgYIqRSFYEWSzLB9rcdcyJzAWlDu4ievh/sPzD8ZMnqm3oNSWWGRz4+cf388/f 51/fyHL1vHyRJOpdqDHyzmFsHF7DgIsz3we8TMwH6U36IyeCfhT4dBFYDJHwlFStqqpEF0fffED8 4j7d+RDfCjAkGQ31OMEsLDu+D3EMnUNSNQu3Sus8RW1Jj6hX1curnHFxIbq2WCSxGLtNVhx2w0Rt B+0JmeGjwIod+K+U9LgSDbX4AijR7ywqnrZnNvxs7GaDWY6JDY2UjOabOG7ZwXm17/LepX6De3WI 2HOmktoYa0/d4ZCzGNNCpi36+5yj7h/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BoaYJL0wAA AAUBAAAPAAAAAAAAAAEAIAAAACIAAABkcnMvZG93bnJldi54bWxQSwECFAAUAAAACACHTuJAq8O6 feoBAADMAwAADgAAAAAAAAABACAAAAAiAQAAZHJzL2Uyb0RvYy54bWxQSwUGAAAAAAYABgBZAQAA fgUAAAAA ">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230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6FdQrrAQAAzAMAAA4AAABkcnMvZTJvRG9jLnhtbK1TwW7bMAy9 D+g/CLo3dlJkNYw4RbegxYBhG9DtAxRZjgVIoiApsbMP2P5gp11233flO0rJdjp0lx56sSmRfOR7 pFY3vVbkIJyXYCo6n+WUCMOhlmZX0W9f7y4LSnxgpmYKjKjoUXh6s754s+psKRbQgqqFIwhifNnZ irYh2DLLPG+FZn4GVhh0NuA0C3h0u6x2rEN0rbJFnr/NOnC1dcCF93i7GZx0RHQvAYSmkVxsgO+1 MGFAdUKxgJR8K62n69Rt0wgePjeNF4GoiiLTkL5YBO1t/GbrFSt3jtlW8rEF9pIWnnHSTBoseoba sMDI3sn/oLTkDjw0YcZBZwORpAiymOfPtHlomRWJC0rt7Vl0/3qw/NPhiyOyrug1JYZpHPjp18/T 77+nPz/IfHGVL6NEnfUlRj5YjA39O+hxcaZ7j5eRed84Hf/IiaAfBT6eBRZ9IDwmFYuiyNHF0Tcd ED97SrfOh3sBmkSjog4nmIRlh48+DKFTSKxm4E4qlaaoDOkQdVlcL1PG2YXoymCRyGLoNlqh3/Yj tS3UR2SGjwIrtuC+U9LhSlTU4AugRH0wqHjcnslwk7GdDGY4JlY0UDKY78OwZXvr5K5Nexf79fZ2 H7DnRCW2MdQeu8MhJzHGhYxb9O85RT09wvUj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aGmCS9MA AAAFAQAADwAAAAAAAAABACAAAAAiAAAAZHJzL2Rvd25yZXYueG1sUEsBAhQAFAAAAAgAh07iQM6F dQrrAQAAzAMAAA4AAAAAAAAAAQAgAAAAIgEAAGRycy9lMm9Eb2MueG1sUEsFBgAAAAAGAAYAWQEA AH8FAAAAAA== ">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229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22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D/kauF7wEAAMoDAAAOAAAAZHJzL2Uyb0RvYy54bWytU82O0zAQ viPxDpbvNE22ZXejpiugWoSEAGnZB3Adp7HkP9nTJuUB4A04ceHOc/U5GDtJd7Vc9sAlGXtmvpnv m/HqpteKHIQP0pqK5rM5JcJwW0uzq+j919tXV5QEYKZmyhpR0aMI9Gb98sWqc6UobGtVLTxBEBPK zlW0BXBllgXeCs3CzDph0NlYrxng0e+y2rMO0bXKivn8ddZZXztvuQgBbzeDk46I/jmAtmkkFxvL 91oYGFC9UAyQUmilC3Sdum0aweFz0wQBRFUUmUL6YhG0t/GbrVes3HnmWsnHFthzWnjCSTNpsOgZ asOAkb2X/0Bpyb0NtoEZtzobiCRFkEU+f6LNXcucSFxQ6uDOoof/B8s/Hb54IuuKFpQYpnHgp58/ Tr/+nH5/J3lRXF9GiToXSoy8cxgL/Vvb4+JM9wEvI/O+8Tr+kRNBPwp8PAsseiA8JuWL64slJRxd +UW+WCwjSvaQ7HyA98JqEo2KepxfkpUdPgYYQqeQWMvYW6lUmqEypEPQ5dXlMmWcXYiuDBaJHIZe owX9th+JbW19RF74JLBia/03SjpciIoa3H9K1AeDesfdmQw/GdvJYIZjYkWBksF8B8OO7Z2XuzZt Xew3uDd7wJ4TldjGUHvsDkecxBjXMe7Q43OKeniC67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A DMeA1AAAAAMBAAAPAAAAAAAAAAEAIAAAACIAAABkcnMvZG93bnJldi54bWxQSwECFAAUAAAACACH TuJA/5Grhe8BAADKAwAADgAAAAAAAAABACAAAAAjAQAAZHJzL2Uyb0RvYy54bWxQSwUGAAAAAAYA BgBZAQAAhA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ZG/Ys4AgAAbwQAAA4AAABkcnMvZTJvRG9jLnhtbK1UzY7TMBC+I/EO lu80aYFVVTVdla2KkCp2pQVxdh2nieQ/2W6T8gDwBpy4cN/n6nPw2Wm6aOGwBy7p2DP+Zr5vZjq/ 7pQkB+F8Y3RBx6OcEqG5KRu9K+jnT+tXU0p8YLpk0mhR0KPw9Hrx8sW8tTMxMbWRpXAEINrPWlvQ OgQ7yzLPa6GYHxkrNJyVcYoFHN0uKx1rga5kNsnzq6w1rrTOcOE9ble9k54R3XMATVU1XKwM3yuh Q4/qhGQBlHzdWE8XqdqqEjzcVpUXgciCgmlIXySBvY3fbDFns51jtm74uQT2nBKecFKs0Uh6gVqx wMjeNX9BqYY7400VRtyorCeSFAGLcf5Em/uaWZG4QGpvL6L7/wfLPx7uHGnKgr6hRDOFhp9+fD/9 fDj9+kbGUZ7W+hmi7i3iQvfOdBia4d7jMrLuKqfiL/gQ+CHu8SKu6ALh8dF0Mp3mcHH4hgPws8fn 1vnwXhhFolFQh+4lUdlh40MfOoTEbNqsGylTB6UmbUGvXr/N04OLB+BSx1iRZuEMEyn1pUcrdNvu zHNryiNoOtPPibd83aCUDfPhjjkMBsrH6oRbfCppkNKcLUpq477+6z7Go1/wUtJi0AqqsVeUyA8a fQRgGAw3GNvB0Ht1YzC5Y6yk5cnEAxfkYFbOqC/Yp2XMARfTHJkKGgbzJvTDjn3kYrlMQXvrml3d P8AUWhY2+t7ymCZK5e1yHyBtUjwK1KuCTsUD5jD17LwzcdD/PKeox/+JxW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dkb9izgCAABvBAAADgAAAAAAAAABACAAAAAfAQAAZHJzL2Uyb0RvYy54 bWxQSwUGAAAAAAYABgBZAQAAyQUAAAAA ">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1230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230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Bn4M3N7gEAAMoDAAAOAAAAZHJzL2Uyb0RvYy54bWytU82O0zAQ viPxDpbvNEl/liVqugKqRUgIkBYewHWcxpL/NHablAeAN+DEZe88V5+DsZN00XLZA5dk7Jn5Zr5v xuubXityFOClNRUtZjklwnBbS7Ov6Ncvty+uKfGBmZopa0RFT8LTm83zZ+vOlWJuW6tqAQRBjC87 V9E2BFdmmeet0MzPrBMGnY0FzQIeYZ/VwDpE1yqb5/lV1lmoHVguvMfb7eCkIyI8BdA2jeRia/lB CxMGVBCKBaTkW+k83aRum0bw8KlpvAhEVRSZhvTFImjv4jfbrFm5B+ZayccW2FNaeMRJM2mw6AVq ywIjB5D/QGnJwXrbhBm3OhuIJEWQRZE/0uauZU4kLii1dxfR/f+D5R+Pn4HIuqI4dsM0Dvz888f5 1+/z/XdSzBf5VZSoc77EyDuHsaF/Y3tcnOne42Vk3jeg4x85EfSjwKeLwKIPhMekYvlqsaKEo6tY FMvlKqJkD8kOfHgnrCbRqCjg/JKs7PjBhyF0Com1jL2VSqUZKkM6BF1dv1yljIsL0ZXBIpHD0Gu0 Qr/rR2I7W5+QFz4JrNha+EZJhwtRUYP7T4l6b1DvuDuTAZOxmwxmOCZWNFAymG/DsGMHB3Lfpq2L /Xr3+hCw50QltjHUHrvDEScxxnWMO/T3OUU9PMHNH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EAM x4DUAAAAAwEAAA8AAAAAAAAAAQAgAAAAIgAAAGRycy9kb3ducmV2LnhtbFBLAQIUABQAAAAIAIdO 4kBn4M3N7gEAAMoDAAAOAAAAAAAAAAEAIAAAACMBAABkcnMvZTJvRG9jLnhtbFBLBQYAAAAABgAG AFkBAACD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30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iurevqAQAAzAMAAA4AAABkcnMvZTJvRG9jLnhtbK1TzY7TMBC+ I/EOlu80adGyIWq6AqpFSAiQFh7AdezGkv/kcZuUB4A34MSFO8/V52DsJF20XPbAJRl7Zr6Z75vx +mYwmhxFAOVsQ5eLkhJhuWuV3Tf0y+fbZxUlEJltmXZWNPQkgN5snj5Z974WK9c53YpAEMRC3fuG djH6uiiAd8IwWDgvLDqlC4ZFPIZ90QbWI7rRxaosXxS9C60PjgsAvN2OTjohhscAOikVF1vHD0bY OKIGoVlEStApD3STu5VS8PhRShCR6IYi05i/WATtXfoWmzWr94H5TvGpBfaYFh5wMkxZLHqB2rLI yCGof6CM4sGBk3HBnSlGIlkRZLEsH2hz1zEvMheUGvxFdPh/sPzD8VMgqm3oS0osMzjw84/v55+/ z7++keXqeXmdJOo91Bh55zE2Dq/dgIsz3wNeJuaDDCb9kRNBPwp8uggshkh4SqpWVVWii6NvPiB+ cZ/uA8S3whmSjIYGnGAWlh3fQxxD55BUzbpbpXWeorakR9Sr6voqZ1xciK4tFkksxm6TFYfdMFHb ufaEzPBRYMXOha+U9LgSDbX4AijR7ywqnrZnNsJs7GaDWY6JDY2UjOabOG7ZwQe17/LepX7BvzpE 7DlTSW2MtafucMhZjGkh0xb9fc5R949w8wd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BoaYJL0wAA AAUBAAAPAAAAAAAAAAEAIAAAACIAAABkcnMvZG93bnJldi54bWxQSwECFAAUAAAACACHTuJAOK6t 6+oBAADMAwAADgAAAAAAAAABACAAAAAiAQAAZHJzL2Uyb0RvYy54bWxQSwUGAAAAAAYABgBZAQAA fgUAAAAA ">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332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332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ATMQ397wEAAMoDAAAOAAAAZHJzL2Uyb0RvYy54bWytU0tu2zAQ 3RfoHQjua1n+tIlgOWhipChQNAXSHICmKIsAfyDHltwDtDfoqpvuey6fI0NKcop0k0U30pAz82be m+HqqtOKHIQP0pqS5pMpJcJwW0mzK+nD19s3F5QEYKZiyhpR0qMI9Gr9+tWqdYWY2caqSniCICYU rStpA+CKLAu8EZqFiXXCoLO2XjPAo99llWctomuVzabTt1lrfeW85SIEvN30Tjog+pcA2rqWXGws 32thoEf1QjFASqGRLtB16rauBYe7ug4CiCopMoX0xSJob+M3W69YsfPMNZIPLbCXtPCMk2bSYNEz 1IYBI3sv/4HSknsbbA0TbnXWE0mKIIt8+kyb+4Y5kbig1MGdRQ//D5Z/PnzxRFYlXVJimMaBn37+ OP36c/r9neTz+WwWJWpdKDDy3mEsdNe2w8UZ7wNeRuZd7XX8IyeCfhT4eBZYdEB4TMoXl3MsxNGV z/PFYhlRsqdk5wN8EFaTaJTU4/ySrOzwKUAfOobEWsbeSqXSDJUhLYIuL94tU8bZhejKYJHIoe81 WtBtu4HY1lZH5IVPAis21n+jpMWFKKnB/adEfTSod9yd0fCjsR0NZjgmlhQo6c0b6Hds77zcNWnr Yr/Bvd8D9pyoxDb62kN3OOIkxrCOcYf+Pqeopye4fgR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A DMeA1AAAAAMBAAAPAAAAAAAAAAEAIAAAACIAAABkcnMvZG93bnJldi54bWxQSwECFAAUAAAACACH TuJAEzEN/e8BAADKAwAADgAAAAAAAAABACAAAAAjAQAAZHJzL2Uyb0RvYy54bWxQSwUGAAAAAAYA BgBZAQAAhA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13CB9"/>
    <w:multiLevelType w:val="singleLevel"/>
    <w:tmpl w:val="80513CB9"/>
    <w:lvl w:ilvl="0" w:tentative="0">
      <w:start w:val="1"/>
      <w:numFmt w:val="decimal"/>
      <w:suff w:val="nothing"/>
      <w:lvlText w:val="（%1）"/>
      <w:lvlJc w:val="left"/>
      <w:pPr>
        <w:ind w:left="480" w:firstLine="0"/>
      </w:pPr>
    </w:lvl>
  </w:abstractNum>
  <w:abstractNum w:abstractNumId="1">
    <w:nsid w:val="A74C0C69"/>
    <w:multiLevelType w:val="singleLevel"/>
    <w:tmpl w:val="A74C0C69"/>
    <w:lvl w:ilvl="0" w:tentative="0">
      <w:start w:val="5"/>
      <w:numFmt w:val="decimal"/>
      <w:suff w:val="nothing"/>
      <w:lvlText w:val="（%1）"/>
      <w:lvlJc w:val="left"/>
    </w:lvl>
  </w:abstractNum>
  <w:abstractNum w:abstractNumId="2">
    <w:nsid w:val="BB105C2C"/>
    <w:multiLevelType w:val="singleLevel"/>
    <w:tmpl w:val="BB105C2C"/>
    <w:lvl w:ilvl="0" w:tentative="0">
      <w:start w:val="1"/>
      <w:numFmt w:val="chineseCounting"/>
      <w:suff w:val="nothing"/>
      <w:lvlText w:val="%1、"/>
      <w:lvlJc w:val="left"/>
      <w:rPr>
        <w:rFonts w:hint="eastAsia"/>
      </w:rPr>
    </w:lvl>
  </w:abstractNum>
  <w:abstractNum w:abstractNumId="3">
    <w:nsid w:val="C59A5F69"/>
    <w:multiLevelType w:val="singleLevel"/>
    <w:tmpl w:val="C59A5F69"/>
    <w:lvl w:ilvl="0" w:tentative="0">
      <w:start w:val="2"/>
      <w:numFmt w:val="decimal"/>
      <w:suff w:val="nothing"/>
      <w:lvlText w:val="%1、"/>
      <w:lvlJc w:val="left"/>
      <w:pPr>
        <w:ind w:left="208"/>
      </w:pPr>
    </w:lvl>
  </w:abstractNum>
  <w:abstractNum w:abstractNumId="4">
    <w:nsid w:val="D0CF9567"/>
    <w:multiLevelType w:val="singleLevel"/>
    <w:tmpl w:val="D0CF9567"/>
    <w:lvl w:ilvl="0" w:tentative="0">
      <w:start w:val="1"/>
      <w:numFmt w:val="decimal"/>
      <w:suff w:val="nothing"/>
      <w:lvlText w:val="%1、"/>
      <w:lvlJc w:val="left"/>
    </w:lvl>
  </w:abstractNum>
  <w:abstractNum w:abstractNumId="5">
    <w:nsid w:val="E98CAAAB"/>
    <w:multiLevelType w:val="singleLevel"/>
    <w:tmpl w:val="E98CAAAB"/>
    <w:lvl w:ilvl="0" w:tentative="0">
      <w:start w:val="2"/>
      <w:numFmt w:val="chineseCounting"/>
      <w:suff w:val="nothing"/>
      <w:lvlText w:val="（%1）"/>
      <w:lvlJc w:val="left"/>
      <w:rPr>
        <w:rFonts w:hint="eastAsia"/>
      </w:rPr>
    </w:lvl>
  </w:abstractNum>
  <w:abstractNum w:abstractNumId="6">
    <w:nsid w:val="F2F1E026"/>
    <w:multiLevelType w:val="singleLevel"/>
    <w:tmpl w:val="F2F1E026"/>
    <w:lvl w:ilvl="0" w:tentative="0">
      <w:start w:val="5"/>
      <w:numFmt w:val="chineseCounting"/>
      <w:suff w:val="space"/>
      <w:lvlText w:val="第%1章"/>
      <w:lvlJc w:val="left"/>
      <w:rPr>
        <w:rFonts w:hint="eastAsia"/>
      </w:rPr>
    </w:lvl>
  </w:abstractNum>
  <w:abstractNum w:abstractNumId="7">
    <w:nsid w:val="FCADFDF9"/>
    <w:multiLevelType w:val="singleLevel"/>
    <w:tmpl w:val="FCADFDF9"/>
    <w:lvl w:ilvl="0" w:tentative="0">
      <w:start w:val="1"/>
      <w:numFmt w:val="decimal"/>
      <w:suff w:val="nothing"/>
      <w:lvlText w:val="%1、"/>
      <w:lvlJc w:val="left"/>
    </w:lvl>
  </w:abstractNum>
  <w:abstractNum w:abstractNumId="8">
    <w:nsid w:val="0000000A"/>
    <w:multiLevelType w:val="multilevel"/>
    <w:tmpl w:val="0000000A"/>
    <w:lvl w:ilvl="0" w:tentative="0">
      <w:start w:val="1"/>
      <w:numFmt w:val="decimal"/>
      <w:pStyle w:val="21"/>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5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9">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10">
    <w:nsid w:val="0000000C"/>
    <w:multiLevelType w:val="singleLevel"/>
    <w:tmpl w:val="0000000C"/>
    <w:lvl w:ilvl="0" w:tentative="0">
      <w:start w:val="1"/>
      <w:numFmt w:val="decimal"/>
      <w:pStyle w:val="149"/>
      <w:lvlText w:val="(%1)"/>
      <w:lvlJc w:val="left"/>
      <w:pPr>
        <w:tabs>
          <w:tab w:val="left" w:pos="700"/>
        </w:tabs>
        <w:ind w:left="0" w:firstLine="340"/>
      </w:pPr>
      <w:rPr>
        <w:rFonts w:hint="eastAsia"/>
      </w:rPr>
    </w:lvl>
  </w:abstractNum>
  <w:abstractNum w:abstractNumId="11">
    <w:nsid w:val="0000000D"/>
    <w:multiLevelType w:val="multilevel"/>
    <w:tmpl w:val="0000000D"/>
    <w:lvl w:ilvl="0" w:tentative="0">
      <w:start w:val="5"/>
      <w:numFmt w:val="decimal"/>
      <w:pStyle w:val="164"/>
      <w:lvlText w:val="（%1）"/>
      <w:lvlJc w:val="left"/>
      <w:pPr>
        <w:tabs>
          <w:tab w:val="left" w:pos="1200"/>
        </w:tabs>
        <w:ind w:left="1200" w:hanging="720"/>
      </w:pPr>
      <w:rPr>
        <w:rFonts w:hint="default" w:ascii="宋体" w:eastAsia="宋体"/>
      </w:rPr>
    </w:lvl>
    <w:lvl w:ilvl="1" w:tentative="0">
      <w:start w:val="1"/>
      <w:numFmt w:val="lowerLetter"/>
      <w:pStyle w:val="142"/>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3E64578E"/>
    <w:multiLevelType w:val="singleLevel"/>
    <w:tmpl w:val="3E64578E"/>
    <w:lvl w:ilvl="0" w:tentative="0">
      <w:start w:val="1"/>
      <w:numFmt w:val="decimal"/>
      <w:suff w:val="nothing"/>
      <w:lvlText w:val="%1、"/>
      <w:lvlJc w:val="left"/>
    </w:lvl>
  </w:abstractNum>
  <w:abstractNum w:abstractNumId="13">
    <w:nsid w:val="41633F37"/>
    <w:multiLevelType w:val="singleLevel"/>
    <w:tmpl w:val="41633F37"/>
    <w:lvl w:ilvl="0" w:tentative="0">
      <w:start w:val="1"/>
      <w:numFmt w:val="chineseCounting"/>
      <w:suff w:val="nothing"/>
      <w:lvlText w:val="（%1）"/>
      <w:lvlJc w:val="left"/>
      <w:rPr>
        <w:rFonts w:hint="eastAsia"/>
      </w:rPr>
    </w:lvl>
  </w:abstractNum>
  <w:abstractNum w:abstractNumId="14">
    <w:nsid w:val="43DF9532"/>
    <w:multiLevelType w:val="singleLevel"/>
    <w:tmpl w:val="43DF9532"/>
    <w:lvl w:ilvl="0" w:tentative="0">
      <w:start w:val="5"/>
      <w:numFmt w:val="decimal"/>
      <w:suff w:val="nothing"/>
      <w:lvlText w:val="%1、"/>
      <w:lvlJc w:val="left"/>
    </w:lvl>
  </w:abstractNum>
  <w:abstractNum w:abstractNumId="15">
    <w:nsid w:val="49A81CD7"/>
    <w:multiLevelType w:val="singleLevel"/>
    <w:tmpl w:val="49A81CD7"/>
    <w:lvl w:ilvl="0" w:tentative="0">
      <w:start w:val="1"/>
      <w:numFmt w:val="decimal"/>
      <w:suff w:val="nothing"/>
      <w:lvlText w:val="%1、"/>
      <w:lvlJc w:val="left"/>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70459A6"/>
    <w:multiLevelType w:val="singleLevel"/>
    <w:tmpl w:val="570459A6"/>
    <w:lvl w:ilvl="0" w:tentative="0">
      <w:start w:val="2"/>
      <w:numFmt w:val="decimal"/>
      <w:suff w:val="nothing"/>
      <w:lvlText w:val="%1、"/>
      <w:lvlJc w:val="left"/>
    </w:lvl>
  </w:abstractNum>
  <w:abstractNum w:abstractNumId="19">
    <w:nsid w:val="59ACBEE7"/>
    <w:multiLevelType w:val="singleLevel"/>
    <w:tmpl w:val="59ACBEE7"/>
    <w:lvl w:ilvl="0" w:tentative="0">
      <w:start w:val="1"/>
      <w:numFmt w:val="decimal"/>
      <w:suff w:val="nothing"/>
      <w:lvlText w:val="%1、"/>
      <w:lvlJc w:val="left"/>
      <w:rPr>
        <w:rFonts w:cs="Times New Roman"/>
      </w:rPr>
    </w:lvl>
  </w:abstractNum>
  <w:abstractNum w:abstractNumId="20">
    <w:nsid w:val="5B4DA1BC"/>
    <w:multiLevelType w:val="singleLevel"/>
    <w:tmpl w:val="5B4DA1BC"/>
    <w:lvl w:ilvl="0" w:tentative="0">
      <w:start w:val="2"/>
      <w:numFmt w:val="decimal"/>
      <w:suff w:val="nothing"/>
      <w:lvlText w:val="%1、"/>
      <w:lvlJc w:val="left"/>
    </w:lvl>
  </w:abstractNum>
  <w:abstractNum w:abstractNumId="21">
    <w:nsid w:val="5CFC176F"/>
    <w:multiLevelType w:val="singleLevel"/>
    <w:tmpl w:val="5CFC176F"/>
    <w:lvl w:ilvl="0" w:tentative="0">
      <w:start w:val="7"/>
      <w:numFmt w:val="chineseCounting"/>
      <w:suff w:val="space"/>
      <w:lvlText w:val="第%1章"/>
      <w:lvlJc w:val="left"/>
      <w:rPr>
        <w:rFonts w:hint="eastAsia"/>
      </w:rPr>
    </w:lvl>
  </w:abstractNum>
  <w:abstractNum w:abstractNumId="22">
    <w:nsid w:val="5F8BDFB9"/>
    <w:multiLevelType w:val="singleLevel"/>
    <w:tmpl w:val="5F8BDFB9"/>
    <w:lvl w:ilvl="0" w:tentative="0">
      <w:start w:val="3"/>
      <w:numFmt w:val="decimal"/>
      <w:suff w:val="nothing"/>
      <w:lvlText w:val="%1、"/>
      <w:lvlJc w:val="left"/>
    </w:lvl>
  </w:abstractNum>
  <w:abstractNum w:abstractNumId="23">
    <w:nsid w:val="69BFE644"/>
    <w:multiLevelType w:val="singleLevel"/>
    <w:tmpl w:val="69BFE644"/>
    <w:lvl w:ilvl="0" w:tentative="0">
      <w:start w:val="1"/>
      <w:numFmt w:val="chineseCounting"/>
      <w:suff w:val="nothing"/>
      <w:lvlText w:val="%1、"/>
      <w:lvlJc w:val="left"/>
      <w:rPr>
        <w:rFonts w:hint="eastAsia"/>
      </w:rPr>
    </w:lvl>
  </w:abstractNum>
  <w:num w:numId="1">
    <w:abstractNumId w:val="8"/>
  </w:num>
  <w:num w:numId="2">
    <w:abstractNumId w:val="9"/>
  </w:num>
  <w:num w:numId="3">
    <w:abstractNumId w:val="11"/>
  </w:num>
  <w:num w:numId="4">
    <w:abstractNumId w:val="10"/>
  </w:num>
  <w:num w:numId="5">
    <w:abstractNumId w:val="1"/>
  </w:num>
  <w:num w:numId="6">
    <w:abstractNumId w:val="3"/>
  </w:num>
  <w:num w:numId="7">
    <w:abstractNumId w:val="22"/>
  </w:num>
  <w:num w:numId="8">
    <w:abstractNumId w:val="4"/>
  </w:num>
  <w:num w:numId="9">
    <w:abstractNumId w:val="14"/>
  </w:num>
  <w:num w:numId="10">
    <w:abstractNumId w:val="6"/>
  </w:num>
  <w:num w:numId="11">
    <w:abstractNumId w:val="2"/>
  </w:num>
  <w:num w:numId="12">
    <w:abstractNumId w:val="15"/>
  </w:num>
  <w:num w:numId="13">
    <w:abstractNumId w:val="7"/>
  </w:num>
  <w:num w:numId="14">
    <w:abstractNumId w:val="12"/>
  </w:num>
  <w:num w:numId="15">
    <w:abstractNumId w:val="0"/>
  </w:num>
  <w:num w:numId="16">
    <w:abstractNumId w:val="5"/>
  </w:num>
  <w:num w:numId="17">
    <w:abstractNumId w:val="23"/>
  </w:num>
  <w:num w:numId="18">
    <w:abstractNumId w:val="13"/>
  </w:num>
  <w:num w:numId="19">
    <w:abstractNumId w:val="21"/>
  </w:num>
  <w:num w:numId="20">
    <w:abstractNumId w:val="19"/>
  </w:num>
  <w:num w:numId="21">
    <w:abstractNumId w:val="20"/>
  </w:num>
  <w:num w:numId="22">
    <w:abstractNumId w:val="16"/>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03"/>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2,3,4,5,6,7,8,9,10,11,12,13,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41"/>
    <w:rsid w:val="0000281B"/>
    <w:rsid w:val="00005573"/>
    <w:rsid w:val="0001198E"/>
    <w:rsid w:val="00012282"/>
    <w:rsid w:val="00014306"/>
    <w:rsid w:val="00014B21"/>
    <w:rsid w:val="00015B4F"/>
    <w:rsid w:val="0002015D"/>
    <w:rsid w:val="000207B5"/>
    <w:rsid w:val="00020916"/>
    <w:rsid w:val="00021546"/>
    <w:rsid w:val="00021E9D"/>
    <w:rsid w:val="000221FC"/>
    <w:rsid w:val="000223B5"/>
    <w:rsid w:val="00022F17"/>
    <w:rsid w:val="000240E1"/>
    <w:rsid w:val="00030FEB"/>
    <w:rsid w:val="0003313E"/>
    <w:rsid w:val="000343D6"/>
    <w:rsid w:val="000351AC"/>
    <w:rsid w:val="00036A88"/>
    <w:rsid w:val="00036EF8"/>
    <w:rsid w:val="000521C2"/>
    <w:rsid w:val="0005449F"/>
    <w:rsid w:val="00054D4E"/>
    <w:rsid w:val="00056F8B"/>
    <w:rsid w:val="000621FF"/>
    <w:rsid w:val="00070BF5"/>
    <w:rsid w:val="00071B3E"/>
    <w:rsid w:val="0007519E"/>
    <w:rsid w:val="00075EEA"/>
    <w:rsid w:val="00077B60"/>
    <w:rsid w:val="00085000"/>
    <w:rsid w:val="0009056C"/>
    <w:rsid w:val="000915E5"/>
    <w:rsid w:val="0009208A"/>
    <w:rsid w:val="000928A1"/>
    <w:rsid w:val="00093D10"/>
    <w:rsid w:val="000954C9"/>
    <w:rsid w:val="000A0CB8"/>
    <w:rsid w:val="000A4267"/>
    <w:rsid w:val="000A5914"/>
    <w:rsid w:val="000B07FC"/>
    <w:rsid w:val="000B3B94"/>
    <w:rsid w:val="000B4E5A"/>
    <w:rsid w:val="000B7EBF"/>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67AA"/>
    <w:rsid w:val="00101C62"/>
    <w:rsid w:val="001031A0"/>
    <w:rsid w:val="00110F5A"/>
    <w:rsid w:val="00111766"/>
    <w:rsid w:val="00111B68"/>
    <w:rsid w:val="00112F54"/>
    <w:rsid w:val="00116F92"/>
    <w:rsid w:val="00120543"/>
    <w:rsid w:val="00122B59"/>
    <w:rsid w:val="00122D43"/>
    <w:rsid w:val="00126C91"/>
    <w:rsid w:val="00127DA0"/>
    <w:rsid w:val="00127E8B"/>
    <w:rsid w:val="00127EF6"/>
    <w:rsid w:val="00127FD4"/>
    <w:rsid w:val="0013004E"/>
    <w:rsid w:val="00130076"/>
    <w:rsid w:val="00131556"/>
    <w:rsid w:val="00132F22"/>
    <w:rsid w:val="00133302"/>
    <w:rsid w:val="001353CC"/>
    <w:rsid w:val="00135491"/>
    <w:rsid w:val="0013598F"/>
    <w:rsid w:val="00137D4C"/>
    <w:rsid w:val="00140618"/>
    <w:rsid w:val="00140665"/>
    <w:rsid w:val="00140E23"/>
    <w:rsid w:val="00142212"/>
    <w:rsid w:val="00142775"/>
    <w:rsid w:val="001464DA"/>
    <w:rsid w:val="001472AA"/>
    <w:rsid w:val="00147B6D"/>
    <w:rsid w:val="00150CE3"/>
    <w:rsid w:val="00150DDD"/>
    <w:rsid w:val="00151C2C"/>
    <w:rsid w:val="001556EB"/>
    <w:rsid w:val="00160F4C"/>
    <w:rsid w:val="00161947"/>
    <w:rsid w:val="00167371"/>
    <w:rsid w:val="001703B1"/>
    <w:rsid w:val="00171219"/>
    <w:rsid w:val="00171A2B"/>
    <w:rsid w:val="00173E91"/>
    <w:rsid w:val="001748D5"/>
    <w:rsid w:val="00175E7B"/>
    <w:rsid w:val="00176DD9"/>
    <w:rsid w:val="00183DD9"/>
    <w:rsid w:val="00185B4A"/>
    <w:rsid w:val="00190070"/>
    <w:rsid w:val="00191453"/>
    <w:rsid w:val="00194048"/>
    <w:rsid w:val="00194833"/>
    <w:rsid w:val="00195303"/>
    <w:rsid w:val="00195F27"/>
    <w:rsid w:val="001A106F"/>
    <w:rsid w:val="001A21BF"/>
    <w:rsid w:val="001A4DAA"/>
    <w:rsid w:val="001B0CDB"/>
    <w:rsid w:val="001B295B"/>
    <w:rsid w:val="001B2CC2"/>
    <w:rsid w:val="001B4951"/>
    <w:rsid w:val="001B6629"/>
    <w:rsid w:val="001B67C8"/>
    <w:rsid w:val="001B736B"/>
    <w:rsid w:val="001B7C36"/>
    <w:rsid w:val="001C08F2"/>
    <w:rsid w:val="001C0C0C"/>
    <w:rsid w:val="001C2752"/>
    <w:rsid w:val="001C3A1F"/>
    <w:rsid w:val="001D0DE3"/>
    <w:rsid w:val="001D51EC"/>
    <w:rsid w:val="001D533F"/>
    <w:rsid w:val="001D5A63"/>
    <w:rsid w:val="001D7C78"/>
    <w:rsid w:val="001E07A4"/>
    <w:rsid w:val="001E278F"/>
    <w:rsid w:val="001E29DC"/>
    <w:rsid w:val="001E3842"/>
    <w:rsid w:val="001E5140"/>
    <w:rsid w:val="001F1439"/>
    <w:rsid w:val="001F4ECD"/>
    <w:rsid w:val="00200897"/>
    <w:rsid w:val="002015C0"/>
    <w:rsid w:val="00202333"/>
    <w:rsid w:val="002051F3"/>
    <w:rsid w:val="00206A68"/>
    <w:rsid w:val="00210552"/>
    <w:rsid w:val="00210D57"/>
    <w:rsid w:val="00211CAF"/>
    <w:rsid w:val="0021263F"/>
    <w:rsid w:val="00215757"/>
    <w:rsid w:val="00216127"/>
    <w:rsid w:val="00222142"/>
    <w:rsid w:val="0022373A"/>
    <w:rsid w:val="002241AF"/>
    <w:rsid w:val="00226AF8"/>
    <w:rsid w:val="00226E47"/>
    <w:rsid w:val="002307EC"/>
    <w:rsid w:val="00232341"/>
    <w:rsid w:val="002360B1"/>
    <w:rsid w:val="002367F7"/>
    <w:rsid w:val="00242599"/>
    <w:rsid w:val="002428E7"/>
    <w:rsid w:val="00242AD7"/>
    <w:rsid w:val="0024708E"/>
    <w:rsid w:val="00250F06"/>
    <w:rsid w:val="00254A46"/>
    <w:rsid w:val="00256FC7"/>
    <w:rsid w:val="00266139"/>
    <w:rsid w:val="00267455"/>
    <w:rsid w:val="002720FE"/>
    <w:rsid w:val="00273B78"/>
    <w:rsid w:val="00274CD3"/>
    <w:rsid w:val="002760B7"/>
    <w:rsid w:val="00276B2A"/>
    <w:rsid w:val="00283DDE"/>
    <w:rsid w:val="002845EF"/>
    <w:rsid w:val="0028736D"/>
    <w:rsid w:val="0029012A"/>
    <w:rsid w:val="00292BA0"/>
    <w:rsid w:val="00296472"/>
    <w:rsid w:val="002967B4"/>
    <w:rsid w:val="002A1407"/>
    <w:rsid w:val="002A2136"/>
    <w:rsid w:val="002A27FA"/>
    <w:rsid w:val="002A4F69"/>
    <w:rsid w:val="002A52C8"/>
    <w:rsid w:val="002A74FF"/>
    <w:rsid w:val="002A7D29"/>
    <w:rsid w:val="002B0C0A"/>
    <w:rsid w:val="002B109F"/>
    <w:rsid w:val="002B195C"/>
    <w:rsid w:val="002B54EA"/>
    <w:rsid w:val="002B5B9F"/>
    <w:rsid w:val="002B6762"/>
    <w:rsid w:val="002C0AC6"/>
    <w:rsid w:val="002C1772"/>
    <w:rsid w:val="002C2C35"/>
    <w:rsid w:val="002C5EEF"/>
    <w:rsid w:val="002C6119"/>
    <w:rsid w:val="002D17A3"/>
    <w:rsid w:val="002D1956"/>
    <w:rsid w:val="002D1964"/>
    <w:rsid w:val="002D4BE1"/>
    <w:rsid w:val="002D523A"/>
    <w:rsid w:val="002D69A7"/>
    <w:rsid w:val="002D74C4"/>
    <w:rsid w:val="002E00FB"/>
    <w:rsid w:val="002F05C7"/>
    <w:rsid w:val="002F0AE3"/>
    <w:rsid w:val="002F0E06"/>
    <w:rsid w:val="002F18D6"/>
    <w:rsid w:val="002F1EBE"/>
    <w:rsid w:val="002F2EB5"/>
    <w:rsid w:val="002F4C4C"/>
    <w:rsid w:val="002F6C6B"/>
    <w:rsid w:val="002F7927"/>
    <w:rsid w:val="002F7DB3"/>
    <w:rsid w:val="00301C51"/>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69F6"/>
    <w:rsid w:val="003371D3"/>
    <w:rsid w:val="00337B11"/>
    <w:rsid w:val="00337F31"/>
    <w:rsid w:val="003519EF"/>
    <w:rsid w:val="00353BB9"/>
    <w:rsid w:val="00354D64"/>
    <w:rsid w:val="00354EED"/>
    <w:rsid w:val="00356A4C"/>
    <w:rsid w:val="00357FE3"/>
    <w:rsid w:val="0036012B"/>
    <w:rsid w:val="00361ABF"/>
    <w:rsid w:val="00362BEE"/>
    <w:rsid w:val="00363090"/>
    <w:rsid w:val="0036423F"/>
    <w:rsid w:val="00365893"/>
    <w:rsid w:val="0037065F"/>
    <w:rsid w:val="00375548"/>
    <w:rsid w:val="003759EE"/>
    <w:rsid w:val="00375B77"/>
    <w:rsid w:val="00375F51"/>
    <w:rsid w:val="0037630E"/>
    <w:rsid w:val="0038083E"/>
    <w:rsid w:val="00381359"/>
    <w:rsid w:val="003819FF"/>
    <w:rsid w:val="0038204D"/>
    <w:rsid w:val="00390BFF"/>
    <w:rsid w:val="00391F38"/>
    <w:rsid w:val="003939F9"/>
    <w:rsid w:val="0039477D"/>
    <w:rsid w:val="00394943"/>
    <w:rsid w:val="00397EDE"/>
    <w:rsid w:val="003A1300"/>
    <w:rsid w:val="003A3771"/>
    <w:rsid w:val="003A38B9"/>
    <w:rsid w:val="003A4C6A"/>
    <w:rsid w:val="003A707F"/>
    <w:rsid w:val="003A7507"/>
    <w:rsid w:val="003A77B8"/>
    <w:rsid w:val="003B1369"/>
    <w:rsid w:val="003B3D81"/>
    <w:rsid w:val="003B4701"/>
    <w:rsid w:val="003B5AE4"/>
    <w:rsid w:val="003B7D85"/>
    <w:rsid w:val="003C1F08"/>
    <w:rsid w:val="003C4C84"/>
    <w:rsid w:val="003C59F1"/>
    <w:rsid w:val="003C6793"/>
    <w:rsid w:val="003C7D18"/>
    <w:rsid w:val="003D1469"/>
    <w:rsid w:val="003D1CF1"/>
    <w:rsid w:val="003D391D"/>
    <w:rsid w:val="003E233F"/>
    <w:rsid w:val="003E55EB"/>
    <w:rsid w:val="003E626F"/>
    <w:rsid w:val="003F2CA7"/>
    <w:rsid w:val="003F3527"/>
    <w:rsid w:val="00400697"/>
    <w:rsid w:val="00402577"/>
    <w:rsid w:val="0040775D"/>
    <w:rsid w:val="004159F2"/>
    <w:rsid w:val="00416872"/>
    <w:rsid w:val="00417D17"/>
    <w:rsid w:val="00417E7B"/>
    <w:rsid w:val="004213AE"/>
    <w:rsid w:val="0042216A"/>
    <w:rsid w:val="00425D1A"/>
    <w:rsid w:val="00435E96"/>
    <w:rsid w:val="0044071E"/>
    <w:rsid w:val="004415A2"/>
    <w:rsid w:val="004466B1"/>
    <w:rsid w:val="0045000E"/>
    <w:rsid w:val="00456CFA"/>
    <w:rsid w:val="00463384"/>
    <w:rsid w:val="004710C3"/>
    <w:rsid w:val="00475EB6"/>
    <w:rsid w:val="00477CDE"/>
    <w:rsid w:val="00481B77"/>
    <w:rsid w:val="00481D95"/>
    <w:rsid w:val="004868E3"/>
    <w:rsid w:val="004868E4"/>
    <w:rsid w:val="00486D55"/>
    <w:rsid w:val="00491498"/>
    <w:rsid w:val="00491E83"/>
    <w:rsid w:val="0049342E"/>
    <w:rsid w:val="00496333"/>
    <w:rsid w:val="004977B9"/>
    <w:rsid w:val="004A462B"/>
    <w:rsid w:val="004A52FF"/>
    <w:rsid w:val="004B05C7"/>
    <w:rsid w:val="004B3886"/>
    <w:rsid w:val="004B4D89"/>
    <w:rsid w:val="004B4EDD"/>
    <w:rsid w:val="004B4FBF"/>
    <w:rsid w:val="004B54FE"/>
    <w:rsid w:val="004C23C1"/>
    <w:rsid w:val="004C43CA"/>
    <w:rsid w:val="004C4D51"/>
    <w:rsid w:val="004D46D4"/>
    <w:rsid w:val="004D55E1"/>
    <w:rsid w:val="004D620E"/>
    <w:rsid w:val="004E1064"/>
    <w:rsid w:val="004E402F"/>
    <w:rsid w:val="004E62D3"/>
    <w:rsid w:val="004E7F4B"/>
    <w:rsid w:val="004F1086"/>
    <w:rsid w:val="004F1B44"/>
    <w:rsid w:val="004F2925"/>
    <w:rsid w:val="004F3A37"/>
    <w:rsid w:val="00501034"/>
    <w:rsid w:val="0050211B"/>
    <w:rsid w:val="00502B75"/>
    <w:rsid w:val="00503043"/>
    <w:rsid w:val="00504D9D"/>
    <w:rsid w:val="005058FB"/>
    <w:rsid w:val="00507712"/>
    <w:rsid w:val="00507728"/>
    <w:rsid w:val="00511996"/>
    <w:rsid w:val="00511BBC"/>
    <w:rsid w:val="0051391B"/>
    <w:rsid w:val="00520148"/>
    <w:rsid w:val="0052145E"/>
    <w:rsid w:val="00521944"/>
    <w:rsid w:val="005223C0"/>
    <w:rsid w:val="00522D0C"/>
    <w:rsid w:val="005305AA"/>
    <w:rsid w:val="00532157"/>
    <w:rsid w:val="00532403"/>
    <w:rsid w:val="00534DD9"/>
    <w:rsid w:val="005365D0"/>
    <w:rsid w:val="00537917"/>
    <w:rsid w:val="00537C5E"/>
    <w:rsid w:val="0054639C"/>
    <w:rsid w:val="00546723"/>
    <w:rsid w:val="00552EA0"/>
    <w:rsid w:val="005562E5"/>
    <w:rsid w:val="00560382"/>
    <w:rsid w:val="0056620C"/>
    <w:rsid w:val="00566843"/>
    <w:rsid w:val="005678DA"/>
    <w:rsid w:val="00570F11"/>
    <w:rsid w:val="00571226"/>
    <w:rsid w:val="005730CE"/>
    <w:rsid w:val="0057655B"/>
    <w:rsid w:val="00576FE4"/>
    <w:rsid w:val="00577842"/>
    <w:rsid w:val="00581341"/>
    <w:rsid w:val="00583780"/>
    <w:rsid w:val="00584EC7"/>
    <w:rsid w:val="00592CF4"/>
    <w:rsid w:val="005A0CCD"/>
    <w:rsid w:val="005A4B88"/>
    <w:rsid w:val="005B05F9"/>
    <w:rsid w:val="005B174B"/>
    <w:rsid w:val="005B21B4"/>
    <w:rsid w:val="005B2C5A"/>
    <w:rsid w:val="005B437F"/>
    <w:rsid w:val="005B4968"/>
    <w:rsid w:val="005B55BC"/>
    <w:rsid w:val="005B6077"/>
    <w:rsid w:val="005B6A48"/>
    <w:rsid w:val="005C3B02"/>
    <w:rsid w:val="005C3B65"/>
    <w:rsid w:val="005C43A5"/>
    <w:rsid w:val="005C6578"/>
    <w:rsid w:val="005D0146"/>
    <w:rsid w:val="005D180F"/>
    <w:rsid w:val="005D3D23"/>
    <w:rsid w:val="005D4971"/>
    <w:rsid w:val="005D597C"/>
    <w:rsid w:val="005D5E97"/>
    <w:rsid w:val="005D645B"/>
    <w:rsid w:val="005E1933"/>
    <w:rsid w:val="005E26CA"/>
    <w:rsid w:val="00600AA9"/>
    <w:rsid w:val="00601B32"/>
    <w:rsid w:val="00602E92"/>
    <w:rsid w:val="00604108"/>
    <w:rsid w:val="00604D8E"/>
    <w:rsid w:val="00606147"/>
    <w:rsid w:val="00606740"/>
    <w:rsid w:val="00612100"/>
    <w:rsid w:val="00614BCF"/>
    <w:rsid w:val="0061621E"/>
    <w:rsid w:val="0061748D"/>
    <w:rsid w:val="00620D4A"/>
    <w:rsid w:val="00621ED7"/>
    <w:rsid w:val="0062366D"/>
    <w:rsid w:val="00624FCB"/>
    <w:rsid w:val="006325C1"/>
    <w:rsid w:val="006346E9"/>
    <w:rsid w:val="00641BC4"/>
    <w:rsid w:val="006452C1"/>
    <w:rsid w:val="00645326"/>
    <w:rsid w:val="00654149"/>
    <w:rsid w:val="00657929"/>
    <w:rsid w:val="006610F1"/>
    <w:rsid w:val="0066264D"/>
    <w:rsid w:val="00665CD7"/>
    <w:rsid w:val="00666C9E"/>
    <w:rsid w:val="00666D7E"/>
    <w:rsid w:val="00670576"/>
    <w:rsid w:val="00671264"/>
    <w:rsid w:val="00671FB5"/>
    <w:rsid w:val="006758D3"/>
    <w:rsid w:val="00676C88"/>
    <w:rsid w:val="00680374"/>
    <w:rsid w:val="0068299E"/>
    <w:rsid w:val="0068377E"/>
    <w:rsid w:val="006839DB"/>
    <w:rsid w:val="006848B5"/>
    <w:rsid w:val="00684979"/>
    <w:rsid w:val="00684F61"/>
    <w:rsid w:val="0068682D"/>
    <w:rsid w:val="006868B0"/>
    <w:rsid w:val="00690497"/>
    <w:rsid w:val="006A0267"/>
    <w:rsid w:val="006B2201"/>
    <w:rsid w:val="006B7B97"/>
    <w:rsid w:val="006C0C5C"/>
    <w:rsid w:val="006C64B4"/>
    <w:rsid w:val="006C6695"/>
    <w:rsid w:val="006C717F"/>
    <w:rsid w:val="006D1624"/>
    <w:rsid w:val="006E1C1B"/>
    <w:rsid w:val="006E3AFD"/>
    <w:rsid w:val="006E4358"/>
    <w:rsid w:val="006E78E8"/>
    <w:rsid w:val="006E7FD6"/>
    <w:rsid w:val="006F186C"/>
    <w:rsid w:val="006F4218"/>
    <w:rsid w:val="0070518B"/>
    <w:rsid w:val="00710136"/>
    <w:rsid w:val="00710B01"/>
    <w:rsid w:val="007116A7"/>
    <w:rsid w:val="00712115"/>
    <w:rsid w:val="0071386D"/>
    <w:rsid w:val="00713A48"/>
    <w:rsid w:val="00713D0F"/>
    <w:rsid w:val="007207CC"/>
    <w:rsid w:val="00721BEA"/>
    <w:rsid w:val="007228E2"/>
    <w:rsid w:val="007240D5"/>
    <w:rsid w:val="007318EC"/>
    <w:rsid w:val="007328CD"/>
    <w:rsid w:val="00732900"/>
    <w:rsid w:val="0073448B"/>
    <w:rsid w:val="007359FA"/>
    <w:rsid w:val="007364BD"/>
    <w:rsid w:val="007412B0"/>
    <w:rsid w:val="0074513C"/>
    <w:rsid w:val="00750722"/>
    <w:rsid w:val="00753290"/>
    <w:rsid w:val="00754DB3"/>
    <w:rsid w:val="00761CB3"/>
    <w:rsid w:val="00765784"/>
    <w:rsid w:val="00766A24"/>
    <w:rsid w:val="00767C55"/>
    <w:rsid w:val="00771382"/>
    <w:rsid w:val="0077496A"/>
    <w:rsid w:val="00783307"/>
    <w:rsid w:val="0078427F"/>
    <w:rsid w:val="00784289"/>
    <w:rsid w:val="007842C3"/>
    <w:rsid w:val="007854CC"/>
    <w:rsid w:val="00785BE7"/>
    <w:rsid w:val="00790EE0"/>
    <w:rsid w:val="00796648"/>
    <w:rsid w:val="00796A5F"/>
    <w:rsid w:val="007A105F"/>
    <w:rsid w:val="007A47DC"/>
    <w:rsid w:val="007A7567"/>
    <w:rsid w:val="007B2860"/>
    <w:rsid w:val="007B29FF"/>
    <w:rsid w:val="007B2C24"/>
    <w:rsid w:val="007B2CE4"/>
    <w:rsid w:val="007B594A"/>
    <w:rsid w:val="007B66E7"/>
    <w:rsid w:val="007B6CBE"/>
    <w:rsid w:val="007C038F"/>
    <w:rsid w:val="007C4893"/>
    <w:rsid w:val="007D173A"/>
    <w:rsid w:val="007D479B"/>
    <w:rsid w:val="007E0805"/>
    <w:rsid w:val="007E12E3"/>
    <w:rsid w:val="007E20CF"/>
    <w:rsid w:val="007E260E"/>
    <w:rsid w:val="007E290A"/>
    <w:rsid w:val="007E4F4D"/>
    <w:rsid w:val="007E6FB6"/>
    <w:rsid w:val="007E73EF"/>
    <w:rsid w:val="007E7BF9"/>
    <w:rsid w:val="007F0D3E"/>
    <w:rsid w:val="007F266B"/>
    <w:rsid w:val="007F287A"/>
    <w:rsid w:val="007F7DFE"/>
    <w:rsid w:val="0080586B"/>
    <w:rsid w:val="00810DAB"/>
    <w:rsid w:val="00812938"/>
    <w:rsid w:val="00817080"/>
    <w:rsid w:val="00817712"/>
    <w:rsid w:val="00822709"/>
    <w:rsid w:val="00822729"/>
    <w:rsid w:val="00824019"/>
    <w:rsid w:val="008302B3"/>
    <w:rsid w:val="0083066D"/>
    <w:rsid w:val="0083069F"/>
    <w:rsid w:val="0083390B"/>
    <w:rsid w:val="00835932"/>
    <w:rsid w:val="00836A13"/>
    <w:rsid w:val="00841D5F"/>
    <w:rsid w:val="00843688"/>
    <w:rsid w:val="0084605D"/>
    <w:rsid w:val="0085251B"/>
    <w:rsid w:val="00852C61"/>
    <w:rsid w:val="00854002"/>
    <w:rsid w:val="00855FB8"/>
    <w:rsid w:val="00856130"/>
    <w:rsid w:val="00865787"/>
    <w:rsid w:val="00870D75"/>
    <w:rsid w:val="008733DA"/>
    <w:rsid w:val="00877CBE"/>
    <w:rsid w:val="00881CF0"/>
    <w:rsid w:val="00891077"/>
    <w:rsid w:val="00891DFD"/>
    <w:rsid w:val="008937D7"/>
    <w:rsid w:val="00893E12"/>
    <w:rsid w:val="00896D4A"/>
    <w:rsid w:val="008A41BC"/>
    <w:rsid w:val="008B0878"/>
    <w:rsid w:val="008B4B6B"/>
    <w:rsid w:val="008B6956"/>
    <w:rsid w:val="008C452F"/>
    <w:rsid w:val="008C7280"/>
    <w:rsid w:val="008D0BA0"/>
    <w:rsid w:val="008D1293"/>
    <w:rsid w:val="008D1A0A"/>
    <w:rsid w:val="008D28DA"/>
    <w:rsid w:val="008E28DF"/>
    <w:rsid w:val="008E29AC"/>
    <w:rsid w:val="008E30AC"/>
    <w:rsid w:val="008F30B7"/>
    <w:rsid w:val="008F6978"/>
    <w:rsid w:val="009005EF"/>
    <w:rsid w:val="0090072C"/>
    <w:rsid w:val="0090081E"/>
    <w:rsid w:val="00900858"/>
    <w:rsid w:val="0090572C"/>
    <w:rsid w:val="0090688B"/>
    <w:rsid w:val="009069FD"/>
    <w:rsid w:val="009075B0"/>
    <w:rsid w:val="0090773E"/>
    <w:rsid w:val="00907C35"/>
    <w:rsid w:val="009117D9"/>
    <w:rsid w:val="00912D67"/>
    <w:rsid w:val="00921297"/>
    <w:rsid w:val="00923D1D"/>
    <w:rsid w:val="00924DA3"/>
    <w:rsid w:val="0092525F"/>
    <w:rsid w:val="00930E0C"/>
    <w:rsid w:val="009321BA"/>
    <w:rsid w:val="00934EE1"/>
    <w:rsid w:val="009372C4"/>
    <w:rsid w:val="0093747F"/>
    <w:rsid w:val="00937912"/>
    <w:rsid w:val="009432AA"/>
    <w:rsid w:val="009503A5"/>
    <w:rsid w:val="009514BB"/>
    <w:rsid w:val="0095245C"/>
    <w:rsid w:val="00952AC1"/>
    <w:rsid w:val="00952C7E"/>
    <w:rsid w:val="00952EA8"/>
    <w:rsid w:val="00954B07"/>
    <w:rsid w:val="00960E0C"/>
    <w:rsid w:val="00960EC5"/>
    <w:rsid w:val="00961460"/>
    <w:rsid w:val="00963A3B"/>
    <w:rsid w:val="00966711"/>
    <w:rsid w:val="009671F5"/>
    <w:rsid w:val="00971898"/>
    <w:rsid w:val="009738CD"/>
    <w:rsid w:val="00974A1F"/>
    <w:rsid w:val="00980077"/>
    <w:rsid w:val="00982F7C"/>
    <w:rsid w:val="009836BC"/>
    <w:rsid w:val="00983995"/>
    <w:rsid w:val="009850F0"/>
    <w:rsid w:val="009854F9"/>
    <w:rsid w:val="00987A9B"/>
    <w:rsid w:val="00990482"/>
    <w:rsid w:val="00992F10"/>
    <w:rsid w:val="009A750E"/>
    <w:rsid w:val="009B1DB1"/>
    <w:rsid w:val="009B25E0"/>
    <w:rsid w:val="009B4E0B"/>
    <w:rsid w:val="009B5CCF"/>
    <w:rsid w:val="009B604F"/>
    <w:rsid w:val="009C0321"/>
    <w:rsid w:val="009C0A0E"/>
    <w:rsid w:val="009C2459"/>
    <w:rsid w:val="009C366C"/>
    <w:rsid w:val="009C463F"/>
    <w:rsid w:val="009C7480"/>
    <w:rsid w:val="009C7499"/>
    <w:rsid w:val="009D014B"/>
    <w:rsid w:val="009D2C96"/>
    <w:rsid w:val="009D4B6E"/>
    <w:rsid w:val="009D7466"/>
    <w:rsid w:val="009E047C"/>
    <w:rsid w:val="009E24A4"/>
    <w:rsid w:val="009E487E"/>
    <w:rsid w:val="009E4DE8"/>
    <w:rsid w:val="009F66D2"/>
    <w:rsid w:val="009F69A8"/>
    <w:rsid w:val="00A03ED5"/>
    <w:rsid w:val="00A06555"/>
    <w:rsid w:val="00A06649"/>
    <w:rsid w:val="00A10A2D"/>
    <w:rsid w:val="00A14F74"/>
    <w:rsid w:val="00A20CC2"/>
    <w:rsid w:val="00A25CF0"/>
    <w:rsid w:val="00A26EB8"/>
    <w:rsid w:val="00A30176"/>
    <w:rsid w:val="00A339DA"/>
    <w:rsid w:val="00A33FB5"/>
    <w:rsid w:val="00A35638"/>
    <w:rsid w:val="00A36EE2"/>
    <w:rsid w:val="00A4282C"/>
    <w:rsid w:val="00A53A8A"/>
    <w:rsid w:val="00A5419E"/>
    <w:rsid w:val="00A5505A"/>
    <w:rsid w:val="00A57A47"/>
    <w:rsid w:val="00A60450"/>
    <w:rsid w:val="00A61019"/>
    <w:rsid w:val="00A6173D"/>
    <w:rsid w:val="00A61C57"/>
    <w:rsid w:val="00A65390"/>
    <w:rsid w:val="00A710AF"/>
    <w:rsid w:val="00A77991"/>
    <w:rsid w:val="00A8025B"/>
    <w:rsid w:val="00A80856"/>
    <w:rsid w:val="00A82B67"/>
    <w:rsid w:val="00A853D2"/>
    <w:rsid w:val="00A9042E"/>
    <w:rsid w:val="00A9062C"/>
    <w:rsid w:val="00A91852"/>
    <w:rsid w:val="00A920A2"/>
    <w:rsid w:val="00A924D7"/>
    <w:rsid w:val="00A95295"/>
    <w:rsid w:val="00A9561D"/>
    <w:rsid w:val="00A95B7B"/>
    <w:rsid w:val="00A97A61"/>
    <w:rsid w:val="00A97AE9"/>
    <w:rsid w:val="00AA12E7"/>
    <w:rsid w:val="00AA2FC0"/>
    <w:rsid w:val="00AA37C9"/>
    <w:rsid w:val="00AA3A90"/>
    <w:rsid w:val="00AA4741"/>
    <w:rsid w:val="00AB01B6"/>
    <w:rsid w:val="00AB07A4"/>
    <w:rsid w:val="00AB1C58"/>
    <w:rsid w:val="00AB657E"/>
    <w:rsid w:val="00AC26E1"/>
    <w:rsid w:val="00AC6903"/>
    <w:rsid w:val="00AD2D41"/>
    <w:rsid w:val="00AD4F0F"/>
    <w:rsid w:val="00AE3456"/>
    <w:rsid w:val="00AE44C8"/>
    <w:rsid w:val="00AE4675"/>
    <w:rsid w:val="00AE4BE4"/>
    <w:rsid w:val="00AE53A9"/>
    <w:rsid w:val="00AF0B12"/>
    <w:rsid w:val="00AF0C95"/>
    <w:rsid w:val="00AF0D9D"/>
    <w:rsid w:val="00AF29CF"/>
    <w:rsid w:val="00AF6C2C"/>
    <w:rsid w:val="00AF6CD7"/>
    <w:rsid w:val="00B01ED9"/>
    <w:rsid w:val="00B0389D"/>
    <w:rsid w:val="00B04F8B"/>
    <w:rsid w:val="00B06820"/>
    <w:rsid w:val="00B07DE6"/>
    <w:rsid w:val="00B10770"/>
    <w:rsid w:val="00B15347"/>
    <w:rsid w:val="00B21D35"/>
    <w:rsid w:val="00B23699"/>
    <w:rsid w:val="00B31F42"/>
    <w:rsid w:val="00B371FA"/>
    <w:rsid w:val="00B40644"/>
    <w:rsid w:val="00B43B19"/>
    <w:rsid w:val="00B45F7F"/>
    <w:rsid w:val="00B46391"/>
    <w:rsid w:val="00B47F8B"/>
    <w:rsid w:val="00B522D8"/>
    <w:rsid w:val="00B53174"/>
    <w:rsid w:val="00B54E07"/>
    <w:rsid w:val="00B562B6"/>
    <w:rsid w:val="00B578B0"/>
    <w:rsid w:val="00B62968"/>
    <w:rsid w:val="00B70C44"/>
    <w:rsid w:val="00B72869"/>
    <w:rsid w:val="00B75BD6"/>
    <w:rsid w:val="00B762EA"/>
    <w:rsid w:val="00B76870"/>
    <w:rsid w:val="00B76C5F"/>
    <w:rsid w:val="00B774C1"/>
    <w:rsid w:val="00B77D0E"/>
    <w:rsid w:val="00B80495"/>
    <w:rsid w:val="00B81009"/>
    <w:rsid w:val="00B851C3"/>
    <w:rsid w:val="00B90793"/>
    <w:rsid w:val="00B90D95"/>
    <w:rsid w:val="00B97EBF"/>
    <w:rsid w:val="00BA5F6E"/>
    <w:rsid w:val="00BA6FC8"/>
    <w:rsid w:val="00BA7EC1"/>
    <w:rsid w:val="00BB3971"/>
    <w:rsid w:val="00BB628D"/>
    <w:rsid w:val="00BB6319"/>
    <w:rsid w:val="00BC740B"/>
    <w:rsid w:val="00BD04BB"/>
    <w:rsid w:val="00BD2B25"/>
    <w:rsid w:val="00BD30ED"/>
    <w:rsid w:val="00BE0BEB"/>
    <w:rsid w:val="00BE0FF0"/>
    <w:rsid w:val="00BE3F99"/>
    <w:rsid w:val="00BE5E33"/>
    <w:rsid w:val="00BE6F36"/>
    <w:rsid w:val="00BE79A8"/>
    <w:rsid w:val="00BF1224"/>
    <w:rsid w:val="00BF1713"/>
    <w:rsid w:val="00BF2291"/>
    <w:rsid w:val="00BF3C11"/>
    <w:rsid w:val="00BF49B0"/>
    <w:rsid w:val="00BF7DDF"/>
    <w:rsid w:val="00C037EA"/>
    <w:rsid w:val="00C10599"/>
    <w:rsid w:val="00C109B6"/>
    <w:rsid w:val="00C1107D"/>
    <w:rsid w:val="00C11430"/>
    <w:rsid w:val="00C13DCC"/>
    <w:rsid w:val="00C2086E"/>
    <w:rsid w:val="00C2214C"/>
    <w:rsid w:val="00C25349"/>
    <w:rsid w:val="00C266A1"/>
    <w:rsid w:val="00C27ADA"/>
    <w:rsid w:val="00C30DD0"/>
    <w:rsid w:val="00C32DBC"/>
    <w:rsid w:val="00C3408E"/>
    <w:rsid w:val="00C35095"/>
    <w:rsid w:val="00C351E0"/>
    <w:rsid w:val="00C3757C"/>
    <w:rsid w:val="00C40530"/>
    <w:rsid w:val="00C40C67"/>
    <w:rsid w:val="00C43107"/>
    <w:rsid w:val="00C45C8D"/>
    <w:rsid w:val="00C46CB3"/>
    <w:rsid w:val="00C52883"/>
    <w:rsid w:val="00C61FC6"/>
    <w:rsid w:val="00C63720"/>
    <w:rsid w:val="00C66397"/>
    <w:rsid w:val="00C6668F"/>
    <w:rsid w:val="00C7475C"/>
    <w:rsid w:val="00C76674"/>
    <w:rsid w:val="00C804C7"/>
    <w:rsid w:val="00C82AA2"/>
    <w:rsid w:val="00C86D19"/>
    <w:rsid w:val="00C90B2A"/>
    <w:rsid w:val="00C92838"/>
    <w:rsid w:val="00C93B5B"/>
    <w:rsid w:val="00C9529D"/>
    <w:rsid w:val="00C95D04"/>
    <w:rsid w:val="00C97823"/>
    <w:rsid w:val="00CA2492"/>
    <w:rsid w:val="00CA7C0B"/>
    <w:rsid w:val="00CB05F3"/>
    <w:rsid w:val="00CB5336"/>
    <w:rsid w:val="00CB5B1F"/>
    <w:rsid w:val="00CC6438"/>
    <w:rsid w:val="00CD3880"/>
    <w:rsid w:val="00CD3968"/>
    <w:rsid w:val="00CD4A05"/>
    <w:rsid w:val="00CD4F4F"/>
    <w:rsid w:val="00CD5245"/>
    <w:rsid w:val="00CD566E"/>
    <w:rsid w:val="00CD6AF1"/>
    <w:rsid w:val="00CE0EA5"/>
    <w:rsid w:val="00CE2279"/>
    <w:rsid w:val="00CE2A12"/>
    <w:rsid w:val="00CE3464"/>
    <w:rsid w:val="00CE6A01"/>
    <w:rsid w:val="00CE7E7A"/>
    <w:rsid w:val="00CF51E9"/>
    <w:rsid w:val="00D03C88"/>
    <w:rsid w:val="00D0470E"/>
    <w:rsid w:val="00D04ABC"/>
    <w:rsid w:val="00D07CB9"/>
    <w:rsid w:val="00D1069F"/>
    <w:rsid w:val="00D117EB"/>
    <w:rsid w:val="00D13C8D"/>
    <w:rsid w:val="00D14EF3"/>
    <w:rsid w:val="00D15F77"/>
    <w:rsid w:val="00D16160"/>
    <w:rsid w:val="00D17339"/>
    <w:rsid w:val="00D20297"/>
    <w:rsid w:val="00D2336B"/>
    <w:rsid w:val="00D2617C"/>
    <w:rsid w:val="00D2709B"/>
    <w:rsid w:val="00D3047B"/>
    <w:rsid w:val="00D31BF8"/>
    <w:rsid w:val="00D34EA5"/>
    <w:rsid w:val="00D401C1"/>
    <w:rsid w:val="00D4272A"/>
    <w:rsid w:val="00D432BC"/>
    <w:rsid w:val="00D439A8"/>
    <w:rsid w:val="00D4423D"/>
    <w:rsid w:val="00D44685"/>
    <w:rsid w:val="00D4574A"/>
    <w:rsid w:val="00D45D9E"/>
    <w:rsid w:val="00D54889"/>
    <w:rsid w:val="00D56421"/>
    <w:rsid w:val="00D57A3D"/>
    <w:rsid w:val="00D60185"/>
    <w:rsid w:val="00D6330C"/>
    <w:rsid w:val="00D647DB"/>
    <w:rsid w:val="00D6628F"/>
    <w:rsid w:val="00D7260B"/>
    <w:rsid w:val="00D73BB3"/>
    <w:rsid w:val="00D74333"/>
    <w:rsid w:val="00D74512"/>
    <w:rsid w:val="00D762CA"/>
    <w:rsid w:val="00D76A26"/>
    <w:rsid w:val="00D858E8"/>
    <w:rsid w:val="00D90224"/>
    <w:rsid w:val="00D91884"/>
    <w:rsid w:val="00D918C0"/>
    <w:rsid w:val="00D933B5"/>
    <w:rsid w:val="00D95887"/>
    <w:rsid w:val="00D96349"/>
    <w:rsid w:val="00D968E2"/>
    <w:rsid w:val="00DA6DE6"/>
    <w:rsid w:val="00DB0DBD"/>
    <w:rsid w:val="00DB5C11"/>
    <w:rsid w:val="00DB74DB"/>
    <w:rsid w:val="00DB7837"/>
    <w:rsid w:val="00DC0F46"/>
    <w:rsid w:val="00DC1313"/>
    <w:rsid w:val="00DC1A79"/>
    <w:rsid w:val="00DC4B82"/>
    <w:rsid w:val="00DD34D3"/>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10946"/>
    <w:rsid w:val="00E112DF"/>
    <w:rsid w:val="00E12F34"/>
    <w:rsid w:val="00E1393D"/>
    <w:rsid w:val="00E2688F"/>
    <w:rsid w:val="00E2691D"/>
    <w:rsid w:val="00E2708A"/>
    <w:rsid w:val="00E31D03"/>
    <w:rsid w:val="00E32895"/>
    <w:rsid w:val="00E418D7"/>
    <w:rsid w:val="00E47CA9"/>
    <w:rsid w:val="00E5099E"/>
    <w:rsid w:val="00E50CCC"/>
    <w:rsid w:val="00E5503D"/>
    <w:rsid w:val="00E5559D"/>
    <w:rsid w:val="00E55670"/>
    <w:rsid w:val="00E6283A"/>
    <w:rsid w:val="00E702E5"/>
    <w:rsid w:val="00E716C8"/>
    <w:rsid w:val="00E751EE"/>
    <w:rsid w:val="00E76C31"/>
    <w:rsid w:val="00E81E8D"/>
    <w:rsid w:val="00E82EC6"/>
    <w:rsid w:val="00E9530C"/>
    <w:rsid w:val="00E956A7"/>
    <w:rsid w:val="00E9584A"/>
    <w:rsid w:val="00E95E5B"/>
    <w:rsid w:val="00EA1AD2"/>
    <w:rsid w:val="00EA44EB"/>
    <w:rsid w:val="00EA5087"/>
    <w:rsid w:val="00EA78FC"/>
    <w:rsid w:val="00EB30D8"/>
    <w:rsid w:val="00EB71C7"/>
    <w:rsid w:val="00EB7A22"/>
    <w:rsid w:val="00EC2EE1"/>
    <w:rsid w:val="00EC37DB"/>
    <w:rsid w:val="00EC503E"/>
    <w:rsid w:val="00EC5555"/>
    <w:rsid w:val="00EC5581"/>
    <w:rsid w:val="00EC766F"/>
    <w:rsid w:val="00ED18CF"/>
    <w:rsid w:val="00ED458D"/>
    <w:rsid w:val="00ED7A86"/>
    <w:rsid w:val="00ED7C00"/>
    <w:rsid w:val="00EE2BD8"/>
    <w:rsid w:val="00EF09D8"/>
    <w:rsid w:val="00EF4BD9"/>
    <w:rsid w:val="00F02612"/>
    <w:rsid w:val="00F0535E"/>
    <w:rsid w:val="00F14C8A"/>
    <w:rsid w:val="00F17F47"/>
    <w:rsid w:val="00F24D06"/>
    <w:rsid w:val="00F24F14"/>
    <w:rsid w:val="00F2743D"/>
    <w:rsid w:val="00F27A9D"/>
    <w:rsid w:val="00F30063"/>
    <w:rsid w:val="00F30ADC"/>
    <w:rsid w:val="00F317DB"/>
    <w:rsid w:val="00F345A8"/>
    <w:rsid w:val="00F372F6"/>
    <w:rsid w:val="00F40767"/>
    <w:rsid w:val="00F4150B"/>
    <w:rsid w:val="00F42E55"/>
    <w:rsid w:val="00F42F62"/>
    <w:rsid w:val="00F43890"/>
    <w:rsid w:val="00F43E62"/>
    <w:rsid w:val="00F460A0"/>
    <w:rsid w:val="00F460D4"/>
    <w:rsid w:val="00F535E5"/>
    <w:rsid w:val="00F63F07"/>
    <w:rsid w:val="00F71A52"/>
    <w:rsid w:val="00F73046"/>
    <w:rsid w:val="00F7502C"/>
    <w:rsid w:val="00F76888"/>
    <w:rsid w:val="00F81859"/>
    <w:rsid w:val="00F83602"/>
    <w:rsid w:val="00F83FE6"/>
    <w:rsid w:val="00F86131"/>
    <w:rsid w:val="00F8654D"/>
    <w:rsid w:val="00F869F7"/>
    <w:rsid w:val="00F92CA0"/>
    <w:rsid w:val="00F94364"/>
    <w:rsid w:val="00F95C18"/>
    <w:rsid w:val="00F9698F"/>
    <w:rsid w:val="00FA218E"/>
    <w:rsid w:val="00FA3E2F"/>
    <w:rsid w:val="00FA4BD7"/>
    <w:rsid w:val="00FB1885"/>
    <w:rsid w:val="00FB6B96"/>
    <w:rsid w:val="00FB6C52"/>
    <w:rsid w:val="00FB7F86"/>
    <w:rsid w:val="00FC32A5"/>
    <w:rsid w:val="00FD0CE6"/>
    <w:rsid w:val="00FD3588"/>
    <w:rsid w:val="00FE54A6"/>
    <w:rsid w:val="00FE6036"/>
    <w:rsid w:val="00FE7EC9"/>
    <w:rsid w:val="00FF00CB"/>
    <w:rsid w:val="00FF3EE9"/>
    <w:rsid w:val="00FF6CEF"/>
    <w:rsid w:val="00FF6D6F"/>
    <w:rsid w:val="01050D9B"/>
    <w:rsid w:val="0115308C"/>
    <w:rsid w:val="011F1202"/>
    <w:rsid w:val="014903A9"/>
    <w:rsid w:val="015F46DB"/>
    <w:rsid w:val="017B08B4"/>
    <w:rsid w:val="018A6989"/>
    <w:rsid w:val="018C36B7"/>
    <w:rsid w:val="01A412FE"/>
    <w:rsid w:val="01A67E53"/>
    <w:rsid w:val="01B4121C"/>
    <w:rsid w:val="01B81081"/>
    <w:rsid w:val="01B81585"/>
    <w:rsid w:val="01CB629E"/>
    <w:rsid w:val="01CC0983"/>
    <w:rsid w:val="01D86994"/>
    <w:rsid w:val="0211423E"/>
    <w:rsid w:val="021153DC"/>
    <w:rsid w:val="02185B40"/>
    <w:rsid w:val="021A0BFE"/>
    <w:rsid w:val="02245FCB"/>
    <w:rsid w:val="02486737"/>
    <w:rsid w:val="025501C0"/>
    <w:rsid w:val="025C57C1"/>
    <w:rsid w:val="02677296"/>
    <w:rsid w:val="026844E0"/>
    <w:rsid w:val="026929FF"/>
    <w:rsid w:val="02693C31"/>
    <w:rsid w:val="02733BEB"/>
    <w:rsid w:val="0285763E"/>
    <w:rsid w:val="028F3A76"/>
    <w:rsid w:val="029A7A3D"/>
    <w:rsid w:val="029D51AD"/>
    <w:rsid w:val="02A34366"/>
    <w:rsid w:val="02A523A6"/>
    <w:rsid w:val="02C064DC"/>
    <w:rsid w:val="02C15350"/>
    <w:rsid w:val="02CA111B"/>
    <w:rsid w:val="02D0085D"/>
    <w:rsid w:val="02D15B17"/>
    <w:rsid w:val="02D2242F"/>
    <w:rsid w:val="02EB78FD"/>
    <w:rsid w:val="03041DF9"/>
    <w:rsid w:val="03094B07"/>
    <w:rsid w:val="0325754B"/>
    <w:rsid w:val="03285A20"/>
    <w:rsid w:val="03561B79"/>
    <w:rsid w:val="03623366"/>
    <w:rsid w:val="036E6A20"/>
    <w:rsid w:val="03716AB5"/>
    <w:rsid w:val="037816E2"/>
    <w:rsid w:val="037C273A"/>
    <w:rsid w:val="03832252"/>
    <w:rsid w:val="038A464C"/>
    <w:rsid w:val="03957F6E"/>
    <w:rsid w:val="03B37294"/>
    <w:rsid w:val="03B65F25"/>
    <w:rsid w:val="03E53CD8"/>
    <w:rsid w:val="03F049A4"/>
    <w:rsid w:val="03F85E06"/>
    <w:rsid w:val="03FE1578"/>
    <w:rsid w:val="04074CDB"/>
    <w:rsid w:val="044858F1"/>
    <w:rsid w:val="046005F7"/>
    <w:rsid w:val="04672482"/>
    <w:rsid w:val="046B1179"/>
    <w:rsid w:val="04731199"/>
    <w:rsid w:val="048C5579"/>
    <w:rsid w:val="04A457FC"/>
    <w:rsid w:val="04AF26BC"/>
    <w:rsid w:val="04CF4DA3"/>
    <w:rsid w:val="04E4262B"/>
    <w:rsid w:val="04F56C7F"/>
    <w:rsid w:val="05165505"/>
    <w:rsid w:val="052543DD"/>
    <w:rsid w:val="052E650D"/>
    <w:rsid w:val="053C010F"/>
    <w:rsid w:val="05766CA8"/>
    <w:rsid w:val="057F0C42"/>
    <w:rsid w:val="058D1BDD"/>
    <w:rsid w:val="05A64E7D"/>
    <w:rsid w:val="05AE3AF8"/>
    <w:rsid w:val="05C707DD"/>
    <w:rsid w:val="05D85241"/>
    <w:rsid w:val="05DC483D"/>
    <w:rsid w:val="05EA0443"/>
    <w:rsid w:val="05EA3A6E"/>
    <w:rsid w:val="05F47004"/>
    <w:rsid w:val="05F7010F"/>
    <w:rsid w:val="061F7B22"/>
    <w:rsid w:val="06255E34"/>
    <w:rsid w:val="06264A24"/>
    <w:rsid w:val="062E2288"/>
    <w:rsid w:val="0638784F"/>
    <w:rsid w:val="065E4024"/>
    <w:rsid w:val="0660159E"/>
    <w:rsid w:val="06644565"/>
    <w:rsid w:val="067E72CA"/>
    <w:rsid w:val="06817DA0"/>
    <w:rsid w:val="06863B44"/>
    <w:rsid w:val="06872B81"/>
    <w:rsid w:val="068B5074"/>
    <w:rsid w:val="068C4D3B"/>
    <w:rsid w:val="069E6A40"/>
    <w:rsid w:val="06A245B2"/>
    <w:rsid w:val="06C8202F"/>
    <w:rsid w:val="06D013F6"/>
    <w:rsid w:val="06D73539"/>
    <w:rsid w:val="06E10C33"/>
    <w:rsid w:val="06E46126"/>
    <w:rsid w:val="06EB5A67"/>
    <w:rsid w:val="070B65B9"/>
    <w:rsid w:val="071567F8"/>
    <w:rsid w:val="07267612"/>
    <w:rsid w:val="07391585"/>
    <w:rsid w:val="07507286"/>
    <w:rsid w:val="075845DA"/>
    <w:rsid w:val="07626AF0"/>
    <w:rsid w:val="076D4D3B"/>
    <w:rsid w:val="077E33C0"/>
    <w:rsid w:val="078E6403"/>
    <w:rsid w:val="07A22BA6"/>
    <w:rsid w:val="07B42D8D"/>
    <w:rsid w:val="07B75D67"/>
    <w:rsid w:val="07CA5AAD"/>
    <w:rsid w:val="07D102E3"/>
    <w:rsid w:val="07D85AF7"/>
    <w:rsid w:val="07DF007E"/>
    <w:rsid w:val="07E2277C"/>
    <w:rsid w:val="07ED0B7A"/>
    <w:rsid w:val="080877C0"/>
    <w:rsid w:val="080C2EE8"/>
    <w:rsid w:val="08112D6B"/>
    <w:rsid w:val="0815178F"/>
    <w:rsid w:val="082B0B8C"/>
    <w:rsid w:val="083C0C41"/>
    <w:rsid w:val="08532AE4"/>
    <w:rsid w:val="085722C3"/>
    <w:rsid w:val="08687D5D"/>
    <w:rsid w:val="0874686F"/>
    <w:rsid w:val="087E29A8"/>
    <w:rsid w:val="08822685"/>
    <w:rsid w:val="088B5F61"/>
    <w:rsid w:val="089303A1"/>
    <w:rsid w:val="089F2E02"/>
    <w:rsid w:val="08AA78BB"/>
    <w:rsid w:val="08BE0D2A"/>
    <w:rsid w:val="08CA5C0A"/>
    <w:rsid w:val="08D71DC7"/>
    <w:rsid w:val="08DE66CC"/>
    <w:rsid w:val="08EC2183"/>
    <w:rsid w:val="08ED4204"/>
    <w:rsid w:val="08FF4A94"/>
    <w:rsid w:val="091017C3"/>
    <w:rsid w:val="091D7C87"/>
    <w:rsid w:val="09277590"/>
    <w:rsid w:val="09586595"/>
    <w:rsid w:val="095A33CC"/>
    <w:rsid w:val="095D573A"/>
    <w:rsid w:val="097176E8"/>
    <w:rsid w:val="09731772"/>
    <w:rsid w:val="0974005E"/>
    <w:rsid w:val="09792264"/>
    <w:rsid w:val="09AF4FA1"/>
    <w:rsid w:val="09B174F4"/>
    <w:rsid w:val="09B96A96"/>
    <w:rsid w:val="09C22A6B"/>
    <w:rsid w:val="09C34C91"/>
    <w:rsid w:val="09C35A5D"/>
    <w:rsid w:val="09CF2327"/>
    <w:rsid w:val="09D351DA"/>
    <w:rsid w:val="09EA689A"/>
    <w:rsid w:val="09FB6911"/>
    <w:rsid w:val="0A181D87"/>
    <w:rsid w:val="0A196A7C"/>
    <w:rsid w:val="0A1A3968"/>
    <w:rsid w:val="0A200E2D"/>
    <w:rsid w:val="0A285D1C"/>
    <w:rsid w:val="0A4827C4"/>
    <w:rsid w:val="0A59385F"/>
    <w:rsid w:val="0A5F366C"/>
    <w:rsid w:val="0A645F7F"/>
    <w:rsid w:val="0A6D6CEA"/>
    <w:rsid w:val="0A883CB2"/>
    <w:rsid w:val="0A8B04DC"/>
    <w:rsid w:val="0A954F47"/>
    <w:rsid w:val="0A96406B"/>
    <w:rsid w:val="0A9668F8"/>
    <w:rsid w:val="0A9D6070"/>
    <w:rsid w:val="0A9E3117"/>
    <w:rsid w:val="0AA93DA7"/>
    <w:rsid w:val="0AA97A8C"/>
    <w:rsid w:val="0AB04E98"/>
    <w:rsid w:val="0AC86CBC"/>
    <w:rsid w:val="0ACC6A1D"/>
    <w:rsid w:val="0ADD64F8"/>
    <w:rsid w:val="0AEC39F9"/>
    <w:rsid w:val="0B152EF4"/>
    <w:rsid w:val="0B240E6D"/>
    <w:rsid w:val="0B2F269D"/>
    <w:rsid w:val="0B3430B8"/>
    <w:rsid w:val="0B497AB3"/>
    <w:rsid w:val="0B556BC9"/>
    <w:rsid w:val="0B6017B9"/>
    <w:rsid w:val="0B621DF5"/>
    <w:rsid w:val="0B6B55CC"/>
    <w:rsid w:val="0B9E129E"/>
    <w:rsid w:val="0BB346A7"/>
    <w:rsid w:val="0BBD03F5"/>
    <w:rsid w:val="0BBD2911"/>
    <w:rsid w:val="0BC00EBE"/>
    <w:rsid w:val="0BD60A60"/>
    <w:rsid w:val="0BDE4147"/>
    <w:rsid w:val="0BE3647D"/>
    <w:rsid w:val="0BEB041B"/>
    <w:rsid w:val="0C003394"/>
    <w:rsid w:val="0C0301BA"/>
    <w:rsid w:val="0C153C69"/>
    <w:rsid w:val="0C2D2DB2"/>
    <w:rsid w:val="0C5A6DA7"/>
    <w:rsid w:val="0C697E40"/>
    <w:rsid w:val="0CAF3CFB"/>
    <w:rsid w:val="0CCB5DC5"/>
    <w:rsid w:val="0CCD628F"/>
    <w:rsid w:val="0CD2578D"/>
    <w:rsid w:val="0CD52CD6"/>
    <w:rsid w:val="0CDB5456"/>
    <w:rsid w:val="0CDF60B9"/>
    <w:rsid w:val="0CDF6A7D"/>
    <w:rsid w:val="0CF166CC"/>
    <w:rsid w:val="0CF76E8D"/>
    <w:rsid w:val="0CF94D71"/>
    <w:rsid w:val="0D00181D"/>
    <w:rsid w:val="0D1A1D1D"/>
    <w:rsid w:val="0D2828F9"/>
    <w:rsid w:val="0D2D79D5"/>
    <w:rsid w:val="0D343DF1"/>
    <w:rsid w:val="0D3D15E3"/>
    <w:rsid w:val="0D602229"/>
    <w:rsid w:val="0D7509C6"/>
    <w:rsid w:val="0D83644E"/>
    <w:rsid w:val="0D855D9F"/>
    <w:rsid w:val="0D8B7B3D"/>
    <w:rsid w:val="0D997778"/>
    <w:rsid w:val="0DA51E9D"/>
    <w:rsid w:val="0DB94E10"/>
    <w:rsid w:val="0DC03122"/>
    <w:rsid w:val="0DCC09DB"/>
    <w:rsid w:val="0DCF4774"/>
    <w:rsid w:val="0DE07FBA"/>
    <w:rsid w:val="0E023228"/>
    <w:rsid w:val="0E254FD1"/>
    <w:rsid w:val="0E3D39D3"/>
    <w:rsid w:val="0E3E08BE"/>
    <w:rsid w:val="0E43719E"/>
    <w:rsid w:val="0E6E2C58"/>
    <w:rsid w:val="0E6E7D32"/>
    <w:rsid w:val="0E836119"/>
    <w:rsid w:val="0E8A7C53"/>
    <w:rsid w:val="0E8B09EC"/>
    <w:rsid w:val="0E900717"/>
    <w:rsid w:val="0EBB303B"/>
    <w:rsid w:val="0ED93B9D"/>
    <w:rsid w:val="0EE15F8E"/>
    <w:rsid w:val="0EE30683"/>
    <w:rsid w:val="0EEE5062"/>
    <w:rsid w:val="0EFD61CF"/>
    <w:rsid w:val="0F0604E0"/>
    <w:rsid w:val="0F095EC9"/>
    <w:rsid w:val="0F214C39"/>
    <w:rsid w:val="0F2D5A68"/>
    <w:rsid w:val="0F2E67B6"/>
    <w:rsid w:val="0F30117A"/>
    <w:rsid w:val="0F5A111B"/>
    <w:rsid w:val="0F6A005A"/>
    <w:rsid w:val="0FAC1964"/>
    <w:rsid w:val="0FB928E8"/>
    <w:rsid w:val="0FC844C5"/>
    <w:rsid w:val="0FC9252D"/>
    <w:rsid w:val="0FE5185A"/>
    <w:rsid w:val="0FED3DE9"/>
    <w:rsid w:val="0FF17D71"/>
    <w:rsid w:val="0FFD434A"/>
    <w:rsid w:val="10034CFA"/>
    <w:rsid w:val="101134DE"/>
    <w:rsid w:val="10311C84"/>
    <w:rsid w:val="105307C8"/>
    <w:rsid w:val="1058198A"/>
    <w:rsid w:val="105A4860"/>
    <w:rsid w:val="107C0574"/>
    <w:rsid w:val="10A07B63"/>
    <w:rsid w:val="10A32AF4"/>
    <w:rsid w:val="10A656DA"/>
    <w:rsid w:val="10AA2927"/>
    <w:rsid w:val="10AD7EBB"/>
    <w:rsid w:val="10D238D2"/>
    <w:rsid w:val="10EC71CD"/>
    <w:rsid w:val="110B3B27"/>
    <w:rsid w:val="111968AC"/>
    <w:rsid w:val="112701C2"/>
    <w:rsid w:val="11312D0E"/>
    <w:rsid w:val="11585503"/>
    <w:rsid w:val="117C21DF"/>
    <w:rsid w:val="118639F9"/>
    <w:rsid w:val="11A16A7F"/>
    <w:rsid w:val="11A72C7C"/>
    <w:rsid w:val="11AA1C11"/>
    <w:rsid w:val="11AA75C3"/>
    <w:rsid w:val="11BA0DBD"/>
    <w:rsid w:val="11BA2DA2"/>
    <w:rsid w:val="11D22F88"/>
    <w:rsid w:val="11E12C61"/>
    <w:rsid w:val="11EE1F77"/>
    <w:rsid w:val="11F347F3"/>
    <w:rsid w:val="11FB1EA3"/>
    <w:rsid w:val="1212168B"/>
    <w:rsid w:val="121C30ED"/>
    <w:rsid w:val="122E2EBF"/>
    <w:rsid w:val="12330DF4"/>
    <w:rsid w:val="124455B9"/>
    <w:rsid w:val="12455427"/>
    <w:rsid w:val="12476AD8"/>
    <w:rsid w:val="12487B37"/>
    <w:rsid w:val="124F2EA5"/>
    <w:rsid w:val="12515FE5"/>
    <w:rsid w:val="12523FBC"/>
    <w:rsid w:val="126A0BBE"/>
    <w:rsid w:val="127027B0"/>
    <w:rsid w:val="12951F09"/>
    <w:rsid w:val="129D2BB4"/>
    <w:rsid w:val="12A8130D"/>
    <w:rsid w:val="12AC36BB"/>
    <w:rsid w:val="12CC6240"/>
    <w:rsid w:val="12E01BD4"/>
    <w:rsid w:val="12E40AFD"/>
    <w:rsid w:val="12E63EDB"/>
    <w:rsid w:val="12ED1B23"/>
    <w:rsid w:val="12ED63FC"/>
    <w:rsid w:val="12ED7C64"/>
    <w:rsid w:val="12F2103E"/>
    <w:rsid w:val="12F2494F"/>
    <w:rsid w:val="12FA5CB6"/>
    <w:rsid w:val="1300693C"/>
    <w:rsid w:val="130205D0"/>
    <w:rsid w:val="13026955"/>
    <w:rsid w:val="13093DA8"/>
    <w:rsid w:val="131F242C"/>
    <w:rsid w:val="13210D28"/>
    <w:rsid w:val="132D37D2"/>
    <w:rsid w:val="1357031A"/>
    <w:rsid w:val="13662181"/>
    <w:rsid w:val="13673996"/>
    <w:rsid w:val="13816166"/>
    <w:rsid w:val="13857459"/>
    <w:rsid w:val="13A330D8"/>
    <w:rsid w:val="13BF2BB6"/>
    <w:rsid w:val="13CF7FAB"/>
    <w:rsid w:val="13D336B6"/>
    <w:rsid w:val="13DD524D"/>
    <w:rsid w:val="13E2777C"/>
    <w:rsid w:val="13E53977"/>
    <w:rsid w:val="13EB653A"/>
    <w:rsid w:val="13F2733E"/>
    <w:rsid w:val="140C29EC"/>
    <w:rsid w:val="14236D92"/>
    <w:rsid w:val="145223F0"/>
    <w:rsid w:val="14522A66"/>
    <w:rsid w:val="1469021E"/>
    <w:rsid w:val="146B08C6"/>
    <w:rsid w:val="147B03A7"/>
    <w:rsid w:val="14920B13"/>
    <w:rsid w:val="14926AEC"/>
    <w:rsid w:val="149611E2"/>
    <w:rsid w:val="149802BA"/>
    <w:rsid w:val="14A66C6D"/>
    <w:rsid w:val="14AD60F7"/>
    <w:rsid w:val="14CA7BF4"/>
    <w:rsid w:val="14D65009"/>
    <w:rsid w:val="14D6663D"/>
    <w:rsid w:val="14DB5271"/>
    <w:rsid w:val="14E74988"/>
    <w:rsid w:val="14F4278B"/>
    <w:rsid w:val="15030825"/>
    <w:rsid w:val="15393DBA"/>
    <w:rsid w:val="154E1A04"/>
    <w:rsid w:val="155A7A15"/>
    <w:rsid w:val="15832797"/>
    <w:rsid w:val="15AD5035"/>
    <w:rsid w:val="15BB45B7"/>
    <w:rsid w:val="15C61A8F"/>
    <w:rsid w:val="15C731EB"/>
    <w:rsid w:val="15E24F3F"/>
    <w:rsid w:val="15E302D1"/>
    <w:rsid w:val="15E56FF5"/>
    <w:rsid w:val="15EE5AA3"/>
    <w:rsid w:val="15F0262C"/>
    <w:rsid w:val="16064DC1"/>
    <w:rsid w:val="16161B1C"/>
    <w:rsid w:val="16521914"/>
    <w:rsid w:val="167B0575"/>
    <w:rsid w:val="16924448"/>
    <w:rsid w:val="16943135"/>
    <w:rsid w:val="16A94F58"/>
    <w:rsid w:val="16DC0950"/>
    <w:rsid w:val="16E704A1"/>
    <w:rsid w:val="16E84E6C"/>
    <w:rsid w:val="16EC54CF"/>
    <w:rsid w:val="16EF768A"/>
    <w:rsid w:val="16F87B89"/>
    <w:rsid w:val="16FB7F1A"/>
    <w:rsid w:val="170C6758"/>
    <w:rsid w:val="17265F53"/>
    <w:rsid w:val="173146D7"/>
    <w:rsid w:val="1739714A"/>
    <w:rsid w:val="173B4F2E"/>
    <w:rsid w:val="173E7064"/>
    <w:rsid w:val="174263A9"/>
    <w:rsid w:val="175D20B0"/>
    <w:rsid w:val="177F3415"/>
    <w:rsid w:val="178140B9"/>
    <w:rsid w:val="17835EC5"/>
    <w:rsid w:val="17887387"/>
    <w:rsid w:val="178A0AA7"/>
    <w:rsid w:val="17973D01"/>
    <w:rsid w:val="179C32A8"/>
    <w:rsid w:val="17A3471B"/>
    <w:rsid w:val="17B346F1"/>
    <w:rsid w:val="17DE5C2C"/>
    <w:rsid w:val="17FD1905"/>
    <w:rsid w:val="180F14B1"/>
    <w:rsid w:val="180F2D47"/>
    <w:rsid w:val="18250E82"/>
    <w:rsid w:val="18280263"/>
    <w:rsid w:val="18284119"/>
    <w:rsid w:val="182E6082"/>
    <w:rsid w:val="183C1919"/>
    <w:rsid w:val="18451B22"/>
    <w:rsid w:val="18492C9F"/>
    <w:rsid w:val="184E2741"/>
    <w:rsid w:val="18506823"/>
    <w:rsid w:val="18526D9F"/>
    <w:rsid w:val="185922CA"/>
    <w:rsid w:val="186A38D7"/>
    <w:rsid w:val="18746FB7"/>
    <w:rsid w:val="187A245B"/>
    <w:rsid w:val="187D763D"/>
    <w:rsid w:val="188017FD"/>
    <w:rsid w:val="18844358"/>
    <w:rsid w:val="188D2958"/>
    <w:rsid w:val="18965615"/>
    <w:rsid w:val="189A50AD"/>
    <w:rsid w:val="189E5C43"/>
    <w:rsid w:val="18A52272"/>
    <w:rsid w:val="18AB2587"/>
    <w:rsid w:val="18B22B90"/>
    <w:rsid w:val="18B41D16"/>
    <w:rsid w:val="18CB2F03"/>
    <w:rsid w:val="18E80E8D"/>
    <w:rsid w:val="18F640D7"/>
    <w:rsid w:val="18FF3E07"/>
    <w:rsid w:val="19143034"/>
    <w:rsid w:val="19293204"/>
    <w:rsid w:val="192A187C"/>
    <w:rsid w:val="192C3AF3"/>
    <w:rsid w:val="193F4A76"/>
    <w:rsid w:val="1959612E"/>
    <w:rsid w:val="19BB4AC7"/>
    <w:rsid w:val="19C56EB8"/>
    <w:rsid w:val="19D72A94"/>
    <w:rsid w:val="19DE01E4"/>
    <w:rsid w:val="1A000666"/>
    <w:rsid w:val="1A0D22BB"/>
    <w:rsid w:val="1A191F9A"/>
    <w:rsid w:val="1A210342"/>
    <w:rsid w:val="1A2C607F"/>
    <w:rsid w:val="1A4362CA"/>
    <w:rsid w:val="1A871611"/>
    <w:rsid w:val="1A8B2D70"/>
    <w:rsid w:val="1A95222B"/>
    <w:rsid w:val="1AA263BF"/>
    <w:rsid w:val="1AAA2E06"/>
    <w:rsid w:val="1AB76073"/>
    <w:rsid w:val="1AC31A76"/>
    <w:rsid w:val="1AC74A03"/>
    <w:rsid w:val="1AD5073D"/>
    <w:rsid w:val="1ADA7AD6"/>
    <w:rsid w:val="1AE5115D"/>
    <w:rsid w:val="1AE8420C"/>
    <w:rsid w:val="1AFA25D1"/>
    <w:rsid w:val="1B012DFF"/>
    <w:rsid w:val="1B0D61EF"/>
    <w:rsid w:val="1B210ADF"/>
    <w:rsid w:val="1B246F05"/>
    <w:rsid w:val="1B285A99"/>
    <w:rsid w:val="1B2C524A"/>
    <w:rsid w:val="1B354166"/>
    <w:rsid w:val="1B403579"/>
    <w:rsid w:val="1B54650A"/>
    <w:rsid w:val="1B560317"/>
    <w:rsid w:val="1B5C6B3F"/>
    <w:rsid w:val="1BB93830"/>
    <w:rsid w:val="1BC30FC6"/>
    <w:rsid w:val="1BCA4827"/>
    <w:rsid w:val="1BD52E34"/>
    <w:rsid w:val="1BD656AF"/>
    <w:rsid w:val="1C020DC2"/>
    <w:rsid w:val="1C137F0A"/>
    <w:rsid w:val="1C1A3B1D"/>
    <w:rsid w:val="1C205305"/>
    <w:rsid w:val="1C26616E"/>
    <w:rsid w:val="1C2766EF"/>
    <w:rsid w:val="1C372854"/>
    <w:rsid w:val="1C395D13"/>
    <w:rsid w:val="1C5D1817"/>
    <w:rsid w:val="1C620DB4"/>
    <w:rsid w:val="1C6646A5"/>
    <w:rsid w:val="1C7E340C"/>
    <w:rsid w:val="1C8A3B4C"/>
    <w:rsid w:val="1C8A62BF"/>
    <w:rsid w:val="1C975CFC"/>
    <w:rsid w:val="1CA21702"/>
    <w:rsid w:val="1CA87967"/>
    <w:rsid w:val="1CAA59B0"/>
    <w:rsid w:val="1CBD088F"/>
    <w:rsid w:val="1CC03ABA"/>
    <w:rsid w:val="1CD23A1D"/>
    <w:rsid w:val="1CE91227"/>
    <w:rsid w:val="1D062625"/>
    <w:rsid w:val="1D083E28"/>
    <w:rsid w:val="1D0C499E"/>
    <w:rsid w:val="1D201555"/>
    <w:rsid w:val="1D2F7958"/>
    <w:rsid w:val="1D310042"/>
    <w:rsid w:val="1D325639"/>
    <w:rsid w:val="1D3F4CBF"/>
    <w:rsid w:val="1D3F6A31"/>
    <w:rsid w:val="1D4D3677"/>
    <w:rsid w:val="1D576A34"/>
    <w:rsid w:val="1D664D2C"/>
    <w:rsid w:val="1D6A6EED"/>
    <w:rsid w:val="1D6E35AD"/>
    <w:rsid w:val="1D8D1AF4"/>
    <w:rsid w:val="1DA03128"/>
    <w:rsid w:val="1DA26BDF"/>
    <w:rsid w:val="1DA350FF"/>
    <w:rsid w:val="1DAC5362"/>
    <w:rsid w:val="1DB3429B"/>
    <w:rsid w:val="1DE145E0"/>
    <w:rsid w:val="1DE37094"/>
    <w:rsid w:val="1DFA1472"/>
    <w:rsid w:val="1DFB3F12"/>
    <w:rsid w:val="1E0C059A"/>
    <w:rsid w:val="1E230BDE"/>
    <w:rsid w:val="1E247634"/>
    <w:rsid w:val="1E247961"/>
    <w:rsid w:val="1E302A17"/>
    <w:rsid w:val="1E436DB2"/>
    <w:rsid w:val="1E58760A"/>
    <w:rsid w:val="1E731B28"/>
    <w:rsid w:val="1E736742"/>
    <w:rsid w:val="1E746983"/>
    <w:rsid w:val="1E8F0F8E"/>
    <w:rsid w:val="1E950147"/>
    <w:rsid w:val="1EA05A0C"/>
    <w:rsid w:val="1EA34AD4"/>
    <w:rsid w:val="1EAF485F"/>
    <w:rsid w:val="1EB54741"/>
    <w:rsid w:val="1EBB1E0D"/>
    <w:rsid w:val="1ECA5B8E"/>
    <w:rsid w:val="1EDB762C"/>
    <w:rsid w:val="1EDF18B6"/>
    <w:rsid w:val="1EE431E8"/>
    <w:rsid w:val="1F0B0C4C"/>
    <w:rsid w:val="1F115ECF"/>
    <w:rsid w:val="1F546226"/>
    <w:rsid w:val="1F5C21FD"/>
    <w:rsid w:val="1F6138F9"/>
    <w:rsid w:val="1F63408D"/>
    <w:rsid w:val="1F65194D"/>
    <w:rsid w:val="1F6967B8"/>
    <w:rsid w:val="1F6C2D74"/>
    <w:rsid w:val="1F723EE3"/>
    <w:rsid w:val="1F887D2E"/>
    <w:rsid w:val="1F897842"/>
    <w:rsid w:val="1F8E36CF"/>
    <w:rsid w:val="1F9F4FA2"/>
    <w:rsid w:val="1FB6524A"/>
    <w:rsid w:val="1FE75612"/>
    <w:rsid w:val="1FE842E7"/>
    <w:rsid w:val="1FFD539C"/>
    <w:rsid w:val="2012512B"/>
    <w:rsid w:val="20136430"/>
    <w:rsid w:val="205212EA"/>
    <w:rsid w:val="205A4004"/>
    <w:rsid w:val="206A35BB"/>
    <w:rsid w:val="206D4753"/>
    <w:rsid w:val="207C55D1"/>
    <w:rsid w:val="208863EE"/>
    <w:rsid w:val="20936033"/>
    <w:rsid w:val="209D454A"/>
    <w:rsid w:val="20A71DBE"/>
    <w:rsid w:val="20B363DF"/>
    <w:rsid w:val="20B8621B"/>
    <w:rsid w:val="20CE13ED"/>
    <w:rsid w:val="20E23A13"/>
    <w:rsid w:val="20EC58DA"/>
    <w:rsid w:val="21021984"/>
    <w:rsid w:val="210B645A"/>
    <w:rsid w:val="21176AF6"/>
    <w:rsid w:val="211E5D7D"/>
    <w:rsid w:val="212F7A99"/>
    <w:rsid w:val="2139098A"/>
    <w:rsid w:val="214B32E6"/>
    <w:rsid w:val="21565A2C"/>
    <w:rsid w:val="21722AD1"/>
    <w:rsid w:val="217648CA"/>
    <w:rsid w:val="217C3A90"/>
    <w:rsid w:val="219A5304"/>
    <w:rsid w:val="21A32552"/>
    <w:rsid w:val="21A734E1"/>
    <w:rsid w:val="21AD32B9"/>
    <w:rsid w:val="21B1732D"/>
    <w:rsid w:val="21B26DD5"/>
    <w:rsid w:val="21B44156"/>
    <w:rsid w:val="21B67D2D"/>
    <w:rsid w:val="21C417EC"/>
    <w:rsid w:val="21C5340B"/>
    <w:rsid w:val="21EF50E1"/>
    <w:rsid w:val="222D0BC1"/>
    <w:rsid w:val="226E4EB0"/>
    <w:rsid w:val="22716DA9"/>
    <w:rsid w:val="228174F2"/>
    <w:rsid w:val="228F60A9"/>
    <w:rsid w:val="2290412C"/>
    <w:rsid w:val="229B7004"/>
    <w:rsid w:val="22A00B33"/>
    <w:rsid w:val="22A20197"/>
    <w:rsid w:val="22B36277"/>
    <w:rsid w:val="22D5721F"/>
    <w:rsid w:val="22DB4A04"/>
    <w:rsid w:val="22ED78B1"/>
    <w:rsid w:val="22F60FDF"/>
    <w:rsid w:val="232164A4"/>
    <w:rsid w:val="23253AC2"/>
    <w:rsid w:val="2330434A"/>
    <w:rsid w:val="233D6FAB"/>
    <w:rsid w:val="2349430D"/>
    <w:rsid w:val="234F3CB0"/>
    <w:rsid w:val="235C3954"/>
    <w:rsid w:val="23630F44"/>
    <w:rsid w:val="23687AFD"/>
    <w:rsid w:val="236965E6"/>
    <w:rsid w:val="238207AD"/>
    <w:rsid w:val="239336FA"/>
    <w:rsid w:val="239665F3"/>
    <w:rsid w:val="239D4BD2"/>
    <w:rsid w:val="23A04402"/>
    <w:rsid w:val="23B1279A"/>
    <w:rsid w:val="23C06BA2"/>
    <w:rsid w:val="23C9355E"/>
    <w:rsid w:val="23D12394"/>
    <w:rsid w:val="23D97A5F"/>
    <w:rsid w:val="23F0072D"/>
    <w:rsid w:val="23F0516B"/>
    <w:rsid w:val="23FD0C91"/>
    <w:rsid w:val="24057FC8"/>
    <w:rsid w:val="240834DE"/>
    <w:rsid w:val="24115EA9"/>
    <w:rsid w:val="24177902"/>
    <w:rsid w:val="244A225F"/>
    <w:rsid w:val="24530866"/>
    <w:rsid w:val="24610C3D"/>
    <w:rsid w:val="24624AAD"/>
    <w:rsid w:val="24692665"/>
    <w:rsid w:val="246D35EF"/>
    <w:rsid w:val="2473018F"/>
    <w:rsid w:val="24802137"/>
    <w:rsid w:val="249E7D5C"/>
    <w:rsid w:val="24A0419E"/>
    <w:rsid w:val="24DB0A78"/>
    <w:rsid w:val="24E73E73"/>
    <w:rsid w:val="24EE4877"/>
    <w:rsid w:val="24F042ED"/>
    <w:rsid w:val="24F414B1"/>
    <w:rsid w:val="24FF1E28"/>
    <w:rsid w:val="251C1370"/>
    <w:rsid w:val="25310A82"/>
    <w:rsid w:val="253569BB"/>
    <w:rsid w:val="25396722"/>
    <w:rsid w:val="253B4951"/>
    <w:rsid w:val="254F24A2"/>
    <w:rsid w:val="256B3439"/>
    <w:rsid w:val="25791DD2"/>
    <w:rsid w:val="258A51A6"/>
    <w:rsid w:val="259E4C82"/>
    <w:rsid w:val="25B520C7"/>
    <w:rsid w:val="25B553B9"/>
    <w:rsid w:val="25BB4979"/>
    <w:rsid w:val="25C363F1"/>
    <w:rsid w:val="25C92AE1"/>
    <w:rsid w:val="25DA16DD"/>
    <w:rsid w:val="25DD19FA"/>
    <w:rsid w:val="25E7096A"/>
    <w:rsid w:val="25E87891"/>
    <w:rsid w:val="25EC467B"/>
    <w:rsid w:val="25F03408"/>
    <w:rsid w:val="26002B23"/>
    <w:rsid w:val="26013CBF"/>
    <w:rsid w:val="26036512"/>
    <w:rsid w:val="26135971"/>
    <w:rsid w:val="261372DA"/>
    <w:rsid w:val="261D2218"/>
    <w:rsid w:val="26333950"/>
    <w:rsid w:val="263758F0"/>
    <w:rsid w:val="263A7053"/>
    <w:rsid w:val="263E54DC"/>
    <w:rsid w:val="26450CB7"/>
    <w:rsid w:val="264777D9"/>
    <w:rsid w:val="264F0351"/>
    <w:rsid w:val="266D5535"/>
    <w:rsid w:val="267D744D"/>
    <w:rsid w:val="26967E82"/>
    <w:rsid w:val="269876D3"/>
    <w:rsid w:val="26BD420F"/>
    <w:rsid w:val="26C419CE"/>
    <w:rsid w:val="26C6392A"/>
    <w:rsid w:val="26D10808"/>
    <w:rsid w:val="26E4040B"/>
    <w:rsid w:val="26EB0604"/>
    <w:rsid w:val="26FB04B3"/>
    <w:rsid w:val="27003CED"/>
    <w:rsid w:val="270E1163"/>
    <w:rsid w:val="27103418"/>
    <w:rsid w:val="271414AB"/>
    <w:rsid w:val="27801CB5"/>
    <w:rsid w:val="27A44EC3"/>
    <w:rsid w:val="27BC1DE6"/>
    <w:rsid w:val="27F361B5"/>
    <w:rsid w:val="280C55A0"/>
    <w:rsid w:val="281005F6"/>
    <w:rsid w:val="281201EF"/>
    <w:rsid w:val="281F2C62"/>
    <w:rsid w:val="282966B1"/>
    <w:rsid w:val="28316093"/>
    <w:rsid w:val="28405309"/>
    <w:rsid w:val="284A4177"/>
    <w:rsid w:val="28691DDD"/>
    <w:rsid w:val="288271E7"/>
    <w:rsid w:val="288D75BC"/>
    <w:rsid w:val="28C15112"/>
    <w:rsid w:val="28C44A44"/>
    <w:rsid w:val="28C745E9"/>
    <w:rsid w:val="28D02A64"/>
    <w:rsid w:val="28D54B9F"/>
    <w:rsid w:val="28DD4269"/>
    <w:rsid w:val="28F7386B"/>
    <w:rsid w:val="291857E3"/>
    <w:rsid w:val="291D34BA"/>
    <w:rsid w:val="292337E5"/>
    <w:rsid w:val="292B59DA"/>
    <w:rsid w:val="293556BF"/>
    <w:rsid w:val="29380A65"/>
    <w:rsid w:val="29407C18"/>
    <w:rsid w:val="29424D22"/>
    <w:rsid w:val="2949068A"/>
    <w:rsid w:val="29796457"/>
    <w:rsid w:val="29884E29"/>
    <w:rsid w:val="29927F0B"/>
    <w:rsid w:val="29955CC7"/>
    <w:rsid w:val="299643E0"/>
    <w:rsid w:val="299A2E15"/>
    <w:rsid w:val="29B5012C"/>
    <w:rsid w:val="29BB0302"/>
    <w:rsid w:val="29CE1B76"/>
    <w:rsid w:val="29DB582C"/>
    <w:rsid w:val="29F9724C"/>
    <w:rsid w:val="2A1502C9"/>
    <w:rsid w:val="2A2040D2"/>
    <w:rsid w:val="2A295337"/>
    <w:rsid w:val="2A2F0769"/>
    <w:rsid w:val="2A2F2642"/>
    <w:rsid w:val="2A326FB3"/>
    <w:rsid w:val="2A357DCE"/>
    <w:rsid w:val="2A4B220F"/>
    <w:rsid w:val="2A4C2C3D"/>
    <w:rsid w:val="2A695B2A"/>
    <w:rsid w:val="2A6C7317"/>
    <w:rsid w:val="2A863051"/>
    <w:rsid w:val="2A876AE8"/>
    <w:rsid w:val="2A9C5B30"/>
    <w:rsid w:val="2ABD6520"/>
    <w:rsid w:val="2ACD3FFB"/>
    <w:rsid w:val="2AD82E5B"/>
    <w:rsid w:val="2AD86DF8"/>
    <w:rsid w:val="2ADF4DF1"/>
    <w:rsid w:val="2AE76459"/>
    <w:rsid w:val="2AED3CFA"/>
    <w:rsid w:val="2AED757D"/>
    <w:rsid w:val="2AEE177B"/>
    <w:rsid w:val="2AFA7C6E"/>
    <w:rsid w:val="2AFD3F94"/>
    <w:rsid w:val="2B0425EF"/>
    <w:rsid w:val="2B0F540C"/>
    <w:rsid w:val="2B180D77"/>
    <w:rsid w:val="2B2217ED"/>
    <w:rsid w:val="2B3876E5"/>
    <w:rsid w:val="2B470D06"/>
    <w:rsid w:val="2B4E2547"/>
    <w:rsid w:val="2B685EB4"/>
    <w:rsid w:val="2B6D030D"/>
    <w:rsid w:val="2B79793F"/>
    <w:rsid w:val="2B7B67CF"/>
    <w:rsid w:val="2B9F159F"/>
    <w:rsid w:val="2BB01953"/>
    <w:rsid w:val="2BCC2C8F"/>
    <w:rsid w:val="2C0702A5"/>
    <w:rsid w:val="2C0A6A50"/>
    <w:rsid w:val="2C116EC1"/>
    <w:rsid w:val="2C315D2C"/>
    <w:rsid w:val="2C321677"/>
    <w:rsid w:val="2C4B05A4"/>
    <w:rsid w:val="2C517CA0"/>
    <w:rsid w:val="2C6E0B15"/>
    <w:rsid w:val="2C7D1493"/>
    <w:rsid w:val="2C8A4679"/>
    <w:rsid w:val="2C952DB1"/>
    <w:rsid w:val="2C9C3418"/>
    <w:rsid w:val="2CAC29D6"/>
    <w:rsid w:val="2CB957BB"/>
    <w:rsid w:val="2CB96DA8"/>
    <w:rsid w:val="2CBD0162"/>
    <w:rsid w:val="2CD87E52"/>
    <w:rsid w:val="2CF7194D"/>
    <w:rsid w:val="2D0136F6"/>
    <w:rsid w:val="2D2B45A9"/>
    <w:rsid w:val="2D3124F3"/>
    <w:rsid w:val="2D5D78C1"/>
    <w:rsid w:val="2D946260"/>
    <w:rsid w:val="2D9F3564"/>
    <w:rsid w:val="2DB9365A"/>
    <w:rsid w:val="2DBA4F26"/>
    <w:rsid w:val="2DBB3AF4"/>
    <w:rsid w:val="2DFE6DDA"/>
    <w:rsid w:val="2E020E22"/>
    <w:rsid w:val="2E093F97"/>
    <w:rsid w:val="2E0F6725"/>
    <w:rsid w:val="2E4F2027"/>
    <w:rsid w:val="2E50181A"/>
    <w:rsid w:val="2E6063BA"/>
    <w:rsid w:val="2E6B04F6"/>
    <w:rsid w:val="2E7935F3"/>
    <w:rsid w:val="2E8C5D75"/>
    <w:rsid w:val="2E965E1A"/>
    <w:rsid w:val="2E9E470A"/>
    <w:rsid w:val="2EA2459E"/>
    <w:rsid w:val="2EB423ED"/>
    <w:rsid w:val="2EB55549"/>
    <w:rsid w:val="2ED6413C"/>
    <w:rsid w:val="2EED0F1A"/>
    <w:rsid w:val="2EFC4E43"/>
    <w:rsid w:val="2F036FFA"/>
    <w:rsid w:val="2F050AB9"/>
    <w:rsid w:val="2F0D1703"/>
    <w:rsid w:val="2F12101B"/>
    <w:rsid w:val="2F260A8B"/>
    <w:rsid w:val="2F27403D"/>
    <w:rsid w:val="2F2A7B88"/>
    <w:rsid w:val="2F415B6A"/>
    <w:rsid w:val="2F53116E"/>
    <w:rsid w:val="2F596B17"/>
    <w:rsid w:val="2F5E21F8"/>
    <w:rsid w:val="2F781BEF"/>
    <w:rsid w:val="2FCC5607"/>
    <w:rsid w:val="2FD31004"/>
    <w:rsid w:val="2FD85DE3"/>
    <w:rsid w:val="2FE701DF"/>
    <w:rsid w:val="2FE7726A"/>
    <w:rsid w:val="2FEF38D2"/>
    <w:rsid w:val="2FF26EB1"/>
    <w:rsid w:val="30133FEC"/>
    <w:rsid w:val="301744B8"/>
    <w:rsid w:val="303A6A53"/>
    <w:rsid w:val="305A788F"/>
    <w:rsid w:val="30723049"/>
    <w:rsid w:val="307D7349"/>
    <w:rsid w:val="308906E6"/>
    <w:rsid w:val="3099322C"/>
    <w:rsid w:val="309B7CE6"/>
    <w:rsid w:val="30A32685"/>
    <w:rsid w:val="30CF1847"/>
    <w:rsid w:val="30E10353"/>
    <w:rsid w:val="30E63698"/>
    <w:rsid w:val="30F32E4E"/>
    <w:rsid w:val="30FA6627"/>
    <w:rsid w:val="31146FB1"/>
    <w:rsid w:val="313B34E4"/>
    <w:rsid w:val="314A515C"/>
    <w:rsid w:val="314F6109"/>
    <w:rsid w:val="31570D97"/>
    <w:rsid w:val="31605B6B"/>
    <w:rsid w:val="31655EC8"/>
    <w:rsid w:val="31667D21"/>
    <w:rsid w:val="319B633D"/>
    <w:rsid w:val="31A50089"/>
    <w:rsid w:val="31AA2E09"/>
    <w:rsid w:val="31AE180F"/>
    <w:rsid w:val="31B1512E"/>
    <w:rsid w:val="31B6389F"/>
    <w:rsid w:val="31C34CA7"/>
    <w:rsid w:val="31CA2CA7"/>
    <w:rsid w:val="31CF0B79"/>
    <w:rsid w:val="31D76AEA"/>
    <w:rsid w:val="31DE235E"/>
    <w:rsid w:val="31F04214"/>
    <w:rsid w:val="31F87525"/>
    <w:rsid w:val="31FB70AF"/>
    <w:rsid w:val="31FF4D35"/>
    <w:rsid w:val="32140399"/>
    <w:rsid w:val="321E7FA0"/>
    <w:rsid w:val="32291C1E"/>
    <w:rsid w:val="322E2ED7"/>
    <w:rsid w:val="323D6C3E"/>
    <w:rsid w:val="32410290"/>
    <w:rsid w:val="3259416D"/>
    <w:rsid w:val="32734FC4"/>
    <w:rsid w:val="327B2ECD"/>
    <w:rsid w:val="327C3CF9"/>
    <w:rsid w:val="328B38E5"/>
    <w:rsid w:val="328D13DF"/>
    <w:rsid w:val="32D14FD0"/>
    <w:rsid w:val="32D35123"/>
    <w:rsid w:val="32E35AB6"/>
    <w:rsid w:val="32EF565B"/>
    <w:rsid w:val="32F26657"/>
    <w:rsid w:val="3304573D"/>
    <w:rsid w:val="33080F81"/>
    <w:rsid w:val="331443C4"/>
    <w:rsid w:val="33301D0B"/>
    <w:rsid w:val="333F6D74"/>
    <w:rsid w:val="33453BD9"/>
    <w:rsid w:val="33547F3B"/>
    <w:rsid w:val="337377D4"/>
    <w:rsid w:val="33775020"/>
    <w:rsid w:val="337B0DB2"/>
    <w:rsid w:val="33800E19"/>
    <w:rsid w:val="33963DF0"/>
    <w:rsid w:val="33987472"/>
    <w:rsid w:val="33B81CF4"/>
    <w:rsid w:val="33C2127A"/>
    <w:rsid w:val="33D40B08"/>
    <w:rsid w:val="33D421CD"/>
    <w:rsid w:val="33EA77DA"/>
    <w:rsid w:val="33EC2D9B"/>
    <w:rsid w:val="33F616AD"/>
    <w:rsid w:val="342C7029"/>
    <w:rsid w:val="344F39A6"/>
    <w:rsid w:val="34521C7C"/>
    <w:rsid w:val="34821B53"/>
    <w:rsid w:val="348670BC"/>
    <w:rsid w:val="34A14AE4"/>
    <w:rsid w:val="34A8077A"/>
    <w:rsid w:val="34D13489"/>
    <w:rsid w:val="34D41325"/>
    <w:rsid w:val="34E41CFD"/>
    <w:rsid w:val="34FA406D"/>
    <w:rsid w:val="35134ED1"/>
    <w:rsid w:val="351E1CF1"/>
    <w:rsid w:val="35216AE7"/>
    <w:rsid w:val="352B27FB"/>
    <w:rsid w:val="3535115B"/>
    <w:rsid w:val="35363489"/>
    <w:rsid w:val="3541291C"/>
    <w:rsid w:val="35615559"/>
    <w:rsid w:val="356354FA"/>
    <w:rsid w:val="356F3BB0"/>
    <w:rsid w:val="357C41D9"/>
    <w:rsid w:val="358C41D7"/>
    <w:rsid w:val="359A307E"/>
    <w:rsid w:val="359F4304"/>
    <w:rsid w:val="35AB5616"/>
    <w:rsid w:val="35B00AA5"/>
    <w:rsid w:val="35B422DA"/>
    <w:rsid w:val="35C51944"/>
    <w:rsid w:val="35F061DD"/>
    <w:rsid w:val="35F21CBF"/>
    <w:rsid w:val="35F548BA"/>
    <w:rsid w:val="35FD7A5D"/>
    <w:rsid w:val="35FE0BA4"/>
    <w:rsid w:val="36017203"/>
    <w:rsid w:val="36044CAC"/>
    <w:rsid w:val="361436A3"/>
    <w:rsid w:val="36205868"/>
    <w:rsid w:val="36240E0E"/>
    <w:rsid w:val="362B4B6B"/>
    <w:rsid w:val="363D7BCF"/>
    <w:rsid w:val="3640708F"/>
    <w:rsid w:val="36434EE8"/>
    <w:rsid w:val="36592DE8"/>
    <w:rsid w:val="365F40C1"/>
    <w:rsid w:val="36600E92"/>
    <w:rsid w:val="366208C9"/>
    <w:rsid w:val="3676742A"/>
    <w:rsid w:val="36822E1D"/>
    <w:rsid w:val="36915D59"/>
    <w:rsid w:val="369C526F"/>
    <w:rsid w:val="36A501F0"/>
    <w:rsid w:val="36AC4344"/>
    <w:rsid w:val="36BC2CFF"/>
    <w:rsid w:val="36C572CB"/>
    <w:rsid w:val="36D56D85"/>
    <w:rsid w:val="36D67726"/>
    <w:rsid w:val="36DD5A4A"/>
    <w:rsid w:val="36E839BC"/>
    <w:rsid w:val="36FB6AC8"/>
    <w:rsid w:val="37006263"/>
    <w:rsid w:val="37022D72"/>
    <w:rsid w:val="37307F67"/>
    <w:rsid w:val="3734531E"/>
    <w:rsid w:val="373C2155"/>
    <w:rsid w:val="37412624"/>
    <w:rsid w:val="374E22D5"/>
    <w:rsid w:val="374E6BDB"/>
    <w:rsid w:val="37574D6E"/>
    <w:rsid w:val="376F5CCD"/>
    <w:rsid w:val="377A61BA"/>
    <w:rsid w:val="377B3686"/>
    <w:rsid w:val="378A69AE"/>
    <w:rsid w:val="37A44758"/>
    <w:rsid w:val="37A778DB"/>
    <w:rsid w:val="37AB4D31"/>
    <w:rsid w:val="37F12511"/>
    <w:rsid w:val="37F667A6"/>
    <w:rsid w:val="37F90C05"/>
    <w:rsid w:val="382D342C"/>
    <w:rsid w:val="384A2968"/>
    <w:rsid w:val="384E7769"/>
    <w:rsid w:val="385002DB"/>
    <w:rsid w:val="387131D1"/>
    <w:rsid w:val="387138E4"/>
    <w:rsid w:val="387519F3"/>
    <w:rsid w:val="38916BDE"/>
    <w:rsid w:val="38AD1D36"/>
    <w:rsid w:val="38BB7C06"/>
    <w:rsid w:val="38BC3C8B"/>
    <w:rsid w:val="38BE2D51"/>
    <w:rsid w:val="3908228E"/>
    <w:rsid w:val="391B5050"/>
    <w:rsid w:val="39216B45"/>
    <w:rsid w:val="3926486B"/>
    <w:rsid w:val="3928570A"/>
    <w:rsid w:val="393A2270"/>
    <w:rsid w:val="39460A3B"/>
    <w:rsid w:val="39485BCE"/>
    <w:rsid w:val="394E260C"/>
    <w:rsid w:val="39636C68"/>
    <w:rsid w:val="396C570C"/>
    <w:rsid w:val="397024A5"/>
    <w:rsid w:val="39791ADD"/>
    <w:rsid w:val="3998004B"/>
    <w:rsid w:val="39997BA6"/>
    <w:rsid w:val="399C0107"/>
    <w:rsid w:val="39AB69F6"/>
    <w:rsid w:val="39AE1224"/>
    <w:rsid w:val="39AE3277"/>
    <w:rsid w:val="39AF6472"/>
    <w:rsid w:val="39B91F2C"/>
    <w:rsid w:val="39C81722"/>
    <w:rsid w:val="39F31751"/>
    <w:rsid w:val="39FD3633"/>
    <w:rsid w:val="3A032728"/>
    <w:rsid w:val="3A210DEE"/>
    <w:rsid w:val="3A2772D3"/>
    <w:rsid w:val="3A2E27C8"/>
    <w:rsid w:val="3A382CD3"/>
    <w:rsid w:val="3A3E03BF"/>
    <w:rsid w:val="3A5A260E"/>
    <w:rsid w:val="3A5C5042"/>
    <w:rsid w:val="3A6B16E8"/>
    <w:rsid w:val="3A6E38CB"/>
    <w:rsid w:val="3A6F5D60"/>
    <w:rsid w:val="3A7865B3"/>
    <w:rsid w:val="3AAA0199"/>
    <w:rsid w:val="3AB66EE8"/>
    <w:rsid w:val="3ABC356A"/>
    <w:rsid w:val="3ABD0BC7"/>
    <w:rsid w:val="3AC0178A"/>
    <w:rsid w:val="3AC31B87"/>
    <w:rsid w:val="3AC468C8"/>
    <w:rsid w:val="3AC67791"/>
    <w:rsid w:val="3AD61A8F"/>
    <w:rsid w:val="3AED6BD3"/>
    <w:rsid w:val="3B4410F0"/>
    <w:rsid w:val="3B4C1584"/>
    <w:rsid w:val="3B5F385B"/>
    <w:rsid w:val="3B6416BF"/>
    <w:rsid w:val="3B716D4B"/>
    <w:rsid w:val="3B793D1A"/>
    <w:rsid w:val="3B806D81"/>
    <w:rsid w:val="3BB63F97"/>
    <w:rsid w:val="3BC2055C"/>
    <w:rsid w:val="3BDC6425"/>
    <w:rsid w:val="3BDF0C5B"/>
    <w:rsid w:val="3BEF2626"/>
    <w:rsid w:val="3C046BC1"/>
    <w:rsid w:val="3C165EA1"/>
    <w:rsid w:val="3C18232D"/>
    <w:rsid w:val="3C2025E5"/>
    <w:rsid w:val="3C22457B"/>
    <w:rsid w:val="3C242FBF"/>
    <w:rsid w:val="3C247E85"/>
    <w:rsid w:val="3C2564BB"/>
    <w:rsid w:val="3C5B4265"/>
    <w:rsid w:val="3C5D07CE"/>
    <w:rsid w:val="3C625985"/>
    <w:rsid w:val="3C76082F"/>
    <w:rsid w:val="3C7B2B3A"/>
    <w:rsid w:val="3C7F3A5E"/>
    <w:rsid w:val="3C8F4478"/>
    <w:rsid w:val="3C987724"/>
    <w:rsid w:val="3CBF11F5"/>
    <w:rsid w:val="3CE951FE"/>
    <w:rsid w:val="3CEC7BD4"/>
    <w:rsid w:val="3CEF3AE0"/>
    <w:rsid w:val="3CF65028"/>
    <w:rsid w:val="3CFB2C9B"/>
    <w:rsid w:val="3D005F6C"/>
    <w:rsid w:val="3D1E0EF0"/>
    <w:rsid w:val="3D381F88"/>
    <w:rsid w:val="3D385DDB"/>
    <w:rsid w:val="3D493A44"/>
    <w:rsid w:val="3D4C11B1"/>
    <w:rsid w:val="3D5A22D4"/>
    <w:rsid w:val="3D9306B3"/>
    <w:rsid w:val="3D94180F"/>
    <w:rsid w:val="3DA81BD2"/>
    <w:rsid w:val="3DAD627E"/>
    <w:rsid w:val="3DD41223"/>
    <w:rsid w:val="3DD63979"/>
    <w:rsid w:val="3DFB1319"/>
    <w:rsid w:val="3E102908"/>
    <w:rsid w:val="3E114AB7"/>
    <w:rsid w:val="3E122C89"/>
    <w:rsid w:val="3E1E276F"/>
    <w:rsid w:val="3E2F1D93"/>
    <w:rsid w:val="3E55075E"/>
    <w:rsid w:val="3E5C73DF"/>
    <w:rsid w:val="3E681345"/>
    <w:rsid w:val="3E7045C7"/>
    <w:rsid w:val="3E7A2340"/>
    <w:rsid w:val="3E844087"/>
    <w:rsid w:val="3E8B09F9"/>
    <w:rsid w:val="3E952C4C"/>
    <w:rsid w:val="3E954364"/>
    <w:rsid w:val="3E985119"/>
    <w:rsid w:val="3E9E2047"/>
    <w:rsid w:val="3EA53729"/>
    <w:rsid w:val="3EBA1D53"/>
    <w:rsid w:val="3ED04A77"/>
    <w:rsid w:val="3EE93E04"/>
    <w:rsid w:val="3EE97961"/>
    <w:rsid w:val="3EF278C0"/>
    <w:rsid w:val="3EF63922"/>
    <w:rsid w:val="3F0970EB"/>
    <w:rsid w:val="3F1A051E"/>
    <w:rsid w:val="3F1C0869"/>
    <w:rsid w:val="3F1C3119"/>
    <w:rsid w:val="3F233925"/>
    <w:rsid w:val="3F2F204B"/>
    <w:rsid w:val="3F49778D"/>
    <w:rsid w:val="3F4C6CE8"/>
    <w:rsid w:val="3F503C1B"/>
    <w:rsid w:val="3F5328FD"/>
    <w:rsid w:val="3F5A2215"/>
    <w:rsid w:val="3F6B52EC"/>
    <w:rsid w:val="3F83000B"/>
    <w:rsid w:val="3F941F4C"/>
    <w:rsid w:val="3F94295F"/>
    <w:rsid w:val="3FA15B78"/>
    <w:rsid w:val="3FAB0EF4"/>
    <w:rsid w:val="3FAB60B0"/>
    <w:rsid w:val="3FB636F7"/>
    <w:rsid w:val="3FB850C1"/>
    <w:rsid w:val="3FBD3A8A"/>
    <w:rsid w:val="3FC369A0"/>
    <w:rsid w:val="3FE146DD"/>
    <w:rsid w:val="3FE9325F"/>
    <w:rsid w:val="3FEF2007"/>
    <w:rsid w:val="3FF250A7"/>
    <w:rsid w:val="40342E1F"/>
    <w:rsid w:val="403B3537"/>
    <w:rsid w:val="40434307"/>
    <w:rsid w:val="4076455E"/>
    <w:rsid w:val="40795E02"/>
    <w:rsid w:val="407F14F0"/>
    <w:rsid w:val="40854466"/>
    <w:rsid w:val="40A05445"/>
    <w:rsid w:val="40AC7BA9"/>
    <w:rsid w:val="40D76677"/>
    <w:rsid w:val="40E1601C"/>
    <w:rsid w:val="40F64FBA"/>
    <w:rsid w:val="40FE3B9F"/>
    <w:rsid w:val="41003DB0"/>
    <w:rsid w:val="41336B88"/>
    <w:rsid w:val="413B0D91"/>
    <w:rsid w:val="417D0058"/>
    <w:rsid w:val="4190455D"/>
    <w:rsid w:val="41AA03F8"/>
    <w:rsid w:val="41CD3503"/>
    <w:rsid w:val="41DD5957"/>
    <w:rsid w:val="41F856DF"/>
    <w:rsid w:val="422C5708"/>
    <w:rsid w:val="422E4822"/>
    <w:rsid w:val="4250145A"/>
    <w:rsid w:val="42523E49"/>
    <w:rsid w:val="425E1554"/>
    <w:rsid w:val="426A084C"/>
    <w:rsid w:val="42754789"/>
    <w:rsid w:val="428827CD"/>
    <w:rsid w:val="429B34DC"/>
    <w:rsid w:val="42BE69D7"/>
    <w:rsid w:val="42D55B65"/>
    <w:rsid w:val="42F25864"/>
    <w:rsid w:val="42F41924"/>
    <w:rsid w:val="430E4C3F"/>
    <w:rsid w:val="4335365D"/>
    <w:rsid w:val="433957E8"/>
    <w:rsid w:val="43395FD9"/>
    <w:rsid w:val="43404B34"/>
    <w:rsid w:val="435C1379"/>
    <w:rsid w:val="43712991"/>
    <w:rsid w:val="437F778B"/>
    <w:rsid w:val="438C142F"/>
    <w:rsid w:val="43A945A4"/>
    <w:rsid w:val="43A97E5E"/>
    <w:rsid w:val="43BB2531"/>
    <w:rsid w:val="43C5339F"/>
    <w:rsid w:val="43D7749F"/>
    <w:rsid w:val="43EE3D70"/>
    <w:rsid w:val="443963F9"/>
    <w:rsid w:val="444A0B38"/>
    <w:rsid w:val="445E033A"/>
    <w:rsid w:val="446B01C1"/>
    <w:rsid w:val="446F0254"/>
    <w:rsid w:val="4478574B"/>
    <w:rsid w:val="448C7B84"/>
    <w:rsid w:val="448F55D7"/>
    <w:rsid w:val="44A37A63"/>
    <w:rsid w:val="44A52FE9"/>
    <w:rsid w:val="44A70903"/>
    <w:rsid w:val="44AB056A"/>
    <w:rsid w:val="44AB6526"/>
    <w:rsid w:val="44B14540"/>
    <w:rsid w:val="44B43A2E"/>
    <w:rsid w:val="44B93160"/>
    <w:rsid w:val="44D7561F"/>
    <w:rsid w:val="44DB421F"/>
    <w:rsid w:val="44F35E1E"/>
    <w:rsid w:val="44F72820"/>
    <w:rsid w:val="450C44B9"/>
    <w:rsid w:val="45194177"/>
    <w:rsid w:val="45253812"/>
    <w:rsid w:val="45532B25"/>
    <w:rsid w:val="456831BA"/>
    <w:rsid w:val="456D462C"/>
    <w:rsid w:val="4579645B"/>
    <w:rsid w:val="45817197"/>
    <w:rsid w:val="458379D6"/>
    <w:rsid w:val="45897FC6"/>
    <w:rsid w:val="4599625F"/>
    <w:rsid w:val="45A32C3A"/>
    <w:rsid w:val="45DA0529"/>
    <w:rsid w:val="45E226B4"/>
    <w:rsid w:val="45EF2C7D"/>
    <w:rsid w:val="45FE0A0E"/>
    <w:rsid w:val="46063208"/>
    <w:rsid w:val="46095DF7"/>
    <w:rsid w:val="460A6961"/>
    <w:rsid w:val="461777AB"/>
    <w:rsid w:val="46184904"/>
    <w:rsid w:val="461D05F2"/>
    <w:rsid w:val="462966C8"/>
    <w:rsid w:val="463D5F0C"/>
    <w:rsid w:val="463E5020"/>
    <w:rsid w:val="46567355"/>
    <w:rsid w:val="4670321D"/>
    <w:rsid w:val="46712003"/>
    <w:rsid w:val="469903F5"/>
    <w:rsid w:val="46AC67D3"/>
    <w:rsid w:val="46C9692D"/>
    <w:rsid w:val="46D17DBE"/>
    <w:rsid w:val="4710222D"/>
    <w:rsid w:val="47105324"/>
    <w:rsid w:val="47135D7F"/>
    <w:rsid w:val="472D6E53"/>
    <w:rsid w:val="4739506B"/>
    <w:rsid w:val="474712B5"/>
    <w:rsid w:val="4749343F"/>
    <w:rsid w:val="476D6D18"/>
    <w:rsid w:val="477D377B"/>
    <w:rsid w:val="4783151D"/>
    <w:rsid w:val="47912074"/>
    <w:rsid w:val="47973751"/>
    <w:rsid w:val="47BA2F8D"/>
    <w:rsid w:val="47BA38BA"/>
    <w:rsid w:val="48082CAB"/>
    <w:rsid w:val="481C0975"/>
    <w:rsid w:val="482C47F7"/>
    <w:rsid w:val="482D67AB"/>
    <w:rsid w:val="483C7010"/>
    <w:rsid w:val="4852631D"/>
    <w:rsid w:val="48632753"/>
    <w:rsid w:val="48717B26"/>
    <w:rsid w:val="487C1B1D"/>
    <w:rsid w:val="489A5B99"/>
    <w:rsid w:val="48A52D94"/>
    <w:rsid w:val="48A85F16"/>
    <w:rsid w:val="48B10F5E"/>
    <w:rsid w:val="48B126EF"/>
    <w:rsid w:val="48C23D0D"/>
    <w:rsid w:val="48D054DB"/>
    <w:rsid w:val="48E20E54"/>
    <w:rsid w:val="48E70416"/>
    <w:rsid w:val="48EB19BF"/>
    <w:rsid w:val="48F158E5"/>
    <w:rsid w:val="48FC627F"/>
    <w:rsid w:val="491F4423"/>
    <w:rsid w:val="494055BD"/>
    <w:rsid w:val="49414AE9"/>
    <w:rsid w:val="494E5DE3"/>
    <w:rsid w:val="49562FE0"/>
    <w:rsid w:val="495849AF"/>
    <w:rsid w:val="496069B4"/>
    <w:rsid w:val="49711F77"/>
    <w:rsid w:val="49852CBE"/>
    <w:rsid w:val="49923258"/>
    <w:rsid w:val="49933F54"/>
    <w:rsid w:val="49CB4087"/>
    <w:rsid w:val="49D617AF"/>
    <w:rsid w:val="4A0140DC"/>
    <w:rsid w:val="4A1D3AD3"/>
    <w:rsid w:val="4A2B453A"/>
    <w:rsid w:val="4A477C68"/>
    <w:rsid w:val="4A5756F3"/>
    <w:rsid w:val="4A5B288E"/>
    <w:rsid w:val="4A623FA8"/>
    <w:rsid w:val="4A786D0F"/>
    <w:rsid w:val="4A7B31F9"/>
    <w:rsid w:val="4A9216E3"/>
    <w:rsid w:val="4A95601A"/>
    <w:rsid w:val="4A99460D"/>
    <w:rsid w:val="4A9B7DF4"/>
    <w:rsid w:val="4AA33A56"/>
    <w:rsid w:val="4AAB04B2"/>
    <w:rsid w:val="4AAB6A4B"/>
    <w:rsid w:val="4AB3135C"/>
    <w:rsid w:val="4ABA5865"/>
    <w:rsid w:val="4ACA372F"/>
    <w:rsid w:val="4ACE7A99"/>
    <w:rsid w:val="4AD3346E"/>
    <w:rsid w:val="4AF6514A"/>
    <w:rsid w:val="4AFC7E8E"/>
    <w:rsid w:val="4AFD7B6C"/>
    <w:rsid w:val="4B01301B"/>
    <w:rsid w:val="4B1D5DC5"/>
    <w:rsid w:val="4B2452BC"/>
    <w:rsid w:val="4B2C506A"/>
    <w:rsid w:val="4B2C7BD5"/>
    <w:rsid w:val="4B306368"/>
    <w:rsid w:val="4B4279AF"/>
    <w:rsid w:val="4B444CED"/>
    <w:rsid w:val="4B492A00"/>
    <w:rsid w:val="4B4E7C97"/>
    <w:rsid w:val="4B71056A"/>
    <w:rsid w:val="4B733712"/>
    <w:rsid w:val="4B736FEC"/>
    <w:rsid w:val="4B79341C"/>
    <w:rsid w:val="4B80697B"/>
    <w:rsid w:val="4B8170EF"/>
    <w:rsid w:val="4B9545BC"/>
    <w:rsid w:val="4B9D44F4"/>
    <w:rsid w:val="4BD509F4"/>
    <w:rsid w:val="4BDE4A4B"/>
    <w:rsid w:val="4BE26B5C"/>
    <w:rsid w:val="4BF316AA"/>
    <w:rsid w:val="4C0B6D51"/>
    <w:rsid w:val="4C1E287B"/>
    <w:rsid w:val="4C3D187C"/>
    <w:rsid w:val="4C514546"/>
    <w:rsid w:val="4C6B501B"/>
    <w:rsid w:val="4C6C7675"/>
    <w:rsid w:val="4C733602"/>
    <w:rsid w:val="4C7F32A8"/>
    <w:rsid w:val="4C87104A"/>
    <w:rsid w:val="4C972AB6"/>
    <w:rsid w:val="4C992E1F"/>
    <w:rsid w:val="4CA931AC"/>
    <w:rsid w:val="4CAF1D8E"/>
    <w:rsid w:val="4CC364FF"/>
    <w:rsid w:val="4CC45121"/>
    <w:rsid w:val="4CD049E1"/>
    <w:rsid w:val="4CD71626"/>
    <w:rsid w:val="4CEB3221"/>
    <w:rsid w:val="4CF72870"/>
    <w:rsid w:val="4D0D3436"/>
    <w:rsid w:val="4D116A8C"/>
    <w:rsid w:val="4D123444"/>
    <w:rsid w:val="4D1F0B2D"/>
    <w:rsid w:val="4D2346DA"/>
    <w:rsid w:val="4D3B39F2"/>
    <w:rsid w:val="4D3C337B"/>
    <w:rsid w:val="4D4B5A29"/>
    <w:rsid w:val="4D555A6E"/>
    <w:rsid w:val="4D623103"/>
    <w:rsid w:val="4D68094D"/>
    <w:rsid w:val="4D684F6E"/>
    <w:rsid w:val="4D7814A6"/>
    <w:rsid w:val="4D7B7D91"/>
    <w:rsid w:val="4D945B1F"/>
    <w:rsid w:val="4D961C68"/>
    <w:rsid w:val="4DB87D11"/>
    <w:rsid w:val="4DD007A5"/>
    <w:rsid w:val="4DD13112"/>
    <w:rsid w:val="4DD3309B"/>
    <w:rsid w:val="4DD8347A"/>
    <w:rsid w:val="4DF63B7D"/>
    <w:rsid w:val="4DFB2D5D"/>
    <w:rsid w:val="4DFB7B78"/>
    <w:rsid w:val="4DFC335B"/>
    <w:rsid w:val="4DFD3576"/>
    <w:rsid w:val="4DFD3F9D"/>
    <w:rsid w:val="4E0E2C9E"/>
    <w:rsid w:val="4E1228B7"/>
    <w:rsid w:val="4E166718"/>
    <w:rsid w:val="4E1B46A5"/>
    <w:rsid w:val="4E1C456A"/>
    <w:rsid w:val="4E2021D5"/>
    <w:rsid w:val="4E21506C"/>
    <w:rsid w:val="4E2355F3"/>
    <w:rsid w:val="4E4A7540"/>
    <w:rsid w:val="4E676BB0"/>
    <w:rsid w:val="4E7C381A"/>
    <w:rsid w:val="4EB432F8"/>
    <w:rsid w:val="4EC744EC"/>
    <w:rsid w:val="4ED04C69"/>
    <w:rsid w:val="4ED507F6"/>
    <w:rsid w:val="4EDE7C80"/>
    <w:rsid w:val="4EE63455"/>
    <w:rsid w:val="4EE8763A"/>
    <w:rsid w:val="4EE90491"/>
    <w:rsid w:val="4EEB5CB4"/>
    <w:rsid w:val="4EED01D5"/>
    <w:rsid w:val="4EED657E"/>
    <w:rsid w:val="4EFB0CD0"/>
    <w:rsid w:val="4F0D6DE1"/>
    <w:rsid w:val="4F147580"/>
    <w:rsid w:val="4F250268"/>
    <w:rsid w:val="4F252B31"/>
    <w:rsid w:val="4F496D42"/>
    <w:rsid w:val="4F501631"/>
    <w:rsid w:val="4F5C52AF"/>
    <w:rsid w:val="4F61484A"/>
    <w:rsid w:val="4F6D2869"/>
    <w:rsid w:val="4F6D2DFE"/>
    <w:rsid w:val="4F7F08EE"/>
    <w:rsid w:val="4F8501FF"/>
    <w:rsid w:val="4F876C88"/>
    <w:rsid w:val="4FAC7EDB"/>
    <w:rsid w:val="4FB52383"/>
    <w:rsid w:val="4FBA6F55"/>
    <w:rsid w:val="4FDC1578"/>
    <w:rsid w:val="4FE44E23"/>
    <w:rsid w:val="4FE55C0A"/>
    <w:rsid w:val="4FE912AB"/>
    <w:rsid w:val="4FF059EA"/>
    <w:rsid w:val="4FFF4908"/>
    <w:rsid w:val="500D4E90"/>
    <w:rsid w:val="500E4A66"/>
    <w:rsid w:val="501511D4"/>
    <w:rsid w:val="502B43D5"/>
    <w:rsid w:val="503A6CC2"/>
    <w:rsid w:val="505558F2"/>
    <w:rsid w:val="507B5930"/>
    <w:rsid w:val="50843D18"/>
    <w:rsid w:val="508A116B"/>
    <w:rsid w:val="5092553E"/>
    <w:rsid w:val="509437B7"/>
    <w:rsid w:val="50A71D1D"/>
    <w:rsid w:val="50AA3B48"/>
    <w:rsid w:val="50AB2007"/>
    <w:rsid w:val="50AD5F80"/>
    <w:rsid w:val="50B72BFD"/>
    <w:rsid w:val="50C8025B"/>
    <w:rsid w:val="50C83927"/>
    <w:rsid w:val="50D643A0"/>
    <w:rsid w:val="50DC0111"/>
    <w:rsid w:val="50E90E4D"/>
    <w:rsid w:val="50EF18B9"/>
    <w:rsid w:val="50F2381B"/>
    <w:rsid w:val="50F5516F"/>
    <w:rsid w:val="51073612"/>
    <w:rsid w:val="51206DA9"/>
    <w:rsid w:val="512F75B8"/>
    <w:rsid w:val="51327901"/>
    <w:rsid w:val="514A436A"/>
    <w:rsid w:val="515774DF"/>
    <w:rsid w:val="516D4963"/>
    <w:rsid w:val="518B5123"/>
    <w:rsid w:val="51AA43DA"/>
    <w:rsid w:val="51B310CE"/>
    <w:rsid w:val="51D37F66"/>
    <w:rsid w:val="51E03964"/>
    <w:rsid w:val="51E51B83"/>
    <w:rsid w:val="51E57DEC"/>
    <w:rsid w:val="51E61C55"/>
    <w:rsid w:val="51EC5F2B"/>
    <w:rsid w:val="51FB1F8F"/>
    <w:rsid w:val="52056221"/>
    <w:rsid w:val="522259BD"/>
    <w:rsid w:val="522F3A85"/>
    <w:rsid w:val="524351EC"/>
    <w:rsid w:val="52487908"/>
    <w:rsid w:val="524A32E0"/>
    <w:rsid w:val="524A79AD"/>
    <w:rsid w:val="525548DD"/>
    <w:rsid w:val="5264613C"/>
    <w:rsid w:val="5267085C"/>
    <w:rsid w:val="526A7A81"/>
    <w:rsid w:val="52867279"/>
    <w:rsid w:val="528817F3"/>
    <w:rsid w:val="528832AE"/>
    <w:rsid w:val="52892AF8"/>
    <w:rsid w:val="528C60BE"/>
    <w:rsid w:val="528D0546"/>
    <w:rsid w:val="529E2CE4"/>
    <w:rsid w:val="52A8139B"/>
    <w:rsid w:val="52A97A59"/>
    <w:rsid w:val="52B934BF"/>
    <w:rsid w:val="52BE7ACF"/>
    <w:rsid w:val="52CD7EAF"/>
    <w:rsid w:val="52DD2DA5"/>
    <w:rsid w:val="52EB0475"/>
    <w:rsid w:val="52F2525A"/>
    <w:rsid w:val="52F9149B"/>
    <w:rsid w:val="52FE25DF"/>
    <w:rsid w:val="53101AD7"/>
    <w:rsid w:val="531A54B7"/>
    <w:rsid w:val="53250E8E"/>
    <w:rsid w:val="53280988"/>
    <w:rsid w:val="53342F91"/>
    <w:rsid w:val="53547B65"/>
    <w:rsid w:val="53574DDD"/>
    <w:rsid w:val="535D6353"/>
    <w:rsid w:val="5376353A"/>
    <w:rsid w:val="53766ABA"/>
    <w:rsid w:val="53783C70"/>
    <w:rsid w:val="53801D8B"/>
    <w:rsid w:val="53897E2C"/>
    <w:rsid w:val="53993D24"/>
    <w:rsid w:val="53B947CD"/>
    <w:rsid w:val="53E143AE"/>
    <w:rsid w:val="53EA2489"/>
    <w:rsid w:val="53EF0E0D"/>
    <w:rsid w:val="53F97360"/>
    <w:rsid w:val="54027A7C"/>
    <w:rsid w:val="54247C4A"/>
    <w:rsid w:val="544C6C18"/>
    <w:rsid w:val="5458268D"/>
    <w:rsid w:val="54716A78"/>
    <w:rsid w:val="54740905"/>
    <w:rsid w:val="547C4D2C"/>
    <w:rsid w:val="54A8734F"/>
    <w:rsid w:val="54E64322"/>
    <w:rsid w:val="54E6738C"/>
    <w:rsid w:val="54F208FE"/>
    <w:rsid w:val="550105D9"/>
    <w:rsid w:val="55040BAD"/>
    <w:rsid w:val="550A1002"/>
    <w:rsid w:val="552F0FF4"/>
    <w:rsid w:val="5534565B"/>
    <w:rsid w:val="553B5B74"/>
    <w:rsid w:val="554064E9"/>
    <w:rsid w:val="5558499C"/>
    <w:rsid w:val="555D1316"/>
    <w:rsid w:val="55641740"/>
    <w:rsid w:val="55781870"/>
    <w:rsid w:val="55853556"/>
    <w:rsid w:val="55854A5F"/>
    <w:rsid w:val="55A91391"/>
    <w:rsid w:val="55BF5B6F"/>
    <w:rsid w:val="55CB648D"/>
    <w:rsid w:val="55D67CED"/>
    <w:rsid w:val="55DA7488"/>
    <w:rsid w:val="55F54D13"/>
    <w:rsid w:val="55F81BEC"/>
    <w:rsid w:val="56172444"/>
    <w:rsid w:val="561C32BA"/>
    <w:rsid w:val="56216CD3"/>
    <w:rsid w:val="56412C14"/>
    <w:rsid w:val="56582839"/>
    <w:rsid w:val="56585F35"/>
    <w:rsid w:val="565F6940"/>
    <w:rsid w:val="56631829"/>
    <w:rsid w:val="56666CCF"/>
    <w:rsid w:val="566A004E"/>
    <w:rsid w:val="566C27A4"/>
    <w:rsid w:val="56755D6A"/>
    <w:rsid w:val="56764DD3"/>
    <w:rsid w:val="568770B1"/>
    <w:rsid w:val="56930ED2"/>
    <w:rsid w:val="56994D2A"/>
    <w:rsid w:val="56AA5ACE"/>
    <w:rsid w:val="56B52FD2"/>
    <w:rsid w:val="56D81C06"/>
    <w:rsid w:val="5701736E"/>
    <w:rsid w:val="57036AC0"/>
    <w:rsid w:val="57162D76"/>
    <w:rsid w:val="57256A9A"/>
    <w:rsid w:val="57316C99"/>
    <w:rsid w:val="57433C1E"/>
    <w:rsid w:val="5748225C"/>
    <w:rsid w:val="57634913"/>
    <w:rsid w:val="577D746C"/>
    <w:rsid w:val="57932BF7"/>
    <w:rsid w:val="57987F99"/>
    <w:rsid w:val="57A005D2"/>
    <w:rsid w:val="57A306A5"/>
    <w:rsid w:val="57AB202A"/>
    <w:rsid w:val="57BD5B0E"/>
    <w:rsid w:val="57D219F7"/>
    <w:rsid w:val="57F24E98"/>
    <w:rsid w:val="57F93FAA"/>
    <w:rsid w:val="582537A0"/>
    <w:rsid w:val="582554A5"/>
    <w:rsid w:val="5825702F"/>
    <w:rsid w:val="583128C0"/>
    <w:rsid w:val="58381411"/>
    <w:rsid w:val="585D16DF"/>
    <w:rsid w:val="58657C6A"/>
    <w:rsid w:val="586C1DE7"/>
    <w:rsid w:val="587656B6"/>
    <w:rsid w:val="58776152"/>
    <w:rsid w:val="58840844"/>
    <w:rsid w:val="588668DD"/>
    <w:rsid w:val="588E0674"/>
    <w:rsid w:val="58921A88"/>
    <w:rsid w:val="58B53E81"/>
    <w:rsid w:val="58B56F89"/>
    <w:rsid w:val="58D81ECB"/>
    <w:rsid w:val="58FD4DB4"/>
    <w:rsid w:val="591C4295"/>
    <w:rsid w:val="591D6844"/>
    <w:rsid w:val="59235FA8"/>
    <w:rsid w:val="59251282"/>
    <w:rsid w:val="592F1E8B"/>
    <w:rsid w:val="59341DFE"/>
    <w:rsid w:val="594935EF"/>
    <w:rsid w:val="59496ECD"/>
    <w:rsid w:val="594A2445"/>
    <w:rsid w:val="595775D9"/>
    <w:rsid w:val="596802BA"/>
    <w:rsid w:val="596926EC"/>
    <w:rsid w:val="596B247E"/>
    <w:rsid w:val="598474ED"/>
    <w:rsid w:val="599942E2"/>
    <w:rsid w:val="59A500BD"/>
    <w:rsid w:val="59A51311"/>
    <w:rsid w:val="59B5223B"/>
    <w:rsid w:val="59C80D33"/>
    <w:rsid w:val="59DA247B"/>
    <w:rsid w:val="59F141D8"/>
    <w:rsid w:val="59FC04FF"/>
    <w:rsid w:val="5A0A463B"/>
    <w:rsid w:val="5A267160"/>
    <w:rsid w:val="5A290D29"/>
    <w:rsid w:val="5A320F3D"/>
    <w:rsid w:val="5A400A14"/>
    <w:rsid w:val="5A417068"/>
    <w:rsid w:val="5A5608D4"/>
    <w:rsid w:val="5A5C174F"/>
    <w:rsid w:val="5A7617CD"/>
    <w:rsid w:val="5A877923"/>
    <w:rsid w:val="5A8B69F3"/>
    <w:rsid w:val="5A936EB9"/>
    <w:rsid w:val="5A9A617C"/>
    <w:rsid w:val="5AAB4F40"/>
    <w:rsid w:val="5AAB7DC4"/>
    <w:rsid w:val="5AB62EF5"/>
    <w:rsid w:val="5AC06316"/>
    <w:rsid w:val="5ACD0516"/>
    <w:rsid w:val="5AD23F97"/>
    <w:rsid w:val="5AD94ED3"/>
    <w:rsid w:val="5AE9113D"/>
    <w:rsid w:val="5AEA0E5D"/>
    <w:rsid w:val="5B1967F0"/>
    <w:rsid w:val="5B240102"/>
    <w:rsid w:val="5B2C1F42"/>
    <w:rsid w:val="5B316719"/>
    <w:rsid w:val="5B3375BD"/>
    <w:rsid w:val="5B3641BE"/>
    <w:rsid w:val="5B4341CA"/>
    <w:rsid w:val="5B614082"/>
    <w:rsid w:val="5B810430"/>
    <w:rsid w:val="5B867180"/>
    <w:rsid w:val="5B885C23"/>
    <w:rsid w:val="5B956ECD"/>
    <w:rsid w:val="5B9700F2"/>
    <w:rsid w:val="5BB03B66"/>
    <w:rsid w:val="5BB826E4"/>
    <w:rsid w:val="5BCD0AD6"/>
    <w:rsid w:val="5BF23922"/>
    <w:rsid w:val="5BF9035A"/>
    <w:rsid w:val="5C144F3A"/>
    <w:rsid w:val="5C5D5EF4"/>
    <w:rsid w:val="5C706746"/>
    <w:rsid w:val="5C7D40B3"/>
    <w:rsid w:val="5C836B56"/>
    <w:rsid w:val="5C973198"/>
    <w:rsid w:val="5C976CBD"/>
    <w:rsid w:val="5CB567AA"/>
    <w:rsid w:val="5CD07E19"/>
    <w:rsid w:val="5D4300EB"/>
    <w:rsid w:val="5D494814"/>
    <w:rsid w:val="5D5557EE"/>
    <w:rsid w:val="5D5F5CD8"/>
    <w:rsid w:val="5D7175AC"/>
    <w:rsid w:val="5DA638DF"/>
    <w:rsid w:val="5DAE6568"/>
    <w:rsid w:val="5DBA54FC"/>
    <w:rsid w:val="5DCB727F"/>
    <w:rsid w:val="5DCB7BD1"/>
    <w:rsid w:val="5DD137CA"/>
    <w:rsid w:val="5DDA117B"/>
    <w:rsid w:val="5DEF1B01"/>
    <w:rsid w:val="5E2A0F36"/>
    <w:rsid w:val="5E32559D"/>
    <w:rsid w:val="5E450824"/>
    <w:rsid w:val="5E461336"/>
    <w:rsid w:val="5E465467"/>
    <w:rsid w:val="5E5931D0"/>
    <w:rsid w:val="5E6D1513"/>
    <w:rsid w:val="5E8C7584"/>
    <w:rsid w:val="5E997F4D"/>
    <w:rsid w:val="5E9E6B0B"/>
    <w:rsid w:val="5EA24952"/>
    <w:rsid w:val="5EA43832"/>
    <w:rsid w:val="5EB24BEC"/>
    <w:rsid w:val="5EB34941"/>
    <w:rsid w:val="5EBE0C7D"/>
    <w:rsid w:val="5EC05607"/>
    <w:rsid w:val="5EC9531D"/>
    <w:rsid w:val="5ECF1B1B"/>
    <w:rsid w:val="5EE15A01"/>
    <w:rsid w:val="5EEF0FEC"/>
    <w:rsid w:val="5EF90594"/>
    <w:rsid w:val="5F130109"/>
    <w:rsid w:val="5F2479B8"/>
    <w:rsid w:val="5F270E0F"/>
    <w:rsid w:val="5F2E1FB7"/>
    <w:rsid w:val="5F3664C2"/>
    <w:rsid w:val="5F602BE5"/>
    <w:rsid w:val="5F610A48"/>
    <w:rsid w:val="5F65225B"/>
    <w:rsid w:val="5F654690"/>
    <w:rsid w:val="5F6A7263"/>
    <w:rsid w:val="5F7A1277"/>
    <w:rsid w:val="5FC736C0"/>
    <w:rsid w:val="5FCA1E36"/>
    <w:rsid w:val="5FD252E9"/>
    <w:rsid w:val="5FD4394E"/>
    <w:rsid w:val="5FE77574"/>
    <w:rsid w:val="5FF1577D"/>
    <w:rsid w:val="60045126"/>
    <w:rsid w:val="601F7341"/>
    <w:rsid w:val="60227678"/>
    <w:rsid w:val="60394023"/>
    <w:rsid w:val="603A4179"/>
    <w:rsid w:val="60440C77"/>
    <w:rsid w:val="604D2E01"/>
    <w:rsid w:val="605D2361"/>
    <w:rsid w:val="6085465D"/>
    <w:rsid w:val="60935C92"/>
    <w:rsid w:val="6094352D"/>
    <w:rsid w:val="60950480"/>
    <w:rsid w:val="60AA3BBC"/>
    <w:rsid w:val="60BF1449"/>
    <w:rsid w:val="60E023A4"/>
    <w:rsid w:val="611637D9"/>
    <w:rsid w:val="611C3068"/>
    <w:rsid w:val="6120329E"/>
    <w:rsid w:val="61322C72"/>
    <w:rsid w:val="613772F1"/>
    <w:rsid w:val="613D0845"/>
    <w:rsid w:val="6151138F"/>
    <w:rsid w:val="61622F34"/>
    <w:rsid w:val="616D4A65"/>
    <w:rsid w:val="616E19D7"/>
    <w:rsid w:val="616E19E2"/>
    <w:rsid w:val="616E3449"/>
    <w:rsid w:val="616F2093"/>
    <w:rsid w:val="61742CCB"/>
    <w:rsid w:val="617F7613"/>
    <w:rsid w:val="618744CB"/>
    <w:rsid w:val="618B5D32"/>
    <w:rsid w:val="61917D21"/>
    <w:rsid w:val="61B8409A"/>
    <w:rsid w:val="61D13DE7"/>
    <w:rsid w:val="61D91408"/>
    <w:rsid w:val="61F12AC0"/>
    <w:rsid w:val="61F21203"/>
    <w:rsid w:val="61F42ABC"/>
    <w:rsid w:val="6201646A"/>
    <w:rsid w:val="621030B2"/>
    <w:rsid w:val="62144922"/>
    <w:rsid w:val="62240FF4"/>
    <w:rsid w:val="62261C95"/>
    <w:rsid w:val="622A5E4D"/>
    <w:rsid w:val="622B61D1"/>
    <w:rsid w:val="624E5A67"/>
    <w:rsid w:val="624F3ADB"/>
    <w:rsid w:val="625071C5"/>
    <w:rsid w:val="625F3C26"/>
    <w:rsid w:val="626243C2"/>
    <w:rsid w:val="62654264"/>
    <w:rsid w:val="62993AFF"/>
    <w:rsid w:val="62A0480A"/>
    <w:rsid w:val="62DF1833"/>
    <w:rsid w:val="62FB4DCB"/>
    <w:rsid w:val="62FC79F2"/>
    <w:rsid w:val="62FE47ED"/>
    <w:rsid w:val="63000D3C"/>
    <w:rsid w:val="6316159D"/>
    <w:rsid w:val="63284403"/>
    <w:rsid w:val="63296040"/>
    <w:rsid w:val="63402F56"/>
    <w:rsid w:val="634D466B"/>
    <w:rsid w:val="6351456C"/>
    <w:rsid w:val="63824FDA"/>
    <w:rsid w:val="639C0D9E"/>
    <w:rsid w:val="63A93F50"/>
    <w:rsid w:val="63BE6A67"/>
    <w:rsid w:val="63C06B89"/>
    <w:rsid w:val="63C2155B"/>
    <w:rsid w:val="63C84793"/>
    <w:rsid w:val="63F37B3E"/>
    <w:rsid w:val="64210A5D"/>
    <w:rsid w:val="64227796"/>
    <w:rsid w:val="6426421A"/>
    <w:rsid w:val="64277020"/>
    <w:rsid w:val="6432744A"/>
    <w:rsid w:val="643B2E26"/>
    <w:rsid w:val="64783763"/>
    <w:rsid w:val="64831D76"/>
    <w:rsid w:val="64B956FC"/>
    <w:rsid w:val="64C60DD7"/>
    <w:rsid w:val="64D06DFC"/>
    <w:rsid w:val="64E54B59"/>
    <w:rsid w:val="64F539F2"/>
    <w:rsid w:val="650520CD"/>
    <w:rsid w:val="650C7CF4"/>
    <w:rsid w:val="650E1BF1"/>
    <w:rsid w:val="65167A44"/>
    <w:rsid w:val="653E4943"/>
    <w:rsid w:val="653E7901"/>
    <w:rsid w:val="654470C7"/>
    <w:rsid w:val="657100B9"/>
    <w:rsid w:val="65795F88"/>
    <w:rsid w:val="659724FF"/>
    <w:rsid w:val="65AC0293"/>
    <w:rsid w:val="65B514C0"/>
    <w:rsid w:val="65B64DE3"/>
    <w:rsid w:val="65CE6293"/>
    <w:rsid w:val="65D3665A"/>
    <w:rsid w:val="660B5015"/>
    <w:rsid w:val="66123504"/>
    <w:rsid w:val="661A3CA8"/>
    <w:rsid w:val="66444780"/>
    <w:rsid w:val="66491460"/>
    <w:rsid w:val="664A3B89"/>
    <w:rsid w:val="664C2B03"/>
    <w:rsid w:val="664E4F07"/>
    <w:rsid w:val="665737F6"/>
    <w:rsid w:val="665E49BF"/>
    <w:rsid w:val="665F4B08"/>
    <w:rsid w:val="667F6F8D"/>
    <w:rsid w:val="668F700E"/>
    <w:rsid w:val="66A653E2"/>
    <w:rsid w:val="66AD520C"/>
    <w:rsid w:val="66CB3E45"/>
    <w:rsid w:val="66DB09CF"/>
    <w:rsid w:val="66E100B3"/>
    <w:rsid w:val="66F03598"/>
    <w:rsid w:val="66F648BF"/>
    <w:rsid w:val="67025FEC"/>
    <w:rsid w:val="671B0E29"/>
    <w:rsid w:val="671E7B24"/>
    <w:rsid w:val="6720607E"/>
    <w:rsid w:val="67261C15"/>
    <w:rsid w:val="67290989"/>
    <w:rsid w:val="6730623D"/>
    <w:rsid w:val="67314CF8"/>
    <w:rsid w:val="674177CF"/>
    <w:rsid w:val="674223BB"/>
    <w:rsid w:val="676166A9"/>
    <w:rsid w:val="67700745"/>
    <w:rsid w:val="67777AE1"/>
    <w:rsid w:val="67974BB8"/>
    <w:rsid w:val="67A15655"/>
    <w:rsid w:val="67A916F8"/>
    <w:rsid w:val="67B1280F"/>
    <w:rsid w:val="67B141D7"/>
    <w:rsid w:val="67E56C2F"/>
    <w:rsid w:val="67FE4593"/>
    <w:rsid w:val="68077C03"/>
    <w:rsid w:val="6814671F"/>
    <w:rsid w:val="68327A64"/>
    <w:rsid w:val="683C1890"/>
    <w:rsid w:val="68430F44"/>
    <w:rsid w:val="684C42AF"/>
    <w:rsid w:val="68654C52"/>
    <w:rsid w:val="6870195B"/>
    <w:rsid w:val="687142E8"/>
    <w:rsid w:val="68756FA4"/>
    <w:rsid w:val="687C5929"/>
    <w:rsid w:val="68961353"/>
    <w:rsid w:val="68A550E9"/>
    <w:rsid w:val="68B924CC"/>
    <w:rsid w:val="68CA1F6A"/>
    <w:rsid w:val="68DF3A1A"/>
    <w:rsid w:val="68E8522C"/>
    <w:rsid w:val="68FF0F12"/>
    <w:rsid w:val="69153E31"/>
    <w:rsid w:val="69185D7B"/>
    <w:rsid w:val="691C72D8"/>
    <w:rsid w:val="69266A19"/>
    <w:rsid w:val="692D77E0"/>
    <w:rsid w:val="692F5EC2"/>
    <w:rsid w:val="69366CDB"/>
    <w:rsid w:val="693E01B9"/>
    <w:rsid w:val="694579BC"/>
    <w:rsid w:val="6951621B"/>
    <w:rsid w:val="69574BA5"/>
    <w:rsid w:val="69696A7E"/>
    <w:rsid w:val="696A3077"/>
    <w:rsid w:val="698665FE"/>
    <w:rsid w:val="69C123FA"/>
    <w:rsid w:val="69CD24E0"/>
    <w:rsid w:val="69CE67A3"/>
    <w:rsid w:val="69E35307"/>
    <w:rsid w:val="69EF6B1E"/>
    <w:rsid w:val="6A00309E"/>
    <w:rsid w:val="6A017EF7"/>
    <w:rsid w:val="6A2C28F1"/>
    <w:rsid w:val="6A3779DB"/>
    <w:rsid w:val="6A3B321C"/>
    <w:rsid w:val="6A5565F1"/>
    <w:rsid w:val="6A7A510F"/>
    <w:rsid w:val="6A7A7EB1"/>
    <w:rsid w:val="6A837988"/>
    <w:rsid w:val="6A953FED"/>
    <w:rsid w:val="6A9763A2"/>
    <w:rsid w:val="6AA63099"/>
    <w:rsid w:val="6AB2122C"/>
    <w:rsid w:val="6AC54984"/>
    <w:rsid w:val="6ADF5D08"/>
    <w:rsid w:val="6AE04751"/>
    <w:rsid w:val="6AE06868"/>
    <w:rsid w:val="6AF03003"/>
    <w:rsid w:val="6AF57A33"/>
    <w:rsid w:val="6B07295B"/>
    <w:rsid w:val="6B072E96"/>
    <w:rsid w:val="6B13604D"/>
    <w:rsid w:val="6B2F4BF0"/>
    <w:rsid w:val="6B347C68"/>
    <w:rsid w:val="6B396C50"/>
    <w:rsid w:val="6B532749"/>
    <w:rsid w:val="6B7D67A0"/>
    <w:rsid w:val="6B7E1B4F"/>
    <w:rsid w:val="6B852590"/>
    <w:rsid w:val="6B880FF7"/>
    <w:rsid w:val="6B95717E"/>
    <w:rsid w:val="6B9859DE"/>
    <w:rsid w:val="6BA20669"/>
    <w:rsid w:val="6BB6074A"/>
    <w:rsid w:val="6BBA2ACB"/>
    <w:rsid w:val="6BBC3E23"/>
    <w:rsid w:val="6BE671E7"/>
    <w:rsid w:val="6BE673D0"/>
    <w:rsid w:val="6BEF550F"/>
    <w:rsid w:val="6BFE44B9"/>
    <w:rsid w:val="6C070F90"/>
    <w:rsid w:val="6C1E3A1F"/>
    <w:rsid w:val="6C27504A"/>
    <w:rsid w:val="6C2A72B4"/>
    <w:rsid w:val="6C316948"/>
    <w:rsid w:val="6C335509"/>
    <w:rsid w:val="6C444F71"/>
    <w:rsid w:val="6C544BCA"/>
    <w:rsid w:val="6C5979FA"/>
    <w:rsid w:val="6C78122B"/>
    <w:rsid w:val="6C85392E"/>
    <w:rsid w:val="6C8659DC"/>
    <w:rsid w:val="6C8978EB"/>
    <w:rsid w:val="6C8D6B08"/>
    <w:rsid w:val="6C8F55F0"/>
    <w:rsid w:val="6C9D4F10"/>
    <w:rsid w:val="6CBE6165"/>
    <w:rsid w:val="6CCA4C3E"/>
    <w:rsid w:val="6CCD4360"/>
    <w:rsid w:val="6CCE5EEC"/>
    <w:rsid w:val="6CDD539C"/>
    <w:rsid w:val="6CF327DB"/>
    <w:rsid w:val="6D0D4C7F"/>
    <w:rsid w:val="6D0D7EFA"/>
    <w:rsid w:val="6D164254"/>
    <w:rsid w:val="6D285742"/>
    <w:rsid w:val="6D285940"/>
    <w:rsid w:val="6D2C16A8"/>
    <w:rsid w:val="6D336D2C"/>
    <w:rsid w:val="6D365A3E"/>
    <w:rsid w:val="6D7A00B0"/>
    <w:rsid w:val="6DAE51F3"/>
    <w:rsid w:val="6DBF6F6F"/>
    <w:rsid w:val="6DD4443F"/>
    <w:rsid w:val="6DF16EB1"/>
    <w:rsid w:val="6E0B59D4"/>
    <w:rsid w:val="6E123F24"/>
    <w:rsid w:val="6E2244FB"/>
    <w:rsid w:val="6E3E7AF7"/>
    <w:rsid w:val="6E414A73"/>
    <w:rsid w:val="6E74389D"/>
    <w:rsid w:val="6E841A27"/>
    <w:rsid w:val="6E931DA8"/>
    <w:rsid w:val="6EAD6321"/>
    <w:rsid w:val="6EC01107"/>
    <w:rsid w:val="6EC83F75"/>
    <w:rsid w:val="6ECF7B5A"/>
    <w:rsid w:val="6ED31EE6"/>
    <w:rsid w:val="6EE301F0"/>
    <w:rsid w:val="6EFE3613"/>
    <w:rsid w:val="6EFE6C21"/>
    <w:rsid w:val="6F0019EE"/>
    <w:rsid w:val="6F0F0944"/>
    <w:rsid w:val="6F13799E"/>
    <w:rsid w:val="6F216B26"/>
    <w:rsid w:val="6F2D7CA7"/>
    <w:rsid w:val="6F3B1DEE"/>
    <w:rsid w:val="6F3C51E1"/>
    <w:rsid w:val="6F7104D2"/>
    <w:rsid w:val="6F7C535D"/>
    <w:rsid w:val="6F7E1F0A"/>
    <w:rsid w:val="6F873A86"/>
    <w:rsid w:val="6F8B32CA"/>
    <w:rsid w:val="6FA11181"/>
    <w:rsid w:val="6FB30FF1"/>
    <w:rsid w:val="6FC07A92"/>
    <w:rsid w:val="6FDA1902"/>
    <w:rsid w:val="6FE12E9B"/>
    <w:rsid w:val="6FE667DA"/>
    <w:rsid w:val="6FF31CA8"/>
    <w:rsid w:val="6FF77DCE"/>
    <w:rsid w:val="700734D1"/>
    <w:rsid w:val="70142313"/>
    <w:rsid w:val="701D4502"/>
    <w:rsid w:val="70300741"/>
    <w:rsid w:val="70397998"/>
    <w:rsid w:val="703B0373"/>
    <w:rsid w:val="7051439E"/>
    <w:rsid w:val="70794D2F"/>
    <w:rsid w:val="707A6CD0"/>
    <w:rsid w:val="70953A95"/>
    <w:rsid w:val="70BA33B3"/>
    <w:rsid w:val="70D67F96"/>
    <w:rsid w:val="70EF7BD0"/>
    <w:rsid w:val="70F24D0B"/>
    <w:rsid w:val="70FF7F40"/>
    <w:rsid w:val="710B168F"/>
    <w:rsid w:val="710C0C38"/>
    <w:rsid w:val="710E6738"/>
    <w:rsid w:val="711109F2"/>
    <w:rsid w:val="711D2C22"/>
    <w:rsid w:val="71360A26"/>
    <w:rsid w:val="71912B91"/>
    <w:rsid w:val="71AA5D09"/>
    <w:rsid w:val="71B71371"/>
    <w:rsid w:val="71C52685"/>
    <w:rsid w:val="71E504E1"/>
    <w:rsid w:val="71EB7866"/>
    <w:rsid w:val="71EF701F"/>
    <w:rsid w:val="721446D6"/>
    <w:rsid w:val="721F5CC8"/>
    <w:rsid w:val="725722CF"/>
    <w:rsid w:val="726E1775"/>
    <w:rsid w:val="727347B6"/>
    <w:rsid w:val="727453D2"/>
    <w:rsid w:val="727A38A4"/>
    <w:rsid w:val="728E7512"/>
    <w:rsid w:val="7296707E"/>
    <w:rsid w:val="72971F0E"/>
    <w:rsid w:val="729B5298"/>
    <w:rsid w:val="72AE06AB"/>
    <w:rsid w:val="72CC3862"/>
    <w:rsid w:val="72DC45C6"/>
    <w:rsid w:val="72E419D6"/>
    <w:rsid w:val="72F76444"/>
    <w:rsid w:val="72FE70BE"/>
    <w:rsid w:val="73166B5B"/>
    <w:rsid w:val="73192325"/>
    <w:rsid w:val="7322737A"/>
    <w:rsid w:val="732B4F74"/>
    <w:rsid w:val="73315694"/>
    <w:rsid w:val="733C3448"/>
    <w:rsid w:val="733E7F13"/>
    <w:rsid w:val="73626904"/>
    <w:rsid w:val="73674D66"/>
    <w:rsid w:val="737E1C56"/>
    <w:rsid w:val="738F7510"/>
    <w:rsid w:val="73944A57"/>
    <w:rsid w:val="739F4B79"/>
    <w:rsid w:val="73A12462"/>
    <w:rsid w:val="73A337FF"/>
    <w:rsid w:val="73C04B9A"/>
    <w:rsid w:val="73CF11AD"/>
    <w:rsid w:val="73E71AEF"/>
    <w:rsid w:val="73EF3AB7"/>
    <w:rsid w:val="73FC429C"/>
    <w:rsid w:val="74064AA8"/>
    <w:rsid w:val="74105979"/>
    <w:rsid w:val="741620F7"/>
    <w:rsid w:val="74163768"/>
    <w:rsid w:val="74310D75"/>
    <w:rsid w:val="74317C0A"/>
    <w:rsid w:val="743B20E3"/>
    <w:rsid w:val="74630481"/>
    <w:rsid w:val="746E2977"/>
    <w:rsid w:val="7489583A"/>
    <w:rsid w:val="748A5AAA"/>
    <w:rsid w:val="748F2DCF"/>
    <w:rsid w:val="74913FF1"/>
    <w:rsid w:val="7493425C"/>
    <w:rsid w:val="74966E43"/>
    <w:rsid w:val="749A688A"/>
    <w:rsid w:val="74A44F67"/>
    <w:rsid w:val="74AB40F8"/>
    <w:rsid w:val="74B539E9"/>
    <w:rsid w:val="74D00AB5"/>
    <w:rsid w:val="74D66B52"/>
    <w:rsid w:val="74E03BDA"/>
    <w:rsid w:val="74F60AC6"/>
    <w:rsid w:val="750A4F09"/>
    <w:rsid w:val="75265642"/>
    <w:rsid w:val="75286F45"/>
    <w:rsid w:val="75300A33"/>
    <w:rsid w:val="75333190"/>
    <w:rsid w:val="75372BA4"/>
    <w:rsid w:val="755F3768"/>
    <w:rsid w:val="75751C2D"/>
    <w:rsid w:val="757537C1"/>
    <w:rsid w:val="75873D07"/>
    <w:rsid w:val="75907376"/>
    <w:rsid w:val="75956274"/>
    <w:rsid w:val="759F32FB"/>
    <w:rsid w:val="75A2217E"/>
    <w:rsid w:val="75A4026E"/>
    <w:rsid w:val="75A436B2"/>
    <w:rsid w:val="75B83684"/>
    <w:rsid w:val="75BD4F98"/>
    <w:rsid w:val="75C54845"/>
    <w:rsid w:val="75C714F7"/>
    <w:rsid w:val="75CB60B1"/>
    <w:rsid w:val="75CE2C22"/>
    <w:rsid w:val="75CE60BF"/>
    <w:rsid w:val="75DB100E"/>
    <w:rsid w:val="75DB69E8"/>
    <w:rsid w:val="75DD2F4D"/>
    <w:rsid w:val="75E0718C"/>
    <w:rsid w:val="75E33DF5"/>
    <w:rsid w:val="75EE37A0"/>
    <w:rsid w:val="75F87F5A"/>
    <w:rsid w:val="75FA0854"/>
    <w:rsid w:val="75FA729D"/>
    <w:rsid w:val="76007611"/>
    <w:rsid w:val="76013866"/>
    <w:rsid w:val="76041DAB"/>
    <w:rsid w:val="761056EB"/>
    <w:rsid w:val="76194AEA"/>
    <w:rsid w:val="761C7333"/>
    <w:rsid w:val="7659106E"/>
    <w:rsid w:val="76895E9D"/>
    <w:rsid w:val="769D7070"/>
    <w:rsid w:val="76A83C9E"/>
    <w:rsid w:val="76A9033B"/>
    <w:rsid w:val="76B03756"/>
    <w:rsid w:val="76B26A4C"/>
    <w:rsid w:val="76C74875"/>
    <w:rsid w:val="76DD08B2"/>
    <w:rsid w:val="76DF1591"/>
    <w:rsid w:val="76E37BF1"/>
    <w:rsid w:val="76E6777F"/>
    <w:rsid w:val="76EB48AA"/>
    <w:rsid w:val="76F011C7"/>
    <w:rsid w:val="76F03FC6"/>
    <w:rsid w:val="770167CB"/>
    <w:rsid w:val="771B52BB"/>
    <w:rsid w:val="774F32D3"/>
    <w:rsid w:val="77571AFE"/>
    <w:rsid w:val="775E78B0"/>
    <w:rsid w:val="77651D73"/>
    <w:rsid w:val="77703DF1"/>
    <w:rsid w:val="777358EC"/>
    <w:rsid w:val="77737408"/>
    <w:rsid w:val="779E46B3"/>
    <w:rsid w:val="77BC5DCE"/>
    <w:rsid w:val="77C71381"/>
    <w:rsid w:val="77D11A0A"/>
    <w:rsid w:val="77D7657F"/>
    <w:rsid w:val="77D8448B"/>
    <w:rsid w:val="77DB5CCD"/>
    <w:rsid w:val="77DB77B3"/>
    <w:rsid w:val="77DC2FAD"/>
    <w:rsid w:val="77DD4138"/>
    <w:rsid w:val="77E52E15"/>
    <w:rsid w:val="77EB0A03"/>
    <w:rsid w:val="77F54216"/>
    <w:rsid w:val="77FE3720"/>
    <w:rsid w:val="7821391D"/>
    <w:rsid w:val="782905E5"/>
    <w:rsid w:val="782A6046"/>
    <w:rsid w:val="786B1A9B"/>
    <w:rsid w:val="786C2A1B"/>
    <w:rsid w:val="786C6CB8"/>
    <w:rsid w:val="787E2185"/>
    <w:rsid w:val="788A2C17"/>
    <w:rsid w:val="78AD6005"/>
    <w:rsid w:val="78AF37F7"/>
    <w:rsid w:val="78DC4270"/>
    <w:rsid w:val="78E96530"/>
    <w:rsid w:val="79052140"/>
    <w:rsid w:val="791D6A03"/>
    <w:rsid w:val="79212878"/>
    <w:rsid w:val="794C6C16"/>
    <w:rsid w:val="796E7B97"/>
    <w:rsid w:val="79A92414"/>
    <w:rsid w:val="79B07635"/>
    <w:rsid w:val="79B96927"/>
    <w:rsid w:val="79BC010D"/>
    <w:rsid w:val="79D4035B"/>
    <w:rsid w:val="79DA6E93"/>
    <w:rsid w:val="79E07A49"/>
    <w:rsid w:val="79FD2B14"/>
    <w:rsid w:val="7A0127AB"/>
    <w:rsid w:val="7A0E5337"/>
    <w:rsid w:val="7A103BE6"/>
    <w:rsid w:val="7A27104E"/>
    <w:rsid w:val="7A3B6BC9"/>
    <w:rsid w:val="7A6659F0"/>
    <w:rsid w:val="7A720AA5"/>
    <w:rsid w:val="7A8A6CD2"/>
    <w:rsid w:val="7A8D0AB1"/>
    <w:rsid w:val="7A9D283A"/>
    <w:rsid w:val="7AA05F3C"/>
    <w:rsid w:val="7AB365CF"/>
    <w:rsid w:val="7AD73562"/>
    <w:rsid w:val="7AE451AC"/>
    <w:rsid w:val="7AE960EE"/>
    <w:rsid w:val="7AFC6555"/>
    <w:rsid w:val="7B001702"/>
    <w:rsid w:val="7B081FAA"/>
    <w:rsid w:val="7B170932"/>
    <w:rsid w:val="7B3C363D"/>
    <w:rsid w:val="7B3E05DD"/>
    <w:rsid w:val="7B427CE3"/>
    <w:rsid w:val="7B5A51BC"/>
    <w:rsid w:val="7B6C1A2D"/>
    <w:rsid w:val="7B746A6A"/>
    <w:rsid w:val="7B7B799D"/>
    <w:rsid w:val="7B82052E"/>
    <w:rsid w:val="7BA05E9E"/>
    <w:rsid w:val="7BBF06D2"/>
    <w:rsid w:val="7BBF1589"/>
    <w:rsid w:val="7BCC4B67"/>
    <w:rsid w:val="7BCE1C8E"/>
    <w:rsid w:val="7BD45A5C"/>
    <w:rsid w:val="7BE844BA"/>
    <w:rsid w:val="7C1C6ADF"/>
    <w:rsid w:val="7C201231"/>
    <w:rsid w:val="7C225E6B"/>
    <w:rsid w:val="7C2858D3"/>
    <w:rsid w:val="7C2A2C41"/>
    <w:rsid w:val="7C352341"/>
    <w:rsid w:val="7C3A6C56"/>
    <w:rsid w:val="7C482875"/>
    <w:rsid w:val="7C5A1618"/>
    <w:rsid w:val="7C5A3383"/>
    <w:rsid w:val="7C5B0211"/>
    <w:rsid w:val="7C7A0ECE"/>
    <w:rsid w:val="7C7B6746"/>
    <w:rsid w:val="7C7E12E1"/>
    <w:rsid w:val="7C9105B7"/>
    <w:rsid w:val="7CAA0A9E"/>
    <w:rsid w:val="7CAB23AE"/>
    <w:rsid w:val="7CBF3358"/>
    <w:rsid w:val="7CC940C8"/>
    <w:rsid w:val="7CCC51CC"/>
    <w:rsid w:val="7CD67EEB"/>
    <w:rsid w:val="7CF012CF"/>
    <w:rsid w:val="7CFE1D15"/>
    <w:rsid w:val="7D0D1339"/>
    <w:rsid w:val="7D2F37EA"/>
    <w:rsid w:val="7D2F498D"/>
    <w:rsid w:val="7D45702E"/>
    <w:rsid w:val="7D55794F"/>
    <w:rsid w:val="7D653F46"/>
    <w:rsid w:val="7D854F51"/>
    <w:rsid w:val="7D881C7B"/>
    <w:rsid w:val="7D9B0A06"/>
    <w:rsid w:val="7DAF2C43"/>
    <w:rsid w:val="7DB153D5"/>
    <w:rsid w:val="7DD84285"/>
    <w:rsid w:val="7DEF08D8"/>
    <w:rsid w:val="7DF12B16"/>
    <w:rsid w:val="7DF4187F"/>
    <w:rsid w:val="7DF959C5"/>
    <w:rsid w:val="7E0B330A"/>
    <w:rsid w:val="7E2A080C"/>
    <w:rsid w:val="7E355972"/>
    <w:rsid w:val="7E576027"/>
    <w:rsid w:val="7E672104"/>
    <w:rsid w:val="7E672989"/>
    <w:rsid w:val="7E750DA1"/>
    <w:rsid w:val="7EA51A87"/>
    <w:rsid w:val="7EA74017"/>
    <w:rsid w:val="7ECC2B2B"/>
    <w:rsid w:val="7ECD1AA5"/>
    <w:rsid w:val="7ED31CB6"/>
    <w:rsid w:val="7ED85023"/>
    <w:rsid w:val="7EE03866"/>
    <w:rsid w:val="7EE90C02"/>
    <w:rsid w:val="7EEE50C1"/>
    <w:rsid w:val="7EFD4F92"/>
    <w:rsid w:val="7EFE212A"/>
    <w:rsid w:val="7F105467"/>
    <w:rsid w:val="7F2C3514"/>
    <w:rsid w:val="7F402430"/>
    <w:rsid w:val="7F541762"/>
    <w:rsid w:val="7F663023"/>
    <w:rsid w:val="7F7F41D7"/>
    <w:rsid w:val="7F8C51A0"/>
    <w:rsid w:val="7FC97A74"/>
    <w:rsid w:val="7FCC75F7"/>
    <w:rsid w:val="7FD75F49"/>
    <w:rsid w:val="7FDC27A9"/>
    <w:rsid w:val="7FEA2DED"/>
    <w:rsid w:val="7FFD77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55"/>
    <w:qFormat/>
    <w:uiPriority w:val="0"/>
    <w:pPr>
      <w:keepNext/>
      <w:spacing w:line="380" w:lineRule="exact"/>
      <w:jc w:val="center"/>
      <w:outlineLvl w:val="0"/>
    </w:pPr>
    <w:rPr>
      <w:b/>
      <w:bCs/>
      <w:kern w:val="44"/>
      <w:sz w:val="44"/>
      <w:szCs w:val="44"/>
    </w:rPr>
  </w:style>
  <w:style w:type="paragraph" w:styleId="5">
    <w:name w:val="heading 2"/>
    <w:basedOn w:val="1"/>
    <w:next w:val="1"/>
    <w:link w:val="56"/>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6">
    <w:name w:val="heading 3"/>
    <w:basedOn w:val="1"/>
    <w:next w:val="1"/>
    <w:link w:val="57"/>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7">
    <w:name w:val="heading 4"/>
    <w:basedOn w:val="1"/>
    <w:next w:val="1"/>
    <w:link w:val="58"/>
    <w:qFormat/>
    <w:uiPriority w:val="0"/>
    <w:pPr>
      <w:keepNext/>
      <w:keepLines/>
      <w:tabs>
        <w:tab w:val="left" w:pos="864"/>
      </w:tabs>
      <w:spacing w:before="280" w:beforeLines="0" w:after="290" w:afterLines="0" w:line="376" w:lineRule="auto"/>
      <w:ind w:left="864" w:hanging="864"/>
      <w:outlineLvl w:val="3"/>
    </w:pPr>
    <w:rPr>
      <w:rFonts w:ascii="Arial" w:hAnsi="Arial" w:eastAsia="黑体"/>
      <w:b/>
      <w:bCs/>
      <w:sz w:val="28"/>
      <w:szCs w:val="28"/>
    </w:rPr>
  </w:style>
  <w:style w:type="paragraph" w:styleId="8">
    <w:name w:val="heading 5"/>
    <w:basedOn w:val="1"/>
    <w:next w:val="1"/>
    <w:link w:val="59"/>
    <w:qFormat/>
    <w:uiPriority w:val="0"/>
    <w:pPr>
      <w:keepNext/>
      <w:keepLines/>
      <w:tabs>
        <w:tab w:val="left" w:pos="1548"/>
      </w:tabs>
      <w:spacing w:before="280" w:beforeLines="0" w:after="290" w:afterLines="0" w:line="376" w:lineRule="auto"/>
      <w:ind w:left="1548" w:hanging="1548"/>
      <w:outlineLvl w:val="4"/>
    </w:pPr>
    <w:rPr>
      <w:b/>
      <w:bCs/>
      <w:sz w:val="28"/>
      <w:szCs w:val="28"/>
    </w:rPr>
  </w:style>
  <w:style w:type="paragraph" w:styleId="9">
    <w:name w:val="heading 6"/>
    <w:basedOn w:val="1"/>
    <w:next w:val="1"/>
    <w:link w:val="60"/>
    <w:qFormat/>
    <w:uiPriority w:val="0"/>
    <w:pPr>
      <w:keepNext/>
      <w:keepLines/>
      <w:spacing w:before="240" w:beforeLines="0" w:after="64" w:afterLines="0" w:line="320" w:lineRule="auto"/>
      <w:outlineLvl w:val="5"/>
    </w:pPr>
    <w:rPr>
      <w:rFonts w:ascii="Cambria" w:hAnsi="Cambria"/>
      <w:b/>
      <w:bCs/>
      <w:sz w:val="24"/>
      <w:szCs w:val="24"/>
    </w:rPr>
  </w:style>
  <w:style w:type="paragraph" w:styleId="10">
    <w:name w:val="heading 7"/>
    <w:basedOn w:val="1"/>
    <w:next w:val="1"/>
    <w:link w:val="61"/>
    <w:qFormat/>
    <w:uiPriority w:val="0"/>
    <w:pPr>
      <w:keepNext/>
      <w:keepLines/>
      <w:numPr>
        <w:ilvl w:val="6"/>
        <w:numId w:val="1"/>
      </w:numPr>
      <w:tabs>
        <w:tab w:val="left" w:pos="1296"/>
        <w:tab w:val="clear" w:pos="2940"/>
      </w:tabs>
      <w:spacing w:before="240" w:beforeLines="0" w:after="64" w:afterLines="0" w:line="317" w:lineRule="auto"/>
      <w:outlineLvl w:val="6"/>
    </w:pPr>
    <w:rPr>
      <w:b/>
      <w:bCs/>
      <w:sz w:val="24"/>
      <w:szCs w:val="24"/>
    </w:rPr>
  </w:style>
  <w:style w:type="paragraph" w:styleId="11">
    <w:name w:val="heading 8"/>
    <w:basedOn w:val="1"/>
    <w:next w:val="1"/>
    <w:link w:val="62"/>
    <w:qFormat/>
    <w:uiPriority w:val="0"/>
    <w:pPr>
      <w:keepNext/>
      <w:keepLines/>
      <w:numPr>
        <w:ilvl w:val="7"/>
        <w:numId w:val="1"/>
      </w:numPr>
      <w:tabs>
        <w:tab w:val="left" w:pos="1440"/>
        <w:tab w:val="clear" w:pos="3360"/>
      </w:tabs>
      <w:spacing w:before="240" w:beforeLines="0" w:after="64" w:afterLines="0" w:line="317" w:lineRule="auto"/>
      <w:outlineLvl w:val="7"/>
    </w:pPr>
    <w:rPr>
      <w:rFonts w:ascii="Arial" w:hAnsi="Arial" w:eastAsia="黑体"/>
      <w:sz w:val="24"/>
      <w:szCs w:val="24"/>
    </w:rPr>
  </w:style>
  <w:style w:type="paragraph" w:styleId="12">
    <w:name w:val="heading 9"/>
    <w:basedOn w:val="1"/>
    <w:next w:val="1"/>
    <w:link w:val="63"/>
    <w:qFormat/>
    <w:uiPriority w:val="0"/>
    <w:pPr>
      <w:keepNext/>
      <w:keepLines/>
      <w:numPr>
        <w:ilvl w:val="8"/>
        <w:numId w:val="1"/>
      </w:numPr>
      <w:tabs>
        <w:tab w:val="left" w:pos="1584"/>
        <w:tab w:val="clear" w:pos="3780"/>
      </w:tabs>
      <w:spacing w:before="240" w:beforeLines="0" w:after="64" w:afterLines="0" w:line="317" w:lineRule="auto"/>
      <w:outlineLvl w:val="8"/>
    </w:pPr>
    <w:rPr>
      <w:rFonts w:ascii="Arial" w:hAnsi="Arial" w:eastAsia="黑体"/>
      <w:szCs w:val="21"/>
    </w:rPr>
  </w:style>
  <w:style w:type="character" w:default="1" w:styleId="46">
    <w:name w:val="Default Paragraph Font"/>
    <w:link w:val="47"/>
    <w:uiPriority w:val="0"/>
    <w:rPr>
      <w:rFonts w:hint="default" w:ascii="Verdana" w:hAnsi="Verdana"/>
      <w:kern w:val="0"/>
      <w:sz w:val="20"/>
      <w:szCs w:val="20"/>
      <w:lang w:eastAsia="en-US"/>
    </w:rPr>
  </w:style>
  <w:style w:type="table" w:default="1" w:styleId="4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4"/>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54"/>
    <w:uiPriority w:val="0"/>
    <w:pPr>
      <w:spacing w:line="380" w:lineRule="exact"/>
      <w:ind w:firstLine="480"/>
    </w:pPr>
    <w:rPr>
      <w:rFonts w:eastAsia="方正书宋简体"/>
      <w:sz w:val="24"/>
    </w:rPr>
  </w:style>
  <w:style w:type="paragraph" w:styleId="13">
    <w:name w:val="toc 7"/>
    <w:basedOn w:val="1"/>
    <w:next w:val="1"/>
    <w:uiPriority w:val="0"/>
    <w:pPr>
      <w:ind w:left="1260"/>
      <w:jc w:val="left"/>
    </w:pPr>
    <w:rPr>
      <w:sz w:val="18"/>
      <w:szCs w:val="18"/>
    </w:rPr>
  </w:style>
  <w:style w:type="paragraph" w:styleId="14">
    <w:name w:val="Normal Indent"/>
    <w:basedOn w:val="1"/>
    <w:link w:val="64"/>
    <w:uiPriority w:val="0"/>
    <w:pPr>
      <w:ind w:firstLine="420" w:firstLineChars="200"/>
    </w:pPr>
    <w:rPr>
      <w:szCs w:val="24"/>
    </w:rPr>
  </w:style>
  <w:style w:type="paragraph" w:styleId="15">
    <w:name w:val="Document Map"/>
    <w:basedOn w:val="1"/>
    <w:link w:val="65"/>
    <w:uiPriority w:val="0"/>
    <w:pPr>
      <w:shd w:val="clear" w:color="auto" w:fill="000080"/>
    </w:pPr>
  </w:style>
  <w:style w:type="paragraph" w:styleId="16">
    <w:name w:val="annotation text"/>
    <w:basedOn w:val="1"/>
    <w:link w:val="66"/>
    <w:uiPriority w:val="0"/>
    <w:pPr>
      <w:jc w:val="left"/>
    </w:pPr>
  </w:style>
  <w:style w:type="paragraph" w:styleId="17">
    <w:name w:val="Body Text 3"/>
    <w:basedOn w:val="1"/>
    <w:link w:val="67"/>
    <w:uiPriority w:val="0"/>
    <w:pPr>
      <w:spacing w:after="120" w:afterLines="0" w:line="360" w:lineRule="auto"/>
    </w:pPr>
    <w:rPr>
      <w:kern w:val="0"/>
      <w:sz w:val="16"/>
      <w:szCs w:val="16"/>
    </w:rPr>
  </w:style>
  <w:style w:type="paragraph" w:styleId="18">
    <w:name w:val="Body Text"/>
    <w:basedOn w:val="1"/>
    <w:next w:val="19"/>
    <w:link w:val="68"/>
    <w:uiPriority w:val="0"/>
    <w:rPr>
      <w:i/>
      <w:sz w:val="18"/>
    </w:rPr>
  </w:style>
  <w:style w:type="paragraph" w:styleId="19">
    <w:name w:val="Body Text First Indent"/>
    <w:basedOn w:val="18"/>
    <w:next w:val="20"/>
    <w:link w:val="69"/>
    <w:uiPriority w:val="0"/>
    <w:pPr>
      <w:spacing w:after="120" w:afterLines="0"/>
      <w:ind w:firstLine="420" w:firstLineChars="100"/>
    </w:pPr>
    <w:rPr>
      <w:sz w:val="21"/>
      <w:szCs w:val="24"/>
    </w:rPr>
  </w:style>
  <w:style w:type="paragraph" w:styleId="20">
    <w:name w:val="toc 6"/>
    <w:basedOn w:val="1"/>
    <w:next w:val="1"/>
    <w:uiPriority w:val="0"/>
    <w:pPr>
      <w:ind w:left="1050"/>
      <w:jc w:val="left"/>
    </w:pPr>
    <w:rPr>
      <w:sz w:val="18"/>
      <w:szCs w:val="18"/>
    </w:rPr>
  </w:style>
  <w:style w:type="paragraph" w:styleId="21">
    <w:name w:val="List Number 3"/>
    <w:basedOn w:val="1"/>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2">
    <w:name w:val="toc 5"/>
    <w:basedOn w:val="1"/>
    <w:next w:val="1"/>
    <w:uiPriority w:val="0"/>
    <w:pPr>
      <w:ind w:left="840"/>
      <w:jc w:val="left"/>
    </w:pPr>
    <w:rPr>
      <w:sz w:val="18"/>
      <w:szCs w:val="18"/>
    </w:rPr>
  </w:style>
  <w:style w:type="paragraph" w:styleId="23">
    <w:name w:val="toc 3"/>
    <w:basedOn w:val="1"/>
    <w:uiPriority w:val="0"/>
    <w:pPr>
      <w:ind w:left="420"/>
      <w:jc w:val="left"/>
    </w:pPr>
    <w:rPr>
      <w:i/>
      <w:iCs/>
      <w:sz w:val="20"/>
    </w:rPr>
  </w:style>
  <w:style w:type="paragraph" w:styleId="24">
    <w:name w:val="Plain Text"/>
    <w:basedOn w:val="1"/>
    <w:link w:val="70"/>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5">
    <w:name w:val="toc 8"/>
    <w:basedOn w:val="1"/>
    <w:next w:val="1"/>
    <w:uiPriority w:val="0"/>
    <w:pPr>
      <w:ind w:left="1470"/>
      <w:jc w:val="left"/>
    </w:pPr>
    <w:rPr>
      <w:sz w:val="18"/>
      <w:szCs w:val="18"/>
    </w:rPr>
  </w:style>
  <w:style w:type="paragraph" w:styleId="26">
    <w:name w:val="Date"/>
    <w:basedOn w:val="1"/>
    <w:next w:val="1"/>
    <w:link w:val="71"/>
    <w:uiPriority w:val="0"/>
    <w:pPr>
      <w:adjustRightInd w:val="0"/>
      <w:spacing w:line="312" w:lineRule="atLeast"/>
      <w:jc w:val="right"/>
      <w:textAlignment w:val="baseline"/>
    </w:pPr>
    <w:rPr>
      <w:rFonts w:ascii="宋体"/>
      <w:kern w:val="0"/>
      <w:sz w:val="24"/>
    </w:rPr>
  </w:style>
  <w:style w:type="paragraph" w:styleId="27">
    <w:name w:val="Body Text Indent 2"/>
    <w:basedOn w:val="1"/>
    <w:link w:val="72"/>
    <w:uiPriority w:val="0"/>
    <w:pPr>
      <w:spacing w:line="380" w:lineRule="exact"/>
      <w:ind w:left="840" w:hanging="45"/>
    </w:pPr>
    <w:rPr>
      <w:rFonts w:ascii="宋体"/>
      <w:sz w:val="24"/>
    </w:rPr>
  </w:style>
  <w:style w:type="paragraph" w:styleId="28">
    <w:name w:val="Balloon Text"/>
    <w:basedOn w:val="1"/>
    <w:link w:val="73"/>
    <w:uiPriority w:val="0"/>
    <w:rPr>
      <w:sz w:val="18"/>
      <w:szCs w:val="18"/>
    </w:rPr>
  </w:style>
  <w:style w:type="paragraph" w:styleId="29">
    <w:name w:val="footer"/>
    <w:basedOn w:val="1"/>
    <w:link w:val="74"/>
    <w:uiPriority w:val="0"/>
    <w:pPr>
      <w:tabs>
        <w:tab w:val="center" w:pos="4153"/>
        <w:tab w:val="right" w:pos="8306"/>
      </w:tabs>
      <w:snapToGrid w:val="0"/>
      <w:jc w:val="left"/>
    </w:pPr>
    <w:rPr>
      <w:sz w:val="18"/>
    </w:rPr>
  </w:style>
  <w:style w:type="paragraph" w:styleId="30">
    <w:name w:val="header"/>
    <w:basedOn w:val="1"/>
    <w:link w:val="75"/>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uiPriority w:val="0"/>
    <w:pPr>
      <w:tabs>
        <w:tab w:val="right" w:leader="dot" w:pos="8721"/>
      </w:tabs>
      <w:spacing w:line="480" w:lineRule="auto"/>
    </w:pPr>
    <w:rPr>
      <w:rFonts w:ascii="宋体" w:hAnsi="宋体"/>
      <w:color w:val="000000"/>
      <w:sz w:val="32"/>
      <w:szCs w:val="32"/>
      <w:lang/>
    </w:rPr>
  </w:style>
  <w:style w:type="paragraph" w:styleId="32">
    <w:name w:val="toc 4"/>
    <w:basedOn w:val="1"/>
    <w:next w:val="1"/>
    <w:uiPriority w:val="0"/>
    <w:pPr>
      <w:ind w:left="630"/>
      <w:jc w:val="left"/>
    </w:pPr>
    <w:rPr>
      <w:sz w:val="18"/>
      <w:szCs w:val="18"/>
    </w:rPr>
  </w:style>
  <w:style w:type="paragraph" w:styleId="33">
    <w:name w:val="List Number 5"/>
    <w:basedOn w:val="1"/>
    <w:uiPriority w:val="0"/>
    <w:pPr>
      <w:numPr>
        <w:ilvl w:val="0"/>
        <w:numId w:val="2"/>
      </w:numPr>
      <w:tabs>
        <w:tab w:val="left" w:pos="2608"/>
        <w:tab w:val="clear" w:pos="840"/>
      </w:tabs>
      <w:spacing w:line="360" w:lineRule="auto"/>
    </w:pPr>
    <w:rPr>
      <w:sz w:val="24"/>
      <w:szCs w:val="24"/>
    </w:rPr>
  </w:style>
  <w:style w:type="paragraph" w:styleId="34">
    <w:name w:val="Body Text Indent 3"/>
    <w:basedOn w:val="1"/>
    <w:link w:val="76"/>
    <w:uiPriority w:val="0"/>
    <w:pPr>
      <w:spacing w:line="380" w:lineRule="exact"/>
      <w:ind w:left="525"/>
    </w:pPr>
    <w:rPr>
      <w:rFonts w:ascii="宋体"/>
      <w:sz w:val="24"/>
    </w:rPr>
  </w:style>
  <w:style w:type="paragraph" w:styleId="35">
    <w:name w:val="table of figures"/>
    <w:basedOn w:val="1"/>
    <w:next w:val="1"/>
    <w:uiPriority w:val="0"/>
    <w:pPr>
      <w:ind w:left="420" w:hanging="420"/>
      <w:jc w:val="left"/>
    </w:pPr>
    <w:rPr>
      <w:smallCaps/>
      <w:sz w:val="20"/>
    </w:rPr>
  </w:style>
  <w:style w:type="paragraph" w:styleId="36">
    <w:name w:val="toc 2"/>
    <w:basedOn w:val="1"/>
    <w:uiPriority w:val="0"/>
    <w:pPr>
      <w:ind w:left="210"/>
      <w:jc w:val="left"/>
    </w:pPr>
    <w:rPr>
      <w:smallCaps/>
      <w:sz w:val="20"/>
    </w:rPr>
  </w:style>
  <w:style w:type="paragraph" w:styleId="37">
    <w:name w:val="toc 9"/>
    <w:basedOn w:val="1"/>
    <w:next w:val="1"/>
    <w:uiPriority w:val="0"/>
    <w:pPr>
      <w:ind w:left="1680"/>
      <w:jc w:val="left"/>
    </w:pPr>
    <w:rPr>
      <w:sz w:val="18"/>
      <w:szCs w:val="18"/>
    </w:rPr>
  </w:style>
  <w:style w:type="paragraph" w:styleId="38">
    <w:name w:val="Body Text 2"/>
    <w:basedOn w:val="1"/>
    <w:link w:val="77"/>
    <w:uiPriority w:val="0"/>
    <w:pPr>
      <w:spacing w:after="120" w:afterLines="0" w:line="480" w:lineRule="auto"/>
    </w:pPr>
    <w:rPr>
      <w:kern w:val="0"/>
      <w:sz w:val="24"/>
      <w:szCs w:val="24"/>
    </w:rPr>
  </w:style>
  <w:style w:type="paragraph" w:styleId="39">
    <w:name w:val="HTML Preformatted"/>
    <w:basedOn w:val="1"/>
    <w:uiPriority w:val="0"/>
    <w:rPr>
      <w:rFonts w:ascii="Courier New" w:hAnsi="Courier New" w:cs="Courier New"/>
      <w:sz w:val="20"/>
    </w:rPr>
  </w:style>
  <w:style w:type="paragraph" w:styleId="40">
    <w:name w:val="Normal (Web)"/>
    <w:basedOn w:val="1"/>
    <w:uiPriority w:val="0"/>
    <w:pPr>
      <w:widowControl/>
      <w:spacing w:before="100" w:beforeLines="0" w:beforeAutospacing="1" w:after="100" w:afterLines="0" w:afterAutospacing="1" w:line="300" w:lineRule="atLeast"/>
      <w:jc w:val="left"/>
    </w:pPr>
    <w:rPr>
      <w:rFonts w:ascii="宋体" w:hAnsi="宋体" w:cs="宋体"/>
      <w:kern w:val="0"/>
      <w:sz w:val="24"/>
      <w:szCs w:val="24"/>
    </w:rPr>
  </w:style>
  <w:style w:type="paragraph" w:styleId="41">
    <w:name w:val="index 1"/>
    <w:basedOn w:val="1"/>
    <w:next w:val="1"/>
    <w:uiPriority w:val="0"/>
  </w:style>
  <w:style w:type="paragraph" w:styleId="42">
    <w:name w:val="Title"/>
    <w:basedOn w:val="1"/>
    <w:next w:val="1"/>
    <w:link w:val="78"/>
    <w:qFormat/>
    <w:uiPriority w:val="0"/>
    <w:pPr>
      <w:spacing w:before="240" w:after="60"/>
      <w:jc w:val="center"/>
      <w:outlineLvl w:val="0"/>
    </w:pPr>
    <w:rPr>
      <w:rFonts w:ascii="Cambria" w:hAnsi="Cambria"/>
      <w:b/>
      <w:bCs/>
      <w:sz w:val="32"/>
      <w:szCs w:val="32"/>
    </w:rPr>
  </w:style>
  <w:style w:type="paragraph" w:styleId="43">
    <w:name w:val="annotation subject"/>
    <w:basedOn w:val="16"/>
    <w:next w:val="16"/>
    <w:uiPriority w:val="0"/>
    <w:rPr>
      <w:b/>
      <w:bCs/>
    </w:rPr>
  </w:style>
  <w:style w:type="table" w:styleId="45">
    <w:name w:val="Table Grid"/>
    <w:basedOn w:val="44"/>
    <w:qFormat/>
    <w:uiPriority w:val="59"/>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pPr>
      <w:widowControl/>
      <w:spacing w:after="160" w:line="240" w:lineRule="exact"/>
      <w:jc w:val="left"/>
    </w:pPr>
    <w:rPr>
      <w:rFonts w:hint="default" w:ascii="Verdana" w:hAnsi="Verdana"/>
      <w:kern w:val="0"/>
      <w:sz w:val="20"/>
      <w:szCs w:val="20"/>
      <w:lang w:eastAsia="en-US"/>
    </w:rPr>
  </w:style>
  <w:style w:type="character" w:styleId="48">
    <w:name w:val="Strong"/>
    <w:qFormat/>
    <w:uiPriority w:val="0"/>
    <w:rPr>
      <w:b/>
      <w:bCs/>
    </w:rPr>
  </w:style>
  <w:style w:type="character" w:styleId="49">
    <w:name w:val="page number"/>
    <w:basedOn w:val="46"/>
    <w:uiPriority w:val="0"/>
  </w:style>
  <w:style w:type="character" w:styleId="50">
    <w:name w:val="FollowedHyperlink"/>
    <w:uiPriority w:val="0"/>
    <w:rPr>
      <w:color w:val="800080"/>
      <w:u w:val="none"/>
    </w:rPr>
  </w:style>
  <w:style w:type="character" w:styleId="51">
    <w:name w:val="HTML Typewriter"/>
    <w:uiPriority w:val="0"/>
    <w:rPr>
      <w:rFonts w:ascii="Courier New" w:hAnsi="Courier New" w:cs="Courier New"/>
      <w:sz w:val="20"/>
      <w:szCs w:val="20"/>
    </w:rPr>
  </w:style>
  <w:style w:type="character" w:styleId="52">
    <w:name w:val="Hyperlink"/>
    <w:uiPriority w:val="0"/>
    <w:rPr>
      <w:color w:val="0000FF"/>
      <w:u w:val="none"/>
    </w:rPr>
  </w:style>
  <w:style w:type="character" w:styleId="53">
    <w:name w:val="annotation reference"/>
    <w:uiPriority w:val="0"/>
    <w:rPr>
      <w:sz w:val="21"/>
      <w:szCs w:val="21"/>
    </w:rPr>
  </w:style>
  <w:style w:type="character" w:customStyle="1" w:styleId="54">
    <w:name w:val=" Char Char32"/>
    <w:basedOn w:val="46"/>
    <w:link w:val="3"/>
    <w:uiPriority w:val="0"/>
    <w:rPr>
      <w:rFonts w:hint="eastAsia" w:ascii="方正书宋简体" w:hAnsi="方正书宋简体" w:eastAsia="方正书宋简体" w:cs="方正书宋简体"/>
      <w:kern w:val="2"/>
      <w:sz w:val="24"/>
      <w:lang w:val="en-US" w:eastAsia="zh-CN" w:bidi="ar"/>
    </w:rPr>
  </w:style>
  <w:style w:type="character" w:customStyle="1" w:styleId="55">
    <w:name w:val="标题 1 Char"/>
    <w:link w:val="4"/>
    <w:qFormat/>
    <w:uiPriority w:val="0"/>
    <w:rPr>
      <w:rFonts w:eastAsia="宋体"/>
      <w:b/>
      <w:bCs/>
      <w:kern w:val="44"/>
      <w:sz w:val="44"/>
      <w:szCs w:val="44"/>
      <w:lang w:val="en-US" w:eastAsia="zh-CN" w:bidi="ar-SA"/>
    </w:rPr>
  </w:style>
  <w:style w:type="character" w:customStyle="1" w:styleId="56">
    <w:name w:val="标题 2 Char"/>
    <w:link w:val="5"/>
    <w:uiPriority w:val="0"/>
    <w:rPr>
      <w:rFonts w:ascii="Arial" w:hAnsi="Arial" w:eastAsia="黑体"/>
      <w:b/>
      <w:bCs/>
      <w:kern w:val="2"/>
      <w:sz w:val="32"/>
      <w:szCs w:val="32"/>
      <w:lang w:val="en-US" w:eastAsia="zh-CN" w:bidi="ar-SA"/>
    </w:rPr>
  </w:style>
  <w:style w:type="character" w:customStyle="1" w:styleId="57">
    <w:name w:val="标题 3 Char"/>
    <w:link w:val="6"/>
    <w:uiPriority w:val="0"/>
    <w:rPr>
      <w:rFonts w:ascii="Arial" w:hAnsi="Arial" w:eastAsia="黑体" w:cs="Arial"/>
      <w:b/>
      <w:bCs/>
      <w:kern w:val="2"/>
      <w:sz w:val="30"/>
      <w:szCs w:val="32"/>
      <w:lang w:val="en-US" w:eastAsia="zh-CN" w:bidi="ar-SA"/>
    </w:rPr>
  </w:style>
  <w:style w:type="character" w:customStyle="1" w:styleId="58">
    <w:name w:val="标题 4 Char"/>
    <w:link w:val="7"/>
    <w:uiPriority w:val="0"/>
    <w:rPr>
      <w:rFonts w:ascii="Arial" w:hAnsi="Arial" w:eastAsia="黑体"/>
      <w:b/>
      <w:bCs/>
      <w:kern w:val="2"/>
      <w:sz w:val="28"/>
      <w:szCs w:val="28"/>
      <w:lang w:val="en-US" w:eastAsia="zh-CN" w:bidi="ar-SA"/>
    </w:rPr>
  </w:style>
  <w:style w:type="character" w:customStyle="1" w:styleId="59">
    <w:name w:val="标题 5 Char"/>
    <w:link w:val="8"/>
    <w:uiPriority w:val="0"/>
    <w:rPr>
      <w:rFonts w:eastAsia="宋体"/>
      <w:b/>
      <w:bCs/>
      <w:kern w:val="2"/>
      <w:sz w:val="28"/>
      <w:szCs w:val="28"/>
      <w:lang w:val="en-US" w:eastAsia="zh-CN" w:bidi="ar-SA"/>
    </w:rPr>
  </w:style>
  <w:style w:type="character" w:customStyle="1" w:styleId="60">
    <w:name w:val="标题 6 Char"/>
    <w:link w:val="9"/>
    <w:uiPriority w:val="0"/>
    <w:rPr>
      <w:rFonts w:ascii="Cambria" w:hAnsi="Cambria" w:eastAsia="宋体"/>
      <w:b/>
      <w:bCs/>
      <w:kern w:val="2"/>
      <w:sz w:val="24"/>
      <w:szCs w:val="24"/>
      <w:lang w:val="en-US" w:eastAsia="zh-CN" w:bidi="ar-SA"/>
    </w:rPr>
  </w:style>
  <w:style w:type="character" w:customStyle="1" w:styleId="61">
    <w:name w:val="标题 7 Char"/>
    <w:link w:val="10"/>
    <w:uiPriority w:val="0"/>
    <w:rPr>
      <w:rFonts w:eastAsia="宋体"/>
      <w:b/>
      <w:bCs/>
      <w:kern w:val="2"/>
      <w:sz w:val="24"/>
      <w:szCs w:val="24"/>
      <w:lang w:val="en-US" w:eastAsia="zh-CN" w:bidi="ar-SA"/>
    </w:rPr>
  </w:style>
  <w:style w:type="character" w:customStyle="1" w:styleId="62">
    <w:name w:val="标题 8 Char"/>
    <w:link w:val="11"/>
    <w:uiPriority w:val="0"/>
    <w:rPr>
      <w:rFonts w:ascii="Arial" w:hAnsi="Arial" w:eastAsia="黑体"/>
      <w:kern w:val="2"/>
      <w:sz w:val="24"/>
      <w:szCs w:val="24"/>
      <w:lang w:val="en-US" w:eastAsia="zh-CN" w:bidi="ar-SA"/>
    </w:rPr>
  </w:style>
  <w:style w:type="character" w:customStyle="1" w:styleId="63">
    <w:name w:val="标题 9 Char"/>
    <w:link w:val="12"/>
    <w:uiPriority w:val="0"/>
    <w:rPr>
      <w:rFonts w:ascii="Arial" w:hAnsi="Arial" w:eastAsia="黑体"/>
      <w:kern w:val="2"/>
      <w:sz w:val="21"/>
      <w:szCs w:val="21"/>
      <w:lang w:val="en-US" w:eastAsia="zh-CN" w:bidi="ar-SA"/>
    </w:rPr>
  </w:style>
  <w:style w:type="character" w:customStyle="1" w:styleId="64">
    <w:name w:val="正文缩进 Char"/>
    <w:link w:val="14"/>
    <w:uiPriority w:val="0"/>
    <w:rPr>
      <w:rFonts w:eastAsia="宋体"/>
      <w:kern w:val="2"/>
      <w:sz w:val="21"/>
      <w:szCs w:val="24"/>
      <w:lang w:val="en-US" w:eastAsia="zh-CN" w:bidi="ar-SA"/>
    </w:rPr>
  </w:style>
  <w:style w:type="character" w:customStyle="1" w:styleId="65">
    <w:name w:val="文档结构图 Char"/>
    <w:link w:val="15"/>
    <w:uiPriority w:val="0"/>
    <w:rPr>
      <w:rFonts w:eastAsia="宋体"/>
      <w:kern w:val="2"/>
      <w:sz w:val="21"/>
      <w:lang w:val="en-US" w:eastAsia="zh-CN" w:bidi="ar-SA"/>
    </w:rPr>
  </w:style>
  <w:style w:type="character" w:customStyle="1" w:styleId="66">
    <w:name w:val="批注文字 Char"/>
    <w:link w:val="16"/>
    <w:uiPriority w:val="0"/>
    <w:rPr>
      <w:rFonts w:eastAsia="宋体"/>
      <w:kern w:val="2"/>
      <w:sz w:val="21"/>
      <w:lang w:val="en-US" w:eastAsia="zh-CN" w:bidi="ar-SA"/>
    </w:rPr>
  </w:style>
  <w:style w:type="character" w:customStyle="1" w:styleId="67">
    <w:name w:val="正文文本 3 Char"/>
    <w:link w:val="17"/>
    <w:uiPriority w:val="0"/>
    <w:rPr>
      <w:rFonts w:eastAsia="宋体"/>
      <w:sz w:val="16"/>
      <w:szCs w:val="16"/>
      <w:lang w:bidi="ar-SA"/>
    </w:rPr>
  </w:style>
  <w:style w:type="character" w:customStyle="1" w:styleId="68">
    <w:name w:val="正文文本 Char"/>
    <w:link w:val="18"/>
    <w:uiPriority w:val="0"/>
    <w:rPr>
      <w:rFonts w:eastAsia="宋体"/>
      <w:i/>
      <w:kern w:val="2"/>
      <w:sz w:val="18"/>
      <w:lang w:val="en-US" w:eastAsia="zh-CN" w:bidi="ar-SA"/>
    </w:rPr>
  </w:style>
  <w:style w:type="character" w:customStyle="1" w:styleId="69">
    <w:name w:val="正文首行缩进 Char"/>
    <w:link w:val="19"/>
    <w:uiPriority w:val="0"/>
    <w:rPr>
      <w:rFonts w:eastAsia="宋体"/>
      <w:i/>
      <w:kern w:val="2"/>
      <w:sz w:val="21"/>
      <w:szCs w:val="24"/>
      <w:lang w:val="en-US" w:eastAsia="zh-CN" w:bidi="ar-SA"/>
    </w:rPr>
  </w:style>
  <w:style w:type="character" w:customStyle="1" w:styleId="70">
    <w:name w:val="纯文本 Char"/>
    <w:link w:val="24"/>
    <w:uiPriority w:val="0"/>
    <w:rPr>
      <w:rFonts w:ascii="宋体" w:hAnsi="宋体" w:eastAsia="宋体" w:cs="宋体"/>
      <w:color w:val="000000"/>
      <w:sz w:val="24"/>
      <w:szCs w:val="24"/>
      <w:lang w:val="en-US" w:eastAsia="zh-CN" w:bidi="ar-SA"/>
    </w:rPr>
  </w:style>
  <w:style w:type="character" w:customStyle="1" w:styleId="71">
    <w:name w:val=" Char Char"/>
    <w:basedOn w:val="46"/>
    <w:link w:val="26"/>
    <w:uiPriority w:val="0"/>
    <w:rPr>
      <w:rFonts w:ascii="宋体" w:eastAsia="宋体"/>
      <w:sz w:val="24"/>
      <w:lang w:val="en-US" w:eastAsia="zh-CN" w:bidi="ar-SA"/>
    </w:rPr>
  </w:style>
  <w:style w:type="character" w:customStyle="1" w:styleId="72">
    <w:name w:val="正文文本缩进 2 Char"/>
    <w:link w:val="27"/>
    <w:uiPriority w:val="0"/>
    <w:rPr>
      <w:rFonts w:ascii="宋体" w:eastAsia="宋体"/>
      <w:kern w:val="2"/>
      <w:sz w:val="24"/>
      <w:lang w:val="en-US" w:eastAsia="zh-CN" w:bidi="ar-SA"/>
    </w:rPr>
  </w:style>
  <w:style w:type="character" w:customStyle="1" w:styleId="73">
    <w:name w:val=" Char Char2"/>
    <w:basedOn w:val="46"/>
    <w:link w:val="28"/>
    <w:qFormat/>
    <w:uiPriority w:val="0"/>
    <w:rPr>
      <w:rFonts w:eastAsia="宋体"/>
      <w:kern w:val="2"/>
      <w:sz w:val="18"/>
      <w:szCs w:val="18"/>
      <w:lang w:val="en-US" w:eastAsia="zh-CN" w:bidi="ar-SA"/>
    </w:rPr>
  </w:style>
  <w:style w:type="character" w:customStyle="1" w:styleId="74">
    <w:name w:val=" Char Char27"/>
    <w:basedOn w:val="46"/>
    <w:link w:val="29"/>
    <w:uiPriority w:val="0"/>
    <w:rPr>
      <w:rFonts w:hint="eastAsia" w:ascii="宋体" w:hAnsi="宋体" w:eastAsia="宋体" w:cs="宋体"/>
      <w:kern w:val="2"/>
      <w:sz w:val="18"/>
      <w:lang w:val="en-US" w:eastAsia="zh-CN" w:bidi="ar"/>
    </w:rPr>
  </w:style>
  <w:style w:type="character" w:customStyle="1" w:styleId="75">
    <w:name w:val=" Char Char30"/>
    <w:basedOn w:val="46"/>
    <w:link w:val="30"/>
    <w:uiPriority w:val="0"/>
    <w:rPr>
      <w:rFonts w:hint="eastAsia" w:ascii="宋体" w:hAnsi="宋体" w:eastAsia="宋体" w:cs="宋体"/>
      <w:kern w:val="2"/>
      <w:sz w:val="18"/>
      <w:lang w:val="en-US" w:eastAsia="zh-CN" w:bidi="ar"/>
    </w:rPr>
  </w:style>
  <w:style w:type="character" w:customStyle="1" w:styleId="76">
    <w:name w:val="正文文本缩进 3 Char"/>
    <w:link w:val="34"/>
    <w:uiPriority w:val="0"/>
    <w:rPr>
      <w:rFonts w:ascii="宋体" w:eastAsia="宋体"/>
      <w:kern w:val="2"/>
      <w:sz w:val="24"/>
      <w:lang w:val="en-US" w:eastAsia="zh-CN" w:bidi="ar-SA"/>
    </w:rPr>
  </w:style>
  <w:style w:type="character" w:customStyle="1" w:styleId="77">
    <w:name w:val="正文文本 2 Char"/>
    <w:link w:val="38"/>
    <w:uiPriority w:val="0"/>
    <w:rPr>
      <w:rFonts w:eastAsia="宋体"/>
      <w:sz w:val="24"/>
      <w:szCs w:val="24"/>
      <w:lang w:bidi="ar-SA"/>
    </w:rPr>
  </w:style>
  <w:style w:type="character" w:customStyle="1" w:styleId="78">
    <w:name w:val="标题 Char"/>
    <w:link w:val="42"/>
    <w:uiPriority w:val="0"/>
    <w:rPr>
      <w:rFonts w:ascii="Cambria" w:hAnsi="Cambria" w:cs="Times New Roman"/>
      <w:b/>
      <w:bCs/>
      <w:kern w:val="2"/>
      <w:sz w:val="32"/>
      <w:szCs w:val="32"/>
    </w:rPr>
  </w:style>
  <w:style w:type="character" w:customStyle="1" w:styleId="79">
    <w:name w:val="页脚 Char"/>
    <w:uiPriority w:val="0"/>
    <w:rPr>
      <w:rFonts w:eastAsia="宋体"/>
      <w:kern w:val="2"/>
      <w:sz w:val="18"/>
      <w:lang w:val="en-US" w:eastAsia="zh-CN" w:bidi="ar-SA"/>
    </w:rPr>
  </w:style>
  <w:style w:type="character" w:customStyle="1" w:styleId="80">
    <w:name w:val=" Char Char12"/>
    <w:basedOn w:val="46"/>
    <w:uiPriority w:val="0"/>
    <w:rPr>
      <w:b/>
      <w:bCs/>
      <w:kern w:val="2"/>
      <w:sz w:val="32"/>
      <w:szCs w:val="32"/>
    </w:rPr>
  </w:style>
  <w:style w:type="character" w:customStyle="1" w:styleId="81">
    <w:name w:val=" Char Char11"/>
    <w:basedOn w:val="46"/>
    <w:uiPriority w:val="0"/>
    <w:rPr>
      <w:rFonts w:ascii="Arial" w:hAnsi="Arial" w:eastAsia="黑体"/>
      <w:b/>
      <w:bCs/>
      <w:kern w:val="2"/>
      <w:sz w:val="28"/>
      <w:szCs w:val="28"/>
    </w:rPr>
  </w:style>
  <w:style w:type="character" w:customStyle="1" w:styleId="82">
    <w:name w:val=" Char Char9"/>
    <w:basedOn w:val="46"/>
    <w:uiPriority w:val="0"/>
    <w:rPr>
      <w:rFonts w:ascii="Arial" w:hAnsi="Arial" w:eastAsia="黑体"/>
      <w:b/>
      <w:bCs/>
      <w:kern w:val="2"/>
      <w:sz w:val="24"/>
      <w:szCs w:val="24"/>
    </w:rPr>
  </w:style>
  <w:style w:type="character" w:customStyle="1" w:styleId="83">
    <w:name w:val=" Char Char21"/>
    <w:uiPriority w:val="0"/>
    <w:rPr>
      <w:rFonts w:ascii="宋体" w:eastAsia="宋体"/>
      <w:b/>
      <w:bCs/>
      <w:kern w:val="2"/>
      <w:sz w:val="28"/>
      <w:lang w:val="en-US" w:eastAsia="zh-CN" w:bidi="ar-SA"/>
    </w:rPr>
  </w:style>
  <w:style w:type="character" w:customStyle="1" w:styleId="84">
    <w:name w:val="hui3"/>
    <w:uiPriority w:val="0"/>
    <w:rPr>
      <w:color w:val="333333"/>
    </w:rPr>
  </w:style>
  <w:style w:type="character" w:customStyle="1" w:styleId="85">
    <w:name w:val="标题 1 Char Char"/>
    <w:uiPriority w:val="0"/>
    <w:rPr>
      <w:rFonts w:eastAsia="宋体"/>
      <w:b/>
      <w:spacing w:val="-2"/>
      <w:sz w:val="24"/>
      <w:lang w:val="en-US" w:eastAsia="zh-CN" w:bidi="ar-SA"/>
    </w:rPr>
  </w:style>
  <w:style w:type="character" w:customStyle="1" w:styleId="86">
    <w:name w:val="标题2正文 Char Char Char"/>
    <w:link w:val="87"/>
    <w:uiPriority w:val="0"/>
    <w:rPr>
      <w:rFonts w:eastAsia="宋体"/>
      <w:sz w:val="24"/>
      <w:szCs w:val="24"/>
      <w:lang w:bidi="ar-SA"/>
    </w:rPr>
  </w:style>
  <w:style w:type="paragraph" w:customStyle="1" w:styleId="87">
    <w:name w:val="标题2正文 Char"/>
    <w:basedOn w:val="1"/>
    <w:link w:val="86"/>
    <w:uiPriority w:val="0"/>
    <w:pPr>
      <w:spacing w:before="156" w:beforeLines="50" w:after="156" w:afterLines="50"/>
      <w:ind w:right="38" w:rightChars="18" w:firstLine="420"/>
    </w:pPr>
    <w:rPr>
      <w:kern w:val="0"/>
      <w:sz w:val="24"/>
      <w:szCs w:val="24"/>
    </w:rPr>
  </w:style>
  <w:style w:type="character" w:customStyle="1" w:styleId="88">
    <w:name w:val="apple-style-span"/>
    <w:basedOn w:val="46"/>
    <w:uiPriority w:val="0"/>
  </w:style>
  <w:style w:type="character" w:customStyle="1" w:styleId="89">
    <w:name w:val="样式4 Char Char"/>
    <w:link w:val="90"/>
    <w:uiPriority w:val="0"/>
    <w:rPr>
      <w:rFonts w:ascii="黑体" w:hAnsi="黑体" w:eastAsia="黑体"/>
      <w:bCs/>
      <w:kern w:val="44"/>
      <w:sz w:val="44"/>
      <w:szCs w:val="44"/>
      <w:lang w:val="en-US" w:eastAsia="zh-CN" w:bidi="ar-SA"/>
    </w:rPr>
  </w:style>
  <w:style w:type="paragraph" w:customStyle="1" w:styleId="90">
    <w:name w:val="样式4"/>
    <w:basedOn w:val="4"/>
    <w:link w:val="89"/>
    <w:uiPriority w:val="0"/>
    <w:pPr>
      <w:keepLines/>
      <w:spacing w:line="360" w:lineRule="auto"/>
    </w:pPr>
    <w:rPr>
      <w:rFonts w:ascii="黑体" w:hAnsi="黑体" w:eastAsia="黑体"/>
      <w:b w:val="0"/>
    </w:rPr>
  </w:style>
  <w:style w:type="character" w:customStyle="1" w:styleId="91">
    <w:name w:val="哈哈正文 Char Char"/>
    <w:link w:val="92"/>
    <w:uiPriority w:val="0"/>
    <w:rPr>
      <w:rFonts w:ascii="宋体" w:hAnsi="宋体" w:eastAsia="宋体" w:cs="宋体"/>
      <w:kern w:val="2"/>
      <w:sz w:val="24"/>
      <w:lang w:val="en-US" w:eastAsia="zh-CN" w:bidi="ar-SA"/>
    </w:rPr>
  </w:style>
  <w:style w:type="paragraph" w:customStyle="1" w:styleId="92">
    <w:name w:val="哈哈正文"/>
    <w:basedOn w:val="1"/>
    <w:link w:val="91"/>
    <w:uiPriority w:val="0"/>
    <w:pPr>
      <w:spacing w:line="360" w:lineRule="auto"/>
      <w:ind w:firstLine="200" w:firstLineChars="200"/>
    </w:pPr>
    <w:rPr>
      <w:rFonts w:ascii="宋体" w:hAnsi="宋体" w:cs="宋体"/>
      <w:sz w:val="24"/>
    </w:rPr>
  </w:style>
  <w:style w:type="character" w:customStyle="1" w:styleId="93">
    <w:name w:val="方案－正文 Char Char"/>
    <w:link w:val="94"/>
    <w:uiPriority w:val="0"/>
    <w:rPr>
      <w:rFonts w:ascii="仿宋_GB2312" w:hAnsi="宋体"/>
      <w:sz w:val="24"/>
      <w:lang w:bidi="ar-SA"/>
    </w:rPr>
  </w:style>
  <w:style w:type="paragraph" w:customStyle="1" w:styleId="94">
    <w:name w:val="方案－正文"/>
    <w:basedOn w:val="1"/>
    <w:link w:val="93"/>
    <w:uiPriority w:val="0"/>
    <w:pPr>
      <w:spacing w:line="360" w:lineRule="auto"/>
      <w:ind w:firstLine="480" w:firstLineChars="200"/>
    </w:pPr>
    <w:rPr>
      <w:rFonts w:ascii="仿宋_GB2312" w:hAnsi="宋体"/>
      <w:kern w:val="0"/>
      <w:sz w:val="24"/>
    </w:rPr>
  </w:style>
  <w:style w:type="character" w:customStyle="1" w:styleId="95">
    <w:name w:val=" Char Char1"/>
    <w:uiPriority w:val="0"/>
    <w:rPr>
      <w:rFonts w:ascii="Arial" w:hAnsi="Arial" w:cs="Arial"/>
      <w:b/>
      <w:bCs/>
      <w:kern w:val="2"/>
      <w:sz w:val="32"/>
      <w:szCs w:val="32"/>
    </w:rPr>
  </w:style>
  <w:style w:type="character" w:customStyle="1" w:styleId="96">
    <w:name w:val=" Char Char6"/>
    <w:uiPriority w:val="0"/>
    <w:rPr>
      <w:rFonts w:eastAsia="方正书宋简体"/>
      <w:kern w:val="2"/>
      <w:sz w:val="24"/>
      <w:lang w:val="en-US" w:eastAsia="zh-CN" w:bidi="ar-SA"/>
    </w:rPr>
  </w:style>
  <w:style w:type="character" w:customStyle="1" w:styleId="97">
    <w:name w:val=" Char Char14"/>
    <w:basedOn w:val="46"/>
    <w:uiPriority w:val="0"/>
    <w:rPr>
      <w:b/>
      <w:bCs/>
      <w:kern w:val="44"/>
      <w:sz w:val="44"/>
      <w:szCs w:val="44"/>
    </w:rPr>
  </w:style>
  <w:style w:type="character" w:customStyle="1" w:styleId="98">
    <w:name w:val="样式5 Char Char"/>
    <w:link w:val="99"/>
    <w:uiPriority w:val="0"/>
    <w:rPr>
      <w:rFonts w:eastAsia="宋体"/>
      <w:b/>
      <w:bCs/>
      <w:kern w:val="2"/>
      <w:sz w:val="28"/>
      <w:szCs w:val="28"/>
      <w:lang w:val="en-US" w:eastAsia="zh-CN" w:bidi="ar-SA"/>
    </w:rPr>
  </w:style>
  <w:style w:type="paragraph" w:customStyle="1" w:styleId="99">
    <w:name w:val="样式5"/>
    <w:basedOn w:val="1"/>
    <w:link w:val="98"/>
    <w:uiPriority w:val="0"/>
    <w:pPr>
      <w:keepNext/>
      <w:keepLines/>
      <w:spacing w:before="280" w:beforeLines="0" w:after="290" w:afterLines="0" w:line="376" w:lineRule="auto"/>
      <w:ind w:left="210" w:leftChars="100" w:right="210" w:rightChars="100"/>
      <w:outlineLvl w:val="4"/>
    </w:pPr>
    <w:rPr>
      <w:b/>
      <w:bCs/>
      <w:sz w:val="28"/>
      <w:szCs w:val="28"/>
    </w:rPr>
  </w:style>
  <w:style w:type="character" w:customStyle="1" w:styleId="100">
    <w:name w:val=" Char Char10"/>
    <w:basedOn w:val="46"/>
    <w:uiPriority w:val="0"/>
    <w:rPr>
      <w:b/>
      <w:bCs/>
      <w:kern w:val="2"/>
      <w:sz w:val="28"/>
      <w:szCs w:val="28"/>
      <w:lang w:val="zh-CN"/>
    </w:rPr>
  </w:style>
  <w:style w:type="character" w:customStyle="1" w:styleId="101">
    <w:name w:val=" Char Char5"/>
    <w:basedOn w:val="46"/>
    <w:uiPriority w:val="0"/>
    <w:rPr>
      <w:kern w:val="2"/>
      <w:sz w:val="18"/>
      <w:szCs w:val="18"/>
    </w:rPr>
  </w:style>
  <w:style w:type="character" w:customStyle="1" w:styleId="102">
    <w:name w:val="样式1 Char Char"/>
    <w:link w:val="103"/>
    <w:uiPriority w:val="0"/>
    <w:rPr>
      <w:rFonts w:ascii="黑体" w:hAnsi="黑体" w:eastAsia="黑体"/>
      <w:b/>
      <w:bCs/>
      <w:kern w:val="2"/>
      <w:sz w:val="32"/>
      <w:szCs w:val="32"/>
      <w:lang w:bidi="ar-SA"/>
    </w:rPr>
  </w:style>
  <w:style w:type="paragraph" w:customStyle="1" w:styleId="103">
    <w:name w:val="样式1"/>
    <w:basedOn w:val="5"/>
    <w:link w:val="102"/>
    <w:uiPriority w:val="0"/>
    <w:pPr>
      <w:tabs>
        <w:tab w:val="clear" w:pos="578"/>
      </w:tabs>
      <w:spacing w:before="0" w:beforeLines="0" w:after="0" w:afterLines="0"/>
      <w:ind w:left="0" w:firstLine="0"/>
    </w:pPr>
    <w:rPr>
      <w:rFonts w:ascii="黑体" w:hAnsi="黑体"/>
    </w:rPr>
  </w:style>
  <w:style w:type="character" w:customStyle="1" w:styleId="104">
    <w:name w:val=" Char Char7"/>
    <w:basedOn w:val="46"/>
    <w:uiPriority w:val="0"/>
    <w:rPr>
      <w:rFonts w:ascii="Cambria" w:hAnsi="Cambria"/>
      <w:kern w:val="2"/>
      <w:sz w:val="24"/>
      <w:szCs w:val="24"/>
    </w:rPr>
  </w:style>
  <w:style w:type="character" w:customStyle="1" w:styleId="105">
    <w:name w:val="ca-8"/>
    <w:basedOn w:val="46"/>
    <w:uiPriority w:val="0"/>
  </w:style>
  <w:style w:type="character" w:customStyle="1" w:styleId="106">
    <w:name w:val=" Char Char4"/>
    <w:basedOn w:val="46"/>
    <w:uiPriority w:val="0"/>
    <w:rPr>
      <w:kern w:val="2"/>
      <w:sz w:val="18"/>
      <w:szCs w:val="18"/>
    </w:rPr>
  </w:style>
  <w:style w:type="character" w:customStyle="1" w:styleId="107">
    <w:name w:val=" Char Char8"/>
    <w:basedOn w:val="46"/>
    <w:uiPriority w:val="0"/>
    <w:rPr>
      <w:b/>
      <w:bCs/>
      <w:kern w:val="2"/>
      <w:sz w:val="24"/>
      <w:szCs w:val="24"/>
    </w:rPr>
  </w:style>
  <w:style w:type="character" w:customStyle="1" w:styleId="108">
    <w:name w:val=" Char Char13"/>
    <w:basedOn w:val="46"/>
    <w:uiPriority w:val="0"/>
    <w:rPr>
      <w:rFonts w:ascii="Arial" w:hAnsi="Arial" w:eastAsia="黑体"/>
      <w:b/>
      <w:bCs/>
      <w:kern w:val="2"/>
      <w:sz w:val="32"/>
      <w:szCs w:val="32"/>
    </w:rPr>
  </w:style>
  <w:style w:type="character" w:customStyle="1" w:styleId="109">
    <w:name w:val="纯文本 Char2"/>
    <w:uiPriority w:val="0"/>
    <w:rPr>
      <w:rFonts w:hint="eastAsia" w:ascii="宋体" w:hAnsi="Courier New" w:eastAsia="宋体" w:cs="Courier New"/>
      <w:kern w:val="2"/>
      <w:sz w:val="21"/>
      <w:szCs w:val="21"/>
      <w:lang w:eastAsia="en-US"/>
    </w:rPr>
  </w:style>
  <w:style w:type="character" w:customStyle="1" w:styleId="110">
    <w:name w:val=" Char Char24"/>
    <w:qFormat/>
    <w:uiPriority w:val="0"/>
    <w:rPr>
      <w:rFonts w:eastAsia="宋体"/>
      <w:b/>
      <w:bCs/>
      <w:kern w:val="44"/>
      <w:sz w:val="44"/>
      <w:szCs w:val="44"/>
      <w:lang w:val="en-US" w:eastAsia="zh-CN" w:bidi="ar-SA"/>
    </w:rPr>
  </w:style>
  <w:style w:type="character" w:customStyle="1" w:styleId="111">
    <w:name w:val=" Char Char3"/>
    <w:basedOn w:val="46"/>
    <w:uiPriority w:val="0"/>
    <w:rPr>
      <w:kern w:val="2"/>
      <w:sz w:val="21"/>
      <w:szCs w:val="22"/>
    </w:rPr>
  </w:style>
  <w:style w:type="character" w:customStyle="1" w:styleId="112">
    <w:name w:val="标题 2 Char1"/>
    <w:uiPriority w:val="0"/>
    <w:rPr>
      <w:rFonts w:ascii="Arial" w:hAnsi="Arial" w:eastAsia="黑体"/>
      <w:b/>
      <w:bCs/>
      <w:kern w:val="2"/>
      <w:sz w:val="32"/>
      <w:szCs w:val="32"/>
      <w:lang w:val="en-US" w:eastAsia="zh-CN" w:bidi="ar-SA"/>
    </w:rPr>
  </w:style>
  <w:style w:type="character" w:customStyle="1" w:styleId="113">
    <w:name w:val="标题 Char1"/>
    <w:basedOn w:val="46"/>
    <w:uiPriority w:val="0"/>
    <w:rPr>
      <w:rFonts w:ascii="Cambria" w:hAnsi="Cambria" w:cs="Times New Roman"/>
      <w:b/>
      <w:bCs/>
      <w:kern w:val="2"/>
      <w:sz w:val="32"/>
      <w:szCs w:val="32"/>
    </w:rPr>
  </w:style>
  <w:style w:type="character" w:customStyle="1" w:styleId="114">
    <w:name w:val="页眉 Char"/>
    <w:uiPriority w:val="0"/>
    <w:rPr>
      <w:rFonts w:eastAsia="宋体"/>
      <w:kern w:val="2"/>
      <w:sz w:val="18"/>
      <w:lang w:val="en-US" w:eastAsia="zh-CN" w:bidi="ar-SA"/>
    </w:rPr>
  </w:style>
  <w:style w:type="character" w:customStyle="1" w:styleId="115">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116">
    <w:name w:val="正文文本缩进 Char"/>
    <w:basedOn w:val="46"/>
    <w:uiPriority w:val="0"/>
    <w:rPr>
      <w:rFonts w:hint="default" w:ascii="Verdana" w:hAnsi="Verdana" w:cs="Verdana"/>
      <w:kern w:val="2"/>
      <w:sz w:val="28"/>
      <w:lang w:eastAsia="en-US" w:bidi="ar"/>
    </w:rPr>
  </w:style>
  <w:style w:type="character" w:customStyle="1" w:styleId="117">
    <w:name w:val="页脚 Char1"/>
    <w:uiPriority w:val="0"/>
    <w:rPr>
      <w:rFonts w:eastAsia="宋体"/>
      <w:kern w:val="2"/>
      <w:sz w:val="18"/>
      <w:lang w:val="en-US" w:eastAsia="zh-CN" w:bidi="ar-SA"/>
    </w:rPr>
  </w:style>
  <w:style w:type="character" w:customStyle="1" w:styleId="118">
    <w:name w:val="样式2 Char Char"/>
    <w:link w:val="119"/>
    <w:uiPriority w:val="0"/>
    <w:rPr>
      <w:rFonts w:ascii="黑体" w:hAnsi="黑体" w:eastAsia="黑体"/>
      <w:bCs/>
      <w:color w:val="FF0000"/>
      <w:kern w:val="2"/>
      <w:sz w:val="28"/>
      <w:szCs w:val="32"/>
      <w:lang w:val="en-US" w:eastAsia="zh-CN" w:bidi="ar-SA"/>
    </w:rPr>
  </w:style>
  <w:style w:type="paragraph" w:customStyle="1" w:styleId="119">
    <w:name w:val="样式2"/>
    <w:basedOn w:val="6"/>
    <w:link w:val="118"/>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paragraph" w:customStyle="1" w:styleId="120">
    <w:name w:val=" Char Char1 Char Char Char Char"/>
    <w:basedOn w:val="1"/>
    <w:uiPriority w:val="0"/>
    <w:rPr>
      <w:rFonts w:ascii="Tahoma" w:hAnsi="Tahoma"/>
      <w:sz w:val="24"/>
    </w:rPr>
  </w:style>
  <w:style w:type="paragraph" w:customStyle="1" w:styleId="121">
    <w:name w:val="默认段落字体 Para Char Char Char Char Char Char Char Char Char1 Char Char Char Char"/>
    <w:basedOn w:val="1"/>
    <w:uiPriority w:val="0"/>
    <w:rPr>
      <w:rFonts w:ascii="Tahoma" w:hAnsi="Tahoma"/>
      <w:sz w:val="24"/>
    </w:rPr>
  </w:style>
  <w:style w:type="paragraph" w:customStyle="1" w:styleId="122">
    <w:name w:val="[Normal]"/>
    <w:qFormat/>
    <w:uiPriority w:val="0"/>
    <w:rPr>
      <w:rFonts w:ascii="宋体" w:hAnsi="宋体" w:eastAsia="宋体" w:cs="Times New Roman"/>
      <w:sz w:val="24"/>
      <w:szCs w:val="22"/>
      <w:lang w:val="zh-CN" w:eastAsia="zh-CN" w:bidi="ar-SA"/>
    </w:rPr>
  </w:style>
  <w:style w:type="paragraph" w:customStyle="1" w:styleId="123">
    <w:name w:val="普通正文"/>
    <w:basedOn w:val="1"/>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124">
    <w:name w:val="列出段落"/>
    <w:basedOn w:val="1"/>
    <w:qFormat/>
    <w:uiPriority w:val="0"/>
    <w:pPr>
      <w:spacing w:line="360" w:lineRule="auto"/>
      <w:ind w:firstLine="420" w:firstLineChars="200"/>
    </w:pPr>
    <w:rPr>
      <w:sz w:val="24"/>
      <w:szCs w:val="24"/>
    </w:rPr>
  </w:style>
  <w:style w:type="paragraph" w:customStyle="1" w:styleId="125">
    <w:name w:val=" Char1"/>
    <w:basedOn w:val="1"/>
    <w:uiPriority w:val="0"/>
    <w:rPr>
      <w:rFonts w:ascii="仿宋_GB2312" w:eastAsia="仿宋_GB2312"/>
      <w:b/>
      <w:sz w:val="32"/>
      <w:szCs w:val="32"/>
    </w:rPr>
  </w:style>
  <w:style w:type="paragraph" w:customStyle="1" w:styleId="126">
    <w:name w:val="itemlistintable"/>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7">
    <w:name w:val="正文编码"/>
    <w:basedOn w:val="19"/>
    <w:uiPriority w:val="0"/>
    <w:pPr>
      <w:numPr>
        <w:ilvl w:val="0"/>
        <w:numId w:val="3"/>
      </w:numPr>
      <w:tabs>
        <w:tab w:val="center" w:pos="2185"/>
        <w:tab w:val="clear" w:pos="1200"/>
      </w:tabs>
      <w:spacing w:after="0" w:afterLines="0" w:line="360" w:lineRule="auto"/>
      <w:ind w:firstLineChars="0"/>
    </w:pPr>
    <w:rPr>
      <w:rFonts w:ascii="仿宋_GB2312" w:hAnsi="宋体" w:eastAsia="仿宋_GB2312"/>
      <w:kern w:val="0"/>
      <w:sz w:val="24"/>
      <w:szCs w:val="20"/>
    </w:rPr>
  </w:style>
  <w:style w:type="paragraph" w:customStyle="1" w:styleId="128">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9">
    <w:name w:val="Char Char Char Char1"/>
    <w:basedOn w:val="1"/>
    <w:uiPriority w:val="0"/>
    <w:rPr>
      <w:rFonts w:ascii="Tahoma" w:hAnsi="Tahoma"/>
      <w:sz w:val="24"/>
    </w:rPr>
  </w:style>
  <w:style w:type="paragraph" w:customStyle="1" w:styleId="130">
    <w:name w:val="标准正文"/>
    <w:basedOn w:val="1"/>
    <w:uiPriority w:val="0"/>
    <w:pPr>
      <w:adjustRightInd w:val="0"/>
      <w:spacing w:line="360" w:lineRule="auto"/>
      <w:ind w:firstLine="480" w:firstLineChars="200"/>
    </w:pPr>
    <w:rPr>
      <w:kern w:val="0"/>
      <w:sz w:val="24"/>
    </w:rPr>
  </w:style>
  <w:style w:type="paragraph" w:customStyle="1" w:styleId="131">
    <w:name w:val="tabletextcharcha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2">
    <w:name w:val="xl25"/>
    <w:basedOn w:val="1"/>
    <w:uiPriority w:val="0"/>
    <w:pPr>
      <w:widowControl/>
      <w:spacing w:before="100" w:beforeLines="0" w:beforeAutospacing="1" w:after="100" w:afterLines="0" w:afterAutospacing="1"/>
      <w:jc w:val="center"/>
      <w:textAlignment w:val="center"/>
    </w:pPr>
    <w:rPr>
      <w:rFonts w:ascii="宋体" w:hAnsi="宋体"/>
      <w:kern w:val="0"/>
      <w:sz w:val="20"/>
    </w:rPr>
  </w:style>
  <w:style w:type="paragraph" w:customStyle="1" w:styleId="133">
    <w:name w:val="1 正文"/>
    <w:basedOn w:val="1"/>
    <w:qFormat/>
    <w:uiPriority w:val="0"/>
    <w:pPr>
      <w:adjustRightInd w:val="0"/>
      <w:snapToGrid w:val="0"/>
      <w:spacing w:line="360" w:lineRule="auto"/>
      <w:ind w:firstLine="200" w:firstLineChars="200"/>
      <w:jc w:val="left"/>
    </w:pPr>
    <w:rPr>
      <w:sz w:val="24"/>
    </w:rPr>
  </w:style>
  <w:style w:type="paragraph" w:customStyle="1" w:styleId="134">
    <w:name w:val="Normal"/>
    <w:qFormat/>
    <w:uiPriority w:val="0"/>
    <w:pPr>
      <w:widowControl w:val="0"/>
      <w:jc w:val="both"/>
    </w:pPr>
    <w:rPr>
      <w:rFonts w:hint="eastAsia"/>
      <w:kern w:val="2"/>
      <w:sz w:val="21"/>
      <w:szCs w:val="22"/>
      <w:lang w:val="en-US" w:eastAsia="zh-CN" w:bidi="ar-SA"/>
    </w:rPr>
  </w:style>
  <w:style w:type="paragraph" w:customStyle="1" w:styleId="135">
    <w:name w:val="1"/>
    <w:basedOn w:val="1"/>
    <w:next w:val="124"/>
    <w:qFormat/>
    <w:uiPriority w:val="0"/>
    <w:pPr>
      <w:ind w:firstLine="420" w:firstLineChars="200"/>
    </w:pPr>
    <w:rPr>
      <w:szCs w:val="24"/>
    </w:rPr>
  </w:style>
  <w:style w:type="paragraph" w:customStyle="1" w:styleId="136">
    <w:name w:val="表格文字"/>
    <w:basedOn w:val="1"/>
    <w:next w:val="18"/>
    <w:uiPriority w:val="0"/>
    <w:pPr>
      <w:widowControl w:val="0"/>
      <w:spacing w:before="25" w:beforeLines="0" w:after="25" w:afterLines="0"/>
    </w:pPr>
    <w:rPr>
      <w:bCs/>
      <w:spacing w:val="10"/>
      <w:sz w:val="24"/>
    </w:rPr>
  </w:style>
  <w:style w:type="paragraph" w:customStyle="1" w:styleId="137">
    <w:name w:val="2 标题2"/>
    <w:basedOn w:val="133"/>
    <w:next w:val="133"/>
    <w:qFormat/>
    <w:uiPriority w:val="0"/>
    <w:pPr>
      <w:ind w:firstLine="0" w:firstLineChars="0"/>
      <w:outlineLvl w:val="1"/>
    </w:pPr>
    <w:rPr>
      <w:b/>
      <w:sz w:val="30"/>
    </w:rPr>
  </w:style>
  <w:style w:type="paragraph" w:customStyle="1" w:styleId="138">
    <w:name w:val="标准小四"/>
    <w:basedOn w:val="1"/>
    <w:uiPriority w:val="0"/>
    <w:pPr>
      <w:spacing w:line="360" w:lineRule="auto"/>
      <w:ind w:firstLine="480" w:firstLineChars="200"/>
    </w:pPr>
    <w:rPr>
      <w:rFonts w:ascii="Arial" w:hAnsi="Arial"/>
      <w:sz w:val="24"/>
      <w:szCs w:val="21"/>
    </w:rPr>
  </w:style>
  <w:style w:type="paragraph" w:customStyle="1" w:styleId="139">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40">
    <w:name w:val=" Char"/>
    <w:basedOn w:val="1"/>
    <w:uiPriority w:val="0"/>
    <w:pPr>
      <w:widowControl/>
      <w:spacing w:after="160" w:afterLines="0" w:line="240" w:lineRule="exact"/>
      <w:ind w:left="-62" w:right="36" w:rightChars="15"/>
      <w:jc w:val="left"/>
    </w:pPr>
    <w:rPr>
      <w:rFonts w:ascii="Arial" w:hAnsi="Arial" w:eastAsia="Times New Roman"/>
      <w:kern w:val="0"/>
      <w:sz w:val="20"/>
      <w:lang w:eastAsia="en-US"/>
    </w:rPr>
  </w:style>
  <w:style w:type="paragraph" w:customStyle="1" w:styleId="141">
    <w:name w:val="*正文"/>
    <w:basedOn w:val="14"/>
    <w:qFormat/>
    <w:uiPriority w:val="0"/>
    <w:pPr>
      <w:ind w:firstLine="567" w:firstLineChars="0"/>
    </w:pPr>
    <w:rPr>
      <w:rFonts w:ascii="Calibri" w:hAnsi="Calibri"/>
      <w:kern w:val="0"/>
      <w:szCs w:val="22"/>
    </w:rPr>
  </w:style>
  <w:style w:type="paragraph" w:customStyle="1" w:styleId="142">
    <w:name w:val="符号 2"/>
    <w:basedOn w:val="143"/>
    <w:uiPriority w:val="0"/>
    <w:pPr>
      <w:numPr>
        <w:ilvl w:val="1"/>
        <w:numId w:val="3"/>
      </w:numPr>
    </w:pPr>
  </w:style>
  <w:style w:type="paragraph" w:customStyle="1" w:styleId="143">
    <w:name w:val="符号 1"/>
    <w:basedOn w:val="3"/>
    <w:uiPriority w:val="0"/>
    <w:pPr>
      <w:numPr>
        <w:ilvl w:val="0"/>
        <w:numId w:val="3"/>
      </w:numPr>
      <w:tabs>
        <w:tab w:val="left" w:pos="900"/>
        <w:tab w:val="clear" w:pos="1200"/>
      </w:tabs>
      <w:spacing w:line="360" w:lineRule="auto"/>
    </w:pPr>
    <w:rPr>
      <w:rFonts w:eastAsia="宋体"/>
      <w:kern w:val="28"/>
      <w:szCs w:val="24"/>
    </w:rPr>
  </w:style>
  <w:style w:type="paragraph" w:customStyle="1" w:styleId="144">
    <w:name w:val=" Char Char Char Char"/>
    <w:basedOn w:val="1"/>
    <w:uiPriority w:val="0"/>
    <w:pPr>
      <w:widowControl/>
      <w:spacing w:line="400" w:lineRule="exact"/>
      <w:jc w:val="center"/>
    </w:pPr>
    <w:rPr>
      <w:rFonts w:ascii="Verdana" w:hAnsi="Verdana"/>
      <w:kern w:val="0"/>
      <w:lang w:eastAsia="en-US"/>
    </w:rPr>
  </w:style>
  <w:style w:type="paragraph" w:customStyle="1" w:styleId="145">
    <w:name w:val="xl33"/>
    <w:basedOn w:val="1"/>
    <w:uiPriority w:val="0"/>
    <w:pPr>
      <w:widowControl/>
      <w:spacing w:before="100" w:beforeLines="0" w:beforeAutospacing="1" w:after="100" w:afterLines="0" w:afterAutospacing="1"/>
      <w:jc w:val="center"/>
    </w:pPr>
    <w:rPr>
      <w:rFonts w:ascii="华文中宋" w:hAnsi="华文中宋" w:eastAsia="华文中宋"/>
      <w:b/>
      <w:bCs/>
      <w:kern w:val="0"/>
      <w:sz w:val="36"/>
      <w:szCs w:val="36"/>
    </w:rPr>
  </w:style>
  <w:style w:type="paragraph" w:customStyle="1" w:styleId="146">
    <w:name w:val="Normal 2"/>
    <w:basedOn w:val="1"/>
    <w:uiPriority w:val="0"/>
    <w:pPr>
      <w:keepLines/>
      <w:widowControl/>
      <w:autoSpaceDE w:val="0"/>
      <w:autoSpaceDN w:val="0"/>
      <w:adjustRightInd w:val="0"/>
      <w:spacing w:before="240" w:beforeLines="0"/>
      <w:ind w:left="360" w:right="900"/>
      <w:jc w:val="left"/>
    </w:pPr>
    <w:rPr>
      <w:rFonts w:ascii="Arial" w:hAnsi="Arial"/>
      <w:kern w:val="0"/>
      <w:sz w:val="22"/>
      <w:lang w:eastAsia="en-US"/>
    </w:rPr>
  </w:style>
  <w:style w:type="paragraph" w:customStyle="1" w:styleId="147">
    <w:name w:val="段"/>
    <w:uiPriority w:val="0"/>
    <w:pPr>
      <w:autoSpaceDE w:val="0"/>
      <w:autoSpaceDN w:val="0"/>
      <w:ind w:firstLine="200" w:firstLineChars="200"/>
      <w:jc w:val="both"/>
    </w:pPr>
    <w:rPr>
      <w:rFonts w:ascii="宋体"/>
      <w:sz w:val="21"/>
      <w:lang w:val="en-US" w:eastAsia="zh-CN" w:bidi="ar-SA"/>
    </w:rPr>
  </w:style>
  <w:style w:type="paragraph" w:customStyle="1" w:styleId="148">
    <w:name w:val="xl28"/>
    <w:basedOn w:val="1"/>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49">
    <w:name w:val="标题1"/>
    <w:basedOn w:val="24"/>
    <w:uiPriority w:val="0"/>
    <w:pPr>
      <w:keepLines/>
      <w:numPr>
        <w:ilvl w:val="0"/>
        <w:numId w:val="4"/>
      </w:numPr>
      <w:tabs>
        <w:tab w:val="left" w:pos="397"/>
        <w:tab w:val="clear" w:pos="700"/>
      </w:tabs>
      <w:spacing w:before="120" w:beforeLines="0" w:after="120" w:afterLines="0" w:line="300" w:lineRule="auto"/>
    </w:pPr>
    <w:rPr>
      <w:rFonts w:ascii="黑体" w:hAnsi="宋体" w:eastAsia="黑体"/>
      <w:b/>
      <w:bCs/>
      <w:spacing w:val="6"/>
      <w:kern w:val="44"/>
      <w:sz w:val="36"/>
    </w:rPr>
  </w:style>
  <w:style w:type="paragraph" w:customStyle="1" w:styleId="150">
    <w:name w:val="Plain Text"/>
    <w:basedOn w:val="1"/>
    <w:qFormat/>
    <w:uiPriority w:val="0"/>
    <w:rPr>
      <w:rFonts w:ascii="宋体" w:hAnsi="Courier New"/>
      <w:szCs w:val="20"/>
    </w:rPr>
  </w:style>
  <w:style w:type="paragraph" w:customStyle="1" w:styleId="151">
    <w:name w:val="标题3"/>
    <w:basedOn w:val="6"/>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52">
    <w:name w:val="默认段落字体 Para Char Char Char Char Char Char Char Char Char Char"/>
    <w:basedOn w:val="1"/>
    <w:uiPriority w:val="0"/>
    <w:rPr>
      <w:rFonts w:ascii="Tahoma" w:hAnsi="Tahoma"/>
      <w:sz w:val="24"/>
    </w:rPr>
  </w:style>
  <w:style w:type="paragraph" w:customStyle="1" w:styleId="153">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54">
    <w:name w:val="正文无缩进"/>
    <w:basedOn w:val="1"/>
    <w:uiPriority w:val="0"/>
    <w:pPr>
      <w:widowControl/>
      <w:autoSpaceDE w:val="0"/>
      <w:autoSpaceDN w:val="0"/>
      <w:spacing w:line="300" w:lineRule="auto"/>
      <w:textAlignment w:val="bottom"/>
    </w:pPr>
    <w:rPr>
      <w:rFonts w:eastAsia="楷体_GB2312"/>
    </w:rPr>
  </w:style>
  <w:style w:type="paragraph" w:customStyle="1" w:styleId="155">
    <w:name w:val="Char Char Char"/>
    <w:basedOn w:val="1"/>
    <w:uiPriority w:val="0"/>
    <w:pPr>
      <w:spacing w:before="120" w:beforeLines="0" w:after="120" w:afterLines="0" w:line="360" w:lineRule="auto"/>
      <w:ind w:firstLine="200" w:firstLineChars="200"/>
    </w:pPr>
    <w:rPr>
      <w:rFonts w:ascii="Tahoma" w:hAnsi="Tahoma"/>
      <w:sz w:val="24"/>
    </w:rPr>
  </w:style>
  <w:style w:type="paragraph" w:customStyle="1" w:styleId="156">
    <w:name w:val=" Char Char Char1 Char"/>
    <w:basedOn w:val="1"/>
    <w:uiPriority w:val="0"/>
    <w:pPr>
      <w:spacing w:line="360" w:lineRule="auto"/>
      <w:ind w:firstLine="200" w:firstLineChars="200"/>
    </w:pPr>
  </w:style>
  <w:style w:type="paragraph" w:customStyle="1" w:styleId="157">
    <w:name w:val="WPSOffice手动目录 1"/>
    <w:qFormat/>
    <w:uiPriority w:val="0"/>
    <w:rPr>
      <w:lang w:val="en-US" w:eastAsia="zh-CN" w:bidi="ar-SA"/>
    </w:rPr>
  </w:style>
  <w:style w:type="paragraph" w:customStyle="1" w:styleId="158">
    <w:name w:val="大标题"/>
    <w:basedOn w:val="1"/>
    <w:uiPriority w:val="0"/>
    <w:pPr>
      <w:autoSpaceDE w:val="0"/>
      <w:autoSpaceDN w:val="0"/>
      <w:adjustRightInd w:val="0"/>
      <w:spacing w:after="560" w:afterLines="0"/>
      <w:jc w:val="center"/>
    </w:pPr>
    <w:rPr>
      <w:rFonts w:ascii="Arial Black" w:hAnsi="Arial Black"/>
      <w:b/>
      <w:kern w:val="0"/>
      <w:sz w:val="56"/>
    </w:rPr>
  </w:style>
  <w:style w:type="paragraph" w:customStyle="1" w:styleId="159">
    <w:name w:val="无间隔"/>
    <w:qFormat/>
    <w:uiPriority w:val="0"/>
    <w:pPr>
      <w:widowControl w:val="0"/>
      <w:jc w:val="both"/>
    </w:pPr>
    <w:rPr>
      <w:rFonts w:ascii="Calibri" w:hAnsi="Calibri"/>
      <w:kern w:val="2"/>
      <w:sz w:val="21"/>
      <w:szCs w:val="22"/>
      <w:lang w:val="en-US" w:eastAsia="zh-CN" w:bidi="ar-SA"/>
    </w:rPr>
  </w:style>
  <w:style w:type="paragraph" w:customStyle="1" w:styleId="160">
    <w:name w:val="Blockquote"/>
    <w:basedOn w:val="1"/>
    <w:uiPriority w:val="0"/>
    <w:pPr>
      <w:autoSpaceDE w:val="0"/>
      <w:autoSpaceDN w:val="0"/>
      <w:adjustRightInd w:val="0"/>
      <w:spacing w:before="100" w:after="100"/>
      <w:ind w:left="360" w:right="360"/>
      <w:jc w:val="left"/>
    </w:pPr>
    <w:rPr>
      <w:kern w:val="0"/>
      <w:sz w:val="24"/>
    </w:rPr>
  </w:style>
  <w:style w:type="paragraph" w:customStyle="1" w:styleId="16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63">
    <w:name w:val=" 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64">
    <w:name w:val="Char"/>
    <w:basedOn w:val="1"/>
    <w:uiPriority w:val="0"/>
    <w:pPr>
      <w:numPr>
        <w:ilvl w:val="0"/>
        <w:numId w:val="3"/>
      </w:numPr>
    </w:pPr>
    <w:rPr>
      <w:sz w:val="24"/>
      <w:szCs w:val="24"/>
    </w:rPr>
  </w:style>
  <w:style w:type="paragraph" w:customStyle="1" w:styleId="165">
    <w:name w:val="tabletextcha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6">
    <w:name w:val="p0"/>
    <w:basedOn w:val="1"/>
    <w:uiPriority w:val="0"/>
    <w:pPr>
      <w:widowControl/>
    </w:pPr>
    <w:rPr>
      <w:kern w:val="0"/>
      <w:szCs w:val="21"/>
    </w:rPr>
  </w:style>
  <w:style w:type="paragraph" w:customStyle="1" w:styleId="167">
    <w:name w:val="正文段"/>
    <w:basedOn w:val="1"/>
    <w:uiPriority w:val="0"/>
    <w:pPr>
      <w:widowControl/>
      <w:snapToGrid w:val="0"/>
      <w:spacing w:after="156" w:afterLines="50"/>
      <w:ind w:firstLine="200" w:firstLineChars="200"/>
    </w:pPr>
    <w:rPr>
      <w:kern w:val="0"/>
      <w:sz w:val="24"/>
    </w:rPr>
  </w:style>
  <w:style w:type="paragraph" w:customStyle="1" w:styleId="168">
    <w:name w:val=" Char Char Char Char Char Char Char"/>
    <w:basedOn w:val="1"/>
    <w:uiPriority w:val="0"/>
    <w:pPr>
      <w:tabs>
        <w:tab w:val="left" w:pos="432"/>
      </w:tabs>
      <w:ind w:left="432" w:hanging="432"/>
    </w:pPr>
    <w:rPr>
      <w:rFonts w:ascii="Tahoma" w:hAnsi="Tahoma"/>
      <w:sz w:val="24"/>
    </w:rPr>
  </w:style>
  <w:style w:type="paragraph" w:customStyle="1" w:styleId="169">
    <w:name w:val="xl24"/>
    <w:basedOn w:val="1"/>
    <w:uiPriority w:val="0"/>
    <w:pPr>
      <w:widowControl/>
      <w:spacing w:before="100" w:beforeLines="0" w:beforeAutospacing="1" w:after="100" w:afterLines="0" w:afterAutospacing="1"/>
      <w:jc w:val="center"/>
    </w:pPr>
    <w:rPr>
      <w:rFonts w:ascii="仿宋_GB2312" w:hAnsi="宋体" w:eastAsia="仿宋_GB2312"/>
      <w:kern w:val="0"/>
      <w:sz w:val="24"/>
      <w:szCs w:val="24"/>
    </w:rPr>
  </w:style>
  <w:style w:type="paragraph" w:customStyle="1" w:styleId="170">
    <w:name w:val="正文 居中"/>
    <w:basedOn w:val="1"/>
    <w:uiPriority w:val="0"/>
    <w:pPr>
      <w:spacing w:line="360" w:lineRule="auto"/>
      <w:jc w:val="center"/>
    </w:pPr>
    <w:rPr>
      <w:rFonts w:cs="宋体"/>
      <w:sz w:val="24"/>
    </w:rPr>
  </w:style>
  <w:style w:type="paragraph" w:customStyle="1" w:styleId="171">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0"/>
      <w:sz w:val="20"/>
      <w:szCs w:val="20"/>
      <w:lang w:val="en-US" w:eastAsia="zh-CN" w:bidi="ar"/>
    </w:rPr>
  </w:style>
  <w:style w:type="paragraph" w:customStyle="1" w:styleId="172">
    <w:name w:val="正文文本缩进 + 四号"/>
    <w:basedOn w:val="3"/>
    <w:uiPriority w:val="0"/>
    <w:pPr>
      <w:spacing w:line="360" w:lineRule="auto"/>
      <w:ind w:firstLine="560" w:firstLineChars="200"/>
    </w:pPr>
    <w:rPr>
      <w:rFonts w:ascii="仿宋_GB2312" w:eastAsia="仿宋_GB2312"/>
      <w:color w:val="000000"/>
      <w:sz w:val="28"/>
      <w:szCs w:val="28"/>
    </w:rPr>
  </w:style>
  <w:style w:type="character" w:customStyle="1" w:styleId="173">
    <w:name w:val="font21"/>
    <w:basedOn w:val="46"/>
    <w:uiPriority w:val="0"/>
    <w:rPr>
      <w:rFonts w:hint="default" w:ascii="仿宋_GB2312" w:eastAsia="仿宋_GB2312" w:cs="仿宋_GB2312"/>
      <w:color w:val="000000"/>
      <w:sz w:val="24"/>
      <w:szCs w:val="24"/>
      <w:u w:val="none"/>
    </w:rPr>
  </w:style>
  <w:style w:type="character" w:customStyle="1" w:styleId="174">
    <w:name w:val="font41"/>
    <w:basedOn w:val="46"/>
    <w:uiPriority w:val="0"/>
    <w:rPr>
      <w:rFonts w:hint="eastAsia" w:ascii="宋体" w:hAnsi="宋体" w:eastAsia="宋体" w:cs="宋体"/>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footer9.xml" Type="http://schemas.openxmlformats.org/officeDocument/2006/relationships/footer"/><Relationship Id="rId18" Target="header7.xml" Type="http://schemas.openxmlformats.org/officeDocument/2006/relationships/header"/><Relationship Id="rId19" Target="footer10.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media/image1.jpeg"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6005</Words>
  <Characters>34230</Characters>
  <Lines>285</Lines>
  <Paragraphs>80</Paragraphs>
  <TotalTime>167</TotalTime>
  <ScaleCrop>false</ScaleCrop>
  <LinksUpToDate>false</LinksUpToDate>
  <CharactersWithSpaces>40155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2018-10-30T02:41:00Z</dcterms:created>
  <dc:creator>dyp</dc:creator>
  <cp:lastModifiedBy>WPS_1701756769</cp:lastModifiedBy>
  <cp:lastPrinted>2021-08-25T04:19:27Z</cp:lastPrinted>
  <dcterms:modified xsi:type="dcterms:W3CDTF">2024-02-23T02:14:59Z</dcterms:modified>
  <cp:revision>7</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848DD82C9E9947DF8A8C8FD5D16AD3AD_13</vt:lpwstr>
  </property>
</Properties>
</file>