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color w:val="auto"/>
          <w:sz w:val="44"/>
          <w:szCs w:val="44"/>
          <w:highlight w:val="none"/>
        </w:rPr>
      </w:pPr>
      <w:r>
        <w:rPr>
          <w:rFonts w:hint="eastAsia" w:ascii="宋体" w:hAnsi="宋体" w:cs="宋体"/>
          <w:b/>
          <w:color w:val="auto"/>
          <w:sz w:val="48"/>
          <w:szCs w:val="48"/>
          <w:highlight w:val="none"/>
          <w:lang w:eastAsia="zh-CN"/>
        </w:rPr>
        <w:t>慈溪市横河镇东横河江河道水质提升服务</w:t>
      </w:r>
      <w:r>
        <w:rPr>
          <w:rFonts w:hint="eastAsia" w:ascii="宋体" w:hAnsi="宋体" w:cs="宋体"/>
          <w:b/>
          <w:color w:val="auto"/>
          <w:sz w:val="48"/>
          <w:szCs w:val="48"/>
          <w:highlight w:val="none"/>
        </w:rPr>
        <w:t>采购项目</w:t>
      </w:r>
    </w:p>
    <w:p>
      <w:pPr>
        <w:pStyle w:val="43"/>
        <w:ind w:firstLine="480"/>
        <w:rPr>
          <w:rFonts w:hint="eastAsia" w:ascii="宋体" w:hAnsi="宋体" w:eastAsia="宋体" w:cs="宋体"/>
          <w:color w:val="auto"/>
          <w:highlight w:val="none"/>
        </w:rPr>
      </w:pPr>
    </w:p>
    <w:p>
      <w:pPr>
        <w:pStyle w:val="43"/>
        <w:ind w:firstLine="480"/>
        <w:rPr>
          <w:rFonts w:hint="eastAsia" w:ascii="宋体" w:hAnsi="宋体" w:eastAsia="宋体" w:cs="宋体"/>
          <w:color w:val="auto"/>
          <w:highlight w:val="none"/>
        </w:rPr>
      </w:pPr>
    </w:p>
    <w:p>
      <w:pPr>
        <w:ind w:firstLine="1928" w:firstLineChars="6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采购编号：</w:t>
      </w:r>
      <w:r>
        <w:rPr>
          <w:rFonts w:hint="eastAsia" w:ascii="宋体" w:hAnsi="宋体" w:cs="宋体"/>
          <w:b/>
          <w:color w:val="auto"/>
          <w:sz w:val="32"/>
          <w:szCs w:val="32"/>
          <w:highlight w:val="none"/>
          <w:lang w:eastAsia="zh-CN"/>
        </w:rPr>
        <w:t>永敬工政采招[2021]11号</w:t>
      </w:r>
    </w:p>
    <w:p>
      <w:pPr>
        <w:rPr>
          <w:rFonts w:hint="eastAsia" w:ascii="宋体" w:hAnsi="宋体" w:cs="宋体"/>
          <w:b/>
          <w:color w:val="auto"/>
          <w:szCs w:val="21"/>
          <w:highlight w:val="none"/>
        </w:rPr>
      </w:pPr>
    </w:p>
    <w:p>
      <w:pPr>
        <w:pStyle w:val="43"/>
        <w:ind w:firstLine="48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 xml:space="preserve"> </w:t>
      </w:r>
    </w:p>
    <w:p>
      <w:pPr>
        <w:pStyle w:val="43"/>
        <w:ind w:firstLine="480"/>
        <w:rPr>
          <w:rFonts w:hint="eastAsia" w:ascii="宋体" w:hAnsi="宋体" w:cs="宋体"/>
          <w:b/>
          <w:bCs/>
          <w:color w:val="auto"/>
          <w:szCs w:val="21"/>
          <w:highlight w:val="none"/>
          <w:lang w:val="en-US" w:eastAsia="zh-CN"/>
        </w:rPr>
      </w:pPr>
    </w:p>
    <w:p>
      <w:pPr>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公</w:t>
      </w:r>
    </w:p>
    <w:p>
      <w:pPr>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开</w:t>
      </w:r>
    </w:p>
    <w:p>
      <w:pPr>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招</w:t>
      </w:r>
    </w:p>
    <w:p>
      <w:pPr>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标</w:t>
      </w:r>
    </w:p>
    <w:p>
      <w:pPr>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文</w:t>
      </w:r>
    </w:p>
    <w:p>
      <w:pPr>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件</w:t>
      </w:r>
    </w:p>
    <w:p>
      <w:pPr>
        <w:pStyle w:val="43"/>
        <w:ind w:firstLine="1446"/>
        <w:rPr>
          <w:rFonts w:hint="eastAsia" w:ascii="宋体" w:hAnsi="宋体" w:eastAsia="宋体" w:cs="宋体"/>
          <w:b/>
          <w:bCs/>
          <w:color w:val="auto"/>
          <w:sz w:val="72"/>
          <w:szCs w:val="72"/>
          <w:highlight w:val="none"/>
        </w:rPr>
      </w:pPr>
    </w:p>
    <w:p>
      <w:pPr>
        <w:pStyle w:val="43"/>
        <w:ind w:firstLine="1446"/>
        <w:rPr>
          <w:rFonts w:hint="eastAsia" w:ascii="宋体" w:hAnsi="宋体" w:eastAsia="宋体" w:cs="宋体"/>
          <w:b/>
          <w:bCs/>
          <w:color w:val="auto"/>
          <w:sz w:val="72"/>
          <w:szCs w:val="72"/>
          <w:highlight w:val="none"/>
        </w:rPr>
      </w:pPr>
    </w:p>
    <w:p>
      <w:pPr>
        <w:adjustRightInd w:val="0"/>
        <w:snapToGrid w:val="0"/>
        <w:spacing w:line="700" w:lineRule="exact"/>
        <w:rPr>
          <w:rFonts w:hint="eastAsia" w:ascii="宋体" w:hAnsi="宋体" w:eastAsia="宋体" w:cs="宋体"/>
          <w:b/>
          <w:bCs/>
          <w:color w:val="auto"/>
          <w:sz w:val="30"/>
          <w:szCs w:val="30"/>
          <w:highlight w:val="none"/>
          <w:lang w:eastAsia="zh-CN"/>
        </w:rPr>
      </w:pPr>
      <w:r>
        <w:rPr>
          <w:rFonts w:hint="eastAsia" w:ascii="宋体" w:hAnsi="宋体" w:cs="宋体"/>
          <w:b/>
          <w:bCs/>
          <w:color w:val="auto"/>
          <w:sz w:val="30"/>
          <w:szCs w:val="30"/>
          <w:highlight w:val="none"/>
        </w:rPr>
        <w:t xml:space="preserve">           招 标 人：</w:t>
      </w:r>
      <w:r>
        <w:rPr>
          <w:rFonts w:hint="eastAsia" w:ascii="宋体" w:hAnsi="宋体" w:cs="宋体"/>
          <w:b/>
          <w:bCs/>
          <w:color w:val="auto"/>
          <w:sz w:val="30"/>
          <w:szCs w:val="30"/>
          <w:highlight w:val="none"/>
          <w:lang w:eastAsia="zh-CN"/>
        </w:rPr>
        <w:t>慈溪市横河镇人民政府</w:t>
      </w:r>
    </w:p>
    <w:p>
      <w:pPr>
        <w:adjustRightInd w:val="0"/>
        <w:snapToGrid w:val="0"/>
        <w:spacing w:line="700" w:lineRule="exact"/>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 xml:space="preserve">           代理机构：宁波永敬工程造价咨询有限公司</w:t>
      </w:r>
    </w:p>
    <w:p>
      <w:pPr>
        <w:adjustRightInd w:val="0"/>
        <w:snapToGrid w:val="0"/>
        <w:spacing w:line="700" w:lineRule="exact"/>
        <w:ind w:firstLine="280" w:firstLineChars="93"/>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 xml:space="preserve">         编制日期：202</w:t>
      </w:r>
      <w:r>
        <w:rPr>
          <w:rFonts w:hint="eastAsia" w:ascii="宋体" w:hAnsi="宋体" w:cs="宋体"/>
          <w:b/>
          <w:bCs/>
          <w:color w:val="auto"/>
          <w:sz w:val="30"/>
          <w:szCs w:val="30"/>
          <w:highlight w:val="none"/>
          <w:lang w:val="en-US" w:eastAsia="zh-CN"/>
        </w:rPr>
        <w:t>1</w:t>
      </w:r>
      <w:r>
        <w:rPr>
          <w:rFonts w:hint="eastAsia" w:ascii="宋体" w:hAnsi="宋体" w:cs="宋体"/>
          <w:b/>
          <w:bCs/>
          <w:color w:val="auto"/>
          <w:sz w:val="30"/>
          <w:szCs w:val="30"/>
          <w:highlight w:val="none"/>
        </w:rPr>
        <w:t>年</w:t>
      </w:r>
      <w:r>
        <w:rPr>
          <w:rFonts w:hint="eastAsia" w:ascii="宋体" w:hAnsi="宋体" w:cs="宋体"/>
          <w:b/>
          <w:bCs/>
          <w:color w:val="auto"/>
          <w:sz w:val="30"/>
          <w:szCs w:val="30"/>
          <w:highlight w:val="none"/>
          <w:lang w:val="en-US" w:eastAsia="zh-CN"/>
        </w:rPr>
        <w:t>5</w:t>
      </w:r>
      <w:r>
        <w:rPr>
          <w:rFonts w:hint="eastAsia" w:ascii="宋体" w:hAnsi="宋体" w:cs="宋体"/>
          <w:b/>
          <w:bCs/>
          <w:color w:val="auto"/>
          <w:sz w:val="30"/>
          <w:szCs w:val="30"/>
          <w:highlight w:val="none"/>
        </w:rPr>
        <w:t>月</w:t>
      </w:r>
    </w:p>
    <w:p>
      <w:pPr>
        <w:spacing w:line="360" w:lineRule="auto"/>
        <w:jc w:val="center"/>
        <w:rPr>
          <w:rFonts w:hint="eastAsia" w:ascii="宋体" w:hAnsi="宋体" w:cs="宋体"/>
          <w:b/>
          <w:bCs/>
          <w:color w:val="auto"/>
          <w:sz w:val="24"/>
          <w:szCs w:val="24"/>
          <w:highlight w:val="none"/>
          <w:u w:val="single"/>
        </w:rPr>
        <w:sectPr>
          <w:headerReference r:id="rId3" w:type="default"/>
          <w:footerReference r:id="rId4" w:type="default"/>
          <w:footerReference r:id="rId5" w:type="even"/>
          <w:type w:val="nextColumn"/>
          <w:pgSz w:w="11906" w:h="16838"/>
          <w:pgMar w:top="1701" w:right="1418" w:bottom="1134" w:left="1418" w:header="851" w:footer="992" w:gutter="0"/>
          <w:pgNumType w:start="1"/>
          <w:cols w:space="720" w:num="1"/>
          <w:docGrid w:linePitch="312" w:charSpace="0"/>
        </w:sectPr>
      </w:pPr>
      <w:r>
        <w:rPr>
          <w:rFonts w:hint="eastAsia" w:ascii="宋体" w:hAnsi="宋体" w:cs="宋体"/>
          <w:b/>
          <w:bCs/>
          <w:color w:val="auto"/>
          <w:sz w:val="24"/>
          <w:szCs w:val="24"/>
          <w:highlight w:val="none"/>
        </w:rPr>
        <w:t xml:space="preserve">  </w:t>
      </w:r>
    </w:p>
    <w:p>
      <w:pPr>
        <w:spacing w:line="1000" w:lineRule="exact"/>
        <w:jc w:val="center"/>
        <w:rPr>
          <w:rFonts w:hint="eastAsia" w:ascii="宋体" w:hAnsi="宋体" w:cs="宋体"/>
          <w:color w:val="auto"/>
          <w:sz w:val="48"/>
          <w:szCs w:val="48"/>
          <w:highlight w:val="none"/>
        </w:rPr>
      </w:pPr>
      <w:r>
        <w:rPr>
          <w:rFonts w:hint="eastAsia" w:ascii="宋体" w:hAnsi="宋体" w:cs="宋体"/>
          <w:b/>
          <w:color w:val="auto"/>
          <w:sz w:val="52"/>
          <w:szCs w:val="52"/>
          <w:highlight w:val="none"/>
        </w:rPr>
        <w:tab/>
      </w:r>
      <w:r>
        <w:rPr>
          <w:rFonts w:hint="eastAsia" w:ascii="宋体" w:hAnsi="宋体" w:cs="宋体"/>
          <w:b/>
          <w:color w:val="auto"/>
          <w:sz w:val="48"/>
          <w:szCs w:val="48"/>
          <w:highlight w:val="none"/>
          <w:lang w:bidi="ar"/>
        </w:rPr>
        <w:t>温馨提醒</w:t>
      </w:r>
    </w:p>
    <w:p>
      <w:pPr>
        <w:spacing w:line="1000" w:lineRule="exact"/>
        <w:jc w:val="center"/>
        <w:rPr>
          <w:rFonts w:hint="eastAsia" w:ascii="宋体" w:hAnsi="宋体" w:cs="宋体"/>
          <w:color w:val="auto"/>
          <w:sz w:val="32"/>
          <w:szCs w:val="32"/>
          <w:highlight w:val="none"/>
        </w:rPr>
      </w:pPr>
    </w:p>
    <w:p>
      <w:pPr>
        <w:spacing w:line="360" w:lineRule="auto"/>
        <w:ind w:firstLine="562" w:firstLineChars="200"/>
        <w:jc w:val="left"/>
        <w:rPr>
          <w:rFonts w:hint="eastAsia" w:ascii="宋体" w:hAnsi="宋体" w:cs="宋体"/>
          <w:b/>
          <w:color w:val="auto"/>
          <w:sz w:val="28"/>
          <w:szCs w:val="28"/>
          <w:highlight w:val="none"/>
        </w:rPr>
      </w:pPr>
      <w:r>
        <w:rPr>
          <w:rFonts w:hint="eastAsia" w:ascii="宋体" w:hAnsi="宋体" w:cs="宋体"/>
          <w:b/>
          <w:color w:val="auto"/>
          <w:sz w:val="28"/>
          <w:szCs w:val="28"/>
          <w:highlight w:val="none"/>
          <w:lang w:bidi="ar"/>
        </w:rPr>
        <w:t>1、采购人可以对已发出的招标文件进行必要的澄清或者修改，将以“变更公告”的形式发布在政采云平台，供应商应及时登录政采云平台，进行浏览并下载，未及时浏览下载的责任自负。</w:t>
      </w:r>
    </w:p>
    <w:p>
      <w:pPr>
        <w:spacing w:line="360" w:lineRule="auto"/>
        <w:ind w:firstLine="562" w:firstLineChars="200"/>
        <w:jc w:val="left"/>
        <w:rPr>
          <w:rFonts w:hint="eastAsia" w:ascii="宋体" w:hAnsi="宋体" w:cs="宋体"/>
          <w:b/>
          <w:color w:val="auto"/>
          <w:sz w:val="28"/>
          <w:szCs w:val="28"/>
          <w:highlight w:val="none"/>
          <w:lang w:bidi="ar"/>
        </w:rPr>
      </w:pPr>
      <w:r>
        <w:rPr>
          <w:rFonts w:hint="eastAsia" w:ascii="宋体" w:hAnsi="宋体" w:cs="宋体"/>
          <w:b/>
          <w:color w:val="auto"/>
          <w:sz w:val="28"/>
          <w:szCs w:val="28"/>
          <w:highlight w:val="none"/>
          <w:lang w:bidi="ar"/>
        </w:rPr>
        <w:t>2、投标人应安排“甬行码或健康码”为绿码的相关人员（原则上不超过一名）。</w:t>
      </w:r>
    </w:p>
    <w:p>
      <w:pPr>
        <w:spacing w:line="360" w:lineRule="auto"/>
        <w:ind w:firstLine="562" w:firstLineChars="200"/>
        <w:jc w:val="left"/>
        <w:rPr>
          <w:rFonts w:hint="eastAsia" w:ascii="宋体" w:hAnsi="宋体" w:cs="宋体"/>
          <w:b/>
          <w:color w:val="auto"/>
          <w:sz w:val="28"/>
          <w:szCs w:val="28"/>
          <w:highlight w:val="none"/>
          <w:lang w:bidi="ar"/>
        </w:rPr>
      </w:pPr>
      <w:r>
        <w:rPr>
          <w:rFonts w:hint="eastAsia" w:ascii="宋体" w:hAnsi="宋体" w:cs="宋体"/>
          <w:b/>
          <w:color w:val="auto"/>
          <w:sz w:val="28"/>
          <w:szCs w:val="28"/>
          <w:highlight w:val="none"/>
          <w:lang w:bidi="ar"/>
        </w:rPr>
        <w:t>3、疫情防控期间，请各投标单位遵守慈溪市公共资源交易中心各项防疫措施规定。</w:t>
      </w: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pStyle w:val="43"/>
        <w:ind w:firstLine="720"/>
        <w:rPr>
          <w:rFonts w:hint="eastAsia" w:ascii="宋体" w:hAnsi="宋体" w:eastAsia="宋体" w:cs="宋体"/>
          <w:color w:val="auto"/>
          <w:sz w:val="36"/>
          <w:szCs w:val="36"/>
          <w:highlight w:val="none"/>
        </w:rPr>
      </w:pPr>
    </w:p>
    <w:p>
      <w:pPr>
        <w:rPr>
          <w:rFonts w:hint="eastAsia" w:ascii="宋体" w:hAnsi="宋体" w:cs="宋体"/>
          <w:color w:val="auto"/>
          <w:sz w:val="36"/>
          <w:szCs w:val="36"/>
          <w:highlight w:val="none"/>
        </w:rPr>
      </w:pPr>
    </w:p>
    <w:p>
      <w:pPr>
        <w:pStyle w:val="43"/>
        <w:ind w:firstLine="480"/>
        <w:rPr>
          <w:rFonts w:hint="eastAsia" w:ascii="宋体" w:hAnsi="宋体" w:eastAsia="宋体" w:cs="宋体"/>
          <w:color w:val="auto"/>
          <w:highlight w:val="none"/>
        </w:rPr>
      </w:pPr>
    </w:p>
    <w:p>
      <w:pPr>
        <w:pStyle w:val="5"/>
        <w:keepLines/>
        <w:spacing w:before="340" w:after="330" w:line="360" w:lineRule="auto"/>
        <w:rPr>
          <w:rFonts w:hint="eastAsia" w:ascii="宋体" w:hAnsi="宋体" w:cs="宋体"/>
          <w:color w:val="auto"/>
          <w:sz w:val="36"/>
          <w:szCs w:val="36"/>
          <w:highlight w:val="none"/>
        </w:rPr>
        <w:sectPr>
          <w:headerReference r:id="rId6" w:type="default"/>
          <w:footerReference r:id="rId7" w:type="default"/>
          <w:type w:val="nextColumn"/>
          <w:pgSz w:w="11906" w:h="16838"/>
          <w:pgMar w:top="1134" w:right="1418" w:bottom="1134" w:left="1418" w:header="851" w:footer="992" w:gutter="0"/>
          <w:pgNumType w:start="1"/>
          <w:cols w:space="720" w:num="1"/>
          <w:docGrid w:linePitch="312" w:charSpace="0"/>
        </w:sectPr>
      </w:pPr>
    </w:p>
    <w:p>
      <w:pPr>
        <w:tabs>
          <w:tab w:val="center" w:pos="4365"/>
        </w:tabs>
        <w:spacing w:line="480" w:lineRule="auto"/>
        <w:jc w:val="center"/>
        <w:rPr>
          <w:rFonts w:hint="eastAsia" w:ascii="宋体" w:hAnsi="宋体" w:cs="宋体"/>
          <w:b/>
          <w:color w:val="auto"/>
          <w:sz w:val="36"/>
          <w:szCs w:val="36"/>
          <w:highlight w:val="none"/>
        </w:rPr>
      </w:pPr>
    </w:p>
    <w:p>
      <w:pPr>
        <w:tabs>
          <w:tab w:val="center" w:pos="4365"/>
        </w:tabs>
        <w:spacing w:line="480" w:lineRule="auto"/>
        <w:jc w:val="center"/>
        <w:rPr>
          <w:rFonts w:hint="eastAsia" w:ascii="宋体" w:hAnsi="宋体" w:cs="宋体"/>
          <w:b/>
          <w:color w:val="auto"/>
          <w:sz w:val="52"/>
          <w:szCs w:val="52"/>
          <w:highlight w:val="none"/>
        </w:rPr>
      </w:pPr>
      <w:r>
        <w:rPr>
          <w:rFonts w:hint="eastAsia" w:ascii="宋体" w:hAnsi="宋体" w:cs="宋体"/>
          <w:b/>
          <w:color w:val="auto"/>
          <w:sz w:val="36"/>
          <w:szCs w:val="36"/>
          <w:highlight w:val="none"/>
        </w:rPr>
        <w:t>目    录</w:t>
      </w:r>
    </w:p>
    <w:p>
      <w:pPr>
        <w:pStyle w:val="30"/>
        <w:tabs>
          <w:tab w:val="right" w:leader="dot" w:pos="9073"/>
          <w:tab w:val="clear" w:pos="8721"/>
        </w:tabs>
        <w:spacing w:line="360" w:lineRule="auto"/>
        <w:rPr>
          <w:rFonts w:hint="eastAsia"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TOC \o "1-3" \h \z \u </w:instrText>
      </w:r>
      <w:r>
        <w:rPr>
          <w:rFonts w:hint="eastAsia" w:cs="宋体"/>
          <w:color w:val="auto"/>
          <w:sz w:val="21"/>
          <w:szCs w:val="21"/>
          <w:highlight w:val="none"/>
        </w:rPr>
        <w:fldChar w:fldCharType="separate"/>
      </w: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_Toc29951 </w:instrText>
      </w:r>
      <w:r>
        <w:rPr>
          <w:rFonts w:hint="eastAsia" w:cs="宋体"/>
          <w:color w:val="auto"/>
          <w:sz w:val="21"/>
          <w:szCs w:val="21"/>
          <w:highlight w:val="none"/>
        </w:rPr>
        <w:fldChar w:fldCharType="separate"/>
      </w:r>
      <w:r>
        <w:rPr>
          <w:rFonts w:hint="eastAsia" w:cs="宋体"/>
          <w:color w:val="auto"/>
          <w:sz w:val="21"/>
          <w:szCs w:val="21"/>
          <w:highlight w:val="none"/>
        </w:rPr>
        <w:t>第一章  采购公告</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_Toc29951 </w:instrText>
      </w:r>
      <w:r>
        <w:rPr>
          <w:rFonts w:hint="eastAsia" w:cs="宋体"/>
          <w:color w:val="auto"/>
          <w:sz w:val="21"/>
          <w:szCs w:val="21"/>
          <w:highlight w:val="none"/>
        </w:rPr>
        <w:fldChar w:fldCharType="separate"/>
      </w:r>
      <w:r>
        <w:rPr>
          <w:rFonts w:hint="eastAsia" w:cs="宋体"/>
          <w:color w:val="auto"/>
          <w:sz w:val="21"/>
          <w:szCs w:val="21"/>
          <w:highlight w:val="none"/>
        </w:rPr>
        <w:t>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30"/>
        <w:tabs>
          <w:tab w:val="right" w:leader="dot" w:pos="9073"/>
          <w:tab w:val="clear" w:pos="8721"/>
        </w:tabs>
        <w:spacing w:line="360" w:lineRule="auto"/>
        <w:rPr>
          <w:rFonts w:hint="eastAsia"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_Toc23064 </w:instrText>
      </w:r>
      <w:r>
        <w:rPr>
          <w:rFonts w:hint="eastAsia" w:cs="宋体"/>
          <w:color w:val="auto"/>
          <w:sz w:val="21"/>
          <w:szCs w:val="21"/>
          <w:highlight w:val="none"/>
        </w:rPr>
        <w:fldChar w:fldCharType="separate"/>
      </w:r>
      <w:r>
        <w:rPr>
          <w:rFonts w:hint="eastAsia" w:cs="宋体"/>
          <w:color w:val="auto"/>
          <w:sz w:val="21"/>
          <w:szCs w:val="21"/>
          <w:highlight w:val="none"/>
        </w:rPr>
        <w:t>第二章  投标须知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_Toc23064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30"/>
        <w:tabs>
          <w:tab w:val="right" w:leader="dot" w:pos="9073"/>
          <w:tab w:val="clear" w:pos="8721"/>
        </w:tabs>
        <w:spacing w:line="360" w:lineRule="auto"/>
        <w:rPr>
          <w:rFonts w:hint="eastAsia"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_Toc15581 </w:instrText>
      </w:r>
      <w:r>
        <w:rPr>
          <w:rFonts w:hint="eastAsia" w:cs="宋体"/>
          <w:color w:val="auto"/>
          <w:sz w:val="21"/>
          <w:szCs w:val="21"/>
          <w:highlight w:val="none"/>
        </w:rPr>
        <w:fldChar w:fldCharType="separate"/>
      </w:r>
      <w:r>
        <w:rPr>
          <w:rFonts w:hint="eastAsia" w:cs="宋体"/>
          <w:color w:val="auto"/>
          <w:sz w:val="21"/>
          <w:szCs w:val="21"/>
          <w:highlight w:val="none"/>
        </w:rPr>
        <w:t>第三章  评标办法及标准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_Toc15581 </w:instrText>
      </w:r>
      <w:r>
        <w:rPr>
          <w:rFonts w:hint="eastAsia" w:cs="宋体"/>
          <w:color w:val="auto"/>
          <w:sz w:val="21"/>
          <w:szCs w:val="21"/>
          <w:highlight w:val="none"/>
        </w:rPr>
        <w:fldChar w:fldCharType="separate"/>
      </w:r>
      <w:r>
        <w:rPr>
          <w:rFonts w:hint="eastAsia" w:cs="宋体"/>
          <w:color w:val="auto"/>
          <w:sz w:val="21"/>
          <w:szCs w:val="21"/>
          <w:highlight w:val="none"/>
        </w:rPr>
        <w:t>17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30"/>
        <w:tabs>
          <w:tab w:val="right" w:leader="dot" w:pos="9073"/>
          <w:tab w:val="clear" w:pos="8721"/>
        </w:tabs>
        <w:spacing w:line="360" w:lineRule="auto"/>
        <w:rPr>
          <w:rFonts w:hint="eastAsia" w:eastAsia="宋体" w:cs="宋体"/>
          <w:color w:val="auto"/>
          <w:sz w:val="21"/>
          <w:szCs w:val="21"/>
          <w:highlight w:val="none"/>
          <w:lang w:eastAsia="zh-CN"/>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_Toc16187 </w:instrText>
      </w:r>
      <w:r>
        <w:rPr>
          <w:rFonts w:hint="eastAsia" w:cs="宋体"/>
          <w:color w:val="auto"/>
          <w:sz w:val="21"/>
          <w:szCs w:val="21"/>
          <w:highlight w:val="none"/>
        </w:rPr>
        <w:fldChar w:fldCharType="separate"/>
      </w:r>
      <w:r>
        <w:rPr>
          <w:rFonts w:hint="eastAsia" w:cs="宋体"/>
          <w:color w:val="auto"/>
          <w:sz w:val="21"/>
          <w:szCs w:val="21"/>
          <w:highlight w:val="none"/>
        </w:rPr>
        <w:t>第</w:t>
      </w:r>
      <w:r>
        <w:rPr>
          <w:rFonts w:hint="eastAsia" w:cs="宋体"/>
          <w:color w:val="auto"/>
          <w:sz w:val="21"/>
          <w:szCs w:val="21"/>
          <w:highlight w:val="none"/>
          <w:lang w:eastAsia="zh-CN"/>
        </w:rPr>
        <w:t>四</w:t>
      </w:r>
      <w:r>
        <w:rPr>
          <w:rFonts w:hint="eastAsia" w:cs="宋体"/>
          <w:color w:val="auto"/>
          <w:sz w:val="21"/>
          <w:szCs w:val="21"/>
          <w:highlight w:val="none"/>
        </w:rPr>
        <w:t>章  采购合同样本</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_Toc16187 </w:instrText>
      </w:r>
      <w:r>
        <w:rPr>
          <w:rFonts w:hint="eastAsia" w:cs="宋体"/>
          <w:color w:val="auto"/>
          <w:sz w:val="21"/>
          <w:szCs w:val="21"/>
          <w:highlight w:val="none"/>
        </w:rPr>
        <w:fldChar w:fldCharType="separate"/>
      </w:r>
      <w:r>
        <w:rPr>
          <w:rFonts w:hint="eastAsia" w:cs="宋体"/>
          <w:color w:val="auto"/>
          <w:sz w:val="21"/>
          <w:szCs w:val="21"/>
          <w:highlight w:val="none"/>
        </w:rPr>
        <w:t>2</w:t>
      </w:r>
      <w:r>
        <w:rPr>
          <w:rFonts w:hint="eastAsia" w:cs="宋体"/>
          <w:color w:val="auto"/>
          <w:sz w:val="21"/>
          <w:szCs w:val="21"/>
          <w:highlight w:val="none"/>
        </w:rPr>
        <w:fldChar w:fldCharType="end"/>
      </w:r>
      <w:r>
        <w:rPr>
          <w:rFonts w:hint="eastAsia" w:cs="宋体"/>
          <w:color w:val="auto"/>
          <w:sz w:val="21"/>
          <w:szCs w:val="21"/>
          <w:highlight w:val="none"/>
        </w:rPr>
        <w:fldChar w:fldCharType="end"/>
      </w:r>
      <w:r>
        <w:rPr>
          <w:rFonts w:hint="eastAsia" w:cs="宋体"/>
          <w:color w:val="auto"/>
          <w:sz w:val="21"/>
          <w:szCs w:val="21"/>
          <w:highlight w:val="none"/>
          <w:lang w:val="en-US" w:eastAsia="zh-CN"/>
        </w:rPr>
        <w:t>7</w:t>
      </w:r>
    </w:p>
    <w:p>
      <w:pPr>
        <w:pStyle w:val="30"/>
        <w:tabs>
          <w:tab w:val="right" w:leader="dot" w:pos="9073"/>
          <w:tab w:val="clear" w:pos="8721"/>
        </w:tabs>
        <w:spacing w:line="360" w:lineRule="auto"/>
        <w:rPr>
          <w:rFonts w:hint="default" w:eastAsia="宋体" w:cs="宋体"/>
          <w:color w:val="auto"/>
          <w:sz w:val="21"/>
          <w:szCs w:val="21"/>
          <w:highlight w:val="none"/>
          <w:lang w:val="en-US" w:eastAsia="zh-CN"/>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_Toc21364 </w:instrText>
      </w:r>
      <w:r>
        <w:rPr>
          <w:rFonts w:hint="eastAsia" w:cs="宋体"/>
          <w:color w:val="auto"/>
          <w:sz w:val="21"/>
          <w:szCs w:val="21"/>
          <w:highlight w:val="none"/>
        </w:rPr>
        <w:fldChar w:fldCharType="separate"/>
      </w:r>
      <w:r>
        <w:rPr>
          <w:rFonts w:hint="eastAsia" w:cs="宋体"/>
          <w:color w:val="auto"/>
          <w:sz w:val="21"/>
          <w:szCs w:val="21"/>
          <w:highlight w:val="none"/>
          <w:lang w:eastAsia="zh-CN"/>
        </w:rPr>
        <w:t xml:space="preserve">第五章 </w:t>
      </w:r>
      <w:r>
        <w:rPr>
          <w:rFonts w:hint="eastAsia" w:cs="宋体"/>
          <w:color w:val="auto"/>
          <w:sz w:val="21"/>
          <w:szCs w:val="21"/>
          <w:highlight w:val="none"/>
          <w:lang w:val="en-US" w:eastAsia="zh-CN"/>
        </w:rPr>
        <w:t xml:space="preserve"> </w:t>
      </w:r>
      <w:r>
        <w:rPr>
          <w:rFonts w:hint="eastAsia" w:cs="宋体"/>
          <w:color w:val="auto"/>
          <w:sz w:val="21"/>
          <w:szCs w:val="21"/>
          <w:highlight w:val="none"/>
          <w:lang w:eastAsia="zh-CN"/>
        </w:rPr>
        <w:t>采购项目需求</w:t>
      </w:r>
      <w:r>
        <w:rPr>
          <w:rFonts w:hint="eastAsia" w:cs="宋体"/>
          <w:color w:val="auto"/>
          <w:sz w:val="21"/>
          <w:szCs w:val="21"/>
          <w:highlight w:val="none"/>
        </w:rPr>
        <w:tab/>
      </w:r>
      <w:r>
        <w:rPr>
          <w:rFonts w:hint="eastAsia" w:cs="宋体"/>
          <w:color w:val="auto"/>
          <w:sz w:val="21"/>
          <w:szCs w:val="21"/>
          <w:highlight w:val="none"/>
        </w:rPr>
        <w:fldChar w:fldCharType="end"/>
      </w:r>
      <w:r>
        <w:rPr>
          <w:rFonts w:hint="eastAsia" w:cs="宋体"/>
          <w:color w:val="auto"/>
          <w:sz w:val="21"/>
          <w:szCs w:val="21"/>
          <w:highlight w:val="none"/>
          <w:lang w:val="en-US" w:eastAsia="zh-CN"/>
        </w:rPr>
        <w:t>35</w:t>
      </w:r>
    </w:p>
    <w:p>
      <w:pPr>
        <w:pStyle w:val="30"/>
        <w:tabs>
          <w:tab w:val="right" w:leader="dot" w:pos="9073"/>
          <w:tab w:val="clear" w:pos="8721"/>
        </w:tabs>
        <w:spacing w:line="360" w:lineRule="auto"/>
        <w:rPr>
          <w:rFonts w:hint="eastAsia" w:cs="宋体"/>
          <w:color w:val="auto"/>
          <w:sz w:val="21"/>
          <w:szCs w:val="21"/>
          <w:highlight w:val="none"/>
          <w:lang w:val="en-US" w:eastAsia="zh-CN"/>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_Toc5926 </w:instrText>
      </w:r>
      <w:r>
        <w:rPr>
          <w:rFonts w:hint="eastAsia" w:cs="宋体"/>
          <w:color w:val="auto"/>
          <w:sz w:val="21"/>
          <w:szCs w:val="21"/>
          <w:highlight w:val="none"/>
        </w:rPr>
        <w:fldChar w:fldCharType="separate"/>
      </w:r>
      <w:r>
        <w:rPr>
          <w:rFonts w:hint="eastAsia" w:cs="宋体"/>
          <w:color w:val="auto"/>
          <w:sz w:val="21"/>
          <w:szCs w:val="21"/>
          <w:highlight w:val="none"/>
        </w:rPr>
        <w:t>第</w:t>
      </w:r>
      <w:r>
        <w:rPr>
          <w:rFonts w:hint="eastAsia" w:cs="宋体"/>
          <w:color w:val="auto"/>
          <w:sz w:val="21"/>
          <w:szCs w:val="21"/>
          <w:highlight w:val="none"/>
          <w:lang w:eastAsia="zh-CN"/>
        </w:rPr>
        <w:t>六</w:t>
      </w:r>
      <w:r>
        <w:rPr>
          <w:rFonts w:hint="eastAsia" w:cs="宋体"/>
          <w:color w:val="auto"/>
          <w:sz w:val="21"/>
          <w:szCs w:val="21"/>
          <w:highlight w:val="none"/>
        </w:rPr>
        <w:t xml:space="preserve">章  </w:t>
      </w:r>
      <w:r>
        <w:rPr>
          <w:rFonts w:hint="eastAsia" w:cs="宋体"/>
          <w:color w:val="auto"/>
          <w:sz w:val="21"/>
          <w:szCs w:val="21"/>
          <w:highlight w:val="none"/>
          <w:lang w:val="en-US" w:eastAsia="zh-CN"/>
        </w:rPr>
        <w:t>商务条款</w:t>
      </w:r>
      <w:r>
        <w:rPr>
          <w:rFonts w:hint="eastAsia" w:cs="宋体"/>
          <w:color w:val="auto"/>
          <w:sz w:val="21"/>
          <w:szCs w:val="21"/>
          <w:highlight w:val="none"/>
        </w:rPr>
        <w:tab/>
      </w:r>
      <w:r>
        <w:rPr>
          <w:rFonts w:hint="eastAsia" w:cs="宋体"/>
          <w:color w:val="auto"/>
          <w:sz w:val="21"/>
          <w:szCs w:val="21"/>
          <w:highlight w:val="none"/>
        </w:rPr>
        <w:fldChar w:fldCharType="end"/>
      </w:r>
      <w:r>
        <w:rPr>
          <w:rFonts w:hint="eastAsia" w:cs="宋体"/>
          <w:color w:val="auto"/>
          <w:sz w:val="21"/>
          <w:szCs w:val="21"/>
          <w:highlight w:val="none"/>
          <w:lang w:val="en-US" w:eastAsia="zh-CN"/>
        </w:rPr>
        <w:t>48</w:t>
      </w:r>
    </w:p>
    <w:p>
      <w:pPr>
        <w:pStyle w:val="30"/>
        <w:tabs>
          <w:tab w:val="right" w:leader="dot" w:pos="9073"/>
          <w:tab w:val="clear" w:pos="8721"/>
        </w:tabs>
        <w:spacing w:line="360" w:lineRule="auto"/>
        <w:rPr>
          <w:rFonts w:hint="eastAsia" w:cs="宋体"/>
          <w:color w:val="auto"/>
          <w:sz w:val="21"/>
          <w:szCs w:val="21"/>
          <w:highlight w:val="none"/>
          <w:lang w:val="en-US" w:eastAsia="zh-CN"/>
        </w:rPr>
      </w:pPr>
      <w:r>
        <w:rPr>
          <w:rFonts w:hint="eastAsia" w:cs="宋体"/>
          <w:color w:val="auto"/>
          <w:sz w:val="21"/>
          <w:szCs w:val="21"/>
          <w:highlight w:val="none"/>
        </w:rPr>
        <w:fldChar w:fldCharType="begin"/>
      </w:r>
      <w:r>
        <w:rPr>
          <w:rFonts w:hint="eastAsia" w:cs="宋体"/>
          <w:color w:val="auto"/>
          <w:sz w:val="21"/>
          <w:szCs w:val="21"/>
          <w:highlight w:val="none"/>
        </w:rPr>
        <w:instrText xml:space="preserve"> HYPERLINK \l _Toc5926 </w:instrText>
      </w:r>
      <w:r>
        <w:rPr>
          <w:rFonts w:hint="eastAsia" w:cs="宋体"/>
          <w:color w:val="auto"/>
          <w:sz w:val="21"/>
          <w:szCs w:val="21"/>
          <w:highlight w:val="none"/>
        </w:rPr>
        <w:fldChar w:fldCharType="separate"/>
      </w:r>
      <w:r>
        <w:rPr>
          <w:rFonts w:hint="eastAsia" w:cs="宋体"/>
          <w:color w:val="auto"/>
          <w:sz w:val="21"/>
          <w:szCs w:val="21"/>
          <w:highlight w:val="none"/>
        </w:rPr>
        <w:t>第</w:t>
      </w:r>
      <w:r>
        <w:rPr>
          <w:rFonts w:hint="eastAsia" w:cs="宋体"/>
          <w:color w:val="auto"/>
          <w:sz w:val="21"/>
          <w:szCs w:val="21"/>
          <w:highlight w:val="none"/>
          <w:lang w:val="en-US" w:eastAsia="zh-CN"/>
        </w:rPr>
        <w:t>七</w:t>
      </w:r>
      <w:r>
        <w:rPr>
          <w:rFonts w:hint="eastAsia" w:cs="宋体"/>
          <w:color w:val="auto"/>
          <w:sz w:val="21"/>
          <w:szCs w:val="21"/>
          <w:highlight w:val="none"/>
        </w:rPr>
        <w:t>章  附件</w:t>
      </w:r>
      <w:r>
        <w:rPr>
          <w:rFonts w:hint="eastAsia" w:cs="宋体"/>
          <w:color w:val="auto"/>
          <w:sz w:val="21"/>
          <w:szCs w:val="21"/>
          <w:highlight w:val="none"/>
        </w:rPr>
        <w:tab/>
      </w:r>
      <w:r>
        <w:rPr>
          <w:rFonts w:hint="eastAsia" w:cs="宋体"/>
          <w:color w:val="auto"/>
          <w:sz w:val="21"/>
          <w:szCs w:val="21"/>
          <w:highlight w:val="none"/>
        </w:rPr>
        <w:fldChar w:fldCharType="end"/>
      </w:r>
      <w:r>
        <w:rPr>
          <w:rFonts w:hint="eastAsia" w:cs="宋体"/>
          <w:color w:val="auto"/>
          <w:sz w:val="21"/>
          <w:szCs w:val="21"/>
          <w:highlight w:val="none"/>
          <w:lang w:val="en-US" w:eastAsia="zh-CN"/>
        </w:rPr>
        <w:t>49</w:t>
      </w:r>
    </w:p>
    <w:p>
      <w:pPr>
        <w:spacing w:line="360" w:lineRule="auto"/>
        <w:jc w:val="center"/>
        <w:rPr>
          <w:rFonts w:hint="eastAsia" w:ascii="宋体" w:hAnsi="宋体" w:cs="宋体"/>
          <w:b/>
          <w:color w:val="auto"/>
          <w:szCs w:val="21"/>
          <w:highlight w:val="none"/>
        </w:rPr>
      </w:pPr>
      <w:r>
        <w:rPr>
          <w:rFonts w:hint="eastAsia" w:ascii="宋体" w:hAnsi="宋体" w:cs="宋体"/>
          <w:color w:val="auto"/>
          <w:szCs w:val="21"/>
          <w:highlight w:val="none"/>
        </w:rPr>
        <w:fldChar w:fldCharType="end"/>
      </w:r>
    </w:p>
    <w:p>
      <w:pPr>
        <w:spacing w:line="400" w:lineRule="exact"/>
        <w:jc w:val="center"/>
        <w:rPr>
          <w:rFonts w:hint="eastAsia" w:ascii="宋体" w:hAnsi="宋体" w:cs="宋体"/>
          <w:b/>
          <w:color w:val="auto"/>
          <w:szCs w:val="21"/>
          <w:highlight w:val="none"/>
        </w:rPr>
        <w:sectPr>
          <w:headerReference r:id="rId8" w:type="default"/>
          <w:footerReference r:id="rId9" w:type="default"/>
          <w:type w:val="nextColumn"/>
          <w:pgSz w:w="11907" w:h="16840"/>
          <w:pgMar w:top="1134" w:right="1417" w:bottom="1134" w:left="1417" w:header="569" w:footer="697" w:gutter="0"/>
          <w:cols w:space="720" w:num="1"/>
          <w:docGrid w:linePitch="285" w:charSpace="0"/>
        </w:sectPr>
      </w:pPr>
      <w:bookmarkStart w:id="102" w:name="_GoBack"/>
      <w:bookmarkEnd w:id="102"/>
    </w:p>
    <w:p>
      <w:pPr>
        <w:pStyle w:val="5"/>
        <w:keepLines/>
        <w:spacing w:before="340" w:after="330" w:line="360" w:lineRule="auto"/>
        <w:rPr>
          <w:rFonts w:hint="eastAsia" w:ascii="宋体" w:hAnsi="宋体" w:cs="宋体"/>
          <w:color w:val="auto"/>
          <w:sz w:val="36"/>
          <w:szCs w:val="36"/>
          <w:highlight w:val="none"/>
        </w:rPr>
      </w:pPr>
      <w:bookmarkStart w:id="0" w:name="_Toc29951"/>
      <w:r>
        <w:rPr>
          <w:rFonts w:hint="eastAsia" w:ascii="宋体" w:hAnsi="宋体" w:cs="宋体"/>
          <w:color w:val="auto"/>
          <w:sz w:val="36"/>
          <w:szCs w:val="36"/>
          <w:highlight w:val="none"/>
        </w:rPr>
        <w:t>第一章  采购公告</w:t>
      </w:r>
      <w:bookmarkEnd w:id="0"/>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pBdr>
          <w:top w:val="single" w:color="auto" w:sz="4" w:space="1"/>
          <w:left w:val="single" w:color="auto" w:sz="4" w:space="4"/>
          <w:bottom w:val="single" w:color="auto" w:sz="4" w:space="1"/>
          <w:right w:val="single" w:color="auto" w:sz="4" w:space="4"/>
        </w:pBd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i/>
          <w:color w:val="auto"/>
          <w:sz w:val="21"/>
          <w:szCs w:val="21"/>
          <w:highlight w:val="none"/>
          <w:u w:val="single"/>
        </w:rPr>
        <w:t xml:space="preserve"> </w:t>
      </w:r>
      <w:r>
        <w:rPr>
          <w:rFonts w:hint="eastAsia" w:ascii="宋体" w:hAnsi="宋体" w:cs="宋体"/>
          <w:color w:val="auto"/>
          <w:sz w:val="21"/>
          <w:szCs w:val="21"/>
          <w:highlight w:val="none"/>
          <w:u w:val="single"/>
          <w:lang w:eastAsia="zh-CN"/>
        </w:rPr>
        <w:t>慈溪市横河镇东横河江河道水质提升服务</w:t>
      </w:r>
      <w:r>
        <w:rPr>
          <w:rFonts w:hint="eastAsia" w:ascii="宋体" w:hAnsi="宋体" w:eastAsia="宋体" w:cs="宋体"/>
          <w:color w:val="auto"/>
          <w:sz w:val="21"/>
          <w:szCs w:val="21"/>
          <w:highlight w:val="none"/>
          <w:u w:val="single"/>
          <w:lang w:eastAsia="zh-CN"/>
        </w:rPr>
        <w:t>采购项目</w:t>
      </w:r>
      <w:r>
        <w:rPr>
          <w:rFonts w:hint="eastAsia" w:ascii="宋体" w:hAnsi="宋体" w:eastAsia="宋体" w:cs="宋体"/>
          <w:color w:val="auto"/>
          <w:sz w:val="21"/>
          <w:szCs w:val="21"/>
          <w:highlight w:val="none"/>
        </w:rPr>
        <w:t>招标项目的潜在投标人应在</w:t>
      </w:r>
      <w:r>
        <w:rPr>
          <w:rFonts w:hint="eastAsia" w:ascii="宋体" w:hAnsi="宋体" w:eastAsia="宋体" w:cs="宋体"/>
          <w:color w:val="auto"/>
          <w:sz w:val="21"/>
          <w:szCs w:val="21"/>
          <w:highlight w:val="none"/>
          <w:u w:val="single"/>
          <w:lang w:eastAsia="zh-CN"/>
        </w:rPr>
        <w:t>政采云平台（网址：</w:t>
      </w:r>
      <w:r>
        <w:rPr>
          <w:rFonts w:hint="eastAsia" w:ascii="宋体" w:hAnsi="宋体" w:eastAsia="宋体" w:cs="宋体"/>
          <w:color w:val="auto"/>
          <w:sz w:val="21"/>
          <w:szCs w:val="21"/>
          <w:highlight w:val="none"/>
          <w:u w:val="single"/>
          <w:lang w:eastAsia="zh-CN"/>
        </w:rPr>
        <w:fldChar w:fldCharType="begin"/>
      </w:r>
      <w:r>
        <w:rPr>
          <w:rFonts w:hint="eastAsia" w:ascii="宋体" w:hAnsi="宋体" w:eastAsia="宋体" w:cs="宋体"/>
          <w:color w:val="auto"/>
          <w:sz w:val="21"/>
          <w:szCs w:val="21"/>
          <w:highlight w:val="none"/>
          <w:u w:val="single"/>
          <w:lang w:eastAsia="zh-CN"/>
        </w:rPr>
        <w:instrText xml:space="preserve"> HYPERLINK "http://www.zcygov.cn/" </w:instrText>
      </w:r>
      <w:r>
        <w:rPr>
          <w:rFonts w:hint="eastAsia" w:ascii="宋体" w:hAnsi="宋体" w:eastAsia="宋体" w:cs="宋体"/>
          <w:color w:val="auto"/>
          <w:sz w:val="21"/>
          <w:szCs w:val="21"/>
          <w:highlight w:val="none"/>
          <w:u w:val="single"/>
          <w:lang w:eastAsia="zh-CN"/>
        </w:rPr>
        <w:fldChar w:fldCharType="separate"/>
      </w:r>
      <w:r>
        <w:rPr>
          <w:rFonts w:hint="eastAsia" w:ascii="宋体" w:hAnsi="宋体" w:eastAsia="宋体" w:cs="宋体"/>
          <w:color w:val="auto"/>
          <w:sz w:val="21"/>
          <w:szCs w:val="21"/>
          <w:highlight w:val="none"/>
          <w:u w:val="single"/>
          <w:lang w:eastAsia="zh-CN"/>
        </w:rPr>
        <w:t>http://www.zcygov.cn/</w:t>
      </w:r>
      <w:r>
        <w:rPr>
          <w:rFonts w:hint="eastAsia" w:ascii="宋体" w:hAnsi="宋体" w:eastAsia="宋体" w:cs="宋体"/>
          <w:color w:val="auto"/>
          <w:sz w:val="21"/>
          <w:szCs w:val="21"/>
          <w:highlight w:val="none"/>
          <w:u w:val="single"/>
          <w:lang w:eastAsia="zh-CN"/>
        </w:rPr>
        <w:fldChar w:fldCharType="end"/>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获取招标文件，并于</w:t>
      </w:r>
      <w:r>
        <w:rPr>
          <w:rFonts w:hint="eastAsia" w:ascii="宋体" w:hAnsi="宋体" w:eastAsia="宋体" w:cs="宋体"/>
          <w:color w:val="auto"/>
          <w:sz w:val="21"/>
          <w:szCs w:val="21"/>
          <w:highlight w:val="none"/>
          <w:u w:val="single"/>
          <w:lang w:val="en-US" w:eastAsia="zh-CN"/>
        </w:rPr>
        <w:t>2021</w:t>
      </w:r>
      <w:r>
        <w:rPr>
          <w:rFonts w:hint="eastAsia" w:ascii="宋体" w:hAnsi="宋体" w:eastAsia="宋体" w:cs="宋体"/>
          <w:bCs/>
          <w:color w:val="auto"/>
          <w:sz w:val="21"/>
          <w:szCs w:val="21"/>
          <w:highlight w:val="none"/>
          <w:u w:val="single"/>
        </w:rPr>
        <w:t>年</w:t>
      </w:r>
      <w:r>
        <w:rPr>
          <w:rFonts w:hint="eastAsia" w:ascii="宋体" w:hAnsi="宋体" w:cs="宋体"/>
          <w:bCs/>
          <w:color w:val="auto"/>
          <w:sz w:val="21"/>
          <w:szCs w:val="21"/>
          <w:highlight w:val="none"/>
          <w:u w:val="single"/>
          <w:lang w:val="en-US" w:eastAsia="zh-CN"/>
        </w:rPr>
        <w:t>5</w:t>
      </w:r>
      <w:r>
        <w:rPr>
          <w:rFonts w:hint="eastAsia" w:ascii="宋体" w:hAnsi="宋体" w:eastAsia="宋体" w:cs="宋体"/>
          <w:bCs/>
          <w:color w:val="auto"/>
          <w:sz w:val="21"/>
          <w:szCs w:val="21"/>
          <w:highlight w:val="none"/>
          <w:u w:val="single"/>
        </w:rPr>
        <w:t>月</w:t>
      </w:r>
      <w:r>
        <w:rPr>
          <w:rFonts w:hint="eastAsia" w:ascii="宋体" w:hAnsi="宋体" w:cs="宋体"/>
          <w:bCs/>
          <w:color w:val="auto"/>
          <w:sz w:val="21"/>
          <w:szCs w:val="21"/>
          <w:highlight w:val="none"/>
          <w:u w:val="single"/>
          <w:lang w:val="en-US" w:eastAsia="zh-CN"/>
        </w:rPr>
        <w:t>28</w:t>
      </w:r>
      <w:r>
        <w:rPr>
          <w:rFonts w:hint="eastAsia" w:ascii="宋体" w:hAnsi="宋体" w:eastAsia="宋体" w:cs="宋体"/>
          <w:bCs/>
          <w:color w:val="auto"/>
          <w:sz w:val="21"/>
          <w:szCs w:val="21"/>
          <w:highlight w:val="none"/>
          <w:u w:val="single"/>
        </w:rPr>
        <w:t>日</w:t>
      </w:r>
      <w:r>
        <w:rPr>
          <w:rFonts w:hint="eastAsia" w:ascii="宋体" w:hAnsi="宋体" w:eastAsia="宋体" w:cs="宋体"/>
          <w:bCs/>
          <w:color w:val="auto"/>
          <w:sz w:val="21"/>
          <w:szCs w:val="21"/>
          <w:highlight w:val="none"/>
          <w:u w:val="single"/>
          <w:lang w:val="en-US" w:eastAsia="zh-CN"/>
        </w:rPr>
        <w:t>9</w:t>
      </w:r>
      <w:r>
        <w:rPr>
          <w:rFonts w:hint="eastAsia" w:ascii="宋体" w:hAnsi="宋体" w:eastAsia="宋体" w:cs="宋体"/>
          <w:bCs/>
          <w:color w:val="auto"/>
          <w:sz w:val="21"/>
          <w:szCs w:val="21"/>
          <w:highlight w:val="none"/>
          <w:u w:val="single"/>
        </w:rPr>
        <w:t>点</w:t>
      </w:r>
      <w:r>
        <w:rPr>
          <w:rFonts w:hint="eastAsia" w:ascii="宋体" w:hAnsi="宋体" w:eastAsia="宋体" w:cs="宋体"/>
          <w:bCs/>
          <w:color w:val="auto"/>
          <w:sz w:val="21"/>
          <w:szCs w:val="21"/>
          <w:highlight w:val="none"/>
          <w:u w:val="single"/>
          <w:lang w:val="en-US" w:eastAsia="zh-CN"/>
        </w:rPr>
        <w:t>30</w:t>
      </w:r>
      <w:r>
        <w:rPr>
          <w:rFonts w:hint="eastAsia" w:ascii="宋体" w:hAnsi="宋体" w:eastAsia="宋体" w:cs="宋体"/>
          <w:bCs/>
          <w:color w:val="auto"/>
          <w:sz w:val="21"/>
          <w:szCs w:val="21"/>
          <w:highlight w:val="none"/>
          <w:u w:val="single"/>
        </w:rPr>
        <w:t>分（</w:t>
      </w:r>
      <w:r>
        <w:rPr>
          <w:rFonts w:hint="eastAsia" w:ascii="宋体" w:hAnsi="宋体" w:eastAsia="宋体" w:cs="宋体"/>
          <w:bCs/>
          <w:color w:val="auto"/>
          <w:sz w:val="21"/>
          <w:szCs w:val="21"/>
          <w:highlight w:val="none"/>
        </w:rPr>
        <w:t>北京时间）前递交投标文件</w:t>
      </w:r>
      <w:r>
        <w:rPr>
          <w:rFonts w:hint="eastAsia" w:ascii="宋体" w:hAnsi="宋体" w:eastAsia="宋体" w:cs="宋体"/>
          <w:color w:val="auto"/>
          <w:sz w:val="21"/>
          <w:szCs w:val="21"/>
          <w:highlight w:val="none"/>
        </w:rPr>
        <w:t>。</w:t>
      </w:r>
    </w:p>
    <w:p>
      <w:pPr>
        <w:pStyle w:val="6"/>
        <w:spacing w:line="400" w:lineRule="exact"/>
        <w:rPr>
          <w:rFonts w:hint="eastAsia" w:ascii="宋体" w:hAnsi="宋体" w:eastAsia="宋体" w:cs="宋体"/>
          <w:b/>
          <w:bCs w:val="0"/>
          <w:color w:val="auto"/>
          <w:sz w:val="21"/>
          <w:szCs w:val="21"/>
          <w:highlight w:val="none"/>
        </w:rPr>
      </w:pPr>
      <w:bookmarkStart w:id="1" w:name="_Toc35393790"/>
      <w:bookmarkStart w:id="2" w:name="_Toc28359079"/>
      <w:bookmarkStart w:id="3" w:name="_Toc35393621"/>
      <w:bookmarkStart w:id="4" w:name="_Toc28359002"/>
      <w:bookmarkStart w:id="5" w:name="_Hlk24379207"/>
      <w:r>
        <w:rPr>
          <w:rFonts w:hint="eastAsia" w:ascii="宋体" w:hAnsi="宋体" w:eastAsia="宋体" w:cs="宋体"/>
          <w:b/>
          <w:bCs w:val="0"/>
          <w:color w:val="auto"/>
          <w:sz w:val="21"/>
          <w:szCs w:val="21"/>
          <w:highlight w:val="none"/>
        </w:rPr>
        <w:t>一、项目基本情况</w:t>
      </w:r>
      <w:bookmarkEnd w:id="1"/>
      <w:bookmarkEnd w:id="2"/>
      <w:bookmarkEnd w:id="3"/>
      <w:bookmarkEnd w:id="4"/>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永敬工政采招[2021]11号</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u w:val="none"/>
          <w:lang w:eastAsia="zh-CN"/>
        </w:rPr>
        <w:t>慈溪市横河镇东横河江河道水质提升服务</w:t>
      </w:r>
      <w:r>
        <w:rPr>
          <w:rFonts w:hint="eastAsia" w:ascii="宋体" w:hAnsi="宋体" w:eastAsia="宋体" w:cs="宋体"/>
          <w:color w:val="auto"/>
          <w:sz w:val="21"/>
          <w:szCs w:val="21"/>
          <w:highlight w:val="none"/>
          <w:u w:val="none"/>
          <w:lang w:eastAsia="zh-CN"/>
        </w:rPr>
        <w:t>采购项目</w:t>
      </w:r>
    </w:p>
    <w:bookmarkEnd w:id="5"/>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预算金额：</w:t>
      </w:r>
      <w:r>
        <w:rPr>
          <w:rFonts w:hint="eastAsia" w:ascii="宋体" w:hAnsi="宋体" w:eastAsia="宋体" w:cs="宋体"/>
          <w:color w:val="auto"/>
          <w:sz w:val="21"/>
          <w:szCs w:val="21"/>
          <w:highlight w:val="none"/>
          <w:lang w:val="en-US" w:eastAsia="zh-CN"/>
        </w:rPr>
        <w:t>1678万元</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最高限价：</w:t>
      </w:r>
      <w:r>
        <w:rPr>
          <w:rFonts w:hint="eastAsia" w:ascii="宋体" w:hAnsi="宋体" w:eastAsia="宋体" w:cs="宋体"/>
          <w:color w:val="auto"/>
          <w:sz w:val="21"/>
          <w:szCs w:val="21"/>
          <w:highlight w:val="none"/>
          <w:lang w:val="en-US" w:eastAsia="zh-CN"/>
        </w:rPr>
        <w:t>1678万元</w:t>
      </w:r>
    </w:p>
    <w:p>
      <w:pPr>
        <w:keepNext w:val="0"/>
        <w:keepLines w:val="0"/>
        <w:pageBreakBefore w:val="0"/>
        <w:widowControl/>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采购需求：</w:t>
      </w:r>
      <w:r>
        <w:rPr>
          <w:rFonts w:hint="eastAsia" w:ascii="宋体" w:hAnsi="宋体" w:eastAsia="宋体" w:cs="宋体"/>
          <w:b w:val="0"/>
          <w:bCs w:val="0"/>
          <w:color w:val="auto"/>
          <w:sz w:val="21"/>
          <w:szCs w:val="21"/>
          <w:highlight w:val="none"/>
          <w:lang w:eastAsia="zh-CN"/>
        </w:rPr>
        <w:t>本</w:t>
      </w:r>
      <w:r>
        <w:rPr>
          <w:rFonts w:hint="eastAsia" w:ascii="宋体" w:hAnsi="宋体" w:eastAsia="宋体" w:cs="宋体"/>
          <w:b w:val="0"/>
          <w:bCs w:val="0"/>
          <w:color w:val="auto"/>
          <w:sz w:val="21"/>
          <w:szCs w:val="21"/>
          <w:highlight w:val="none"/>
          <w:lang w:val="en-US" w:eastAsia="zh-CN"/>
        </w:rPr>
        <w:t>项目</w:t>
      </w:r>
      <w:r>
        <w:rPr>
          <w:rFonts w:hint="eastAsia" w:ascii="宋体" w:hAnsi="宋体" w:eastAsia="宋体" w:cs="宋体"/>
          <w:b w:val="0"/>
          <w:bCs w:val="0"/>
          <w:color w:val="auto"/>
          <w:sz w:val="21"/>
          <w:szCs w:val="21"/>
          <w:highlight w:val="none"/>
          <w:lang w:eastAsia="zh-CN"/>
        </w:rPr>
        <w:t>拟</w:t>
      </w:r>
      <w:r>
        <w:rPr>
          <w:rFonts w:hint="eastAsia" w:ascii="宋体" w:hAnsi="宋体" w:eastAsia="宋体" w:cs="宋体"/>
          <w:b w:val="0"/>
          <w:bCs w:val="0"/>
          <w:color w:val="auto"/>
          <w:sz w:val="21"/>
          <w:szCs w:val="21"/>
          <w:highlight w:val="none"/>
          <w:lang w:val="en-US" w:eastAsia="zh-CN"/>
        </w:rPr>
        <w:t>通过上游及支流闸口控制</w:t>
      </w:r>
      <w:r>
        <w:rPr>
          <w:rFonts w:hint="eastAsia" w:ascii="宋体" w:hAnsi="宋体" w:eastAsia="宋体" w:cs="宋体"/>
          <w:b w:val="0"/>
          <w:bCs w:val="0"/>
          <w:color w:val="auto"/>
          <w:sz w:val="21"/>
          <w:szCs w:val="21"/>
          <w:highlight w:val="none"/>
          <w:lang w:eastAsia="zh-CN"/>
        </w:rPr>
        <w:t>，减少上游</w:t>
      </w:r>
      <w:r>
        <w:rPr>
          <w:rFonts w:hint="eastAsia" w:ascii="宋体" w:hAnsi="宋体" w:eastAsia="宋体" w:cs="宋体"/>
          <w:b w:val="0"/>
          <w:bCs w:val="0"/>
          <w:color w:val="auto"/>
          <w:sz w:val="21"/>
          <w:szCs w:val="21"/>
          <w:highlight w:val="none"/>
          <w:lang w:val="en-US" w:eastAsia="zh-CN"/>
        </w:rPr>
        <w:t>和支流</w:t>
      </w:r>
      <w:r>
        <w:rPr>
          <w:rFonts w:hint="eastAsia" w:ascii="宋体" w:hAnsi="宋体" w:eastAsia="宋体" w:cs="宋体"/>
          <w:b w:val="0"/>
          <w:bCs w:val="0"/>
          <w:color w:val="auto"/>
          <w:sz w:val="21"/>
          <w:szCs w:val="21"/>
          <w:highlight w:val="none"/>
          <w:lang w:eastAsia="zh-CN"/>
        </w:rPr>
        <w:t>补水水质不稳定的影响，采用“设备</w:t>
      </w:r>
      <w:r>
        <w:rPr>
          <w:rFonts w:hint="eastAsia" w:ascii="宋体" w:hAnsi="宋体" w:eastAsia="宋体" w:cs="宋体"/>
          <w:b w:val="0"/>
          <w:bCs w:val="0"/>
          <w:color w:val="auto"/>
          <w:sz w:val="21"/>
          <w:szCs w:val="21"/>
          <w:highlight w:val="none"/>
          <w:lang w:val="en-US" w:eastAsia="zh-CN"/>
        </w:rPr>
        <w:t>旁路净化+内循环</w:t>
      </w:r>
      <w:r>
        <w:rPr>
          <w:rFonts w:hint="eastAsia" w:ascii="宋体" w:hAnsi="宋体" w:eastAsia="宋体" w:cs="宋体"/>
          <w:b w:val="0"/>
          <w:bCs w:val="0"/>
          <w:color w:val="auto"/>
          <w:sz w:val="21"/>
          <w:szCs w:val="21"/>
          <w:highlight w:val="none"/>
          <w:lang w:eastAsia="zh-CN"/>
        </w:rPr>
        <w:t>”综合治理措施，在</w:t>
      </w:r>
      <w:r>
        <w:rPr>
          <w:rFonts w:hint="eastAsia" w:ascii="宋体" w:hAnsi="宋体" w:eastAsia="宋体" w:cs="宋体"/>
          <w:b w:val="0"/>
          <w:bCs w:val="0"/>
          <w:color w:val="auto"/>
          <w:sz w:val="21"/>
          <w:szCs w:val="21"/>
          <w:highlight w:val="none"/>
          <w:lang w:val="en-US" w:eastAsia="zh-CN"/>
        </w:rPr>
        <w:t>南大江汇入点上游1.9km处设置一套10000吨/天及以上的一体化设备</w:t>
      </w:r>
      <w:r>
        <w:rPr>
          <w:rFonts w:hint="eastAsia" w:ascii="宋体" w:hAnsi="宋体" w:eastAsia="宋体" w:cs="宋体"/>
          <w:b w:val="0"/>
          <w:bCs w:val="0"/>
          <w:color w:val="auto"/>
          <w:sz w:val="21"/>
          <w:szCs w:val="21"/>
          <w:highlight w:val="none"/>
          <w:lang w:eastAsia="zh-CN"/>
        </w:rPr>
        <w:t>，就地高标准活水补水</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highlight w:val="none"/>
          <w:lang w:val="en-US" w:eastAsia="zh-CN"/>
        </w:rPr>
        <w:t>设备出水主要水质指标达到《地表水环境质量标准》GB3838-2002中的Ⅲ类标准（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，快速高效解决水环境污染问题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处理后的高标准水体通过南大江汇入东横江。服务标准（水质监测数据以当地环保部门监测点的监测数据为准）：服务期第1-3个月，月平均水质监测指标达到《地表水环境质量标准》（GB3838-2002）中Ⅳ类标准（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）；第4-8个月，月平均水质监测指标基本达到《地表水环境质量标准》GB3838-2002中的Ⅲ类标准（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）；后续服务期限内，月平均水质监测指标稳定维持在《地表水环境质量标准》GB3838-2002中的Ⅲ类标准（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w:t>
      </w:r>
    </w:p>
    <w:p>
      <w:pPr>
        <w:keepNext w:val="0"/>
        <w:keepLines w:val="0"/>
        <w:pageBreakBefore w:val="0"/>
        <w:widowControl/>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合同履行期限：</w:t>
      </w:r>
      <w:r>
        <w:rPr>
          <w:rFonts w:hint="eastAsia" w:ascii="宋体" w:hAnsi="宋体" w:eastAsia="宋体" w:cs="宋体"/>
          <w:color w:val="auto"/>
          <w:sz w:val="21"/>
          <w:szCs w:val="21"/>
          <w:highlight w:val="none"/>
          <w:lang w:val="en-US" w:eastAsia="zh-CN"/>
        </w:rPr>
        <w:t>本项目</w:t>
      </w:r>
      <w:r>
        <w:rPr>
          <w:rFonts w:hint="default" w:ascii="宋体" w:hAnsi="宋体" w:eastAsia="宋体" w:cs="宋体"/>
          <w:color w:val="auto"/>
          <w:sz w:val="21"/>
          <w:szCs w:val="21"/>
          <w:highlight w:val="none"/>
        </w:rPr>
        <w:t>合同签订后</w:t>
      </w: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rPr>
        <w:t>0天内完成设备</w:t>
      </w:r>
      <w:r>
        <w:rPr>
          <w:rFonts w:hint="eastAsia" w:ascii="宋体" w:hAnsi="宋体" w:eastAsia="宋体" w:cs="宋体"/>
          <w:color w:val="auto"/>
          <w:sz w:val="21"/>
          <w:szCs w:val="21"/>
          <w:highlight w:val="none"/>
          <w:lang w:val="en-US" w:eastAsia="zh-CN"/>
        </w:rPr>
        <w:t>供货、</w:t>
      </w:r>
      <w:r>
        <w:rPr>
          <w:rFonts w:hint="default" w:ascii="宋体" w:hAnsi="宋体" w:eastAsia="宋体" w:cs="宋体"/>
          <w:color w:val="auto"/>
          <w:sz w:val="21"/>
          <w:szCs w:val="21"/>
          <w:highlight w:val="none"/>
        </w:rPr>
        <w:t>安装</w:t>
      </w:r>
      <w:r>
        <w:rPr>
          <w:rFonts w:hint="eastAsia" w:ascii="宋体" w:hAnsi="宋体" w:eastAsia="宋体" w:cs="宋体"/>
          <w:color w:val="auto"/>
          <w:sz w:val="21"/>
          <w:szCs w:val="21"/>
          <w:highlight w:val="none"/>
          <w:lang w:val="en-US" w:eastAsia="zh-CN"/>
        </w:rPr>
        <w:t>及</w:t>
      </w:r>
      <w:r>
        <w:rPr>
          <w:rFonts w:hint="default" w:ascii="宋体" w:hAnsi="宋体" w:eastAsia="宋体" w:cs="宋体"/>
          <w:color w:val="auto"/>
          <w:sz w:val="21"/>
          <w:szCs w:val="21"/>
          <w:highlight w:val="none"/>
        </w:rPr>
        <w:t>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15天试运行并最终验收合格后正式进入运维服务阶段</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运维</w:t>
      </w:r>
      <w:r>
        <w:rPr>
          <w:rFonts w:hint="default" w:ascii="宋体" w:hAnsi="宋体" w:eastAsia="宋体" w:cs="宋体"/>
          <w:color w:val="auto"/>
          <w:sz w:val="21"/>
          <w:szCs w:val="21"/>
          <w:highlight w:val="none"/>
        </w:rPr>
        <w:t>服务期为</w:t>
      </w: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rPr>
        <w:t>年</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u w:val="single"/>
          <w:lang w:val="en-US" w:eastAsia="zh-CN"/>
        </w:rPr>
        <w:t>不</w:t>
      </w:r>
      <w:r>
        <w:rPr>
          <w:rFonts w:hint="eastAsia" w:ascii="宋体" w:hAnsi="宋体" w:eastAsia="宋体" w:cs="宋体"/>
          <w:color w:val="auto"/>
          <w:sz w:val="21"/>
          <w:szCs w:val="21"/>
          <w:highlight w:val="none"/>
          <w:u w:val="single"/>
        </w:rPr>
        <w:t>接受</w:t>
      </w:r>
      <w:r>
        <w:rPr>
          <w:rFonts w:hint="eastAsia" w:ascii="宋体" w:hAnsi="宋体" w:eastAsia="宋体" w:cs="宋体"/>
          <w:color w:val="auto"/>
          <w:sz w:val="21"/>
          <w:szCs w:val="21"/>
          <w:highlight w:val="none"/>
        </w:rPr>
        <w:t>联合体投标。</w:t>
      </w:r>
    </w:p>
    <w:p>
      <w:pPr>
        <w:pStyle w:val="6"/>
        <w:spacing w:line="400" w:lineRule="exact"/>
        <w:rPr>
          <w:rFonts w:hint="eastAsia" w:ascii="宋体" w:hAnsi="宋体" w:eastAsia="宋体" w:cs="宋体"/>
          <w:b/>
          <w:bCs w:val="0"/>
          <w:color w:val="auto"/>
          <w:sz w:val="21"/>
          <w:szCs w:val="21"/>
          <w:highlight w:val="none"/>
        </w:rPr>
      </w:pPr>
      <w:bookmarkStart w:id="6" w:name="_Toc28359080"/>
      <w:bookmarkStart w:id="7" w:name="_Toc28359003"/>
      <w:bookmarkStart w:id="8" w:name="_Toc35393791"/>
      <w:bookmarkStart w:id="9" w:name="_Toc35393622"/>
      <w:r>
        <w:rPr>
          <w:rFonts w:hint="eastAsia" w:ascii="宋体" w:hAnsi="宋体" w:eastAsia="宋体" w:cs="宋体"/>
          <w:b/>
          <w:bCs w:val="0"/>
          <w:color w:val="auto"/>
          <w:sz w:val="21"/>
          <w:szCs w:val="21"/>
          <w:highlight w:val="none"/>
        </w:rPr>
        <w:t>二、申请人的资格要求：</w:t>
      </w:r>
      <w:bookmarkEnd w:id="6"/>
      <w:bookmarkEnd w:id="7"/>
      <w:bookmarkEnd w:id="8"/>
      <w:bookmarkEnd w:id="9"/>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bookmarkStart w:id="10" w:name="_Toc28359004"/>
      <w:bookmarkStart w:id="11" w:name="_Toc35393792"/>
      <w:bookmarkStart w:id="12" w:name="_Toc35393623"/>
      <w:bookmarkStart w:id="13" w:name="_Toc28359081"/>
      <w:r>
        <w:rPr>
          <w:rFonts w:hint="eastAsia" w:ascii="宋体" w:hAnsi="宋体" w:eastAsia="宋体" w:cs="宋体"/>
          <w:color w:val="auto"/>
          <w:sz w:val="21"/>
          <w:szCs w:val="21"/>
          <w:highlight w:val="none"/>
          <w:lang w:val="en-US" w:eastAsia="zh-CN"/>
        </w:rPr>
        <w:t>1、符合《中华人民共和国政府采购法》第二十二条规定：</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（1）具有独立承担民事责任的能力；</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（2）具有良好的商业信誉和健全的财务会计制度；</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（3）具有履行合同所必需的设备和专业技术能力；</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（4）有依法缴纳税收和社会保障资金的良好记录；</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（5）参加政府采购活动前三年内，在经营活动中没有重大违法记录；</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（6）法律、行政法规规定的其他条件。</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2、供应商未被信用中国网站（</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"http://www.creditchina.gov.cn/"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www.creditchina.gov.cn</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）列入失信被执行人、重大税收违法案件当事人名单，未被中国政府采购网（www.ccgp.gov.cn）列入政府采购严重违法失信行为记录名单。</w:t>
      </w:r>
    </w:p>
    <w:p>
      <w:pPr>
        <w:pageBreakBefore w:val="0"/>
        <w:kinsoku/>
        <w:overflowPunct/>
        <w:topLinePunct w:val="0"/>
        <w:autoSpaceDE/>
        <w:autoSpaceDN/>
        <w:bidi w:val="0"/>
        <w:adjustRightInd/>
        <w:snapToGrid/>
        <w:spacing w:line="40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3.落实政府采购政策需满足的资格要求：无</w:t>
      </w:r>
    </w:p>
    <w:p>
      <w:pPr>
        <w:pageBreakBefore w:val="0"/>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4.本项目的特定资格要求：无。</w:t>
      </w:r>
    </w:p>
    <w:p>
      <w:pPr>
        <w:pStyle w:val="6"/>
        <w:spacing w:line="400" w:lineRule="exact"/>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三、获取招标文件</w:t>
      </w:r>
      <w:bookmarkEnd w:id="10"/>
      <w:bookmarkEnd w:id="11"/>
      <w:bookmarkEnd w:id="12"/>
      <w:bookmarkEnd w:id="13"/>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bookmarkStart w:id="14" w:name="_Toc28359005"/>
      <w:bookmarkStart w:id="15" w:name="_Toc28359082"/>
      <w:bookmarkStart w:id="16" w:name="_Toc35393793"/>
      <w:bookmarkStart w:id="17" w:name="_Toc35393624"/>
      <w:r>
        <w:rPr>
          <w:rFonts w:hint="eastAsia" w:ascii="宋体" w:hAnsi="宋体" w:eastAsia="宋体" w:cs="宋体"/>
          <w:color w:val="auto"/>
          <w:sz w:val="21"/>
          <w:szCs w:val="21"/>
          <w:highlight w:val="none"/>
          <w:lang w:val="en-US" w:eastAsia="zh-CN"/>
        </w:rPr>
        <w:t>1、时间：自采购公告发布之日起至投标截至时间止；</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2、地点：政采云平台（http://www.zcygov.cn/)；</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式：本项目不提供纸制版招标文件，供应商可通过“浙江政府采购网”在线获取（采购公告下方选取“潜在供应商”处“获取采购文件”）；供应商只有在“浙江政府采购网”完成获取采购文件申请并下载了采购文件后才视作依法获取采购文件（法律法规所指的供应商获取采购文件时间以供应商完成获取采购文件申请后下载采购文件的时间为准）；供应商网上报名操作指南：http://zfcg.czt.zj.gov.cn/bs_other/2018-03-30/12002.html?_=2018-03-30 11:40:47。 通过本公告下方“游客，浏览采购文件”下载的采购文件仅供浏览，不视作依法获取招标文件，不得就采购文件提出质疑投诉,未按规定获取招标文件者的投标将被拒绝。</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kern w:val="2"/>
          <w:sz w:val="21"/>
          <w:szCs w:val="21"/>
          <w:highlight w:val="none"/>
          <w:lang w:eastAsia="zh-CN"/>
        </w:rPr>
        <w:t>招标文件售价：免费</w:t>
      </w:r>
      <w:r>
        <w:rPr>
          <w:rFonts w:hint="eastAsia" w:ascii="宋体" w:hAnsi="宋体" w:eastAsia="宋体" w:cs="宋体"/>
          <w:color w:val="auto"/>
          <w:sz w:val="21"/>
          <w:szCs w:val="21"/>
          <w:highlight w:val="none"/>
          <w:lang w:val="en-US" w:eastAsia="zh-CN"/>
        </w:rPr>
        <w:t>。</w:t>
      </w:r>
    </w:p>
    <w:p>
      <w:pPr>
        <w:pStyle w:val="6"/>
        <w:spacing w:line="400" w:lineRule="exact"/>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四、提交投标文件</w:t>
      </w:r>
      <w:bookmarkEnd w:id="14"/>
      <w:bookmarkEnd w:id="15"/>
      <w:r>
        <w:rPr>
          <w:rFonts w:hint="eastAsia" w:ascii="宋体" w:hAnsi="宋体" w:eastAsia="宋体" w:cs="宋体"/>
          <w:b/>
          <w:bCs w:val="0"/>
          <w:color w:val="auto"/>
          <w:sz w:val="21"/>
          <w:szCs w:val="21"/>
          <w:highlight w:val="none"/>
        </w:rPr>
        <w:t>截止时间、开标时间和地点</w:t>
      </w:r>
      <w:bookmarkEnd w:id="16"/>
      <w:bookmarkEnd w:id="17"/>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bookmarkStart w:id="18" w:name="_Toc35393625"/>
      <w:bookmarkStart w:id="19" w:name="_Toc28359084"/>
      <w:bookmarkStart w:id="20" w:name="_Toc28359007"/>
      <w:bookmarkStart w:id="21" w:name="_Toc35393794"/>
      <w:r>
        <w:rPr>
          <w:rFonts w:hint="eastAsia" w:ascii="宋体" w:hAnsi="宋体" w:eastAsia="宋体" w:cs="宋体"/>
          <w:color w:val="auto"/>
          <w:sz w:val="21"/>
          <w:szCs w:val="21"/>
          <w:highlight w:val="none"/>
          <w:lang w:val="en-US" w:eastAsia="zh-CN"/>
        </w:rPr>
        <w:t>1、提交投标文件截止时间：2021年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28</w:t>
      </w:r>
      <w:r>
        <w:rPr>
          <w:rFonts w:hint="eastAsia" w:ascii="宋体" w:hAnsi="宋体" w:eastAsia="宋体" w:cs="宋体"/>
          <w:color w:val="auto"/>
          <w:sz w:val="21"/>
          <w:szCs w:val="21"/>
          <w:highlight w:val="none"/>
          <w:lang w:val="en-US" w:eastAsia="zh-CN"/>
        </w:rPr>
        <w:t>日9点30分（北京时间）。</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2、投标地点（网址）：慈溪市公共资源交易中心二楼第</w:t>
      </w:r>
      <w:r>
        <w:rPr>
          <w:rFonts w:hint="eastAsia" w:ascii="宋体" w:hAnsi="宋体" w:eastAsia="宋体" w:cs="宋体"/>
          <w:color w:val="auto"/>
          <w:sz w:val="21"/>
          <w:szCs w:val="21"/>
          <w:highlight w:val="none"/>
          <w:u w:val="single"/>
          <w:lang w:val="en-US" w:eastAsia="zh-CN"/>
        </w:rPr>
        <w:t xml:space="preserve"> 四 </w:t>
      </w:r>
      <w:r>
        <w:rPr>
          <w:rFonts w:hint="eastAsia" w:ascii="宋体" w:hAnsi="宋体" w:eastAsia="宋体" w:cs="宋体"/>
          <w:color w:val="auto"/>
          <w:sz w:val="21"/>
          <w:szCs w:val="21"/>
          <w:highlight w:val="none"/>
          <w:lang w:val="en-US" w:eastAsia="zh-CN"/>
        </w:rPr>
        <w:t>开标室（慈溪市白沙路街道南二环东路1355号）。</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3、开标时间：2021年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28</w:t>
      </w:r>
      <w:r>
        <w:rPr>
          <w:rFonts w:hint="eastAsia" w:ascii="宋体" w:hAnsi="宋体" w:eastAsia="宋体" w:cs="宋体"/>
          <w:color w:val="auto"/>
          <w:sz w:val="21"/>
          <w:szCs w:val="21"/>
          <w:highlight w:val="none"/>
          <w:lang w:val="en-US" w:eastAsia="zh-CN"/>
        </w:rPr>
        <w:t>日9点30分（北京时间）。</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4、开标地点（网址）：慈溪市公共资源交易中心二楼第</w:t>
      </w:r>
      <w:r>
        <w:rPr>
          <w:rFonts w:hint="eastAsia" w:ascii="宋体" w:hAnsi="宋体" w:eastAsia="宋体" w:cs="宋体"/>
          <w:color w:val="auto"/>
          <w:sz w:val="21"/>
          <w:szCs w:val="21"/>
          <w:highlight w:val="none"/>
          <w:u w:val="single"/>
          <w:lang w:val="en-US" w:eastAsia="zh-CN"/>
        </w:rPr>
        <w:t xml:space="preserve"> 四 </w:t>
      </w:r>
      <w:r>
        <w:rPr>
          <w:rFonts w:hint="eastAsia" w:ascii="宋体" w:hAnsi="宋体" w:eastAsia="宋体" w:cs="宋体"/>
          <w:color w:val="auto"/>
          <w:sz w:val="21"/>
          <w:szCs w:val="21"/>
          <w:highlight w:val="none"/>
          <w:lang w:val="en-US" w:eastAsia="zh-CN"/>
        </w:rPr>
        <w:t>开标室（慈溪市白沙路街道南二环东路1355号）</w:t>
      </w:r>
    </w:p>
    <w:p>
      <w:pPr>
        <w:pStyle w:val="6"/>
        <w:spacing w:line="400" w:lineRule="exact"/>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五、公告期限</w:t>
      </w:r>
      <w:bookmarkEnd w:id="18"/>
      <w:bookmarkEnd w:id="19"/>
      <w:bookmarkEnd w:id="20"/>
      <w:bookmarkEnd w:id="21"/>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自本公告发布之日起5个工作日。</w:t>
      </w:r>
    </w:p>
    <w:p>
      <w:pPr>
        <w:pStyle w:val="6"/>
        <w:spacing w:line="400" w:lineRule="exact"/>
        <w:rPr>
          <w:rFonts w:hint="eastAsia" w:ascii="宋体" w:hAnsi="宋体" w:eastAsia="宋体" w:cs="宋体"/>
          <w:b/>
          <w:bCs w:val="0"/>
          <w:color w:val="auto"/>
          <w:sz w:val="21"/>
          <w:szCs w:val="21"/>
          <w:highlight w:val="none"/>
        </w:rPr>
      </w:pPr>
      <w:bookmarkStart w:id="22" w:name="_Toc35393626"/>
      <w:bookmarkStart w:id="23" w:name="_Toc35393795"/>
      <w:r>
        <w:rPr>
          <w:rFonts w:hint="eastAsia" w:ascii="宋体" w:hAnsi="宋体" w:eastAsia="宋体" w:cs="宋体"/>
          <w:b/>
          <w:bCs w:val="0"/>
          <w:color w:val="auto"/>
          <w:sz w:val="21"/>
          <w:szCs w:val="21"/>
          <w:highlight w:val="none"/>
        </w:rPr>
        <w:t>六、其他补充事宜</w:t>
      </w:r>
      <w:bookmarkEnd w:id="22"/>
      <w:bookmarkEnd w:id="2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firstLine="630" w:firstLineChars="3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2、其他事项：</w:t>
      </w:r>
    </w:p>
    <w:p>
      <w:pPr>
        <w:numPr>
          <w:ilvl w:val="0"/>
          <w:numId w:val="0"/>
        </w:numPr>
        <w:wordWrap w:val="0"/>
        <w:spacing w:line="400" w:lineRule="exact"/>
        <w:ind w:firstLine="420" w:firstLineChars="200"/>
        <w:jc w:val="left"/>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kern w:val="2"/>
          <w:sz w:val="21"/>
          <w:szCs w:val="21"/>
          <w:highlight w:val="none"/>
          <w:lang w:eastAsia="zh-CN"/>
        </w:rPr>
        <w:t>投标形式：</w:t>
      </w:r>
      <w:r>
        <w:rPr>
          <w:rFonts w:hint="eastAsia" w:ascii="宋体" w:hAnsi="宋体" w:eastAsia="宋体" w:cs="宋体"/>
          <w:color w:val="auto"/>
          <w:kern w:val="2"/>
          <w:sz w:val="21"/>
          <w:szCs w:val="21"/>
          <w:highlight w:val="none"/>
        </w:rPr>
        <w:t>本项目实行网上投标，采用电子投标文件。若供应商参与投标，自行承担投标一切费用。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投标人应于提交投标文件截止时间前将电子投标文件上传到政府采购云平台（https://www.zcygov.cn/），并应于提交投标文件截止时间前，将以U盘或光盘存储的电子备份投标文件密封，采用现场递交或邮寄送达方式递交。 方式一：现场递交方式，供应商可安排一名“甬行码”为绿码的授权代表在投标截止时间前将投标文件送至开标地点。投标文件递交时须同时递交供应商的法定代表人（或其授权代表）联系方式，并保证投标期间联系方式畅通。 方式二：邮寄送达，送达地址：宁波永敬工程造价咨询有限公司（慈溪市孙塘南路4号永敬商务楼215室）联系人：侯维雁，联系方式0574-63898331。供应商邮寄后须将邮件单号发送至代理机构电子邮箱（电子邮箱：362153643@qq.com），并致电采购代理机构，以便采购代理机构查询物流记录。各供应商应当确保电子备份投标文件的密封包装在邮寄过程保持完好，并在邮寄包裹上注明项目名称、采购编号，因邮寄造成电子备份投标文件密封破损而不符合招标文件对投标文件的密封要求、或邮寄过程中导致电子备份投标文件未在投标截止时间前送达的，代理机构将拒绝其电子备份投标文件。各供应商自行考虑邮寄在途时间，电子备份投标文件送达时间以代理机构工作人员实际签收时间为准。 </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（3）、落实的政策：</w:t>
      </w:r>
      <w:r>
        <w:rPr>
          <w:rFonts w:hint="eastAsia"/>
          <w:color w:val="auto"/>
          <w:highlight w:val="none"/>
        </w:rPr>
        <w:t>《政府采购促进中小企业发展管理办法》（财库﹝2020﹞46号）</w:t>
      </w:r>
      <w:r>
        <w:rPr>
          <w:rFonts w:hint="eastAsia" w:ascii="宋体" w:hAnsi="宋体" w:eastAsia="宋体" w:cs="宋体"/>
          <w:color w:val="auto"/>
          <w:sz w:val="21"/>
          <w:szCs w:val="21"/>
          <w:highlight w:val="none"/>
          <w:lang w:val="en-US" w:eastAsia="zh-CN"/>
        </w:rPr>
        <w:t>、《关于政府采购支持监狱企业发展有关问题的通知》(财库[2014]68号</w:t>
      </w:r>
      <w:r>
        <w:rPr>
          <w:rFonts w:hint="eastAsia" w:ascii="宋体" w:hAnsi="宋体" w:cs="宋体"/>
          <w:color w:val="auto"/>
          <w:sz w:val="21"/>
          <w:szCs w:val="21"/>
          <w:highlight w:val="none"/>
          <w:lang w:val="en-US" w:eastAsia="zh-CN"/>
        </w:rPr>
        <w:t>、</w:t>
      </w:r>
      <w:r>
        <w:rPr>
          <w:rFonts w:hint="eastAsia" w:ascii="宋体" w:hAnsi="宋体" w:cs="宋体"/>
          <w:color w:val="auto"/>
          <w:szCs w:val="21"/>
          <w:highlight w:val="none"/>
        </w:rPr>
        <w:t>《关于促进残疾人就业政府采购政策的通知》（财库[2017]141号）</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ascii="宋体" w:hAnsi="宋体" w:eastAsia="宋体" w:cs="宋体"/>
          <w:color w:val="auto"/>
          <w:sz w:val="21"/>
          <w:szCs w:val="21"/>
          <w:highlight w:val="none"/>
          <w:lang w:val="en-US" w:eastAsia="zh-CN"/>
        </w:rPr>
        <w:t>（4）、开标时间后半小时内投标人可以登录政府采购云平台https://www.zcygov.cn/，用“项目采购-开标评标”功能进行解密投标文件。投标人按时在线解密投标文件的，以在线解密的投标文件作为评审依据，若投标人在规定时间内无法解密或解密失败，则以备份电子投标文件作为评审依据（若备份电子投标文件与政采云平台上传的投标文件被识别为不一致，仍以备份电子投标文件作为评审依据）。采购代理机构于评审结束后将备份电子投标文件退回给供应商。若投标人在规定时间内无法解密或解密失败且未提供备份电子投标文件或所提供的备份电子投标文件无法读取的，视为投标文件撤回。 </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标前准备：各供应商应在投标截止时间前确保成为浙江政府采购网正式注册入库供应商，并完成CA数字证书办理。因未注册入库、未办理CA数字证书等原因造成无法投标或投标失败等后果由供应商自行承担。（供应商CA申领操作指南：https://help.zcygov.cn/web/site_2/2018/11-29/2452.html，完成CA数字证书办理预计一周左右，请供应商自行把握时间）。</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（6）、投标文件制作：</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应按照本项目招标文件和政府采购云平台的要求编制、加密并递交投标文件。供应商在使用系统进行投标的过程中遇到涉及平台使用的任何问题，可致电政府采购云平台技术支持热线咨询，联系方式：4008817190。</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2）供应商通过政府采购云平台电子投标工具制作投标文件。电子投标工具请供应商自行前往浙江政府采购网下载并安装（http://zfcg.czt.zj.gov.cn/bidClientTemplate/2019-05-27/12946.html）。</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供应商投标文件制作及电子交易操作指南详见：</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①政府采购项目电子交易管理操作指南（视频）https://service.zcygov.cn/#/knowledges/CW1EtGwBFdiHxlNd6I3m/7GyLXW0BXgMSmLUuYuPM（电脑登录账号观看）；</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②政府采购项目电子交易管理操作指南（文本）https://service.zcygov.cn/#/knowledges/CW1EtGwBFdiHxlNd6I3m/6IMVAG0BFdiHxlNdQ8Na（电脑登录账号浏览）。</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3）以U盘或光盘存储的电子备份投标文件1份，按“项目采购-电子招投标操作指南”制作的电子备份文件，以用于异常情况处理。</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（7）、单位负责人为同一人或者存在直接控股、管理关系的不同供应商，不得参加同一子包号的投标。</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（8）、为本项目提供整体设计、规范编制或者项目管理、监理、检测等服务的供应商，不得再参加本项目的投标。</w:t>
      </w:r>
    </w:p>
    <w:p>
      <w:pPr>
        <w:spacing w:line="400" w:lineRule="exact"/>
        <w:ind w:firstLine="420" w:firstLineChars="200"/>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、公益一类事业单位不属于政府购买服务的承接主体，不得参与承接政府购买服务。</w:t>
      </w:r>
    </w:p>
    <w:p>
      <w:pPr>
        <w:pStyle w:val="6"/>
        <w:spacing w:line="400" w:lineRule="exact"/>
        <w:rPr>
          <w:rFonts w:hint="eastAsia" w:ascii="宋体" w:hAnsi="宋体" w:eastAsia="宋体" w:cs="宋体"/>
          <w:b/>
          <w:bCs w:val="0"/>
          <w:color w:val="auto"/>
          <w:sz w:val="21"/>
          <w:szCs w:val="21"/>
          <w:highlight w:val="none"/>
        </w:rPr>
      </w:pPr>
      <w:bookmarkStart w:id="24" w:name="_Toc35393627"/>
      <w:bookmarkStart w:id="25" w:name="_Toc35393796"/>
      <w:bookmarkStart w:id="26" w:name="_Toc28359008"/>
      <w:bookmarkStart w:id="27" w:name="_Toc28359085"/>
      <w:r>
        <w:rPr>
          <w:rFonts w:hint="eastAsia" w:ascii="宋体" w:hAnsi="宋体" w:eastAsia="宋体" w:cs="宋体"/>
          <w:b/>
          <w:bCs w:val="0"/>
          <w:color w:val="auto"/>
          <w:sz w:val="21"/>
          <w:szCs w:val="21"/>
          <w:highlight w:val="none"/>
        </w:rPr>
        <w:t>七、对本次招标提出询问，请按以下方式联系。</w:t>
      </w:r>
      <w:bookmarkEnd w:id="24"/>
      <w:bookmarkEnd w:id="25"/>
      <w:bookmarkEnd w:id="26"/>
      <w:bookmarkEnd w:id="27"/>
    </w:p>
    <w:p>
      <w:pPr>
        <w:widowControl/>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1.采购人信息</w:t>
      </w:r>
    </w:p>
    <w:p>
      <w:pPr>
        <w:spacing w:line="400" w:lineRule="exact"/>
        <w:ind w:left="0" w:leftChars="0"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u w:val="single"/>
        </w:rPr>
        <w:t>　</w:t>
      </w:r>
      <w:r>
        <w:rPr>
          <w:rFonts w:hint="eastAsia" w:ascii="宋体" w:hAnsi="宋体" w:cs="宋体"/>
          <w:color w:val="auto"/>
          <w:szCs w:val="21"/>
          <w:highlight w:val="none"/>
          <w:u w:val="single"/>
          <w:lang w:eastAsia="zh-CN"/>
        </w:rPr>
        <w:t>慈溪市横河镇人民政府</w:t>
      </w:r>
      <w:r>
        <w:rPr>
          <w:rFonts w:hint="eastAsia" w:ascii="宋体" w:hAnsi="宋体" w:eastAsia="宋体" w:cs="宋体"/>
          <w:color w:val="auto"/>
          <w:sz w:val="21"/>
          <w:szCs w:val="21"/>
          <w:highlight w:val="none"/>
          <w:u w:val="single"/>
        </w:rPr>
        <w:t>　</w:t>
      </w:r>
    </w:p>
    <w:p>
      <w:pPr>
        <w:spacing w:line="400" w:lineRule="exact"/>
        <w:ind w:left="0" w:leftChars="0" w:firstLine="630" w:firstLineChars="30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w:t>
      </w:r>
      <w:r>
        <w:rPr>
          <w:rFonts w:hint="eastAsia" w:ascii="宋体" w:hAnsi="宋体" w:eastAsia="宋体" w:cs="宋体"/>
          <w:i w:val="0"/>
          <w:iCs w:val="0"/>
          <w:caps w:val="0"/>
          <w:color w:val="auto"/>
          <w:spacing w:val="0"/>
          <w:sz w:val="21"/>
          <w:szCs w:val="21"/>
          <w:highlight w:val="none"/>
          <w:u w:val="single"/>
          <w:shd w:val="clear"/>
        </w:rPr>
        <w:t>横河镇龙泉东路39号</w:t>
      </w:r>
      <w:r>
        <w:rPr>
          <w:rFonts w:hint="eastAsia" w:ascii="宋体" w:hAnsi="宋体" w:eastAsia="宋体" w:cs="宋体"/>
          <w:color w:val="auto"/>
          <w:sz w:val="21"/>
          <w:szCs w:val="21"/>
          <w:highlight w:val="none"/>
          <w:u w:val="single"/>
        </w:rPr>
        <w:t>　</w:t>
      </w:r>
    </w:p>
    <w:p>
      <w:pPr>
        <w:widowControl/>
        <w:tabs>
          <w:tab w:val="left" w:pos="540"/>
        </w:tabs>
        <w:spacing w:line="400" w:lineRule="exact"/>
        <w:ind w:firstLine="630" w:firstLineChars="300"/>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u w:val="single"/>
        </w:rPr>
        <w:t>　联系人：</w:t>
      </w:r>
      <w:r>
        <w:rPr>
          <w:rFonts w:hint="eastAsia" w:ascii="宋体" w:hAnsi="宋体" w:cs="宋体"/>
          <w:color w:val="auto"/>
          <w:szCs w:val="21"/>
          <w:highlight w:val="none"/>
          <w:u w:val="single"/>
          <w:lang w:val="en-US" w:eastAsia="zh-CN"/>
        </w:rPr>
        <w:t>周观庆</w:t>
      </w:r>
      <w:r>
        <w:rPr>
          <w:rFonts w:hint="eastAsia" w:ascii="宋体" w:hAnsi="宋体" w:eastAsia="宋体" w:cs="宋体"/>
          <w:color w:val="auto"/>
          <w:szCs w:val="21"/>
          <w:highlight w:val="none"/>
          <w:u w:val="single"/>
        </w:rPr>
        <w:t xml:space="preserve"> 联系电话：</w:t>
      </w:r>
      <w:bookmarkStart w:id="28" w:name="_Toc28359086"/>
      <w:bookmarkStart w:id="29" w:name="_Toc28359009"/>
      <w:r>
        <w:rPr>
          <w:rFonts w:hint="eastAsia" w:ascii="宋体" w:hAnsi="宋体" w:cs="宋体"/>
          <w:color w:val="auto"/>
          <w:szCs w:val="21"/>
          <w:highlight w:val="none"/>
          <w:u w:val="single"/>
          <w:lang w:val="en-US" w:eastAsia="zh-CN"/>
        </w:rPr>
        <w:t xml:space="preserve">13777155775 </w:t>
      </w:r>
    </w:p>
    <w:p>
      <w:pPr>
        <w:spacing w:line="400" w:lineRule="exact"/>
        <w:ind w:left="0" w:leftChars="0"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bookmarkEnd w:id="28"/>
      <w:bookmarkEnd w:id="29"/>
    </w:p>
    <w:p>
      <w:pPr>
        <w:spacing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宁波永敬工程造价咨询有限公司</w:t>
      </w:r>
      <w:r>
        <w:rPr>
          <w:rFonts w:hint="eastAsia" w:ascii="宋体" w:hAnsi="宋体" w:eastAsia="宋体" w:cs="宋体"/>
          <w:color w:val="auto"/>
          <w:sz w:val="21"/>
          <w:szCs w:val="21"/>
          <w:highlight w:val="none"/>
          <w:u w:val="single"/>
        </w:rPr>
        <w:t>　　</w:t>
      </w:r>
    </w:p>
    <w:p>
      <w:pPr>
        <w:spacing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慈溪市孙塘南路4号永敬商务楼2楼</w:t>
      </w:r>
      <w:r>
        <w:rPr>
          <w:rFonts w:hint="eastAsia" w:ascii="宋体" w:hAnsi="宋体" w:eastAsia="宋体" w:cs="宋体"/>
          <w:color w:val="auto"/>
          <w:sz w:val="21"/>
          <w:szCs w:val="21"/>
          <w:highlight w:val="none"/>
          <w:u w:val="single"/>
        </w:rPr>
        <w:t>　　</w:t>
      </w:r>
    </w:p>
    <w:p>
      <w:pPr>
        <w:spacing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bookmarkStart w:id="30" w:name="_Toc28359010"/>
      <w:bookmarkStart w:id="31" w:name="_Toc28359087"/>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0574-63898331</w:t>
      </w:r>
      <w:r>
        <w:rPr>
          <w:rFonts w:hint="eastAsia" w:ascii="宋体" w:hAnsi="宋体" w:eastAsia="宋体" w:cs="宋体"/>
          <w:color w:val="auto"/>
          <w:sz w:val="21"/>
          <w:szCs w:val="21"/>
          <w:highlight w:val="none"/>
          <w:u w:val="single"/>
        </w:rPr>
        <w:t>　</w:t>
      </w:r>
    </w:p>
    <w:p>
      <w:pPr>
        <w:spacing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3.项目联系方式</w:t>
      </w:r>
      <w:bookmarkEnd w:id="30"/>
      <w:bookmarkEnd w:id="31"/>
    </w:p>
    <w:p>
      <w:pPr>
        <w:spacing w:line="400" w:lineRule="exact"/>
        <w:ind w:firstLine="630" w:firstLineChars="300"/>
        <w:rPr>
          <w:rFonts w:hint="default"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kern w:val="2"/>
          <w:sz w:val="21"/>
          <w:szCs w:val="21"/>
          <w:highlight w:val="none"/>
          <w:u w:val="single"/>
          <w:lang w:val="en-US" w:eastAsia="zh-CN" w:bidi="ar-SA"/>
        </w:rPr>
        <w:t>侯维雁、施杭</w:t>
      </w:r>
    </w:p>
    <w:p>
      <w:pPr>
        <w:spacing w:line="400" w:lineRule="exact"/>
        <w:ind w:firstLine="630" w:firstLineChars="30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single"/>
          <w:lang w:val="en-US" w:eastAsia="zh-CN"/>
        </w:rPr>
        <w:t>0574-63898331</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u w:val="none"/>
        </w:rPr>
        <w:t>　</w:t>
      </w:r>
    </w:p>
    <w:p>
      <w:pPr>
        <w:spacing w:line="400" w:lineRule="exact"/>
        <w:ind w:right="-932" w:rightChars="-444"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同级政府采购监督管理部门名称：</w:t>
      </w:r>
      <w:r>
        <w:rPr>
          <w:rFonts w:hint="eastAsia" w:ascii="宋体" w:hAnsi="宋体" w:eastAsia="宋体" w:cs="宋体"/>
          <w:color w:val="auto"/>
          <w:sz w:val="21"/>
          <w:szCs w:val="21"/>
          <w:highlight w:val="none"/>
          <w:u w:val="single"/>
          <w:lang w:val="en-US" w:eastAsia="zh-CN"/>
        </w:rPr>
        <w:t>慈溪市公共资源交易</w:t>
      </w:r>
      <w:r>
        <w:rPr>
          <w:rFonts w:hint="eastAsia" w:ascii="宋体" w:hAnsi="宋体" w:eastAsia="宋体" w:cs="宋体"/>
          <w:color w:val="auto"/>
          <w:sz w:val="21"/>
          <w:szCs w:val="21"/>
          <w:highlight w:val="none"/>
          <w:u w:val="single"/>
        </w:rPr>
        <w:t xml:space="preserve">办公室 </w:t>
      </w:r>
    </w:p>
    <w:p>
      <w:pPr>
        <w:spacing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r>
        <w:rPr>
          <w:rFonts w:hint="eastAsia" w:ascii="宋体" w:hAnsi="宋体" w:eastAsia="宋体" w:cs="宋体"/>
          <w:color w:val="auto"/>
          <w:sz w:val="21"/>
          <w:szCs w:val="21"/>
          <w:highlight w:val="none"/>
          <w:u w:val="single"/>
        </w:rPr>
        <w:t>赵先生</w:t>
      </w:r>
    </w:p>
    <w:p>
      <w:pPr>
        <w:spacing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慈溪市白沙路街道南二环东路1355号</w:t>
      </w:r>
    </w:p>
    <w:p>
      <w:pPr>
        <w:spacing w:line="400" w:lineRule="exact"/>
        <w:ind w:firstLine="630" w:firstLineChars="3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0574-630</w:t>
      </w:r>
      <w:r>
        <w:rPr>
          <w:rFonts w:hint="eastAsia" w:ascii="宋体" w:hAnsi="宋体" w:eastAsia="宋体" w:cs="宋体"/>
          <w:color w:val="auto"/>
          <w:sz w:val="21"/>
          <w:szCs w:val="21"/>
          <w:highlight w:val="none"/>
          <w:u w:val="single"/>
          <w:lang w:val="en-US" w:eastAsia="zh-CN"/>
        </w:rPr>
        <w:t>32252</w:t>
      </w:r>
    </w:p>
    <w:p>
      <w:pPr>
        <w:widowControl/>
        <w:jc w:val="left"/>
        <w:rPr>
          <w:rFonts w:hint="eastAsia" w:ascii="宋体" w:hAnsi="宋体" w:eastAsia="宋体" w:cs="宋体"/>
          <w:color w:val="auto"/>
          <w:sz w:val="21"/>
          <w:szCs w:val="21"/>
          <w:highlight w:val="none"/>
        </w:rPr>
      </w:pPr>
    </w:p>
    <w:p>
      <w:pPr>
        <w:spacing w:line="380" w:lineRule="exact"/>
        <w:ind w:firstLine="420" w:firstLineChars="200"/>
        <w:jc w:val="center"/>
        <w:rPr>
          <w:rFonts w:hint="eastAsia" w:ascii="宋体" w:hAnsi="宋体" w:cs="宋体"/>
          <w:b/>
          <w:bCs/>
          <w:color w:val="auto"/>
          <w:kern w:val="44"/>
          <w:sz w:val="36"/>
          <w:szCs w:val="36"/>
          <w:highlight w:val="none"/>
        </w:rPr>
      </w:pPr>
      <w:r>
        <w:rPr>
          <w:rFonts w:hint="eastAsia" w:ascii="宋体" w:hAnsi="宋体" w:cs="宋体"/>
          <w:color w:val="auto"/>
          <w:szCs w:val="21"/>
          <w:highlight w:val="none"/>
        </w:rPr>
        <w:br w:type="page"/>
      </w:r>
      <w:bookmarkStart w:id="32" w:name="_Toc23064"/>
      <w:r>
        <w:rPr>
          <w:rFonts w:hint="eastAsia" w:ascii="宋体" w:hAnsi="宋体" w:cs="宋体"/>
          <w:b/>
          <w:bCs/>
          <w:color w:val="auto"/>
          <w:kern w:val="44"/>
          <w:sz w:val="36"/>
          <w:szCs w:val="36"/>
          <w:highlight w:val="none"/>
        </w:rPr>
        <w:t>第二章  投标须知</w:t>
      </w:r>
      <w:bookmarkEnd w:id="32"/>
    </w:p>
    <w:p>
      <w:pPr>
        <w:pStyle w:val="43"/>
        <w:ind w:firstLine="480"/>
        <w:rPr>
          <w:rFonts w:hint="eastAsia"/>
          <w:color w:val="auto"/>
          <w:highlight w:val="none"/>
        </w:rPr>
      </w:pPr>
    </w:p>
    <w:p>
      <w:p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一、适用范围</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本招标文件仅适用于本采购项目所叙述的</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的招标、评标、定标、验收、合同履约、付款等（法律、法规另有规定的，从其规定）。</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二、定义</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1、“采购人”系指</w:t>
      </w:r>
      <w:r>
        <w:rPr>
          <w:rFonts w:hint="eastAsia" w:ascii="宋体" w:hAnsi="宋体" w:cs="宋体"/>
          <w:color w:val="auto"/>
          <w:szCs w:val="21"/>
          <w:highlight w:val="none"/>
          <w:lang w:eastAsia="zh-CN" w:bidi="ar"/>
        </w:rPr>
        <w:t>慈溪市横河镇人民政府</w:t>
      </w:r>
      <w:r>
        <w:rPr>
          <w:rFonts w:hint="eastAsia" w:ascii="宋体" w:hAnsi="宋体" w:cs="宋体"/>
          <w:color w:val="auto"/>
          <w:szCs w:val="21"/>
          <w:highlight w:val="none"/>
          <w:lang w:bidi="ar"/>
        </w:rPr>
        <w:t>。</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2、“代理机构”系指宁波永敬工程造价咨询有限公司。</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3、“供应商”系指向采购人提供投标文件的供应商。</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4、“中标人”系指在本次招标中确定向采购人提供</w:t>
      </w:r>
      <w:r>
        <w:rPr>
          <w:rFonts w:hint="eastAsia" w:ascii="宋体" w:hAnsi="宋体" w:cs="宋体"/>
          <w:color w:val="auto"/>
          <w:szCs w:val="21"/>
          <w:highlight w:val="none"/>
          <w:lang w:eastAsia="zh-CN" w:bidi="ar"/>
        </w:rPr>
        <w:t>慈溪市横河镇东横河江河道水质提升服务</w:t>
      </w:r>
      <w:r>
        <w:rPr>
          <w:rFonts w:hint="eastAsia" w:ascii="宋体" w:hAnsi="宋体" w:cs="宋体"/>
          <w:color w:val="auto"/>
          <w:szCs w:val="21"/>
          <w:highlight w:val="none"/>
          <w:lang w:bidi="ar"/>
        </w:rPr>
        <w:t>的供应商；</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5、“货物”系指满足服务要求，投标人需</w:t>
      </w:r>
      <w:r>
        <w:rPr>
          <w:rFonts w:hint="eastAsia" w:ascii="宋体" w:hAnsi="宋体" w:cs="宋体"/>
          <w:color w:val="auto"/>
          <w:szCs w:val="21"/>
          <w:highlight w:val="none"/>
          <w:lang w:val="en-US" w:eastAsia="zh-CN"/>
        </w:rPr>
        <w:t>投入的</w:t>
      </w:r>
      <w:r>
        <w:rPr>
          <w:rFonts w:hint="eastAsia" w:ascii="宋体" w:hAnsi="宋体" w:cs="宋体"/>
          <w:color w:val="auto"/>
          <w:szCs w:val="21"/>
          <w:highlight w:val="none"/>
        </w:rPr>
        <w:t>设备等。</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6、“服务”系指</w:t>
      </w:r>
      <w:r>
        <w:rPr>
          <w:rFonts w:hint="eastAsia" w:ascii="宋体" w:hAnsi="宋体" w:cs="宋体"/>
          <w:color w:val="auto"/>
          <w:szCs w:val="21"/>
          <w:highlight w:val="none"/>
          <w:lang w:eastAsia="zh-CN"/>
        </w:rPr>
        <w:t>慈溪市横河镇</w:t>
      </w:r>
      <w:r>
        <w:rPr>
          <w:rFonts w:hint="eastAsia" w:ascii="宋体" w:hAnsi="宋体" w:cs="宋体"/>
          <w:color w:val="auto"/>
          <w:szCs w:val="21"/>
          <w:highlight w:val="none"/>
          <w:lang w:eastAsia="zh-CN" w:bidi="ar"/>
        </w:rPr>
        <w:t>东横河江河道水质提升</w:t>
      </w:r>
      <w:r>
        <w:rPr>
          <w:rFonts w:hint="eastAsia" w:ascii="宋体" w:hAnsi="宋体" w:cs="宋体"/>
          <w:color w:val="auto"/>
          <w:szCs w:val="21"/>
          <w:highlight w:val="none"/>
          <w:lang w:val="en-US" w:eastAsia="zh-CN"/>
        </w:rPr>
        <w:t>运维服务</w:t>
      </w:r>
      <w:r>
        <w:rPr>
          <w:rFonts w:hint="eastAsia" w:ascii="宋体" w:hAnsi="宋体" w:cs="宋体"/>
          <w:color w:val="auto"/>
          <w:szCs w:val="21"/>
          <w:highlight w:val="none"/>
        </w:rPr>
        <w:t>。</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7、“同级政府采购监管部门”系指慈溪市公共资源交易管理办公室</w:t>
      </w:r>
      <w:r>
        <w:rPr>
          <w:rFonts w:hint="eastAsia" w:ascii="宋体" w:hAnsi="宋体" w:cs="宋体"/>
          <w:color w:val="auto"/>
          <w:kern w:val="10"/>
          <w:szCs w:val="21"/>
          <w:highlight w:val="none"/>
          <w:lang w:val="zh-CN"/>
        </w:rPr>
        <w:t>。</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8、“★”系指实质性响应条款。</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三、供应商的资格要求</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详见采购公告。</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四、投标费用</w:t>
      </w:r>
    </w:p>
    <w:p>
      <w:pPr>
        <w:spacing w:line="40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rPr>
        <w:t>1、无论投标过程和结果如何，供应商自行承担与投标有关的全部费用。</w:t>
      </w:r>
    </w:p>
    <w:p>
      <w:pPr>
        <w:spacing w:before="72" w:beforeLines="30" w:after="72" w:afterLines="3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bidi="ar"/>
        </w:rPr>
        <w:t>2、</w:t>
      </w:r>
      <w:r>
        <w:rPr>
          <w:rFonts w:hint="eastAsia" w:ascii="宋体" w:hAnsi="宋体" w:cs="宋体"/>
          <w:color w:val="auto"/>
          <w:szCs w:val="21"/>
          <w:highlight w:val="none"/>
        </w:rPr>
        <w:t>中标服务费的收取标准：</w:t>
      </w:r>
      <w:r>
        <w:rPr>
          <w:rFonts w:hint="eastAsia" w:ascii="宋体" w:hAnsi="宋体" w:cs="宋体"/>
          <w:color w:val="auto"/>
          <w:sz w:val="21"/>
          <w:szCs w:val="21"/>
          <w:highlight w:val="none"/>
        </w:rPr>
        <w:t>招标代理服务费收取金额如下：根据国家发改委（发改价格〔2011〕34号）文件通知和国家计委（计价格〔2002〕1980号）文件规定的</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rPr>
        <w:t>招标费率标准，按照合同总金额向中标供应商收取招标服务费</w:t>
      </w:r>
      <w:r>
        <w:rPr>
          <w:rFonts w:hint="eastAsia" w:ascii="宋体" w:hAnsi="宋体" w:cs="宋体"/>
          <w:color w:val="auto"/>
          <w:sz w:val="21"/>
          <w:szCs w:val="21"/>
          <w:highlight w:val="none"/>
          <w:lang w:eastAsia="zh-CN"/>
        </w:rPr>
        <w:t>。</w:t>
      </w:r>
    </w:p>
    <w:p>
      <w:pPr>
        <w:spacing w:before="72" w:beforeLines="30" w:after="72" w:afterLines="30"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五、投标报价</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1、投标报价以人民币为结算货币。</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rPr>
        <w:t>1</w:t>
      </w:r>
      <w:r>
        <w:rPr>
          <w:rFonts w:hint="eastAsia" w:ascii="宋体" w:hAnsi="宋体" w:cs="宋体"/>
          <w:color w:val="auto"/>
          <w:szCs w:val="21"/>
          <w:highlight w:val="none"/>
          <w:lang w:val="zh-CN"/>
        </w:rPr>
        <w:t>）开标时，供应商应按招标文件要求认真填写报价内容，投标文件报价前后不一致的，按以下规定修正：</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①投标文件中开标一览表（报价表）内容与投标文件中相应内容不一致的，以开标一览表（报价表）为准；</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②投标文件的大写金额和小写金额不一致的，以大写金额为准；</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③单价金额小数点或者百分比有明显错位的，以开标一览表的总价为准，并修改单价；</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④总价金额与按单价汇总金额不一致的，以单价金额计算结果为准。</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2、</w:t>
      </w:r>
      <w:r>
        <w:rPr>
          <w:rFonts w:hint="eastAsia" w:ascii="宋体" w:hAnsi="宋体" w:eastAsia="宋体" w:cs="宋体"/>
          <w:color w:val="auto"/>
          <w:szCs w:val="21"/>
          <w:highlight w:val="none"/>
          <w:lang w:val="zh-CN"/>
        </w:rPr>
        <w:t>投标报价是履行合同的最终价格【</w:t>
      </w:r>
      <w:r>
        <w:rPr>
          <w:rFonts w:hint="eastAsia" w:ascii="宋体" w:hAnsi="宋体" w:eastAsia="宋体" w:cs="宋体"/>
          <w:b w:val="0"/>
          <w:bCs w:val="0"/>
          <w:color w:val="auto"/>
          <w:szCs w:val="21"/>
          <w:highlight w:val="none"/>
          <w:lang w:val="zh-CN" w:eastAsia="zh-CN"/>
        </w:rPr>
        <w:t>包含设备及安装运输调试费、设备运行电费、药剂费、人工费、水质检测费、设备维修费、污泥处理及处置费用（要符合相关环保要求）、培训、劳保、专利技术等使出水达到排放标准所可能发生的全部费用以及投标人企业利润、税金和政策性文件规定及合同包含的所有风险、责任等各项相关费用</w:t>
      </w:r>
      <w:r>
        <w:rPr>
          <w:rFonts w:hint="eastAsia" w:ascii="宋体" w:hAnsi="宋体" w:eastAsia="宋体" w:cs="宋体"/>
          <w:color w:val="auto"/>
          <w:szCs w:val="21"/>
          <w:highlight w:val="none"/>
          <w:lang w:val="zh-CN"/>
        </w:rPr>
        <w:t>，</w:t>
      </w:r>
      <w:r>
        <w:rPr>
          <w:rFonts w:hint="eastAsia" w:ascii="宋体" w:hAnsi="宋体" w:eastAsia="宋体" w:cs="宋体"/>
          <w:b w:val="0"/>
          <w:bCs w:val="0"/>
          <w:color w:val="auto"/>
          <w:szCs w:val="21"/>
          <w:highlight w:val="none"/>
          <w:lang w:val="zh-CN" w:eastAsia="zh-CN"/>
        </w:rPr>
        <w:t>不含水利拦截设施、设备土建基础</w:t>
      </w:r>
      <w:r>
        <w:rPr>
          <w:rFonts w:hint="eastAsia" w:ascii="宋体" w:hAnsi="宋体" w:cs="宋体"/>
          <w:b w:val="0"/>
          <w:bCs w:val="0"/>
          <w:color w:val="auto"/>
          <w:szCs w:val="21"/>
          <w:highlight w:val="none"/>
          <w:lang w:val="en-US" w:eastAsia="zh-CN"/>
        </w:rPr>
        <w:t>及围栏</w:t>
      </w:r>
      <w:r>
        <w:rPr>
          <w:rFonts w:hint="eastAsia" w:ascii="宋体" w:hAnsi="宋体" w:eastAsia="宋体" w:cs="宋体"/>
          <w:b w:val="0"/>
          <w:bCs w:val="0"/>
          <w:color w:val="auto"/>
          <w:szCs w:val="21"/>
          <w:highlight w:val="none"/>
          <w:lang w:val="zh-CN" w:eastAsia="zh-CN"/>
        </w:rPr>
        <w:t>建设、变压器、绿化、土地征用</w:t>
      </w:r>
      <w:r>
        <w:rPr>
          <w:rFonts w:hint="eastAsia" w:ascii="宋体" w:hAnsi="宋体" w:cs="宋体"/>
          <w:b w:val="0"/>
          <w:bCs w:val="0"/>
          <w:color w:val="auto"/>
          <w:szCs w:val="21"/>
          <w:highlight w:val="none"/>
          <w:lang w:val="en-US" w:eastAsia="zh-CN"/>
        </w:rPr>
        <w:t>及第三方水质检测费</w:t>
      </w:r>
      <w:r>
        <w:rPr>
          <w:rFonts w:hint="eastAsia" w:ascii="宋体" w:hAnsi="宋体" w:eastAsia="宋体" w:cs="宋体"/>
          <w:b w:val="0"/>
          <w:bCs w:val="0"/>
          <w:color w:val="auto"/>
          <w:szCs w:val="21"/>
          <w:highlight w:val="none"/>
          <w:lang w:val="zh-CN" w:eastAsia="zh-CN"/>
        </w:rPr>
        <w:t>】，</w:t>
      </w:r>
      <w:r>
        <w:rPr>
          <w:rFonts w:hint="eastAsia" w:ascii="宋体" w:hAnsi="宋体" w:eastAsia="宋体" w:cs="宋体"/>
          <w:color w:val="auto"/>
          <w:szCs w:val="21"/>
          <w:highlight w:val="none"/>
          <w:lang w:val="zh-CN"/>
        </w:rPr>
        <w:t>供应商少报或漏报的工作量，采购单位将视为已包含在投标总价中，并不予调整。</w:t>
      </w:r>
    </w:p>
    <w:p>
      <w:pPr>
        <w:spacing w:line="40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lang w:val="zh-CN"/>
        </w:rPr>
        <w:t>3、投标文件只允许有一个报价，有选择的或有条件的报价将不予接受。</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六、投标保证金</w:t>
      </w:r>
    </w:p>
    <w:p>
      <w:pPr>
        <w:spacing w:line="400" w:lineRule="exact"/>
        <w:ind w:firstLine="420" w:firstLineChars="200"/>
        <w:jc w:val="left"/>
        <w:rPr>
          <w:rFonts w:hint="eastAsia" w:ascii="宋体" w:hAnsi="宋体" w:cs="宋体"/>
          <w:color w:val="auto"/>
          <w:szCs w:val="21"/>
          <w:highlight w:val="none"/>
          <w:u w:val="single"/>
          <w:lang w:bidi="ar"/>
        </w:rPr>
      </w:pPr>
      <w:r>
        <w:rPr>
          <w:rFonts w:hint="eastAsia" w:ascii="宋体" w:hAnsi="宋体" w:cs="宋体"/>
          <w:color w:val="auto"/>
          <w:szCs w:val="21"/>
          <w:highlight w:val="none"/>
          <w:u w:val="single"/>
          <w:lang w:bidi="ar"/>
        </w:rPr>
        <w:t>本项目无需递交。</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七、投标有效期</w:t>
      </w:r>
    </w:p>
    <w:p>
      <w:pPr>
        <w:spacing w:line="400" w:lineRule="exact"/>
        <w:ind w:firstLine="210" w:firstLineChars="1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★1、投标文件从开标之日起，投标有效期为90个日历天。有效期自开标日起计算，不能小于招标文件的要求。</w:t>
      </w:r>
    </w:p>
    <w:p>
      <w:pPr>
        <w:spacing w:line="40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2、特殊情况下，采购人可与供应商协商延缓投标文件的有效期，这种要求和答复均以书面形式进行。</w:t>
      </w:r>
    </w:p>
    <w:p>
      <w:pPr>
        <w:spacing w:line="40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3、供应商可拒绝接受延期要求，同意延长有效期的供应商不能修改投标文件。</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八、投标文件的组成</w:t>
      </w:r>
    </w:p>
    <w:p>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投标文件由“电子投标文件（含</w:t>
      </w:r>
      <w:r>
        <w:rPr>
          <w:rFonts w:hint="eastAsia" w:ascii="宋体" w:hAnsi="宋体" w:cs="宋体"/>
          <w:color w:val="auto"/>
          <w:szCs w:val="21"/>
          <w:highlight w:val="none"/>
          <w:lang w:bidi="ar"/>
        </w:rPr>
        <w:t>资格审查文件、</w:t>
      </w:r>
      <w:r>
        <w:rPr>
          <w:rFonts w:hint="eastAsia" w:ascii="宋体" w:hAnsi="宋体" w:cs="宋体"/>
          <w:bCs/>
          <w:color w:val="auto"/>
          <w:highlight w:val="none"/>
        </w:rPr>
        <w:t>商务技术文件、</w:t>
      </w:r>
      <w:r>
        <w:rPr>
          <w:rFonts w:hint="eastAsia" w:ascii="宋体" w:hAnsi="宋体" w:cs="宋体"/>
          <w:color w:val="auto"/>
          <w:highlight w:val="none"/>
        </w:rPr>
        <w:t>报价文件三部分，下同）”、“备份电子投标文件（含</w:t>
      </w:r>
      <w:r>
        <w:rPr>
          <w:rFonts w:hint="eastAsia" w:ascii="宋体" w:hAnsi="宋体" w:cs="宋体"/>
          <w:color w:val="auto"/>
          <w:szCs w:val="21"/>
          <w:highlight w:val="none"/>
          <w:lang w:bidi="ar"/>
        </w:rPr>
        <w:t>资格审查文件、</w:t>
      </w:r>
      <w:r>
        <w:rPr>
          <w:rFonts w:hint="eastAsia" w:ascii="宋体" w:hAnsi="宋体" w:cs="宋体"/>
          <w:bCs/>
          <w:color w:val="auto"/>
          <w:highlight w:val="none"/>
        </w:rPr>
        <w:t>商务技术文件、</w:t>
      </w:r>
      <w:r>
        <w:rPr>
          <w:rFonts w:hint="eastAsia" w:ascii="宋体" w:hAnsi="宋体" w:cs="宋体"/>
          <w:color w:val="auto"/>
          <w:highlight w:val="none"/>
        </w:rPr>
        <w:t>报价文件三部分，下同）二部分组成，</w:t>
      </w:r>
      <w:r>
        <w:rPr>
          <w:rFonts w:hint="eastAsia" w:ascii="宋体" w:hAnsi="宋体" w:cs="宋体"/>
          <w:b/>
          <w:bCs/>
          <w:color w:val="auto"/>
          <w:szCs w:val="21"/>
          <w:highlight w:val="none"/>
        </w:rPr>
        <w:t>其中电子投标文件中所须加盖公章部分均采用CA签章</w:t>
      </w:r>
      <w:r>
        <w:rPr>
          <w:rFonts w:hint="eastAsia" w:ascii="宋体" w:hAnsi="宋体" w:cs="宋体"/>
          <w:color w:val="auto"/>
          <w:highlight w:val="none"/>
        </w:rPr>
        <w:t>。</w:t>
      </w:r>
      <w:r>
        <w:rPr>
          <w:rFonts w:hint="eastAsia" w:ascii="宋体" w:hAnsi="宋体" w:cs="宋体"/>
          <w:color w:val="auto"/>
          <w:szCs w:val="21"/>
          <w:highlight w:val="none"/>
          <w:lang w:bidi="ar"/>
        </w:rPr>
        <w:t>资格审查文件、</w:t>
      </w:r>
      <w:r>
        <w:rPr>
          <w:rFonts w:hint="eastAsia" w:ascii="宋体" w:hAnsi="宋体" w:cs="宋体"/>
          <w:color w:val="auto"/>
          <w:highlight w:val="none"/>
        </w:rPr>
        <w:t>商务技术文件、报价文件内容如下：</w:t>
      </w:r>
    </w:p>
    <w:p>
      <w:pPr>
        <w:spacing w:line="42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〈一〉资格审查文件</w:t>
      </w:r>
    </w:p>
    <w:p>
      <w:pPr>
        <w:spacing w:line="420" w:lineRule="exact"/>
        <w:ind w:left="0"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lang w:bidi="ar"/>
        </w:rPr>
        <w:t>1.关于资格的声明函（格式见附件）；</w:t>
      </w:r>
    </w:p>
    <w:p>
      <w:pPr>
        <w:spacing w:line="420" w:lineRule="exact"/>
        <w:ind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lang w:bidi="ar"/>
        </w:rPr>
        <w:t>2.</w:t>
      </w:r>
      <w:r>
        <w:rPr>
          <w:rFonts w:hint="eastAsia" w:ascii="宋体" w:hAnsi="宋体" w:cs="宋体"/>
          <w:color w:val="auto"/>
          <w:szCs w:val="22"/>
          <w:highlight w:val="none"/>
        </w:rPr>
        <w:t>有效的企业法人营业执照（或事业法人登记证）或其他组织（个体工商户）的营业执照或者民办非企业单位登记证书</w:t>
      </w:r>
      <w:r>
        <w:rPr>
          <w:rFonts w:hint="eastAsia" w:ascii="宋体" w:hAnsi="宋体" w:cs="宋体"/>
          <w:color w:val="auto"/>
          <w:szCs w:val="22"/>
          <w:highlight w:val="none"/>
          <w:lang w:bidi="ar"/>
        </w:rPr>
        <w:t>扫描件加盖供应商公章；</w:t>
      </w:r>
    </w:p>
    <w:p>
      <w:pPr>
        <w:spacing w:line="420" w:lineRule="exact"/>
        <w:ind w:firstLine="420" w:firstLineChars="200"/>
        <w:jc w:val="left"/>
        <w:rPr>
          <w:rFonts w:hint="eastAsia" w:ascii="宋体" w:hAnsi="宋体" w:cs="宋体"/>
          <w:color w:val="auto"/>
          <w:szCs w:val="22"/>
          <w:highlight w:val="none"/>
          <w:lang w:bidi="ar"/>
        </w:rPr>
      </w:pPr>
      <w:r>
        <w:rPr>
          <w:rFonts w:hint="eastAsia" w:ascii="宋体" w:hAnsi="宋体" w:cs="宋体"/>
          <w:color w:val="auto"/>
          <w:szCs w:val="22"/>
          <w:highlight w:val="none"/>
          <w:lang w:bidi="ar"/>
        </w:rPr>
        <w:t>3.</w:t>
      </w:r>
      <w:r>
        <w:rPr>
          <w:rFonts w:hint="eastAsia" w:ascii="宋体" w:hAnsi="宋体" w:cs="宋体"/>
          <w:color w:val="auto"/>
          <w:szCs w:val="22"/>
          <w:highlight w:val="none"/>
        </w:rPr>
        <w:t>投标人具有良好的商业信誉和健全的财务会计制度声明函</w:t>
      </w:r>
      <w:r>
        <w:rPr>
          <w:rFonts w:hint="eastAsia" w:ascii="宋体" w:hAnsi="宋体" w:cs="宋体"/>
          <w:color w:val="auto"/>
          <w:szCs w:val="22"/>
          <w:highlight w:val="none"/>
          <w:lang w:bidi="ar"/>
        </w:rPr>
        <w:t>（格式见附件）；</w:t>
      </w:r>
    </w:p>
    <w:p>
      <w:pPr>
        <w:spacing w:line="420" w:lineRule="exact"/>
        <w:ind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rPr>
        <w:t>4.提供具有履行合同所必需的设备和专业技术能力的书面声明（格式见附件）；</w:t>
      </w:r>
    </w:p>
    <w:p>
      <w:pPr>
        <w:spacing w:line="420" w:lineRule="exact"/>
        <w:ind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lang w:bidi="ar"/>
        </w:rPr>
        <w:t>5.</w:t>
      </w:r>
      <w:r>
        <w:rPr>
          <w:rFonts w:hint="eastAsia" w:ascii="宋体" w:hAnsi="宋体" w:cs="宋体"/>
          <w:color w:val="auto"/>
          <w:szCs w:val="22"/>
          <w:highlight w:val="none"/>
        </w:rPr>
        <w:t>开标前六个月任一个月开具的缴纳税收的凭据证明材料扫描件</w:t>
      </w:r>
      <w:r>
        <w:rPr>
          <w:rFonts w:hint="eastAsia" w:ascii="宋体" w:hAnsi="宋体" w:cs="宋体"/>
          <w:color w:val="auto"/>
          <w:szCs w:val="22"/>
          <w:highlight w:val="none"/>
          <w:lang w:bidi="ar"/>
        </w:rPr>
        <w:t>（加盖供应商公章），如依法免税的，应提供相应文件证明其依法免税；</w:t>
      </w:r>
    </w:p>
    <w:p>
      <w:pPr>
        <w:spacing w:line="420" w:lineRule="exact"/>
        <w:ind w:firstLine="420" w:firstLineChars="200"/>
        <w:jc w:val="left"/>
        <w:rPr>
          <w:rFonts w:hint="eastAsia" w:ascii="宋体" w:hAnsi="宋体" w:cs="宋体"/>
          <w:color w:val="auto"/>
          <w:szCs w:val="22"/>
          <w:highlight w:val="none"/>
          <w:lang w:bidi="ar"/>
        </w:rPr>
      </w:pPr>
      <w:r>
        <w:rPr>
          <w:rFonts w:hint="eastAsia" w:ascii="宋体" w:hAnsi="宋体" w:cs="宋体"/>
          <w:color w:val="auto"/>
          <w:szCs w:val="22"/>
          <w:highlight w:val="none"/>
          <w:lang w:bidi="ar"/>
        </w:rPr>
        <w:t>6.</w:t>
      </w:r>
      <w:r>
        <w:rPr>
          <w:rFonts w:hint="eastAsia" w:ascii="宋体" w:hAnsi="宋体" w:cs="宋体"/>
          <w:color w:val="auto"/>
          <w:szCs w:val="22"/>
          <w:highlight w:val="none"/>
        </w:rPr>
        <w:t>开标前六个月任一个月开具的缴纳社会保险的凭据证明材料扫描件</w:t>
      </w:r>
      <w:r>
        <w:rPr>
          <w:rFonts w:hint="eastAsia" w:ascii="宋体" w:hAnsi="宋体" w:cs="宋体"/>
          <w:color w:val="auto"/>
          <w:szCs w:val="22"/>
          <w:highlight w:val="none"/>
          <w:lang w:bidi="ar"/>
        </w:rPr>
        <w:t>（加盖供应商公章），如依法不需要缴纳社保的，应提供相关文件证明其依法不需要缴纳社保；</w:t>
      </w:r>
    </w:p>
    <w:p>
      <w:pPr>
        <w:spacing w:line="420" w:lineRule="exact"/>
        <w:ind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lang w:bidi="ar"/>
        </w:rPr>
        <w:t>7.无重大违法记录声明函（格式见附件）；</w:t>
      </w:r>
    </w:p>
    <w:p>
      <w:pPr>
        <w:spacing w:line="420" w:lineRule="exact"/>
        <w:ind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lang w:bidi="ar"/>
        </w:rPr>
        <w:t>8.供应商一般情况表（格式见附件）。</w:t>
      </w:r>
    </w:p>
    <w:p>
      <w:pPr>
        <w:spacing w:line="42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lang w:bidi="ar"/>
        </w:rPr>
        <w:t>〈二〉商务技术文件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1、投标函（格式见附件）；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2、法定代表人身份证明（格式见附件）；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3、商务条款响应表（格式见附件）；</w:t>
      </w:r>
    </w:p>
    <w:p>
      <w:pPr>
        <w:spacing w:line="42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4、技术服务条款响应表（格式见附件）；</w:t>
      </w:r>
    </w:p>
    <w:p>
      <w:pPr>
        <w:spacing w:line="420" w:lineRule="exact"/>
        <w:ind w:firstLine="420" w:firstLineChars="200"/>
        <w:jc w:val="left"/>
        <w:rPr>
          <w:rFonts w:hint="default" w:ascii="宋体" w:hAnsi="宋体" w:cs="宋体"/>
          <w:color w:val="auto"/>
          <w:szCs w:val="21"/>
          <w:highlight w:val="none"/>
          <w:lang w:val="en-US" w:eastAsia="zh-CN" w:bidi="ar"/>
        </w:rPr>
      </w:pPr>
      <w:r>
        <w:rPr>
          <w:rFonts w:hint="eastAsia" w:ascii="宋体" w:hAnsi="宋体" w:cs="宋体"/>
          <w:color w:val="auto"/>
          <w:szCs w:val="21"/>
          <w:highlight w:val="none"/>
          <w:lang w:bidi="ar"/>
        </w:rPr>
        <w:t>5、</w:t>
      </w:r>
      <w:r>
        <w:rPr>
          <w:rFonts w:hint="eastAsia" w:ascii="宋体" w:hAnsi="宋体" w:cs="宋体"/>
          <w:color w:val="auto"/>
          <w:szCs w:val="21"/>
          <w:highlight w:val="none"/>
          <w:lang w:val="en-US" w:eastAsia="zh-CN" w:bidi="ar"/>
        </w:rPr>
        <w:t>第三章评分标准中所需提供的内容；</w:t>
      </w:r>
    </w:p>
    <w:p>
      <w:pPr>
        <w:spacing w:line="42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6、供应商认为需要提供</w:t>
      </w:r>
      <w:r>
        <w:rPr>
          <w:rFonts w:hint="eastAsia" w:ascii="宋体" w:hAnsi="宋体" w:cs="宋体"/>
          <w:color w:val="auto"/>
          <w:szCs w:val="21"/>
          <w:highlight w:val="none"/>
          <w:lang w:bidi="ar"/>
        </w:rPr>
        <w:t>的其他资料。</w:t>
      </w:r>
    </w:p>
    <w:p>
      <w:pPr>
        <w:spacing w:line="42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lang w:bidi="ar"/>
        </w:rPr>
        <w:t>〈三〉报价文件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1、开标一览表（格式见附件）；</w:t>
      </w:r>
    </w:p>
    <w:p>
      <w:pPr>
        <w:spacing w:line="42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2、报价明细表（格式见附件）；</w:t>
      </w:r>
    </w:p>
    <w:p>
      <w:pPr>
        <w:spacing w:line="42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3、中小企业声明函（格式见附件）</w:t>
      </w:r>
    </w:p>
    <w:p>
      <w:pPr>
        <w:spacing w:line="420" w:lineRule="exact"/>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4、残疾人福利性单位声明函（若有，格式见附件）；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5、供应商认为需要的其他资料。</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九、投标文件的份数、密封、签署</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1、供应商应按本采购文件规定的格式和顺序编制投标文件并标注页码，投标文件内容不完整、编排混乱导致投标文件被误读、漏读或者查找不到相关内容的，由供应商自行承担相关责任。</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2、供应商于“政采云”上提供电子投标文件（</w:t>
      </w:r>
      <w:r>
        <w:rPr>
          <w:rFonts w:hint="eastAsia" w:ascii="宋体" w:hAnsi="宋体" w:cs="宋体"/>
          <w:b/>
          <w:bCs/>
          <w:color w:val="auto"/>
          <w:szCs w:val="21"/>
          <w:highlight w:val="none"/>
        </w:rPr>
        <w:t>电子投标文件中所须加盖公章部分均采用CA签章</w:t>
      </w:r>
      <w:r>
        <w:rPr>
          <w:rFonts w:hint="eastAsia" w:ascii="宋体" w:hAnsi="宋体" w:cs="宋体"/>
          <w:b/>
          <w:color w:val="auto"/>
          <w:szCs w:val="21"/>
          <w:highlight w:val="none"/>
        </w:rPr>
        <w:t>），并根据“政采云供应商项目采购-电子招投标操作指南”及本招标文件规定的格式和顺序编制电子投标文件并进行关联定位。未传输递交电子投标文件的，投标无效。</w:t>
      </w:r>
    </w:p>
    <w:p>
      <w:pPr>
        <w:pStyle w:val="43"/>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3、备份电子投标文件：以</w:t>
      </w:r>
      <w:r>
        <w:rPr>
          <w:rFonts w:hint="eastAsia" w:eastAsia="宋体" w:cs="宋体"/>
          <w:color w:val="auto"/>
          <w:sz w:val="21"/>
          <w:szCs w:val="21"/>
          <w:highlight w:val="none"/>
        </w:rPr>
        <w:t>U盘或DVD光盘等介质存储</w:t>
      </w:r>
      <w:r>
        <w:rPr>
          <w:rFonts w:hint="eastAsia" w:ascii="宋体" w:hAnsi="宋体" w:eastAsia="宋体" w:cs="宋体"/>
          <w:color w:val="auto"/>
          <w:sz w:val="21"/>
          <w:szCs w:val="21"/>
          <w:highlight w:val="none"/>
        </w:rPr>
        <w:t>的数据电文形式提供的备份电子投标文件数量1份，可安排一名“甬行码”为绿色的相关人员递交或EMS邮递，单独密封递交，外包装封面上应注明供应商名称、供应商地址、投标文件名称（电子备份文件）、采购项目名称、项目编号、子包及“在  年  月  日  时  分之前不得启封”字样，并加盖供应商公章</w:t>
      </w:r>
      <w:r>
        <w:rPr>
          <w:rFonts w:hint="eastAsia" w:ascii="宋体" w:hAnsi="宋体" w:eastAsia="宋体" w:cs="宋体"/>
          <w:color w:val="auto"/>
          <w:sz w:val="21"/>
          <w:szCs w:val="21"/>
          <w:highlight w:val="none"/>
          <w:lang w:bidi="ar"/>
        </w:rPr>
        <w:t>，如果供应商未加写标记，采购人对投标文件的误投和提前启封不负责任。</w:t>
      </w:r>
    </w:p>
    <w:p>
      <w:pPr>
        <w:pStyle w:val="43"/>
        <w:ind w:firstLine="482"/>
        <w:rPr>
          <w:rFonts w:hint="eastAsia" w:ascii="宋体" w:hAnsi="宋体" w:eastAsia="宋体" w:cs="宋体"/>
          <w:color w:val="auto"/>
          <w:sz w:val="21"/>
          <w:szCs w:val="21"/>
          <w:highlight w:val="none"/>
        </w:rPr>
      </w:pPr>
      <w:r>
        <w:rPr>
          <w:rFonts w:hint="eastAsia" w:ascii="宋体" w:hAnsi="宋体" w:eastAsia="宋体" w:cs="宋体"/>
          <w:b/>
          <w:color w:val="auto"/>
          <w:szCs w:val="21"/>
          <w:highlight w:val="none"/>
        </w:rPr>
        <w:t>★</w:t>
      </w:r>
      <w:r>
        <w:rPr>
          <w:rFonts w:hint="eastAsia" w:ascii="宋体" w:hAnsi="宋体" w:eastAsia="宋体" w:cs="宋体"/>
          <w:color w:val="auto"/>
          <w:sz w:val="21"/>
          <w:szCs w:val="21"/>
          <w:highlight w:val="none"/>
        </w:rPr>
        <w:t>未按规定提供相应的备份电子投标文件，造成项目开评标活动无法进行的，其投标无效。</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4、投标文件字迹必须清楚、工整，对不同文字文本投标文件的解释发生异议的，以中文文本为准</w:t>
      </w:r>
      <w:r>
        <w:rPr>
          <w:rFonts w:hint="eastAsia" w:ascii="宋体" w:hAnsi="宋体" w:cs="宋体"/>
          <w:color w:val="auto"/>
          <w:szCs w:val="21"/>
          <w:highlight w:val="none"/>
          <w:lang w:bidi="ar"/>
        </w:rPr>
        <w:t>。</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十、投标文件的形式、效力和递交</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1、投标文件分为电子投标文件和电子备份投标文件。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2、电子投标文件，按“政采云供应商项目采购-电子招投标操作指南”及本招标文件要求制作、加密并递交。</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3、电子备份投标文件，即电子投标文件按“政采云供应商项目采购-电子招投标操作指南”制作的备份文件。</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4、投标文件的效力</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4.1投标文件的启用，按先后顺位分别为电子投标文件、电子备份投标文件。在下一顺位的投标文件启用时，前一顺位的投标文件自动失效。</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4.2投标、响应文件未按时解密，供应商提供了备份投标、响应文件的，以备份投标、响应文件作为依据，否则视为投标、响应文件撤回。投标、响应文件已按时解密的，备份投标、响应文件自动失效。</w:t>
      </w:r>
    </w:p>
    <w:p>
      <w:pPr>
        <w:spacing w:line="42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5、投标文件的递交</w:t>
      </w:r>
    </w:p>
    <w:p>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5.1供应商于投标截止时间（开标时间）之前将电子投标文件上传到“政采云”平台。</w:t>
      </w:r>
    </w:p>
    <w:p>
      <w:pPr>
        <w:spacing w:line="420" w:lineRule="exact"/>
        <w:ind w:firstLine="420" w:firstLineChars="200"/>
        <w:jc w:val="left"/>
        <w:rPr>
          <w:rFonts w:hint="eastAsia"/>
          <w:color w:val="auto"/>
          <w:highlight w:val="none"/>
        </w:rPr>
      </w:pPr>
      <w:r>
        <w:rPr>
          <w:rFonts w:hint="eastAsia" w:ascii="宋体" w:hAnsi="宋体" w:cs="宋体"/>
          <w:color w:val="auto"/>
          <w:szCs w:val="21"/>
          <w:highlight w:val="none"/>
        </w:rPr>
        <w:t>5.2疫情防控期间，请各投标单位遵守慈溪市公共资源交易中心各项防疫措施规定。</w:t>
      </w:r>
    </w:p>
    <w:p>
      <w:pPr>
        <w:spacing w:line="400" w:lineRule="exact"/>
        <w:ind w:firstLine="422" w:firstLineChars="200"/>
        <w:jc w:val="left"/>
        <w:rPr>
          <w:rFonts w:hint="eastAsia" w:ascii="宋体" w:hAnsi="宋体" w:cs="宋体"/>
          <w:b/>
          <w:color w:val="auto"/>
          <w:szCs w:val="21"/>
          <w:highlight w:val="none"/>
        </w:rPr>
      </w:pPr>
      <w:bookmarkStart w:id="33" w:name="_Toc496099271"/>
      <w:r>
        <w:rPr>
          <w:rFonts w:hint="eastAsia" w:ascii="宋体" w:hAnsi="宋体" w:cs="宋体"/>
          <w:b/>
          <w:color w:val="auto"/>
          <w:szCs w:val="21"/>
          <w:highlight w:val="none"/>
          <w:lang w:bidi="ar"/>
        </w:rPr>
        <w:t>十一、开评标程序</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1.1采购人在招标文件规定的时间和地点公开开标，疫情防控期间，不要求投标人员必须到场参加现场开标，若法定代表人或其授权代表需参加现场开标，法定代表人参加开标会的应出具《法定代表人身份证明书》及身份证明，授权代表参加开标会的应出具《法定代表人授权委托书》及身份证明。供应商的法定代表人或其授权代表未参加开标会议的，事后不得对采购相关人员、开标过程和开标结果提出异议。</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1.2开标会由代理机构主持。开标时，招标（代理）人介绍参加开标会议的相关人员，如投标人认为相关人员中有需要回避的情形可以在此时要求其回避。</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需要回避的情形：</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1、参加采购活动前3年内与投标人存在劳动关系；</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2、参加采购活动前3年内担任投标人的董事、监事；</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3、参加采购活动前3年内是投标人的控股股东或者实际控制人；</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4、与投标人的法定代表人或者负责人有夫妻、直系血亲、三代以内旁系血亲或者近姻亲关系；</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5、与投标人有其他可能影响政府采购活动公平、公正进行的关系。</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出现上述情形的，投标人法定代表人或其授权代表可以申请相关人员回避。</w:t>
      </w:r>
    </w:p>
    <w:p>
      <w:pPr>
        <w:pStyle w:val="43"/>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供应商应书面提出对参加开标会对主持人、唱读人、记录人和监督人是否有回避的请求。</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1.3电子招投标开标及评审程序</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1.3.1投标截止时间后，供应商登录政采云平台，用“项目采购-开标评标”功能对电子投标文件进行在线解密。在线解密电子投标文件时间为开标时间起30分钟内。</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1.3.2采购人或代理机构对供应商的资格进行审查；</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1.3.3评标委员会对商务技术响应文件进行评审；</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1.3.4在系统上公开商务技术评审结果；</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1.3.5在系统上公开报价开标情况；</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1.3.6评标委员会对报价情况进行评审；</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1.3.7在系统上公布评审结果。</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 xml:space="preserve">特别说明：政采云公司如对电子化开标及评审程序有调整的，按调整后的程序操作。 </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1.4本项目原则上采用政采云电子招投标开标及评审程序，但有下情形之一的，按以下情况处理：</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1.4.1若供应商在规定时间内无法解密或解密失败，将开启该供应商递交的电子备份投标文件，上传至政采云平台项目采购模块，以完成开标，其电子投标文件自动失效。</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1.4.2若因政采云平台原因无法读取或电子开评标无法正常进行，采购人将中止电子交易活动。</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1.4.3采购过程中出现以下情形，导致电子交易平台无法正常运行，或者无法保证电子交易的公平、公正和安全时，采购组织机构可中止电子交易活动：</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 xml:space="preserve">1.4.3.1电子交易平台发生故障而无法登录访问的； </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1.4.3.2电子交易平台应用或数据库出现错误，不能进行正常操作的；</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1.4.3.3电子交易平台发现严重安全漏洞，有潜在泄密危险的；</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 xml:space="preserve">1.4.3.4电脑病毒导致不能进行正常操作的； </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1.4.3.5其他无法保证电子交易的公平、公正和安全的情况。</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出现前款规定情形，不影响采购公平、公正性的，采购组织机构可以待上述情形消除后继续组织电子交易活动。</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2、评标委员会</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2.1评标委员会依法由</w:t>
      </w:r>
      <w:r>
        <w:rPr>
          <w:rFonts w:hint="eastAsia" w:ascii="宋体" w:hAnsi="宋体" w:cs="宋体"/>
          <w:bCs/>
          <w:color w:val="auto"/>
          <w:szCs w:val="21"/>
          <w:highlight w:val="none"/>
          <w:lang w:val="en-US" w:eastAsia="zh-CN" w:bidi="ar"/>
        </w:rPr>
        <w:t>7</w:t>
      </w:r>
      <w:r>
        <w:rPr>
          <w:rFonts w:hint="eastAsia" w:ascii="宋体" w:hAnsi="宋体" w:cs="宋体"/>
          <w:bCs/>
          <w:color w:val="auto"/>
          <w:szCs w:val="21"/>
          <w:highlight w:val="none"/>
          <w:lang w:bidi="ar"/>
        </w:rPr>
        <w:t>人及以上奇数的人员组成，评标委员会对投标文件进行审查、质疑、评估和比较。</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3、评标原则与方法</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3.1评标委员会将遵循公开、公平、公正的原则，对供应商提供服务价格、提供的服务方案等进行综合分析考评，由评委按照招标文件规定的评分标准记名并独立打分，根据综合得分排名推荐中标候选人。</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3.2客观、公正的对待所有投标供应商，对所有投标评价，均采用相同的程序和标准。</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3.3在开标、投标期间，投标供应商不得向评标委员会成员询问评标情况，不得进行旨在影响评标结果的活动，否则将废除其投标资格。</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3.4在评标过程中，评标成员不得与投标供应商私下交换意见，在招标工作结束后，凡与评标情况有接触的人不得将评标情况扩散出评标成员之外。</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3.5采购人不向落标方解释落标原因，不退还投标文件。</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3.6资格性审查：采购人或采购机构依据法律法规和招标文件的规定，对供应商的基本资格条件、特定资格条件进行审查，供应商未按照采购文件要求提供与基本资格条件、特定资格条件相应的有效资格证明材料的，视为供应商不具备采购文件中规定的资格要求，其投标无效。对未通过资格性审查的供应商，采购人或采购机构告知其未通过的原因。合格供应商不足3家的，不再评标。</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3.7符合性审查：评标时，评标委员会将首先评定每份投标文件是否在实质上响应了招标文件要求。所谓实质上的响应，是指投标文件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评标委员会决定投标文件的响应性只根据投标文件本身的内容，而不寻求外部证据。如果投标文件实质不响应招标文件的各项要求，评标委员会将予以拒绝，并且不允许供应商通过修改或撤销其不符合要求的差异或保留，使之成为具有实质性响应的投标。</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 xml:space="preserve">3.8商务评议：按照第六章商务条款的各项要求，对照投标文件的响应进行比较，判定其偏差性质和程度。 </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3.9技术评议：按照第五章采购项目需求的各项要求，对照投标文件的响应进行比较，判定其偏差性质和程度。</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3.10综合评估：通过资格性审查、符合性审查、商务评议和技术评议的投标，评标委员会成员分别对其商务、技术和价格按第三章评标办法及标准的规定进行打分。</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3.11评标委员会经过评审，认为所有投标都不符合招标文件要求的，可以否决所有投标。</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3.12推荐预中标候选人</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3.12.1按评分结果由高到低排序，得分相同，按投标报价由低到高顺序排列。得分且投标报价相同的并列。投标文件满足招标文件全部实质性要求，且按照评审因素的量化指标评审得分第一名的投标人为本项目第一中标候选人，按照评审因素的量化指标评审得分第二名的投标人为第二中标候选人。</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3.13定标</w:t>
      </w:r>
      <w:r>
        <w:rPr>
          <w:rFonts w:hint="eastAsia" w:ascii="宋体" w:hAnsi="宋体" w:cs="宋体"/>
          <w:bCs/>
          <w:color w:val="auto"/>
          <w:szCs w:val="21"/>
          <w:highlight w:val="none"/>
          <w:lang w:bidi="ar"/>
        </w:rPr>
        <w:tab/>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本项目由采购人确定中标人。</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采购代理机构在评标结束后2个工作日内将评标报告交采购人确认，采购人自收到评标报告之日起5个工作日内在评标报告推荐的中标候选人中按顺序确定中标人，并在发布招标公告的网站上对中标结果进行公示，公告期限为1个工作日。</w:t>
      </w:r>
    </w:p>
    <w:p>
      <w:pPr>
        <w:spacing w:line="400" w:lineRule="exact"/>
        <w:ind w:firstLine="420" w:firstLineChars="200"/>
        <w:jc w:val="left"/>
        <w:rPr>
          <w:rFonts w:hint="eastAsia" w:ascii="宋体" w:hAnsi="宋体" w:cs="宋体"/>
          <w:bCs/>
          <w:color w:val="auto"/>
          <w:szCs w:val="21"/>
          <w:highlight w:val="none"/>
          <w:lang w:bidi="ar"/>
        </w:rPr>
      </w:pPr>
      <w:r>
        <w:rPr>
          <w:rFonts w:hint="eastAsia" w:ascii="宋体" w:hAnsi="宋体" w:cs="宋体"/>
          <w:bCs/>
          <w:color w:val="auto"/>
          <w:szCs w:val="21"/>
          <w:highlight w:val="none"/>
          <w:lang w:bidi="ar"/>
        </w:rPr>
        <w:t>若中标人放弃中标、或事后查询为失信被执行人的、或因不可抗力提出不能履行合同被依法撤销中标资格，则招标人可确定排名其次的中标候选人为中标人，或重新组织招标。</w:t>
      </w:r>
    </w:p>
    <w:p>
      <w:pPr>
        <w:spacing w:line="400" w:lineRule="exact"/>
        <w:ind w:firstLine="422" w:firstLineChars="200"/>
        <w:jc w:val="left"/>
        <w:rPr>
          <w:rFonts w:hint="eastAsia" w:ascii="宋体" w:hAnsi="宋体" w:cs="宋体"/>
          <w:b/>
          <w:color w:val="auto"/>
          <w:szCs w:val="21"/>
          <w:highlight w:val="none"/>
          <w:lang w:bidi="ar"/>
        </w:rPr>
      </w:pPr>
      <w:r>
        <w:rPr>
          <w:rFonts w:hint="eastAsia" w:ascii="宋体" w:hAnsi="宋体" w:cs="宋体"/>
          <w:b/>
          <w:color w:val="auto"/>
          <w:szCs w:val="21"/>
          <w:highlight w:val="none"/>
          <w:lang w:bidi="ar"/>
        </w:rPr>
        <w:t>4.评标过程的监控</w:t>
      </w:r>
    </w:p>
    <w:p>
      <w:pPr>
        <w:spacing w:line="400" w:lineRule="exact"/>
        <w:ind w:firstLine="422" w:firstLineChars="200"/>
        <w:jc w:val="left"/>
        <w:rPr>
          <w:rFonts w:hint="eastAsia" w:ascii="宋体" w:hAnsi="宋体" w:cs="宋体"/>
          <w:color w:val="auto"/>
          <w:szCs w:val="21"/>
          <w:highlight w:val="none"/>
        </w:rPr>
      </w:pPr>
      <w:r>
        <w:rPr>
          <w:rFonts w:hint="eastAsia" w:ascii="宋体" w:hAnsi="宋体" w:cs="宋体"/>
          <w:b/>
          <w:color w:val="auto"/>
          <w:szCs w:val="21"/>
          <w:highlight w:val="none"/>
          <w:lang w:bidi="ar"/>
        </w:rPr>
        <w:t>本项目评标过程实行全程录音、录像监控，供应商在评标过程中所进行的试图影响评标结果的不公正活动，可能导致其投标被拒绝</w:t>
      </w:r>
      <w:r>
        <w:rPr>
          <w:rFonts w:hint="eastAsia" w:ascii="宋体" w:hAnsi="宋体" w:cs="宋体"/>
          <w:b/>
          <w:bCs/>
          <w:color w:val="auto"/>
          <w:szCs w:val="21"/>
          <w:highlight w:val="none"/>
          <w:lang w:bidi="ar"/>
        </w:rPr>
        <w:t>。</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lang w:bidi="ar"/>
        </w:rPr>
        <w:t>十二、招标文件的澄清和修改</w:t>
      </w:r>
    </w:p>
    <w:p>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szCs w:val="21"/>
          <w:highlight w:val="none"/>
          <w:lang w:bidi="ar"/>
        </w:rPr>
        <w:t>1、</w:t>
      </w:r>
      <w:r>
        <w:rPr>
          <w:rFonts w:hint="eastAsia" w:ascii="宋体" w:hAnsi="宋体" w:cs="宋体"/>
          <w:color w:val="auto"/>
          <w:highlight w:val="none"/>
        </w:rPr>
        <w:t>投标人应认真阅读本招标文件，发现其中有误或有要求不合理的，投标人应在招标公告期限届满之日起七个工作日内以书面形式向代理机构提出询问，代理机构在收到投标人依法提出的询问后3个工作日内作出答复。</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2、</w:t>
      </w:r>
      <w:r>
        <w:rPr>
          <w:rFonts w:hint="eastAsia" w:ascii="宋体" w:hAnsi="宋体" w:cs="宋体"/>
          <w:color w:val="auto"/>
          <w:highlight w:val="none"/>
        </w:rPr>
        <w:t>招标代理机构在原采购公告发布媒体上以公告形式发布关于招标文件修改的“变更公告”。这些修改、补充文件或通知是招标文件的组成部分，相同内容修改以最后发出的为准，对所有投标人具有约束力。另请潜在投标人注意采购项目发布媒体的相关公告并自行下载。</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lang w:bidi="ar"/>
        </w:rPr>
        <w:t>十三、质疑</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1、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采购公告、采购文件、开标评标、采购结果等同一采购程序环节的质疑，第二次提出的质疑视为质疑无效，采购人、采购代理机构将不予受理（对于采购人、采购代理机构作出的澄清或者修改的内容提出质疑的除外）。</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3、供应商提出质疑应当提交质疑函和必要的证明材料，质疑函应当以书面形式提出，质疑函格式和内容须符合财政部《质疑函范本》要求，供应商可到浙江政府采购网下载专区下载自行下载《质疑函范本》。</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4、供应商质疑实行实名制，质疑函应当署名，供应商为自然人的，应当由本人签字；供应商为法人或者其他组织的，应当由法定代表人、主要负责人，或者其授权代表（指代理人）签字或者盖章，并加盖公章；代理人提出质疑的，应当提交供应商签署的授权委托书；以联合体形式参加政府采购活动的，其质疑应当由组成联合体的所有供应商共同提出。</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5、采购人、采购代理机构接收质疑函的方式：供应商应以当面递交、邮寄、传真或电子邮件等方式提出质疑函。</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采取邮寄方式的，提出质疑的时间为质疑函原件交邮的时间（以邮戳时间或快递收件时间为准）。</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采取传真、电子邮件方式的，供应商应当在传真、电子邮件发出后将质疑函原件邮寄给被质疑人，提出质疑的时间为质疑函原件交邮的时间（以邮戳时间或快递收件时间为准）。</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6、采购人、采购代理机构以实际收到质疑函原件之日作为收到质疑函的日期，将在收到质疑函后7个工作日内作出答复。</w:t>
      </w:r>
    </w:p>
    <w:p>
      <w:pPr>
        <w:keepNext w:val="0"/>
        <w:keepLines w:val="0"/>
        <w:pageBreakBefore w:val="0"/>
        <w:widowControl w:val="0"/>
        <w:kinsoku/>
        <w:wordWrap/>
        <w:overflowPunct/>
        <w:autoSpaceDE/>
        <w:autoSpaceDN/>
        <w:bidi w:val="0"/>
        <w:adjustRightInd/>
        <w:snapToGrid/>
        <w:spacing w:line="38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7、采购人、采购代理机构接收质疑函的联系人、联系电话和通讯地址等信息详见采购公告。</w:t>
      </w:r>
    </w:p>
    <w:p>
      <w:pPr>
        <w:spacing w:line="400" w:lineRule="exact"/>
        <w:ind w:firstLine="422" w:firstLineChars="200"/>
        <w:jc w:val="left"/>
        <w:rPr>
          <w:rFonts w:hint="eastAsia" w:ascii="宋体" w:hAnsi="宋体" w:cs="宋体"/>
          <w:b/>
          <w:color w:val="auto"/>
          <w:szCs w:val="21"/>
          <w:highlight w:val="none"/>
        </w:rPr>
      </w:pPr>
      <w:r>
        <w:rPr>
          <w:rFonts w:hint="eastAsia" w:ascii="宋体" w:hAnsi="宋体" w:eastAsia="宋体" w:cs="宋体"/>
          <w:b/>
          <w:color w:val="auto"/>
          <w:szCs w:val="21"/>
          <w:highlight w:val="none"/>
        </w:rPr>
        <w:t>★</w:t>
      </w:r>
      <w:r>
        <w:rPr>
          <w:rFonts w:hint="eastAsia" w:ascii="宋体" w:hAnsi="宋体" w:cs="宋体"/>
          <w:b/>
          <w:color w:val="auto"/>
          <w:szCs w:val="21"/>
          <w:highlight w:val="none"/>
          <w:lang w:bidi="ar"/>
        </w:rPr>
        <w:t>十四、预算价</w:t>
      </w:r>
    </w:p>
    <w:p>
      <w:pPr>
        <w:spacing w:line="400" w:lineRule="exact"/>
        <w:ind w:firstLine="422" w:firstLineChars="200"/>
        <w:jc w:val="left"/>
        <w:rPr>
          <w:rFonts w:hint="eastAsia" w:ascii="宋体" w:hAnsi="宋体" w:cs="宋体"/>
          <w:b/>
          <w:color w:val="auto"/>
          <w:szCs w:val="21"/>
          <w:highlight w:val="none"/>
          <w:lang w:bidi="ar"/>
        </w:rPr>
      </w:pPr>
      <w:r>
        <w:rPr>
          <w:rFonts w:hint="eastAsia" w:ascii="宋体" w:hAnsi="宋体" w:cs="宋体"/>
          <w:b/>
          <w:color w:val="auto"/>
          <w:szCs w:val="21"/>
          <w:highlight w:val="none"/>
          <w:lang w:bidi="ar"/>
        </w:rPr>
        <w:t>本次公开招标设有预算价</w:t>
      </w:r>
      <w:r>
        <w:rPr>
          <w:rFonts w:hint="eastAsia" w:ascii="宋体" w:hAnsi="宋体" w:eastAsia="宋体" w:cs="宋体"/>
          <w:b/>
          <w:color w:val="auto"/>
          <w:szCs w:val="21"/>
          <w:highlight w:val="none"/>
          <w:lang w:eastAsia="zh-CN" w:bidi="ar"/>
        </w:rPr>
        <w:t>：</w:t>
      </w:r>
      <w:r>
        <w:rPr>
          <w:rFonts w:hint="eastAsia" w:ascii="宋体" w:hAnsi="宋体" w:cs="宋体"/>
          <w:b/>
          <w:bCs w:val="0"/>
          <w:color w:val="auto"/>
          <w:szCs w:val="21"/>
          <w:highlight w:val="none"/>
          <w:lang w:val="en-US" w:eastAsia="zh-CN" w:bidi="ar"/>
        </w:rPr>
        <w:t>1678</w:t>
      </w:r>
      <w:r>
        <w:rPr>
          <w:rFonts w:hint="eastAsia" w:ascii="宋体" w:hAnsi="宋体" w:eastAsia="宋体" w:cs="宋体"/>
          <w:b/>
          <w:bCs w:val="0"/>
          <w:color w:val="auto"/>
          <w:szCs w:val="21"/>
          <w:highlight w:val="none"/>
          <w:lang w:val="en-US" w:eastAsia="zh-CN" w:bidi="ar"/>
        </w:rPr>
        <w:t>万元</w:t>
      </w:r>
      <w:r>
        <w:rPr>
          <w:rFonts w:hint="eastAsia" w:ascii="宋体" w:hAnsi="宋体" w:cs="宋体"/>
          <w:b/>
          <w:bCs w:val="0"/>
          <w:color w:val="auto"/>
          <w:szCs w:val="21"/>
          <w:highlight w:val="none"/>
          <w:lang w:val="en-US" w:eastAsia="zh-CN" w:bidi="ar"/>
        </w:rPr>
        <w:t>（3年）</w:t>
      </w:r>
      <w:r>
        <w:rPr>
          <w:rFonts w:hint="eastAsia" w:ascii="宋体" w:hAnsi="宋体" w:eastAsia="宋体" w:cs="宋体"/>
          <w:b/>
          <w:color w:val="auto"/>
          <w:szCs w:val="21"/>
          <w:highlight w:val="none"/>
          <w:lang w:bidi="ar"/>
        </w:rPr>
        <w:t>，总投</w:t>
      </w:r>
      <w:r>
        <w:rPr>
          <w:rFonts w:hint="eastAsia" w:ascii="宋体" w:hAnsi="宋体" w:cs="宋体"/>
          <w:b/>
          <w:color w:val="auto"/>
          <w:szCs w:val="21"/>
          <w:highlight w:val="none"/>
          <w:lang w:bidi="ar"/>
        </w:rPr>
        <w:t>标报价超出预算价的投标为无效投标。</w:t>
      </w:r>
    </w:p>
    <w:p>
      <w:pPr>
        <w:spacing w:line="400" w:lineRule="exact"/>
        <w:ind w:firstLine="422" w:firstLineChars="200"/>
        <w:jc w:val="left"/>
        <w:rPr>
          <w:rFonts w:hint="eastAsia" w:ascii="宋体" w:hAnsi="宋体" w:cs="宋体"/>
          <w:b/>
          <w:color w:val="auto"/>
          <w:szCs w:val="21"/>
          <w:highlight w:val="none"/>
          <w:lang w:bidi="ar"/>
        </w:rPr>
      </w:pPr>
      <w:r>
        <w:rPr>
          <w:rFonts w:hint="eastAsia" w:ascii="宋体" w:hAnsi="宋体" w:cs="宋体"/>
          <w:b/>
          <w:color w:val="auto"/>
          <w:szCs w:val="21"/>
          <w:highlight w:val="none"/>
          <w:lang w:bidi="ar"/>
        </w:rPr>
        <w:t>十五、合同相关</w:t>
      </w:r>
    </w:p>
    <w:p>
      <w:pPr>
        <w:topLinePunct/>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1、采购人与中标人应当在《中标通知书》发出之日起30日内签订政府采购合同。同时，采购代理机构对合同内容进行鉴证，如发现与采购结果和投标承诺内容不一致的，应予以纠正。</w:t>
      </w:r>
    </w:p>
    <w:p>
      <w:pPr>
        <w:topLinePunct/>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2、政府采购合同履行中，采购人需追加与合同标的相同的货物、工程或者服务的，在不改变合同其他条款的前提下，可以与中标人协商签订补充合同，但所有补充合同的采购金额不得超过原合同采购金额的百分之十。</w:t>
      </w:r>
    </w:p>
    <w:p>
      <w:pPr>
        <w:pStyle w:val="43"/>
        <w:rPr>
          <w:rFonts w:hint="eastAsia"/>
          <w:color w:val="auto"/>
          <w:highlight w:val="none"/>
        </w:rPr>
      </w:pPr>
      <w:r>
        <w:rPr>
          <w:rFonts w:hint="eastAsia" w:ascii="宋体" w:hAnsi="宋体" w:eastAsia="宋体" w:cs="宋体"/>
          <w:color w:val="auto"/>
          <w:sz w:val="21"/>
          <w:szCs w:val="21"/>
          <w:highlight w:val="none"/>
        </w:rPr>
        <w:t>3、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p>
      <w:pPr>
        <w:topLinePunct/>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bidi="ar"/>
        </w:rPr>
        <w:t>十六、特别说明</w:t>
      </w:r>
    </w:p>
    <w:p>
      <w:pPr>
        <w:spacing w:line="380" w:lineRule="exact"/>
        <w:ind w:firstLine="420" w:firstLineChars="200"/>
        <w:outlineLvl w:val="0"/>
        <w:rPr>
          <w:rFonts w:ascii="宋体" w:hAnsi="宋体"/>
          <w:color w:val="auto"/>
          <w:szCs w:val="21"/>
          <w:highlight w:val="none"/>
        </w:rPr>
      </w:pPr>
      <w:bookmarkStart w:id="34" w:name="_Toc419729150"/>
      <w:bookmarkStart w:id="35" w:name="_Toc436408700"/>
      <w:bookmarkStart w:id="36" w:name="_Toc21541007"/>
      <w:bookmarkStart w:id="37" w:name="_Toc441316546"/>
      <w:bookmarkStart w:id="38" w:name="_Toc529781143"/>
      <w:bookmarkStart w:id="39" w:name="_Toc12376821"/>
      <w:bookmarkStart w:id="40" w:name="_Toc11298"/>
      <w:bookmarkStart w:id="41" w:name="_Toc12428980"/>
      <w:bookmarkStart w:id="42" w:name="_Toc11591"/>
      <w:bookmarkStart w:id="43" w:name="_Toc12374296"/>
      <w:bookmarkStart w:id="44" w:name="_Toc441316554"/>
      <w:bookmarkStart w:id="45" w:name="_Toc419729158"/>
      <w:bookmarkStart w:id="46" w:name="_Toc436408708"/>
      <w:r>
        <w:rPr>
          <w:rFonts w:ascii="宋体" w:hAnsi="宋体"/>
          <w:color w:val="auto"/>
          <w:szCs w:val="21"/>
          <w:highlight w:val="none"/>
        </w:rPr>
        <w:t>1</w:t>
      </w:r>
      <w:r>
        <w:rPr>
          <w:rFonts w:hint="eastAsia" w:ascii="宋体" w:hAnsi="宋体"/>
          <w:color w:val="auto"/>
          <w:szCs w:val="21"/>
          <w:highlight w:val="none"/>
        </w:rPr>
        <w:t>、执行财政部、工业和信息化部《政府采购促进中小企业发展管理办法》（财库〔2020〕46号）。政府采购活动中有关中小企业的相关规定如下：</w:t>
      </w:r>
      <w:bookmarkEnd w:id="34"/>
      <w:bookmarkEnd w:id="35"/>
      <w:bookmarkEnd w:id="36"/>
      <w:bookmarkEnd w:id="37"/>
    </w:p>
    <w:p>
      <w:pPr>
        <w:spacing w:line="380" w:lineRule="exact"/>
        <w:ind w:firstLine="420" w:firstLineChars="200"/>
        <w:outlineLvl w:val="0"/>
        <w:rPr>
          <w:rFonts w:hint="eastAsia" w:ascii="宋体" w:hAnsi="宋体"/>
          <w:color w:val="auto"/>
          <w:szCs w:val="21"/>
          <w:highlight w:val="none"/>
        </w:rPr>
      </w:pPr>
      <w:bookmarkStart w:id="47" w:name="_Toc21541008"/>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bookmarkEnd w:id="47"/>
      <w:r>
        <w:rPr>
          <w:rFonts w:hint="eastAsia" w:ascii="宋体" w:hAnsi="宋体"/>
          <w:color w:val="auto"/>
          <w:szCs w:val="21"/>
          <w:highlight w:val="none"/>
        </w:rPr>
        <w:t>。</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符合中小企业划分标准的个体工商户，在政府采购活动中视同中小企业。</w:t>
      </w:r>
    </w:p>
    <w:p>
      <w:pPr>
        <w:spacing w:line="380" w:lineRule="exact"/>
        <w:ind w:firstLine="420" w:firstLineChars="200"/>
        <w:outlineLvl w:val="0"/>
        <w:rPr>
          <w:rFonts w:ascii="宋体" w:hAnsi="宋体"/>
          <w:color w:val="auto"/>
          <w:szCs w:val="21"/>
          <w:highlight w:val="none"/>
        </w:rPr>
      </w:pPr>
      <w:r>
        <w:rPr>
          <w:rFonts w:hint="eastAsia" w:ascii="宋体" w:hAnsi="宋体"/>
          <w:color w:val="auto"/>
          <w:szCs w:val="21"/>
          <w:highlight w:val="none"/>
        </w:rPr>
        <w:t>（2）在政府采购活动中，供应商提供的货物、工程或者服务符合下列情形的，享受《政府采购促进中小企业发展管理办法》规定的中小企业扶持政策：</w:t>
      </w:r>
    </w:p>
    <w:p>
      <w:pPr>
        <w:spacing w:line="380" w:lineRule="exact"/>
        <w:ind w:firstLine="420" w:firstLineChars="200"/>
        <w:outlineLvl w:val="0"/>
        <w:rPr>
          <w:rFonts w:ascii="宋体" w:hAnsi="宋体"/>
          <w:color w:val="auto"/>
          <w:szCs w:val="21"/>
          <w:highlight w:val="none"/>
        </w:rPr>
      </w:pPr>
      <w:bookmarkStart w:id="48" w:name="_Toc21541009"/>
      <w:r>
        <w:rPr>
          <w:rFonts w:hint="eastAsia" w:ascii="宋体" w:hAnsi="宋体"/>
          <w:color w:val="auto"/>
          <w:szCs w:val="21"/>
          <w:highlight w:val="none"/>
        </w:rPr>
        <w:t>①在货物采购项目中，货物由中小企业制造，即货物由中小企业生产且使用该中小企业商号或者注册商标；</w:t>
      </w:r>
      <w:bookmarkEnd w:id="48"/>
    </w:p>
    <w:p>
      <w:pPr>
        <w:spacing w:line="380" w:lineRule="exact"/>
        <w:ind w:firstLine="420" w:firstLineChars="200"/>
        <w:outlineLvl w:val="0"/>
        <w:rPr>
          <w:rFonts w:hint="eastAsia" w:ascii="宋体" w:hAnsi="宋体"/>
          <w:color w:val="auto"/>
          <w:szCs w:val="21"/>
          <w:highlight w:val="none"/>
        </w:rPr>
      </w:pPr>
      <w:bookmarkStart w:id="49" w:name="_Toc21541010"/>
      <w:r>
        <w:rPr>
          <w:rFonts w:hint="eastAsia" w:ascii="宋体" w:hAnsi="宋体"/>
          <w:color w:val="auto"/>
          <w:szCs w:val="21"/>
          <w:highlight w:val="none"/>
        </w:rPr>
        <w:t>②在工程采购项目中，工程由中小企业承建，即工程施工单位为中小企业</w:t>
      </w:r>
      <w:bookmarkEnd w:id="49"/>
      <w:r>
        <w:rPr>
          <w:rFonts w:hint="eastAsia" w:ascii="宋体" w:hAnsi="宋体"/>
          <w:color w:val="auto"/>
          <w:szCs w:val="21"/>
          <w:highlight w:val="none"/>
        </w:rPr>
        <w:t>；</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③在服务采购项目中，服务由中小企业承接，即提供服务的人员为中小企业依照《中华人民共和国劳动合同法》订立劳动合同的从业人员。</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在货物采购项目中，供应商提供的货物既有中小企业制造货物，也有大型企业制造货物的，不享受《政府采购促进中小企业发展管理办法》规定的中小企业扶持政策。</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（3）中小企业参加政府采购活动，应当出具《政府采购促进中小企业发展管理办法》规定的《中小企业声明函》（格式见</w:t>
      </w:r>
      <w:r>
        <w:rPr>
          <w:rFonts w:hint="eastAsia" w:ascii="宋体" w:hAnsi="宋体"/>
          <w:color w:val="auto"/>
          <w:szCs w:val="21"/>
          <w:highlight w:val="none"/>
          <w:lang w:val="en-US" w:eastAsia="zh-CN"/>
        </w:rPr>
        <w:t>附件</w:t>
      </w:r>
      <w:r>
        <w:rPr>
          <w:rFonts w:hint="eastAsia" w:ascii="宋体" w:hAnsi="宋体"/>
          <w:color w:val="auto"/>
          <w:szCs w:val="21"/>
          <w:highlight w:val="none"/>
        </w:rPr>
        <w:t>），否则不得享受相关中小企业扶持政策。</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供应商提供声明函内容不实的，属于提供虚假材料谋取中标、成交，依照《中华人民共和国政府采购法》等国家有关规定追究相应责任。</w:t>
      </w:r>
    </w:p>
    <w:p>
      <w:p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适用招标投标法的政府采购工程建设项目，投标人提供声明函内容不实的，属于弄虚作假骗取中标，依照《中华人民共和国招标投标法》等国家有关规定追究相应责任。</w:t>
      </w:r>
    </w:p>
    <w:p>
      <w:pPr>
        <w:numPr>
          <w:ilvl w:val="0"/>
          <w:numId w:val="5"/>
        </w:numPr>
        <w:spacing w:line="380" w:lineRule="exact"/>
        <w:ind w:firstLine="420" w:firstLineChars="200"/>
        <w:outlineLvl w:val="0"/>
        <w:rPr>
          <w:rFonts w:hint="eastAsia" w:ascii="宋体" w:hAnsi="宋体"/>
          <w:color w:val="auto"/>
          <w:szCs w:val="21"/>
          <w:highlight w:val="none"/>
        </w:rPr>
      </w:pPr>
      <w:r>
        <w:rPr>
          <w:rFonts w:hint="eastAsia" w:ascii="宋体" w:hAnsi="宋体"/>
          <w:color w:val="auto"/>
          <w:szCs w:val="21"/>
          <w:highlight w:val="none"/>
        </w:rPr>
        <w:t>《中小企业声明函》由参加投标的供应商提交，如供应商为代理商，须自行采集制造商的中小企业划分类型信息填入相应栏目并对其真实性负责。</w:t>
      </w:r>
    </w:p>
    <w:p>
      <w:pPr>
        <w:widowControl w:val="0"/>
        <w:numPr>
          <w:ilvl w:val="0"/>
          <w:numId w:val="0"/>
        </w:numPr>
        <w:wordWrap w:val="0"/>
        <w:spacing w:line="380" w:lineRule="exact"/>
        <w:ind w:firstLine="420" w:firstLineChars="200"/>
        <w:rPr>
          <w:rFonts w:hint="eastAsia"/>
          <w:color w:val="auto"/>
          <w:highlight w:val="none"/>
        </w:rPr>
      </w:pPr>
      <w:r>
        <w:rPr>
          <w:rFonts w:hint="eastAsia" w:ascii="宋体" w:hAnsi="宋体" w:eastAsia="宋体" w:cs="宋体"/>
          <w:color w:val="auto"/>
          <w:sz w:val="21"/>
          <w:szCs w:val="21"/>
          <w:highlight w:val="none"/>
          <w:lang w:val="en-US" w:eastAsia="zh-CN"/>
        </w:rPr>
        <w:t>（6）本项目行业根据</w:t>
      </w:r>
      <w:r>
        <w:rPr>
          <w:rFonts w:hint="eastAsia" w:ascii="宋体" w:hAnsi="宋体" w:eastAsia="宋体" w:cs="宋体"/>
          <w:b w:val="0"/>
          <w:bCs w:val="0"/>
          <w:color w:val="auto"/>
          <w:sz w:val="21"/>
          <w:szCs w:val="21"/>
          <w:highlight w:val="none"/>
        </w:rPr>
        <w:t>中小微行业划型标准规定</w:t>
      </w:r>
      <w:r>
        <w:rPr>
          <w:rFonts w:hint="eastAsia" w:ascii="宋体" w:hAnsi="宋体" w:eastAsia="宋体" w:cs="宋体"/>
          <w:color w:val="auto"/>
          <w:sz w:val="21"/>
          <w:szCs w:val="21"/>
          <w:highlight w:val="none"/>
          <w:lang w:val="en-US" w:eastAsia="zh-CN"/>
        </w:rPr>
        <w:t>为</w:t>
      </w:r>
      <w:r>
        <w:rPr>
          <w:rFonts w:hint="eastAsia" w:ascii="宋体" w:hAnsi="宋体" w:eastAsia="宋体" w:cs="宋体"/>
          <w:b/>
          <w:bCs/>
          <w:color w:val="auto"/>
          <w:sz w:val="21"/>
          <w:szCs w:val="21"/>
          <w:highlight w:val="none"/>
          <w:u w:val="single"/>
        </w:rPr>
        <w:t>租赁和商务服务业</w:t>
      </w:r>
      <w:r>
        <w:rPr>
          <w:rFonts w:hint="eastAsia" w:ascii="宋体" w:hAnsi="宋体" w:eastAsia="宋体" w:cs="宋体"/>
          <w:color w:val="auto"/>
          <w:sz w:val="21"/>
          <w:szCs w:val="21"/>
          <w:highlight w:val="none"/>
          <w:lang w:eastAsia="zh-CN"/>
        </w:rPr>
        <w:t>。</w:t>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lang w:bidi="ar"/>
        </w:rPr>
        <w:t>2</w:t>
      </w:r>
      <w:r>
        <w:rPr>
          <w:rFonts w:ascii="宋体" w:hAnsi="宋体"/>
          <w:color w:val="auto"/>
          <w:szCs w:val="21"/>
          <w:highlight w:val="none"/>
          <w:lang w:bidi="ar"/>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pPr>
        <w:spacing w:line="380" w:lineRule="exact"/>
        <w:ind w:firstLine="420" w:firstLineChars="200"/>
        <w:rPr>
          <w:rFonts w:ascii="宋体" w:hAnsi="宋体"/>
          <w:color w:val="auto"/>
          <w:szCs w:val="21"/>
          <w:highlight w:val="none"/>
          <w:lang w:bidi="ar"/>
        </w:rPr>
      </w:pPr>
      <w:r>
        <w:rPr>
          <w:rFonts w:hint="eastAsia" w:ascii="宋体" w:hAnsi="宋体"/>
          <w:color w:val="auto"/>
          <w:szCs w:val="21"/>
          <w:highlight w:val="none"/>
          <w:lang w:bidi="ar"/>
        </w:rPr>
        <w:t>3</w:t>
      </w:r>
      <w:r>
        <w:rPr>
          <w:rFonts w:ascii="宋体" w:hAnsi="宋体"/>
          <w:color w:val="auto"/>
          <w:szCs w:val="21"/>
          <w:highlight w:val="none"/>
          <w:lang w:bidi="ar"/>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w:t>
      </w:r>
      <w:r>
        <w:rPr>
          <w:rFonts w:hint="eastAsia" w:ascii="宋体" w:hAnsi="宋体"/>
          <w:color w:val="auto"/>
          <w:szCs w:val="21"/>
          <w:highlight w:val="none"/>
          <w:lang w:bidi="ar"/>
        </w:rPr>
        <w:t>七</w:t>
      </w:r>
      <w:r>
        <w:rPr>
          <w:rFonts w:ascii="宋体" w:hAnsi="宋体"/>
          <w:color w:val="auto"/>
          <w:szCs w:val="21"/>
          <w:highlight w:val="none"/>
          <w:lang w:bidi="ar"/>
        </w:rPr>
        <w:t>章附件），并对声明的真实性负责，未能提供的不予认可。</w:t>
      </w:r>
    </w:p>
    <w:bookmarkEnd w:id="38"/>
    <w:bookmarkEnd w:id="39"/>
    <w:bookmarkEnd w:id="40"/>
    <w:bookmarkEnd w:id="41"/>
    <w:bookmarkEnd w:id="42"/>
    <w:bookmarkEnd w:id="43"/>
    <w:p>
      <w:pPr>
        <w:spacing w:line="38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lang w:bidi="ar"/>
        </w:rPr>
        <w:t>4、</w:t>
      </w:r>
      <w:r>
        <w:rPr>
          <w:rFonts w:hint="eastAsia" w:ascii="宋体" w:hAnsi="宋体" w:cs="宋体"/>
          <w:b/>
          <w:bCs/>
          <w:color w:val="auto"/>
          <w:szCs w:val="21"/>
          <w:highlight w:val="none"/>
        </w:rPr>
        <w:t>无效投标</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发生下列情况之一的投标文件被视为无效：</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1</w:t>
      </w:r>
      <w:r>
        <w:rPr>
          <w:rFonts w:hint="eastAsia" w:ascii="宋体" w:hAnsi="宋体" w:cs="宋体"/>
          <w:b/>
          <w:bCs/>
          <w:color w:val="auto"/>
          <w:szCs w:val="21"/>
          <w:highlight w:val="none"/>
          <w:lang w:bidi="ar"/>
        </w:rPr>
        <w:t>）标项以赠送方式响应的，或提供两个及以上方案的；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2</w:t>
      </w:r>
      <w:r>
        <w:rPr>
          <w:rFonts w:hint="eastAsia" w:ascii="宋体" w:hAnsi="宋体" w:cs="宋体"/>
          <w:b/>
          <w:bCs/>
          <w:color w:val="auto"/>
          <w:szCs w:val="21"/>
          <w:highlight w:val="none"/>
          <w:lang w:bidi="ar"/>
        </w:rPr>
        <w:t>）供应商投标有效期不足的；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3</w:t>
      </w:r>
      <w:r>
        <w:rPr>
          <w:rFonts w:hint="eastAsia" w:ascii="宋体" w:hAnsi="宋体" w:cs="宋体"/>
          <w:b/>
          <w:bCs/>
          <w:color w:val="auto"/>
          <w:szCs w:val="21"/>
          <w:highlight w:val="none"/>
          <w:lang w:bidi="ar"/>
        </w:rPr>
        <w:t>）投标文件未按招标文件要求签署、盖章的；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4</w:t>
      </w:r>
      <w:r>
        <w:rPr>
          <w:rFonts w:hint="eastAsia" w:ascii="宋体" w:hAnsi="宋体" w:cs="宋体"/>
          <w:b/>
          <w:bCs/>
          <w:color w:val="auto"/>
          <w:szCs w:val="21"/>
          <w:highlight w:val="none"/>
          <w:lang w:bidi="ar"/>
        </w:rPr>
        <w:t>）报价超过招标文件中规定的预算金额或者最高限价的；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5</w:t>
      </w:r>
      <w:r>
        <w:rPr>
          <w:rFonts w:hint="eastAsia" w:ascii="宋体" w:hAnsi="宋体" w:cs="宋体"/>
          <w:b/>
          <w:bCs/>
          <w:color w:val="auto"/>
          <w:szCs w:val="21"/>
          <w:highlight w:val="none"/>
          <w:lang w:bidi="ar"/>
        </w:rPr>
        <w:t>）经全体评标委员会一致认为，供应商的报价明显低于其他通过符合性审查供应商的报价，有可能影响</w:t>
      </w:r>
      <w:r>
        <w:rPr>
          <w:rFonts w:hint="eastAsia" w:ascii="宋体" w:hAnsi="宋体" w:cs="宋体"/>
          <w:b/>
          <w:bCs/>
          <w:color w:val="auto"/>
          <w:szCs w:val="21"/>
          <w:highlight w:val="none"/>
          <w:lang w:val="en-US" w:eastAsia="zh-CN" w:bidi="ar"/>
        </w:rPr>
        <w:t>服务</w:t>
      </w:r>
      <w:r>
        <w:rPr>
          <w:rFonts w:hint="eastAsia" w:ascii="宋体" w:hAnsi="宋体" w:cs="宋体"/>
          <w:b/>
          <w:bCs/>
          <w:color w:val="auto"/>
          <w:szCs w:val="21"/>
          <w:highlight w:val="none"/>
          <w:lang w:bidi="ar"/>
        </w:rPr>
        <w:t>质量或者不能诚信履约且不能提供有效材料证明其报价合理性的；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6</w:t>
      </w:r>
      <w:r>
        <w:rPr>
          <w:rFonts w:hint="eastAsia" w:ascii="宋体" w:hAnsi="宋体" w:cs="宋体"/>
          <w:b/>
          <w:bCs/>
          <w:color w:val="auto"/>
          <w:szCs w:val="21"/>
          <w:highlight w:val="none"/>
          <w:lang w:bidi="ar"/>
        </w:rPr>
        <w:t>）有以下情形之一的，视为供应商串通投标，其投标无效：</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val="en-US" w:eastAsia="zh-CN" w:bidi="ar"/>
        </w:rPr>
        <w:t>1</w:t>
      </w:r>
      <w:r>
        <w:rPr>
          <w:rFonts w:hint="eastAsia" w:ascii="宋体" w:hAnsi="宋体" w:cs="宋体"/>
          <w:b/>
          <w:bCs/>
          <w:color w:val="auto"/>
          <w:szCs w:val="21"/>
          <w:highlight w:val="none"/>
          <w:lang w:eastAsia="zh-CN" w:bidi="ar"/>
        </w:rPr>
        <w:t>）</w:t>
      </w:r>
      <w:r>
        <w:rPr>
          <w:rFonts w:hint="eastAsia" w:ascii="宋体" w:hAnsi="宋体" w:cs="宋体"/>
          <w:b/>
          <w:bCs/>
          <w:color w:val="auto"/>
          <w:szCs w:val="21"/>
          <w:highlight w:val="none"/>
          <w:lang w:bidi="ar"/>
        </w:rPr>
        <w:t>不同供应商的投标文件由同一单位或个人编制；</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val="en-US" w:eastAsia="zh-CN" w:bidi="ar"/>
        </w:rPr>
        <w:t>2</w:t>
      </w:r>
      <w:r>
        <w:rPr>
          <w:rFonts w:hint="eastAsia" w:ascii="宋体" w:hAnsi="宋体" w:cs="宋体"/>
          <w:b/>
          <w:bCs/>
          <w:color w:val="auto"/>
          <w:szCs w:val="21"/>
          <w:highlight w:val="none"/>
          <w:lang w:eastAsia="zh-CN" w:bidi="ar"/>
        </w:rPr>
        <w:t>）</w:t>
      </w:r>
      <w:r>
        <w:rPr>
          <w:rFonts w:hint="eastAsia" w:ascii="宋体" w:hAnsi="宋体" w:cs="宋体"/>
          <w:b/>
          <w:bCs/>
          <w:color w:val="auto"/>
          <w:szCs w:val="21"/>
          <w:highlight w:val="none"/>
          <w:lang w:bidi="ar"/>
        </w:rPr>
        <w:t>不同供应商委托同一单位或者个人办理投标事宜；</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val="en-US" w:eastAsia="zh-CN" w:bidi="ar"/>
        </w:rPr>
        <w:t>3</w:t>
      </w:r>
      <w:r>
        <w:rPr>
          <w:rFonts w:hint="eastAsia" w:ascii="宋体" w:hAnsi="宋体" w:cs="宋体"/>
          <w:b/>
          <w:bCs/>
          <w:color w:val="auto"/>
          <w:szCs w:val="21"/>
          <w:highlight w:val="none"/>
          <w:lang w:eastAsia="zh-CN" w:bidi="ar"/>
        </w:rPr>
        <w:t>）</w:t>
      </w:r>
      <w:r>
        <w:rPr>
          <w:rFonts w:hint="eastAsia" w:ascii="宋体" w:hAnsi="宋体" w:cs="宋体"/>
          <w:b/>
          <w:bCs/>
          <w:color w:val="auto"/>
          <w:szCs w:val="21"/>
          <w:highlight w:val="none"/>
          <w:lang w:bidi="ar"/>
        </w:rPr>
        <w:t>不同供应商的投标文件载明的项目管理成员或者联系人员为同一人；</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val="en-US" w:eastAsia="zh-CN" w:bidi="ar"/>
        </w:rPr>
        <w:t>4</w:t>
      </w:r>
      <w:r>
        <w:rPr>
          <w:rFonts w:hint="eastAsia" w:ascii="宋体" w:hAnsi="宋体" w:cs="宋体"/>
          <w:b/>
          <w:bCs/>
          <w:color w:val="auto"/>
          <w:szCs w:val="21"/>
          <w:highlight w:val="none"/>
          <w:lang w:eastAsia="zh-CN" w:bidi="ar"/>
        </w:rPr>
        <w:t>）</w:t>
      </w:r>
      <w:r>
        <w:rPr>
          <w:rFonts w:hint="eastAsia" w:ascii="宋体" w:hAnsi="宋体" w:cs="宋体"/>
          <w:b/>
          <w:bCs/>
          <w:color w:val="auto"/>
          <w:szCs w:val="21"/>
          <w:highlight w:val="none"/>
          <w:lang w:bidi="ar"/>
        </w:rPr>
        <w:t>不同供应商的投标文件异常一致或者投标报价呈规律性差异；</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val="en-US" w:eastAsia="zh-CN" w:bidi="ar"/>
        </w:rPr>
        <w:t>5</w:t>
      </w:r>
      <w:r>
        <w:rPr>
          <w:rFonts w:hint="eastAsia" w:ascii="宋体" w:hAnsi="宋体" w:cs="宋体"/>
          <w:b/>
          <w:bCs/>
          <w:color w:val="auto"/>
          <w:szCs w:val="21"/>
          <w:highlight w:val="none"/>
          <w:lang w:eastAsia="zh-CN" w:bidi="ar"/>
        </w:rPr>
        <w:t>）</w:t>
      </w:r>
      <w:r>
        <w:rPr>
          <w:rFonts w:hint="eastAsia" w:ascii="宋体" w:hAnsi="宋体" w:cs="宋体"/>
          <w:b/>
          <w:bCs/>
          <w:color w:val="auto"/>
          <w:szCs w:val="21"/>
          <w:highlight w:val="none"/>
          <w:lang w:bidi="ar"/>
        </w:rPr>
        <w:t>不同供应商的投标文件相互混装；</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7</w:t>
      </w:r>
      <w:r>
        <w:rPr>
          <w:rFonts w:hint="eastAsia" w:ascii="宋体" w:hAnsi="宋体" w:cs="宋体"/>
          <w:b/>
          <w:bCs/>
          <w:color w:val="auto"/>
          <w:szCs w:val="21"/>
          <w:highlight w:val="none"/>
          <w:lang w:bidi="ar"/>
        </w:rPr>
        <w:t>）供应商违反公平竞争原则，恶意串通，妨碍其他供应商的竞争，损害招标人或者其他供应商的合法权益的；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8</w:t>
      </w:r>
      <w:r>
        <w:rPr>
          <w:rFonts w:hint="eastAsia" w:ascii="宋体" w:hAnsi="宋体" w:cs="宋体"/>
          <w:b/>
          <w:bCs/>
          <w:color w:val="auto"/>
          <w:szCs w:val="21"/>
          <w:highlight w:val="none"/>
          <w:lang w:bidi="ar"/>
        </w:rPr>
        <w:t>）供应商因投标文件报价前后不一致而修正报价后不确认的；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9</w:t>
      </w:r>
      <w:r>
        <w:rPr>
          <w:rFonts w:hint="eastAsia" w:ascii="宋体" w:hAnsi="宋体" w:cs="宋体"/>
          <w:b/>
          <w:bCs/>
          <w:color w:val="auto"/>
          <w:szCs w:val="21"/>
          <w:highlight w:val="none"/>
          <w:lang w:bidi="ar"/>
        </w:rPr>
        <w:t>）投标文件含有招标人不能接受的附加条件的；</w:t>
      </w:r>
    </w:p>
    <w:p>
      <w:pPr>
        <w:spacing w:line="380" w:lineRule="exact"/>
        <w:ind w:firstLine="422" w:firstLineChars="200"/>
        <w:jc w:val="left"/>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w:t>
      </w:r>
      <w:r>
        <w:rPr>
          <w:rFonts w:hint="eastAsia" w:ascii="宋体" w:hAnsi="宋体" w:cs="宋体"/>
          <w:b/>
          <w:bCs/>
          <w:color w:val="auto"/>
          <w:szCs w:val="21"/>
          <w:highlight w:val="none"/>
          <w:lang w:val="en-US" w:eastAsia="zh-CN" w:bidi="ar"/>
        </w:rPr>
        <w:t>10</w:t>
      </w:r>
      <w:r>
        <w:rPr>
          <w:rFonts w:hint="eastAsia" w:ascii="宋体" w:hAnsi="宋体" w:cs="宋体"/>
          <w:b/>
          <w:bCs/>
          <w:color w:val="auto"/>
          <w:szCs w:val="21"/>
          <w:highlight w:val="none"/>
          <w:lang w:bidi="ar"/>
        </w:rPr>
        <w:t>）不符合法律、法规和本招标文件规定的其他实质性要求的。</w:t>
      </w:r>
    </w:p>
    <w:p>
      <w:pPr>
        <w:spacing w:line="380" w:lineRule="exact"/>
        <w:ind w:firstLine="420" w:firstLineChars="200"/>
        <w:outlineLvl w:val="0"/>
        <w:rPr>
          <w:rFonts w:hint="eastAsia" w:ascii="宋体" w:hAnsi="宋体" w:cs="宋体"/>
          <w:color w:val="auto"/>
          <w:szCs w:val="21"/>
          <w:highlight w:val="none"/>
        </w:rPr>
      </w:pPr>
      <w:bookmarkStart w:id="50" w:name="_Toc10801"/>
      <w:bookmarkStart w:id="51" w:name="_Toc529781144"/>
      <w:bookmarkStart w:id="52" w:name="_Toc12374297"/>
      <w:bookmarkStart w:id="53" w:name="_Toc7156"/>
      <w:bookmarkStart w:id="54" w:name="_Toc12376822"/>
      <w:bookmarkStart w:id="55" w:name="_Toc12428981"/>
      <w:r>
        <w:rPr>
          <w:rFonts w:hint="eastAsia" w:ascii="宋体" w:hAnsi="宋体" w:cs="宋体"/>
          <w:color w:val="auto"/>
          <w:szCs w:val="21"/>
          <w:highlight w:val="none"/>
          <w:lang w:bidi="ar"/>
        </w:rPr>
        <w:t>5、本项目不组织潜在供应商现场考察或者召开开标前答疑。</w:t>
      </w:r>
      <w:bookmarkEnd w:id="50"/>
      <w:bookmarkEnd w:id="51"/>
      <w:bookmarkEnd w:id="52"/>
      <w:bookmarkEnd w:id="53"/>
      <w:bookmarkEnd w:id="54"/>
      <w:bookmarkEnd w:id="55"/>
    </w:p>
    <w:p>
      <w:pPr>
        <w:spacing w:line="380" w:lineRule="exact"/>
        <w:ind w:firstLine="420" w:firstLineChars="200"/>
        <w:outlineLvl w:val="0"/>
        <w:rPr>
          <w:rFonts w:hint="eastAsia" w:ascii="宋体" w:hAnsi="宋体" w:cs="宋体"/>
          <w:color w:val="auto"/>
          <w:szCs w:val="21"/>
          <w:highlight w:val="none"/>
        </w:rPr>
      </w:pPr>
      <w:bookmarkStart w:id="56" w:name="_Toc529781145"/>
      <w:bookmarkStart w:id="57" w:name="_Toc12428982"/>
      <w:bookmarkStart w:id="58" w:name="_Toc29744"/>
      <w:bookmarkStart w:id="59" w:name="_Toc15934"/>
      <w:bookmarkStart w:id="60" w:name="_Toc12374298"/>
      <w:bookmarkStart w:id="61" w:name="_Toc12376823"/>
      <w:r>
        <w:rPr>
          <w:rFonts w:hint="eastAsia" w:ascii="宋体" w:hAnsi="宋体" w:cs="宋体"/>
          <w:color w:val="auto"/>
          <w:szCs w:val="21"/>
          <w:highlight w:val="none"/>
          <w:lang w:bidi="ar"/>
        </w:rPr>
        <w:t>6、本文件未及事项，在签订合同时双方友好商定。</w:t>
      </w:r>
      <w:bookmarkEnd w:id="44"/>
      <w:bookmarkEnd w:id="45"/>
      <w:bookmarkEnd w:id="46"/>
      <w:bookmarkEnd w:id="56"/>
      <w:bookmarkEnd w:id="57"/>
      <w:bookmarkEnd w:id="58"/>
      <w:bookmarkEnd w:id="59"/>
      <w:bookmarkEnd w:id="60"/>
      <w:bookmarkEnd w:id="61"/>
    </w:p>
    <w:p>
      <w:pPr>
        <w:spacing w:line="380" w:lineRule="exact"/>
        <w:ind w:firstLine="420" w:firstLineChars="200"/>
        <w:rPr>
          <w:rFonts w:hint="eastAsia" w:ascii="宋体" w:hAnsi="宋体" w:cs="宋体"/>
          <w:color w:val="auto"/>
          <w:szCs w:val="21"/>
          <w:highlight w:val="none"/>
        </w:rPr>
      </w:pPr>
      <w:bookmarkStart w:id="62" w:name="_Toc419729159"/>
      <w:r>
        <w:rPr>
          <w:rFonts w:hint="eastAsia" w:ascii="宋体" w:hAnsi="宋体" w:cs="宋体"/>
          <w:color w:val="auto"/>
          <w:szCs w:val="21"/>
          <w:highlight w:val="none"/>
          <w:lang w:bidi="ar"/>
        </w:rPr>
        <w:t>7、本招标文件解释权归采购人。</w:t>
      </w:r>
      <w:bookmarkEnd w:id="62"/>
    </w:p>
    <w:p>
      <w:pPr>
        <w:pStyle w:val="5"/>
        <w:keepLines/>
        <w:spacing w:before="340" w:after="330" w:line="360" w:lineRule="auto"/>
        <w:rPr>
          <w:rFonts w:hint="eastAsia" w:ascii="宋体" w:hAnsi="宋体" w:cs="宋体"/>
          <w:color w:val="auto"/>
          <w:sz w:val="36"/>
          <w:szCs w:val="36"/>
          <w:highlight w:val="none"/>
        </w:rPr>
      </w:pPr>
      <w:bookmarkStart w:id="63" w:name="_Toc15581"/>
      <w:r>
        <w:rPr>
          <w:rFonts w:hint="eastAsia" w:ascii="宋体" w:hAnsi="宋体" w:cs="宋体"/>
          <w:color w:val="auto"/>
          <w:sz w:val="36"/>
          <w:szCs w:val="36"/>
          <w:highlight w:val="none"/>
        </w:rPr>
        <w:br w:type="page"/>
      </w:r>
      <w:r>
        <w:rPr>
          <w:rFonts w:hint="eastAsia" w:ascii="宋体" w:hAnsi="宋体" w:cs="宋体"/>
          <w:color w:val="auto"/>
          <w:sz w:val="36"/>
          <w:szCs w:val="36"/>
          <w:highlight w:val="none"/>
        </w:rPr>
        <w:t xml:space="preserve">第三章  </w:t>
      </w:r>
      <w:bookmarkEnd w:id="33"/>
      <w:r>
        <w:rPr>
          <w:rFonts w:hint="eastAsia" w:ascii="宋体" w:hAnsi="宋体" w:cs="宋体"/>
          <w:color w:val="auto"/>
          <w:sz w:val="36"/>
          <w:szCs w:val="36"/>
          <w:highlight w:val="none"/>
        </w:rPr>
        <w:t>评标办法及标准</w:t>
      </w:r>
      <w:bookmarkEnd w:id="63"/>
    </w:p>
    <w:p>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lang w:bidi="ar"/>
        </w:rPr>
        <w:t>一、评标办法</w:t>
      </w:r>
    </w:p>
    <w:p>
      <w:pPr>
        <w:keepNext w:val="0"/>
        <w:keepLines w:val="0"/>
        <w:pageBreakBefore w:val="0"/>
        <w:widowControl w:val="0"/>
        <w:kinsoku/>
        <w:wordWrap/>
        <w:overflowPunct/>
        <w:topLinePunct w:val="0"/>
        <w:autoSpaceDE/>
        <w:autoSpaceDN/>
        <w:bidi w:val="0"/>
        <w:adjustRightInd/>
        <w:snapToGrid/>
        <w:spacing w:line="440" w:lineRule="exact"/>
        <w:ind w:left="-2" w:leftChars="-1"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1.1本项目评标采用综合评分法。</w:t>
      </w:r>
    </w:p>
    <w:p>
      <w:pPr>
        <w:keepNext w:val="0"/>
        <w:keepLines w:val="0"/>
        <w:pageBreakBefore w:val="0"/>
        <w:widowControl w:val="0"/>
        <w:kinsoku/>
        <w:wordWrap/>
        <w:overflowPunct/>
        <w:topLinePunct w:val="0"/>
        <w:autoSpaceDE/>
        <w:autoSpaceDN/>
        <w:bidi w:val="0"/>
        <w:adjustRightInd/>
        <w:snapToGrid/>
        <w:spacing w:line="440" w:lineRule="exact"/>
        <w:ind w:left="-2" w:leftChars="-1"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1.2综合评分法：采用百分制，总分100分。评标委员会成员按照评分标准（兼评委打分表）规定的内容和分值设置以记名方式独立评定打分，汇总各评委对各供应商的评分，取算术平均值（小数点后保留二位数）即为各供应商的综合得分，按评分结果由高到低排序，得分相同，按投标报价由低到高顺序排列。得分且投标报价相同的并列。投标文件满足招标文件全部实质性要求，且按照评审因素的量化指标评审得分第一名的投标人为本项目第一中标候选人，按照评审因素的量化指标评审得分第二名的投标人为第二中标候选人。</w:t>
      </w:r>
    </w:p>
    <w:p>
      <w:pPr>
        <w:keepNext w:val="0"/>
        <w:keepLines w:val="0"/>
        <w:pageBreakBefore w:val="0"/>
        <w:widowControl w:val="0"/>
        <w:kinsoku/>
        <w:wordWrap/>
        <w:overflowPunct/>
        <w:topLinePunct w:val="0"/>
        <w:autoSpaceDE/>
        <w:autoSpaceDN/>
        <w:bidi w:val="0"/>
        <w:adjustRightInd/>
        <w:snapToGrid/>
        <w:spacing w:line="440" w:lineRule="exact"/>
        <w:ind w:left="-2" w:leftChars="-1"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1.3评标委员会成员对需要共同认定的事项存在争议的，应当按照少数服从多数的原则作出结论。</w:t>
      </w:r>
    </w:p>
    <w:p>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lang w:bidi="ar"/>
        </w:rPr>
        <w:t>二、评标委员会</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2.1采购人依据相关规定组建评标委员会，负责本项目的评标工作。评标委员会成员名单在招标结果确定之前依法保密。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2.2评标委员会将按照招标文件要求，只对初步确定为实质上响应本招标文件要求的投标进行评标和比较。并且只依据投标文件内容本身的响应情况进行评审，不考虑开标后的任何补充声明、修正的方案。</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b/>
          <w:color w:val="auto"/>
          <w:szCs w:val="21"/>
          <w:highlight w:val="none"/>
        </w:rPr>
      </w:pPr>
      <w:r>
        <w:rPr>
          <w:rFonts w:hint="eastAsia" w:ascii="宋体" w:hAnsi="宋体" w:cs="宋体"/>
          <w:b/>
          <w:color w:val="auto"/>
          <w:szCs w:val="21"/>
          <w:highlight w:val="none"/>
          <w:lang w:bidi="ar"/>
        </w:rPr>
        <w:t>三、评标程序</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ascii="宋体" w:hAnsi="宋体" w:cs="宋体"/>
          <w:b/>
          <w:bCs/>
          <w:color w:val="auto"/>
          <w:szCs w:val="21"/>
          <w:highlight w:val="none"/>
          <w:lang w:bidi="ar"/>
        </w:rPr>
      </w:pPr>
      <w:r>
        <w:rPr>
          <w:rFonts w:hint="eastAsia" w:ascii="宋体" w:hAnsi="宋体" w:cs="宋体"/>
          <w:b/>
          <w:bCs/>
          <w:color w:val="auto"/>
          <w:szCs w:val="21"/>
          <w:highlight w:val="none"/>
          <w:lang w:bidi="ar"/>
        </w:rPr>
        <w:t>3.1商务技术文件评审：</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3.1.1初步审查：包含资格性审查和商务技术文件符合性审查。资格性审查是指采购人或代理机构根据“附表1资格审查表”的要求对投标文件逐一进行评审。商务技术文件符合性审查是指评标委员会根据“附表2商务技术文件符合性审查表”的要求对投标文件逐一进行评审。</w:t>
      </w:r>
      <w:r>
        <w:rPr>
          <w:rFonts w:hint="eastAsia" w:ascii="宋体" w:hAnsi="宋体" w:cs="宋体"/>
          <w:b/>
          <w:color w:val="auto"/>
          <w:szCs w:val="21"/>
          <w:highlight w:val="none"/>
          <w:lang w:bidi="ar"/>
        </w:rPr>
        <w:t>资格性审查和商务技术文件符合性审查中，有任意一项审查结论不合格的，作无效标处理。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cs="宋体"/>
          <w:color w:val="auto"/>
          <w:szCs w:val="21"/>
          <w:highlight w:val="none"/>
          <w:lang w:val="zh-CN"/>
        </w:rPr>
      </w:pPr>
      <w:r>
        <w:rPr>
          <w:rFonts w:hint="eastAsia" w:ascii="宋体" w:hAnsi="宋体" w:cs="宋体"/>
          <w:color w:val="auto"/>
          <w:szCs w:val="21"/>
          <w:highlight w:val="none"/>
          <w:lang w:bidi="ar"/>
        </w:rPr>
        <w:t>3.1.2</w:t>
      </w:r>
      <w:r>
        <w:rPr>
          <w:rFonts w:hint="eastAsia" w:ascii="宋体" w:hAnsi="宋体" w:cs="宋体"/>
          <w:color w:val="auto"/>
          <w:szCs w:val="21"/>
          <w:highlight w:val="none"/>
          <w:lang w:val="zh-CN" w:bidi="ar"/>
        </w:rPr>
        <w:t>比较与评价：</w:t>
      </w:r>
      <w:r>
        <w:rPr>
          <w:rFonts w:hint="eastAsia" w:ascii="宋体" w:hAnsi="宋体" w:cs="宋体"/>
          <w:color w:val="auto"/>
          <w:szCs w:val="21"/>
          <w:highlight w:val="none"/>
          <w:lang w:bidi="ar"/>
        </w:rPr>
        <w:t>评标委员会根据“附表3评分标准（兼评委打分表）”的要求，</w:t>
      </w:r>
      <w:r>
        <w:rPr>
          <w:rFonts w:hint="eastAsia" w:ascii="宋体" w:hAnsi="宋体" w:cs="宋体"/>
          <w:color w:val="auto"/>
          <w:szCs w:val="21"/>
          <w:highlight w:val="none"/>
          <w:lang w:val="zh-CN" w:bidi="ar"/>
        </w:rPr>
        <w:t>对照投标文件的应答进行比较，判定其偏差性质和程度，</w:t>
      </w:r>
      <w:r>
        <w:rPr>
          <w:rFonts w:hint="eastAsia" w:ascii="宋体" w:hAnsi="宋体" w:cs="宋体"/>
          <w:color w:val="auto"/>
          <w:szCs w:val="21"/>
          <w:highlight w:val="none"/>
          <w:lang w:bidi="ar"/>
        </w:rPr>
        <w:t>由评标委员会成员在分值范围内自行评分</w:t>
      </w:r>
      <w:r>
        <w:rPr>
          <w:rFonts w:hint="eastAsia" w:ascii="宋体" w:hAnsi="宋体" w:cs="宋体"/>
          <w:color w:val="auto"/>
          <w:szCs w:val="21"/>
          <w:highlight w:val="none"/>
          <w:lang w:val="zh-CN" w:bidi="ar"/>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cs="宋体"/>
          <w:color w:val="auto"/>
          <w:szCs w:val="21"/>
          <w:highlight w:val="none"/>
          <w:lang w:val="zh-CN" w:bidi="ar"/>
        </w:rPr>
      </w:pPr>
      <w:r>
        <w:rPr>
          <w:rFonts w:hint="eastAsia" w:ascii="宋体" w:hAnsi="宋体" w:cs="宋体"/>
          <w:color w:val="auto"/>
          <w:szCs w:val="21"/>
          <w:highlight w:val="none"/>
          <w:lang w:bidi="ar"/>
        </w:rPr>
        <w:t>3.1.3</w:t>
      </w:r>
      <w:r>
        <w:rPr>
          <w:rFonts w:hint="eastAsia" w:ascii="宋体" w:hAnsi="宋体" w:cs="宋体"/>
          <w:color w:val="auto"/>
          <w:szCs w:val="21"/>
          <w:highlight w:val="none"/>
          <w:lang w:val="zh-CN" w:bidi="ar"/>
        </w:rPr>
        <w:t>采购代理机构可协助评标委员会组长对打分结果进行校对、核对并汇总统计；</w:t>
      </w:r>
      <w:r>
        <w:rPr>
          <w:rFonts w:hint="eastAsia" w:ascii="宋体" w:hAnsi="宋体" w:cs="宋体"/>
          <w:b/>
          <w:color w:val="auto"/>
          <w:szCs w:val="21"/>
          <w:highlight w:val="none"/>
          <w:lang w:val="zh-CN" w:bidi="ar"/>
        </w:rPr>
        <w:t>对明显畸高、畸低的评分（其总评分偏离平均分30%以上的），评标委员会组长应提醒相关评标委员会成员进行复核或书面说明理由</w:t>
      </w:r>
      <w:r>
        <w:rPr>
          <w:rFonts w:hint="eastAsia" w:ascii="宋体" w:hAnsi="宋体" w:cs="宋体"/>
          <w:color w:val="auto"/>
          <w:szCs w:val="21"/>
          <w:highlight w:val="none"/>
          <w:lang w:val="zh-CN" w:bidi="ar"/>
        </w:rPr>
        <w:t>；评标委员会成员的评审、修改记录应保留原件，随项目其他资料一并存档。</w:t>
      </w:r>
    </w:p>
    <w:p>
      <w:pPr>
        <w:spacing w:line="400" w:lineRule="exact"/>
        <w:ind w:firstLine="422" w:firstLineChars="200"/>
        <w:jc w:val="left"/>
        <w:rPr>
          <w:rFonts w:hint="eastAsia" w:ascii="宋体" w:hAnsi="宋体" w:cs="宋体"/>
          <w:color w:val="auto"/>
          <w:highlight w:val="none"/>
          <w:lang w:val="zh-CN"/>
        </w:rPr>
      </w:pPr>
      <w:r>
        <w:rPr>
          <w:rFonts w:hint="eastAsia" w:ascii="宋体" w:hAnsi="宋体" w:cs="宋体"/>
          <w:b/>
          <w:color w:val="auto"/>
          <w:szCs w:val="21"/>
          <w:highlight w:val="none"/>
          <w:lang w:bidi="ar"/>
        </w:rPr>
        <w:t>3.2报价文件评审</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3.2.1报价文件符合性审查：报价文件符合性审查是指评标委员会根据“附表4报价文件符合性审查表”的要求对供应商报价文件逐一进行评审。</w:t>
      </w:r>
      <w:r>
        <w:rPr>
          <w:rFonts w:hint="eastAsia" w:ascii="宋体" w:hAnsi="宋体" w:cs="宋体"/>
          <w:b/>
          <w:bCs/>
          <w:color w:val="auto"/>
          <w:szCs w:val="21"/>
          <w:highlight w:val="none"/>
          <w:lang w:bidi="ar"/>
        </w:rPr>
        <w:t>报价文件符合性审查中，审查结论不合格的，作无效标处理。</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3.2.2在评标过程中，发现的价格计算错误按下述原则修正：</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（1）投标文件中开标一览表内容与投标文件中分项报价表内容不一致的，以开标一览表为准；</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（2）投标文件的大写金额和小写金额不一致的，以大写金额为准；</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（3）单价金额小数点有明显错位的，应以总价为准，并修改单价；</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（4）总价金额与按单价汇总金额不一致的，以单价金额计算结果为准。</w:t>
      </w:r>
    </w:p>
    <w:p>
      <w:pPr>
        <w:spacing w:line="400" w:lineRule="exact"/>
        <w:ind w:firstLine="420" w:firstLineChars="200"/>
        <w:rPr>
          <w:rFonts w:hint="eastAsia" w:ascii="宋体" w:hAnsi="宋体" w:cs="宋体"/>
          <w:color w:val="auto"/>
          <w:highlight w:val="none"/>
          <w:lang w:bidi="ar"/>
        </w:rPr>
      </w:pPr>
      <w:r>
        <w:rPr>
          <w:rFonts w:hint="eastAsia" w:ascii="宋体" w:hAnsi="宋体" w:cs="宋体"/>
          <w:color w:val="auto"/>
          <w:highlight w:val="none"/>
          <w:lang w:bidi="ar"/>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szCs w:val="21"/>
          <w:highlight w:val="none"/>
          <w:lang w:bidi="ar"/>
        </w:rPr>
        <w:t>3.2.3评标委员会根据“附表5价格评分表”的规定，计算供应商报价得分（小数点后保留二位数）。</w:t>
      </w:r>
    </w:p>
    <w:p>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szCs w:val="21"/>
          <w:highlight w:val="none"/>
          <w:lang w:bidi="ar"/>
        </w:rPr>
        <w:t>3.3综合评估：经过初步审查、比较，评标委员会成员按照评分标准（兼评委打分表）规定的内容和分值设置以记名方式独立评定打分，汇总各评委对各供应商的评分，取算术平均值（小数点后保留二位数）即为各供应商的综合得分。</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3.4推荐中标候选人</w:t>
      </w:r>
    </w:p>
    <w:p>
      <w:pPr>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按评分结果由高到低排序，得分相同，按投标报价由低到高顺序排列。得分且投标报价相同的并列。投标文件满足招标文件全部实质性要求，且按照评审因素的量化指标评审得分第一名的投标人为本项目第一中标候选人，按照评审因素的量化指标评审得分第二名的投标人为第二中标候选人。</w:t>
      </w:r>
    </w:p>
    <w:p>
      <w:pP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bidi="ar"/>
        </w:rPr>
        <w:t>3.5确定中标人</w:t>
      </w:r>
    </w:p>
    <w:p>
      <w:pPr>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本项目由采购人确定中标人。</w:t>
      </w:r>
    </w:p>
    <w:p>
      <w:pPr>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采购代理机构在评标结束后2个工作日内将评标报告交采购人确认，采购人自收到评标报告之日起5个工作日内在评标报告推荐的中标候选人中按顺序确定中标人，并在发布招标公告的网站上对中标结果进行公示，公告期限为1个工作日。</w:t>
      </w:r>
    </w:p>
    <w:p>
      <w:pPr>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若中标人放弃中标、或事后查询为失信被执行人的、或因不可抗力提出不能履行合同被依法撤销中标资格，则招标人可确定排名其次的中标候选人为中标人，或重新组织招标。</w:t>
      </w:r>
    </w:p>
    <w:p>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lang w:bidi="ar"/>
        </w:rPr>
        <w:t>四、投标的澄清</w:t>
      </w:r>
    </w:p>
    <w:p>
      <w:pPr>
        <w:spacing w:line="400" w:lineRule="exact"/>
        <w:ind w:firstLine="420" w:firstLineChars="200"/>
        <w:rPr>
          <w:rFonts w:hint="eastAsia"/>
          <w:b/>
          <w:bCs/>
          <w:color w:val="auto"/>
          <w:sz w:val="20"/>
          <w:szCs w:val="18"/>
          <w:highlight w:val="none"/>
        </w:rPr>
      </w:pPr>
      <w:r>
        <w:rPr>
          <w:rFonts w:hint="eastAsia" w:ascii="宋体" w:hAnsi="宋体" w:cs="宋体"/>
          <w:color w:val="auto"/>
          <w:szCs w:val="21"/>
          <w:highlight w:val="none"/>
          <w:lang w:bidi="ar"/>
        </w:rPr>
        <w:t>4.1对投标文件审查中发现的投标文件表达含义不明确、同类问题表述不一致或者有明显文字和计算错误的内容，评标委员会应当书面形式要求供应商作出必要的澄清、说明或者补正；</w:t>
      </w:r>
      <w:r>
        <w:rPr>
          <w:rFonts w:hint="eastAsia" w:ascii="宋体" w:hAnsi="宋体" w:cs="宋体"/>
          <w:b/>
          <w:bCs/>
          <w:color w:val="auto"/>
          <w:szCs w:val="21"/>
          <w:highlight w:val="none"/>
          <w:lang w:bidi="ar"/>
        </w:rPr>
        <w:t>供应商代表未在开标现场的可以按规定以网上远程电子形式进行答复。</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4.2供应商的现场澄清、说明或者补正应当采用书面形式，并加盖公章，或者由法定代表人或其委托代理人的签字。供应商的澄清、说明或者补正不得超出投标文件的范围或者改变投标文件的实质性内容。</w:t>
      </w:r>
    </w:p>
    <w:p>
      <w:pPr>
        <w:spacing w:line="40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4.3若供应商未响应澄清安排的通知到场或网上电子形式进行答疑和澄清，将被视作自动放弃。</w:t>
      </w:r>
    </w:p>
    <w:p>
      <w:pPr>
        <w:spacing w:line="400" w:lineRule="exact"/>
        <w:ind w:firstLine="420" w:firstLineChars="200"/>
        <w:rPr>
          <w:rFonts w:ascii="宋体" w:hAnsi="宋体" w:cs="宋体"/>
          <w:color w:val="auto"/>
          <w:szCs w:val="21"/>
          <w:highlight w:val="none"/>
          <w:lang w:bidi="ar"/>
        </w:rPr>
      </w:pPr>
      <w:r>
        <w:rPr>
          <w:rFonts w:hint="eastAsia" w:ascii="宋体" w:hAnsi="宋体" w:cs="宋体"/>
          <w:color w:val="auto"/>
          <w:szCs w:val="21"/>
          <w:highlight w:val="none"/>
          <w:lang w:bidi="ar"/>
        </w:rPr>
        <w:t>4.4、网上电子澄清方式</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评标委员会对投标文件存在疑问的地方，可以进行询标，供应商代表未在开标现场的可以进行远程询标，要求投标人在合理时间内（至多30分钟，以开始网上接收时间为准）发送有关证明资料电子版，以便核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2、供应商在截止时间前，根据标项回复询标函。路径：用户中心—项目采购—询标澄清。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（1）政采云平台通过待办事项和短信提醒供应商在截止时间前完成澄清。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（2）供应商在“询标澄清-待办理”标签页下选择状态为“待澄清”的项目，点击操作栏【澄清】。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（3）查看询标函内容，在澄清截止时间前上传澄清文件并对澄清文件进行签章。（注：澄清文件必须以 PDF 格式上传，文件大小：50M。）</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（4）签章完成，文件名称处显示“已签章”，供应商可“撤回签章”修改澄清函和“查看文件”。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（5）确认澄清文件内容后，点击右上角【提交】；（注：供应商未对澄清文件签章，提交时，弹框提醒“澄清文件未签章，请进行签章操作”，如遇 CA 突发情况无法签章，供应商可点击【放弃签章并提交】提交澄清文件；反之则签章后再提交。）</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完成状态：供应商澄清文件提交成功后，在“询标澄清-全部”标签页下显示状态为“已澄清”。</w:t>
      </w:r>
    </w:p>
    <w:p>
      <w:pPr>
        <w:keepNext w:val="0"/>
        <w:keepLines w:val="0"/>
        <w:pageBreakBefore w:val="0"/>
        <w:widowControl/>
        <w:kinsoku/>
        <w:wordWrap/>
        <w:overflowPunct/>
        <w:topLinePunct w:val="0"/>
        <w:autoSpaceDE/>
        <w:autoSpaceDN/>
        <w:bidi w:val="0"/>
        <w:adjustRightInd/>
        <w:snapToGrid/>
        <w:spacing w:line="42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lang w:bidi="ar"/>
        </w:rPr>
        <w:t>五、特别声明：价格是评标的重要因素之一，但最低价不是中标的唯一依据。</w:t>
      </w:r>
    </w:p>
    <w:p>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lang w:bidi="ar"/>
        </w:rPr>
        <w:t>六、重新招标</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有下列情形之一的，采购人将重新招标：</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6.1投标截止时间止，供应商少于3个的；</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bidi="ar"/>
        </w:rPr>
        <w:t>6.2评标委员会评标过程中，有效供应商少于3个的；</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6.3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招标活动。</w:t>
      </w:r>
    </w:p>
    <w:p>
      <w:pPr>
        <w:pStyle w:val="43"/>
        <w:ind w:firstLine="0" w:firstLineChars="0"/>
        <w:rPr>
          <w:rFonts w:hint="eastAsia" w:ascii="宋体" w:hAnsi="宋体" w:eastAsia="宋体" w:cs="宋体"/>
          <w:b/>
          <w:bCs/>
          <w:color w:val="auto"/>
          <w:sz w:val="21"/>
          <w:szCs w:val="21"/>
          <w:highlight w:val="none"/>
          <w:lang w:bidi="ar"/>
        </w:rPr>
      </w:pPr>
      <w:r>
        <w:rPr>
          <w:rFonts w:hint="eastAsia" w:ascii="宋体" w:hAnsi="宋体" w:eastAsia="宋体" w:cs="宋体"/>
          <w:b/>
          <w:bCs/>
          <w:color w:val="auto"/>
          <w:sz w:val="21"/>
          <w:szCs w:val="21"/>
          <w:highlight w:val="none"/>
          <w:lang w:bidi="ar"/>
        </w:rPr>
        <w:t xml:space="preserve">附表1：  </w:t>
      </w:r>
      <w:r>
        <w:rPr>
          <w:rFonts w:hint="eastAsia" w:ascii="宋体" w:hAnsi="宋体" w:eastAsia="宋体" w:cs="宋体"/>
          <w:color w:val="auto"/>
          <w:sz w:val="21"/>
          <w:szCs w:val="21"/>
          <w:highlight w:val="none"/>
          <w:lang w:bidi="ar"/>
        </w:rPr>
        <w:t xml:space="preserve">                            </w:t>
      </w:r>
      <w:r>
        <w:rPr>
          <w:rFonts w:hint="eastAsia" w:ascii="宋体" w:hAnsi="宋体" w:eastAsia="宋体" w:cs="宋体"/>
          <w:b/>
          <w:bCs/>
          <w:color w:val="auto"/>
          <w:sz w:val="21"/>
          <w:szCs w:val="21"/>
          <w:highlight w:val="none"/>
          <w:lang w:bidi="ar"/>
        </w:rPr>
        <w:t xml:space="preserve">  </w:t>
      </w:r>
    </w:p>
    <w:p>
      <w:pPr>
        <w:pStyle w:val="43"/>
        <w:spacing w:line="360" w:lineRule="auto"/>
        <w:ind w:firstLine="0" w:firstLineChars="0"/>
        <w:jc w:val="center"/>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资格性审查表</w:t>
      </w:r>
    </w:p>
    <w:tbl>
      <w:tblPr>
        <w:tblStyle w:val="44"/>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565"/>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序号</w:t>
            </w:r>
          </w:p>
        </w:tc>
        <w:tc>
          <w:tcPr>
            <w:tcW w:w="356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审查要求</w:t>
            </w:r>
          </w:p>
        </w:tc>
        <w:tc>
          <w:tcPr>
            <w:tcW w:w="56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1</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具有独立承担民事责任的能力</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rPr>
              <w:t>具有有效的</w:t>
            </w:r>
            <w:r>
              <w:rPr>
                <w:rFonts w:hint="eastAsia" w:ascii="宋体" w:hAnsi="宋体" w:cs="Times New Roman"/>
                <w:color w:val="auto"/>
                <w:szCs w:val="20"/>
                <w:highlight w:val="none"/>
              </w:rPr>
              <w:t>企业法人营业执照（或事业法人登记证）或其他组织（个体工商户）的营业执照或者民办非企业单位登记证书</w:t>
            </w:r>
            <w:r>
              <w:rPr>
                <w:rFonts w:hint="eastAsia" w:ascii="宋体" w:hAnsi="宋体" w:cs="宋体"/>
                <w:color w:val="auto"/>
                <w:szCs w:val="21"/>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2</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具有良好的商业信誉和健全的财务会计制度</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具有良好的商业信誉和健全的财务会计制度声明函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20"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3</w:t>
            </w:r>
          </w:p>
        </w:tc>
        <w:tc>
          <w:tcPr>
            <w:tcW w:w="3565"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具有履行合同所必需的设备和专业技术能力</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具有履行合同所必需的设备和专业技术能力的书面声明函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4</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有依法缴纳税收和社会保障资金的良好记录</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bidi="ar"/>
              </w:rPr>
              <w:t>、供应商开标前六个月任一个月开具的缴纳税收的凭据证明材料扫描件（加盖供应商公章）（依法免税的供应商，应提供相应文件证明其依法免税）；</w:t>
            </w:r>
          </w:p>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bidi="ar"/>
              </w:rPr>
              <w:t>、供应商标前六个月任一个月开具的缴纳社会保险的凭据证明材料扫描件（加盖供应商公章）（依法不需要缴纳社保的供应商，应提供相应文件证明其依法不需要缴纳社保）。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5</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参加政府采购活动前三年内，在经营活动中没有重大违法记录</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无重大违法记录声明函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6</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未被信用中国网站（www.creditchina.gov.cn）列入失信被执行人、重大税收违法案件当事人名单，未被中国政府采购网（www.ccgp.gov.cn）列入政府采购严重违法失信行为记录名单。</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numPr>
                <w:ilvl w:val="0"/>
                <w:numId w:val="6"/>
              </w:numPr>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关于资格的声明函；</w:t>
            </w:r>
          </w:p>
          <w:p>
            <w:pPr>
              <w:keepNext w:val="0"/>
              <w:keepLines w:val="0"/>
              <w:numPr>
                <w:ilvl w:val="0"/>
                <w:numId w:val="6"/>
              </w:numPr>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供应商一般情况表；</w:t>
            </w:r>
          </w:p>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3</w:t>
            </w:r>
            <w:r>
              <w:rPr>
                <w:rFonts w:hint="eastAsia" w:ascii="宋体" w:hAnsi="宋体" w:cs="宋体"/>
                <w:color w:val="auto"/>
                <w:szCs w:val="21"/>
                <w:highlight w:val="none"/>
                <w:lang w:bidi="ar"/>
              </w:rPr>
              <w:t>、采购人、采购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lang w:bidi="ar"/>
              </w:rPr>
            </w:pPr>
            <w:r>
              <w:rPr>
                <w:rFonts w:hint="eastAsia" w:ascii="宋体" w:hAnsi="宋体" w:cs="宋体"/>
                <w:color w:val="auto"/>
                <w:szCs w:val="20"/>
                <w:highlight w:val="none"/>
                <w:lang w:bidi="ar"/>
              </w:rPr>
              <w:t>供应商是否为联合体</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cs="宋体"/>
                <w:color w:val="auto"/>
                <w:szCs w:val="21"/>
                <w:highlight w:val="none"/>
              </w:rPr>
            </w:pPr>
            <w:r>
              <w:rPr>
                <w:rFonts w:hint="eastAsia" w:ascii="宋体" w:hAnsi="宋体" w:cs="宋体"/>
                <w:bCs/>
                <w:color w:val="auto"/>
                <w:szCs w:val="21"/>
                <w:highlight w:val="none"/>
              </w:rPr>
              <w:t>资格审查结论</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rPr>
                <w:rFonts w:hint="eastAsia" w:ascii="宋体" w:hAnsi="宋体" w:cs="宋体"/>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260" w:lineRule="exact"/>
        <w:ind w:firstLine="211" w:firstLineChars="100"/>
        <w:textAlignment w:val="auto"/>
        <w:rPr>
          <w:rFonts w:hint="eastAsia" w:ascii="宋体" w:hAnsi="宋体" w:cs="宋体"/>
          <w:b/>
          <w:color w:val="auto"/>
          <w:szCs w:val="22"/>
          <w:highlight w:val="none"/>
          <w:lang w:bidi="ar"/>
        </w:rPr>
      </w:pPr>
      <w:r>
        <w:rPr>
          <w:rFonts w:hint="eastAsia" w:ascii="宋体" w:hAnsi="宋体" w:cs="宋体"/>
          <w:b/>
          <w:color w:val="auto"/>
          <w:szCs w:val="22"/>
          <w:highlight w:val="none"/>
          <w:lang w:bidi="ar"/>
        </w:rPr>
        <w:t>注：1、上述资格证明文件未按招标文件要求附入投标文件中的，资格性审查不合格。</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宋体" w:hAnsi="宋体" w:cs="宋体"/>
          <w:b/>
          <w:color w:val="auto"/>
          <w:szCs w:val="22"/>
          <w:highlight w:val="none"/>
          <w:lang w:bidi="ar"/>
        </w:rPr>
      </w:pPr>
      <w:r>
        <w:rPr>
          <w:rFonts w:hint="eastAsia" w:ascii="宋体" w:hAnsi="宋体" w:cs="宋体"/>
          <w:b/>
          <w:color w:val="auto"/>
          <w:szCs w:val="22"/>
          <w:highlight w:val="none"/>
          <w:lang w:bidi="ar"/>
        </w:rPr>
        <w:t>2、上述审查项目中，任意一项不符合的，资格性审查不合格。</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宋体" w:hAnsi="宋体" w:cs="宋体"/>
          <w:b/>
          <w:color w:val="auto"/>
          <w:szCs w:val="22"/>
          <w:highlight w:val="none"/>
          <w:lang w:bidi="ar"/>
        </w:rPr>
      </w:pPr>
      <w:r>
        <w:rPr>
          <w:rFonts w:hint="eastAsia" w:ascii="宋体" w:hAnsi="宋体" w:cs="宋体"/>
          <w:b/>
          <w:color w:val="auto"/>
          <w:szCs w:val="22"/>
          <w:highlight w:val="none"/>
          <w:lang w:bidi="ar"/>
        </w:rPr>
        <w:t>3、未办理多证合一的供应商须提供税务登记证副本、组织机构代码证副本、社会保险登记证副本扫描件。</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宋体" w:hAnsi="宋体" w:cs="宋体"/>
          <w:b/>
          <w:color w:val="auto"/>
          <w:szCs w:val="22"/>
          <w:highlight w:val="none"/>
          <w:lang w:bidi="ar"/>
        </w:rPr>
      </w:pPr>
      <w:r>
        <w:rPr>
          <w:rFonts w:hint="eastAsia" w:ascii="宋体" w:hAnsi="宋体" w:cs="宋体"/>
          <w:b/>
          <w:color w:val="auto"/>
          <w:szCs w:val="22"/>
          <w:highlight w:val="none"/>
          <w:lang w:bidi="ar"/>
        </w:rPr>
        <w:t>4、为采购项目提供整体设计、规范编制或者项目管理、监理、检测等服务的供应商投标无效。</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宋体" w:hAnsi="宋体" w:cs="宋体"/>
          <w:b/>
          <w:color w:val="auto"/>
          <w:szCs w:val="22"/>
          <w:highlight w:val="none"/>
          <w:lang w:bidi="ar"/>
        </w:rPr>
      </w:pPr>
      <w:r>
        <w:rPr>
          <w:rFonts w:hint="eastAsia" w:ascii="宋体" w:hAnsi="宋体" w:cs="宋体"/>
          <w:b/>
          <w:color w:val="auto"/>
          <w:szCs w:val="22"/>
          <w:highlight w:val="none"/>
          <w:lang w:bidi="ar"/>
        </w:rPr>
        <w:t>5、本项目实行网上投标，供应商在制作投标文件时须根据上表要求说明要求的资料，将资料逐一对应上传。</w:t>
      </w:r>
    </w:p>
    <w:p>
      <w:pPr>
        <w:pStyle w:val="43"/>
        <w:ind w:firstLine="480"/>
        <w:rPr>
          <w:rFonts w:hint="eastAsia"/>
          <w:color w:val="auto"/>
          <w:highlight w:val="none"/>
        </w:rPr>
      </w:pPr>
    </w:p>
    <w:p>
      <w:pPr>
        <w:spacing w:line="340" w:lineRule="exact"/>
        <w:rPr>
          <w:rFonts w:hint="eastAsia" w:ascii="宋体" w:hAnsi="宋体" w:cs="宋体"/>
          <w:b/>
          <w:bCs/>
          <w:color w:val="auto"/>
          <w:szCs w:val="21"/>
          <w:highlight w:val="none"/>
        </w:rPr>
      </w:pPr>
      <w:r>
        <w:rPr>
          <w:rFonts w:hint="eastAsia" w:ascii="宋体" w:hAnsi="宋体" w:cs="宋体"/>
          <w:b/>
          <w:bCs/>
          <w:color w:val="auto"/>
          <w:szCs w:val="21"/>
          <w:highlight w:val="none"/>
          <w:lang w:bidi="ar"/>
        </w:rPr>
        <w:t>附表2：</w:t>
      </w:r>
    </w:p>
    <w:p>
      <w:pPr>
        <w:pStyle w:val="43"/>
        <w:spacing w:line="360" w:lineRule="auto"/>
        <w:ind w:firstLine="0" w:firstLineChars="0"/>
        <w:jc w:val="center"/>
        <w:rPr>
          <w:rFonts w:hint="eastAsia"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商务技术文件符合性审查表</w:t>
      </w:r>
    </w:p>
    <w:tbl>
      <w:tblPr>
        <w:tblStyle w:val="44"/>
        <w:tblW w:w="9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406"/>
        <w:gridCol w:w="5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序号</w:t>
            </w:r>
          </w:p>
        </w:tc>
        <w:tc>
          <w:tcPr>
            <w:tcW w:w="3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要求</w:t>
            </w:r>
          </w:p>
        </w:tc>
        <w:tc>
          <w:tcPr>
            <w:tcW w:w="53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1</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供应商名称与</w:t>
            </w:r>
            <w:r>
              <w:rPr>
                <w:rFonts w:hint="eastAsia" w:ascii="宋体" w:hAnsi="宋体" w:cs="Times New Roman"/>
                <w:color w:val="auto"/>
                <w:szCs w:val="20"/>
                <w:highlight w:val="none"/>
              </w:rPr>
              <w:t>营业执照（或事业法人登记证）或其他组织（个体工商户）的营业执照或者民办非企业单位登记证书</w:t>
            </w:r>
            <w:r>
              <w:rPr>
                <w:rFonts w:hint="eastAsia" w:ascii="宋体" w:hAnsi="宋体" w:cs="宋体"/>
                <w:color w:val="auto"/>
                <w:szCs w:val="21"/>
                <w:highlight w:val="none"/>
                <w:lang w:bidi="ar"/>
              </w:rPr>
              <w:t>一致。</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供应商名称与</w:t>
            </w:r>
            <w:r>
              <w:rPr>
                <w:rFonts w:hint="eastAsia" w:ascii="宋体" w:hAnsi="宋体" w:cs="Times New Roman"/>
                <w:color w:val="auto"/>
                <w:szCs w:val="20"/>
                <w:highlight w:val="none"/>
              </w:rPr>
              <w:t>营业执照（或事业法人登记证）或其他组织（个体工商户）的营业执照或者民办非企业单位登记证书扫描件上的名称</w:t>
            </w:r>
            <w:r>
              <w:rPr>
                <w:rFonts w:hint="eastAsia" w:ascii="宋体" w:hAnsi="宋体" w:cs="宋体"/>
                <w:color w:val="auto"/>
                <w:szCs w:val="21"/>
                <w:highlight w:val="none"/>
                <w:lang w:bidi="ar"/>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2</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投标有效期符合第二章“投标须知”第七、1条的要求。</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投标有效期符合第二章“投标须知”第七、1条的要求。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3</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投标文件的签署盖章符合第二章“投标须知”第九、2条的要求。</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投标文件的签署盖章符合第二章“投标须知”第九、2条的要求。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4</w:t>
            </w:r>
          </w:p>
        </w:tc>
        <w:tc>
          <w:tcPr>
            <w:tcW w:w="3406"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宋体" w:hAnsi="宋体" w:cs="宋体"/>
                <w:color w:val="auto"/>
                <w:sz w:val="20"/>
                <w:szCs w:val="20"/>
                <w:highlight w:val="none"/>
              </w:rPr>
            </w:pPr>
            <w:r>
              <w:rPr>
                <w:rFonts w:hint="eastAsia" w:ascii="宋体" w:hAnsi="宋体" w:cs="宋体"/>
                <w:color w:val="auto"/>
                <w:szCs w:val="21"/>
                <w:highlight w:val="none"/>
                <w:lang w:bidi="ar"/>
              </w:rPr>
              <w:t>供应商不得在投标活动中提供任何虚假材料或从事其他违法活动的（本项无需上传或关联资料）</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供应商不得在投标活动中提供任何虚假材料或从事其他违法活动的。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5</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法定代表人身份证明符合采购文件要求</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法定代表人身份证明书。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6</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供应商编制的投标文件符合法律、法规和采购文件中规定并对实质性要求完全响应</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供应商编制的投标文件符合法律、法规和采购文件中规定的并对其他实质性要求完全响应（实质性要求招标文件中“★”标记）。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商务技术文件符合性审查</w:t>
            </w:r>
          </w:p>
          <w:p>
            <w:pPr>
              <w:keepNext w:val="0"/>
              <w:keepLines w:val="0"/>
              <w:widowControl/>
              <w:suppressLineNumbers w:val="0"/>
              <w:spacing w:before="0" w:beforeAutospacing="0" w:after="0" w:afterAutospacing="0" w:line="36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结论</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cs="宋体"/>
                <w:color w:val="auto"/>
                <w:szCs w:val="21"/>
                <w:highlight w:val="none"/>
                <w:lang w:bidi="ar"/>
              </w:rPr>
            </w:pPr>
          </w:p>
        </w:tc>
      </w:tr>
    </w:tbl>
    <w:p>
      <w:pPr>
        <w:spacing w:line="400" w:lineRule="exact"/>
        <w:ind w:firstLine="211" w:firstLineChars="100"/>
        <w:rPr>
          <w:rFonts w:hint="eastAsia" w:ascii="宋体" w:hAnsi="宋体" w:cs="宋体"/>
          <w:b/>
          <w:color w:val="auto"/>
          <w:szCs w:val="22"/>
          <w:highlight w:val="none"/>
          <w:lang w:bidi="ar"/>
        </w:rPr>
      </w:pPr>
      <w:r>
        <w:rPr>
          <w:rFonts w:hint="eastAsia" w:ascii="宋体" w:hAnsi="宋体" w:cs="宋体"/>
          <w:b/>
          <w:color w:val="auto"/>
          <w:szCs w:val="22"/>
          <w:highlight w:val="none"/>
          <w:lang w:bidi="ar"/>
        </w:rPr>
        <w:t>注：1、上述审查项目中，任意一项不符合的，商务技术文件符合性审查不合格。</w:t>
      </w:r>
    </w:p>
    <w:p>
      <w:pPr>
        <w:numPr>
          <w:ilvl w:val="0"/>
          <w:numId w:val="7"/>
        </w:numPr>
        <w:spacing w:line="400" w:lineRule="exact"/>
        <w:ind w:firstLine="632" w:firstLineChars="300"/>
        <w:rPr>
          <w:rFonts w:hint="eastAsia" w:ascii="宋体" w:hAnsi="宋体" w:cs="宋体"/>
          <w:b/>
          <w:color w:val="auto"/>
          <w:szCs w:val="22"/>
          <w:highlight w:val="none"/>
          <w:lang w:bidi="ar"/>
        </w:rPr>
      </w:pPr>
      <w:r>
        <w:rPr>
          <w:rFonts w:hint="eastAsia" w:ascii="宋体" w:hAnsi="宋体" w:cs="宋体"/>
          <w:b/>
          <w:color w:val="auto"/>
          <w:szCs w:val="22"/>
          <w:highlight w:val="none"/>
          <w:lang w:bidi="ar"/>
        </w:rPr>
        <w:t>本项目实行网上投标，供应商在制作投标文件时须根据上表要求说明要求的资料，将资料逐一对应上传或关联（有特殊备注的除外）（若关联页码有多页而只能关联一页的，则关联相应页码的第一页）。</w:t>
      </w:r>
    </w:p>
    <w:p>
      <w:pPr>
        <w:numPr>
          <w:ilvl w:val="-1"/>
          <w:numId w:val="0"/>
        </w:numPr>
        <w:spacing w:line="400" w:lineRule="exact"/>
        <w:ind w:firstLine="0" w:firstLineChars="0"/>
        <w:rPr>
          <w:rFonts w:hint="eastAsia" w:ascii="宋体" w:hAnsi="宋体" w:cs="宋体"/>
          <w:b/>
          <w:color w:val="auto"/>
          <w:szCs w:val="22"/>
          <w:highlight w:val="none"/>
          <w:lang w:bidi="ar"/>
        </w:rPr>
      </w:pPr>
    </w:p>
    <w:p>
      <w:pPr>
        <w:numPr>
          <w:ilvl w:val="-1"/>
          <w:numId w:val="0"/>
        </w:numPr>
        <w:spacing w:line="400" w:lineRule="exact"/>
        <w:ind w:firstLine="0" w:firstLineChars="0"/>
        <w:rPr>
          <w:rFonts w:hint="eastAsia" w:ascii="宋体" w:hAnsi="宋体" w:cs="宋体"/>
          <w:b/>
          <w:color w:val="auto"/>
          <w:szCs w:val="22"/>
          <w:highlight w:val="none"/>
          <w:lang w:bidi="ar"/>
        </w:rPr>
      </w:pPr>
    </w:p>
    <w:p>
      <w:pPr>
        <w:pStyle w:val="23"/>
        <w:numPr>
          <w:ilvl w:val="-1"/>
          <w:numId w:val="0"/>
        </w:numPr>
        <w:rPr>
          <w:rFonts w:hint="eastAsia"/>
          <w:color w:val="auto"/>
          <w:highlight w:val="none"/>
        </w:rPr>
      </w:pPr>
    </w:p>
    <w:p>
      <w:pPr>
        <w:pStyle w:val="23"/>
        <w:numPr>
          <w:ilvl w:val="-1"/>
          <w:numId w:val="0"/>
        </w:numPr>
        <w:rPr>
          <w:rFonts w:hint="eastAsia"/>
          <w:color w:val="auto"/>
          <w:highlight w:val="none"/>
        </w:rPr>
      </w:pPr>
    </w:p>
    <w:p>
      <w:pPr>
        <w:pStyle w:val="23"/>
        <w:numPr>
          <w:ilvl w:val="-1"/>
          <w:numId w:val="0"/>
        </w:numPr>
        <w:rPr>
          <w:rFonts w:hint="eastAsia"/>
          <w:color w:val="auto"/>
          <w:highlight w:val="none"/>
        </w:rPr>
      </w:pPr>
    </w:p>
    <w:p>
      <w:pPr>
        <w:pStyle w:val="23"/>
        <w:numPr>
          <w:ilvl w:val="-1"/>
          <w:numId w:val="0"/>
        </w:numPr>
        <w:rPr>
          <w:rFonts w:hint="eastAsia"/>
          <w:color w:val="auto"/>
          <w:highlight w:val="none"/>
        </w:rPr>
      </w:pPr>
    </w:p>
    <w:p>
      <w:pPr>
        <w:pStyle w:val="23"/>
        <w:numPr>
          <w:ilvl w:val="-1"/>
          <w:numId w:val="0"/>
        </w:numPr>
        <w:rPr>
          <w:rFonts w:hint="eastAsia"/>
          <w:color w:val="auto"/>
          <w:highlight w:val="none"/>
        </w:rPr>
      </w:pPr>
    </w:p>
    <w:p>
      <w:pPr>
        <w:spacing w:line="400" w:lineRule="exact"/>
        <w:rPr>
          <w:rFonts w:hint="eastAsia" w:ascii="宋体" w:hAnsi="宋体" w:cs="宋体"/>
          <w:b/>
          <w:bCs/>
          <w:color w:val="auto"/>
          <w:szCs w:val="21"/>
          <w:highlight w:val="none"/>
        </w:rPr>
      </w:pPr>
      <w:bookmarkStart w:id="64" w:name="_Toc5853"/>
      <w:bookmarkStart w:id="65" w:name="_Toc536024503"/>
      <w:r>
        <w:rPr>
          <w:rFonts w:hint="eastAsia" w:ascii="宋体" w:hAnsi="宋体" w:cs="宋体"/>
          <w:b/>
          <w:bCs/>
          <w:color w:val="auto"/>
          <w:szCs w:val="21"/>
          <w:highlight w:val="none"/>
          <w:lang w:bidi="ar"/>
        </w:rPr>
        <w:t>附表3：</w:t>
      </w:r>
    </w:p>
    <w:p>
      <w:pPr>
        <w:pStyle w:val="43"/>
        <w:spacing w:line="360" w:lineRule="auto"/>
        <w:ind w:firstLine="0" w:firstLineChars="0"/>
        <w:jc w:val="center"/>
        <w:rPr>
          <w:rFonts w:hint="eastAsia" w:ascii="宋体" w:hAnsi="宋体" w:eastAsia="宋体" w:cs="宋体"/>
          <w:b/>
          <w:bCs/>
          <w:color w:val="auto"/>
          <w:sz w:val="28"/>
          <w:szCs w:val="28"/>
          <w:highlight w:val="none"/>
          <w:lang w:bidi="ar"/>
        </w:rPr>
      </w:pPr>
      <w:r>
        <w:rPr>
          <w:rFonts w:hint="eastAsia" w:ascii="宋体" w:hAnsi="宋体" w:eastAsia="宋体" w:cs="宋体"/>
          <w:b/>
          <w:bCs/>
          <w:color w:val="auto"/>
          <w:sz w:val="28"/>
          <w:szCs w:val="28"/>
          <w:highlight w:val="none"/>
          <w:lang w:bidi="ar"/>
        </w:rPr>
        <w:t>评分标准（兼评委打分表）</w:t>
      </w:r>
    </w:p>
    <w:tbl>
      <w:tblPr>
        <w:tblStyle w:val="44"/>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640"/>
        <w:gridCol w:w="999"/>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8598" w:type="dxa"/>
            <w:gridSpan w:val="3"/>
            <w:tcBorders>
              <w:top w:val="double" w:color="auto" w:sz="4" w:space="0"/>
              <w:left w:val="double" w:color="auto" w:sz="4" w:space="0"/>
              <w:tl2br w:val="single" w:color="000000" w:sz="4" w:space="0"/>
            </w:tcBorders>
            <w:noWrap w:val="0"/>
            <w:vAlign w:val="top"/>
          </w:tcPr>
          <w:p>
            <w:pPr>
              <w:keepNext w:val="0"/>
              <w:keepLines w:val="0"/>
              <w:suppressLineNumbers w:val="0"/>
              <w:spacing w:before="0" w:beforeAutospacing="0" w:after="0" w:afterAutospacing="0"/>
              <w:ind w:left="0" w:right="0"/>
              <w:jc w:val="right"/>
              <w:rPr>
                <w:rFonts w:hint="eastAsia" w:ascii="宋体" w:hAnsi="宋体" w:cs="宋体"/>
                <w:color w:val="auto"/>
                <w:szCs w:val="20"/>
                <w:highlight w:val="none"/>
              </w:rPr>
            </w:pPr>
            <w:r>
              <w:rPr>
                <w:rFonts w:hint="eastAsia" w:ascii="宋体" w:hAnsi="宋体" w:cs="宋体"/>
                <w:color w:val="auto"/>
                <w:szCs w:val="20"/>
                <w:highlight w:val="none"/>
              </w:rPr>
              <w:t>投标人得分</w:t>
            </w:r>
          </w:p>
          <w:p>
            <w:pPr>
              <w:keepNext w:val="0"/>
              <w:keepLines w:val="0"/>
              <w:suppressLineNumbers w:val="0"/>
              <w:spacing w:before="0" w:beforeAutospacing="0" w:after="0" w:afterAutospacing="0"/>
              <w:ind w:left="0" w:right="0"/>
              <w:rPr>
                <w:rFonts w:hint="eastAsia" w:ascii="宋体" w:hAnsi="宋体" w:cs="宋体"/>
                <w:color w:val="auto"/>
                <w:szCs w:val="20"/>
                <w:highlight w:val="none"/>
                <w:lang w:val="ru-RU"/>
              </w:rPr>
            </w:pPr>
            <w:r>
              <w:rPr>
                <w:rFonts w:hint="eastAsia" w:ascii="宋体" w:hAnsi="宋体" w:cs="宋体"/>
                <w:color w:val="auto"/>
                <w:szCs w:val="20"/>
                <w:highlight w:val="none"/>
              </w:rPr>
              <w:t>评分内容及分值</w:t>
            </w:r>
          </w:p>
        </w:tc>
        <w:tc>
          <w:tcPr>
            <w:tcW w:w="600" w:type="dxa"/>
            <w:vMerge w:val="restart"/>
            <w:tcBorders>
              <w:top w:val="doub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7599" w:type="dxa"/>
            <w:gridSpan w:val="2"/>
            <w:tcBorders>
              <w:left w:val="doub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0"/>
                <w:highlight w:val="none"/>
              </w:rPr>
            </w:pPr>
            <w:r>
              <w:rPr>
                <w:rFonts w:hint="eastAsia" w:ascii="宋体" w:hAnsi="宋体" w:cs="宋体"/>
                <w:color w:val="auto"/>
                <w:szCs w:val="20"/>
                <w:highlight w:val="none"/>
              </w:rPr>
              <w:t>评分内容</w:t>
            </w:r>
          </w:p>
        </w:tc>
        <w:tc>
          <w:tcPr>
            <w:tcW w:w="999"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0"/>
                <w:highlight w:val="none"/>
                <w:lang w:val="ru-RU"/>
              </w:rPr>
            </w:pPr>
            <w:r>
              <w:rPr>
                <w:rFonts w:hint="eastAsia" w:ascii="宋体" w:hAnsi="宋体" w:cs="宋体"/>
                <w:color w:val="auto"/>
                <w:szCs w:val="20"/>
                <w:highlight w:val="none"/>
              </w:rPr>
              <w:t>分值</w:t>
            </w:r>
          </w:p>
        </w:tc>
        <w:tc>
          <w:tcPr>
            <w:tcW w:w="600" w:type="dxa"/>
            <w:vMerge w:val="continue"/>
            <w:tcBorders>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9" w:type="dxa"/>
            <w:vMerge w:val="restart"/>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r>
              <w:rPr>
                <w:rFonts w:hint="eastAsia" w:ascii="宋体" w:hAnsi="宋体" w:cs="宋体"/>
                <w:color w:val="auto"/>
                <w:szCs w:val="20"/>
                <w:highlight w:val="none"/>
              </w:rPr>
              <w:t>商务分</w:t>
            </w:r>
            <w:r>
              <w:rPr>
                <w:rFonts w:hint="eastAsia" w:ascii="宋体" w:hAnsi="宋体" w:cs="宋体"/>
                <w:color w:val="auto"/>
                <w:szCs w:val="20"/>
                <w:highlight w:val="none"/>
                <w:lang w:val="en-US" w:eastAsia="zh-CN"/>
              </w:rPr>
              <w:t>15</w:t>
            </w:r>
            <w:r>
              <w:rPr>
                <w:rFonts w:hint="eastAsia" w:ascii="宋体" w:hAnsi="宋体" w:cs="宋体"/>
                <w:color w:val="auto"/>
                <w:szCs w:val="20"/>
                <w:highlight w:val="none"/>
              </w:rPr>
              <w:t>分</w:t>
            </w: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sz w:val="21"/>
                <w:szCs w:val="20"/>
                <w:highlight w:val="none"/>
              </w:rPr>
            </w:pPr>
            <w:r>
              <w:rPr>
                <w:rFonts w:hint="eastAsia" w:ascii="宋体" w:hAnsi="宋体" w:eastAsia="宋体" w:cs="宋体"/>
                <w:b/>
                <w:color w:val="auto"/>
                <w:szCs w:val="20"/>
                <w:highlight w:val="none"/>
              </w:rPr>
              <w:t>业绩</w:t>
            </w:r>
            <w:r>
              <w:rPr>
                <w:rFonts w:hint="eastAsia" w:ascii="宋体" w:hAnsi="宋体" w:eastAsia="宋体" w:cs="宋体"/>
                <w:b/>
                <w:color w:val="auto"/>
                <w:szCs w:val="20"/>
                <w:highlight w:val="none"/>
                <w:lang w:eastAsia="zh-CN"/>
              </w:rPr>
              <w:t>（</w:t>
            </w:r>
            <w:r>
              <w:rPr>
                <w:rFonts w:hint="eastAsia" w:ascii="宋体" w:hAnsi="宋体" w:cs="宋体"/>
                <w:b/>
                <w:color w:val="auto"/>
                <w:szCs w:val="20"/>
                <w:highlight w:val="none"/>
                <w:lang w:val="en-US" w:eastAsia="zh-CN"/>
              </w:rPr>
              <w:t>3</w:t>
            </w:r>
            <w:r>
              <w:rPr>
                <w:rFonts w:hint="eastAsia" w:ascii="宋体" w:hAnsi="宋体" w:eastAsia="宋体" w:cs="宋体"/>
                <w:b/>
                <w:color w:val="auto"/>
                <w:szCs w:val="20"/>
                <w:highlight w:val="none"/>
                <w:lang w:val="en-US" w:eastAsia="zh-CN"/>
              </w:rPr>
              <w:t>分</w:t>
            </w:r>
            <w:r>
              <w:rPr>
                <w:rFonts w:hint="eastAsia" w:ascii="宋体" w:hAnsi="宋体" w:eastAsia="宋体" w:cs="宋体"/>
                <w:b/>
                <w:color w:val="auto"/>
                <w:szCs w:val="20"/>
                <w:highlight w:val="none"/>
                <w:lang w:eastAsia="zh-CN"/>
              </w:rPr>
              <w:t>）</w:t>
            </w:r>
            <w:r>
              <w:rPr>
                <w:rFonts w:hint="eastAsia" w:ascii="宋体" w:hAnsi="宋体" w:eastAsia="宋体" w:cs="宋体"/>
                <w:b/>
                <w:color w:val="auto"/>
                <w:szCs w:val="20"/>
                <w:highlight w:val="none"/>
              </w:rPr>
              <w:t>：</w:t>
            </w:r>
            <w:r>
              <w:rPr>
                <w:rFonts w:hint="default" w:ascii="Times New Roman" w:hAnsi="Times New Roman" w:eastAsia="宋体" w:cs="Times New Roman"/>
                <w:color w:val="auto"/>
                <w:sz w:val="21"/>
                <w:szCs w:val="21"/>
                <w:highlight w:val="none"/>
                <w:lang w:val="en-US" w:eastAsia="zh-CN"/>
              </w:rPr>
              <w:t>自</w:t>
            </w:r>
            <w:r>
              <w:rPr>
                <w:rFonts w:hint="default" w:ascii="Times New Roman" w:hAnsi="Times New Roman" w:eastAsia="宋体" w:cs="Times New Roman"/>
                <w:color w:val="auto"/>
                <w:sz w:val="21"/>
                <w:szCs w:val="21"/>
                <w:highlight w:val="none"/>
              </w:rPr>
              <w:t>2018年</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月1日（</w:t>
            </w:r>
            <w:r>
              <w:rPr>
                <w:rFonts w:hint="default" w:ascii="Times New Roman" w:hAnsi="Times New Roman" w:eastAsia="宋体" w:cs="Times New Roman"/>
                <w:color w:val="auto"/>
                <w:sz w:val="21"/>
                <w:szCs w:val="21"/>
                <w:highlight w:val="none"/>
                <w:lang w:val="en-US" w:eastAsia="zh-CN"/>
              </w:rPr>
              <w:t>以合同签订时间为准</w:t>
            </w:r>
            <w:r>
              <w:rPr>
                <w:rFonts w:hint="default" w:ascii="Times New Roman" w:hAnsi="Times New Roman" w:eastAsia="宋体" w:cs="Times New Roman"/>
                <w:color w:val="auto"/>
                <w:sz w:val="21"/>
                <w:szCs w:val="21"/>
                <w:highlight w:val="none"/>
              </w:rPr>
              <w:t>）以来，投标人具有</w:t>
            </w:r>
            <w:r>
              <w:rPr>
                <w:rFonts w:hint="default" w:ascii="Times New Roman" w:hAnsi="Times New Roman" w:eastAsia="宋体" w:cs="Times New Roman"/>
                <w:b w:val="0"/>
                <w:color w:val="auto"/>
                <w:sz w:val="21"/>
                <w:szCs w:val="21"/>
                <w:highlight w:val="none"/>
                <w:lang w:val="en-US" w:eastAsia="zh-CN"/>
              </w:rPr>
              <w:t>与本项目类似的</w:t>
            </w:r>
            <w:r>
              <w:rPr>
                <w:rFonts w:hint="eastAsia" w:cs="Times New Roman"/>
                <w:b w:val="0"/>
                <w:color w:val="auto"/>
                <w:sz w:val="21"/>
                <w:szCs w:val="21"/>
                <w:highlight w:val="none"/>
                <w:lang w:val="en-US" w:eastAsia="zh-CN"/>
              </w:rPr>
              <w:t>设备处理</w:t>
            </w:r>
            <w:r>
              <w:rPr>
                <w:rFonts w:hint="default" w:ascii="Times New Roman" w:hAnsi="Times New Roman" w:eastAsia="宋体" w:cs="Times New Roman"/>
                <w:b w:val="0"/>
                <w:color w:val="auto"/>
                <w:sz w:val="21"/>
                <w:szCs w:val="21"/>
                <w:highlight w:val="none"/>
                <w:lang w:val="en-US" w:eastAsia="zh-CN"/>
              </w:rPr>
              <w:t>河道水质提升</w:t>
            </w:r>
            <w:r>
              <w:rPr>
                <w:rFonts w:hint="eastAsia" w:cs="Times New Roman"/>
                <w:b w:val="0"/>
                <w:color w:val="auto"/>
                <w:sz w:val="21"/>
                <w:szCs w:val="21"/>
                <w:highlight w:val="none"/>
                <w:lang w:val="en-US" w:eastAsia="zh-CN"/>
              </w:rPr>
              <w:t>或污水净化处理</w:t>
            </w:r>
            <w:r>
              <w:rPr>
                <w:rFonts w:hint="default" w:ascii="Times New Roman" w:hAnsi="Times New Roman" w:eastAsia="宋体" w:cs="Times New Roman"/>
                <w:b w:val="0"/>
                <w:color w:val="auto"/>
                <w:sz w:val="21"/>
                <w:szCs w:val="21"/>
                <w:highlight w:val="none"/>
                <w:lang w:val="en-US" w:eastAsia="zh-CN"/>
              </w:rPr>
              <w:t>服务项目业绩的</w:t>
            </w:r>
            <w:r>
              <w:rPr>
                <w:rFonts w:hint="eastAsia" w:cs="Times New Roman"/>
                <w:b w:val="0"/>
                <w:color w:val="auto"/>
                <w:sz w:val="21"/>
                <w:szCs w:val="21"/>
                <w:highlight w:val="none"/>
                <w:lang w:val="en-US" w:eastAsia="zh-CN"/>
              </w:rPr>
              <w:t>，每提供一个业绩</w:t>
            </w:r>
            <w:r>
              <w:rPr>
                <w:rFonts w:hint="default" w:ascii="Times New Roman" w:hAnsi="Times New Roman" w:eastAsia="宋体" w:cs="Times New Roman"/>
                <w:color w:val="auto"/>
                <w:sz w:val="21"/>
                <w:szCs w:val="21"/>
                <w:highlight w:val="none"/>
              </w:rPr>
              <w:t>得</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分，最</w:t>
            </w:r>
            <w:r>
              <w:rPr>
                <w:rFonts w:hint="eastAsia" w:cs="Times New Roman"/>
                <w:color w:val="auto"/>
                <w:sz w:val="21"/>
                <w:szCs w:val="21"/>
                <w:highlight w:val="none"/>
                <w:lang w:val="en-US" w:eastAsia="zh-CN"/>
              </w:rPr>
              <w:t>高</w:t>
            </w:r>
            <w:r>
              <w:rPr>
                <w:rFonts w:hint="default" w:ascii="Times New Roman" w:hAnsi="Times New Roman" w:eastAsia="宋体" w:cs="Times New Roman"/>
                <w:color w:val="auto"/>
                <w:sz w:val="21"/>
                <w:szCs w:val="21"/>
                <w:highlight w:val="none"/>
              </w:rPr>
              <w:t>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分。</w:t>
            </w:r>
          </w:p>
          <w:p>
            <w:pPr>
              <w:keepNext w:val="0"/>
              <w:keepLines w:val="0"/>
              <w:suppressLineNumbers w:val="0"/>
              <w:spacing w:before="0" w:beforeAutospacing="0" w:after="0" w:afterAutospacing="0" w:line="300" w:lineRule="exact"/>
              <w:ind w:left="0" w:right="0" w:firstLine="0" w:firstLineChars="0"/>
              <w:rPr>
                <w:rFonts w:hint="eastAsia" w:ascii="Times New Roman" w:hAnsi="Times New Roman" w:cs="Times New Roman"/>
                <w:color w:val="auto"/>
                <w:kern w:val="2"/>
                <w:sz w:val="21"/>
                <w:szCs w:val="22"/>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注：</w:t>
            </w:r>
            <w:bookmarkStart w:id="66" w:name="OLE_LINK30"/>
            <w:r>
              <w:rPr>
                <w:rFonts w:hint="eastAsia" w:ascii="Times New Roman" w:hAnsi="Times New Roman" w:eastAsia="宋体" w:cs="Times New Roman"/>
                <w:b w:val="0"/>
                <w:bCs w:val="0"/>
                <w:color w:val="auto"/>
                <w:sz w:val="21"/>
                <w:szCs w:val="21"/>
                <w:highlight w:val="none"/>
                <w:lang w:val="en-US" w:eastAsia="zh-CN"/>
              </w:rPr>
              <w:t>投标文件中</w:t>
            </w:r>
            <w:r>
              <w:rPr>
                <w:rFonts w:hint="default" w:ascii="Times New Roman" w:hAnsi="Times New Roman" w:eastAsia="宋体" w:cs="Times New Roman"/>
                <w:b w:val="0"/>
                <w:bCs w:val="0"/>
                <w:color w:val="auto"/>
                <w:sz w:val="21"/>
                <w:szCs w:val="21"/>
                <w:highlight w:val="none"/>
              </w:rPr>
              <w:t>提供合同、与合同对应的</w:t>
            </w:r>
            <w:bookmarkEnd w:id="66"/>
            <w:r>
              <w:rPr>
                <w:rFonts w:hint="default" w:ascii="Times New Roman" w:hAnsi="Times New Roman" w:eastAsia="宋体" w:cs="Times New Roman"/>
                <w:b w:val="0"/>
                <w:bCs w:val="0"/>
                <w:color w:val="auto"/>
                <w:sz w:val="21"/>
                <w:szCs w:val="21"/>
                <w:highlight w:val="none"/>
              </w:rPr>
              <w:t>付款</w:t>
            </w:r>
            <w:r>
              <w:rPr>
                <w:rFonts w:hint="default" w:ascii="Times New Roman" w:hAnsi="Times New Roman" w:eastAsia="宋体" w:cs="Times New Roman"/>
                <w:b w:val="0"/>
                <w:bCs w:val="0"/>
                <w:color w:val="auto"/>
                <w:sz w:val="21"/>
                <w:szCs w:val="21"/>
                <w:highlight w:val="none"/>
                <w:lang w:val="en-US" w:eastAsia="zh-CN"/>
              </w:rPr>
              <w:t>发票</w:t>
            </w:r>
            <w:r>
              <w:rPr>
                <w:rFonts w:hint="default" w:ascii="Times New Roman" w:hAnsi="Times New Roman" w:eastAsia="宋体" w:cs="Times New Roman"/>
                <w:b w:val="0"/>
                <w:bCs w:val="0"/>
                <w:color w:val="auto"/>
                <w:sz w:val="21"/>
                <w:szCs w:val="21"/>
                <w:highlight w:val="none"/>
              </w:rPr>
              <w:t>凭证</w:t>
            </w:r>
            <w:r>
              <w:rPr>
                <w:rFonts w:hint="eastAsia" w:cs="Times New Roman"/>
                <w:b w:val="0"/>
                <w:bCs w:val="0"/>
                <w:color w:val="auto"/>
                <w:sz w:val="21"/>
                <w:szCs w:val="21"/>
                <w:highlight w:val="none"/>
                <w:lang w:val="en-US" w:eastAsia="zh-CN"/>
              </w:rPr>
              <w:t>原件</w:t>
            </w:r>
            <w:r>
              <w:rPr>
                <w:rFonts w:hint="default" w:ascii="Times New Roman" w:hAnsi="Times New Roman" w:eastAsia="宋体" w:cs="Times New Roman"/>
                <w:b w:val="0"/>
                <w:bCs w:val="0"/>
                <w:color w:val="auto"/>
                <w:sz w:val="21"/>
                <w:szCs w:val="21"/>
                <w:highlight w:val="none"/>
                <w:lang w:val="en-US" w:eastAsia="zh-CN"/>
              </w:rPr>
              <w:t>扫描</w:t>
            </w:r>
            <w:r>
              <w:rPr>
                <w:rFonts w:hint="default" w:ascii="Times New Roman" w:hAnsi="Times New Roman" w:eastAsia="宋体" w:cs="Times New Roman"/>
                <w:b w:val="0"/>
                <w:bCs w:val="0"/>
                <w:color w:val="auto"/>
                <w:sz w:val="21"/>
                <w:szCs w:val="21"/>
                <w:highlight w:val="none"/>
              </w:rPr>
              <w:t>件</w:t>
            </w:r>
            <w:r>
              <w:rPr>
                <w:rFonts w:hint="eastAsia" w:ascii="Times New Roman" w:hAnsi="Times New Roman" w:eastAsia="宋体"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多期付款的，提供</w:t>
            </w:r>
            <w:r>
              <w:rPr>
                <w:rFonts w:hint="eastAsia" w:ascii="Times New Roman" w:hAnsi="Times New Roman" w:eastAsia="宋体" w:cs="Times New Roman"/>
                <w:b w:val="0"/>
                <w:bCs w:val="0"/>
                <w:color w:val="auto"/>
                <w:sz w:val="21"/>
                <w:szCs w:val="21"/>
                <w:highlight w:val="none"/>
                <w:lang w:val="en-US" w:eastAsia="zh-CN"/>
              </w:rPr>
              <w:t>一期及以上</w:t>
            </w:r>
            <w:r>
              <w:rPr>
                <w:rFonts w:hint="eastAsia" w:cs="Times New Roman"/>
                <w:b w:val="0"/>
                <w:bCs w:val="0"/>
                <w:color w:val="auto"/>
                <w:sz w:val="21"/>
                <w:szCs w:val="21"/>
                <w:highlight w:val="none"/>
                <w:lang w:val="en-US" w:eastAsia="zh-CN"/>
              </w:rPr>
              <w:t>付款发票凭证</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并加盖公章，</w:t>
            </w:r>
            <w:r>
              <w:rPr>
                <w:rFonts w:hint="eastAsia" w:ascii="宋体" w:hAnsi="宋体" w:eastAsia="宋体" w:cs="宋体"/>
                <w:color w:val="auto"/>
                <w:szCs w:val="20"/>
                <w:highlight w:val="none"/>
                <w:lang w:val="en-US" w:eastAsia="zh-CN"/>
              </w:rPr>
              <w:t>合同未能体现相关评审内容的，另须提供</w:t>
            </w:r>
            <w:r>
              <w:rPr>
                <w:rFonts w:hint="eastAsia" w:ascii="宋体" w:hAnsi="宋体" w:cs="宋体"/>
                <w:color w:val="auto"/>
                <w:szCs w:val="20"/>
                <w:highlight w:val="none"/>
                <w:lang w:val="en-US" w:eastAsia="zh-CN"/>
              </w:rPr>
              <w:t>合同</w:t>
            </w:r>
            <w:r>
              <w:rPr>
                <w:rFonts w:hint="eastAsia" w:ascii="宋体" w:hAnsi="宋体" w:eastAsia="宋体" w:cs="宋体"/>
                <w:color w:val="auto"/>
                <w:szCs w:val="20"/>
                <w:highlight w:val="none"/>
                <w:lang w:val="en-US" w:eastAsia="zh-CN"/>
              </w:rPr>
              <w:t>业主单位证明文件原件扫描件。</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0" w:right="0" w:firstLine="0" w:firstLineChars="0"/>
              <w:textAlignment w:val="auto"/>
              <w:rPr>
                <w:rFonts w:hint="eastAsia" w:ascii="宋体" w:hAnsi="宋体" w:eastAsia="宋体" w:cs="宋体"/>
                <w:color w:val="auto"/>
                <w:kern w:val="0"/>
                <w:szCs w:val="21"/>
                <w:highlight w:val="none"/>
              </w:rPr>
            </w:pPr>
            <w:r>
              <w:rPr>
                <w:rFonts w:hint="eastAsia" w:ascii="宋体" w:hAnsi="宋体" w:eastAsia="宋体" w:cs="宋体"/>
                <w:b/>
                <w:color w:val="auto"/>
                <w:szCs w:val="20"/>
                <w:highlight w:val="none"/>
                <w:lang w:val="en-US" w:eastAsia="zh-CN"/>
              </w:rPr>
              <w:t>管理体系</w:t>
            </w:r>
            <w:r>
              <w:rPr>
                <w:rFonts w:hint="eastAsia" w:ascii="宋体" w:hAnsi="宋体" w:eastAsia="宋体" w:cs="宋体"/>
                <w:b/>
                <w:color w:val="auto"/>
                <w:szCs w:val="20"/>
                <w:highlight w:val="none"/>
                <w:lang w:eastAsia="zh-CN"/>
              </w:rPr>
              <w:t>（</w:t>
            </w:r>
            <w:r>
              <w:rPr>
                <w:rFonts w:hint="eastAsia" w:ascii="宋体" w:hAnsi="宋体" w:eastAsia="宋体" w:cs="宋体"/>
                <w:b/>
                <w:color w:val="auto"/>
                <w:szCs w:val="20"/>
                <w:highlight w:val="none"/>
                <w:lang w:val="en-US" w:eastAsia="zh-CN"/>
              </w:rPr>
              <w:t>3分</w:t>
            </w:r>
            <w:r>
              <w:rPr>
                <w:rFonts w:hint="eastAsia" w:ascii="宋体" w:hAnsi="宋体" w:eastAsia="宋体" w:cs="宋体"/>
                <w:b/>
                <w:color w:val="auto"/>
                <w:szCs w:val="20"/>
                <w:highlight w:val="none"/>
                <w:lang w:eastAsia="zh-CN"/>
              </w:rPr>
              <w:t>）</w:t>
            </w:r>
            <w:r>
              <w:rPr>
                <w:rFonts w:hint="eastAsia" w:ascii="宋体" w:hAnsi="宋体" w:eastAsia="宋体" w:cs="宋体"/>
                <w:b/>
                <w:color w:val="auto"/>
                <w:szCs w:val="20"/>
                <w:highlight w:val="none"/>
              </w:rPr>
              <w:t>：</w:t>
            </w:r>
            <w:r>
              <w:rPr>
                <w:rFonts w:hint="eastAsia" w:ascii="宋体" w:hAnsi="宋体" w:eastAsia="宋体" w:cs="宋体"/>
                <w:color w:val="auto"/>
                <w:kern w:val="0"/>
                <w:szCs w:val="21"/>
                <w:highlight w:val="none"/>
              </w:rPr>
              <w:t>投标人具有有效的质量管理认证体系证书得</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分，具有有效的环境管理认证体系证书得</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分，具有有效的职业健康安全管理认证体系证书得</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分。</w:t>
            </w:r>
          </w:p>
          <w:p>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0" w:right="0" w:firstLine="0" w:firstLineChars="0"/>
              <w:textAlignment w:val="auto"/>
              <w:rPr>
                <w:rFonts w:hint="eastAsia" w:ascii="Times New Roman" w:hAnsi="Times New Roman" w:cs="Times New Roman"/>
                <w:color w:val="auto"/>
                <w:kern w:val="2"/>
                <w:sz w:val="21"/>
                <w:szCs w:val="22"/>
                <w:highlight w:val="none"/>
                <w:lang w:val="en-US" w:eastAsia="zh-CN" w:bidi="ar-SA"/>
              </w:rPr>
            </w:pPr>
            <w:r>
              <w:rPr>
                <w:rFonts w:hint="eastAsia" w:ascii="宋体" w:hAnsi="宋体" w:eastAsia="宋体" w:cs="宋体"/>
                <w:color w:val="auto"/>
                <w:kern w:val="0"/>
                <w:szCs w:val="21"/>
                <w:highlight w:val="none"/>
                <w:lang w:val="en-US" w:eastAsia="zh-CN"/>
              </w:rPr>
              <w:t>注：上述</w:t>
            </w:r>
            <w:r>
              <w:rPr>
                <w:rFonts w:hint="eastAsia" w:ascii="宋体" w:hAnsi="宋体" w:eastAsia="宋体" w:cs="宋体"/>
                <w:color w:val="auto"/>
                <w:kern w:val="0"/>
                <w:szCs w:val="21"/>
                <w:highlight w:val="none"/>
              </w:rPr>
              <w:t>体系认证证书</w:t>
            </w:r>
            <w:r>
              <w:rPr>
                <w:rFonts w:hint="eastAsia" w:ascii="宋体" w:hAnsi="宋体" w:eastAsia="宋体" w:cs="宋体"/>
                <w:color w:val="auto"/>
                <w:kern w:val="0"/>
                <w:szCs w:val="21"/>
                <w:highlight w:val="none"/>
                <w:lang w:val="en-US" w:eastAsia="zh-CN"/>
              </w:rPr>
              <w:t>认证范围须含</w:t>
            </w:r>
            <w:r>
              <w:rPr>
                <w:rFonts w:hint="eastAsia" w:ascii="宋体" w:hAnsi="宋体" w:eastAsia="宋体" w:cs="宋体"/>
                <w:color w:val="auto"/>
                <w:kern w:val="0"/>
                <w:szCs w:val="21"/>
                <w:highlight w:val="none"/>
              </w:rPr>
              <w:t>水处理设备的设计</w:t>
            </w:r>
            <w:r>
              <w:rPr>
                <w:rFonts w:hint="eastAsia" w:ascii="宋体" w:hAnsi="宋体" w:eastAsia="宋体" w:cs="宋体"/>
                <w:color w:val="auto"/>
                <w:kern w:val="0"/>
                <w:szCs w:val="21"/>
                <w:highlight w:val="none"/>
                <w:lang w:val="en-US" w:eastAsia="zh-CN"/>
              </w:rPr>
              <w:t>或</w:t>
            </w:r>
            <w:r>
              <w:rPr>
                <w:rFonts w:hint="eastAsia" w:ascii="宋体" w:hAnsi="宋体" w:eastAsia="宋体" w:cs="宋体"/>
                <w:color w:val="auto"/>
                <w:kern w:val="0"/>
                <w:szCs w:val="21"/>
                <w:highlight w:val="none"/>
              </w:rPr>
              <w:t>开发</w:t>
            </w:r>
            <w:r>
              <w:rPr>
                <w:rFonts w:hint="eastAsia" w:ascii="宋体" w:hAnsi="宋体" w:eastAsia="宋体" w:cs="宋体"/>
                <w:color w:val="auto"/>
                <w:kern w:val="0"/>
                <w:szCs w:val="21"/>
                <w:highlight w:val="none"/>
                <w:lang w:val="en-US" w:eastAsia="zh-CN"/>
              </w:rPr>
              <w:t>或</w:t>
            </w:r>
            <w:r>
              <w:rPr>
                <w:rFonts w:hint="eastAsia" w:ascii="宋体" w:hAnsi="宋体" w:eastAsia="宋体" w:cs="宋体"/>
                <w:color w:val="auto"/>
                <w:kern w:val="0"/>
                <w:szCs w:val="21"/>
                <w:highlight w:val="none"/>
              </w:rPr>
              <w:t>生产管理</w:t>
            </w:r>
            <w:r>
              <w:rPr>
                <w:rFonts w:hint="eastAsia" w:ascii="宋体" w:hAnsi="宋体" w:eastAsia="宋体" w:cs="宋体"/>
                <w:color w:val="auto"/>
                <w:kern w:val="0"/>
                <w:szCs w:val="21"/>
                <w:highlight w:val="none"/>
                <w:lang w:val="en-US" w:eastAsia="zh-CN"/>
              </w:rPr>
              <w:t>或</w:t>
            </w:r>
            <w:r>
              <w:rPr>
                <w:rFonts w:hint="eastAsia" w:ascii="宋体" w:hAnsi="宋体" w:eastAsia="宋体" w:cs="宋体"/>
                <w:color w:val="auto"/>
                <w:kern w:val="0"/>
                <w:szCs w:val="21"/>
                <w:highlight w:val="none"/>
              </w:rPr>
              <w:t>售后服务</w:t>
            </w:r>
            <w:r>
              <w:rPr>
                <w:rFonts w:hint="eastAsia" w:ascii="宋体" w:hAnsi="宋体" w:eastAsia="宋体" w:cs="宋体"/>
                <w:color w:val="auto"/>
                <w:kern w:val="0"/>
                <w:szCs w:val="21"/>
                <w:highlight w:val="none"/>
                <w:lang w:val="en-US" w:eastAsia="zh-CN"/>
              </w:rPr>
              <w:t>内容，</w:t>
            </w:r>
            <w:r>
              <w:rPr>
                <w:rFonts w:hint="eastAsia" w:ascii="宋体" w:hAnsi="宋体" w:eastAsia="宋体" w:cs="宋体"/>
                <w:color w:val="auto"/>
                <w:kern w:val="0"/>
                <w:szCs w:val="21"/>
                <w:highlight w:val="none"/>
              </w:rPr>
              <w:t>投标文件中</w:t>
            </w:r>
            <w:r>
              <w:rPr>
                <w:rFonts w:hint="eastAsia" w:ascii="宋体" w:hAnsi="宋体" w:cs="宋体"/>
                <w:color w:val="auto"/>
                <w:kern w:val="0"/>
                <w:szCs w:val="21"/>
                <w:highlight w:val="none"/>
                <w:lang w:val="en-US" w:eastAsia="zh-CN"/>
              </w:rPr>
              <w:t>须</w:t>
            </w:r>
            <w:r>
              <w:rPr>
                <w:rFonts w:hint="eastAsia" w:ascii="宋体" w:hAnsi="宋体" w:eastAsia="宋体" w:cs="宋体"/>
                <w:color w:val="auto"/>
                <w:kern w:val="0"/>
                <w:szCs w:val="21"/>
                <w:highlight w:val="none"/>
              </w:rPr>
              <w:t>提供</w:t>
            </w:r>
            <w:r>
              <w:rPr>
                <w:rFonts w:hint="eastAsia" w:ascii="宋体" w:hAnsi="宋体" w:eastAsia="宋体" w:cs="宋体"/>
                <w:color w:val="auto"/>
                <w:kern w:val="0"/>
                <w:szCs w:val="21"/>
                <w:highlight w:val="none"/>
                <w:lang w:val="en-US" w:eastAsia="zh-CN"/>
              </w:rPr>
              <w:t>相关体系认证证书原件扫描</w:t>
            </w:r>
            <w:r>
              <w:rPr>
                <w:rFonts w:hint="eastAsia" w:ascii="宋体" w:hAnsi="宋体" w:eastAsia="宋体" w:cs="宋体"/>
                <w:color w:val="auto"/>
                <w:kern w:val="0"/>
                <w:szCs w:val="21"/>
                <w:highlight w:val="none"/>
              </w:rPr>
              <w:t>件，</w:t>
            </w:r>
            <w:r>
              <w:rPr>
                <w:rFonts w:hint="eastAsia" w:ascii="宋体" w:hAnsi="宋体" w:eastAsia="宋体" w:cs="宋体"/>
                <w:color w:val="auto"/>
                <w:kern w:val="0"/>
                <w:szCs w:val="21"/>
                <w:highlight w:val="none"/>
                <w:lang w:val="en-US" w:eastAsia="zh-CN"/>
              </w:rPr>
              <w:t>扫描</w:t>
            </w:r>
            <w:r>
              <w:rPr>
                <w:rFonts w:hint="eastAsia" w:ascii="宋体" w:hAnsi="宋体" w:eastAsia="宋体" w:cs="宋体"/>
                <w:color w:val="auto"/>
                <w:kern w:val="0"/>
                <w:szCs w:val="21"/>
                <w:highlight w:val="none"/>
              </w:rPr>
              <w:t>件加盖投标人公章。</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eastAsia"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rPr>
              <w:t>投标产品认证</w:t>
            </w:r>
            <w:r>
              <w:rPr>
                <w:rFonts w:hint="eastAsia" w:ascii="Times New Roman" w:hAnsi="Times New Roman" w:cs="Times New Roman"/>
                <w:b/>
                <w:color w:val="auto"/>
                <w:sz w:val="21"/>
                <w:szCs w:val="21"/>
                <w:highlight w:val="none"/>
                <w:lang w:eastAsia="zh-CN"/>
              </w:rPr>
              <w:t>（</w:t>
            </w:r>
            <w:r>
              <w:rPr>
                <w:rFonts w:hint="eastAsia" w:cs="Times New Roman"/>
                <w:b/>
                <w:color w:val="auto"/>
                <w:sz w:val="21"/>
                <w:szCs w:val="21"/>
                <w:highlight w:val="none"/>
                <w:lang w:val="en-US" w:eastAsia="zh-CN"/>
              </w:rPr>
              <w:t>3</w:t>
            </w:r>
            <w:r>
              <w:rPr>
                <w:rFonts w:hint="eastAsia" w:ascii="Times New Roman" w:hAnsi="Times New Roman" w:cs="Times New Roman"/>
                <w:b/>
                <w:color w:val="auto"/>
                <w:sz w:val="21"/>
                <w:szCs w:val="21"/>
                <w:highlight w:val="none"/>
                <w:lang w:val="en-US" w:eastAsia="zh-CN"/>
              </w:rPr>
              <w:t>分</w:t>
            </w:r>
            <w:r>
              <w:rPr>
                <w:rFonts w:hint="eastAsia" w:ascii="Times New Roman" w:hAnsi="Times New Roman" w:cs="Times New Roman"/>
                <w:b/>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投标人</w:t>
            </w:r>
            <w:r>
              <w:rPr>
                <w:rFonts w:hint="eastAsia" w:cs="Times New Roman"/>
                <w:color w:val="auto"/>
                <w:sz w:val="21"/>
                <w:szCs w:val="21"/>
                <w:highlight w:val="none"/>
                <w:lang w:val="en-US" w:eastAsia="zh-CN"/>
              </w:rPr>
              <w:t>所采用的</w:t>
            </w:r>
            <w:r>
              <w:rPr>
                <w:rFonts w:hint="default" w:ascii="Times New Roman" w:hAnsi="Times New Roman" w:cs="Times New Roman"/>
                <w:color w:val="auto"/>
                <w:sz w:val="21"/>
                <w:szCs w:val="21"/>
                <w:highlight w:val="none"/>
              </w:rPr>
              <w:t>水处理设备</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主体设备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具有中国质量认证中心颁布的中国环保产品认证证书（CQC认证）得</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分</w:t>
            </w:r>
            <w:r>
              <w:rPr>
                <w:rFonts w:hint="eastAsia" w:cs="Times New Roman"/>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default" w:eastAsia="宋体"/>
                <w:color w:val="auto"/>
                <w:szCs w:val="20"/>
                <w:highlight w:val="none"/>
                <w:lang w:val="en-US" w:eastAsia="zh-CN"/>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投标人</w:t>
            </w:r>
            <w:r>
              <w:rPr>
                <w:rFonts w:hint="default" w:ascii="Times New Roman" w:hAnsi="Times New Roman" w:cs="Times New Roman"/>
                <w:color w:val="auto"/>
                <w:sz w:val="21"/>
                <w:szCs w:val="21"/>
                <w:highlight w:val="none"/>
                <w:lang w:val="en-US" w:eastAsia="zh-CN"/>
              </w:rPr>
              <w:t>所采用的</w:t>
            </w:r>
            <w:r>
              <w:rPr>
                <w:rFonts w:hint="default" w:ascii="Times New Roman" w:hAnsi="Times New Roman" w:cs="Times New Roman"/>
                <w:color w:val="auto"/>
                <w:sz w:val="21"/>
                <w:szCs w:val="21"/>
                <w:highlight w:val="none"/>
              </w:rPr>
              <w:t>水处理设备</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主体设备</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具备相关检测机构</w:t>
            </w:r>
            <w:r>
              <w:rPr>
                <w:rFonts w:hint="eastAsia" w:ascii="Times New Roman" w:hAnsi="Times New Roman" w:cs="Times New Roman"/>
                <w:color w:val="auto"/>
                <w:sz w:val="21"/>
                <w:szCs w:val="21"/>
                <w:highlight w:val="none"/>
                <w:lang w:val="en-US" w:eastAsia="zh-CN"/>
              </w:rPr>
              <w:t>出具的检验报告（</w:t>
            </w:r>
            <w:r>
              <w:rPr>
                <w:rFonts w:hint="eastAsia" w:cs="Times New Roman"/>
                <w:color w:val="auto"/>
                <w:sz w:val="21"/>
                <w:szCs w:val="21"/>
                <w:highlight w:val="none"/>
                <w:lang w:val="en-US" w:eastAsia="zh-CN"/>
              </w:rPr>
              <w:t>报告需要</w:t>
            </w:r>
            <w:r>
              <w:rPr>
                <w:rFonts w:hint="eastAsia" w:ascii="Times New Roman" w:hAnsi="Times New Roman" w:cs="Times New Roman"/>
                <w:color w:val="auto"/>
                <w:sz w:val="21"/>
                <w:szCs w:val="21"/>
                <w:highlight w:val="none"/>
                <w:lang w:val="en-US" w:eastAsia="zh-CN"/>
              </w:rPr>
              <w:t>具有CMA认证或</w:t>
            </w:r>
            <w:r>
              <w:rPr>
                <w:rFonts w:hint="default" w:ascii="Times New Roman" w:hAnsi="Times New Roman" w:cs="Times New Roman"/>
                <w:color w:val="auto"/>
                <w:sz w:val="21"/>
                <w:szCs w:val="21"/>
                <w:highlight w:val="none"/>
                <w:lang w:val="en-US" w:eastAsia="zh-CN"/>
              </w:rPr>
              <w:t>CNAS</w:t>
            </w:r>
            <w:r>
              <w:rPr>
                <w:rFonts w:hint="eastAsia" w:ascii="Times New Roman" w:hAnsi="Times New Roman" w:cs="Times New Roman"/>
                <w:color w:val="auto"/>
                <w:sz w:val="21"/>
                <w:szCs w:val="21"/>
                <w:highlight w:val="none"/>
                <w:lang w:val="en-US" w:eastAsia="zh-CN"/>
              </w:rPr>
              <w:t>认证）的，得</w:t>
            </w:r>
            <w:r>
              <w:rPr>
                <w:rFonts w:hint="eastAsia" w:cs="Times New Roman"/>
                <w:color w:val="auto"/>
                <w:sz w:val="21"/>
                <w:szCs w:val="21"/>
                <w:highlight w:val="none"/>
                <w:lang w:val="en-US" w:eastAsia="zh-CN"/>
              </w:rPr>
              <w:t>1.5</w:t>
            </w:r>
            <w:r>
              <w:rPr>
                <w:rFonts w:hint="eastAsia" w:ascii="Times New Roman" w:hAnsi="Times New Roman" w:cs="Times New Roman"/>
                <w:color w:val="auto"/>
                <w:sz w:val="21"/>
                <w:szCs w:val="21"/>
                <w:highlight w:val="none"/>
                <w:lang w:val="en-US" w:eastAsia="zh-CN"/>
              </w:rPr>
              <w:t>分</w:t>
            </w:r>
            <w:r>
              <w:rPr>
                <w:rFonts w:hint="eastAsia" w:cs="Times New Roman"/>
                <w:color w:val="auto"/>
                <w:sz w:val="21"/>
                <w:szCs w:val="21"/>
                <w:highlight w:val="none"/>
                <w:lang w:val="en-US" w:eastAsia="zh-CN"/>
              </w:rPr>
              <w:t>。</w:t>
            </w:r>
          </w:p>
          <w:p>
            <w:pPr>
              <w:keepNext w:val="0"/>
              <w:keepLines w:val="0"/>
              <w:numPr>
                <w:ilvl w:val="-1"/>
                <w:numId w:val="0"/>
              </w:numPr>
              <w:suppressLineNumbers w:val="0"/>
              <w:spacing w:before="0" w:beforeAutospacing="0" w:after="0" w:afterAutospacing="0" w:line="300" w:lineRule="exact"/>
              <w:ind w:left="0" w:right="0" w:firstLine="0" w:firstLineChars="0"/>
              <w:rPr>
                <w:rFonts w:hint="eastAsia" w:ascii="Times New Roman" w:hAnsi="Times New Roman" w:cs="Times New Roman"/>
                <w:color w:val="auto"/>
                <w:szCs w:val="20"/>
                <w:highlight w:val="none"/>
                <w:lang w:val="en-US" w:eastAsia="zh-CN"/>
              </w:rPr>
            </w:pPr>
            <w:r>
              <w:rPr>
                <w:rFonts w:hint="eastAsia" w:ascii="宋体" w:hAnsi="宋体" w:eastAsia="宋体" w:cs="宋体"/>
                <w:b w:val="0"/>
                <w:color w:val="auto"/>
                <w:kern w:val="0"/>
                <w:sz w:val="21"/>
                <w:szCs w:val="21"/>
                <w:highlight w:val="none"/>
              </w:rPr>
              <w:t>注：</w:t>
            </w:r>
            <w:r>
              <w:rPr>
                <w:rFonts w:hint="eastAsia" w:ascii="宋体" w:hAnsi="宋体" w:cs="宋体"/>
                <w:b w:val="0"/>
                <w:color w:val="auto"/>
                <w:kern w:val="0"/>
                <w:sz w:val="21"/>
                <w:szCs w:val="21"/>
                <w:highlight w:val="none"/>
                <w:lang w:val="en-US" w:eastAsia="zh-CN"/>
              </w:rPr>
              <w:t>投标文件中</w:t>
            </w:r>
            <w:r>
              <w:rPr>
                <w:rFonts w:hint="eastAsia" w:ascii="宋体" w:hAnsi="宋体" w:eastAsia="宋体" w:cs="宋体"/>
                <w:b w:val="0"/>
                <w:color w:val="auto"/>
                <w:kern w:val="0"/>
                <w:sz w:val="21"/>
                <w:szCs w:val="21"/>
                <w:highlight w:val="none"/>
              </w:rPr>
              <w:t>提供相关证书</w:t>
            </w:r>
            <w:r>
              <w:rPr>
                <w:rFonts w:hint="eastAsia" w:ascii="宋体" w:hAnsi="宋体" w:cs="宋体"/>
                <w:b w:val="0"/>
                <w:bCs w:val="0"/>
                <w:color w:val="auto"/>
                <w:kern w:val="0"/>
                <w:sz w:val="21"/>
                <w:szCs w:val="21"/>
                <w:highlight w:val="none"/>
                <w:lang w:val="en-US" w:eastAsia="zh-CN"/>
              </w:rPr>
              <w:t>、检测报告原件</w:t>
            </w:r>
            <w:r>
              <w:rPr>
                <w:rFonts w:hint="eastAsia" w:ascii="宋体" w:hAnsi="宋体" w:eastAsia="宋体" w:cs="宋体"/>
                <w:b w:val="0"/>
                <w:bCs w:val="0"/>
                <w:color w:val="auto"/>
                <w:kern w:val="0"/>
                <w:sz w:val="21"/>
                <w:szCs w:val="21"/>
                <w:highlight w:val="none"/>
                <w:lang w:val="en-US" w:eastAsia="zh-CN"/>
              </w:rPr>
              <w:t>扫描件</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扫描</w:t>
            </w:r>
            <w:r>
              <w:rPr>
                <w:rFonts w:hint="eastAsia" w:ascii="宋体" w:hAnsi="宋体" w:eastAsia="宋体" w:cs="宋体"/>
                <w:color w:val="auto"/>
                <w:kern w:val="0"/>
                <w:szCs w:val="21"/>
                <w:highlight w:val="none"/>
              </w:rPr>
              <w:t>件加盖投标人公章</w:t>
            </w:r>
            <w:r>
              <w:rPr>
                <w:rFonts w:hint="eastAsia" w:ascii="宋体" w:hAnsi="宋体" w:eastAsia="宋体" w:cs="宋体"/>
                <w:b w:val="0"/>
                <w:bCs w:val="0"/>
                <w:color w:val="auto"/>
                <w:kern w:val="0"/>
                <w:sz w:val="21"/>
                <w:szCs w:val="21"/>
                <w:highlight w:val="none"/>
              </w:rPr>
              <w:t>。</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eastAsia"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rPr>
              <w:t>投标人</w:t>
            </w:r>
            <w:r>
              <w:rPr>
                <w:rFonts w:hint="eastAsia" w:cs="Times New Roman"/>
                <w:b/>
                <w:color w:val="auto"/>
                <w:sz w:val="21"/>
                <w:szCs w:val="21"/>
                <w:highlight w:val="none"/>
                <w:lang w:val="en-US" w:eastAsia="zh-CN"/>
              </w:rPr>
              <w:t>综合</w:t>
            </w:r>
            <w:r>
              <w:rPr>
                <w:rFonts w:hint="default" w:ascii="Times New Roman" w:hAnsi="Times New Roman" w:cs="Times New Roman"/>
                <w:b/>
                <w:color w:val="auto"/>
                <w:sz w:val="21"/>
                <w:szCs w:val="21"/>
                <w:highlight w:val="none"/>
              </w:rPr>
              <w:t>实力</w:t>
            </w:r>
            <w:r>
              <w:rPr>
                <w:rFonts w:hint="eastAsia" w:ascii="Times New Roman" w:hAnsi="Times New Roman" w:cs="Times New Roman"/>
                <w:b/>
                <w:color w:val="auto"/>
                <w:sz w:val="21"/>
                <w:szCs w:val="21"/>
                <w:highlight w:val="none"/>
                <w:lang w:eastAsia="zh-CN"/>
              </w:rPr>
              <w:t>（</w:t>
            </w:r>
            <w:r>
              <w:rPr>
                <w:rFonts w:hint="eastAsia" w:ascii="Times New Roman" w:hAnsi="Times New Roman" w:cs="Times New Roman"/>
                <w:b/>
                <w:color w:val="auto"/>
                <w:sz w:val="21"/>
                <w:szCs w:val="21"/>
                <w:highlight w:val="none"/>
                <w:lang w:val="en-US" w:eastAsia="zh-CN"/>
              </w:rPr>
              <w:t>3分</w:t>
            </w:r>
            <w:r>
              <w:rPr>
                <w:rFonts w:hint="eastAsia" w:ascii="Times New Roman" w:hAnsi="Times New Roman" w:cs="Times New Roman"/>
                <w:b/>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）投标人主编或参编过省级及以上水处理相关建设标准或规范的得</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分</w:t>
            </w:r>
            <w:r>
              <w:rPr>
                <w:rFonts w:hint="eastAsia" w:cs="Times New Roman"/>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）投标人</w:t>
            </w:r>
            <w:r>
              <w:rPr>
                <w:rFonts w:hint="eastAsia" w:ascii="Times New Roman" w:hAnsi="Times New Roman" w:cs="Times New Roman"/>
                <w:color w:val="auto"/>
                <w:sz w:val="21"/>
                <w:szCs w:val="21"/>
                <w:highlight w:val="none"/>
                <w:lang w:val="en-US" w:eastAsia="zh-CN"/>
              </w:rPr>
              <w:t>获得过</w:t>
            </w:r>
            <w:r>
              <w:rPr>
                <w:rFonts w:hint="eastAsia" w:cs="Times New Roman"/>
                <w:color w:val="auto"/>
                <w:sz w:val="21"/>
                <w:szCs w:val="21"/>
                <w:highlight w:val="none"/>
                <w:lang w:val="en-US" w:eastAsia="zh-CN"/>
              </w:rPr>
              <w:t>行政主管部门颁发</w:t>
            </w:r>
            <w:r>
              <w:rPr>
                <w:rFonts w:hint="eastAsia" w:ascii="Times New Roman" w:hAnsi="Times New Roman" w:cs="Times New Roman"/>
                <w:color w:val="auto"/>
                <w:sz w:val="21"/>
                <w:szCs w:val="21"/>
                <w:highlight w:val="none"/>
                <w:lang w:val="en-US" w:eastAsia="zh-CN"/>
              </w:rPr>
              <w:t>地市级及以上</w:t>
            </w:r>
            <w:r>
              <w:rPr>
                <w:rFonts w:hint="eastAsia" w:cs="Times New Roman"/>
                <w:color w:val="auto"/>
                <w:sz w:val="21"/>
                <w:szCs w:val="21"/>
                <w:highlight w:val="none"/>
                <w:lang w:val="en-US" w:eastAsia="zh-CN"/>
              </w:rPr>
              <w:t>科学技术方面奖项的</w:t>
            </w:r>
            <w:r>
              <w:rPr>
                <w:rFonts w:hint="eastAsia" w:ascii="Times New Roman" w:hAnsi="Times New Roman" w:cs="Times New Roman"/>
                <w:color w:val="auto"/>
                <w:sz w:val="21"/>
                <w:szCs w:val="21"/>
                <w:highlight w:val="none"/>
                <w:lang w:val="en-US" w:eastAsia="zh-CN"/>
              </w:rPr>
              <w:t>得</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分</w:t>
            </w:r>
            <w:r>
              <w:rPr>
                <w:rFonts w:hint="eastAsia" w:cs="Times New Roman"/>
                <w:color w:val="auto"/>
                <w:sz w:val="21"/>
                <w:szCs w:val="21"/>
                <w:highlight w:val="none"/>
                <w:lang w:val="en-US" w:eastAsia="zh-CN"/>
              </w:rPr>
              <w:t>；</w:t>
            </w:r>
          </w:p>
          <w:p>
            <w:pPr>
              <w:keepNext w:val="0"/>
              <w:keepLines w:val="0"/>
              <w:suppressLineNumbers w:val="0"/>
              <w:spacing w:before="0" w:beforeAutospacing="0" w:after="0" w:afterAutospacing="0" w:line="300" w:lineRule="exact"/>
              <w:ind w:left="0" w:right="0"/>
              <w:rPr>
                <w:rFonts w:hint="default"/>
                <w:color w:val="auto"/>
                <w:szCs w:val="20"/>
                <w:highlight w:val="none"/>
                <w:lang w:val="en-US" w:eastAsia="zh-CN"/>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投标人获得过</w:t>
            </w:r>
            <w:r>
              <w:rPr>
                <w:rFonts w:hint="eastAsia" w:cs="Times New Roman"/>
                <w:color w:val="auto"/>
                <w:sz w:val="21"/>
                <w:szCs w:val="21"/>
                <w:highlight w:val="none"/>
                <w:lang w:val="en-US" w:eastAsia="zh-CN"/>
              </w:rPr>
              <w:t>行政主管部门颁发</w:t>
            </w:r>
            <w:r>
              <w:rPr>
                <w:rFonts w:hint="eastAsia" w:ascii="Times New Roman" w:hAnsi="Times New Roman" w:cs="Times New Roman"/>
                <w:color w:val="auto"/>
                <w:sz w:val="21"/>
                <w:szCs w:val="21"/>
                <w:highlight w:val="none"/>
                <w:lang w:val="en-US" w:eastAsia="zh-CN"/>
              </w:rPr>
              <w:t>的</w:t>
            </w:r>
            <w:r>
              <w:rPr>
                <w:rFonts w:hint="eastAsia" w:cs="Times New Roman"/>
                <w:color w:val="auto"/>
                <w:sz w:val="21"/>
                <w:szCs w:val="21"/>
                <w:highlight w:val="none"/>
                <w:lang w:val="en-US" w:eastAsia="zh-CN"/>
              </w:rPr>
              <w:t>关于</w:t>
            </w:r>
            <w:r>
              <w:rPr>
                <w:rFonts w:hint="eastAsia" w:ascii="Times New Roman" w:hAnsi="Times New Roman" w:cs="Times New Roman"/>
                <w:color w:val="auto"/>
                <w:sz w:val="21"/>
                <w:szCs w:val="21"/>
                <w:highlight w:val="none"/>
                <w:lang w:val="en-US" w:eastAsia="zh-CN"/>
              </w:rPr>
              <w:t>河道</w:t>
            </w:r>
            <w:r>
              <w:rPr>
                <w:rFonts w:hint="eastAsia" w:cs="Times New Roman"/>
                <w:color w:val="auto"/>
                <w:sz w:val="21"/>
                <w:szCs w:val="21"/>
                <w:highlight w:val="none"/>
                <w:lang w:val="en-US" w:eastAsia="zh-CN"/>
              </w:rPr>
              <w:t>生态治理或</w:t>
            </w:r>
            <w:r>
              <w:rPr>
                <w:rFonts w:hint="eastAsia" w:ascii="Times New Roman" w:hAnsi="Times New Roman" w:cs="Times New Roman"/>
                <w:color w:val="auto"/>
                <w:sz w:val="21"/>
                <w:szCs w:val="21"/>
                <w:highlight w:val="none"/>
                <w:lang w:val="en-US" w:eastAsia="zh-CN"/>
              </w:rPr>
              <w:t>水质提升</w:t>
            </w:r>
            <w:r>
              <w:rPr>
                <w:rFonts w:hint="eastAsia"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荣誉证书的得</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分。</w:t>
            </w:r>
          </w:p>
          <w:p>
            <w:pPr>
              <w:keepNext w:val="0"/>
              <w:keepLines w:val="0"/>
              <w:numPr>
                <w:ilvl w:val="-1"/>
                <w:numId w:val="0"/>
              </w:numPr>
              <w:suppressLineNumbers w:val="0"/>
              <w:spacing w:before="0" w:beforeAutospacing="0" w:after="0" w:afterAutospacing="0" w:line="300" w:lineRule="exact"/>
              <w:ind w:left="0" w:right="0" w:firstLine="0" w:firstLineChars="0"/>
              <w:rPr>
                <w:rFonts w:hint="eastAsia" w:ascii="宋体" w:hAnsi="宋体" w:eastAsia="宋体" w:cs="宋体"/>
                <w:b w:val="0"/>
                <w:color w:val="auto"/>
                <w:kern w:val="0"/>
                <w:sz w:val="21"/>
                <w:szCs w:val="21"/>
                <w:highlight w:val="none"/>
                <w:lang w:eastAsia="zh-CN"/>
              </w:rPr>
            </w:pPr>
            <w:r>
              <w:rPr>
                <w:rFonts w:hint="default" w:ascii="Times New Roman" w:hAnsi="Times New Roman" w:cs="Times New Roman"/>
                <w:b/>
                <w:bCs/>
                <w:color w:val="auto"/>
                <w:sz w:val="21"/>
                <w:szCs w:val="21"/>
                <w:highlight w:val="none"/>
              </w:rPr>
              <w:t>注：提供相关证书</w:t>
            </w:r>
            <w:r>
              <w:rPr>
                <w:rFonts w:hint="eastAsia" w:cs="Times New Roman"/>
                <w:b/>
                <w:bCs/>
                <w:color w:val="auto"/>
                <w:sz w:val="21"/>
                <w:szCs w:val="21"/>
                <w:highlight w:val="none"/>
                <w:lang w:val="en-US" w:eastAsia="zh-CN"/>
              </w:rPr>
              <w:t>或证明文件扫描件</w:t>
            </w:r>
            <w:r>
              <w:rPr>
                <w:rFonts w:hint="default" w:ascii="Times New Roman" w:hAnsi="Times New Roman" w:cs="Times New Roman"/>
                <w:b/>
                <w:bCs/>
                <w:color w:val="auto"/>
                <w:sz w:val="21"/>
                <w:szCs w:val="21"/>
                <w:highlight w:val="none"/>
              </w:rPr>
              <w:t>，</w:t>
            </w:r>
            <w:r>
              <w:rPr>
                <w:rFonts w:hint="eastAsia" w:ascii="宋体" w:hAnsi="宋体" w:eastAsia="宋体" w:cs="宋体"/>
                <w:color w:val="auto"/>
                <w:kern w:val="0"/>
                <w:szCs w:val="21"/>
                <w:highlight w:val="none"/>
                <w:lang w:val="en-US" w:eastAsia="zh-CN"/>
              </w:rPr>
              <w:t>扫描</w:t>
            </w:r>
            <w:r>
              <w:rPr>
                <w:rFonts w:hint="eastAsia" w:ascii="宋体" w:hAnsi="宋体" w:eastAsia="宋体" w:cs="宋体"/>
                <w:color w:val="auto"/>
                <w:kern w:val="0"/>
                <w:szCs w:val="21"/>
                <w:highlight w:val="none"/>
              </w:rPr>
              <w:t>件加盖投标人公章</w:t>
            </w:r>
            <w:r>
              <w:rPr>
                <w:rFonts w:hint="default" w:ascii="Times New Roman" w:hAnsi="Times New Roman" w:cs="Times New Roman"/>
                <w:b/>
                <w:bCs/>
                <w:color w:val="auto"/>
                <w:sz w:val="21"/>
                <w:szCs w:val="21"/>
                <w:highlight w:val="none"/>
              </w:rPr>
              <w:t>。</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5"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eastAsia"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rPr>
              <w:t>拟派本项目</w:t>
            </w:r>
            <w:r>
              <w:rPr>
                <w:rFonts w:hint="eastAsia" w:ascii="Times New Roman" w:hAnsi="Times New Roman" w:cs="Times New Roman"/>
                <w:b/>
                <w:color w:val="auto"/>
                <w:sz w:val="21"/>
                <w:szCs w:val="21"/>
                <w:highlight w:val="none"/>
                <w:lang w:val="en-US" w:eastAsia="zh-CN"/>
              </w:rPr>
              <w:t>运维</w:t>
            </w:r>
            <w:r>
              <w:rPr>
                <w:rFonts w:hint="default" w:ascii="Times New Roman" w:hAnsi="Times New Roman" w:cs="Times New Roman"/>
                <w:b/>
                <w:color w:val="auto"/>
                <w:sz w:val="21"/>
                <w:szCs w:val="21"/>
                <w:highlight w:val="none"/>
              </w:rPr>
              <w:t>人员实力</w:t>
            </w:r>
            <w:r>
              <w:rPr>
                <w:rFonts w:hint="eastAsia" w:ascii="Times New Roman" w:hAnsi="Times New Roman" w:cs="Times New Roman"/>
                <w:b/>
                <w:color w:val="auto"/>
                <w:sz w:val="21"/>
                <w:szCs w:val="21"/>
                <w:highlight w:val="none"/>
                <w:lang w:eastAsia="zh-CN"/>
              </w:rPr>
              <w:t>（</w:t>
            </w:r>
            <w:r>
              <w:rPr>
                <w:rFonts w:hint="eastAsia" w:cs="Times New Roman"/>
                <w:b/>
                <w:color w:val="auto"/>
                <w:sz w:val="21"/>
                <w:szCs w:val="21"/>
                <w:highlight w:val="none"/>
                <w:lang w:val="en-US" w:eastAsia="zh-CN"/>
              </w:rPr>
              <w:t>3</w:t>
            </w:r>
            <w:r>
              <w:rPr>
                <w:rFonts w:hint="eastAsia" w:ascii="Times New Roman" w:hAnsi="Times New Roman" w:cs="Times New Roman"/>
                <w:b/>
                <w:color w:val="auto"/>
                <w:sz w:val="21"/>
                <w:szCs w:val="21"/>
                <w:highlight w:val="none"/>
                <w:lang w:val="en-US" w:eastAsia="zh-CN"/>
              </w:rPr>
              <w:t>分</w:t>
            </w:r>
            <w:r>
              <w:rPr>
                <w:rFonts w:hint="eastAsia" w:ascii="Times New Roman" w:hAnsi="Times New Roman" w:cs="Times New Roman"/>
                <w:b/>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eastAsia="zh-CN"/>
              </w:rPr>
              <w:t>（</w:t>
            </w:r>
            <w:r>
              <w:rPr>
                <w:rFonts w:hint="eastAsia" w:ascii="Times New Roman" w:hAnsi="Times New Roman" w:eastAsia="宋体" w:cs="Times New Roman"/>
                <w:b w:val="0"/>
                <w:color w:val="auto"/>
                <w:sz w:val="21"/>
                <w:szCs w:val="21"/>
                <w:highlight w:val="none"/>
                <w:lang w:val="en-US" w:eastAsia="zh-CN"/>
              </w:rPr>
              <w:t>1</w:t>
            </w:r>
            <w:r>
              <w:rPr>
                <w:rFonts w:hint="eastAsia" w:ascii="Times New Roman" w:hAnsi="Times New Roman" w:eastAsia="宋体" w:cs="Times New Roman"/>
                <w:b w:val="0"/>
                <w:color w:val="auto"/>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项目</w:t>
            </w:r>
            <w:r>
              <w:rPr>
                <w:rFonts w:hint="eastAsia" w:cs="Times New Roman"/>
                <w:color w:val="auto"/>
                <w:kern w:val="2"/>
                <w:sz w:val="21"/>
                <w:szCs w:val="21"/>
                <w:highlight w:val="none"/>
                <w:lang w:val="en-US" w:eastAsia="zh-CN" w:bidi="ar-SA"/>
              </w:rPr>
              <w:t>总</w:t>
            </w:r>
            <w:r>
              <w:rPr>
                <w:rFonts w:hint="eastAsia" w:ascii="Times New Roman" w:hAnsi="Times New Roman" w:eastAsia="宋体" w:cs="Times New Roman"/>
                <w:color w:val="auto"/>
                <w:kern w:val="2"/>
                <w:sz w:val="21"/>
                <w:szCs w:val="21"/>
                <w:highlight w:val="none"/>
                <w:lang w:val="en-US" w:eastAsia="zh-CN" w:bidi="ar-SA"/>
              </w:rPr>
              <w:t>负责人</w:t>
            </w:r>
            <w:r>
              <w:rPr>
                <w:rFonts w:hint="default" w:ascii="Times New Roman" w:hAnsi="Times New Roman" w:eastAsia="宋体" w:cs="Times New Roman"/>
                <w:color w:val="auto"/>
                <w:kern w:val="2"/>
                <w:sz w:val="21"/>
                <w:szCs w:val="21"/>
                <w:highlight w:val="none"/>
                <w:lang w:val="en-US" w:eastAsia="zh-CN" w:bidi="ar-SA"/>
              </w:rPr>
              <w:t>具备高级工程师</w:t>
            </w:r>
            <w:r>
              <w:rPr>
                <w:rFonts w:hint="eastAsia" w:ascii="Times New Roman" w:hAnsi="Times New Roman" w:eastAsia="宋体" w:cs="Times New Roman"/>
                <w:color w:val="auto"/>
                <w:kern w:val="2"/>
                <w:sz w:val="21"/>
                <w:szCs w:val="21"/>
                <w:highlight w:val="none"/>
                <w:lang w:val="en-US" w:eastAsia="zh-CN" w:bidi="ar-SA"/>
              </w:rPr>
              <w:t>及以上</w:t>
            </w:r>
            <w:r>
              <w:rPr>
                <w:rFonts w:hint="default" w:ascii="Times New Roman" w:hAnsi="Times New Roman" w:eastAsia="宋体" w:cs="Times New Roman"/>
                <w:color w:val="auto"/>
                <w:kern w:val="2"/>
                <w:sz w:val="21"/>
                <w:szCs w:val="21"/>
                <w:highlight w:val="none"/>
                <w:lang w:val="en-US" w:eastAsia="zh-CN" w:bidi="ar-SA"/>
              </w:rPr>
              <w:t>职称的（水处理工程专业或环境保护专业）得</w:t>
            </w: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分；</w:t>
            </w:r>
          </w:p>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（2）项目技术负责人</w:t>
            </w:r>
            <w:r>
              <w:rPr>
                <w:rFonts w:hint="default" w:ascii="Times New Roman" w:hAnsi="Times New Roman" w:eastAsia="宋体" w:cs="Times New Roman"/>
                <w:color w:val="auto"/>
                <w:kern w:val="2"/>
                <w:sz w:val="21"/>
                <w:szCs w:val="21"/>
                <w:highlight w:val="none"/>
                <w:lang w:val="en-US" w:eastAsia="zh-CN" w:bidi="ar-SA"/>
              </w:rPr>
              <w:t>具备注册环保工程师证书的得</w:t>
            </w:r>
            <w:r>
              <w:rPr>
                <w:rFonts w:hint="eastAsia"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分；</w:t>
            </w:r>
          </w:p>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（3）项目组成员</w:t>
            </w:r>
            <w:r>
              <w:rPr>
                <w:rFonts w:hint="default" w:ascii="Times New Roman" w:hAnsi="Times New Roman" w:eastAsia="宋体" w:cs="Times New Roman"/>
                <w:color w:val="auto"/>
                <w:kern w:val="2"/>
                <w:sz w:val="21"/>
                <w:szCs w:val="21"/>
                <w:highlight w:val="none"/>
                <w:lang w:val="zh-CN" w:eastAsia="zh-CN" w:bidi="ar-SA"/>
              </w:rPr>
              <w:t>配备人员中</w:t>
            </w:r>
            <w:r>
              <w:rPr>
                <w:rFonts w:hint="eastAsia" w:ascii="Times New Roman" w:hAnsi="Times New Roman" w:cs="Times New Roman"/>
                <w:color w:val="auto"/>
                <w:kern w:val="2"/>
                <w:sz w:val="21"/>
                <w:szCs w:val="21"/>
                <w:highlight w:val="none"/>
                <w:lang w:val="en-US" w:eastAsia="zh-CN" w:bidi="ar-SA"/>
              </w:rPr>
              <w:t>具备</w:t>
            </w:r>
            <w:r>
              <w:rPr>
                <w:rFonts w:hint="eastAsia" w:cs="Times New Roman"/>
                <w:color w:val="auto"/>
                <w:kern w:val="2"/>
                <w:sz w:val="21"/>
                <w:szCs w:val="21"/>
                <w:highlight w:val="none"/>
                <w:lang w:val="en-US" w:eastAsia="zh-CN" w:bidi="ar-SA"/>
              </w:rPr>
              <w:t>中</w:t>
            </w:r>
            <w:r>
              <w:rPr>
                <w:rFonts w:hint="default" w:ascii="Times New Roman" w:hAnsi="Times New Roman" w:eastAsia="宋体" w:cs="Times New Roman"/>
                <w:color w:val="auto"/>
                <w:kern w:val="2"/>
                <w:sz w:val="21"/>
                <w:szCs w:val="21"/>
                <w:highlight w:val="none"/>
                <w:lang w:val="en-US" w:eastAsia="zh-CN" w:bidi="ar-SA"/>
              </w:rPr>
              <w:t>级工程师职称（水处理工程专业或环境保护专业）</w:t>
            </w:r>
            <w:r>
              <w:rPr>
                <w:rFonts w:hint="eastAsia" w:cs="Times New Roman"/>
                <w:color w:val="auto"/>
                <w:kern w:val="2"/>
                <w:sz w:val="21"/>
                <w:szCs w:val="21"/>
                <w:highlight w:val="none"/>
                <w:lang w:val="en-US" w:eastAsia="zh-CN" w:bidi="ar-SA"/>
              </w:rPr>
              <w:t>的，每个得0.25分，满分1</w:t>
            </w:r>
            <w:r>
              <w:rPr>
                <w:rFonts w:hint="default" w:ascii="Times New Roman" w:hAnsi="Times New Roman" w:eastAsia="宋体" w:cs="Times New Roman"/>
                <w:color w:val="auto"/>
                <w:kern w:val="2"/>
                <w:sz w:val="21"/>
                <w:szCs w:val="21"/>
                <w:highlight w:val="none"/>
                <w:lang w:val="en-US" w:eastAsia="zh-CN" w:bidi="ar-SA"/>
              </w:rPr>
              <w:t>分</w:t>
            </w:r>
            <w:r>
              <w:rPr>
                <w:rFonts w:hint="eastAsia" w:cs="Times New Roman"/>
                <w:color w:val="auto"/>
                <w:kern w:val="2"/>
                <w:sz w:val="21"/>
                <w:szCs w:val="21"/>
                <w:highlight w:val="none"/>
                <w:lang w:val="en-US" w:eastAsia="zh-CN" w:bidi="ar-SA"/>
              </w:rPr>
              <w:t>。</w:t>
            </w:r>
          </w:p>
          <w:p>
            <w:pPr>
              <w:keepNext w:val="0"/>
              <w:keepLines w:val="0"/>
              <w:numPr>
                <w:ilvl w:val="-1"/>
                <w:numId w:val="0"/>
              </w:numPr>
              <w:suppressLineNumbers w:val="0"/>
              <w:spacing w:before="0" w:beforeAutospacing="0" w:after="0" w:afterAutospacing="0" w:line="300" w:lineRule="exact"/>
              <w:ind w:left="0" w:right="0" w:firstLine="0" w:firstLineChars="0"/>
              <w:rPr>
                <w:rFonts w:hint="eastAsia" w:ascii="宋体" w:hAnsi="宋体" w:eastAsia="宋体" w:cs="宋体"/>
                <w:b w:val="0"/>
                <w:color w:val="auto"/>
                <w:kern w:val="0"/>
                <w:sz w:val="21"/>
                <w:szCs w:val="21"/>
                <w:highlight w:val="none"/>
              </w:rPr>
            </w:pPr>
            <w:r>
              <w:rPr>
                <w:rFonts w:hint="default" w:ascii="Times New Roman" w:hAnsi="Times New Roman" w:cs="Times New Roman"/>
                <w:b/>
                <w:bCs/>
                <w:color w:val="auto"/>
                <w:sz w:val="21"/>
                <w:szCs w:val="21"/>
                <w:highlight w:val="none"/>
              </w:rPr>
              <w:t>注：同一人员符合多项</w:t>
            </w:r>
            <w:r>
              <w:rPr>
                <w:rFonts w:hint="eastAsia" w:cs="Times New Roman"/>
                <w:b/>
                <w:bCs/>
                <w:color w:val="auto"/>
                <w:sz w:val="21"/>
                <w:szCs w:val="21"/>
                <w:highlight w:val="none"/>
                <w:lang w:val="en-US" w:eastAsia="zh-CN"/>
              </w:rPr>
              <w:t>得</w:t>
            </w:r>
            <w:r>
              <w:rPr>
                <w:rFonts w:hint="default" w:ascii="Times New Roman" w:hAnsi="Times New Roman" w:cs="Times New Roman"/>
                <w:b/>
                <w:bCs/>
                <w:color w:val="auto"/>
                <w:sz w:val="21"/>
                <w:szCs w:val="21"/>
                <w:highlight w:val="none"/>
              </w:rPr>
              <w:t>分条件时按最高单项分</w:t>
            </w:r>
            <w:r>
              <w:rPr>
                <w:rFonts w:hint="default" w:ascii="Times New Roman" w:hAnsi="Times New Roman" w:eastAsia="宋体" w:cs="Times New Roman"/>
                <w:b/>
                <w:bCs/>
                <w:color w:val="auto"/>
                <w:sz w:val="21"/>
                <w:szCs w:val="21"/>
                <w:highlight w:val="none"/>
              </w:rPr>
              <w:t>计</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不累计计分</w:t>
            </w:r>
            <w:r>
              <w:rPr>
                <w:rFonts w:hint="default" w:ascii="Times New Roman" w:hAnsi="Times New Roman" w:eastAsia="宋体" w:cs="Times New Roman"/>
                <w:b/>
                <w:bCs/>
                <w:color w:val="auto"/>
                <w:sz w:val="21"/>
                <w:szCs w:val="21"/>
                <w:highlight w:val="none"/>
                <w:lang w:val="zh-CN"/>
              </w:rPr>
              <w:t>，</w:t>
            </w:r>
            <w:r>
              <w:rPr>
                <w:rFonts w:hint="eastAsia" w:cs="Times New Roman"/>
                <w:b/>
                <w:bCs/>
                <w:color w:val="auto"/>
                <w:sz w:val="21"/>
                <w:szCs w:val="21"/>
                <w:highlight w:val="none"/>
                <w:lang w:val="en-US" w:eastAsia="zh-CN"/>
              </w:rPr>
              <w:t>拟派人员须为本单位人员，</w:t>
            </w:r>
            <w:r>
              <w:rPr>
                <w:rFonts w:hint="default" w:ascii="Times New Roman" w:hAnsi="Times New Roman" w:eastAsia="宋体" w:cs="Times New Roman"/>
                <w:b/>
                <w:bCs/>
                <w:color w:val="auto"/>
                <w:sz w:val="21"/>
                <w:szCs w:val="21"/>
                <w:highlight w:val="none"/>
                <w:lang w:val="zh-CN"/>
              </w:rPr>
              <w:t>投标文件中提供上述人员的相关证书、近</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zh-CN"/>
              </w:rPr>
              <w:t>个月</w:t>
            </w:r>
            <w:r>
              <w:rPr>
                <w:rFonts w:hint="eastAsia" w:cs="Times New Roman"/>
                <w:b/>
                <w:bCs/>
                <w:color w:val="auto"/>
                <w:sz w:val="21"/>
                <w:szCs w:val="21"/>
                <w:highlight w:val="none"/>
                <w:lang w:val="zh-CN"/>
              </w:rPr>
              <w:t>（</w:t>
            </w:r>
            <w:r>
              <w:rPr>
                <w:rFonts w:hint="eastAsia" w:cs="Times New Roman"/>
                <w:b/>
                <w:bCs/>
                <w:color w:val="auto"/>
                <w:sz w:val="21"/>
                <w:szCs w:val="21"/>
                <w:highlight w:val="none"/>
                <w:lang w:val="en-US" w:eastAsia="zh-CN"/>
              </w:rPr>
              <w:t>2020年10-2021年3月</w:t>
            </w:r>
            <w:r>
              <w:rPr>
                <w:rFonts w:hint="eastAsia" w:cs="Times New Roman"/>
                <w:b/>
                <w:bCs/>
                <w:color w:val="auto"/>
                <w:sz w:val="21"/>
                <w:szCs w:val="21"/>
                <w:highlight w:val="none"/>
                <w:lang w:val="zh-CN"/>
              </w:rPr>
              <w:t>）</w:t>
            </w:r>
            <w:r>
              <w:rPr>
                <w:rFonts w:hint="default" w:ascii="Times New Roman" w:hAnsi="Times New Roman" w:eastAsia="宋体" w:cs="Times New Roman"/>
                <w:b/>
                <w:bCs/>
                <w:color w:val="auto"/>
                <w:sz w:val="21"/>
                <w:szCs w:val="21"/>
                <w:highlight w:val="none"/>
                <w:lang w:val="zh-CN"/>
              </w:rPr>
              <w:t>缴纳社保证明原件</w:t>
            </w:r>
            <w:r>
              <w:rPr>
                <w:rFonts w:hint="default" w:ascii="Times New Roman" w:hAnsi="Times New Roman" w:eastAsia="宋体" w:cs="Times New Roman"/>
                <w:b/>
                <w:bCs/>
                <w:color w:val="auto"/>
                <w:sz w:val="21"/>
                <w:szCs w:val="21"/>
                <w:highlight w:val="none"/>
                <w:lang w:val="en-US" w:eastAsia="zh-CN"/>
              </w:rPr>
              <w:t>扫描件</w:t>
            </w:r>
            <w:r>
              <w:rPr>
                <w:rFonts w:hint="default" w:ascii="Times New Roman" w:hAnsi="Times New Roman" w:eastAsia="宋体" w:cs="Times New Roman"/>
                <w:b/>
                <w:bCs/>
                <w:color w:val="auto"/>
                <w:sz w:val="21"/>
                <w:szCs w:val="21"/>
                <w:highlight w:val="none"/>
                <w:lang w:val="zh-CN"/>
              </w:rPr>
              <w:t>，</w:t>
            </w:r>
            <w:r>
              <w:rPr>
                <w:rFonts w:hint="default" w:ascii="Times New Roman" w:hAnsi="Times New Roman" w:eastAsia="宋体" w:cs="Times New Roman"/>
                <w:b/>
                <w:bCs/>
                <w:color w:val="auto"/>
                <w:kern w:val="2"/>
                <w:szCs w:val="21"/>
                <w:highlight w:val="none"/>
                <w:lang w:val="en-US" w:eastAsia="zh-CN"/>
              </w:rPr>
              <w:t>扫描</w:t>
            </w:r>
            <w:r>
              <w:rPr>
                <w:rFonts w:hint="default" w:ascii="Times New Roman" w:hAnsi="Times New Roman" w:eastAsia="宋体" w:cs="Times New Roman"/>
                <w:b/>
                <w:bCs/>
                <w:color w:val="auto"/>
                <w:kern w:val="2"/>
                <w:szCs w:val="21"/>
                <w:highlight w:val="none"/>
              </w:rPr>
              <w:t>件加盖投标人公章</w:t>
            </w:r>
            <w:r>
              <w:rPr>
                <w:rFonts w:hint="default" w:ascii="Times New Roman" w:hAnsi="Times New Roman" w:eastAsia="宋体" w:cs="Times New Roman"/>
                <w:b/>
                <w:bCs/>
                <w:color w:val="auto"/>
                <w:sz w:val="21"/>
                <w:szCs w:val="21"/>
                <w:highlight w:val="none"/>
                <w:lang w:val="zh-CN"/>
              </w:rPr>
              <w:t>。</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restart"/>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r>
              <w:rPr>
                <w:rFonts w:hint="eastAsia" w:ascii="宋体" w:hAnsi="宋体" w:cs="宋体"/>
                <w:color w:val="auto"/>
                <w:szCs w:val="20"/>
                <w:highlight w:val="none"/>
              </w:rPr>
              <w:t>技术分</w:t>
            </w:r>
            <w:r>
              <w:rPr>
                <w:rFonts w:hint="eastAsia" w:ascii="宋体" w:hAnsi="宋体" w:cs="宋体"/>
                <w:color w:val="auto"/>
                <w:szCs w:val="20"/>
                <w:highlight w:val="none"/>
                <w:lang w:val="en-US" w:eastAsia="zh-CN"/>
              </w:rPr>
              <w:t>65</w:t>
            </w:r>
            <w:r>
              <w:rPr>
                <w:rFonts w:hint="eastAsia" w:ascii="宋体" w:hAnsi="宋体" w:cs="宋体"/>
                <w:color w:val="auto"/>
                <w:szCs w:val="20"/>
                <w:highlight w:val="none"/>
              </w:rPr>
              <w:t>分</w:t>
            </w: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eastAsia" w:cs="Times New Roman"/>
                <w:b/>
                <w:color w:val="auto"/>
                <w:sz w:val="21"/>
                <w:szCs w:val="21"/>
                <w:highlight w:val="none"/>
                <w:lang w:val="en-US" w:eastAsia="zh-CN"/>
              </w:rPr>
              <w:t>前期尽调</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8分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评委根据投标人提供的包括对本项目所涉及到的所有河</w:t>
            </w:r>
            <w:r>
              <w:rPr>
                <w:rFonts w:hint="default" w:ascii="Times New Roman" w:hAnsi="Times New Roman" w:cs="Times New Roman"/>
                <w:color w:val="auto"/>
                <w:sz w:val="21"/>
                <w:szCs w:val="21"/>
                <w:highlight w:val="none"/>
                <w:lang w:eastAsia="zh-CN"/>
              </w:rPr>
              <w:t>段</w:t>
            </w:r>
            <w:r>
              <w:rPr>
                <w:rFonts w:hint="default" w:ascii="Times New Roman" w:hAnsi="Times New Roman" w:cs="Times New Roman"/>
                <w:color w:val="auto"/>
                <w:sz w:val="21"/>
                <w:szCs w:val="21"/>
                <w:highlight w:val="none"/>
              </w:rPr>
              <w:t>现场实际情况的了解和调研（如点源污染，面源污染，周边环境等）</w:t>
            </w:r>
            <w:r>
              <w:rPr>
                <w:rFonts w:hint="default" w:ascii="Times New Roman" w:hAnsi="Times New Roman" w:cs="Times New Roman"/>
                <w:color w:val="auto"/>
                <w:sz w:val="21"/>
                <w:szCs w:val="21"/>
                <w:highlight w:val="none"/>
                <w:lang w:val="en-US" w:eastAsia="zh-CN"/>
              </w:rPr>
              <w:t>总体认识</w:t>
            </w:r>
            <w:r>
              <w:rPr>
                <w:rFonts w:hint="default" w:ascii="Times New Roman" w:hAnsi="Times New Roman" w:cs="Times New Roman"/>
                <w:color w:val="auto"/>
                <w:sz w:val="21"/>
                <w:szCs w:val="21"/>
                <w:highlight w:val="none"/>
              </w:rPr>
              <w:t>、本次</w:t>
            </w:r>
            <w:r>
              <w:rPr>
                <w:rFonts w:hint="eastAsia" w:cs="Times New Roman"/>
                <w:color w:val="auto"/>
                <w:sz w:val="21"/>
                <w:szCs w:val="21"/>
                <w:highlight w:val="none"/>
                <w:lang w:val="en-US" w:eastAsia="zh-CN"/>
              </w:rPr>
              <w:t>原位治理生态补水及水质提升服务项目</w:t>
            </w:r>
            <w:r>
              <w:rPr>
                <w:rFonts w:hint="default" w:ascii="Times New Roman" w:hAnsi="Times New Roman" w:cs="Times New Roman"/>
                <w:color w:val="auto"/>
                <w:sz w:val="21"/>
                <w:szCs w:val="21"/>
                <w:highlight w:val="none"/>
              </w:rPr>
              <w:t>的关键点和难点以及针对上述关键点、难点和其他可预见问题</w:t>
            </w:r>
            <w:r>
              <w:rPr>
                <w:rFonts w:hint="default" w:ascii="Times New Roman" w:hAnsi="Times New Roman" w:cs="Times New Roman"/>
                <w:color w:val="auto"/>
                <w:sz w:val="21"/>
                <w:szCs w:val="21"/>
                <w:highlight w:val="none"/>
                <w:lang w:val="en-US" w:eastAsia="zh-CN"/>
              </w:rPr>
              <w:t>并提出科学、合理、可行的</w:t>
            </w:r>
            <w:r>
              <w:rPr>
                <w:rFonts w:hint="default" w:ascii="Times New Roman" w:hAnsi="Times New Roman" w:cs="Times New Roman"/>
                <w:color w:val="auto"/>
                <w:sz w:val="21"/>
                <w:szCs w:val="21"/>
                <w:highlight w:val="none"/>
              </w:rPr>
              <w:t>解决措施</w:t>
            </w:r>
            <w:r>
              <w:rPr>
                <w:rFonts w:hint="eastAsia" w:cs="Times New Roman"/>
                <w:color w:val="auto"/>
                <w:sz w:val="21"/>
                <w:szCs w:val="21"/>
                <w:highlight w:val="none"/>
                <w:lang w:val="en-US" w:eastAsia="zh-CN"/>
              </w:rPr>
              <w:t>方案进行综合评定</w:t>
            </w:r>
            <w:r>
              <w:rPr>
                <w:rFonts w:hint="default" w:ascii="Times New Roman" w:hAnsi="Times New Roman" w:cs="Times New Roman"/>
                <w:color w:val="auto"/>
                <w:sz w:val="21"/>
                <w:szCs w:val="21"/>
                <w:highlight w:val="none"/>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1"/>
                <w:highlight w:val="none"/>
              </w:rPr>
              <w:t>认识充分，理解深刻，要点分析准确突出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解决措施科学、合理</w:t>
            </w:r>
            <w:r>
              <w:rPr>
                <w:rFonts w:hint="default" w:ascii="Times New Roman" w:hAnsi="Times New Roman" w:cs="Times New Roman"/>
                <w:color w:val="auto"/>
                <w:sz w:val="21"/>
                <w:szCs w:val="21"/>
                <w:highlight w:val="none"/>
              </w:rPr>
              <w:t>的</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1"/>
                <w:highlight w:val="none"/>
              </w:rPr>
              <w:t>认识基本到位，理解一般，要点分析基本准确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解决措施基本合理</w:t>
            </w:r>
            <w:r>
              <w:rPr>
                <w:rFonts w:hint="default" w:ascii="Times New Roman" w:hAnsi="Times New Roman" w:cs="Times New Roman"/>
                <w:color w:val="auto"/>
                <w:sz w:val="21"/>
                <w:szCs w:val="21"/>
                <w:highlight w:val="none"/>
              </w:rPr>
              <w:t>的4-</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其他情况得0-4分。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8</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default" w:ascii="Times New Roman" w:hAnsi="Times New Roman" w:cs="Times New Roman"/>
                <w:b/>
                <w:color w:val="auto"/>
                <w:sz w:val="21"/>
                <w:szCs w:val="21"/>
                <w:highlight w:val="none"/>
              </w:rPr>
              <w:t>技术方案</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8分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评委根据投标人提供的针对河</w:t>
            </w:r>
            <w:r>
              <w:rPr>
                <w:rFonts w:hint="default" w:ascii="Times New Roman" w:hAnsi="Times New Roman" w:cs="Times New Roman"/>
                <w:color w:val="auto"/>
                <w:sz w:val="21"/>
                <w:szCs w:val="21"/>
                <w:highlight w:val="none"/>
                <w:lang w:val="en-US" w:eastAsia="zh-CN"/>
              </w:rPr>
              <w:t>道</w:t>
            </w:r>
            <w:r>
              <w:rPr>
                <w:rFonts w:hint="default" w:ascii="Times New Roman" w:hAnsi="Times New Roman" w:cs="Times New Roman"/>
                <w:color w:val="auto"/>
                <w:sz w:val="21"/>
                <w:szCs w:val="21"/>
                <w:highlight w:val="none"/>
              </w:rPr>
              <w:t>的水质现状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所采用的技术</w:t>
            </w:r>
            <w:r>
              <w:rPr>
                <w:rFonts w:hint="eastAsia" w:cs="Times New Roman"/>
                <w:color w:val="auto"/>
                <w:sz w:val="21"/>
                <w:szCs w:val="21"/>
                <w:highlight w:val="none"/>
                <w:lang w:val="en-US" w:eastAsia="zh-CN"/>
              </w:rPr>
              <w:t>方案、工艺路线及设施设备、材料配置</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对</w:t>
            </w:r>
            <w:r>
              <w:rPr>
                <w:rFonts w:hint="default" w:ascii="Times New Roman" w:hAnsi="Times New Roman" w:cs="Times New Roman"/>
                <w:color w:val="auto"/>
                <w:sz w:val="21"/>
                <w:szCs w:val="21"/>
                <w:highlight w:val="none"/>
              </w:rPr>
              <w:t>其完整性、</w:t>
            </w:r>
            <w:r>
              <w:rPr>
                <w:rFonts w:hint="eastAsia" w:cs="Times New Roman"/>
                <w:color w:val="auto"/>
                <w:sz w:val="21"/>
                <w:szCs w:val="21"/>
                <w:highlight w:val="none"/>
                <w:lang w:val="en-US" w:eastAsia="zh-CN"/>
              </w:rPr>
              <w:t>先进性、</w:t>
            </w:r>
            <w:r>
              <w:rPr>
                <w:rFonts w:hint="default" w:ascii="Times New Roman" w:hAnsi="Times New Roman" w:cs="Times New Roman"/>
                <w:color w:val="auto"/>
                <w:sz w:val="21"/>
                <w:szCs w:val="21"/>
                <w:highlight w:val="none"/>
              </w:rPr>
              <w:t>客观性、科学合理性</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进行综合评</w:t>
            </w:r>
            <w:r>
              <w:rPr>
                <w:rFonts w:hint="default" w:ascii="Times New Roman" w:hAnsi="Times New Roman" w:cs="Times New Roman"/>
                <w:color w:val="auto"/>
                <w:sz w:val="21"/>
                <w:szCs w:val="21"/>
                <w:highlight w:val="none"/>
                <w:lang w:val="en-US" w:eastAsia="zh-CN"/>
              </w:rPr>
              <w:t>定</w:t>
            </w:r>
            <w:r>
              <w:rPr>
                <w:rFonts w:hint="eastAsia" w:cs="Times New Roman"/>
                <w:color w:val="auto"/>
                <w:sz w:val="21"/>
                <w:szCs w:val="21"/>
                <w:highlight w:val="none"/>
                <w:lang w:val="en-US" w:eastAsia="zh-CN"/>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eastAsia" w:cs="Times New Roman"/>
                <w:color w:val="auto"/>
                <w:sz w:val="21"/>
                <w:szCs w:val="21"/>
                <w:highlight w:val="none"/>
                <w:lang w:val="en-US" w:eastAsia="zh-CN"/>
              </w:rPr>
              <w:t>技术方案完整合理，工艺路线科学、先进，</w:t>
            </w:r>
            <w:r>
              <w:rPr>
                <w:rFonts w:hint="default" w:ascii="Times New Roman" w:hAnsi="Times New Roman" w:cs="Times New Roman"/>
                <w:color w:val="auto"/>
                <w:sz w:val="21"/>
                <w:szCs w:val="21"/>
                <w:highlight w:val="none"/>
                <w:lang w:val="en-US" w:eastAsia="zh-CN"/>
              </w:rPr>
              <w:t>投入本项目的设施设备、材料完整</w:t>
            </w:r>
            <w:r>
              <w:rPr>
                <w:rFonts w:hint="eastAsia" w:cs="Times New Roman"/>
                <w:color w:val="auto"/>
                <w:sz w:val="21"/>
                <w:szCs w:val="21"/>
                <w:highlight w:val="none"/>
                <w:lang w:val="en-US" w:eastAsia="zh-CN"/>
              </w:rPr>
              <w:t>，运行</w:t>
            </w:r>
            <w:r>
              <w:rPr>
                <w:rFonts w:hint="default" w:ascii="Times New Roman" w:hAnsi="Times New Roman" w:cs="Times New Roman"/>
                <w:color w:val="auto"/>
                <w:sz w:val="21"/>
                <w:szCs w:val="21"/>
                <w:highlight w:val="none"/>
                <w:lang w:val="en-US" w:eastAsia="zh-CN"/>
              </w:rPr>
              <w:t>可靠的</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得</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eastAsia" w:cs="Times New Roman"/>
                <w:color w:val="auto"/>
                <w:sz w:val="21"/>
                <w:szCs w:val="21"/>
                <w:highlight w:val="none"/>
                <w:lang w:val="en-US" w:eastAsia="zh-CN"/>
              </w:rPr>
              <w:t>技术方案比较完整，工艺路线比较科学，</w:t>
            </w:r>
            <w:r>
              <w:rPr>
                <w:rFonts w:hint="default" w:ascii="Times New Roman" w:hAnsi="Times New Roman" w:cs="Times New Roman"/>
                <w:color w:val="auto"/>
                <w:sz w:val="21"/>
                <w:szCs w:val="21"/>
                <w:highlight w:val="none"/>
                <w:lang w:val="en-US" w:eastAsia="zh-CN"/>
              </w:rPr>
              <w:t>投入本项目的设施设备、材料</w:t>
            </w:r>
            <w:r>
              <w:rPr>
                <w:rFonts w:hint="eastAsia" w:cs="Times New Roman"/>
                <w:color w:val="auto"/>
                <w:sz w:val="21"/>
                <w:szCs w:val="21"/>
                <w:highlight w:val="none"/>
                <w:lang w:val="en-US" w:eastAsia="zh-CN"/>
              </w:rPr>
              <w:t>比较</w:t>
            </w:r>
            <w:r>
              <w:rPr>
                <w:rFonts w:hint="default" w:ascii="Times New Roman" w:hAnsi="Times New Roman" w:cs="Times New Roman"/>
                <w:color w:val="auto"/>
                <w:sz w:val="21"/>
                <w:szCs w:val="21"/>
                <w:highlight w:val="none"/>
                <w:lang w:val="en-US" w:eastAsia="zh-CN"/>
              </w:rPr>
              <w:t>完整</w:t>
            </w:r>
            <w:r>
              <w:rPr>
                <w:rFonts w:hint="eastAsia" w:cs="Times New Roman"/>
                <w:color w:val="auto"/>
                <w:sz w:val="21"/>
                <w:szCs w:val="21"/>
                <w:highlight w:val="none"/>
                <w:lang w:val="en-US" w:eastAsia="zh-CN"/>
              </w:rPr>
              <w:t>，运行比较</w:t>
            </w:r>
            <w:r>
              <w:rPr>
                <w:rFonts w:hint="default" w:ascii="Times New Roman" w:hAnsi="Times New Roman" w:cs="Times New Roman"/>
                <w:color w:val="auto"/>
                <w:sz w:val="21"/>
                <w:szCs w:val="21"/>
                <w:highlight w:val="none"/>
                <w:lang w:val="en-US" w:eastAsia="zh-CN"/>
              </w:rPr>
              <w:t>可靠的</w:t>
            </w:r>
            <w:r>
              <w:rPr>
                <w:rFonts w:hint="eastAsia" w:cs="Times New Roman"/>
                <w:color w:val="auto"/>
                <w:sz w:val="21"/>
                <w:szCs w:val="21"/>
                <w:highlight w:val="none"/>
                <w:lang w:val="en-US" w:eastAsia="zh-CN"/>
              </w:rPr>
              <w:t>，得</w:t>
            </w:r>
            <w:r>
              <w:rPr>
                <w:rFonts w:hint="default" w:ascii="Times New Roman" w:hAnsi="Times New Roman" w:cs="Times New Roman"/>
                <w:color w:val="auto"/>
                <w:sz w:val="21"/>
                <w:szCs w:val="21"/>
                <w:highlight w:val="none"/>
              </w:rPr>
              <w:t>4-</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其他情况得0-4分。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8</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eastAsia" w:cs="Times New Roman"/>
                <w:color w:val="auto"/>
                <w:sz w:val="21"/>
                <w:szCs w:val="21"/>
                <w:highlight w:val="none"/>
                <w:lang w:val="en-US" w:eastAsia="zh-CN"/>
              </w:rPr>
            </w:pPr>
            <w:r>
              <w:rPr>
                <w:rFonts w:hint="default" w:ascii="Times New Roman" w:hAnsi="Times New Roman" w:cs="Times New Roman"/>
                <w:b/>
                <w:color w:val="auto"/>
                <w:sz w:val="21"/>
                <w:szCs w:val="21"/>
                <w:highlight w:val="none"/>
              </w:rPr>
              <w:t>进度、人员安排及质量控制</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3分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评委根据投标人提供的设计进度、设计人员安排</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设计质量保证方案</w:t>
            </w:r>
            <w:r>
              <w:rPr>
                <w:rFonts w:hint="eastAsia" w:cs="Times New Roman"/>
                <w:color w:val="auto"/>
                <w:sz w:val="21"/>
                <w:szCs w:val="21"/>
                <w:highlight w:val="none"/>
                <w:lang w:val="en-US" w:eastAsia="zh-CN"/>
              </w:rPr>
              <w:t>等进行综合评定：</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设计进度、设计人员安排科学合理，工作节点清晰明确，设计质量保证方案具有可操作性</w:t>
            </w:r>
            <w:r>
              <w:rPr>
                <w:rFonts w:hint="eastAsia" w:cs="Times New Roman"/>
                <w:color w:val="auto"/>
                <w:sz w:val="21"/>
                <w:szCs w:val="21"/>
                <w:highlight w:val="none"/>
                <w:lang w:val="en-US" w:eastAsia="zh-CN"/>
              </w:rPr>
              <w:t>的得2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z w:val="21"/>
                <w:szCs w:val="21"/>
                <w:highlight w:val="none"/>
              </w:rPr>
              <w:t>设计进度、设计人员安排较为合理，设计质量保证方案操作性一般</w:t>
            </w:r>
            <w:r>
              <w:rPr>
                <w:rFonts w:hint="eastAsia" w:cs="Times New Roman"/>
                <w:color w:val="auto"/>
                <w:sz w:val="21"/>
                <w:szCs w:val="21"/>
                <w:highlight w:val="none"/>
                <w:lang w:val="en-US" w:eastAsia="zh-CN"/>
              </w:rPr>
              <w:t>的得1</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kern w:val="0"/>
                <w:sz w:val="21"/>
                <w:szCs w:val="21"/>
                <w:highlight w:val="none"/>
              </w:rPr>
              <w:t>；其他情况得0-</w:t>
            </w: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rPr>
              <w:t>分。</w:t>
            </w:r>
          </w:p>
        </w:tc>
        <w:tc>
          <w:tcPr>
            <w:tcW w:w="999" w:type="dxa"/>
            <w:noWrap w:val="0"/>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leftChars="0" w:right="0" w:rightChars="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rPr>
            </w:pPr>
            <w:r>
              <w:rPr>
                <w:rFonts w:hint="default" w:ascii="Times New Roman" w:hAnsi="Times New Roman" w:cs="Times New Roman"/>
                <w:b/>
                <w:color w:val="auto"/>
                <w:sz w:val="21"/>
                <w:szCs w:val="21"/>
                <w:highlight w:val="none"/>
                <w:lang w:val="en-US" w:eastAsia="zh-CN"/>
              </w:rPr>
              <w:t>初步设计图纸</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5分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val="en-US" w:eastAsia="zh-CN"/>
              </w:rPr>
              <w:t>：</w:t>
            </w:r>
            <w:r>
              <w:rPr>
                <w:rFonts w:hint="default" w:ascii="Times New Roman" w:hAnsi="Times New Roman" w:cs="Times New Roman"/>
                <w:color w:val="auto"/>
                <w:kern w:val="0"/>
                <w:sz w:val="21"/>
                <w:szCs w:val="21"/>
                <w:highlight w:val="none"/>
              </w:rPr>
              <w:t>评委根据投标人提供的图纸的完整性、合理性、科学性等进行综合评定。</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提供的图纸完整、合理、科学、详细的得</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分；</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提供的图纸比较完整、合理、科学、详细的得</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cs="Times New Roman"/>
                <w:color w:val="auto"/>
                <w:kern w:val="0"/>
                <w:sz w:val="21"/>
                <w:szCs w:val="21"/>
                <w:highlight w:val="none"/>
                <w:lang w:val="en-US" w:eastAsia="zh-CN"/>
              </w:rPr>
              <w:t>分；</w:t>
            </w:r>
          </w:p>
          <w:p>
            <w:pPr>
              <w:keepNext w:val="0"/>
              <w:keepLines w:val="0"/>
              <w:widowControl/>
              <w:suppressLineNumbers w:val="0"/>
              <w:spacing w:before="0" w:beforeAutospacing="0" w:after="0" w:afterAutospacing="0" w:line="300" w:lineRule="exact"/>
              <w:ind w:left="0" w:leftChars="0" w:right="0" w:right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其他情况得</w:t>
            </w: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val="en-US" w:eastAsia="zh-CN"/>
              </w:rPr>
              <w:t>分</w:t>
            </w:r>
            <w:r>
              <w:rPr>
                <w:rFonts w:hint="eastAsia" w:cs="Times New Roman"/>
                <w:color w:val="auto"/>
                <w:kern w:val="0"/>
                <w:sz w:val="21"/>
                <w:szCs w:val="21"/>
                <w:highlight w:val="none"/>
                <w:lang w:val="en-US" w:eastAsia="zh-CN"/>
              </w:rPr>
              <w:t>。</w:t>
            </w:r>
          </w:p>
        </w:tc>
        <w:tc>
          <w:tcPr>
            <w:tcW w:w="999" w:type="dxa"/>
            <w:noWrap w:val="0"/>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5</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leftChars="0" w:right="0" w:rightChars="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eastAsia="宋体" w:cs="Times New Roman"/>
                <w:color w:val="auto"/>
                <w:kern w:val="0"/>
                <w:sz w:val="21"/>
                <w:szCs w:val="20"/>
                <w:highlight w:val="none"/>
                <w:lang w:eastAsia="zh-CN"/>
              </w:rPr>
            </w:pPr>
            <w:r>
              <w:rPr>
                <w:rFonts w:hint="default" w:ascii="Times New Roman" w:hAnsi="Times New Roman" w:cs="Times New Roman"/>
                <w:b/>
                <w:color w:val="auto"/>
                <w:sz w:val="21"/>
                <w:szCs w:val="21"/>
                <w:highlight w:val="none"/>
              </w:rPr>
              <w:t>施工方案</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9分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kern w:val="0"/>
                <w:sz w:val="21"/>
                <w:szCs w:val="21"/>
                <w:highlight w:val="none"/>
              </w:rPr>
              <w:t>评委会根据投标人提供的施工组织设计方案、施工进度安排、文明和安全施工</w:t>
            </w:r>
            <w:r>
              <w:rPr>
                <w:rFonts w:hint="eastAsia" w:cs="Times New Roman"/>
                <w:color w:val="auto"/>
                <w:kern w:val="0"/>
                <w:sz w:val="21"/>
                <w:szCs w:val="21"/>
                <w:highlight w:val="none"/>
                <w:lang w:val="en-US" w:eastAsia="zh-CN"/>
              </w:rPr>
              <w:t>措施、</w:t>
            </w:r>
            <w:r>
              <w:rPr>
                <w:rFonts w:hint="default" w:ascii="Times New Roman" w:hAnsi="Times New Roman" w:cs="Times New Roman"/>
                <w:color w:val="auto"/>
                <w:kern w:val="0"/>
                <w:sz w:val="21"/>
                <w:szCs w:val="21"/>
                <w:highlight w:val="none"/>
              </w:rPr>
              <w:t>质量保证措施、</w:t>
            </w:r>
            <w:r>
              <w:rPr>
                <w:rFonts w:hint="eastAsia" w:ascii="宋体" w:hAnsi="宋体" w:cs="宋体"/>
                <w:color w:val="auto"/>
                <w:szCs w:val="21"/>
                <w:highlight w:val="none"/>
              </w:rPr>
              <w:t>劳动力、机械设备和材料投入计划</w:t>
            </w:r>
            <w:r>
              <w:rPr>
                <w:rFonts w:hint="eastAsia" w:ascii="宋体" w:hAnsi="宋体" w:cs="宋体"/>
                <w:color w:val="auto"/>
                <w:szCs w:val="21"/>
                <w:highlight w:val="none"/>
                <w:lang w:eastAsia="zh-CN"/>
              </w:rPr>
              <w:t>、</w:t>
            </w:r>
            <w:r>
              <w:rPr>
                <w:rFonts w:hint="default" w:ascii="Times New Roman" w:hAnsi="Times New Roman" w:cs="Times New Roman"/>
                <w:color w:val="auto"/>
                <w:kern w:val="0"/>
                <w:sz w:val="21"/>
                <w:szCs w:val="21"/>
                <w:highlight w:val="none"/>
              </w:rPr>
              <w:t>施工过程对河流开放性及当前水质提升管理工作的影响性分析等方面进行综合评定</w:t>
            </w:r>
            <w:r>
              <w:rPr>
                <w:rFonts w:hint="eastAsia" w:ascii="Times New Roman" w:hAnsi="Times New Roman" w:cs="Times New Roman"/>
                <w:color w:val="auto"/>
                <w:kern w:val="0"/>
                <w:sz w:val="21"/>
                <w:szCs w:val="21"/>
                <w:highlight w:val="none"/>
                <w:lang w:eastAsia="zh-CN"/>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0"/>
                <w:highlight w:val="none"/>
              </w:rPr>
            </w:pPr>
            <w:r>
              <w:rPr>
                <w:rFonts w:hint="default" w:ascii="Times New Roman" w:hAnsi="Times New Roman" w:cs="Times New Roman"/>
                <w:color w:val="auto"/>
                <w:kern w:val="0"/>
                <w:sz w:val="21"/>
                <w:szCs w:val="21"/>
                <w:highlight w:val="none"/>
                <w:lang w:eastAsia="zh-CN"/>
              </w:rPr>
              <w:t>完整、详细、</w:t>
            </w:r>
            <w:r>
              <w:rPr>
                <w:rFonts w:hint="eastAsia" w:cs="Times New Roman"/>
                <w:color w:val="auto"/>
                <w:kern w:val="0"/>
                <w:sz w:val="21"/>
                <w:szCs w:val="21"/>
                <w:highlight w:val="none"/>
                <w:lang w:val="en-US" w:eastAsia="zh-CN"/>
              </w:rPr>
              <w:t>科学、</w:t>
            </w:r>
            <w:r>
              <w:rPr>
                <w:rFonts w:hint="default" w:ascii="Times New Roman" w:hAnsi="Times New Roman" w:cs="Times New Roman"/>
                <w:color w:val="auto"/>
                <w:kern w:val="0"/>
                <w:sz w:val="21"/>
                <w:szCs w:val="21"/>
                <w:highlight w:val="none"/>
                <w:lang w:eastAsia="zh-CN"/>
              </w:rPr>
              <w:t>合理</w:t>
            </w:r>
            <w:r>
              <w:rPr>
                <w:rFonts w:hint="eastAsia" w:cs="Times New Roman"/>
                <w:color w:val="auto"/>
                <w:kern w:val="0"/>
                <w:sz w:val="21"/>
                <w:szCs w:val="21"/>
                <w:highlight w:val="none"/>
                <w:lang w:val="en-US" w:eastAsia="zh-CN"/>
              </w:rPr>
              <w:t>的得</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kern w:val="0"/>
                <w:sz w:val="21"/>
                <w:szCs w:val="21"/>
                <w:highlight w:val="none"/>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0"/>
                <w:highlight w:val="none"/>
              </w:rPr>
            </w:pPr>
            <w:r>
              <w:rPr>
                <w:rFonts w:hint="default" w:ascii="Times New Roman" w:hAnsi="Times New Roman" w:cs="Times New Roman"/>
                <w:color w:val="auto"/>
                <w:kern w:val="0"/>
                <w:sz w:val="21"/>
                <w:szCs w:val="21"/>
                <w:highlight w:val="none"/>
                <w:lang w:val="en-US" w:eastAsia="zh-CN"/>
              </w:rPr>
              <w:t>比较</w:t>
            </w:r>
            <w:r>
              <w:rPr>
                <w:rFonts w:hint="default" w:ascii="Times New Roman" w:hAnsi="Times New Roman" w:cs="Times New Roman"/>
                <w:color w:val="auto"/>
                <w:kern w:val="0"/>
                <w:sz w:val="21"/>
                <w:szCs w:val="21"/>
                <w:highlight w:val="none"/>
                <w:lang w:eastAsia="zh-CN"/>
              </w:rPr>
              <w:t>完整、详细、合理</w:t>
            </w:r>
            <w:r>
              <w:rPr>
                <w:rFonts w:hint="eastAsia" w:cs="Times New Roman"/>
                <w:color w:val="auto"/>
                <w:kern w:val="0"/>
                <w:sz w:val="21"/>
                <w:szCs w:val="21"/>
                <w:highlight w:val="none"/>
                <w:lang w:val="en-US" w:eastAsia="zh-CN"/>
              </w:rPr>
              <w:t>的得</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其他情况得0-</w:t>
            </w:r>
            <w:r>
              <w:rPr>
                <w:rFonts w:hint="eastAsia"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rPr>
              <w:t>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9</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2"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eastAsia"/>
                <w:b/>
                <w:bCs/>
                <w:color w:val="auto"/>
                <w:szCs w:val="20"/>
                <w:highlight w:val="none"/>
                <w:lang w:val="en-US" w:eastAsia="zh-CN"/>
              </w:rPr>
            </w:pPr>
            <w:r>
              <w:rPr>
                <w:rFonts w:hint="eastAsia"/>
                <w:b/>
                <w:bCs/>
                <w:color w:val="auto"/>
                <w:szCs w:val="20"/>
                <w:highlight w:val="none"/>
                <w:lang w:val="en-US" w:eastAsia="zh-CN"/>
              </w:rPr>
              <w:t>运维管理（30分）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b/>
                <w:bCs/>
                <w:color w:val="auto"/>
                <w:szCs w:val="20"/>
                <w:highlight w:val="none"/>
                <w:lang w:val="en-US" w:eastAsia="zh-CN"/>
              </w:rPr>
              <w:t>一、</w:t>
            </w:r>
            <w:r>
              <w:rPr>
                <w:rFonts w:hint="default"/>
                <w:b/>
                <w:bCs/>
                <w:color w:val="auto"/>
                <w:szCs w:val="20"/>
                <w:highlight w:val="none"/>
                <w:lang w:val="en-US" w:eastAsia="zh-CN"/>
              </w:rPr>
              <w:t>运维</w:t>
            </w:r>
            <w:r>
              <w:rPr>
                <w:rFonts w:hint="default"/>
                <w:b/>
                <w:bCs/>
                <w:color w:val="auto"/>
                <w:szCs w:val="20"/>
                <w:highlight w:val="none"/>
              </w:rPr>
              <w:t>服务方案</w:t>
            </w:r>
            <w:r>
              <w:rPr>
                <w:rFonts w:hint="eastAsia"/>
                <w:b/>
                <w:bCs/>
                <w:color w:val="auto"/>
                <w:szCs w:val="20"/>
                <w:highlight w:val="none"/>
                <w:lang w:eastAsia="zh-CN"/>
              </w:rPr>
              <w:t>（</w:t>
            </w:r>
            <w:r>
              <w:rPr>
                <w:rFonts w:hint="eastAsia"/>
                <w:b/>
                <w:bCs/>
                <w:color w:val="auto"/>
                <w:szCs w:val="20"/>
                <w:highlight w:val="none"/>
                <w:lang w:val="en-US" w:eastAsia="zh-CN"/>
              </w:rPr>
              <w:t>10分</w:t>
            </w:r>
            <w:r>
              <w:rPr>
                <w:rFonts w:hint="eastAsia"/>
                <w:b/>
                <w:bCs/>
                <w:color w:val="auto"/>
                <w:szCs w:val="20"/>
                <w:highlight w:val="none"/>
                <w:lang w:eastAsia="zh-CN"/>
              </w:rPr>
              <w:t>）</w:t>
            </w:r>
            <w:r>
              <w:rPr>
                <w:rFonts w:hint="eastAsia"/>
                <w:color w:val="auto"/>
                <w:szCs w:val="20"/>
                <w:highlight w:val="none"/>
                <w:lang w:eastAsia="zh-CN"/>
              </w:rPr>
              <w:t>：</w:t>
            </w:r>
            <w:r>
              <w:rPr>
                <w:rFonts w:hint="eastAsia"/>
                <w:color w:val="auto"/>
                <w:szCs w:val="20"/>
                <w:highlight w:val="none"/>
              </w:rPr>
              <w:t>投标人针对项目具体实施拟定的运维实施方案详实、有针对性、内容完整等（包括项目概况介绍，服务的范围，内容，目标、思路，人员配置及岗位职责，运维工作内容细分及考核、</w:t>
            </w:r>
            <w:r>
              <w:rPr>
                <w:rFonts w:hint="eastAsia"/>
                <w:color w:val="auto"/>
                <w:szCs w:val="20"/>
                <w:highlight w:val="none"/>
                <w:lang w:eastAsia="zh-CN"/>
              </w:rPr>
              <w:t>运维质量保证措施、安全措施及</w:t>
            </w:r>
            <w:r>
              <w:rPr>
                <w:rFonts w:hint="eastAsia"/>
                <w:color w:val="auto"/>
                <w:szCs w:val="20"/>
                <w:highlight w:val="none"/>
              </w:rPr>
              <w:t>其它合理化建议等内容）。评委根据投标人提供的</w:t>
            </w:r>
            <w:r>
              <w:rPr>
                <w:rFonts w:hint="eastAsia"/>
                <w:color w:val="auto"/>
                <w:szCs w:val="20"/>
                <w:highlight w:val="none"/>
                <w:lang w:val="en-US" w:eastAsia="zh-CN"/>
              </w:rPr>
              <w:t>运维服务方案</w:t>
            </w:r>
            <w:r>
              <w:rPr>
                <w:rFonts w:hint="eastAsia"/>
                <w:color w:val="auto"/>
                <w:szCs w:val="20"/>
                <w:highlight w:val="none"/>
              </w:rPr>
              <w:t>进行综合评定</w:t>
            </w:r>
            <w:r>
              <w:rPr>
                <w:rFonts w:hint="eastAsia"/>
                <w:color w:val="auto"/>
                <w:szCs w:val="20"/>
                <w:highlight w:val="none"/>
                <w:lang w:eastAsia="zh-CN"/>
              </w:rPr>
              <w:t>。</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eastAsia="zh-CN"/>
              </w:rPr>
            </w:pPr>
            <w:r>
              <w:rPr>
                <w:rFonts w:hint="eastAsia"/>
                <w:color w:val="auto"/>
                <w:szCs w:val="20"/>
                <w:highlight w:val="none"/>
                <w:lang w:val="en-US" w:eastAsia="zh-CN"/>
              </w:rPr>
              <w:t>运维服务方案完整、详细、科学合理的得7</w:t>
            </w:r>
            <w:r>
              <w:rPr>
                <w:rFonts w:hint="default"/>
                <w:color w:val="auto"/>
                <w:szCs w:val="20"/>
                <w:highlight w:val="none"/>
              </w:rPr>
              <w:t>-</w:t>
            </w:r>
            <w:r>
              <w:rPr>
                <w:rFonts w:hint="eastAsia"/>
                <w:color w:val="auto"/>
                <w:szCs w:val="20"/>
                <w:highlight w:val="none"/>
                <w:lang w:val="en-US" w:eastAsia="zh-CN"/>
              </w:rPr>
              <w:t>10</w:t>
            </w:r>
            <w:r>
              <w:rPr>
                <w:rFonts w:hint="default"/>
                <w:color w:val="auto"/>
                <w:szCs w:val="20"/>
                <w:highlight w:val="none"/>
              </w:rPr>
              <w:t>分</w:t>
            </w:r>
            <w:r>
              <w:rPr>
                <w:rFonts w:hint="eastAsia"/>
                <w:color w:val="auto"/>
                <w:szCs w:val="20"/>
                <w:highlight w:val="none"/>
                <w:lang w:eastAsia="zh-CN"/>
              </w:rPr>
              <w:t>；</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运维服务方案比较完整、详细、科学合理的得4</w:t>
            </w:r>
            <w:r>
              <w:rPr>
                <w:rFonts w:hint="default"/>
                <w:color w:val="auto"/>
                <w:szCs w:val="20"/>
                <w:highlight w:val="none"/>
              </w:rPr>
              <w:t>-</w:t>
            </w:r>
            <w:r>
              <w:rPr>
                <w:rFonts w:hint="eastAsia"/>
                <w:color w:val="auto"/>
                <w:szCs w:val="20"/>
                <w:highlight w:val="none"/>
                <w:lang w:val="en-US" w:eastAsia="zh-CN"/>
              </w:rPr>
              <w:t>7分；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运维服务方案不够完整、详细、科学合理的得0</w:t>
            </w:r>
            <w:r>
              <w:rPr>
                <w:rFonts w:hint="default"/>
                <w:color w:val="auto"/>
                <w:szCs w:val="20"/>
                <w:highlight w:val="none"/>
              </w:rPr>
              <w:t>-</w:t>
            </w:r>
            <w:r>
              <w:rPr>
                <w:rFonts w:hint="eastAsia"/>
                <w:color w:val="auto"/>
                <w:szCs w:val="20"/>
                <w:highlight w:val="none"/>
                <w:lang w:val="en-US" w:eastAsia="zh-CN"/>
              </w:rPr>
              <w:t>4分。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rPr>
            </w:pPr>
            <w:r>
              <w:rPr>
                <w:rFonts w:hint="eastAsia"/>
                <w:b/>
                <w:bCs/>
                <w:color w:val="auto"/>
                <w:szCs w:val="20"/>
                <w:highlight w:val="none"/>
                <w:lang w:val="en-US" w:eastAsia="zh-CN"/>
              </w:rPr>
              <w:t>二、</w:t>
            </w:r>
            <w:r>
              <w:rPr>
                <w:rFonts w:hint="default"/>
                <w:b/>
                <w:bCs/>
                <w:color w:val="auto"/>
                <w:szCs w:val="20"/>
                <w:highlight w:val="none"/>
                <w:lang w:val="en-US" w:eastAsia="zh-CN"/>
              </w:rPr>
              <w:t>水质检测方案</w:t>
            </w:r>
            <w:r>
              <w:rPr>
                <w:rFonts w:hint="eastAsia"/>
                <w:b/>
                <w:bCs/>
                <w:color w:val="auto"/>
                <w:szCs w:val="20"/>
                <w:highlight w:val="none"/>
                <w:lang w:eastAsia="zh-CN"/>
              </w:rPr>
              <w:t>（</w:t>
            </w:r>
            <w:r>
              <w:rPr>
                <w:rFonts w:hint="eastAsia"/>
                <w:b/>
                <w:bCs/>
                <w:color w:val="auto"/>
                <w:szCs w:val="20"/>
                <w:highlight w:val="none"/>
                <w:lang w:val="en-US" w:eastAsia="zh-CN"/>
              </w:rPr>
              <w:t>5分</w:t>
            </w:r>
            <w:r>
              <w:rPr>
                <w:rFonts w:hint="eastAsia"/>
                <w:b/>
                <w:bCs/>
                <w:color w:val="auto"/>
                <w:szCs w:val="20"/>
                <w:highlight w:val="none"/>
                <w:lang w:eastAsia="zh-CN"/>
              </w:rPr>
              <w:t>）</w:t>
            </w:r>
            <w:r>
              <w:rPr>
                <w:rFonts w:hint="eastAsia"/>
                <w:color w:val="auto"/>
                <w:szCs w:val="20"/>
                <w:highlight w:val="none"/>
                <w:lang w:val="en-US" w:eastAsia="zh-CN"/>
              </w:rPr>
              <w:t>：</w:t>
            </w:r>
            <w:r>
              <w:rPr>
                <w:rFonts w:hint="eastAsia"/>
                <w:color w:val="auto"/>
                <w:szCs w:val="20"/>
                <w:highlight w:val="none"/>
              </w:rPr>
              <w:t>评委根据投标人提供的水质自行检测方案</w:t>
            </w:r>
            <w:r>
              <w:rPr>
                <w:rFonts w:hint="eastAsia"/>
                <w:color w:val="auto"/>
                <w:szCs w:val="20"/>
                <w:highlight w:val="none"/>
                <w:lang w:eastAsia="zh-CN"/>
              </w:rPr>
              <w:t>、</w:t>
            </w:r>
            <w:r>
              <w:rPr>
                <w:rFonts w:hint="eastAsia"/>
                <w:color w:val="auto"/>
                <w:szCs w:val="20"/>
                <w:highlight w:val="none"/>
                <w:lang w:val="en-US" w:eastAsia="zh-CN"/>
              </w:rPr>
              <w:t>拥有的污水检测能力及检测设备情况</w:t>
            </w:r>
            <w:r>
              <w:rPr>
                <w:rFonts w:hint="eastAsia"/>
                <w:color w:val="auto"/>
                <w:szCs w:val="20"/>
                <w:highlight w:val="none"/>
              </w:rPr>
              <w:t>进行综合评定。</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rPr>
              <w:t>提供的水质自行检测方案</w:t>
            </w:r>
            <w:r>
              <w:rPr>
                <w:rFonts w:hint="eastAsia"/>
                <w:color w:val="auto"/>
                <w:szCs w:val="20"/>
                <w:highlight w:val="none"/>
                <w:lang w:eastAsia="zh-CN"/>
              </w:rPr>
              <w:t>完整、合理、详细、可行，</w:t>
            </w:r>
            <w:r>
              <w:rPr>
                <w:rFonts w:hint="eastAsia"/>
                <w:color w:val="auto"/>
                <w:szCs w:val="20"/>
                <w:highlight w:val="none"/>
                <w:lang w:val="en-US" w:eastAsia="zh-CN"/>
              </w:rPr>
              <w:t>拥有较强的污水检测能力及自有检测设备</w:t>
            </w:r>
            <w:r>
              <w:rPr>
                <w:rFonts w:hint="eastAsia"/>
                <w:color w:val="auto"/>
                <w:szCs w:val="20"/>
                <w:highlight w:val="none"/>
                <w:lang w:eastAsia="zh-CN"/>
              </w:rPr>
              <w:t>得</w:t>
            </w:r>
            <w:r>
              <w:rPr>
                <w:rFonts w:hint="eastAsia"/>
                <w:color w:val="auto"/>
                <w:szCs w:val="20"/>
                <w:highlight w:val="none"/>
                <w:lang w:val="en-US" w:eastAsia="zh-CN"/>
              </w:rPr>
              <w:t>3-5分；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rPr>
              <w:t>提供的水质自行检测方案</w:t>
            </w:r>
            <w:r>
              <w:rPr>
                <w:rFonts w:hint="eastAsia"/>
                <w:color w:val="auto"/>
                <w:szCs w:val="20"/>
                <w:highlight w:val="none"/>
                <w:lang w:eastAsia="zh-CN"/>
              </w:rPr>
              <w:t>比较完整、合理、详细、可行，</w:t>
            </w:r>
            <w:r>
              <w:rPr>
                <w:rFonts w:hint="eastAsia"/>
                <w:color w:val="auto"/>
                <w:szCs w:val="20"/>
                <w:highlight w:val="none"/>
                <w:lang w:val="en-US" w:eastAsia="zh-CN"/>
              </w:rPr>
              <w:t>检测能力一般</w:t>
            </w:r>
            <w:r>
              <w:rPr>
                <w:rFonts w:hint="eastAsia"/>
                <w:color w:val="auto"/>
                <w:szCs w:val="20"/>
                <w:highlight w:val="none"/>
                <w:lang w:eastAsia="zh-CN"/>
              </w:rPr>
              <w:t>的得</w:t>
            </w:r>
            <w:r>
              <w:rPr>
                <w:rFonts w:hint="eastAsia"/>
                <w:color w:val="auto"/>
                <w:szCs w:val="20"/>
                <w:highlight w:val="none"/>
                <w:lang w:val="en-US" w:eastAsia="zh-CN"/>
              </w:rPr>
              <w:t>2-3分；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rPr>
              <w:t>提供的水质自行检测方案</w:t>
            </w:r>
            <w:r>
              <w:rPr>
                <w:rFonts w:hint="eastAsia"/>
                <w:color w:val="auto"/>
                <w:szCs w:val="20"/>
                <w:highlight w:val="none"/>
                <w:lang w:eastAsia="zh-CN"/>
              </w:rPr>
              <w:t>不够完整、合理、详细、可行，欠缺比较多的得</w:t>
            </w:r>
            <w:r>
              <w:rPr>
                <w:rFonts w:hint="eastAsia"/>
                <w:color w:val="auto"/>
                <w:szCs w:val="20"/>
                <w:highlight w:val="none"/>
                <w:lang w:val="en-US" w:eastAsia="zh-CN"/>
              </w:rPr>
              <w:t>0-2分。</w:t>
            </w:r>
          </w:p>
          <w:p>
            <w:pPr>
              <w:pStyle w:val="17"/>
              <w:keepNext w:val="0"/>
              <w:keepLines w:val="0"/>
              <w:suppressLineNumbers w:val="0"/>
              <w:spacing w:before="0" w:beforeAutospacing="0" w:after="0" w:afterAutospacing="0" w:line="300" w:lineRule="exact"/>
              <w:ind w:left="0" w:right="0"/>
              <w:jc w:val="both"/>
              <w:rPr>
                <w:rFonts w:hint="eastAsia"/>
                <w:color w:val="auto"/>
                <w:szCs w:val="20"/>
                <w:highlight w:val="none"/>
                <w:lang w:val="en-US" w:eastAsia="zh-CN"/>
              </w:rPr>
            </w:pPr>
            <w:r>
              <w:rPr>
                <w:rFonts w:hint="eastAsia"/>
                <w:b/>
                <w:bCs/>
                <w:color w:val="auto"/>
                <w:szCs w:val="20"/>
                <w:highlight w:val="none"/>
                <w:lang w:val="en-US" w:eastAsia="zh-CN"/>
              </w:rPr>
              <w:t>三、污泥处置</w:t>
            </w:r>
            <w:r>
              <w:rPr>
                <w:rFonts w:hint="eastAsia"/>
                <w:b/>
                <w:bCs/>
                <w:color w:val="auto"/>
                <w:szCs w:val="20"/>
                <w:highlight w:val="none"/>
                <w:lang w:eastAsia="zh-CN"/>
              </w:rPr>
              <w:t>（</w:t>
            </w:r>
            <w:r>
              <w:rPr>
                <w:rFonts w:hint="eastAsia"/>
                <w:b/>
                <w:bCs/>
                <w:color w:val="auto"/>
                <w:szCs w:val="20"/>
                <w:highlight w:val="none"/>
                <w:lang w:val="en-US" w:eastAsia="zh-CN"/>
              </w:rPr>
              <w:t>2分</w:t>
            </w:r>
            <w:r>
              <w:rPr>
                <w:rFonts w:hint="eastAsia"/>
                <w:b/>
                <w:bCs/>
                <w:color w:val="auto"/>
                <w:szCs w:val="20"/>
                <w:highlight w:val="none"/>
                <w:lang w:eastAsia="zh-CN"/>
              </w:rPr>
              <w:t>）</w:t>
            </w:r>
            <w:r>
              <w:rPr>
                <w:rFonts w:hint="eastAsia"/>
                <w:color w:val="auto"/>
                <w:szCs w:val="20"/>
                <w:highlight w:val="none"/>
                <w:lang w:val="en-US" w:eastAsia="zh-CN"/>
              </w:rPr>
              <w:t>：投标人具有处置污泥的资质或者与具有处置污泥资格的第三方单位签订污泥接收处置协议的得2分。</w:t>
            </w:r>
          </w:p>
          <w:p>
            <w:pPr>
              <w:pStyle w:val="17"/>
              <w:keepNext w:val="0"/>
              <w:keepLines w:val="0"/>
              <w:suppressLineNumbers w:val="0"/>
              <w:spacing w:before="0" w:beforeAutospacing="0" w:after="0" w:afterAutospacing="0" w:line="300" w:lineRule="exact"/>
              <w:ind w:left="0" w:right="0"/>
              <w:jc w:val="both"/>
              <w:rPr>
                <w:rFonts w:hint="eastAsia"/>
                <w:color w:val="auto"/>
                <w:szCs w:val="20"/>
                <w:highlight w:val="none"/>
                <w:lang w:val="en-US" w:eastAsia="zh-CN"/>
              </w:rPr>
            </w:pPr>
            <w:r>
              <w:rPr>
                <w:rFonts w:hint="eastAsia"/>
                <w:color w:val="auto"/>
                <w:szCs w:val="20"/>
                <w:highlight w:val="none"/>
                <w:lang w:val="en-US" w:eastAsia="zh-CN"/>
              </w:rPr>
              <w:t>注：投标人具有处置污泥资质的，提供污泥处置资格证书或环评审批批复文件扫描件；委托第三方处置的，提供污泥处置委托协议书及第三方单位污泥处置资格证书或环评审批批复文件扫描件；无相关证明材料，不得分。</w:t>
            </w:r>
          </w:p>
          <w:p>
            <w:pPr>
              <w:pStyle w:val="17"/>
              <w:keepNext w:val="0"/>
              <w:keepLines w:val="0"/>
              <w:numPr>
                <w:ilvl w:val="0"/>
                <w:numId w:val="8"/>
              </w:numPr>
              <w:suppressLineNumbers w:val="0"/>
              <w:spacing w:before="0" w:beforeAutospacing="0" w:after="0" w:afterAutospacing="0" w:line="300" w:lineRule="exact"/>
              <w:ind w:left="0" w:right="0"/>
              <w:jc w:val="both"/>
              <w:rPr>
                <w:rFonts w:hint="eastAsia"/>
                <w:b/>
                <w:bCs/>
                <w:color w:val="auto"/>
                <w:szCs w:val="20"/>
                <w:highlight w:val="none"/>
                <w:lang w:val="en-US" w:eastAsia="zh-CN"/>
              </w:rPr>
            </w:pPr>
            <w:r>
              <w:rPr>
                <w:rFonts w:hint="eastAsia"/>
                <w:b/>
                <w:bCs/>
                <w:color w:val="auto"/>
                <w:szCs w:val="20"/>
                <w:highlight w:val="none"/>
                <w:lang w:val="en-US" w:eastAsia="zh-CN"/>
              </w:rPr>
              <w:t>本地服务能力（5分）</w:t>
            </w:r>
          </w:p>
          <w:p>
            <w:pPr>
              <w:keepNext w:val="0"/>
              <w:keepLines w:val="0"/>
              <w:widowControl/>
              <w:suppressLineNumbers w:val="0"/>
              <w:spacing w:before="0" w:beforeAutospacing="0" w:after="0" w:afterAutospacing="0" w:line="300" w:lineRule="exact"/>
              <w:ind w:left="0" w:right="0"/>
              <w:rPr>
                <w:rStyle w:val="174"/>
                <w:rFonts w:hint="eastAsia" w:cs="Times New Roman"/>
                <w:color w:val="auto"/>
                <w:sz w:val="21"/>
                <w:szCs w:val="21"/>
                <w:highlight w:val="none"/>
                <w:lang w:eastAsia="zh-CN" w:bidi="ar"/>
              </w:rPr>
            </w:pPr>
            <w:r>
              <w:rPr>
                <w:rStyle w:val="174"/>
                <w:rFonts w:hint="default" w:ascii="Times New Roman" w:hAnsi="Times New Roman" w:cs="Times New Roman"/>
                <w:color w:val="auto"/>
                <w:sz w:val="21"/>
                <w:szCs w:val="21"/>
                <w:highlight w:val="none"/>
                <w:lang w:bidi="ar"/>
              </w:rPr>
              <w:t>评委根据投标人的针对本项目的提出的</w:t>
            </w:r>
            <w:r>
              <w:rPr>
                <w:rStyle w:val="174"/>
                <w:rFonts w:hint="default" w:ascii="Times New Roman" w:hAnsi="Times New Roman" w:cs="Times New Roman"/>
                <w:color w:val="auto"/>
                <w:sz w:val="21"/>
                <w:szCs w:val="21"/>
                <w:highlight w:val="none"/>
                <w:lang w:eastAsia="zh-CN" w:bidi="ar"/>
              </w:rPr>
              <w:t>本地化</w:t>
            </w:r>
            <w:r>
              <w:rPr>
                <w:rStyle w:val="174"/>
                <w:rFonts w:hint="default" w:ascii="Times New Roman" w:hAnsi="Times New Roman" w:cs="Times New Roman"/>
                <w:color w:val="auto"/>
                <w:sz w:val="21"/>
                <w:szCs w:val="21"/>
                <w:highlight w:val="none"/>
                <w:lang w:bidi="ar"/>
              </w:rPr>
              <w:t>服务</w:t>
            </w:r>
            <w:r>
              <w:rPr>
                <w:rStyle w:val="174"/>
                <w:rFonts w:hint="eastAsia" w:cs="Times New Roman"/>
                <w:color w:val="auto"/>
                <w:sz w:val="21"/>
                <w:szCs w:val="21"/>
                <w:highlight w:val="none"/>
                <w:lang w:val="en-US" w:eastAsia="zh-CN" w:bidi="ar"/>
              </w:rPr>
              <w:t>能力</w:t>
            </w:r>
            <w:r>
              <w:rPr>
                <w:rStyle w:val="174"/>
                <w:rFonts w:hint="default" w:ascii="Times New Roman" w:hAnsi="Times New Roman" w:cs="Times New Roman"/>
                <w:color w:val="auto"/>
                <w:sz w:val="21"/>
                <w:szCs w:val="21"/>
                <w:highlight w:val="none"/>
                <w:lang w:bidi="ar"/>
              </w:rPr>
              <w:t>进行评定</w:t>
            </w:r>
            <w:r>
              <w:rPr>
                <w:rStyle w:val="174"/>
                <w:rFonts w:hint="eastAsia" w:cs="Times New Roman"/>
                <w:color w:val="auto"/>
                <w:sz w:val="21"/>
                <w:szCs w:val="21"/>
                <w:highlight w:val="none"/>
                <w:lang w:eastAsia="zh-CN" w:bidi="ar"/>
              </w:rPr>
              <w:t>。</w:t>
            </w:r>
          </w:p>
          <w:p>
            <w:pPr>
              <w:keepNext w:val="0"/>
              <w:keepLines w:val="0"/>
              <w:widowControl/>
              <w:suppressLineNumbers w:val="0"/>
              <w:spacing w:before="0" w:beforeAutospacing="0" w:after="0" w:afterAutospacing="0" w:line="300" w:lineRule="exact"/>
              <w:ind w:left="0" w:right="0"/>
              <w:rPr>
                <w:rStyle w:val="174"/>
                <w:rFonts w:hint="eastAsia" w:cs="Times New Roman"/>
                <w:color w:val="auto"/>
                <w:sz w:val="21"/>
                <w:szCs w:val="21"/>
                <w:highlight w:val="none"/>
                <w:lang w:val="en-US" w:eastAsia="zh-CN" w:bidi="ar"/>
              </w:rPr>
            </w:pPr>
            <w:r>
              <w:rPr>
                <w:rStyle w:val="174"/>
                <w:rFonts w:hint="eastAsia" w:cs="Times New Roman"/>
                <w:color w:val="auto"/>
                <w:sz w:val="21"/>
                <w:szCs w:val="21"/>
                <w:highlight w:val="none"/>
                <w:lang w:val="en-US" w:eastAsia="zh-CN" w:bidi="ar"/>
              </w:rPr>
              <w:t>本地化服务便利、快速响应、相关服务人员、车辆及工具配备齐全、</w:t>
            </w:r>
            <w:r>
              <w:rPr>
                <w:rStyle w:val="174"/>
                <w:rFonts w:hint="eastAsia" w:cs="Times New Roman"/>
                <w:color w:val="auto"/>
                <w:sz w:val="21"/>
                <w:szCs w:val="21"/>
                <w:highlight w:val="none"/>
                <w:lang w:eastAsia="zh-CN" w:bidi="ar"/>
              </w:rPr>
              <w:t>详细、合理的得</w:t>
            </w:r>
            <w:r>
              <w:rPr>
                <w:rStyle w:val="174"/>
                <w:rFonts w:hint="eastAsia" w:cs="Times New Roman"/>
                <w:color w:val="auto"/>
                <w:sz w:val="21"/>
                <w:szCs w:val="21"/>
                <w:highlight w:val="none"/>
                <w:lang w:val="en-US" w:eastAsia="zh-CN" w:bidi="ar"/>
              </w:rPr>
              <w:t>3-5分；</w:t>
            </w:r>
          </w:p>
          <w:p>
            <w:pPr>
              <w:keepNext w:val="0"/>
              <w:keepLines w:val="0"/>
              <w:widowControl/>
              <w:suppressLineNumbers w:val="0"/>
              <w:spacing w:before="0" w:beforeAutospacing="0" w:after="0" w:afterAutospacing="0" w:line="300" w:lineRule="exact"/>
              <w:ind w:left="0" w:right="0"/>
              <w:rPr>
                <w:rStyle w:val="174"/>
                <w:rFonts w:hint="eastAsia" w:cs="Times New Roman"/>
                <w:color w:val="auto"/>
                <w:sz w:val="21"/>
                <w:szCs w:val="21"/>
                <w:highlight w:val="none"/>
                <w:lang w:val="en-US" w:eastAsia="zh-CN" w:bidi="ar"/>
              </w:rPr>
            </w:pPr>
            <w:r>
              <w:rPr>
                <w:rStyle w:val="174"/>
                <w:rFonts w:hint="eastAsia" w:cs="Times New Roman"/>
                <w:color w:val="auto"/>
                <w:sz w:val="21"/>
                <w:szCs w:val="21"/>
                <w:highlight w:val="none"/>
                <w:lang w:val="en-US" w:eastAsia="zh-CN" w:bidi="ar"/>
              </w:rPr>
              <w:t>本地化服务比较便利、快速响应、相关服务人员、车辆及工具配备较齐全</w:t>
            </w:r>
            <w:r>
              <w:rPr>
                <w:rStyle w:val="174"/>
                <w:rFonts w:hint="eastAsia" w:cs="Times New Roman"/>
                <w:color w:val="auto"/>
                <w:sz w:val="21"/>
                <w:szCs w:val="21"/>
                <w:highlight w:val="none"/>
                <w:lang w:eastAsia="zh-CN" w:bidi="ar"/>
              </w:rPr>
              <w:t>合理的得</w:t>
            </w:r>
            <w:r>
              <w:rPr>
                <w:rStyle w:val="174"/>
                <w:rFonts w:hint="eastAsia" w:cs="Times New Roman"/>
                <w:color w:val="auto"/>
                <w:sz w:val="21"/>
                <w:szCs w:val="21"/>
                <w:highlight w:val="none"/>
                <w:lang w:val="en-US" w:eastAsia="zh-CN" w:bidi="ar"/>
              </w:rPr>
              <w:t>2-3分；</w:t>
            </w:r>
          </w:p>
          <w:p>
            <w:pPr>
              <w:pStyle w:val="17"/>
              <w:keepNext w:val="0"/>
              <w:keepLines w:val="0"/>
              <w:numPr>
                <w:ilvl w:val="0"/>
                <w:numId w:val="0"/>
              </w:numPr>
              <w:suppressLineNumbers w:val="0"/>
              <w:spacing w:before="0" w:beforeAutospacing="0" w:after="0" w:afterAutospacing="0" w:line="300" w:lineRule="exact"/>
              <w:ind w:left="0" w:right="0" w:rightChars="0"/>
              <w:jc w:val="both"/>
              <w:rPr>
                <w:rFonts w:hint="default"/>
                <w:color w:val="auto"/>
                <w:szCs w:val="20"/>
                <w:highlight w:val="none"/>
                <w:lang w:val="en-US" w:eastAsia="zh-CN"/>
              </w:rPr>
            </w:pPr>
            <w:r>
              <w:rPr>
                <w:rStyle w:val="174"/>
                <w:rFonts w:hint="eastAsia" w:cs="Times New Roman"/>
                <w:color w:val="auto"/>
                <w:sz w:val="21"/>
                <w:szCs w:val="21"/>
                <w:highlight w:val="none"/>
                <w:lang w:val="en-US" w:eastAsia="zh-CN" w:bidi="ar"/>
              </w:rPr>
              <w:t>本地化服务便利、快速响应不足，相关服务人员、车辆及工具配备不足</w:t>
            </w:r>
            <w:r>
              <w:rPr>
                <w:rStyle w:val="174"/>
                <w:rFonts w:hint="eastAsia" w:cs="Times New Roman"/>
                <w:color w:val="auto"/>
                <w:sz w:val="21"/>
                <w:szCs w:val="21"/>
                <w:highlight w:val="none"/>
                <w:lang w:eastAsia="zh-CN" w:bidi="ar"/>
              </w:rPr>
              <w:t>的得</w:t>
            </w:r>
            <w:r>
              <w:rPr>
                <w:rStyle w:val="174"/>
                <w:rFonts w:hint="eastAsia" w:cs="Times New Roman"/>
                <w:color w:val="auto"/>
                <w:sz w:val="21"/>
                <w:szCs w:val="21"/>
                <w:highlight w:val="none"/>
                <w:lang w:val="en-US" w:eastAsia="zh-CN" w:bidi="ar"/>
              </w:rPr>
              <w:t>0-2分。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rPr>
            </w:pPr>
            <w:r>
              <w:rPr>
                <w:rFonts w:hint="eastAsia"/>
                <w:b/>
                <w:bCs/>
                <w:color w:val="auto"/>
                <w:szCs w:val="20"/>
                <w:highlight w:val="none"/>
                <w:lang w:val="en-US" w:eastAsia="zh-CN"/>
              </w:rPr>
              <w:t>五、应急预案</w:t>
            </w:r>
            <w:r>
              <w:rPr>
                <w:rFonts w:hint="eastAsia"/>
                <w:b/>
                <w:bCs/>
                <w:color w:val="auto"/>
                <w:szCs w:val="20"/>
                <w:highlight w:val="none"/>
                <w:lang w:eastAsia="zh-CN"/>
              </w:rPr>
              <w:t>（</w:t>
            </w:r>
            <w:r>
              <w:rPr>
                <w:rFonts w:hint="eastAsia"/>
                <w:b/>
                <w:bCs/>
                <w:color w:val="auto"/>
                <w:szCs w:val="20"/>
                <w:highlight w:val="none"/>
                <w:lang w:val="en-US" w:eastAsia="zh-CN"/>
              </w:rPr>
              <w:t>8分</w:t>
            </w:r>
            <w:r>
              <w:rPr>
                <w:rFonts w:hint="eastAsia"/>
                <w:b/>
                <w:bCs/>
                <w:color w:val="auto"/>
                <w:szCs w:val="20"/>
                <w:highlight w:val="none"/>
                <w:lang w:eastAsia="zh-CN"/>
              </w:rPr>
              <w:t>）</w:t>
            </w:r>
            <w:r>
              <w:rPr>
                <w:rFonts w:hint="eastAsia"/>
                <w:color w:val="auto"/>
                <w:szCs w:val="20"/>
                <w:highlight w:val="none"/>
                <w:lang w:val="en-US" w:eastAsia="zh-CN"/>
              </w:rPr>
              <w:t>：</w:t>
            </w:r>
            <w:r>
              <w:rPr>
                <w:rFonts w:hint="eastAsia"/>
                <w:color w:val="auto"/>
                <w:szCs w:val="20"/>
                <w:highlight w:val="none"/>
              </w:rPr>
              <w:t>评委根据投标人提供的针对水质恶化突发性事件、</w:t>
            </w:r>
            <w:r>
              <w:rPr>
                <w:rFonts w:hint="eastAsia"/>
                <w:color w:val="auto"/>
                <w:szCs w:val="20"/>
                <w:highlight w:val="none"/>
                <w:lang w:val="en-US" w:eastAsia="zh-CN"/>
              </w:rPr>
              <w:t>雨季水质不良影响及其他</w:t>
            </w:r>
            <w:r>
              <w:rPr>
                <w:rFonts w:hint="eastAsia"/>
                <w:color w:val="auto"/>
                <w:szCs w:val="20"/>
                <w:highlight w:val="none"/>
              </w:rPr>
              <w:t>突发应急事件（突然停水、停电情况处理、设备故障应急处理、水质超标紧急处理等）和检查期间的应急响应管理方案和制度进行综合评定。</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对</w:t>
            </w:r>
            <w:r>
              <w:rPr>
                <w:rFonts w:hint="eastAsia"/>
                <w:color w:val="auto"/>
                <w:szCs w:val="20"/>
                <w:highlight w:val="none"/>
              </w:rPr>
              <w:t>水质恶化突发性事件、</w:t>
            </w:r>
            <w:r>
              <w:rPr>
                <w:rFonts w:hint="eastAsia"/>
                <w:color w:val="auto"/>
                <w:szCs w:val="20"/>
                <w:highlight w:val="none"/>
                <w:lang w:val="en-US" w:eastAsia="zh-CN"/>
              </w:rPr>
              <w:t>雨季水质不良影响</w:t>
            </w:r>
            <w:r>
              <w:rPr>
                <w:rFonts w:hint="eastAsia"/>
                <w:color w:val="auto"/>
                <w:szCs w:val="20"/>
                <w:highlight w:val="none"/>
              </w:rPr>
              <w:t>和检查期间的应急响应管理方案和制度</w:t>
            </w:r>
            <w:r>
              <w:rPr>
                <w:rFonts w:hint="eastAsia"/>
                <w:color w:val="auto"/>
                <w:szCs w:val="20"/>
                <w:highlight w:val="none"/>
                <w:lang w:eastAsia="zh-CN"/>
              </w:rPr>
              <w:t>完整、详细、积极、科学合理的得</w:t>
            </w:r>
            <w:r>
              <w:rPr>
                <w:rFonts w:hint="eastAsia"/>
                <w:color w:val="auto"/>
                <w:szCs w:val="20"/>
                <w:highlight w:val="none"/>
                <w:lang w:val="en-US" w:eastAsia="zh-CN"/>
              </w:rPr>
              <w:t>5</w:t>
            </w:r>
            <w:r>
              <w:rPr>
                <w:rFonts w:hint="default"/>
                <w:color w:val="auto"/>
                <w:szCs w:val="20"/>
                <w:highlight w:val="none"/>
              </w:rPr>
              <w:t>-</w:t>
            </w:r>
            <w:r>
              <w:rPr>
                <w:rFonts w:hint="eastAsia"/>
                <w:color w:val="auto"/>
                <w:szCs w:val="20"/>
                <w:highlight w:val="none"/>
                <w:lang w:val="en-US" w:eastAsia="zh-CN"/>
              </w:rPr>
              <w:t>8分；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对</w:t>
            </w:r>
            <w:r>
              <w:rPr>
                <w:rFonts w:hint="eastAsia"/>
                <w:color w:val="auto"/>
                <w:szCs w:val="20"/>
                <w:highlight w:val="none"/>
              </w:rPr>
              <w:t>水质恶化突发性事件、</w:t>
            </w:r>
            <w:r>
              <w:rPr>
                <w:rFonts w:hint="eastAsia"/>
                <w:color w:val="auto"/>
                <w:szCs w:val="20"/>
                <w:highlight w:val="none"/>
                <w:lang w:val="en-US" w:eastAsia="zh-CN"/>
              </w:rPr>
              <w:t>雨季水质不良影响</w:t>
            </w:r>
            <w:r>
              <w:rPr>
                <w:rFonts w:hint="eastAsia"/>
                <w:color w:val="auto"/>
                <w:szCs w:val="20"/>
                <w:highlight w:val="none"/>
              </w:rPr>
              <w:t>和检查期间的应急响应管理方案和制度</w:t>
            </w:r>
            <w:r>
              <w:rPr>
                <w:rFonts w:hint="eastAsia"/>
                <w:color w:val="auto"/>
                <w:szCs w:val="20"/>
                <w:highlight w:val="none"/>
                <w:lang w:eastAsia="zh-CN"/>
              </w:rPr>
              <w:t>比较完整、详细、积极、科学合理的得</w:t>
            </w:r>
            <w:r>
              <w:rPr>
                <w:rFonts w:hint="eastAsia"/>
                <w:color w:val="auto"/>
                <w:szCs w:val="20"/>
                <w:highlight w:val="none"/>
                <w:lang w:val="en-US" w:eastAsia="zh-CN"/>
              </w:rPr>
              <w:t>3</w:t>
            </w:r>
            <w:r>
              <w:rPr>
                <w:rFonts w:hint="default"/>
                <w:color w:val="auto"/>
                <w:szCs w:val="20"/>
                <w:highlight w:val="none"/>
              </w:rPr>
              <w:t>-</w:t>
            </w:r>
            <w:r>
              <w:rPr>
                <w:rFonts w:hint="eastAsia"/>
                <w:color w:val="auto"/>
                <w:szCs w:val="20"/>
                <w:highlight w:val="none"/>
                <w:lang w:val="en-US" w:eastAsia="zh-CN"/>
              </w:rPr>
              <w:t>5分；</w:t>
            </w:r>
          </w:p>
          <w:p>
            <w:pPr>
              <w:keepNext w:val="0"/>
              <w:keepLines w:val="0"/>
              <w:widowControl/>
              <w:suppressLineNumbers w:val="0"/>
              <w:spacing w:before="0" w:beforeAutospacing="0" w:after="0" w:afterAutospacing="0" w:line="300" w:lineRule="exact"/>
              <w:ind w:left="0" w:right="0"/>
              <w:rPr>
                <w:rFonts w:hint="default" w:cs="Times New Roman"/>
                <w:color w:val="auto"/>
                <w:kern w:val="0"/>
                <w:sz w:val="21"/>
                <w:szCs w:val="21"/>
                <w:highlight w:val="none"/>
                <w:lang w:val="en-US" w:eastAsia="zh-CN"/>
              </w:rPr>
            </w:pPr>
            <w:r>
              <w:rPr>
                <w:rFonts w:hint="eastAsia"/>
                <w:color w:val="auto"/>
                <w:szCs w:val="20"/>
                <w:highlight w:val="none"/>
                <w:lang w:val="en-US" w:eastAsia="zh-CN"/>
              </w:rPr>
              <w:t>对</w:t>
            </w:r>
            <w:r>
              <w:rPr>
                <w:rFonts w:hint="eastAsia"/>
                <w:color w:val="auto"/>
                <w:szCs w:val="20"/>
                <w:highlight w:val="none"/>
              </w:rPr>
              <w:t>水质恶化突发性事件、</w:t>
            </w:r>
            <w:r>
              <w:rPr>
                <w:rFonts w:hint="eastAsia"/>
                <w:color w:val="auto"/>
                <w:szCs w:val="20"/>
                <w:highlight w:val="none"/>
                <w:lang w:val="en-US" w:eastAsia="zh-CN"/>
              </w:rPr>
              <w:t>雨季水质不良影响</w:t>
            </w:r>
            <w:r>
              <w:rPr>
                <w:rFonts w:hint="eastAsia"/>
                <w:color w:val="auto"/>
                <w:szCs w:val="20"/>
                <w:highlight w:val="none"/>
              </w:rPr>
              <w:t>和检查期间的应急响应管理</w:t>
            </w:r>
            <w:r>
              <w:rPr>
                <w:rFonts w:hint="eastAsia" w:ascii="Times New Roman" w:hAnsi="Times New Roman" w:eastAsia="宋体" w:cs="Times New Roman"/>
                <w:color w:val="auto"/>
                <w:kern w:val="2"/>
                <w:sz w:val="21"/>
                <w:szCs w:val="22"/>
                <w:highlight w:val="none"/>
                <w:lang w:val="en-US" w:eastAsia="zh-CN" w:bidi="ar-SA"/>
              </w:rPr>
              <w:t>方案和制度不够完整、详细、积极、科学合理，欠缺比较多的得0-3分。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30</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Style w:val="174"/>
                <w:rFonts w:hint="eastAsia" w:cs="Times New Roman"/>
                <w:color w:val="auto"/>
                <w:sz w:val="21"/>
                <w:szCs w:val="21"/>
                <w:highlight w:val="none"/>
                <w:lang w:eastAsia="zh-CN" w:bidi="ar"/>
              </w:rPr>
            </w:pPr>
            <w:r>
              <w:rPr>
                <w:rFonts w:hint="default" w:ascii="Times New Roman" w:hAnsi="Times New Roman" w:cs="Times New Roman"/>
                <w:b/>
                <w:color w:val="auto"/>
                <w:sz w:val="21"/>
                <w:szCs w:val="21"/>
                <w:highlight w:val="none"/>
              </w:rPr>
              <w:t>合理化建议</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2分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Style w:val="174"/>
                <w:rFonts w:hint="default" w:ascii="Times New Roman" w:hAnsi="Times New Roman" w:cs="Times New Roman"/>
                <w:color w:val="auto"/>
                <w:sz w:val="21"/>
                <w:szCs w:val="21"/>
                <w:highlight w:val="none"/>
                <w:lang w:bidi="ar"/>
              </w:rPr>
              <w:t>评委根据投标人的针对本项目的提出的合理化建议进行评定</w:t>
            </w:r>
            <w:r>
              <w:rPr>
                <w:rStyle w:val="174"/>
                <w:rFonts w:hint="eastAsia" w:cs="Times New Roman"/>
                <w:color w:val="auto"/>
                <w:sz w:val="21"/>
                <w:szCs w:val="21"/>
                <w:highlight w:val="none"/>
                <w:lang w:eastAsia="zh-CN" w:bidi="ar"/>
              </w:rPr>
              <w:t>。</w:t>
            </w:r>
          </w:p>
          <w:p>
            <w:pPr>
              <w:keepNext w:val="0"/>
              <w:keepLines w:val="0"/>
              <w:widowControl/>
              <w:suppressLineNumbers w:val="0"/>
              <w:spacing w:before="0" w:beforeAutospacing="0" w:after="0" w:afterAutospacing="0" w:line="300" w:lineRule="exact"/>
              <w:ind w:left="0" w:right="0"/>
              <w:rPr>
                <w:rStyle w:val="174"/>
                <w:rFonts w:hint="eastAsia" w:cs="Times New Roman"/>
                <w:color w:val="auto"/>
                <w:sz w:val="21"/>
                <w:szCs w:val="21"/>
                <w:highlight w:val="none"/>
                <w:lang w:val="en-US" w:eastAsia="zh-CN" w:bidi="ar"/>
              </w:rPr>
            </w:pPr>
            <w:r>
              <w:rPr>
                <w:rStyle w:val="174"/>
                <w:rFonts w:hint="eastAsia" w:cs="Times New Roman"/>
                <w:color w:val="auto"/>
                <w:sz w:val="21"/>
                <w:szCs w:val="21"/>
                <w:highlight w:val="none"/>
                <w:lang w:val="en-US" w:eastAsia="zh-CN" w:bidi="ar"/>
              </w:rPr>
              <w:t>提出的</w:t>
            </w:r>
            <w:r>
              <w:rPr>
                <w:rStyle w:val="174"/>
                <w:rFonts w:hint="eastAsia" w:cs="Times New Roman"/>
                <w:color w:val="auto"/>
                <w:sz w:val="21"/>
                <w:szCs w:val="21"/>
                <w:highlight w:val="none"/>
                <w:lang w:eastAsia="zh-CN" w:bidi="ar"/>
              </w:rPr>
              <w:t>合理化建议</w:t>
            </w:r>
            <w:r>
              <w:rPr>
                <w:rStyle w:val="174"/>
                <w:rFonts w:hint="eastAsia" w:cs="Times New Roman"/>
                <w:color w:val="auto"/>
                <w:sz w:val="21"/>
                <w:szCs w:val="21"/>
                <w:highlight w:val="none"/>
                <w:lang w:val="en-US" w:eastAsia="zh-CN" w:bidi="ar"/>
              </w:rPr>
              <w:t>可行、</w:t>
            </w:r>
            <w:r>
              <w:rPr>
                <w:rStyle w:val="174"/>
                <w:rFonts w:hint="eastAsia" w:cs="Times New Roman"/>
                <w:color w:val="auto"/>
                <w:sz w:val="21"/>
                <w:szCs w:val="21"/>
                <w:highlight w:val="none"/>
                <w:lang w:eastAsia="zh-CN" w:bidi="ar"/>
              </w:rPr>
              <w:t>全面、详细、先进且实施计划完整的得</w:t>
            </w:r>
            <w:r>
              <w:rPr>
                <w:rStyle w:val="174"/>
                <w:rFonts w:hint="eastAsia" w:cs="Times New Roman"/>
                <w:color w:val="auto"/>
                <w:sz w:val="21"/>
                <w:szCs w:val="21"/>
                <w:highlight w:val="none"/>
                <w:lang w:val="en-US" w:eastAsia="zh-CN" w:bidi="ar"/>
              </w:rPr>
              <w:t>1.5-2.0分；</w:t>
            </w:r>
          </w:p>
          <w:p>
            <w:pPr>
              <w:keepNext w:val="0"/>
              <w:keepLines w:val="0"/>
              <w:widowControl/>
              <w:suppressLineNumbers w:val="0"/>
              <w:spacing w:before="0" w:beforeAutospacing="0" w:after="0" w:afterAutospacing="0" w:line="300" w:lineRule="exact"/>
              <w:ind w:left="0" w:right="0"/>
              <w:rPr>
                <w:rStyle w:val="174"/>
                <w:rFonts w:hint="eastAsia" w:cs="Times New Roman"/>
                <w:color w:val="auto"/>
                <w:sz w:val="21"/>
                <w:szCs w:val="21"/>
                <w:highlight w:val="none"/>
                <w:lang w:val="en-US" w:eastAsia="zh-CN" w:bidi="ar"/>
              </w:rPr>
            </w:pPr>
            <w:r>
              <w:rPr>
                <w:rStyle w:val="174"/>
                <w:rFonts w:hint="eastAsia" w:cs="Times New Roman"/>
                <w:color w:val="auto"/>
                <w:sz w:val="21"/>
                <w:szCs w:val="21"/>
                <w:highlight w:val="none"/>
                <w:lang w:val="en-US" w:eastAsia="zh-CN" w:bidi="ar"/>
              </w:rPr>
              <w:t>提出</w:t>
            </w:r>
            <w:r>
              <w:rPr>
                <w:rStyle w:val="174"/>
                <w:rFonts w:hint="eastAsia" w:cs="Times New Roman"/>
                <w:color w:val="auto"/>
                <w:sz w:val="21"/>
                <w:szCs w:val="21"/>
                <w:highlight w:val="none"/>
                <w:lang w:eastAsia="zh-CN" w:bidi="ar"/>
              </w:rPr>
              <w:t>合理化建议比较全面、详细、先进、可行且实施计划比较完整的得</w:t>
            </w:r>
            <w:r>
              <w:rPr>
                <w:rStyle w:val="174"/>
                <w:rFonts w:hint="eastAsia" w:cs="Times New Roman"/>
                <w:color w:val="auto"/>
                <w:sz w:val="21"/>
                <w:szCs w:val="21"/>
                <w:highlight w:val="none"/>
                <w:lang w:val="en-US" w:eastAsia="zh-CN" w:bidi="ar"/>
              </w:rPr>
              <w:t>1.0-1.5分；</w:t>
            </w:r>
          </w:p>
          <w:p>
            <w:pPr>
              <w:keepNext w:val="0"/>
              <w:keepLines w:val="0"/>
              <w:widowControl/>
              <w:suppressLineNumbers w:val="0"/>
              <w:spacing w:before="0" w:beforeAutospacing="0" w:after="0" w:afterAutospacing="0" w:line="300" w:lineRule="exact"/>
              <w:ind w:left="0" w:right="0"/>
              <w:rPr>
                <w:rFonts w:hint="default" w:ascii="Times New Roman" w:hAnsi="Times New Roman" w:eastAsia="宋体" w:cs="Times New Roman"/>
                <w:color w:val="auto"/>
                <w:kern w:val="0"/>
                <w:sz w:val="21"/>
                <w:szCs w:val="21"/>
                <w:highlight w:val="none"/>
                <w:lang w:val="en-US" w:eastAsia="zh-CN"/>
              </w:rPr>
            </w:pPr>
            <w:r>
              <w:rPr>
                <w:rStyle w:val="174"/>
                <w:rFonts w:hint="eastAsia" w:cs="Times New Roman"/>
                <w:color w:val="auto"/>
                <w:sz w:val="21"/>
                <w:szCs w:val="21"/>
                <w:highlight w:val="none"/>
                <w:lang w:val="en-US" w:eastAsia="zh-CN" w:bidi="ar"/>
              </w:rPr>
              <w:t>提出</w:t>
            </w:r>
            <w:r>
              <w:rPr>
                <w:rStyle w:val="174"/>
                <w:rFonts w:hint="eastAsia" w:cs="Times New Roman"/>
                <w:color w:val="auto"/>
                <w:sz w:val="21"/>
                <w:szCs w:val="21"/>
                <w:highlight w:val="none"/>
                <w:lang w:eastAsia="zh-CN" w:bidi="ar"/>
              </w:rPr>
              <w:t>合理化建议不够全面、详细、先进、可行且实施计划不够完整，欠缺比较多的得</w:t>
            </w:r>
            <w:r>
              <w:rPr>
                <w:rStyle w:val="174"/>
                <w:rFonts w:hint="eastAsia" w:cs="Times New Roman"/>
                <w:color w:val="auto"/>
                <w:sz w:val="21"/>
                <w:szCs w:val="21"/>
                <w:highlight w:val="none"/>
                <w:lang w:val="en-US" w:eastAsia="zh-CN" w:bidi="ar"/>
              </w:rPr>
              <w:t>0-1分。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2</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7599" w:type="dxa"/>
            <w:gridSpan w:val="2"/>
            <w:tcBorders>
              <w:left w:val="double" w:color="auto" w:sz="4" w:space="0"/>
              <w:bottom w:val="doub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0"/>
                <w:highlight w:val="none"/>
              </w:rPr>
            </w:pPr>
            <w:r>
              <w:rPr>
                <w:rFonts w:hint="eastAsia" w:ascii="宋体" w:hAnsi="宋体" w:cs="宋体"/>
                <w:color w:val="auto"/>
                <w:szCs w:val="20"/>
                <w:highlight w:val="none"/>
              </w:rPr>
              <w:t>总得分</w:t>
            </w:r>
          </w:p>
        </w:tc>
        <w:tc>
          <w:tcPr>
            <w:tcW w:w="999" w:type="dxa"/>
            <w:tcBorders>
              <w:bottom w:val="doub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lang w:eastAsia="zh-CN"/>
              </w:rPr>
            </w:pPr>
            <w:r>
              <w:rPr>
                <w:rFonts w:hint="eastAsia" w:ascii="宋体" w:hAnsi="宋体" w:cs="宋体"/>
                <w:color w:val="auto"/>
                <w:szCs w:val="20"/>
                <w:highlight w:val="none"/>
                <w:lang w:val="en-US" w:eastAsia="zh-CN"/>
              </w:rPr>
              <w:t>80</w:t>
            </w:r>
          </w:p>
        </w:tc>
        <w:tc>
          <w:tcPr>
            <w:tcW w:w="600" w:type="dxa"/>
            <w:tcBorders>
              <w:bottom w:val="doub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bl>
    <w:p>
      <w:pPr>
        <w:spacing w:line="320" w:lineRule="exact"/>
        <w:rPr>
          <w:rFonts w:hint="eastAsia" w:ascii="宋体" w:hAnsi="宋体" w:cs="宋体"/>
          <w:b/>
          <w:color w:val="auto"/>
          <w:szCs w:val="22"/>
          <w:highlight w:val="none"/>
          <w:lang w:bidi="ar"/>
        </w:rPr>
      </w:pPr>
      <w:r>
        <w:rPr>
          <w:rFonts w:hint="eastAsia" w:ascii="宋体" w:hAnsi="宋体" w:cs="宋体"/>
          <w:b/>
          <w:color w:val="auto"/>
          <w:szCs w:val="22"/>
          <w:highlight w:val="none"/>
          <w:lang w:bidi="ar"/>
        </w:rPr>
        <w:t>注：1、各评委成员自行按以上参考分值评分，小数点后保留一位数。</w:t>
      </w:r>
    </w:p>
    <w:p>
      <w:pPr>
        <w:spacing w:line="320" w:lineRule="exact"/>
        <w:ind w:firstLine="422" w:firstLineChars="200"/>
        <w:rPr>
          <w:rFonts w:hint="eastAsia" w:ascii="宋体" w:hAnsi="宋体" w:cs="宋体"/>
          <w:color w:val="auto"/>
          <w:szCs w:val="21"/>
          <w:highlight w:val="none"/>
          <w:lang w:bidi="ar"/>
        </w:rPr>
      </w:pPr>
      <w:r>
        <w:rPr>
          <w:rFonts w:hint="eastAsia" w:ascii="宋体" w:hAnsi="宋体" w:cs="宋体"/>
          <w:b/>
          <w:color w:val="auto"/>
          <w:szCs w:val="22"/>
          <w:highlight w:val="none"/>
          <w:lang w:bidi="ar"/>
        </w:rPr>
        <w:t>2、以上分值重复的地方，下限不含，上限含。</w:t>
      </w:r>
    </w:p>
    <w:p>
      <w:pPr>
        <w:jc w:val="both"/>
        <w:rPr>
          <w:rFonts w:hint="eastAsia" w:ascii="宋体" w:hAnsi="宋体" w:cs="宋体"/>
          <w:color w:val="auto"/>
          <w:szCs w:val="21"/>
          <w:highlight w:val="none"/>
          <w:lang w:bidi="ar"/>
        </w:rPr>
      </w:pPr>
    </w:p>
    <w:p>
      <w:pPr>
        <w:jc w:val="both"/>
        <w:rPr>
          <w:rFonts w:hint="eastAsia"/>
          <w:color w:val="auto"/>
          <w:highlight w:val="none"/>
        </w:rPr>
      </w:pPr>
      <w:r>
        <w:rPr>
          <w:rFonts w:hint="eastAsia" w:ascii="宋体" w:hAnsi="宋体" w:cs="宋体"/>
          <w:color w:val="auto"/>
          <w:szCs w:val="21"/>
          <w:highlight w:val="none"/>
          <w:lang w:bidi="ar"/>
        </w:rPr>
        <w:t xml:space="preserve">评委签名：                                             </w:t>
      </w:r>
      <w:r>
        <w:rPr>
          <w:rFonts w:hint="eastAsia" w:ascii="宋体" w:hAnsi="宋体" w:cs="宋体"/>
          <w:color w:val="auto"/>
          <w:szCs w:val="21"/>
          <w:highlight w:val="none"/>
          <w:lang w:val="en-US" w:eastAsia="zh-CN" w:bidi="ar"/>
        </w:rPr>
        <w:t xml:space="preserve">          </w:t>
      </w:r>
      <w:r>
        <w:rPr>
          <w:rFonts w:hint="eastAsia" w:ascii="宋体" w:hAnsi="宋体" w:cs="宋体"/>
          <w:color w:val="auto"/>
          <w:szCs w:val="21"/>
          <w:highlight w:val="none"/>
          <w:lang w:bidi="ar"/>
        </w:rPr>
        <w:t xml:space="preserve">年  月   日 </w:t>
      </w:r>
      <w:bookmarkStart w:id="67" w:name="_Toc16187"/>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lang w:bidi="ar"/>
        </w:rPr>
      </w:pPr>
    </w:p>
    <w:p>
      <w:pPr>
        <w:widowControl/>
        <w:spacing w:line="340" w:lineRule="exact"/>
        <w:rPr>
          <w:rFonts w:hint="eastAsia" w:ascii="宋体" w:hAnsi="宋体" w:cs="宋体"/>
          <w:b/>
          <w:bCs/>
          <w:color w:val="auto"/>
          <w:szCs w:val="21"/>
          <w:highlight w:val="none"/>
        </w:rPr>
      </w:pPr>
      <w:r>
        <w:rPr>
          <w:rFonts w:hint="eastAsia" w:ascii="宋体" w:hAnsi="宋体" w:cs="宋体"/>
          <w:b/>
          <w:bCs/>
          <w:color w:val="auto"/>
          <w:szCs w:val="21"/>
          <w:highlight w:val="none"/>
          <w:lang w:bidi="ar"/>
        </w:rPr>
        <w:t>附表4</w:t>
      </w:r>
    </w:p>
    <w:p>
      <w:pPr>
        <w:pStyle w:val="43"/>
        <w:spacing w:line="360" w:lineRule="auto"/>
        <w:ind w:firstLine="0" w:firstLineChars="0"/>
        <w:jc w:val="center"/>
        <w:rPr>
          <w:rFonts w:hint="eastAsia" w:ascii="宋体" w:hAnsi="宋体" w:eastAsia="宋体" w:cs="宋体"/>
          <w:b/>
          <w:bCs/>
          <w:color w:val="auto"/>
          <w:sz w:val="28"/>
          <w:szCs w:val="28"/>
          <w:highlight w:val="none"/>
          <w:lang w:bidi="ar"/>
        </w:rPr>
      </w:pPr>
      <w:r>
        <w:rPr>
          <w:rFonts w:hint="eastAsia" w:ascii="宋体" w:hAnsi="宋体" w:eastAsia="宋体" w:cs="宋体"/>
          <w:b/>
          <w:bCs/>
          <w:color w:val="auto"/>
          <w:sz w:val="28"/>
          <w:szCs w:val="28"/>
          <w:highlight w:val="none"/>
          <w:lang w:bidi="ar"/>
        </w:rPr>
        <w:t>报价文件符合性审查表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594"/>
        <w:gridCol w:w="5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序号</w:t>
            </w:r>
          </w:p>
        </w:tc>
        <w:tc>
          <w:tcPr>
            <w:tcW w:w="359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要求</w:t>
            </w:r>
          </w:p>
        </w:tc>
        <w:tc>
          <w:tcPr>
            <w:tcW w:w="5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lang w:bidi="ar"/>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1</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供应商名称与</w:t>
            </w:r>
            <w:r>
              <w:rPr>
                <w:rFonts w:hint="eastAsia" w:ascii="宋体" w:hAnsi="宋体" w:cs="Times New Roman"/>
                <w:color w:val="auto"/>
                <w:szCs w:val="20"/>
                <w:highlight w:val="none"/>
              </w:rPr>
              <w:t>营业执照（或事业法人登记证）或其他组织（个体工商户）的营业执照或者民办非企业单位登记证书</w:t>
            </w:r>
            <w:r>
              <w:rPr>
                <w:rFonts w:hint="eastAsia" w:ascii="宋体" w:hAnsi="宋体" w:cs="宋体"/>
                <w:color w:val="auto"/>
                <w:szCs w:val="21"/>
                <w:highlight w:val="none"/>
                <w:lang w:bidi="ar"/>
              </w:rPr>
              <w:t>一致。</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供应商名称与</w:t>
            </w:r>
            <w:r>
              <w:rPr>
                <w:rFonts w:hint="eastAsia" w:ascii="宋体" w:hAnsi="宋体" w:cs="Times New Roman"/>
                <w:color w:val="auto"/>
                <w:szCs w:val="20"/>
                <w:highlight w:val="none"/>
              </w:rPr>
              <w:t>营业执照（或事业法人登记证）或其他组织（个体工商户）的营业执照或者民办非企业单位登记证书扫描件上的名称</w:t>
            </w:r>
            <w:r>
              <w:rPr>
                <w:rFonts w:hint="eastAsia" w:ascii="宋体" w:hAnsi="宋体" w:cs="宋体"/>
                <w:color w:val="auto"/>
                <w:szCs w:val="21"/>
                <w:highlight w:val="none"/>
                <w:lang w:bidi="ar"/>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20"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2</w:t>
            </w:r>
          </w:p>
        </w:tc>
        <w:tc>
          <w:tcPr>
            <w:tcW w:w="3594"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bCs/>
                <w:color w:val="auto"/>
                <w:szCs w:val="21"/>
                <w:highlight w:val="none"/>
                <w:lang w:bidi="ar"/>
              </w:rPr>
              <w:t>总投标报价超出预算价</w:t>
            </w:r>
            <w:r>
              <w:rPr>
                <w:rFonts w:hint="eastAsia" w:ascii="宋体" w:hAnsi="宋体" w:cs="宋体"/>
                <w:bCs/>
                <w:color w:val="auto"/>
                <w:szCs w:val="21"/>
                <w:highlight w:val="none"/>
                <w:lang w:val="en-US" w:eastAsia="zh-CN" w:bidi="ar"/>
              </w:rPr>
              <w:t>或最高限价</w:t>
            </w:r>
            <w:r>
              <w:rPr>
                <w:rFonts w:hint="eastAsia" w:ascii="宋体" w:hAnsi="宋体" w:cs="宋体"/>
                <w:bCs/>
                <w:color w:val="auto"/>
                <w:szCs w:val="21"/>
                <w:highlight w:val="none"/>
                <w:lang w:bidi="ar"/>
              </w:rPr>
              <w:t>的的投标为无效投标</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left"/>
              <w:rPr>
                <w:rFonts w:hint="eastAsia" w:ascii="宋体" w:hAnsi="宋体" w:cs="宋体"/>
                <w:color w:val="auto"/>
                <w:szCs w:val="21"/>
                <w:highlight w:val="none"/>
              </w:rPr>
            </w:pPr>
            <w:r>
              <w:rPr>
                <w:rFonts w:hint="eastAsia" w:ascii="宋体" w:hAnsi="宋体" w:cs="宋体"/>
                <w:bCs/>
                <w:color w:val="auto"/>
                <w:szCs w:val="21"/>
                <w:highlight w:val="none"/>
                <w:lang w:bidi="ar"/>
              </w:rPr>
              <w:t>总投标报价超出预算价</w:t>
            </w:r>
            <w:r>
              <w:rPr>
                <w:rFonts w:hint="eastAsia" w:ascii="宋体" w:hAnsi="宋体" w:cs="宋体"/>
                <w:bCs/>
                <w:color w:val="auto"/>
                <w:szCs w:val="21"/>
                <w:highlight w:val="none"/>
                <w:lang w:val="en-US" w:eastAsia="zh-CN" w:bidi="ar"/>
              </w:rPr>
              <w:t>或最高限价</w:t>
            </w:r>
            <w:r>
              <w:rPr>
                <w:rFonts w:hint="eastAsia" w:ascii="宋体" w:hAnsi="宋体" w:cs="宋体"/>
                <w:bCs/>
                <w:color w:val="auto"/>
                <w:szCs w:val="21"/>
                <w:highlight w:val="none"/>
                <w:lang w:bidi="ar"/>
              </w:rPr>
              <w:t>的投标为无效投标；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3</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投标文件的签署盖章符合第二章“投标须知”第九、2条的要求</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标文件的签署盖章符合第二章“投标须知”第九、2条的要求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4</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供应商编制的投标文件符合法律、法规和采购文件中规定并对实质性要求完全响应</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szCs w:val="21"/>
                <w:highlight w:val="none"/>
                <w:lang w:bidi="ar"/>
              </w:rPr>
            </w:pPr>
            <w:r>
              <w:rPr>
                <w:rFonts w:hint="eastAsia" w:ascii="宋体" w:hAnsi="宋体" w:cs="宋体"/>
                <w:color w:val="auto"/>
                <w:szCs w:val="21"/>
                <w:highlight w:val="none"/>
                <w:lang w:bidi="ar"/>
              </w:rPr>
              <w:t>供应商编制的投标文件符合法律、法规和采购文件中规定的并对其他实质性要求完全响应（实质性要求招标文件中“★”标记）。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b/>
                <w:color w:val="auto"/>
                <w:szCs w:val="21"/>
                <w:highlight w:val="none"/>
                <w:lang w:bidi="ar"/>
              </w:rPr>
              <w:t>初步审查结论</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p>
        </w:tc>
      </w:tr>
    </w:tbl>
    <w:p>
      <w:pPr>
        <w:spacing w:line="400" w:lineRule="exact"/>
        <w:rPr>
          <w:rFonts w:hint="eastAsia" w:ascii="宋体" w:hAnsi="宋体" w:cs="宋体"/>
          <w:b/>
          <w:color w:val="auto"/>
          <w:szCs w:val="22"/>
          <w:highlight w:val="none"/>
          <w:lang w:bidi="ar"/>
        </w:rPr>
      </w:pPr>
      <w:r>
        <w:rPr>
          <w:rFonts w:hint="eastAsia" w:ascii="宋体" w:hAnsi="宋体" w:cs="宋体"/>
          <w:b/>
          <w:color w:val="auto"/>
          <w:szCs w:val="22"/>
          <w:highlight w:val="none"/>
          <w:lang w:bidi="ar"/>
        </w:rPr>
        <w:t>注：1、上述审查项目中，任意一项不符合的，报价文件符合性审查不合格。</w:t>
      </w:r>
    </w:p>
    <w:p>
      <w:pPr>
        <w:spacing w:line="400" w:lineRule="exact"/>
        <w:ind w:firstLine="422" w:firstLineChars="200"/>
        <w:rPr>
          <w:rFonts w:hint="eastAsia" w:ascii="宋体" w:hAnsi="宋体" w:cs="宋体"/>
          <w:b/>
          <w:color w:val="auto"/>
          <w:szCs w:val="22"/>
          <w:highlight w:val="none"/>
          <w:lang w:bidi="ar"/>
        </w:rPr>
      </w:pPr>
      <w:r>
        <w:rPr>
          <w:rFonts w:hint="eastAsia" w:ascii="宋体" w:hAnsi="宋体" w:cs="宋体"/>
          <w:b/>
          <w:color w:val="auto"/>
          <w:szCs w:val="22"/>
          <w:highlight w:val="none"/>
          <w:lang w:bidi="ar"/>
        </w:rPr>
        <w:t>2、本项目实行网上投标，供应商在制作投标文件时须根据上表要求说明要求的资料，将资料逐一对应上传或关联（有特殊备注的除外）（若关联页码有多页而只能关联一页的，则关联相应页码的第一页）。</w:t>
      </w:r>
    </w:p>
    <w:p>
      <w:pPr>
        <w:spacing w:line="360" w:lineRule="auto"/>
        <w:rPr>
          <w:rFonts w:hint="eastAsia" w:ascii="宋体" w:hAnsi="宋体" w:cs="宋体"/>
          <w:color w:val="auto"/>
          <w:szCs w:val="21"/>
          <w:highlight w:val="none"/>
          <w:lang w:bidi="ar"/>
        </w:rPr>
      </w:pPr>
    </w:p>
    <w:p>
      <w:pPr>
        <w:pStyle w:val="43"/>
        <w:rPr>
          <w:rFonts w:hint="eastAsia"/>
          <w:color w:val="auto"/>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lang w:bidi="ar"/>
        </w:rPr>
        <w:t>附表5</w:t>
      </w:r>
    </w:p>
    <w:p>
      <w:pPr>
        <w:spacing w:line="360" w:lineRule="auto"/>
        <w:jc w:val="center"/>
        <w:rPr>
          <w:rFonts w:hint="eastAsia" w:ascii="宋体" w:hAnsi="宋体" w:cs="宋体"/>
          <w:b/>
          <w:bCs/>
          <w:color w:val="auto"/>
          <w:sz w:val="28"/>
          <w:szCs w:val="28"/>
          <w:highlight w:val="none"/>
          <w:lang w:bidi="ar"/>
        </w:rPr>
      </w:pPr>
      <w:r>
        <w:rPr>
          <w:rFonts w:hint="eastAsia" w:ascii="宋体" w:hAnsi="宋体" w:cs="宋体"/>
          <w:b/>
          <w:bCs/>
          <w:color w:val="auto"/>
          <w:sz w:val="28"/>
          <w:szCs w:val="28"/>
          <w:highlight w:val="none"/>
          <w:lang w:bidi="ar"/>
        </w:rPr>
        <w:t>价格评分表</w:t>
      </w:r>
    </w:p>
    <w:p>
      <w:pPr>
        <w:pStyle w:val="43"/>
        <w:ind w:firstLine="480"/>
        <w:rPr>
          <w:rFonts w:hint="eastAsia" w:ascii="宋体" w:hAnsi="宋体" w:eastAsia="宋体" w:cs="宋体"/>
          <w:color w:val="auto"/>
          <w:highlight w:val="none"/>
        </w:rPr>
      </w:pPr>
    </w:p>
    <w:tbl>
      <w:tblPr>
        <w:tblStyle w:val="44"/>
        <w:tblpPr w:leftFromText="180" w:rightFromText="180" w:vertAnchor="text" w:horzAnchor="page" w:tblpX="1049" w:tblpY="50"/>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75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9000" w:type="dxa"/>
            <w:gridSpan w:val="2"/>
            <w:tcBorders>
              <w:top w:val="single" w:color="auto" w:sz="4" w:space="0"/>
              <w:left w:val="single" w:color="auto" w:sz="4" w:space="0"/>
              <w:bottom w:val="single" w:color="auto" w:sz="4" w:space="0"/>
              <w:right w:val="single" w:color="auto" w:sz="4" w:space="0"/>
              <w:tl2br w:val="single" w:color="000000" w:sz="4" w:space="0"/>
            </w:tcBorders>
            <w:noWrap w:val="0"/>
            <w:vAlign w:val="top"/>
          </w:tcPr>
          <w:p>
            <w:pPr>
              <w:keepNext w:val="0"/>
              <w:keepLines w:val="0"/>
              <w:suppressLineNumbers w:val="0"/>
              <w:spacing w:before="0" w:beforeAutospacing="0" w:after="0" w:afterAutospacing="0" w:line="320" w:lineRule="exact"/>
              <w:ind w:left="0" w:right="420" w:firstLine="4410" w:firstLineChars="2100"/>
              <w:rPr>
                <w:rFonts w:hint="eastAsia" w:ascii="宋体" w:hAnsi="宋体" w:cs="宋体"/>
                <w:color w:val="auto"/>
                <w:szCs w:val="21"/>
                <w:highlight w:val="none"/>
              </w:rPr>
            </w:pPr>
            <w:r>
              <w:rPr>
                <w:rFonts w:hint="eastAsia" w:ascii="宋体" w:hAnsi="宋体" w:cs="宋体"/>
                <w:color w:val="auto"/>
                <w:szCs w:val="21"/>
                <w:highlight w:val="none"/>
                <w:lang w:bidi="ar"/>
              </w:rPr>
              <w:t xml:space="preserve">                        供应商</w:t>
            </w:r>
          </w:p>
          <w:p>
            <w:pPr>
              <w:keepNext w:val="0"/>
              <w:keepLines w:val="0"/>
              <w:suppressLineNumbers w:val="0"/>
              <w:spacing w:before="0" w:beforeAutospacing="0" w:after="0" w:afterAutospacing="0" w:line="320" w:lineRule="exact"/>
              <w:ind w:left="0" w:right="0" w:firstLine="945" w:firstLineChars="450"/>
              <w:rPr>
                <w:rFonts w:hint="eastAsia" w:ascii="宋体" w:hAnsi="宋体" w:cs="宋体"/>
                <w:color w:val="auto"/>
                <w:szCs w:val="21"/>
                <w:highlight w:val="none"/>
                <w:lang w:val="ru"/>
              </w:rPr>
            </w:pPr>
            <w:r>
              <w:rPr>
                <w:rFonts w:hint="eastAsia" w:ascii="宋体" w:hAnsi="宋体" w:cs="宋体"/>
                <w:color w:val="auto"/>
                <w:szCs w:val="21"/>
                <w:highlight w:val="none"/>
                <w:lang w:bidi="ar"/>
              </w:rPr>
              <w:t>分值</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cs="宋体"/>
                <w:color w:val="auto"/>
                <w:szCs w:val="21"/>
                <w:highlight w:val="none"/>
                <w:lang w:val="ru"/>
              </w:rPr>
            </w:pPr>
            <w:r>
              <w:rPr>
                <w:rFonts w:hint="eastAsia" w:ascii="宋体" w:hAnsi="宋体" w:cs="宋体"/>
                <w:color w:val="auto"/>
                <w:szCs w:val="21"/>
                <w:highlight w:val="none"/>
                <w:lang w:val="ru"/>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5" w:hRule="atLeast"/>
        </w:trPr>
        <w:tc>
          <w:tcPr>
            <w:tcW w:w="1241"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cs="宋体"/>
                <w:color w:val="auto"/>
                <w:spacing w:val="-4"/>
                <w:szCs w:val="21"/>
                <w:highlight w:val="none"/>
              </w:rPr>
            </w:pPr>
            <w:r>
              <w:rPr>
                <w:rFonts w:hint="eastAsia" w:ascii="宋体" w:hAnsi="宋体" w:cs="宋体"/>
                <w:color w:val="auto"/>
                <w:spacing w:val="-4"/>
                <w:szCs w:val="21"/>
                <w:highlight w:val="none"/>
              </w:rPr>
              <w:t>价格</w:t>
            </w:r>
          </w:p>
          <w:p>
            <w:pPr>
              <w:keepNext w:val="0"/>
              <w:keepLines w:val="0"/>
              <w:suppressLineNumbers w:val="0"/>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pacing w:val="-4"/>
                <w:szCs w:val="21"/>
                <w:highlight w:val="none"/>
              </w:rPr>
              <w:t>（</w:t>
            </w:r>
            <w:r>
              <w:rPr>
                <w:rFonts w:hint="eastAsia" w:ascii="宋体" w:hAnsi="宋体" w:cs="宋体"/>
                <w:color w:val="auto"/>
                <w:spacing w:val="-4"/>
                <w:szCs w:val="21"/>
                <w:highlight w:val="none"/>
                <w:lang w:val="en-US" w:eastAsia="zh-CN"/>
              </w:rPr>
              <w:t>20</w:t>
            </w:r>
            <w:r>
              <w:rPr>
                <w:rFonts w:hint="eastAsia" w:ascii="宋体" w:hAnsi="宋体" w:cs="宋体"/>
                <w:color w:val="auto"/>
                <w:spacing w:val="-4"/>
                <w:szCs w:val="21"/>
                <w:highlight w:val="none"/>
              </w:rPr>
              <w:t>分）</w:t>
            </w:r>
          </w:p>
        </w:tc>
        <w:tc>
          <w:tcPr>
            <w:tcW w:w="7759"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rPr>
                <w:rFonts w:hint="eastAsia" w:ascii="宋体" w:hAnsi="宋体" w:cs="宋体"/>
                <w:color w:val="auto"/>
                <w:szCs w:val="20"/>
                <w:highlight w:val="none"/>
              </w:rPr>
            </w:pPr>
            <w:r>
              <w:rPr>
                <w:rFonts w:hint="eastAsia" w:ascii="宋体" w:hAnsi="宋体" w:cs="宋体"/>
                <w:color w:val="auto"/>
                <w:szCs w:val="20"/>
                <w:highlight w:val="none"/>
              </w:rPr>
              <w:t>本次采购为非专门面向中小企业，本次评审将对中小企业声明函中满足采购文件要求的小微型企业的投标报价给予6%的扣除，用扣除后的价格参与评审。</w:t>
            </w:r>
          </w:p>
          <w:p>
            <w:pPr>
              <w:keepNext w:val="0"/>
              <w:keepLines w:val="0"/>
              <w:suppressLineNumbers w:val="0"/>
              <w:spacing w:before="0" w:beforeAutospacing="0" w:after="0" w:afterAutospacing="0" w:line="320" w:lineRule="exact"/>
              <w:ind w:left="0" w:right="0"/>
              <w:rPr>
                <w:rFonts w:hint="eastAsia" w:ascii="宋体" w:hAnsi="宋体" w:cs="宋体"/>
                <w:color w:val="auto"/>
                <w:szCs w:val="20"/>
                <w:highlight w:val="none"/>
              </w:rPr>
            </w:pPr>
            <w:r>
              <w:rPr>
                <w:rFonts w:hint="eastAsia" w:ascii="宋体" w:hAnsi="宋体" w:cs="宋体"/>
                <w:color w:val="auto"/>
                <w:szCs w:val="20"/>
                <w:highlight w:val="none"/>
              </w:rPr>
              <w:t>满足采购文件要求且投标报价最低的为评审基准价，等于基准价的得分为满分。其他投标人的报价分按照下式计算：</w:t>
            </w:r>
          </w:p>
          <w:p>
            <w:pPr>
              <w:keepNext w:val="0"/>
              <w:keepLines w:val="0"/>
              <w:suppressLineNumbers w:val="0"/>
              <w:snapToGrid w:val="0"/>
              <w:spacing w:before="0" w:beforeAutospacing="0" w:after="0" w:afterAutospacing="0"/>
              <w:ind w:left="0" w:right="0"/>
              <w:jc w:val="left"/>
              <w:rPr>
                <w:rFonts w:hint="eastAsia" w:ascii="宋体" w:hAnsi="宋体" w:cs="宋体"/>
                <w:color w:val="auto"/>
                <w:szCs w:val="21"/>
                <w:highlight w:val="none"/>
              </w:rPr>
            </w:pPr>
            <w:r>
              <w:rPr>
                <w:rFonts w:hint="eastAsia" w:ascii="宋体" w:hAnsi="宋体" w:cs="宋体"/>
                <w:color w:val="auto"/>
                <w:szCs w:val="20"/>
                <w:highlight w:val="none"/>
              </w:rPr>
              <w:t>报价得分＝（基准价÷参与评审报价）×</w:t>
            </w:r>
            <w:r>
              <w:rPr>
                <w:rFonts w:hint="eastAsia" w:ascii="宋体" w:hAnsi="宋体" w:cs="宋体"/>
                <w:color w:val="auto"/>
                <w:szCs w:val="20"/>
                <w:highlight w:val="none"/>
                <w:lang w:val="en-US" w:eastAsia="zh-CN"/>
              </w:rPr>
              <w:t>20</w:t>
            </w:r>
            <w:r>
              <w:rPr>
                <w:rFonts w:hint="eastAsia" w:ascii="宋体" w:hAnsi="宋体" w:cs="宋体"/>
                <w:color w:val="auto"/>
                <w:szCs w:val="20"/>
                <w:highlight w:val="none"/>
              </w:rPr>
              <w:t>。</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Cs w:val="21"/>
                <w:highlight w:val="none"/>
                <w:lang w:val="en-US"/>
              </w:rPr>
            </w:pPr>
            <w:r>
              <w:rPr>
                <w:rFonts w:hint="eastAsia" w:ascii="宋体" w:hAnsi="宋体" w:cs="宋体"/>
                <w:color w:val="auto"/>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0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cs="宋体"/>
                <w:color w:val="auto"/>
                <w:szCs w:val="21"/>
                <w:highlight w:val="none"/>
              </w:rPr>
            </w:pPr>
            <w:r>
              <w:rPr>
                <w:rFonts w:hint="eastAsia" w:ascii="宋体" w:hAnsi="宋体" w:cs="宋体"/>
                <w:b/>
                <w:color w:val="auto"/>
                <w:sz w:val="22"/>
                <w:szCs w:val="18"/>
                <w:highlight w:val="none"/>
                <w:lang w:bidi="ar"/>
              </w:rPr>
              <w:t>报价得分（</w:t>
            </w:r>
            <w:r>
              <w:rPr>
                <w:rFonts w:hint="eastAsia" w:ascii="宋体" w:hAnsi="宋体" w:cs="宋体"/>
                <w:b/>
                <w:color w:val="auto"/>
                <w:sz w:val="22"/>
                <w:szCs w:val="18"/>
                <w:highlight w:val="none"/>
                <w:lang w:val="en-US" w:eastAsia="zh-CN" w:bidi="ar"/>
              </w:rPr>
              <w:t>20</w:t>
            </w:r>
            <w:r>
              <w:rPr>
                <w:rFonts w:hint="eastAsia" w:ascii="宋体" w:hAnsi="宋体" w:cs="宋体"/>
                <w:b/>
                <w:color w:val="auto"/>
                <w:sz w:val="22"/>
                <w:szCs w:val="18"/>
                <w:highlight w:val="none"/>
                <w:lang w:bidi="ar"/>
              </w:rPr>
              <w:t>分）</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宋体" w:hAnsi="宋体" w:cs="宋体"/>
                <w:color w:val="auto"/>
                <w:szCs w:val="21"/>
                <w:highlight w:val="none"/>
              </w:rPr>
            </w:pPr>
          </w:p>
        </w:tc>
      </w:tr>
    </w:tbl>
    <w:p>
      <w:pPr>
        <w:spacing w:line="320" w:lineRule="exact"/>
        <w:ind w:firstLine="211" w:firstLineChars="100"/>
        <w:rPr>
          <w:rFonts w:hint="eastAsia" w:ascii="宋体" w:hAnsi="宋体" w:cs="宋体"/>
          <w:b/>
          <w:color w:val="auto"/>
          <w:szCs w:val="21"/>
          <w:highlight w:val="none"/>
          <w:lang w:bidi="ar"/>
        </w:rPr>
      </w:pPr>
      <w:r>
        <w:rPr>
          <w:rFonts w:hint="eastAsia" w:ascii="宋体" w:hAnsi="宋体" w:cs="宋体"/>
          <w:b/>
          <w:bCs/>
          <w:color w:val="auto"/>
          <w:szCs w:val="21"/>
          <w:highlight w:val="none"/>
          <w:lang w:bidi="ar"/>
        </w:rPr>
        <w:t xml:space="preserve">   </w:t>
      </w:r>
      <w:r>
        <w:rPr>
          <w:rFonts w:hint="eastAsia" w:ascii="宋体" w:hAnsi="宋体" w:cs="宋体"/>
          <w:b/>
          <w:color w:val="auto"/>
          <w:szCs w:val="21"/>
          <w:highlight w:val="none"/>
          <w:lang w:bidi="ar"/>
        </w:rPr>
        <w:t xml:space="preserve">   </w:t>
      </w:r>
    </w:p>
    <w:p>
      <w:pPr>
        <w:spacing w:line="360" w:lineRule="auto"/>
        <w:rPr>
          <w:rFonts w:hint="eastAsia" w:ascii="宋体" w:hAnsi="宋体" w:cs="宋体"/>
          <w:b/>
          <w:color w:val="auto"/>
          <w:szCs w:val="21"/>
          <w:highlight w:val="none"/>
          <w:lang w:bidi="ar"/>
        </w:rPr>
      </w:pPr>
      <w:r>
        <w:rPr>
          <w:rFonts w:hint="eastAsia" w:ascii="宋体" w:hAnsi="宋体" w:cs="宋体"/>
          <w:b/>
          <w:color w:val="auto"/>
          <w:szCs w:val="21"/>
          <w:highlight w:val="none"/>
          <w:lang w:bidi="ar"/>
        </w:rPr>
        <w:t xml:space="preserve">      </w:t>
      </w:r>
    </w:p>
    <w:p>
      <w:pPr>
        <w:pStyle w:val="5"/>
        <w:keepLines/>
        <w:spacing w:before="340" w:after="330" w:line="240" w:lineRule="auto"/>
        <w:jc w:val="both"/>
        <w:rPr>
          <w:rFonts w:hint="eastAsia" w:ascii="宋体" w:hAnsi="宋体" w:cs="宋体"/>
          <w:color w:val="auto"/>
          <w:sz w:val="36"/>
          <w:szCs w:val="36"/>
          <w:highlight w:val="none"/>
        </w:rPr>
      </w:pPr>
      <w:r>
        <w:rPr>
          <w:rFonts w:hint="eastAsia" w:ascii="宋体" w:hAnsi="宋体" w:cs="宋体"/>
          <w:b w:val="0"/>
          <w:color w:val="auto"/>
          <w:szCs w:val="21"/>
          <w:highlight w:val="none"/>
          <w:lang w:bidi="ar"/>
        </w:rPr>
        <w:t xml:space="preserve">          </w:t>
      </w:r>
      <w:r>
        <w:rPr>
          <w:rFonts w:hint="eastAsia" w:ascii="宋体" w:hAnsi="宋体" w:cs="宋体"/>
          <w:color w:val="auto"/>
          <w:sz w:val="36"/>
          <w:szCs w:val="36"/>
          <w:highlight w:val="none"/>
        </w:rPr>
        <w:t>第四章  采购合同样本</w:t>
      </w:r>
      <w:bookmarkEnd w:id="64"/>
      <w:bookmarkEnd w:id="67"/>
    </w:p>
    <w:p>
      <w:pPr>
        <w:pStyle w:val="5"/>
        <w:keepLines/>
        <w:spacing w:before="340" w:after="330" w:line="240" w:lineRule="auto"/>
        <w:rPr>
          <w:rFonts w:hint="eastAsia" w:ascii="宋体" w:hAnsi="宋体" w:cs="宋体"/>
          <w:color w:val="auto"/>
          <w:sz w:val="30"/>
          <w:szCs w:val="30"/>
          <w:highlight w:val="none"/>
        </w:rPr>
      </w:pPr>
      <w:bookmarkStart w:id="68" w:name="_Toc29021"/>
      <w:bookmarkStart w:id="69" w:name="_Toc508626485"/>
      <w:bookmarkStart w:id="70" w:name="_Toc18645"/>
      <w:bookmarkStart w:id="71" w:name="_Toc2199"/>
      <w:bookmarkStart w:id="72" w:name="_Toc32584"/>
      <w:r>
        <w:rPr>
          <w:rFonts w:hint="eastAsia" w:ascii="宋体" w:hAnsi="宋体" w:cs="宋体"/>
          <w:color w:val="auto"/>
          <w:sz w:val="30"/>
          <w:szCs w:val="30"/>
          <w:highlight w:val="none"/>
        </w:rPr>
        <w:t>（本合同为合同样稿，最终稿由甲乙双方协商后确定）</w:t>
      </w:r>
      <w:bookmarkEnd w:id="68"/>
      <w:bookmarkEnd w:id="69"/>
      <w:bookmarkEnd w:id="70"/>
      <w:bookmarkEnd w:id="71"/>
      <w:bookmarkEnd w:id="72"/>
    </w:p>
    <w:p>
      <w:pPr>
        <w:pStyle w:val="39"/>
        <w:spacing w:line="540" w:lineRule="atLeast"/>
        <w:ind w:firstLine="602" w:firstLineChars="200"/>
        <w:jc w:val="both"/>
        <w:rPr>
          <w:rFonts w:hint="eastAsia" w:ascii="黑体" w:eastAsia="黑体"/>
          <w:b/>
          <w:color w:val="auto"/>
          <w:sz w:val="30"/>
          <w:szCs w:val="30"/>
          <w:highlight w:val="none"/>
        </w:rPr>
      </w:pPr>
      <w:bookmarkStart w:id="73" w:name="_Toc21364"/>
      <w:r>
        <w:rPr>
          <w:rFonts w:hint="eastAsia" w:ascii="黑体" w:eastAsia="黑体"/>
          <w:b/>
          <w:color w:val="auto"/>
          <w:sz w:val="30"/>
          <w:szCs w:val="30"/>
          <w:highlight w:val="none"/>
          <w:lang w:eastAsia="zh-CN"/>
        </w:rPr>
        <w:t>慈溪市横河镇东横河江河道水质提升服务</w:t>
      </w:r>
      <w:r>
        <w:rPr>
          <w:rFonts w:hint="eastAsia" w:ascii="黑体" w:eastAsia="黑体"/>
          <w:b/>
          <w:color w:val="auto"/>
          <w:sz w:val="30"/>
          <w:szCs w:val="30"/>
          <w:highlight w:val="none"/>
        </w:rPr>
        <w:t>采购项目</w:t>
      </w:r>
    </w:p>
    <w:p>
      <w:pPr>
        <w:pStyle w:val="39"/>
        <w:spacing w:line="540" w:lineRule="atLeast"/>
        <w:ind w:firstLine="602"/>
        <w:jc w:val="center"/>
        <w:rPr>
          <w:rFonts w:hint="eastAsia" w:ascii="黑体" w:eastAsia="黑体"/>
          <w:b/>
          <w:color w:val="auto"/>
          <w:sz w:val="30"/>
          <w:szCs w:val="30"/>
          <w:highlight w:val="none"/>
        </w:rPr>
      </w:pPr>
      <w:r>
        <w:rPr>
          <w:rFonts w:hint="eastAsia" w:ascii="黑体" w:eastAsia="黑体"/>
          <w:b/>
          <w:color w:val="auto"/>
          <w:sz w:val="30"/>
          <w:szCs w:val="30"/>
          <w:highlight w:val="none"/>
        </w:rPr>
        <w:t>采购合同</w:t>
      </w: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600"/>
        <w:rPr>
          <w:rFonts w:hint="eastAsia"/>
          <w:color w:val="auto"/>
          <w:sz w:val="30"/>
          <w:szCs w:val="30"/>
          <w:highlight w:val="none"/>
        </w:rPr>
      </w:pPr>
    </w:p>
    <w:p>
      <w:pPr>
        <w:pStyle w:val="39"/>
        <w:spacing w:line="540" w:lineRule="atLeast"/>
        <w:ind w:firstLine="560"/>
        <w:jc w:val="both"/>
        <w:rPr>
          <w:rFonts w:hint="eastAsia"/>
          <w:color w:val="auto"/>
          <w:sz w:val="28"/>
          <w:highlight w:val="none"/>
        </w:rPr>
      </w:pPr>
      <w:r>
        <w:rPr>
          <w:rFonts w:hint="eastAsia"/>
          <w:color w:val="auto"/>
          <w:sz w:val="28"/>
          <w:highlight w:val="none"/>
        </w:rPr>
        <w:t xml:space="preserve">委托方（甲方）: </w:t>
      </w:r>
      <w:r>
        <w:rPr>
          <w:rFonts w:hint="eastAsia"/>
          <w:color w:val="auto"/>
          <w:sz w:val="28"/>
          <w:highlight w:val="none"/>
          <w:u w:val="single"/>
        </w:rPr>
        <w:t xml:space="preserve">        </w:t>
      </w:r>
      <w:r>
        <w:rPr>
          <w:rFonts w:hint="eastAsia"/>
          <w:bCs/>
          <w:color w:val="auto"/>
          <w:sz w:val="28"/>
          <w:highlight w:val="none"/>
          <w:u w:val="single"/>
          <w:lang w:eastAsia="zh-CN"/>
        </w:rPr>
        <w:t>慈溪市横河镇人民政府</w:t>
      </w:r>
      <w:r>
        <w:rPr>
          <w:rFonts w:hint="eastAsia"/>
          <w:bCs/>
          <w:color w:val="auto"/>
          <w:sz w:val="28"/>
          <w:highlight w:val="none"/>
          <w:u w:val="single"/>
        </w:rPr>
        <w:t xml:space="preserve">      </w:t>
      </w:r>
    </w:p>
    <w:p>
      <w:pPr>
        <w:pStyle w:val="39"/>
        <w:spacing w:line="540" w:lineRule="atLeast"/>
        <w:ind w:firstLine="560"/>
        <w:rPr>
          <w:rFonts w:hint="eastAsia"/>
          <w:color w:val="auto"/>
          <w:sz w:val="28"/>
          <w:highlight w:val="none"/>
          <w:u w:val="single"/>
        </w:rPr>
      </w:pPr>
      <w:r>
        <w:rPr>
          <w:rFonts w:hint="eastAsia"/>
          <w:color w:val="auto"/>
          <w:sz w:val="28"/>
          <w:highlight w:val="none"/>
        </w:rPr>
        <w:t>受托方（乙方）：</w:t>
      </w:r>
      <w:r>
        <w:rPr>
          <w:rFonts w:hint="eastAsia"/>
          <w:color w:val="auto"/>
          <w:sz w:val="28"/>
          <w:highlight w:val="none"/>
          <w:u w:val="single"/>
        </w:rPr>
        <w:t xml:space="preserve">                                  </w:t>
      </w:r>
    </w:p>
    <w:p>
      <w:pPr>
        <w:pStyle w:val="39"/>
        <w:spacing w:line="540" w:lineRule="atLeast"/>
        <w:ind w:firstLine="640"/>
        <w:rPr>
          <w:rFonts w:hint="eastAsia"/>
          <w:color w:val="auto"/>
          <w:sz w:val="28"/>
          <w:highlight w:val="none"/>
        </w:rPr>
      </w:pPr>
      <w:r>
        <w:rPr>
          <w:rFonts w:hint="eastAsia"/>
          <w:color w:val="auto"/>
          <w:spacing w:val="20"/>
          <w:sz w:val="28"/>
          <w:highlight w:val="none"/>
        </w:rPr>
        <w:t>签 订 时 间 ：</w:t>
      </w:r>
      <w:r>
        <w:rPr>
          <w:rFonts w:hint="eastAsia"/>
          <w:color w:val="auto"/>
          <w:spacing w:val="20"/>
          <w:sz w:val="28"/>
          <w:highlight w:val="none"/>
          <w:u w:val="single"/>
        </w:rPr>
        <w:t xml:space="preserve">           </w:t>
      </w:r>
      <w:r>
        <w:rPr>
          <w:rFonts w:hint="eastAsia"/>
          <w:color w:val="auto"/>
          <w:sz w:val="28"/>
          <w:highlight w:val="none"/>
          <w:u w:val="single"/>
        </w:rPr>
        <w:t xml:space="preserve">                   </w:t>
      </w:r>
    </w:p>
    <w:p>
      <w:pPr>
        <w:spacing w:line="500" w:lineRule="exact"/>
        <w:ind w:firstLine="560"/>
        <w:rPr>
          <w:rFonts w:hint="eastAsia" w:ascii="宋体" w:hAnsi="宋体"/>
          <w:color w:val="auto"/>
          <w:kern w:val="0"/>
          <w:sz w:val="28"/>
          <w:highlight w:val="none"/>
        </w:rPr>
      </w:pPr>
    </w:p>
    <w:p>
      <w:pPr>
        <w:pStyle w:val="23"/>
        <w:snapToGrid w:val="0"/>
        <w:spacing w:before="0" w:beforeAutospacing="0" w:after="0" w:afterAutospacing="0" w:line="360" w:lineRule="auto"/>
        <w:ind w:firstLine="0" w:firstLineChars="0"/>
        <w:rPr>
          <w:rFonts w:hint="eastAsia" w:cs="宋体"/>
          <w:color w:val="auto"/>
          <w:sz w:val="22"/>
          <w:szCs w:val="22"/>
          <w:highlight w:val="none"/>
        </w:rPr>
      </w:pPr>
      <w:r>
        <w:rPr>
          <w:rFonts w:hint="eastAsia" w:cs="宋体"/>
          <w:color w:val="auto"/>
          <w:sz w:val="22"/>
          <w:szCs w:val="22"/>
          <w:highlight w:val="none"/>
        </w:rPr>
        <w:t>甲方：（采购人）</w:t>
      </w:r>
    </w:p>
    <w:p>
      <w:pPr>
        <w:pStyle w:val="23"/>
        <w:snapToGrid w:val="0"/>
        <w:spacing w:before="0" w:beforeAutospacing="0" w:after="0" w:afterAutospacing="0" w:line="360" w:lineRule="auto"/>
        <w:ind w:firstLine="0" w:firstLineChars="0"/>
        <w:rPr>
          <w:rFonts w:hint="eastAsia" w:cs="宋体"/>
          <w:color w:val="auto"/>
          <w:sz w:val="22"/>
          <w:szCs w:val="22"/>
          <w:highlight w:val="none"/>
        </w:rPr>
      </w:pPr>
      <w:r>
        <w:rPr>
          <w:rFonts w:hint="eastAsia" w:cs="宋体"/>
          <w:color w:val="auto"/>
          <w:sz w:val="22"/>
          <w:szCs w:val="22"/>
          <w:highlight w:val="none"/>
        </w:rPr>
        <w:t>乙方：（</w:t>
      </w:r>
      <w:r>
        <w:rPr>
          <w:rFonts w:hint="eastAsia" w:cs="宋体"/>
          <w:color w:val="auto"/>
          <w:sz w:val="22"/>
          <w:szCs w:val="22"/>
          <w:highlight w:val="none"/>
          <w:lang w:eastAsia="zh-CN"/>
        </w:rPr>
        <w:t>中标人</w:t>
      </w:r>
      <w:r>
        <w:rPr>
          <w:rFonts w:hint="eastAsia" w:cs="宋体"/>
          <w:color w:val="auto"/>
          <w:sz w:val="22"/>
          <w:szCs w:val="22"/>
          <w:highlight w:val="none"/>
        </w:rPr>
        <w:t>）</w:t>
      </w:r>
    </w:p>
    <w:p>
      <w:pPr>
        <w:spacing w:line="360" w:lineRule="auto"/>
        <w:ind w:firstLine="420"/>
        <w:rPr>
          <w:rFonts w:hint="eastAsia" w:ascii="宋体" w:hAnsi="宋体"/>
          <w:bCs/>
          <w:color w:val="auto"/>
          <w:spacing w:val="-2"/>
          <w:sz w:val="24"/>
          <w:szCs w:val="24"/>
          <w:highlight w:val="none"/>
        </w:rPr>
      </w:pPr>
      <w:r>
        <w:rPr>
          <w:rFonts w:hint="eastAsia" w:ascii="宋体" w:hAnsi="宋体" w:cs="宋体"/>
          <w:color w:val="auto"/>
          <w:szCs w:val="21"/>
          <w:highlight w:val="none"/>
        </w:rPr>
        <w:t>经公开招标，确定</w:t>
      </w:r>
      <w:r>
        <w:rPr>
          <w:rFonts w:hint="eastAsia" w:ascii="宋体" w:hAnsi="宋体" w:cs="宋体"/>
          <w:color w:val="auto"/>
          <w:szCs w:val="21"/>
          <w:highlight w:val="none"/>
          <w:u w:val="single"/>
        </w:rPr>
        <w:t xml:space="preserve">（中标人） </w:t>
      </w:r>
      <w:r>
        <w:rPr>
          <w:rFonts w:hint="eastAsia" w:ascii="宋体" w:hAnsi="宋体" w:cs="宋体"/>
          <w:color w:val="auto"/>
          <w:szCs w:val="21"/>
          <w:highlight w:val="none"/>
        </w:rPr>
        <w:t>为</w:t>
      </w:r>
      <w:r>
        <w:rPr>
          <w:rFonts w:hint="eastAsia" w:ascii="宋体" w:hAnsi="宋体" w:cs="宋体"/>
          <w:color w:val="auto"/>
          <w:szCs w:val="21"/>
          <w:highlight w:val="none"/>
          <w:u w:val="single"/>
          <w:lang w:eastAsia="zh-CN"/>
        </w:rPr>
        <w:t>慈溪市横河镇东横河江河道水质提升服务</w:t>
      </w:r>
      <w:r>
        <w:rPr>
          <w:rFonts w:hint="eastAsia" w:ascii="宋体" w:hAnsi="宋体" w:cs="宋体"/>
          <w:color w:val="auto"/>
          <w:szCs w:val="21"/>
          <w:highlight w:val="none"/>
          <w:u w:val="single"/>
        </w:rPr>
        <w:t>采购项目</w:t>
      </w:r>
      <w:r>
        <w:rPr>
          <w:rFonts w:hint="eastAsia" w:ascii="宋体" w:hAnsi="宋体" w:cs="宋体"/>
          <w:color w:val="auto"/>
          <w:szCs w:val="21"/>
          <w:highlight w:val="none"/>
        </w:rPr>
        <w:t>中标人，经协商，达成以下条款。具体如下：</w:t>
      </w:r>
      <w:r>
        <w:rPr>
          <w:rFonts w:hint="eastAsia" w:ascii="宋体" w:hAnsi="宋体"/>
          <w:bCs/>
          <w:color w:val="auto"/>
          <w:spacing w:val="-2"/>
          <w:sz w:val="24"/>
          <w:szCs w:val="24"/>
          <w:highlight w:val="none"/>
        </w:rPr>
        <w:t xml:space="preserve"> </w:t>
      </w:r>
    </w:p>
    <w:p>
      <w:pPr>
        <w:spacing w:line="360" w:lineRule="auto"/>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第一条</w:t>
      </w:r>
      <w:r>
        <w:rPr>
          <w:rFonts w:hint="eastAsia" w:ascii="宋体" w:hAnsi="宋体" w:eastAsia="宋体" w:cs="宋体"/>
          <w:b/>
          <w:bCs/>
          <w:color w:val="auto"/>
          <w:sz w:val="24"/>
          <w:szCs w:val="24"/>
          <w:highlight w:val="none"/>
          <w:lang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1.1 项目名称：</w:t>
      </w:r>
      <w:r>
        <w:rPr>
          <w:rFonts w:hint="eastAsia" w:cs="Times New Roman"/>
          <w:b w:val="0"/>
          <w:bCs w:val="0"/>
          <w:color w:val="auto"/>
          <w:sz w:val="24"/>
          <w:szCs w:val="24"/>
          <w:highlight w:val="none"/>
          <w:lang w:val="en-US" w:eastAsia="zh-CN"/>
        </w:rPr>
        <w:t>慈溪市横河镇东横河江河道水质提升服务</w:t>
      </w:r>
      <w:r>
        <w:rPr>
          <w:rFonts w:hint="default" w:ascii="Times New Roman" w:hAnsi="Times New Roman" w:eastAsia="宋体" w:cs="Times New Roman"/>
          <w:b w:val="0"/>
          <w:bCs w:val="0"/>
          <w:color w:val="auto"/>
          <w:sz w:val="24"/>
          <w:szCs w:val="24"/>
          <w:highlight w:val="none"/>
          <w:lang w:val="en-US" w:eastAsia="zh-CN"/>
        </w:rPr>
        <w:t>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1.2 项目地点：慈溪市横河镇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1.3 项目内容：根据国家和当地有关环境保护法规的要求，对慈溪市横河镇东横江河道水质进行有效治理及维护提升，</w:t>
      </w:r>
      <w:r>
        <w:rPr>
          <w:rFonts w:hint="default" w:ascii="Times New Roman" w:hAnsi="Times New Roman" w:eastAsia="宋体" w:cs="Times New Roman"/>
          <w:color w:val="auto"/>
          <w:kern w:val="2"/>
          <w:sz w:val="24"/>
          <w:szCs w:val="24"/>
          <w:highlight w:val="none"/>
          <w:lang w:val="en-US" w:eastAsia="zh-CN" w:bidi="ar-SA"/>
        </w:rPr>
        <w:t>处理后的高标准水体通过南大江汇入东横江</w:t>
      </w:r>
      <w:r>
        <w:rPr>
          <w:rFonts w:hint="eastAsia" w:ascii="Times New Roman" w:hAnsi="Times New Roman" w:eastAsia="宋体" w:cs="Times New Roman"/>
          <w:color w:val="auto"/>
          <w:kern w:val="2"/>
          <w:sz w:val="24"/>
          <w:szCs w:val="24"/>
          <w:highlight w:val="none"/>
          <w:lang w:val="en-US" w:eastAsia="zh-CN" w:bidi="ar-SA"/>
        </w:rPr>
        <w:t>，使</w:t>
      </w:r>
      <w:r>
        <w:rPr>
          <w:rFonts w:hint="default" w:ascii="Times New Roman" w:hAnsi="Times New Roman" w:eastAsia="宋体" w:cs="Times New Roman"/>
          <w:color w:val="auto"/>
          <w:kern w:val="2"/>
          <w:sz w:val="24"/>
          <w:szCs w:val="24"/>
          <w:highlight w:val="none"/>
          <w:lang w:val="en-US" w:eastAsia="zh-CN" w:bidi="ar-SA"/>
        </w:rPr>
        <w:t>东横江断面的月平均监测指标</w:t>
      </w:r>
      <w:r>
        <w:rPr>
          <w:rFonts w:hint="eastAsia" w:ascii="Times New Roman" w:hAnsi="Times New Roman" w:eastAsia="宋体" w:cs="Times New Roman"/>
          <w:color w:val="auto"/>
          <w:kern w:val="2"/>
          <w:sz w:val="24"/>
          <w:szCs w:val="24"/>
          <w:highlight w:val="none"/>
          <w:lang w:val="en-US" w:eastAsia="zh-CN" w:bidi="ar-SA"/>
        </w:rPr>
        <w:t>达到《地表水环境质量标准》GB3838-2002中的Ⅲ类标准（CODMn≤6.0mg/L，NH3-N≤1.0mg/L，TP≤0.2mg/L，pH:6-9）</w:t>
      </w:r>
      <w:r>
        <w:rPr>
          <w:rFonts w:hint="eastAsia" w:ascii="宋体" w:hAnsi="宋体" w:eastAsia="宋体" w:cs="宋体"/>
          <w:b w:val="0"/>
          <w:bCs w:val="0"/>
          <w:color w:val="auto"/>
          <w:sz w:val="24"/>
          <w:szCs w:val="24"/>
          <w:highlight w:val="none"/>
          <w:lang w:val="en-US" w:eastAsia="zh-CN"/>
        </w:rPr>
        <w:t>。</w:t>
      </w:r>
    </w:p>
    <w:p>
      <w:pPr>
        <w:widowControl w:val="0"/>
        <w:spacing w:line="360" w:lineRule="auto"/>
        <w:ind w:firstLine="420" w:firstLineChars="175"/>
        <w:rPr>
          <w:rFonts w:hint="eastAsia"/>
          <w:color w:val="auto"/>
          <w:highlight w:val="none"/>
        </w:rPr>
      </w:pPr>
      <w:r>
        <w:rPr>
          <w:rFonts w:hint="eastAsia" w:ascii="宋体" w:hAnsi="宋体" w:eastAsia="宋体" w:cs="宋体"/>
          <w:b w:val="0"/>
          <w:bCs w:val="0"/>
          <w:color w:val="auto"/>
          <w:sz w:val="24"/>
          <w:szCs w:val="24"/>
          <w:highlight w:val="none"/>
          <w:lang w:val="en-US" w:eastAsia="zh-CN"/>
        </w:rPr>
        <w:t>1.4资金来源：慈溪市横河镇人民政府财政。</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w:t>
      </w:r>
      <w:r>
        <w:rPr>
          <w:rFonts w:hint="eastAsia" w:ascii="宋体" w:hAnsi="宋体" w:cs="宋体"/>
          <w:b/>
          <w:bCs/>
          <w:color w:val="auto"/>
          <w:szCs w:val="21"/>
          <w:highlight w:val="none"/>
          <w:lang w:val="en-US" w:eastAsia="zh-CN"/>
        </w:rPr>
        <w:t>二</w:t>
      </w:r>
      <w:r>
        <w:rPr>
          <w:rFonts w:hint="eastAsia" w:ascii="宋体" w:hAnsi="宋体" w:cs="宋体"/>
          <w:b/>
          <w:bCs/>
          <w:color w:val="auto"/>
          <w:szCs w:val="21"/>
          <w:highlight w:val="none"/>
        </w:rPr>
        <w:t xml:space="preserve">条  </w:t>
      </w:r>
      <w:r>
        <w:rPr>
          <w:rFonts w:hint="eastAsia" w:ascii="宋体" w:hAnsi="宋体" w:cs="宋体"/>
          <w:b/>
          <w:bCs/>
          <w:color w:val="auto"/>
          <w:szCs w:val="21"/>
          <w:highlight w:val="none"/>
          <w:lang w:val="en-US" w:eastAsia="zh-CN"/>
        </w:rPr>
        <w:t>合同</w:t>
      </w:r>
      <w:r>
        <w:rPr>
          <w:rFonts w:hint="eastAsia" w:ascii="宋体" w:hAnsi="宋体" w:cs="宋体"/>
          <w:b/>
          <w:bCs/>
          <w:color w:val="auto"/>
          <w:szCs w:val="21"/>
          <w:highlight w:val="none"/>
        </w:rPr>
        <w:t>价格</w:t>
      </w:r>
    </w:p>
    <w:tbl>
      <w:tblPr>
        <w:tblStyle w:val="44"/>
        <w:tblW w:w="8840" w:type="dxa"/>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0"/>
        <w:gridCol w:w="1958"/>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5520" w:type="dxa"/>
            <w:noWrap w:val="0"/>
            <w:vAlign w:val="center"/>
          </w:tcPr>
          <w:p>
            <w:pPr>
              <w:pStyle w:val="104"/>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内容</w:t>
            </w:r>
          </w:p>
        </w:tc>
        <w:tc>
          <w:tcPr>
            <w:tcW w:w="1958" w:type="dxa"/>
            <w:noWrap w:val="0"/>
            <w:vAlign w:val="center"/>
          </w:tcPr>
          <w:p>
            <w:pPr>
              <w:pStyle w:val="104"/>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合同价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3年服务费</w:t>
            </w:r>
            <w:r>
              <w:rPr>
                <w:rFonts w:hint="eastAsia" w:ascii="宋体" w:hAnsi="宋体" w:cs="宋体"/>
                <w:color w:val="auto"/>
                <w:szCs w:val="21"/>
                <w:highlight w:val="none"/>
                <w:lang w:eastAsia="zh-CN"/>
              </w:rPr>
              <w:t>）</w:t>
            </w:r>
          </w:p>
        </w:tc>
        <w:tc>
          <w:tcPr>
            <w:tcW w:w="1362" w:type="dxa"/>
            <w:noWrap w:val="0"/>
            <w:vAlign w:val="center"/>
          </w:tcPr>
          <w:p>
            <w:pPr>
              <w:pStyle w:val="104"/>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520" w:type="dxa"/>
            <w:noWrap w:val="0"/>
            <w:vAlign w:val="center"/>
          </w:tcPr>
          <w:p>
            <w:pPr>
              <w:pStyle w:val="104"/>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慈溪市横河镇东横河江河道水质提升服务</w:t>
            </w:r>
            <w:r>
              <w:rPr>
                <w:rFonts w:hint="eastAsia" w:ascii="宋体" w:hAnsi="宋体" w:cs="宋体"/>
                <w:color w:val="auto"/>
                <w:szCs w:val="21"/>
                <w:highlight w:val="none"/>
              </w:rPr>
              <w:t>采购项目</w:t>
            </w:r>
          </w:p>
        </w:tc>
        <w:tc>
          <w:tcPr>
            <w:tcW w:w="1958" w:type="dxa"/>
            <w:noWrap w:val="0"/>
            <w:vAlign w:val="center"/>
          </w:tcPr>
          <w:p>
            <w:pPr>
              <w:pStyle w:val="104"/>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元</w:t>
            </w:r>
          </w:p>
        </w:tc>
        <w:tc>
          <w:tcPr>
            <w:tcW w:w="1362" w:type="dxa"/>
            <w:noWrap w:val="0"/>
            <w:vAlign w:val="center"/>
          </w:tcPr>
          <w:p>
            <w:pPr>
              <w:pStyle w:val="104"/>
              <w:keepNext w:val="0"/>
              <w:keepLines w:val="0"/>
              <w:suppressLineNumbers w:val="0"/>
              <w:spacing w:before="0" w:beforeAutospacing="0" w:after="0" w:afterAutospacing="0"/>
              <w:ind w:left="0" w:right="-391" w:rightChars="-186" w:firstLine="0" w:firstLineChars="0"/>
              <w:jc w:val="both"/>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520" w:type="dxa"/>
            <w:noWrap w:val="0"/>
            <w:vAlign w:val="center"/>
          </w:tcPr>
          <w:p>
            <w:pPr>
              <w:pStyle w:val="104"/>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合同金额</w:t>
            </w:r>
          </w:p>
        </w:tc>
        <w:tc>
          <w:tcPr>
            <w:tcW w:w="3320" w:type="dxa"/>
            <w:gridSpan w:val="2"/>
            <w:noWrap w:val="0"/>
            <w:vAlign w:val="center"/>
          </w:tcPr>
          <w:p>
            <w:pPr>
              <w:pStyle w:val="104"/>
              <w:keepNext w:val="0"/>
              <w:keepLines w:val="0"/>
              <w:suppressLineNumbers w:val="0"/>
              <w:spacing w:before="0" w:beforeAutospacing="0" w:after="0" w:afterAutospacing="0"/>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大写：   元整（￥：   ）</w:t>
            </w:r>
          </w:p>
        </w:tc>
      </w:tr>
    </w:tbl>
    <w:p>
      <w:pPr>
        <w:pStyle w:val="104"/>
        <w:ind w:firstLine="42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备注：1、本合同价包括</w:t>
      </w:r>
      <w:r>
        <w:rPr>
          <w:rFonts w:hint="eastAsia" w:ascii="宋体" w:hAnsi="宋体" w:eastAsia="宋体" w:cs="宋体"/>
          <w:b w:val="0"/>
          <w:bCs w:val="0"/>
          <w:color w:val="auto"/>
          <w:szCs w:val="21"/>
          <w:highlight w:val="none"/>
          <w:lang w:val="zh-CN" w:eastAsia="zh-CN"/>
        </w:rPr>
        <w:t>包含设备</w:t>
      </w:r>
      <w:r>
        <w:rPr>
          <w:rFonts w:hint="eastAsia" w:ascii="宋体" w:hAnsi="宋体" w:eastAsia="宋体" w:cs="宋体"/>
          <w:b w:val="0"/>
          <w:bCs w:val="0"/>
          <w:color w:val="auto"/>
          <w:szCs w:val="21"/>
          <w:highlight w:val="none"/>
          <w:lang w:val="en-US" w:eastAsia="zh-CN"/>
        </w:rPr>
        <w:t>供货</w:t>
      </w:r>
      <w:r>
        <w:rPr>
          <w:rFonts w:hint="eastAsia" w:ascii="宋体" w:hAnsi="宋体" w:eastAsia="宋体" w:cs="宋体"/>
          <w:b w:val="0"/>
          <w:bCs w:val="0"/>
          <w:color w:val="auto"/>
          <w:szCs w:val="21"/>
          <w:highlight w:val="none"/>
          <w:lang w:val="zh-CN" w:eastAsia="zh-CN"/>
        </w:rPr>
        <w:t>及安装运输调试费、设备运行电费、药剂费、人工费、水质检测费、设备维修费、污泥处理及处置费用（要符合相关环保要求）、培训、劳保、专利技术等使出水达到排放标准所可能发生的全部费用以及投标人企业利润、税金和政策性文件规定及合同包含的所有风险、责任等各项相关费用</w:t>
      </w:r>
      <w:r>
        <w:rPr>
          <w:rFonts w:hint="eastAsia" w:ascii="宋体" w:hAnsi="宋体" w:eastAsia="宋体" w:cs="宋体"/>
          <w:color w:val="auto"/>
          <w:szCs w:val="21"/>
          <w:highlight w:val="none"/>
          <w:lang w:val="zh-CN"/>
        </w:rPr>
        <w:t>，</w:t>
      </w:r>
      <w:r>
        <w:rPr>
          <w:rFonts w:hint="eastAsia" w:ascii="宋体" w:hAnsi="宋体" w:eastAsia="宋体" w:cs="宋体"/>
          <w:b w:val="0"/>
          <w:bCs w:val="0"/>
          <w:color w:val="auto"/>
          <w:szCs w:val="21"/>
          <w:highlight w:val="none"/>
          <w:lang w:val="zh-CN" w:eastAsia="zh-CN"/>
        </w:rPr>
        <w:t>不含水利拦截设施、设备土建基础</w:t>
      </w:r>
      <w:r>
        <w:rPr>
          <w:rFonts w:hint="eastAsia" w:ascii="宋体" w:hAnsi="宋体" w:cs="宋体"/>
          <w:b w:val="0"/>
          <w:bCs w:val="0"/>
          <w:color w:val="auto"/>
          <w:szCs w:val="21"/>
          <w:highlight w:val="none"/>
          <w:lang w:val="en-US" w:eastAsia="zh-CN"/>
        </w:rPr>
        <w:t>和围栏</w:t>
      </w:r>
      <w:r>
        <w:rPr>
          <w:rFonts w:hint="eastAsia" w:ascii="宋体" w:hAnsi="宋体" w:eastAsia="宋体" w:cs="宋体"/>
          <w:b w:val="0"/>
          <w:bCs w:val="0"/>
          <w:color w:val="auto"/>
          <w:szCs w:val="21"/>
          <w:highlight w:val="none"/>
          <w:lang w:val="zh-CN" w:eastAsia="zh-CN"/>
        </w:rPr>
        <w:t>建设、变压器、绿化、土地征用</w:t>
      </w:r>
      <w:r>
        <w:rPr>
          <w:rFonts w:hint="eastAsia" w:ascii="宋体" w:hAnsi="宋体" w:cs="宋体"/>
          <w:b w:val="0"/>
          <w:bCs w:val="0"/>
          <w:color w:val="auto"/>
          <w:szCs w:val="21"/>
          <w:highlight w:val="none"/>
          <w:lang w:val="en-US" w:eastAsia="zh-CN"/>
        </w:rPr>
        <w:t>及第三方水质检测费</w:t>
      </w:r>
      <w:r>
        <w:rPr>
          <w:rFonts w:hint="eastAsia" w:ascii="宋体" w:hAnsi="宋体" w:eastAsia="宋体" w:cs="宋体"/>
          <w:b w:val="0"/>
          <w:bCs w:val="0"/>
          <w:color w:val="auto"/>
          <w:szCs w:val="21"/>
          <w:highlight w:val="none"/>
          <w:lang w:val="zh-CN" w:eastAsia="zh-CN"/>
        </w:rPr>
        <w:t>。</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w:t>
      </w:r>
      <w:r>
        <w:rPr>
          <w:rFonts w:hint="eastAsia" w:ascii="宋体" w:hAnsi="宋体" w:cs="宋体"/>
          <w:b/>
          <w:bCs/>
          <w:color w:val="auto"/>
          <w:szCs w:val="21"/>
          <w:highlight w:val="none"/>
          <w:lang w:val="en-US" w:eastAsia="zh-CN"/>
        </w:rPr>
        <w:t>三</w:t>
      </w:r>
      <w:r>
        <w:rPr>
          <w:rFonts w:hint="eastAsia" w:ascii="宋体" w:hAnsi="宋体" w:cs="宋体"/>
          <w:b/>
          <w:bCs/>
          <w:color w:val="auto"/>
          <w:szCs w:val="21"/>
          <w:highlight w:val="none"/>
        </w:rPr>
        <w:t>条  合同文件组成及解释顺序</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1、下列文件一起组成本合同文件：</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（1）本采购合同及其补充协议（如有）；</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（2）中标通知书；</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（3）采购文件及其修改、补充文件（如有）；</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（4）询标承诺、询疑答复（如有）；</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（5）投标文件及其补充文件（如有）；</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2、合同文件组成的所有内容是构成合同不可分割的部分，与合同具有同等法律效力。上述文件相互补充和解释，如有不明确或不一致之处，以上述次序在先者为准。除上述合同顺序外，合同文件之间有矛盾的，以较后时间制定的为准。</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w:t>
      </w:r>
      <w:r>
        <w:rPr>
          <w:rFonts w:hint="eastAsia" w:ascii="宋体" w:hAnsi="宋体" w:cs="宋体"/>
          <w:b/>
          <w:bCs/>
          <w:color w:val="auto"/>
          <w:szCs w:val="21"/>
          <w:highlight w:val="none"/>
          <w:lang w:val="en-US" w:eastAsia="zh-CN"/>
        </w:rPr>
        <w:t>四</w:t>
      </w:r>
      <w:r>
        <w:rPr>
          <w:rFonts w:hint="eastAsia" w:ascii="宋体" w:hAnsi="宋体" w:cs="宋体"/>
          <w:b/>
          <w:bCs/>
          <w:color w:val="auto"/>
          <w:szCs w:val="21"/>
          <w:highlight w:val="none"/>
        </w:rPr>
        <w:t xml:space="preserve">条  </w:t>
      </w:r>
      <w:r>
        <w:rPr>
          <w:rFonts w:hint="eastAsia" w:ascii="宋体" w:hAnsi="宋体" w:cs="宋体"/>
          <w:b/>
          <w:bCs/>
          <w:color w:val="auto"/>
          <w:szCs w:val="21"/>
          <w:highlight w:val="none"/>
          <w:lang w:val="en-US" w:eastAsia="zh-CN"/>
        </w:rPr>
        <w:t>项目</w:t>
      </w:r>
      <w:r>
        <w:rPr>
          <w:rFonts w:hint="eastAsia" w:ascii="宋体" w:hAnsi="宋体" w:cs="宋体"/>
          <w:b/>
          <w:bCs/>
          <w:color w:val="auto"/>
          <w:szCs w:val="21"/>
          <w:highlight w:val="none"/>
        </w:rPr>
        <w:t>期限</w:t>
      </w:r>
    </w:p>
    <w:p>
      <w:pPr>
        <w:pStyle w:val="104"/>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cs="Times New Roman"/>
          <w:b w:val="0"/>
          <w:bCs w:val="0"/>
          <w:color w:val="auto"/>
          <w:sz w:val="21"/>
          <w:szCs w:val="21"/>
          <w:highlight w:val="none"/>
          <w:lang w:val="en-US" w:eastAsia="zh-CN"/>
        </w:rPr>
        <w:t>设备供货及</w:t>
      </w:r>
      <w:r>
        <w:rPr>
          <w:rFonts w:hint="default" w:ascii="Times New Roman" w:hAnsi="Times New Roman" w:cs="Times New Roman"/>
          <w:b w:val="0"/>
          <w:bCs w:val="0"/>
          <w:color w:val="auto"/>
          <w:sz w:val="21"/>
          <w:szCs w:val="21"/>
          <w:highlight w:val="none"/>
          <w:lang w:val="en-US" w:eastAsia="zh-CN"/>
        </w:rPr>
        <w:t>工期</w:t>
      </w:r>
      <w:r>
        <w:rPr>
          <w:rFonts w:hint="default" w:ascii="Times New Roman" w:hAnsi="Times New Roman" w:eastAsia="宋体" w:cs="Times New Roman"/>
          <w:b w:val="0"/>
          <w:bCs w:val="0"/>
          <w:color w:val="auto"/>
          <w:sz w:val="21"/>
          <w:szCs w:val="21"/>
          <w:highlight w:val="none"/>
        </w:rPr>
        <w:t>要求</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rPr>
        <w:t>合同签订后</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天内完成设备</w:t>
      </w:r>
      <w:r>
        <w:rPr>
          <w:rFonts w:hint="eastAsia" w:cs="Times New Roman"/>
          <w:color w:val="auto"/>
          <w:sz w:val="21"/>
          <w:szCs w:val="21"/>
          <w:highlight w:val="none"/>
          <w:lang w:val="en-US" w:eastAsia="zh-CN"/>
        </w:rPr>
        <w:t>供货、</w:t>
      </w:r>
      <w:r>
        <w:rPr>
          <w:rFonts w:hint="default" w:ascii="Times New Roman" w:hAnsi="Times New Roman" w:eastAsia="宋体" w:cs="Times New Roman"/>
          <w:color w:val="auto"/>
          <w:sz w:val="21"/>
          <w:szCs w:val="21"/>
          <w:highlight w:val="none"/>
        </w:rPr>
        <w:t>安装</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调试</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15天试运行并验收合格。</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lang w:val="en-US" w:eastAsia="zh-CN"/>
        </w:rPr>
        <w:t>2、项目运维</w:t>
      </w:r>
      <w:r>
        <w:rPr>
          <w:rFonts w:hint="eastAsia" w:ascii="宋体" w:hAnsi="宋体" w:cs="宋体"/>
          <w:color w:val="auto"/>
          <w:szCs w:val="21"/>
          <w:highlight w:val="none"/>
        </w:rPr>
        <w:t>期限：</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年（自</w:t>
      </w:r>
      <w:r>
        <w:rPr>
          <w:rFonts w:hint="eastAsia" w:ascii="宋体" w:hAnsi="宋体" w:cs="宋体"/>
          <w:color w:val="auto"/>
          <w:szCs w:val="21"/>
          <w:highlight w:val="none"/>
          <w:lang w:val="en-US" w:eastAsia="zh-CN"/>
        </w:rPr>
        <w:t>设备供货安装及调试完成并验收合格之日起</w:t>
      </w:r>
      <w:r>
        <w:rPr>
          <w:rFonts w:hint="eastAsia" w:ascii="宋体" w:hAnsi="宋体" w:cs="宋体"/>
          <w:color w:val="auto"/>
          <w:szCs w:val="21"/>
          <w:highlight w:val="none"/>
        </w:rPr>
        <w:t>）。</w:t>
      </w:r>
    </w:p>
    <w:p>
      <w:pPr>
        <w:pStyle w:val="104"/>
        <w:ind w:firstLine="42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Cs w:val="21"/>
          <w:highlight w:val="none"/>
        </w:rPr>
        <w:t>第</w:t>
      </w:r>
      <w:r>
        <w:rPr>
          <w:rFonts w:hint="eastAsia" w:ascii="宋体" w:hAnsi="宋体" w:eastAsia="宋体" w:cs="宋体"/>
          <w:b/>
          <w:bCs/>
          <w:color w:val="auto"/>
          <w:szCs w:val="21"/>
          <w:highlight w:val="none"/>
          <w:lang w:val="en-US" w:eastAsia="zh-CN"/>
        </w:rPr>
        <w:t>五</w:t>
      </w:r>
      <w:r>
        <w:rPr>
          <w:rFonts w:hint="eastAsia" w:ascii="宋体" w:hAnsi="宋体" w:eastAsia="宋体" w:cs="宋体"/>
          <w:b/>
          <w:bCs/>
          <w:color w:val="auto"/>
          <w:szCs w:val="21"/>
          <w:highlight w:val="none"/>
        </w:rPr>
        <w:t>条</w:t>
      </w:r>
      <w:r>
        <w:rPr>
          <w:rFonts w:hint="eastAsia" w:ascii="宋体" w:hAnsi="宋体" w:eastAsia="宋体" w:cs="宋体"/>
          <w:b/>
          <w:bCs/>
          <w:color w:val="auto"/>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服务标准</w:t>
      </w:r>
    </w:p>
    <w:p>
      <w:pPr>
        <w:pStyle w:val="104"/>
        <w:ind w:firstLine="42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、通过对东横江河道断面进行治理，保证原位净化装备出水主要水质指标达到《地表水环境质量标准》GB3838-2002中的III类标准（CODMn≤6.0mg/L，NH3-N≤1.0mg/L，TP≤0.2mg/L，pH:6-9）。</w:t>
      </w:r>
    </w:p>
    <w:p>
      <w:pPr>
        <w:pStyle w:val="104"/>
        <w:ind w:firstLine="42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服务期第1-3个月，月平均水质监测指标达到《地表水环境质量标准》（GB3838-2002）中Ⅳ类标准（CODMn≤10.0mg/L，NH3-N≤1.5mg/L，TP≤0.3mg/L，pH:6-9）；第4-8个月，月平均水质监测指标基本达到《地表水环境质量标准》GB3838-2002中的Ⅲ类标准（CO</w:t>
      </w:r>
      <w:r>
        <w:rPr>
          <w:rFonts w:hint="eastAsia" w:ascii="宋体" w:hAnsi="宋体" w:eastAsia="宋体" w:cs="宋体"/>
          <w:color w:val="auto"/>
          <w:sz w:val="21"/>
          <w:szCs w:val="21"/>
          <w:highlight w:val="none"/>
        </w:rPr>
        <w:t>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）；后续服务期限内，月平均水质监测指标稳定维持在《地表水环境质量标准》GB3838-2002中的Ⅲ类标准（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），水质监测数据以以当地环保部门监测点的监测数据为准。</w:t>
      </w:r>
    </w:p>
    <w:p>
      <w:pPr>
        <w:pStyle w:val="104"/>
        <w:ind w:firstLine="42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w:t>
      </w:r>
      <w:r>
        <w:rPr>
          <w:rFonts w:hint="eastAsia" w:ascii="宋体" w:hAnsi="宋体" w:eastAsia="宋体" w:cs="宋体"/>
          <w:b/>
          <w:bCs/>
          <w:color w:val="auto"/>
          <w:szCs w:val="21"/>
          <w:highlight w:val="none"/>
          <w:lang w:val="en-US" w:eastAsia="zh-CN"/>
        </w:rPr>
        <w:t>六</w:t>
      </w:r>
      <w:r>
        <w:rPr>
          <w:rFonts w:hint="eastAsia" w:ascii="宋体" w:hAnsi="宋体" w:eastAsia="宋体" w:cs="宋体"/>
          <w:b/>
          <w:bCs/>
          <w:color w:val="auto"/>
          <w:szCs w:val="21"/>
          <w:highlight w:val="none"/>
        </w:rPr>
        <w:t xml:space="preserve">条  </w:t>
      </w:r>
      <w:r>
        <w:rPr>
          <w:rFonts w:hint="eastAsia" w:ascii="宋体" w:hAnsi="宋体" w:eastAsia="宋体" w:cs="宋体"/>
          <w:b/>
          <w:bCs/>
          <w:color w:val="auto"/>
          <w:szCs w:val="21"/>
          <w:highlight w:val="none"/>
          <w:lang w:val="en-US" w:eastAsia="zh-CN"/>
        </w:rPr>
        <w:t>服务</w:t>
      </w:r>
      <w:r>
        <w:rPr>
          <w:rFonts w:hint="eastAsia" w:ascii="宋体" w:hAnsi="宋体" w:eastAsia="宋体" w:cs="宋体"/>
          <w:b/>
          <w:bCs/>
          <w:color w:val="auto"/>
          <w:szCs w:val="21"/>
          <w:highlight w:val="none"/>
        </w:rPr>
        <w:t>要求</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1、根据国家和当地有关环境保护法规的要求，对河道水质进行有效治理及维护提升。</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应根据河道的水质状况采用合理的技术措施。维护工作全过程包括设备设施安装施工阶段及运行维护阶段均应确保河道的流动开放性，不得设置影响河道正常行洪排涝等功能的设施。水质维护所采用的技术安全可靠，不得采用可能对河道造成二次污染和生态破坏的技术手段。</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3、项目开展过程中乙方应严格按照投标文件中明确的设备设施类型、数量等内容执行，不得随意更换或增减设备设施，如确需调整的应报请甲方确认。</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4、乙方必须严格按投标文件明确的运行管理方案执行，做好防汛防台应急工作，服从甲方的统一指挥；在甲方的重大活动创建和检查期间，应主动做好各类创建活动期间的水质保障。</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5、对本养护项目实施养护管理所需的一切劳动力、材料、设备和服务由甲方自行组织，由此产生的一切费用由乙方承担。</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6、乙方必须为全体作业员工购买社保和人身意外保险，必须重视安全生产工作，确保全年不出安全生产责任事故。如发生安全生产责任事故或交通事故，由乙方承担一切责任及损失。</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7、乙方应保证提供服务过程中不会侵犯任何第三方的知识产权，如有发生，由乙方承担一切责任及损失。</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8、如果遇河道排污现象或大面积污染物出现等不可控的突发事件，乙方</w:t>
      </w:r>
      <w:r>
        <w:rPr>
          <w:rFonts w:hint="eastAsia" w:ascii="宋体" w:hAnsi="宋体" w:cs="宋体"/>
          <w:b w:val="0"/>
          <w:bCs w:val="0"/>
          <w:color w:val="auto"/>
          <w:sz w:val="21"/>
          <w:szCs w:val="21"/>
          <w:highlight w:val="none"/>
          <w:lang w:val="en-US" w:eastAsia="zh-CN"/>
        </w:rPr>
        <w:t>配合甲方积极响应</w:t>
      </w:r>
      <w:r>
        <w:rPr>
          <w:rFonts w:hint="eastAsia" w:ascii="宋体" w:hAnsi="宋体" w:eastAsia="宋体" w:cs="宋体"/>
          <w:b w:val="0"/>
          <w:bCs w:val="0"/>
          <w:color w:val="auto"/>
          <w:sz w:val="21"/>
          <w:szCs w:val="21"/>
          <w:highlight w:val="none"/>
          <w:lang w:val="en-US" w:eastAsia="zh-CN"/>
        </w:rPr>
        <w:t>，但水质不属于考核范围，不属于扣款和罚款范围。</w:t>
      </w:r>
    </w:p>
    <w:p>
      <w:pPr>
        <w:pStyle w:val="104"/>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9、乙方在本次服务过程中投入的所有设备设施等，在服务期内所有权都归乙方所有，服务期满后一切归甲方所有并做好移交工作。</w:t>
      </w:r>
    </w:p>
    <w:p>
      <w:pPr>
        <w:pStyle w:val="104"/>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10、本项目污水采用生物处理时，投加的微生物需满足急性经口毒性属于无毒的证明检测报告（具有CMA认证或CNAS认证）。</w:t>
      </w:r>
    </w:p>
    <w:p>
      <w:pPr>
        <w:pStyle w:val="104"/>
        <w:rPr>
          <w:rFonts w:hint="eastAsia"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lang w:val="en-US" w:eastAsia="zh-CN"/>
        </w:rPr>
        <w:t>、本项目不允许转包或分包。</w:t>
      </w:r>
    </w:p>
    <w:p>
      <w:pPr>
        <w:pStyle w:val="104"/>
        <w:ind w:firstLine="422"/>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第</w:t>
      </w:r>
      <w:r>
        <w:rPr>
          <w:rFonts w:hint="eastAsia" w:ascii="宋体" w:hAnsi="宋体" w:eastAsia="宋体" w:cs="宋体"/>
          <w:b/>
          <w:bCs/>
          <w:color w:val="auto"/>
          <w:szCs w:val="21"/>
          <w:highlight w:val="none"/>
          <w:lang w:val="en-US" w:eastAsia="zh-CN"/>
        </w:rPr>
        <w:t>七</w:t>
      </w:r>
      <w:r>
        <w:rPr>
          <w:rFonts w:hint="eastAsia" w:ascii="宋体" w:hAnsi="宋体" w:eastAsia="宋体" w:cs="宋体"/>
          <w:b/>
          <w:bCs/>
          <w:color w:val="auto"/>
          <w:szCs w:val="21"/>
          <w:highlight w:val="none"/>
        </w:rPr>
        <w:t>条  考核</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详见采购文件考核办法</w:t>
      </w:r>
    </w:p>
    <w:p>
      <w:pPr>
        <w:pStyle w:val="104"/>
        <w:ind w:firstLine="422"/>
        <w:rPr>
          <w:rFonts w:hint="eastAsia" w:ascii="宋体" w:hAnsi="宋体" w:cs="宋体"/>
          <w:b/>
          <w:bCs/>
          <w:color w:val="auto"/>
          <w:szCs w:val="21"/>
          <w:highlight w:val="none"/>
        </w:rPr>
      </w:pPr>
    </w:p>
    <w:p>
      <w:pPr>
        <w:pStyle w:val="104"/>
        <w:ind w:firstLine="42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w:t>
      </w:r>
      <w:r>
        <w:rPr>
          <w:rFonts w:hint="eastAsia" w:ascii="宋体" w:hAnsi="宋体" w:eastAsia="宋体" w:cs="宋体"/>
          <w:b/>
          <w:bCs/>
          <w:color w:val="auto"/>
          <w:szCs w:val="21"/>
          <w:highlight w:val="none"/>
          <w:lang w:val="en-US" w:eastAsia="zh-CN"/>
        </w:rPr>
        <w:t>八</w:t>
      </w:r>
      <w:r>
        <w:rPr>
          <w:rFonts w:hint="eastAsia" w:ascii="宋体" w:hAnsi="宋体" w:eastAsia="宋体" w:cs="宋体"/>
          <w:b/>
          <w:bCs/>
          <w:color w:val="auto"/>
          <w:szCs w:val="21"/>
          <w:highlight w:val="none"/>
        </w:rPr>
        <w:t>条  履约保证金</w:t>
      </w:r>
    </w:p>
    <w:p>
      <w:pPr>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合同签订后5个工作日内</w:t>
      </w:r>
      <w:r>
        <w:rPr>
          <w:rFonts w:hint="eastAsia" w:ascii="宋体" w:hAnsi="宋体" w:cs="宋体"/>
          <w:color w:val="auto"/>
          <w:szCs w:val="21"/>
          <w:highlight w:val="none"/>
        </w:rPr>
        <w:t>，乙方应向甲方</w:t>
      </w:r>
      <w:r>
        <w:rPr>
          <w:rFonts w:hint="eastAsia" w:ascii="宋体" w:hAnsi="宋体" w:cs="宋体"/>
          <w:color w:val="auto"/>
          <w:szCs w:val="21"/>
          <w:highlight w:val="none"/>
          <w:lang w:val="en-US" w:eastAsia="zh-CN"/>
        </w:rPr>
        <w:t>递交</w:t>
      </w:r>
      <w:r>
        <w:rPr>
          <w:rFonts w:hint="eastAsia" w:ascii="宋体" w:hAnsi="宋体" w:cs="宋体"/>
          <w:color w:val="auto"/>
          <w:szCs w:val="21"/>
          <w:highlight w:val="none"/>
          <w:u w:val="single"/>
        </w:rPr>
        <w:t>合同金额的5%</w:t>
      </w:r>
      <w:r>
        <w:rPr>
          <w:rFonts w:hint="eastAsia" w:ascii="宋体" w:hAnsi="宋体" w:cs="宋体"/>
          <w:color w:val="auto"/>
          <w:szCs w:val="21"/>
          <w:highlight w:val="none"/>
        </w:rPr>
        <w:t>作为履约保证金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可以采用银行保函、保险保单、担保公司担保等方式</w:t>
      </w:r>
      <w:r>
        <w:rPr>
          <w:rFonts w:hint="eastAsia" w:ascii="宋体" w:hAnsi="宋体" w:cs="宋体"/>
          <w:color w:val="auto"/>
          <w:szCs w:val="21"/>
          <w:highlight w:val="none"/>
          <w:lang w:eastAsia="zh-CN"/>
        </w:rPr>
        <w:t>）</w:t>
      </w:r>
      <w:r>
        <w:rPr>
          <w:rFonts w:hint="eastAsia" w:ascii="宋体" w:hAnsi="宋体" w:cs="宋体"/>
          <w:color w:val="auto"/>
          <w:szCs w:val="21"/>
          <w:highlight w:val="none"/>
        </w:rPr>
        <w:t>，协议期满后7个工作日内一次性退还给乙方（不计息）。</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在履约期间，凡出现“甲方视乙方单方面违约”的情况，甲方视乙方同时放弃履约保证金的退还，履约保证金作为乙方对甲方的违约补偿。如履约保证金不能弥补甲方损失的，甲方将进一步追偿乙方的责任。</w:t>
      </w:r>
    </w:p>
    <w:p>
      <w:pPr>
        <w:pStyle w:val="104"/>
        <w:ind w:firstLine="42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w:t>
      </w:r>
      <w:r>
        <w:rPr>
          <w:rFonts w:hint="eastAsia" w:ascii="宋体" w:hAnsi="宋体" w:eastAsia="宋体" w:cs="宋体"/>
          <w:b/>
          <w:bCs/>
          <w:color w:val="auto"/>
          <w:szCs w:val="21"/>
          <w:highlight w:val="none"/>
          <w:lang w:val="en-US" w:eastAsia="zh-CN"/>
        </w:rPr>
        <w:t>九</w:t>
      </w:r>
      <w:r>
        <w:rPr>
          <w:rFonts w:hint="eastAsia" w:ascii="宋体" w:hAnsi="宋体" w:eastAsia="宋体" w:cs="宋体"/>
          <w:b/>
          <w:bCs/>
          <w:color w:val="auto"/>
          <w:szCs w:val="21"/>
          <w:highlight w:val="none"/>
        </w:rPr>
        <w:t>条  费用的结算、支付</w:t>
      </w:r>
    </w:p>
    <w:p>
      <w:pPr>
        <w:pStyle w:val="104"/>
        <w:ind w:firstLine="422"/>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合同签订后7个工作日内支付合同价的30%，第一年服务期满7个工作日内支付合同价的10%，第二年服务期满7个工作日内支付合同价的30%，第三年服务期满且完成所有移交后7个工作日内一次性付清。</w:t>
      </w:r>
    </w:p>
    <w:p>
      <w:pPr>
        <w:pStyle w:val="104"/>
        <w:ind w:firstLine="422"/>
        <w:rPr>
          <w:rFonts w:hint="eastAsia" w:ascii="宋体" w:hAnsi="宋体" w:cs="宋体"/>
          <w:b/>
          <w:bCs/>
          <w:color w:val="auto"/>
          <w:szCs w:val="21"/>
          <w:highlight w:val="none"/>
        </w:rPr>
      </w:pPr>
      <w:r>
        <w:rPr>
          <w:rFonts w:hint="eastAsia" w:ascii="宋体" w:hAnsi="宋体" w:eastAsia="宋体" w:cs="宋体"/>
          <w:b/>
          <w:bCs/>
          <w:color w:val="auto"/>
          <w:szCs w:val="21"/>
          <w:highlight w:val="none"/>
        </w:rPr>
        <w:t>第</w:t>
      </w:r>
      <w:r>
        <w:rPr>
          <w:rFonts w:hint="eastAsia" w:ascii="宋体" w:hAnsi="宋体" w:eastAsia="宋体" w:cs="宋体"/>
          <w:b/>
          <w:bCs/>
          <w:color w:val="auto"/>
          <w:szCs w:val="21"/>
          <w:highlight w:val="none"/>
          <w:lang w:val="en-US" w:eastAsia="zh-CN"/>
        </w:rPr>
        <w:t>十</w:t>
      </w:r>
      <w:r>
        <w:rPr>
          <w:rFonts w:hint="eastAsia" w:ascii="宋体" w:hAnsi="宋体" w:eastAsia="宋体" w:cs="宋体"/>
          <w:b/>
          <w:bCs/>
          <w:color w:val="auto"/>
          <w:szCs w:val="21"/>
          <w:highlight w:val="none"/>
        </w:rPr>
        <w:t>条  移交及售后服务</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1、人员培训</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1）合同期满前三个月，</w:t>
      </w:r>
      <w:r>
        <w:rPr>
          <w:rFonts w:hint="eastAsia" w:ascii="宋体" w:hAnsi="宋体"/>
          <w:color w:val="auto"/>
          <w:sz w:val="21"/>
          <w:szCs w:val="21"/>
          <w:highlight w:val="none"/>
          <w:lang w:val="en-US" w:eastAsia="zh-CN"/>
        </w:rPr>
        <w:t>乙方</w:t>
      </w:r>
      <w:r>
        <w:rPr>
          <w:rFonts w:hint="eastAsia" w:ascii="宋体" w:hAnsi="宋体"/>
          <w:color w:val="auto"/>
          <w:sz w:val="21"/>
          <w:szCs w:val="21"/>
          <w:highlight w:val="none"/>
        </w:rPr>
        <w:t>应就其所提供的设备及操作系统，对甲方</w:t>
      </w:r>
      <w:r>
        <w:rPr>
          <w:rFonts w:hint="eastAsia" w:ascii="宋体" w:hAnsi="宋体"/>
          <w:color w:val="auto"/>
          <w:sz w:val="21"/>
          <w:szCs w:val="21"/>
          <w:highlight w:val="none"/>
          <w:lang w:val="en-US" w:eastAsia="zh-CN"/>
        </w:rPr>
        <w:t>或甲方指定</w:t>
      </w:r>
      <w:r>
        <w:rPr>
          <w:rFonts w:hint="eastAsia" w:ascii="宋体" w:hAnsi="宋体"/>
          <w:color w:val="auto"/>
          <w:sz w:val="21"/>
          <w:szCs w:val="21"/>
          <w:highlight w:val="none"/>
        </w:rPr>
        <w:t>的操作人员和维修人员进行操作、安全保护措施和维护保养方面的培训。</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2）培训工作在现场进行，培训人数3～5人，培训费用由</w:t>
      </w:r>
      <w:r>
        <w:rPr>
          <w:rFonts w:hint="eastAsia" w:ascii="宋体" w:hAnsi="宋体"/>
          <w:color w:val="auto"/>
          <w:sz w:val="21"/>
          <w:szCs w:val="21"/>
          <w:highlight w:val="none"/>
          <w:lang w:val="en-US" w:eastAsia="zh-CN"/>
        </w:rPr>
        <w:t>乙方</w:t>
      </w:r>
      <w:r>
        <w:rPr>
          <w:rFonts w:hint="eastAsia" w:ascii="宋体" w:hAnsi="宋体"/>
          <w:color w:val="auto"/>
          <w:sz w:val="21"/>
          <w:szCs w:val="21"/>
          <w:highlight w:val="none"/>
        </w:rPr>
        <w:t>负责。</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3）培训内容包括主要设备的结构介绍、使用性能、操作程序、安全措施和维护修理程序和方法。培训方式包括理论讲课和实际操作。</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项目公司</w:t>
      </w:r>
      <w:r>
        <w:rPr>
          <w:rFonts w:hint="eastAsia" w:ascii="宋体" w:hAnsi="宋体"/>
          <w:color w:val="auto"/>
          <w:sz w:val="21"/>
          <w:szCs w:val="21"/>
          <w:highlight w:val="none"/>
        </w:rPr>
        <w:t>应为培训人员提供正规的培训手册。</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2、项目移交</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1）合同期结束后15个工作日内，由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对设备运行状况按照相关标准、技术规范及招标文件的规定组织验收，且系统无任何故障后，按照</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要求，</w:t>
      </w:r>
      <w:r>
        <w:rPr>
          <w:rFonts w:hint="eastAsia" w:ascii="宋体" w:hAnsi="宋体"/>
          <w:color w:val="auto"/>
          <w:sz w:val="21"/>
          <w:szCs w:val="21"/>
          <w:highlight w:val="none"/>
          <w:lang w:val="en-US" w:eastAsia="zh-CN"/>
        </w:rPr>
        <w:t>乙方</w:t>
      </w:r>
      <w:r>
        <w:rPr>
          <w:rFonts w:hint="eastAsia" w:ascii="宋体" w:hAnsi="宋体"/>
          <w:color w:val="auto"/>
          <w:sz w:val="21"/>
          <w:szCs w:val="21"/>
          <w:highlight w:val="none"/>
        </w:rPr>
        <w:t>将全部</w:t>
      </w:r>
      <w:r>
        <w:rPr>
          <w:rFonts w:hint="eastAsia" w:ascii="宋体" w:hAnsi="宋体"/>
          <w:color w:val="auto"/>
          <w:sz w:val="21"/>
          <w:szCs w:val="21"/>
          <w:highlight w:val="none"/>
          <w:lang w:val="en-US" w:eastAsia="zh-CN"/>
        </w:rPr>
        <w:t>内容</w:t>
      </w:r>
      <w:r>
        <w:rPr>
          <w:rFonts w:hint="eastAsia" w:ascii="宋体" w:hAnsi="宋体"/>
          <w:color w:val="auto"/>
          <w:sz w:val="21"/>
          <w:szCs w:val="21"/>
          <w:highlight w:val="none"/>
        </w:rPr>
        <w:t>移交给</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或者其指定的单位。</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2）移交范围：</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val="en-US" w:eastAsia="zh-CN"/>
        </w:rPr>
        <w:t>乙方</w:t>
      </w:r>
      <w:r>
        <w:rPr>
          <w:rFonts w:hint="eastAsia" w:ascii="宋体" w:hAnsi="宋体"/>
          <w:color w:val="auto"/>
          <w:sz w:val="21"/>
          <w:szCs w:val="21"/>
          <w:highlight w:val="none"/>
        </w:rPr>
        <w:t>对</w:t>
      </w:r>
      <w:r>
        <w:rPr>
          <w:rFonts w:hint="eastAsia" w:ascii="宋体" w:hAnsi="宋体"/>
          <w:color w:val="auto"/>
          <w:sz w:val="21"/>
          <w:szCs w:val="21"/>
          <w:highlight w:val="none"/>
          <w:lang w:val="en-US" w:eastAsia="zh-CN"/>
        </w:rPr>
        <w:t>本</w:t>
      </w:r>
      <w:r>
        <w:rPr>
          <w:rFonts w:hint="eastAsia" w:ascii="宋体" w:hAnsi="宋体"/>
          <w:color w:val="auto"/>
          <w:sz w:val="21"/>
          <w:szCs w:val="21"/>
          <w:highlight w:val="none"/>
        </w:rPr>
        <w:t>项目设施的所有权利和利益，包括：</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①项目设施的建筑物和构筑物。</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②与</w:t>
      </w:r>
      <w:r>
        <w:rPr>
          <w:rFonts w:hint="eastAsia" w:ascii="宋体" w:hAnsi="宋体"/>
          <w:color w:val="auto"/>
          <w:sz w:val="21"/>
          <w:szCs w:val="21"/>
          <w:highlight w:val="none"/>
          <w:lang w:val="en-US" w:eastAsia="zh-CN"/>
        </w:rPr>
        <w:t>本</w:t>
      </w:r>
      <w:r>
        <w:rPr>
          <w:rFonts w:hint="eastAsia" w:ascii="宋体" w:hAnsi="宋体"/>
          <w:color w:val="auto"/>
          <w:sz w:val="21"/>
          <w:szCs w:val="21"/>
          <w:highlight w:val="none"/>
        </w:rPr>
        <w:t xml:space="preserve">项目设施相关使用的所有机械和设备； </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③所有零备件和配件、化学药品以及其他动产；</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④运营和维护项目设施所要求的所有技术和技术诀窍、知识产权等无形资产（包括以许可方式取得的）；</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在用的各类管理章程和运营手册包括专有技术、技术档案、文秘档案、图书资料、设计图纸、文件和其他资料，以使</w:t>
      </w:r>
      <w:r>
        <w:rPr>
          <w:rFonts w:hint="eastAsia" w:ascii="宋体" w:hAnsi="宋体"/>
          <w:color w:val="auto"/>
          <w:sz w:val="21"/>
          <w:szCs w:val="21"/>
          <w:highlight w:val="none"/>
          <w:lang w:val="en-US" w:eastAsia="zh-CN"/>
        </w:rPr>
        <w:t>本</w:t>
      </w:r>
      <w:r>
        <w:rPr>
          <w:rFonts w:hint="eastAsia" w:ascii="宋体" w:hAnsi="宋体"/>
          <w:color w:val="auto"/>
          <w:sz w:val="21"/>
          <w:szCs w:val="21"/>
          <w:highlight w:val="none"/>
        </w:rPr>
        <w:t>项目能平稳地正常地继续运营。</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这些资产在向甲方移交时应不存在任何留置权、债权、抵押、担保物权或任何种类的其它请求权。</w:t>
      </w:r>
      <w:r>
        <w:rPr>
          <w:rFonts w:hint="eastAsia" w:ascii="宋体" w:hAnsi="宋体"/>
          <w:color w:val="auto"/>
          <w:sz w:val="21"/>
          <w:szCs w:val="21"/>
          <w:highlight w:val="none"/>
          <w:lang w:val="en-US" w:eastAsia="zh-CN"/>
        </w:rPr>
        <w:t>本</w:t>
      </w:r>
      <w:r>
        <w:rPr>
          <w:rFonts w:hint="eastAsia" w:ascii="宋体" w:hAnsi="宋体"/>
          <w:color w:val="auto"/>
          <w:sz w:val="21"/>
          <w:szCs w:val="21"/>
          <w:highlight w:val="none"/>
        </w:rPr>
        <w:t>项目场地在移交日应不存在任何环境问题和环境遗留问题。</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3）检测及验收产生的费用由甲方负责。</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在接</w:t>
      </w:r>
      <w:r>
        <w:rPr>
          <w:rFonts w:hint="eastAsia" w:ascii="宋体" w:hAnsi="宋体"/>
          <w:color w:val="auto"/>
          <w:sz w:val="21"/>
          <w:szCs w:val="21"/>
          <w:highlight w:val="none"/>
          <w:lang w:val="en-US" w:eastAsia="zh-CN"/>
        </w:rPr>
        <w:t>收</w:t>
      </w:r>
      <w:r>
        <w:rPr>
          <w:rFonts w:hint="eastAsia" w:ascii="宋体" w:hAnsi="宋体"/>
          <w:color w:val="auto"/>
          <w:sz w:val="21"/>
          <w:szCs w:val="21"/>
          <w:highlight w:val="none"/>
        </w:rPr>
        <w:t>时，要对以下各项条件逐一检查合格后再接</w:t>
      </w:r>
      <w:r>
        <w:rPr>
          <w:rFonts w:hint="eastAsia" w:ascii="宋体" w:hAnsi="宋体"/>
          <w:color w:val="auto"/>
          <w:sz w:val="21"/>
          <w:szCs w:val="21"/>
          <w:highlight w:val="none"/>
          <w:lang w:val="en-US" w:eastAsia="zh-CN"/>
        </w:rPr>
        <w:t>收</w:t>
      </w:r>
      <w:r>
        <w:rPr>
          <w:rFonts w:hint="eastAsia" w:ascii="宋体" w:hAnsi="宋体"/>
          <w:color w:val="auto"/>
          <w:sz w:val="21"/>
          <w:szCs w:val="21"/>
          <w:highlight w:val="none"/>
        </w:rPr>
        <w:t>：全套的技术资料（包括工艺流程图、设备设施的说明书、合格证、保修证、设施设备的操作手册、检测报告、运行总结报告、设备设施维护说明书、整个系统的操作规程）。</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3、售后服务</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1）合同期结束后，一旦接到甲方的报修电话后，如电话指导不能解决问题，</w:t>
      </w:r>
      <w:r>
        <w:rPr>
          <w:rFonts w:hint="eastAsia" w:ascii="宋体" w:hAnsi="宋体"/>
          <w:color w:val="auto"/>
          <w:sz w:val="21"/>
          <w:szCs w:val="21"/>
          <w:highlight w:val="none"/>
          <w:lang w:val="en-US" w:eastAsia="zh-CN"/>
        </w:rPr>
        <w:t>乙方</w:t>
      </w:r>
      <w:r>
        <w:rPr>
          <w:rFonts w:hint="eastAsia" w:ascii="宋体" w:hAnsi="宋体"/>
          <w:color w:val="auto"/>
          <w:sz w:val="21"/>
          <w:szCs w:val="21"/>
          <w:highlight w:val="none"/>
        </w:rPr>
        <w:t>应在6小时内派遣有经验的维修工程师到现场提供维修服务</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可适当收取相应费用</w:t>
      </w:r>
      <w:r>
        <w:rPr>
          <w:rFonts w:hint="eastAsia" w:ascii="宋体" w:hAnsi="宋体"/>
          <w:color w:val="auto"/>
          <w:sz w:val="21"/>
          <w:szCs w:val="21"/>
          <w:highlight w:val="none"/>
          <w:lang w:eastAsia="zh-CN"/>
        </w:rPr>
        <w:t>）</w:t>
      </w:r>
      <w:r>
        <w:rPr>
          <w:rFonts w:hint="eastAsia" w:ascii="宋体" w:hAnsi="宋体"/>
          <w:color w:val="auto"/>
          <w:sz w:val="21"/>
          <w:szCs w:val="21"/>
          <w:highlight w:val="none"/>
        </w:rPr>
        <w:t>。</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2）维修工程师赴现场后应及时对故障设备进行检修，对于一般故障应在24小时内修复；对于重大故障应在72小时内修复。</w:t>
      </w:r>
    </w:p>
    <w:p>
      <w:pPr>
        <w:pStyle w:val="104"/>
        <w:rPr>
          <w:rFonts w:hint="eastAsia" w:ascii="宋体" w:hAnsi="宋体" w:cs="宋体"/>
          <w:color w:val="auto"/>
          <w:szCs w:val="21"/>
          <w:highlight w:val="none"/>
        </w:rPr>
      </w:pPr>
      <w:r>
        <w:rPr>
          <w:rFonts w:hint="eastAsia" w:ascii="宋体" w:hAnsi="宋体"/>
          <w:color w:val="auto"/>
          <w:sz w:val="21"/>
          <w:szCs w:val="21"/>
          <w:highlight w:val="none"/>
        </w:rPr>
        <w:t>3）在每次报修结束后的8小时内送交甲方一份维修报告，标明甲方报修时间、维修工程师到场时间、故障原因、采取的维修措施及系统恢复时间。</w:t>
      </w:r>
      <w:r>
        <w:rPr>
          <w:rFonts w:hint="eastAsia" w:ascii="宋体" w:hAnsi="宋体" w:cs="宋体"/>
          <w:color w:val="auto"/>
          <w:szCs w:val="21"/>
          <w:highlight w:val="none"/>
        </w:rPr>
        <w:t>。</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w:t>
      </w:r>
      <w:r>
        <w:rPr>
          <w:rFonts w:hint="eastAsia" w:ascii="宋体" w:hAnsi="宋体" w:cs="宋体"/>
          <w:b/>
          <w:bCs/>
          <w:color w:val="auto"/>
          <w:szCs w:val="21"/>
          <w:highlight w:val="none"/>
          <w:lang w:val="en-US" w:eastAsia="zh-CN"/>
        </w:rPr>
        <w:t>十一</w:t>
      </w:r>
      <w:r>
        <w:rPr>
          <w:rFonts w:hint="eastAsia" w:ascii="宋体" w:hAnsi="宋体" w:cs="宋体"/>
          <w:b/>
          <w:bCs/>
          <w:color w:val="auto"/>
          <w:szCs w:val="21"/>
          <w:highlight w:val="none"/>
        </w:rPr>
        <w:t>条  违约责任</w:t>
      </w:r>
    </w:p>
    <w:p>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1、乙方应严格遵守项目设备安装工期要求，因乙方原因造成设备安装工期延误的，每延迟一天扣除合同金额的0.1%。合同签订后因</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原因，3个月内未进行水质提升处理的，甲方有权单方面解除合同，并扣除履约保证金。设备安装完工后，设备调试运维服务期为1个月，每延迟一天扣除合同金额的0.1%。</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若合同期内发生养护河道黑臭现象、蓝绿藻爆发现象没有在48小时内处理完毕的，当月考核总分直接审定为80分；河道一个月内出现连续5天黑臭、蓝绿藻爆发或当月黑臭、蓝绿藻爆发时间累计超过10天的，当季度考核总分直接审定为小于60分，不合格，并且不拨付当月度服务费用。</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、养护河道出现问题，乙方单位未能在甲方要求的时间内进行有效整改的，甲方有权委托其他单位进行整改，由此产生的费用由乙方承担。</w:t>
      </w:r>
    </w:p>
    <w:p>
      <w:pPr>
        <w:keepNext w:val="0"/>
        <w:keepLines w:val="0"/>
        <w:pageBreakBefore w:val="0"/>
        <w:widowControl/>
        <w:kinsoku/>
        <w:wordWrap/>
        <w:overflowPunct/>
        <w:topLinePunct w:val="0"/>
        <w:bidi w:val="0"/>
        <w:snapToGrid/>
        <w:spacing w:line="360" w:lineRule="auto"/>
        <w:ind w:firstLine="420" w:firstLineChars="0"/>
        <w:rPr>
          <w:rFonts w:hint="eastAsia"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rPr>
        <w:t>河道年度内累计2次</w:t>
      </w:r>
      <w:r>
        <w:rPr>
          <w:rFonts w:hint="eastAsia" w:ascii="宋体" w:hAnsi="宋体" w:eastAsia="宋体" w:cs="宋体"/>
          <w:color w:val="auto"/>
          <w:sz w:val="21"/>
          <w:szCs w:val="21"/>
          <w:highlight w:val="none"/>
          <w:lang w:val="en-US" w:eastAsia="zh-CN"/>
        </w:rPr>
        <w:t>月度</w:t>
      </w:r>
      <w:r>
        <w:rPr>
          <w:rFonts w:hint="eastAsia" w:ascii="宋体" w:hAnsi="宋体" w:eastAsia="宋体" w:cs="宋体"/>
          <w:color w:val="auto"/>
          <w:sz w:val="21"/>
          <w:szCs w:val="21"/>
          <w:highlight w:val="none"/>
        </w:rPr>
        <w:t>考核不合格的，除执行正常扣款责任外，扣除</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的年度服务费</w:t>
      </w:r>
      <w:r>
        <w:rPr>
          <w:rFonts w:hint="eastAsia" w:ascii="宋体" w:hAnsi="宋体" w:eastAsia="宋体" w:cs="宋体"/>
          <w:color w:val="auto"/>
          <w:sz w:val="21"/>
          <w:szCs w:val="21"/>
          <w:highlight w:val="none"/>
        </w:rPr>
        <w:t>。同时要求水质养护单位提交书面整改措施并及时有效落实。如未及时提交书面整改措施或未及时有效落实的，</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有权单方面提前解除后续合同</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在收到</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终止合同通知之日起1个月内拆除已投入设备设施，逾期未拆除的由采购方自行处置。</w:t>
      </w:r>
    </w:p>
    <w:p>
      <w:pPr>
        <w:keepNext w:val="0"/>
        <w:keepLines w:val="0"/>
        <w:pageBreakBefore w:val="0"/>
        <w:widowControl/>
        <w:kinsoku/>
        <w:wordWrap/>
        <w:overflowPunct/>
        <w:topLinePunct w:val="0"/>
        <w:bidi w:val="0"/>
        <w:snapToGrid/>
        <w:spacing w:line="360" w:lineRule="auto"/>
        <w:ind w:firstLine="420" w:firstLineChars="0"/>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rPr>
        <w:t>河道年度内累计</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次</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度考核不合格的，除执行正常扣款责任外，扣除</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的年度服务费</w:t>
      </w:r>
      <w:r>
        <w:rPr>
          <w:rFonts w:hint="eastAsia" w:ascii="宋体" w:hAnsi="宋体" w:eastAsia="宋体" w:cs="宋体"/>
          <w:color w:val="auto"/>
          <w:sz w:val="21"/>
          <w:szCs w:val="21"/>
          <w:highlight w:val="none"/>
        </w:rPr>
        <w:t>。同时要求水质养护单位提交书面整改措施并及时有效落实。如未及时提交书面整改措施或未及时有效落实的，</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有权单方面提前解除后续合同</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在收到</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终止合同通知之日起1个月内拆除已投入设备设施，逾期未拆除的由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自行处置。</w:t>
      </w:r>
    </w:p>
    <w:p>
      <w:pPr>
        <w:keepNext w:val="0"/>
        <w:keepLines w:val="0"/>
        <w:pageBreakBefore w:val="0"/>
        <w:widowControl/>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rPr>
        <w:t>河道年度内累计</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次</w:t>
      </w:r>
      <w:r>
        <w:rPr>
          <w:rFonts w:hint="eastAsia" w:ascii="宋体" w:hAnsi="宋体" w:eastAsia="宋体" w:cs="宋体"/>
          <w:color w:val="auto"/>
          <w:sz w:val="21"/>
          <w:szCs w:val="21"/>
          <w:highlight w:val="none"/>
          <w:lang w:val="en-US" w:eastAsia="zh-CN"/>
        </w:rPr>
        <w:t>月度</w:t>
      </w:r>
      <w:r>
        <w:rPr>
          <w:rFonts w:hint="eastAsia" w:ascii="宋体" w:hAnsi="宋体" w:eastAsia="宋体" w:cs="宋体"/>
          <w:color w:val="auto"/>
          <w:sz w:val="21"/>
          <w:szCs w:val="21"/>
          <w:highlight w:val="none"/>
        </w:rPr>
        <w:t>考核不合格的，除执行正常扣款责任外，扣除该20%</w:t>
      </w:r>
      <w:r>
        <w:rPr>
          <w:rFonts w:hint="eastAsia" w:ascii="宋体" w:hAnsi="宋体" w:eastAsia="宋体" w:cs="宋体"/>
          <w:color w:val="auto"/>
          <w:sz w:val="21"/>
          <w:szCs w:val="21"/>
          <w:highlight w:val="none"/>
          <w:lang w:val="en-US" w:eastAsia="zh-CN"/>
        </w:rPr>
        <w:t>的年度服务费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同时要求水质养护单位提交书面整改措施并及时有效落实。如未及时提交书面整改措施或未及时有效落实的，</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有权单方面提前解除后续合同</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在收到甲方终止合同通知之日起1个月内拆除已投入设备设施，逾期未拆除的由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自行处置。</w:t>
      </w:r>
    </w:p>
    <w:p>
      <w:pPr>
        <w:keepNext w:val="0"/>
        <w:keepLines w:val="0"/>
        <w:pageBreakBefore w:val="0"/>
        <w:widowControl/>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rPr>
        <w:t>河道年度内累计</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次</w:t>
      </w:r>
      <w:r>
        <w:rPr>
          <w:rFonts w:hint="eastAsia" w:ascii="宋体" w:hAnsi="宋体" w:eastAsia="宋体" w:cs="宋体"/>
          <w:color w:val="auto"/>
          <w:sz w:val="21"/>
          <w:szCs w:val="21"/>
          <w:highlight w:val="none"/>
          <w:lang w:val="en-US" w:eastAsia="zh-CN"/>
        </w:rPr>
        <w:t>月度</w:t>
      </w:r>
      <w:r>
        <w:rPr>
          <w:rFonts w:hint="eastAsia" w:ascii="宋体" w:hAnsi="宋体" w:eastAsia="宋体" w:cs="宋体"/>
          <w:color w:val="auto"/>
          <w:sz w:val="21"/>
          <w:szCs w:val="21"/>
          <w:highlight w:val="none"/>
        </w:rPr>
        <w:t>考核不合格的，提前解除后续</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合同</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在收到甲方终止合同通知之日起1个月内拆除已投入设备设施，逾期未拆除的由甲方自行处置。</w:t>
      </w:r>
    </w:p>
    <w:p>
      <w:pPr>
        <w:keepNext w:val="0"/>
        <w:keepLines w:val="0"/>
        <w:pageBreakBefore w:val="0"/>
        <w:widowControl/>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未能积极配合做好应急保障工作造成不良影响的，或养护河道被市级及以上有关部门发现问题并查明属实的，视情节严重性扣款。平时配合不到位的，扣款2000元/次；因配合不到位被督办的，扣款5000元/次，被本级媒体曝光的，扣款1万元/次；被宁波媒体曝光的，扣款5万元/次；被省级及以上媒体曝光的，扣款20万元/次，且合同终止，乙方在收到甲方终止合同通知之日起1个月内拆除已投入设备设施，逾期未拆除的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自行处置。</w:t>
      </w:r>
    </w:p>
    <w:p>
      <w:pPr>
        <w:keepNext w:val="0"/>
        <w:keepLines w:val="0"/>
        <w:pageBreakBefore w:val="0"/>
        <w:widowControl/>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乙方治理技术、治理方式造成不良影响的，负责做好解释工作并消除影响；不能消除影响的，甲方有权单方面终止服务合同，乙方在收到甲方终止合同通知之日起1个月内拆除已投入设备设施，逾期未拆除的由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自行处置。</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服务合同签订后在服务期内，因乙方原因，造成合同终止的，乙方在收到甲方终止合同通知之日起1个月内拆除已投入设备设施，逾期未拆除的由甲方自行处置，乙方应无条件服从。</w:t>
      </w:r>
    </w:p>
    <w:p>
      <w:pPr>
        <w:spacing w:line="360" w:lineRule="auto"/>
        <w:ind w:firstLine="420"/>
        <w:jc w:val="left"/>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Cs w:val="21"/>
          <w:highlight w:val="none"/>
        </w:rPr>
        <w:t>在履约期间，乙方不得以任何理由终止合同，如遇特殊情况时，应提前3个月向甲方书面提出申请，经甲方同意后方可终止，如无故终止或中止服务的，甲方将视乙方单方面违约，履约保证金不再退还。</w:t>
      </w:r>
    </w:p>
    <w:p>
      <w:pPr>
        <w:spacing w:line="360" w:lineRule="auto"/>
        <w:jc w:val="left"/>
        <w:rPr>
          <w:rFonts w:hint="default" w:ascii="Times New Roman" w:hAnsi="Times New Roman" w:eastAsia="宋体" w:cs="Times New Roman"/>
          <w:b/>
          <w:bCs/>
          <w:color w:val="auto"/>
          <w:sz w:val="24"/>
          <w:szCs w:val="24"/>
          <w:highlight w:val="none"/>
          <w:lang w:eastAsia="zh-CN"/>
        </w:rPr>
      </w:pPr>
      <w:r>
        <w:rPr>
          <w:rFonts w:hint="eastAsia" w:ascii="宋体" w:hAnsi="宋体" w:cs="宋体"/>
          <w:b/>
          <w:bCs/>
          <w:color w:val="auto"/>
          <w:szCs w:val="21"/>
          <w:highlight w:val="none"/>
        </w:rPr>
        <w:t>第</w:t>
      </w:r>
      <w:r>
        <w:rPr>
          <w:rFonts w:hint="eastAsia" w:ascii="宋体" w:hAnsi="宋体" w:cs="宋体"/>
          <w:b/>
          <w:bCs/>
          <w:color w:val="auto"/>
          <w:szCs w:val="21"/>
          <w:highlight w:val="none"/>
          <w:lang w:val="en-US" w:eastAsia="zh-CN"/>
        </w:rPr>
        <w:t>十二</w:t>
      </w:r>
      <w:r>
        <w:rPr>
          <w:rFonts w:hint="eastAsia" w:ascii="宋体" w:hAnsi="宋体" w:cs="宋体"/>
          <w:b/>
          <w:bCs/>
          <w:color w:val="auto"/>
          <w:szCs w:val="21"/>
          <w:highlight w:val="none"/>
        </w:rPr>
        <w:t>条</w:t>
      </w:r>
      <w:r>
        <w:rPr>
          <w:rFonts w:hint="eastAsia" w:ascii="宋体" w:hAnsi="宋体" w:cs="宋体"/>
          <w:b/>
          <w:bCs/>
          <w:color w:val="auto"/>
          <w:szCs w:val="21"/>
          <w:highlight w:val="none"/>
          <w:lang w:val="en-US" w:eastAsia="zh-CN"/>
        </w:rPr>
        <w:t xml:space="preserve">  </w:t>
      </w:r>
      <w:r>
        <w:rPr>
          <w:rFonts w:hint="default" w:ascii="Times New Roman" w:hAnsi="Times New Roman" w:eastAsia="宋体" w:cs="Times New Roman"/>
          <w:b/>
          <w:bCs/>
          <w:color w:val="auto"/>
          <w:sz w:val="24"/>
          <w:szCs w:val="24"/>
          <w:highlight w:val="none"/>
          <w:lang w:eastAsia="zh-CN"/>
        </w:rPr>
        <w:t>调试和验收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甲方须在乙方报请设备安装调试验收的五个工作日内，依据乙方投标文件上明确的设备技术规格要求和国家有关质量标准进行现场验收。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验收时乙方必须在现场，验收完毕后作出验收结果报告；验收相关费用由乙方负责。</w:t>
      </w:r>
    </w:p>
    <w:p>
      <w:pPr>
        <w:spacing w:line="360" w:lineRule="auto"/>
        <w:jc w:val="left"/>
        <w:rPr>
          <w:rFonts w:hint="default" w:ascii="Times New Roman" w:hAnsi="Times New Roman" w:eastAsia="宋体" w:cs="Times New Roman"/>
          <w:b/>
          <w:bCs/>
          <w:color w:val="auto"/>
          <w:sz w:val="24"/>
          <w:szCs w:val="24"/>
          <w:highlight w:val="none"/>
          <w:lang w:eastAsia="zh-CN"/>
        </w:rPr>
      </w:pPr>
      <w:r>
        <w:rPr>
          <w:rFonts w:hint="eastAsia" w:ascii="宋体" w:hAnsi="宋体" w:cs="宋体"/>
          <w:b/>
          <w:bCs/>
          <w:color w:val="auto"/>
          <w:szCs w:val="21"/>
          <w:highlight w:val="none"/>
        </w:rPr>
        <w:t>第</w:t>
      </w:r>
      <w:r>
        <w:rPr>
          <w:rFonts w:hint="eastAsia" w:ascii="宋体" w:hAnsi="宋体" w:cs="宋体"/>
          <w:b/>
          <w:bCs/>
          <w:color w:val="auto"/>
          <w:szCs w:val="21"/>
          <w:highlight w:val="none"/>
          <w:lang w:val="en-US" w:eastAsia="zh-CN"/>
        </w:rPr>
        <w:t>十三</w:t>
      </w:r>
      <w:r>
        <w:rPr>
          <w:rFonts w:hint="eastAsia" w:ascii="宋体" w:hAnsi="宋体" w:cs="宋体"/>
          <w:b/>
          <w:bCs/>
          <w:color w:val="auto"/>
          <w:szCs w:val="21"/>
          <w:highlight w:val="none"/>
        </w:rPr>
        <w:t>条</w:t>
      </w:r>
      <w:r>
        <w:rPr>
          <w:rFonts w:hint="eastAsia" w:ascii="宋体" w:hAnsi="宋体" w:cs="宋体"/>
          <w:b/>
          <w:bCs/>
          <w:color w:val="auto"/>
          <w:szCs w:val="21"/>
          <w:highlight w:val="none"/>
          <w:lang w:val="en-US" w:eastAsia="zh-CN"/>
        </w:rPr>
        <w:t xml:space="preserve">  </w:t>
      </w:r>
      <w:r>
        <w:rPr>
          <w:rFonts w:hint="default" w:ascii="Times New Roman" w:hAnsi="Times New Roman" w:eastAsia="宋体" w:cs="Times New Roman"/>
          <w:b/>
          <w:bCs/>
          <w:color w:val="auto"/>
          <w:sz w:val="24"/>
          <w:szCs w:val="24"/>
          <w:highlight w:val="none"/>
          <w:lang w:eastAsia="zh-CN"/>
        </w:rPr>
        <w:t>不可抗力事件处理</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w:t>
      </w:r>
      <w:r>
        <w:rPr>
          <w:rFonts w:ascii="宋体" w:hAnsi="宋体"/>
          <w:color w:val="auto"/>
          <w:sz w:val="21"/>
          <w:szCs w:val="21"/>
          <w:highlight w:val="none"/>
        </w:rPr>
        <w:t>不可抗力事件范围</w:t>
      </w:r>
    </w:p>
    <w:p>
      <w:pPr>
        <w:spacing w:line="400" w:lineRule="exact"/>
        <w:ind w:firstLine="420" w:firstLineChars="200"/>
        <w:rPr>
          <w:rFonts w:ascii="宋体" w:hAnsi="宋体"/>
          <w:color w:val="auto"/>
          <w:sz w:val="21"/>
          <w:szCs w:val="21"/>
          <w:highlight w:val="none"/>
        </w:rPr>
      </w:pPr>
      <w:r>
        <w:rPr>
          <w:rFonts w:ascii="宋体" w:hAnsi="宋体"/>
          <w:color w:val="auto"/>
          <w:sz w:val="21"/>
          <w:szCs w:val="21"/>
          <w:highlight w:val="none"/>
        </w:rPr>
        <w:t>不可抗力事件是指在</w:t>
      </w:r>
      <w:r>
        <w:rPr>
          <w:rFonts w:hint="eastAsia" w:ascii="宋体" w:hAnsi="宋体"/>
          <w:color w:val="auto"/>
          <w:sz w:val="21"/>
          <w:szCs w:val="21"/>
          <w:highlight w:val="none"/>
        </w:rPr>
        <w:t>合同</w:t>
      </w:r>
      <w:r>
        <w:rPr>
          <w:rFonts w:ascii="宋体" w:hAnsi="宋体"/>
          <w:color w:val="auto"/>
          <w:sz w:val="21"/>
          <w:szCs w:val="21"/>
          <w:highlight w:val="none"/>
        </w:rPr>
        <w:t>生效日时不能合理遇见的，并且声称遭受不可抗力影响的</w:t>
      </w:r>
      <w:r>
        <w:rPr>
          <w:rFonts w:hint="eastAsia" w:ascii="宋体" w:hAnsi="宋体"/>
          <w:color w:val="auto"/>
          <w:sz w:val="21"/>
          <w:szCs w:val="21"/>
          <w:highlight w:val="none"/>
          <w:lang w:val="en-US" w:eastAsia="zh-CN"/>
        </w:rPr>
        <w:t>项目公司</w:t>
      </w:r>
      <w:r>
        <w:rPr>
          <w:rFonts w:ascii="宋体" w:hAnsi="宋体"/>
          <w:color w:val="auto"/>
          <w:sz w:val="21"/>
          <w:szCs w:val="21"/>
          <w:highlight w:val="none"/>
        </w:rPr>
        <w:t>对该事件及其后果不能克服和不能避免，包括：</w:t>
      </w:r>
    </w:p>
    <w:p>
      <w:pPr>
        <w:spacing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（1）、</w:t>
      </w:r>
      <w:r>
        <w:rPr>
          <w:rFonts w:ascii="宋体" w:hAnsi="宋体"/>
          <w:color w:val="auto"/>
          <w:sz w:val="21"/>
          <w:szCs w:val="21"/>
          <w:highlight w:val="none"/>
        </w:rPr>
        <w:t>雷电、干旱、地震、火山爆发、滑坡、水灾、暴风雨、海啸、洪水、台风、龙卷风或任何其它天灾；</w:t>
      </w:r>
    </w:p>
    <w:p>
      <w:pPr>
        <w:spacing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大规模流行病、饥荒或瘟疫；</w:t>
      </w:r>
    </w:p>
    <w:p>
      <w:pPr>
        <w:spacing w:line="400" w:lineRule="exact"/>
        <w:ind w:firstLine="420" w:firstLineChars="200"/>
        <w:rPr>
          <w:rFonts w:ascii="宋体" w:hAnsi="宋体"/>
          <w:color w:val="auto"/>
          <w:sz w:val="21"/>
          <w:szCs w:val="21"/>
          <w:highlight w:val="none"/>
        </w:rPr>
      </w:pPr>
      <w:r>
        <w:rPr>
          <w:rFonts w:ascii="宋体" w:hAnsi="宋体"/>
          <w:color w:val="auto"/>
          <w:sz w:val="21"/>
          <w:szCs w:val="21"/>
          <w:highlight w:val="none"/>
        </w:rPr>
        <w:t>战争行为（无论是宣战的或未宣战的）、入侵、武装冲突或敌对行为、封锁、暴乱、恐怖行为或军事力量的使用；</w:t>
      </w:r>
    </w:p>
    <w:p>
      <w:pPr>
        <w:spacing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（4）</w:t>
      </w:r>
      <w:r>
        <w:rPr>
          <w:rFonts w:ascii="宋体" w:hAnsi="宋体"/>
          <w:color w:val="auto"/>
          <w:sz w:val="21"/>
          <w:szCs w:val="21"/>
          <w:highlight w:val="none"/>
        </w:rPr>
        <w:t>全国性、地区性或行业性罢工；</w:t>
      </w:r>
    </w:p>
    <w:p>
      <w:pPr>
        <w:spacing w:line="40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（5）</w:t>
      </w:r>
      <w:r>
        <w:rPr>
          <w:rFonts w:ascii="宋体" w:hAnsi="宋体"/>
          <w:color w:val="auto"/>
          <w:sz w:val="21"/>
          <w:szCs w:val="21"/>
          <w:highlight w:val="none"/>
        </w:rPr>
        <w:t>市级及以上任何政府部门对项目设施或其任何部分实行的征收、征用、国有化，包括混合所有制改革；</w:t>
      </w:r>
    </w:p>
    <w:p>
      <w:pPr>
        <w:spacing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（6）</w:t>
      </w:r>
      <w:r>
        <w:rPr>
          <w:rFonts w:ascii="宋体" w:hAnsi="宋体"/>
          <w:color w:val="auto"/>
          <w:sz w:val="21"/>
          <w:szCs w:val="21"/>
          <w:highlight w:val="none"/>
        </w:rPr>
        <w:t>重大法律变更。</w:t>
      </w:r>
    </w:p>
    <w:p>
      <w:pPr>
        <w:spacing w:line="40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不可抗力发生后的处理程序</w:t>
      </w:r>
    </w:p>
    <w:p>
      <w:pPr>
        <w:spacing w:line="400" w:lineRule="exact"/>
        <w:ind w:firstLine="420" w:firstLineChars="200"/>
        <w:rPr>
          <w:rFonts w:ascii="宋体" w:hAnsi="宋体"/>
          <w:color w:val="auto"/>
          <w:sz w:val="21"/>
          <w:szCs w:val="21"/>
          <w:highlight w:val="none"/>
        </w:rPr>
      </w:pPr>
      <w:r>
        <w:rPr>
          <w:rFonts w:ascii="宋体" w:hAnsi="宋体"/>
          <w:color w:val="auto"/>
          <w:sz w:val="21"/>
          <w:szCs w:val="21"/>
          <w:highlight w:val="none"/>
        </w:rPr>
        <w:t>（1）声称受到不可抗力影响的一方应在发生不可抗力或知道发生不可抗力之后及时书面通知另一方并详细描述不可抗力的发生情况和可能导致的后果，包括该不可抗力发生的时间和预计停止的时间，以及对该方履行在本</w:t>
      </w:r>
      <w:r>
        <w:rPr>
          <w:rFonts w:hint="eastAsia" w:ascii="宋体" w:hAnsi="宋体"/>
          <w:color w:val="auto"/>
          <w:sz w:val="21"/>
          <w:szCs w:val="21"/>
          <w:highlight w:val="none"/>
        </w:rPr>
        <w:t>项目</w:t>
      </w:r>
      <w:r>
        <w:rPr>
          <w:rFonts w:ascii="宋体" w:hAnsi="宋体"/>
          <w:color w:val="auto"/>
          <w:sz w:val="21"/>
          <w:szCs w:val="21"/>
          <w:highlight w:val="none"/>
        </w:rPr>
        <w:t>协议项下义务的影响，并在另一方合理要求时提供证明。</w:t>
      </w:r>
    </w:p>
    <w:p>
      <w:pPr>
        <w:keepNext w:val="0"/>
        <w:keepLines w:val="0"/>
        <w:pageBreakBefore w:val="0"/>
        <w:widowControl/>
        <w:kinsoku/>
        <w:wordWrap/>
        <w:overflowPunct/>
        <w:topLinePunct w:val="0"/>
        <w:autoSpaceDE/>
        <w:autoSpaceDN/>
        <w:bidi w:val="0"/>
        <w:adjustRightInd/>
        <w:snapToGrid/>
        <w:spacing w:line="400" w:lineRule="exact"/>
        <w:ind w:left="0" w:leftChars="0" w:firstLine="42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ascii="宋体" w:hAnsi="宋体"/>
          <w:color w:val="auto"/>
          <w:sz w:val="21"/>
          <w:szCs w:val="21"/>
          <w:highlight w:val="none"/>
        </w:rPr>
        <w:t>（2）发生不可抗力事件后，双方应本着诚信平等的原则，立即就此等不可抗力事件进行协商。</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第十</w:t>
      </w:r>
      <w:r>
        <w:rPr>
          <w:rFonts w:hint="eastAsia" w:ascii="宋体" w:hAnsi="宋体" w:cs="宋体"/>
          <w:b/>
          <w:bCs/>
          <w:color w:val="auto"/>
          <w:szCs w:val="21"/>
          <w:highlight w:val="none"/>
          <w:lang w:val="en-US" w:eastAsia="zh-CN"/>
        </w:rPr>
        <w:t>四</w:t>
      </w:r>
      <w:r>
        <w:rPr>
          <w:rFonts w:hint="eastAsia" w:ascii="宋体" w:hAnsi="宋体" w:cs="宋体"/>
          <w:b/>
          <w:bCs/>
          <w:color w:val="auto"/>
          <w:szCs w:val="21"/>
          <w:highlight w:val="none"/>
        </w:rPr>
        <w:t>条  争议的解决</w:t>
      </w:r>
    </w:p>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t>如本合同未详事宜，双方通过友好协商解决。如协商不成，任何一方有权在合同签约地选择诉讼等途径解决。</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第十</w:t>
      </w:r>
      <w:r>
        <w:rPr>
          <w:rFonts w:hint="eastAsia" w:ascii="宋体" w:hAnsi="宋体" w:cs="宋体"/>
          <w:b/>
          <w:bCs/>
          <w:color w:val="auto"/>
          <w:szCs w:val="21"/>
          <w:highlight w:val="none"/>
          <w:lang w:val="en-US" w:eastAsia="zh-CN"/>
        </w:rPr>
        <w:t>五</w:t>
      </w:r>
      <w:r>
        <w:rPr>
          <w:rFonts w:hint="eastAsia" w:ascii="宋体" w:hAnsi="宋体" w:cs="宋体"/>
          <w:b/>
          <w:bCs/>
          <w:color w:val="auto"/>
          <w:szCs w:val="21"/>
          <w:highlight w:val="none"/>
        </w:rPr>
        <w:t>条  合同的生效</w:t>
      </w:r>
    </w:p>
    <w:p>
      <w:pPr>
        <w:pStyle w:val="104"/>
        <w:ind w:firstLine="422"/>
        <w:rPr>
          <w:rFonts w:hint="eastAsia" w:ascii="宋体" w:hAnsi="宋体" w:cs="宋体"/>
          <w:b/>
          <w:bCs/>
          <w:color w:val="auto"/>
          <w:szCs w:val="21"/>
          <w:highlight w:val="none"/>
        </w:rPr>
      </w:pPr>
      <w:r>
        <w:rPr>
          <w:rFonts w:hint="eastAsia" w:ascii="宋体" w:hAnsi="宋体"/>
          <w:color w:val="auto"/>
          <w:sz w:val="21"/>
          <w:szCs w:val="21"/>
          <w:highlight w:val="none"/>
        </w:rPr>
        <w:t>本协议经甲乙双方法定代表人或其委托人签字并加盖双方公章后生效。</w:t>
      </w:r>
    </w:p>
    <w:p>
      <w:pPr>
        <w:pStyle w:val="104"/>
        <w:ind w:firstLine="422"/>
        <w:rPr>
          <w:rFonts w:hint="eastAsia" w:ascii="宋体" w:hAnsi="宋体" w:cs="宋体"/>
          <w:b/>
          <w:bCs/>
          <w:color w:val="auto"/>
          <w:szCs w:val="21"/>
          <w:highlight w:val="none"/>
        </w:rPr>
      </w:pPr>
      <w:r>
        <w:rPr>
          <w:rFonts w:hint="eastAsia" w:ascii="宋体" w:hAnsi="宋体" w:cs="宋体"/>
          <w:b/>
          <w:bCs/>
          <w:color w:val="auto"/>
          <w:szCs w:val="21"/>
          <w:highlight w:val="none"/>
        </w:rPr>
        <w:t>第十</w:t>
      </w:r>
      <w:r>
        <w:rPr>
          <w:rFonts w:hint="eastAsia" w:ascii="宋体" w:hAnsi="宋体" w:cs="宋体"/>
          <w:b/>
          <w:bCs/>
          <w:color w:val="auto"/>
          <w:szCs w:val="21"/>
          <w:highlight w:val="none"/>
          <w:lang w:val="en-US" w:eastAsia="zh-CN"/>
        </w:rPr>
        <w:t>六</w:t>
      </w:r>
      <w:r>
        <w:rPr>
          <w:rFonts w:hint="eastAsia" w:ascii="宋体" w:hAnsi="宋体" w:cs="宋体"/>
          <w:b/>
          <w:bCs/>
          <w:color w:val="auto"/>
          <w:szCs w:val="21"/>
          <w:highlight w:val="none"/>
        </w:rPr>
        <w:t>条  合同份数</w:t>
      </w:r>
    </w:p>
    <w:p>
      <w:pPr>
        <w:pStyle w:val="104"/>
        <w:ind w:firstLine="420"/>
        <w:rPr>
          <w:rFonts w:hint="eastAsia" w:ascii="宋体" w:hAnsi="宋体"/>
          <w:color w:val="auto"/>
          <w:highlight w:val="none"/>
        </w:rPr>
      </w:pPr>
      <w:r>
        <w:rPr>
          <w:rFonts w:hint="eastAsia" w:ascii="宋体" w:hAnsi="宋体" w:cs="宋体"/>
          <w:color w:val="auto"/>
          <w:szCs w:val="21"/>
          <w:highlight w:val="none"/>
        </w:rPr>
        <w:t>本合同一式</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份，甲乙双方各执二份，采购代理机构存一份，均具有同等的法律效力。</w:t>
      </w:r>
    </w:p>
    <w:p>
      <w:pPr>
        <w:pStyle w:val="104"/>
        <w:ind w:firstLine="420"/>
        <w:rPr>
          <w:rFonts w:hint="eastAsia" w:ascii="宋体" w:hAnsi="宋体"/>
          <w:color w:val="auto"/>
          <w:highlight w:val="none"/>
        </w:rPr>
      </w:pPr>
    </w:p>
    <w:tbl>
      <w:tblPr>
        <w:tblStyle w:val="44"/>
        <w:tblW w:w="0" w:type="auto"/>
        <w:tblInd w:w="0" w:type="dxa"/>
        <w:tblLayout w:type="fixed"/>
        <w:tblCellMar>
          <w:top w:w="0" w:type="dxa"/>
          <w:left w:w="108" w:type="dxa"/>
          <w:bottom w:w="0" w:type="dxa"/>
          <w:right w:w="108" w:type="dxa"/>
        </w:tblCellMar>
      </w:tblPr>
      <w:tblGrid>
        <w:gridCol w:w="1272"/>
        <w:gridCol w:w="3372"/>
        <w:gridCol w:w="1295"/>
        <w:gridCol w:w="3350"/>
      </w:tblGrid>
      <w:tr>
        <w:tblPrEx>
          <w:tblCellMar>
            <w:top w:w="0" w:type="dxa"/>
            <w:left w:w="108" w:type="dxa"/>
            <w:bottom w:w="0" w:type="dxa"/>
            <w:right w:w="108" w:type="dxa"/>
          </w:tblCellMar>
        </w:tblPrEx>
        <w:trPr>
          <w:trHeight w:val="480"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甲  方</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（盖章）</w:t>
            </w: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乙  方</w:t>
            </w:r>
          </w:p>
        </w:tc>
        <w:tc>
          <w:tcPr>
            <w:tcW w:w="33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（盖章）</w:t>
            </w:r>
          </w:p>
        </w:tc>
      </w:tr>
      <w:tr>
        <w:tblPrEx>
          <w:tblCellMar>
            <w:top w:w="0" w:type="dxa"/>
            <w:left w:w="108" w:type="dxa"/>
            <w:bottom w:w="0" w:type="dxa"/>
            <w:right w:w="108" w:type="dxa"/>
          </w:tblCellMar>
        </w:tblPrEx>
        <w:trPr>
          <w:trHeight w:val="30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3372"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（签字）</w:t>
            </w: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3350"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（签字）</w:t>
            </w:r>
          </w:p>
        </w:tc>
      </w:tr>
      <w:tr>
        <w:tblPrEx>
          <w:tblCellMar>
            <w:top w:w="0" w:type="dxa"/>
            <w:left w:w="108" w:type="dxa"/>
            <w:bottom w:w="0" w:type="dxa"/>
            <w:right w:w="108" w:type="dxa"/>
          </w:tblCellMar>
        </w:tblPrEx>
        <w:trPr>
          <w:trHeight w:val="24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或受代表人</w:t>
            </w:r>
          </w:p>
        </w:tc>
        <w:tc>
          <w:tcPr>
            <w:tcW w:w="3372"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或受代表人</w:t>
            </w:r>
          </w:p>
        </w:tc>
        <w:tc>
          <w:tcPr>
            <w:tcW w:w="3350" w:type="dxa"/>
            <w:vMerge w:val="continue"/>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地  址：</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地  址：</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电  话：</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电  话：</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开户银行：</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开户银行：</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帐  号：</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帐  号：</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475" w:hRule="atLeast"/>
        </w:trPr>
        <w:tc>
          <w:tcPr>
            <w:tcW w:w="9289" w:type="dxa"/>
            <w:gridSpan w:val="4"/>
            <w:noWrap w:val="0"/>
            <w:vAlign w:val="center"/>
          </w:tcPr>
          <w:p>
            <w:pPr>
              <w:keepNext w:val="0"/>
              <w:keepLines w:val="0"/>
              <w:suppressLineNumbers w:val="0"/>
              <w:adjustRightInd w:val="0"/>
              <w:snapToGrid w:val="0"/>
              <w:spacing w:before="0" w:beforeAutospacing="0" w:after="0" w:afterAutospacing="0"/>
              <w:ind w:left="0" w:right="0" w:firstLine="0" w:firstLineChars="0"/>
              <w:jc w:val="right"/>
              <w:rPr>
                <w:rFonts w:hint="eastAsia" w:ascii="宋体" w:hAnsi="宋体" w:cs="宋体"/>
                <w:color w:val="auto"/>
                <w:szCs w:val="21"/>
                <w:highlight w:val="none"/>
              </w:rPr>
            </w:pPr>
            <w:r>
              <w:rPr>
                <w:rFonts w:hint="eastAsia" w:ascii="宋体" w:hAnsi="宋体" w:cs="宋体"/>
                <w:bCs/>
                <w:color w:val="auto"/>
                <w:szCs w:val="21"/>
                <w:highlight w:val="none"/>
              </w:rPr>
              <w:t>签约时间：20</w:t>
            </w:r>
            <w:r>
              <w:rPr>
                <w:rFonts w:hint="eastAsia" w:ascii="宋体" w:hAnsi="宋体" w:cs="宋体"/>
                <w:bCs/>
                <w:color w:val="auto"/>
                <w:szCs w:val="21"/>
                <w:highlight w:val="none"/>
                <w:lang w:val="en-US" w:eastAsia="zh-CN"/>
              </w:rPr>
              <w:t>21</w:t>
            </w:r>
            <w:r>
              <w:rPr>
                <w:rFonts w:hint="eastAsia" w:ascii="宋体" w:hAnsi="宋体" w:cs="宋体"/>
                <w:bCs/>
                <w:color w:val="auto"/>
                <w:szCs w:val="21"/>
                <w:highlight w:val="none"/>
              </w:rPr>
              <w:t>年    月    日</w:t>
            </w:r>
          </w:p>
          <w:p>
            <w:pPr>
              <w:keepNext w:val="0"/>
              <w:keepLines w:val="0"/>
              <w:suppressLineNumbers w:val="0"/>
              <w:adjustRightInd w:val="0"/>
              <w:snapToGrid w:val="0"/>
              <w:spacing w:before="0" w:beforeAutospacing="0" w:after="0" w:afterAutospacing="0"/>
              <w:ind w:left="0" w:right="0" w:firstLine="0" w:firstLineChars="0"/>
              <w:jc w:val="right"/>
              <w:rPr>
                <w:rFonts w:hint="eastAsia" w:ascii="宋体" w:hAnsi="宋体" w:eastAsia="宋体" w:cs="宋体"/>
                <w:color w:val="auto"/>
                <w:szCs w:val="21"/>
                <w:highlight w:val="none"/>
                <w:lang w:eastAsia="zh-CN"/>
              </w:rPr>
            </w:pPr>
            <w:r>
              <w:rPr>
                <w:rFonts w:hint="eastAsia" w:ascii="宋体" w:hAnsi="宋体" w:cs="宋体"/>
                <w:bCs/>
                <w:color w:val="auto"/>
                <w:szCs w:val="21"/>
                <w:highlight w:val="none"/>
              </w:rPr>
              <w:t>签约地点：</w:t>
            </w:r>
            <w:r>
              <w:rPr>
                <w:rFonts w:hint="eastAsia" w:ascii="宋体" w:hAnsi="宋体" w:cs="宋体"/>
                <w:bCs/>
                <w:color w:val="auto"/>
                <w:szCs w:val="21"/>
                <w:highlight w:val="none"/>
                <w:lang w:eastAsia="zh-CN"/>
              </w:rPr>
              <w:t>慈溪市横河镇人民政府</w:t>
            </w:r>
          </w:p>
        </w:tc>
      </w:tr>
    </w:tbl>
    <w:p>
      <w:pPr>
        <w:pStyle w:val="23"/>
        <w:adjustRightInd w:val="0"/>
        <w:snapToGrid w:val="0"/>
        <w:spacing w:before="0" w:beforeAutospacing="0" w:after="0" w:afterAutospacing="0"/>
        <w:ind w:firstLine="420"/>
        <w:rPr>
          <w:rFonts w:hint="eastAsia"/>
          <w:color w:val="auto"/>
          <w:spacing w:val="-16"/>
          <w:sz w:val="21"/>
          <w:szCs w:val="21"/>
          <w:highlight w:val="none"/>
        </w:rPr>
      </w:pPr>
    </w:p>
    <w:p>
      <w:pPr>
        <w:rPr>
          <w:rFonts w:hint="eastAsia" w:ascii="宋体" w:hAnsi="宋体" w:cs="宋体"/>
          <w:color w:val="auto"/>
          <w:sz w:val="36"/>
          <w:szCs w:val="36"/>
          <w:highlight w:val="none"/>
        </w:rPr>
      </w:pPr>
      <w:r>
        <w:rPr>
          <w:rFonts w:hint="eastAsia" w:ascii="宋体" w:hAnsi="宋体" w:cs="宋体"/>
          <w:color w:val="auto"/>
          <w:sz w:val="36"/>
          <w:szCs w:val="36"/>
          <w:highlight w:val="none"/>
        </w:rPr>
        <w:br w:type="page"/>
      </w:r>
    </w:p>
    <w:p>
      <w:pPr>
        <w:pStyle w:val="5"/>
        <w:keepLines/>
        <w:numPr>
          <w:ilvl w:val="0"/>
          <w:numId w:val="9"/>
        </w:numPr>
        <w:spacing w:before="120" w:after="330" w:line="360" w:lineRule="auto"/>
        <w:rPr>
          <w:rFonts w:hint="eastAsia" w:ascii="宋体" w:hAnsi="宋体" w:cs="宋体"/>
          <w:color w:val="auto"/>
          <w:sz w:val="36"/>
          <w:szCs w:val="36"/>
          <w:highlight w:val="none"/>
        </w:rPr>
      </w:pPr>
      <w:r>
        <w:rPr>
          <w:rFonts w:hint="eastAsia" w:ascii="宋体" w:hAnsi="宋体" w:cs="宋体"/>
          <w:color w:val="auto"/>
          <w:sz w:val="36"/>
          <w:szCs w:val="36"/>
          <w:highlight w:val="none"/>
        </w:rPr>
        <w:t>采购项目需求</w:t>
      </w:r>
      <w:bookmarkEnd w:id="73"/>
    </w:p>
    <w:p>
      <w:pPr>
        <w:spacing w:line="360" w:lineRule="auto"/>
        <w:jc w:val="center"/>
        <w:rPr>
          <w:rFonts w:hint="default"/>
          <w:b/>
          <w:bCs/>
          <w:color w:val="auto"/>
          <w:sz w:val="28"/>
          <w:szCs w:val="24"/>
          <w:highlight w:val="none"/>
          <w:lang w:val="en-US"/>
        </w:rPr>
      </w:pPr>
      <w:bookmarkStart w:id="74" w:name="_Toc474353926"/>
      <w:bookmarkStart w:id="75" w:name="_Toc19294"/>
      <w:bookmarkStart w:id="76" w:name="_Toc24604"/>
      <w:bookmarkStart w:id="77" w:name="_Toc10392"/>
      <w:bookmarkStart w:id="78" w:name="_Toc481694384"/>
      <w:bookmarkStart w:id="79" w:name="_Toc15238"/>
      <w:bookmarkStart w:id="80" w:name="_Toc5663"/>
      <w:bookmarkStart w:id="81" w:name="_Toc471062586"/>
      <w:bookmarkStart w:id="82" w:name="_Toc529806703"/>
      <w:bookmarkStart w:id="83" w:name="_Toc346528673"/>
      <w:bookmarkStart w:id="84" w:name="_Toc1840"/>
      <w:bookmarkStart w:id="85" w:name="_Toc346528169"/>
      <w:bookmarkStart w:id="86" w:name="_Toc346528235"/>
      <w:bookmarkStart w:id="87" w:name="_Toc1047"/>
      <w:r>
        <w:rPr>
          <w:rFonts w:hint="eastAsia"/>
          <w:b/>
          <w:bCs/>
          <w:color w:val="auto"/>
          <w:sz w:val="28"/>
          <w:szCs w:val="24"/>
          <w:highlight w:val="none"/>
          <w:lang w:val="en-US" w:eastAsia="zh-CN"/>
        </w:rPr>
        <w:t xml:space="preserve">一 、 </w:t>
      </w:r>
      <w:r>
        <w:rPr>
          <w:rFonts w:hint="default"/>
          <w:b/>
          <w:bCs/>
          <w:color w:val="auto"/>
          <w:sz w:val="28"/>
          <w:szCs w:val="24"/>
          <w:highlight w:val="none"/>
          <w:lang w:val="en-US" w:eastAsia="zh-CN"/>
        </w:rPr>
        <w:t>项目背景</w:t>
      </w:r>
    </w:p>
    <w:p>
      <w:pPr>
        <w:pStyle w:val="15"/>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浙江省委“五水共治”要求，将水环境整治与自然景观、人文景观、新农村建设结合起来，挖掘和营造有地方特色的水生态和水文化，打造“浙江水乡”，促进“美丽乡村”建设。宁波市全面启动水环境综合治理要求，努力实现“水质量提高、水循环畅通、水安全保障、水生态良好、水景观优美、水文明彰显”的整治目标。为进一步推进生态文明建设要求，加快生态市建设步伐，切实改善横河镇河道水体生态环境质量，促进河道断面水环境质量改善。本项目是响应省、市“五水共治”、“河湖整治”号召，是改善城区河道水环境，提升居民生活环境，实现“水清、流畅、岸绿、景美”总体目标的必要措施，通过多方努力，目前工程实施的外部条件已经具备，项目实施后</w:t>
      </w:r>
      <w:r>
        <w:rPr>
          <w:rFonts w:hint="default" w:ascii="Times New Roman" w:hAnsi="Times New Roman"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lang w:val="en-US" w:eastAsia="zh-CN"/>
        </w:rPr>
        <w:t>对横河镇辖区河道环境提升将起到重要作用，极大地提高沿线居民的生活环境质量，增加居民幸福感。</w:t>
      </w:r>
    </w:p>
    <w:p>
      <w:pPr>
        <w:spacing w:line="360" w:lineRule="auto"/>
        <w:jc w:val="center"/>
        <w:rPr>
          <w:rFonts w:hint="default" w:ascii="Times New Roman" w:hAnsi="Times New Roman" w:eastAsia="宋体" w:cs="Times New Roman"/>
          <w:b/>
          <w:bCs/>
          <w:color w:val="auto"/>
          <w:sz w:val="28"/>
          <w:szCs w:val="24"/>
          <w:highlight w:val="none"/>
          <w:lang w:val="en-US" w:eastAsia="zh-CN"/>
        </w:rPr>
      </w:pPr>
      <w:r>
        <w:rPr>
          <w:rFonts w:hint="eastAsia"/>
          <w:b/>
          <w:bCs/>
          <w:color w:val="auto"/>
          <w:sz w:val="28"/>
          <w:szCs w:val="24"/>
          <w:highlight w:val="none"/>
          <w:lang w:val="en-US" w:eastAsia="zh-CN"/>
        </w:rPr>
        <w:t>二 、</w:t>
      </w:r>
      <w:r>
        <w:rPr>
          <w:rFonts w:hint="default"/>
          <w:b/>
          <w:bCs/>
          <w:color w:val="auto"/>
          <w:sz w:val="28"/>
          <w:szCs w:val="24"/>
          <w:highlight w:val="none"/>
          <w:lang w:val="en-US" w:eastAsia="zh-CN"/>
        </w:rPr>
        <w:t>项目概况</w:t>
      </w:r>
    </w:p>
    <w:p>
      <w:pPr>
        <w:rPr>
          <w:rFonts w:hint="default" w:ascii="Times New Roman" w:hAnsi="Times New Roman" w:cs="Times New Roman"/>
          <w:b/>
          <w:bCs/>
          <w:color w:val="auto"/>
          <w:sz w:val="24"/>
          <w:szCs w:val="22"/>
          <w:highlight w:val="none"/>
          <w:lang w:val="en-US" w:eastAsia="zh-CN"/>
        </w:rPr>
      </w:pPr>
      <w:r>
        <w:rPr>
          <w:rFonts w:hint="eastAsia"/>
          <w:b/>
          <w:bCs/>
          <w:color w:val="auto"/>
          <w:sz w:val="24"/>
          <w:szCs w:val="22"/>
          <w:highlight w:val="none"/>
          <w:lang w:val="en-US" w:eastAsia="zh-CN"/>
        </w:rPr>
        <w:t>（一）、</w:t>
      </w:r>
      <w:r>
        <w:rPr>
          <w:rFonts w:hint="default"/>
          <w:b/>
          <w:bCs/>
          <w:color w:val="auto"/>
          <w:sz w:val="24"/>
          <w:szCs w:val="22"/>
          <w:highlight w:val="none"/>
          <w:lang w:val="en-US" w:eastAsia="zh-CN"/>
        </w:rPr>
        <w:t>项目基本情况</w:t>
      </w:r>
    </w:p>
    <w:p>
      <w:pPr>
        <w:pStyle w:val="15"/>
        <w:bidi w:val="0"/>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项目服务</w:t>
      </w:r>
      <w:r>
        <w:rPr>
          <w:rFonts w:hint="default" w:ascii="Times New Roman" w:hAnsi="Times New Roman" w:eastAsia="宋体" w:cs="Times New Roman"/>
          <w:color w:val="auto"/>
          <w:sz w:val="24"/>
          <w:szCs w:val="24"/>
          <w:highlight w:val="none"/>
          <w:lang w:val="en-US" w:eastAsia="zh-CN"/>
        </w:rPr>
        <w:t>处理对象为东横江河道水体断面</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拟通过上游及支流闸口控制，减少上游和支流补水水质不稳定的影响，采用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设备</w:t>
      </w:r>
      <w:r>
        <w:rPr>
          <w:rFonts w:hint="eastAsia" w:ascii="Times New Roman" w:hAnsi="Times New Roman" w:eastAsia="宋体" w:cs="Times New Roman"/>
          <w:color w:val="auto"/>
          <w:sz w:val="24"/>
          <w:szCs w:val="24"/>
          <w:highlight w:val="none"/>
          <w:lang w:val="en-US" w:eastAsia="zh-CN"/>
        </w:rPr>
        <w:t>旁路净化</w:t>
      </w:r>
      <w:r>
        <w:rPr>
          <w:rFonts w:hint="default" w:ascii="Times New Roman" w:hAnsi="Times New Roman" w:eastAsia="宋体" w:cs="Times New Roman"/>
          <w:color w:val="auto"/>
          <w:sz w:val="24"/>
          <w:szCs w:val="24"/>
          <w:highlight w:val="none"/>
          <w:lang w:val="en-US" w:eastAsia="zh-CN"/>
        </w:rPr>
        <w:t>+内循环</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综合治理措施，其中：东横江治理范围南起高铁线南侧250米处，北至</w:t>
      </w:r>
      <w:r>
        <w:rPr>
          <w:rFonts w:hint="eastAsia" w:cs="Times New Roman"/>
          <w:color w:val="auto"/>
          <w:sz w:val="24"/>
          <w:szCs w:val="24"/>
          <w:highlight w:val="none"/>
          <w:lang w:val="en-US" w:eastAsia="zh-CN"/>
        </w:rPr>
        <w:t>石堰闸口</w:t>
      </w:r>
      <w:r>
        <w:rPr>
          <w:rFonts w:hint="default" w:ascii="Times New Roman" w:hAnsi="Times New Roman" w:eastAsia="宋体" w:cs="Times New Roman"/>
          <w:color w:val="auto"/>
          <w:sz w:val="24"/>
          <w:szCs w:val="24"/>
          <w:highlight w:val="none"/>
          <w:lang w:val="en-US" w:eastAsia="zh-CN"/>
        </w:rPr>
        <w:t>，全长约</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公里，平均河道宽30-40米之间，水深2-3米，水域面积约</w:t>
      </w:r>
      <w:r>
        <w:rPr>
          <w:rFonts w:hint="eastAsia" w:cs="Times New Roman"/>
          <w:color w:val="auto"/>
          <w:sz w:val="24"/>
          <w:szCs w:val="24"/>
          <w:highlight w:val="none"/>
          <w:lang w:val="en-US" w:eastAsia="zh-CN"/>
        </w:rPr>
        <w:t>105000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baseline"/>
          <w:lang w:val="en-US" w:eastAsia="zh-CN"/>
        </w:rPr>
        <w:t>2</w:t>
      </w:r>
      <w:r>
        <w:rPr>
          <w:rFonts w:hint="default" w:ascii="Times New Roman" w:hAnsi="Times New Roman" w:eastAsia="宋体" w:cs="Times New Roman"/>
          <w:color w:val="auto"/>
          <w:sz w:val="24"/>
          <w:szCs w:val="24"/>
          <w:highlight w:val="none"/>
          <w:lang w:val="en-US" w:eastAsia="zh-CN"/>
        </w:rPr>
        <w:t>，水量约</w:t>
      </w:r>
      <w:r>
        <w:rPr>
          <w:rFonts w:hint="eastAsia" w:cs="Times New Roman"/>
          <w:color w:val="auto"/>
          <w:sz w:val="24"/>
          <w:szCs w:val="24"/>
          <w:highlight w:val="none"/>
          <w:lang w:val="en-US" w:eastAsia="zh-CN"/>
        </w:rPr>
        <w:t>262500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baseline"/>
          <w:lang w:val="en-US" w:eastAsia="zh-CN"/>
        </w:rPr>
        <w:t>3</w:t>
      </w:r>
      <w:r>
        <w:rPr>
          <w:rFonts w:hint="default" w:ascii="Times New Roman" w:hAnsi="Times New Roman" w:eastAsia="宋体" w:cs="Times New Roman"/>
          <w:color w:val="auto"/>
          <w:sz w:val="24"/>
          <w:szCs w:val="24"/>
          <w:highlight w:val="none"/>
          <w:lang w:val="en-US" w:eastAsia="zh-CN"/>
        </w:rPr>
        <w:t>。</w:t>
      </w:r>
    </w:p>
    <w:p>
      <w:pPr>
        <w:pStyle w:val="15"/>
        <w:wordWrap w:val="0"/>
        <w:spacing w:line="360" w:lineRule="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南大江是东横江监测断面附近最大的支流；其水质情况会影响到检测断面的水质；南大江全长5.5km，河道起点秦湖江，终点陈山闸，最后汇入东横江。河面宽度8-25m，水域面积99000m</w:t>
      </w:r>
      <w:r>
        <w:rPr>
          <w:rFonts w:hint="default" w:ascii="Times New Roman" w:hAnsi="Times New Roman" w:eastAsia="宋体" w:cs="Times New Roman"/>
          <w:color w:val="auto"/>
          <w:kern w:val="2"/>
          <w:sz w:val="24"/>
          <w:szCs w:val="24"/>
          <w:highlight w:val="none"/>
          <w:vertAlign w:val="baseli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，水深1.6-2m，总水量约178200m</w:t>
      </w:r>
      <w:r>
        <w:rPr>
          <w:rFonts w:hint="default" w:ascii="Times New Roman" w:hAnsi="Times New Roman" w:eastAsia="宋体" w:cs="Times New Roman"/>
          <w:color w:val="auto"/>
          <w:kern w:val="2"/>
          <w:sz w:val="24"/>
          <w:szCs w:val="24"/>
          <w:highlight w:val="none"/>
          <w:vertAlign w:val="baseline"/>
          <w:lang w:val="en-US" w:eastAsia="zh-CN" w:bidi="ar-SA"/>
        </w:rPr>
        <w:t>3。</w:t>
      </w:r>
    </w:p>
    <w:p>
      <w:pPr>
        <w:pStyle w:val="15"/>
        <w:wordWrap w:val="0"/>
        <w:spacing w:line="360" w:lineRule="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本项目拟通过上游及支流闸口控制，减少上游和支流补水水质不稳定的影响，采用“设备+内循环”综合治理措施，由于南大江是东横江监测断面附近最大的支流；故在南大江汇入点上游1.9km处（位置详见图</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设置一套10000吨/天及以上的一体化设备，就地高标准活水补水，设备出水水质指标达到《地表水环境质量标准》GB3838-2002中的Ⅲ类标准（CODMn≤6.0mg/L，NH3-N≤1.0mg/L，TP≤0.2mg/L，pH:6-9），快速高效解决水环境污染问题，处理后的高标准水体通过南大江汇入东横江，使东横江断面的月平均监测指标达到《地表水环境质量标准》GB3838-2002中的Ⅲ类标准（CODMn≤6.0mg/L，NH3-N≤1.0mg/L，TP≤0.2mg/L，pH:6-9）。</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河道位置如下图所示：</w:t>
      </w:r>
    </w:p>
    <w:p>
      <w:pPr>
        <w:pStyle w:val="3"/>
        <w:ind w:left="0" w:leftChars="0" w:firstLine="0" w:firstLineChars="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5268595" cy="5161280"/>
            <wp:effectExtent l="0" t="0" r="1905" b="7620"/>
            <wp:docPr id="8" name="图片 9" descr="d228882138c19312c4a4b8eebff0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228882138c19312c4a4b8eebff06c6"/>
                    <pic:cNvPicPr>
                      <a:picLocks noChangeAspect="1"/>
                    </pic:cNvPicPr>
                  </pic:nvPicPr>
                  <pic:blipFill>
                    <a:blip r:embed="rId17"/>
                    <a:stretch>
                      <a:fillRect/>
                    </a:stretch>
                  </pic:blipFill>
                  <pic:spPr>
                    <a:xfrm>
                      <a:off x="0" y="0"/>
                      <a:ext cx="5268595" cy="5161280"/>
                    </a:xfrm>
                    <a:prstGeom prst="rect">
                      <a:avLst/>
                    </a:prstGeom>
                    <a:noFill/>
                    <a:ln>
                      <a:noFill/>
                    </a:ln>
                  </pic:spPr>
                </pic:pic>
              </a:graphicData>
            </a:graphic>
          </wp:inline>
        </w:drawing>
      </w:r>
    </w:p>
    <w:p>
      <w:pPr>
        <w:pStyle w:val="3"/>
        <w:jc w:val="center"/>
        <w:rPr>
          <w:rFonts w:hint="default" w:ascii="Times New Roman" w:hAnsi="Times New Roman" w:eastAsia="宋体" w:cs="Times New Roman"/>
          <w:i w:val="0"/>
          <w:iCs/>
          <w:color w:val="auto"/>
          <w:sz w:val="24"/>
          <w:szCs w:val="24"/>
          <w:highlight w:val="none"/>
          <w:lang w:val="en-US" w:eastAsia="zh-CN"/>
        </w:rPr>
      </w:pPr>
      <w:r>
        <w:rPr>
          <w:rFonts w:hint="eastAsia" w:ascii="Times New Roman" w:hAnsi="Times New Roman" w:cs="Times New Roman"/>
          <w:i w:val="0"/>
          <w:iCs/>
          <w:color w:val="auto"/>
          <w:sz w:val="24"/>
          <w:szCs w:val="24"/>
          <w:highlight w:val="none"/>
          <w:lang w:val="en-US" w:eastAsia="zh-CN"/>
        </w:rPr>
        <w:t xml:space="preserve">图1 </w:t>
      </w:r>
      <w:r>
        <w:rPr>
          <w:rFonts w:hint="default" w:ascii="Times New Roman" w:hAnsi="Times New Roman" w:eastAsia="宋体" w:cs="Times New Roman"/>
          <w:i w:val="0"/>
          <w:iCs/>
          <w:color w:val="auto"/>
          <w:sz w:val="24"/>
          <w:szCs w:val="24"/>
          <w:highlight w:val="none"/>
          <w:lang w:val="en-US" w:eastAsia="zh-CN"/>
        </w:rPr>
        <w:t>慈溪市</w:t>
      </w:r>
      <w:r>
        <w:rPr>
          <w:rFonts w:hint="eastAsia" w:ascii="Times New Roman" w:hAnsi="Times New Roman" w:eastAsia="宋体" w:cs="Times New Roman"/>
          <w:i w:val="0"/>
          <w:iCs/>
          <w:color w:val="auto"/>
          <w:sz w:val="24"/>
          <w:szCs w:val="24"/>
          <w:highlight w:val="none"/>
          <w:lang w:val="en-US" w:eastAsia="zh-CN"/>
        </w:rPr>
        <w:t>横河镇东横</w:t>
      </w:r>
      <w:r>
        <w:rPr>
          <w:rFonts w:hint="default" w:ascii="Times New Roman" w:hAnsi="Times New Roman" w:eastAsia="宋体" w:cs="Times New Roman"/>
          <w:i w:val="0"/>
          <w:iCs/>
          <w:color w:val="auto"/>
          <w:sz w:val="24"/>
          <w:szCs w:val="24"/>
          <w:highlight w:val="none"/>
          <w:lang w:val="en-US" w:eastAsia="zh-CN"/>
        </w:rPr>
        <w:t>江河道卫星地图</w:t>
      </w:r>
    </w:p>
    <w:p>
      <w:pPr>
        <w:rPr>
          <w:rFonts w:hint="default" w:ascii="Times New Roman" w:hAnsi="Times New Roman" w:eastAsia="宋体" w:cs="Times New Roman"/>
          <w:b/>
          <w:bCs/>
          <w:color w:val="auto"/>
          <w:sz w:val="24"/>
          <w:szCs w:val="22"/>
          <w:highlight w:val="none"/>
          <w:lang w:val="en-US" w:eastAsia="zh-CN"/>
        </w:rPr>
      </w:pPr>
      <w:r>
        <w:rPr>
          <w:rFonts w:hint="default"/>
          <w:b/>
          <w:bCs/>
          <w:color w:val="auto"/>
          <w:sz w:val="24"/>
          <w:szCs w:val="22"/>
          <w:highlight w:val="none"/>
          <w:lang w:val="en-US" w:eastAsia="zh-CN"/>
        </w:rPr>
        <w:br w:type="page"/>
      </w:r>
      <w:r>
        <w:rPr>
          <w:rFonts w:hint="eastAsia"/>
          <w:b/>
          <w:bCs/>
          <w:color w:val="auto"/>
          <w:sz w:val="24"/>
          <w:szCs w:val="22"/>
          <w:highlight w:val="none"/>
          <w:lang w:val="en-US" w:eastAsia="zh-CN"/>
        </w:rPr>
        <w:t>（二）、</w:t>
      </w:r>
      <w:r>
        <w:rPr>
          <w:rFonts w:hint="default"/>
          <w:b/>
          <w:bCs/>
          <w:color w:val="auto"/>
          <w:sz w:val="24"/>
          <w:szCs w:val="22"/>
          <w:highlight w:val="none"/>
          <w:lang w:val="en-US" w:eastAsia="zh-CN"/>
        </w:rPr>
        <w:t>项目现场照片</w:t>
      </w:r>
    </w:p>
    <w:p>
      <w:pPr>
        <w:pStyle w:val="3"/>
        <w:ind w:left="0" w:leftChars="0" w:firstLine="0" w:firstLineChars="0"/>
        <w:jc w:val="center"/>
        <w:rPr>
          <w:rFonts w:hint="default" w:ascii="宋体" w:hAnsi="宋体" w:cs="宋体"/>
          <w:color w:val="auto"/>
          <w:kern w:val="2"/>
          <w:sz w:val="24"/>
          <w:szCs w:val="24"/>
          <w:highlight w:val="none"/>
          <w:vertAlign w:val="baseline"/>
          <w:lang w:val="en-US" w:eastAsia="zh-CN" w:bidi="ar-SA"/>
        </w:rPr>
      </w:pPr>
      <w:r>
        <w:rPr>
          <w:rFonts w:hint="default" w:ascii="宋体" w:hAnsi="宋体" w:cs="宋体"/>
          <w:color w:val="auto"/>
          <w:kern w:val="2"/>
          <w:sz w:val="24"/>
          <w:szCs w:val="24"/>
          <w:highlight w:val="none"/>
          <w:vertAlign w:val="baseline"/>
          <w:lang w:val="en-US" w:eastAsia="zh-CN" w:bidi="ar-SA"/>
        </w:rPr>
        <w:drawing>
          <wp:inline distT="0" distB="0" distL="114300" distR="114300">
            <wp:extent cx="2520315" cy="3361055"/>
            <wp:effectExtent l="0" t="0" r="6985" b="4445"/>
            <wp:docPr id="1"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B"/>
                    <pic:cNvPicPr>
                      <a:picLocks noChangeAspect="1"/>
                    </pic:cNvPicPr>
                  </pic:nvPicPr>
                  <pic:blipFill>
                    <a:blip r:embed="rId18"/>
                    <a:stretch>
                      <a:fillRect/>
                    </a:stretch>
                  </pic:blipFill>
                  <pic:spPr>
                    <a:xfrm>
                      <a:off x="0" y="0"/>
                      <a:ext cx="2520315" cy="3361055"/>
                    </a:xfrm>
                    <a:prstGeom prst="rect">
                      <a:avLst/>
                    </a:prstGeom>
                    <a:noFill/>
                    <a:ln>
                      <a:noFill/>
                    </a:ln>
                  </pic:spPr>
                </pic:pic>
              </a:graphicData>
            </a:graphic>
          </wp:inline>
        </w:drawing>
      </w:r>
      <w:r>
        <w:rPr>
          <w:rFonts w:hint="eastAsia" w:ascii="宋体" w:hAnsi="宋体" w:cs="宋体"/>
          <w:color w:val="auto"/>
          <w:kern w:val="2"/>
          <w:sz w:val="24"/>
          <w:szCs w:val="24"/>
          <w:highlight w:val="none"/>
          <w:vertAlign w:val="baseline"/>
          <w:lang w:val="en-US" w:eastAsia="zh-CN" w:bidi="ar-SA"/>
        </w:rPr>
        <w:t xml:space="preserve"> </w:t>
      </w:r>
      <w:r>
        <w:rPr>
          <w:rFonts w:hint="default" w:ascii="宋体" w:hAnsi="宋体" w:cs="宋体"/>
          <w:color w:val="auto"/>
          <w:kern w:val="2"/>
          <w:sz w:val="24"/>
          <w:szCs w:val="24"/>
          <w:highlight w:val="none"/>
          <w:vertAlign w:val="baseline"/>
          <w:lang w:val="en-US" w:eastAsia="zh-CN" w:bidi="ar-SA"/>
        </w:rPr>
        <w:drawing>
          <wp:inline distT="0" distB="0" distL="114300" distR="114300">
            <wp:extent cx="2520315" cy="3361055"/>
            <wp:effectExtent l="0" t="0" r="6985" b="4445"/>
            <wp:docPr id="2" name="图片 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
                    <pic:cNvPicPr>
                      <a:picLocks noChangeAspect="1"/>
                    </pic:cNvPicPr>
                  </pic:nvPicPr>
                  <pic:blipFill>
                    <a:blip r:embed="rId19"/>
                    <a:stretch>
                      <a:fillRect/>
                    </a:stretch>
                  </pic:blipFill>
                  <pic:spPr>
                    <a:xfrm>
                      <a:off x="0" y="0"/>
                      <a:ext cx="2520315" cy="3361055"/>
                    </a:xfrm>
                    <a:prstGeom prst="rect">
                      <a:avLst/>
                    </a:prstGeom>
                    <a:noFill/>
                    <a:ln>
                      <a:noFill/>
                    </a:ln>
                  </pic:spPr>
                </pic:pic>
              </a:graphicData>
            </a:graphic>
          </wp:inline>
        </w:drawing>
      </w:r>
    </w:p>
    <w:p>
      <w:pPr>
        <w:pStyle w:val="3"/>
        <w:ind w:left="0" w:leftChars="0" w:firstLine="0" w:firstLineChars="0"/>
        <w:jc w:val="center"/>
        <w:rPr>
          <w:rFonts w:hint="default" w:ascii="宋体" w:hAnsi="宋体" w:cs="宋体"/>
          <w:color w:val="auto"/>
          <w:kern w:val="2"/>
          <w:sz w:val="24"/>
          <w:szCs w:val="24"/>
          <w:highlight w:val="none"/>
          <w:vertAlign w:val="baseline"/>
          <w:lang w:val="en-US" w:eastAsia="zh-CN" w:bidi="ar-SA"/>
        </w:rPr>
      </w:pPr>
      <w:r>
        <w:rPr>
          <w:rFonts w:hint="default" w:ascii="宋体" w:hAnsi="宋体" w:cs="宋体"/>
          <w:color w:val="auto"/>
          <w:kern w:val="2"/>
          <w:sz w:val="24"/>
          <w:szCs w:val="24"/>
          <w:highlight w:val="none"/>
          <w:vertAlign w:val="baseline"/>
          <w:lang w:val="en-US" w:eastAsia="zh-CN" w:bidi="ar-SA"/>
        </w:rPr>
        <w:drawing>
          <wp:inline distT="0" distB="0" distL="114300" distR="114300">
            <wp:extent cx="4384675" cy="3290570"/>
            <wp:effectExtent l="0" t="0" r="9525" b="11430"/>
            <wp:docPr id="3" name="图片 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
                    <pic:cNvPicPr>
                      <a:picLocks noChangeAspect="1"/>
                    </pic:cNvPicPr>
                  </pic:nvPicPr>
                  <pic:blipFill>
                    <a:blip r:embed="rId20"/>
                    <a:stretch>
                      <a:fillRect/>
                    </a:stretch>
                  </pic:blipFill>
                  <pic:spPr>
                    <a:xfrm>
                      <a:off x="0" y="0"/>
                      <a:ext cx="4384675" cy="3290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szCs w:val="24"/>
          <w:highlight w:val="none"/>
          <w:lang w:val="en-US" w:eastAsia="zh-CN"/>
        </w:rPr>
        <w:t>图</w:t>
      </w:r>
      <w:r>
        <w:rPr>
          <w:rFonts w:hint="eastAsia" w:ascii="Times New Roman" w:hAnsi="Times New Roman" w:cs="Times New Roman"/>
          <w:color w:val="auto"/>
          <w:sz w:val="24"/>
          <w:szCs w:val="24"/>
          <w:highlight w:val="none"/>
          <w:lang w:val="en-US" w:eastAsia="zh-CN"/>
        </w:rPr>
        <w:t xml:space="preserve">2 </w:t>
      </w:r>
      <w:r>
        <w:rPr>
          <w:rFonts w:hint="default" w:ascii="Times New Roman" w:hAnsi="Times New Roman" w:cs="Times New Roman"/>
          <w:color w:val="auto"/>
          <w:sz w:val="24"/>
          <w:szCs w:val="24"/>
          <w:highlight w:val="none"/>
          <w:lang w:val="en-US" w:eastAsia="zh-CN"/>
        </w:rPr>
        <w:t>沿山线最西端（国控断面点位）此位置有个水质自动检测站</w:t>
      </w:r>
    </w:p>
    <w:p>
      <w:pPr>
        <w:pStyle w:val="3"/>
        <w:rPr>
          <w:rFonts w:hint="default" w:ascii="Times New Roman" w:hAnsi="Times New Roman" w:eastAsia="宋体" w:cs="Times New Roman"/>
          <w:color w:val="auto"/>
          <w:kern w:val="2"/>
          <w:sz w:val="24"/>
          <w:szCs w:val="24"/>
          <w:highlight w:val="none"/>
          <w:vertAlign w:val="baseline"/>
          <w:lang w:val="en-US" w:eastAsia="zh-CN" w:bidi="ar-SA"/>
        </w:rPr>
      </w:pPr>
      <w:r>
        <w:rPr>
          <w:rFonts w:hint="default"/>
          <w:color w:val="auto"/>
          <w:highlight w:val="none"/>
          <w:lang w:val="en-US" w:eastAsia="zh-CN"/>
        </w:rPr>
        <w:drawing>
          <wp:inline distT="0" distB="0" distL="114300" distR="114300">
            <wp:extent cx="2520315" cy="3359785"/>
            <wp:effectExtent l="0" t="0" r="6985" b="5715"/>
            <wp:docPr id="4" name="图片 5" descr="6cad7b9fab39a979aa4bfbf6b980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6cad7b9fab39a979aa4bfbf6b980e8d"/>
                    <pic:cNvPicPr>
                      <a:picLocks noChangeAspect="1"/>
                    </pic:cNvPicPr>
                  </pic:nvPicPr>
                  <pic:blipFill>
                    <a:blip r:embed="rId21"/>
                    <a:stretch>
                      <a:fillRect/>
                    </a:stretch>
                  </pic:blipFill>
                  <pic:spPr>
                    <a:xfrm>
                      <a:off x="0" y="0"/>
                      <a:ext cx="2520315" cy="3359785"/>
                    </a:xfrm>
                    <a:prstGeom prst="rect">
                      <a:avLst/>
                    </a:prstGeom>
                    <a:noFill/>
                    <a:ln>
                      <a:noFill/>
                    </a:ln>
                  </pic:spPr>
                </pic:pic>
              </a:graphicData>
            </a:graphic>
          </wp:inline>
        </w:drawing>
      </w:r>
      <w:r>
        <w:rPr>
          <w:rFonts w:hint="eastAsia"/>
          <w:color w:val="auto"/>
          <w:highlight w:val="none"/>
          <w:lang w:val="en-US" w:eastAsia="zh-CN"/>
        </w:rPr>
        <w:t xml:space="preserve"> </w:t>
      </w:r>
      <w:r>
        <w:rPr>
          <w:rFonts w:hint="default" w:ascii="Times New Roman" w:hAnsi="Times New Roman" w:eastAsia="宋体" w:cs="Times New Roman"/>
          <w:color w:val="auto"/>
          <w:kern w:val="2"/>
          <w:sz w:val="24"/>
          <w:szCs w:val="24"/>
          <w:highlight w:val="none"/>
          <w:vertAlign w:val="baseline"/>
          <w:lang w:val="en-US" w:eastAsia="zh-CN" w:bidi="ar-SA"/>
        </w:rPr>
        <w:drawing>
          <wp:inline distT="0" distB="0" distL="114300" distR="114300">
            <wp:extent cx="2520315" cy="3359785"/>
            <wp:effectExtent l="0" t="0" r="6985" b="5715"/>
            <wp:docPr id="5" name="图片 6" descr="d87df1740ab48b5acb9adfbda3a5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d87df1740ab48b5acb9adfbda3a5c9b"/>
                    <pic:cNvPicPr>
                      <a:picLocks noChangeAspect="1"/>
                    </pic:cNvPicPr>
                  </pic:nvPicPr>
                  <pic:blipFill>
                    <a:blip r:embed="rId22"/>
                    <a:stretch>
                      <a:fillRect/>
                    </a:stretch>
                  </pic:blipFill>
                  <pic:spPr>
                    <a:xfrm>
                      <a:off x="0" y="0"/>
                      <a:ext cx="2520315" cy="3359785"/>
                    </a:xfrm>
                    <a:prstGeom prst="rect">
                      <a:avLst/>
                    </a:prstGeom>
                    <a:noFill/>
                    <a:ln>
                      <a:noFill/>
                    </a:ln>
                  </pic:spPr>
                </pic:pic>
              </a:graphicData>
            </a:graphic>
          </wp:inline>
        </w:drawing>
      </w:r>
    </w:p>
    <w:p>
      <w:pPr>
        <w:pStyle w:val="3"/>
        <w:jc w:val="center"/>
        <w:rPr>
          <w:rFonts w:hint="default" w:ascii="Times New Roman" w:hAnsi="Times New Roman" w:eastAsia="宋体" w:cs="Times New Roman"/>
          <w:i w:val="0"/>
          <w:iCs/>
          <w:color w:val="auto"/>
          <w:sz w:val="24"/>
          <w:szCs w:val="24"/>
          <w:highlight w:val="none"/>
          <w:lang w:val="en-US" w:eastAsia="zh-CN"/>
        </w:rPr>
      </w:pPr>
      <w:r>
        <w:rPr>
          <w:rFonts w:hint="default" w:ascii="Times New Roman" w:hAnsi="Times New Roman" w:cs="Times New Roman"/>
          <w:i w:val="0"/>
          <w:iCs/>
          <w:color w:val="auto"/>
          <w:sz w:val="24"/>
          <w:szCs w:val="24"/>
          <w:highlight w:val="none"/>
          <w:lang w:val="en-US" w:eastAsia="zh-CN"/>
        </w:rPr>
        <w:t>图</w:t>
      </w:r>
      <w:r>
        <w:rPr>
          <w:rFonts w:hint="eastAsia" w:ascii="Times New Roman" w:hAnsi="Times New Roman" w:cs="Times New Roman"/>
          <w:i w:val="0"/>
          <w:iCs/>
          <w:color w:val="auto"/>
          <w:sz w:val="24"/>
          <w:szCs w:val="24"/>
          <w:highlight w:val="none"/>
          <w:lang w:val="en-US" w:eastAsia="zh-CN"/>
        </w:rPr>
        <w:t xml:space="preserve">3 </w:t>
      </w:r>
      <w:r>
        <w:rPr>
          <w:rFonts w:hint="default" w:ascii="Times New Roman" w:hAnsi="Times New Roman" w:eastAsia="宋体" w:cs="Times New Roman"/>
          <w:i w:val="0"/>
          <w:iCs/>
          <w:color w:val="auto"/>
          <w:sz w:val="24"/>
          <w:szCs w:val="24"/>
          <w:highlight w:val="none"/>
          <w:lang w:val="en-US" w:eastAsia="zh-CN"/>
        </w:rPr>
        <w:t>南大江汇入东横江汇入点</w:t>
      </w:r>
    </w:p>
    <w:p>
      <w:pPr>
        <w:pStyle w:val="3"/>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257800" cy="2366010"/>
            <wp:effectExtent l="0" t="0" r="0" b="8890"/>
            <wp:docPr id="6" name="图片 7" descr="9c903ec58fa6a08964d7e1085315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9c903ec58fa6a08964d7e108531536c"/>
                    <pic:cNvPicPr>
                      <a:picLocks noChangeAspect="1"/>
                    </pic:cNvPicPr>
                  </pic:nvPicPr>
                  <pic:blipFill>
                    <a:blip r:embed="rId23"/>
                    <a:stretch>
                      <a:fillRect/>
                    </a:stretch>
                  </pic:blipFill>
                  <pic:spPr>
                    <a:xfrm>
                      <a:off x="0" y="0"/>
                      <a:ext cx="5257800" cy="2366010"/>
                    </a:xfrm>
                    <a:prstGeom prst="rect">
                      <a:avLst/>
                    </a:prstGeom>
                    <a:noFill/>
                    <a:ln>
                      <a:noFill/>
                    </a:ln>
                  </pic:spPr>
                </pic:pic>
              </a:graphicData>
            </a:graphic>
          </wp:inline>
        </w:drawing>
      </w:r>
    </w:p>
    <w:p>
      <w:pPr>
        <w:pStyle w:val="3"/>
        <w:jc w:val="center"/>
        <w:rPr>
          <w:rFonts w:hint="default" w:ascii="Times New Roman" w:hAnsi="Times New Roman" w:eastAsia="宋体" w:cs="Times New Roman"/>
          <w:i w:val="0"/>
          <w:iCs/>
          <w:color w:val="auto"/>
          <w:sz w:val="24"/>
          <w:szCs w:val="24"/>
          <w:highlight w:val="none"/>
          <w:lang w:val="en-US" w:eastAsia="zh-CN"/>
        </w:rPr>
      </w:pPr>
      <w:r>
        <w:rPr>
          <w:rFonts w:hint="default" w:ascii="Times New Roman" w:hAnsi="Times New Roman" w:cs="Times New Roman"/>
          <w:i w:val="0"/>
          <w:iCs/>
          <w:color w:val="auto"/>
          <w:sz w:val="24"/>
          <w:szCs w:val="24"/>
          <w:highlight w:val="none"/>
          <w:lang w:val="en-US" w:eastAsia="zh-CN"/>
        </w:rPr>
        <w:t>图</w:t>
      </w:r>
      <w:r>
        <w:rPr>
          <w:rFonts w:hint="eastAsia" w:cs="Times New Roman"/>
          <w:i w:val="0"/>
          <w:iCs/>
          <w:color w:val="auto"/>
          <w:sz w:val="24"/>
          <w:szCs w:val="24"/>
          <w:highlight w:val="none"/>
          <w:lang w:val="en-US" w:eastAsia="zh-CN"/>
        </w:rPr>
        <w:t>4</w:t>
      </w:r>
      <w:r>
        <w:rPr>
          <w:rFonts w:hint="eastAsia" w:ascii="Times New Roman" w:hAnsi="Times New Roman" w:cs="Times New Roman"/>
          <w:i w:val="0"/>
          <w:iCs/>
          <w:color w:val="auto"/>
          <w:sz w:val="24"/>
          <w:szCs w:val="24"/>
          <w:highlight w:val="none"/>
          <w:lang w:val="en-US" w:eastAsia="zh-CN"/>
        </w:rPr>
        <w:t xml:space="preserve"> </w:t>
      </w:r>
      <w:r>
        <w:rPr>
          <w:rFonts w:hint="eastAsia" w:cs="Times New Roman"/>
          <w:i w:val="0"/>
          <w:iCs/>
          <w:color w:val="auto"/>
          <w:sz w:val="24"/>
          <w:szCs w:val="24"/>
          <w:highlight w:val="none"/>
          <w:lang w:val="en-US" w:eastAsia="zh-CN"/>
        </w:rPr>
        <w:t>场站选址现场照片</w:t>
      </w:r>
    </w:p>
    <w:p>
      <w:pPr>
        <w:pStyle w:val="3"/>
        <w:jc w:val="center"/>
        <w:rPr>
          <w:rFonts w:hint="default" w:ascii="Times New Roman" w:hAnsi="Times New Roman" w:eastAsia="宋体" w:cs="Times New Roman"/>
          <w:color w:val="auto"/>
          <w:sz w:val="24"/>
          <w:szCs w:val="24"/>
          <w:highlight w:val="none"/>
          <w:lang w:val="en-US" w:eastAsia="zh-CN"/>
        </w:rPr>
      </w:pPr>
    </w:p>
    <w:p>
      <w:pPr>
        <w:pStyle w:val="3"/>
        <w:jc w:val="center"/>
        <w:rPr>
          <w:rFonts w:hint="default" w:ascii="Times New Roman" w:hAnsi="Times New Roman" w:eastAsia="宋体" w:cs="Times New Roman"/>
          <w:color w:val="auto"/>
          <w:sz w:val="24"/>
          <w:szCs w:val="24"/>
          <w:highlight w:val="none"/>
          <w:lang w:val="en-US" w:eastAsia="zh-CN"/>
        </w:rPr>
        <w:sectPr>
          <w:pgSz w:w="11906" w:h="16838"/>
          <w:pgMar w:top="1440" w:right="1800" w:bottom="1440" w:left="1800" w:header="851" w:footer="992" w:gutter="0"/>
          <w:cols w:space="720" w:num="1"/>
          <w:docGrid w:type="lines" w:linePitch="312" w:charSpace="0"/>
        </w:sectPr>
      </w:pPr>
    </w:p>
    <w:p>
      <w:pPr>
        <w:rPr>
          <w:rFonts w:hint="default" w:ascii="Times New Roman" w:hAnsi="Times New Roman" w:cs="Times New Roman"/>
          <w:b/>
          <w:bCs/>
          <w:color w:val="auto"/>
          <w:sz w:val="24"/>
          <w:szCs w:val="22"/>
          <w:highlight w:val="none"/>
          <w:lang w:val="en-US" w:eastAsia="zh-CN"/>
        </w:rPr>
      </w:pPr>
      <w:r>
        <w:rPr>
          <w:rFonts w:hint="default"/>
          <w:b/>
          <w:bCs/>
          <w:color w:val="auto"/>
          <w:sz w:val="24"/>
          <w:szCs w:val="22"/>
          <w:highlight w:val="none"/>
          <w:lang w:val="en-US" w:eastAsia="zh-CN"/>
        </w:rPr>
        <w:t>（三）、项目概况一览表</w:t>
      </w:r>
    </w:p>
    <w:p>
      <w:pPr>
        <w:pStyle w:val="64"/>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jc w:val="center"/>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表</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 xml:space="preserve"> 项目概况一览表</w:t>
      </w:r>
    </w:p>
    <w:tbl>
      <w:tblPr>
        <w:tblStyle w:val="44"/>
        <w:tblW w:w="922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8"/>
        <w:gridCol w:w="78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项目名称</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慈溪市横河镇东横河江河道水质提升服务项目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采购人</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慈溪市横河镇</w:t>
            </w:r>
            <w:r>
              <w:rPr>
                <w:rFonts w:hint="eastAsia" w:cs="Times New Roman"/>
                <w:color w:val="auto"/>
                <w:sz w:val="21"/>
                <w:szCs w:val="21"/>
                <w:highlight w:val="none"/>
                <w:lang w:val="en-US" w:eastAsia="zh-CN"/>
              </w:rPr>
              <w:t>政府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资金来源</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default" w:cs="Times New Roman"/>
                <w:color w:val="auto"/>
                <w:sz w:val="21"/>
                <w:szCs w:val="21"/>
                <w:highlight w:val="none"/>
                <w:lang w:val="en-US" w:eastAsia="zh-CN"/>
              </w:rPr>
            </w:pPr>
            <w:r>
              <w:rPr>
                <w:rFonts w:hint="eastAsia" w:cs="Times New Roman"/>
                <w:color w:val="auto"/>
                <w:sz w:val="21"/>
                <w:szCs w:val="21"/>
                <w:highlight w:val="none"/>
                <w:lang w:eastAsia="zh-CN"/>
              </w:rPr>
              <w:t>慈溪市横河</w:t>
            </w:r>
            <w:r>
              <w:rPr>
                <w:rFonts w:hint="eastAsia" w:cs="Times New Roman"/>
                <w:color w:val="auto"/>
                <w:sz w:val="21"/>
                <w:szCs w:val="21"/>
                <w:highlight w:val="none"/>
                <w:lang w:val="en-US" w:eastAsia="zh-CN"/>
              </w:rPr>
              <w:t>镇人民政府财政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标项数量</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项目概况</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0"/>
              </w:tabs>
              <w:spacing w:before="0" w:beforeAutospacing="0" w:after="0" w:afterAutospacing="0"/>
              <w:ind w:left="0" w:right="0"/>
              <w:jc w:val="left"/>
              <w:rPr>
                <w:rFonts w:hint="default"/>
                <w:color w:val="auto"/>
                <w:szCs w:val="20"/>
                <w:highlight w:val="none"/>
                <w:lang w:val="en-US" w:eastAsia="zh-CN"/>
              </w:rPr>
            </w:pPr>
            <w:r>
              <w:rPr>
                <w:rFonts w:hint="default"/>
                <w:color w:val="auto"/>
                <w:szCs w:val="20"/>
                <w:highlight w:val="none"/>
                <w:lang w:val="en-US" w:eastAsia="zh-CN"/>
              </w:rPr>
              <w:t>东横江检测断面至人民闸河段全长6.9km，河面宽度20-35m，水域面积207000m2，水深2-3m，总水量约517500m3。</w:t>
            </w:r>
          </w:p>
          <w:p>
            <w:pPr>
              <w:keepNext w:val="0"/>
              <w:keepLines w:val="0"/>
              <w:suppressLineNumbers w:val="0"/>
              <w:adjustRightInd w:val="0"/>
              <w:snapToGrid w:val="0"/>
              <w:spacing w:before="0" w:beforeAutospacing="0" w:after="0" w:afterAutospacing="0" w:line="400" w:lineRule="exact"/>
              <w:ind w:left="0" w:right="0"/>
              <w:rPr>
                <w:rFonts w:hint="default"/>
                <w:color w:val="auto"/>
                <w:szCs w:val="20"/>
                <w:highlight w:val="none"/>
                <w:lang w:val="en-US"/>
              </w:rPr>
            </w:pPr>
            <w:r>
              <w:rPr>
                <w:rFonts w:hint="default"/>
                <w:color w:val="auto"/>
                <w:szCs w:val="20"/>
                <w:highlight w:val="none"/>
                <w:lang w:val="en-US" w:eastAsia="zh-CN"/>
              </w:rPr>
              <w:t>南大江是东横江较大的支流；汇入点在断面监测点附近；全长5.5km，河道起点秦湖江，终点陈山闸，最后汇入东横江。河面宽度8-25m，水域面积99000m2，水深1.6-2m，总水量约178200m3。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服务</w:t>
            </w:r>
            <w:r>
              <w:rPr>
                <w:rFonts w:hint="eastAsia" w:cs="Times New Roman"/>
                <w:b w:val="0"/>
                <w:bCs w:val="0"/>
                <w:color w:val="auto"/>
                <w:sz w:val="21"/>
                <w:szCs w:val="21"/>
                <w:highlight w:val="none"/>
                <w:lang w:val="en-US" w:eastAsia="zh-CN"/>
              </w:rPr>
              <w:t>标准</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①通过对东横江河道断面进行治理，保证原位净化装备出水主要水质指标达到《地表水环境质量标准》GB3838-2002中的III类标准（CODMn≤6.0mg/L，NH3-N≤1.0mg/L，TP≤0.2mg/L，pH:6-9）</w:t>
            </w:r>
            <w:r>
              <w:rPr>
                <w:rFonts w:hint="eastAsia" w:ascii="宋体" w:hAnsi="宋体" w:eastAsia="宋体" w:cs="宋体"/>
                <w:color w:val="auto"/>
                <w:sz w:val="21"/>
                <w:szCs w:val="21"/>
                <w:highlight w:val="none"/>
                <w:lang w:val="en-US" w:eastAsia="zh-CN"/>
              </w:rPr>
              <w:t>。</w:t>
            </w:r>
          </w:p>
          <w:p>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服务期第1-3个月，月平均水质监测指标达到《地表水环境质量标准》（GB3838-2002）中Ⅳ类标准（CODMn≤10.0mg/L，NH3-N≤1.5mg/L，TP≤0.3mg/L，pH:6-9）；第4-8个月，月平均水质监测指标基本达到《地表水环境质量标准》GB3838-2002中的Ⅲ类标准（CO</w:t>
            </w:r>
            <w:r>
              <w:rPr>
                <w:rFonts w:hint="eastAsia" w:ascii="宋体" w:hAnsi="宋体" w:eastAsia="宋体" w:cs="宋体"/>
                <w:color w:val="auto"/>
                <w:sz w:val="21"/>
                <w:szCs w:val="21"/>
                <w:highlight w:val="none"/>
              </w:rPr>
              <w:t>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）；后续服务期限内，月平均</w:t>
            </w:r>
            <w:r>
              <w:rPr>
                <w:rFonts w:hint="eastAsia" w:ascii="宋体" w:hAnsi="宋体" w:cs="宋体"/>
                <w:color w:val="auto"/>
                <w:sz w:val="21"/>
                <w:szCs w:val="21"/>
                <w:highlight w:val="none"/>
                <w:lang w:val="en-US" w:eastAsia="zh-CN"/>
              </w:rPr>
              <w:t>水质</w:t>
            </w:r>
            <w:r>
              <w:rPr>
                <w:rFonts w:hint="eastAsia" w:ascii="宋体" w:hAnsi="宋体" w:eastAsia="宋体" w:cs="宋体"/>
                <w:color w:val="auto"/>
                <w:sz w:val="21"/>
                <w:szCs w:val="21"/>
                <w:highlight w:val="none"/>
                <w:lang w:val="en-US" w:eastAsia="zh-CN"/>
              </w:rPr>
              <w:t>监测指标稳定维持在《地表水环境质量标准》GB3838-2002中的Ⅲ类标准（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，水质监测数据以</w:t>
            </w:r>
            <w:r>
              <w:rPr>
                <w:rFonts w:hint="eastAsia" w:cs="Times New Roman"/>
                <w:color w:val="auto"/>
                <w:sz w:val="21"/>
                <w:szCs w:val="21"/>
                <w:highlight w:val="none"/>
                <w:lang w:val="en-US" w:eastAsia="zh-CN"/>
              </w:rPr>
              <w:t>以当地环保部门监测点的监测数据为准。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已有</w:t>
            </w:r>
          </w:p>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基础条件</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numPr>
                <w:ilvl w:val="0"/>
                <w:numId w:val="10"/>
              </w:numPr>
              <w:suppressLineNumbers w:val="0"/>
              <w:spacing w:before="0" w:beforeAutospacing="0" w:after="0" w:afterAutospacing="0"/>
              <w:ind w:left="0" w:leftChars="0" w:right="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招标人提供一块面积不超过1000平方的场地（含三通一平）；</w:t>
            </w:r>
          </w:p>
          <w:p>
            <w:pPr>
              <w:pStyle w:val="19"/>
              <w:keepNext w:val="0"/>
              <w:keepLines w:val="0"/>
              <w:numPr>
                <w:ilvl w:val="0"/>
                <w:numId w:val="10"/>
              </w:numPr>
              <w:suppressLineNumbers w:val="0"/>
              <w:spacing w:before="0" w:beforeAutospacing="0" w:after="0" w:afterAutospacing="0"/>
              <w:ind w:left="0" w:leftChars="0" w:right="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招标人提供变压器容量300kw。</w:t>
            </w:r>
          </w:p>
          <w:p>
            <w:pPr>
              <w:pStyle w:val="19"/>
              <w:keepNext w:val="0"/>
              <w:keepLines w:val="0"/>
              <w:numPr>
                <w:ilvl w:val="0"/>
                <w:numId w:val="10"/>
              </w:numPr>
              <w:suppressLineNumbers w:val="0"/>
              <w:spacing w:before="0" w:beforeAutospacing="0" w:after="0" w:afterAutospacing="0"/>
              <w:ind w:left="0" w:leftChars="0" w:right="0" w:firstLine="0" w:firstLineChars="0"/>
              <w:rPr>
                <w:rFonts w:hint="default"/>
                <w:color w:val="auto"/>
                <w:szCs w:val="20"/>
                <w:highlight w:val="none"/>
                <w:lang w:val="en-US" w:eastAsia="zh-CN"/>
              </w:rPr>
            </w:pPr>
            <w:r>
              <w:rPr>
                <w:rFonts w:hint="eastAsia"/>
                <w:color w:val="auto"/>
                <w:sz w:val="21"/>
                <w:szCs w:val="21"/>
                <w:highlight w:val="none"/>
                <w:lang w:val="en-US" w:eastAsia="zh-CN"/>
              </w:rPr>
              <w:t>招标人负责提供水利拦截设施建设、设备土建基础、绿化。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服务期</w:t>
            </w:r>
            <w:r>
              <w:rPr>
                <w:rFonts w:hint="default" w:ascii="Times New Roman" w:hAnsi="Times New Roman" w:cs="Times New Roman"/>
                <w:b w:val="0"/>
                <w:bCs w:val="0"/>
                <w:color w:val="auto"/>
                <w:sz w:val="21"/>
                <w:szCs w:val="21"/>
                <w:highlight w:val="none"/>
                <w:lang w:eastAsia="zh-CN"/>
              </w:rPr>
              <w:t>限</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运维</w:t>
            </w:r>
            <w:r>
              <w:rPr>
                <w:rFonts w:hint="default" w:ascii="Times New Roman" w:hAnsi="Times New Roman" w:eastAsia="宋体" w:cs="Times New Roman"/>
                <w:color w:val="auto"/>
                <w:sz w:val="21"/>
                <w:szCs w:val="21"/>
                <w:highlight w:val="none"/>
              </w:rPr>
              <w:t>服务期为</w:t>
            </w:r>
            <w:r>
              <w:rPr>
                <w:rFonts w:hint="eastAsia" w:cs="Times New Roman"/>
                <w:b/>
                <w:bCs/>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设备供货及</w:t>
            </w:r>
            <w:r>
              <w:rPr>
                <w:rFonts w:hint="default" w:ascii="Times New Roman" w:hAnsi="Times New Roman" w:cs="Times New Roman"/>
                <w:b w:val="0"/>
                <w:bCs w:val="0"/>
                <w:color w:val="auto"/>
                <w:sz w:val="21"/>
                <w:szCs w:val="21"/>
                <w:highlight w:val="none"/>
                <w:lang w:val="en-US" w:eastAsia="zh-CN"/>
              </w:rPr>
              <w:t>工期</w:t>
            </w:r>
            <w:r>
              <w:rPr>
                <w:rFonts w:hint="default" w:ascii="Times New Roman" w:hAnsi="Times New Roman" w:eastAsia="宋体" w:cs="Times New Roman"/>
                <w:b w:val="0"/>
                <w:bCs w:val="0"/>
                <w:color w:val="auto"/>
                <w:sz w:val="21"/>
                <w:szCs w:val="21"/>
                <w:highlight w:val="none"/>
              </w:rPr>
              <w:t>要求</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合同签订后</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天内完成设备</w:t>
            </w:r>
            <w:r>
              <w:rPr>
                <w:rFonts w:hint="eastAsia" w:cs="Times New Roman"/>
                <w:color w:val="auto"/>
                <w:sz w:val="21"/>
                <w:szCs w:val="21"/>
                <w:highlight w:val="none"/>
                <w:lang w:val="en-US" w:eastAsia="zh-CN"/>
              </w:rPr>
              <w:t>供货、</w:t>
            </w:r>
            <w:r>
              <w:rPr>
                <w:rFonts w:hint="default" w:ascii="Times New Roman" w:hAnsi="Times New Roman" w:eastAsia="宋体" w:cs="Times New Roman"/>
                <w:color w:val="auto"/>
                <w:sz w:val="21"/>
                <w:szCs w:val="21"/>
                <w:highlight w:val="none"/>
              </w:rPr>
              <w:t>安装</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调试</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15天试运行并验收合格</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宋体" w:hAnsi="宋体" w:cs="宋体"/>
                <w:color w:val="auto"/>
                <w:sz w:val="21"/>
                <w:szCs w:val="21"/>
                <w:highlight w:val="none"/>
              </w:rPr>
              <w:t>现场踏勘</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本项目</w:t>
            </w:r>
            <w:r>
              <w:rPr>
                <w:rFonts w:hint="default" w:ascii="宋体" w:hAnsi="宋体" w:cs="宋体"/>
                <w:color w:val="auto"/>
                <w:sz w:val="21"/>
                <w:szCs w:val="21"/>
                <w:highlight w:val="none"/>
              </w:rPr>
              <w:t>服务现场、交通运输情况及自然地理条件由投标人自行前往踏勘。并对现场情况予以确认，对本项目现有情况和影响服务的因素及困难条件进行踏勘和研究，做出判断结论，报价时要充分考虑上述因素。中标人签订合同和服务过程中，中标人不得以不了解现场情况为由，提出增加项目报价和索赔的要求。无论投标人是否进行现场踏勘，一旦参与本项目投标则视为完成现场踏勘工作</w:t>
            </w:r>
            <w:r>
              <w:rPr>
                <w:rFonts w:hint="eastAsia" w:ascii="宋体" w:hAnsi="宋体" w:cs="宋体"/>
                <w:color w:val="auto"/>
                <w:sz w:val="21"/>
                <w:szCs w:val="21"/>
                <w:highlight w:val="none"/>
              </w:rPr>
              <w:t>。</w:t>
            </w:r>
            <w:r>
              <w:rPr>
                <w:rFonts w:hint="eastAsia" w:ascii="Times New Roman" w:hAnsi="Times New Roman" w:eastAsia="宋体" w:cs="Times New Roman"/>
                <w:b/>
                <w:bCs/>
                <w:color w:val="auto"/>
                <w:szCs w:val="20"/>
                <w:highlight w:val="none"/>
                <w:lang w:val="en-US" w:eastAsia="zh-CN"/>
              </w:rPr>
              <w:t>项目涉及到水利拦截设施、设备土建基础</w:t>
            </w:r>
            <w:r>
              <w:rPr>
                <w:rFonts w:hint="eastAsia" w:cs="Times New Roman"/>
                <w:b/>
                <w:bCs/>
                <w:color w:val="auto"/>
                <w:szCs w:val="20"/>
                <w:highlight w:val="none"/>
                <w:lang w:val="en-US" w:eastAsia="zh-CN"/>
              </w:rPr>
              <w:t>和围栏</w:t>
            </w:r>
            <w:r>
              <w:rPr>
                <w:rFonts w:hint="eastAsia" w:ascii="Times New Roman" w:hAnsi="Times New Roman" w:eastAsia="宋体" w:cs="Times New Roman"/>
                <w:b/>
                <w:bCs/>
                <w:color w:val="auto"/>
                <w:szCs w:val="20"/>
                <w:highlight w:val="none"/>
                <w:lang w:val="en-US" w:eastAsia="zh-CN"/>
              </w:rPr>
              <w:t>建设、变压器、绿化</w:t>
            </w:r>
            <w:r>
              <w:rPr>
                <w:rFonts w:hint="eastAsia" w:cs="Times New Roman"/>
                <w:b/>
                <w:bCs/>
                <w:color w:val="auto"/>
                <w:szCs w:val="20"/>
                <w:highlight w:val="none"/>
                <w:lang w:val="en-US" w:eastAsia="zh-CN"/>
              </w:rPr>
              <w:t>、</w:t>
            </w:r>
            <w:r>
              <w:rPr>
                <w:rFonts w:hint="eastAsia" w:ascii="Times New Roman" w:hAnsi="Times New Roman" w:eastAsia="宋体" w:cs="Times New Roman"/>
                <w:b/>
                <w:bCs/>
                <w:color w:val="auto"/>
                <w:szCs w:val="20"/>
                <w:highlight w:val="none"/>
                <w:lang w:val="en-US" w:eastAsia="zh-CN"/>
              </w:rPr>
              <w:t>土地征用</w:t>
            </w:r>
            <w:r>
              <w:rPr>
                <w:rFonts w:hint="eastAsia" w:cs="Times New Roman"/>
                <w:b/>
                <w:bCs/>
                <w:color w:val="auto"/>
                <w:szCs w:val="20"/>
                <w:highlight w:val="none"/>
                <w:lang w:val="en-US" w:eastAsia="zh-CN"/>
              </w:rPr>
              <w:t>及第三方水质检测</w:t>
            </w:r>
            <w:r>
              <w:rPr>
                <w:rFonts w:hint="eastAsia" w:ascii="Times New Roman" w:hAnsi="Times New Roman" w:eastAsia="宋体" w:cs="Times New Roman"/>
                <w:b/>
                <w:bCs/>
                <w:color w:val="auto"/>
                <w:szCs w:val="20"/>
                <w:highlight w:val="none"/>
                <w:lang w:val="en-US" w:eastAsia="zh-CN"/>
              </w:rPr>
              <w:t>由招标人负责提供。</w:t>
            </w:r>
          </w:p>
        </w:tc>
      </w:tr>
    </w:tbl>
    <w:p>
      <w:pPr>
        <w:pStyle w:val="6"/>
        <w:bidi w:val="0"/>
        <w:rPr>
          <w:rFonts w:hint="eastAsia" w:ascii="Arial" w:hAnsi="Arial" w:cs="Times New Roman"/>
          <w:color w:val="auto"/>
          <w:sz w:val="24"/>
          <w:szCs w:val="22"/>
          <w:highlight w:val="none"/>
          <w:lang w:val="en-US" w:eastAsia="zh-CN"/>
        </w:rPr>
      </w:pPr>
      <w:r>
        <w:rPr>
          <w:rFonts w:hint="eastAsia"/>
          <w:b/>
          <w:bCs/>
          <w:color w:val="auto"/>
          <w:sz w:val="24"/>
          <w:szCs w:val="22"/>
          <w:highlight w:val="none"/>
          <w:lang w:val="en-US" w:eastAsia="zh-CN"/>
        </w:rPr>
        <w:br w:type="page"/>
      </w:r>
      <w:r>
        <w:rPr>
          <w:rFonts w:hint="eastAsia"/>
          <w:b/>
          <w:bCs/>
          <w:color w:val="auto"/>
          <w:sz w:val="24"/>
          <w:szCs w:val="22"/>
          <w:highlight w:val="none"/>
          <w:lang w:val="en-US" w:eastAsia="zh-CN"/>
        </w:rPr>
        <w:t>（四）</w:t>
      </w:r>
      <w:r>
        <w:rPr>
          <w:rFonts w:hint="eastAsia"/>
          <w:color w:val="auto"/>
          <w:sz w:val="24"/>
          <w:szCs w:val="22"/>
          <w:highlight w:val="none"/>
          <w:lang w:val="en-US" w:eastAsia="zh-CN"/>
        </w:rPr>
        <w:t>项目河道水质数据</w:t>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i w:val="0"/>
          <w:iCs/>
          <w:color w:val="auto"/>
          <w:kern w:val="2"/>
          <w:sz w:val="24"/>
          <w:szCs w:val="24"/>
          <w:highlight w:val="none"/>
          <w:lang w:val="en-US" w:eastAsia="zh-CN" w:bidi="ar-SA"/>
        </w:rPr>
      </w:pPr>
      <w:r>
        <w:rPr>
          <w:rFonts w:hint="eastAsia" w:ascii="Times New Roman" w:hAnsi="Times New Roman" w:eastAsia="宋体" w:cs="Times New Roman"/>
          <w:b w:val="0"/>
          <w:bCs w:val="0"/>
          <w:i w:val="0"/>
          <w:iCs/>
          <w:color w:val="auto"/>
          <w:kern w:val="2"/>
          <w:sz w:val="24"/>
          <w:szCs w:val="24"/>
          <w:highlight w:val="none"/>
          <w:lang w:val="en-US" w:eastAsia="zh-CN" w:bidi="ar-SA"/>
        </w:rPr>
        <w:t>东横江及南大江河道水质检测数据一览表，见</w:t>
      </w:r>
      <w:r>
        <w:rPr>
          <w:rFonts w:hint="eastAsia" w:cs="Times New Roman"/>
          <w:b w:val="0"/>
          <w:bCs w:val="0"/>
          <w:i w:val="0"/>
          <w:iCs/>
          <w:color w:val="auto"/>
          <w:kern w:val="2"/>
          <w:sz w:val="24"/>
          <w:szCs w:val="24"/>
          <w:highlight w:val="none"/>
          <w:lang w:val="en-US" w:eastAsia="zh-CN" w:bidi="ar-SA"/>
        </w:rPr>
        <w:t>下</w:t>
      </w:r>
      <w:r>
        <w:rPr>
          <w:rFonts w:hint="eastAsia" w:ascii="Times New Roman" w:hAnsi="Times New Roman" w:eastAsia="宋体" w:cs="Times New Roman"/>
          <w:b w:val="0"/>
          <w:bCs w:val="0"/>
          <w:i w:val="0"/>
          <w:iCs/>
          <w:color w:val="auto"/>
          <w:kern w:val="2"/>
          <w:sz w:val="24"/>
          <w:szCs w:val="24"/>
          <w:highlight w:val="none"/>
          <w:lang w:val="en-US" w:eastAsia="zh-CN" w:bidi="ar-SA"/>
        </w:rPr>
        <w:t>表</w:t>
      </w:r>
      <w:r>
        <w:rPr>
          <w:rFonts w:hint="eastAsia" w:cs="Times New Roman"/>
          <w:b w:val="0"/>
          <w:bCs w:val="0"/>
          <w:i w:val="0"/>
          <w:iCs/>
          <w:color w:val="auto"/>
          <w:kern w:val="2"/>
          <w:sz w:val="24"/>
          <w:szCs w:val="24"/>
          <w:highlight w:val="none"/>
          <w:lang w:val="en-US" w:eastAsia="zh-CN" w:bidi="ar-SA"/>
        </w:rPr>
        <w:t>2</w:t>
      </w:r>
      <w:r>
        <w:rPr>
          <w:rFonts w:hint="eastAsia" w:ascii="Times New Roman" w:hAnsi="Times New Roman" w:eastAsia="宋体" w:cs="Times New Roman"/>
          <w:b w:val="0"/>
          <w:bCs w:val="0"/>
          <w:i w:val="0"/>
          <w:iCs/>
          <w:color w:val="auto"/>
          <w:kern w:val="2"/>
          <w:sz w:val="24"/>
          <w:szCs w:val="24"/>
          <w:highlight w:val="none"/>
          <w:lang w:val="en-US" w:eastAsia="zh-CN" w:bidi="ar-SA"/>
        </w:rPr>
        <w:t>，上述数据仅供参考，具体需厂家实地踏勘取样化验数据为准。</w:t>
      </w:r>
    </w:p>
    <w:p>
      <w:pPr>
        <w:pStyle w:val="64"/>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480" w:firstLineChars="200"/>
        <w:jc w:val="center"/>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表</w:t>
      </w:r>
      <w:r>
        <w:rPr>
          <w:rFonts w:hint="eastAsia"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 xml:space="preserve"> </w:t>
      </w:r>
      <w:r>
        <w:rPr>
          <w:rFonts w:hint="eastAsia" w:ascii="Times New Roman" w:hAnsi="Times New Roman" w:cs="Times New Roman"/>
          <w:b w:val="0"/>
          <w:bCs w:val="0"/>
          <w:color w:val="auto"/>
          <w:sz w:val="24"/>
          <w:szCs w:val="24"/>
          <w:highlight w:val="none"/>
          <w:lang w:val="en-US" w:eastAsia="zh-CN"/>
        </w:rPr>
        <w:t>河道水质数据（仅供参考）</w:t>
      </w:r>
    </w:p>
    <w:tbl>
      <w:tblPr>
        <w:tblStyle w:val="45"/>
        <w:tblpPr w:leftFromText="180" w:rightFromText="180" w:vertAnchor="text" w:horzAnchor="page" w:tblpX="2017" w:tblpY="414"/>
        <w:tblOverlap w:val="never"/>
        <w:tblW w:w="8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167"/>
        <w:gridCol w:w="1246"/>
        <w:gridCol w:w="1246"/>
        <w:gridCol w:w="1246"/>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1496"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center"/>
              <mc:AlternateContent>
                <mc:Choice Requires="wpsCustomData">
                  <wpsCustomData:diagonalParaType/>
                </mc:Choice>
              </mc:AlternateContent>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采样点</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both"/>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污染因子</w:t>
            </w:r>
          </w:p>
        </w:tc>
        <w:tc>
          <w:tcPr>
            <w:tcW w:w="1167"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cs="Times New Roman"/>
                <w:i w:val="0"/>
                <w:color w:val="auto"/>
                <w:kern w:val="0"/>
                <w:sz w:val="24"/>
                <w:szCs w:val="24"/>
                <w:highlight w:val="none"/>
                <w:u w:val="none"/>
                <w:lang w:val="en-US" w:eastAsia="zh-CN" w:bidi="ar"/>
              </w:rPr>
              <w:t>氨氮</w:t>
            </w:r>
            <w:r>
              <w:rPr>
                <w:rFonts w:hint="default" w:ascii="Times New Roman" w:hAnsi="Times New Roman" w:cs="Times New Roman"/>
                <w:i w:val="0"/>
                <w:color w:val="auto"/>
                <w:kern w:val="0"/>
                <w:sz w:val="24"/>
                <w:szCs w:val="24"/>
                <w:highlight w:val="none"/>
                <w:u w:val="none"/>
                <w:lang w:val="en-US" w:eastAsia="zh-CN" w:bidi="ar"/>
              </w:rPr>
              <w:t>（mg/L）</w:t>
            </w:r>
          </w:p>
        </w:tc>
        <w:tc>
          <w:tcPr>
            <w:tcW w:w="1246" w:type="dxa"/>
            <w:noWrap w:val="0"/>
            <w:vAlign w:val="top"/>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4"/>
                <w:szCs w:val="24"/>
                <w:highlight w:val="none"/>
                <w:u w:val="none"/>
                <w:lang w:val="en-US" w:eastAsia="zh-CN" w:bidi="ar"/>
              </w:rPr>
            </w:pPr>
            <w:r>
              <w:rPr>
                <w:rFonts w:hint="eastAsia" w:ascii="Times New Roman" w:hAnsi="Times New Roman" w:cs="Times New Roman"/>
                <w:i w:val="0"/>
                <w:color w:val="auto"/>
                <w:kern w:val="0"/>
                <w:sz w:val="24"/>
                <w:szCs w:val="24"/>
                <w:highlight w:val="none"/>
                <w:u w:val="none"/>
                <w:lang w:val="en-US" w:eastAsia="zh-CN" w:bidi="ar"/>
              </w:rPr>
              <w:t>总磷</w:t>
            </w:r>
            <w:r>
              <w:rPr>
                <w:rFonts w:hint="default" w:ascii="Times New Roman" w:hAnsi="Times New Roman" w:cs="Times New Roman"/>
                <w:i w:val="0"/>
                <w:color w:val="auto"/>
                <w:kern w:val="0"/>
                <w:sz w:val="24"/>
                <w:szCs w:val="24"/>
                <w:highlight w:val="none"/>
                <w:u w:val="none"/>
                <w:lang w:val="en-US" w:eastAsia="zh-CN" w:bidi="ar"/>
              </w:rPr>
              <w:t>（mg/L）</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河道宽度（m）</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eastAsia" w:ascii="Times New Roman" w:hAnsi="Times New Roman"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水体感官</w:t>
            </w:r>
          </w:p>
        </w:tc>
        <w:tc>
          <w:tcPr>
            <w:tcW w:w="1633"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eastAsia" w:ascii="Times New Roman" w:hAnsi="Times New Roman"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w:t>
            </w:r>
          </w:p>
        </w:tc>
        <w:tc>
          <w:tcPr>
            <w:tcW w:w="1167"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eastAsia"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1.66</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eastAsia"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0.29</w:t>
            </w:r>
          </w:p>
        </w:tc>
        <w:tc>
          <w:tcPr>
            <w:tcW w:w="1246"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eastAsia"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30</w:t>
            </w:r>
          </w:p>
        </w:tc>
        <w:tc>
          <w:tcPr>
            <w:tcW w:w="1246"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浅黄色</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微浑</w:t>
            </w:r>
          </w:p>
        </w:tc>
        <w:tc>
          <w:tcPr>
            <w:tcW w:w="1633"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eastAsia" w:ascii="Times New Roman" w:hAnsi="Times New Roman" w:cs="Times New Roman"/>
                <w:color w:val="auto"/>
                <w:kern w:val="2"/>
                <w:sz w:val="24"/>
                <w:szCs w:val="24"/>
                <w:highlight w:val="none"/>
                <w:vertAlign w:val="baseline"/>
                <w:lang w:val="en-US" w:eastAsia="zh-CN" w:bidi="ar-SA"/>
              </w:rPr>
            </w:pPr>
            <w:r>
              <w:rPr>
                <w:rFonts w:hint="default" w:ascii="Times New Roman" w:hAnsi="Times New Roman" w:cs="Times New Roman"/>
                <w:color w:val="auto"/>
                <w:kern w:val="2"/>
                <w:sz w:val="24"/>
                <w:szCs w:val="24"/>
                <w:highlight w:val="none"/>
                <w:vertAlign w:val="baseline"/>
                <w:lang w:val="en-US" w:eastAsia="zh-CN" w:bidi="ar-SA"/>
              </w:rPr>
              <w:t>沿山线最西端</w:t>
            </w:r>
            <w:r>
              <w:rPr>
                <w:rFonts w:hint="eastAsia" w:ascii="Times New Roman" w:hAnsi="Times New Roman" w:cs="Times New Roman"/>
                <w:color w:val="auto"/>
                <w:kern w:val="2"/>
                <w:sz w:val="24"/>
                <w:szCs w:val="24"/>
                <w:highlight w:val="none"/>
                <w:vertAlign w:val="baseline"/>
                <w:lang w:val="en-US" w:eastAsia="zh-CN" w:bidi="ar-SA"/>
              </w:rPr>
              <w:t>（东横江）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color w:val="auto"/>
                <w:sz w:val="24"/>
                <w:szCs w:val="24"/>
                <w:highlight w:val="none"/>
                <w:vertAlign w:val="baseline"/>
                <w:lang w:val="en-US" w:eastAsia="zh-CN"/>
              </w:rPr>
            </w:pPr>
            <w:r>
              <w:rPr>
                <w:rFonts w:hint="eastAsia" w:cs="Times New Roman"/>
                <w:i w:val="0"/>
                <w:color w:val="auto"/>
                <w:kern w:val="0"/>
                <w:sz w:val="24"/>
                <w:szCs w:val="24"/>
                <w:highlight w:val="none"/>
                <w:u w:val="none"/>
                <w:lang w:val="en-US" w:eastAsia="zh-CN" w:bidi="ar"/>
              </w:rPr>
              <w:t>2</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1167"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2.43</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0.28</w:t>
            </w:r>
          </w:p>
        </w:tc>
        <w:tc>
          <w:tcPr>
            <w:tcW w:w="1246"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33</w:t>
            </w:r>
          </w:p>
        </w:tc>
        <w:tc>
          <w:tcPr>
            <w:tcW w:w="1246"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浅黄色</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微浑</w:t>
            </w:r>
          </w:p>
        </w:tc>
        <w:tc>
          <w:tcPr>
            <w:tcW w:w="1633"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cs="Times New Roman"/>
                <w:color w:val="auto"/>
                <w:kern w:val="2"/>
                <w:sz w:val="24"/>
                <w:szCs w:val="24"/>
                <w:highlight w:val="none"/>
                <w:vertAlign w:val="baseline"/>
                <w:lang w:val="en-US" w:eastAsia="zh-CN" w:bidi="ar-SA"/>
              </w:rPr>
            </w:pPr>
            <w:r>
              <w:rPr>
                <w:rFonts w:hint="default" w:ascii="Times New Roman" w:hAnsi="Times New Roman" w:cs="Times New Roman"/>
                <w:color w:val="auto"/>
                <w:kern w:val="2"/>
                <w:sz w:val="24"/>
                <w:szCs w:val="24"/>
                <w:highlight w:val="none"/>
                <w:vertAlign w:val="baseline"/>
                <w:lang w:val="en-US" w:eastAsia="zh-CN" w:bidi="ar-SA"/>
              </w:rPr>
              <w:t>未知闸北侧</w:t>
            </w:r>
            <w:r>
              <w:rPr>
                <w:rFonts w:hint="eastAsia" w:ascii="Times New Roman" w:hAnsi="Times New Roman" w:cs="Times New Roman"/>
                <w:color w:val="auto"/>
                <w:kern w:val="2"/>
                <w:sz w:val="24"/>
                <w:szCs w:val="24"/>
                <w:highlight w:val="none"/>
                <w:vertAlign w:val="baseline"/>
                <w:lang w:val="en-US" w:eastAsia="zh-CN" w:bidi="ar-SA"/>
              </w:rPr>
              <w:t>（支流）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color w:val="auto"/>
                <w:sz w:val="24"/>
                <w:szCs w:val="24"/>
                <w:highlight w:val="none"/>
                <w:vertAlign w:val="baseline"/>
                <w:lang w:val="en-US" w:eastAsia="zh-CN"/>
              </w:rPr>
            </w:pPr>
            <w:r>
              <w:rPr>
                <w:rFonts w:hint="eastAsia" w:cs="Times New Roman"/>
                <w:i w:val="0"/>
                <w:color w:val="auto"/>
                <w:kern w:val="0"/>
                <w:sz w:val="24"/>
                <w:szCs w:val="24"/>
                <w:highlight w:val="none"/>
                <w:u w:val="none"/>
                <w:lang w:val="en-US" w:eastAsia="zh-CN" w:bidi="ar"/>
              </w:rPr>
              <w:t>3</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1167"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eastAsia" w:cs="Times New Roman"/>
                <w:b/>
                <w:bCs/>
                <w:color w:val="auto"/>
                <w:sz w:val="24"/>
                <w:szCs w:val="24"/>
                <w:highlight w:val="none"/>
                <w:vertAlign w:val="baseline"/>
                <w:lang w:val="en-US" w:eastAsia="zh-CN"/>
              </w:rPr>
              <w:t>2</w:t>
            </w:r>
            <w:r>
              <w:rPr>
                <w:rFonts w:hint="eastAsia" w:ascii="Times New Roman" w:hAnsi="Times New Roman" w:cs="Times New Roman"/>
                <w:b/>
                <w:bCs/>
                <w:color w:val="auto"/>
                <w:sz w:val="24"/>
                <w:szCs w:val="24"/>
                <w:highlight w:val="none"/>
                <w:vertAlign w:val="baseline"/>
                <w:lang w:val="en-US" w:eastAsia="zh-CN"/>
              </w:rPr>
              <w:t>.67</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eastAsia" w:ascii="Times New Roman" w:hAnsi="Times New Roman" w:cs="Times New Roman"/>
                <w:b/>
                <w:bCs/>
                <w:color w:val="auto"/>
                <w:sz w:val="24"/>
                <w:szCs w:val="24"/>
                <w:highlight w:val="none"/>
                <w:vertAlign w:val="baseline"/>
                <w:lang w:val="en-US" w:eastAsia="zh-CN"/>
              </w:rPr>
              <w:t>0.25</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35</w:t>
            </w:r>
          </w:p>
        </w:tc>
        <w:tc>
          <w:tcPr>
            <w:tcW w:w="1246"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浅黄色</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微浑</w:t>
            </w:r>
          </w:p>
        </w:tc>
        <w:tc>
          <w:tcPr>
            <w:tcW w:w="1633"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eastAsia" w:ascii="Times New Roman" w:hAnsi="Times New Roman" w:cs="Times New Roman"/>
                <w:color w:val="auto"/>
                <w:kern w:val="2"/>
                <w:sz w:val="24"/>
                <w:szCs w:val="24"/>
                <w:highlight w:val="none"/>
                <w:vertAlign w:val="baseline"/>
                <w:lang w:val="en-US" w:eastAsia="zh-CN" w:bidi="ar-SA"/>
              </w:rPr>
            </w:pPr>
            <w:r>
              <w:rPr>
                <w:rFonts w:hint="default" w:ascii="Times New Roman" w:hAnsi="Times New Roman" w:cs="Times New Roman"/>
                <w:color w:val="auto"/>
                <w:kern w:val="2"/>
                <w:sz w:val="24"/>
                <w:szCs w:val="24"/>
                <w:highlight w:val="none"/>
                <w:vertAlign w:val="baseline"/>
                <w:lang w:val="en-US" w:eastAsia="zh-CN" w:bidi="ar-SA"/>
              </w:rPr>
              <w:t>未知</w:t>
            </w:r>
            <w:r>
              <w:rPr>
                <w:rFonts w:hint="eastAsia" w:ascii="Times New Roman" w:hAnsi="Times New Roman" w:cs="Times New Roman"/>
                <w:color w:val="auto"/>
                <w:kern w:val="2"/>
                <w:sz w:val="24"/>
                <w:szCs w:val="24"/>
                <w:highlight w:val="none"/>
                <w:vertAlign w:val="baseline"/>
                <w:lang w:val="en-US" w:eastAsia="zh-CN" w:bidi="ar-SA"/>
              </w:rPr>
              <w:t>闸</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color w:val="auto"/>
                <w:kern w:val="2"/>
                <w:sz w:val="24"/>
                <w:szCs w:val="24"/>
                <w:highlight w:val="none"/>
                <w:vertAlign w:val="baseline"/>
                <w:lang w:val="en-US" w:eastAsia="zh-CN" w:bidi="ar-SA"/>
              </w:rPr>
            </w:pPr>
            <w:r>
              <w:rPr>
                <w:rFonts w:hint="eastAsia" w:ascii="Times New Roman" w:hAnsi="Times New Roman" w:cs="Times New Roman"/>
                <w:color w:val="auto"/>
                <w:kern w:val="2"/>
                <w:sz w:val="24"/>
                <w:szCs w:val="24"/>
                <w:highlight w:val="none"/>
                <w:vertAlign w:val="baseline"/>
                <w:lang w:val="en-US" w:eastAsia="zh-CN" w:bidi="ar-SA"/>
              </w:rPr>
              <w:t>（支流）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trPr>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color w:val="auto"/>
                <w:sz w:val="24"/>
                <w:szCs w:val="24"/>
                <w:highlight w:val="none"/>
                <w:vertAlign w:val="baseline"/>
                <w:lang w:val="en-US" w:eastAsia="zh-CN"/>
              </w:rPr>
            </w:pPr>
            <w:r>
              <w:rPr>
                <w:rFonts w:hint="eastAsia" w:cs="Times New Roman"/>
                <w:i w:val="0"/>
                <w:color w:val="auto"/>
                <w:kern w:val="0"/>
                <w:sz w:val="24"/>
                <w:szCs w:val="24"/>
                <w:highlight w:val="none"/>
                <w:u w:val="none"/>
                <w:lang w:val="en-US" w:eastAsia="zh-CN" w:bidi="ar"/>
              </w:rPr>
              <w:t>4</w:t>
            </w:r>
            <w:r>
              <w:rPr>
                <w:rFonts w:hint="default" w:ascii="Times New Roman" w:hAnsi="Times New Roman" w:eastAsia="宋体" w:cs="Times New Roman"/>
                <w:i w:val="0"/>
                <w:color w:val="auto"/>
                <w:kern w:val="0"/>
                <w:sz w:val="24"/>
                <w:szCs w:val="24"/>
                <w:highlight w:val="none"/>
                <w:u w:val="none"/>
                <w:lang w:val="en-US" w:eastAsia="zh-CN" w:bidi="ar"/>
              </w:rPr>
              <w:t>#</w:t>
            </w:r>
          </w:p>
        </w:tc>
        <w:tc>
          <w:tcPr>
            <w:tcW w:w="1167"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eastAsia" w:cs="Times New Roman"/>
                <w:b/>
                <w:bCs/>
                <w:color w:val="auto"/>
                <w:sz w:val="24"/>
                <w:szCs w:val="24"/>
                <w:highlight w:val="none"/>
                <w:vertAlign w:val="baseline"/>
                <w:lang w:val="en-US" w:eastAsia="zh-CN"/>
              </w:rPr>
              <w:t>1.82</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eastAsia" w:ascii="Times New Roman" w:hAnsi="Times New Roman" w:cs="Times New Roman"/>
                <w:b/>
                <w:bCs/>
                <w:color w:val="auto"/>
                <w:sz w:val="24"/>
                <w:szCs w:val="24"/>
                <w:highlight w:val="none"/>
                <w:vertAlign w:val="baseline"/>
                <w:lang w:val="en-US" w:eastAsia="zh-CN"/>
              </w:rPr>
              <w:t>0.</w:t>
            </w:r>
            <w:r>
              <w:rPr>
                <w:rFonts w:hint="eastAsia" w:cs="Times New Roman"/>
                <w:b/>
                <w:bCs/>
                <w:color w:val="auto"/>
                <w:sz w:val="24"/>
                <w:szCs w:val="24"/>
                <w:highlight w:val="none"/>
                <w:vertAlign w:val="baseline"/>
                <w:lang w:val="en-US" w:eastAsia="zh-CN"/>
              </w:rPr>
              <w:t>3</w:t>
            </w:r>
            <w:r>
              <w:rPr>
                <w:rFonts w:hint="eastAsia" w:ascii="Times New Roman" w:hAnsi="Times New Roman" w:cs="Times New Roman"/>
                <w:b/>
                <w:bCs/>
                <w:color w:val="auto"/>
                <w:sz w:val="24"/>
                <w:szCs w:val="24"/>
                <w:highlight w:val="none"/>
                <w:vertAlign w:val="baseline"/>
                <w:lang w:val="en-US" w:eastAsia="zh-CN"/>
              </w:rPr>
              <w:t>1</w:t>
            </w:r>
          </w:p>
        </w:tc>
        <w:tc>
          <w:tcPr>
            <w:tcW w:w="1246"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vertAlign w:val="baseline"/>
                <w:lang w:val="en-US" w:eastAsia="zh-CN"/>
              </w:rPr>
              <w:t>35</w:t>
            </w:r>
          </w:p>
        </w:tc>
        <w:tc>
          <w:tcPr>
            <w:tcW w:w="1246" w:type="dxa"/>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浅黄色</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b/>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微浑</w:t>
            </w:r>
          </w:p>
        </w:tc>
        <w:tc>
          <w:tcPr>
            <w:tcW w:w="1633" w:type="dxa"/>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cs="Times New Roman"/>
                <w:color w:val="auto"/>
                <w:kern w:val="2"/>
                <w:sz w:val="24"/>
                <w:szCs w:val="24"/>
                <w:highlight w:val="none"/>
                <w:vertAlign w:val="baseline"/>
                <w:lang w:val="en-US" w:eastAsia="zh-CN" w:bidi="ar-SA"/>
              </w:rPr>
            </w:pPr>
            <w:r>
              <w:rPr>
                <w:rFonts w:hint="default" w:ascii="Times New Roman" w:hAnsi="Times New Roman" w:cs="Times New Roman"/>
                <w:color w:val="auto"/>
                <w:kern w:val="2"/>
                <w:sz w:val="24"/>
                <w:szCs w:val="24"/>
                <w:highlight w:val="none"/>
                <w:vertAlign w:val="baseline"/>
                <w:lang w:val="en-US" w:eastAsia="zh-CN" w:bidi="ar-SA"/>
              </w:rPr>
              <w:t>未知</w:t>
            </w:r>
            <w:r>
              <w:rPr>
                <w:rFonts w:hint="eastAsia" w:ascii="Times New Roman" w:hAnsi="Times New Roman" w:cs="Times New Roman"/>
                <w:color w:val="auto"/>
                <w:kern w:val="2"/>
                <w:sz w:val="24"/>
                <w:szCs w:val="24"/>
                <w:highlight w:val="none"/>
                <w:vertAlign w:val="baseline"/>
                <w:lang w:val="en-US" w:eastAsia="zh-CN" w:bidi="ar-SA"/>
              </w:rPr>
              <w:t>闸（支流）</w:t>
            </w:r>
          </w:p>
        </w:tc>
      </w:tr>
    </w:tbl>
    <w:p>
      <w:pPr>
        <w:pStyle w:val="3"/>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drawing>
          <wp:inline distT="0" distB="0" distL="114300" distR="114300">
            <wp:extent cx="4596765" cy="4350385"/>
            <wp:effectExtent l="0" t="0" r="635" b="5715"/>
            <wp:docPr id="7" name="图片 8" descr="监测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监测点"/>
                    <pic:cNvPicPr>
                      <a:picLocks noChangeAspect="1"/>
                    </pic:cNvPicPr>
                  </pic:nvPicPr>
                  <pic:blipFill>
                    <a:blip r:embed="rId24"/>
                    <a:stretch>
                      <a:fillRect/>
                    </a:stretch>
                  </pic:blipFill>
                  <pic:spPr>
                    <a:xfrm>
                      <a:off x="0" y="0"/>
                      <a:ext cx="4596765" cy="435038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i w:val="0"/>
          <w:iCs/>
          <w:color w:val="auto"/>
          <w:kern w:val="2"/>
          <w:sz w:val="24"/>
          <w:szCs w:val="24"/>
          <w:highlight w:val="none"/>
          <w:vertAlign w:val="baseline"/>
          <w:lang w:val="en-US" w:eastAsia="zh-CN" w:bidi="ar-SA"/>
        </w:rPr>
      </w:pPr>
      <w:r>
        <w:rPr>
          <w:rFonts w:hint="default" w:ascii="Times New Roman" w:hAnsi="Times New Roman" w:eastAsia="宋体" w:cs="Times New Roman"/>
          <w:i w:val="0"/>
          <w:iCs/>
          <w:color w:val="auto"/>
          <w:sz w:val="24"/>
          <w:szCs w:val="24"/>
          <w:highlight w:val="none"/>
          <w:lang w:val="en-US" w:eastAsia="zh-CN"/>
        </w:rPr>
        <w:t>图</w:t>
      </w:r>
      <w:r>
        <w:rPr>
          <w:rFonts w:hint="eastAsia" w:ascii="Times New Roman" w:hAnsi="Times New Roman" w:cs="Times New Roman"/>
          <w:i w:val="0"/>
          <w:iCs/>
          <w:color w:val="auto"/>
          <w:sz w:val="24"/>
          <w:szCs w:val="24"/>
          <w:highlight w:val="none"/>
          <w:lang w:val="en-US" w:eastAsia="zh-CN"/>
        </w:rPr>
        <w:t>5</w:t>
      </w:r>
      <w:r>
        <w:rPr>
          <w:rFonts w:hint="default" w:ascii="Times New Roman" w:hAnsi="Times New Roman" w:eastAsia="宋体" w:cs="Times New Roman"/>
          <w:i w:val="0"/>
          <w:iCs/>
          <w:color w:val="auto"/>
          <w:sz w:val="24"/>
          <w:szCs w:val="24"/>
          <w:highlight w:val="none"/>
          <w:lang w:val="en-US" w:eastAsia="zh-CN"/>
        </w:rPr>
        <w:t xml:space="preserve"> </w:t>
      </w:r>
      <w:r>
        <w:rPr>
          <w:rFonts w:hint="eastAsia" w:ascii="Times New Roman" w:hAnsi="Times New Roman" w:cs="Times New Roman"/>
          <w:i w:val="0"/>
          <w:iCs/>
          <w:color w:val="auto"/>
          <w:sz w:val="24"/>
          <w:szCs w:val="24"/>
          <w:highlight w:val="none"/>
          <w:lang w:val="en-US" w:eastAsia="zh-CN"/>
        </w:rPr>
        <w:t>东横</w:t>
      </w:r>
      <w:r>
        <w:rPr>
          <w:rFonts w:hint="default" w:ascii="Times New Roman" w:hAnsi="Times New Roman" w:cs="Times New Roman"/>
          <w:i w:val="0"/>
          <w:iCs/>
          <w:color w:val="auto"/>
          <w:sz w:val="24"/>
          <w:szCs w:val="24"/>
          <w:highlight w:val="none"/>
          <w:lang w:val="en-US" w:eastAsia="zh-CN"/>
        </w:rPr>
        <w:t>江河道</w:t>
      </w:r>
      <w:r>
        <w:rPr>
          <w:rFonts w:hint="eastAsia" w:cs="Times New Roman"/>
          <w:i w:val="0"/>
          <w:iCs/>
          <w:color w:val="auto"/>
          <w:sz w:val="24"/>
          <w:szCs w:val="24"/>
          <w:highlight w:val="none"/>
          <w:lang w:val="en-US" w:eastAsia="zh-CN"/>
        </w:rPr>
        <w:t>水样数据</w:t>
      </w:r>
      <w:r>
        <w:rPr>
          <w:rFonts w:hint="default" w:ascii="Times New Roman" w:hAnsi="Times New Roman" w:eastAsia="宋体" w:cs="Times New Roman"/>
          <w:i w:val="0"/>
          <w:iCs/>
          <w:color w:val="auto"/>
          <w:sz w:val="24"/>
          <w:szCs w:val="24"/>
          <w:highlight w:val="none"/>
          <w:lang w:val="en-US" w:eastAsia="zh-CN"/>
        </w:rPr>
        <w:t>点位图</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p>
    <w:p>
      <w:pPr>
        <w:spacing w:line="360" w:lineRule="auto"/>
        <w:jc w:val="center"/>
        <w:rPr>
          <w:rFonts w:hint="default"/>
          <w:b/>
          <w:bCs/>
          <w:color w:val="auto"/>
          <w:sz w:val="28"/>
          <w:szCs w:val="24"/>
          <w:highlight w:val="none"/>
          <w:lang w:val="en-US" w:eastAsia="zh-CN"/>
        </w:rPr>
      </w:pPr>
    </w:p>
    <w:p>
      <w:pPr>
        <w:spacing w:line="360" w:lineRule="auto"/>
        <w:jc w:val="center"/>
        <w:rPr>
          <w:rFonts w:hint="default"/>
          <w:b/>
          <w:bCs/>
          <w:color w:val="auto"/>
          <w:sz w:val="28"/>
          <w:szCs w:val="24"/>
          <w:highlight w:val="none"/>
          <w:lang w:val="en-US" w:eastAsia="zh-CN"/>
        </w:rPr>
      </w:pPr>
    </w:p>
    <w:p>
      <w:pPr>
        <w:spacing w:line="360" w:lineRule="auto"/>
        <w:jc w:val="center"/>
        <w:rPr>
          <w:rFonts w:hint="default" w:cs="Times New Roman"/>
          <w:b/>
          <w:bCs/>
          <w:color w:val="auto"/>
          <w:kern w:val="2"/>
          <w:sz w:val="28"/>
          <w:szCs w:val="24"/>
          <w:highlight w:val="none"/>
          <w:lang w:val="en-US" w:eastAsia="zh-CN" w:bidi="ar-SA"/>
        </w:rPr>
      </w:pPr>
      <w:r>
        <w:rPr>
          <w:rFonts w:hint="default"/>
          <w:b/>
          <w:bCs/>
          <w:color w:val="auto"/>
          <w:sz w:val="28"/>
          <w:szCs w:val="24"/>
          <w:highlight w:val="none"/>
          <w:lang w:val="en-US" w:eastAsia="zh-CN"/>
        </w:rPr>
        <w:t>三、设备技术参数清单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表</w:t>
      </w:r>
      <w:r>
        <w:rPr>
          <w:rFonts w:hint="eastAsia" w:cs="Times New Roman"/>
          <w:color w:val="auto"/>
          <w:kern w:val="2"/>
          <w:sz w:val="24"/>
          <w:szCs w:val="24"/>
          <w:highlight w:val="none"/>
          <w:lang w:val="en-US" w:eastAsia="zh-CN" w:bidi="ar-SA"/>
        </w:rPr>
        <w:t>3</w:t>
      </w:r>
      <w:r>
        <w:rPr>
          <w:rFonts w:hint="default" w:ascii="Times New Roman" w:hAnsi="Times New Roman" w:cs="Times New Roman"/>
          <w:color w:val="auto"/>
          <w:kern w:val="2"/>
          <w:sz w:val="24"/>
          <w:szCs w:val="24"/>
          <w:highlight w:val="none"/>
          <w:lang w:val="en-US" w:eastAsia="zh-CN" w:bidi="ar-SA"/>
        </w:rPr>
        <w:t xml:space="preserve"> </w:t>
      </w:r>
      <w:r>
        <w:rPr>
          <w:rFonts w:hint="eastAsia" w:ascii="Times New Roman" w:hAnsi="Times New Roman" w:cs="Times New Roman"/>
          <w:color w:val="auto"/>
          <w:kern w:val="2"/>
          <w:sz w:val="24"/>
          <w:szCs w:val="24"/>
          <w:highlight w:val="none"/>
          <w:lang w:val="en-US" w:eastAsia="zh-CN" w:bidi="ar-SA"/>
        </w:rPr>
        <w:t>主要设备技术参数清单一览表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935"/>
        <w:gridCol w:w="3307"/>
        <w:gridCol w:w="788"/>
        <w:gridCol w:w="788"/>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shd w:val="clear" w:color="auto" w:fill="B6DDE8"/>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eastAsia="宋体" w:cs="Times New Roman"/>
                <w:b/>
                <w:bCs/>
                <w:i w:val="0"/>
                <w:iCs/>
                <w:color w:val="auto"/>
                <w:kern w:val="2"/>
                <w:sz w:val="21"/>
                <w:szCs w:val="21"/>
                <w:highlight w:val="none"/>
                <w:vertAlign w:val="baseline"/>
                <w:lang w:val="en-US" w:eastAsia="zh-CN" w:bidi="ar-SA"/>
              </w:rPr>
              <w:t>序号</w:t>
            </w:r>
          </w:p>
        </w:tc>
        <w:tc>
          <w:tcPr>
            <w:tcW w:w="1041" w:type="pct"/>
            <w:shd w:val="clear" w:color="auto" w:fill="B6DDE8"/>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名称</w:t>
            </w:r>
          </w:p>
        </w:tc>
        <w:tc>
          <w:tcPr>
            <w:tcW w:w="1780" w:type="pct"/>
            <w:shd w:val="clear" w:color="auto" w:fill="B6DDE8"/>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eastAsia="宋体" w:cs="Times New Roman"/>
                <w:b/>
                <w:bCs/>
                <w:i w:val="0"/>
                <w:iCs/>
                <w:color w:val="auto"/>
                <w:kern w:val="0"/>
                <w:sz w:val="21"/>
                <w:szCs w:val="21"/>
                <w:highlight w:val="none"/>
              </w:rPr>
              <w:t>型号/规格</w:t>
            </w:r>
          </w:p>
        </w:tc>
        <w:tc>
          <w:tcPr>
            <w:tcW w:w="424" w:type="pct"/>
            <w:shd w:val="clear" w:color="auto" w:fill="B6DDE8"/>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单位</w:t>
            </w:r>
          </w:p>
        </w:tc>
        <w:tc>
          <w:tcPr>
            <w:tcW w:w="424" w:type="pct"/>
            <w:shd w:val="clear" w:color="auto" w:fill="B6DDE8"/>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数量</w:t>
            </w:r>
          </w:p>
        </w:tc>
        <w:tc>
          <w:tcPr>
            <w:tcW w:w="835" w:type="pct"/>
            <w:shd w:val="clear" w:color="auto" w:fill="B6DDE8"/>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93"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1</w:t>
            </w:r>
          </w:p>
        </w:tc>
        <w:tc>
          <w:tcPr>
            <w:tcW w:w="1041"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预处理系统</w:t>
            </w:r>
          </w:p>
        </w:tc>
        <w:tc>
          <w:tcPr>
            <w:tcW w:w="1780"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p>
        </w:tc>
        <w:tc>
          <w:tcPr>
            <w:tcW w:w="835"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1.1</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液位开关</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kern w:val="2"/>
                <w:sz w:val="21"/>
                <w:szCs w:val="21"/>
                <w:highlight w:val="none"/>
                <w:vertAlign w:val="baseline"/>
                <w:lang w:val="en-US" w:eastAsia="zh-CN" w:bidi="ar-SA"/>
              </w:rPr>
              <w:t>配提升泵</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1.2</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提升泵</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潜污泵，</w:t>
            </w:r>
            <w:r>
              <w:rPr>
                <w:rFonts w:hint="default" w:ascii="Times New Roman" w:hAnsi="Times New Roman" w:eastAsia="宋体" w:cs="Times New Roman"/>
                <w:i w:val="0"/>
                <w:iCs/>
                <w:color w:val="auto"/>
                <w:kern w:val="2"/>
                <w:sz w:val="21"/>
                <w:szCs w:val="21"/>
                <w:highlight w:val="none"/>
                <w:vertAlign w:val="baseline"/>
                <w:lang w:val="en-US" w:eastAsia="zh-CN" w:bidi="ar-SA"/>
              </w:rPr>
              <w:t>流量500m</w:t>
            </w:r>
            <w:r>
              <w:rPr>
                <w:rFonts w:hint="default" w:ascii="Times New Roman" w:hAnsi="Times New Roman" w:eastAsia="宋体" w:cs="Times New Roman"/>
                <w:i w:val="0"/>
                <w:iCs/>
                <w:color w:val="auto"/>
                <w:kern w:val="2"/>
                <w:sz w:val="21"/>
                <w:szCs w:val="21"/>
                <w:highlight w:val="none"/>
                <w:vertAlign w:val="superscript"/>
                <w:lang w:val="en-US" w:eastAsia="zh-CN" w:bidi="ar-SA"/>
              </w:rPr>
              <w:t>3</w:t>
            </w:r>
            <w:r>
              <w:rPr>
                <w:rFonts w:hint="default" w:ascii="Times New Roman" w:hAnsi="Times New Roman" w:eastAsia="宋体" w:cs="Times New Roman"/>
                <w:i w:val="0"/>
                <w:iCs/>
                <w:color w:val="auto"/>
                <w:kern w:val="2"/>
                <w:sz w:val="21"/>
                <w:szCs w:val="21"/>
                <w:highlight w:val="none"/>
                <w:vertAlign w:val="baseline"/>
                <w:lang w:val="en-US" w:eastAsia="zh-CN" w:bidi="ar-SA"/>
              </w:rPr>
              <w:t>/h；扬程15m</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台</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lang w:val="en-US" w:eastAsia="zh-CN"/>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iCs/>
                <w:color w:val="auto"/>
                <w:kern w:val="0"/>
                <w:sz w:val="21"/>
                <w:szCs w:val="21"/>
                <w:highlight w:val="none"/>
                <w:lang w:eastAsia="zh-CN"/>
              </w:rPr>
            </w:pPr>
            <w:r>
              <w:rPr>
                <w:rFonts w:hint="eastAsia" w:cs="Times New Roman"/>
                <w:iCs/>
                <w:color w:val="auto"/>
                <w:kern w:val="0"/>
                <w:sz w:val="21"/>
                <w:szCs w:val="21"/>
                <w:highlight w:val="none"/>
                <w:lang w:val="en-US" w:eastAsia="zh-CN"/>
              </w:rPr>
              <w:t>1</w:t>
            </w:r>
            <w:r>
              <w:rPr>
                <w:rFonts w:hint="default" w:ascii="Times New Roman" w:hAnsi="Times New Roman" w:eastAsia="宋体" w:cs="Times New Roman"/>
                <w:iCs/>
                <w:color w:val="auto"/>
                <w:kern w:val="0"/>
                <w:sz w:val="21"/>
                <w:szCs w:val="21"/>
                <w:highlight w:val="none"/>
              </w:rPr>
              <w:t>.</w:t>
            </w:r>
            <w:r>
              <w:rPr>
                <w:rFonts w:hint="eastAsia" w:cs="Times New Roman"/>
                <w:iCs/>
                <w:color w:val="auto"/>
                <w:kern w:val="0"/>
                <w:sz w:val="21"/>
                <w:szCs w:val="21"/>
                <w:highlight w:val="none"/>
                <w:lang w:val="en-US" w:eastAsia="zh-CN"/>
              </w:rPr>
              <w:t>3</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Cs/>
                <w:color w:val="auto"/>
                <w:kern w:val="0"/>
                <w:sz w:val="21"/>
                <w:szCs w:val="21"/>
                <w:highlight w:val="none"/>
              </w:rPr>
              <w:t>电磁流量计</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2"/>
                <w:sz w:val="21"/>
                <w:szCs w:val="21"/>
                <w:highlight w:val="none"/>
                <w:vertAlign w:val="baseline"/>
                <w:lang w:val="en-US" w:eastAsia="zh-CN" w:bidi="ar-SA"/>
              </w:rPr>
            </w:pPr>
            <w:r>
              <w:rPr>
                <w:rFonts w:hint="default" w:ascii="Times New Roman" w:hAnsi="Times New Roman" w:eastAsia="宋体" w:cs="Times New Roman"/>
                <w:iCs/>
                <w:color w:val="auto"/>
                <w:kern w:val="0"/>
                <w:sz w:val="21"/>
                <w:szCs w:val="21"/>
                <w:highlight w:val="none"/>
              </w:rPr>
              <w:t>DN</w:t>
            </w:r>
            <w:r>
              <w:rPr>
                <w:rFonts w:hint="default" w:ascii="Times New Roman" w:hAnsi="Times New Roman" w:eastAsia="宋体" w:cs="Times New Roman"/>
                <w:iCs/>
                <w:color w:val="auto"/>
                <w:kern w:val="0"/>
                <w:sz w:val="21"/>
                <w:szCs w:val="21"/>
                <w:highlight w:val="none"/>
                <w:lang w:val="en-US" w:eastAsia="zh-CN"/>
              </w:rPr>
              <w:t>3</w:t>
            </w:r>
            <w:r>
              <w:rPr>
                <w:rFonts w:hint="default" w:ascii="Times New Roman" w:hAnsi="Times New Roman" w:eastAsia="宋体" w:cs="Times New Roman"/>
                <w:iCs/>
                <w:color w:val="auto"/>
                <w:kern w:val="0"/>
                <w:sz w:val="21"/>
                <w:szCs w:val="21"/>
                <w:highlight w:val="none"/>
              </w:rPr>
              <w:t>00, RS485通讯，24VDC,4~20mA</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Cs/>
                <w:color w:val="auto"/>
                <w:kern w:val="0"/>
                <w:sz w:val="21"/>
                <w:szCs w:val="21"/>
                <w:highlight w:val="none"/>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Cs/>
                <w:color w:val="auto"/>
                <w:kern w:val="0"/>
                <w:sz w:val="21"/>
                <w:szCs w:val="21"/>
                <w:highlight w:val="none"/>
                <w:lang w:val="en-US" w:eastAsia="zh-CN"/>
              </w:rPr>
              <w:t>1</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1.4</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水泵格栅</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304材质</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套</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1.5</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水泵安装支架</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eastAsia" w:cs="Times New Roman"/>
                <w:i w:val="0"/>
                <w:iCs/>
                <w:color w:val="auto"/>
                <w:kern w:val="0"/>
                <w:sz w:val="21"/>
                <w:szCs w:val="21"/>
                <w:highlight w:val="none"/>
                <w:lang w:val="en-US" w:eastAsia="zh-CN"/>
              </w:rPr>
            </w:pPr>
            <w:r>
              <w:rPr>
                <w:rFonts w:hint="eastAsia" w:ascii="Times New Roman" w:hAnsi="Times New Roman" w:eastAsia="宋体" w:cs="Times New Roman"/>
                <w:i w:val="0"/>
                <w:iCs/>
                <w:color w:val="auto"/>
                <w:kern w:val="0"/>
                <w:sz w:val="21"/>
                <w:szCs w:val="21"/>
                <w:highlight w:val="none"/>
                <w:lang w:val="en-US" w:eastAsia="zh-CN" w:bidi="ar-SA"/>
              </w:rPr>
              <w:t>碳钢防腐</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iCs/>
                <w:color w:val="auto"/>
                <w:kern w:val="0"/>
                <w:sz w:val="21"/>
                <w:szCs w:val="21"/>
                <w:highlight w:val="none"/>
                <w:lang w:val="en-US" w:eastAsia="zh-CN"/>
              </w:rPr>
            </w:pPr>
            <w:r>
              <w:rPr>
                <w:rFonts w:hint="eastAsia" w:ascii="Times New Roman" w:hAnsi="Times New Roman" w:cs="Times New Roman"/>
                <w:iCs/>
                <w:color w:val="auto"/>
                <w:kern w:val="0"/>
                <w:sz w:val="21"/>
                <w:szCs w:val="21"/>
                <w:highlight w:val="none"/>
                <w:lang w:val="en-US" w:eastAsia="zh-CN"/>
              </w:rPr>
              <w:t>套</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iCs/>
                <w:color w:val="auto"/>
                <w:kern w:val="0"/>
                <w:sz w:val="21"/>
                <w:szCs w:val="21"/>
                <w:highlight w:val="none"/>
                <w:lang w:val="en-US" w:eastAsia="zh-CN"/>
              </w:rPr>
            </w:pPr>
            <w:r>
              <w:rPr>
                <w:rFonts w:hint="eastAsia" w:ascii="Times New Roman" w:hAnsi="Times New Roman" w:cs="Times New Roman"/>
                <w:iCs/>
                <w:color w:val="auto"/>
                <w:kern w:val="0"/>
                <w:sz w:val="21"/>
                <w:szCs w:val="21"/>
                <w:highlight w:val="none"/>
                <w:lang w:val="en-US" w:eastAsia="zh-CN"/>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93"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2</w:t>
            </w:r>
          </w:p>
        </w:tc>
        <w:tc>
          <w:tcPr>
            <w:tcW w:w="1041"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高效脱氮系统</w:t>
            </w:r>
          </w:p>
        </w:tc>
        <w:tc>
          <w:tcPr>
            <w:tcW w:w="1780"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p>
        </w:tc>
        <w:tc>
          <w:tcPr>
            <w:tcW w:w="835"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3"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kern w:val="2"/>
                <w:sz w:val="21"/>
                <w:szCs w:val="21"/>
                <w:highlight w:val="none"/>
                <w:vertAlign w:val="baseline"/>
                <w:lang w:val="en-US" w:eastAsia="zh-CN" w:bidi="ar-SA"/>
              </w:rPr>
              <w:t>2.1</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kern w:val="2"/>
                <w:sz w:val="21"/>
                <w:szCs w:val="21"/>
                <w:highlight w:val="none"/>
                <w:vertAlign w:val="baseline"/>
                <w:lang w:val="en-US" w:eastAsia="zh-CN" w:bidi="ar-SA"/>
              </w:rPr>
              <w:t>★高效脱氮设备</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highlight w:val="none"/>
                <w:lang w:val="en-US" w:eastAsia="zh-CN"/>
              </w:rPr>
              <w:t>单套处理规模5</w:t>
            </w:r>
            <w:r>
              <w:rPr>
                <w:rFonts w:hint="default" w:ascii="Times New Roman" w:hAnsi="Times New Roman" w:eastAsia="宋体" w:cs="Times New Roman"/>
                <w:i w:val="0"/>
                <w:iCs/>
                <w:color w:val="auto"/>
                <w:highlight w:val="none"/>
              </w:rPr>
              <w:t>000m</w:t>
            </w:r>
            <w:r>
              <w:rPr>
                <w:rFonts w:hint="default" w:ascii="Times New Roman" w:hAnsi="Times New Roman" w:eastAsia="宋体" w:cs="Times New Roman"/>
                <w:i w:val="0"/>
                <w:iCs/>
                <w:color w:val="auto"/>
                <w:highlight w:val="none"/>
                <w:vertAlign w:val="superscript"/>
              </w:rPr>
              <w:t>3</w:t>
            </w:r>
            <w:r>
              <w:rPr>
                <w:rFonts w:hint="default" w:ascii="Times New Roman" w:hAnsi="Times New Roman" w:eastAsia="宋体" w:cs="Times New Roman"/>
                <w:i w:val="0"/>
                <w:iCs/>
                <w:color w:val="auto"/>
                <w:highlight w:val="none"/>
              </w:rPr>
              <w:t>/d</w:t>
            </w:r>
            <w:r>
              <w:rPr>
                <w:rFonts w:hint="default" w:ascii="Times New Roman" w:hAnsi="Times New Roman" w:cs="Times New Roman"/>
                <w:i w:val="0"/>
                <w:iCs/>
                <w:color w:val="auto"/>
                <w:highlight w:val="none"/>
                <w:lang w:eastAsia="zh-CN"/>
              </w:rPr>
              <w:t>；</w:t>
            </w:r>
            <w:r>
              <w:rPr>
                <w:rFonts w:hint="eastAsia" w:cs="Times New Roman"/>
                <w:i w:val="0"/>
                <w:iCs/>
                <w:color w:val="auto"/>
                <w:highlight w:val="none"/>
                <w:lang w:val="en-US" w:eastAsia="zh-CN"/>
              </w:rPr>
              <w:t>单套</w:t>
            </w:r>
            <w:r>
              <w:rPr>
                <w:rFonts w:hint="default" w:ascii="Times New Roman" w:hAnsi="Times New Roman" w:cs="Times New Roman"/>
                <w:i w:val="0"/>
                <w:iCs/>
                <w:color w:val="auto"/>
                <w:highlight w:val="none"/>
                <w:lang w:val="en-US" w:eastAsia="zh-CN"/>
              </w:rPr>
              <w:t>生化</w:t>
            </w:r>
            <w:r>
              <w:rPr>
                <w:rFonts w:hint="eastAsia" w:cs="Times New Roman"/>
                <w:i w:val="0"/>
                <w:iCs/>
                <w:color w:val="auto"/>
                <w:highlight w:val="none"/>
                <w:lang w:val="en-US" w:eastAsia="zh-CN"/>
              </w:rPr>
              <w:t>处理的反应容积不低于450m³</w:t>
            </w:r>
            <w:r>
              <w:rPr>
                <w:rFonts w:hint="default" w:ascii="Times New Roman" w:hAnsi="Times New Roman" w:cs="Times New Roman"/>
                <w:i w:val="0"/>
                <w:iCs/>
                <w:color w:val="auto"/>
                <w:highlight w:val="none"/>
                <w:lang w:val="en-US" w:eastAsia="zh-CN"/>
              </w:rPr>
              <w:t>；出水氨氮小于1.0mg/</w:t>
            </w:r>
            <w:r>
              <w:rPr>
                <w:rFonts w:hint="eastAsia" w:cs="Times New Roman"/>
                <w:i w:val="0"/>
                <w:iCs/>
                <w:color w:val="auto"/>
                <w:highlight w:val="none"/>
                <w:lang w:val="en-US" w:eastAsia="zh-CN"/>
              </w:rPr>
              <w:t>L。</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kern w:val="2"/>
                <w:sz w:val="21"/>
                <w:szCs w:val="21"/>
                <w:highlight w:val="none"/>
                <w:vertAlign w:val="baseline"/>
                <w:lang w:val="en-US" w:eastAsia="zh-CN" w:bidi="ar-SA"/>
              </w:rPr>
              <w:t>套</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kern w:val="2"/>
                <w:sz w:val="21"/>
                <w:szCs w:val="21"/>
                <w:highlight w:val="none"/>
                <w:vertAlign w:val="baseline"/>
                <w:lang w:val="en-US" w:eastAsia="zh-CN" w:bidi="ar-SA"/>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2.2</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曝气管</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default" w:ascii="Times New Roman" w:hAnsi="Times New Roman" w:cs="Times New Roman"/>
                <w:i w:val="0"/>
                <w:iCs/>
                <w:color w:val="auto"/>
                <w:highlight w:val="none"/>
                <w:lang w:val="en-US" w:eastAsia="zh-CN"/>
              </w:rPr>
              <w:t>φ65mm，孔径1mm，标准通气量3-5m3/m，含ABS支架成套配置</w:t>
            </w:r>
            <w:r>
              <w:rPr>
                <w:rFonts w:hint="eastAsia" w:cs="Times New Roman"/>
                <w:i w:val="0"/>
                <w:iCs/>
                <w:color w:val="auto"/>
                <w:highlight w:val="none"/>
                <w:lang w:val="en-US" w:eastAsia="zh-CN"/>
              </w:rPr>
              <w:t>；含末端支架</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m</w:t>
            </w:r>
          </w:p>
        </w:tc>
        <w:tc>
          <w:tcPr>
            <w:tcW w:w="424"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320</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2.3</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曝气风机</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default" w:ascii="Times New Roman" w:hAnsi="Times New Roman" w:cs="Times New Roman"/>
                <w:i w:val="0"/>
                <w:iCs/>
                <w:color w:val="auto"/>
                <w:highlight w:val="none"/>
                <w:lang w:val="en-US" w:eastAsia="zh-CN"/>
              </w:rPr>
              <w:t>鼓风机，风量：11.8m3/min；压力：50kPa</w:t>
            </w:r>
            <w:r>
              <w:rPr>
                <w:rFonts w:hint="eastAsia" w:cs="Times New Roman"/>
                <w:i w:val="0"/>
                <w:iCs/>
                <w:color w:val="auto"/>
                <w:highlight w:val="none"/>
                <w:lang w:val="en-US" w:eastAsia="zh-CN"/>
              </w:rPr>
              <w:t>，噪音要满足国家标准</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台</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3</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2.4</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高效脱氮填料</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eastAsia" w:cs="Times New Roman"/>
                <w:i w:val="0"/>
                <w:iCs/>
                <w:color w:val="auto"/>
                <w:highlight w:val="none"/>
                <w:lang w:val="en-US" w:eastAsia="zh-CN"/>
              </w:rPr>
              <w:t>比表面积不低于500m2/m3，直径24mm*10mm</w:t>
            </w:r>
          </w:p>
        </w:tc>
        <w:tc>
          <w:tcPr>
            <w:tcW w:w="424"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eastAsia"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m</w:t>
            </w:r>
            <w:r>
              <w:rPr>
                <w:rFonts w:hint="eastAsia" w:cs="Times New Roman"/>
                <w:i w:val="0"/>
                <w:iCs/>
                <w:color w:val="auto"/>
                <w:kern w:val="2"/>
                <w:sz w:val="21"/>
                <w:szCs w:val="21"/>
                <w:highlight w:val="none"/>
                <w:vertAlign w:val="superscript"/>
                <w:lang w:val="en-US" w:eastAsia="zh-CN" w:bidi="ar-SA"/>
              </w:rPr>
              <w:t>3</w:t>
            </w:r>
          </w:p>
        </w:tc>
        <w:tc>
          <w:tcPr>
            <w:tcW w:w="424"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250</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2.5</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eastAsia"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脱氮填料拦截网</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default" w:ascii="Times New Roman" w:hAnsi="Times New Roman" w:cs="Times New Roman"/>
                <w:i w:val="0"/>
                <w:iCs/>
                <w:color w:val="auto"/>
                <w:highlight w:val="none"/>
                <w:lang w:val="en-US" w:eastAsia="zh-CN"/>
              </w:rPr>
              <w:t>SS304</w:t>
            </w:r>
            <w:r>
              <w:rPr>
                <w:rFonts w:hint="eastAsia" w:cs="Times New Roman"/>
                <w:i w:val="0"/>
                <w:iCs/>
                <w:color w:val="auto"/>
                <w:highlight w:val="none"/>
                <w:lang w:val="en-US" w:eastAsia="zh-CN"/>
              </w:rPr>
              <w:t>材质，含支架</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套</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2.6</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设备布水系统</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eastAsia" w:cs="Times New Roman"/>
                <w:i w:val="0"/>
                <w:iCs/>
                <w:color w:val="auto"/>
                <w:highlight w:val="none"/>
                <w:lang w:val="en-US" w:eastAsia="zh-CN"/>
              </w:rPr>
              <w:t>碳钢防腐，配套脱氮反应器</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套</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2.7</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设备栏杆及楼梯</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highlight w:val="none"/>
                <w:lang w:val="en-US" w:eastAsia="zh-CN"/>
              </w:rPr>
            </w:pPr>
            <w:r>
              <w:rPr>
                <w:rFonts w:hint="eastAsia" w:cs="Times New Roman"/>
                <w:i w:val="0"/>
                <w:iCs/>
                <w:color w:val="auto"/>
                <w:highlight w:val="none"/>
                <w:lang w:val="en-US" w:eastAsia="zh-CN"/>
              </w:rPr>
              <w:t>304材质</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套</w:t>
            </w:r>
          </w:p>
        </w:tc>
        <w:tc>
          <w:tcPr>
            <w:tcW w:w="424"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1</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2.8</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default" w:ascii="Times New Roman" w:hAnsi="Times New Roman" w:cs="Times New Roman"/>
                <w:i w:val="0"/>
                <w:iCs/>
                <w:color w:val="auto"/>
                <w:kern w:val="2"/>
                <w:sz w:val="21"/>
                <w:szCs w:val="21"/>
                <w:highlight w:val="none"/>
                <w:vertAlign w:val="baseline"/>
                <w:lang w:val="en-US" w:eastAsia="zh-CN" w:bidi="ar-SA"/>
              </w:rPr>
              <w:t>★</w:t>
            </w:r>
            <w:r>
              <w:rPr>
                <w:rFonts w:hint="eastAsia" w:cs="Times New Roman"/>
                <w:i w:val="0"/>
                <w:iCs/>
                <w:color w:val="auto"/>
                <w:kern w:val="2"/>
                <w:sz w:val="21"/>
                <w:szCs w:val="21"/>
                <w:highlight w:val="none"/>
                <w:vertAlign w:val="baseline"/>
                <w:lang w:val="en-US" w:eastAsia="zh-CN" w:bidi="ar-SA"/>
              </w:rPr>
              <w:t>生物调试微生物</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eastAsia" w:cs="Times New Roman"/>
                <w:i w:val="0"/>
                <w:iCs/>
                <w:color w:val="auto"/>
                <w:highlight w:val="none"/>
                <w:lang w:val="en-US" w:eastAsia="zh-CN"/>
              </w:rPr>
              <w:t>微生物</w:t>
            </w:r>
          </w:p>
        </w:tc>
        <w:tc>
          <w:tcPr>
            <w:tcW w:w="424"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kg</w:t>
            </w:r>
          </w:p>
        </w:tc>
        <w:tc>
          <w:tcPr>
            <w:tcW w:w="424"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1000</w:t>
            </w: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i w:val="0"/>
                <w:iCs/>
                <w:color w:val="auto"/>
                <w:sz w:val="21"/>
                <w:szCs w:val="21"/>
                <w:highlight w:val="none"/>
                <w:lang w:val="en-US" w:eastAsia="zh-CN"/>
              </w:rPr>
              <w:t>微生物需满足急性经口毒性属于无毒的证明检测报告（具有CMA认证）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pStyle w:val="3"/>
              <w:keepNext w:val="0"/>
              <w:keepLines w:val="0"/>
              <w:suppressLineNumbers w:val="0"/>
              <w:spacing w:before="0" w:beforeAutospacing="0" w:afterAutospacing="0"/>
              <w:ind w:left="0" w:right="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2.9</w:t>
            </w:r>
          </w:p>
        </w:tc>
        <w:tc>
          <w:tcPr>
            <w:tcW w:w="1041"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2"/>
                <w:sz w:val="21"/>
                <w:szCs w:val="21"/>
                <w:highlight w:val="none"/>
                <w:vertAlign w:val="baseline"/>
                <w:lang w:val="en-US" w:eastAsia="zh-CN" w:bidi="ar-SA"/>
              </w:rPr>
            </w:pPr>
            <w:r>
              <w:rPr>
                <w:rFonts w:hint="eastAsia" w:cs="Times New Roman"/>
                <w:i w:val="0"/>
                <w:iCs/>
                <w:color w:val="auto"/>
                <w:kern w:val="2"/>
                <w:sz w:val="21"/>
                <w:szCs w:val="21"/>
                <w:highlight w:val="none"/>
                <w:vertAlign w:val="baseline"/>
                <w:lang w:val="en-US" w:eastAsia="zh-CN" w:bidi="ar-SA"/>
              </w:rPr>
              <w:t>电气控制系统</w:t>
            </w:r>
          </w:p>
        </w:tc>
        <w:tc>
          <w:tcPr>
            <w:tcW w:w="1780" w:type="pct"/>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i w:val="0"/>
                <w:iCs/>
                <w:color w:val="auto"/>
                <w:highlight w:val="none"/>
                <w:lang w:val="en-US" w:eastAsia="zh-CN"/>
              </w:rPr>
            </w:pPr>
            <w:r>
              <w:rPr>
                <w:rFonts w:hint="default" w:ascii="Times New Roman" w:hAnsi="Times New Roman" w:cs="Times New Roman"/>
                <w:i w:val="0"/>
                <w:iCs/>
                <w:color w:val="auto"/>
                <w:highlight w:val="none"/>
                <w:lang w:val="en-US" w:eastAsia="zh-CN"/>
              </w:rPr>
              <w:t>含PLC控制柜、低压电器、电缆、桥架、穿线管、仪表气管、电缆保护软管等</w:t>
            </w:r>
          </w:p>
        </w:tc>
        <w:tc>
          <w:tcPr>
            <w:tcW w:w="424" w:type="pct"/>
            <w:noWrap w:val="0"/>
            <w:vAlign w:val="center"/>
          </w:tcPr>
          <w:p>
            <w:pPr>
              <w:pStyle w:val="3"/>
              <w:keepNext w:val="0"/>
              <w:keepLines w:val="0"/>
              <w:suppressLineNumbers w:val="0"/>
              <w:spacing w:before="0" w:beforeAutospacing="0" w:afterAutospacing="0"/>
              <w:ind w:left="0" w:right="0"/>
              <w:jc w:val="center"/>
              <w:rPr>
                <w:rFonts w:hint="eastAsia" w:cs="Times New Roman"/>
                <w:i w:val="0"/>
                <w:iCs/>
                <w:color w:val="auto"/>
                <w:kern w:val="2"/>
                <w:sz w:val="21"/>
                <w:szCs w:val="21"/>
                <w:highlight w:val="none"/>
                <w:vertAlign w:val="baseline"/>
                <w:lang w:val="en-US" w:eastAsia="zh-CN" w:bidi="ar-SA"/>
              </w:rPr>
            </w:pPr>
          </w:p>
        </w:tc>
        <w:tc>
          <w:tcPr>
            <w:tcW w:w="424" w:type="pct"/>
            <w:noWrap w:val="0"/>
            <w:vAlign w:val="center"/>
          </w:tcPr>
          <w:p>
            <w:pPr>
              <w:pStyle w:val="3"/>
              <w:keepNext w:val="0"/>
              <w:keepLines w:val="0"/>
              <w:suppressLineNumbers w:val="0"/>
              <w:spacing w:before="0" w:beforeAutospacing="0" w:afterAutospacing="0"/>
              <w:ind w:left="0" w:right="0"/>
              <w:jc w:val="center"/>
              <w:rPr>
                <w:rFonts w:hint="eastAsia" w:cs="Times New Roman"/>
                <w:i w:val="0"/>
                <w:iCs/>
                <w:color w:val="auto"/>
                <w:kern w:val="2"/>
                <w:sz w:val="21"/>
                <w:szCs w:val="21"/>
                <w:highlight w:val="none"/>
                <w:vertAlign w:val="baseline"/>
                <w:lang w:val="en-US" w:eastAsia="zh-CN" w:bidi="ar-SA"/>
              </w:rPr>
            </w:pPr>
          </w:p>
        </w:tc>
        <w:tc>
          <w:tcPr>
            <w:tcW w:w="835" w:type="pct"/>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3</w:t>
            </w:r>
          </w:p>
        </w:tc>
        <w:tc>
          <w:tcPr>
            <w:tcW w:w="1041"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高效除磷系统</w:t>
            </w:r>
          </w:p>
        </w:tc>
        <w:tc>
          <w:tcPr>
            <w:tcW w:w="1780"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i w:val="0"/>
                <w:iCs/>
                <w:color w:val="auto"/>
                <w:kern w:val="2"/>
                <w:sz w:val="21"/>
                <w:szCs w:val="21"/>
                <w:highlight w:val="none"/>
                <w:vertAlign w:val="baseline"/>
                <w:lang w:val="en-US" w:eastAsia="zh-CN" w:bidi="ar-SA"/>
              </w:rPr>
            </w:pPr>
          </w:p>
        </w:tc>
        <w:tc>
          <w:tcPr>
            <w:tcW w:w="835"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cs="Times New Roman"/>
                <w:iCs/>
                <w:color w:val="auto"/>
                <w:kern w:val="0"/>
                <w:sz w:val="21"/>
                <w:szCs w:val="21"/>
                <w:highlight w:val="none"/>
                <w:lang w:val="en-US" w:eastAsia="zh-CN"/>
              </w:rPr>
              <w:t>3.1</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2"/>
                <w:sz w:val="21"/>
                <w:szCs w:val="20"/>
                <w:highlight w:val="none"/>
                <w:vertAlign w:val="baseline"/>
                <w:lang w:val="en-US" w:eastAsia="zh-CN" w:bidi="ar-SA"/>
              </w:rPr>
            </w:pPr>
            <w:r>
              <w:rPr>
                <w:rFonts w:hint="eastAsia" w:ascii="宋体" w:hAnsi="宋体" w:eastAsia="宋体" w:cs="宋体"/>
                <w:b/>
                <w:color w:val="auto"/>
                <w:szCs w:val="21"/>
                <w:highlight w:val="none"/>
              </w:rPr>
              <w:t>★</w:t>
            </w:r>
            <w:r>
              <w:rPr>
                <w:rFonts w:hint="default" w:ascii="Times New Roman" w:hAnsi="Times New Roman" w:cs="Times New Roman"/>
                <w:iCs/>
                <w:color w:val="auto"/>
                <w:kern w:val="2"/>
                <w:sz w:val="21"/>
                <w:szCs w:val="21"/>
                <w:highlight w:val="none"/>
                <w:vertAlign w:val="baseline"/>
                <w:lang w:val="en-US" w:eastAsia="zh-CN" w:bidi="ar-SA"/>
              </w:rPr>
              <w:t>高效</w:t>
            </w:r>
            <w:r>
              <w:rPr>
                <w:rFonts w:hint="eastAsia" w:cs="Times New Roman"/>
                <w:iCs/>
                <w:color w:val="auto"/>
                <w:kern w:val="2"/>
                <w:sz w:val="21"/>
                <w:szCs w:val="21"/>
                <w:highlight w:val="none"/>
                <w:vertAlign w:val="baseline"/>
                <w:lang w:val="en-US" w:eastAsia="zh-CN" w:bidi="ar-SA"/>
              </w:rPr>
              <w:t>除磷增氧</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cs="Times New Roman"/>
                <w:iCs/>
                <w:color w:val="auto"/>
                <w:kern w:val="2"/>
                <w:sz w:val="21"/>
                <w:szCs w:val="21"/>
                <w:highlight w:val="none"/>
                <w:vertAlign w:val="baseline"/>
                <w:lang w:val="en-US" w:eastAsia="zh-CN" w:bidi="ar-SA"/>
              </w:rPr>
              <w:t>设备</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处理能力10000m</w:t>
            </w:r>
            <w:r>
              <w:rPr>
                <w:rFonts w:hint="default" w:ascii="Times New Roman" w:hAnsi="Times New Roman" w:eastAsia="宋体" w:cs="Times New Roman"/>
                <w:i w:val="0"/>
                <w:iCs/>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color w:val="auto"/>
                <w:kern w:val="0"/>
                <w:sz w:val="21"/>
                <w:szCs w:val="21"/>
                <w:highlight w:val="none"/>
                <w:u w:val="none"/>
                <w:lang w:val="en-US" w:eastAsia="zh-CN" w:bidi="ar"/>
              </w:rPr>
              <w:t>/d；集装箱形式，碳钢防腐；反应区加SUS304罩；</w:t>
            </w:r>
            <w:r>
              <w:rPr>
                <w:rFonts w:hint="default" w:ascii="Times New Roman" w:hAnsi="Times New Roman" w:cs="Times New Roman"/>
                <w:iCs/>
                <w:color w:val="auto"/>
                <w:szCs w:val="20"/>
                <w:highlight w:val="none"/>
                <w:lang w:val="en-US" w:eastAsia="zh-CN"/>
              </w:rPr>
              <w:t>出水总磷小于0.2mg/L；</w:t>
            </w:r>
            <w:r>
              <w:rPr>
                <w:rFonts w:hint="eastAsia" w:cs="Times New Roman"/>
                <w:iCs/>
                <w:color w:val="auto"/>
                <w:szCs w:val="20"/>
                <w:highlight w:val="none"/>
                <w:lang w:val="en-US" w:eastAsia="zh-CN"/>
              </w:rPr>
              <w:t>设备功率不大于31kW；占地面积不大于80m</w:t>
            </w:r>
            <w:r>
              <w:rPr>
                <w:rFonts w:hint="eastAsia" w:cs="Times New Roman"/>
                <w:iCs/>
                <w:color w:val="auto"/>
                <w:szCs w:val="20"/>
                <w:highlight w:val="none"/>
                <w:vertAlign w:val="superscript"/>
                <w:lang w:val="en-US" w:eastAsia="zh-CN"/>
              </w:rPr>
              <w:t>2</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cs="Times New Roman"/>
                <w:iCs/>
                <w:color w:val="auto"/>
                <w:kern w:val="0"/>
                <w:sz w:val="21"/>
                <w:szCs w:val="21"/>
                <w:highlight w:val="none"/>
                <w:lang w:val="en-US" w:eastAsia="zh-CN"/>
              </w:rPr>
              <w:t>套</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3.2</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清水池/污泥池</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cs="Times New Roman"/>
                <w:i w:val="0"/>
                <w:iCs/>
                <w:color w:val="auto"/>
                <w:kern w:val="0"/>
                <w:sz w:val="21"/>
                <w:szCs w:val="21"/>
                <w:highlight w:val="none"/>
                <w:u w:val="none"/>
                <w:lang w:val="en-US" w:eastAsia="zh-CN" w:bidi="ar"/>
              </w:rPr>
              <w:t>9*3*3，碳钢防腐</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套</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3.3</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清水泵</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流量500m3/h；扬程15m</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台</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eastAsia" w:cs="Times New Roman"/>
                <w:i w:val="0"/>
                <w:iCs/>
                <w:color w:val="auto"/>
                <w:kern w:val="0"/>
                <w:sz w:val="21"/>
                <w:szCs w:val="21"/>
                <w:highlight w:val="none"/>
                <w:lang w:val="en-US" w:eastAsia="zh-CN"/>
              </w:rPr>
            </w:pPr>
            <w:r>
              <w:rPr>
                <w:rFonts w:hint="eastAsia" w:cs="Times New Roman"/>
                <w:b/>
                <w:bCs/>
                <w:i w:val="0"/>
                <w:iCs/>
                <w:color w:val="auto"/>
                <w:kern w:val="2"/>
                <w:sz w:val="21"/>
                <w:szCs w:val="21"/>
                <w:highlight w:val="none"/>
                <w:vertAlign w:val="baseline"/>
                <w:lang w:val="en-US" w:eastAsia="zh-CN" w:bidi="ar-SA"/>
              </w:rPr>
              <w:t>4</w:t>
            </w:r>
          </w:p>
        </w:tc>
        <w:tc>
          <w:tcPr>
            <w:tcW w:w="1041"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cs="Times New Roman"/>
                <w:i w:val="0"/>
                <w:iCs/>
                <w:color w:val="auto"/>
                <w:kern w:val="0"/>
                <w:sz w:val="21"/>
                <w:szCs w:val="21"/>
                <w:highlight w:val="none"/>
                <w:lang w:val="en-US" w:eastAsia="zh-CN"/>
              </w:rPr>
            </w:pPr>
            <w:r>
              <w:rPr>
                <w:rFonts w:hint="eastAsia" w:ascii="Times New Roman" w:hAnsi="Times New Roman" w:cs="Times New Roman"/>
                <w:b/>
                <w:bCs/>
                <w:i w:val="0"/>
                <w:iCs/>
                <w:color w:val="auto"/>
                <w:kern w:val="2"/>
                <w:sz w:val="21"/>
                <w:szCs w:val="21"/>
                <w:highlight w:val="none"/>
                <w:vertAlign w:val="baseline"/>
                <w:lang w:val="en-US" w:eastAsia="zh-CN" w:bidi="ar-SA"/>
              </w:rPr>
              <w:t>加药系统</w:t>
            </w:r>
          </w:p>
        </w:tc>
        <w:tc>
          <w:tcPr>
            <w:tcW w:w="1780"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color w:val="auto"/>
                <w:kern w:val="0"/>
                <w:sz w:val="21"/>
                <w:szCs w:val="21"/>
                <w:highlight w:val="none"/>
                <w:u w:val="none"/>
                <w:lang w:val="en-US" w:eastAsia="zh-CN" w:bidi="ar"/>
              </w:rPr>
            </w:pPr>
          </w:p>
        </w:tc>
        <w:tc>
          <w:tcPr>
            <w:tcW w:w="424"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p>
        </w:tc>
        <w:tc>
          <w:tcPr>
            <w:tcW w:w="424"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s="Times New Roman"/>
                <w:iCs/>
                <w:color w:val="auto"/>
                <w:kern w:val="0"/>
                <w:sz w:val="21"/>
                <w:szCs w:val="21"/>
                <w:highlight w:val="none"/>
                <w:lang w:val="en-US" w:eastAsia="zh-CN"/>
              </w:rPr>
            </w:pPr>
          </w:p>
        </w:tc>
        <w:tc>
          <w:tcPr>
            <w:tcW w:w="835"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4.1</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Style w:val="175"/>
                <w:rFonts w:hint="eastAsia"/>
                <w:iCs/>
                <w:color w:val="auto"/>
                <w:highlight w:val="none"/>
                <w:lang w:val="en-US" w:eastAsia="zh-CN" w:bidi="ar"/>
              </w:rPr>
              <w:t>药剂</w:t>
            </w:r>
            <w:r>
              <w:rPr>
                <w:rStyle w:val="175"/>
                <w:iCs/>
                <w:color w:val="auto"/>
                <w:highlight w:val="none"/>
                <w:lang w:val="en-US" w:eastAsia="zh-CN" w:bidi="ar"/>
              </w:rPr>
              <w:t>储罐</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容积：5m</w:t>
            </w:r>
            <w:r>
              <w:rPr>
                <w:rStyle w:val="176"/>
                <w:rFonts w:eastAsia="宋体"/>
                <w:iCs/>
                <w:color w:val="auto"/>
                <w:highlight w:val="none"/>
                <w:lang w:val="en-US" w:eastAsia="zh-CN" w:bidi="ar"/>
              </w:rPr>
              <w:t>3</w:t>
            </w:r>
            <w:r>
              <w:rPr>
                <w:rFonts w:hint="default" w:ascii="Times New Roman" w:hAnsi="Times New Roman" w:eastAsia="宋体" w:cs="Times New Roman"/>
                <w:i w:val="0"/>
                <w:iCs/>
                <w:color w:val="auto"/>
                <w:kern w:val="0"/>
                <w:sz w:val="21"/>
                <w:szCs w:val="21"/>
                <w:highlight w:val="none"/>
                <w:u w:val="none"/>
                <w:lang w:val="en-US" w:eastAsia="zh-CN" w:bidi="ar"/>
              </w:rPr>
              <w:t>，材质：PE</w:t>
            </w:r>
            <w:r>
              <w:rPr>
                <w:rStyle w:val="177"/>
                <w:iCs/>
                <w:color w:val="auto"/>
                <w:highlight w:val="none"/>
                <w:lang w:val="en-US" w:eastAsia="zh-CN" w:bidi="ar"/>
              </w:rPr>
              <w:t>，厚度</w:t>
            </w:r>
            <w:r>
              <w:rPr>
                <w:rFonts w:hint="default" w:ascii="Times New Roman" w:hAnsi="Times New Roman" w:eastAsia="宋体" w:cs="Times New Roman"/>
                <w:i w:val="0"/>
                <w:iCs/>
                <w:color w:val="auto"/>
                <w:kern w:val="0"/>
                <w:sz w:val="21"/>
                <w:szCs w:val="21"/>
                <w:highlight w:val="none"/>
                <w:u w:val="none"/>
                <w:lang w:val="en-US" w:eastAsia="zh-CN" w:bidi="ar"/>
              </w:rPr>
              <w:t>13mm</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2</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4.2</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Style w:val="179"/>
                <w:color w:val="auto"/>
                <w:highlight w:val="none"/>
                <w:lang w:val="en-US" w:eastAsia="zh-CN" w:bidi="ar"/>
              </w:rPr>
              <w:t>溶药搅拌机</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2.2kw</w:t>
            </w:r>
            <w:r>
              <w:rPr>
                <w:rStyle w:val="179"/>
                <w:color w:val="auto"/>
                <w:highlight w:val="none"/>
                <w:lang w:val="en-US" w:eastAsia="zh-CN" w:bidi="ar"/>
              </w:rPr>
              <w:t>，碳钢防腐，导杆深度</w:t>
            </w:r>
            <w:r>
              <w:rPr>
                <w:rFonts w:hint="default" w:ascii="Times New Roman" w:hAnsi="Times New Roman" w:eastAsia="宋体" w:cs="Times New Roman"/>
                <w:i w:val="0"/>
                <w:iCs w:val="0"/>
                <w:color w:val="auto"/>
                <w:kern w:val="0"/>
                <w:sz w:val="22"/>
                <w:szCs w:val="22"/>
                <w:highlight w:val="none"/>
                <w:u w:val="none"/>
                <w:lang w:val="en-US" w:eastAsia="zh-CN" w:bidi="ar"/>
              </w:rPr>
              <w:t>1.8m</w:t>
            </w:r>
            <w:r>
              <w:rPr>
                <w:rStyle w:val="179"/>
                <w:color w:val="auto"/>
                <w:highlight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80rpm,380V</w:t>
            </w:r>
            <w:r>
              <w:rPr>
                <w:rStyle w:val="179"/>
                <w:color w:val="auto"/>
                <w:highlight w:val="none"/>
                <w:lang w:val="en-US" w:eastAsia="zh-CN" w:bidi="ar"/>
              </w:rPr>
              <w:t>，桨叶碳钢防腐，桨叶直径</w:t>
            </w:r>
            <w:r>
              <w:rPr>
                <w:rFonts w:hint="default" w:ascii="Times New Roman" w:hAnsi="Times New Roman" w:eastAsia="宋体" w:cs="Times New Roman"/>
                <w:i w:val="0"/>
                <w:iCs w:val="0"/>
                <w:color w:val="auto"/>
                <w:kern w:val="0"/>
                <w:sz w:val="22"/>
                <w:szCs w:val="22"/>
                <w:highlight w:val="none"/>
                <w:u w:val="none"/>
                <w:lang w:val="en-US" w:eastAsia="zh-CN" w:bidi="ar"/>
              </w:rPr>
              <w:t>600</w:t>
            </w:r>
            <w:r>
              <w:rPr>
                <w:rStyle w:val="179"/>
                <w:color w:val="auto"/>
                <w:highlight w:val="none"/>
                <w:lang w:val="en-US" w:eastAsia="zh-CN" w:bidi="ar"/>
              </w:rPr>
              <w:t>，减速机：锡减</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2</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4.3</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侧壁式浮球液位计</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主要参数：</w:t>
            </w:r>
            <w:r>
              <w:rPr>
                <w:rFonts w:hint="default" w:cs="Times New Roman"/>
                <w:iCs/>
                <w:color w:val="auto"/>
                <w:kern w:val="0"/>
                <w:sz w:val="21"/>
                <w:szCs w:val="21"/>
                <w:highlight w:val="none"/>
                <w:lang w:val="en-US" w:eastAsia="zh-CN"/>
              </w:rPr>
              <w:t>220v</w:t>
            </w:r>
            <w:r>
              <w:rPr>
                <w:rFonts w:hint="eastAsia" w:cs="Times New Roman"/>
                <w:iCs/>
                <w:color w:val="auto"/>
                <w:kern w:val="0"/>
                <w:sz w:val="21"/>
                <w:szCs w:val="21"/>
                <w:highlight w:val="none"/>
                <w:lang w:val="en-US" w:eastAsia="zh-CN"/>
              </w:rPr>
              <w:t>，一体式</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Cs/>
                <w:color w:val="auto"/>
                <w:kern w:val="0"/>
                <w:sz w:val="21"/>
                <w:szCs w:val="21"/>
                <w:highlight w:val="none"/>
                <w:lang w:val="en-US" w:eastAsia="zh-CN"/>
              </w:rPr>
            </w:pPr>
            <w:r>
              <w:rPr>
                <w:rFonts w:hint="eastAsia" w:cs="Times New Roman"/>
                <w:i w:val="0"/>
                <w:iCs/>
                <w:color w:val="auto"/>
                <w:kern w:val="0"/>
                <w:sz w:val="21"/>
                <w:szCs w:val="21"/>
                <w:highlight w:val="none"/>
                <w:u w:val="none"/>
                <w:lang w:val="en-US" w:eastAsia="zh-CN" w:bidi="ar"/>
              </w:rPr>
              <w:t>4</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4.4</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PAC</w:t>
            </w:r>
            <w:r>
              <w:rPr>
                <w:rStyle w:val="175"/>
                <w:iCs/>
                <w:color w:val="auto"/>
                <w:highlight w:val="none"/>
                <w:lang w:val="en-US" w:eastAsia="zh-CN" w:bidi="ar"/>
              </w:rPr>
              <w:t>投加泵</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宋体" w:hAnsi="宋体" w:eastAsia="宋体" w:cs="宋体"/>
                <w:i w:val="0"/>
                <w:iCs/>
                <w:color w:val="auto"/>
                <w:kern w:val="0"/>
                <w:sz w:val="21"/>
                <w:szCs w:val="21"/>
                <w:highlight w:val="none"/>
                <w:u w:val="none"/>
                <w:lang w:val="en-US" w:eastAsia="zh-CN" w:bidi="ar"/>
              </w:rPr>
              <w:t>流量：</w:t>
            </w:r>
            <w:r>
              <w:rPr>
                <w:rFonts w:hint="default" w:ascii="Times New Roman" w:hAnsi="Times New Roman" w:eastAsia="宋体" w:cs="Times New Roman"/>
                <w:i w:val="0"/>
                <w:iCs/>
                <w:color w:val="auto"/>
                <w:kern w:val="0"/>
                <w:sz w:val="21"/>
                <w:szCs w:val="21"/>
                <w:highlight w:val="none"/>
                <w:u w:val="none"/>
                <w:lang w:val="en-US" w:eastAsia="zh-CN" w:bidi="ar"/>
              </w:rPr>
              <w:t>1000L/h</w:t>
            </w:r>
            <w:r>
              <w:rPr>
                <w:rFonts w:hint="eastAsia" w:ascii="宋体" w:hAnsi="宋体" w:eastAsia="宋体" w:cs="宋体"/>
                <w:i w:val="0"/>
                <w:iCs/>
                <w:color w:val="auto"/>
                <w:kern w:val="0"/>
                <w:sz w:val="21"/>
                <w:szCs w:val="21"/>
                <w:highlight w:val="none"/>
                <w:u w:val="none"/>
                <w:lang w:val="en-US" w:eastAsia="zh-CN" w:bidi="ar"/>
              </w:rPr>
              <w:t>，扬程：</w:t>
            </w:r>
            <w:r>
              <w:rPr>
                <w:rFonts w:hint="default" w:ascii="Times New Roman" w:hAnsi="Times New Roman" w:eastAsia="宋体" w:cs="Times New Roman"/>
                <w:i w:val="0"/>
                <w:iCs/>
                <w:color w:val="auto"/>
                <w:kern w:val="0"/>
                <w:sz w:val="21"/>
                <w:szCs w:val="21"/>
                <w:highlight w:val="none"/>
                <w:u w:val="none"/>
                <w:lang w:val="en-US" w:eastAsia="zh-CN" w:bidi="ar"/>
              </w:rPr>
              <w:t>50m</w:t>
            </w:r>
            <w:r>
              <w:rPr>
                <w:rFonts w:hint="eastAsia" w:ascii="宋体" w:hAnsi="宋体" w:eastAsia="宋体" w:cs="宋体"/>
                <w:i w:val="0"/>
                <w:iCs/>
                <w:color w:val="auto"/>
                <w:kern w:val="0"/>
                <w:sz w:val="21"/>
                <w:szCs w:val="21"/>
                <w:highlight w:val="none"/>
                <w:u w:val="none"/>
                <w:lang w:val="en-US" w:eastAsia="zh-CN" w:bidi="ar"/>
              </w:rPr>
              <w:t>，形式：机械隔膜计量泵，含</w:t>
            </w:r>
            <w:r>
              <w:rPr>
                <w:rFonts w:hint="default" w:ascii="Times New Roman" w:hAnsi="Times New Roman" w:eastAsia="宋体" w:cs="Times New Roman"/>
                <w:i w:val="0"/>
                <w:iCs/>
                <w:color w:val="auto"/>
                <w:kern w:val="0"/>
                <w:sz w:val="21"/>
                <w:szCs w:val="21"/>
                <w:highlight w:val="none"/>
                <w:u w:val="none"/>
                <w:lang w:val="en-US" w:eastAsia="zh-CN" w:bidi="ar"/>
              </w:rPr>
              <w:t>Y</w:t>
            </w:r>
            <w:r>
              <w:rPr>
                <w:rFonts w:hint="eastAsia" w:ascii="宋体" w:hAnsi="宋体" w:eastAsia="宋体" w:cs="宋体"/>
                <w:i w:val="0"/>
                <w:iCs/>
                <w:color w:val="auto"/>
                <w:kern w:val="0"/>
                <w:sz w:val="21"/>
                <w:szCs w:val="21"/>
                <w:highlight w:val="none"/>
                <w:u w:val="none"/>
                <w:lang w:val="en-US" w:eastAsia="zh-CN" w:bidi="ar"/>
              </w:rPr>
              <w:t>型过滤器、安全阀、背压阀、脉动阻尼器等附件，附件材质为</w:t>
            </w:r>
            <w:r>
              <w:rPr>
                <w:rFonts w:hint="default" w:ascii="Times New Roman" w:hAnsi="Times New Roman" w:eastAsia="宋体" w:cs="Times New Roman"/>
                <w:i w:val="0"/>
                <w:iCs/>
                <w:color w:val="auto"/>
                <w:kern w:val="0"/>
                <w:sz w:val="21"/>
                <w:szCs w:val="21"/>
                <w:highlight w:val="none"/>
                <w:u w:val="none"/>
                <w:lang w:val="en-US" w:eastAsia="zh-CN" w:bidi="ar"/>
              </w:rPr>
              <w:t>PVC</w:t>
            </w:r>
            <w:r>
              <w:rPr>
                <w:rFonts w:hint="eastAsia" w:ascii="宋体" w:hAnsi="宋体" w:eastAsia="宋体" w:cs="宋体"/>
                <w:i w:val="0"/>
                <w:iCs/>
                <w:color w:val="auto"/>
                <w:kern w:val="0"/>
                <w:sz w:val="21"/>
                <w:szCs w:val="21"/>
                <w:highlight w:val="none"/>
                <w:u w:val="none"/>
                <w:lang w:val="en-US" w:eastAsia="zh-CN" w:bidi="ar"/>
              </w:rPr>
              <w:t>。</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2</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4.5</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PAM</w:t>
            </w:r>
            <w:r>
              <w:rPr>
                <w:rStyle w:val="175"/>
                <w:iCs/>
                <w:color w:val="auto"/>
                <w:highlight w:val="none"/>
                <w:lang w:val="en-US" w:eastAsia="zh-CN" w:bidi="ar"/>
              </w:rPr>
              <w:t>投加泵</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宋体" w:hAnsi="宋体" w:eastAsia="宋体" w:cs="宋体"/>
                <w:i w:val="0"/>
                <w:iCs/>
                <w:color w:val="auto"/>
                <w:kern w:val="0"/>
                <w:sz w:val="21"/>
                <w:szCs w:val="21"/>
                <w:highlight w:val="none"/>
                <w:u w:val="none"/>
                <w:lang w:val="en-US" w:eastAsia="zh-CN" w:bidi="ar"/>
              </w:rPr>
              <w:t>流量：</w:t>
            </w:r>
            <w:r>
              <w:rPr>
                <w:rFonts w:hint="default" w:ascii="Times New Roman" w:hAnsi="Times New Roman" w:eastAsia="宋体" w:cs="Times New Roman"/>
                <w:i w:val="0"/>
                <w:iCs/>
                <w:color w:val="auto"/>
                <w:kern w:val="0"/>
                <w:sz w:val="21"/>
                <w:szCs w:val="21"/>
                <w:highlight w:val="none"/>
                <w:u w:val="none"/>
                <w:lang w:val="en-US" w:eastAsia="zh-CN" w:bidi="ar"/>
              </w:rPr>
              <w:t>1000L/h</w:t>
            </w:r>
            <w:r>
              <w:rPr>
                <w:rFonts w:hint="eastAsia" w:ascii="宋体" w:hAnsi="宋体" w:eastAsia="宋体" w:cs="宋体"/>
                <w:i w:val="0"/>
                <w:iCs/>
                <w:color w:val="auto"/>
                <w:kern w:val="0"/>
                <w:sz w:val="21"/>
                <w:szCs w:val="21"/>
                <w:highlight w:val="none"/>
                <w:u w:val="none"/>
                <w:lang w:val="en-US" w:eastAsia="zh-CN" w:bidi="ar"/>
              </w:rPr>
              <w:t>，扬程：</w:t>
            </w:r>
            <w:r>
              <w:rPr>
                <w:rFonts w:hint="default" w:ascii="Times New Roman" w:hAnsi="Times New Roman" w:eastAsia="宋体" w:cs="Times New Roman"/>
                <w:i w:val="0"/>
                <w:iCs/>
                <w:color w:val="auto"/>
                <w:kern w:val="0"/>
                <w:sz w:val="21"/>
                <w:szCs w:val="21"/>
                <w:highlight w:val="none"/>
                <w:u w:val="none"/>
                <w:lang w:val="en-US" w:eastAsia="zh-CN" w:bidi="ar"/>
              </w:rPr>
              <w:t>50m</w:t>
            </w:r>
            <w:r>
              <w:rPr>
                <w:rFonts w:hint="eastAsia" w:ascii="宋体" w:hAnsi="宋体" w:eastAsia="宋体" w:cs="宋体"/>
                <w:i w:val="0"/>
                <w:iCs/>
                <w:color w:val="auto"/>
                <w:kern w:val="0"/>
                <w:sz w:val="21"/>
                <w:szCs w:val="21"/>
                <w:highlight w:val="none"/>
                <w:u w:val="none"/>
                <w:lang w:val="en-US" w:eastAsia="zh-CN" w:bidi="ar"/>
              </w:rPr>
              <w:t>，形式：机械隔膜计量泵，含</w:t>
            </w:r>
            <w:r>
              <w:rPr>
                <w:rFonts w:hint="default" w:ascii="Times New Roman" w:hAnsi="Times New Roman" w:eastAsia="宋体" w:cs="Times New Roman"/>
                <w:i w:val="0"/>
                <w:iCs/>
                <w:color w:val="auto"/>
                <w:kern w:val="0"/>
                <w:sz w:val="21"/>
                <w:szCs w:val="21"/>
                <w:highlight w:val="none"/>
                <w:u w:val="none"/>
                <w:lang w:val="en-US" w:eastAsia="zh-CN" w:bidi="ar"/>
              </w:rPr>
              <w:t>Y</w:t>
            </w:r>
            <w:r>
              <w:rPr>
                <w:rFonts w:hint="eastAsia" w:ascii="宋体" w:hAnsi="宋体" w:eastAsia="宋体" w:cs="宋体"/>
                <w:i w:val="0"/>
                <w:iCs/>
                <w:color w:val="auto"/>
                <w:kern w:val="0"/>
                <w:sz w:val="21"/>
                <w:szCs w:val="21"/>
                <w:highlight w:val="none"/>
                <w:u w:val="none"/>
                <w:lang w:val="en-US" w:eastAsia="zh-CN" w:bidi="ar"/>
              </w:rPr>
              <w:t>型过滤器、安全阀、、背压阀、脉动阻尼器等附件，附件材质为</w:t>
            </w:r>
            <w:r>
              <w:rPr>
                <w:rFonts w:hint="default" w:ascii="Times New Roman" w:hAnsi="Times New Roman" w:eastAsia="宋体" w:cs="Times New Roman"/>
                <w:i w:val="0"/>
                <w:iCs/>
                <w:color w:val="auto"/>
                <w:kern w:val="0"/>
                <w:sz w:val="21"/>
                <w:szCs w:val="21"/>
                <w:highlight w:val="none"/>
                <w:u w:val="none"/>
                <w:lang w:val="en-US" w:eastAsia="zh-CN" w:bidi="ar"/>
              </w:rPr>
              <w:t>PVC</w:t>
            </w:r>
            <w:r>
              <w:rPr>
                <w:rFonts w:hint="eastAsia" w:ascii="宋体" w:hAnsi="宋体" w:eastAsia="宋体" w:cs="宋体"/>
                <w:i w:val="0"/>
                <w:iCs/>
                <w:color w:val="auto"/>
                <w:kern w:val="0"/>
                <w:sz w:val="21"/>
                <w:szCs w:val="21"/>
                <w:highlight w:val="none"/>
                <w:u w:val="none"/>
                <w:lang w:val="en-US" w:eastAsia="zh-CN" w:bidi="ar"/>
              </w:rPr>
              <w:t>。</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2</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4.6</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iCs/>
                <w:color w:val="auto"/>
                <w:kern w:val="0"/>
                <w:sz w:val="21"/>
                <w:szCs w:val="21"/>
                <w:highlight w:val="none"/>
                <w:lang w:val="en-US" w:eastAsia="zh-CN"/>
              </w:rPr>
            </w:pPr>
            <w:r>
              <w:rPr>
                <w:rFonts w:hint="eastAsia" w:ascii="宋体" w:hAnsi="宋体" w:eastAsia="宋体" w:cs="宋体"/>
                <w:i w:val="0"/>
                <w:iCs/>
                <w:color w:val="auto"/>
                <w:kern w:val="0"/>
                <w:sz w:val="21"/>
                <w:szCs w:val="21"/>
                <w:highlight w:val="none"/>
                <w:u w:val="none"/>
                <w:lang w:val="en-US" w:eastAsia="zh-CN" w:bidi="ar"/>
              </w:rPr>
              <w:t>加药平台</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cs="Times New Roman"/>
                <w:i w:val="0"/>
                <w:iCs/>
                <w:color w:val="auto"/>
                <w:kern w:val="0"/>
                <w:sz w:val="21"/>
                <w:szCs w:val="21"/>
                <w:highlight w:val="none"/>
                <w:u w:val="none"/>
                <w:lang w:val="en-US" w:eastAsia="zh-CN" w:bidi="ar"/>
              </w:rPr>
              <w:t>碳钢防腐，含楼梯及栏杆</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93"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b/>
                <w:bCs/>
                <w:i w:val="0"/>
                <w:iCs/>
                <w:color w:val="auto"/>
                <w:kern w:val="2"/>
                <w:sz w:val="21"/>
                <w:szCs w:val="21"/>
                <w:highlight w:val="none"/>
                <w:vertAlign w:val="baseline"/>
                <w:lang w:val="en-US" w:eastAsia="zh-CN" w:bidi="ar-SA"/>
              </w:rPr>
            </w:pPr>
            <w:r>
              <w:rPr>
                <w:rFonts w:hint="eastAsia" w:cs="Times New Roman"/>
                <w:b/>
                <w:bCs/>
                <w:i w:val="0"/>
                <w:iCs/>
                <w:color w:val="auto"/>
                <w:kern w:val="2"/>
                <w:sz w:val="21"/>
                <w:szCs w:val="21"/>
                <w:highlight w:val="none"/>
                <w:vertAlign w:val="baseline"/>
                <w:lang w:val="en-US" w:eastAsia="zh-CN" w:bidi="ar-SA"/>
              </w:rPr>
              <w:t>5</w:t>
            </w:r>
          </w:p>
        </w:tc>
        <w:tc>
          <w:tcPr>
            <w:tcW w:w="1041" w:type="pct"/>
            <w:shd w:val="clear" w:color="auto" w:fill="FDEADA"/>
            <w:noWrap w:val="0"/>
            <w:vAlign w:val="center"/>
          </w:tcPr>
          <w:p>
            <w:pPr>
              <w:pStyle w:val="3"/>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b/>
                <w:bCs/>
                <w:i w:val="0"/>
                <w:iCs/>
                <w:color w:val="auto"/>
                <w:kern w:val="2"/>
                <w:sz w:val="21"/>
                <w:szCs w:val="21"/>
                <w:highlight w:val="none"/>
                <w:vertAlign w:val="baseline"/>
                <w:lang w:val="en-US" w:eastAsia="zh-CN" w:bidi="ar-SA"/>
              </w:rPr>
            </w:pPr>
            <w:r>
              <w:rPr>
                <w:rFonts w:hint="default" w:ascii="Times New Roman" w:hAnsi="Times New Roman" w:cs="Times New Roman"/>
                <w:b/>
                <w:bCs/>
                <w:i w:val="0"/>
                <w:iCs/>
                <w:color w:val="auto"/>
                <w:kern w:val="2"/>
                <w:sz w:val="21"/>
                <w:szCs w:val="21"/>
                <w:highlight w:val="none"/>
                <w:vertAlign w:val="baseline"/>
                <w:lang w:val="en-US" w:eastAsia="zh-CN" w:bidi="ar-SA"/>
              </w:rPr>
              <w:t>污泥脱水系统</w:t>
            </w:r>
          </w:p>
        </w:tc>
        <w:tc>
          <w:tcPr>
            <w:tcW w:w="1780"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i w:val="0"/>
                <w:iCs/>
                <w:color w:val="auto"/>
                <w:kern w:val="2"/>
                <w:sz w:val="21"/>
                <w:szCs w:val="21"/>
                <w:highlight w:val="none"/>
                <w:vertAlign w:val="baseline"/>
                <w:lang w:val="en-US" w:eastAsia="zh-CN" w:bidi="ar-SA"/>
              </w:rPr>
            </w:pPr>
          </w:p>
        </w:tc>
        <w:tc>
          <w:tcPr>
            <w:tcW w:w="424"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i w:val="0"/>
                <w:iCs/>
                <w:color w:val="auto"/>
                <w:kern w:val="2"/>
                <w:sz w:val="21"/>
                <w:szCs w:val="21"/>
                <w:highlight w:val="none"/>
                <w:vertAlign w:val="baseline"/>
                <w:lang w:val="en-US" w:eastAsia="zh-CN" w:bidi="ar-SA"/>
              </w:rPr>
            </w:pPr>
          </w:p>
        </w:tc>
        <w:tc>
          <w:tcPr>
            <w:tcW w:w="835" w:type="pct"/>
            <w:shd w:val="clear" w:color="auto" w:fill="FDEADA"/>
            <w:noWrap w:val="0"/>
            <w:vAlign w:val="center"/>
          </w:tcPr>
          <w:p>
            <w:pPr>
              <w:pStyle w:val="3"/>
              <w:keepNext w:val="0"/>
              <w:keepLines w:val="0"/>
              <w:suppressLineNumbers w:val="0"/>
              <w:spacing w:before="0" w:beforeAutospacing="0" w:afterAutospacing="0"/>
              <w:ind w:left="0" w:right="0"/>
              <w:jc w:val="center"/>
              <w:rPr>
                <w:rFonts w:hint="default" w:ascii="Times New Roman" w:hAnsi="Times New Roman" w:cs="Times New Roman"/>
                <w:b/>
                <w:b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5.1</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板框压滤机</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eastAsia" w:ascii="宋体" w:hAnsi="宋体" w:eastAsia="宋体" w:cs="宋体"/>
                <w:i w:val="0"/>
                <w:iCs/>
                <w:color w:val="auto"/>
                <w:kern w:val="0"/>
                <w:sz w:val="21"/>
                <w:szCs w:val="21"/>
                <w:highlight w:val="none"/>
                <w:u w:val="none"/>
                <w:lang w:val="en-US" w:eastAsia="zh-CN" w:bidi="ar"/>
              </w:rPr>
              <w:t>过滤面积</w:t>
            </w:r>
            <w:r>
              <w:rPr>
                <w:rFonts w:hint="eastAsia" w:cs="Times New Roman"/>
                <w:i w:val="0"/>
                <w:iCs/>
                <w:color w:val="auto"/>
                <w:kern w:val="0"/>
                <w:sz w:val="21"/>
                <w:szCs w:val="21"/>
                <w:highlight w:val="none"/>
                <w:u w:val="none"/>
                <w:lang w:val="en-US" w:eastAsia="zh-CN" w:bidi="ar"/>
              </w:rPr>
              <w:t>20</w:t>
            </w:r>
            <w:r>
              <w:rPr>
                <w:rFonts w:hint="default" w:ascii="Times New Roman" w:hAnsi="Times New Roman" w:eastAsia="宋体" w:cs="Times New Roman"/>
                <w:i w:val="0"/>
                <w:iCs/>
                <w:color w:val="auto"/>
                <w:kern w:val="0"/>
                <w:sz w:val="21"/>
                <w:szCs w:val="21"/>
                <w:highlight w:val="none"/>
                <w:u w:val="none"/>
                <w:lang w:val="en-US" w:eastAsia="zh-CN" w:bidi="ar"/>
              </w:rPr>
              <w:t>0m</w:t>
            </w:r>
            <w:r>
              <w:rPr>
                <w:rFonts w:hint="default" w:ascii="Times New Roman" w:hAnsi="Times New Roman" w:eastAsia="宋体" w:cs="Times New Roman"/>
                <w:i w:val="0"/>
                <w:iCs/>
                <w:color w:val="auto"/>
                <w:kern w:val="0"/>
                <w:sz w:val="21"/>
                <w:szCs w:val="21"/>
                <w:highlight w:val="none"/>
                <w:u w:val="none"/>
                <w:vertAlign w:val="superscript"/>
                <w:lang w:val="en-US" w:eastAsia="zh-CN" w:bidi="ar"/>
              </w:rPr>
              <w:t>2</w:t>
            </w:r>
            <w:r>
              <w:rPr>
                <w:rFonts w:hint="eastAsia" w:ascii="宋体" w:hAnsi="宋体" w:eastAsia="宋体" w:cs="宋体"/>
                <w:i w:val="0"/>
                <w:iCs/>
                <w:color w:val="auto"/>
                <w:kern w:val="0"/>
                <w:sz w:val="21"/>
                <w:szCs w:val="21"/>
                <w:highlight w:val="none"/>
                <w:u w:val="none"/>
                <w:lang w:val="en-US" w:eastAsia="zh-CN" w:bidi="ar"/>
              </w:rPr>
              <w:t>；板框压滤；自动拉杆保压；含水率</w:t>
            </w:r>
            <w:r>
              <w:rPr>
                <w:rFonts w:hint="default" w:ascii="Times New Roman" w:hAnsi="Times New Roman" w:eastAsia="宋体" w:cs="Times New Roman"/>
                <w:i w:val="0"/>
                <w:iCs/>
                <w:color w:val="auto"/>
                <w:kern w:val="0"/>
                <w:sz w:val="21"/>
                <w:szCs w:val="21"/>
                <w:highlight w:val="none"/>
                <w:u w:val="none"/>
                <w:lang w:val="en-US" w:eastAsia="zh-CN" w:bidi="ar"/>
              </w:rPr>
              <w:t>80%</w:t>
            </w:r>
            <w:r>
              <w:rPr>
                <w:rFonts w:hint="eastAsia" w:ascii="宋体" w:hAnsi="宋体" w:eastAsia="宋体" w:cs="宋体"/>
                <w:i w:val="0"/>
                <w:iCs/>
                <w:color w:val="auto"/>
                <w:kern w:val="0"/>
                <w:sz w:val="21"/>
                <w:szCs w:val="21"/>
                <w:highlight w:val="none"/>
                <w:u w:val="none"/>
                <w:lang w:val="en-US" w:eastAsia="zh-CN" w:bidi="ar"/>
              </w:rPr>
              <w:t>以下，二次压榨等</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5.2</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皮带传输机</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shd w:val="clear" w:color="FFFFFF" w:fill="D9D9D9"/>
                <w:lang w:val="en-US" w:eastAsia="zh-CN" w:bidi="ar"/>
              </w:rPr>
              <w:t>长度</w:t>
            </w:r>
            <w:r>
              <w:rPr>
                <w:rFonts w:hint="default" w:ascii="Times New Roman" w:hAnsi="Times New Roman" w:eastAsia="宋体" w:cs="Times New Roman"/>
                <w:i w:val="0"/>
                <w:iCs w:val="0"/>
                <w:color w:val="auto"/>
                <w:kern w:val="0"/>
                <w:sz w:val="22"/>
                <w:szCs w:val="22"/>
                <w:highlight w:val="none"/>
                <w:u w:val="none"/>
                <w:shd w:val="clear" w:color="FFFFFF" w:fill="D9D9D9"/>
                <w:lang w:val="en-US" w:eastAsia="zh-CN" w:bidi="ar"/>
              </w:rPr>
              <w:t>9m</w:t>
            </w:r>
            <w:r>
              <w:rPr>
                <w:rFonts w:hint="eastAsia" w:ascii="宋体" w:hAnsi="宋体" w:eastAsia="宋体" w:cs="宋体"/>
                <w:i w:val="0"/>
                <w:iCs w:val="0"/>
                <w:color w:val="auto"/>
                <w:kern w:val="0"/>
                <w:sz w:val="22"/>
                <w:szCs w:val="22"/>
                <w:highlight w:val="none"/>
                <w:u w:val="none"/>
                <w:shd w:val="clear" w:color="FFFFFF" w:fill="D9D9D9"/>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功率</w:t>
            </w:r>
            <w:r>
              <w:rPr>
                <w:rFonts w:hint="default" w:ascii="Times New Roman" w:hAnsi="Times New Roman" w:eastAsia="宋体" w:cs="Times New Roman"/>
                <w:i w:val="0"/>
                <w:iCs w:val="0"/>
                <w:color w:val="auto"/>
                <w:kern w:val="0"/>
                <w:sz w:val="22"/>
                <w:szCs w:val="22"/>
                <w:highlight w:val="none"/>
                <w:u w:val="none"/>
                <w:lang w:val="en-US" w:eastAsia="zh-CN" w:bidi="ar"/>
              </w:rPr>
              <w:t>0.55kW</w:t>
            </w:r>
            <w:r>
              <w:rPr>
                <w:rFonts w:hint="eastAsia" w:ascii="宋体" w:hAnsi="宋体" w:eastAsia="宋体" w:cs="宋体"/>
                <w:i w:val="0"/>
                <w:iCs w:val="0"/>
                <w:color w:val="auto"/>
                <w:kern w:val="0"/>
                <w:sz w:val="22"/>
                <w:szCs w:val="22"/>
                <w:highlight w:val="none"/>
                <w:u w:val="none"/>
                <w:lang w:val="en-US" w:eastAsia="zh-CN" w:bidi="ar"/>
              </w:rPr>
              <w:t>；与压滤机匹配</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5.3</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压滤液收集池</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 w:val="0"/>
                <w:iCs/>
                <w:color w:val="auto"/>
                <w:kern w:val="0"/>
                <w:sz w:val="21"/>
                <w:szCs w:val="21"/>
                <w:highlight w:val="none"/>
                <w:u w:val="none"/>
                <w:lang w:val="en-US" w:eastAsia="zh-CN" w:bidi="ar"/>
              </w:rPr>
              <w:t>容积</w:t>
            </w:r>
            <w:r>
              <w:rPr>
                <w:rFonts w:hint="eastAsia" w:cs="Times New Roman"/>
                <w:i w:val="0"/>
                <w:iCs/>
                <w:color w:val="auto"/>
                <w:kern w:val="0"/>
                <w:sz w:val="21"/>
                <w:szCs w:val="21"/>
                <w:highlight w:val="none"/>
                <w:u w:val="none"/>
                <w:lang w:val="en-US" w:eastAsia="zh-CN" w:bidi="ar"/>
              </w:rPr>
              <w:t>5</w:t>
            </w:r>
            <w:r>
              <w:rPr>
                <w:rFonts w:hint="default" w:ascii="Times New Roman" w:hAnsi="Times New Roman" w:eastAsia="宋体" w:cs="Times New Roman"/>
                <w:i w:val="0"/>
                <w:iCs/>
                <w:color w:val="auto"/>
                <w:kern w:val="0"/>
                <w:sz w:val="21"/>
                <w:szCs w:val="21"/>
                <w:highlight w:val="none"/>
                <w:u w:val="none"/>
                <w:lang w:val="en-US" w:eastAsia="zh-CN" w:bidi="ar"/>
              </w:rPr>
              <w:t>m³</w:t>
            </w:r>
            <w:r>
              <w:rPr>
                <w:rStyle w:val="178"/>
                <w:iCs/>
                <w:color w:val="auto"/>
                <w:highlight w:val="none"/>
                <w:lang w:val="en-US" w:eastAsia="zh-CN" w:bidi="ar"/>
              </w:rPr>
              <w:t>，材质：</w:t>
            </w:r>
            <w:r>
              <w:rPr>
                <w:rFonts w:hint="default" w:ascii="Times New Roman" w:hAnsi="Times New Roman" w:eastAsia="宋体" w:cs="Times New Roman"/>
                <w:i w:val="0"/>
                <w:iCs/>
                <w:color w:val="auto"/>
                <w:kern w:val="0"/>
                <w:sz w:val="21"/>
                <w:szCs w:val="21"/>
                <w:highlight w:val="none"/>
                <w:u w:val="none"/>
                <w:lang w:val="en-US" w:eastAsia="zh-CN" w:bidi="ar"/>
              </w:rPr>
              <w:t>PE,</w:t>
            </w:r>
            <w:r>
              <w:rPr>
                <w:rStyle w:val="178"/>
                <w:iCs/>
                <w:color w:val="auto"/>
                <w:highlight w:val="none"/>
                <w:lang w:val="en-US" w:eastAsia="zh-CN" w:bidi="ar"/>
              </w:rPr>
              <w:t>厚度</w:t>
            </w:r>
            <w:r>
              <w:rPr>
                <w:rFonts w:hint="default" w:ascii="Times New Roman" w:hAnsi="Times New Roman" w:eastAsia="宋体" w:cs="Times New Roman"/>
                <w:i w:val="0"/>
                <w:iCs/>
                <w:color w:val="auto"/>
                <w:kern w:val="0"/>
                <w:sz w:val="21"/>
                <w:szCs w:val="21"/>
                <w:highlight w:val="none"/>
                <w:u w:val="none"/>
                <w:lang w:val="en-US" w:eastAsia="zh-CN" w:bidi="ar"/>
              </w:rPr>
              <w:t>13mm</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5.4</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压滤液提升泵</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 w:val="0"/>
                <w:iCs/>
                <w:color w:val="auto"/>
                <w:kern w:val="0"/>
                <w:sz w:val="21"/>
                <w:szCs w:val="21"/>
                <w:highlight w:val="none"/>
                <w:u w:val="none"/>
                <w:lang w:val="en-US" w:eastAsia="zh-CN" w:bidi="ar"/>
              </w:rPr>
              <w:t>Q=21m</w:t>
            </w:r>
            <w:r>
              <w:rPr>
                <w:rFonts w:hint="default" w:ascii="Times New Roman" w:hAnsi="Times New Roman" w:eastAsia="宋体" w:cs="Times New Roman"/>
                <w:i w:val="0"/>
                <w:iCs/>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color w:val="auto"/>
                <w:kern w:val="0"/>
                <w:sz w:val="21"/>
                <w:szCs w:val="21"/>
                <w:highlight w:val="none"/>
                <w:u w:val="none"/>
                <w:lang w:val="en-US" w:eastAsia="zh-CN" w:bidi="ar"/>
              </w:rPr>
              <w:t>/h</w:t>
            </w:r>
            <w:r>
              <w:rPr>
                <w:rStyle w:val="178"/>
                <w:iCs/>
                <w:color w:val="auto"/>
                <w:highlight w:val="none"/>
                <w:lang w:val="en-US" w:eastAsia="zh-CN" w:bidi="ar"/>
              </w:rPr>
              <w:t>，</w:t>
            </w:r>
            <w:r>
              <w:rPr>
                <w:rFonts w:hint="default" w:ascii="Times New Roman" w:hAnsi="Times New Roman" w:eastAsia="宋体" w:cs="Times New Roman"/>
                <w:i w:val="0"/>
                <w:iCs/>
                <w:color w:val="auto"/>
                <w:kern w:val="0"/>
                <w:sz w:val="21"/>
                <w:szCs w:val="21"/>
                <w:highlight w:val="none"/>
                <w:u w:val="none"/>
                <w:lang w:val="en-US" w:eastAsia="zh-CN" w:bidi="ar"/>
              </w:rPr>
              <w:t>H=15m</w:t>
            </w:r>
            <w:r>
              <w:rPr>
                <w:rStyle w:val="178"/>
                <w:iCs/>
                <w:color w:val="auto"/>
                <w:highlight w:val="none"/>
                <w:lang w:val="en-US" w:eastAsia="zh-CN" w:bidi="ar"/>
              </w:rPr>
              <w:t>，</w:t>
            </w:r>
            <w:r>
              <w:rPr>
                <w:rFonts w:hint="default" w:ascii="Times New Roman" w:hAnsi="Times New Roman" w:eastAsia="宋体" w:cs="Times New Roman"/>
                <w:i w:val="0"/>
                <w:iCs/>
                <w:color w:val="auto"/>
                <w:kern w:val="0"/>
                <w:sz w:val="21"/>
                <w:szCs w:val="21"/>
                <w:highlight w:val="none"/>
                <w:u w:val="none"/>
                <w:lang w:val="en-US" w:eastAsia="zh-CN" w:bidi="ar"/>
              </w:rPr>
              <w:t>1.5kW  CDMF15-2FSWSC</w:t>
            </w:r>
            <w:r>
              <w:rPr>
                <w:rStyle w:val="178"/>
                <w:iCs/>
                <w:color w:val="auto"/>
                <w:highlight w:val="none"/>
                <w:lang w:val="en-US" w:eastAsia="zh-CN" w:bidi="ar"/>
              </w:rPr>
              <w:t>法兰连接三相</w:t>
            </w:r>
            <w:r>
              <w:rPr>
                <w:rFonts w:hint="default" w:ascii="Times New Roman" w:hAnsi="Times New Roman" w:eastAsia="宋体" w:cs="Times New Roman"/>
                <w:i w:val="0"/>
                <w:iCs/>
                <w:color w:val="auto"/>
                <w:kern w:val="0"/>
                <w:sz w:val="21"/>
                <w:szCs w:val="21"/>
                <w:highlight w:val="none"/>
                <w:u w:val="none"/>
                <w:lang w:val="en-US" w:eastAsia="zh-CN" w:bidi="ar"/>
              </w:rPr>
              <w:t>380V</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台</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5.5</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污泥存储罐</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 w:val="0"/>
                <w:iCs/>
                <w:color w:val="auto"/>
                <w:kern w:val="0"/>
                <w:sz w:val="21"/>
                <w:szCs w:val="21"/>
                <w:highlight w:val="none"/>
                <w:u w:val="none"/>
                <w:lang w:val="en-US" w:eastAsia="zh-CN" w:bidi="ar"/>
              </w:rPr>
              <w:t>有效容积</w:t>
            </w:r>
            <w:r>
              <w:rPr>
                <w:rFonts w:hint="eastAsia" w:cs="Times New Roman"/>
                <w:i w:val="0"/>
                <w:iCs/>
                <w:color w:val="auto"/>
                <w:kern w:val="0"/>
                <w:sz w:val="21"/>
                <w:szCs w:val="21"/>
                <w:highlight w:val="none"/>
                <w:u w:val="none"/>
                <w:lang w:val="en-US" w:eastAsia="zh-CN" w:bidi="ar"/>
              </w:rPr>
              <w:t>5</w:t>
            </w:r>
            <w:r>
              <w:rPr>
                <w:rFonts w:hint="default" w:ascii="Times New Roman" w:hAnsi="Times New Roman" w:eastAsia="宋体" w:cs="Times New Roman"/>
                <w:i w:val="0"/>
                <w:iCs/>
                <w:color w:val="auto"/>
                <w:kern w:val="0"/>
                <w:sz w:val="21"/>
                <w:szCs w:val="21"/>
                <w:highlight w:val="none"/>
                <w:u w:val="none"/>
                <w:lang w:val="en-US" w:eastAsia="zh-CN" w:bidi="ar"/>
              </w:rPr>
              <w:t>m</w:t>
            </w:r>
            <w:r>
              <w:rPr>
                <w:rFonts w:hint="default" w:ascii="Times New Roman" w:hAnsi="Times New Roman" w:eastAsia="宋体" w:cs="Times New Roman"/>
                <w:i w:val="0"/>
                <w:iCs/>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color w:val="auto"/>
                <w:kern w:val="0"/>
                <w:sz w:val="21"/>
                <w:szCs w:val="21"/>
                <w:highlight w:val="none"/>
                <w:u w:val="none"/>
                <w:lang w:val="en-US" w:eastAsia="zh-CN" w:bidi="ar"/>
              </w:rPr>
              <w:t>，PE</w:t>
            </w:r>
            <w:r>
              <w:rPr>
                <w:rStyle w:val="178"/>
                <w:iCs/>
                <w:color w:val="auto"/>
                <w:highlight w:val="none"/>
                <w:lang w:val="en-US" w:eastAsia="zh-CN" w:bidi="ar"/>
              </w:rPr>
              <w:t>材质</w:t>
            </w:r>
            <w:r>
              <w:rPr>
                <w:rFonts w:hint="default" w:ascii="Times New Roman" w:hAnsi="Times New Roman" w:eastAsia="宋体" w:cs="Times New Roman"/>
                <w:i w:val="0"/>
                <w:iCs/>
                <w:color w:val="auto"/>
                <w:kern w:val="0"/>
                <w:sz w:val="21"/>
                <w:szCs w:val="21"/>
                <w:highlight w:val="none"/>
                <w:u w:val="none"/>
                <w:lang w:val="en-US" w:eastAsia="zh-CN" w:bidi="ar"/>
              </w:rPr>
              <w:t>,</w:t>
            </w:r>
            <w:r>
              <w:rPr>
                <w:rStyle w:val="178"/>
                <w:iCs/>
                <w:color w:val="auto"/>
                <w:highlight w:val="none"/>
                <w:lang w:val="en-US" w:eastAsia="zh-CN" w:bidi="ar"/>
              </w:rPr>
              <w:t>厚度</w:t>
            </w:r>
            <w:r>
              <w:rPr>
                <w:rFonts w:hint="default" w:ascii="Times New Roman" w:hAnsi="Times New Roman" w:eastAsia="宋体" w:cs="Times New Roman"/>
                <w:i w:val="0"/>
                <w:iCs/>
                <w:color w:val="auto"/>
                <w:kern w:val="0"/>
                <w:sz w:val="21"/>
                <w:szCs w:val="21"/>
                <w:highlight w:val="none"/>
                <w:u w:val="none"/>
                <w:lang w:val="en-US" w:eastAsia="zh-CN" w:bidi="ar"/>
              </w:rPr>
              <w:t>13mm</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台</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5.6</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污泥罐搅拌机</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 w:val="0"/>
                <w:iCs/>
                <w:color w:val="auto"/>
                <w:kern w:val="0"/>
                <w:sz w:val="21"/>
                <w:szCs w:val="21"/>
                <w:highlight w:val="none"/>
                <w:u w:val="none"/>
                <w:lang w:val="en-US" w:eastAsia="zh-CN" w:bidi="ar"/>
              </w:rPr>
              <w:t>碳钢防腐，导杆深度2.2m</w:t>
            </w:r>
            <w:r>
              <w:rPr>
                <w:rStyle w:val="178"/>
                <w:iCs/>
                <w:color w:val="auto"/>
                <w:highlight w:val="none"/>
                <w:lang w:val="en-US" w:eastAsia="zh-CN" w:bidi="ar"/>
              </w:rPr>
              <w:t>，</w:t>
            </w:r>
            <w:r>
              <w:rPr>
                <w:rFonts w:hint="default" w:ascii="Times New Roman" w:hAnsi="Times New Roman" w:eastAsia="宋体" w:cs="Times New Roman"/>
                <w:i w:val="0"/>
                <w:iCs/>
                <w:color w:val="auto"/>
                <w:kern w:val="0"/>
                <w:sz w:val="21"/>
                <w:szCs w:val="21"/>
                <w:highlight w:val="none"/>
                <w:u w:val="none"/>
                <w:lang w:val="en-US" w:eastAsia="zh-CN" w:bidi="ar"/>
              </w:rPr>
              <w:t>85rpm,380V</w:t>
            </w:r>
            <w:r>
              <w:rPr>
                <w:rStyle w:val="178"/>
                <w:iCs/>
                <w:color w:val="auto"/>
                <w:highlight w:val="none"/>
                <w:lang w:val="en-US" w:eastAsia="zh-CN" w:bidi="ar"/>
              </w:rPr>
              <w:t>，桨叶</w:t>
            </w:r>
            <w:r>
              <w:rPr>
                <w:rFonts w:hint="default" w:ascii="Times New Roman" w:hAnsi="Times New Roman" w:eastAsia="宋体" w:cs="Times New Roman"/>
                <w:i w:val="0"/>
                <w:iCs/>
                <w:color w:val="auto"/>
                <w:kern w:val="0"/>
                <w:sz w:val="21"/>
                <w:szCs w:val="21"/>
                <w:highlight w:val="none"/>
                <w:u w:val="none"/>
                <w:lang w:val="en-US" w:eastAsia="zh-CN" w:bidi="ar"/>
              </w:rPr>
              <w:t>304</w:t>
            </w:r>
            <w:r>
              <w:rPr>
                <w:rStyle w:val="178"/>
                <w:iCs/>
                <w:color w:val="auto"/>
                <w:highlight w:val="none"/>
                <w:lang w:val="en-US" w:eastAsia="zh-CN" w:bidi="ar"/>
              </w:rPr>
              <w:t>不锈，桨叶直径</w:t>
            </w:r>
            <w:r>
              <w:rPr>
                <w:rFonts w:hint="default" w:ascii="Times New Roman" w:hAnsi="Times New Roman" w:eastAsia="宋体" w:cs="Times New Roman"/>
                <w:i w:val="0"/>
                <w:iCs/>
                <w:color w:val="auto"/>
                <w:kern w:val="0"/>
                <w:sz w:val="21"/>
                <w:szCs w:val="21"/>
                <w:highlight w:val="none"/>
                <w:u w:val="none"/>
                <w:lang w:val="en-US" w:eastAsia="zh-CN" w:bidi="ar"/>
              </w:rPr>
              <w:t>900</w:t>
            </w:r>
            <w:r>
              <w:rPr>
                <w:rStyle w:val="178"/>
                <w:iCs/>
                <w:color w:val="auto"/>
                <w:highlight w:val="none"/>
                <w:lang w:val="en-US" w:eastAsia="zh-CN" w:bidi="ar"/>
              </w:rPr>
              <w:t>，减速机：锡减或同等品牌</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台</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5.7</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空压机</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rPr>
            </w:pPr>
            <w:r>
              <w:rPr>
                <w:rFonts w:hint="default" w:ascii="Times New Roman" w:hAnsi="Times New Roman" w:eastAsia="宋体" w:cs="Times New Roman"/>
                <w:i w:val="0"/>
                <w:iCs/>
                <w:color w:val="auto"/>
                <w:kern w:val="0"/>
                <w:sz w:val="21"/>
                <w:szCs w:val="21"/>
                <w:highlight w:val="none"/>
                <w:u w:val="none"/>
                <w:lang w:val="en-US" w:eastAsia="zh-CN" w:bidi="ar"/>
              </w:rPr>
              <w:t>气量：1.5m</w:t>
            </w:r>
            <w:r>
              <w:rPr>
                <w:rFonts w:hint="default" w:ascii="Times New Roman" w:hAnsi="Times New Roman" w:eastAsia="宋体" w:cs="Times New Roman"/>
                <w:i w:val="0"/>
                <w:iCs/>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color w:val="auto"/>
                <w:kern w:val="0"/>
                <w:sz w:val="21"/>
                <w:szCs w:val="21"/>
                <w:highlight w:val="none"/>
                <w:u w:val="none"/>
                <w:lang w:val="en-US" w:eastAsia="zh-CN" w:bidi="ar"/>
              </w:rPr>
              <w:t>/min</w:t>
            </w:r>
            <w:r>
              <w:rPr>
                <w:rStyle w:val="178"/>
                <w:iCs/>
                <w:color w:val="auto"/>
                <w:highlight w:val="none"/>
                <w:lang w:val="en-US" w:eastAsia="zh-CN" w:bidi="ar"/>
              </w:rPr>
              <w:t>，压力：</w:t>
            </w:r>
            <w:r>
              <w:rPr>
                <w:rFonts w:hint="default" w:ascii="Times New Roman" w:hAnsi="Times New Roman" w:eastAsia="宋体" w:cs="Times New Roman"/>
                <w:i w:val="0"/>
                <w:iCs/>
                <w:color w:val="auto"/>
                <w:kern w:val="0"/>
                <w:sz w:val="21"/>
                <w:szCs w:val="21"/>
                <w:highlight w:val="none"/>
                <w:u w:val="none"/>
                <w:lang w:val="en-US" w:eastAsia="zh-CN" w:bidi="ar"/>
              </w:rPr>
              <w:t>0.8Mpa</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5.</w:t>
            </w:r>
            <w:r>
              <w:rPr>
                <w:rFonts w:hint="eastAsia" w:ascii="Times New Roman" w:hAnsi="Times New Roman" w:eastAsia="宋体" w:cs="Times New Roman"/>
                <w:i w:val="0"/>
                <w:iCs/>
                <w:color w:val="auto"/>
                <w:kern w:val="0"/>
                <w:sz w:val="21"/>
                <w:szCs w:val="21"/>
                <w:highlight w:val="none"/>
                <w:u w:val="none"/>
                <w:lang w:val="en-US" w:eastAsia="zh-CN" w:bidi="ar"/>
              </w:rPr>
              <w:t>8</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Style w:val="174"/>
                <w:color w:val="auto"/>
                <w:highlight w:val="none"/>
                <w:lang w:val="en-US" w:eastAsia="zh-CN" w:bidi="ar"/>
              </w:rPr>
              <w:t>储气罐</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V=1.0m</w:t>
            </w:r>
            <w:r>
              <w:rPr>
                <w:rFonts w:hint="default" w:ascii="Times New Roman" w:hAnsi="Times New Roman" w:eastAsia="宋体" w:cs="Times New Roman"/>
                <w:i w:val="0"/>
                <w:iCs w:val="0"/>
                <w:color w:val="auto"/>
                <w:kern w:val="0"/>
                <w:sz w:val="22"/>
                <w:szCs w:val="22"/>
                <w:highlight w:val="none"/>
                <w:u w:val="none"/>
                <w:vertAlign w:val="superscript"/>
                <w:lang w:val="en-US" w:eastAsia="zh-CN" w:bidi="ar"/>
              </w:rPr>
              <w:t>3</w:t>
            </w:r>
            <w:r>
              <w:rPr>
                <w:rFonts w:hint="eastAsia" w:ascii="宋体" w:hAnsi="宋体" w:eastAsia="宋体" w:cs="宋体"/>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P=1.0Mpa</w:t>
            </w:r>
            <w:r>
              <w:rPr>
                <w:rFonts w:hint="eastAsia" w:ascii="宋体" w:hAnsi="宋体" w:eastAsia="宋体" w:cs="宋体"/>
                <w:i w:val="0"/>
                <w:iCs w:val="0"/>
                <w:color w:val="auto"/>
                <w:kern w:val="0"/>
                <w:sz w:val="22"/>
                <w:szCs w:val="22"/>
                <w:highlight w:val="none"/>
                <w:u w:val="none"/>
                <w:lang w:val="en-US" w:eastAsia="zh-CN" w:bidi="ar"/>
              </w:rPr>
              <w:t>，碳钢防腐</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5.9</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气动隔膜泵</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Cs/>
                <w:color w:val="auto"/>
                <w:kern w:val="0"/>
                <w:sz w:val="21"/>
                <w:szCs w:val="21"/>
                <w:highlight w:val="none"/>
              </w:rPr>
            </w:pPr>
            <w:r>
              <w:rPr>
                <w:rStyle w:val="178"/>
                <w:rFonts w:hint="default" w:ascii="Times New Roman" w:hAnsi="Times New Roman" w:cs="Times New Roman"/>
                <w:iCs/>
                <w:color w:val="auto"/>
                <w:highlight w:val="none"/>
                <w:lang w:val="en-US" w:eastAsia="zh-CN" w:bidi="ar"/>
              </w:rPr>
              <w:t>流量34m</w:t>
            </w:r>
            <w:r>
              <w:rPr>
                <w:rStyle w:val="178"/>
                <w:rFonts w:hint="default" w:ascii="Times New Roman" w:hAnsi="Times New Roman" w:cs="Times New Roman"/>
                <w:iCs/>
                <w:color w:val="auto"/>
                <w:highlight w:val="none"/>
                <w:vertAlign w:val="superscript"/>
                <w:lang w:val="en-US" w:eastAsia="zh-CN" w:bidi="ar"/>
              </w:rPr>
              <w:t>3</w:t>
            </w:r>
            <w:r>
              <w:rPr>
                <w:rStyle w:val="178"/>
                <w:rFonts w:hint="default" w:ascii="Times New Roman" w:hAnsi="Times New Roman" w:cs="Times New Roman"/>
                <w:iCs/>
                <w:color w:val="auto"/>
                <w:highlight w:val="none"/>
                <w:lang w:val="en-US" w:eastAsia="zh-CN" w:bidi="ar"/>
              </w:rPr>
              <w:t>/h；扬程84m；耗气量1.5m3/min，配套气动三连件</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台</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auto"/>
                <w:kern w:val="0"/>
                <w:sz w:val="21"/>
                <w:szCs w:val="21"/>
                <w:highlight w:val="none"/>
                <w:lang w:val="en-US" w:eastAsia="zh-CN"/>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cs="Times New Roman"/>
                <w:iCs/>
                <w:color w:val="auto"/>
                <w:kern w:val="0"/>
                <w:sz w:val="21"/>
                <w:szCs w:val="21"/>
                <w:highlight w:val="none"/>
                <w:lang w:val="en-US" w:eastAsia="zh-CN"/>
              </w:rPr>
              <w:t>5.10</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Times New Roman" w:hAnsi="Times New Roman" w:eastAsia="宋体" w:cs="Times New Roman"/>
                <w:i w:val="0"/>
                <w:iCs/>
                <w:color w:val="auto"/>
                <w:kern w:val="0"/>
                <w:sz w:val="21"/>
                <w:szCs w:val="21"/>
                <w:highlight w:val="none"/>
                <w:u w:val="none"/>
                <w:lang w:val="en-US" w:eastAsia="zh-CN" w:bidi="ar"/>
              </w:rPr>
              <w:t>二级压榨泵</w:t>
            </w:r>
          </w:p>
        </w:tc>
        <w:tc>
          <w:tcPr>
            <w:tcW w:w="178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Times New Roman" w:hAnsi="Times New Roman" w:eastAsia="宋体" w:cs="Times New Roman"/>
                <w:i w:val="0"/>
                <w:iCs/>
                <w:color w:val="auto"/>
                <w:kern w:val="0"/>
                <w:sz w:val="21"/>
                <w:szCs w:val="21"/>
                <w:highlight w:val="none"/>
                <w:u w:val="none"/>
                <w:lang w:val="en-US" w:eastAsia="zh-CN" w:bidi="ar"/>
              </w:rPr>
              <w:t>多级离心泵，</w:t>
            </w:r>
            <w:r>
              <w:rPr>
                <w:rFonts w:hint="default" w:ascii="Times New Roman" w:hAnsi="Times New Roman" w:eastAsia="宋体" w:cs="Times New Roman"/>
                <w:i w:val="0"/>
                <w:iCs/>
                <w:color w:val="auto"/>
                <w:kern w:val="0"/>
                <w:sz w:val="21"/>
                <w:szCs w:val="21"/>
                <w:highlight w:val="none"/>
                <w:u w:val="none"/>
                <w:lang w:val="en-US" w:eastAsia="zh-CN" w:bidi="ar"/>
              </w:rPr>
              <w:t>11kW</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台</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cs="Times New Roman"/>
                <w:iCs/>
                <w:color w:val="auto"/>
                <w:kern w:val="0"/>
                <w:sz w:val="21"/>
                <w:szCs w:val="21"/>
                <w:highlight w:val="none"/>
                <w:lang w:val="en-US" w:eastAsia="zh-CN"/>
              </w:rPr>
              <w:t>5.11</w:t>
            </w:r>
          </w:p>
        </w:tc>
        <w:tc>
          <w:tcPr>
            <w:tcW w:w="104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color w:val="auto"/>
                <w:kern w:val="0"/>
                <w:sz w:val="21"/>
                <w:szCs w:val="21"/>
                <w:highlight w:val="none"/>
                <w:u w:val="none"/>
                <w:lang w:val="en-US" w:eastAsia="zh-CN" w:bidi="ar"/>
              </w:rPr>
            </w:pPr>
            <w:r>
              <w:rPr>
                <w:rFonts w:hint="eastAsia" w:ascii="宋体" w:hAnsi="宋体" w:eastAsia="宋体" w:cs="宋体"/>
                <w:i w:val="0"/>
                <w:iCs/>
                <w:color w:val="auto"/>
                <w:kern w:val="0"/>
                <w:sz w:val="21"/>
                <w:szCs w:val="21"/>
                <w:highlight w:val="none"/>
                <w:u w:val="none"/>
                <w:lang w:val="en-US" w:eastAsia="zh-CN" w:bidi="ar"/>
              </w:rPr>
              <w:t>污泥脱水平台</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i w:val="0"/>
                <w:iCs/>
                <w:color w:val="auto"/>
                <w:kern w:val="0"/>
                <w:sz w:val="21"/>
                <w:szCs w:val="21"/>
                <w:highlight w:val="none"/>
                <w:u w:val="none"/>
                <w:lang w:val="en-US" w:eastAsia="zh-CN" w:bidi="ar"/>
              </w:rPr>
            </w:pPr>
            <w:r>
              <w:rPr>
                <w:rFonts w:hint="eastAsia" w:cs="Times New Roman"/>
                <w:i w:val="0"/>
                <w:iCs/>
                <w:color w:val="auto"/>
                <w:kern w:val="0"/>
                <w:sz w:val="21"/>
                <w:szCs w:val="21"/>
                <w:highlight w:val="none"/>
                <w:u w:val="none"/>
                <w:lang w:val="en-US" w:eastAsia="zh-CN" w:bidi="ar"/>
              </w:rPr>
              <w:t>碳钢防腐，含楼梯及栏杆</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eastAsia" w:ascii="Times New Roman" w:hAnsi="Times New Roman" w:eastAsia="宋体" w:cs="Times New Roman"/>
                <w:i w:val="0"/>
                <w:iCs/>
                <w:color w:val="auto"/>
                <w:kern w:val="0"/>
                <w:sz w:val="21"/>
                <w:szCs w:val="21"/>
                <w:highlight w:val="none"/>
                <w:u w:val="none"/>
                <w:lang w:val="en-US" w:eastAsia="zh-CN" w:bidi="ar"/>
              </w:rPr>
              <w:t>套</w:t>
            </w:r>
          </w:p>
        </w:tc>
        <w:tc>
          <w:tcPr>
            <w:tcW w:w="42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color w:val="auto"/>
                <w:kern w:val="0"/>
                <w:sz w:val="21"/>
                <w:szCs w:val="21"/>
                <w:highlight w:val="none"/>
                <w:u w:val="none"/>
                <w:lang w:val="en-US" w:eastAsia="zh-CN" w:bidi="ar"/>
              </w:rPr>
            </w:pPr>
            <w:r>
              <w:rPr>
                <w:rFonts w:hint="default" w:ascii="Times New Roman" w:hAnsi="Times New Roman" w:eastAsia="宋体" w:cs="Times New Roman"/>
                <w:i w:val="0"/>
                <w:iCs/>
                <w:color w:val="auto"/>
                <w:kern w:val="0"/>
                <w:sz w:val="21"/>
                <w:szCs w:val="21"/>
                <w:highlight w:val="none"/>
                <w:u w:val="none"/>
                <w:lang w:val="en-US" w:eastAsia="zh-CN" w:bidi="ar"/>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Cs/>
                <w:color w:val="auto"/>
                <w:kern w:val="2"/>
                <w:sz w:val="21"/>
                <w:szCs w:val="21"/>
                <w:highlight w:val="none"/>
                <w:vertAlign w:val="baseline"/>
                <w:lang w:val="en-US" w:eastAsia="zh-CN" w:bidi="ar-SA"/>
              </w:rPr>
            </w:pPr>
            <w:r>
              <w:rPr>
                <w:rFonts w:hint="eastAsia" w:ascii="Times New Roman" w:hAnsi="Times New Roman" w:eastAsia="宋体" w:cs="Times New Roman"/>
                <w:b/>
                <w:bCs/>
                <w:iCs/>
                <w:color w:val="auto"/>
                <w:kern w:val="2"/>
                <w:sz w:val="21"/>
                <w:szCs w:val="21"/>
                <w:highlight w:val="none"/>
                <w:vertAlign w:val="baseline"/>
                <w:lang w:val="en-US" w:eastAsia="zh-CN" w:bidi="ar-SA"/>
              </w:rPr>
              <w:t>5</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Cs/>
                <w:color w:val="auto"/>
                <w:kern w:val="2"/>
                <w:sz w:val="21"/>
                <w:szCs w:val="21"/>
                <w:highlight w:val="none"/>
                <w:vertAlign w:val="baseline"/>
                <w:lang w:val="en-US" w:eastAsia="zh-CN" w:bidi="ar-SA"/>
              </w:rPr>
            </w:pPr>
            <w:r>
              <w:rPr>
                <w:rFonts w:hint="eastAsia" w:ascii="Times New Roman" w:hAnsi="Times New Roman" w:eastAsia="宋体" w:cs="Times New Roman"/>
                <w:b/>
                <w:bCs/>
                <w:iCs/>
                <w:color w:val="auto"/>
                <w:kern w:val="2"/>
                <w:sz w:val="21"/>
                <w:szCs w:val="21"/>
                <w:highlight w:val="none"/>
                <w:vertAlign w:val="baseline"/>
                <w:lang w:val="en-US" w:eastAsia="zh-CN" w:bidi="ar-SA"/>
              </w:rPr>
              <w:t>辅助部分</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Cs/>
                <w:color w:val="auto"/>
                <w:kern w:val="2"/>
                <w:sz w:val="21"/>
                <w:szCs w:val="21"/>
                <w:highlight w:val="none"/>
                <w:vertAlign w:val="baseline"/>
                <w:lang w:val="en-US" w:eastAsia="zh-CN" w:bidi="ar-SA"/>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管道及阀门</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5.2</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电线及电缆</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5.3</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现场场站照明</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5.4</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现场防雷接地</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5.5</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电控及PLC柜</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5.6</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智能物联网系统</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5.7</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宣传告示牌</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5.8</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综合机房</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6*2.35*2.7（H）</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5.9</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污泥堆场及封闭储存间</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r>
              <w:rPr>
                <w:rFonts w:hint="eastAsia" w:cs="Times New Roman"/>
                <w:iCs/>
                <w:color w:val="auto"/>
                <w:kern w:val="0"/>
                <w:sz w:val="21"/>
                <w:szCs w:val="21"/>
                <w:highlight w:val="none"/>
                <w:lang w:val="en-US" w:eastAsia="zh-CN"/>
              </w:rPr>
              <w:t>5*3*3.5（H）</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5.10</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药剂堆放间</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r>
              <w:rPr>
                <w:rFonts w:hint="eastAsia" w:cs="Times New Roman"/>
                <w:iCs/>
                <w:color w:val="auto"/>
                <w:kern w:val="0"/>
                <w:sz w:val="21"/>
                <w:szCs w:val="21"/>
                <w:highlight w:val="none"/>
                <w:lang w:val="en-US" w:eastAsia="zh-CN"/>
              </w:rPr>
              <w:t>5*3*3.5（H）</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5.11</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办公室及水质化验室</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r>
              <w:rPr>
                <w:rFonts w:hint="eastAsia" w:cs="Times New Roman"/>
                <w:iCs/>
                <w:color w:val="auto"/>
                <w:kern w:val="0"/>
                <w:sz w:val="21"/>
                <w:szCs w:val="21"/>
                <w:highlight w:val="none"/>
                <w:lang w:val="en-US" w:eastAsia="zh-CN"/>
              </w:rPr>
              <w:t>6*2.35*2.7（H）</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个</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5.12</w:t>
            </w:r>
          </w:p>
        </w:tc>
        <w:tc>
          <w:tcPr>
            <w:tcW w:w="1041"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移动厕所</w:t>
            </w:r>
          </w:p>
        </w:tc>
        <w:tc>
          <w:tcPr>
            <w:tcW w:w="1780" w:type="pct"/>
            <w:noWrap w:val="0"/>
            <w:vAlign w:val="center"/>
          </w:tcPr>
          <w:p>
            <w:pPr>
              <w:keepNext w:val="0"/>
              <w:keepLines w:val="0"/>
              <w:widowControl/>
              <w:suppressLineNumbers w:val="0"/>
              <w:spacing w:before="0" w:beforeAutospacing="0" w:after="0" w:afterAutospacing="0"/>
              <w:ind w:left="0" w:leftChars="0" w:right="0" w:rightChars="0"/>
              <w:jc w:val="center"/>
              <w:rPr>
                <w:rFonts w:hint="eastAsia" w:cs="Times New Roman"/>
                <w:iCs/>
                <w:color w:val="auto"/>
                <w:kern w:val="0"/>
                <w:sz w:val="21"/>
                <w:szCs w:val="21"/>
                <w:highlight w:val="none"/>
                <w:lang w:val="en-US" w:eastAsia="zh-CN"/>
              </w:rPr>
            </w:pP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个</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5.13</w:t>
            </w:r>
          </w:p>
        </w:tc>
        <w:tc>
          <w:tcPr>
            <w:tcW w:w="1041"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污泥脱水系统顶棚</w:t>
            </w:r>
          </w:p>
        </w:tc>
        <w:tc>
          <w:tcPr>
            <w:tcW w:w="1780" w:type="pct"/>
            <w:noWrap w:val="0"/>
            <w:vAlign w:val="center"/>
          </w:tcPr>
          <w:p>
            <w:pPr>
              <w:keepNext w:val="0"/>
              <w:keepLines w:val="0"/>
              <w:widowControl/>
              <w:suppressLineNumbers w:val="0"/>
              <w:spacing w:before="0" w:beforeAutospacing="0" w:after="0" w:afterAutospacing="0"/>
              <w:ind w:left="0" w:leftChars="0" w:right="0" w:rightChars="0"/>
              <w:jc w:val="center"/>
              <w:rPr>
                <w:rFonts w:hint="eastAsia" w:cs="Times New Roman"/>
                <w:iCs/>
                <w:color w:val="auto"/>
                <w:kern w:val="0"/>
                <w:sz w:val="21"/>
                <w:szCs w:val="21"/>
                <w:highlight w:val="none"/>
                <w:lang w:val="en-US" w:eastAsia="zh-CN"/>
              </w:rPr>
            </w:pPr>
            <w:r>
              <w:rPr>
                <w:rFonts w:hint="eastAsia"/>
                <w:color w:val="auto"/>
                <w:szCs w:val="20"/>
                <w:highlight w:val="none"/>
                <w:lang w:val="en-US" w:eastAsia="zh-CN"/>
              </w:rPr>
              <w:t>共80m</w:t>
            </w:r>
            <w:r>
              <w:rPr>
                <w:rFonts w:hint="eastAsia"/>
                <w:color w:val="auto"/>
                <w:szCs w:val="20"/>
                <w:highlight w:val="none"/>
                <w:vertAlign w:val="superscript"/>
                <w:lang w:val="en-US" w:eastAsia="zh-CN"/>
              </w:rPr>
              <w:t>2</w:t>
            </w:r>
            <w:r>
              <w:rPr>
                <w:rFonts w:hint="eastAsia"/>
                <w:color w:val="auto"/>
                <w:szCs w:val="20"/>
                <w:highlight w:val="none"/>
                <w:lang w:val="en-US" w:eastAsia="zh-CN"/>
              </w:rPr>
              <w:t>；顶棚采用钢化玻璃</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5.14</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参观通道顶棚</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color w:val="auto"/>
                <w:szCs w:val="20"/>
                <w:highlight w:val="none"/>
                <w:lang w:val="en-US" w:eastAsia="zh-CN"/>
              </w:rPr>
            </w:pPr>
            <w:r>
              <w:rPr>
                <w:rFonts w:hint="eastAsia"/>
                <w:color w:val="auto"/>
                <w:szCs w:val="20"/>
                <w:highlight w:val="none"/>
                <w:lang w:val="en-US" w:eastAsia="zh-CN"/>
              </w:rPr>
              <w:t>宽4m，共100m</w:t>
            </w:r>
            <w:r>
              <w:rPr>
                <w:rFonts w:hint="eastAsia"/>
                <w:color w:val="auto"/>
                <w:szCs w:val="20"/>
                <w:highlight w:val="none"/>
                <w:vertAlign w:val="superscript"/>
                <w:lang w:val="en-US" w:eastAsia="zh-CN"/>
              </w:rPr>
              <w:t>2</w:t>
            </w:r>
            <w:r>
              <w:rPr>
                <w:rFonts w:hint="eastAsia"/>
                <w:color w:val="auto"/>
                <w:szCs w:val="20"/>
                <w:highlight w:val="none"/>
                <w:lang w:val="en-US" w:eastAsia="zh-CN"/>
              </w:rPr>
              <w:t>；顶棚采用钢化玻璃</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5.15</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出水展示装置</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2*1*1（H）；304材质</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5.16</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系统安装及调试</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93"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5.17</w:t>
            </w:r>
          </w:p>
        </w:tc>
        <w:tc>
          <w:tcPr>
            <w:tcW w:w="1041" w:type="pct"/>
            <w:noWrap w:val="0"/>
            <w:vAlign w:val="center"/>
          </w:tcPr>
          <w:p>
            <w:pPr>
              <w:keepNext w:val="0"/>
              <w:keepLines w:val="0"/>
              <w:widowControl/>
              <w:suppressLineNumbers w:val="0"/>
              <w:spacing w:before="0" w:beforeAutospacing="0" w:after="0" w:afterAutospacing="0"/>
              <w:ind w:left="0" w:right="0"/>
              <w:jc w:val="center"/>
              <w:rPr>
                <w:rFonts w:hint="default"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运输</w:t>
            </w:r>
          </w:p>
        </w:tc>
        <w:tc>
          <w:tcPr>
            <w:tcW w:w="178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Cs/>
                <w:color w:val="auto"/>
                <w:kern w:val="0"/>
                <w:sz w:val="21"/>
                <w:szCs w:val="21"/>
                <w:highlight w:val="none"/>
              </w:rPr>
            </w:pP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项</w:t>
            </w:r>
          </w:p>
        </w:tc>
        <w:tc>
          <w:tcPr>
            <w:tcW w:w="424" w:type="pct"/>
            <w:noWrap w:val="0"/>
            <w:vAlign w:val="center"/>
          </w:tcPr>
          <w:p>
            <w:pPr>
              <w:keepNext w:val="0"/>
              <w:keepLines w:val="0"/>
              <w:widowControl/>
              <w:suppressLineNumbers w:val="0"/>
              <w:spacing w:before="0" w:beforeAutospacing="0" w:after="0" w:afterAutospacing="0"/>
              <w:ind w:left="0" w:right="0"/>
              <w:jc w:val="center"/>
              <w:rPr>
                <w:rFonts w:hint="eastAsia" w:cs="Times New Roman"/>
                <w:iCs/>
                <w:color w:val="auto"/>
                <w:kern w:val="0"/>
                <w:sz w:val="21"/>
                <w:szCs w:val="21"/>
                <w:highlight w:val="none"/>
                <w:lang w:val="en-US" w:eastAsia="zh-CN"/>
              </w:rPr>
            </w:pPr>
            <w:r>
              <w:rPr>
                <w:rFonts w:hint="eastAsia" w:cs="Times New Roman"/>
                <w:iCs/>
                <w:color w:val="auto"/>
                <w:kern w:val="0"/>
                <w:sz w:val="21"/>
                <w:szCs w:val="21"/>
                <w:highlight w:val="none"/>
                <w:lang w:val="en-US" w:eastAsia="zh-CN"/>
              </w:rPr>
              <w:t>1</w:t>
            </w:r>
          </w:p>
        </w:tc>
        <w:tc>
          <w:tcPr>
            <w:tcW w:w="83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p>
        </w:tc>
      </w:tr>
    </w:tbl>
    <w:p>
      <w:pPr>
        <w:pStyle w:val="19"/>
        <w:rPr>
          <w:rFonts w:hint="eastAsia"/>
          <w:color w:val="auto"/>
          <w:highlight w:val="none"/>
          <w:lang w:val="en-US" w:eastAsia="zh-CN"/>
        </w:rPr>
      </w:pPr>
    </w:p>
    <w:p>
      <w:pPr>
        <w:spacing w:line="360" w:lineRule="auto"/>
        <w:jc w:val="center"/>
        <w:rPr>
          <w:rFonts w:hint="default"/>
          <w:b/>
          <w:bCs/>
          <w:color w:val="auto"/>
          <w:sz w:val="28"/>
          <w:szCs w:val="24"/>
          <w:highlight w:val="none"/>
          <w:lang w:val="en-US" w:eastAsia="zh-CN"/>
        </w:rPr>
      </w:pPr>
      <w:r>
        <w:rPr>
          <w:rFonts w:hint="eastAsia"/>
          <w:b/>
          <w:bCs/>
          <w:color w:val="auto"/>
          <w:sz w:val="28"/>
          <w:szCs w:val="24"/>
          <w:highlight w:val="none"/>
          <w:lang w:val="en-US" w:eastAsia="zh-CN"/>
        </w:rPr>
        <w:t>四</w:t>
      </w:r>
      <w:r>
        <w:rPr>
          <w:rFonts w:hint="default"/>
          <w:b/>
          <w:bCs/>
          <w:color w:val="auto"/>
          <w:sz w:val="28"/>
          <w:szCs w:val="24"/>
          <w:highlight w:val="none"/>
          <w:lang w:val="en-US" w:eastAsia="zh-CN"/>
        </w:rPr>
        <w:t>、运维服务要求</w:t>
      </w:r>
    </w:p>
    <w:p>
      <w:pPr>
        <w:pStyle w:val="19"/>
        <w:spacing w:line="360" w:lineRule="auto"/>
        <w:ind w:firstLine="482"/>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投标方应具有完善的运维服务体系，装备精良和训练有素的售后服务工程师。</w:t>
      </w:r>
    </w:p>
    <w:p>
      <w:pPr>
        <w:pStyle w:val="19"/>
        <w:numPr>
          <w:ilvl w:val="-1"/>
          <w:numId w:val="0"/>
        </w:numPr>
        <w:spacing w:line="360" w:lineRule="auto"/>
        <w:ind w:left="210" w:firstLine="420" w:firstLineChars="200"/>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1、投标方需保证为本项目提供24小时维保服务。从本项目综合验收合格之日起3年：维保点派驻人员数量不小于4名；运维期内：维保点派驻人员数量不小于4名。故障响应时间≤60分钟，一般故障修复时间≤120分钟，重大故障修复时间≤48小时。重大故障修复过程中，若主要部件更换需要制造商调运，延长修复时间需与招标人协调并征得其同意（最长不超过7天），在每次报修结束后的8小时内送交采购人一份维修报告。</w:t>
      </w:r>
    </w:p>
    <w:p>
      <w:pPr>
        <w:pStyle w:val="19"/>
        <w:numPr>
          <w:ilvl w:val="-1"/>
          <w:numId w:val="0"/>
        </w:numPr>
        <w:spacing w:line="360" w:lineRule="auto"/>
        <w:ind w:left="210" w:firstLine="420" w:firstLineChars="200"/>
        <w:rPr>
          <w:rFonts w:hint="eastAsia" w:ascii="宋体" w:hAnsi="宋体" w:eastAsia="宋体"/>
          <w:b w:val="0"/>
          <w:bCs w:val="0"/>
          <w:color w:val="auto"/>
          <w:sz w:val="21"/>
          <w:szCs w:val="21"/>
          <w:highlight w:val="none"/>
          <w:lang w:val="en-US" w:eastAsia="zh-CN"/>
        </w:rPr>
      </w:pPr>
      <w:r>
        <w:rPr>
          <w:rFonts w:hint="eastAsia" w:ascii="宋体" w:hAnsi="宋体" w:eastAsia="宋体"/>
          <w:b w:val="0"/>
          <w:bCs w:val="0"/>
          <w:color w:val="auto"/>
          <w:sz w:val="21"/>
          <w:szCs w:val="21"/>
          <w:highlight w:val="none"/>
          <w:lang w:val="en-US" w:eastAsia="zh-CN"/>
        </w:rPr>
        <w:t>2、投标方需配备相关的实验室化验仪器，以便每天检测水质指标，检测指标有：COD、氨氮、总磷及pH。</w:t>
      </w:r>
    </w:p>
    <w:p>
      <w:pPr>
        <w:pStyle w:val="19"/>
        <w:numPr>
          <w:ilvl w:val="-1"/>
          <w:numId w:val="0"/>
        </w:numPr>
        <w:spacing w:line="360" w:lineRule="auto"/>
        <w:ind w:left="210" w:firstLine="420" w:firstLineChars="200"/>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3、投标方需要每天对动力设备的运行情况进行检查并记录，做好定期的维护保养工作，并形成台账供采购方随时查阅。</w:t>
      </w:r>
    </w:p>
    <w:p>
      <w:pPr>
        <w:pStyle w:val="19"/>
        <w:numPr>
          <w:ilvl w:val="-1"/>
          <w:numId w:val="0"/>
        </w:numPr>
        <w:spacing w:line="360" w:lineRule="auto"/>
        <w:ind w:left="0" w:firstLine="630" w:firstLineChars="300"/>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4、水质自检情况：每日检测2个采样点的水质</w:t>
      </w:r>
      <w:r>
        <w:rPr>
          <w:rFonts w:hint="eastAsia" w:ascii="宋体" w:hAnsi="宋体" w:eastAsia="宋体" w:cs="Times New Roman"/>
          <w:b w:val="0"/>
          <w:bCs w:val="0"/>
          <w:color w:val="auto"/>
          <w:sz w:val="21"/>
          <w:szCs w:val="21"/>
          <w:highlight w:val="none"/>
          <w:lang w:val="en-US" w:eastAsia="zh-CN"/>
        </w:rPr>
        <w:t>，</w:t>
      </w:r>
      <w:r>
        <w:rPr>
          <w:rFonts w:hint="default" w:ascii="宋体" w:hAnsi="宋体" w:eastAsia="宋体" w:cs="Times New Roman"/>
          <w:b w:val="0"/>
          <w:bCs w:val="0"/>
          <w:color w:val="auto"/>
          <w:sz w:val="21"/>
          <w:szCs w:val="21"/>
          <w:highlight w:val="none"/>
          <w:lang w:val="en-US" w:eastAsia="zh-CN"/>
        </w:rPr>
        <w:t>其中河道采样点</w:t>
      </w:r>
      <w:r>
        <w:rPr>
          <w:rFonts w:hint="eastAsia" w:ascii="宋体" w:hAnsi="宋体" w:eastAsia="宋体" w:cs="Times New Roman"/>
          <w:b w:val="0"/>
          <w:bCs w:val="0"/>
          <w:color w:val="auto"/>
          <w:sz w:val="21"/>
          <w:szCs w:val="21"/>
          <w:highlight w:val="none"/>
          <w:lang w:val="en-US" w:eastAsia="zh-CN"/>
        </w:rPr>
        <w:t>1</w:t>
      </w:r>
      <w:r>
        <w:rPr>
          <w:rFonts w:hint="default" w:ascii="宋体" w:hAnsi="宋体" w:eastAsia="宋体" w:cs="Times New Roman"/>
          <w:b w:val="0"/>
          <w:bCs w:val="0"/>
          <w:color w:val="auto"/>
          <w:sz w:val="21"/>
          <w:szCs w:val="21"/>
          <w:highlight w:val="none"/>
          <w:lang w:val="en-US" w:eastAsia="zh-CN"/>
        </w:rPr>
        <w:t>个</w:t>
      </w:r>
      <w:r>
        <w:rPr>
          <w:rFonts w:hint="eastAsia" w:ascii="宋体" w:hAnsi="宋体" w:eastAsia="宋体" w:cs="Times New Roman"/>
          <w:b w:val="0"/>
          <w:bCs w:val="0"/>
          <w:color w:val="auto"/>
          <w:sz w:val="21"/>
          <w:szCs w:val="21"/>
          <w:highlight w:val="none"/>
          <w:lang w:val="en-US" w:eastAsia="zh-CN"/>
        </w:rPr>
        <w:t>（监测点）</w:t>
      </w:r>
      <w:r>
        <w:rPr>
          <w:rFonts w:hint="default" w:ascii="宋体" w:hAnsi="宋体" w:eastAsia="宋体" w:cs="Times New Roman"/>
          <w:b w:val="0"/>
          <w:bCs w:val="0"/>
          <w:color w:val="auto"/>
          <w:sz w:val="21"/>
          <w:szCs w:val="21"/>
          <w:highlight w:val="none"/>
          <w:lang w:val="en-US" w:eastAsia="zh-CN"/>
        </w:rPr>
        <w:t>，设备出水口采样点</w:t>
      </w:r>
      <w:r>
        <w:rPr>
          <w:rFonts w:hint="eastAsia" w:ascii="宋体" w:hAnsi="宋体" w:eastAsia="宋体" w:cs="Times New Roman"/>
          <w:b w:val="0"/>
          <w:bCs w:val="0"/>
          <w:color w:val="auto"/>
          <w:sz w:val="21"/>
          <w:szCs w:val="21"/>
          <w:highlight w:val="none"/>
          <w:lang w:val="en-US" w:eastAsia="zh-CN"/>
        </w:rPr>
        <w:t>1</w:t>
      </w:r>
      <w:r>
        <w:rPr>
          <w:rFonts w:hint="default" w:ascii="宋体" w:hAnsi="宋体" w:eastAsia="宋体" w:cs="Times New Roman"/>
          <w:b w:val="0"/>
          <w:bCs w:val="0"/>
          <w:color w:val="auto"/>
          <w:sz w:val="21"/>
          <w:szCs w:val="21"/>
          <w:highlight w:val="none"/>
          <w:lang w:val="en-US" w:eastAsia="zh-CN"/>
        </w:rPr>
        <w:t>个</w:t>
      </w:r>
      <w:r>
        <w:rPr>
          <w:rFonts w:hint="eastAsia" w:ascii="宋体" w:hAnsi="宋体" w:eastAsia="宋体" w:cs="Times New Roman"/>
          <w:b w:val="0"/>
          <w:bCs w:val="0"/>
          <w:color w:val="auto"/>
          <w:sz w:val="21"/>
          <w:szCs w:val="21"/>
          <w:highlight w:val="none"/>
          <w:lang w:val="en-US" w:eastAsia="zh-CN"/>
        </w:rPr>
        <w:t>；</w:t>
      </w:r>
      <w:r>
        <w:rPr>
          <w:rFonts w:hint="default" w:ascii="宋体" w:hAnsi="宋体" w:eastAsia="宋体" w:cs="Times New Roman"/>
          <w:b w:val="0"/>
          <w:bCs w:val="0"/>
          <w:color w:val="auto"/>
          <w:sz w:val="21"/>
          <w:szCs w:val="21"/>
          <w:highlight w:val="none"/>
          <w:lang w:val="en-US" w:eastAsia="zh-CN"/>
        </w:rPr>
        <w:t>每个取样点的水质得分后取平均值作为当</w:t>
      </w:r>
      <w:r>
        <w:rPr>
          <w:rFonts w:hint="eastAsia" w:ascii="宋体" w:hAnsi="宋体" w:eastAsia="宋体" w:cs="Times New Roman"/>
          <w:b w:val="0"/>
          <w:bCs w:val="0"/>
          <w:color w:val="auto"/>
          <w:sz w:val="21"/>
          <w:szCs w:val="21"/>
          <w:highlight w:val="none"/>
          <w:lang w:val="en-US" w:eastAsia="zh-CN"/>
        </w:rPr>
        <w:t>月</w:t>
      </w:r>
      <w:r>
        <w:rPr>
          <w:rFonts w:hint="default" w:ascii="宋体" w:hAnsi="宋体" w:eastAsia="宋体" w:cs="Times New Roman"/>
          <w:b w:val="0"/>
          <w:bCs w:val="0"/>
          <w:color w:val="auto"/>
          <w:sz w:val="21"/>
          <w:szCs w:val="21"/>
          <w:highlight w:val="none"/>
          <w:lang w:val="en-US" w:eastAsia="zh-CN"/>
        </w:rPr>
        <w:t>度数值取平均值</w:t>
      </w:r>
      <w:r>
        <w:rPr>
          <w:rFonts w:hint="eastAsia" w:ascii="宋体" w:hAnsi="宋体" w:eastAsia="宋体" w:cs="Times New Roman"/>
          <w:b w:val="0"/>
          <w:bCs w:val="0"/>
          <w:color w:val="auto"/>
          <w:sz w:val="21"/>
          <w:szCs w:val="21"/>
          <w:highlight w:val="none"/>
          <w:lang w:val="en-US" w:eastAsia="zh-CN"/>
        </w:rPr>
        <w:t>，根据检测情况及时调整设备的运行状态，确保出水达标</w:t>
      </w:r>
      <w:r>
        <w:rPr>
          <w:rFonts w:hint="default" w:ascii="宋体" w:hAnsi="宋体" w:eastAsia="宋体" w:cs="Times New Roman"/>
          <w:b w:val="0"/>
          <w:bCs w:val="0"/>
          <w:color w:val="auto"/>
          <w:sz w:val="21"/>
          <w:szCs w:val="21"/>
          <w:highlight w:val="none"/>
          <w:lang w:val="en-US" w:eastAsia="zh-CN"/>
        </w:rPr>
        <w:t>。</w:t>
      </w:r>
      <w:r>
        <w:rPr>
          <w:rFonts w:hint="eastAsia" w:ascii="宋体" w:hAnsi="宋体" w:eastAsia="宋体" w:cs="Times New Roman"/>
          <w:b w:val="0"/>
          <w:bCs w:val="0"/>
          <w:color w:val="auto"/>
          <w:sz w:val="21"/>
          <w:szCs w:val="21"/>
          <w:highlight w:val="none"/>
          <w:lang w:val="en-US" w:eastAsia="zh-CN"/>
        </w:rPr>
        <w:t>每月向采购方提供一份上月的自检数据情况。</w:t>
      </w:r>
    </w:p>
    <w:p>
      <w:pPr>
        <w:pStyle w:val="19"/>
        <w:numPr>
          <w:ilvl w:val="-1"/>
          <w:numId w:val="0"/>
        </w:numPr>
        <w:spacing w:line="360" w:lineRule="auto"/>
        <w:ind w:left="210" w:firstLine="420" w:firstLineChars="200"/>
        <w:rPr>
          <w:rFonts w:hint="default"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5、项目负责人要对所有的台账进行合理、有效的进行归纳、分类，主要依据台账的建设进行分类，包括设备巡查记录、水质检测记录、设备检修记录、污泥处理台账。</w:t>
      </w:r>
    </w:p>
    <w:p>
      <w:pPr>
        <w:spacing w:line="360" w:lineRule="auto"/>
        <w:jc w:val="center"/>
        <w:rPr>
          <w:rFonts w:hint="eastAsia"/>
          <w:b/>
          <w:bCs/>
          <w:color w:val="auto"/>
          <w:sz w:val="28"/>
          <w:szCs w:val="24"/>
          <w:highlight w:val="none"/>
          <w:lang w:val="en-US" w:eastAsia="zh-CN"/>
        </w:rPr>
      </w:pPr>
      <w:r>
        <w:rPr>
          <w:rFonts w:hint="eastAsia"/>
          <w:b/>
          <w:bCs/>
          <w:color w:val="auto"/>
          <w:sz w:val="28"/>
          <w:szCs w:val="24"/>
          <w:highlight w:val="none"/>
          <w:lang w:val="en-US" w:eastAsia="zh-CN"/>
        </w:rPr>
        <w:t>五、项目</w:t>
      </w:r>
      <w:r>
        <w:rPr>
          <w:rFonts w:hint="default"/>
          <w:b/>
          <w:bCs/>
          <w:color w:val="auto"/>
          <w:sz w:val="28"/>
          <w:szCs w:val="24"/>
          <w:highlight w:val="none"/>
          <w:lang w:val="en-US" w:eastAsia="zh-CN"/>
        </w:rPr>
        <w:t>验收标准</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cs="Times New Roman"/>
          <w:color w:val="auto"/>
          <w:sz w:val="24"/>
          <w:szCs w:val="24"/>
          <w:highlight w:val="none"/>
          <w:lang w:val="en-US" w:eastAsia="zh-CN"/>
        </w:rPr>
        <w:t>1、</w:t>
      </w:r>
      <w:r>
        <w:rPr>
          <w:rFonts w:hint="eastAsia" w:ascii="宋体" w:hAnsi="宋体" w:eastAsia="宋体" w:cs="Times New Roman"/>
          <w:color w:val="auto"/>
          <w:sz w:val="21"/>
          <w:szCs w:val="21"/>
          <w:highlight w:val="none"/>
          <w:lang w:val="en-US" w:eastAsia="zh-CN"/>
        </w:rPr>
        <w:t>项目合同书：签定的项目有关合同；</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2、国家标准：</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fldChar w:fldCharType="begin"/>
      </w:r>
      <w:r>
        <w:rPr>
          <w:rFonts w:hint="eastAsia" w:ascii="宋体" w:hAnsi="宋体" w:eastAsia="宋体" w:cs="Times New Roman"/>
          <w:color w:val="auto"/>
          <w:sz w:val="21"/>
          <w:szCs w:val="21"/>
          <w:highlight w:val="none"/>
          <w:lang w:val="en-US" w:eastAsia="zh-CN"/>
        </w:rPr>
        <w:instrText xml:space="preserve"> = 1 \* GB3 \* MERGEFORMAT </w:instrText>
      </w:r>
      <w:r>
        <w:rPr>
          <w:rFonts w:hint="eastAsia" w:ascii="宋体" w:hAnsi="宋体" w:eastAsia="宋体" w:cs="Times New Roman"/>
          <w:color w:val="auto"/>
          <w:sz w:val="21"/>
          <w:szCs w:val="21"/>
          <w:highlight w:val="none"/>
          <w:lang w:val="en-US" w:eastAsia="zh-CN"/>
        </w:rPr>
        <w:fldChar w:fldCharType="separate"/>
      </w:r>
      <w:r>
        <w:rPr>
          <w:rFonts w:hint="eastAsia" w:ascii="宋体" w:hAnsi="宋体" w:eastAsia="宋体" w:cs="Times New Roman"/>
          <w:color w:val="auto"/>
          <w:sz w:val="21"/>
          <w:szCs w:val="21"/>
          <w:highlight w:val="none"/>
          <w:lang w:val="en-US" w:eastAsia="zh-CN"/>
        </w:rPr>
        <w:t>①</w:t>
      </w:r>
      <w:r>
        <w:rPr>
          <w:rFonts w:hint="eastAsia" w:ascii="宋体" w:hAnsi="宋体" w:eastAsia="宋体" w:cs="Times New Roman"/>
          <w:color w:val="auto"/>
          <w:sz w:val="21"/>
          <w:szCs w:val="21"/>
          <w:highlight w:val="none"/>
          <w:lang w:val="en-US" w:eastAsia="zh-CN"/>
        </w:rPr>
        <w:fldChar w:fldCharType="end"/>
      </w:r>
      <w:r>
        <w:rPr>
          <w:rFonts w:hint="eastAsia" w:ascii="宋体" w:hAnsi="宋体" w:eastAsia="宋体" w:cs="Times New Roman"/>
          <w:color w:val="auto"/>
          <w:sz w:val="21"/>
          <w:szCs w:val="21"/>
          <w:highlight w:val="none"/>
          <w:lang w:val="en-US" w:eastAsia="zh-CN"/>
        </w:rPr>
        <w:t>设备验收按照国家有关设备的验收标准执行；</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fldChar w:fldCharType="begin"/>
      </w:r>
      <w:r>
        <w:rPr>
          <w:rFonts w:hint="eastAsia" w:ascii="宋体" w:hAnsi="宋体" w:eastAsia="宋体" w:cs="Times New Roman"/>
          <w:color w:val="auto"/>
          <w:sz w:val="21"/>
          <w:szCs w:val="21"/>
          <w:highlight w:val="none"/>
          <w:lang w:val="en-US" w:eastAsia="zh-CN"/>
        </w:rPr>
        <w:instrText xml:space="preserve"> = 2 \* GB3 \* MERGEFORMAT </w:instrText>
      </w:r>
      <w:r>
        <w:rPr>
          <w:rFonts w:hint="eastAsia" w:ascii="宋体" w:hAnsi="宋体" w:eastAsia="宋体" w:cs="Times New Roman"/>
          <w:color w:val="auto"/>
          <w:sz w:val="21"/>
          <w:szCs w:val="21"/>
          <w:highlight w:val="none"/>
          <w:lang w:val="en-US" w:eastAsia="zh-CN"/>
        </w:rPr>
        <w:fldChar w:fldCharType="separate"/>
      </w:r>
      <w:r>
        <w:rPr>
          <w:rFonts w:hint="eastAsia" w:ascii="宋体" w:hAnsi="宋体" w:eastAsia="宋体" w:cs="Times New Roman"/>
          <w:color w:val="auto"/>
          <w:sz w:val="21"/>
          <w:szCs w:val="21"/>
          <w:highlight w:val="none"/>
          <w:lang w:val="en-US" w:eastAsia="zh-CN"/>
        </w:rPr>
        <w:t>②</w:t>
      </w:r>
      <w:r>
        <w:rPr>
          <w:rFonts w:hint="eastAsia" w:ascii="宋体" w:hAnsi="宋体" w:eastAsia="宋体" w:cs="Times New Roman"/>
          <w:color w:val="auto"/>
          <w:sz w:val="21"/>
          <w:szCs w:val="21"/>
          <w:highlight w:val="none"/>
          <w:lang w:val="en-US" w:eastAsia="zh-CN"/>
        </w:rPr>
        <w:fldChar w:fldCharType="end"/>
      </w:r>
      <w:r>
        <w:rPr>
          <w:rFonts w:hint="eastAsia" w:ascii="宋体" w:hAnsi="宋体" w:eastAsia="宋体" w:cs="Times New Roman"/>
          <w:color w:val="auto"/>
          <w:sz w:val="21"/>
          <w:szCs w:val="21"/>
          <w:highlight w:val="none"/>
          <w:lang w:val="en-US" w:eastAsia="zh-CN"/>
        </w:rPr>
        <w:t>电气部分验收参照《电器装置安装工程施工及验收规范》等。</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fldChar w:fldCharType="begin"/>
      </w:r>
      <w:r>
        <w:rPr>
          <w:rFonts w:hint="eastAsia" w:ascii="宋体" w:hAnsi="宋体" w:eastAsia="宋体" w:cs="Times New Roman"/>
          <w:color w:val="auto"/>
          <w:sz w:val="21"/>
          <w:szCs w:val="21"/>
          <w:highlight w:val="none"/>
          <w:lang w:val="en-US" w:eastAsia="zh-CN"/>
        </w:rPr>
        <w:instrText xml:space="preserve"> = 3 \* GB3 \* MERGEFORMAT </w:instrText>
      </w:r>
      <w:r>
        <w:rPr>
          <w:rFonts w:hint="eastAsia" w:ascii="宋体" w:hAnsi="宋体" w:eastAsia="宋体" w:cs="Times New Roman"/>
          <w:color w:val="auto"/>
          <w:sz w:val="21"/>
          <w:szCs w:val="21"/>
          <w:highlight w:val="none"/>
          <w:lang w:val="en-US" w:eastAsia="zh-CN"/>
        </w:rPr>
        <w:fldChar w:fldCharType="separate"/>
      </w:r>
      <w:r>
        <w:rPr>
          <w:rFonts w:hint="eastAsia" w:ascii="宋体" w:hAnsi="宋体" w:eastAsia="宋体" w:cs="Times New Roman"/>
          <w:color w:val="auto"/>
          <w:sz w:val="21"/>
          <w:szCs w:val="21"/>
          <w:highlight w:val="none"/>
          <w:lang w:val="en-US" w:eastAsia="zh-CN"/>
        </w:rPr>
        <w:t>③</w:t>
      </w:r>
      <w:r>
        <w:rPr>
          <w:rFonts w:hint="eastAsia" w:ascii="宋体" w:hAnsi="宋体" w:eastAsia="宋体" w:cs="Times New Roman"/>
          <w:color w:val="auto"/>
          <w:sz w:val="21"/>
          <w:szCs w:val="21"/>
          <w:highlight w:val="none"/>
          <w:lang w:val="en-US" w:eastAsia="zh-CN"/>
        </w:rPr>
        <w:fldChar w:fldCharType="end"/>
      </w:r>
      <w:r>
        <w:rPr>
          <w:rFonts w:hint="eastAsia" w:ascii="宋体" w:hAnsi="宋体" w:eastAsia="宋体" w:cs="Times New Roman"/>
          <w:color w:val="auto"/>
          <w:sz w:val="21"/>
          <w:szCs w:val="21"/>
          <w:highlight w:val="none"/>
          <w:lang w:val="en-US" w:eastAsia="zh-CN"/>
        </w:rPr>
        <w:t>浙江省项目建设管理暂行办法；</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fldChar w:fldCharType="begin"/>
      </w:r>
      <w:r>
        <w:rPr>
          <w:rFonts w:hint="eastAsia" w:ascii="宋体" w:hAnsi="宋体" w:eastAsia="宋体" w:cs="Times New Roman"/>
          <w:color w:val="auto"/>
          <w:sz w:val="21"/>
          <w:szCs w:val="21"/>
          <w:highlight w:val="none"/>
          <w:lang w:val="en-US" w:eastAsia="zh-CN"/>
        </w:rPr>
        <w:instrText xml:space="preserve"> = 4 \* GB3 \* MERGEFORMAT </w:instrText>
      </w:r>
      <w:r>
        <w:rPr>
          <w:rFonts w:hint="eastAsia" w:ascii="宋体" w:hAnsi="宋体" w:eastAsia="宋体" w:cs="Times New Roman"/>
          <w:color w:val="auto"/>
          <w:sz w:val="21"/>
          <w:szCs w:val="21"/>
          <w:highlight w:val="none"/>
          <w:lang w:val="en-US" w:eastAsia="zh-CN"/>
        </w:rPr>
        <w:fldChar w:fldCharType="separate"/>
      </w:r>
      <w:r>
        <w:rPr>
          <w:rFonts w:hint="eastAsia" w:ascii="宋体" w:hAnsi="宋体" w:eastAsia="宋体" w:cs="Times New Roman"/>
          <w:color w:val="auto"/>
          <w:sz w:val="21"/>
          <w:szCs w:val="21"/>
          <w:highlight w:val="none"/>
          <w:lang w:val="en-US" w:eastAsia="zh-CN"/>
        </w:rPr>
        <w:t>④</w:t>
      </w:r>
      <w:r>
        <w:rPr>
          <w:rFonts w:hint="eastAsia" w:ascii="宋体" w:hAnsi="宋体" w:eastAsia="宋体" w:cs="Times New Roman"/>
          <w:color w:val="auto"/>
          <w:sz w:val="21"/>
          <w:szCs w:val="21"/>
          <w:highlight w:val="none"/>
          <w:lang w:val="en-US" w:eastAsia="zh-CN"/>
        </w:rPr>
        <w:fldChar w:fldCharType="end"/>
      </w:r>
      <w:r>
        <w:rPr>
          <w:rFonts w:hint="eastAsia" w:ascii="宋体" w:hAnsi="宋体" w:eastAsia="宋体" w:cs="Times New Roman"/>
          <w:color w:val="auto"/>
          <w:sz w:val="21"/>
          <w:szCs w:val="21"/>
          <w:highlight w:val="none"/>
          <w:lang w:val="en-US" w:eastAsia="zh-CN"/>
        </w:rPr>
        <w:t>其他：具体验收标准和依据由监理单位根据具体项目情况提出，主管部门和项目业主审定。</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设计质量要求：按国家技术规范、标准及规程，达到招标文件要求的设计深度。</w:t>
      </w:r>
    </w:p>
    <w:p>
      <w:pPr>
        <w:pStyle w:val="19"/>
        <w:numPr>
          <w:ilvl w:val="0"/>
          <w:numId w:val="0"/>
        </w:numPr>
        <w:ind w:left="210" w:firstLine="42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设备竣工验收要求：</w:t>
      </w:r>
    </w:p>
    <w:p>
      <w:pPr>
        <w:pStyle w:val="19"/>
        <w:numPr>
          <w:ilvl w:val="0"/>
          <w:numId w:val="0"/>
        </w:numPr>
        <w:ind w:left="210" w:firstLine="420" w:firstLineChars="200"/>
        <w:rPr>
          <w:rFonts w:hint="eastAsia" w:ascii="宋体" w:hAnsi="宋体" w:eastAsia="宋体"/>
          <w:color w:val="auto"/>
          <w:sz w:val="21"/>
          <w:szCs w:val="21"/>
          <w:highlight w:val="none"/>
        </w:rPr>
      </w:pPr>
      <w:r>
        <w:rPr>
          <w:rFonts w:hint="eastAsia" w:ascii="宋体" w:hAnsi="宋体" w:eastAsia="宋体" w:cs="Times New Roman"/>
          <w:color w:val="auto"/>
          <w:sz w:val="21"/>
          <w:szCs w:val="21"/>
          <w:highlight w:val="none"/>
          <w:lang w:val="en-US" w:eastAsia="zh-CN"/>
        </w:rPr>
        <w:t>原位净化装备处理规模≥10000吨/天，并且装备出水主要水质指标达到《地表水环境质量标准》GB3838-2002中的III类标准（</w:t>
      </w:r>
      <w:r>
        <w:rPr>
          <w:rFonts w:hint="eastAsia" w:ascii="宋体" w:hAnsi="宋体" w:eastAsia="宋体" w:cs="Times New Roman"/>
          <w:color w:val="auto"/>
          <w:sz w:val="21"/>
          <w:szCs w:val="21"/>
          <w:highlight w:val="none"/>
        </w:rPr>
        <w:t>COD</w:t>
      </w:r>
      <w:r>
        <w:rPr>
          <w:rFonts w:hint="eastAsia" w:ascii="宋体" w:hAnsi="宋体" w:eastAsia="宋体" w:cs="Times New Roman"/>
          <w:color w:val="auto"/>
          <w:sz w:val="21"/>
          <w:szCs w:val="21"/>
          <w:highlight w:val="none"/>
          <w:vertAlign w:val="baseline"/>
          <w:lang w:val="en-US" w:eastAsia="zh-CN"/>
        </w:rPr>
        <w:t>M</w:t>
      </w:r>
      <w:r>
        <w:rPr>
          <w:rFonts w:hint="eastAsia" w:ascii="宋体" w:hAnsi="宋体" w:eastAsia="宋体" w:cs="Times New Roman"/>
          <w:color w:val="auto"/>
          <w:sz w:val="21"/>
          <w:szCs w:val="21"/>
          <w:highlight w:val="none"/>
          <w:vertAlign w:val="baseline"/>
        </w:rPr>
        <w:t>n</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6.0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vertAlign w:val="baseline"/>
          <w:lang w:val="en-US" w:eastAsia="zh-CN"/>
        </w:rPr>
        <w:t>NH3-N</w:t>
      </w: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lang w:val="en-US" w:eastAsia="zh-CN"/>
        </w:rPr>
        <w:t>TP</w:t>
      </w:r>
      <w:r>
        <w:rPr>
          <w:rFonts w:hint="eastAsia" w:ascii="宋体" w:hAnsi="宋体" w:eastAsia="宋体" w:cs="Times New Roman"/>
          <w:color w:val="auto"/>
          <w:sz w:val="21"/>
          <w:szCs w:val="21"/>
          <w:highlight w:val="none"/>
        </w:rPr>
        <w:t>≤0.</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mg/L，pH:6-9</w:t>
      </w:r>
      <w:r>
        <w:rPr>
          <w:rFonts w:hint="eastAsia" w:ascii="宋体" w:hAnsi="宋体" w:eastAsia="宋体" w:cs="Times New Roman"/>
          <w:color w:val="auto"/>
          <w:sz w:val="21"/>
          <w:szCs w:val="21"/>
          <w:highlight w:val="none"/>
          <w:lang w:val="en-US" w:eastAsia="zh-CN"/>
        </w:rPr>
        <w:t>）</w:t>
      </w:r>
      <w:r>
        <w:rPr>
          <w:rFonts w:hint="eastAsia" w:ascii="宋体" w:hAnsi="宋体" w:eastAsia="宋体"/>
          <w:color w:val="auto"/>
          <w:sz w:val="21"/>
          <w:szCs w:val="21"/>
          <w:highlight w:val="none"/>
        </w:rPr>
        <w:t>。</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甲方须在乙方报请项目验收的五个工作日内，依据乙方投标文件上明确的设备技术规格要求和国家有关质量标准进行现场验收。</w:t>
      </w:r>
    </w:p>
    <w:p>
      <w:pPr>
        <w:pStyle w:val="19"/>
        <w:numPr>
          <w:ilvl w:val="0"/>
          <w:numId w:val="0"/>
        </w:numPr>
        <w:ind w:left="210" w:firstLine="420"/>
        <w:rPr>
          <w:rFonts w:hint="eastAsia" w:ascii="宋体" w:hAnsi="宋体" w:eastAsia="宋体"/>
          <w:color w:val="auto"/>
          <w:sz w:val="21"/>
          <w:szCs w:val="21"/>
          <w:highlight w:val="none"/>
        </w:rPr>
      </w:pPr>
      <w:r>
        <w:rPr>
          <w:rFonts w:hint="eastAsia" w:ascii="宋体" w:hAnsi="宋体" w:eastAsia="宋体" w:cs="Times New Roman"/>
          <w:color w:val="auto"/>
          <w:sz w:val="21"/>
          <w:szCs w:val="21"/>
          <w:highlight w:val="none"/>
          <w:lang w:val="en-US" w:eastAsia="zh-CN"/>
        </w:rPr>
        <w:t>验收时乙方必须在现场，甲方委托的第三方检测单位出具的水质检测报告符合服务质量要求，准予竣工验收。验收完毕后作出验收结果报告；验收相关费用由乙方负责。</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3、设备进入服务期后质量要求：</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①服务期第</w:t>
      </w:r>
      <w:r>
        <w:rPr>
          <w:rFonts w:hint="eastAsia" w:ascii="宋体" w:hAnsi="宋体" w:eastAsia="宋体" w:cs="Times New Roman"/>
          <w:color w:val="auto"/>
          <w:sz w:val="21"/>
          <w:szCs w:val="21"/>
          <w:highlight w:val="none"/>
          <w:u w:val="none"/>
          <w:lang w:val="en-US" w:eastAsia="zh-CN"/>
        </w:rPr>
        <w:t>1-3个月</w:t>
      </w:r>
      <w:r>
        <w:rPr>
          <w:rFonts w:hint="eastAsia" w:ascii="宋体" w:hAnsi="宋体" w:eastAsia="宋体" w:cs="Times New Roman"/>
          <w:color w:val="auto"/>
          <w:sz w:val="21"/>
          <w:szCs w:val="21"/>
          <w:highlight w:val="none"/>
          <w:lang w:val="en-US" w:eastAsia="zh-CN"/>
        </w:rPr>
        <w:t>，主要考核断面的月平均监测指标基本达到《地表水环境质量标准》（GB3838-2002）中Ⅳ类标准（</w:t>
      </w:r>
      <w:r>
        <w:rPr>
          <w:rFonts w:hint="eastAsia" w:ascii="宋体" w:hAnsi="宋体" w:eastAsia="宋体" w:cs="Times New Roman"/>
          <w:color w:val="auto"/>
          <w:sz w:val="21"/>
          <w:szCs w:val="21"/>
          <w:highlight w:val="none"/>
        </w:rPr>
        <w:t>COD</w:t>
      </w:r>
      <w:r>
        <w:rPr>
          <w:rFonts w:hint="eastAsia" w:ascii="宋体" w:hAnsi="宋体" w:eastAsia="宋体" w:cs="Times New Roman"/>
          <w:color w:val="auto"/>
          <w:sz w:val="21"/>
          <w:szCs w:val="21"/>
          <w:highlight w:val="none"/>
          <w:vertAlign w:val="baseline"/>
          <w:lang w:val="en-US" w:eastAsia="zh-CN"/>
        </w:rPr>
        <w:t>M</w:t>
      </w:r>
      <w:r>
        <w:rPr>
          <w:rFonts w:hint="eastAsia" w:ascii="宋体" w:hAnsi="宋体" w:eastAsia="宋体" w:cs="Times New Roman"/>
          <w:color w:val="auto"/>
          <w:sz w:val="21"/>
          <w:szCs w:val="21"/>
          <w:highlight w:val="none"/>
          <w:vertAlign w:val="baseline"/>
        </w:rPr>
        <w:t>n</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10.0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vertAlign w:val="baseline"/>
          <w:lang w:val="en-US" w:eastAsia="zh-CN"/>
        </w:rPr>
        <w:t>NH3-N</w:t>
      </w: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lang w:val="en-US" w:eastAsia="zh-CN"/>
        </w:rPr>
        <w:t>TP</w:t>
      </w:r>
      <w:r>
        <w:rPr>
          <w:rFonts w:hint="eastAsia" w:ascii="宋体" w:hAnsi="宋体" w:eastAsia="宋体" w:cs="Times New Roman"/>
          <w:color w:val="auto"/>
          <w:sz w:val="21"/>
          <w:szCs w:val="21"/>
          <w:highlight w:val="none"/>
        </w:rPr>
        <w:t>≤0.</w:t>
      </w: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mg/L，pH:6-9</w:t>
      </w:r>
      <w:r>
        <w:rPr>
          <w:rFonts w:hint="eastAsia" w:ascii="宋体" w:hAnsi="宋体" w:eastAsia="宋体" w:cs="Times New Roman"/>
          <w:color w:val="auto"/>
          <w:sz w:val="21"/>
          <w:szCs w:val="21"/>
          <w:highlight w:val="none"/>
          <w:lang w:val="en-US" w:eastAsia="zh-CN"/>
        </w:rPr>
        <w:t>）；</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第3-8个月，主要考核断面的月平均监测指标基本达到《地表水环境质量标准》GB3838-2002中的Ⅲ类标准（</w:t>
      </w:r>
      <w:r>
        <w:rPr>
          <w:rFonts w:hint="eastAsia" w:ascii="宋体" w:hAnsi="宋体" w:eastAsia="宋体" w:cs="Times New Roman"/>
          <w:color w:val="auto"/>
          <w:sz w:val="21"/>
          <w:szCs w:val="21"/>
          <w:highlight w:val="none"/>
        </w:rPr>
        <w:t>COD</w:t>
      </w:r>
      <w:r>
        <w:rPr>
          <w:rFonts w:hint="eastAsia" w:ascii="宋体" w:hAnsi="宋体" w:eastAsia="宋体" w:cs="Times New Roman"/>
          <w:color w:val="auto"/>
          <w:sz w:val="21"/>
          <w:szCs w:val="21"/>
          <w:highlight w:val="none"/>
          <w:vertAlign w:val="baseline"/>
          <w:lang w:val="en-US" w:eastAsia="zh-CN"/>
        </w:rPr>
        <w:t>M</w:t>
      </w:r>
      <w:r>
        <w:rPr>
          <w:rFonts w:hint="eastAsia" w:ascii="宋体" w:hAnsi="宋体" w:eastAsia="宋体" w:cs="Times New Roman"/>
          <w:color w:val="auto"/>
          <w:sz w:val="21"/>
          <w:szCs w:val="21"/>
          <w:highlight w:val="none"/>
          <w:vertAlign w:val="baseline"/>
        </w:rPr>
        <w:t>n</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6.0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vertAlign w:val="baseline"/>
          <w:lang w:val="en-US" w:eastAsia="zh-CN"/>
        </w:rPr>
        <w:t>NH3-N</w:t>
      </w: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lang w:val="en-US" w:eastAsia="zh-CN"/>
        </w:rPr>
        <w:t>TP</w:t>
      </w:r>
      <w:r>
        <w:rPr>
          <w:rFonts w:hint="eastAsia" w:ascii="宋体" w:hAnsi="宋体" w:eastAsia="宋体" w:cs="Times New Roman"/>
          <w:color w:val="auto"/>
          <w:sz w:val="21"/>
          <w:szCs w:val="21"/>
          <w:highlight w:val="none"/>
        </w:rPr>
        <w:t>≤0.</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mg/L，pH:6-9</w:t>
      </w:r>
      <w:r>
        <w:rPr>
          <w:rFonts w:hint="eastAsia" w:ascii="宋体" w:hAnsi="宋体" w:eastAsia="宋体" w:cs="Times New Roman"/>
          <w:color w:val="auto"/>
          <w:sz w:val="21"/>
          <w:szCs w:val="21"/>
          <w:highlight w:val="none"/>
          <w:lang w:val="en-US" w:eastAsia="zh-CN"/>
        </w:rPr>
        <w:t>）；</w:t>
      </w:r>
    </w:p>
    <w:p>
      <w:pPr>
        <w:pStyle w:val="19"/>
        <w:numPr>
          <w:ilvl w:val="0"/>
          <w:numId w:val="0"/>
        </w:numPr>
        <w:ind w:left="210" w:firstLine="420"/>
        <w:rPr>
          <w:rFonts w:hint="eastAsia" w:ascii="宋体" w:hAnsi="宋体"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后续服务期限内，</w:t>
      </w:r>
      <w:r>
        <w:rPr>
          <w:rFonts w:hint="eastAsia" w:ascii="宋体" w:hAnsi="宋体" w:eastAsia="宋体" w:cs="Times New Roman"/>
          <w:color w:val="auto"/>
          <w:sz w:val="21"/>
          <w:szCs w:val="21"/>
          <w:highlight w:val="none"/>
          <w:lang w:val="en-US" w:eastAsia="zh-CN"/>
        </w:rPr>
        <w:t>主要考核断面的月平均监测指标</w:t>
      </w:r>
      <w:r>
        <w:rPr>
          <w:rFonts w:hint="eastAsia" w:ascii="宋体" w:hAnsi="宋体" w:eastAsia="宋体" w:cs="宋体"/>
          <w:color w:val="auto"/>
          <w:sz w:val="21"/>
          <w:szCs w:val="21"/>
          <w:highlight w:val="none"/>
          <w:lang w:val="en-US" w:eastAsia="zh-CN"/>
        </w:rPr>
        <w:t>稳定维持在《地表水环境质量标准》GB3838-2002中的Ⅲ类标准（</w:t>
      </w:r>
      <w:r>
        <w:rPr>
          <w:rFonts w:hint="eastAsia" w:ascii="宋体" w:hAnsi="宋体" w:eastAsia="宋体" w:cs="宋体"/>
          <w:color w:val="auto"/>
          <w:sz w:val="21"/>
          <w:szCs w:val="21"/>
          <w:highlight w:val="none"/>
        </w:rPr>
        <w:t>COD</w:t>
      </w:r>
      <w:r>
        <w:rPr>
          <w:rFonts w:hint="eastAsia" w:ascii="宋体" w:hAnsi="宋体" w:eastAsia="宋体" w:cs="宋体"/>
          <w:color w:val="auto"/>
          <w:sz w:val="21"/>
          <w:szCs w:val="21"/>
          <w:highlight w:val="none"/>
          <w:vertAlign w:val="baseline"/>
          <w:lang w:val="en-US" w:eastAsia="zh-CN"/>
        </w:rPr>
        <w:t>M</w:t>
      </w:r>
      <w:r>
        <w:rPr>
          <w:rFonts w:hint="eastAsia" w:ascii="宋体" w:hAnsi="宋体" w:eastAsia="宋体" w:cs="宋体"/>
          <w:color w:val="auto"/>
          <w:sz w:val="21"/>
          <w:szCs w:val="21"/>
          <w:highlight w:val="none"/>
          <w:vertAlign w:val="baseline"/>
        </w:rPr>
        <w:t>n</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vertAlign w:val="baseline"/>
          <w:lang w:val="en-US" w:eastAsia="zh-CN"/>
        </w:rPr>
        <w:t>NH3-N</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mg/L，</w:t>
      </w:r>
      <w:r>
        <w:rPr>
          <w:rFonts w:hint="eastAsia" w:ascii="宋体" w:hAnsi="宋体" w:eastAsia="宋体" w:cs="宋体"/>
          <w:color w:val="auto"/>
          <w:sz w:val="21"/>
          <w:szCs w:val="21"/>
          <w:highlight w:val="none"/>
          <w:lang w:val="en-US" w:eastAsia="zh-CN"/>
        </w:rPr>
        <w:t>TP</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mg/L，pH:6-9</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w:t>
      </w:r>
    </w:p>
    <w:p>
      <w:pPr>
        <w:pStyle w:val="19"/>
        <w:numPr>
          <w:ilvl w:val="0"/>
          <w:numId w:val="0"/>
        </w:numPr>
        <w:ind w:left="210" w:firstLine="420"/>
        <w:rPr>
          <w:rFonts w:hint="eastAsia" w:ascii="宋体" w:hAnsi="宋体" w:eastAsia="宋体"/>
          <w:color w:val="auto"/>
          <w:sz w:val="21"/>
          <w:szCs w:val="21"/>
          <w:highlight w:val="none"/>
        </w:rPr>
      </w:pPr>
      <w:r>
        <w:rPr>
          <w:rFonts w:hint="eastAsia" w:ascii="宋体" w:hAnsi="宋体" w:eastAsia="宋体" w:cs="Times New Roman"/>
          <w:color w:val="auto"/>
          <w:sz w:val="21"/>
          <w:szCs w:val="21"/>
          <w:highlight w:val="none"/>
          <w:lang w:val="en-US" w:eastAsia="zh-CN"/>
        </w:rPr>
        <w:t>②原位净化装备处理规模达到10000吨/天，并且装备出水主要水质指标达到《地表水环境质量标准》GB3838-2002中的III类标准（</w:t>
      </w:r>
      <w:r>
        <w:rPr>
          <w:rFonts w:hint="eastAsia" w:ascii="宋体" w:hAnsi="宋体" w:eastAsia="宋体" w:cs="Times New Roman"/>
          <w:color w:val="auto"/>
          <w:sz w:val="21"/>
          <w:szCs w:val="21"/>
          <w:highlight w:val="none"/>
        </w:rPr>
        <w:t>COD</w:t>
      </w:r>
      <w:r>
        <w:rPr>
          <w:rFonts w:hint="eastAsia" w:ascii="宋体" w:hAnsi="宋体" w:eastAsia="宋体" w:cs="Times New Roman"/>
          <w:color w:val="auto"/>
          <w:sz w:val="21"/>
          <w:szCs w:val="21"/>
          <w:highlight w:val="none"/>
          <w:vertAlign w:val="baseline"/>
          <w:lang w:val="en-US" w:eastAsia="zh-CN"/>
        </w:rPr>
        <w:t>M</w:t>
      </w:r>
      <w:r>
        <w:rPr>
          <w:rFonts w:hint="eastAsia" w:ascii="宋体" w:hAnsi="宋体" w:eastAsia="宋体" w:cs="Times New Roman"/>
          <w:color w:val="auto"/>
          <w:sz w:val="21"/>
          <w:szCs w:val="21"/>
          <w:highlight w:val="none"/>
          <w:vertAlign w:val="baseline"/>
        </w:rPr>
        <w:t>n</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6.0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vertAlign w:val="baseline"/>
          <w:lang w:val="en-US" w:eastAsia="zh-CN"/>
        </w:rPr>
        <w:t>NH3-N</w:t>
      </w: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lang w:val="en-US" w:eastAsia="zh-CN"/>
        </w:rPr>
        <w:t>TP</w:t>
      </w:r>
      <w:r>
        <w:rPr>
          <w:rFonts w:hint="eastAsia" w:ascii="宋体" w:hAnsi="宋体" w:eastAsia="宋体" w:cs="Times New Roman"/>
          <w:color w:val="auto"/>
          <w:sz w:val="21"/>
          <w:szCs w:val="21"/>
          <w:highlight w:val="none"/>
        </w:rPr>
        <w:t>≤0.</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mg/L，</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pH:6-9</w:t>
      </w:r>
      <w:r>
        <w:rPr>
          <w:rFonts w:hint="eastAsia" w:ascii="宋体" w:hAnsi="宋体" w:eastAsia="宋体" w:cs="Times New Roman"/>
          <w:color w:val="auto"/>
          <w:sz w:val="21"/>
          <w:szCs w:val="21"/>
          <w:highlight w:val="none"/>
          <w:lang w:val="en-US" w:eastAsia="zh-CN"/>
        </w:rPr>
        <w:t>）</w:t>
      </w:r>
      <w:bookmarkStart w:id="88" w:name="_Toc397330541"/>
      <w:r>
        <w:rPr>
          <w:rFonts w:hint="eastAsia" w:ascii="宋体" w:hAnsi="宋体" w:eastAsia="宋体"/>
          <w:color w:val="auto"/>
          <w:sz w:val="21"/>
          <w:szCs w:val="21"/>
          <w:highlight w:val="none"/>
        </w:rPr>
        <w:t>。</w:t>
      </w:r>
    </w:p>
    <w:bookmarkEnd w:id="88"/>
    <w:p>
      <w:pPr>
        <w:pStyle w:val="5"/>
        <w:bidi w:val="0"/>
        <w:rPr>
          <w:rFonts w:hint="eastAsia"/>
          <w:color w:val="auto"/>
          <w:kern w:val="2"/>
          <w:sz w:val="28"/>
          <w:szCs w:val="24"/>
          <w:highlight w:val="none"/>
          <w:lang w:val="en-US" w:eastAsia="zh-CN"/>
        </w:rPr>
      </w:pPr>
    </w:p>
    <w:p>
      <w:pPr>
        <w:spacing w:line="360" w:lineRule="auto"/>
        <w:jc w:val="center"/>
        <w:rPr>
          <w:rFonts w:hint="default"/>
          <w:b/>
          <w:bCs/>
          <w:color w:val="auto"/>
          <w:sz w:val="28"/>
          <w:szCs w:val="24"/>
          <w:highlight w:val="none"/>
          <w:lang w:val="en-US" w:eastAsia="zh-CN"/>
        </w:rPr>
      </w:pPr>
      <w:r>
        <w:rPr>
          <w:rFonts w:hint="eastAsia"/>
          <w:b/>
          <w:bCs/>
          <w:color w:val="auto"/>
          <w:sz w:val="28"/>
          <w:szCs w:val="24"/>
          <w:highlight w:val="none"/>
          <w:lang w:val="en-US" w:eastAsia="zh-CN"/>
        </w:rPr>
        <w:t>六、监督考核实施办法</w:t>
      </w:r>
    </w:p>
    <w:p>
      <w:pPr>
        <w:pStyle w:val="19"/>
        <w:numPr>
          <w:ilvl w:val="0"/>
          <w:numId w:val="0"/>
        </w:numPr>
        <w:ind w:left="210" w:firstLine="42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为有效推进城市水环境生态建设，高标准提升整体水质，实现</w:t>
      </w:r>
      <w:r>
        <w:rPr>
          <w:rFonts w:hint="eastAsia" w:ascii="宋体" w:hAnsi="宋体" w:eastAsia="宋体" w:cs="Times New Roman"/>
          <w:color w:val="auto"/>
          <w:sz w:val="21"/>
          <w:szCs w:val="21"/>
          <w:highlight w:val="none"/>
          <w:lang w:val="en-US" w:eastAsia="zh-CN"/>
        </w:rPr>
        <w:t>慈溪市横河街道</w:t>
      </w:r>
      <w:r>
        <w:rPr>
          <w:rFonts w:hint="eastAsia" w:ascii="宋体" w:hAnsi="宋体" w:eastAsia="宋体" w:cs="Times New Roman"/>
          <w:color w:val="auto"/>
          <w:sz w:val="21"/>
          <w:szCs w:val="21"/>
          <w:highlight w:val="none"/>
        </w:rPr>
        <w:t>河道全过程、全系统、全方位的治理，提高内河景观水平，实现“河畅、水清、岸绿、景美”的内河水质维护提升目标，结合国家环保部《地表水环境质量评价办法（试行）》浙江省和宁波市水环境功能区划的有关评价指标、标准和评价方法，特制定</w:t>
      </w:r>
      <w:r>
        <w:rPr>
          <w:rFonts w:hint="eastAsia" w:ascii="宋体" w:hAnsi="宋体" w:eastAsia="宋体" w:cs="Times New Roman"/>
          <w:color w:val="auto"/>
          <w:sz w:val="21"/>
          <w:szCs w:val="21"/>
          <w:highlight w:val="none"/>
          <w:lang w:val="en-US" w:eastAsia="zh-CN"/>
        </w:rPr>
        <w:t>本考核办法</w:t>
      </w:r>
      <w:r>
        <w:rPr>
          <w:rFonts w:hint="eastAsia" w:ascii="宋体" w:hAnsi="宋体" w:eastAsia="宋体" w:cs="Times New Roman"/>
          <w:color w:val="auto"/>
          <w:sz w:val="21"/>
          <w:szCs w:val="21"/>
          <w:highlight w:val="none"/>
        </w:rPr>
        <w:t>。</w:t>
      </w:r>
    </w:p>
    <w:p>
      <w:pPr>
        <w:pStyle w:val="19"/>
        <w:numPr>
          <w:ilvl w:val="0"/>
          <w:numId w:val="0"/>
        </w:numPr>
        <w:ind w:left="210" w:firstLine="420"/>
        <w:rPr>
          <w:rFonts w:hint="eastAsia" w:ascii="宋体" w:hAnsi="宋体" w:eastAsia="宋体"/>
          <w:color w:val="auto"/>
          <w:sz w:val="21"/>
          <w:szCs w:val="21"/>
          <w:highlight w:val="none"/>
        </w:rPr>
      </w:pPr>
      <w:r>
        <w:rPr>
          <w:rFonts w:hint="eastAsia" w:ascii="宋体" w:hAnsi="宋体" w:eastAsia="宋体" w:cs="Times New Roman"/>
          <w:color w:val="auto"/>
          <w:sz w:val="21"/>
          <w:szCs w:val="21"/>
          <w:highlight w:val="none"/>
        </w:rPr>
        <w:t>水质日常维护提升工作中标人根据投标方案全面开展水质日常维护提升工作。招标人根据河道考核办法开展考核工作，考核范围为1-12月份所有有效数据。考核所需数据以</w:t>
      </w:r>
      <w:r>
        <w:rPr>
          <w:rFonts w:hint="eastAsia" w:ascii="宋体" w:hAnsi="宋体" w:eastAsia="宋体" w:cs="Times New Roman"/>
          <w:color w:val="auto"/>
          <w:sz w:val="21"/>
          <w:szCs w:val="21"/>
          <w:highlight w:val="none"/>
          <w:lang w:val="en-US" w:eastAsia="zh-CN"/>
        </w:rPr>
        <w:t>业主单位</w:t>
      </w:r>
      <w:r>
        <w:rPr>
          <w:rFonts w:hint="eastAsia" w:ascii="宋体" w:hAnsi="宋体" w:eastAsia="宋体" w:cs="Times New Roman"/>
          <w:color w:val="auto"/>
          <w:sz w:val="21"/>
          <w:szCs w:val="21"/>
          <w:highlight w:val="none"/>
        </w:rPr>
        <w:t>委托的第三方监测为准，考核主要依据第三方监测、专项行动和业主检查情况，核定每月达标情况，在规定时间范围内计算水质养护单位的达标维护情况作为该水质养护单位的得分，评估水质维护提升工作效果，并将考核结果通报给中标单位，按考核结果支付相关费用</w:t>
      </w:r>
      <w:r>
        <w:rPr>
          <w:rFonts w:hint="eastAsia" w:ascii="宋体" w:hAnsi="宋体" w:eastAsia="宋体"/>
          <w:color w:val="auto"/>
          <w:sz w:val="21"/>
          <w:szCs w:val="21"/>
          <w:highlight w:val="none"/>
        </w:rPr>
        <w:t>。</w:t>
      </w:r>
    </w:p>
    <w:p>
      <w:pPr>
        <w:keepNext w:val="0"/>
        <w:keepLines w:val="0"/>
        <w:pageBreakBefore w:val="0"/>
        <w:widowControl w:val="0"/>
        <w:kinsoku/>
        <w:wordWrap/>
        <w:overflowPunct/>
        <w:topLinePunct w:val="0"/>
        <w:bidi w:val="0"/>
        <w:snapToGrid/>
        <w:spacing w:line="360" w:lineRule="auto"/>
        <w:ind w:firstLine="422" w:firstLineChars="200"/>
        <w:textAlignment w:val="baseline"/>
        <w:rPr>
          <w:rFonts w:hint="eastAsia" w:ascii="宋体" w:hAnsi="宋体" w:eastAsia="宋体" w:cs="Times New Roman"/>
          <w:b/>
          <w:color w:val="auto"/>
          <w:sz w:val="21"/>
          <w:szCs w:val="21"/>
          <w:highlight w:val="none"/>
          <w:lang w:val="en-US" w:eastAsia="zh-CN"/>
        </w:rPr>
      </w:pPr>
      <w:bookmarkStart w:id="89" w:name="_Toc397330543"/>
      <w:r>
        <w:rPr>
          <w:rFonts w:hint="eastAsia" w:ascii="宋体" w:hAnsi="宋体" w:cs="Times New Roman"/>
          <w:b/>
          <w:color w:val="auto"/>
          <w:sz w:val="21"/>
          <w:szCs w:val="21"/>
          <w:highlight w:val="none"/>
          <w:lang w:val="en-US" w:eastAsia="zh-CN"/>
        </w:rPr>
        <w:t>（一）</w:t>
      </w:r>
      <w:r>
        <w:rPr>
          <w:rFonts w:hint="eastAsia" w:ascii="宋体" w:hAnsi="宋体" w:eastAsia="宋体" w:cs="Times New Roman"/>
          <w:b/>
          <w:color w:val="auto"/>
          <w:sz w:val="21"/>
          <w:szCs w:val="21"/>
          <w:highlight w:val="none"/>
          <w:lang w:val="en-US" w:eastAsia="zh-CN"/>
        </w:rPr>
        <w:t>运维期间考核办法</w:t>
      </w:r>
    </w:p>
    <w:p>
      <w:pPr>
        <w:keepNext w:val="0"/>
        <w:keepLines w:val="0"/>
        <w:pageBreakBefore w:val="0"/>
        <w:widowControl w:val="0"/>
        <w:kinsoku/>
        <w:wordWrap/>
        <w:overflowPunct/>
        <w:topLinePunct w:val="0"/>
        <w:bidi w:val="0"/>
        <w:snapToGrid/>
        <w:spacing w:line="360" w:lineRule="auto"/>
        <w:ind w:firstLine="422" w:firstLineChars="200"/>
        <w:rPr>
          <w:rFonts w:ascii="宋体" w:hAnsi="宋体"/>
          <w:b/>
          <w:color w:val="auto"/>
          <w:sz w:val="21"/>
          <w:szCs w:val="21"/>
          <w:highlight w:val="none"/>
        </w:rPr>
      </w:pPr>
      <w:r>
        <w:rPr>
          <w:rFonts w:hint="eastAsia" w:ascii="宋体" w:hAnsi="宋体"/>
          <w:b/>
          <w:color w:val="auto"/>
          <w:sz w:val="21"/>
          <w:szCs w:val="21"/>
          <w:highlight w:val="none"/>
          <w:lang w:val="en-US" w:eastAsia="zh-CN"/>
        </w:rPr>
        <w:t>1、</w:t>
      </w:r>
      <w:r>
        <w:rPr>
          <w:rFonts w:ascii="宋体" w:hAnsi="宋体"/>
          <w:b/>
          <w:color w:val="auto"/>
          <w:sz w:val="21"/>
          <w:szCs w:val="21"/>
          <w:highlight w:val="none"/>
        </w:rPr>
        <w:t>主评指标选用原则</w:t>
      </w:r>
      <w:bookmarkEnd w:id="89"/>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为使最终所选的指标具有代表性、关注性和可达性特征，因此主评指标选用原则如下：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代表性原则：指标的涵盖面要广，具有广泛的代表性，要覆盖各种污染类型的污染因子，能够较全面地反映杭州湾新区水环境污染的特点和污染程度。考虑考核内容的独立性，一些指标不仅难以简单测定或描述，而且指标间存在一定的交叉和关联，对指标进行详细筛选。</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关注性原则：具有较高关注度，满足公众日常观察，满足评价者应用的需要，满足管理者的日常考核和使用。</w:t>
      </w:r>
    </w:p>
    <w:p>
      <w:pPr>
        <w:keepNext w:val="0"/>
        <w:keepLines w:val="0"/>
        <w:pageBreakBefore w:val="0"/>
        <w:widowControl w:val="0"/>
        <w:kinsoku/>
        <w:wordWrap/>
        <w:overflowPunct/>
        <w:topLinePunct w:val="0"/>
        <w:bidi w:val="0"/>
        <w:snapToGrid/>
        <w:spacing w:line="360" w:lineRule="auto"/>
        <w:ind w:firstLine="420" w:firstLineChars="200"/>
        <w:rPr>
          <w:rFonts w:ascii="宋体" w:hAnsi="宋体"/>
          <w:color w:val="auto"/>
          <w:sz w:val="21"/>
          <w:szCs w:val="21"/>
          <w:highlight w:val="none"/>
        </w:rPr>
      </w:pP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可达性原则：监测与治理费用节省，指标尽量简单快速反应反映水质特征，而且根据本地经济状况和技术使用情况，可以或可能达到预定的治理与维护时间内的目标。</w:t>
      </w:r>
      <w:bookmarkStart w:id="90" w:name="_Toc397330544"/>
    </w:p>
    <w:bookmarkEnd w:id="90"/>
    <w:p>
      <w:pPr>
        <w:keepNext w:val="0"/>
        <w:keepLines w:val="0"/>
        <w:pageBreakBefore w:val="0"/>
        <w:widowControl w:val="0"/>
        <w:kinsoku/>
        <w:wordWrap/>
        <w:overflowPunct/>
        <w:topLinePunct w:val="0"/>
        <w:bidi w:val="0"/>
        <w:snapToGrid/>
        <w:spacing w:line="360" w:lineRule="auto"/>
        <w:ind w:firstLine="422" w:firstLineChars="200"/>
        <w:rPr>
          <w:rFonts w:ascii="宋体" w:hAnsi="宋体"/>
          <w:b/>
          <w:color w:val="auto"/>
          <w:sz w:val="21"/>
          <w:szCs w:val="21"/>
          <w:highlight w:val="none"/>
        </w:rPr>
      </w:pPr>
      <w:bookmarkStart w:id="91" w:name="_Toc397330545"/>
      <w:r>
        <w:rPr>
          <w:rFonts w:hint="eastAsia" w:ascii="宋体" w:hAnsi="宋体"/>
          <w:b/>
          <w:color w:val="auto"/>
          <w:sz w:val="21"/>
          <w:szCs w:val="21"/>
          <w:highlight w:val="none"/>
          <w:lang w:val="en-US" w:eastAsia="zh-CN"/>
        </w:rPr>
        <w:t>2、</w:t>
      </w:r>
      <w:r>
        <w:rPr>
          <w:rFonts w:ascii="宋体" w:hAnsi="宋体"/>
          <w:b/>
          <w:color w:val="auto"/>
          <w:sz w:val="21"/>
          <w:szCs w:val="21"/>
          <w:highlight w:val="none"/>
        </w:rPr>
        <w:t>水质指标的筛选</w:t>
      </w:r>
      <w:bookmarkEnd w:id="91"/>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ascii="宋体" w:hAnsi="宋体"/>
          <w:color w:val="auto"/>
          <w:sz w:val="21"/>
          <w:szCs w:val="21"/>
          <w:highlight w:val="none"/>
        </w:rPr>
      </w:pPr>
      <w:r>
        <w:rPr>
          <w:rFonts w:hint="eastAsia" w:cs="Times New Roman"/>
          <w:color w:val="auto"/>
          <w:kern w:val="0"/>
          <w:sz w:val="21"/>
          <w:szCs w:val="21"/>
          <w:highlight w:val="none"/>
          <w:lang w:val="en-US" w:eastAsia="zh-CN"/>
        </w:rPr>
        <w:t>2.1</w:t>
      </w:r>
      <w:r>
        <w:rPr>
          <w:rFonts w:hint="default" w:ascii="Times New Roman" w:hAnsi="Times New Roman" w:cs="Times New Roman"/>
          <w:color w:val="auto"/>
          <w:kern w:val="0"/>
          <w:sz w:val="21"/>
          <w:szCs w:val="21"/>
          <w:highlight w:val="none"/>
        </w:rPr>
        <w:t>评价指标的选择。</w:t>
      </w:r>
      <w:r>
        <w:rPr>
          <w:rFonts w:hint="default" w:ascii="Times New Roman" w:hAnsi="Times New Roman" w:cs="Times New Roman"/>
          <w:color w:val="auto"/>
          <w:sz w:val="21"/>
          <w:szCs w:val="21"/>
          <w:highlight w:val="none"/>
        </w:rPr>
        <w:t>依据各项水质指标的污染分担率，对</w:t>
      </w:r>
      <w:r>
        <w:rPr>
          <w:rFonts w:hint="eastAsia" w:ascii="Times New Roman" w:hAnsi="Times New Roman" w:cs="Times New Roman"/>
          <w:color w:val="auto"/>
          <w:sz w:val="21"/>
          <w:szCs w:val="21"/>
          <w:highlight w:val="none"/>
          <w:lang w:val="en-US" w:eastAsia="zh-CN"/>
        </w:rPr>
        <w:t>慈溪</w:t>
      </w:r>
      <w:r>
        <w:rPr>
          <w:rFonts w:hint="default" w:ascii="Times New Roman" w:hAnsi="Times New Roman" w:cs="Times New Roman"/>
          <w:color w:val="auto"/>
          <w:sz w:val="21"/>
          <w:szCs w:val="21"/>
          <w:highlight w:val="none"/>
        </w:rPr>
        <w:t>市主要河流水质监测数据进行分析，并考虑国内对</w:t>
      </w:r>
      <w:r>
        <w:rPr>
          <w:rFonts w:hint="eastAsia" w:ascii="Times New Roman" w:hAnsi="Times New Roman" w:cs="Times New Roman"/>
          <w:color w:val="auto"/>
          <w:sz w:val="21"/>
          <w:szCs w:val="21"/>
          <w:highlight w:val="none"/>
          <w:lang w:val="en-US" w:eastAsia="zh-CN"/>
        </w:rPr>
        <w:t>河道</w:t>
      </w:r>
      <w:r>
        <w:rPr>
          <w:rFonts w:hint="default" w:ascii="Times New Roman" w:hAnsi="Times New Roman" w:cs="Times New Roman"/>
          <w:color w:val="auto"/>
          <w:sz w:val="21"/>
          <w:szCs w:val="21"/>
          <w:highlight w:val="none"/>
        </w:rPr>
        <w:t>水质的关注指标，从常规水质指标中筛选出COD</w:t>
      </w:r>
      <w:r>
        <w:rPr>
          <w:rFonts w:hint="eastAsia"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pH等指标，作为</w:t>
      </w:r>
      <w:r>
        <w:rPr>
          <w:rFonts w:hint="eastAsia" w:cs="Times New Roman"/>
          <w:color w:val="auto"/>
          <w:sz w:val="21"/>
          <w:szCs w:val="21"/>
          <w:highlight w:val="none"/>
          <w:lang w:eastAsia="zh-CN"/>
        </w:rPr>
        <w:t>慈溪市横河镇东横河江河道水质提升服务项目</w:t>
      </w:r>
      <w:r>
        <w:rPr>
          <w:rFonts w:hint="default" w:ascii="Times New Roman" w:hAnsi="Times New Roman" w:cs="Times New Roman"/>
          <w:color w:val="auto"/>
          <w:sz w:val="21"/>
          <w:szCs w:val="21"/>
          <w:highlight w:val="none"/>
        </w:rPr>
        <w:t>河流水质评价的</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个水质主评考核指标。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2.2</w:t>
      </w:r>
      <w:r>
        <w:rPr>
          <w:rFonts w:hint="default" w:ascii="Times New Roman" w:hAnsi="Times New Roman" w:cs="Times New Roman"/>
          <w:color w:val="auto"/>
          <w:sz w:val="21"/>
          <w:szCs w:val="21"/>
          <w:highlight w:val="none"/>
        </w:rPr>
        <w:t>评价指标标准：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第</w:t>
      </w:r>
      <w:r>
        <w:rPr>
          <w:rFonts w:hint="default" w:ascii="Times New Roman" w:hAnsi="Times New Roman" w:cs="Times New Roman"/>
          <w:color w:val="auto"/>
          <w:sz w:val="21"/>
          <w:szCs w:val="21"/>
          <w:highlight w:val="none"/>
          <w:lang w:val="en-US" w:eastAsia="zh-CN"/>
        </w:rPr>
        <w:t>1-3个月</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主要考核断面的月平均监测指标基本达到</w:t>
      </w:r>
      <w:r>
        <w:rPr>
          <w:rFonts w:hint="default" w:ascii="Times New Roman" w:hAnsi="Times New Roman" w:cs="Times New Roman"/>
          <w:color w:val="auto"/>
          <w:sz w:val="21"/>
          <w:szCs w:val="21"/>
          <w:highlight w:val="none"/>
        </w:rPr>
        <w:t>《地表水环境质量标准》（GB3838-2002）中Ⅳ类标准，具体指标包括：COD</w:t>
      </w:r>
      <w:r>
        <w:rPr>
          <w:rFonts w:hint="default"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rPr>
        <w:t>mg/L，</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mg/L，pH:6-9。</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第</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-8个月</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主要考核断面的月平均监测指标基本达到《地表水环境质量标准》GB3838-2002中的Ⅲ类标准；</w:t>
      </w:r>
      <w:r>
        <w:rPr>
          <w:rFonts w:hint="default" w:ascii="Times New Roman" w:hAnsi="Times New Roman" w:cs="Times New Roman"/>
          <w:color w:val="auto"/>
          <w:sz w:val="21"/>
          <w:szCs w:val="21"/>
          <w:highlight w:val="none"/>
        </w:rPr>
        <w:t>具体指标包括：COD</w:t>
      </w:r>
      <w:r>
        <w:rPr>
          <w:rFonts w:hint="default"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mg/L，</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mg/L，pH:6-9。</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后续服务期限内，主要考核断面的月平均监测指标稳定维持在《地表水环境质量标准》GB3838-2002中的Ⅲ类标准；</w:t>
      </w:r>
      <w:r>
        <w:rPr>
          <w:rFonts w:hint="default" w:ascii="Times New Roman" w:hAnsi="Times New Roman" w:cs="Times New Roman"/>
          <w:color w:val="auto"/>
          <w:sz w:val="21"/>
          <w:szCs w:val="21"/>
          <w:highlight w:val="none"/>
        </w:rPr>
        <w:t>具体指标包括：COD</w:t>
      </w:r>
      <w:r>
        <w:rPr>
          <w:rFonts w:hint="default"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mg/L，</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mg/L，pH:6-9。</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rPr>
          <w:rFonts w:hint="eastAsia" w:ascii="宋体" w:hAnsi="宋体"/>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（4）设备出水指标</w:t>
      </w:r>
      <w:r>
        <w:rPr>
          <w:rFonts w:hint="default" w:ascii="Times New Roman" w:hAnsi="Times New Roman" w:cs="Times New Roman"/>
          <w:color w:val="auto"/>
          <w:sz w:val="21"/>
          <w:szCs w:val="21"/>
          <w:highlight w:val="none"/>
        </w:rPr>
        <w:t>：水质考核主要指标稳定保持《地表水环境质量标准》（GB3838-2002）中</w:t>
      </w:r>
      <w:r>
        <w:rPr>
          <w:rFonts w:hint="default" w:ascii="Times New Roman" w:hAnsi="Times New Roman" w:cs="Times New Roman"/>
          <w:color w:val="auto"/>
          <w:sz w:val="21"/>
          <w:szCs w:val="21"/>
          <w:highlight w:val="none"/>
          <w:lang w:val="en-US" w:eastAsia="zh-CN"/>
        </w:rPr>
        <w:t>III</w:t>
      </w:r>
      <w:r>
        <w:rPr>
          <w:rFonts w:hint="default" w:ascii="Times New Roman" w:hAnsi="Times New Roman" w:cs="Times New Roman"/>
          <w:color w:val="auto"/>
          <w:sz w:val="21"/>
          <w:szCs w:val="21"/>
          <w:highlight w:val="none"/>
        </w:rPr>
        <w:t>类标准，具体指标包括：COD</w:t>
      </w:r>
      <w:r>
        <w:rPr>
          <w:rFonts w:hint="default"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mg/L，</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mg/L，pH:6-9。</w:t>
      </w:r>
    </w:p>
    <w:p>
      <w:pPr>
        <w:keepNext w:val="0"/>
        <w:keepLines w:val="0"/>
        <w:pageBreakBefore w:val="0"/>
        <w:widowControl w:val="0"/>
        <w:kinsoku/>
        <w:wordWrap/>
        <w:overflowPunct/>
        <w:topLinePunct w:val="0"/>
        <w:bidi w:val="0"/>
        <w:snapToGrid/>
        <w:spacing w:line="360" w:lineRule="auto"/>
        <w:ind w:firstLine="422" w:firstLineChars="200"/>
        <w:textAlignment w:val="baseline"/>
        <w:rPr>
          <w:rFonts w:hint="default" w:ascii="Times New Roman" w:hAnsi="Times New Roman" w:cs="Times New Roman"/>
          <w:b/>
          <w:color w:val="auto"/>
          <w:sz w:val="21"/>
          <w:szCs w:val="21"/>
          <w:highlight w:val="none"/>
        </w:rPr>
      </w:pPr>
      <w:r>
        <w:rPr>
          <w:rFonts w:hint="eastAsia"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河道水质考核办法</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考核指标：COD</w:t>
      </w:r>
      <w:r>
        <w:rPr>
          <w:rFonts w:hint="eastAsia"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pH。</w:t>
      </w:r>
    </w:p>
    <w:p>
      <w:pPr>
        <w:pStyle w:val="19"/>
        <w:spacing w:line="360" w:lineRule="auto"/>
        <w:rPr>
          <w:rFonts w:hint="default" w:eastAsia="宋体"/>
          <w:strike/>
          <w:dstrike w:val="0"/>
          <w:color w:val="auto"/>
          <w:sz w:val="21"/>
          <w:szCs w:val="21"/>
          <w:highlight w:val="none"/>
          <w:lang w:val="en-US" w:eastAsia="zh-CN"/>
        </w:rPr>
      </w:pPr>
      <w:r>
        <w:rPr>
          <w:rFonts w:hint="default" w:ascii="Times New Roman" w:hAnsi="Times New Roman" w:cs="Times New Roman"/>
          <w:color w:val="auto"/>
          <w:sz w:val="21"/>
          <w:szCs w:val="21"/>
          <w:highlight w:val="none"/>
        </w:rPr>
        <w:t>考核方式：采取</w:t>
      </w:r>
      <w:r>
        <w:rPr>
          <w:rFonts w:hint="eastAsia" w:ascii="Times New Roman" w:hAnsi="Times New Roman"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度检测考核方式。其中考核指标进行每</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度</w:t>
      </w:r>
      <w:r>
        <w:rPr>
          <w:rFonts w:hint="default" w:ascii="Times New Roman" w:hAnsi="Times New Roman" w:cs="Times New Roman"/>
          <w:color w:val="auto"/>
          <w:sz w:val="21"/>
          <w:szCs w:val="21"/>
          <w:highlight w:val="none"/>
        </w:rPr>
        <w:t>每隔</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0天采样检测一次，采样</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个点</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其中</w:t>
      </w:r>
      <w:r>
        <w:rPr>
          <w:rFonts w:hint="default" w:ascii="Times New Roman" w:hAnsi="Times New Roman" w:cs="Times New Roman"/>
          <w:color w:val="auto"/>
          <w:sz w:val="21"/>
          <w:szCs w:val="21"/>
          <w:highlight w:val="none"/>
          <w:lang w:val="en-US" w:eastAsia="zh-CN"/>
        </w:rPr>
        <w:t>河道</w:t>
      </w:r>
      <w:r>
        <w:rPr>
          <w:rFonts w:hint="default" w:ascii="Times New Roman" w:hAnsi="Times New Roman" w:cs="Times New Roman"/>
          <w:color w:val="auto"/>
          <w:sz w:val="21"/>
          <w:szCs w:val="21"/>
          <w:highlight w:val="none"/>
        </w:rPr>
        <w:t>采样点</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个</w:t>
      </w:r>
      <w:r>
        <w:rPr>
          <w:rFonts w:hint="eastAsia" w:cs="Times New Roman"/>
          <w:color w:val="auto"/>
          <w:sz w:val="21"/>
          <w:szCs w:val="21"/>
          <w:highlight w:val="none"/>
          <w:lang w:eastAsia="zh-CN"/>
        </w:rPr>
        <w:t>（</w:t>
      </w:r>
      <w:r>
        <w:rPr>
          <w:rFonts w:hint="eastAsia" w:cs="Times New Roman"/>
          <w:b/>
          <w:bCs/>
          <w:color w:val="auto"/>
          <w:sz w:val="21"/>
          <w:szCs w:val="21"/>
          <w:highlight w:val="none"/>
          <w:lang w:val="en-US" w:eastAsia="zh-CN"/>
        </w:rPr>
        <w:t>为监测点</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设备出水口</w:t>
      </w:r>
      <w:r>
        <w:rPr>
          <w:rFonts w:hint="default" w:ascii="Times New Roman" w:hAnsi="Times New Roman" w:cs="Times New Roman"/>
          <w:color w:val="auto"/>
          <w:sz w:val="21"/>
          <w:szCs w:val="21"/>
          <w:highlight w:val="none"/>
        </w:rPr>
        <w:t>采样点</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个</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每个取样点的水质得分后取平均值作为当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度</w:t>
      </w:r>
      <w:r>
        <w:rPr>
          <w:rFonts w:hint="default" w:ascii="Times New Roman" w:hAnsi="Times New Roman" w:cs="Times New Roman"/>
          <w:color w:val="auto"/>
          <w:sz w:val="21"/>
          <w:szCs w:val="21"/>
          <w:highlight w:val="none"/>
        </w:rPr>
        <w:t>数值取平均值</w:t>
      </w:r>
      <w:r>
        <w:rPr>
          <w:rFonts w:hint="eastAsia" w:cs="Times New Roman"/>
          <w:color w:val="auto"/>
          <w:sz w:val="21"/>
          <w:szCs w:val="21"/>
          <w:highlight w:val="none"/>
          <w:lang w:eastAsia="zh-CN"/>
        </w:rPr>
        <w:t>，</w:t>
      </w:r>
      <w:r>
        <w:rPr>
          <w:rFonts w:hint="eastAsia" w:cs="Times New Roman"/>
          <w:b/>
          <w:bCs/>
          <w:color w:val="auto"/>
          <w:sz w:val="21"/>
          <w:szCs w:val="21"/>
          <w:highlight w:val="none"/>
          <w:lang w:val="en-US" w:eastAsia="zh-CN"/>
        </w:rPr>
        <w:t>监测点必须达标</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如果遇到台风雨季、河道排污或大面积外来污染物出现等不可控的突发事件，需待突发事件解决好1周后再采样；）</w:t>
      </w:r>
    </w:p>
    <w:p>
      <w:pPr>
        <w:keepNext w:val="0"/>
        <w:keepLines w:val="0"/>
        <w:pageBreakBefore w:val="0"/>
        <w:widowControl w:val="0"/>
        <w:kinsoku/>
        <w:wordWrap/>
        <w:overflowPunct/>
        <w:topLinePunct w:val="0"/>
        <w:bidi w:val="0"/>
        <w:snapToGrid/>
        <w:spacing w:line="360" w:lineRule="auto"/>
        <w:ind w:firstLine="420" w:firstLineChars="200"/>
        <w:rPr>
          <w:rFonts w:ascii="宋体" w:hAnsi="宋体"/>
          <w:color w:val="auto"/>
          <w:sz w:val="21"/>
          <w:szCs w:val="21"/>
          <w:highlight w:val="none"/>
        </w:rPr>
      </w:pPr>
      <w:r>
        <w:rPr>
          <w:rFonts w:hint="default" w:ascii="Times New Roman" w:hAnsi="Times New Roman" w:cs="Times New Roman"/>
          <w:color w:val="auto"/>
          <w:sz w:val="21"/>
          <w:szCs w:val="21"/>
          <w:highlight w:val="none"/>
        </w:rPr>
        <w:t>考核标准：河道断面水质均按百分制进行考核，以《地表水环境质量标准》（GB3838-2002）作为考核依据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以当地</w:t>
      </w:r>
      <w:r>
        <w:rPr>
          <w:rFonts w:hint="eastAsia" w:ascii="Times New Roman" w:hAnsi="Times New Roman" w:cs="Times New Roman"/>
          <w:color w:val="auto"/>
          <w:sz w:val="21"/>
          <w:szCs w:val="21"/>
          <w:highlight w:val="none"/>
          <w:lang w:val="en-US" w:eastAsia="zh-CN"/>
        </w:rPr>
        <w:t>环保部门监测点数据</w:t>
      </w:r>
      <w:r>
        <w:rPr>
          <w:rFonts w:hint="eastAsia" w:cs="Times New Roman"/>
          <w:color w:val="auto"/>
          <w:sz w:val="21"/>
          <w:szCs w:val="21"/>
          <w:highlight w:val="none"/>
          <w:lang w:val="en-US" w:eastAsia="zh-CN"/>
        </w:rPr>
        <w:t>为准</w:t>
      </w:r>
      <w:r>
        <w:rPr>
          <w:rFonts w:hint="eastAsia" w:cs="Times New Roman"/>
          <w:color w:val="auto"/>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服务第1-3个月</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主要考核断面的月平均监测指标基本达到</w:t>
      </w:r>
      <w:r>
        <w:rPr>
          <w:rFonts w:hint="default" w:ascii="Times New Roman" w:hAnsi="Times New Roman" w:cs="Times New Roman"/>
          <w:color w:val="auto"/>
          <w:sz w:val="21"/>
          <w:szCs w:val="21"/>
          <w:highlight w:val="none"/>
        </w:rPr>
        <w:t>《地表水环境质量标准》（GB3838-2002）中Ⅳ类标准作为基准100分，上述</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个指标任何一个指标达不到Ⅳ类水标准，由运维单位自查原因并书面汇报，限期5-10天进行整改，整改后后重新水质检测，该重新检测费用运维单位承担，如第二次检测水质仍不合格，当月运维考核判定为不合格，当月考核得分为0分。</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服务第</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-8个月</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主要考核断面的月平均监测指标基本达到《地表水环境质量标准》GB3838-2002中的Ⅲ类标准</w:t>
      </w:r>
      <w:r>
        <w:rPr>
          <w:rFonts w:hint="default" w:ascii="Times New Roman" w:hAnsi="Times New Roman" w:cs="Times New Roman"/>
          <w:color w:val="auto"/>
          <w:sz w:val="21"/>
          <w:szCs w:val="21"/>
          <w:highlight w:val="none"/>
        </w:rPr>
        <w:t>作为基准100分，超过或者低于此下限值的分值根据具体考核指标分别确定。各指标数值按百分制进行考核，计入考核成绩。若上述</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个指标任何一个指标达不到</w:t>
      </w:r>
      <w:r>
        <w:rPr>
          <w:rFonts w:hint="default" w:ascii="Times New Roman" w:hAnsi="Times New Roman" w:cs="Times New Roman"/>
          <w:color w:val="auto"/>
          <w:sz w:val="21"/>
          <w:szCs w:val="21"/>
          <w:highlight w:val="none"/>
          <w:lang w:val="en-US" w:eastAsia="zh-CN"/>
        </w:rPr>
        <w:t>Ⅲ</w:t>
      </w:r>
      <w:r>
        <w:rPr>
          <w:rFonts w:hint="default" w:ascii="Times New Roman" w:hAnsi="Times New Roman" w:cs="Times New Roman"/>
          <w:color w:val="auto"/>
          <w:sz w:val="21"/>
          <w:szCs w:val="21"/>
          <w:highlight w:val="none"/>
        </w:rPr>
        <w:t>类水标准，由运维单位自查原因并书面汇报，限期5-10天进行整改，整改后后重新水质检测，该重新检测费用运维单位承担，如第二次检测水质仍不合格，当月运维考核判定为不合格，当月考核得分为0。</w:t>
      </w:r>
    </w:p>
    <w:p>
      <w:pPr>
        <w:keepNext w:val="0"/>
        <w:keepLines w:val="0"/>
        <w:pageBreakBefore w:val="0"/>
        <w:widowControl w:val="0"/>
        <w:kinsoku/>
        <w:wordWrap/>
        <w:overflowPunct/>
        <w:topLinePunct w:val="0"/>
        <w:bidi w:val="0"/>
        <w:snapToGrid/>
        <w:spacing w:line="360" w:lineRule="auto"/>
        <w:ind w:firstLine="420" w:firstLineChars="200"/>
        <w:rPr>
          <w:rFonts w:ascii="宋体" w:hAnsi="宋体"/>
          <w:color w:val="auto"/>
          <w:sz w:val="21"/>
          <w:szCs w:val="21"/>
          <w:highlight w:val="none"/>
        </w:rPr>
      </w:pPr>
      <w:r>
        <w:rPr>
          <w:rFonts w:hint="default" w:ascii="Times New Roman" w:hAnsi="Times New Roman" w:cs="Times New Roman"/>
          <w:color w:val="auto"/>
          <w:sz w:val="21"/>
          <w:szCs w:val="21"/>
          <w:highlight w:val="none"/>
          <w:lang w:val="en-US" w:eastAsia="zh-CN"/>
        </w:rPr>
        <w:t>后续服务期限内</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主要考核断面的月平均监测指标稳定维持在《地表水环境质量标准》GB3838-2002中的Ⅲ类标准</w:t>
      </w:r>
      <w:r>
        <w:rPr>
          <w:rFonts w:hint="default" w:ascii="Times New Roman" w:hAnsi="Times New Roman" w:cs="Times New Roman"/>
          <w:color w:val="auto"/>
          <w:sz w:val="21"/>
          <w:szCs w:val="21"/>
          <w:highlight w:val="none"/>
        </w:rPr>
        <w:t>作为基准100分，超过或者低于此下限值的分值根据具体考核指标分别确定。各指标数值按百分制进行考核，计入考核成绩。若上述</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个指标任何一个指标达不到</w:t>
      </w:r>
      <w:r>
        <w:rPr>
          <w:rFonts w:hint="default" w:ascii="Times New Roman" w:hAnsi="Times New Roman" w:cs="Times New Roman"/>
          <w:color w:val="auto"/>
          <w:sz w:val="21"/>
          <w:szCs w:val="21"/>
          <w:highlight w:val="none"/>
          <w:lang w:val="en-US" w:eastAsia="zh-CN"/>
        </w:rPr>
        <w:t>Ⅲ</w:t>
      </w:r>
      <w:r>
        <w:rPr>
          <w:rFonts w:hint="default" w:ascii="Times New Roman" w:hAnsi="Times New Roman" w:cs="Times New Roman"/>
          <w:color w:val="auto"/>
          <w:sz w:val="21"/>
          <w:szCs w:val="21"/>
          <w:highlight w:val="none"/>
        </w:rPr>
        <w:t>类水标准，由运维单位自查原因并书面汇报，限期5-10天进行整改，整改后后重新水质检测，该重新检测费用运维单位承担，如第二次检测水质仍不合格，当月运维考核判定为不合格，当月考核得分为0</w:t>
      </w:r>
      <w:r>
        <w:rPr>
          <w:rFonts w:ascii="宋体" w:hAnsi="宋体"/>
          <w:color w:val="auto"/>
          <w:sz w:val="21"/>
          <w:szCs w:val="21"/>
          <w:highlight w:val="none"/>
        </w:rPr>
        <w:t>。</w:t>
      </w:r>
    </w:p>
    <w:p>
      <w:pPr>
        <w:keepNext w:val="0"/>
        <w:keepLines w:val="0"/>
        <w:pageBreakBefore w:val="0"/>
        <w:widowControl w:val="0"/>
        <w:kinsoku/>
        <w:wordWrap/>
        <w:overflowPunct/>
        <w:topLinePunct w:val="0"/>
        <w:bidi w:val="0"/>
        <w:snapToGrid/>
        <w:spacing w:line="360" w:lineRule="auto"/>
        <w:ind w:firstLine="422" w:firstLineChars="200"/>
        <w:textAlignment w:val="baseline"/>
        <w:rPr>
          <w:rFonts w:ascii="宋体" w:hAnsi="宋体"/>
          <w:b/>
          <w:color w:val="auto"/>
          <w:sz w:val="21"/>
          <w:szCs w:val="21"/>
          <w:highlight w:val="none"/>
        </w:rPr>
      </w:pPr>
      <w:r>
        <w:rPr>
          <w:rFonts w:hint="eastAsia" w:ascii="宋体" w:hAnsi="宋体"/>
          <w:b/>
          <w:color w:val="auto"/>
          <w:sz w:val="21"/>
          <w:szCs w:val="21"/>
          <w:highlight w:val="none"/>
          <w:lang w:val="en-US" w:eastAsia="zh-CN"/>
        </w:rPr>
        <w:t>4、</w:t>
      </w:r>
      <w:r>
        <w:rPr>
          <w:rFonts w:ascii="宋体" w:hAnsi="宋体"/>
          <w:b/>
          <w:color w:val="auto"/>
          <w:sz w:val="21"/>
          <w:szCs w:val="21"/>
          <w:highlight w:val="none"/>
        </w:rPr>
        <w:t>日常管理考核办法</w:t>
      </w:r>
    </w:p>
    <w:p>
      <w:pPr>
        <w:keepNext w:val="0"/>
        <w:keepLines w:val="0"/>
        <w:pageBreakBefore w:val="0"/>
        <w:widowControl w:val="0"/>
        <w:kinsoku/>
        <w:wordWrap/>
        <w:overflowPunct/>
        <w:topLinePunct w:val="0"/>
        <w:bidi w:val="0"/>
        <w:snapToGrid/>
        <w:spacing w:line="360" w:lineRule="auto"/>
        <w:ind w:firstLine="422" w:firstLineChars="200"/>
        <w:rPr>
          <w:rFonts w:ascii="宋体" w:hAnsi="宋体"/>
          <w:b/>
          <w:color w:val="auto"/>
          <w:sz w:val="21"/>
          <w:szCs w:val="21"/>
          <w:highlight w:val="none"/>
        </w:rPr>
      </w:pPr>
      <w:r>
        <w:rPr>
          <w:rFonts w:ascii="宋体" w:hAnsi="宋体"/>
          <w:b/>
          <w:color w:val="auto"/>
          <w:sz w:val="21"/>
          <w:szCs w:val="21"/>
          <w:highlight w:val="none"/>
        </w:rPr>
        <w:t>（</w:t>
      </w:r>
      <w:r>
        <w:rPr>
          <w:rFonts w:hint="eastAsia" w:ascii="宋体" w:hAnsi="宋体"/>
          <w:b/>
          <w:color w:val="auto"/>
          <w:sz w:val="21"/>
          <w:szCs w:val="21"/>
          <w:highlight w:val="none"/>
          <w:lang w:val="en-US" w:eastAsia="zh-CN"/>
        </w:rPr>
        <w:t>1</w:t>
      </w:r>
      <w:r>
        <w:rPr>
          <w:rFonts w:ascii="宋体" w:hAnsi="宋体"/>
          <w:b/>
          <w:color w:val="auto"/>
          <w:sz w:val="21"/>
          <w:szCs w:val="21"/>
          <w:highlight w:val="none"/>
        </w:rPr>
        <w:t>）日常考核</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1.一体化设备水质运维设施未按规定时间开启、发生故障未及时上报或未在24小时内修复的，扣1分/次。</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.实行每日巡查制，发现未按规定进行巡查的扣0.5分/次；按巡查和水质维护内容记录台帐，并按时上报各类报表、台帐，没有及时记录、上报的扣0.5分/次，发现人员未按规定到岗的扣0.5分/次。</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发现排污现象、水质情况发生异常未及时发现或上报的扣1分/次，养护过程中因水质原因被城管、信访办等相关部门、上级领导查到的，或被居民投诉、新闻媒体曝光的，情况属实的扣5分/次；造成巨大影响或严重后果的扣20分/次。</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.做好应急管理工作，遇自然灾害等特殊情况，需要及时响应。信息传达不畅通或未及时响应的扣5分/次，不服从统一指挥的扣10分/次；</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.主动做好各类创建活动期间水质保障，重大活动创建和检查期间未采取措施保障或水质未达标的扣5分/次，未服从统一指挥的扣5分/次；突发水质恶化情况响应较慢或推迟作业的，每次扣5分。</w:t>
      </w:r>
    </w:p>
    <w:p>
      <w:pPr>
        <w:keepNext w:val="0"/>
        <w:keepLines w:val="0"/>
        <w:pageBreakBefore w:val="0"/>
        <w:widowControl w:val="0"/>
        <w:kinsoku/>
        <w:wordWrap/>
        <w:overflowPunct/>
        <w:topLinePunct w:val="0"/>
        <w:bidi w:val="0"/>
        <w:snapToGrid/>
        <w:spacing w:line="360" w:lineRule="auto"/>
        <w:ind w:firstLine="420" w:firstLineChars="200"/>
        <w:rPr>
          <w:rFonts w:ascii="宋体" w:hAnsi="宋体"/>
          <w:color w:val="auto"/>
          <w:sz w:val="21"/>
          <w:szCs w:val="21"/>
          <w:highlight w:val="none"/>
        </w:rPr>
      </w:pP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.若发生安全事故的，扣10分/次，情节严重的当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度不合格</w:t>
      </w:r>
      <w:r>
        <w:rPr>
          <w:rFonts w:hint="eastAsia" w:ascii="宋体" w:hAnsi="宋体"/>
          <w:color w:val="auto"/>
          <w:sz w:val="21"/>
          <w:szCs w:val="21"/>
          <w:highlight w:val="none"/>
        </w:rPr>
        <w:t>。</w:t>
      </w:r>
    </w:p>
    <w:p>
      <w:pPr>
        <w:keepNext w:val="0"/>
        <w:keepLines w:val="0"/>
        <w:pageBreakBefore w:val="0"/>
        <w:widowControl w:val="0"/>
        <w:kinsoku/>
        <w:wordWrap/>
        <w:overflowPunct/>
        <w:topLinePunct w:val="0"/>
        <w:bidi w:val="0"/>
        <w:snapToGrid/>
        <w:spacing w:line="360" w:lineRule="auto"/>
        <w:ind w:firstLine="422" w:firstLineChars="200"/>
        <w:rPr>
          <w:rFonts w:hint="default" w:ascii="宋体" w:hAnsi="宋体" w:eastAsia="宋体"/>
          <w:b/>
          <w:color w:val="auto"/>
          <w:sz w:val="21"/>
          <w:szCs w:val="21"/>
          <w:highlight w:val="none"/>
          <w:lang w:val="en-US" w:eastAsia="zh-CN"/>
        </w:rPr>
      </w:pPr>
      <w:r>
        <w:rPr>
          <w:rFonts w:ascii="宋体" w:hAnsi="宋体"/>
          <w:b/>
          <w:color w:val="auto"/>
          <w:sz w:val="21"/>
          <w:szCs w:val="21"/>
          <w:highlight w:val="none"/>
        </w:rPr>
        <w:t>（</w:t>
      </w:r>
      <w:r>
        <w:rPr>
          <w:rFonts w:hint="eastAsia" w:ascii="宋体" w:hAnsi="宋体"/>
          <w:b/>
          <w:color w:val="auto"/>
          <w:sz w:val="21"/>
          <w:szCs w:val="21"/>
          <w:highlight w:val="none"/>
          <w:lang w:val="en-US" w:eastAsia="zh-CN"/>
        </w:rPr>
        <w:t>2</w:t>
      </w:r>
      <w:r>
        <w:rPr>
          <w:rFonts w:ascii="宋体" w:hAnsi="宋体"/>
          <w:b/>
          <w:color w:val="auto"/>
          <w:sz w:val="21"/>
          <w:szCs w:val="21"/>
          <w:highlight w:val="none"/>
        </w:rPr>
        <w:t>）考核审定</w:t>
      </w:r>
    </w:p>
    <w:p>
      <w:pPr>
        <w:keepNext w:val="0"/>
        <w:keepLines w:val="0"/>
        <w:pageBreakBefore w:val="0"/>
        <w:widowControl w:val="0"/>
        <w:kinsoku/>
        <w:wordWrap/>
        <w:overflowPunct/>
        <w:topLinePunct w:val="0"/>
        <w:bidi w:val="0"/>
        <w:snapToGrid/>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1.考核总分以上述水质考核评价指标为基准，辅助日常管理、应急响应和景观效果的综合评分机制。其中水质考核评价指标基准分为100分，占总分的70%，最高占70分；日常管理考核总分30分。</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度日常管理考核总分在90分及以上为优秀，不扣河道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费用。合格分为60分（含）。</w:t>
      </w:r>
    </w:p>
    <w:p>
      <w:pPr>
        <w:widowControl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2.考核总分为80分（含）-90分（不含）的，计算考核得分与90分之间的差值，每分值按河道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费用的2%予以扣除；考核总分为70（含）-80（不含）分的，计算考核得分与90分之间的差值，每分值按河道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费用的2.5%予以扣除；考核总分为60（含）-70（不含）分的，计算考核得分与90分之间的差值，每分值按河道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费用的3%予以扣除；60分以下的，不合格，不拨付当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lang w:val="en-US" w:eastAsia="zh-CN"/>
        </w:rPr>
        <w:t>度</w:t>
      </w:r>
      <w:r>
        <w:rPr>
          <w:rFonts w:hint="eastAsia"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w:t>
      </w:r>
    </w:p>
    <w:p>
      <w:pPr>
        <w:widowControl w:val="0"/>
        <w:spacing w:line="360" w:lineRule="auto"/>
        <w:ind w:firstLine="420" w:firstLineChars="20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3.水质考核评价分析，</w:t>
      </w:r>
      <w:r>
        <w:rPr>
          <w:rFonts w:hint="default" w:ascii="Times New Roman" w:hAnsi="Times New Roman" w:cs="Times New Roman"/>
          <w:color w:val="auto"/>
          <w:sz w:val="21"/>
          <w:szCs w:val="21"/>
          <w:highlight w:val="none"/>
        </w:rPr>
        <w:t>COD</w:t>
      </w:r>
      <w:r>
        <w:rPr>
          <w:rFonts w:hint="eastAsia" w:ascii="Times New Roman" w:hAnsi="Times New Roman" w:cs="Times New Roman"/>
          <w:color w:val="auto"/>
          <w:sz w:val="21"/>
          <w:szCs w:val="21"/>
          <w:highlight w:val="none"/>
          <w:vertAlign w:val="subscript"/>
          <w:lang w:val="en-US" w:eastAsia="zh-CN"/>
        </w:rPr>
        <w:t>M</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baseline"/>
          <w:lang w:val="en-US" w:eastAsia="zh-CN"/>
        </w:rPr>
        <w:t>-N</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pH等指标</w:t>
      </w:r>
      <w:r>
        <w:rPr>
          <w:rFonts w:hint="eastAsia" w:ascii="Times New Roman" w:hAnsi="Times New Roman" w:cs="Times New Roman"/>
          <w:color w:val="auto"/>
          <w:sz w:val="21"/>
          <w:szCs w:val="21"/>
          <w:highlight w:val="none"/>
          <w:lang w:val="en-US" w:eastAsia="zh-CN"/>
        </w:rPr>
        <w:t>全部达标时，</w:t>
      </w:r>
      <w:r>
        <w:rPr>
          <w:rFonts w:hint="eastAsia" w:cs="Times New Roman"/>
          <w:color w:val="auto"/>
          <w:sz w:val="21"/>
          <w:szCs w:val="21"/>
          <w:highlight w:val="none"/>
          <w:lang w:val="en-US" w:eastAsia="zh-CN"/>
        </w:rPr>
        <w:t>得分X=100；任何一个指标不达标时，得分X=0。</w:t>
      </w:r>
    </w:p>
    <w:p>
      <w:pPr>
        <w:widowControl w:val="0"/>
        <w:spacing w:line="360" w:lineRule="auto"/>
        <w:ind w:firstLine="420" w:firstLineChars="200"/>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日常管理考核</w:t>
      </w:r>
      <w:r>
        <w:rPr>
          <w:rFonts w:hint="eastAsia" w:ascii="Times New Roman" w:hAnsi="Times New Roman" w:cs="Times New Roman"/>
          <w:color w:val="auto"/>
          <w:sz w:val="21"/>
          <w:szCs w:val="21"/>
          <w:highlight w:val="none"/>
          <w:lang w:val="en-US" w:eastAsia="zh-CN"/>
        </w:rPr>
        <w:t>分析，</w:t>
      </w:r>
      <w:r>
        <w:rPr>
          <w:rFonts w:hint="default" w:ascii="Times New Roman" w:hAnsi="Times New Roman" w:cs="Times New Roman"/>
          <w:color w:val="auto"/>
          <w:sz w:val="21"/>
          <w:szCs w:val="21"/>
          <w:highlight w:val="none"/>
        </w:rPr>
        <w:t>日常管理考核总分30分</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根据日常考核扣分项进行扣分相应扣分；最高分Y=30，最低分Y=0。</w:t>
      </w:r>
    </w:p>
    <w:p>
      <w:pPr>
        <w:widowControl w:val="0"/>
        <w:spacing w:line="360" w:lineRule="auto"/>
        <w:ind w:firstLine="420" w:firstLineChars="200"/>
        <w:rPr>
          <w:rFonts w:hint="default" w:eastAsia="宋体"/>
          <w:color w:val="auto"/>
          <w:highlight w:val="none"/>
          <w:lang w:val="en-US" w:eastAsia="zh-CN"/>
        </w:rPr>
      </w:pPr>
      <w:r>
        <w:rPr>
          <w:rFonts w:hint="eastAsia" w:cs="Times New Roman"/>
          <w:color w:val="auto"/>
          <w:sz w:val="21"/>
          <w:szCs w:val="21"/>
          <w:highlight w:val="none"/>
          <w:lang w:val="en-US" w:eastAsia="zh-CN"/>
        </w:rPr>
        <w:t>5.月度日常管理考核</w:t>
      </w:r>
      <w:r>
        <w:rPr>
          <w:rFonts w:hint="eastAsia" w:ascii="Times New Roman" w:hAnsi="Times New Roman" w:cs="Times New Roman"/>
          <w:color w:val="auto"/>
          <w:sz w:val="21"/>
          <w:szCs w:val="21"/>
          <w:highlight w:val="none"/>
          <w:lang w:val="en-US" w:eastAsia="zh-CN"/>
        </w:rPr>
        <w:t>分析，总分Z=70%X+Y。</w:t>
      </w:r>
    </w:p>
    <w:p>
      <w:pPr>
        <w:widowControl w:val="0"/>
        <w:spacing w:line="360" w:lineRule="auto"/>
        <w:ind w:firstLine="420" w:firstLineChars="20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6.考核审定表</w:t>
      </w:r>
    </w:p>
    <w:p>
      <w:pPr>
        <w:widowControl w:val="0"/>
        <w:spacing w:line="360" w:lineRule="auto"/>
        <w:ind w:firstLine="420" w:firstLineChars="20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考核审定表</w:t>
      </w:r>
    </w:p>
    <w:tbl>
      <w:tblPr>
        <w:tblStyle w:val="4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2167"/>
        <w:gridCol w:w="2167"/>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50" w:type="pct"/>
            <w:vAlign w:val="center"/>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序号</w:t>
            </w:r>
          </w:p>
        </w:tc>
        <w:tc>
          <w:tcPr>
            <w:tcW w:w="1167" w:type="pct"/>
            <w:vAlign w:val="center"/>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rPr>
              <w:t>考核总分</w:t>
            </w:r>
            <w:r>
              <w:rPr>
                <w:rFonts w:hint="default" w:ascii="Times New Roman" w:hAnsi="Times New Roman" w:cs="Times New Roman"/>
                <w:color w:val="auto"/>
                <w:highlight w:val="none"/>
                <w:vertAlign w:val="baseline"/>
                <w:lang w:val="en-US" w:eastAsia="zh-CN"/>
              </w:rPr>
              <w:t>Z</w:t>
            </w:r>
          </w:p>
        </w:tc>
        <w:tc>
          <w:tcPr>
            <w:tcW w:w="1167" w:type="pct"/>
            <w:vAlign w:val="center"/>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扣款比例</w:t>
            </w:r>
          </w:p>
        </w:tc>
        <w:tc>
          <w:tcPr>
            <w:tcW w:w="1715" w:type="pct"/>
            <w:vAlign w:val="center"/>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50" w:type="pct"/>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w:t>
            </w:r>
          </w:p>
        </w:tc>
        <w:tc>
          <w:tcPr>
            <w:tcW w:w="1167" w:type="pct"/>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90~100</w:t>
            </w:r>
          </w:p>
        </w:tc>
        <w:tc>
          <w:tcPr>
            <w:tcW w:w="1167" w:type="pct"/>
          </w:tcPr>
          <w:p>
            <w:pPr>
              <w:pStyle w:val="23"/>
              <w:keepNext w:val="0"/>
              <w:keepLines w:val="0"/>
              <w:suppressLineNumbers w:val="0"/>
              <w:ind w:left="0" w:right="0"/>
              <w:jc w:val="center"/>
              <w:rPr>
                <w:rFonts w:hint="eastAsia"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0</w:t>
            </w:r>
          </w:p>
        </w:tc>
        <w:tc>
          <w:tcPr>
            <w:tcW w:w="1715" w:type="pct"/>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default" w:ascii="Times New Roman" w:hAnsi="Times New Roman" w:cs="Times New Roman"/>
                <w:color w:val="auto"/>
                <w:sz w:val="21"/>
                <w:szCs w:val="21"/>
                <w:highlight w:val="none"/>
              </w:rPr>
              <w:t>不扣河道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50" w:type="pct"/>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1167" w:type="pct"/>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80~89</w:t>
            </w:r>
          </w:p>
        </w:tc>
        <w:tc>
          <w:tcPr>
            <w:tcW w:w="1167" w:type="pct"/>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2%</w:t>
            </w:r>
          </w:p>
        </w:tc>
        <w:tc>
          <w:tcPr>
            <w:tcW w:w="1715" w:type="pct"/>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default" w:ascii="Times New Roman" w:hAnsi="Times New Roman" w:cs="Times New Roman"/>
                <w:color w:val="auto"/>
                <w:sz w:val="21"/>
                <w:szCs w:val="21"/>
                <w:highlight w:val="none"/>
              </w:rPr>
              <w:t>每分值按河道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费用的2%予以扣除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50" w:type="pct"/>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3</w:t>
            </w:r>
          </w:p>
        </w:tc>
        <w:tc>
          <w:tcPr>
            <w:tcW w:w="2167"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70~79</w:t>
            </w:r>
          </w:p>
        </w:tc>
        <w:tc>
          <w:tcPr>
            <w:tcW w:w="2167"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2.5%</w:t>
            </w:r>
          </w:p>
        </w:tc>
        <w:tc>
          <w:tcPr>
            <w:tcW w:w="3184"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default" w:ascii="Times New Roman" w:hAnsi="Times New Roman" w:cs="Times New Roman"/>
                <w:color w:val="auto"/>
                <w:sz w:val="21"/>
                <w:szCs w:val="21"/>
                <w:highlight w:val="none"/>
              </w:rPr>
              <w:t>每分值按河道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费用的</w:t>
            </w: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%予以扣除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50" w:type="pct"/>
          </w:tcPr>
          <w:p>
            <w:pPr>
              <w:pStyle w:val="23"/>
              <w:keepNext w:val="0"/>
              <w:keepLines w:val="0"/>
              <w:suppressLineNumbers w:val="0"/>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w:t>
            </w:r>
          </w:p>
        </w:tc>
        <w:tc>
          <w:tcPr>
            <w:tcW w:w="2167"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60~69</w:t>
            </w:r>
          </w:p>
        </w:tc>
        <w:tc>
          <w:tcPr>
            <w:tcW w:w="2167"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3%</w:t>
            </w:r>
          </w:p>
        </w:tc>
        <w:tc>
          <w:tcPr>
            <w:tcW w:w="3184"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default" w:ascii="Times New Roman" w:hAnsi="Times New Roman" w:cs="Times New Roman"/>
                <w:color w:val="auto"/>
                <w:sz w:val="21"/>
                <w:szCs w:val="21"/>
                <w:highlight w:val="none"/>
              </w:rPr>
              <w:t>每分值按河道</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服务</w:t>
            </w:r>
            <w:r>
              <w:rPr>
                <w:rFonts w:hint="default" w:ascii="Times New Roman" w:hAnsi="Times New Roman" w:cs="Times New Roman"/>
                <w:color w:val="auto"/>
                <w:sz w:val="21"/>
                <w:szCs w:val="21"/>
                <w:highlight w:val="none"/>
              </w:rPr>
              <w:t>费用的</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%予以扣除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764"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5</w:t>
            </w:r>
          </w:p>
        </w:tc>
        <w:tc>
          <w:tcPr>
            <w:tcW w:w="2167"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0~59</w:t>
            </w:r>
          </w:p>
        </w:tc>
        <w:tc>
          <w:tcPr>
            <w:tcW w:w="2167"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eastAsia" w:ascii="Times New Roman" w:hAnsi="Times New Roman" w:cs="Times New Roman"/>
                <w:color w:val="auto"/>
                <w:highlight w:val="none"/>
                <w:vertAlign w:val="baseline"/>
                <w:lang w:val="en-US" w:eastAsia="zh-CN"/>
              </w:rPr>
              <w:t>扣当月服务费</w:t>
            </w:r>
          </w:p>
        </w:tc>
        <w:tc>
          <w:tcPr>
            <w:tcW w:w="3184" w:type="dxa"/>
            <w:vAlign w:val="center"/>
          </w:tcPr>
          <w:p>
            <w:pPr>
              <w:pStyle w:val="23"/>
              <w:keepNext w:val="0"/>
              <w:keepLines w:val="0"/>
              <w:suppressLineNumbers w:val="0"/>
              <w:ind w:left="0" w:right="0"/>
              <w:jc w:val="center"/>
              <w:rPr>
                <w:rFonts w:hint="default" w:ascii="Times New Roman" w:hAnsi="Times New Roman" w:cs="Times New Roman"/>
                <w:color w:val="auto"/>
                <w:highlight w:val="none"/>
                <w:vertAlign w:val="baseline"/>
              </w:rPr>
            </w:pPr>
            <w:r>
              <w:rPr>
                <w:rFonts w:hint="default" w:ascii="Times New Roman" w:hAnsi="Times New Roman" w:cs="Times New Roman"/>
                <w:color w:val="auto"/>
                <w:sz w:val="21"/>
                <w:szCs w:val="21"/>
                <w:highlight w:val="none"/>
              </w:rPr>
              <w:t>不拨付当</w:t>
            </w:r>
            <w:r>
              <w:rPr>
                <w:rFonts w:hint="default" w:ascii="Times New Roman" w:hAnsi="Times New Roman" w:cs="Times New Roman"/>
                <w:color w:val="auto"/>
                <w:sz w:val="21"/>
                <w:szCs w:val="21"/>
                <w:highlight w:val="none"/>
                <w:lang w:val="en-US" w:eastAsia="zh-CN"/>
              </w:rPr>
              <w:t>月度</w:t>
            </w:r>
            <w:r>
              <w:rPr>
                <w:rFonts w:hint="default" w:ascii="Times New Roman" w:hAnsi="Times New Roman" w:cs="Times New Roman"/>
                <w:color w:val="auto"/>
                <w:sz w:val="21"/>
                <w:szCs w:val="21"/>
                <w:highlight w:val="none"/>
              </w:rPr>
              <w:t>费用</w:t>
            </w:r>
          </w:p>
        </w:tc>
      </w:tr>
    </w:tbl>
    <w:p>
      <w:pPr>
        <w:widowControl w:val="0"/>
        <w:spacing w:line="360" w:lineRule="auto"/>
        <w:ind w:firstLine="420" w:firstLineChars="200"/>
        <w:rPr>
          <w:rFonts w:hint="default" w:eastAsia="宋体"/>
          <w:color w:val="auto"/>
          <w:highlight w:val="none"/>
          <w:lang w:val="en-US" w:eastAsia="zh-CN"/>
        </w:rPr>
      </w:pPr>
    </w:p>
    <w:bookmarkEnd w:id="74"/>
    <w:bookmarkEnd w:id="75"/>
    <w:bookmarkEnd w:id="76"/>
    <w:bookmarkEnd w:id="77"/>
    <w:bookmarkEnd w:id="78"/>
    <w:bookmarkEnd w:id="79"/>
    <w:bookmarkEnd w:id="80"/>
    <w:bookmarkEnd w:id="81"/>
    <w:bookmarkEnd w:id="82"/>
    <w:p>
      <w:pPr>
        <w:pStyle w:val="104"/>
        <w:ind w:firstLine="420"/>
        <w:rPr>
          <w:rFonts w:hint="eastAsia" w:ascii="宋体" w:hAnsi="宋体" w:cs="宋体"/>
          <w:color w:val="auto"/>
          <w:szCs w:val="21"/>
          <w:highlight w:val="none"/>
        </w:rPr>
      </w:pPr>
      <w:r>
        <w:rPr>
          <w:rFonts w:hint="eastAsia" w:ascii="宋体" w:hAnsi="宋体" w:cs="宋体"/>
          <w:color w:val="auto"/>
          <w:szCs w:val="21"/>
          <w:highlight w:val="none"/>
        </w:rPr>
        <w:br w:type="page"/>
      </w:r>
    </w:p>
    <w:bookmarkEnd w:id="65"/>
    <w:bookmarkEnd w:id="83"/>
    <w:bookmarkEnd w:id="84"/>
    <w:bookmarkEnd w:id="85"/>
    <w:bookmarkEnd w:id="86"/>
    <w:bookmarkEnd w:id="87"/>
    <w:p>
      <w:pPr>
        <w:ind w:firstLine="420" w:firstLineChars="200"/>
        <w:rPr>
          <w:rFonts w:hint="eastAsia" w:ascii="宋体" w:hAnsi="宋体" w:cs="宋体"/>
          <w:color w:val="auto"/>
          <w:sz w:val="36"/>
          <w:szCs w:val="36"/>
          <w:highlight w:val="none"/>
        </w:rPr>
      </w:pPr>
      <w:bookmarkStart w:id="92" w:name="_Toc216662965"/>
      <w:bookmarkStart w:id="93" w:name="_Toc5926"/>
      <w:r>
        <w:rPr>
          <w:rFonts w:hint="eastAsia" w:ascii="宋体" w:hAnsi="宋体" w:cs="宋体"/>
          <w:color w:val="auto"/>
          <w:szCs w:val="21"/>
          <w:highlight w:val="none"/>
        </w:rPr>
        <w:t xml:space="preserve">                       </w:t>
      </w:r>
      <w:r>
        <w:rPr>
          <w:rFonts w:hint="eastAsia" w:ascii="宋体" w:hAnsi="宋体" w:cs="宋体"/>
          <w:b/>
          <w:bCs/>
          <w:color w:val="auto"/>
          <w:kern w:val="44"/>
          <w:sz w:val="36"/>
          <w:szCs w:val="36"/>
          <w:highlight w:val="none"/>
        </w:rPr>
        <w:t xml:space="preserve">    第六章 商务条款</w:t>
      </w:r>
    </w:p>
    <w:p>
      <w:pPr>
        <w:pStyle w:val="43"/>
        <w:ind w:firstLine="480"/>
        <w:rPr>
          <w:color w:val="auto"/>
          <w:highlight w:val="none"/>
        </w:rPr>
      </w:pPr>
    </w:p>
    <w:p>
      <w:pPr>
        <w:pStyle w:val="104"/>
        <w:ind w:firstLine="422"/>
        <w:rPr>
          <w:rFonts w:hint="eastAsia" w:ascii="宋体" w:hAnsi="宋体" w:cs="仿宋_GB2312"/>
          <w:b/>
          <w:color w:val="auto"/>
          <w:szCs w:val="21"/>
          <w:highlight w:val="none"/>
        </w:rPr>
      </w:pPr>
      <w:r>
        <w:rPr>
          <w:rFonts w:hint="eastAsia" w:ascii="宋体" w:hAnsi="宋体" w:cs="仿宋_GB2312"/>
          <w:b/>
          <w:color w:val="auto"/>
          <w:spacing w:val="-2"/>
          <w:szCs w:val="21"/>
          <w:highlight w:val="none"/>
        </w:rPr>
        <w:t>★</w:t>
      </w:r>
      <w:r>
        <w:rPr>
          <w:rFonts w:hint="eastAsia" w:ascii="宋体" w:hAnsi="宋体" w:cs="仿宋_GB2312"/>
          <w:b/>
          <w:color w:val="auto"/>
          <w:szCs w:val="21"/>
          <w:highlight w:val="none"/>
        </w:rPr>
        <w:t>一、付款方式：</w:t>
      </w:r>
      <w:bookmarkStart w:id="94" w:name="_Hlk10544900"/>
      <w:r>
        <w:rPr>
          <w:rFonts w:hint="eastAsia" w:ascii="宋体" w:hAnsi="宋体" w:cs="宋体"/>
          <w:color w:val="auto"/>
          <w:szCs w:val="21"/>
          <w:highlight w:val="none"/>
          <w:lang w:val="en-US" w:eastAsia="zh-CN"/>
        </w:rPr>
        <w:t>合同签订后7个工作日内支付合同价的30%，第一年服务期满7个工作日内支付合同价的10%，第二年服务期满7个工作日内支付合同价的30%，第三年服务期满且完成所有移交后7个工作日内一次性付清。</w:t>
      </w:r>
    </w:p>
    <w:bookmarkEnd w:id="94"/>
    <w:p>
      <w:pPr>
        <w:spacing w:line="360" w:lineRule="auto"/>
        <w:ind w:firstLine="414"/>
        <w:rPr>
          <w:rFonts w:hint="eastAsia" w:ascii="宋体" w:hAnsi="宋体" w:cs="宋体"/>
          <w:color w:val="auto"/>
          <w:szCs w:val="21"/>
          <w:highlight w:val="none"/>
        </w:rPr>
      </w:pPr>
      <w:r>
        <w:rPr>
          <w:rFonts w:hint="eastAsia" w:ascii="宋体" w:hAnsi="宋体" w:cs="仿宋_GB2312"/>
          <w:b/>
          <w:color w:val="auto"/>
          <w:spacing w:val="-2"/>
          <w:szCs w:val="21"/>
          <w:highlight w:val="none"/>
        </w:rPr>
        <w:t>★</w:t>
      </w:r>
      <w:r>
        <w:rPr>
          <w:rFonts w:hint="eastAsia" w:ascii="宋体" w:hAnsi="宋体" w:cs="仿宋_GB2312"/>
          <w:b/>
          <w:color w:val="auto"/>
          <w:szCs w:val="21"/>
          <w:highlight w:val="none"/>
        </w:rPr>
        <w:t>二、履约保证：</w:t>
      </w:r>
      <w:r>
        <w:rPr>
          <w:rFonts w:hint="eastAsia" w:ascii="宋体" w:hAnsi="宋体" w:cs="宋体"/>
          <w:color w:val="auto"/>
          <w:szCs w:val="21"/>
          <w:highlight w:val="none"/>
        </w:rPr>
        <w:t>本合同履约保证金为合同总价的5%（可以采用银行保函、保险保单、担保公司担保等方式），中标供应商在签订合同后</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个工作日内提交。</w:t>
      </w:r>
    </w:p>
    <w:p>
      <w:pPr>
        <w:pStyle w:val="104"/>
        <w:ind w:firstLine="422"/>
        <w:rPr>
          <w:rFonts w:hint="eastAsia" w:ascii="宋体" w:hAnsi="宋体" w:cs="仿宋_GB2312"/>
          <w:b/>
          <w:bCs w:val="0"/>
          <w:color w:val="auto"/>
          <w:szCs w:val="21"/>
          <w:highlight w:val="none"/>
        </w:rPr>
      </w:pPr>
      <w:r>
        <w:rPr>
          <w:rFonts w:hint="eastAsia" w:ascii="宋体" w:hAnsi="宋体" w:eastAsia="宋体" w:cs="仿宋_GB2312"/>
          <w:b/>
          <w:color w:val="auto"/>
          <w:spacing w:val="0"/>
          <w:szCs w:val="21"/>
          <w:highlight w:val="none"/>
        </w:rPr>
        <w:t>★</w:t>
      </w:r>
      <w:r>
        <w:rPr>
          <w:rFonts w:hint="eastAsia" w:ascii="宋体" w:hAnsi="宋体" w:eastAsia="宋体" w:cs="仿宋_GB2312"/>
          <w:b/>
          <w:bCs w:val="0"/>
          <w:color w:val="auto"/>
          <w:szCs w:val="21"/>
          <w:highlight w:val="none"/>
        </w:rPr>
        <w:t>三、</w:t>
      </w:r>
      <w:r>
        <w:rPr>
          <w:rFonts w:hint="eastAsia" w:ascii="宋体" w:hAnsi="宋体" w:eastAsia="宋体" w:cs="仿宋_GB2312"/>
          <w:b/>
          <w:bCs w:val="0"/>
          <w:color w:val="auto"/>
          <w:szCs w:val="21"/>
          <w:highlight w:val="none"/>
          <w:lang w:val="en-US" w:eastAsia="zh-CN"/>
        </w:rPr>
        <w:t>项目</w:t>
      </w:r>
      <w:r>
        <w:rPr>
          <w:rFonts w:hint="eastAsia" w:ascii="宋体" w:hAnsi="宋体" w:eastAsia="宋体" w:cs="仿宋_GB2312"/>
          <w:b/>
          <w:bCs w:val="0"/>
          <w:color w:val="auto"/>
          <w:szCs w:val="21"/>
          <w:highlight w:val="none"/>
        </w:rPr>
        <w:t>期限</w:t>
      </w:r>
    </w:p>
    <w:p>
      <w:pPr>
        <w:spacing w:line="360" w:lineRule="auto"/>
        <w:ind w:firstLine="414"/>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b w:val="0"/>
          <w:bCs w:val="0"/>
          <w:color w:val="auto"/>
          <w:sz w:val="21"/>
          <w:szCs w:val="21"/>
          <w:highlight w:val="none"/>
          <w:lang w:val="en-US" w:eastAsia="zh-CN"/>
        </w:rPr>
        <w:t>设备供货及工期</w:t>
      </w:r>
      <w:r>
        <w:rPr>
          <w:rFonts w:hint="eastAsia" w:ascii="宋体" w:hAnsi="宋体" w:eastAsia="宋体" w:cs="宋体"/>
          <w:b w:val="0"/>
          <w:bCs w:val="0"/>
          <w:color w:val="auto"/>
          <w:sz w:val="21"/>
          <w:szCs w:val="21"/>
          <w:highlight w:val="none"/>
        </w:rPr>
        <w:t>要求</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rPr>
        <w:t>合同签订后</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天内完成设备</w:t>
      </w:r>
      <w:r>
        <w:rPr>
          <w:rFonts w:hint="eastAsia" w:ascii="宋体" w:hAnsi="宋体" w:eastAsia="宋体" w:cs="宋体"/>
          <w:color w:val="auto"/>
          <w:sz w:val="21"/>
          <w:szCs w:val="21"/>
          <w:highlight w:val="none"/>
          <w:lang w:val="en-US" w:eastAsia="zh-CN"/>
        </w:rPr>
        <w:t>供货、</w:t>
      </w:r>
      <w:r>
        <w:rPr>
          <w:rFonts w:hint="eastAsia" w:ascii="宋体" w:hAnsi="宋体" w:eastAsia="宋体" w:cs="宋体"/>
          <w:color w:val="auto"/>
          <w:sz w:val="21"/>
          <w:szCs w:val="21"/>
          <w:highlight w:val="none"/>
        </w:rPr>
        <w:t>安装</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rPr>
        <w:t>调试</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CN"/>
        </w:rPr>
        <w:t>天试运行并验收合格。</w:t>
      </w:r>
    </w:p>
    <w:p>
      <w:pPr>
        <w:spacing w:line="360" w:lineRule="auto"/>
        <w:ind w:firstLine="414"/>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2、项目运维</w:t>
      </w:r>
      <w:r>
        <w:rPr>
          <w:rFonts w:hint="eastAsia" w:ascii="宋体" w:hAnsi="宋体" w:eastAsia="宋体" w:cs="宋体"/>
          <w:color w:val="auto"/>
          <w:szCs w:val="21"/>
          <w:highlight w:val="none"/>
        </w:rPr>
        <w:t>期限：</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年（自</w:t>
      </w:r>
      <w:r>
        <w:rPr>
          <w:rFonts w:hint="eastAsia" w:ascii="宋体" w:hAnsi="宋体" w:eastAsia="宋体" w:cs="宋体"/>
          <w:color w:val="auto"/>
          <w:szCs w:val="21"/>
          <w:highlight w:val="none"/>
          <w:lang w:val="en-US" w:eastAsia="zh-CN"/>
        </w:rPr>
        <w:t>设备供货安装及调试完成并验收合格之日起</w:t>
      </w:r>
      <w:r>
        <w:rPr>
          <w:rFonts w:hint="eastAsia" w:ascii="宋体" w:hAnsi="宋体" w:eastAsia="宋体" w:cs="宋体"/>
          <w:color w:val="auto"/>
          <w:szCs w:val="21"/>
          <w:highlight w:val="none"/>
        </w:rPr>
        <w:t>）。</w:t>
      </w:r>
    </w:p>
    <w:p>
      <w:pPr>
        <w:autoSpaceDE/>
        <w:autoSpaceDN/>
        <w:adjustRightInd/>
        <w:snapToGrid/>
        <w:spacing w:line="360" w:lineRule="auto"/>
        <w:ind w:firstLine="414"/>
        <w:textAlignment w:val="auto"/>
        <w:rPr>
          <w:rFonts w:hint="eastAsia" w:ascii="宋体" w:hAnsi="宋体" w:cs="仿宋_GB2312"/>
          <w:b/>
          <w:bCs w:val="0"/>
          <w:color w:val="auto"/>
          <w:szCs w:val="21"/>
          <w:highlight w:val="none"/>
        </w:rPr>
      </w:pPr>
      <w:r>
        <w:rPr>
          <w:rFonts w:hint="eastAsia" w:ascii="宋体" w:hAnsi="宋体" w:cs="仿宋_GB2312"/>
          <w:b/>
          <w:color w:val="auto"/>
          <w:spacing w:val="0"/>
          <w:szCs w:val="21"/>
          <w:highlight w:val="none"/>
        </w:rPr>
        <w:t>★</w:t>
      </w:r>
      <w:r>
        <w:rPr>
          <w:rFonts w:hint="eastAsia" w:ascii="宋体" w:hAnsi="宋体" w:cs="仿宋_GB2312"/>
          <w:b/>
          <w:bCs w:val="0"/>
          <w:color w:val="auto"/>
          <w:szCs w:val="21"/>
          <w:highlight w:val="none"/>
        </w:rPr>
        <w:t>四、考核</w:t>
      </w:r>
    </w:p>
    <w:p>
      <w:pPr>
        <w:tabs>
          <w:tab w:val="left" w:pos="1243"/>
        </w:tabs>
        <w:autoSpaceDE w:val="0"/>
        <w:autoSpaceDN w:val="0"/>
        <w:adjustRightInd w:val="0"/>
        <w:snapToGrid w:val="0"/>
        <w:spacing w:line="360" w:lineRule="auto"/>
        <w:ind w:firstLine="420"/>
        <w:textAlignment w:val="bottom"/>
        <w:rPr>
          <w:rFonts w:hint="eastAsia" w:ascii="宋体" w:hAnsi="宋体" w:cs="仿宋_GB2312"/>
          <w:bCs/>
          <w:color w:val="auto"/>
          <w:szCs w:val="21"/>
          <w:highlight w:val="none"/>
        </w:rPr>
      </w:pPr>
      <w:r>
        <w:rPr>
          <w:rFonts w:hint="eastAsia" w:ascii="宋体" w:hAnsi="宋体" w:cs="仿宋_GB2312"/>
          <w:bCs/>
          <w:color w:val="auto"/>
          <w:szCs w:val="21"/>
          <w:highlight w:val="none"/>
        </w:rPr>
        <w:t>按采购第五章采购项目需求中的“监督考核实施办法”执行。</w:t>
      </w:r>
    </w:p>
    <w:p>
      <w:pPr>
        <w:tabs>
          <w:tab w:val="left" w:pos="1243"/>
        </w:tabs>
        <w:autoSpaceDE w:val="0"/>
        <w:autoSpaceDN w:val="0"/>
        <w:adjustRightInd w:val="0"/>
        <w:snapToGrid w:val="0"/>
        <w:spacing w:line="360" w:lineRule="auto"/>
        <w:ind w:firstLine="422"/>
        <w:textAlignment w:val="bottom"/>
        <w:rPr>
          <w:rFonts w:hint="eastAsia" w:ascii="宋体" w:hAnsi="宋体"/>
          <w:b/>
          <w:color w:val="auto"/>
          <w:szCs w:val="21"/>
          <w:highlight w:val="none"/>
        </w:rPr>
      </w:pPr>
      <w:r>
        <w:rPr>
          <w:rFonts w:hint="eastAsia" w:ascii="宋体" w:hAnsi="宋体" w:cs="仿宋_GB2312"/>
          <w:b/>
          <w:color w:val="auto"/>
          <w:szCs w:val="21"/>
          <w:highlight w:val="none"/>
        </w:rPr>
        <w:t>★五</w:t>
      </w:r>
      <w:r>
        <w:rPr>
          <w:rFonts w:hint="eastAsia" w:ascii="宋体" w:hAnsi="宋体"/>
          <w:b/>
          <w:color w:val="auto"/>
          <w:szCs w:val="21"/>
          <w:highlight w:val="none"/>
        </w:rPr>
        <w:t>、在中标通知书发出后</w:t>
      </w:r>
      <w:r>
        <w:rPr>
          <w:rFonts w:hint="eastAsia" w:ascii="宋体" w:hAnsi="宋体"/>
          <w:b/>
          <w:color w:val="auto"/>
          <w:szCs w:val="21"/>
          <w:highlight w:val="none"/>
          <w:lang w:val="en-US" w:eastAsia="zh-CN"/>
        </w:rPr>
        <w:t>30</w:t>
      </w:r>
      <w:r>
        <w:rPr>
          <w:rFonts w:hint="eastAsia" w:ascii="宋体" w:hAnsi="宋体"/>
          <w:b/>
          <w:color w:val="auto"/>
          <w:szCs w:val="21"/>
          <w:highlight w:val="none"/>
        </w:rPr>
        <w:t>日历天内，与采购人签订服务合同，否则招标方有权取消中标方的中标资格，推荐排序居次的中标候选人为中标方。</w:t>
      </w:r>
    </w:p>
    <w:p>
      <w:pPr>
        <w:pStyle w:val="43"/>
        <w:numPr>
          <w:ilvl w:val="0"/>
          <w:numId w:val="0"/>
        </w:numPr>
        <w:ind w:firstLine="0" w:firstLineChars="0"/>
        <w:jc w:val="center"/>
        <w:rPr>
          <w:rFonts w:hint="eastAsia" w:ascii="宋体" w:hAnsi="宋体" w:eastAsia="宋体" w:cs="宋体"/>
          <w:color w:val="auto"/>
          <w:sz w:val="36"/>
          <w:szCs w:val="36"/>
          <w:highlight w:val="none"/>
        </w:rPr>
      </w:pPr>
      <w:r>
        <w:rPr>
          <w:rFonts w:hint="eastAsia" w:ascii="宋体" w:hAnsi="宋体" w:eastAsia="宋体" w:cs="宋体"/>
          <w:color w:val="auto"/>
          <w:highlight w:val="none"/>
        </w:rPr>
        <w:br w:type="page"/>
      </w:r>
      <w:r>
        <w:rPr>
          <w:rFonts w:hint="eastAsia" w:ascii="宋体" w:hAnsi="宋体" w:eastAsia="方正书宋简体" w:cs="宋体"/>
          <w:b/>
          <w:bCs/>
          <w:color w:val="auto"/>
          <w:kern w:val="44"/>
          <w:sz w:val="36"/>
          <w:szCs w:val="36"/>
          <w:highlight w:val="none"/>
          <w:lang w:val="en-US" w:eastAsia="zh-CN"/>
        </w:rPr>
        <w:t xml:space="preserve">第七章 </w:t>
      </w:r>
      <w:r>
        <w:rPr>
          <w:rFonts w:hint="eastAsia" w:ascii="宋体" w:hAnsi="宋体" w:eastAsia="方正书宋简体" w:cs="宋体"/>
          <w:b/>
          <w:bCs/>
          <w:color w:val="auto"/>
          <w:kern w:val="44"/>
          <w:sz w:val="36"/>
          <w:szCs w:val="36"/>
          <w:highlight w:val="none"/>
        </w:rPr>
        <w:t xml:space="preserve"> </w:t>
      </w:r>
      <w:bookmarkEnd w:id="92"/>
      <w:r>
        <w:rPr>
          <w:rFonts w:hint="eastAsia" w:ascii="宋体" w:hAnsi="宋体" w:eastAsia="方正书宋简体" w:cs="宋体"/>
          <w:b/>
          <w:bCs/>
          <w:color w:val="auto"/>
          <w:kern w:val="44"/>
          <w:sz w:val="36"/>
          <w:szCs w:val="36"/>
          <w:highlight w:val="none"/>
        </w:rPr>
        <w:t>附件</w:t>
      </w:r>
      <w:bookmarkEnd w:id="93"/>
    </w:p>
    <w:p>
      <w:pPr>
        <w:pStyle w:val="43"/>
        <w:ind w:firstLine="0" w:firstLineChars="0"/>
        <w:rPr>
          <w:rFonts w:hint="eastAsia" w:ascii="宋体" w:hAnsi="宋体" w:eastAsia="宋体" w:cs="宋体"/>
          <w:color w:val="auto"/>
          <w:sz w:val="36"/>
          <w:szCs w:val="36"/>
          <w:highlight w:val="none"/>
        </w:rPr>
      </w:pPr>
    </w:p>
    <w:p>
      <w:pPr>
        <w:spacing w:line="400" w:lineRule="exact"/>
        <w:jc w:val="left"/>
        <w:rPr>
          <w:rFonts w:hint="eastAsia" w:ascii="宋体" w:hAnsi="宋体" w:cs="宋体"/>
          <w:b/>
          <w:color w:val="auto"/>
          <w:szCs w:val="21"/>
          <w:highlight w:val="none"/>
        </w:rPr>
      </w:pPr>
      <w:r>
        <w:rPr>
          <w:rFonts w:hint="eastAsia" w:ascii="宋体" w:hAnsi="宋体" w:cs="宋体"/>
          <w:b/>
          <w:color w:val="auto"/>
          <w:spacing w:val="-2"/>
          <w:kern w:val="0"/>
          <w:sz w:val="24"/>
          <w:szCs w:val="21"/>
          <w:highlight w:val="none"/>
          <w:lang w:bidi="ar"/>
        </w:rPr>
        <w:t>附件</w:t>
      </w:r>
    </w:p>
    <w:p>
      <w:pPr>
        <w:spacing w:line="400" w:lineRule="exact"/>
        <w:jc w:val="left"/>
        <w:rPr>
          <w:rFonts w:hint="eastAsia" w:ascii="宋体" w:hAnsi="宋体" w:cs="宋体"/>
          <w:b/>
          <w:color w:val="auto"/>
          <w:szCs w:val="21"/>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关于资格的声明函</w:t>
      </w:r>
    </w:p>
    <w:p>
      <w:pPr>
        <w:spacing w:line="400" w:lineRule="exact"/>
        <w:ind w:left="540" w:firstLine="30"/>
        <w:jc w:val="center"/>
        <w:rPr>
          <w:rFonts w:hint="eastAsia" w:ascii="宋体" w:hAnsi="宋体" w:cs="宋体"/>
          <w:b/>
          <w:color w:val="auto"/>
          <w:szCs w:val="21"/>
          <w:highlight w:val="none"/>
        </w:rPr>
      </w:pP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致：采购人</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关于贵方对采购编号为</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的</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（项目名称），本单位申明如下：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我单位符合《中华人民共和国政府采购法》第22条的一般资格条件的规定：</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1、具有独立承担民事责任的能力；</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2、具有良好的商业信誉和健全的财务会计制度；</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3、具有履行合同所必需的设备和专业技术能力；</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4、有依法缴纳税收和社会保障资金的良好记录；</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5、参加政府采购活动前三年内，在经营活动中没有重大违法记录；</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6、法律、行政法规规定的其他条件。</w:t>
      </w:r>
    </w:p>
    <w:p>
      <w:pPr>
        <w:spacing w:line="400" w:lineRule="exact"/>
        <w:ind w:firstLine="420" w:firstLineChars="200"/>
        <w:rPr>
          <w:rFonts w:hint="eastAsia" w:ascii="宋体" w:hAnsi="宋体" w:cs="宋体"/>
          <w:color w:val="auto"/>
          <w:szCs w:val="21"/>
          <w:highlight w:val="none"/>
        </w:rPr>
      </w:pPr>
    </w:p>
    <w:p>
      <w:pPr>
        <w:spacing w:line="400" w:lineRule="exact"/>
        <w:ind w:firstLine="420" w:firstLineChars="200"/>
        <w:rPr>
          <w:rFonts w:hint="eastAsia" w:ascii="宋体" w:hAnsi="宋体" w:cs="宋体"/>
          <w:color w:val="auto"/>
          <w:szCs w:val="21"/>
          <w:highlight w:val="none"/>
        </w:rPr>
      </w:pPr>
    </w:p>
    <w:p>
      <w:pPr>
        <w:spacing w:line="400" w:lineRule="exact"/>
        <w:ind w:firstLine="420" w:firstLineChars="200"/>
        <w:rPr>
          <w:rFonts w:hint="eastAsia" w:ascii="宋体" w:hAnsi="宋体" w:cs="宋体"/>
          <w:color w:val="auto"/>
          <w:szCs w:val="21"/>
          <w:highlight w:val="none"/>
        </w:rPr>
      </w:pPr>
    </w:p>
    <w:p>
      <w:pPr>
        <w:spacing w:line="400" w:lineRule="atLeast"/>
        <w:jc w:val="left"/>
        <w:rPr>
          <w:rFonts w:hint="eastAsia" w:ascii="宋体" w:hAnsi="宋体" w:cs="宋体"/>
          <w:color w:val="auto"/>
          <w:szCs w:val="21"/>
          <w:highlight w:val="none"/>
        </w:rPr>
      </w:pPr>
      <w:r>
        <w:rPr>
          <w:rFonts w:hint="eastAsia" w:ascii="宋体" w:hAnsi="宋体" w:cs="宋体"/>
          <w:color w:val="auto"/>
          <w:szCs w:val="21"/>
          <w:highlight w:val="none"/>
          <w:lang w:bidi="ar"/>
        </w:rPr>
        <w:t>供应商（盖章）：</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pPr>
        <w:spacing w:line="400" w:lineRule="atLeast"/>
        <w:rPr>
          <w:rFonts w:hint="eastAsia" w:ascii="宋体" w:hAnsi="宋体" w:cs="宋体"/>
          <w:color w:val="auto"/>
          <w:szCs w:val="21"/>
          <w:highlight w:val="none"/>
          <w:u w:val="single"/>
        </w:rPr>
      </w:pPr>
      <w:r>
        <w:rPr>
          <w:rFonts w:hint="eastAsia" w:ascii="宋体" w:hAnsi="宋体" w:cs="宋体"/>
          <w:color w:val="auto"/>
          <w:szCs w:val="21"/>
          <w:highlight w:val="none"/>
          <w:lang w:bidi="ar"/>
        </w:rPr>
        <w:t>日            期：</w:t>
      </w:r>
      <w:r>
        <w:rPr>
          <w:rFonts w:hint="eastAsia" w:ascii="宋体" w:hAnsi="宋体" w:cs="宋体"/>
          <w:color w:val="auto"/>
          <w:szCs w:val="21"/>
          <w:highlight w:val="none"/>
          <w:u w:val="single"/>
          <w:lang w:bidi="ar"/>
        </w:rPr>
        <w:t xml:space="preserve">                             </w:t>
      </w:r>
    </w:p>
    <w:p>
      <w:pPr>
        <w:spacing w:line="400" w:lineRule="exact"/>
        <w:ind w:firstLine="600" w:firstLineChars="250"/>
        <w:jc w:val="center"/>
        <w:rPr>
          <w:rFonts w:hint="eastAsia" w:ascii="宋体" w:hAnsi="宋体" w:cs="宋体"/>
          <w:color w:val="auto"/>
          <w:sz w:val="24"/>
          <w:szCs w:val="21"/>
          <w:highlight w:val="none"/>
        </w:rPr>
      </w:pPr>
    </w:p>
    <w:p>
      <w:pPr>
        <w:spacing w:line="400" w:lineRule="exact"/>
        <w:jc w:val="left"/>
        <w:rPr>
          <w:rFonts w:hint="eastAsia" w:ascii="宋体" w:hAnsi="宋体" w:cs="宋体"/>
          <w:b/>
          <w:color w:val="auto"/>
          <w:szCs w:val="21"/>
          <w:highlight w:val="none"/>
        </w:rPr>
      </w:pPr>
      <w:r>
        <w:rPr>
          <w:rFonts w:hint="eastAsia" w:ascii="宋体" w:hAnsi="宋体" w:cs="宋体"/>
          <w:b/>
          <w:color w:val="auto"/>
          <w:spacing w:val="-2"/>
          <w:sz w:val="24"/>
          <w:szCs w:val="21"/>
          <w:highlight w:val="none"/>
          <w:lang w:bidi="ar"/>
        </w:rPr>
        <w:br w:type="page"/>
      </w:r>
      <w:r>
        <w:rPr>
          <w:rFonts w:hint="eastAsia" w:ascii="宋体" w:hAnsi="宋体" w:cs="宋体"/>
          <w:b/>
          <w:color w:val="auto"/>
          <w:spacing w:val="-2"/>
          <w:kern w:val="0"/>
          <w:sz w:val="24"/>
          <w:szCs w:val="21"/>
          <w:highlight w:val="none"/>
          <w:lang w:bidi="ar"/>
        </w:rPr>
        <w:t>附件</w:t>
      </w: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具有良好的商业信誉和健全的财务会计制度声明函</w:t>
      </w:r>
    </w:p>
    <w:p>
      <w:pPr>
        <w:pStyle w:val="43"/>
        <w:ind w:firstLine="480"/>
        <w:rPr>
          <w:rFonts w:hint="eastAsia" w:ascii="宋体" w:hAnsi="宋体" w:eastAsia="宋体" w:cs="宋体"/>
          <w:color w:val="auto"/>
          <w:highlight w:val="none"/>
        </w:rPr>
      </w:pPr>
    </w:p>
    <w:p>
      <w:pPr>
        <w:spacing w:line="480" w:lineRule="auto"/>
        <w:rPr>
          <w:rFonts w:hint="eastAsia" w:ascii="宋体" w:hAnsi="宋体" w:cs="宋体"/>
          <w:color w:val="auto"/>
          <w:szCs w:val="21"/>
          <w:highlight w:val="none"/>
        </w:rPr>
      </w:pPr>
      <w:r>
        <w:rPr>
          <w:rFonts w:hint="eastAsia" w:ascii="宋体" w:hAnsi="宋体" w:cs="宋体"/>
          <w:color w:val="auto"/>
          <w:szCs w:val="21"/>
          <w:highlight w:val="none"/>
          <w:lang w:bidi="ar"/>
        </w:rPr>
        <w:t>致：采购人</w:t>
      </w:r>
    </w:p>
    <w:p>
      <w:p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本公司在参加</w:t>
      </w:r>
      <w:r>
        <w:rPr>
          <w:rFonts w:hint="eastAsia" w:ascii="宋体" w:hAnsi="宋体" w:cs="宋体"/>
          <w:color w:val="auto"/>
          <w:kern w:val="0"/>
          <w:szCs w:val="21"/>
          <w:highlight w:val="none"/>
        </w:rPr>
        <w:t>采购编号为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w:t>
      </w:r>
      <w:r>
        <w:rPr>
          <w:rFonts w:hint="eastAsia" w:ascii="宋体" w:hAnsi="宋体" w:cs="宋体"/>
          <w:color w:val="auto"/>
          <w:kern w:val="0"/>
          <w:szCs w:val="21"/>
          <w:highlight w:val="none"/>
          <w:u w:val="single"/>
          <w:lang w:eastAsia="zh-CN"/>
        </w:rPr>
        <w:t>慈溪市横河镇东横河江河道水质提升服务</w:t>
      </w:r>
      <w:r>
        <w:rPr>
          <w:rFonts w:hint="eastAsia" w:ascii="宋体" w:hAnsi="宋体" w:cs="宋体"/>
          <w:color w:val="auto"/>
          <w:kern w:val="0"/>
          <w:szCs w:val="21"/>
          <w:highlight w:val="none"/>
          <w:u w:val="single"/>
        </w:rPr>
        <w:t>采购项目</w:t>
      </w:r>
      <w:r>
        <w:rPr>
          <w:rFonts w:hint="eastAsia" w:ascii="宋体" w:hAnsi="宋体" w:cs="宋体"/>
          <w:color w:val="auto"/>
          <w:szCs w:val="21"/>
          <w:highlight w:val="none"/>
        </w:rPr>
        <w:t>政府采购活动以前，在生产经营活动中始终做到遵纪守法，诚实守信，并具有良好的履约业绩；严格执行现行的财务会计管理制度，财务管理制度健全，帐务清晰，能够按规定真实、全面地反映企业的生产经营活动。特此声明。</w:t>
      </w:r>
    </w:p>
    <w:p>
      <w:pPr>
        <w:adjustRightInd w:val="0"/>
        <w:snapToGrid w:val="0"/>
        <w:spacing w:line="480" w:lineRule="auto"/>
        <w:ind w:firstLine="420"/>
        <w:rPr>
          <w:rFonts w:hint="eastAsia" w:ascii="宋体" w:hAnsi="宋体" w:cs="宋体"/>
          <w:color w:val="auto"/>
          <w:szCs w:val="21"/>
          <w:highlight w:val="none"/>
        </w:rPr>
      </w:pPr>
    </w:p>
    <w:p>
      <w:pPr>
        <w:spacing w:line="480" w:lineRule="auto"/>
        <w:ind w:left="170" w:firstLine="1680" w:firstLineChars="800"/>
        <w:jc w:val="right"/>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（公章）</w:t>
      </w:r>
    </w:p>
    <w:p>
      <w:pPr>
        <w:spacing w:line="480" w:lineRule="auto"/>
        <w:rPr>
          <w:rFonts w:hint="eastAsia" w:ascii="宋体" w:hAnsi="宋体" w:cs="宋体"/>
          <w:color w:val="auto"/>
          <w:szCs w:val="21"/>
          <w:highlight w:val="none"/>
        </w:rPr>
      </w:pPr>
      <w:r>
        <w:rPr>
          <w:rFonts w:hint="eastAsia" w:ascii="宋体" w:hAnsi="宋体" w:cs="宋体"/>
          <w:color w:val="auto"/>
          <w:szCs w:val="21"/>
          <w:highlight w:val="none"/>
        </w:rPr>
        <w:t xml:space="preserve">                                             投标日期：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rPr>
          <w:rStyle w:val="143"/>
          <w:rFonts w:ascii="宋体" w:hAnsi="宋体" w:cs="宋体"/>
          <w:color w:val="auto"/>
          <w:sz w:val="21"/>
          <w:szCs w:val="21"/>
          <w:highlight w:val="none"/>
        </w:rPr>
      </w:pPr>
      <w:r>
        <w:rPr>
          <w:rFonts w:hint="eastAsia" w:ascii="宋体" w:hAnsi="宋体" w:cs="宋体"/>
          <w:color w:val="auto"/>
          <w:szCs w:val="21"/>
          <w:highlight w:val="none"/>
        </w:rPr>
        <w:br w:type="page"/>
      </w:r>
      <w:r>
        <w:rPr>
          <w:rFonts w:hint="eastAsia" w:ascii="宋体" w:hAnsi="宋体" w:cs="宋体"/>
          <w:b/>
          <w:color w:val="auto"/>
          <w:spacing w:val="-2"/>
          <w:kern w:val="0"/>
          <w:sz w:val="24"/>
          <w:szCs w:val="21"/>
          <w:highlight w:val="none"/>
          <w:lang w:bidi="ar"/>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具有履行合同所需的设备和专业技术能力的声明函</w:t>
      </w:r>
    </w:p>
    <w:p>
      <w:pPr>
        <w:rPr>
          <w:rFonts w:ascii="宋体" w:hAnsi="宋体" w:cs="宋体"/>
          <w:color w:val="auto"/>
          <w:highlight w:val="none"/>
        </w:rPr>
      </w:pPr>
    </w:p>
    <w:p>
      <w:pPr>
        <w:adjustRightInd w:val="0"/>
        <w:snapToGrid w:val="0"/>
        <w:spacing w:line="360" w:lineRule="auto"/>
        <w:ind w:firstLine="420"/>
        <w:rPr>
          <w:rFonts w:hint="eastAsia" w:ascii="宋体" w:hAnsi="宋体" w:cs="宋体"/>
          <w:color w:val="auto"/>
          <w:szCs w:val="21"/>
          <w:highlight w:val="none"/>
        </w:rPr>
      </w:pPr>
    </w:p>
    <w:p>
      <w:p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我公司（单位）具备履行合同所需的设备和专业技术能力，具体情况介绍如下：</w:t>
      </w:r>
    </w:p>
    <w:p>
      <w:p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 xml:space="preserve">        （内容包括：主要设备、专业技术人员、公司资质等）                                          </w:t>
      </w:r>
    </w:p>
    <w:p>
      <w:pPr>
        <w:adjustRightInd w:val="0"/>
        <w:snapToGrid w:val="0"/>
        <w:spacing w:line="360" w:lineRule="auto"/>
        <w:ind w:firstLine="420"/>
        <w:rPr>
          <w:rFonts w:hint="eastAsia" w:ascii="宋体" w:hAnsi="宋体" w:cs="宋体"/>
          <w:color w:val="auto"/>
          <w:szCs w:val="21"/>
          <w:highlight w:val="none"/>
        </w:rPr>
      </w:pPr>
    </w:p>
    <w:p>
      <w:p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p>
    <w:p>
      <w:p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pPr>
        <w:widowControl/>
        <w:jc w:val="left"/>
        <w:rPr>
          <w:rFonts w:ascii="宋体" w:hAnsi="宋体"/>
          <w:bCs/>
          <w:color w:val="auto"/>
          <w:kern w:val="0"/>
          <w:szCs w:val="21"/>
          <w:highlight w:val="none"/>
        </w:rPr>
      </w:pPr>
    </w:p>
    <w:p>
      <w:pPr>
        <w:widowControl/>
        <w:jc w:val="left"/>
        <w:rPr>
          <w:rFonts w:ascii="宋体" w:hAnsi="宋体"/>
          <w:bCs/>
          <w:color w:val="auto"/>
          <w:kern w:val="0"/>
          <w:szCs w:val="21"/>
          <w:highlight w:val="none"/>
        </w:rPr>
      </w:pPr>
    </w:p>
    <w:p>
      <w:pPr>
        <w:spacing w:line="480" w:lineRule="auto"/>
        <w:ind w:left="170" w:firstLine="1680" w:firstLineChars="800"/>
        <w:jc w:val="right"/>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（公章）</w:t>
      </w:r>
    </w:p>
    <w:p>
      <w:pPr>
        <w:spacing w:line="480" w:lineRule="auto"/>
        <w:rPr>
          <w:rFonts w:hint="eastAsia" w:ascii="宋体" w:hAnsi="宋体" w:cs="宋体"/>
          <w:color w:val="auto"/>
          <w:szCs w:val="21"/>
          <w:highlight w:val="none"/>
        </w:rPr>
      </w:pPr>
      <w:r>
        <w:rPr>
          <w:rFonts w:hint="eastAsia" w:ascii="宋体" w:hAnsi="宋体" w:cs="宋体"/>
          <w:color w:val="auto"/>
          <w:szCs w:val="21"/>
          <w:highlight w:val="none"/>
        </w:rPr>
        <w:t xml:space="preserve">                                             投标日期：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400" w:lineRule="exact"/>
        <w:jc w:val="left"/>
        <w:rPr>
          <w:rFonts w:hint="eastAsia" w:ascii="宋体" w:hAnsi="宋体" w:cs="宋体"/>
          <w:color w:val="auto"/>
          <w:szCs w:val="21"/>
          <w:highlight w:val="none"/>
        </w:rPr>
      </w:pPr>
      <w:r>
        <w:rPr>
          <w:rFonts w:hint="eastAsia" w:ascii="宋体" w:hAnsi="宋体" w:cs="宋体"/>
          <w:b/>
          <w:color w:val="auto"/>
          <w:spacing w:val="-2"/>
          <w:kern w:val="0"/>
          <w:sz w:val="24"/>
          <w:szCs w:val="21"/>
          <w:highlight w:val="none"/>
          <w:lang w:bidi="ar"/>
        </w:rPr>
        <w:br w:type="page"/>
      </w:r>
    </w:p>
    <w:p>
      <w:pPr>
        <w:spacing w:line="400" w:lineRule="exact"/>
        <w:jc w:val="left"/>
        <w:rPr>
          <w:rFonts w:hint="eastAsia" w:ascii="宋体" w:hAnsi="宋体" w:cs="宋体"/>
          <w:b/>
          <w:color w:val="auto"/>
          <w:szCs w:val="21"/>
          <w:highlight w:val="none"/>
        </w:rPr>
      </w:pPr>
      <w:r>
        <w:rPr>
          <w:rFonts w:hint="eastAsia" w:ascii="宋体" w:hAnsi="宋体" w:cs="宋体"/>
          <w:b/>
          <w:color w:val="auto"/>
          <w:spacing w:val="-2"/>
          <w:kern w:val="0"/>
          <w:sz w:val="24"/>
          <w:szCs w:val="21"/>
          <w:highlight w:val="none"/>
          <w:lang w:bidi="ar"/>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无重大违法记录声明函</w:t>
      </w:r>
    </w:p>
    <w:p>
      <w:pPr>
        <w:spacing w:line="400" w:lineRule="exact"/>
        <w:rPr>
          <w:rFonts w:hint="eastAsia" w:ascii="宋体" w:hAnsi="宋体" w:cs="宋体"/>
          <w:color w:val="auto"/>
          <w:szCs w:val="21"/>
          <w:highlight w:val="none"/>
        </w:rPr>
      </w:pPr>
    </w:p>
    <w:p>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lang w:bidi="ar"/>
        </w:rPr>
        <w:t>致：采购人</w:t>
      </w:r>
    </w:p>
    <w:p>
      <w:pPr>
        <w:spacing w:line="40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lang w:bidi="ar"/>
        </w:rPr>
        <w:t>我单位承诺：</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我单位参与本次采购活动前三年内，在经营活动中没有重大违法记录。</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我单位对上述声明的真实性负责。如有虚假，将依法承担相应法律责任。</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特此承诺。</w:t>
      </w:r>
    </w:p>
    <w:p>
      <w:pPr>
        <w:pStyle w:val="39"/>
        <w:spacing w:before="0" w:beforeAutospacing="0" w:after="0" w:afterAutospacing="0" w:line="400" w:lineRule="exact"/>
        <w:ind w:right="159" w:firstLine="660"/>
        <w:jc w:val="both"/>
        <w:rPr>
          <w:rFonts w:hint="eastAsia"/>
          <w:bCs/>
          <w:color w:val="auto"/>
          <w:sz w:val="21"/>
          <w:szCs w:val="21"/>
          <w:highlight w:val="none"/>
        </w:rPr>
      </w:pPr>
    </w:p>
    <w:p>
      <w:pPr>
        <w:pStyle w:val="39"/>
        <w:spacing w:before="0" w:beforeAutospacing="0" w:after="0" w:afterAutospacing="0" w:line="400" w:lineRule="exact"/>
        <w:ind w:right="159" w:firstLine="660"/>
        <w:jc w:val="both"/>
        <w:rPr>
          <w:rFonts w:hint="eastAsia"/>
          <w:bCs/>
          <w:color w:val="auto"/>
          <w:sz w:val="21"/>
          <w:szCs w:val="21"/>
          <w:highlight w:val="none"/>
        </w:rPr>
      </w:pPr>
    </w:p>
    <w:p>
      <w:pPr>
        <w:spacing w:line="400" w:lineRule="exact"/>
        <w:rPr>
          <w:rFonts w:hint="eastAsia" w:ascii="宋体" w:hAnsi="宋体" w:cs="宋体"/>
          <w:color w:val="auto"/>
          <w:kern w:val="0"/>
          <w:szCs w:val="21"/>
          <w:highlight w:val="none"/>
        </w:rPr>
      </w:pPr>
    </w:p>
    <w:p>
      <w:pPr>
        <w:spacing w:line="400" w:lineRule="exact"/>
        <w:rPr>
          <w:rFonts w:hint="eastAsia" w:ascii="宋体" w:hAnsi="宋体" w:cs="宋体"/>
          <w:color w:val="auto"/>
          <w:kern w:val="0"/>
          <w:szCs w:val="21"/>
          <w:highlight w:val="none"/>
        </w:rPr>
      </w:pPr>
    </w:p>
    <w:p>
      <w:pPr>
        <w:spacing w:line="400" w:lineRule="exact"/>
        <w:rPr>
          <w:rFonts w:hint="eastAsia" w:ascii="宋体" w:hAnsi="宋体" w:cs="宋体"/>
          <w:color w:val="auto"/>
          <w:kern w:val="0"/>
          <w:szCs w:val="21"/>
          <w:highlight w:val="none"/>
        </w:rPr>
      </w:pPr>
    </w:p>
    <w:p>
      <w:pPr>
        <w:spacing w:line="400" w:lineRule="atLeast"/>
        <w:jc w:val="left"/>
        <w:rPr>
          <w:rFonts w:hint="eastAsia" w:ascii="宋体" w:hAnsi="宋体" w:cs="宋体"/>
          <w:color w:val="auto"/>
          <w:szCs w:val="21"/>
          <w:highlight w:val="none"/>
        </w:rPr>
      </w:pPr>
      <w:r>
        <w:rPr>
          <w:rFonts w:hint="eastAsia" w:ascii="宋体" w:hAnsi="宋体" w:cs="宋体"/>
          <w:color w:val="auto"/>
          <w:szCs w:val="21"/>
          <w:highlight w:val="none"/>
          <w:lang w:bidi="ar"/>
        </w:rPr>
        <w:t>供应商（盖章）：</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pPr>
        <w:spacing w:line="400" w:lineRule="atLeast"/>
        <w:rPr>
          <w:rFonts w:hint="eastAsia" w:ascii="宋体" w:hAnsi="宋体" w:cs="宋体"/>
          <w:color w:val="auto"/>
          <w:szCs w:val="21"/>
          <w:highlight w:val="none"/>
          <w:u w:val="single"/>
        </w:rPr>
      </w:pPr>
      <w:r>
        <w:rPr>
          <w:rFonts w:hint="eastAsia" w:ascii="宋体" w:hAnsi="宋体" w:cs="宋体"/>
          <w:color w:val="auto"/>
          <w:szCs w:val="21"/>
          <w:highlight w:val="none"/>
          <w:lang w:bidi="ar"/>
        </w:rPr>
        <w:t>日          期：</w:t>
      </w:r>
      <w:r>
        <w:rPr>
          <w:rFonts w:hint="eastAsia" w:ascii="宋体" w:hAnsi="宋体" w:cs="宋体"/>
          <w:color w:val="auto"/>
          <w:szCs w:val="21"/>
          <w:highlight w:val="none"/>
          <w:u w:val="single"/>
          <w:lang w:bidi="ar"/>
        </w:rPr>
        <w:t xml:space="preserve">                             </w:t>
      </w:r>
    </w:p>
    <w:p>
      <w:pPr>
        <w:pStyle w:val="39"/>
        <w:spacing w:before="0" w:beforeAutospacing="0" w:after="0" w:afterAutospacing="0" w:line="400" w:lineRule="exact"/>
        <w:ind w:right="159" w:firstLine="660"/>
        <w:jc w:val="both"/>
        <w:rPr>
          <w:rFonts w:hint="eastAsia"/>
          <w:bCs/>
          <w:color w:val="auto"/>
          <w:sz w:val="21"/>
          <w:szCs w:val="21"/>
          <w:highlight w:val="none"/>
        </w:rPr>
      </w:pPr>
    </w:p>
    <w:p>
      <w:pPr>
        <w:pStyle w:val="39"/>
        <w:spacing w:before="0" w:beforeAutospacing="0" w:after="0" w:afterAutospacing="0" w:line="400" w:lineRule="exact"/>
        <w:ind w:right="159" w:firstLine="660"/>
        <w:jc w:val="both"/>
        <w:rPr>
          <w:rFonts w:hint="eastAsia"/>
          <w:bCs/>
          <w:color w:val="auto"/>
          <w:sz w:val="21"/>
          <w:szCs w:val="21"/>
          <w:highlight w:val="none"/>
        </w:rPr>
      </w:pPr>
    </w:p>
    <w:p>
      <w:pPr>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lang w:bidi="ar"/>
        </w:rPr>
        <w:t>注：1、供应商注册成立不足三年的，应就供应商单位成立至参加政府采购活动时段进行承诺。</w:t>
      </w:r>
    </w:p>
    <w:p>
      <w:pPr>
        <w:pStyle w:val="39"/>
        <w:spacing w:before="0" w:beforeAutospacing="0" w:after="0" w:afterAutospacing="0" w:line="400" w:lineRule="exact"/>
        <w:ind w:right="159" w:firstLine="420" w:firstLineChars="200"/>
        <w:jc w:val="both"/>
        <w:rPr>
          <w:rFonts w:hint="eastAsia"/>
          <w:bCs/>
          <w:color w:val="auto"/>
          <w:sz w:val="21"/>
          <w:szCs w:val="21"/>
          <w:highlight w:val="none"/>
        </w:rPr>
      </w:pPr>
      <w:r>
        <w:rPr>
          <w:rFonts w:hint="eastAsia"/>
          <w:bCs/>
          <w:color w:val="auto"/>
          <w:sz w:val="21"/>
          <w:szCs w:val="21"/>
          <w:highlight w:val="none"/>
        </w:rPr>
        <w:t>2、政府采购法所称重大违法记录：是指供应商因违法经营受到刑事处罚或者责令停产停业、吊销许可证或者执照、较大数额罚款等行政处罚。</w:t>
      </w:r>
    </w:p>
    <w:p>
      <w:pPr>
        <w:spacing w:line="440" w:lineRule="exact"/>
        <w:jc w:val="center"/>
        <w:rPr>
          <w:rFonts w:hint="eastAsia" w:ascii="宋体" w:hAnsi="宋体" w:cs="宋体"/>
          <w:color w:val="auto"/>
          <w:sz w:val="24"/>
          <w:szCs w:val="21"/>
          <w:highlight w:val="none"/>
        </w:rPr>
      </w:pPr>
    </w:p>
    <w:p>
      <w:pPr>
        <w:spacing w:line="400" w:lineRule="exact"/>
        <w:jc w:val="left"/>
        <w:rPr>
          <w:rFonts w:hint="eastAsia" w:ascii="宋体" w:hAnsi="宋体" w:cs="宋体"/>
          <w:b/>
          <w:color w:val="auto"/>
          <w:szCs w:val="21"/>
          <w:highlight w:val="none"/>
        </w:rPr>
      </w:pPr>
      <w:r>
        <w:rPr>
          <w:rFonts w:hint="eastAsia" w:ascii="宋体" w:hAnsi="宋体" w:cs="宋体"/>
          <w:b/>
          <w:color w:val="auto"/>
          <w:spacing w:val="-2"/>
          <w:sz w:val="24"/>
          <w:szCs w:val="21"/>
          <w:highlight w:val="none"/>
          <w:lang w:bidi="ar"/>
        </w:rPr>
        <w:br w:type="page"/>
      </w:r>
      <w:r>
        <w:rPr>
          <w:rFonts w:hint="eastAsia" w:ascii="宋体" w:hAnsi="宋体" w:cs="宋体"/>
          <w:b/>
          <w:color w:val="auto"/>
          <w:spacing w:val="-2"/>
          <w:kern w:val="0"/>
          <w:sz w:val="24"/>
          <w:szCs w:val="21"/>
          <w:highlight w:val="none"/>
          <w:lang w:bidi="ar"/>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供应商一般情况</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1</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2</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3</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4</w:t>
            </w:r>
          </w:p>
        </w:tc>
        <w:tc>
          <w:tcPr>
            <w:tcW w:w="4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电  话：</w:t>
            </w:r>
          </w:p>
        </w:tc>
        <w:tc>
          <w:tcPr>
            <w:tcW w:w="384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联 系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5</w:t>
            </w:r>
          </w:p>
        </w:tc>
        <w:tc>
          <w:tcPr>
            <w:tcW w:w="4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传  真：</w:t>
            </w:r>
          </w:p>
        </w:tc>
        <w:tc>
          <w:tcPr>
            <w:tcW w:w="384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6</w:t>
            </w:r>
          </w:p>
        </w:tc>
        <w:tc>
          <w:tcPr>
            <w:tcW w:w="4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注册地：</w:t>
            </w:r>
          </w:p>
        </w:tc>
        <w:tc>
          <w:tcPr>
            <w:tcW w:w="384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7</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公司的经营范围：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8</w:t>
            </w:r>
          </w:p>
        </w:tc>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从业人员数量</w:t>
            </w:r>
          </w:p>
        </w:tc>
        <w:tc>
          <w:tcPr>
            <w:tcW w:w="3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9</w:t>
            </w:r>
          </w:p>
        </w:tc>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营业收入</w:t>
            </w:r>
          </w:p>
        </w:tc>
        <w:tc>
          <w:tcPr>
            <w:tcW w:w="3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bidi="ar"/>
              </w:rPr>
              <w:t>10</w:t>
            </w:r>
          </w:p>
        </w:tc>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r>
              <w:rPr>
                <w:rFonts w:hint="eastAsia" w:ascii="宋体" w:hAnsi="宋体" w:cs="宋体"/>
                <w:color w:val="auto"/>
                <w:szCs w:val="21"/>
                <w:highlight w:val="none"/>
                <w:lang w:bidi="ar"/>
              </w:rPr>
              <w:t>其他需要说明的情况</w:t>
            </w:r>
          </w:p>
        </w:tc>
        <w:tc>
          <w:tcPr>
            <w:tcW w:w="3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cs="宋体"/>
                <w:color w:val="auto"/>
                <w:szCs w:val="21"/>
                <w:highlight w:val="none"/>
              </w:rPr>
            </w:pPr>
          </w:p>
        </w:tc>
      </w:tr>
    </w:tbl>
    <w:p>
      <w:pPr>
        <w:spacing w:line="400" w:lineRule="exact"/>
        <w:jc w:val="left"/>
        <w:rPr>
          <w:rFonts w:hint="eastAsia" w:ascii="宋体" w:hAnsi="宋体" w:cs="宋体"/>
          <w:color w:val="auto"/>
          <w:szCs w:val="21"/>
          <w:highlight w:val="none"/>
        </w:rPr>
      </w:pPr>
    </w:p>
    <w:p>
      <w:pPr>
        <w:pStyle w:val="43"/>
        <w:ind w:firstLine="480"/>
        <w:rPr>
          <w:rFonts w:hint="eastAsia" w:ascii="宋体" w:hAnsi="宋体" w:eastAsia="宋体" w:cs="宋体"/>
          <w:color w:val="auto"/>
          <w:highlight w:val="none"/>
        </w:rPr>
      </w:pPr>
    </w:p>
    <w:p>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供应商（盖章）：</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pPr>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日            期：</w:t>
      </w:r>
      <w:r>
        <w:rPr>
          <w:rFonts w:hint="eastAsia" w:ascii="宋体" w:hAnsi="宋体" w:cs="宋体"/>
          <w:color w:val="auto"/>
          <w:szCs w:val="21"/>
          <w:highlight w:val="none"/>
          <w:u w:val="single"/>
          <w:lang w:bidi="ar"/>
        </w:rPr>
        <w:t xml:space="preserve">                             </w:t>
      </w:r>
    </w:p>
    <w:p>
      <w:pPr>
        <w:rPr>
          <w:rStyle w:val="143"/>
          <w:rFonts w:hint="eastAsia" w:ascii="宋体" w:hAnsi="宋体" w:cs="宋体"/>
          <w:color w:val="auto"/>
          <w:szCs w:val="24"/>
          <w:highlight w:val="none"/>
        </w:rPr>
      </w:pPr>
      <w:r>
        <w:rPr>
          <w:rStyle w:val="143"/>
          <w:rFonts w:hint="eastAsia" w:ascii="宋体" w:hAnsi="宋体" w:cs="宋体"/>
          <w:color w:val="auto"/>
          <w:szCs w:val="24"/>
          <w:highlight w:val="none"/>
        </w:rPr>
        <w:br w:type="page"/>
      </w:r>
      <w:r>
        <w:rPr>
          <w:rStyle w:val="143"/>
          <w:rFonts w:hint="eastAsia" w:ascii="宋体" w:hAnsi="宋体" w:cs="宋体"/>
          <w:color w:val="auto"/>
          <w:szCs w:val="24"/>
          <w:highlight w:val="none"/>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投 标 函</w:t>
      </w:r>
    </w:p>
    <w:p>
      <w:pPr>
        <w:ind w:left="540" w:leftChars="257" w:firstLine="1703" w:firstLineChars="808"/>
        <w:rPr>
          <w:rFonts w:hint="eastAsia" w:ascii="宋体" w:hAnsi="宋体" w:cs="宋体"/>
          <w:b/>
          <w:color w:val="auto"/>
          <w:szCs w:val="21"/>
          <w:highlight w:val="none"/>
        </w:rPr>
      </w:pPr>
    </w:p>
    <w:p>
      <w:pPr>
        <w:spacing w:line="400" w:lineRule="exact"/>
        <w:ind w:firstLine="105" w:firstLineChars="50"/>
        <w:jc w:val="lef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bidi="ar"/>
        </w:rPr>
        <w:t>（采购人）</w:t>
      </w:r>
      <w:r>
        <w:rPr>
          <w:rFonts w:hint="eastAsia" w:ascii="宋体" w:hAnsi="宋体" w:cs="宋体"/>
          <w:color w:val="auto"/>
          <w:szCs w:val="21"/>
          <w:highlight w:val="none"/>
        </w:rPr>
        <w:t>：</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(供应商全称)授权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（全名、职务）为全权代表，参加贵方组织的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（招标项目名称）（编号为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）招标活动并投标。为此：</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（1）、我方同意在供应商须知规定的开标日期起遵守本投标函中的承诺且在投标有效期满之前均具有约束力。</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（2）、提供供应商须知规定的全部投标文件。</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（3）、我方已详细阅读全部招标文件，包括招标文件修改书（如有的话）、参考资料及有关附件，确认无误。同意招标文件中的各项要求。</w:t>
      </w:r>
    </w:p>
    <w:p>
      <w:pPr>
        <w:spacing w:line="400" w:lineRule="exact"/>
        <w:rPr>
          <w:rFonts w:hint="eastAsia" w:ascii="宋体" w:hAnsi="宋体" w:cs="宋体"/>
          <w:color w:val="auto"/>
          <w:szCs w:val="21"/>
          <w:highlight w:val="none"/>
        </w:rPr>
      </w:pPr>
      <w:bookmarkStart w:id="95" w:name="_Toc360457891"/>
      <w:bookmarkStart w:id="96" w:name="_Toc231780372"/>
      <w:bookmarkStart w:id="97" w:name="_Toc437251189"/>
      <w:r>
        <w:rPr>
          <w:rFonts w:hint="eastAsia" w:ascii="宋体" w:hAnsi="宋体" w:cs="宋体"/>
          <w:color w:val="auto"/>
          <w:szCs w:val="21"/>
          <w:highlight w:val="none"/>
        </w:rPr>
        <w:t>（4）、保证忠实地执行双方所签订的合同，并承担合同规定的责任和义务。</w:t>
      </w:r>
      <w:bookmarkEnd w:id="95"/>
      <w:bookmarkEnd w:id="96"/>
      <w:bookmarkEnd w:id="97"/>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（5）、保证遵守招标文件中的其他有关规定。</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（6）、如果在开标后的投标有效期内撤回投标，我方同意按招标人的规定进行处罚。</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（7）、我方完全理解贵方不一定要接受最低价的投标或收到的任何投标。</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（8）、我方同意提供按照贵方可能要求的与其投标有关的一切数据或资料，并保证其真实性、合法性。</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（9）、投标有效期为自开标日起</w:t>
      </w:r>
      <w:r>
        <w:rPr>
          <w:rFonts w:hint="eastAsia" w:ascii="宋体" w:hAnsi="宋体" w:cs="宋体"/>
          <w:color w:val="auto"/>
          <w:szCs w:val="21"/>
          <w:highlight w:val="none"/>
          <w:u w:val="single"/>
        </w:rPr>
        <w:t xml:space="preserve"> 90 </w:t>
      </w:r>
      <w:r>
        <w:rPr>
          <w:rFonts w:hint="eastAsia" w:ascii="宋体" w:hAnsi="宋体" w:cs="宋体"/>
          <w:color w:val="auto"/>
          <w:szCs w:val="21"/>
          <w:highlight w:val="none"/>
        </w:rPr>
        <w:t>日历天。</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（10）、我们郑重声明：</w:t>
      </w:r>
      <w:r>
        <w:rPr>
          <w:rFonts w:hint="eastAsia" w:ascii="宋体" w:hAnsi="宋体" w:cs="宋体"/>
          <w:bCs/>
          <w:color w:val="auto"/>
          <w:szCs w:val="21"/>
          <w:highlight w:val="none"/>
        </w:rPr>
        <w:t>在同一合同项下的政府采购活动中，不存在单位负责人为同一人或者存在直接控股、管理关系。</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与本投标有关的一切往来通讯请寄：</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地址：_______________________    </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邮编：_______________________　</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电话：_______________________　</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传真：_______________________</w:t>
      </w:r>
    </w:p>
    <w:p>
      <w:pPr>
        <w:adjustRightInd w:val="0"/>
        <w:snapToGrid w:val="0"/>
        <w:spacing w:after="120" w:afterLines="50"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p>
      <w:pPr>
        <w:adjustRightInd w:val="0"/>
        <w:snapToGrid w:val="0"/>
        <w:spacing w:after="120" w:afterLines="50"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供应商名称（公章）：                               </w:t>
      </w:r>
    </w:p>
    <w:p>
      <w:pPr>
        <w:spacing w:line="400" w:lineRule="exact"/>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kern w:val="0"/>
          <w:szCs w:val="21"/>
          <w:highlight w:val="none"/>
          <w:u w:val="single"/>
        </w:rPr>
        <w:t xml:space="preserve">        </w:t>
      </w:r>
    </w:p>
    <w:p>
      <w:pPr>
        <w:spacing w:line="360" w:lineRule="auto"/>
        <w:rPr>
          <w:rFonts w:hint="eastAsia" w:ascii="宋体" w:hAnsi="宋体" w:cs="宋体"/>
          <w:color w:val="auto"/>
          <w:kern w:val="0"/>
          <w:szCs w:val="21"/>
          <w:highlight w:val="none"/>
          <w:u w:val="single"/>
        </w:rPr>
      </w:pPr>
    </w:p>
    <w:p>
      <w:pPr>
        <w:spacing w:line="360" w:lineRule="auto"/>
        <w:rPr>
          <w:rFonts w:hint="eastAsia" w:ascii="宋体" w:hAnsi="宋体" w:cs="宋体"/>
          <w:color w:val="auto"/>
          <w:kern w:val="0"/>
          <w:szCs w:val="21"/>
          <w:highlight w:val="none"/>
          <w:u w:val="single"/>
        </w:rPr>
      </w:pPr>
    </w:p>
    <w:p>
      <w:pPr>
        <w:spacing w:line="360" w:lineRule="auto"/>
        <w:rPr>
          <w:rStyle w:val="143"/>
          <w:rFonts w:hint="eastAsia" w:ascii="宋体" w:hAnsi="宋体" w:cs="宋体"/>
          <w:color w:val="auto"/>
          <w:sz w:val="28"/>
          <w:szCs w:val="28"/>
          <w:highlight w:val="none"/>
        </w:rPr>
      </w:pPr>
    </w:p>
    <w:p>
      <w:pPr>
        <w:spacing w:line="480" w:lineRule="auto"/>
        <w:jc w:val="left"/>
        <w:rPr>
          <w:rStyle w:val="143"/>
          <w:rFonts w:hint="eastAsia" w:ascii="宋体" w:hAnsi="宋体" w:cs="宋体"/>
          <w:color w:val="auto"/>
          <w:sz w:val="30"/>
          <w:szCs w:val="30"/>
          <w:highlight w:val="none"/>
        </w:rPr>
      </w:pPr>
    </w:p>
    <w:p>
      <w:pPr>
        <w:pStyle w:val="43"/>
        <w:rPr>
          <w:rStyle w:val="143"/>
          <w:rFonts w:hint="eastAsia" w:ascii="宋体" w:hAnsi="宋体" w:cs="宋体"/>
          <w:color w:val="auto"/>
          <w:sz w:val="30"/>
          <w:szCs w:val="30"/>
          <w:highlight w:val="none"/>
        </w:rPr>
      </w:pPr>
    </w:p>
    <w:p>
      <w:pPr>
        <w:pStyle w:val="43"/>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spacing w:line="480" w:lineRule="auto"/>
        <w:jc w:val="left"/>
        <w:rPr>
          <w:rStyle w:val="143"/>
          <w:rFonts w:hint="eastAsia" w:ascii="宋体" w:hAnsi="宋体" w:cs="宋体"/>
          <w:color w:val="auto"/>
          <w:sz w:val="30"/>
          <w:szCs w:val="30"/>
          <w:highlight w:val="none"/>
        </w:rPr>
      </w:pPr>
      <w:r>
        <w:rPr>
          <w:rStyle w:val="143"/>
          <w:rFonts w:hint="eastAsia" w:ascii="宋体" w:hAnsi="宋体" w:cs="宋体"/>
          <w:color w:val="auto"/>
          <w:szCs w:val="24"/>
          <w:highlight w:val="none"/>
        </w:rPr>
        <w:t>附件</w:t>
      </w:r>
      <w:r>
        <w:rPr>
          <w:rFonts w:hint="eastAsia" w:ascii="宋体" w:hAnsi="宋体" w:cs="宋体"/>
          <w:b/>
          <w:color w:val="auto"/>
          <w:sz w:val="32"/>
          <w:highlight w:val="none"/>
        </w:rPr>
        <w:t xml:space="preserve">   </w:t>
      </w:r>
    </w:p>
    <w:p>
      <w:pPr>
        <w:jc w:val="center"/>
        <w:rPr>
          <w:rFonts w:hint="eastAsia" w:ascii="宋体" w:hAnsi="宋体" w:cs="宋体"/>
          <w:b/>
          <w:color w:val="auto"/>
          <w:sz w:val="30"/>
          <w:szCs w:val="30"/>
          <w:highlight w:val="none"/>
        </w:rPr>
      </w:pPr>
      <w:bookmarkStart w:id="98" w:name="_Toc12428987"/>
      <w:bookmarkStart w:id="99" w:name="_Toc12374303"/>
      <w:bookmarkStart w:id="100" w:name="_Toc12376828"/>
      <w:bookmarkStart w:id="101" w:name="_Toc529781151"/>
      <w:r>
        <w:rPr>
          <w:rFonts w:hint="eastAsia" w:ascii="宋体" w:hAnsi="宋体" w:cs="宋体"/>
          <w:b/>
          <w:color w:val="auto"/>
          <w:sz w:val="30"/>
          <w:szCs w:val="30"/>
          <w:highlight w:val="none"/>
        </w:rPr>
        <w:t>法定代表人身份证明</w:t>
      </w:r>
      <w:bookmarkEnd w:id="98"/>
      <w:bookmarkEnd w:id="99"/>
      <w:bookmarkEnd w:id="100"/>
      <w:bookmarkEnd w:id="101"/>
    </w:p>
    <w:p>
      <w:pPr>
        <w:spacing w:line="400" w:lineRule="exact"/>
        <w:jc w:val="center"/>
        <w:outlineLvl w:val="0"/>
        <w:rPr>
          <w:rFonts w:hint="eastAsia" w:ascii="宋体" w:hAnsi="宋体" w:cs="宋体"/>
          <w:bCs/>
          <w:color w:val="auto"/>
          <w:szCs w:val="21"/>
          <w:highlight w:val="none"/>
        </w:rPr>
      </w:pPr>
      <w:r>
        <w:rPr>
          <w:rFonts w:hint="eastAsia" w:ascii="宋体" w:hAnsi="宋体" w:cs="宋体"/>
          <w:bCs/>
          <w:color w:val="auto"/>
          <w:szCs w:val="21"/>
          <w:highlight w:val="none"/>
        </w:rPr>
        <w:t>（若法定代表人参加开标的，在开标身份确认时另提供一份原件）</w:t>
      </w:r>
    </w:p>
    <w:p>
      <w:pPr>
        <w:pStyle w:val="43"/>
        <w:ind w:firstLine="480"/>
        <w:rPr>
          <w:rFonts w:hint="eastAsia" w:ascii="宋体" w:hAnsi="宋体" w:eastAsia="宋体" w:cs="宋体"/>
          <w:color w:val="auto"/>
          <w:highlight w:val="none"/>
        </w:rPr>
      </w:pP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供应商名称：</w:t>
      </w:r>
      <w:r>
        <w:rPr>
          <w:rFonts w:hint="eastAsia" w:ascii="宋体" w:hAnsi="宋体" w:cs="宋体"/>
          <w:color w:val="auto"/>
          <w:szCs w:val="21"/>
          <w:highlight w:val="none"/>
          <w:u w:val="single"/>
          <w:lang w:bidi="ar"/>
        </w:rPr>
        <w:t xml:space="preserve">                                  </w:t>
      </w: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单位性质：</w:t>
      </w:r>
      <w:r>
        <w:rPr>
          <w:rFonts w:hint="eastAsia" w:ascii="宋体" w:hAnsi="宋体" w:cs="宋体"/>
          <w:color w:val="auto"/>
          <w:szCs w:val="21"/>
          <w:highlight w:val="none"/>
          <w:u w:val="single"/>
          <w:lang w:bidi="ar"/>
        </w:rPr>
        <w:t xml:space="preserve">                                    </w:t>
      </w: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地址：</w:t>
      </w:r>
      <w:r>
        <w:rPr>
          <w:rFonts w:hint="eastAsia" w:ascii="宋体" w:hAnsi="宋体" w:cs="宋体"/>
          <w:color w:val="auto"/>
          <w:szCs w:val="21"/>
          <w:highlight w:val="none"/>
          <w:u w:val="single"/>
          <w:lang w:bidi="ar"/>
        </w:rPr>
        <w:t xml:space="preserve">                                        </w:t>
      </w: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成立时间：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日</w:t>
      </w: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经营期限：</w:t>
      </w:r>
      <w:r>
        <w:rPr>
          <w:rFonts w:hint="eastAsia" w:ascii="宋体" w:hAnsi="宋体" w:cs="宋体"/>
          <w:color w:val="auto"/>
          <w:szCs w:val="21"/>
          <w:highlight w:val="none"/>
          <w:u w:val="single"/>
          <w:lang w:bidi="ar"/>
        </w:rPr>
        <w:t xml:space="preserve">                                     </w:t>
      </w: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姓名：</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性别：</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年龄：</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r>
        <w:rPr>
          <w:rFonts w:hint="eastAsia" w:ascii="宋体" w:hAnsi="宋体" w:cs="宋体"/>
          <w:color w:val="auto"/>
          <w:highlight w:val="none"/>
          <w:lang w:bidi="ar"/>
        </w:rPr>
        <w:t>职务：</w:t>
      </w:r>
      <w:r>
        <w:rPr>
          <w:rFonts w:hint="eastAsia" w:ascii="宋体" w:hAnsi="宋体" w:cs="宋体"/>
          <w:color w:val="auto"/>
          <w:highlight w:val="none"/>
          <w:u w:val="single"/>
          <w:lang w:bidi="ar"/>
        </w:rPr>
        <w:t xml:space="preserve">          </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 xml:space="preserve">  </w:t>
      </w:r>
    </w:p>
    <w:p>
      <w:pPr>
        <w:spacing w:after="120" w:afterLines="50" w:line="400" w:lineRule="exact"/>
        <w:rPr>
          <w:rFonts w:hint="eastAsia" w:ascii="宋体" w:hAnsi="宋体" w:cs="宋体"/>
          <w:color w:val="auto"/>
          <w:szCs w:val="21"/>
          <w:highlight w:val="none"/>
          <w:u w:val="single"/>
        </w:rPr>
      </w:pPr>
      <w:r>
        <w:rPr>
          <w:rFonts w:hint="eastAsia" w:ascii="宋体" w:hAnsi="宋体" w:cs="宋体"/>
          <w:color w:val="auto"/>
          <w:szCs w:val="21"/>
          <w:highlight w:val="none"/>
          <w:lang w:bidi="ar"/>
        </w:rPr>
        <w:t>身份证号码：</w:t>
      </w:r>
      <w:r>
        <w:rPr>
          <w:rFonts w:hint="eastAsia" w:ascii="宋体" w:hAnsi="宋体" w:cs="宋体"/>
          <w:color w:val="auto"/>
          <w:szCs w:val="21"/>
          <w:highlight w:val="none"/>
          <w:u w:val="single"/>
          <w:lang w:bidi="ar"/>
        </w:rPr>
        <w:t xml:space="preserve">                           </w:t>
      </w:r>
    </w:p>
    <w:p>
      <w:pPr>
        <w:spacing w:line="400" w:lineRule="exact"/>
        <w:ind w:firstLine="560"/>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 xml:space="preserve">    系</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（供应商名称）的法定代表人。</w:t>
      </w:r>
    </w:p>
    <w:p>
      <w:pPr>
        <w:spacing w:line="400" w:lineRule="exact"/>
        <w:ind w:firstLine="560"/>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特此证明。</w:t>
      </w: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供应商（盖章）：</w:t>
      </w:r>
    </w:p>
    <w:p>
      <w:pPr>
        <w:spacing w:line="400" w:lineRule="exact"/>
        <w:ind w:right="560"/>
        <w:rPr>
          <w:rFonts w:hint="eastAsia" w:ascii="宋体" w:hAnsi="宋体" w:cs="宋体"/>
          <w:color w:val="auto"/>
          <w:szCs w:val="21"/>
          <w:highlight w:val="none"/>
        </w:rPr>
      </w:pPr>
      <w:r>
        <w:rPr>
          <w:rFonts w:hint="eastAsia" w:ascii="宋体" w:hAnsi="宋体" w:cs="宋体"/>
          <w:color w:val="auto"/>
          <w:szCs w:val="21"/>
          <w:highlight w:val="none"/>
          <w:lang w:bidi="ar"/>
        </w:rPr>
        <w:t>日期：   年    月    日</w:t>
      </w:r>
    </w:p>
    <w:p>
      <w:pPr>
        <w:spacing w:line="400" w:lineRule="exact"/>
        <w:ind w:right="560"/>
        <w:rPr>
          <w:rFonts w:hint="eastAsia" w:ascii="宋体" w:hAnsi="宋体" w:cs="宋体"/>
          <w:color w:val="auto"/>
          <w:szCs w:val="21"/>
          <w:highlight w:val="none"/>
        </w:rPr>
      </w:pPr>
    </w:p>
    <w:p>
      <w:pPr>
        <w:spacing w:line="400" w:lineRule="exact"/>
        <w:ind w:right="560"/>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附：法定代表人身份证扫描件</w:t>
      </w:r>
    </w:p>
    <w:p>
      <w:pPr>
        <w:spacing w:line="400" w:lineRule="exact"/>
        <w:jc w:val="left"/>
        <w:rPr>
          <w:rFonts w:hint="eastAsia" w:ascii="宋体" w:hAnsi="宋体" w:cs="宋体"/>
          <w:color w:val="auto"/>
          <w:sz w:val="24"/>
          <w:szCs w:val="21"/>
          <w:highlight w:val="none"/>
        </w:rPr>
      </w:pPr>
    </w:p>
    <w:p>
      <w:pPr>
        <w:spacing w:line="400" w:lineRule="exact"/>
        <w:jc w:val="left"/>
        <w:rPr>
          <w:rFonts w:hint="eastAsia" w:ascii="宋体" w:hAnsi="宋体" w:cs="宋体"/>
          <w:color w:val="auto"/>
          <w:sz w:val="24"/>
          <w:szCs w:val="21"/>
          <w:highlight w:val="none"/>
        </w:rPr>
      </w:pPr>
    </w:p>
    <w:p>
      <w:pPr>
        <w:jc w:val="center"/>
        <w:rPr>
          <w:rFonts w:hint="eastAsia" w:ascii="宋体" w:hAnsi="宋体" w:cs="宋体"/>
          <w:b/>
          <w:color w:val="auto"/>
          <w:spacing w:val="40"/>
          <w:sz w:val="28"/>
          <w:szCs w:val="28"/>
          <w:highlight w:val="none"/>
        </w:rPr>
      </w:pPr>
    </w:p>
    <w:p>
      <w:pPr>
        <w:jc w:val="center"/>
        <w:rPr>
          <w:rFonts w:hint="eastAsia" w:ascii="宋体" w:hAnsi="宋体" w:cs="宋体"/>
          <w:b/>
          <w:color w:val="auto"/>
          <w:spacing w:val="40"/>
          <w:sz w:val="28"/>
          <w:szCs w:val="28"/>
          <w:highlight w:val="none"/>
        </w:rPr>
      </w:pPr>
    </w:p>
    <w:p>
      <w:pPr>
        <w:spacing w:line="400" w:lineRule="exact"/>
        <w:jc w:val="left"/>
        <w:outlineLvl w:val="0"/>
        <w:rPr>
          <w:rStyle w:val="143"/>
          <w:rFonts w:hint="eastAsia" w:ascii="宋体" w:hAnsi="宋体" w:cs="宋体"/>
          <w:color w:val="auto"/>
          <w:sz w:val="30"/>
          <w:szCs w:val="30"/>
          <w:highlight w:val="none"/>
        </w:rPr>
      </w:pPr>
    </w:p>
    <w:p>
      <w:pPr>
        <w:spacing w:line="400" w:lineRule="exact"/>
        <w:jc w:val="left"/>
        <w:rPr>
          <w:rFonts w:hint="eastAsia" w:ascii="宋体" w:hAnsi="宋体" w:cs="宋体"/>
          <w:b/>
          <w:color w:val="auto"/>
          <w:spacing w:val="-2"/>
          <w:kern w:val="0"/>
          <w:sz w:val="24"/>
          <w:szCs w:val="21"/>
          <w:highlight w:val="none"/>
          <w:lang w:bidi="ar"/>
        </w:rPr>
      </w:pPr>
    </w:p>
    <w:p>
      <w:pPr>
        <w:pStyle w:val="43"/>
        <w:ind w:firstLine="474"/>
        <w:rPr>
          <w:rFonts w:hint="eastAsia" w:ascii="宋体" w:hAnsi="宋体" w:eastAsia="宋体" w:cs="宋体"/>
          <w:b/>
          <w:color w:val="auto"/>
          <w:spacing w:val="-2"/>
          <w:kern w:val="0"/>
          <w:szCs w:val="21"/>
          <w:highlight w:val="none"/>
          <w:lang w:bidi="ar"/>
        </w:rPr>
      </w:pPr>
    </w:p>
    <w:p>
      <w:pPr>
        <w:pStyle w:val="43"/>
        <w:ind w:firstLine="474"/>
        <w:rPr>
          <w:rFonts w:hint="eastAsia" w:ascii="宋体" w:hAnsi="宋体" w:eastAsia="宋体" w:cs="宋体"/>
          <w:b/>
          <w:color w:val="auto"/>
          <w:spacing w:val="-2"/>
          <w:kern w:val="0"/>
          <w:szCs w:val="21"/>
          <w:highlight w:val="none"/>
          <w:lang w:bidi="ar"/>
        </w:rPr>
      </w:pPr>
    </w:p>
    <w:p>
      <w:pPr>
        <w:pStyle w:val="43"/>
        <w:ind w:firstLine="474"/>
        <w:rPr>
          <w:rFonts w:hint="eastAsia" w:ascii="宋体" w:hAnsi="宋体" w:eastAsia="宋体" w:cs="宋体"/>
          <w:b/>
          <w:color w:val="auto"/>
          <w:spacing w:val="-2"/>
          <w:kern w:val="0"/>
          <w:szCs w:val="21"/>
          <w:highlight w:val="none"/>
          <w:lang w:bidi="ar"/>
        </w:rPr>
      </w:pPr>
    </w:p>
    <w:p>
      <w:pPr>
        <w:pStyle w:val="43"/>
        <w:ind w:firstLine="474"/>
        <w:rPr>
          <w:rFonts w:hint="eastAsia" w:ascii="宋体" w:hAnsi="宋体" w:eastAsia="宋体" w:cs="宋体"/>
          <w:b/>
          <w:color w:val="auto"/>
          <w:spacing w:val="-2"/>
          <w:kern w:val="0"/>
          <w:szCs w:val="21"/>
          <w:highlight w:val="none"/>
          <w:lang w:bidi="ar"/>
        </w:rPr>
      </w:pPr>
    </w:p>
    <w:p>
      <w:pPr>
        <w:pStyle w:val="43"/>
        <w:ind w:firstLine="474"/>
        <w:rPr>
          <w:rFonts w:hint="eastAsia" w:ascii="宋体" w:hAnsi="宋体" w:eastAsia="宋体" w:cs="宋体"/>
          <w:b/>
          <w:color w:val="auto"/>
          <w:spacing w:val="-2"/>
          <w:kern w:val="0"/>
          <w:szCs w:val="21"/>
          <w:highlight w:val="none"/>
          <w:lang w:bidi="ar"/>
        </w:rPr>
      </w:pPr>
    </w:p>
    <w:p>
      <w:pPr>
        <w:spacing w:line="400" w:lineRule="exact"/>
        <w:jc w:val="left"/>
        <w:rPr>
          <w:rFonts w:hint="eastAsia" w:ascii="宋体" w:hAnsi="宋体" w:cs="宋体"/>
          <w:b/>
          <w:color w:val="auto"/>
          <w:spacing w:val="-2"/>
          <w:sz w:val="24"/>
          <w:szCs w:val="21"/>
          <w:highlight w:val="none"/>
          <w:lang w:bidi="ar"/>
        </w:rPr>
      </w:pPr>
    </w:p>
    <w:p>
      <w:pPr>
        <w:pStyle w:val="43"/>
        <w:rPr>
          <w:rFonts w:hint="eastAsia"/>
          <w:color w:val="auto"/>
          <w:highlight w:val="none"/>
        </w:rPr>
      </w:pPr>
    </w:p>
    <w:p>
      <w:pPr>
        <w:spacing w:line="400" w:lineRule="exact"/>
        <w:jc w:val="left"/>
        <w:rPr>
          <w:rStyle w:val="143"/>
          <w:rFonts w:hint="eastAsia" w:ascii="宋体" w:hAnsi="宋体" w:cs="宋体"/>
          <w:color w:val="auto"/>
          <w:szCs w:val="24"/>
          <w:highlight w:val="none"/>
        </w:rPr>
      </w:pPr>
    </w:p>
    <w:p>
      <w:pPr>
        <w:spacing w:line="400" w:lineRule="exact"/>
        <w:jc w:val="left"/>
        <w:rPr>
          <w:rStyle w:val="143"/>
          <w:rFonts w:hint="eastAsia" w:ascii="宋体" w:hAnsi="宋体" w:cs="宋体"/>
          <w:color w:val="auto"/>
          <w:szCs w:val="24"/>
          <w:highlight w:val="none"/>
        </w:rPr>
      </w:pPr>
      <w:r>
        <w:rPr>
          <w:rStyle w:val="143"/>
          <w:rFonts w:hint="eastAsia" w:ascii="宋体" w:hAnsi="宋体" w:cs="宋体"/>
          <w:color w:val="auto"/>
          <w:szCs w:val="24"/>
          <w:highlight w:val="none"/>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商务条款响应表</w:t>
      </w:r>
    </w:p>
    <w:p>
      <w:pPr>
        <w:spacing w:line="400" w:lineRule="exact"/>
        <w:ind w:left="540"/>
        <w:jc w:val="center"/>
        <w:rPr>
          <w:rFonts w:hint="eastAsia" w:ascii="宋体" w:hAnsi="宋体" w:cs="宋体"/>
          <w:b/>
          <w:color w:val="auto"/>
          <w:szCs w:val="21"/>
          <w:highlight w:val="none"/>
        </w:rPr>
      </w:pPr>
    </w:p>
    <w:p>
      <w:pPr>
        <w:adjustRightInd w:val="0"/>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采购编号：</w:t>
      </w:r>
      <w:r>
        <w:rPr>
          <w:rFonts w:hint="eastAsia" w:ascii="宋体" w:hAnsi="宋体" w:cs="宋体"/>
          <w:color w:val="auto"/>
          <w:szCs w:val="21"/>
          <w:highlight w:val="none"/>
          <w:u w:val="single"/>
        </w:rPr>
        <w:t xml:space="preserve">           </w:t>
      </w:r>
    </w:p>
    <w:p>
      <w:pPr>
        <w:adjustRightInd w:val="0"/>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tbl>
      <w:tblPr>
        <w:tblStyle w:val="44"/>
        <w:tblW w:w="0" w:type="auto"/>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717"/>
        <w:gridCol w:w="1794"/>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序号</w:t>
            </w: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招标要求</w:t>
            </w: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投标响应</w:t>
            </w: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bl>
    <w:p>
      <w:pPr>
        <w:adjustRightInd w:val="0"/>
        <w:snapToGrid w:val="0"/>
        <w:spacing w:line="400" w:lineRule="exact"/>
        <w:ind w:left="250" w:hanging="250" w:hangingChars="100"/>
        <w:rPr>
          <w:rFonts w:hint="eastAsia" w:ascii="宋体" w:hAnsi="宋体" w:cs="宋体"/>
          <w:color w:val="auto"/>
          <w:szCs w:val="21"/>
          <w:highlight w:val="none"/>
        </w:rPr>
      </w:pPr>
      <w:r>
        <w:rPr>
          <w:rFonts w:hint="eastAsia" w:ascii="宋体" w:hAnsi="宋体" w:cs="宋体"/>
          <w:color w:val="auto"/>
          <w:spacing w:val="20"/>
          <w:szCs w:val="21"/>
          <w:highlight w:val="none"/>
        </w:rPr>
        <w:t>注：1、须与相应标项的商务条款逐项比较填写。</w:t>
      </w: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ind w:firstLine="5880" w:firstLineChars="2800"/>
        <w:rPr>
          <w:rFonts w:hint="eastAsia" w:ascii="宋体" w:hAnsi="宋体" w:cs="宋体"/>
          <w:color w:val="auto"/>
          <w:szCs w:val="21"/>
          <w:highlight w:val="none"/>
        </w:rPr>
      </w:pPr>
      <w:r>
        <w:rPr>
          <w:rFonts w:hint="eastAsia" w:ascii="宋体" w:hAnsi="宋体" w:cs="宋体"/>
          <w:color w:val="auto"/>
          <w:szCs w:val="21"/>
          <w:highlight w:val="none"/>
        </w:rPr>
        <w:t>供应商盖章：</w:t>
      </w:r>
      <w:r>
        <w:rPr>
          <w:rFonts w:hint="eastAsia" w:ascii="宋体" w:hAnsi="宋体" w:cs="宋体"/>
          <w:color w:val="auto"/>
          <w:szCs w:val="21"/>
          <w:highlight w:val="none"/>
          <w:u w:val="single"/>
        </w:rPr>
        <w:t xml:space="preserve">   （公章）　</w:t>
      </w:r>
    </w:p>
    <w:p>
      <w:pPr>
        <w:snapToGrid w:val="0"/>
        <w:spacing w:line="400" w:lineRule="exact"/>
        <w:ind w:firstLine="3150" w:firstLineChars="1500"/>
        <w:rPr>
          <w:rFonts w:hint="eastAsia" w:ascii="宋体" w:hAnsi="宋体" w:cs="宋体"/>
          <w:color w:val="auto"/>
          <w:szCs w:val="21"/>
          <w:highlight w:val="none"/>
        </w:rPr>
      </w:pPr>
    </w:p>
    <w:p>
      <w:pPr>
        <w:spacing w:line="400" w:lineRule="exact"/>
        <w:ind w:firstLine="5880" w:firstLineChars="2800"/>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480" w:lineRule="auto"/>
        <w:jc w:val="left"/>
        <w:rPr>
          <w:rFonts w:hint="eastAsia" w:ascii="宋体" w:hAnsi="宋体" w:cs="宋体"/>
          <w:color w:val="auto"/>
          <w:spacing w:val="20"/>
          <w:sz w:val="30"/>
          <w:szCs w:val="30"/>
          <w:highlight w:val="none"/>
        </w:rPr>
      </w:pPr>
      <w:r>
        <w:rPr>
          <w:rFonts w:hint="eastAsia" w:ascii="宋体" w:hAnsi="宋体" w:cs="宋体"/>
          <w:color w:val="auto"/>
          <w:spacing w:val="20"/>
          <w:sz w:val="30"/>
          <w:szCs w:val="30"/>
          <w:highlight w:val="none"/>
        </w:rPr>
        <w:t xml:space="preserve"> </w:t>
      </w:r>
    </w:p>
    <w:p>
      <w:pPr>
        <w:pStyle w:val="43"/>
        <w:ind w:firstLine="480"/>
        <w:rPr>
          <w:rFonts w:hint="eastAsia" w:ascii="宋体" w:hAnsi="宋体" w:eastAsia="宋体" w:cs="宋体"/>
          <w:color w:val="auto"/>
          <w:highlight w:val="none"/>
        </w:rPr>
      </w:pPr>
    </w:p>
    <w:p>
      <w:pPr>
        <w:spacing w:line="400" w:lineRule="exact"/>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spacing w:line="400" w:lineRule="exact"/>
        <w:rPr>
          <w:rFonts w:hint="eastAsia" w:ascii="宋体" w:hAnsi="宋体" w:cs="宋体"/>
          <w:b/>
          <w:bCs/>
          <w:iCs/>
          <w:color w:val="auto"/>
          <w:spacing w:val="20"/>
          <w:szCs w:val="21"/>
          <w:highlight w:val="none"/>
        </w:rPr>
      </w:pPr>
      <w:r>
        <w:rPr>
          <w:rStyle w:val="143"/>
          <w:rFonts w:hint="eastAsia" w:ascii="宋体" w:hAnsi="宋体" w:cs="宋体"/>
          <w:color w:val="auto"/>
          <w:szCs w:val="24"/>
          <w:highlight w:val="none"/>
        </w:rPr>
        <w:t>附件</w:t>
      </w:r>
      <w:r>
        <w:rPr>
          <w:rFonts w:hint="eastAsia" w:ascii="宋体" w:hAnsi="宋体" w:cs="宋体"/>
          <w:color w:val="auto"/>
          <w:spacing w:val="20"/>
          <w:sz w:val="30"/>
          <w:szCs w:val="30"/>
          <w:highlight w:val="none"/>
        </w:rPr>
        <w:t xml:space="preserve"> </w:t>
      </w: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技术</w:t>
      </w:r>
      <w:r>
        <w:rPr>
          <w:rFonts w:hint="eastAsia" w:ascii="宋体" w:hAnsi="宋体" w:cs="宋体"/>
          <w:b/>
          <w:color w:val="auto"/>
          <w:sz w:val="30"/>
          <w:szCs w:val="30"/>
          <w:highlight w:val="none"/>
          <w:lang w:val="en-US" w:eastAsia="zh-CN"/>
        </w:rPr>
        <w:t>服务</w:t>
      </w:r>
      <w:r>
        <w:rPr>
          <w:rFonts w:hint="eastAsia" w:ascii="宋体" w:hAnsi="宋体" w:cs="宋体"/>
          <w:b/>
          <w:color w:val="auto"/>
          <w:sz w:val="30"/>
          <w:szCs w:val="30"/>
          <w:highlight w:val="none"/>
        </w:rPr>
        <w:t>响应表</w:t>
      </w:r>
    </w:p>
    <w:p>
      <w:pPr>
        <w:adjustRightInd w:val="0"/>
        <w:snapToGrid w:val="0"/>
        <w:spacing w:line="400" w:lineRule="exact"/>
        <w:rPr>
          <w:rFonts w:hint="eastAsia" w:ascii="宋体" w:hAnsi="宋体" w:cs="宋体"/>
          <w:color w:val="auto"/>
          <w:szCs w:val="21"/>
          <w:highlight w:val="none"/>
        </w:rPr>
      </w:pPr>
    </w:p>
    <w:p>
      <w:pPr>
        <w:adjustRightInd w:val="0"/>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采购编号：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pPr>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pStyle w:val="43"/>
        <w:ind w:firstLine="0" w:firstLineChars="0"/>
        <w:rPr>
          <w:rFonts w:eastAsia="宋体"/>
          <w:color w:val="auto"/>
          <w:highlight w:val="none"/>
        </w:rPr>
      </w:pPr>
      <w:r>
        <w:rPr>
          <w:rFonts w:hint="eastAsia" w:ascii="宋体" w:hAnsi="宋体" w:eastAsia="宋体" w:cs="宋体"/>
          <w:color w:val="auto"/>
          <w:sz w:val="21"/>
          <w:szCs w:val="21"/>
          <w:highlight w:val="none"/>
        </w:rPr>
        <w:t>标    项:</w:t>
      </w:r>
      <w:r>
        <w:rPr>
          <w:rFonts w:hint="eastAsia" w:ascii="宋体" w:hAnsi="宋体" w:eastAsia="宋体" w:cs="宋体"/>
          <w:color w:val="auto"/>
          <w:szCs w:val="21"/>
          <w:highlight w:val="none"/>
          <w:u w:val="single"/>
        </w:rPr>
        <w:t xml:space="preserve">           </w:t>
      </w:r>
    </w:p>
    <w:p>
      <w:pPr>
        <w:pStyle w:val="43"/>
        <w:ind w:firstLine="480"/>
        <w:rPr>
          <w:rFonts w:hint="eastAsia"/>
          <w:color w:val="auto"/>
          <w:highlight w:val="none"/>
        </w:rPr>
      </w:pPr>
    </w:p>
    <w:tbl>
      <w:tblPr>
        <w:tblStyle w:val="44"/>
        <w:tblW w:w="0" w:type="auto"/>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135"/>
        <w:gridCol w:w="1905"/>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序号</w:t>
            </w: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招标要求</w:t>
            </w: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投标响应</w:t>
            </w: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r>
              <w:rPr>
                <w:rFonts w:hint="eastAsia" w:ascii="宋体" w:hAnsi="宋体" w:cs="宋体"/>
                <w:color w:val="auto"/>
                <w:spacing w:val="2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cs="宋体"/>
                <w:color w:val="auto"/>
                <w:spacing w:val="20"/>
                <w:szCs w:val="21"/>
                <w:highlight w:val="none"/>
              </w:rPr>
            </w:pPr>
          </w:p>
        </w:tc>
      </w:tr>
    </w:tbl>
    <w:p>
      <w:pPr>
        <w:adjustRightInd w:val="0"/>
        <w:snapToGrid w:val="0"/>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pacing w:val="20"/>
          <w:szCs w:val="21"/>
          <w:highlight w:val="none"/>
        </w:rPr>
        <w:t>注：1、须与相应标项的所有技术</w:t>
      </w:r>
      <w:r>
        <w:rPr>
          <w:rFonts w:hint="eastAsia" w:ascii="宋体" w:hAnsi="宋体" w:cs="宋体"/>
          <w:color w:val="auto"/>
          <w:spacing w:val="20"/>
          <w:szCs w:val="21"/>
          <w:highlight w:val="none"/>
          <w:lang w:val="en-US" w:eastAsia="zh-CN"/>
        </w:rPr>
        <w:t>服务</w:t>
      </w:r>
      <w:r>
        <w:rPr>
          <w:rFonts w:hint="eastAsia" w:ascii="宋体" w:hAnsi="宋体" w:cs="宋体"/>
          <w:color w:val="auto"/>
          <w:spacing w:val="20"/>
          <w:szCs w:val="21"/>
          <w:highlight w:val="none"/>
        </w:rPr>
        <w:t>需求逐项比较填写。</w:t>
      </w:r>
      <w:r>
        <w:rPr>
          <w:rFonts w:hint="eastAsia" w:ascii="宋体" w:hAnsi="宋体" w:cs="宋体"/>
          <w:color w:val="auto"/>
          <w:spacing w:val="20"/>
          <w:szCs w:val="21"/>
          <w:highlight w:val="none"/>
          <w:lang w:val="en-US" w:eastAsia="zh-CN"/>
        </w:rPr>
        <w:t>若均未偏离的，在明显位置处标识“本项目所有技术服务需求均无偏离”。</w:t>
      </w:r>
    </w:p>
    <w:p>
      <w:pPr>
        <w:adjustRightInd w:val="0"/>
        <w:snapToGrid w:val="0"/>
        <w:spacing w:line="400" w:lineRule="exact"/>
        <w:rPr>
          <w:rFonts w:hint="default" w:ascii="宋体" w:hAnsi="宋体" w:eastAsia="宋体" w:cs="宋体"/>
          <w:color w:val="auto"/>
          <w:spacing w:val="20"/>
          <w:szCs w:val="21"/>
          <w:highlight w:val="none"/>
          <w:lang w:val="en-US" w:eastAsia="zh-CN"/>
        </w:rPr>
      </w:pPr>
    </w:p>
    <w:p>
      <w:pPr>
        <w:adjustRightInd w:val="0"/>
        <w:snapToGrid w:val="0"/>
        <w:spacing w:line="400" w:lineRule="exact"/>
        <w:rPr>
          <w:rFonts w:hint="eastAsia" w:ascii="宋体" w:hAnsi="宋体" w:cs="宋体"/>
          <w:color w:val="auto"/>
          <w:spacing w:val="20"/>
          <w:szCs w:val="21"/>
          <w:highlight w:val="none"/>
        </w:rPr>
      </w:pPr>
    </w:p>
    <w:p>
      <w:pPr>
        <w:spacing w:line="400" w:lineRule="exact"/>
        <w:ind w:firstLine="3300" w:firstLineChars="1500"/>
        <w:rPr>
          <w:rFonts w:hint="eastAsia" w:ascii="宋体" w:hAnsi="宋体" w:cs="宋体"/>
          <w:color w:val="auto"/>
          <w:sz w:val="22"/>
          <w:szCs w:val="22"/>
          <w:highlight w:val="none"/>
        </w:rPr>
      </w:pPr>
      <w:r>
        <w:rPr>
          <w:rFonts w:hint="eastAsia" w:ascii="宋体" w:hAnsi="宋体" w:cs="宋体"/>
          <w:color w:val="auto"/>
          <w:sz w:val="22"/>
          <w:szCs w:val="22"/>
          <w:highlight w:val="none"/>
        </w:rPr>
        <w:t>供应商盖章：</w:t>
      </w:r>
      <w:r>
        <w:rPr>
          <w:rFonts w:hint="eastAsia" w:ascii="宋体" w:hAnsi="宋体" w:cs="宋体"/>
          <w:color w:val="auto"/>
          <w:sz w:val="22"/>
          <w:szCs w:val="22"/>
          <w:highlight w:val="none"/>
          <w:u w:val="single"/>
        </w:rPr>
        <w:t xml:space="preserve">    （公章） </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　</w:t>
      </w:r>
    </w:p>
    <w:p>
      <w:pPr>
        <w:snapToGrid w:val="0"/>
        <w:spacing w:line="400" w:lineRule="exact"/>
        <w:ind w:firstLine="3300" w:firstLineChars="1500"/>
        <w:rPr>
          <w:rFonts w:hint="eastAsia" w:ascii="宋体" w:hAnsi="宋体" w:cs="宋体"/>
          <w:color w:val="auto"/>
          <w:sz w:val="22"/>
          <w:szCs w:val="22"/>
          <w:highlight w:val="none"/>
        </w:rPr>
      </w:pPr>
    </w:p>
    <w:p>
      <w:pPr>
        <w:spacing w:line="400" w:lineRule="exact"/>
        <w:ind w:firstLine="3520" w:firstLineChars="1600"/>
        <w:rPr>
          <w:rFonts w:hint="eastAsia" w:ascii="宋体" w:hAnsi="宋体" w:cs="宋体"/>
          <w:color w:val="auto"/>
          <w:sz w:val="22"/>
          <w:szCs w:val="22"/>
          <w:highlight w:val="none"/>
          <w:lang w:bidi="ar"/>
        </w:rPr>
        <w:sectPr>
          <w:headerReference r:id="rId10" w:type="default"/>
          <w:footerReference r:id="rId11" w:type="default"/>
          <w:pgSz w:w="11907" w:h="16840"/>
          <w:pgMar w:top="1134" w:right="1417" w:bottom="1134" w:left="1417" w:header="284" w:footer="990" w:gutter="0"/>
          <w:cols w:space="720" w:num="1"/>
          <w:docGrid w:linePitch="285" w:charSpace="0"/>
        </w:sect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p>
    <w:p>
      <w:pPr>
        <w:pStyle w:val="43"/>
        <w:spacing w:line="360" w:lineRule="auto"/>
        <w:ind w:firstLine="400"/>
        <w:jc w:val="left"/>
        <w:rPr>
          <w:rFonts w:hint="eastAsia" w:ascii="宋体" w:hAnsi="宋体" w:eastAsia="宋体" w:cs="宋体"/>
          <w:color w:val="auto"/>
          <w:kern w:val="0"/>
          <w:sz w:val="20"/>
          <w:highlight w:val="none"/>
        </w:rPr>
      </w:pPr>
    </w:p>
    <w:p>
      <w:pPr>
        <w:rPr>
          <w:rStyle w:val="143"/>
          <w:rFonts w:hint="eastAsia" w:ascii="宋体" w:hAnsi="宋体" w:cs="宋体"/>
          <w:color w:val="auto"/>
          <w:szCs w:val="24"/>
          <w:highlight w:val="none"/>
        </w:rPr>
      </w:pPr>
      <w:r>
        <w:rPr>
          <w:rStyle w:val="143"/>
          <w:rFonts w:hint="eastAsia" w:ascii="宋体" w:hAnsi="宋体" w:cs="宋体"/>
          <w:color w:val="auto"/>
          <w:szCs w:val="24"/>
          <w:highlight w:val="none"/>
        </w:rPr>
        <w:t>附件</w:t>
      </w:r>
    </w:p>
    <w:p>
      <w:pPr>
        <w:jc w:val="center"/>
        <w:rPr>
          <w:rFonts w:hint="eastAsia" w:ascii="宋体" w:hAnsi="宋体" w:cs="宋体"/>
          <w:b/>
          <w:color w:val="auto"/>
          <w:sz w:val="32"/>
          <w:szCs w:val="32"/>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开标一览表</w:t>
      </w:r>
    </w:p>
    <w:p>
      <w:pPr>
        <w:spacing w:line="460" w:lineRule="exact"/>
        <w:rPr>
          <w:rFonts w:hint="eastAsia" w:ascii="宋体" w:hAnsi="宋体" w:cs="宋体"/>
          <w:color w:val="auto"/>
          <w:highlight w:val="none"/>
        </w:rPr>
      </w:pPr>
    </w:p>
    <w:p>
      <w:pPr>
        <w:adjustRightInd w:val="0"/>
        <w:snapToGrid w:val="0"/>
        <w:spacing w:after="120" w:afterLines="50"/>
        <w:rPr>
          <w:rFonts w:hint="eastAsia" w:ascii="宋体" w:hAnsi="宋体" w:cs="宋体"/>
          <w:color w:val="auto"/>
          <w:szCs w:val="21"/>
          <w:highlight w:val="none"/>
          <w:u w:val="single"/>
        </w:rPr>
      </w:pPr>
      <w:r>
        <w:rPr>
          <w:rFonts w:hint="eastAsia" w:ascii="宋体" w:hAnsi="宋体" w:cs="宋体"/>
          <w:color w:val="auto"/>
          <w:kern w:val="0"/>
          <w:szCs w:val="21"/>
          <w:highlight w:val="none"/>
        </w:rPr>
        <w:t>项目名称：</w:t>
      </w:r>
      <w:r>
        <w:rPr>
          <w:rFonts w:hint="eastAsia" w:ascii="宋体" w:hAnsi="宋体" w:cs="宋体"/>
          <w:color w:val="auto"/>
          <w:szCs w:val="21"/>
          <w:highlight w:val="none"/>
          <w:u w:val="single"/>
          <w:lang w:eastAsia="zh-CN"/>
        </w:rPr>
        <w:t>慈溪市横河镇东横河江河道水质提升服务</w:t>
      </w:r>
      <w:r>
        <w:rPr>
          <w:rFonts w:hint="eastAsia" w:ascii="宋体" w:hAnsi="宋体" w:cs="宋体"/>
          <w:color w:val="auto"/>
          <w:szCs w:val="21"/>
          <w:highlight w:val="none"/>
          <w:u w:val="single"/>
        </w:rPr>
        <w:t>采购项目</w:t>
      </w:r>
    </w:p>
    <w:p>
      <w:pPr>
        <w:adjustRightInd w:val="0"/>
        <w:snapToGrid w:val="0"/>
        <w:spacing w:after="120" w:afterLines="50"/>
        <w:rPr>
          <w:rFonts w:hint="eastAsia" w:ascii="宋体" w:hAnsi="宋体" w:cs="宋体"/>
          <w:color w:val="auto"/>
          <w:szCs w:val="21"/>
          <w:highlight w:val="none"/>
        </w:rPr>
      </w:pP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 xml:space="preserve"> </w:t>
      </w:r>
    </w:p>
    <w:p>
      <w:pPr>
        <w:pStyle w:val="43"/>
        <w:ind w:firstLine="0" w:firstLineChars="0"/>
        <w:rPr>
          <w:rFonts w:hint="eastAsia" w:ascii="宋体" w:hAnsi="宋体" w:eastAsia="宋体" w:cs="宋体"/>
          <w:color w:val="auto"/>
          <w:szCs w:val="21"/>
          <w:highlight w:val="none"/>
          <w:u w:val="single"/>
        </w:rPr>
      </w:pP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2"/>
        <w:gridCol w:w="1950"/>
        <w:gridCol w:w="2386"/>
        <w:gridCol w:w="2429"/>
        <w:gridCol w:w="1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422"/>
              <w:rPr>
                <w:rFonts w:hint="default" w:ascii="宋体" w:hAnsi="宋体" w:cs="Times New Roman"/>
                <w:b/>
                <w:color w:val="auto"/>
                <w:szCs w:val="20"/>
                <w:highlight w:val="none"/>
              </w:rPr>
            </w:pPr>
            <w:r>
              <w:rPr>
                <w:rFonts w:hint="eastAsia" w:ascii="宋体" w:hAnsi="宋体" w:cs="Times New Roman"/>
                <w:b/>
                <w:color w:val="auto"/>
                <w:szCs w:val="21"/>
                <w:highlight w:val="none"/>
              </w:rPr>
              <w:t>序号</w:t>
            </w:r>
          </w:p>
        </w:tc>
        <w:tc>
          <w:tcPr>
            <w:tcW w:w="4336" w:type="dxa"/>
            <w:gridSpan w:val="2"/>
            <w:tcBorders>
              <w:top w:val="single" w:color="auto" w:sz="4" w:space="0"/>
              <w:left w:val="single" w:color="auto" w:sz="4" w:space="0"/>
              <w:bottom w:val="single" w:color="auto" w:sz="4" w:space="0"/>
              <w:right w:val="single" w:color="auto" w:sz="4" w:space="0"/>
            </w:tcBorders>
            <w:noWrap w:val="0"/>
            <w:vAlign w:val="center"/>
          </w:tcPr>
          <w:p>
            <w:pPr>
              <w:pStyle w:val="104"/>
              <w:keepNext w:val="0"/>
              <w:keepLines w:val="0"/>
              <w:suppressLineNumbers w:val="0"/>
              <w:spacing w:before="0" w:beforeAutospacing="0" w:after="0" w:afterAutospacing="0"/>
              <w:ind w:left="0" w:leftChars="0" w:right="0" w:rightChars="0" w:firstLine="0" w:firstLineChars="0"/>
              <w:jc w:val="center"/>
              <w:rPr>
                <w:rFonts w:hint="default" w:ascii="宋体" w:hAnsi="宋体" w:eastAsia="宋体" w:cs="Times New Roman"/>
                <w:b/>
                <w:color w:val="auto"/>
                <w:szCs w:val="20"/>
                <w:highlight w:val="none"/>
                <w:lang w:val="en-US" w:eastAsia="zh-CN"/>
              </w:rPr>
            </w:pPr>
            <w:r>
              <w:rPr>
                <w:rFonts w:hint="eastAsia" w:ascii="宋体" w:hAnsi="宋体" w:cs="Times New Roman"/>
                <w:b/>
                <w:color w:val="auto"/>
                <w:szCs w:val="21"/>
                <w:highlight w:val="none"/>
                <w:lang w:val="en-US" w:eastAsia="zh-CN"/>
              </w:rPr>
              <w:t>服务内容</w:t>
            </w:r>
          </w:p>
        </w:tc>
        <w:tc>
          <w:tcPr>
            <w:tcW w:w="2429" w:type="dxa"/>
            <w:tcBorders>
              <w:top w:val="single" w:color="auto" w:sz="4" w:space="0"/>
              <w:left w:val="single" w:color="auto" w:sz="4" w:space="0"/>
              <w:bottom w:val="single" w:color="auto" w:sz="4" w:space="0"/>
              <w:right w:val="single" w:color="auto" w:sz="4" w:space="0"/>
            </w:tcBorders>
            <w:noWrap w:val="0"/>
            <w:vAlign w:val="center"/>
          </w:tcPr>
          <w:p>
            <w:pPr>
              <w:pStyle w:val="104"/>
              <w:keepNext w:val="0"/>
              <w:keepLines w:val="0"/>
              <w:suppressLineNumbers w:val="0"/>
              <w:spacing w:before="0" w:beforeAutospacing="0" w:after="0" w:afterAutospacing="0"/>
              <w:ind w:left="0" w:leftChars="0" w:right="0" w:rightChars="0" w:firstLine="0" w:firstLineChars="0"/>
              <w:jc w:val="center"/>
              <w:rPr>
                <w:rFonts w:hint="default" w:ascii="宋体" w:hAnsi="宋体" w:eastAsia="宋体" w:cs="Times New Roman"/>
                <w:b/>
                <w:color w:val="auto"/>
                <w:kern w:val="2"/>
                <w:sz w:val="21"/>
                <w:szCs w:val="20"/>
                <w:highlight w:val="none"/>
                <w:lang w:val="en-US" w:eastAsia="zh-CN" w:bidi="ar-SA"/>
              </w:rPr>
            </w:pPr>
            <w:r>
              <w:rPr>
                <w:rFonts w:hint="eastAsia" w:ascii="宋体" w:hAnsi="宋体" w:cs="Times New Roman"/>
                <w:b/>
                <w:color w:val="auto"/>
                <w:kern w:val="2"/>
                <w:sz w:val="21"/>
                <w:szCs w:val="20"/>
                <w:highlight w:val="none"/>
                <w:lang w:val="en-US" w:eastAsia="zh-CN" w:bidi="ar-SA"/>
              </w:rPr>
              <w:t>投标报价（3年）</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0"/>
              <w:jc w:val="center"/>
              <w:rPr>
                <w:rFonts w:hint="eastAsia" w:ascii="宋体" w:hAnsi="宋体" w:eastAsia="宋体" w:cs="Times New Roman"/>
                <w:b/>
                <w:color w:val="auto"/>
                <w:szCs w:val="20"/>
                <w:highlight w:val="none"/>
                <w:lang w:eastAsia="zh-CN"/>
              </w:rPr>
            </w:pPr>
            <w:r>
              <w:rPr>
                <w:rFonts w:hint="eastAsia" w:ascii="宋体" w:hAnsi="宋体" w:cs="Times New Roman"/>
                <w:b/>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9"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420"/>
              <w:rPr>
                <w:rFonts w:hint="default" w:ascii="宋体" w:hAnsi="宋体" w:cs="Times New Roman"/>
                <w:color w:val="auto"/>
                <w:szCs w:val="20"/>
                <w:highlight w:val="none"/>
              </w:rPr>
            </w:pPr>
            <w:r>
              <w:rPr>
                <w:rFonts w:hint="eastAsia" w:ascii="宋体" w:hAnsi="宋体" w:cs="Times New Roman"/>
                <w:color w:val="auto"/>
                <w:szCs w:val="21"/>
                <w:highlight w:val="none"/>
              </w:rPr>
              <w:t>1</w:t>
            </w:r>
          </w:p>
        </w:tc>
        <w:tc>
          <w:tcPr>
            <w:tcW w:w="4336" w:type="dxa"/>
            <w:gridSpan w:val="2"/>
            <w:tcBorders>
              <w:top w:val="single" w:color="auto" w:sz="4" w:space="0"/>
              <w:left w:val="single" w:color="auto" w:sz="4" w:space="0"/>
              <w:bottom w:val="single" w:color="auto" w:sz="4" w:space="0"/>
              <w:right w:val="single" w:color="auto" w:sz="4" w:space="0"/>
            </w:tcBorders>
            <w:noWrap w:val="0"/>
            <w:vAlign w:val="center"/>
          </w:tcPr>
          <w:p>
            <w:pPr>
              <w:pStyle w:val="104"/>
              <w:keepNext w:val="0"/>
              <w:keepLines w:val="0"/>
              <w:suppressLineNumbers w:val="0"/>
              <w:spacing w:before="0" w:beforeAutospacing="0" w:after="0" w:afterAutospacing="0"/>
              <w:ind w:left="0" w:leftChars="0" w:right="0" w:rightChars="0" w:firstLine="0" w:firstLineChars="0"/>
              <w:jc w:val="center"/>
              <w:rPr>
                <w:rFonts w:hint="default" w:ascii="宋体" w:hAnsi="宋体" w:eastAsia="宋体" w:cs="Times New Roman"/>
                <w:color w:val="auto"/>
                <w:szCs w:val="20"/>
                <w:highlight w:val="none"/>
                <w:u w:val="single"/>
                <w:lang w:val="en-US" w:eastAsia="zh-CN"/>
              </w:rPr>
            </w:pPr>
            <w:r>
              <w:rPr>
                <w:rFonts w:hint="eastAsia" w:ascii="宋体" w:hAnsi="宋体" w:cs="宋体"/>
                <w:color w:val="auto"/>
                <w:szCs w:val="21"/>
                <w:highlight w:val="none"/>
                <w:u w:val="none"/>
                <w:lang w:eastAsia="zh-CN"/>
              </w:rPr>
              <w:t>慈溪市横河镇东横河江河道水质提升服务</w:t>
            </w:r>
            <w:r>
              <w:rPr>
                <w:rFonts w:hint="eastAsia" w:ascii="宋体" w:hAnsi="宋体" w:cs="宋体"/>
                <w:color w:val="auto"/>
                <w:szCs w:val="21"/>
                <w:highlight w:val="none"/>
                <w:u w:val="none"/>
              </w:rPr>
              <w:t>采购项目</w:t>
            </w:r>
          </w:p>
        </w:tc>
        <w:tc>
          <w:tcPr>
            <w:tcW w:w="2429" w:type="dxa"/>
            <w:tcBorders>
              <w:top w:val="single" w:color="auto" w:sz="4" w:space="0"/>
              <w:left w:val="single" w:color="auto" w:sz="4" w:space="0"/>
              <w:bottom w:val="single" w:color="auto" w:sz="4" w:space="0"/>
              <w:right w:val="single" w:color="auto" w:sz="4" w:space="0"/>
            </w:tcBorders>
            <w:noWrap w:val="0"/>
            <w:vAlign w:val="center"/>
          </w:tcPr>
          <w:p>
            <w:pPr>
              <w:pStyle w:val="104"/>
              <w:keepNext w:val="0"/>
              <w:keepLines w:val="0"/>
              <w:suppressLineNumbers w:val="0"/>
              <w:spacing w:before="0" w:beforeAutospacing="0" w:after="0" w:afterAutospacing="0"/>
              <w:ind w:left="0" w:leftChars="0" w:right="0" w:rightChars="0" w:firstLine="0" w:firstLineChars="0"/>
              <w:jc w:val="center"/>
              <w:rPr>
                <w:rFonts w:hint="default" w:ascii="宋体" w:hAnsi="宋体" w:cs="Times New Roman"/>
                <w:color w:val="auto"/>
                <w:kern w:val="2"/>
                <w:sz w:val="21"/>
                <w:szCs w:val="20"/>
                <w:highlight w:val="none"/>
                <w:u w:val="single"/>
                <w:lang w:val="en-US" w:eastAsia="zh-CN" w:bidi="ar-SA"/>
              </w:rPr>
            </w:pP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元</w:t>
            </w:r>
          </w:p>
        </w:tc>
        <w:tc>
          <w:tcPr>
            <w:tcW w:w="1302"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211" w:firstLineChars="100"/>
              <w:jc w:val="both"/>
              <w:rPr>
                <w:rFonts w:hint="default" w:ascii="宋体" w:hAnsi="宋体" w:eastAsia="宋体" w:cs="Times New Roman"/>
                <w:b/>
                <w:color w:val="auto"/>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3" w:hRule="atLeast"/>
          <w:jc w:val="center"/>
        </w:trPr>
        <w:tc>
          <w:tcPr>
            <w:tcW w:w="30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40" w:lineRule="exact"/>
              <w:ind w:left="0" w:right="0" w:firstLine="420"/>
              <w:jc w:val="center"/>
              <w:rPr>
                <w:rFonts w:hint="default" w:ascii="宋体" w:hAnsi="宋体" w:cs="Times New Roman"/>
                <w:color w:val="auto"/>
                <w:szCs w:val="20"/>
                <w:highlight w:val="none"/>
              </w:rPr>
            </w:pPr>
            <w:r>
              <w:rPr>
                <w:rFonts w:hint="eastAsia" w:ascii="宋体" w:hAnsi="宋体" w:cs="Times New Roman"/>
                <w:color w:val="auto"/>
                <w:szCs w:val="21"/>
                <w:highlight w:val="none"/>
              </w:rPr>
              <w:t>投标总价</w:t>
            </w:r>
          </w:p>
        </w:tc>
        <w:tc>
          <w:tcPr>
            <w:tcW w:w="61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40" w:lineRule="exact"/>
              <w:ind w:left="0" w:right="0" w:firstLine="420"/>
              <w:rPr>
                <w:rFonts w:hint="default" w:ascii="宋体" w:hAnsi="宋体" w:cs="Times New Roman"/>
                <w:color w:val="auto"/>
                <w:szCs w:val="20"/>
                <w:highlight w:val="none"/>
              </w:rPr>
            </w:pPr>
            <w:r>
              <w:rPr>
                <w:rFonts w:hint="eastAsia" w:ascii="宋体" w:hAnsi="宋体" w:cs="Times New Roman"/>
                <w:color w:val="auto"/>
                <w:szCs w:val="21"/>
                <w:highlight w:val="none"/>
              </w:rPr>
              <w:t>小写：</w:t>
            </w:r>
          </w:p>
          <w:p>
            <w:pPr>
              <w:keepNext w:val="0"/>
              <w:keepLines w:val="0"/>
              <w:suppressLineNumbers w:val="0"/>
              <w:snapToGrid w:val="0"/>
              <w:spacing w:before="50" w:beforeAutospacing="0" w:after="50" w:afterAutospacing="0" w:line="440" w:lineRule="exact"/>
              <w:ind w:left="0" w:right="0" w:firstLine="420"/>
              <w:rPr>
                <w:rFonts w:hint="default" w:ascii="宋体" w:hAnsi="宋体" w:cs="Times New Roman"/>
                <w:color w:val="auto"/>
                <w:szCs w:val="20"/>
                <w:highlight w:val="none"/>
              </w:rPr>
            </w:pPr>
            <w:r>
              <w:rPr>
                <w:rFonts w:hint="eastAsia" w:ascii="宋体" w:hAnsi="宋体" w:cs="Times New Roman"/>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04"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rPr>
                <w:rFonts w:hint="default" w:ascii="宋体" w:hAnsi="宋体" w:cs="Times New Roman"/>
                <w:color w:val="auto"/>
                <w:szCs w:val="20"/>
                <w:highlight w:val="none"/>
              </w:rPr>
            </w:pPr>
            <w:r>
              <w:rPr>
                <w:rFonts w:hint="eastAsia" w:ascii="宋体" w:hAnsi="宋体" w:cs="Times New Roman"/>
                <w:color w:val="auto"/>
                <w:szCs w:val="21"/>
                <w:highlight w:val="none"/>
              </w:rPr>
              <w:t>报价声明</w:t>
            </w:r>
          </w:p>
        </w:tc>
        <w:tc>
          <w:tcPr>
            <w:tcW w:w="806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numPr>
                <w:ilvl w:val="0"/>
                <w:numId w:val="11"/>
              </w:numPr>
              <w:suppressLineNumbers w:val="0"/>
              <w:spacing w:before="0" w:beforeAutospacing="0" w:after="0" w:afterAutospacing="0" w:line="400" w:lineRule="exact"/>
              <w:ind w:left="0" w:right="0" w:firstLine="422" w:firstLineChars="200"/>
              <w:jc w:val="left"/>
              <w:rPr>
                <w:rFonts w:hint="eastAsia" w:ascii="宋体" w:hAnsi="宋体" w:cs="仿宋"/>
                <w:b/>
                <w:bCs/>
                <w:color w:val="auto"/>
                <w:szCs w:val="21"/>
                <w:highlight w:val="none"/>
                <w:lang w:val="zh-CN"/>
              </w:rPr>
            </w:pPr>
            <w:r>
              <w:rPr>
                <w:rFonts w:hint="eastAsia" w:ascii="宋体" w:hAnsi="宋体" w:cs="仿宋"/>
                <w:b/>
                <w:bCs/>
                <w:color w:val="auto"/>
                <w:szCs w:val="21"/>
                <w:highlight w:val="none"/>
              </w:rPr>
              <w:t>本次采购代理服务费由中标人支付。</w:t>
            </w:r>
          </w:p>
          <w:p>
            <w:pPr>
              <w:keepNext w:val="0"/>
              <w:keepLines w:val="0"/>
              <w:numPr>
                <w:ilvl w:val="0"/>
                <w:numId w:val="11"/>
              </w:numPr>
              <w:suppressLineNumbers w:val="0"/>
              <w:spacing w:before="0" w:beforeAutospacing="0" w:after="0" w:afterAutospacing="0" w:line="400" w:lineRule="exact"/>
              <w:ind w:left="0" w:right="0" w:firstLine="422" w:firstLineChars="200"/>
              <w:jc w:val="left"/>
              <w:rPr>
                <w:rFonts w:hint="default" w:ascii="宋体" w:hAnsi="宋体" w:cs="Times New Roman"/>
                <w:color w:val="auto"/>
                <w:szCs w:val="20"/>
                <w:highlight w:val="none"/>
              </w:rPr>
            </w:pPr>
            <w:r>
              <w:rPr>
                <w:rFonts w:hint="eastAsia" w:ascii="宋体" w:hAnsi="宋体" w:cs="仿宋"/>
                <w:b/>
                <w:bCs/>
                <w:color w:val="auto"/>
                <w:szCs w:val="21"/>
                <w:highlight w:val="none"/>
                <w:lang w:val="en-US" w:eastAsia="zh-CN"/>
              </w:rPr>
              <w:t>投标报价</w:t>
            </w:r>
            <w:r>
              <w:rPr>
                <w:rFonts w:hint="eastAsia" w:ascii="宋体" w:hAnsi="宋体" w:cs="仿宋"/>
                <w:b/>
                <w:bCs/>
                <w:color w:val="auto"/>
                <w:szCs w:val="21"/>
                <w:highlight w:val="none"/>
                <w:lang w:val="zh-CN" w:eastAsia="zh-CN"/>
              </w:rPr>
              <w:t>包含设备及安装运输调试费、设备运行电费、药剂费、人工费、水质检测费、设备维修费、污泥处理及处置费用（要符合相关环保要求）、培训、劳保、专利技术等使出水达到排放标准所可能发生的全部费用以及投标人企业利润、税金和政策性文件规定及合同包含的所有风险、责任等各项相关费用</w:t>
            </w:r>
            <w:r>
              <w:rPr>
                <w:rFonts w:hint="eastAsia" w:ascii="宋体" w:hAnsi="宋体" w:cs="仿宋"/>
                <w:b/>
                <w:bCs/>
                <w:color w:val="auto"/>
                <w:szCs w:val="21"/>
                <w:highlight w:val="none"/>
                <w:lang w:val="zh-CN"/>
              </w:rPr>
              <w:t>，</w:t>
            </w:r>
            <w:r>
              <w:rPr>
                <w:rFonts w:hint="eastAsia" w:ascii="宋体" w:hAnsi="宋体" w:cs="仿宋"/>
                <w:b/>
                <w:bCs/>
                <w:color w:val="auto"/>
                <w:szCs w:val="21"/>
                <w:highlight w:val="none"/>
                <w:lang w:val="zh-CN" w:eastAsia="zh-CN"/>
              </w:rPr>
              <w:t>不含水利拦截设施、设备土建基础</w:t>
            </w:r>
            <w:r>
              <w:rPr>
                <w:rFonts w:hint="eastAsia" w:ascii="宋体" w:hAnsi="宋体" w:cs="仿宋"/>
                <w:b/>
                <w:bCs/>
                <w:color w:val="auto"/>
                <w:szCs w:val="21"/>
                <w:highlight w:val="none"/>
                <w:lang w:val="en-US" w:eastAsia="zh-CN"/>
              </w:rPr>
              <w:t>及围栏</w:t>
            </w:r>
            <w:r>
              <w:rPr>
                <w:rFonts w:hint="eastAsia" w:ascii="宋体" w:hAnsi="宋体" w:cs="仿宋"/>
                <w:b/>
                <w:bCs/>
                <w:color w:val="auto"/>
                <w:szCs w:val="21"/>
                <w:highlight w:val="none"/>
                <w:lang w:val="zh-CN" w:eastAsia="zh-CN"/>
              </w:rPr>
              <w:t>建设、变压器、绿化、土地征用</w:t>
            </w:r>
            <w:r>
              <w:rPr>
                <w:rFonts w:hint="eastAsia" w:ascii="宋体" w:hAnsi="宋体" w:cs="仿宋"/>
                <w:b/>
                <w:bCs/>
                <w:color w:val="auto"/>
                <w:szCs w:val="21"/>
                <w:highlight w:val="none"/>
                <w:lang w:val="en-US" w:eastAsia="zh-CN"/>
              </w:rPr>
              <w:t>及第三方水质检测费</w:t>
            </w:r>
            <w:r>
              <w:rPr>
                <w:rFonts w:hint="eastAsia" w:ascii="宋体" w:hAnsi="宋体" w:cs="仿宋"/>
                <w:b/>
                <w:bCs/>
                <w:color w:val="auto"/>
                <w:szCs w:val="21"/>
                <w:highlight w:val="none"/>
                <w:lang w:val="zh-CN"/>
              </w:rPr>
              <w:t>。</w:t>
            </w:r>
          </w:p>
        </w:tc>
      </w:tr>
    </w:tbl>
    <w:p>
      <w:pPr>
        <w:spacing w:line="540" w:lineRule="exact"/>
        <w:ind w:left="539" w:firstLine="420"/>
        <w:rPr>
          <w:rFonts w:hint="eastAsia" w:ascii="宋体" w:hAnsi="宋体" w:cs="宋体"/>
          <w:color w:val="auto"/>
          <w:szCs w:val="21"/>
          <w:highlight w:val="none"/>
        </w:rPr>
      </w:pPr>
      <w:r>
        <w:rPr>
          <w:rFonts w:hint="eastAsia" w:ascii="宋体" w:hAnsi="宋体" w:cs="宋体"/>
          <w:color w:val="auto"/>
          <w:szCs w:val="21"/>
          <w:highlight w:val="none"/>
        </w:rPr>
        <w:t>备注： 公开招标实行一次性报价，投标价即为最终有效价。</w:t>
      </w:r>
    </w:p>
    <w:p>
      <w:pPr>
        <w:ind w:firstLine="422"/>
        <w:rPr>
          <w:rFonts w:hint="eastAsia" w:ascii="宋体" w:hAnsi="宋体" w:cs="宋体"/>
          <w:b/>
          <w:bCs/>
          <w:color w:val="auto"/>
          <w:szCs w:val="21"/>
          <w:highlight w:val="none"/>
        </w:rPr>
      </w:pPr>
    </w:p>
    <w:p>
      <w:pPr>
        <w:spacing w:line="400" w:lineRule="exact"/>
        <w:ind w:firstLine="3570" w:firstLineChars="1700"/>
        <w:rPr>
          <w:rFonts w:hint="eastAsia" w:ascii="宋体" w:hAnsi="宋体" w:cs="宋体"/>
          <w:color w:val="auto"/>
          <w:szCs w:val="21"/>
          <w:highlight w:val="none"/>
        </w:rPr>
      </w:pPr>
    </w:p>
    <w:p>
      <w:pPr>
        <w:spacing w:line="360" w:lineRule="auto"/>
        <w:ind w:left="170" w:firstLine="1680" w:firstLineChars="800"/>
        <w:rPr>
          <w:rFonts w:hint="eastAsia" w:ascii="宋体" w:hAnsi="宋体" w:cs="宋体"/>
          <w:color w:val="auto"/>
          <w:szCs w:val="21"/>
          <w:highlight w:val="none"/>
        </w:rPr>
      </w:pPr>
      <w:r>
        <w:rPr>
          <w:rFonts w:hint="eastAsia" w:ascii="宋体" w:hAnsi="宋体" w:cs="宋体"/>
          <w:color w:val="auto"/>
          <w:szCs w:val="21"/>
          <w:highlight w:val="none"/>
        </w:rPr>
        <w:t xml:space="preserve">                 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（公章）</w:t>
      </w:r>
    </w:p>
    <w:p>
      <w:pPr>
        <w:spacing w:line="360" w:lineRule="auto"/>
        <w:rPr>
          <w:rFonts w:hint="eastAsia" w:ascii="宋体" w:hAnsi="宋体" w:cs="宋体"/>
          <w:color w:val="auto"/>
          <w:szCs w:val="21"/>
          <w:highlight w:val="none"/>
        </w:rPr>
        <w:sectPr>
          <w:pgSz w:w="11906" w:h="16838"/>
          <w:pgMar w:top="1361" w:right="1247" w:bottom="1361" w:left="1361" w:header="851" w:footer="992" w:gutter="0"/>
          <w:cols w:space="720" w:num="1"/>
          <w:titlePg/>
          <w:docGrid w:linePitch="391" w:charSpace="0"/>
        </w:sectPr>
      </w:pPr>
      <w:r>
        <w:rPr>
          <w:rFonts w:hint="eastAsia" w:ascii="宋体" w:hAnsi="宋体" w:cs="宋体"/>
          <w:color w:val="auto"/>
          <w:szCs w:val="21"/>
          <w:highlight w:val="none"/>
        </w:rPr>
        <w:t xml:space="preserve">                                   投标日期：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rPr>
          <w:rStyle w:val="143"/>
          <w:rFonts w:hint="eastAsia" w:ascii="宋体" w:hAnsi="宋体" w:cs="宋体"/>
          <w:color w:val="auto"/>
          <w:szCs w:val="24"/>
          <w:highlight w:val="none"/>
        </w:rPr>
      </w:pPr>
      <w:r>
        <w:rPr>
          <w:rStyle w:val="143"/>
          <w:rFonts w:hint="eastAsia" w:ascii="宋体" w:hAnsi="宋体" w:cs="宋体"/>
          <w:color w:val="auto"/>
          <w:szCs w:val="24"/>
          <w:highlight w:val="none"/>
        </w:rPr>
        <w:t>附件</w:t>
      </w:r>
    </w:p>
    <w:p>
      <w:pPr>
        <w:pStyle w:val="43"/>
        <w:ind w:firstLine="480"/>
        <w:rPr>
          <w:rFonts w:hint="eastAsia"/>
          <w:color w:val="auto"/>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报价明细表</w:t>
      </w:r>
    </w:p>
    <w:p>
      <w:pPr>
        <w:pStyle w:val="43"/>
        <w:ind w:firstLine="480"/>
        <w:rPr>
          <w:rFonts w:hint="eastAsia"/>
          <w:color w:val="auto"/>
          <w:highlight w:val="none"/>
        </w:rPr>
      </w:pPr>
    </w:p>
    <w:p>
      <w:pPr>
        <w:adjustRightInd w:val="0"/>
        <w:snapToGrid w:val="0"/>
        <w:spacing w:after="120" w:afterLines="50" w:line="380" w:lineRule="exact"/>
        <w:rPr>
          <w:rFonts w:hint="eastAsia" w:ascii="宋体" w:hAnsi="宋体" w:cs="宋体"/>
          <w:color w:val="auto"/>
          <w:szCs w:val="21"/>
          <w:highlight w:val="none"/>
          <w:u w:val="single"/>
        </w:rPr>
      </w:pPr>
      <w:r>
        <w:rPr>
          <w:rFonts w:hint="eastAsia" w:ascii="宋体" w:hAnsi="宋体" w:cs="宋体"/>
          <w:color w:val="auto"/>
          <w:kern w:val="0"/>
          <w:szCs w:val="21"/>
          <w:highlight w:val="none"/>
        </w:rPr>
        <w:t>项目名称：</w:t>
      </w:r>
      <w:r>
        <w:rPr>
          <w:rFonts w:hint="eastAsia" w:ascii="宋体" w:hAnsi="宋体" w:cs="宋体"/>
          <w:color w:val="auto"/>
          <w:szCs w:val="21"/>
          <w:highlight w:val="none"/>
          <w:u w:val="single"/>
          <w:lang w:eastAsia="zh-CN"/>
        </w:rPr>
        <w:t>慈溪市横河镇东横河江河道水质提升服务</w:t>
      </w:r>
      <w:r>
        <w:rPr>
          <w:rFonts w:hint="eastAsia" w:ascii="宋体" w:hAnsi="宋体" w:cs="宋体"/>
          <w:color w:val="auto"/>
          <w:szCs w:val="21"/>
          <w:highlight w:val="none"/>
          <w:u w:val="single"/>
        </w:rPr>
        <w:t>采购项目</w:t>
      </w:r>
    </w:p>
    <w:p>
      <w:pPr>
        <w:adjustRightInd w:val="0"/>
        <w:snapToGrid w:val="0"/>
        <w:spacing w:after="120" w:afterLines="50" w:line="380" w:lineRule="exact"/>
        <w:rPr>
          <w:rFonts w:hint="eastAsia" w:ascii="宋体" w:hAnsi="宋体" w:cs="宋体"/>
          <w:color w:val="auto"/>
          <w:szCs w:val="21"/>
          <w:highlight w:val="none"/>
          <w:u w:val="single"/>
        </w:rPr>
      </w:pP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 xml:space="preserve"> </w:t>
      </w:r>
    </w:p>
    <w:p>
      <w:pPr>
        <w:adjustRightInd w:val="0"/>
        <w:snapToGrid w:val="0"/>
        <w:ind w:firstLine="500"/>
        <w:jc w:val="center"/>
        <w:rPr>
          <w:rFonts w:hint="eastAsia" w:ascii="宋体" w:hAnsi="宋体" w:cs="宋体"/>
          <w:color w:val="auto"/>
          <w:spacing w:val="20"/>
          <w:szCs w:val="21"/>
          <w:highlight w:val="none"/>
        </w:rPr>
      </w:pPr>
    </w:p>
    <w:p>
      <w:pPr>
        <w:adjustRightInd w:val="0"/>
        <w:snapToGrid w:val="0"/>
        <w:ind w:firstLine="500"/>
        <w:jc w:val="left"/>
        <w:rPr>
          <w:rFonts w:hint="eastAsia" w:ascii="宋体" w:hAnsi="宋体" w:cs="宋体"/>
          <w:color w:val="auto"/>
          <w:spacing w:val="20"/>
          <w:szCs w:val="21"/>
          <w:highlight w:val="none"/>
        </w:rPr>
      </w:pPr>
      <w:r>
        <w:rPr>
          <w:rFonts w:hint="eastAsia" w:ascii="宋体" w:hAnsi="宋体" w:cs="宋体"/>
          <w:color w:val="auto"/>
          <w:spacing w:val="20"/>
          <w:szCs w:val="21"/>
          <w:highlight w:val="none"/>
          <w:lang w:val="en-US" w:eastAsia="zh-CN"/>
        </w:rPr>
        <w:t>格式自拟，若报价明细有缺陷、漏项均视为已包含在投标总价中。</w:t>
      </w:r>
      <w:r>
        <w:rPr>
          <w:rFonts w:hint="eastAsia" w:ascii="宋体" w:hAnsi="宋体" w:cs="宋体"/>
          <w:color w:val="auto"/>
          <w:spacing w:val="20"/>
          <w:szCs w:val="21"/>
          <w:highlight w:val="none"/>
        </w:rPr>
        <w:t xml:space="preserve">   </w:t>
      </w:r>
    </w:p>
    <w:p>
      <w:pPr>
        <w:spacing w:line="360" w:lineRule="auto"/>
        <w:ind w:left="170" w:firstLine="1680" w:firstLineChars="800"/>
        <w:rPr>
          <w:rFonts w:hint="eastAsia" w:ascii="宋体" w:hAnsi="宋体" w:cs="宋体"/>
          <w:color w:val="auto"/>
          <w:szCs w:val="21"/>
          <w:highlight w:val="none"/>
        </w:rPr>
      </w:pPr>
    </w:p>
    <w:p>
      <w:pPr>
        <w:pStyle w:val="23"/>
        <w:rPr>
          <w:rFonts w:hint="eastAsia"/>
          <w:color w:val="auto"/>
          <w:highlight w:val="none"/>
        </w:rPr>
      </w:pPr>
    </w:p>
    <w:p>
      <w:pPr>
        <w:spacing w:line="360" w:lineRule="auto"/>
        <w:ind w:left="170" w:firstLine="4200" w:firstLineChars="2000"/>
        <w:rPr>
          <w:rFonts w:hint="eastAsia" w:ascii="宋体" w:hAnsi="宋体" w:cs="宋体"/>
          <w:color w:val="auto"/>
          <w:szCs w:val="21"/>
          <w:highlight w:val="none"/>
        </w:rPr>
      </w:pPr>
      <w:r>
        <w:rPr>
          <w:rFonts w:hint="eastAsia" w:ascii="宋体" w:hAnsi="宋体" w:cs="宋体"/>
          <w:color w:val="auto"/>
          <w:szCs w:val="21"/>
          <w:highlight w:val="none"/>
        </w:rPr>
        <w:t xml:space="preserve"> 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（公章）</w:t>
      </w:r>
    </w:p>
    <w:p>
      <w:pPr>
        <w:spacing w:line="360" w:lineRule="auto"/>
        <w:rPr>
          <w:rFonts w:hint="eastAsia" w:ascii="宋体" w:hAnsi="宋体" w:cs="宋体"/>
          <w:color w:val="auto"/>
          <w:szCs w:val="21"/>
          <w:highlight w:val="none"/>
        </w:rPr>
        <w:sectPr>
          <w:pgSz w:w="11906" w:h="16838"/>
          <w:pgMar w:top="1361" w:right="1247" w:bottom="1361" w:left="1361" w:header="851" w:footer="992" w:gutter="0"/>
          <w:cols w:space="720" w:num="1"/>
          <w:titlePg/>
          <w:docGrid w:linePitch="391" w:charSpace="0"/>
        </w:sectPr>
      </w:pPr>
      <w:r>
        <w:rPr>
          <w:rFonts w:hint="eastAsia" w:ascii="宋体" w:hAnsi="宋体" w:cs="宋体"/>
          <w:color w:val="auto"/>
          <w:szCs w:val="21"/>
          <w:highlight w:val="none"/>
        </w:rPr>
        <w:t xml:space="preserve">                                           投标日期：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400" w:lineRule="exact"/>
        <w:jc w:val="left"/>
        <w:rPr>
          <w:rStyle w:val="143"/>
          <w:rFonts w:hint="eastAsia" w:ascii="宋体" w:hAnsi="宋体" w:cs="宋体"/>
          <w:color w:val="auto"/>
          <w:sz w:val="30"/>
          <w:szCs w:val="30"/>
          <w:highlight w:val="none"/>
        </w:rPr>
      </w:pPr>
    </w:p>
    <w:p>
      <w:pPr>
        <w:spacing w:line="400" w:lineRule="exact"/>
        <w:jc w:val="left"/>
        <w:rPr>
          <w:rStyle w:val="143"/>
          <w:rFonts w:hint="eastAsia" w:ascii="宋体" w:hAnsi="宋体" w:cs="宋体"/>
          <w:color w:val="auto"/>
          <w:szCs w:val="24"/>
          <w:highlight w:val="none"/>
        </w:rPr>
      </w:pPr>
      <w:r>
        <w:rPr>
          <w:rStyle w:val="143"/>
          <w:rFonts w:hint="eastAsia" w:ascii="宋体" w:hAnsi="宋体" w:cs="宋体"/>
          <w:color w:val="auto"/>
          <w:szCs w:val="24"/>
          <w:highlight w:val="none"/>
        </w:rPr>
        <w:t>附件</w:t>
      </w:r>
    </w:p>
    <w:p>
      <w:pPr>
        <w:jc w:val="center"/>
        <w:rPr>
          <w:rStyle w:val="143"/>
          <w:rFonts w:hint="eastAsia" w:ascii="宋体" w:hAnsi="宋体" w:cs="宋体"/>
          <w:color w:val="auto"/>
          <w:sz w:val="32"/>
          <w:szCs w:val="32"/>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中小企业声明函</w:t>
      </w:r>
    </w:p>
    <w:p>
      <w:pPr>
        <w:jc w:val="center"/>
        <w:rPr>
          <w:rFonts w:ascii="宋体" w:hAnsi="宋体" w:cs="宋体"/>
          <w:b/>
          <w:bCs/>
          <w:color w:val="auto"/>
          <w:sz w:val="32"/>
          <w:szCs w:val="32"/>
          <w:highlight w:val="none"/>
        </w:rPr>
      </w:pPr>
    </w:p>
    <w:p>
      <w:pPr>
        <w:jc w:val="center"/>
        <w:rPr>
          <w:rFonts w:ascii="宋体" w:hAnsi="宋体" w:cs="宋体"/>
          <w:b/>
          <w:bCs/>
          <w:color w:val="auto"/>
          <w:sz w:val="32"/>
          <w:szCs w:val="32"/>
          <w:highlight w:val="none"/>
        </w:rPr>
      </w:pPr>
    </w:p>
    <w:p>
      <w:pPr>
        <w:pStyle w:val="2"/>
        <w:spacing w:line="400" w:lineRule="exact"/>
        <w:ind w:firstLine="420" w:firstLineChars="200"/>
        <w:jc w:val="left"/>
        <w:rPr>
          <w:rFonts w:hint="eastAsia" w:cs="宋体"/>
          <w:i w:val="0"/>
          <w:iCs/>
          <w:color w:val="auto"/>
          <w:sz w:val="21"/>
          <w:szCs w:val="21"/>
          <w:highlight w:val="none"/>
        </w:rPr>
      </w:pPr>
      <w:r>
        <w:rPr>
          <w:rFonts w:hint="eastAsia" w:cs="宋体"/>
          <w:i w:val="0"/>
          <w:iCs/>
          <w:color w:val="auto"/>
          <w:sz w:val="21"/>
          <w:szCs w:val="21"/>
          <w:highlight w:val="none"/>
        </w:rPr>
        <w:t>本公司（联合体）郑重声明，根据《政府采购促进中小企业发展管理办法》（财库﹝2020﹞46 号）的规定，本公司（联合体）参加</w:t>
      </w:r>
      <w:r>
        <w:rPr>
          <w:rFonts w:hint="eastAsia" w:cs="宋体"/>
          <w:i w:val="0"/>
          <w:iCs/>
          <w:color w:val="auto"/>
          <w:sz w:val="21"/>
          <w:szCs w:val="21"/>
          <w:highlight w:val="none"/>
          <w:u w:val="single"/>
        </w:rPr>
        <w:t>（单位名称）</w:t>
      </w:r>
      <w:r>
        <w:rPr>
          <w:rFonts w:hint="eastAsia" w:cs="宋体"/>
          <w:i w:val="0"/>
          <w:iCs/>
          <w:color w:val="auto"/>
          <w:sz w:val="21"/>
          <w:szCs w:val="21"/>
          <w:highlight w:val="none"/>
        </w:rPr>
        <w:t>的</w:t>
      </w:r>
      <w:r>
        <w:rPr>
          <w:rFonts w:hint="eastAsia" w:cs="宋体"/>
          <w:i w:val="0"/>
          <w:iCs/>
          <w:color w:val="auto"/>
          <w:sz w:val="21"/>
          <w:szCs w:val="21"/>
          <w:highlight w:val="none"/>
          <w:u w:val="single"/>
        </w:rPr>
        <w:t>（项目名称）</w:t>
      </w:r>
      <w:r>
        <w:rPr>
          <w:rFonts w:hint="eastAsia" w:cs="宋体"/>
          <w:i w:val="0"/>
          <w:iCs/>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line="400" w:lineRule="exact"/>
        <w:ind w:firstLine="420" w:firstLineChars="200"/>
        <w:rPr>
          <w:rFonts w:hint="eastAsia" w:cs="宋体"/>
          <w:i w:val="0"/>
          <w:iCs/>
          <w:color w:val="auto"/>
          <w:sz w:val="21"/>
          <w:szCs w:val="21"/>
          <w:highlight w:val="none"/>
        </w:rPr>
      </w:pPr>
      <w:r>
        <w:rPr>
          <w:rFonts w:hint="eastAsia" w:cs="宋体"/>
          <w:i w:val="0"/>
          <w:iCs/>
          <w:color w:val="auto"/>
          <w:sz w:val="21"/>
          <w:szCs w:val="21"/>
          <w:highlight w:val="none"/>
        </w:rPr>
        <w:t>1.</w:t>
      </w:r>
      <w:r>
        <w:rPr>
          <w:rFonts w:hint="eastAsia" w:cs="宋体"/>
          <w:i w:val="0"/>
          <w:iCs/>
          <w:color w:val="auto"/>
          <w:sz w:val="21"/>
          <w:szCs w:val="21"/>
          <w:highlight w:val="none"/>
          <w:u w:val="single"/>
        </w:rPr>
        <w:t>（标的名称）</w:t>
      </w:r>
      <w:r>
        <w:rPr>
          <w:rFonts w:hint="eastAsia" w:cs="宋体"/>
          <w:i w:val="0"/>
          <w:iCs/>
          <w:color w:val="auto"/>
          <w:sz w:val="21"/>
          <w:szCs w:val="21"/>
          <w:highlight w:val="none"/>
        </w:rPr>
        <w:t>，属于</w:t>
      </w:r>
      <w:r>
        <w:rPr>
          <w:rFonts w:hint="eastAsia" w:cs="宋体"/>
          <w:i w:val="0"/>
          <w:iCs/>
          <w:color w:val="auto"/>
          <w:sz w:val="21"/>
          <w:szCs w:val="21"/>
          <w:highlight w:val="none"/>
          <w:u w:val="single"/>
        </w:rPr>
        <w:t>（采购文件中明确的所属行业）</w:t>
      </w:r>
      <w:r>
        <w:rPr>
          <w:rFonts w:hint="eastAsia" w:cs="宋体"/>
          <w:i w:val="0"/>
          <w:iCs/>
          <w:color w:val="auto"/>
          <w:sz w:val="21"/>
          <w:szCs w:val="21"/>
          <w:highlight w:val="none"/>
        </w:rPr>
        <w:t>；承建（承接）企业为</w:t>
      </w:r>
      <w:r>
        <w:rPr>
          <w:rFonts w:hint="eastAsia" w:cs="宋体"/>
          <w:i w:val="0"/>
          <w:iCs/>
          <w:color w:val="auto"/>
          <w:sz w:val="21"/>
          <w:szCs w:val="21"/>
          <w:highlight w:val="none"/>
          <w:u w:val="single"/>
        </w:rPr>
        <w:t>（企业名称）</w:t>
      </w:r>
      <w:r>
        <w:rPr>
          <w:rFonts w:hint="eastAsia" w:cs="宋体"/>
          <w:i w:val="0"/>
          <w:iCs/>
          <w:color w:val="auto"/>
          <w:sz w:val="21"/>
          <w:szCs w:val="21"/>
          <w:highlight w:val="none"/>
        </w:rPr>
        <w:t>，从业人员</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rPr>
        <w:t>人，营业收入为</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rPr>
        <w:t>万元，资产总额为</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rPr>
        <w:t>万元</w:t>
      </w:r>
      <w:r>
        <w:rPr>
          <w:rFonts w:hint="eastAsia" w:cs="宋体"/>
          <w:i w:val="0"/>
          <w:iCs/>
          <w:color w:val="auto"/>
          <w:sz w:val="21"/>
          <w:szCs w:val="21"/>
          <w:highlight w:val="none"/>
          <w:vertAlign w:val="superscript"/>
        </w:rPr>
        <w:t>1</w:t>
      </w:r>
      <w:r>
        <w:rPr>
          <w:rFonts w:hint="eastAsia" w:cs="宋体"/>
          <w:i w:val="0"/>
          <w:iCs/>
          <w:color w:val="auto"/>
          <w:sz w:val="21"/>
          <w:szCs w:val="21"/>
          <w:highlight w:val="none"/>
        </w:rPr>
        <w:t>，属于</w:t>
      </w:r>
      <w:r>
        <w:rPr>
          <w:rFonts w:hint="eastAsia" w:cs="宋体"/>
          <w:i w:val="0"/>
          <w:iCs/>
          <w:color w:val="auto"/>
          <w:sz w:val="21"/>
          <w:szCs w:val="21"/>
          <w:highlight w:val="none"/>
          <w:u w:val="single"/>
        </w:rPr>
        <w:t>（中型企业、小型企业、微型企业）</w:t>
      </w:r>
      <w:r>
        <w:rPr>
          <w:rFonts w:hint="eastAsia" w:cs="宋体"/>
          <w:i w:val="0"/>
          <w:iCs/>
          <w:color w:val="auto"/>
          <w:sz w:val="21"/>
          <w:szCs w:val="21"/>
          <w:highlight w:val="none"/>
        </w:rPr>
        <w:t>；</w:t>
      </w:r>
    </w:p>
    <w:p>
      <w:pPr>
        <w:pStyle w:val="2"/>
        <w:spacing w:line="400" w:lineRule="exact"/>
        <w:ind w:firstLine="420" w:firstLineChars="200"/>
        <w:rPr>
          <w:rFonts w:hint="eastAsia" w:cs="宋体"/>
          <w:i w:val="0"/>
          <w:iCs/>
          <w:color w:val="auto"/>
          <w:sz w:val="21"/>
          <w:szCs w:val="21"/>
          <w:highlight w:val="none"/>
        </w:rPr>
      </w:pPr>
      <w:r>
        <w:rPr>
          <w:rFonts w:hint="eastAsia" w:cs="宋体"/>
          <w:i w:val="0"/>
          <w:iCs/>
          <w:color w:val="auto"/>
          <w:sz w:val="21"/>
          <w:szCs w:val="21"/>
          <w:highlight w:val="none"/>
        </w:rPr>
        <w:t>2.</w:t>
      </w:r>
      <w:r>
        <w:rPr>
          <w:rFonts w:hint="eastAsia" w:cs="宋体"/>
          <w:i w:val="0"/>
          <w:iCs/>
          <w:color w:val="auto"/>
          <w:sz w:val="21"/>
          <w:szCs w:val="21"/>
          <w:highlight w:val="none"/>
          <w:u w:val="single"/>
        </w:rPr>
        <w:t>（标的名称）</w:t>
      </w:r>
      <w:r>
        <w:rPr>
          <w:rFonts w:hint="eastAsia" w:cs="宋体"/>
          <w:i w:val="0"/>
          <w:iCs/>
          <w:color w:val="auto"/>
          <w:sz w:val="21"/>
          <w:szCs w:val="21"/>
          <w:highlight w:val="none"/>
        </w:rPr>
        <w:t>，属于</w:t>
      </w:r>
      <w:r>
        <w:rPr>
          <w:rFonts w:hint="eastAsia" w:cs="宋体"/>
          <w:i w:val="0"/>
          <w:iCs/>
          <w:color w:val="auto"/>
          <w:sz w:val="21"/>
          <w:szCs w:val="21"/>
          <w:highlight w:val="none"/>
          <w:u w:val="single"/>
        </w:rPr>
        <w:t>（采购文件中明确的所属行业）</w:t>
      </w:r>
      <w:r>
        <w:rPr>
          <w:rFonts w:hint="eastAsia" w:cs="宋体"/>
          <w:i w:val="0"/>
          <w:iCs/>
          <w:color w:val="auto"/>
          <w:sz w:val="21"/>
          <w:szCs w:val="21"/>
          <w:highlight w:val="none"/>
        </w:rPr>
        <w:t>；承建（承接）企业为</w:t>
      </w:r>
      <w:r>
        <w:rPr>
          <w:rFonts w:hint="eastAsia" w:cs="宋体"/>
          <w:i w:val="0"/>
          <w:iCs/>
          <w:color w:val="auto"/>
          <w:sz w:val="21"/>
          <w:szCs w:val="21"/>
          <w:highlight w:val="none"/>
          <w:u w:val="single"/>
        </w:rPr>
        <w:t>（企业名称）</w:t>
      </w:r>
      <w:r>
        <w:rPr>
          <w:rFonts w:hint="eastAsia" w:cs="宋体"/>
          <w:i w:val="0"/>
          <w:iCs/>
          <w:color w:val="auto"/>
          <w:sz w:val="21"/>
          <w:szCs w:val="21"/>
          <w:highlight w:val="none"/>
        </w:rPr>
        <w:t>，从业人员</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u w:val="single"/>
          <w:lang w:val="en-US" w:eastAsia="zh-CN"/>
        </w:rPr>
        <w:t xml:space="preserve"> </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rPr>
        <w:t>人，营业收入为</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rPr>
        <w:t>万元，资产总额为</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u w:val="single"/>
          <w:lang w:val="en-US" w:eastAsia="zh-CN"/>
        </w:rPr>
        <w:t xml:space="preserve"> </w:t>
      </w:r>
      <w:r>
        <w:rPr>
          <w:rFonts w:hint="eastAsia" w:cs="宋体"/>
          <w:i w:val="0"/>
          <w:iCs/>
          <w:color w:val="auto"/>
          <w:sz w:val="21"/>
          <w:szCs w:val="21"/>
          <w:highlight w:val="none"/>
          <w:u w:val="single"/>
        </w:rPr>
        <w:t xml:space="preserve"> </w:t>
      </w:r>
      <w:r>
        <w:rPr>
          <w:rFonts w:hint="eastAsia" w:cs="宋体"/>
          <w:i w:val="0"/>
          <w:iCs/>
          <w:color w:val="auto"/>
          <w:sz w:val="21"/>
          <w:szCs w:val="21"/>
          <w:highlight w:val="none"/>
        </w:rPr>
        <w:t>万元，属于</w:t>
      </w:r>
      <w:r>
        <w:rPr>
          <w:rFonts w:hint="eastAsia" w:cs="宋体"/>
          <w:i w:val="0"/>
          <w:iCs/>
          <w:color w:val="auto"/>
          <w:sz w:val="21"/>
          <w:szCs w:val="21"/>
          <w:highlight w:val="none"/>
          <w:u w:val="single"/>
        </w:rPr>
        <w:t>（中型企业、小型企业、微型企业）</w:t>
      </w:r>
      <w:r>
        <w:rPr>
          <w:rFonts w:hint="eastAsia" w:cs="宋体"/>
          <w:i w:val="0"/>
          <w:iCs/>
          <w:color w:val="auto"/>
          <w:sz w:val="21"/>
          <w:szCs w:val="21"/>
          <w:highlight w:val="none"/>
        </w:rPr>
        <w:t>；</w:t>
      </w:r>
    </w:p>
    <w:p>
      <w:pPr>
        <w:pStyle w:val="2"/>
        <w:spacing w:line="400" w:lineRule="exact"/>
        <w:ind w:firstLine="420" w:firstLineChars="200"/>
        <w:rPr>
          <w:rFonts w:hint="eastAsia" w:cs="宋体"/>
          <w:i w:val="0"/>
          <w:iCs/>
          <w:color w:val="auto"/>
          <w:sz w:val="21"/>
          <w:szCs w:val="21"/>
          <w:highlight w:val="none"/>
        </w:rPr>
      </w:pPr>
      <w:r>
        <w:rPr>
          <w:rFonts w:hint="eastAsia" w:cs="宋体"/>
          <w:i w:val="0"/>
          <w:iCs/>
          <w:color w:val="auto"/>
          <w:sz w:val="21"/>
          <w:szCs w:val="21"/>
          <w:highlight w:val="none"/>
        </w:rPr>
        <w:t xml:space="preserve">…… </w:t>
      </w:r>
    </w:p>
    <w:p>
      <w:pPr>
        <w:pStyle w:val="2"/>
        <w:spacing w:line="400" w:lineRule="exact"/>
        <w:ind w:firstLine="420" w:firstLineChars="200"/>
        <w:jc w:val="left"/>
        <w:rPr>
          <w:rFonts w:hint="eastAsia" w:cs="宋体"/>
          <w:i w:val="0"/>
          <w:iCs/>
          <w:color w:val="auto"/>
          <w:sz w:val="21"/>
          <w:szCs w:val="21"/>
          <w:highlight w:val="none"/>
        </w:rPr>
      </w:pPr>
      <w:r>
        <w:rPr>
          <w:rFonts w:hint="eastAsia" w:cs="宋体"/>
          <w:i w:val="0"/>
          <w:iCs/>
          <w:color w:val="auto"/>
          <w:sz w:val="21"/>
          <w:szCs w:val="21"/>
          <w:highlight w:val="none"/>
        </w:rPr>
        <w:t>以上企业，不属于大企业的分支机构，不存在控股股东为大企业的情形，也不存在与大企业的负责人为同一人的情形。</w:t>
      </w:r>
    </w:p>
    <w:p>
      <w:pPr>
        <w:pStyle w:val="2"/>
        <w:spacing w:line="400" w:lineRule="exact"/>
        <w:ind w:firstLine="420" w:firstLineChars="200"/>
        <w:jc w:val="left"/>
        <w:rPr>
          <w:rFonts w:hint="eastAsia" w:cs="宋体"/>
          <w:i w:val="0"/>
          <w:iCs/>
          <w:color w:val="auto"/>
          <w:sz w:val="21"/>
          <w:szCs w:val="21"/>
          <w:highlight w:val="none"/>
        </w:rPr>
      </w:pPr>
      <w:r>
        <w:rPr>
          <w:rFonts w:hint="eastAsia" w:cs="宋体"/>
          <w:i w:val="0"/>
          <w:iCs/>
          <w:color w:val="auto"/>
          <w:sz w:val="21"/>
          <w:szCs w:val="21"/>
          <w:highlight w:val="none"/>
        </w:rPr>
        <w:t>本企业对上述声明内容的真实性负责。如有虚假，将依法承担相应责任。</w:t>
      </w:r>
    </w:p>
    <w:p>
      <w:pPr>
        <w:pStyle w:val="2"/>
        <w:spacing w:line="400" w:lineRule="exact"/>
        <w:ind w:firstLine="3360" w:firstLineChars="1600"/>
        <w:jc w:val="left"/>
        <w:rPr>
          <w:rFonts w:hint="eastAsia" w:cs="宋体"/>
          <w:color w:val="auto"/>
          <w:sz w:val="21"/>
          <w:szCs w:val="21"/>
          <w:highlight w:val="none"/>
        </w:rPr>
      </w:pPr>
    </w:p>
    <w:p>
      <w:pPr>
        <w:pStyle w:val="2"/>
        <w:spacing w:line="400" w:lineRule="exact"/>
        <w:ind w:firstLine="4095" w:firstLineChars="1950"/>
        <w:jc w:val="left"/>
        <w:rPr>
          <w:rFonts w:hint="eastAsia" w:cs="宋体"/>
          <w:i w:val="0"/>
          <w:iCs/>
          <w:color w:val="auto"/>
          <w:sz w:val="21"/>
          <w:szCs w:val="21"/>
          <w:highlight w:val="none"/>
        </w:rPr>
      </w:pPr>
      <w:r>
        <w:rPr>
          <w:rFonts w:hint="eastAsia" w:cs="宋体"/>
          <w:i w:val="0"/>
          <w:iCs/>
          <w:color w:val="auto"/>
          <w:sz w:val="21"/>
          <w:szCs w:val="21"/>
          <w:highlight w:val="none"/>
        </w:rPr>
        <w:t>企业名称（盖章）：</w:t>
      </w:r>
    </w:p>
    <w:p>
      <w:pPr>
        <w:spacing w:line="400" w:lineRule="exact"/>
        <w:jc w:val="center"/>
        <w:rPr>
          <w:rFonts w:hint="eastAsia" w:ascii="宋体" w:hAnsi="宋体" w:cs="宋体"/>
          <w:i w:val="0"/>
          <w:iCs/>
          <w:color w:val="auto"/>
          <w:szCs w:val="21"/>
          <w:highlight w:val="none"/>
        </w:rPr>
      </w:pPr>
      <w:r>
        <w:rPr>
          <w:rFonts w:hint="eastAsia" w:ascii="宋体" w:hAnsi="宋体" w:cs="宋体"/>
          <w:i w:val="0"/>
          <w:iCs/>
          <w:color w:val="auto"/>
          <w:szCs w:val="21"/>
          <w:highlight w:val="none"/>
        </w:rPr>
        <w:t>日 期：</w:t>
      </w:r>
    </w:p>
    <w:p>
      <w:pPr>
        <w:spacing w:line="400" w:lineRule="exact"/>
        <w:jc w:val="center"/>
        <w:rPr>
          <w:rFonts w:hint="eastAsia" w:ascii="宋体" w:hAnsi="宋体" w:cs="宋体"/>
          <w:color w:val="auto"/>
          <w:szCs w:val="21"/>
          <w:highlight w:val="none"/>
        </w:rPr>
      </w:pPr>
    </w:p>
    <w:p>
      <w:pPr>
        <w:spacing w:line="400" w:lineRule="exact"/>
        <w:jc w:val="center"/>
        <w:rPr>
          <w:rFonts w:hint="eastAsia" w:ascii="宋体" w:hAnsi="宋体" w:cs="宋体"/>
          <w:color w:val="auto"/>
          <w:szCs w:val="21"/>
          <w:highlight w:val="none"/>
        </w:rPr>
      </w:pPr>
    </w:p>
    <w:p>
      <w:pPr>
        <w:spacing w:line="400" w:lineRule="exact"/>
        <w:jc w:val="center"/>
        <w:rPr>
          <w:rFonts w:hint="eastAsia" w:ascii="宋体" w:hAnsi="宋体" w:cs="宋体"/>
          <w:color w:val="auto"/>
          <w:szCs w:val="21"/>
          <w:highlight w:val="none"/>
        </w:rPr>
      </w:pPr>
    </w:p>
    <w:p>
      <w:pPr>
        <w:spacing w:line="400" w:lineRule="exact"/>
        <w:jc w:val="center"/>
        <w:rPr>
          <w:rFonts w:hint="eastAsia" w:ascii="宋体" w:hAnsi="宋体" w:cs="宋体"/>
          <w:color w:val="auto"/>
          <w:szCs w:val="21"/>
          <w:highlight w:val="none"/>
        </w:rPr>
      </w:pPr>
    </w:p>
    <w:p>
      <w:pPr>
        <w:spacing w:line="400" w:lineRule="exact"/>
        <w:ind w:firstLine="3780" w:firstLineChars="1800"/>
        <w:rPr>
          <w:rFonts w:ascii="宋体" w:hAnsi="宋体"/>
          <w:color w:val="auto"/>
          <w:szCs w:val="21"/>
          <w:highlight w:val="none"/>
        </w:rPr>
      </w:pPr>
    </w:p>
    <w:p>
      <w:pPr>
        <w:spacing w:line="588" w:lineRule="exact"/>
        <w:jc w:val="center"/>
        <w:rPr>
          <w:rFonts w:hint="eastAsia" w:ascii="宋体" w:hAnsi="宋体"/>
          <w:color w:val="auto"/>
          <w:szCs w:val="21"/>
          <w:highlight w:val="none"/>
        </w:rPr>
      </w:pPr>
      <w:r>
        <w:rPr>
          <w:rFonts w:ascii="宋体" w:hAnsi="宋体"/>
          <w:color w:val="auto"/>
          <w:szCs w:val="21"/>
          <w:highlight w:val="none"/>
        </w:rPr>
        <w:t>1从业人员、营业收入、资产总额填报上一年度数据，无上一年度数据的新成立企业可不填报。</w:t>
      </w:r>
    </w:p>
    <w:p>
      <w:pPr>
        <w:spacing w:line="400" w:lineRule="exact"/>
        <w:jc w:val="left"/>
        <w:rPr>
          <w:rStyle w:val="143"/>
          <w:rFonts w:hint="eastAsia" w:ascii="宋体" w:hAnsi="宋体" w:cs="宋体"/>
          <w:color w:val="auto"/>
          <w:sz w:val="30"/>
          <w:szCs w:val="30"/>
          <w:highlight w:val="none"/>
        </w:rPr>
      </w:pPr>
      <w:r>
        <w:rPr>
          <w:rStyle w:val="143"/>
          <w:rFonts w:hint="eastAsia" w:ascii="宋体" w:hAnsi="宋体" w:cs="宋体"/>
          <w:color w:val="auto"/>
          <w:sz w:val="30"/>
          <w:szCs w:val="30"/>
          <w:highlight w:val="none"/>
        </w:rPr>
        <w:br w:type="page"/>
      </w:r>
      <w:r>
        <w:rPr>
          <w:rStyle w:val="143"/>
          <w:rFonts w:hint="eastAsia" w:ascii="宋体" w:hAnsi="宋体" w:cs="宋体"/>
          <w:color w:val="auto"/>
          <w:szCs w:val="24"/>
          <w:highlight w:val="none"/>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残疾人福利性单位声明函</w:t>
      </w:r>
    </w:p>
    <w:p>
      <w:pPr>
        <w:spacing w:line="588" w:lineRule="exact"/>
        <w:ind w:firstLine="446"/>
        <w:rPr>
          <w:rFonts w:hint="eastAsia" w:ascii="宋体" w:hAnsi="宋体" w:cs="宋体"/>
          <w:b/>
          <w:color w:val="auto"/>
          <w:spacing w:val="6"/>
          <w:szCs w:val="21"/>
          <w:highlight w:val="none"/>
        </w:rPr>
      </w:pP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本单位对上述声明的真实性负责。如有虚假，将依法承担相应责任。</w:t>
      </w:r>
    </w:p>
    <w:p>
      <w:pPr>
        <w:snapToGrid w:val="0"/>
        <w:spacing w:line="360" w:lineRule="auto"/>
        <w:ind w:firstLine="420" w:firstLineChars="200"/>
        <w:rPr>
          <w:rFonts w:ascii="宋体" w:hAnsi="宋体" w:cs="宋体"/>
          <w:color w:val="auto"/>
          <w:highlight w:val="none"/>
        </w:rPr>
      </w:pPr>
    </w:p>
    <w:p>
      <w:pPr>
        <w:spacing w:line="588" w:lineRule="exact"/>
        <w:ind w:firstLine="444" w:firstLineChars="200"/>
        <w:rPr>
          <w:rFonts w:ascii="宋体" w:hAnsi="宋体" w:cs="宋体"/>
          <w:color w:val="auto"/>
          <w:spacing w:val="6"/>
          <w:highlight w:val="none"/>
        </w:rPr>
      </w:pPr>
    </w:p>
    <w:p>
      <w:pPr>
        <w:snapToGrid w:val="0"/>
        <w:spacing w:line="360" w:lineRule="auto"/>
        <w:ind w:firstLine="420" w:firstLineChars="200"/>
        <w:jc w:val="right"/>
        <w:rPr>
          <w:rFonts w:ascii="宋体" w:hAnsi="宋体" w:cs="宋体"/>
          <w:color w:val="auto"/>
          <w:highlight w:val="none"/>
        </w:rPr>
      </w:pPr>
      <w:r>
        <w:rPr>
          <w:rFonts w:hint="eastAsia" w:ascii="宋体" w:hAnsi="宋体" w:cs="宋体"/>
          <w:color w:val="auto"/>
          <w:highlight w:val="none"/>
        </w:rPr>
        <w:t xml:space="preserve">      单位名称（盖章）：</w:t>
      </w:r>
    </w:p>
    <w:p>
      <w:pPr>
        <w:snapToGrid w:val="0"/>
        <w:spacing w:line="360" w:lineRule="auto"/>
        <w:ind w:firstLine="420" w:firstLineChars="200"/>
        <w:jc w:val="right"/>
        <w:rPr>
          <w:rFonts w:ascii="宋体" w:hAnsi="宋体" w:cs="宋体"/>
          <w:color w:val="auto"/>
          <w:highlight w:val="none"/>
        </w:rPr>
      </w:pPr>
      <w:r>
        <w:rPr>
          <w:rFonts w:hint="eastAsia" w:ascii="宋体" w:hAnsi="宋体" w:cs="宋体"/>
          <w:color w:val="auto"/>
          <w:highlight w:val="none"/>
        </w:rPr>
        <w:t xml:space="preserve">       日  期：</w:t>
      </w:r>
    </w:p>
    <w:p>
      <w:pPr>
        <w:tabs>
          <w:tab w:val="left" w:pos="4860"/>
        </w:tabs>
        <w:spacing w:line="588" w:lineRule="exact"/>
        <w:ind w:right="1560" w:firstLine="444" w:firstLineChars="200"/>
        <w:rPr>
          <w:rFonts w:ascii="宋体" w:hAnsi="宋体" w:cs="宋体"/>
          <w:color w:val="auto"/>
          <w:spacing w:val="6"/>
          <w:highlight w:val="none"/>
        </w:rPr>
      </w:pPr>
      <w:r>
        <w:rPr>
          <w:rFonts w:hint="eastAsia" w:ascii="宋体" w:hAnsi="宋体" w:cs="宋体"/>
          <w:color w:val="auto"/>
          <w:spacing w:val="6"/>
          <w:highlight w:val="none"/>
        </w:rPr>
        <w:t>填写说明：</w:t>
      </w:r>
    </w:p>
    <w:p>
      <w:pPr>
        <w:numPr>
          <w:ilvl w:val="0"/>
          <w:numId w:val="12"/>
        </w:numPr>
        <w:tabs>
          <w:tab w:val="left" w:pos="4860"/>
        </w:tabs>
        <w:ind w:right="106" w:firstLine="446" w:firstLineChars="200"/>
        <w:rPr>
          <w:rFonts w:ascii="宋体" w:hAnsi="宋体" w:cs="宋体"/>
          <w:b/>
          <w:bCs/>
          <w:color w:val="auto"/>
          <w:highlight w:val="none"/>
        </w:rPr>
      </w:pPr>
      <w:r>
        <w:rPr>
          <w:rFonts w:hint="eastAsia" w:ascii="宋体" w:hAnsi="宋体" w:cs="宋体"/>
          <w:b/>
          <w:bCs/>
          <w:color w:val="auto"/>
          <w:spacing w:val="6"/>
          <w:highlight w:val="none"/>
        </w:rPr>
        <w:t>本声明是残疾人福利性单位的提供，其他不符合规定的单位禁止提供，中标、成交单位提供《残疾人福利性单位声明函》的，代理机构将在发布中标、成交公告时同时公告其《残疾人福利性单位声明函》，接受社会监督。</w:t>
      </w:r>
    </w:p>
    <w:p>
      <w:pPr>
        <w:numPr>
          <w:ilvl w:val="0"/>
          <w:numId w:val="12"/>
        </w:numPr>
        <w:tabs>
          <w:tab w:val="left" w:pos="4860"/>
        </w:tabs>
        <w:ind w:right="251" w:firstLine="420" w:firstLineChars="200"/>
        <w:rPr>
          <w:rFonts w:ascii="宋体" w:hAnsi="宋体" w:cs="宋体"/>
          <w:color w:val="auto"/>
          <w:highlight w:val="none"/>
        </w:rPr>
      </w:pPr>
      <w:r>
        <w:rPr>
          <w:rFonts w:hint="eastAsia" w:ascii="宋体" w:hAnsi="宋体" w:cs="宋体"/>
          <w:color w:val="auto"/>
          <w:highlight w:val="none"/>
        </w:rPr>
        <w:t>享受政府采购支持政策的残疾人福利性单位应当同时满足以下条件：</w:t>
      </w:r>
    </w:p>
    <w:p>
      <w:pPr>
        <w:pStyle w:val="39"/>
        <w:rPr>
          <w:color w:val="auto"/>
          <w:sz w:val="20"/>
          <w:szCs w:val="20"/>
          <w:highlight w:val="none"/>
        </w:rPr>
      </w:pPr>
      <w:r>
        <w:rPr>
          <w:rFonts w:hint="eastAsia"/>
          <w:color w:val="auto"/>
          <w:sz w:val="20"/>
          <w:szCs w:val="20"/>
          <w:highlight w:val="none"/>
        </w:rPr>
        <w:t>　　（1）安置的残疾人占本单位在职职工人数的比例不低于210%（含210%），并且安置的残疾人人数不少于10人（含10人）；</w:t>
      </w:r>
    </w:p>
    <w:p>
      <w:pPr>
        <w:pStyle w:val="39"/>
        <w:rPr>
          <w:color w:val="auto"/>
          <w:sz w:val="20"/>
          <w:szCs w:val="20"/>
          <w:highlight w:val="none"/>
        </w:rPr>
      </w:pPr>
      <w:r>
        <w:rPr>
          <w:rFonts w:hint="eastAsia"/>
          <w:color w:val="auto"/>
          <w:sz w:val="20"/>
          <w:szCs w:val="20"/>
          <w:highlight w:val="none"/>
        </w:rPr>
        <w:t>　　（2）依法与安置的每位残疾人签订了一年以上（含一年）的劳动合同或服务协议；</w:t>
      </w:r>
    </w:p>
    <w:p>
      <w:pPr>
        <w:pStyle w:val="39"/>
        <w:rPr>
          <w:color w:val="auto"/>
          <w:sz w:val="20"/>
          <w:szCs w:val="20"/>
          <w:highlight w:val="none"/>
        </w:rPr>
      </w:pPr>
      <w:r>
        <w:rPr>
          <w:rFonts w:hint="eastAsia"/>
          <w:color w:val="auto"/>
          <w:sz w:val="20"/>
          <w:szCs w:val="20"/>
          <w:highlight w:val="none"/>
        </w:rPr>
        <w:t>　　（3）为安置的每位残疾人按月足额缴纳了基本养老保险、基本医疗保险、失业保险、工伤保险和生育保险等社会保险费；</w:t>
      </w:r>
    </w:p>
    <w:p>
      <w:pPr>
        <w:pStyle w:val="39"/>
        <w:rPr>
          <w:color w:val="auto"/>
          <w:sz w:val="20"/>
          <w:szCs w:val="20"/>
          <w:highlight w:val="none"/>
        </w:rPr>
      </w:pPr>
      <w:r>
        <w:rPr>
          <w:rFonts w:hint="eastAsia"/>
          <w:color w:val="auto"/>
          <w:sz w:val="20"/>
          <w:szCs w:val="20"/>
          <w:highlight w:val="none"/>
        </w:rPr>
        <w:t>　　（4）通过银行等金融机构向安置的每位残疾人，按月支付了不低于单位所在区县适用的经省级人民政府批准的月最低工资标准的工资；</w:t>
      </w:r>
    </w:p>
    <w:p>
      <w:pPr>
        <w:pStyle w:val="39"/>
        <w:rPr>
          <w:color w:val="auto"/>
          <w:sz w:val="20"/>
          <w:szCs w:val="20"/>
          <w:highlight w:val="none"/>
        </w:rPr>
      </w:pPr>
      <w:r>
        <w:rPr>
          <w:rFonts w:hint="eastAsia"/>
          <w:color w:val="auto"/>
          <w:sz w:val="20"/>
          <w:szCs w:val="20"/>
          <w:highlight w:val="none"/>
        </w:rPr>
        <w:t>　　（5）提供本单位制造的货物、承担的工程或者服务（以下简称产品），或者提供其他残疾人福利性单位制造的货物（不包括使用非残疾人福利性单位注册商标的货物）。</w:t>
      </w:r>
    </w:p>
    <w:p>
      <w:pPr>
        <w:spacing w:line="400" w:lineRule="exact"/>
        <w:ind w:firstLine="400" w:firstLineChars="200"/>
        <w:rPr>
          <w:rFonts w:ascii="宋体" w:hAnsi="宋体"/>
          <w:color w:val="auto"/>
          <w:szCs w:val="21"/>
          <w:highlight w:val="none"/>
        </w:rPr>
      </w:pPr>
      <w:r>
        <w:rPr>
          <w:rFonts w:hint="eastAsia"/>
          <w:color w:val="auto"/>
          <w:sz w:val="20"/>
          <w:szCs w:val="20"/>
          <w:highlight w:val="none"/>
        </w:rPr>
        <w:t>　　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3"/>
        <w:rPr>
          <w:rFonts w:hint="eastAsia" w:ascii="宋体" w:hAnsi="宋体"/>
          <w:color w:val="auto"/>
          <w:highlight w:val="none"/>
        </w:rPr>
        <w:sectPr>
          <w:headerReference r:id="rId12" w:type="default"/>
          <w:footerReference r:id="rId13" w:type="default"/>
          <w:pgSz w:w="11907" w:h="16840"/>
          <w:pgMar w:top="1134" w:right="1417" w:bottom="1134" w:left="1417" w:header="284" w:footer="990" w:gutter="0"/>
          <w:cols w:space="720" w:num="1"/>
          <w:docGrid w:linePitch="285" w:charSpace="0"/>
        </w:sectPr>
      </w:pPr>
    </w:p>
    <w:tbl>
      <w:tblPr>
        <w:tblStyle w:val="44"/>
        <w:tblW w:w="0" w:type="auto"/>
        <w:tblInd w:w="-176" w:type="dxa"/>
        <w:tblLayout w:type="fixed"/>
        <w:tblCellMar>
          <w:top w:w="0" w:type="dxa"/>
          <w:left w:w="108" w:type="dxa"/>
          <w:bottom w:w="0" w:type="dxa"/>
          <w:right w:w="108" w:type="dxa"/>
        </w:tblCellMar>
      </w:tblPr>
      <w:tblGrid>
        <w:gridCol w:w="1985"/>
        <w:gridCol w:w="1498"/>
        <w:gridCol w:w="1763"/>
        <w:gridCol w:w="1660"/>
        <w:gridCol w:w="1240"/>
        <w:gridCol w:w="1562"/>
        <w:gridCol w:w="1590"/>
        <w:gridCol w:w="1285"/>
        <w:gridCol w:w="1275"/>
        <w:gridCol w:w="1069"/>
        <w:gridCol w:w="152"/>
      </w:tblGrid>
      <w:tr>
        <w:tblPrEx>
          <w:tblCellMar>
            <w:top w:w="0" w:type="dxa"/>
            <w:left w:w="108" w:type="dxa"/>
            <w:bottom w:w="0" w:type="dxa"/>
            <w:right w:w="108" w:type="dxa"/>
          </w:tblCellMar>
        </w:tblPrEx>
        <w:trPr>
          <w:gridAfter w:val="1"/>
          <w:wAfter w:w="152" w:type="dxa"/>
          <w:trHeight w:val="420" w:hRule="atLeast"/>
        </w:trPr>
        <w:tc>
          <w:tcPr>
            <w:tcW w:w="14927" w:type="dxa"/>
            <w:gridSpan w:val="10"/>
            <w:tcBorders>
              <w:top w:val="nil"/>
              <w:left w:val="nil"/>
              <w:bottom w:val="nil"/>
              <w:right w:val="nil"/>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b/>
                <w:bCs/>
                <w:color w:val="auto"/>
                <w:sz w:val="14"/>
                <w:szCs w:val="14"/>
                <w:highlight w:val="none"/>
              </w:rPr>
            </w:pPr>
            <w:r>
              <w:rPr>
                <w:rFonts w:hint="eastAsia" w:ascii="宋体" w:hAnsi="宋体" w:cs="宋体"/>
                <w:b/>
                <w:bCs/>
                <w:color w:val="auto"/>
                <w:sz w:val="15"/>
                <w:szCs w:val="15"/>
                <w:highlight w:val="none"/>
              </w:rPr>
              <w:t>中小微行业划型标准规定（根据工信部联企业〔2011〕300号制定）</w:t>
            </w:r>
          </w:p>
        </w:tc>
      </w:tr>
      <w:tr>
        <w:tblPrEx>
          <w:tblCellMar>
            <w:top w:w="0" w:type="dxa"/>
            <w:left w:w="108" w:type="dxa"/>
            <w:bottom w:w="0" w:type="dxa"/>
            <w:right w:w="108" w:type="dxa"/>
          </w:tblCellMar>
        </w:tblPrEx>
        <w:trPr>
          <w:trHeight w:val="465" w:hRule="atLeast"/>
        </w:trPr>
        <w:tc>
          <w:tcPr>
            <w:tcW w:w="1985" w:type="dxa"/>
            <w:vMerge w:val="restart"/>
            <w:tcBorders>
              <w:top w:val="single" w:color="auto" w:sz="8" w:space="0"/>
              <w:left w:val="single" w:color="auto" w:sz="8" w:space="0"/>
              <w:bottom w:val="single" w:color="000000" w:sz="4"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 w:val="14"/>
                <w:szCs w:val="14"/>
                <w:highlight w:val="none"/>
              </w:rPr>
            </w:pPr>
            <w:r>
              <w:rPr>
                <w:rFonts w:hint="eastAsia" w:ascii="宋体" w:hAnsi="宋体" w:cs="宋体"/>
                <w:b/>
                <w:bCs/>
                <w:color w:val="auto"/>
                <w:sz w:val="14"/>
                <w:szCs w:val="14"/>
                <w:highlight w:val="none"/>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b/>
                <w:bCs/>
                <w:color w:val="auto"/>
                <w:sz w:val="14"/>
                <w:szCs w:val="14"/>
                <w:highlight w:val="none"/>
              </w:rPr>
            </w:pPr>
            <w:r>
              <w:rPr>
                <w:rFonts w:hint="eastAsia" w:ascii="宋体" w:hAnsi="宋体" w:cs="宋体"/>
                <w:b/>
                <w:bCs/>
                <w:color w:val="auto"/>
                <w:sz w:val="14"/>
                <w:szCs w:val="14"/>
                <w:highlight w:val="none"/>
              </w:rPr>
              <w:t>中型企业</w:t>
            </w:r>
          </w:p>
        </w:tc>
        <w:tc>
          <w:tcPr>
            <w:tcW w:w="4392" w:type="dxa"/>
            <w:gridSpan w:val="3"/>
            <w:tcBorders>
              <w:top w:val="single" w:color="auto" w:sz="8" w:space="0"/>
              <w:left w:val="nil"/>
              <w:bottom w:val="single" w:color="auto" w:sz="4" w:space="0"/>
              <w:right w:val="single" w:color="000000" w:sz="8"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b/>
                <w:bCs/>
                <w:color w:val="auto"/>
                <w:sz w:val="14"/>
                <w:szCs w:val="14"/>
                <w:highlight w:val="none"/>
              </w:rPr>
            </w:pPr>
            <w:r>
              <w:rPr>
                <w:rFonts w:hint="eastAsia" w:ascii="宋体" w:hAnsi="宋体" w:cs="宋体"/>
                <w:b/>
                <w:bCs/>
                <w:color w:val="auto"/>
                <w:sz w:val="14"/>
                <w:szCs w:val="14"/>
                <w:highlight w:val="none"/>
              </w:rPr>
              <w:t>小型企业</w:t>
            </w:r>
          </w:p>
        </w:tc>
        <w:tc>
          <w:tcPr>
            <w:tcW w:w="3781" w:type="dxa"/>
            <w:gridSpan w:val="4"/>
            <w:tcBorders>
              <w:top w:val="single" w:color="auto" w:sz="8" w:space="0"/>
              <w:left w:val="nil"/>
              <w:bottom w:val="single" w:color="auto" w:sz="4" w:space="0"/>
              <w:right w:val="single" w:color="000000" w:sz="8"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b/>
                <w:bCs/>
                <w:color w:val="auto"/>
                <w:sz w:val="14"/>
                <w:szCs w:val="14"/>
                <w:highlight w:val="none"/>
              </w:rPr>
            </w:pPr>
            <w:r>
              <w:rPr>
                <w:rFonts w:hint="eastAsia" w:ascii="宋体" w:hAnsi="宋体" w:cs="宋体"/>
                <w:b/>
                <w:bCs/>
                <w:color w:val="auto"/>
                <w:sz w:val="14"/>
                <w:szCs w:val="14"/>
                <w:highlight w:val="none"/>
              </w:rPr>
              <w:t>微型企业</w:t>
            </w:r>
          </w:p>
        </w:tc>
      </w:tr>
      <w:tr>
        <w:tblPrEx>
          <w:tblCellMar>
            <w:top w:w="0" w:type="dxa"/>
            <w:left w:w="108" w:type="dxa"/>
            <w:bottom w:w="0" w:type="dxa"/>
            <w:right w:w="108" w:type="dxa"/>
          </w:tblCellMar>
        </w:tblPrEx>
        <w:trPr>
          <w:trHeight w:val="525" w:hRule="atLeast"/>
        </w:trPr>
        <w:tc>
          <w:tcPr>
            <w:tcW w:w="1985" w:type="dxa"/>
            <w:vMerge w:val="continue"/>
            <w:tcBorders>
              <w:top w:val="single" w:color="auto" w:sz="8" w:space="0"/>
              <w:left w:val="single" w:color="auto" w:sz="8" w:space="0"/>
              <w:bottom w:val="single" w:color="000000" w:sz="4" w:space="0"/>
              <w:right w:val="single" w:color="auto" w:sz="8" w:space="0"/>
            </w:tcBorders>
            <w:noWrap w:val="0"/>
            <w:vAlign w:val="center"/>
          </w:tcPr>
          <w:p>
            <w:pPr>
              <w:keepNext w:val="0"/>
              <w:keepLines w:val="0"/>
              <w:suppressLineNumbers w:val="0"/>
              <w:spacing w:before="0" w:beforeAutospacing="0" w:after="0" w:afterAutospacing="0"/>
              <w:ind w:left="0" w:right="0"/>
              <w:rPr>
                <w:rFonts w:hint="default" w:ascii="宋体" w:hAnsi="宋体" w:cs="宋体"/>
                <w:b/>
                <w:bCs/>
                <w:color w:val="auto"/>
                <w:sz w:val="14"/>
                <w:szCs w:val="14"/>
                <w:highlight w:val="none"/>
              </w:rPr>
            </w:pP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从业人员X（人）</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营业收入Y</w:t>
            </w:r>
          </w:p>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（万元）</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资产总额Z</w:t>
            </w:r>
          </w:p>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（万元）</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从业人员X（人）</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营业收入Y</w:t>
            </w:r>
          </w:p>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（万元）</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资产总额Z</w:t>
            </w:r>
          </w:p>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（万元）</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从业人员X（人）</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营业收入Y（万元）</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jc w:val="center"/>
              <w:rPr>
                <w:rFonts w:hint="default" w:ascii="宋体" w:hAnsi="宋体" w:cs="宋体"/>
                <w:color w:val="auto"/>
                <w:sz w:val="14"/>
                <w:szCs w:val="14"/>
                <w:highlight w:val="none"/>
              </w:rPr>
            </w:pPr>
            <w:r>
              <w:rPr>
                <w:rFonts w:hint="eastAsia" w:ascii="宋体" w:hAnsi="宋体" w:cs="宋体"/>
                <w:color w:val="auto"/>
                <w:sz w:val="14"/>
                <w:szCs w:val="14"/>
                <w:highlight w:val="none"/>
              </w:rPr>
              <w:t>资产总额Z（万元）</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1、农林牧渔业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500≤Y＜20000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50≤Y＜500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Y＜50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2、工业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2000≤Y＜40000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Y＜300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3、建筑业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6000≤Y＜80000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5000≤Z＜80000</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300≤Y＜6000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300≤Z＜5000</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Y＜300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Z＜300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4、批发业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20≤X＜200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5000≤Y＜40000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5≤X＜20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1000≤Y＜5000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X＜5</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5、零售业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500≤Y＜20000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10≤X＜50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100≤Y＜500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6、交通运输业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3000≤Y＜30000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200≤Y＜3000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V＜200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7、仓储业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100≤X＜200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1000≤Y＜30000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8、邮政业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2000≤Y＜30000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9、住宿业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2000≤Y＜10000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10、餐饮业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2000≤Y＜10000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V＜100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11、信息传输业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100≤X＜2000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1000≤Y＜100000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12、软件和信息技术服务业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1000≤Y＜10000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50≤Y＜1000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Y＜50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13、房地产开发经营</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1000≤Y＜200000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5000≤Z＜10000</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2000≤Z＜5000</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Z＜2000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14、物业管理</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1000≤Y＜5000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500≤Y＜1000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Y＜500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15、租赁和商务服务业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8000≤Z＜120000</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xml:space="preserve"> 100≤Z＜8000</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Z＜100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16、其他未列明行业</w:t>
            </w:r>
          </w:p>
        </w:tc>
        <w:tc>
          <w:tcPr>
            <w:tcW w:w="1498"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100≤X＜300</w:t>
            </w:r>
          </w:p>
        </w:tc>
        <w:tc>
          <w:tcPr>
            <w:tcW w:w="1763"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660" w:type="dxa"/>
            <w:tcBorders>
              <w:top w:val="nil"/>
              <w:left w:val="nil"/>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40"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10≤X＜100</w:t>
            </w:r>
          </w:p>
        </w:tc>
        <w:tc>
          <w:tcPr>
            <w:tcW w:w="1562"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590" w:type="dxa"/>
            <w:tcBorders>
              <w:top w:val="nil"/>
              <w:left w:val="nil"/>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85"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X＜10</w:t>
            </w:r>
          </w:p>
        </w:tc>
        <w:tc>
          <w:tcPr>
            <w:tcW w:w="1275"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c>
          <w:tcPr>
            <w:tcW w:w="1221" w:type="dxa"/>
            <w:gridSpan w:val="2"/>
            <w:tcBorders>
              <w:top w:val="nil"/>
              <w:left w:val="nil"/>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　</w:t>
            </w:r>
          </w:p>
        </w:tc>
      </w:tr>
      <w:tr>
        <w:tblPrEx>
          <w:tblCellMar>
            <w:top w:w="0" w:type="dxa"/>
            <w:left w:w="108" w:type="dxa"/>
            <w:bottom w:w="0" w:type="dxa"/>
            <w:right w:w="108" w:type="dxa"/>
          </w:tblCellMar>
        </w:tblPrEx>
        <w:trPr>
          <w:gridAfter w:val="1"/>
          <w:wAfter w:w="152" w:type="dxa"/>
          <w:trHeight w:val="581" w:hRule="atLeast"/>
        </w:trPr>
        <w:tc>
          <w:tcPr>
            <w:tcW w:w="14927" w:type="dxa"/>
            <w:gridSpan w:val="10"/>
            <w:tcBorders>
              <w:top w:val="nil"/>
              <w:left w:val="nil"/>
              <w:bottom w:val="nil"/>
              <w:right w:val="nil"/>
            </w:tcBorders>
            <w:noWrap w:val="0"/>
            <w:vAlign w:val="bottom"/>
          </w:tcPr>
          <w:p>
            <w:pPr>
              <w:keepNext w:val="0"/>
              <w:keepLines w:val="0"/>
              <w:suppressLineNumbers w:val="0"/>
              <w:spacing w:before="0" w:beforeAutospacing="0" w:after="0" w:afterAutospacing="0"/>
              <w:ind w:left="0" w:right="0"/>
              <w:rPr>
                <w:rFonts w:hint="default" w:ascii="宋体" w:hAnsi="宋体" w:cs="宋体"/>
                <w:color w:val="auto"/>
                <w:sz w:val="14"/>
                <w:szCs w:val="14"/>
                <w:highlight w:val="none"/>
              </w:rPr>
            </w:pPr>
            <w:r>
              <w:rPr>
                <w:rFonts w:hint="eastAsia" w:ascii="宋体" w:hAnsi="宋体" w:cs="宋体"/>
                <w:color w:val="auto"/>
                <w:sz w:val="14"/>
                <w:szCs w:val="14"/>
                <w:highlight w:val="none"/>
              </w:rPr>
              <w:t>说明　1、企业类型的划分以统计部门的统计数据为依据。</w:t>
            </w:r>
          </w:p>
          <w:p>
            <w:pPr>
              <w:keepNext w:val="0"/>
              <w:keepLines w:val="0"/>
              <w:numPr>
                <w:ilvl w:val="0"/>
                <w:numId w:val="13"/>
              </w:numPr>
              <w:suppressLineNumbers w:val="0"/>
              <w:spacing w:before="0" w:beforeAutospacing="0" w:after="0" w:afterAutospacing="0"/>
              <w:ind w:left="0" w:right="0" w:firstLine="420" w:firstLineChars="300"/>
              <w:rPr>
                <w:rFonts w:hint="default" w:ascii="宋体" w:hAnsi="宋体" w:cs="宋体"/>
                <w:color w:val="auto"/>
                <w:sz w:val="14"/>
                <w:szCs w:val="14"/>
                <w:highlight w:val="none"/>
              </w:rPr>
            </w:pPr>
            <w:r>
              <w:rPr>
                <w:rFonts w:hint="eastAsia" w:ascii="宋体" w:hAnsi="宋体" w:cs="宋体"/>
                <w:color w:val="auto"/>
                <w:sz w:val="14"/>
                <w:szCs w:val="14"/>
                <w:highlight w:val="none"/>
              </w:rPr>
              <w:t>个体工商户和本规定以外的行业，参照本规定进行划型。</w:t>
            </w:r>
          </w:p>
          <w:p>
            <w:pPr>
              <w:keepNext w:val="0"/>
              <w:keepLines w:val="0"/>
              <w:numPr>
                <w:ilvl w:val="0"/>
                <w:numId w:val="13"/>
              </w:numPr>
              <w:suppressLineNumbers w:val="0"/>
              <w:spacing w:before="0" w:beforeAutospacing="0" w:after="0" w:afterAutospacing="0"/>
              <w:ind w:left="0" w:right="0" w:firstLine="420" w:firstLineChars="300"/>
              <w:rPr>
                <w:rFonts w:hint="default" w:ascii="宋体" w:hAnsi="宋体" w:cs="宋体"/>
                <w:color w:val="auto"/>
                <w:sz w:val="14"/>
                <w:szCs w:val="14"/>
                <w:highlight w:val="none"/>
              </w:rPr>
            </w:pPr>
            <w:r>
              <w:rPr>
                <w:rFonts w:hint="eastAsia" w:ascii="宋体" w:hAnsi="宋体" w:cs="宋体"/>
                <w:color w:val="auto"/>
                <w:sz w:val="14"/>
                <w:szCs w:val="14"/>
                <w:highlight w:val="none"/>
              </w:rPr>
              <w:t>本规定的中型企业标准上限即为大型企业标准的下限。</w:t>
            </w:r>
          </w:p>
        </w:tc>
      </w:tr>
    </w:tbl>
    <w:p>
      <w:pPr>
        <w:spacing w:line="400" w:lineRule="exact"/>
        <w:jc w:val="left"/>
        <w:rPr>
          <w:rStyle w:val="143"/>
          <w:rFonts w:hint="eastAsia" w:ascii="宋体" w:hAnsi="宋体" w:cs="仿宋_GB2312"/>
          <w:color w:val="auto"/>
          <w:sz w:val="30"/>
          <w:szCs w:val="30"/>
          <w:highlight w:val="none"/>
        </w:rPr>
        <w:sectPr>
          <w:headerReference r:id="rId14" w:type="default"/>
          <w:footerReference r:id="rId15" w:type="default"/>
          <w:pgSz w:w="16840" w:h="11907" w:orient="landscape"/>
          <w:pgMar w:top="1134" w:right="1077" w:bottom="1134" w:left="1077" w:header="284" w:footer="992" w:gutter="0"/>
          <w:cols w:space="0" w:num="1"/>
          <w:rtlGutter w:val="0"/>
          <w:docGrid w:linePitch="285" w:charSpace="0"/>
        </w:sectPr>
      </w:pPr>
    </w:p>
    <w:p>
      <w:pPr>
        <w:spacing w:line="400" w:lineRule="exact"/>
        <w:jc w:val="left"/>
        <w:rPr>
          <w:rStyle w:val="143"/>
          <w:rFonts w:hint="eastAsia" w:ascii="宋体" w:hAnsi="宋体" w:cs="仿宋_GB2312"/>
          <w:color w:val="auto"/>
          <w:sz w:val="30"/>
          <w:szCs w:val="30"/>
          <w:highlight w:val="none"/>
        </w:rPr>
      </w:pPr>
      <w:r>
        <w:rPr>
          <w:rStyle w:val="143"/>
          <w:rFonts w:hint="eastAsia" w:ascii="宋体" w:hAnsi="宋体" w:cs="仿宋_GB2312"/>
          <w:color w:val="auto"/>
          <w:sz w:val="30"/>
          <w:szCs w:val="30"/>
          <w:highlight w:val="none"/>
        </w:rPr>
        <w:t>附件</w:t>
      </w:r>
    </w:p>
    <w:p>
      <w:pPr>
        <w:rPr>
          <w:rFonts w:hint="eastAsia" w:ascii="宋体" w:hAnsi="宋体" w:cs="仿宋_GB2312"/>
          <w:color w:val="auto"/>
          <w:sz w:val="44"/>
          <w:szCs w:val="44"/>
          <w:highlight w:val="none"/>
        </w:rPr>
      </w:pPr>
      <w:r>
        <w:rPr>
          <w:rFonts w:hint="eastAsia" w:ascii="宋体" w:hAnsi="宋体" w:cs="仿宋_GB2312"/>
          <w:b/>
          <w:bCs/>
          <w:color w:val="auto"/>
          <w:sz w:val="32"/>
          <w:szCs w:val="32"/>
          <w:highlight w:val="none"/>
        </w:rPr>
        <w:t xml:space="preserve"> </w:t>
      </w:r>
    </w:p>
    <w:p>
      <w:pPr>
        <w:spacing w:line="360" w:lineRule="auto"/>
        <w:jc w:val="center"/>
        <w:rPr>
          <w:rFonts w:ascii="宋体" w:hAnsi="宋体" w:cs="仿宋_GB2312"/>
          <w:color w:val="auto"/>
          <w:sz w:val="52"/>
          <w:szCs w:val="52"/>
          <w:highlight w:val="none"/>
        </w:rPr>
      </w:pPr>
      <w:r>
        <w:rPr>
          <w:rFonts w:ascii="宋体" w:hAnsi="宋体" w:cs="仿宋_GB2312"/>
          <w:color w:val="auto"/>
          <w:sz w:val="52"/>
          <w:szCs w:val="52"/>
          <w:highlight w:val="none"/>
        </w:rPr>
        <w:t>(项目名称)项目</w:t>
      </w:r>
    </w:p>
    <w:p>
      <w:pPr>
        <w:spacing w:line="360" w:lineRule="auto"/>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采购</w:t>
      </w:r>
      <w:r>
        <w:rPr>
          <w:rFonts w:ascii="宋体" w:hAnsi="宋体" w:cs="仿宋_GB2312"/>
          <w:color w:val="auto"/>
          <w:sz w:val="32"/>
          <w:szCs w:val="32"/>
          <w:highlight w:val="none"/>
        </w:rPr>
        <w:t>编号：</w:t>
      </w:r>
    </w:p>
    <w:p>
      <w:pPr>
        <w:spacing w:line="360" w:lineRule="auto"/>
        <w:jc w:val="center"/>
        <w:rPr>
          <w:rFonts w:ascii="宋体" w:hAnsi="宋体" w:cs="仿宋_GB2312"/>
          <w:color w:val="auto"/>
          <w:sz w:val="32"/>
          <w:szCs w:val="32"/>
          <w:highlight w:val="none"/>
        </w:rPr>
      </w:pPr>
      <w:r>
        <w:rPr>
          <w:rFonts w:ascii="宋体" w:hAnsi="宋体" w:cs="仿宋_GB2312"/>
          <w:color w:val="auto"/>
          <w:sz w:val="32"/>
          <w:szCs w:val="32"/>
          <w:highlight w:val="none"/>
        </w:rPr>
        <w:t>（</w:t>
      </w:r>
      <w:r>
        <w:rPr>
          <w:rFonts w:hint="eastAsia" w:ascii="宋体" w:hAnsi="宋体" w:cs="仿宋_GB2312"/>
          <w:color w:val="auto"/>
          <w:sz w:val="32"/>
          <w:szCs w:val="32"/>
          <w:highlight w:val="none"/>
        </w:rPr>
        <w:t>商务技术文件</w:t>
      </w:r>
      <w:r>
        <w:rPr>
          <w:rFonts w:ascii="宋体" w:hAnsi="宋体" w:cs="仿宋_GB2312"/>
          <w:color w:val="auto"/>
          <w:sz w:val="32"/>
          <w:szCs w:val="32"/>
          <w:highlight w:val="none"/>
        </w:rPr>
        <w:t>或报价文件）</w:t>
      </w:r>
    </w:p>
    <w:p>
      <w:pPr>
        <w:jc w:val="center"/>
        <w:rPr>
          <w:rFonts w:ascii="宋体" w:hAnsi="宋体" w:cs="仿宋_GB2312"/>
          <w:color w:val="auto"/>
          <w:sz w:val="84"/>
          <w:highlight w:val="none"/>
        </w:rPr>
      </w:pPr>
    </w:p>
    <w:p>
      <w:pPr>
        <w:jc w:val="center"/>
        <w:rPr>
          <w:rFonts w:ascii="宋体" w:hAnsi="宋体" w:cs="仿宋_GB2312"/>
          <w:color w:val="auto"/>
          <w:sz w:val="84"/>
          <w:highlight w:val="none"/>
        </w:rPr>
      </w:pPr>
      <w:r>
        <w:rPr>
          <w:rFonts w:ascii="宋体" w:hAnsi="宋体" w:cs="仿宋_GB2312"/>
          <w:color w:val="auto"/>
          <w:sz w:val="84"/>
          <w:highlight w:val="none"/>
        </w:rPr>
        <w:t>投</w:t>
      </w:r>
    </w:p>
    <w:p>
      <w:pPr>
        <w:jc w:val="center"/>
        <w:rPr>
          <w:rFonts w:ascii="宋体" w:hAnsi="宋体" w:cs="仿宋_GB2312"/>
          <w:color w:val="auto"/>
          <w:sz w:val="84"/>
          <w:highlight w:val="none"/>
        </w:rPr>
      </w:pPr>
      <w:r>
        <w:rPr>
          <w:rFonts w:ascii="宋体" w:hAnsi="宋体" w:cs="仿宋_GB2312"/>
          <w:color w:val="auto"/>
          <w:sz w:val="84"/>
          <w:highlight w:val="none"/>
        </w:rPr>
        <w:t>标</w:t>
      </w:r>
    </w:p>
    <w:p>
      <w:pPr>
        <w:jc w:val="center"/>
        <w:rPr>
          <w:rFonts w:ascii="宋体" w:hAnsi="宋体" w:cs="仿宋_GB2312"/>
          <w:color w:val="auto"/>
          <w:sz w:val="84"/>
          <w:highlight w:val="none"/>
        </w:rPr>
      </w:pPr>
      <w:r>
        <w:rPr>
          <w:rFonts w:ascii="宋体" w:hAnsi="宋体" w:cs="仿宋_GB2312"/>
          <w:color w:val="auto"/>
          <w:sz w:val="84"/>
          <w:highlight w:val="none"/>
        </w:rPr>
        <w:t>文</w:t>
      </w:r>
    </w:p>
    <w:p>
      <w:pPr>
        <w:jc w:val="center"/>
        <w:rPr>
          <w:rFonts w:ascii="宋体" w:hAnsi="宋体" w:cs="仿宋_GB2312"/>
          <w:color w:val="auto"/>
          <w:sz w:val="84"/>
          <w:highlight w:val="none"/>
        </w:rPr>
      </w:pPr>
      <w:r>
        <w:rPr>
          <w:rFonts w:ascii="宋体" w:hAnsi="宋体" w:cs="仿宋_GB2312"/>
          <w:color w:val="auto"/>
          <w:sz w:val="84"/>
          <w:highlight w:val="none"/>
        </w:rPr>
        <w:t>件</w:t>
      </w:r>
    </w:p>
    <w:p>
      <w:pPr>
        <w:jc w:val="center"/>
        <w:rPr>
          <w:rFonts w:ascii="宋体" w:hAnsi="宋体" w:cs="仿宋_GB2312"/>
          <w:color w:val="auto"/>
          <w:sz w:val="24"/>
          <w:highlight w:val="none"/>
        </w:rPr>
      </w:pPr>
    </w:p>
    <w:p>
      <w:pPr>
        <w:jc w:val="center"/>
        <w:rPr>
          <w:rFonts w:ascii="宋体" w:hAnsi="宋体" w:cs="仿宋_GB2312"/>
          <w:color w:val="auto"/>
          <w:sz w:val="24"/>
          <w:highlight w:val="none"/>
        </w:rPr>
      </w:pPr>
    </w:p>
    <w:p>
      <w:pPr>
        <w:pStyle w:val="43"/>
        <w:ind w:firstLine="480"/>
        <w:rPr>
          <w:color w:val="auto"/>
          <w:highlight w:val="none"/>
        </w:rPr>
      </w:pPr>
    </w:p>
    <w:p>
      <w:pPr>
        <w:spacing w:line="480" w:lineRule="auto"/>
        <w:ind w:firstLine="1920" w:firstLineChars="600"/>
        <w:rPr>
          <w:rFonts w:ascii="宋体" w:hAnsi="宋体" w:cs="仿宋_GB2312"/>
          <w:color w:val="auto"/>
          <w:sz w:val="32"/>
          <w:szCs w:val="32"/>
          <w:highlight w:val="none"/>
        </w:rPr>
      </w:pPr>
      <w:r>
        <w:rPr>
          <w:rFonts w:hint="eastAsia" w:ascii="宋体" w:hAnsi="宋体" w:cs="仿宋_GB2312"/>
          <w:color w:val="auto"/>
          <w:sz w:val="32"/>
          <w:szCs w:val="32"/>
          <w:highlight w:val="none"/>
        </w:rPr>
        <w:t>供应商</w:t>
      </w:r>
      <w:r>
        <w:rPr>
          <w:rFonts w:ascii="宋体" w:hAnsi="宋体" w:cs="仿宋_GB2312"/>
          <w:color w:val="auto"/>
          <w:sz w:val="32"/>
          <w:szCs w:val="32"/>
          <w:highlight w:val="none"/>
        </w:rPr>
        <w:t>全称：（加盖单位公章）</w:t>
      </w:r>
    </w:p>
    <w:p>
      <w:pPr>
        <w:spacing w:line="480" w:lineRule="auto"/>
        <w:ind w:firstLine="1920" w:firstLineChars="600"/>
        <w:rPr>
          <w:rFonts w:ascii="宋体" w:hAnsi="宋体" w:cs="仿宋_GB2312"/>
          <w:color w:val="auto"/>
          <w:sz w:val="32"/>
          <w:szCs w:val="32"/>
          <w:highlight w:val="none"/>
        </w:rPr>
      </w:pPr>
      <w:r>
        <w:rPr>
          <w:rFonts w:ascii="宋体" w:hAnsi="宋体" w:cs="仿宋_GB2312"/>
          <w:color w:val="auto"/>
          <w:sz w:val="32"/>
          <w:szCs w:val="32"/>
          <w:highlight w:val="none"/>
        </w:rPr>
        <w:t>地址：</w:t>
      </w:r>
    </w:p>
    <w:p>
      <w:pPr>
        <w:spacing w:line="480" w:lineRule="auto"/>
        <w:jc w:val="left"/>
        <w:rPr>
          <w:rStyle w:val="143"/>
          <w:rFonts w:hint="eastAsia" w:ascii="宋体" w:hAnsi="宋体" w:cs="宋体"/>
          <w:color w:val="auto"/>
          <w:szCs w:val="24"/>
          <w:highlight w:val="none"/>
        </w:rPr>
      </w:pPr>
    </w:p>
    <w:p>
      <w:pPr>
        <w:spacing w:line="480" w:lineRule="auto"/>
        <w:jc w:val="left"/>
        <w:rPr>
          <w:rStyle w:val="143"/>
          <w:rFonts w:hint="eastAsia" w:ascii="宋体" w:hAnsi="宋体" w:cs="宋体"/>
          <w:color w:val="auto"/>
          <w:szCs w:val="24"/>
          <w:highlight w:val="none"/>
        </w:rPr>
      </w:pPr>
    </w:p>
    <w:p>
      <w:pPr>
        <w:spacing w:line="480" w:lineRule="auto"/>
        <w:jc w:val="left"/>
        <w:rPr>
          <w:rStyle w:val="143"/>
          <w:rFonts w:hint="eastAsia" w:ascii="宋体" w:hAnsi="宋体" w:cs="宋体"/>
          <w:color w:val="auto"/>
          <w:szCs w:val="24"/>
          <w:highlight w:val="none"/>
        </w:rPr>
      </w:pPr>
    </w:p>
    <w:p>
      <w:pPr>
        <w:spacing w:line="480" w:lineRule="auto"/>
        <w:jc w:val="left"/>
        <w:rPr>
          <w:rStyle w:val="143"/>
          <w:rFonts w:hint="eastAsia" w:ascii="宋体" w:hAnsi="宋体" w:cs="宋体"/>
          <w:color w:val="auto"/>
          <w:szCs w:val="24"/>
          <w:highlight w:val="none"/>
        </w:rPr>
      </w:pPr>
    </w:p>
    <w:p>
      <w:pPr>
        <w:spacing w:line="480" w:lineRule="auto"/>
        <w:jc w:val="left"/>
        <w:rPr>
          <w:rStyle w:val="143"/>
          <w:rFonts w:hint="eastAsia" w:ascii="宋体" w:hAnsi="宋体" w:cs="宋体"/>
          <w:color w:val="auto"/>
          <w:szCs w:val="24"/>
          <w:highlight w:val="none"/>
        </w:rPr>
      </w:pPr>
    </w:p>
    <w:p>
      <w:pPr>
        <w:spacing w:line="480" w:lineRule="auto"/>
        <w:jc w:val="left"/>
        <w:rPr>
          <w:rStyle w:val="143"/>
          <w:rFonts w:hint="eastAsia" w:ascii="宋体" w:hAnsi="宋体" w:cs="宋体"/>
          <w:color w:val="auto"/>
          <w:szCs w:val="24"/>
          <w:highlight w:val="none"/>
        </w:rPr>
      </w:pPr>
      <w:r>
        <w:rPr>
          <w:rStyle w:val="143"/>
          <w:rFonts w:hint="eastAsia" w:ascii="宋体" w:hAnsi="宋体" w:cs="宋体"/>
          <w:color w:val="auto"/>
          <w:szCs w:val="24"/>
          <w:highlight w:val="none"/>
        </w:rPr>
        <w:t>附件</w:t>
      </w: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法定代表人授权书</w:t>
      </w:r>
    </w:p>
    <w:p>
      <w:pPr>
        <w:jc w:val="center"/>
        <w:rPr>
          <w:rFonts w:hint="eastAsia" w:ascii="宋体" w:hAnsi="宋体" w:cs="宋体"/>
          <w:bCs/>
          <w:color w:val="auto"/>
          <w:szCs w:val="21"/>
          <w:highlight w:val="none"/>
        </w:rPr>
      </w:pPr>
    </w:p>
    <w:p>
      <w:pPr>
        <w:jc w:val="center"/>
        <w:rPr>
          <w:rFonts w:hint="eastAsia" w:ascii="宋体" w:hAnsi="宋体" w:cs="宋体"/>
          <w:bCs/>
          <w:color w:val="auto"/>
          <w:szCs w:val="21"/>
          <w:highlight w:val="none"/>
        </w:rPr>
      </w:pPr>
      <w:r>
        <w:rPr>
          <w:rFonts w:hint="eastAsia" w:ascii="宋体" w:hAnsi="宋体" w:cs="宋体"/>
          <w:bCs/>
          <w:color w:val="auto"/>
          <w:szCs w:val="21"/>
          <w:highlight w:val="none"/>
        </w:rPr>
        <w:t>（若授权委托人参加开标的，在开标身份确认时提供一份原件）</w:t>
      </w:r>
    </w:p>
    <w:p>
      <w:pPr>
        <w:jc w:val="center"/>
        <w:rPr>
          <w:rFonts w:hint="eastAsia" w:ascii="宋体" w:hAnsi="宋体" w:cs="宋体"/>
          <w:bCs/>
          <w:color w:val="auto"/>
          <w:szCs w:val="21"/>
          <w:highlight w:val="none"/>
        </w:rPr>
      </w:pPr>
    </w:p>
    <w:p>
      <w:pPr>
        <w:spacing w:line="600" w:lineRule="exact"/>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（采购人）：</w:t>
      </w:r>
    </w:p>
    <w:p>
      <w:pPr>
        <w:spacing w:line="600" w:lineRule="exact"/>
        <w:rPr>
          <w:rFonts w:hint="eastAsia"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（供应商全称）法定代表人</w:t>
      </w:r>
      <w:r>
        <w:rPr>
          <w:rFonts w:hint="eastAsia" w:ascii="宋体" w:hAnsi="宋体" w:cs="宋体"/>
          <w:color w:val="auto"/>
          <w:highlight w:val="none"/>
          <w:u w:val="single"/>
        </w:rPr>
        <w:t xml:space="preserve">              </w:t>
      </w:r>
      <w:r>
        <w:rPr>
          <w:rFonts w:hint="eastAsia" w:ascii="宋体" w:hAnsi="宋体" w:cs="宋体"/>
          <w:color w:val="auto"/>
          <w:highlight w:val="none"/>
        </w:rPr>
        <w:t>授权</w:t>
      </w:r>
      <w:r>
        <w:rPr>
          <w:rFonts w:hint="eastAsia" w:ascii="宋体" w:hAnsi="宋体" w:cs="宋体"/>
          <w:color w:val="auto"/>
          <w:highlight w:val="none"/>
          <w:u w:val="single"/>
        </w:rPr>
        <w:t xml:space="preserve">               </w:t>
      </w:r>
      <w:r>
        <w:rPr>
          <w:rFonts w:hint="eastAsia" w:ascii="宋体" w:hAnsi="宋体" w:cs="宋体"/>
          <w:color w:val="auto"/>
          <w:highlight w:val="none"/>
        </w:rPr>
        <w:t>（授权代表名称）为授权代表，参加贵单位组织的</w:t>
      </w:r>
      <w:r>
        <w:rPr>
          <w:rFonts w:hint="eastAsia" w:ascii="宋体" w:hAnsi="宋体" w:cs="宋体"/>
          <w:color w:val="auto"/>
          <w:highlight w:val="none"/>
          <w:u w:val="single"/>
        </w:rPr>
        <w:t xml:space="preserve">                   </w:t>
      </w:r>
      <w:r>
        <w:rPr>
          <w:rFonts w:hint="eastAsia" w:ascii="宋体" w:hAnsi="宋体" w:cs="宋体"/>
          <w:color w:val="auto"/>
          <w:highlight w:val="none"/>
        </w:rPr>
        <w:t>（项目名称）政府采购招标，采购编号为</w:t>
      </w:r>
      <w:r>
        <w:rPr>
          <w:rFonts w:hint="eastAsia" w:ascii="宋体" w:hAnsi="宋体" w:cs="宋体"/>
          <w:color w:val="auto"/>
          <w:highlight w:val="none"/>
          <w:u w:val="single"/>
        </w:rPr>
        <w:t xml:space="preserve">            </w:t>
      </w:r>
      <w:r>
        <w:rPr>
          <w:rFonts w:hint="eastAsia" w:ascii="宋体" w:hAnsi="宋体" w:cs="宋体"/>
          <w:color w:val="auto"/>
          <w:highlight w:val="none"/>
        </w:rPr>
        <w:t>，其在招投标活动中的一切活动本公司均予承认。</w:t>
      </w:r>
    </w:p>
    <w:p>
      <w:pPr>
        <w:spacing w:line="600" w:lineRule="exact"/>
        <w:rPr>
          <w:rFonts w:hint="eastAsia" w:ascii="宋体" w:hAnsi="宋体" w:cs="宋体"/>
          <w:color w:val="auto"/>
          <w:highlight w:val="none"/>
        </w:rPr>
      </w:pPr>
    </w:p>
    <w:p>
      <w:pPr>
        <w:spacing w:line="600" w:lineRule="exact"/>
        <w:rPr>
          <w:rFonts w:hint="eastAsia" w:ascii="宋体" w:hAnsi="宋体" w:cs="宋体"/>
          <w:color w:val="auto"/>
          <w:highlight w:val="none"/>
        </w:rPr>
      </w:pPr>
    </w:p>
    <w:p>
      <w:pPr>
        <w:adjustRightInd w:val="0"/>
        <w:snapToGrid w:val="0"/>
        <w:spacing w:after="120" w:afterLines="50" w:line="400" w:lineRule="exact"/>
        <w:rPr>
          <w:rFonts w:hint="eastAsia" w:ascii="宋体" w:hAnsi="宋体" w:cs="宋体"/>
          <w:color w:val="auto"/>
          <w:kern w:val="0"/>
          <w:highlight w:val="none"/>
        </w:rPr>
      </w:pPr>
      <w:r>
        <w:rPr>
          <w:rFonts w:hint="eastAsia" w:ascii="宋体" w:hAnsi="宋体" w:cs="宋体"/>
          <w:color w:val="auto"/>
          <w:kern w:val="0"/>
          <w:highlight w:val="none"/>
        </w:rPr>
        <w:t xml:space="preserve">                                     供应商名称（公章）：</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pPr>
        <w:spacing w:line="400" w:lineRule="exact"/>
        <w:rPr>
          <w:rFonts w:hint="eastAsia" w:ascii="宋体" w:hAnsi="宋体" w:cs="宋体"/>
          <w:color w:val="auto"/>
          <w:spacing w:val="20"/>
          <w:highlight w:val="none"/>
        </w:rPr>
      </w:pPr>
      <w:r>
        <w:rPr>
          <w:rFonts w:hint="eastAsia" w:ascii="宋体" w:hAnsi="宋体" w:cs="宋体"/>
          <w:color w:val="auto"/>
          <w:kern w:val="0"/>
          <w:highlight w:val="none"/>
        </w:rPr>
        <w:t xml:space="preserve">                                     </w:t>
      </w:r>
      <w:r>
        <w:rPr>
          <w:rFonts w:hint="eastAsia" w:ascii="宋体" w:hAnsi="宋体" w:cs="宋体"/>
          <w:color w:val="auto"/>
          <w:highlight w:val="none"/>
        </w:rPr>
        <w:t>法定代表人签字：</w:t>
      </w:r>
      <w:r>
        <w:rPr>
          <w:rFonts w:hint="eastAsia" w:ascii="宋体" w:hAnsi="宋体" w:cs="宋体"/>
          <w:color w:val="auto"/>
          <w:highlight w:val="none"/>
          <w:u w:val="single"/>
        </w:rPr>
        <w:t xml:space="preserve">                               </w:t>
      </w:r>
      <w:r>
        <w:rPr>
          <w:rFonts w:hint="eastAsia" w:ascii="宋体" w:hAnsi="宋体" w:cs="宋体"/>
          <w:color w:val="auto"/>
          <w:spacing w:val="20"/>
          <w:highlight w:val="none"/>
        </w:rPr>
        <w:t xml:space="preserve">    </w:t>
      </w:r>
    </w:p>
    <w:p>
      <w:pPr>
        <w:spacing w:line="560" w:lineRule="exact"/>
        <w:rPr>
          <w:rFonts w:hint="eastAsia" w:ascii="宋体" w:hAnsi="宋体" w:cs="宋体"/>
          <w:color w:val="auto"/>
          <w:highlight w:val="none"/>
        </w:rPr>
      </w:pPr>
      <w:r>
        <w:rPr>
          <w:rFonts w:hint="eastAsia" w:ascii="宋体" w:hAnsi="宋体" w:cs="宋体"/>
          <w:color w:val="auto"/>
          <w:kern w:val="0"/>
          <w:highlight w:val="none"/>
        </w:rPr>
        <w:t xml:space="preserve">                                     </w:t>
      </w:r>
      <w:r>
        <w:rPr>
          <w:rFonts w:hint="eastAsia" w:ascii="宋体" w:hAnsi="宋体" w:cs="宋体"/>
          <w:color w:val="auto"/>
          <w:highlight w:val="none"/>
        </w:rPr>
        <w:t>日 期：        年    月    日</w:t>
      </w:r>
    </w:p>
    <w:p>
      <w:pPr>
        <w:spacing w:line="400" w:lineRule="exact"/>
        <w:rPr>
          <w:rFonts w:hint="eastAsia" w:ascii="宋体" w:hAnsi="宋体" w:cs="宋体"/>
          <w:color w:val="auto"/>
          <w:highlight w:val="none"/>
        </w:rPr>
      </w:pPr>
      <w:r>
        <w:rPr>
          <w:rFonts w:hint="eastAsia" w:ascii="宋体" w:hAnsi="宋体" w:cs="宋体"/>
          <w:color w:val="auto"/>
          <w:highlight w:val="none"/>
        </w:rPr>
        <w:t xml:space="preserve"> </w:t>
      </w:r>
    </w:p>
    <w:p>
      <w:pPr>
        <w:spacing w:line="400" w:lineRule="exact"/>
        <w:rPr>
          <w:rFonts w:hint="eastAsia" w:ascii="宋体" w:hAnsi="宋体" w:cs="宋体"/>
          <w:color w:val="auto"/>
          <w:highlight w:val="none"/>
        </w:rPr>
      </w:pPr>
    </w:p>
    <w:p>
      <w:pPr>
        <w:spacing w:line="480" w:lineRule="auto"/>
        <w:rPr>
          <w:rFonts w:hint="eastAsia" w:ascii="宋体" w:hAnsi="宋体" w:cs="宋体"/>
          <w:color w:val="auto"/>
          <w:highlight w:val="none"/>
        </w:rPr>
      </w:pPr>
      <w:r>
        <w:rPr>
          <w:rFonts w:hint="eastAsia" w:ascii="宋体" w:hAnsi="宋体" w:cs="宋体"/>
          <w:color w:val="auto"/>
          <w:highlight w:val="none"/>
        </w:rPr>
        <w:t>附：</w:t>
      </w:r>
    </w:p>
    <w:p>
      <w:pPr>
        <w:spacing w:line="480" w:lineRule="auto"/>
        <w:rPr>
          <w:rFonts w:hint="eastAsia" w:ascii="宋体" w:hAnsi="宋体" w:cs="宋体"/>
          <w:color w:val="auto"/>
          <w:highlight w:val="none"/>
          <w:u w:val="single"/>
        </w:rPr>
      </w:pPr>
      <w:r>
        <w:rPr>
          <w:rFonts w:hint="eastAsia" w:ascii="宋体" w:hAnsi="宋体" w:cs="宋体"/>
          <w:color w:val="auto"/>
          <w:highlight w:val="none"/>
        </w:rPr>
        <w:t xml:space="preserve">    授权代表姓名：</w:t>
      </w:r>
      <w:r>
        <w:rPr>
          <w:rFonts w:hint="eastAsia" w:ascii="宋体" w:hAnsi="宋体" w:cs="宋体"/>
          <w:color w:val="auto"/>
          <w:highlight w:val="none"/>
          <w:u w:val="single"/>
        </w:rPr>
        <w:t xml:space="preserve">                 </w:t>
      </w:r>
    </w:p>
    <w:p>
      <w:pPr>
        <w:spacing w:line="480" w:lineRule="auto"/>
        <w:rPr>
          <w:rFonts w:hint="eastAsia" w:ascii="宋体" w:hAnsi="宋体" w:cs="宋体"/>
          <w:color w:val="auto"/>
          <w:highlight w:val="none"/>
          <w:u w:val="single"/>
        </w:rPr>
      </w:pPr>
      <w:r>
        <w:rPr>
          <w:rFonts w:hint="eastAsia" w:ascii="宋体" w:hAnsi="宋体" w:cs="宋体"/>
          <w:color w:val="auto"/>
          <w:highlight w:val="none"/>
        </w:rPr>
        <w:t xml:space="preserve">    职务：</w:t>
      </w:r>
      <w:r>
        <w:rPr>
          <w:rFonts w:hint="eastAsia" w:ascii="宋体" w:hAnsi="宋体" w:cs="宋体"/>
          <w:color w:val="auto"/>
          <w:highlight w:val="none"/>
          <w:u w:val="single"/>
        </w:rPr>
        <w:t xml:space="preserve">                         </w:t>
      </w:r>
    </w:p>
    <w:p>
      <w:pPr>
        <w:spacing w:line="480" w:lineRule="auto"/>
        <w:rPr>
          <w:rFonts w:hint="eastAsia" w:ascii="宋体" w:hAnsi="宋体" w:cs="宋体"/>
          <w:color w:val="auto"/>
          <w:highlight w:val="none"/>
          <w:u w:val="single"/>
        </w:rPr>
      </w:pPr>
      <w:r>
        <w:rPr>
          <w:rFonts w:hint="eastAsia" w:ascii="宋体" w:hAnsi="宋体" w:cs="宋体"/>
          <w:color w:val="auto"/>
          <w:highlight w:val="none"/>
        </w:rPr>
        <w:t xml:space="preserve">    详细通讯地址：</w:t>
      </w:r>
      <w:r>
        <w:rPr>
          <w:rFonts w:hint="eastAsia" w:ascii="宋体" w:hAnsi="宋体" w:cs="宋体"/>
          <w:color w:val="auto"/>
          <w:highlight w:val="none"/>
          <w:u w:val="single"/>
        </w:rPr>
        <w:t xml:space="preserve">                                  </w:t>
      </w:r>
    </w:p>
    <w:p>
      <w:pPr>
        <w:spacing w:line="48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传真：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邮编：</w:t>
      </w:r>
      <w:r>
        <w:rPr>
          <w:rFonts w:hint="eastAsia" w:ascii="宋体" w:hAnsi="宋体" w:cs="宋体"/>
          <w:color w:val="auto"/>
          <w:highlight w:val="none"/>
          <w:u w:val="single"/>
        </w:rPr>
        <w:t xml:space="preserve">          </w:t>
      </w:r>
    </w:p>
    <w:p>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后附：授权代表身份证复印件加盖供应商公章</w:t>
      </w:r>
    </w:p>
    <w:p>
      <w:pPr>
        <w:spacing w:line="480" w:lineRule="auto"/>
        <w:jc w:val="left"/>
        <w:rPr>
          <w:rFonts w:hint="eastAsia" w:ascii="宋体" w:hAnsi="宋体" w:cs="宋体"/>
          <w:b/>
          <w:bCs/>
          <w:color w:val="auto"/>
          <w:highlight w:val="none"/>
        </w:rPr>
      </w:pPr>
    </w:p>
    <w:p>
      <w:pPr>
        <w:spacing w:line="480" w:lineRule="auto"/>
        <w:jc w:val="left"/>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pStyle w:val="43"/>
        <w:ind w:firstLine="594"/>
        <w:rPr>
          <w:rStyle w:val="143"/>
          <w:rFonts w:hint="eastAsia" w:ascii="宋体" w:hAnsi="宋体" w:cs="宋体"/>
          <w:color w:val="auto"/>
          <w:sz w:val="30"/>
          <w:szCs w:val="30"/>
          <w:highlight w:val="none"/>
        </w:rPr>
      </w:pPr>
    </w:p>
    <w:p>
      <w:pPr>
        <w:spacing w:line="480" w:lineRule="auto"/>
        <w:jc w:val="left"/>
        <w:rPr>
          <w:rStyle w:val="143"/>
          <w:rFonts w:hint="eastAsia" w:ascii="宋体" w:hAnsi="宋体" w:cs="宋体"/>
          <w:color w:val="auto"/>
          <w:szCs w:val="24"/>
          <w:highlight w:val="none"/>
        </w:rPr>
      </w:pPr>
    </w:p>
    <w:p>
      <w:pPr>
        <w:spacing w:line="480" w:lineRule="auto"/>
        <w:jc w:val="left"/>
        <w:rPr>
          <w:rStyle w:val="143"/>
          <w:rFonts w:hint="eastAsia" w:ascii="宋体" w:hAnsi="宋体" w:cs="宋体"/>
          <w:color w:val="auto"/>
          <w:szCs w:val="24"/>
          <w:highlight w:val="none"/>
        </w:rPr>
      </w:pPr>
      <w:r>
        <w:rPr>
          <w:rStyle w:val="143"/>
          <w:rFonts w:hint="eastAsia" w:ascii="宋体" w:hAnsi="宋体" w:cs="宋体"/>
          <w:color w:val="auto"/>
          <w:szCs w:val="24"/>
          <w:highlight w:val="none"/>
        </w:rPr>
        <w:t>附件</w:t>
      </w:r>
    </w:p>
    <w:p>
      <w:pPr>
        <w:pStyle w:val="100"/>
        <w:snapToGrid w:val="0"/>
        <w:spacing w:line="400" w:lineRule="exact"/>
        <w:jc w:val="center"/>
        <w:rPr>
          <w:rFonts w:hint="eastAsia" w:hAnsi="宋体" w:cs="宋体"/>
          <w:b/>
          <w:color w:val="auto"/>
          <w:szCs w:val="21"/>
          <w:highlight w:val="none"/>
        </w:rPr>
      </w:pPr>
      <w:r>
        <w:rPr>
          <w:rFonts w:hint="eastAsia" w:hAnsi="宋体" w:cs="宋体"/>
          <w:b/>
          <w:color w:val="auto"/>
          <w:szCs w:val="21"/>
          <w:highlight w:val="none"/>
        </w:rPr>
        <w:t>政府采购活动现场确认声明书</w:t>
      </w:r>
    </w:p>
    <w:p>
      <w:pPr>
        <w:adjustRightInd w:val="0"/>
        <w:snapToGrid w:val="0"/>
        <w:spacing w:line="700" w:lineRule="exact"/>
        <w:rPr>
          <w:rFonts w:hint="eastAsia" w:ascii="宋体" w:hAnsi="宋体" w:cs="宋体"/>
          <w:b/>
          <w:color w:val="auto"/>
          <w:szCs w:val="21"/>
          <w:highlight w:val="none"/>
        </w:rPr>
      </w:pPr>
      <w:r>
        <w:rPr>
          <w:rFonts w:hint="eastAsia" w:ascii="宋体" w:hAnsi="宋体" w:cs="宋体"/>
          <w:color w:val="auto"/>
          <w:spacing w:val="6"/>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pStyle w:val="100"/>
        <w:snapToGrid w:val="0"/>
        <w:spacing w:line="400" w:lineRule="exact"/>
        <w:ind w:firstLine="444" w:firstLineChars="200"/>
        <w:rPr>
          <w:rFonts w:hint="eastAsia" w:hAnsi="宋体" w:cs="宋体"/>
          <w:color w:val="auto"/>
          <w:spacing w:val="6"/>
          <w:szCs w:val="21"/>
          <w:highlight w:val="none"/>
        </w:rPr>
      </w:pPr>
      <w:r>
        <w:rPr>
          <w:rFonts w:hint="eastAsia" w:hAnsi="宋体" w:cs="宋体"/>
          <w:color w:val="auto"/>
          <w:spacing w:val="6"/>
          <w:szCs w:val="21"/>
          <w:highlight w:val="none"/>
        </w:rPr>
        <w:t>本人经由</w:t>
      </w:r>
      <w:r>
        <w:rPr>
          <w:rFonts w:hint="eastAsia" w:hAnsi="宋体" w:cs="宋体"/>
          <w:color w:val="auto"/>
          <w:spacing w:val="6"/>
          <w:szCs w:val="21"/>
          <w:highlight w:val="none"/>
          <w:u w:val="single"/>
        </w:rPr>
        <w:t xml:space="preserve">  </w:t>
      </w:r>
      <w:r>
        <w:rPr>
          <w:rFonts w:hint="eastAsia" w:hAnsi="宋体" w:cs="宋体"/>
          <w:color w:val="auto"/>
          <w:kern w:val="0"/>
          <w:szCs w:val="21"/>
          <w:highlight w:val="none"/>
          <w:u w:val="single"/>
        </w:rPr>
        <w:t xml:space="preserve">（供应商名称）  </w:t>
      </w:r>
      <w:r>
        <w:rPr>
          <w:rFonts w:hint="eastAsia" w:hAnsi="宋体" w:cs="宋体"/>
          <w:color w:val="auto"/>
          <w:spacing w:val="6"/>
          <w:szCs w:val="21"/>
          <w:highlight w:val="none"/>
        </w:rPr>
        <w:t>法人代表（负责人）</w:t>
      </w:r>
      <w:r>
        <w:rPr>
          <w:rFonts w:hint="eastAsia" w:hAnsi="宋体" w:cs="宋体"/>
          <w:color w:val="auto"/>
          <w:spacing w:val="6"/>
          <w:szCs w:val="21"/>
          <w:highlight w:val="none"/>
          <w:u w:val="single"/>
        </w:rPr>
        <w:t xml:space="preserve">    （姓名）</w:t>
      </w:r>
      <w:r>
        <w:rPr>
          <w:rFonts w:hint="eastAsia" w:hAnsi="宋体" w:cs="宋体"/>
          <w:color w:val="auto"/>
          <w:spacing w:val="6"/>
          <w:szCs w:val="21"/>
          <w:highlight w:val="none"/>
        </w:rPr>
        <w:t>合法授权参加</w:t>
      </w:r>
      <w:r>
        <w:rPr>
          <w:rFonts w:hint="eastAsia" w:hAnsi="宋体" w:cs="宋体"/>
          <w:color w:val="auto"/>
          <w:spacing w:val="6"/>
          <w:szCs w:val="21"/>
          <w:highlight w:val="none"/>
          <w:u w:val="single"/>
        </w:rPr>
        <w:t xml:space="preserve">      </w:t>
      </w:r>
      <w:r>
        <w:rPr>
          <w:rFonts w:hint="eastAsia" w:hAnsi="宋体" w:cs="宋体"/>
          <w:color w:val="auto"/>
          <w:spacing w:val="6"/>
          <w:szCs w:val="21"/>
          <w:highlight w:val="none"/>
        </w:rPr>
        <w:t>项目（采购编号：</w:t>
      </w:r>
      <w:r>
        <w:rPr>
          <w:rFonts w:hint="eastAsia" w:hAnsi="宋体" w:cs="宋体"/>
          <w:color w:val="auto"/>
          <w:spacing w:val="6"/>
          <w:szCs w:val="21"/>
          <w:highlight w:val="none"/>
          <w:u w:val="single"/>
        </w:rPr>
        <w:t xml:space="preserve">       </w:t>
      </w:r>
      <w:r>
        <w:rPr>
          <w:rFonts w:hint="eastAsia" w:hAnsi="宋体" w:cs="宋体"/>
          <w:color w:val="auto"/>
          <w:spacing w:val="6"/>
          <w:szCs w:val="21"/>
          <w:highlight w:val="none"/>
        </w:rPr>
        <w:t>）政府采购活动，经与本单位法人代表（负责人）联系确认，现就有关公平竞争事项郑重声明如下：</w:t>
      </w:r>
    </w:p>
    <w:p>
      <w:pPr>
        <w:pStyle w:val="83"/>
        <w:widowControl/>
        <w:numPr>
          <w:ilvl w:val="0"/>
          <w:numId w:val="14"/>
        </w:numPr>
        <w:snapToGrid w:val="0"/>
        <w:spacing w:line="400" w:lineRule="exact"/>
        <w:ind w:firstLine="396" w:firstLineChars="189"/>
        <w:rPr>
          <w:rFonts w:ascii="宋体" w:hAnsi="宋体" w:cs="宋体"/>
          <w:color w:val="auto"/>
          <w:kern w:val="0"/>
          <w:szCs w:val="21"/>
          <w:highlight w:val="none"/>
        </w:rPr>
      </w:pPr>
      <w:r>
        <w:rPr>
          <w:rFonts w:ascii="宋体" w:hAnsi="宋体" w:cs="宋体"/>
          <w:color w:val="auto"/>
          <w:kern w:val="0"/>
          <w:szCs w:val="21"/>
          <w:highlight w:val="none"/>
        </w:rPr>
        <w:t>本单位与采购人之间 □不存在利害关系 □存在下列利害关系</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w:t>
      </w:r>
    </w:p>
    <w:p>
      <w:pPr>
        <w:pStyle w:val="83"/>
        <w:widowControl/>
        <w:snapToGrid w:val="0"/>
        <w:spacing w:line="400" w:lineRule="exact"/>
        <w:ind w:left="397"/>
        <w:rPr>
          <w:rFonts w:ascii="宋体" w:hAnsi="宋体" w:cs="宋体"/>
          <w:color w:val="auto"/>
          <w:kern w:val="0"/>
          <w:szCs w:val="21"/>
          <w:highlight w:val="none"/>
        </w:rPr>
      </w:pPr>
      <w:r>
        <w:rPr>
          <w:rFonts w:ascii="宋体" w:hAnsi="宋体" w:cs="宋体"/>
          <w:color w:val="auto"/>
          <w:kern w:val="0"/>
          <w:szCs w:val="21"/>
          <w:highlight w:val="none"/>
        </w:rPr>
        <w:t>A.投资关系    B.行政隶属关系    C.业务指导关系</w:t>
      </w:r>
    </w:p>
    <w:p>
      <w:pPr>
        <w:pStyle w:val="83"/>
        <w:widowControl/>
        <w:snapToGrid w:val="0"/>
        <w:spacing w:line="400" w:lineRule="exact"/>
        <w:ind w:left="397"/>
        <w:rPr>
          <w:rFonts w:ascii="宋体" w:hAnsi="宋体" w:cs="宋体"/>
          <w:color w:val="auto"/>
          <w:kern w:val="0"/>
          <w:szCs w:val="21"/>
          <w:highlight w:val="none"/>
        </w:rPr>
      </w:pPr>
      <w:r>
        <w:rPr>
          <w:rFonts w:ascii="宋体" w:hAnsi="宋体" w:cs="宋体"/>
          <w:color w:val="auto"/>
          <w:kern w:val="0"/>
          <w:szCs w:val="21"/>
          <w:highlight w:val="none"/>
        </w:rPr>
        <w:t>D.其他可能</w:t>
      </w:r>
      <w:r>
        <w:rPr>
          <w:rFonts w:ascii="宋体" w:hAnsi="宋体" w:cs="宋体"/>
          <w:color w:val="auto"/>
          <w:szCs w:val="21"/>
          <w:highlight w:val="none"/>
        </w:rPr>
        <w:t>影响采购公正的</w:t>
      </w:r>
      <w:r>
        <w:rPr>
          <w:rFonts w:ascii="宋体" w:hAnsi="宋体" w:cs="宋体"/>
          <w:color w:val="auto"/>
          <w:kern w:val="0"/>
          <w:szCs w:val="21"/>
          <w:highlight w:val="none"/>
        </w:rPr>
        <w:t>利害关系</w:t>
      </w:r>
      <w:r>
        <w:rPr>
          <w:rFonts w:ascii="宋体" w:hAnsi="宋体" w:cs="宋体"/>
          <w:color w:val="auto"/>
          <w:kern w:val="0"/>
          <w:szCs w:val="21"/>
          <w:highlight w:val="none"/>
          <w:u w:val="single"/>
        </w:rPr>
        <w:t xml:space="preserve">（如有，请如实说明）                 </w:t>
      </w:r>
      <w:r>
        <w:rPr>
          <w:rFonts w:ascii="宋体" w:hAnsi="宋体" w:cs="宋体"/>
          <w:color w:val="auto"/>
          <w:kern w:val="0"/>
          <w:szCs w:val="21"/>
          <w:highlight w:val="none"/>
        </w:rPr>
        <w:t>。</w:t>
      </w:r>
    </w:p>
    <w:p>
      <w:pPr>
        <w:pStyle w:val="83"/>
        <w:widowControl/>
        <w:snapToGrid w:val="0"/>
        <w:spacing w:line="400" w:lineRule="exact"/>
        <w:ind w:firstLine="444" w:firstLineChars="200"/>
        <w:rPr>
          <w:rFonts w:ascii="宋体" w:hAnsi="宋体" w:cs="宋体"/>
          <w:color w:val="auto"/>
          <w:kern w:val="0"/>
          <w:szCs w:val="21"/>
          <w:highlight w:val="none"/>
        </w:rPr>
      </w:pPr>
      <w:r>
        <w:rPr>
          <w:rFonts w:ascii="宋体" w:hAnsi="宋体" w:cs="宋体"/>
          <w:color w:val="auto"/>
          <w:spacing w:val="6"/>
          <w:szCs w:val="21"/>
          <w:highlight w:val="none"/>
        </w:rPr>
        <w:t>二、</w:t>
      </w:r>
      <w:r>
        <w:rPr>
          <w:rFonts w:ascii="宋体" w:hAnsi="宋体" w:cs="宋体"/>
          <w:color w:val="auto"/>
          <w:kern w:val="0"/>
          <w:szCs w:val="21"/>
          <w:highlight w:val="none"/>
        </w:rPr>
        <w:t>现已清楚知道参加本项目采购活动的其他所有供应商名称，本单位 □与其他所有供应商之间均不存在利害关系 □与</w:t>
      </w:r>
      <w:r>
        <w:rPr>
          <w:rFonts w:ascii="宋体" w:hAnsi="宋体" w:cs="宋体"/>
          <w:color w:val="auto"/>
          <w:kern w:val="0"/>
          <w:szCs w:val="21"/>
          <w:highlight w:val="none"/>
          <w:u w:val="single"/>
        </w:rPr>
        <w:t xml:space="preserve">           （供应商名称）</w:t>
      </w:r>
      <w:r>
        <w:rPr>
          <w:rFonts w:ascii="宋体" w:hAnsi="宋体" w:cs="宋体"/>
          <w:color w:val="auto"/>
          <w:kern w:val="0"/>
          <w:szCs w:val="21"/>
          <w:highlight w:val="none"/>
        </w:rPr>
        <w:t>之间存在下列利害关系</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A.法定代表人或负责人或实际控制人是同一人</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B.法定代表人或负责人或实际控制人是夫妻关系</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C.法定代表人或负责人或实际控制人是直系血亲关系</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D.法定代表人或负责人或实际控制人存在三代以内旁系血亲关系</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E.法定代表人或负责人或实际控制人存在近姻亲关系</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F.法定代表人或负责人或实际控制人存在股份控制或实际控制关系</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G.存在共同直接或间接投资设立子公司、联营企业和合营企业情况</w:t>
      </w:r>
    </w:p>
    <w:p>
      <w:pPr>
        <w:pStyle w:val="83"/>
        <w:widowControl/>
        <w:snapToGrid w:val="0"/>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H.存在分级代理或代销关系、同一生产制造商关系、管理关系、重要业务（占主营业务收入50%以上）或重要财务往来关系（如融资）等其他实质性控制关系</w:t>
      </w:r>
    </w:p>
    <w:p>
      <w:pPr>
        <w:pStyle w:val="83"/>
        <w:widowControl/>
        <w:snapToGrid w:val="0"/>
        <w:spacing w:line="400" w:lineRule="exact"/>
        <w:ind w:firstLine="420" w:firstLineChars="200"/>
        <w:rPr>
          <w:rFonts w:ascii="宋体" w:hAnsi="宋体" w:cs="宋体"/>
          <w:color w:val="auto"/>
          <w:spacing w:val="6"/>
          <w:szCs w:val="21"/>
          <w:highlight w:val="none"/>
        </w:rPr>
      </w:pPr>
      <w:r>
        <w:rPr>
          <w:rFonts w:ascii="宋体" w:hAnsi="宋体" w:cs="宋体"/>
          <w:color w:val="auto"/>
          <w:szCs w:val="21"/>
          <w:highlight w:val="none"/>
        </w:rPr>
        <w:t>I</w:t>
      </w:r>
      <w:r>
        <w:rPr>
          <w:rFonts w:ascii="宋体" w:hAnsi="宋体" w:cs="宋体"/>
          <w:color w:val="auto"/>
          <w:kern w:val="0"/>
          <w:szCs w:val="21"/>
          <w:highlight w:val="none"/>
        </w:rPr>
        <w:t>.</w:t>
      </w:r>
      <w:r>
        <w:rPr>
          <w:rFonts w:ascii="宋体" w:hAnsi="宋体" w:cs="宋体"/>
          <w:color w:val="auto"/>
          <w:szCs w:val="21"/>
          <w:highlight w:val="none"/>
        </w:rPr>
        <w:t>其他利害关系情况</w:t>
      </w:r>
      <w:r>
        <w:rPr>
          <w:rFonts w:ascii="宋体" w:hAnsi="宋体" w:cs="宋体"/>
          <w:color w:val="auto"/>
          <w:szCs w:val="21"/>
          <w:highlight w:val="none"/>
          <w:u w:val="single"/>
        </w:rPr>
        <w:t xml:space="preserve">                              </w:t>
      </w:r>
      <w:r>
        <w:rPr>
          <w:rFonts w:ascii="宋体" w:hAnsi="宋体" w:cs="宋体"/>
          <w:color w:val="auto"/>
          <w:kern w:val="0"/>
          <w:szCs w:val="21"/>
          <w:highlight w:val="none"/>
        </w:rPr>
        <w:t>。</w:t>
      </w:r>
    </w:p>
    <w:p>
      <w:pPr>
        <w:pStyle w:val="83"/>
        <w:widowControl/>
        <w:numPr>
          <w:ilvl w:val="0"/>
          <w:numId w:val="15"/>
        </w:numPr>
        <w:snapToGrid w:val="0"/>
        <w:spacing w:line="400" w:lineRule="exact"/>
        <w:ind w:firstLine="396" w:firstLineChars="189"/>
        <w:rPr>
          <w:rFonts w:ascii="宋体" w:hAnsi="宋体" w:cs="宋体"/>
          <w:color w:val="auto"/>
          <w:kern w:val="0"/>
          <w:szCs w:val="21"/>
          <w:highlight w:val="none"/>
        </w:rPr>
      </w:pPr>
      <w:r>
        <w:rPr>
          <w:rFonts w:ascii="宋体" w:hAnsi="宋体" w:cs="宋体"/>
          <w:color w:val="auto"/>
          <w:szCs w:val="21"/>
          <w:highlight w:val="none"/>
        </w:rPr>
        <w:t>现已清楚知道并</w:t>
      </w:r>
      <w:r>
        <w:rPr>
          <w:rFonts w:ascii="宋体" w:hAnsi="宋体" w:cs="宋体"/>
          <w:color w:val="auto"/>
          <w:kern w:val="0"/>
          <w:szCs w:val="21"/>
          <w:highlight w:val="none"/>
        </w:rPr>
        <w:t>严格遵守政府采购法律法规和现场纪律。</w:t>
      </w:r>
    </w:p>
    <w:p>
      <w:pPr>
        <w:pStyle w:val="83"/>
        <w:widowControl/>
        <w:numPr>
          <w:ilvl w:val="0"/>
          <w:numId w:val="15"/>
        </w:numPr>
        <w:snapToGrid w:val="0"/>
        <w:spacing w:line="400" w:lineRule="exact"/>
        <w:ind w:firstLine="396" w:firstLineChars="189"/>
        <w:rPr>
          <w:rFonts w:ascii="宋体" w:hAnsi="宋体" w:cs="宋体"/>
          <w:color w:val="auto"/>
          <w:kern w:val="0"/>
          <w:szCs w:val="21"/>
          <w:highlight w:val="none"/>
        </w:rPr>
      </w:pPr>
      <w:r>
        <w:rPr>
          <w:rFonts w:ascii="宋体" w:hAnsi="宋体" w:cs="宋体"/>
          <w:color w:val="auto"/>
          <w:kern w:val="0"/>
          <w:szCs w:val="21"/>
          <w:highlight w:val="none"/>
        </w:rPr>
        <w:t>我发现</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供应商之间存在或可能存在上述第二条第</w:t>
      </w:r>
      <w:r>
        <w:rPr>
          <w:rFonts w:ascii="宋体" w:hAnsi="宋体" w:cs="宋体"/>
          <w:color w:val="auto"/>
          <w:kern w:val="0"/>
          <w:szCs w:val="21"/>
          <w:highlight w:val="none"/>
          <w:u w:val="single"/>
        </w:rPr>
        <w:t xml:space="preserve">        </w:t>
      </w:r>
      <w:r>
        <w:rPr>
          <w:rFonts w:ascii="宋体" w:hAnsi="宋体" w:cs="宋体"/>
          <w:color w:val="auto"/>
          <w:kern w:val="0"/>
          <w:szCs w:val="21"/>
          <w:highlight w:val="none"/>
        </w:rPr>
        <w:t>项利害关系。</w:t>
      </w:r>
    </w:p>
    <w:p>
      <w:pPr>
        <w:pStyle w:val="100"/>
        <w:snapToGrid w:val="0"/>
        <w:spacing w:line="400" w:lineRule="exact"/>
        <w:ind w:firstLine="420" w:firstLineChars="200"/>
        <w:rPr>
          <w:rFonts w:hint="eastAsia" w:hAnsi="宋体" w:cs="宋体"/>
          <w:color w:val="auto"/>
          <w:szCs w:val="21"/>
          <w:highlight w:val="none"/>
        </w:rPr>
      </w:pPr>
    </w:p>
    <w:p>
      <w:pPr>
        <w:pStyle w:val="100"/>
        <w:snapToGrid w:val="0"/>
        <w:spacing w:line="400" w:lineRule="exact"/>
        <w:ind w:firstLine="1365" w:firstLineChars="650"/>
        <w:rPr>
          <w:rFonts w:hint="eastAsia" w:hAnsi="宋体" w:cs="宋体"/>
          <w:color w:val="auto"/>
          <w:szCs w:val="21"/>
          <w:highlight w:val="none"/>
        </w:rPr>
      </w:pPr>
      <w:r>
        <w:rPr>
          <w:rFonts w:hint="eastAsia" w:hAnsi="宋体" w:cs="宋体"/>
          <w:color w:val="auto"/>
          <w:szCs w:val="21"/>
          <w:highlight w:val="none"/>
        </w:rPr>
        <w:t xml:space="preserve">                               （供应商代表签名）</w:t>
      </w:r>
    </w:p>
    <w:p>
      <w:pPr>
        <w:spacing w:line="400" w:lineRule="exact"/>
        <w:ind w:firstLine="1318" w:firstLineChars="628"/>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p>
      <w:pPr>
        <w:spacing w:line="400" w:lineRule="exact"/>
        <w:rPr>
          <w:rFonts w:hint="eastAsia" w:ascii="宋体" w:hAnsi="宋体" w:cs="宋体"/>
          <w:color w:val="auto"/>
          <w:szCs w:val="21"/>
          <w:highlight w:val="none"/>
        </w:rPr>
      </w:pPr>
    </w:p>
    <w:p>
      <w:pPr>
        <w:spacing w:line="400" w:lineRule="exact"/>
        <w:rPr>
          <w:rFonts w:hint="eastAsia" w:ascii="宋体" w:hAnsi="宋体" w:cs="宋体"/>
          <w:color w:val="auto"/>
          <w:szCs w:val="21"/>
          <w:highlight w:val="none"/>
        </w:rPr>
      </w:pPr>
    </w:p>
    <w:p>
      <w:pPr>
        <w:spacing w:line="500" w:lineRule="exact"/>
        <w:rPr>
          <w:rFonts w:hint="eastAsia" w:ascii="宋体" w:hAnsi="宋体" w:cs="宋体"/>
          <w:b/>
          <w:color w:val="auto"/>
          <w:highlight w:val="none"/>
        </w:rPr>
      </w:pPr>
      <w:r>
        <w:rPr>
          <w:rFonts w:hint="eastAsia" w:ascii="宋体" w:hAnsi="宋体" w:cs="宋体"/>
          <w:b/>
          <w:color w:val="auto"/>
          <w:highlight w:val="none"/>
        </w:rPr>
        <w:t>注：1、本表非投标文件的组成内容，不须在投标文件中提供。</w:t>
      </w:r>
    </w:p>
    <w:p>
      <w:pPr>
        <w:numPr>
          <w:ilvl w:val="0"/>
          <w:numId w:val="16"/>
        </w:numPr>
        <w:spacing w:line="360" w:lineRule="auto"/>
        <w:jc w:val="left"/>
        <w:rPr>
          <w:rFonts w:hint="eastAsia" w:ascii="宋体" w:hAnsi="宋体" w:cs="宋体"/>
          <w:color w:val="auto"/>
          <w:szCs w:val="21"/>
          <w:highlight w:val="none"/>
        </w:rPr>
      </w:pPr>
      <w:r>
        <w:rPr>
          <w:rFonts w:hint="eastAsia" w:ascii="宋体" w:hAnsi="宋体" w:cs="宋体"/>
          <w:b/>
          <w:color w:val="auto"/>
          <w:highlight w:val="none"/>
        </w:rPr>
        <w:t>本表在开标现场由代理机构提供给各供应商，由各供应商签署。</w:t>
      </w:r>
    </w:p>
    <w:p>
      <w:pPr>
        <w:rPr>
          <w:rFonts w:hint="eastAsia" w:ascii="宋体" w:hAnsi="宋体" w:cs="宋体"/>
          <w:color w:val="auto"/>
          <w:szCs w:val="21"/>
          <w:highlight w:val="none"/>
        </w:rPr>
      </w:pPr>
    </w:p>
    <w:p>
      <w:pPr>
        <w:rPr>
          <w:rFonts w:hint="eastAsia" w:ascii="宋体" w:hAnsi="宋体" w:cs="宋体"/>
          <w:color w:val="auto"/>
          <w:szCs w:val="21"/>
          <w:highlight w:val="none"/>
        </w:rPr>
      </w:pPr>
    </w:p>
    <w:p>
      <w:pPr>
        <w:rPr>
          <w:rFonts w:hint="eastAsia" w:ascii="宋体" w:hAnsi="宋体" w:cs="宋体"/>
          <w:color w:val="auto"/>
          <w:szCs w:val="21"/>
          <w:highlight w:val="none"/>
        </w:rPr>
      </w:pPr>
    </w:p>
    <w:p>
      <w:pPr>
        <w:rPr>
          <w:rFonts w:hint="eastAsia" w:ascii="宋体" w:hAnsi="宋体" w:cs="宋体"/>
          <w:color w:val="auto"/>
          <w:szCs w:val="21"/>
          <w:highlight w:val="none"/>
        </w:rPr>
      </w:pPr>
    </w:p>
    <w:sectPr>
      <w:pgSz w:w="11907" w:h="16840"/>
      <w:pgMar w:top="1077" w:right="1134" w:bottom="1077" w:left="1134" w:header="284" w:footer="992" w:gutter="0"/>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书宋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535"/>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2</w: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28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aK9RcoBAACeAwAADgAAAAAAAAABACAAAAAeAQAAZHJzL2Uyb0Rv&#10;Yy54bWxQSwUGAAAAAAYABgBZAQAAWgU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128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w09VLLAQAAngMAAA4AAAAAAAAAAQAgAAAAHgEAAGRycy9lMm9E&#10;b2MueG1sUEsFBgAAAAAGAAYAWQEAAFs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1127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1127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DMeA1AAAAAMBAAAPAAAAAAAAAAEA&#10;IAAAACIAAABkcnMvZG93bnJldi54bWxQSwECFAAUAAAACACHTuJAJsXgD9oBAAClAwAADgAAAAAA&#10;AAABACAAAAAjAQAAZHJzL2Uyb0RvYy54bWxQSwUGAAAAAAYABgBZAQAAbwUAAAAA&#10;">
              <v:fill on="f" focussize="0,0"/>
              <v:stroke on="f" weight="1.25pt"/>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0" name="文本框 1332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upright="0">
                      <a:spAutoFit/>
                    </wps:bodyPr>
                  </wps:wsp>
                </a:graphicData>
              </a:graphic>
            </wp:anchor>
          </w:drawing>
        </mc:Choice>
        <mc:Fallback>
          <w:pict>
            <v:shape id="文本框 1332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AzHgNQAAAADAQAADwAAAAAAAAABACAA&#10;AAAiAAAAZHJzL2Rvd25yZXYueG1sUEsBAhQAFAAAAAgAh07iQJt2yS7YAQAApgMAAA4AAAAAAAAA&#10;AQAgAAAAIwEAAGRycy9lMm9Eb2MueG1sUEsFBgAAAAAGAAYAWQEAAG0FAAAAAA==&#10;">
              <v:fill on="f" focussize="0,0"/>
              <v:stroke on="f" weight="1.25pt"/>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11" name="文本框 1127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wrap="none" lIns="0" tIns="0" rIns="0" bIns="0" upright="0">
                      <a:spAutoFit/>
                    </wps:bodyPr>
                  </wps:wsp>
                </a:graphicData>
              </a:graphic>
            </wp:anchor>
          </w:drawing>
        </mc:Choice>
        <mc:Fallback>
          <w:pict>
            <v:shape id="文本框 11274"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DMeA1AAAAAMBAAAPAAAAAAAAAAEA&#10;IAAAACIAAABkcnMvZG93bnJldi54bWxQSwECFAAUAAAACACHTuJAXd/qf9oBAACmAwAADgAAAAAA&#10;AAABACAAAAAjAQAAZHJzL2Uyb0RvYy54bWxQSwUGAAAAAAYABgBZAQAAbwUAAAAA&#10;">
              <v:fill on="f" focussize="0,0"/>
              <v:stroke on="f" weight="1.25pt"/>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rPr>
        <w:b/>
        <w:bCs/>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b/>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C0C69"/>
    <w:multiLevelType w:val="singleLevel"/>
    <w:tmpl w:val="A74C0C69"/>
    <w:lvl w:ilvl="0" w:tentative="0">
      <w:start w:val="5"/>
      <w:numFmt w:val="decimal"/>
      <w:suff w:val="nothing"/>
      <w:lvlText w:val="（%1）"/>
      <w:lvlJc w:val="left"/>
    </w:lvl>
  </w:abstractNum>
  <w:abstractNum w:abstractNumId="1">
    <w:nsid w:val="A932F47D"/>
    <w:multiLevelType w:val="singleLevel"/>
    <w:tmpl w:val="A932F47D"/>
    <w:lvl w:ilvl="0" w:tentative="0">
      <w:start w:val="1"/>
      <w:numFmt w:val="decimal"/>
      <w:suff w:val="nothing"/>
      <w:lvlText w:val="%1、"/>
      <w:lvlJc w:val="left"/>
    </w:lvl>
  </w:abstractNum>
  <w:abstractNum w:abstractNumId="2">
    <w:nsid w:val="0000000A"/>
    <w:multiLevelType w:val="multilevel"/>
    <w:tmpl w:val="0000000A"/>
    <w:lvl w:ilvl="0" w:tentative="0">
      <w:start w:val="1"/>
      <w:numFmt w:val="decimal"/>
      <w:pStyle w:val="20"/>
      <w:lvlText w:val="(%1)"/>
      <w:lvlJc w:val="left"/>
      <w:pPr>
        <w:tabs>
          <w:tab w:val="left" w:pos="510"/>
        </w:tabs>
        <w:ind w:left="510" w:hanging="390"/>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71"/>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pStyle w:val="11"/>
      <w:lvlText w:val="%7."/>
      <w:lvlJc w:val="left"/>
      <w:pPr>
        <w:tabs>
          <w:tab w:val="left" w:pos="2940"/>
        </w:tabs>
        <w:ind w:left="2940" w:hanging="420"/>
      </w:pPr>
    </w:lvl>
    <w:lvl w:ilvl="7" w:tentative="0">
      <w:start w:val="1"/>
      <w:numFmt w:val="lowerLetter"/>
      <w:pStyle w:val="12"/>
      <w:lvlText w:val="%8)"/>
      <w:lvlJc w:val="left"/>
      <w:pPr>
        <w:tabs>
          <w:tab w:val="left" w:pos="3360"/>
        </w:tabs>
        <w:ind w:left="3360" w:hanging="420"/>
      </w:pPr>
    </w:lvl>
    <w:lvl w:ilvl="8" w:tentative="0">
      <w:start w:val="1"/>
      <w:numFmt w:val="lowerRoman"/>
      <w:pStyle w:val="13"/>
      <w:lvlText w:val="%9."/>
      <w:lvlJc w:val="right"/>
      <w:pPr>
        <w:tabs>
          <w:tab w:val="left" w:pos="3780"/>
        </w:tabs>
        <w:ind w:left="3780" w:hanging="420"/>
      </w:pPr>
    </w:lvl>
  </w:abstractNum>
  <w:abstractNum w:abstractNumId="3">
    <w:nsid w:val="0000000B"/>
    <w:multiLevelType w:val="singleLevel"/>
    <w:tmpl w:val="0000000B"/>
    <w:lvl w:ilvl="0" w:tentative="0">
      <w:start w:val="1"/>
      <w:numFmt w:val="decimal"/>
      <w:pStyle w:val="32"/>
      <w:lvlText w:val="%1、"/>
      <w:lvlJc w:val="left"/>
      <w:pPr>
        <w:tabs>
          <w:tab w:val="left" w:pos="840"/>
        </w:tabs>
        <w:ind w:left="840" w:hanging="360"/>
      </w:pPr>
      <w:rPr>
        <w:rFonts w:hint="eastAsia"/>
      </w:rPr>
    </w:lvl>
  </w:abstractNum>
  <w:abstractNum w:abstractNumId="4">
    <w:nsid w:val="0000000C"/>
    <w:multiLevelType w:val="singleLevel"/>
    <w:tmpl w:val="0000000C"/>
    <w:lvl w:ilvl="0" w:tentative="0">
      <w:start w:val="1"/>
      <w:numFmt w:val="decimal"/>
      <w:pStyle w:val="61"/>
      <w:lvlText w:val="(%1)"/>
      <w:lvlJc w:val="left"/>
      <w:pPr>
        <w:tabs>
          <w:tab w:val="left" w:pos="700"/>
        </w:tabs>
        <w:ind w:left="0" w:firstLine="340"/>
      </w:pPr>
      <w:rPr>
        <w:rFonts w:hint="eastAsia"/>
      </w:rPr>
    </w:lvl>
  </w:abstractNum>
  <w:abstractNum w:abstractNumId="5">
    <w:nsid w:val="0000000D"/>
    <w:multiLevelType w:val="multilevel"/>
    <w:tmpl w:val="0000000D"/>
    <w:lvl w:ilvl="0" w:tentative="0">
      <w:start w:val="5"/>
      <w:numFmt w:val="decimal"/>
      <w:pStyle w:val="74"/>
      <w:lvlText w:val="（%1）"/>
      <w:lvlJc w:val="left"/>
      <w:pPr>
        <w:tabs>
          <w:tab w:val="left" w:pos="1200"/>
        </w:tabs>
        <w:ind w:left="1200" w:hanging="720"/>
      </w:pPr>
      <w:rPr>
        <w:rFonts w:hint="default" w:ascii="宋体" w:eastAsia="宋体"/>
      </w:rPr>
    </w:lvl>
    <w:lvl w:ilvl="1" w:tentative="0">
      <w:start w:val="1"/>
      <w:numFmt w:val="lowerLetter"/>
      <w:pStyle w:val="77"/>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0018ED8E"/>
    <w:multiLevelType w:val="singleLevel"/>
    <w:tmpl w:val="0018ED8E"/>
    <w:lvl w:ilvl="0" w:tentative="0">
      <w:start w:val="5"/>
      <w:numFmt w:val="chineseCounting"/>
      <w:suff w:val="space"/>
      <w:lvlText w:val="第%1章"/>
      <w:lvlJc w:val="left"/>
      <w:rPr>
        <w:rFonts w:hint="eastAsia"/>
      </w:rPr>
    </w:lvl>
  </w:abstractNum>
  <w:abstractNum w:abstractNumId="7">
    <w:nsid w:val="4212F87E"/>
    <w:multiLevelType w:val="singleLevel"/>
    <w:tmpl w:val="4212F87E"/>
    <w:lvl w:ilvl="0" w:tentative="0">
      <w:start w:val="4"/>
      <w:numFmt w:val="chineseCounting"/>
      <w:suff w:val="nothing"/>
      <w:lvlText w:val="%1、"/>
      <w:lvlJc w:val="left"/>
      <w:rPr>
        <w:rFonts w:hint="eastAsia"/>
      </w:rPr>
    </w:lvl>
  </w:abstractNum>
  <w:abstractNum w:abstractNumId="8">
    <w:nsid w:val="47AD8384"/>
    <w:multiLevelType w:val="singleLevel"/>
    <w:tmpl w:val="47AD8384"/>
    <w:lvl w:ilvl="0" w:tentative="0">
      <w:start w:val="1"/>
      <w:numFmt w:val="decimal"/>
      <w:suff w:val="nothing"/>
      <w:lvlText w:val="%1、"/>
      <w:lvlJc w:val="left"/>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570459A6"/>
    <w:multiLevelType w:val="singleLevel"/>
    <w:tmpl w:val="570459A6"/>
    <w:lvl w:ilvl="0" w:tentative="0">
      <w:start w:val="2"/>
      <w:numFmt w:val="decimal"/>
      <w:suff w:val="nothing"/>
      <w:lvlText w:val="%1、"/>
      <w:lvlJc w:val="left"/>
    </w:lvl>
  </w:abstractNum>
  <w:abstractNum w:abstractNumId="12">
    <w:nsid w:val="59ACBEE7"/>
    <w:multiLevelType w:val="singleLevel"/>
    <w:tmpl w:val="59ACBEE7"/>
    <w:lvl w:ilvl="0" w:tentative="0">
      <w:start w:val="1"/>
      <w:numFmt w:val="decimal"/>
      <w:suff w:val="nothing"/>
      <w:lvlText w:val="%1、"/>
      <w:lvlJc w:val="left"/>
      <w:rPr>
        <w:rFonts w:cs="Times New Roman"/>
      </w:rPr>
    </w:lvl>
  </w:abstractNum>
  <w:abstractNum w:abstractNumId="13">
    <w:nsid w:val="5B4DA1BC"/>
    <w:multiLevelType w:val="singleLevel"/>
    <w:tmpl w:val="5B4DA1BC"/>
    <w:lvl w:ilvl="0" w:tentative="0">
      <w:start w:val="2"/>
      <w:numFmt w:val="decimal"/>
      <w:suff w:val="nothing"/>
      <w:lvlText w:val="%1、"/>
      <w:lvlJc w:val="left"/>
    </w:lvl>
  </w:abstractNum>
  <w:abstractNum w:abstractNumId="14">
    <w:nsid w:val="695B53E3"/>
    <w:multiLevelType w:val="singleLevel"/>
    <w:tmpl w:val="695B53E3"/>
    <w:lvl w:ilvl="0" w:tentative="0">
      <w:start w:val="1"/>
      <w:numFmt w:val="decimal"/>
      <w:suff w:val="nothing"/>
      <w:lvlText w:val="%1、"/>
      <w:lvlJc w:val="left"/>
    </w:lvl>
  </w:abstractNum>
  <w:abstractNum w:abstractNumId="15">
    <w:nsid w:val="6CE46604"/>
    <w:multiLevelType w:val="singleLevel"/>
    <w:tmpl w:val="6CE46604"/>
    <w:lvl w:ilvl="0" w:tentative="0">
      <w:start w:val="2"/>
      <w:numFmt w:val="decimal"/>
      <w:suff w:val="nothing"/>
      <w:lvlText w:val="%1、"/>
      <w:lvlJc w:val="left"/>
    </w:lvl>
  </w:abstractNum>
  <w:num w:numId="1">
    <w:abstractNumId w:val="2"/>
  </w:num>
  <w:num w:numId="2">
    <w:abstractNumId w:val="3"/>
  </w:num>
  <w:num w:numId="3">
    <w:abstractNumId w:val="5"/>
  </w:num>
  <w:num w:numId="4">
    <w:abstractNumId w:val="4"/>
  </w:num>
  <w:num w:numId="5">
    <w:abstractNumId w:val="0"/>
  </w:num>
  <w:num w:numId="6">
    <w:abstractNumId w:val="8"/>
  </w:num>
  <w:num w:numId="7">
    <w:abstractNumId w:val="15"/>
  </w:num>
  <w:num w:numId="8">
    <w:abstractNumId w:val="7"/>
  </w:num>
  <w:num w:numId="9">
    <w:abstractNumId w:val="6"/>
  </w:num>
  <w:num w:numId="10">
    <w:abstractNumId w:val="14"/>
  </w:num>
  <w:num w:numId="11">
    <w:abstractNumId w:val="1"/>
  </w:num>
  <w:num w:numId="12">
    <w:abstractNumId w:val="12"/>
  </w:num>
  <w:num w:numId="13">
    <w:abstractNumId w:val="13"/>
  </w:num>
  <w:num w:numId="14">
    <w:abstractNumId w:val="9"/>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3"/>
  <w:drawingGridVerticalSpacing w:val="285"/>
  <w:displayHorizontalDrawingGridEvery w:val="1"/>
  <w:displayVerticalDrawingGridEvery w:val="1"/>
  <w:noPunctuationKerning w:val="1"/>
  <w:characterSpacingControl w:val="compressPunctuation"/>
  <w:doNotValidateAgainstSchema/>
  <w:doNotDemarcateInvalidXml/>
  <w:hdrShapeDefaults>
    <o:shapelayout v:ext="edit">
      <o:idmap v:ext="edit" data="3,4,5,6,7,8,9,10,11,12,13,1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041"/>
    <w:rsid w:val="0000281B"/>
    <w:rsid w:val="0001198E"/>
    <w:rsid w:val="00012282"/>
    <w:rsid w:val="00014306"/>
    <w:rsid w:val="00014B21"/>
    <w:rsid w:val="00015B4F"/>
    <w:rsid w:val="0002015D"/>
    <w:rsid w:val="000207B5"/>
    <w:rsid w:val="00020916"/>
    <w:rsid w:val="00021546"/>
    <w:rsid w:val="00021E9D"/>
    <w:rsid w:val="000221FC"/>
    <w:rsid w:val="000223B5"/>
    <w:rsid w:val="00022F17"/>
    <w:rsid w:val="000240E1"/>
    <w:rsid w:val="00030FEB"/>
    <w:rsid w:val="0003313E"/>
    <w:rsid w:val="000343D6"/>
    <w:rsid w:val="000351AC"/>
    <w:rsid w:val="00036A88"/>
    <w:rsid w:val="00036EF8"/>
    <w:rsid w:val="000521C2"/>
    <w:rsid w:val="0005449F"/>
    <w:rsid w:val="00054D4E"/>
    <w:rsid w:val="00056F8B"/>
    <w:rsid w:val="000621FF"/>
    <w:rsid w:val="00070BF5"/>
    <w:rsid w:val="00071B3E"/>
    <w:rsid w:val="0007519E"/>
    <w:rsid w:val="00075EEA"/>
    <w:rsid w:val="00077B60"/>
    <w:rsid w:val="00085000"/>
    <w:rsid w:val="0009056C"/>
    <w:rsid w:val="000915E5"/>
    <w:rsid w:val="0009208A"/>
    <w:rsid w:val="000928A1"/>
    <w:rsid w:val="00093D10"/>
    <w:rsid w:val="000954C9"/>
    <w:rsid w:val="000A0CB8"/>
    <w:rsid w:val="000A4267"/>
    <w:rsid w:val="000A5914"/>
    <w:rsid w:val="000B07FC"/>
    <w:rsid w:val="000B3B94"/>
    <w:rsid w:val="000B4E5A"/>
    <w:rsid w:val="000B7EBF"/>
    <w:rsid w:val="000C3934"/>
    <w:rsid w:val="000C7716"/>
    <w:rsid w:val="000D11F9"/>
    <w:rsid w:val="000D2B2D"/>
    <w:rsid w:val="000D3E6B"/>
    <w:rsid w:val="000D490F"/>
    <w:rsid w:val="000D7C36"/>
    <w:rsid w:val="000E0D98"/>
    <w:rsid w:val="000E1C53"/>
    <w:rsid w:val="000E2F35"/>
    <w:rsid w:val="000E3BCE"/>
    <w:rsid w:val="000E4792"/>
    <w:rsid w:val="000E53BB"/>
    <w:rsid w:val="000F0507"/>
    <w:rsid w:val="000F67AA"/>
    <w:rsid w:val="00101C62"/>
    <w:rsid w:val="001031A0"/>
    <w:rsid w:val="00110F5A"/>
    <w:rsid w:val="00111766"/>
    <w:rsid w:val="00111B68"/>
    <w:rsid w:val="00112F54"/>
    <w:rsid w:val="00116F92"/>
    <w:rsid w:val="00120543"/>
    <w:rsid w:val="00122B59"/>
    <w:rsid w:val="00122D43"/>
    <w:rsid w:val="00126C91"/>
    <w:rsid w:val="00127DA0"/>
    <w:rsid w:val="00127E8B"/>
    <w:rsid w:val="00127EF6"/>
    <w:rsid w:val="00127FD4"/>
    <w:rsid w:val="0013004E"/>
    <w:rsid w:val="00130076"/>
    <w:rsid w:val="00131556"/>
    <w:rsid w:val="00132F22"/>
    <w:rsid w:val="00133302"/>
    <w:rsid w:val="001353CC"/>
    <w:rsid w:val="00135491"/>
    <w:rsid w:val="0013598F"/>
    <w:rsid w:val="00137D4C"/>
    <w:rsid w:val="00140618"/>
    <w:rsid w:val="00140665"/>
    <w:rsid w:val="00140E23"/>
    <w:rsid w:val="00142212"/>
    <w:rsid w:val="00142775"/>
    <w:rsid w:val="001464DA"/>
    <w:rsid w:val="001472AA"/>
    <w:rsid w:val="00147B6D"/>
    <w:rsid w:val="00150CE3"/>
    <w:rsid w:val="00150DDD"/>
    <w:rsid w:val="00151C2C"/>
    <w:rsid w:val="001556EB"/>
    <w:rsid w:val="00160F4C"/>
    <w:rsid w:val="00161947"/>
    <w:rsid w:val="00167371"/>
    <w:rsid w:val="001703B1"/>
    <w:rsid w:val="00171219"/>
    <w:rsid w:val="00171A2B"/>
    <w:rsid w:val="00173E91"/>
    <w:rsid w:val="001748D5"/>
    <w:rsid w:val="00174A5F"/>
    <w:rsid w:val="00175E7B"/>
    <w:rsid w:val="00176DD9"/>
    <w:rsid w:val="00183DD9"/>
    <w:rsid w:val="00185B4A"/>
    <w:rsid w:val="00190070"/>
    <w:rsid w:val="00191453"/>
    <w:rsid w:val="00194048"/>
    <w:rsid w:val="00194833"/>
    <w:rsid w:val="00195303"/>
    <w:rsid w:val="00195F27"/>
    <w:rsid w:val="001A106F"/>
    <w:rsid w:val="001A21BF"/>
    <w:rsid w:val="001A4DAA"/>
    <w:rsid w:val="001B0CDB"/>
    <w:rsid w:val="001B2137"/>
    <w:rsid w:val="001B295B"/>
    <w:rsid w:val="001B2CC2"/>
    <w:rsid w:val="001B4951"/>
    <w:rsid w:val="001B6629"/>
    <w:rsid w:val="001B67C8"/>
    <w:rsid w:val="001B736B"/>
    <w:rsid w:val="001B7C36"/>
    <w:rsid w:val="001C08F2"/>
    <w:rsid w:val="001C0C0C"/>
    <w:rsid w:val="001C2752"/>
    <w:rsid w:val="001C3A1F"/>
    <w:rsid w:val="001D0DE3"/>
    <w:rsid w:val="001D51EC"/>
    <w:rsid w:val="001D533F"/>
    <w:rsid w:val="001D5A63"/>
    <w:rsid w:val="001D7C78"/>
    <w:rsid w:val="001E07A4"/>
    <w:rsid w:val="001E278F"/>
    <w:rsid w:val="001E29DC"/>
    <w:rsid w:val="001E3842"/>
    <w:rsid w:val="001E5140"/>
    <w:rsid w:val="001F1439"/>
    <w:rsid w:val="001F4ECD"/>
    <w:rsid w:val="00200897"/>
    <w:rsid w:val="002015C0"/>
    <w:rsid w:val="00202333"/>
    <w:rsid w:val="002051F3"/>
    <w:rsid w:val="00206A68"/>
    <w:rsid w:val="00210552"/>
    <w:rsid w:val="00210D57"/>
    <w:rsid w:val="00211CAF"/>
    <w:rsid w:val="0021263F"/>
    <w:rsid w:val="00215757"/>
    <w:rsid w:val="00216127"/>
    <w:rsid w:val="00222142"/>
    <w:rsid w:val="0022373A"/>
    <w:rsid w:val="002241AF"/>
    <w:rsid w:val="00226AF8"/>
    <w:rsid w:val="00226E47"/>
    <w:rsid w:val="002307EC"/>
    <w:rsid w:val="00232341"/>
    <w:rsid w:val="002360B1"/>
    <w:rsid w:val="002367F7"/>
    <w:rsid w:val="00242599"/>
    <w:rsid w:val="002428E7"/>
    <w:rsid w:val="00242AD7"/>
    <w:rsid w:val="0024708E"/>
    <w:rsid w:val="00250F06"/>
    <w:rsid w:val="00254A46"/>
    <w:rsid w:val="00256FC7"/>
    <w:rsid w:val="00266139"/>
    <w:rsid w:val="00267455"/>
    <w:rsid w:val="002720FE"/>
    <w:rsid w:val="00273B78"/>
    <w:rsid w:val="00274CD3"/>
    <w:rsid w:val="002760B7"/>
    <w:rsid w:val="00276B2A"/>
    <w:rsid w:val="00283DDE"/>
    <w:rsid w:val="002845EF"/>
    <w:rsid w:val="0028736D"/>
    <w:rsid w:val="0029012A"/>
    <w:rsid w:val="00292BA0"/>
    <w:rsid w:val="00296472"/>
    <w:rsid w:val="002967B4"/>
    <w:rsid w:val="002A1407"/>
    <w:rsid w:val="002A2136"/>
    <w:rsid w:val="002A27FA"/>
    <w:rsid w:val="002A4F69"/>
    <w:rsid w:val="002A52C8"/>
    <w:rsid w:val="002A74FF"/>
    <w:rsid w:val="002A7D29"/>
    <w:rsid w:val="002B0C0A"/>
    <w:rsid w:val="002B109F"/>
    <w:rsid w:val="002B195C"/>
    <w:rsid w:val="002B54EA"/>
    <w:rsid w:val="002B5B9F"/>
    <w:rsid w:val="002B6762"/>
    <w:rsid w:val="002C0AC6"/>
    <w:rsid w:val="002C1772"/>
    <w:rsid w:val="002C2C35"/>
    <w:rsid w:val="002C5EEF"/>
    <w:rsid w:val="002C6119"/>
    <w:rsid w:val="002D17A3"/>
    <w:rsid w:val="002D1956"/>
    <w:rsid w:val="002D1964"/>
    <w:rsid w:val="002D4BE1"/>
    <w:rsid w:val="002D523A"/>
    <w:rsid w:val="002D69A7"/>
    <w:rsid w:val="002D74C4"/>
    <w:rsid w:val="002E00FB"/>
    <w:rsid w:val="002F05C7"/>
    <w:rsid w:val="002F0AE3"/>
    <w:rsid w:val="002F0E06"/>
    <w:rsid w:val="002F18D6"/>
    <w:rsid w:val="002F1EBE"/>
    <w:rsid w:val="002F2EB5"/>
    <w:rsid w:val="002F4C4C"/>
    <w:rsid w:val="002F6C6B"/>
    <w:rsid w:val="002F7927"/>
    <w:rsid w:val="002F7DB3"/>
    <w:rsid w:val="00301C51"/>
    <w:rsid w:val="00304D83"/>
    <w:rsid w:val="003113F1"/>
    <w:rsid w:val="00311A4B"/>
    <w:rsid w:val="0031471A"/>
    <w:rsid w:val="00314F3C"/>
    <w:rsid w:val="00314F5E"/>
    <w:rsid w:val="00320AD7"/>
    <w:rsid w:val="00321865"/>
    <w:rsid w:val="0032261D"/>
    <w:rsid w:val="0032511D"/>
    <w:rsid w:val="00326F35"/>
    <w:rsid w:val="0032762A"/>
    <w:rsid w:val="003314CC"/>
    <w:rsid w:val="00334FD5"/>
    <w:rsid w:val="003369F6"/>
    <w:rsid w:val="003371D3"/>
    <w:rsid w:val="00337B11"/>
    <w:rsid w:val="00337F31"/>
    <w:rsid w:val="003519EF"/>
    <w:rsid w:val="00353BB9"/>
    <w:rsid w:val="00354D64"/>
    <w:rsid w:val="00354EED"/>
    <w:rsid w:val="00356A4C"/>
    <w:rsid w:val="00357FE3"/>
    <w:rsid w:val="0036012B"/>
    <w:rsid w:val="00361ABF"/>
    <w:rsid w:val="00362BEE"/>
    <w:rsid w:val="00363090"/>
    <w:rsid w:val="0036423F"/>
    <w:rsid w:val="00365893"/>
    <w:rsid w:val="0037065F"/>
    <w:rsid w:val="00375548"/>
    <w:rsid w:val="003759EE"/>
    <w:rsid w:val="00375B77"/>
    <w:rsid w:val="00375F51"/>
    <w:rsid w:val="0037630E"/>
    <w:rsid w:val="0038083E"/>
    <w:rsid w:val="00381359"/>
    <w:rsid w:val="003819FF"/>
    <w:rsid w:val="0038204D"/>
    <w:rsid w:val="00390BFF"/>
    <w:rsid w:val="00391F38"/>
    <w:rsid w:val="003939F9"/>
    <w:rsid w:val="0039477D"/>
    <w:rsid w:val="00394943"/>
    <w:rsid w:val="00397EDE"/>
    <w:rsid w:val="003A1300"/>
    <w:rsid w:val="003A3771"/>
    <w:rsid w:val="003A38B9"/>
    <w:rsid w:val="003A4C6A"/>
    <w:rsid w:val="003A707F"/>
    <w:rsid w:val="003A7507"/>
    <w:rsid w:val="003A77B8"/>
    <w:rsid w:val="003B1369"/>
    <w:rsid w:val="003B3D81"/>
    <w:rsid w:val="003B4701"/>
    <w:rsid w:val="003B5AE4"/>
    <w:rsid w:val="003B7D85"/>
    <w:rsid w:val="003C1F08"/>
    <w:rsid w:val="003C4C84"/>
    <w:rsid w:val="003C59F1"/>
    <w:rsid w:val="003C6793"/>
    <w:rsid w:val="003C7D18"/>
    <w:rsid w:val="003D1469"/>
    <w:rsid w:val="003D1CF1"/>
    <w:rsid w:val="003D391D"/>
    <w:rsid w:val="003E233F"/>
    <w:rsid w:val="003E55EB"/>
    <w:rsid w:val="003E626F"/>
    <w:rsid w:val="003F2CA7"/>
    <w:rsid w:val="003F3527"/>
    <w:rsid w:val="00400697"/>
    <w:rsid w:val="00402577"/>
    <w:rsid w:val="0040775D"/>
    <w:rsid w:val="004159F2"/>
    <w:rsid w:val="00416872"/>
    <w:rsid w:val="00417D17"/>
    <w:rsid w:val="00417E7B"/>
    <w:rsid w:val="004213AE"/>
    <w:rsid w:val="0042216A"/>
    <w:rsid w:val="00425D1A"/>
    <w:rsid w:val="00435E96"/>
    <w:rsid w:val="0044071E"/>
    <w:rsid w:val="004415A2"/>
    <w:rsid w:val="004466B1"/>
    <w:rsid w:val="0045000E"/>
    <w:rsid w:val="00456CFA"/>
    <w:rsid w:val="00463384"/>
    <w:rsid w:val="004710C3"/>
    <w:rsid w:val="00475EB6"/>
    <w:rsid w:val="00477CDE"/>
    <w:rsid w:val="00481B77"/>
    <w:rsid w:val="00481D95"/>
    <w:rsid w:val="004868E3"/>
    <w:rsid w:val="004868E4"/>
    <w:rsid w:val="00486D55"/>
    <w:rsid w:val="00491498"/>
    <w:rsid w:val="00491E83"/>
    <w:rsid w:val="0049342E"/>
    <w:rsid w:val="00496333"/>
    <w:rsid w:val="004977B9"/>
    <w:rsid w:val="004A462B"/>
    <w:rsid w:val="004A52FF"/>
    <w:rsid w:val="004B05C7"/>
    <w:rsid w:val="004B3886"/>
    <w:rsid w:val="004B4D89"/>
    <w:rsid w:val="004B4FBF"/>
    <w:rsid w:val="004B54FE"/>
    <w:rsid w:val="004C23C1"/>
    <w:rsid w:val="004C43CA"/>
    <w:rsid w:val="004C4D51"/>
    <w:rsid w:val="004D46D4"/>
    <w:rsid w:val="004D55E1"/>
    <w:rsid w:val="004D620E"/>
    <w:rsid w:val="004E1064"/>
    <w:rsid w:val="004E402F"/>
    <w:rsid w:val="004E62D3"/>
    <w:rsid w:val="004E7F4B"/>
    <w:rsid w:val="004F1086"/>
    <w:rsid w:val="004F1B44"/>
    <w:rsid w:val="004F2925"/>
    <w:rsid w:val="004F3A37"/>
    <w:rsid w:val="00501034"/>
    <w:rsid w:val="0050211B"/>
    <w:rsid w:val="00502B75"/>
    <w:rsid w:val="00503043"/>
    <w:rsid w:val="00504D9D"/>
    <w:rsid w:val="005058FB"/>
    <w:rsid w:val="00507712"/>
    <w:rsid w:val="00507728"/>
    <w:rsid w:val="00511996"/>
    <w:rsid w:val="00511BBC"/>
    <w:rsid w:val="0051391B"/>
    <w:rsid w:val="00520148"/>
    <w:rsid w:val="0052145E"/>
    <w:rsid w:val="00521944"/>
    <w:rsid w:val="005223C0"/>
    <w:rsid w:val="00522D0C"/>
    <w:rsid w:val="005305AA"/>
    <w:rsid w:val="00532157"/>
    <w:rsid w:val="00532403"/>
    <w:rsid w:val="00534DD9"/>
    <w:rsid w:val="005365D0"/>
    <w:rsid w:val="00537917"/>
    <w:rsid w:val="00537C5E"/>
    <w:rsid w:val="0054639C"/>
    <w:rsid w:val="00546723"/>
    <w:rsid w:val="00552EA0"/>
    <w:rsid w:val="005562E5"/>
    <w:rsid w:val="00560382"/>
    <w:rsid w:val="0056620C"/>
    <w:rsid w:val="00566843"/>
    <w:rsid w:val="005678DA"/>
    <w:rsid w:val="00570F11"/>
    <w:rsid w:val="00571226"/>
    <w:rsid w:val="005730CE"/>
    <w:rsid w:val="0057655B"/>
    <w:rsid w:val="00576FE4"/>
    <w:rsid w:val="00577842"/>
    <w:rsid w:val="00581341"/>
    <w:rsid w:val="00583780"/>
    <w:rsid w:val="00584EC7"/>
    <w:rsid w:val="00592CF4"/>
    <w:rsid w:val="005A0CCD"/>
    <w:rsid w:val="005A4B88"/>
    <w:rsid w:val="005B05F9"/>
    <w:rsid w:val="005B174B"/>
    <w:rsid w:val="005B21B4"/>
    <w:rsid w:val="005B2C5A"/>
    <w:rsid w:val="005B437F"/>
    <w:rsid w:val="005B4968"/>
    <w:rsid w:val="005B55BC"/>
    <w:rsid w:val="005B6077"/>
    <w:rsid w:val="005B6A48"/>
    <w:rsid w:val="005C3B02"/>
    <w:rsid w:val="005C3B65"/>
    <w:rsid w:val="005C43A5"/>
    <w:rsid w:val="005C6578"/>
    <w:rsid w:val="005D0146"/>
    <w:rsid w:val="005D180F"/>
    <w:rsid w:val="005D3D23"/>
    <w:rsid w:val="005D4971"/>
    <w:rsid w:val="005D597C"/>
    <w:rsid w:val="005D5E97"/>
    <w:rsid w:val="005D645B"/>
    <w:rsid w:val="005E1933"/>
    <w:rsid w:val="005E26CA"/>
    <w:rsid w:val="00600AA9"/>
    <w:rsid w:val="00601B32"/>
    <w:rsid w:val="00602E92"/>
    <w:rsid w:val="00604108"/>
    <w:rsid w:val="00604D8E"/>
    <w:rsid w:val="00606147"/>
    <w:rsid w:val="00606740"/>
    <w:rsid w:val="00612100"/>
    <w:rsid w:val="00614BCF"/>
    <w:rsid w:val="0061621E"/>
    <w:rsid w:val="0061748D"/>
    <w:rsid w:val="00620D4A"/>
    <w:rsid w:val="00621ED7"/>
    <w:rsid w:val="0062366D"/>
    <w:rsid w:val="00624FCB"/>
    <w:rsid w:val="006325C1"/>
    <w:rsid w:val="006346E9"/>
    <w:rsid w:val="00641BC4"/>
    <w:rsid w:val="006452C1"/>
    <w:rsid w:val="00645326"/>
    <w:rsid w:val="00654149"/>
    <w:rsid w:val="00657929"/>
    <w:rsid w:val="006610F1"/>
    <w:rsid w:val="0066264D"/>
    <w:rsid w:val="00665CD7"/>
    <w:rsid w:val="00666C9E"/>
    <w:rsid w:val="00666D7E"/>
    <w:rsid w:val="00670576"/>
    <w:rsid w:val="00671264"/>
    <w:rsid w:val="00671FB5"/>
    <w:rsid w:val="006758D3"/>
    <w:rsid w:val="00676C88"/>
    <w:rsid w:val="00680374"/>
    <w:rsid w:val="0068299E"/>
    <w:rsid w:val="0068377E"/>
    <w:rsid w:val="006839DB"/>
    <w:rsid w:val="006848B5"/>
    <w:rsid w:val="00684979"/>
    <w:rsid w:val="00684F61"/>
    <w:rsid w:val="0068682D"/>
    <w:rsid w:val="006868B0"/>
    <w:rsid w:val="00690497"/>
    <w:rsid w:val="006A0267"/>
    <w:rsid w:val="006B2201"/>
    <w:rsid w:val="006B7B97"/>
    <w:rsid w:val="006C0C5C"/>
    <w:rsid w:val="006C64B4"/>
    <w:rsid w:val="006C6695"/>
    <w:rsid w:val="006C717F"/>
    <w:rsid w:val="006D1624"/>
    <w:rsid w:val="006E1C1B"/>
    <w:rsid w:val="006E3AFD"/>
    <w:rsid w:val="006E4358"/>
    <w:rsid w:val="006E78E8"/>
    <w:rsid w:val="006E7FD6"/>
    <w:rsid w:val="006F186C"/>
    <w:rsid w:val="006F4218"/>
    <w:rsid w:val="0070518B"/>
    <w:rsid w:val="00710136"/>
    <w:rsid w:val="00710B01"/>
    <w:rsid w:val="007116A7"/>
    <w:rsid w:val="00712115"/>
    <w:rsid w:val="0071386D"/>
    <w:rsid w:val="00713A48"/>
    <w:rsid w:val="00713D0F"/>
    <w:rsid w:val="007207CC"/>
    <w:rsid w:val="00721BEA"/>
    <w:rsid w:val="007228E2"/>
    <w:rsid w:val="007240D5"/>
    <w:rsid w:val="007318EC"/>
    <w:rsid w:val="007328CD"/>
    <w:rsid w:val="00732900"/>
    <w:rsid w:val="0073448B"/>
    <w:rsid w:val="007359FA"/>
    <w:rsid w:val="007364BD"/>
    <w:rsid w:val="007412B0"/>
    <w:rsid w:val="0074513C"/>
    <w:rsid w:val="00750722"/>
    <w:rsid w:val="00753290"/>
    <w:rsid w:val="00754DB3"/>
    <w:rsid w:val="00761CB3"/>
    <w:rsid w:val="00765784"/>
    <w:rsid w:val="00766A24"/>
    <w:rsid w:val="00767C55"/>
    <w:rsid w:val="00771382"/>
    <w:rsid w:val="0077496A"/>
    <w:rsid w:val="0078427F"/>
    <w:rsid w:val="00784289"/>
    <w:rsid w:val="007842C3"/>
    <w:rsid w:val="007854CC"/>
    <w:rsid w:val="00785BE7"/>
    <w:rsid w:val="00790EE0"/>
    <w:rsid w:val="00796648"/>
    <w:rsid w:val="00796A5F"/>
    <w:rsid w:val="007A105F"/>
    <w:rsid w:val="007A47DC"/>
    <w:rsid w:val="007A7567"/>
    <w:rsid w:val="007B2860"/>
    <w:rsid w:val="007B29FF"/>
    <w:rsid w:val="007B2C24"/>
    <w:rsid w:val="007B2CE4"/>
    <w:rsid w:val="007B594A"/>
    <w:rsid w:val="007B66E7"/>
    <w:rsid w:val="007B6CBE"/>
    <w:rsid w:val="007C038F"/>
    <w:rsid w:val="007C4893"/>
    <w:rsid w:val="007D173A"/>
    <w:rsid w:val="007D479B"/>
    <w:rsid w:val="007E0805"/>
    <w:rsid w:val="007E12E3"/>
    <w:rsid w:val="007E20CF"/>
    <w:rsid w:val="007E260E"/>
    <w:rsid w:val="007E290A"/>
    <w:rsid w:val="007E4F4D"/>
    <w:rsid w:val="007E6FB6"/>
    <w:rsid w:val="007E73EF"/>
    <w:rsid w:val="007E7BF9"/>
    <w:rsid w:val="007F0D3E"/>
    <w:rsid w:val="007F266B"/>
    <w:rsid w:val="007F7DFE"/>
    <w:rsid w:val="0080586B"/>
    <w:rsid w:val="00810DAB"/>
    <w:rsid w:val="00812938"/>
    <w:rsid w:val="00817080"/>
    <w:rsid w:val="00817712"/>
    <w:rsid w:val="00822709"/>
    <w:rsid w:val="00822729"/>
    <w:rsid w:val="00824019"/>
    <w:rsid w:val="008302B3"/>
    <w:rsid w:val="0083066D"/>
    <w:rsid w:val="0083069F"/>
    <w:rsid w:val="0083390B"/>
    <w:rsid w:val="00835932"/>
    <w:rsid w:val="00836A13"/>
    <w:rsid w:val="00841D5F"/>
    <w:rsid w:val="00843688"/>
    <w:rsid w:val="0084605D"/>
    <w:rsid w:val="0085251B"/>
    <w:rsid w:val="00852C61"/>
    <w:rsid w:val="00854002"/>
    <w:rsid w:val="00855FB8"/>
    <w:rsid w:val="00856130"/>
    <w:rsid w:val="00865787"/>
    <w:rsid w:val="00870D75"/>
    <w:rsid w:val="008733DA"/>
    <w:rsid w:val="008739A4"/>
    <w:rsid w:val="00877CBE"/>
    <w:rsid w:val="00881CF0"/>
    <w:rsid w:val="00891077"/>
    <w:rsid w:val="00891DFD"/>
    <w:rsid w:val="008937D7"/>
    <w:rsid w:val="00893E12"/>
    <w:rsid w:val="00896D4A"/>
    <w:rsid w:val="008A41BC"/>
    <w:rsid w:val="008B0878"/>
    <w:rsid w:val="008B4B6B"/>
    <w:rsid w:val="008B6956"/>
    <w:rsid w:val="008C452F"/>
    <w:rsid w:val="008C7280"/>
    <w:rsid w:val="008D0BA0"/>
    <w:rsid w:val="008D1293"/>
    <w:rsid w:val="008D1A0A"/>
    <w:rsid w:val="008D28DA"/>
    <w:rsid w:val="008E28DF"/>
    <w:rsid w:val="008E29AC"/>
    <w:rsid w:val="008E30AC"/>
    <w:rsid w:val="008F30B7"/>
    <w:rsid w:val="008F6978"/>
    <w:rsid w:val="009005EF"/>
    <w:rsid w:val="0090072C"/>
    <w:rsid w:val="0090081E"/>
    <w:rsid w:val="00900858"/>
    <w:rsid w:val="0090572C"/>
    <w:rsid w:val="0090688B"/>
    <w:rsid w:val="009069FD"/>
    <w:rsid w:val="009075B0"/>
    <w:rsid w:val="0090773E"/>
    <w:rsid w:val="00907C35"/>
    <w:rsid w:val="009117D9"/>
    <w:rsid w:val="00912D67"/>
    <w:rsid w:val="00921297"/>
    <w:rsid w:val="00923D1D"/>
    <w:rsid w:val="00924DA3"/>
    <w:rsid w:val="0092525F"/>
    <w:rsid w:val="00930E0C"/>
    <w:rsid w:val="009321BA"/>
    <w:rsid w:val="00934EE1"/>
    <w:rsid w:val="009372C4"/>
    <w:rsid w:val="0093747F"/>
    <w:rsid w:val="00937912"/>
    <w:rsid w:val="009432AA"/>
    <w:rsid w:val="009503A5"/>
    <w:rsid w:val="009514BB"/>
    <w:rsid w:val="0095245C"/>
    <w:rsid w:val="00952AC1"/>
    <w:rsid w:val="00952C7E"/>
    <w:rsid w:val="00952EA8"/>
    <w:rsid w:val="00954B07"/>
    <w:rsid w:val="00960E0C"/>
    <w:rsid w:val="00960EC5"/>
    <w:rsid w:val="00961460"/>
    <w:rsid w:val="00963A3B"/>
    <w:rsid w:val="00966711"/>
    <w:rsid w:val="009671F5"/>
    <w:rsid w:val="00971898"/>
    <w:rsid w:val="009738CD"/>
    <w:rsid w:val="00974A1F"/>
    <w:rsid w:val="00980077"/>
    <w:rsid w:val="00982F7C"/>
    <w:rsid w:val="009836BC"/>
    <w:rsid w:val="00983995"/>
    <w:rsid w:val="009850F0"/>
    <w:rsid w:val="009854F9"/>
    <w:rsid w:val="00987A9B"/>
    <w:rsid w:val="00990482"/>
    <w:rsid w:val="00992F10"/>
    <w:rsid w:val="009A750E"/>
    <w:rsid w:val="009B1DB1"/>
    <w:rsid w:val="009B25E0"/>
    <w:rsid w:val="009B4E0B"/>
    <w:rsid w:val="009B5CCF"/>
    <w:rsid w:val="009B604F"/>
    <w:rsid w:val="009C0321"/>
    <w:rsid w:val="009C0A0E"/>
    <w:rsid w:val="009C2459"/>
    <w:rsid w:val="009C366C"/>
    <w:rsid w:val="009C463F"/>
    <w:rsid w:val="009C7480"/>
    <w:rsid w:val="009C7499"/>
    <w:rsid w:val="009D014B"/>
    <w:rsid w:val="009D2C96"/>
    <w:rsid w:val="009D4B6E"/>
    <w:rsid w:val="009D7466"/>
    <w:rsid w:val="009E047C"/>
    <w:rsid w:val="009E24A4"/>
    <w:rsid w:val="009E487E"/>
    <w:rsid w:val="009E4DE8"/>
    <w:rsid w:val="009F66D2"/>
    <w:rsid w:val="009F69A8"/>
    <w:rsid w:val="00A03ED5"/>
    <w:rsid w:val="00A06555"/>
    <w:rsid w:val="00A06649"/>
    <w:rsid w:val="00A10A2D"/>
    <w:rsid w:val="00A14F74"/>
    <w:rsid w:val="00A20CC2"/>
    <w:rsid w:val="00A25CF0"/>
    <w:rsid w:val="00A26EB8"/>
    <w:rsid w:val="00A30176"/>
    <w:rsid w:val="00A339DA"/>
    <w:rsid w:val="00A33FB5"/>
    <w:rsid w:val="00A35638"/>
    <w:rsid w:val="00A36EE2"/>
    <w:rsid w:val="00A4282C"/>
    <w:rsid w:val="00A53A8A"/>
    <w:rsid w:val="00A5419E"/>
    <w:rsid w:val="00A5505A"/>
    <w:rsid w:val="00A57A47"/>
    <w:rsid w:val="00A60450"/>
    <w:rsid w:val="00A61019"/>
    <w:rsid w:val="00A6173D"/>
    <w:rsid w:val="00A61C57"/>
    <w:rsid w:val="00A65390"/>
    <w:rsid w:val="00A710AF"/>
    <w:rsid w:val="00A77991"/>
    <w:rsid w:val="00A8025B"/>
    <w:rsid w:val="00A80856"/>
    <w:rsid w:val="00A82B67"/>
    <w:rsid w:val="00A853D2"/>
    <w:rsid w:val="00A9042E"/>
    <w:rsid w:val="00A9062C"/>
    <w:rsid w:val="00A91852"/>
    <w:rsid w:val="00A920A2"/>
    <w:rsid w:val="00A924D7"/>
    <w:rsid w:val="00A95295"/>
    <w:rsid w:val="00A9561D"/>
    <w:rsid w:val="00A95B7B"/>
    <w:rsid w:val="00A97A61"/>
    <w:rsid w:val="00A97AE9"/>
    <w:rsid w:val="00AA12E7"/>
    <w:rsid w:val="00AA2FC0"/>
    <w:rsid w:val="00AA37C9"/>
    <w:rsid w:val="00AA3A90"/>
    <w:rsid w:val="00AA4741"/>
    <w:rsid w:val="00AB01B6"/>
    <w:rsid w:val="00AB07A4"/>
    <w:rsid w:val="00AB1C58"/>
    <w:rsid w:val="00AB657E"/>
    <w:rsid w:val="00AC26E1"/>
    <w:rsid w:val="00AC6903"/>
    <w:rsid w:val="00AD2D41"/>
    <w:rsid w:val="00AD4F0F"/>
    <w:rsid w:val="00AE3456"/>
    <w:rsid w:val="00AE44C8"/>
    <w:rsid w:val="00AE4675"/>
    <w:rsid w:val="00AE4BE4"/>
    <w:rsid w:val="00AE53A9"/>
    <w:rsid w:val="00AF0B12"/>
    <w:rsid w:val="00AF0C95"/>
    <w:rsid w:val="00AF0D9D"/>
    <w:rsid w:val="00AF29CF"/>
    <w:rsid w:val="00AF6C2C"/>
    <w:rsid w:val="00AF6CD7"/>
    <w:rsid w:val="00B01ED9"/>
    <w:rsid w:val="00B0389D"/>
    <w:rsid w:val="00B04F8B"/>
    <w:rsid w:val="00B06820"/>
    <w:rsid w:val="00B07DE6"/>
    <w:rsid w:val="00B10770"/>
    <w:rsid w:val="00B15347"/>
    <w:rsid w:val="00B21D35"/>
    <w:rsid w:val="00B23699"/>
    <w:rsid w:val="00B31F42"/>
    <w:rsid w:val="00B371FA"/>
    <w:rsid w:val="00B40644"/>
    <w:rsid w:val="00B43B19"/>
    <w:rsid w:val="00B45F7F"/>
    <w:rsid w:val="00B46391"/>
    <w:rsid w:val="00B47F8B"/>
    <w:rsid w:val="00B522D8"/>
    <w:rsid w:val="00B53174"/>
    <w:rsid w:val="00B54E07"/>
    <w:rsid w:val="00B562B6"/>
    <w:rsid w:val="00B578B0"/>
    <w:rsid w:val="00B6054C"/>
    <w:rsid w:val="00B62968"/>
    <w:rsid w:val="00B70C44"/>
    <w:rsid w:val="00B72869"/>
    <w:rsid w:val="00B75BD6"/>
    <w:rsid w:val="00B762EA"/>
    <w:rsid w:val="00B76870"/>
    <w:rsid w:val="00B76C5F"/>
    <w:rsid w:val="00B774C1"/>
    <w:rsid w:val="00B77D0E"/>
    <w:rsid w:val="00B80495"/>
    <w:rsid w:val="00B81009"/>
    <w:rsid w:val="00B851C3"/>
    <w:rsid w:val="00B90793"/>
    <w:rsid w:val="00B90D95"/>
    <w:rsid w:val="00B97EBF"/>
    <w:rsid w:val="00BA5F6E"/>
    <w:rsid w:val="00BA6FC8"/>
    <w:rsid w:val="00BA7EC1"/>
    <w:rsid w:val="00BB3971"/>
    <w:rsid w:val="00BB628D"/>
    <w:rsid w:val="00BB6319"/>
    <w:rsid w:val="00BC740B"/>
    <w:rsid w:val="00BD04BB"/>
    <w:rsid w:val="00BD2B25"/>
    <w:rsid w:val="00BD30ED"/>
    <w:rsid w:val="00BE0BEB"/>
    <w:rsid w:val="00BE0FF0"/>
    <w:rsid w:val="00BE3F99"/>
    <w:rsid w:val="00BE5E33"/>
    <w:rsid w:val="00BE6F36"/>
    <w:rsid w:val="00BE79A8"/>
    <w:rsid w:val="00BF1224"/>
    <w:rsid w:val="00BF1713"/>
    <w:rsid w:val="00BF2291"/>
    <w:rsid w:val="00BF3C11"/>
    <w:rsid w:val="00BF49B0"/>
    <w:rsid w:val="00BF7DDF"/>
    <w:rsid w:val="00C037EA"/>
    <w:rsid w:val="00C10599"/>
    <w:rsid w:val="00C109B6"/>
    <w:rsid w:val="00C1107D"/>
    <w:rsid w:val="00C11430"/>
    <w:rsid w:val="00C13DCC"/>
    <w:rsid w:val="00C2086E"/>
    <w:rsid w:val="00C2214C"/>
    <w:rsid w:val="00C25349"/>
    <w:rsid w:val="00C266A1"/>
    <w:rsid w:val="00C27ADA"/>
    <w:rsid w:val="00C30DD0"/>
    <w:rsid w:val="00C32DBC"/>
    <w:rsid w:val="00C3408E"/>
    <w:rsid w:val="00C35095"/>
    <w:rsid w:val="00C351E0"/>
    <w:rsid w:val="00C3757C"/>
    <w:rsid w:val="00C40530"/>
    <w:rsid w:val="00C40C67"/>
    <w:rsid w:val="00C43107"/>
    <w:rsid w:val="00C45C8D"/>
    <w:rsid w:val="00C46CB3"/>
    <w:rsid w:val="00C52883"/>
    <w:rsid w:val="00C61FC6"/>
    <w:rsid w:val="00C63720"/>
    <w:rsid w:val="00C66397"/>
    <w:rsid w:val="00C6668F"/>
    <w:rsid w:val="00C7475C"/>
    <w:rsid w:val="00C76674"/>
    <w:rsid w:val="00C804C7"/>
    <w:rsid w:val="00C82AA2"/>
    <w:rsid w:val="00C86D19"/>
    <w:rsid w:val="00C90B2A"/>
    <w:rsid w:val="00C92838"/>
    <w:rsid w:val="00C93B5B"/>
    <w:rsid w:val="00C9529D"/>
    <w:rsid w:val="00C95D04"/>
    <w:rsid w:val="00C97823"/>
    <w:rsid w:val="00CA2492"/>
    <w:rsid w:val="00CA7C0B"/>
    <w:rsid w:val="00CB05F3"/>
    <w:rsid w:val="00CB5336"/>
    <w:rsid w:val="00CB5B1F"/>
    <w:rsid w:val="00CC6438"/>
    <w:rsid w:val="00CD3880"/>
    <w:rsid w:val="00CD3968"/>
    <w:rsid w:val="00CD4A05"/>
    <w:rsid w:val="00CD4F4F"/>
    <w:rsid w:val="00CD5245"/>
    <w:rsid w:val="00CD566E"/>
    <w:rsid w:val="00CD6AF1"/>
    <w:rsid w:val="00CE0EA5"/>
    <w:rsid w:val="00CE2279"/>
    <w:rsid w:val="00CE22EA"/>
    <w:rsid w:val="00CE2A12"/>
    <w:rsid w:val="00CE3464"/>
    <w:rsid w:val="00CE6A01"/>
    <w:rsid w:val="00CE7E7A"/>
    <w:rsid w:val="00CF51E9"/>
    <w:rsid w:val="00D03C88"/>
    <w:rsid w:val="00D0470E"/>
    <w:rsid w:val="00D04ABC"/>
    <w:rsid w:val="00D07CB9"/>
    <w:rsid w:val="00D1069F"/>
    <w:rsid w:val="00D117EB"/>
    <w:rsid w:val="00D14EF3"/>
    <w:rsid w:val="00D15F77"/>
    <w:rsid w:val="00D16160"/>
    <w:rsid w:val="00D17339"/>
    <w:rsid w:val="00D20297"/>
    <w:rsid w:val="00D2336B"/>
    <w:rsid w:val="00D2617C"/>
    <w:rsid w:val="00D2709B"/>
    <w:rsid w:val="00D3047B"/>
    <w:rsid w:val="00D31BF8"/>
    <w:rsid w:val="00D34EA5"/>
    <w:rsid w:val="00D401C1"/>
    <w:rsid w:val="00D4272A"/>
    <w:rsid w:val="00D432BC"/>
    <w:rsid w:val="00D439A8"/>
    <w:rsid w:val="00D4423D"/>
    <w:rsid w:val="00D44685"/>
    <w:rsid w:val="00D4574A"/>
    <w:rsid w:val="00D45D9E"/>
    <w:rsid w:val="00D54889"/>
    <w:rsid w:val="00D56421"/>
    <w:rsid w:val="00D57A3D"/>
    <w:rsid w:val="00D60185"/>
    <w:rsid w:val="00D6330C"/>
    <w:rsid w:val="00D647DB"/>
    <w:rsid w:val="00D6628F"/>
    <w:rsid w:val="00D7260B"/>
    <w:rsid w:val="00D73BB3"/>
    <w:rsid w:val="00D74333"/>
    <w:rsid w:val="00D74512"/>
    <w:rsid w:val="00D762CA"/>
    <w:rsid w:val="00D76A26"/>
    <w:rsid w:val="00D858E8"/>
    <w:rsid w:val="00D90224"/>
    <w:rsid w:val="00D91884"/>
    <w:rsid w:val="00D918C0"/>
    <w:rsid w:val="00D933B5"/>
    <w:rsid w:val="00D95887"/>
    <w:rsid w:val="00D96349"/>
    <w:rsid w:val="00D968E2"/>
    <w:rsid w:val="00DA6DE6"/>
    <w:rsid w:val="00DB0DBD"/>
    <w:rsid w:val="00DB5C11"/>
    <w:rsid w:val="00DB74DB"/>
    <w:rsid w:val="00DB7837"/>
    <w:rsid w:val="00DC0F46"/>
    <w:rsid w:val="00DC1313"/>
    <w:rsid w:val="00DC1A79"/>
    <w:rsid w:val="00DC4B82"/>
    <w:rsid w:val="00DD34D3"/>
    <w:rsid w:val="00DD5B4F"/>
    <w:rsid w:val="00DD64D7"/>
    <w:rsid w:val="00DD6F07"/>
    <w:rsid w:val="00DD77C3"/>
    <w:rsid w:val="00DE03BA"/>
    <w:rsid w:val="00DE0431"/>
    <w:rsid w:val="00DE17F9"/>
    <w:rsid w:val="00DE195E"/>
    <w:rsid w:val="00DE2813"/>
    <w:rsid w:val="00DE4B95"/>
    <w:rsid w:val="00DE6462"/>
    <w:rsid w:val="00DF2295"/>
    <w:rsid w:val="00DF2FAF"/>
    <w:rsid w:val="00DF3B3B"/>
    <w:rsid w:val="00DF71AB"/>
    <w:rsid w:val="00E0170D"/>
    <w:rsid w:val="00E01BDB"/>
    <w:rsid w:val="00E10946"/>
    <w:rsid w:val="00E112DF"/>
    <w:rsid w:val="00E12F34"/>
    <w:rsid w:val="00E1393D"/>
    <w:rsid w:val="00E2688F"/>
    <w:rsid w:val="00E2691D"/>
    <w:rsid w:val="00E2708A"/>
    <w:rsid w:val="00E31D03"/>
    <w:rsid w:val="00E32895"/>
    <w:rsid w:val="00E418D7"/>
    <w:rsid w:val="00E47CA9"/>
    <w:rsid w:val="00E5099E"/>
    <w:rsid w:val="00E50CCC"/>
    <w:rsid w:val="00E5503D"/>
    <w:rsid w:val="00E5559D"/>
    <w:rsid w:val="00E55670"/>
    <w:rsid w:val="00E6283A"/>
    <w:rsid w:val="00E702E5"/>
    <w:rsid w:val="00E716C8"/>
    <w:rsid w:val="00E751EE"/>
    <w:rsid w:val="00E76C31"/>
    <w:rsid w:val="00E81E8D"/>
    <w:rsid w:val="00E82EC6"/>
    <w:rsid w:val="00E9530C"/>
    <w:rsid w:val="00E956A7"/>
    <w:rsid w:val="00E9584A"/>
    <w:rsid w:val="00E95E5B"/>
    <w:rsid w:val="00EA1AD2"/>
    <w:rsid w:val="00EA44EB"/>
    <w:rsid w:val="00EA5087"/>
    <w:rsid w:val="00EA78FC"/>
    <w:rsid w:val="00EB30D8"/>
    <w:rsid w:val="00EB71C7"/>
    <w:rsid w:val="00EB7A22"/>
    <w:rsid w:val="00EC2EE1"/>
    <w:rsid w:val="00EC37DB"/>
    <w:rsid w:val="00EC503E"/>
    <w:rsid w:val="00EC5555"/>
    <w:rsid w:val="00EC5581"/>
    <w:rsid w:val="00EC766F"/>
    <w:rsid w:val="00ED18CF"/>
    <w:rsid w:val="00ED458D"/>
    <w:rsid w:val="00ED7A86"/>
    <w:rsid w:val="00ED7C00"/>
    <w:rsid w:val="00EE2BD8"/>
    <w:rsid w:val="00EF4BD9"/>
    <w:rsid w:val="00F02612"/>
    <w:rsid w:val="00F0535E"/>
    <w:rsid w:val="00F14C8A"/>
    <w:rsid w:val="00F17F47"/>
    <w:rsid w:val="00F24D06"/>
    <w:rsid w:val="00F24F14"/>
    <w:rsid w:val="00F2743D"/>
    <w:rsid w:val="00F27A9D"/>
    <w:rsid w:val="00F30063"/>
    <w:rsid w:val="00F30ADC"/>
    <w:rsid w:val="00F317DB"/>
    <w:rsid w:val="00F345A8"/>
    <w:rsid w:val="00F372F6"/>
    <w:rsid w:val="00F40767"/>
    <w:rsid w:val="00F4150B"/>
    <w:rsid w:val="00F42E55"/>
    <w:rsid w:val="00F42F62"/>
    <w:rsid w:val="00F43890"/>
    <w:rsid w:val="00F43E62"/>
    <w:rsid w:val="00F460A0"/>
    <w:rsid w:val="00F460D4"/>
    <w:rsid w:val="00F535E5"/>
    <w:rsid w:val="00F63F07"/>
    <w:rsid w:val="00F71A52"/>
    <w:rsid w:val="00F73046"/>
    <w:rsid w:val="00F7502C"/>
    <w:rsid w:val="00F76888"/>
    <w:rsid w:val="00F81859"/>
    <w:rsid w:val="00F83602"/>
    <w:rsid w:val="00F83FE6"/>
    <w:rsid w:val="00F86131"/>
    <w:rsid w:val="00F8654D"/>
    <w:rsid w:val="00F869F7"/>
    <w:rsid w:val="00F92CA0"/>
    <w:rsid w:val="00F92DD3"/>
    <w:rsid w:val="00F94364"/>
    <w:rsid w:val="00F95C18"/>
    <w:rsid w:val="00F9698F"/>
    <w:rsid w:val="00FA218E"/>
    <w:rsid w:val="00FA3E2F"/>
    <w:rsid w:val="00FA4BD7"/>
    <w:rsid w:val="00FB1885"/>
    <w:rsid w:val="00FB6B96"/>
    <w:rsid w:val="00FB6C52"/>
    <w:rsid w:val="00FB7F86"/>
    <w:rsid w:val="00FC32A5"/>
    <w:rsid w:val="00FD0CE6"/>
    <w:rsid w:val="00FD3588"/>
    <w:rsid w:val="00FE54A6"/>
    <w:rsid w:val="00FE6036"/>
    <w:rsid w:val="00FE7EC9"/>
    <w:rsid w:val="00FF00CB"/>
    <w:rsid w:val="00FF3EE9"/>
    <w:rsid w:val="00FF6CEF"/>
    <w:rsid w:val="00FF6D6F"/>
    <w:rsid w:val="01050D9B"/>
    <w:rsid w:val="0115308C"/>
    <w:rsid w:val="01264B45"/>
    <w:rsid w:val="014903A9"/>
    <w:rsid w:val="0175518E"/>
    <w:rsid w:val="017B08B4"/>
    <w:rsid w:val="01865262"/>
    <w:rsid w:val="018B3FB0"/>
    <w:rsid w:val="01916864"/>
    <w:rsid w:val="01A412FE"/>
    <w:rsid w:val="01B81081"/>
    <w:rsid w:val="01B81585"/>
    <w:rsid w:val="01C75538"/>
    <w:rsid w:val="01CB629E"/>
    <w:rsid w:val="01CC0983"/>
    <w:rsid w:val="01D52DF5"/>
    <w:rsid w:val="01D86994"/>
    <w:rsid w:val="01DC42AB"/>
    <w:rsid w:val="01EA14C4"/>
    <w:rsid w:val="021153DC"/>
    <w:rsid w:val="021A0BFE"/>
    <w:rsid w:val="02283FC9"/>
    <w:rsid w:val="02486737"/>
    <w:rsid w:val="0261712F"/>
    <w:rsid w:val="02677296"/>
    <w:rsid w:val="026929FF"/>
    <w:rsid w:val="02733BEB"/>
    <w:rsid w:val="0285763E"/>
    <w:rsid w:val="028F3A76"/>
    <w:rsid w:val="029A7A3D"/>
    <w:rsid w:val="02B17FC3"/>
    <w:rsid w:val="02C064DC"/>
    <w:rsid w:val="02C15350"/>
    <w:rsid w:val="02C82DF4"/>
    <w:rsid w:val="02C94BCD"/>
    <w:rsid w:val="02D0085D"/>
    <w:rsid w:val="02D15B17"/>
    <w:rsid w:val="02D2242F"/>
    <w:rsid w:val="02F42C9D"/>
    <w:rsid w:val="03041DF9"/>
    <w:rsid w:val="03094B07"/>
    <w:rsid w:val="0325754B"/>
    <w:rsid w:val="03285A20"/>
    <w:rsid w:val="03623366"/>
    <w:rsid w:val="036E6A20"/>
    <w:rsid w:val="03716AB5"/>
    <w:rsid w:val="03832252"/>
    <w:rsid w:val="03957F6E"/>
    <w:rsid w:val="03AB175B"/>
    <w:rsid w:val="03B37294"/>
    <w:rsid w:val="03B605E2"/>
    <w:rsid w:val="03B65F25"/>
    <w:rsid w:val="03C82CD4"/>
    <w:rsid w:val="03F049A4"/>
    <w:rsid w:val="03F85E06"/>
    <w:rsid w:val="03FE1578"/>
    <w:rsid w:val="04074CDB"/>
    <w:rsid w:val="040A1F19"/>
    <w:rsid w:val="04132C19"/>
    <w:rsid w:val="04385934"/>
    <w:rsid w:val="044858F1"/>
    <w:rsid w:val="046446ED"/>
    <w:rsid w:val="04663582"/>
    <w:rsid w:val="04672482"/>
    <w:rsid w:val="04AF26BC"/>
    <w:rsid w:val="04C149F3"/>
    <w:rsid w:val="04CF4DA3"/>
    <w:rsid w:val="04E2484D"/>
    <w:rsid w:val="04E4262B"/>
    <w:rsid w:val="04E81E52"/>
    <w:rsid w:val="04F56C7F"/>
    <w:rsid w:val="05165505"/>
    <w:rsid w:val="05211AED"/>
    <w:rsid w:val="052E650D"/>
    <w:rsid w:val="053B3A37"/>
    <w:rsid w:val="0562496B"/>
    <w:rsid w:val="05766CA8"/>
    <w:rsid w:val="057F0C42"/>
    <w:rsid w:val="058E7AC1"/>
    <w:rsid w:val="0593226A"/>
    <w:rsid w:val="0596606E"/>
    <w:rsid w:val="05AE3AF8"/>
    <w:rsid w:val="05C707DD"/>
    <w:rsid w:val="05C940EA"/>
    <w:rsid w:val="05D85241"/>
    <w:rsid w:val="05DD42DD"/>
    <w:rsid w:val="05EA0443"/>
    <w:rsid w:val="05EA3A6E"/>
    <w:rsid w:val="06067423"/>
    <w:rsid w:val="061207BB"/>
    <w:rsid w:val="061F7B22"/>
    <w:rsid w:val="0620713B"/>
    <w:rsid w:val="06264A24"/>
    <w:rsid w:val="062E2288"/>
    <w:rsid w:val="0660159E"/>
    <w:rsid w:val="066311DA"/>
    <w:rsid w:val="06644565"/>
    <w:rsid w:val="06817DA0"/>
    <w:rsid w:val="06863B44"/>
    <w:rsid w:val="06872B81"/>
    <w:rsid w:val="068C4D3B"/>
    <w:rsid w:val="069E6A40"/>
    <w:rsid w:val="06AA3CA1"/>
    <w:rsid w:val="06C8202F"/>
    <w:rsid w:val="06D013F6"/>
    <w:rsid w:val="06D73539"/>
    <w:rsid w:val="06DC5E76"/>
    <w:rsid w:val="06E10C33"/>
    <w:rsid w:val="06E46126"/>
    <w:rsid w:val="06EB5A67"/>
    <w:rsid w:val="07046A62"/>
    <w:rsid w:val="070F6A5C"/>
    <w:rsid w:val="071567F8"/>
    <w:rsid w:val="07267612"/>
    <w:rsid w:val="07391585"/>
    <w:rsid w:val="0755096E"/>
    <w:rsid w:val="07626AF0"/>
    <w:rsid w:val="07693372"/>
    <w:rsid w:val="076A6830"/>
    <w:rsid w:val="076D4D3B"/>
    <w:rsid w:val="078F4958"/>
    <w:rsid w:val="07A22BA6"/>
    <w:rsid w:val="07B42D8D"/>
    <w:rsid w:val="07B75D67"/>
    <w:rsid w:val="07D102E3"/>
    <w:rsid w:val="07D85AF7"/>
    <w:rsid w:val="07DF007E"/>
    <w:rsid w:val="07E2277C"/>
    <w:rsid w:val="07ED0B7A"/>
    <w:rsid w:val="07F467F7"/>
    <w:rsid w:val="080877C0"/>
    <w:rsid w:val="080C2EE8"/>
    <w:rsid w:val="0815178F"/>
    <w:rsid w:val="082066DE"/>
    <w:rsid w:val="083F7562"/>
    <w:rsid w:val="085411EE"/>
    <w:rsid w:val="085845ED"/>
    <w:rsid w:val="08674868"/>
    <w:rsid w:val="08687D5D"/>
    <w:rsid w:val="086B123D"/>
    <w:rsid w:val="087C2ADF"/>
    <w:rsid w:val="08822685"/>
    <w:rsid w:val="089303A1"/>
    <w:rsid w:val="089F2E02"/>
    <w:rsid w:val="08AA78BB"/>
    <w:rsid w:val="08BE0D2A"/>
    <w:rsid w:val="08CD42D6"/>
    <w:rsid w:val="08ED4204"/>
    <w:rsid w:val="08F11DB0"/>
    <w:rsid w:val="08FF4A94"/>
    <w:rsid w:val="09064ACB"/>
    <w:rsid w:val="09277590"/>
    <w:rsid w:val="095D573A"/>
    <w:rsid w:val="097176E8"/>
    <w:rsid w:val="09731772"/>
    <w:rsid w:val="0974005E"/>
    <w:rsid w:val="09792264"/>
    <w:rsid w:val="09AF4FA1"/>
    <w:rsid w:val="09B174F4"/>
    <w:rsid w:val="09B23B1F"/>
    <w:rsid w:val="09B96A96"/>
    <w:rsid w:val="09C22A6B"/>
    <w:rsid w:val="09C35A5D"/>
    <w:rsid w:val="09CF2327"/>
    <w:rsid w:val="09D351DA"/>
    <w:rsid w:val="09FA0580"/>
    <w:rsid w:val="0A0D6B78"/>
    <w:rsid w:val="0A181D87"/>
    <w:rsid w:val="0A196A7C"/>
    <w:rsid w:val="0A1A3968"/>
    <w:rsid w:val="0A200E2D"/>
    <w:rsid w:val="0A2E601D"/>
    <w:rsid w:val="0A3C06BA"/>
    <w:rsid w:val="0A405B37"/>
    <w:rsid w:val="0A4827C4"/>
    <w:rsid w:val="0A59385F"/>
    <w:rsid w:val="0A5F366C"/>
    <w:rsid w:val="0A645F7F"/>
    <w:rsid w:val="0A883CB2"/>
    <w:rsid w:val="0A8B04DC"/>
    <w:rsid w:val="0A954F47"/>
    <w:rsid w:val="0A96406B"/>
    <w:rsid w:val="0A9668F8"/>
    <w:rsid w:val="0A9D6070"/>
    <w:rsid w:val="0AA93DA7"/>
    <w:rsid w:val="0AA97A8C"/>
    <w:rsid w:val="0AAE1A3C"/>
    <w:rsid w:val="0AAF63B6"/>
    <w:rsid w:val="0AB04E98"/>
    <w:rsid w:val="0AC86CBC"/>
    <w:rsid w:val="0ACC6A1D"/>
    <w:rsid w:val="0AD53A39"/>
    <w:rsid w:val="0AEC39F9"/>
    <w:rsid w:val="0AF81819"/>
    <w:rsid w:val="0B1D29B8"/>
    <w:rsid w:val="0B3430B8"/>
    <w:rsid w:val="0B6017B9"/>
    <w:rsid w:val="0B621DF5"/>
    <w:rsid w:val="0B6B55CC"/>
    <w:rsid w:val="0B9E129E"/>
    <w:rsid w:val="0BB346A7"/>
    <w:rsid w:val="0BB5736F"/>
    <w:rsid w:val="0BBD03F5"/>
    <w:rsid w:val="0BD60A60"/>
    <w:rsid w:val="0BE3647D"/>
    <w:rsid w:val="0BEB041B"/>
    <w:rsid w:val="0BED736F"/>
    <w:rsid w:val="0C0301BA"/>
    <w:rsid w:val="0C2C5376"/>
    <w:rsid w:val="0C2D2DB2"/>
    <w:rsid w:val="0C3B2F27"/>
    <w:rsid w:val="0C467030"/>
    <w:rsid w:val="0C5A6DA7"/>
    <w:rsid w:val="0C697E40"/>
    <w:rsid w:val="0CA200F2"/>
    <w:rsid w:val="0CAF3CFB"/>
    <w:rsid w:val="0CB91675"/>
    <w:rsid w:val="0CCD628F"/>
    <w:rsid w:val="0CD52CD6"/>
    <w:rsid w:val="0CDB5456"/>
    <w:rsid w:val="0CDF60B9"/>
    <w:rsid w:val="0CDF6A7D"/>
    <w:rsid w:val="0CF166CC"/>
    <w:rsid w:val="0D00181D"/>
    <w:rsid w:val="0D084275"/>
    <w:rsid w:val="0D110380"/>
    <w:rsid w:val="0D1A1D1D"/>
    <w:rsid w:val="0D343DF1"/>
    <w:rsid w:val="0D3D15E3"/>
    <w:rsid w:val="0D8B7B3D"/>
    <w:rsid w:val="0DB94E10"/>
    <w:rsid w:val="0DCC09DB"/>
    <w:rsid w:val="0DCF4774"/>
    <w:rsid w:val="0DE315C6"/>
    <w:rsid w:val="0DE95ECA"/>
    <w:rsid w:val="0DF31868"/>
    <w:rsid w:val="0E023228"/>
    <w:rsid w:val="0E3D39D3"/>
    <w:rsid w:val="0E3E08BE"/>
    <w:rsid w:val="0E510758"/>
    <w:rsid w:val="0E596A2A"/>
    <w:rsid w:val="0E6E2C58"/>
    <w:rsid w:val="0E6E7D32"/>
    <w:rsid w:val="0E8A7C53"/>
    <w:rsid w:val="0E8B09EC"/>
    <w:rsid w:val="0E901348"/>
    <w:rsid w:val="0ED93B9D"/>
    <w:rsid w:val="0EDF47CA"/>
    <w:rsid w:val="0EE15F8E"/>
    <w:rsid w:val="0EE30683"/>
    <w:rsid w:val="0F0604E0"/>
    <w:rsid w:val="0F095EC9"/>
    <w:rsid w:val="0F214C39"/>
    <w:rsid w:val="0F2E67B6"/>
    <w:rsid w:val="0F30117A"/>
    <w:rsid w:val="0F464051"/>
    <w:rsid w:val="0F6A005A"/>
    <w:rsid w:val="0FC025F8"/>
    <w:rsid w:val="0FE46EF3"/>
    <w:rsid w:val="0FE5185A"/>
    <w:rsid w:val="0FED3DE9"/>
    <w:rsid w:val="0FFD434A"/>
    <w:rsid w:val="100B6DD3"/>
    <w:rsid w:val="101C0446"/>
    <w:rsid w:val="10311C84"/>
    <w:rsid w:val="1044734F"/>
    <w:rsid w:val="105307C8"/>
    <w:rsid w:val="1058198A"/>
    <w:rsid w:val="1072182D"/>
    <w:rsid w:val="107C0574"/>
    <w:rsid w:val="10810A4E"/>
    <w:rsid w:val="10A32AF4"/>
    <w:rsid w:val="10A656DA"/>
    <w:rsid w:val="10AA2927"/>
    <w:rsid w:val="10C55129"/>
    <w:rsid w:val="10D238D2"/>
    <w:rsid w:val="10DA6D98"/>
    <w:rsid w:val="10EC71CD"/>
    <w:rsid w:val="10F557EF"/>
    <w:rsid w:val="111968AC"/>
    <w:rsid w:val="112701C2"/>
    <w:rsid w:val="11312D0E"/>
    <w:rsid w:val="11542F20"/>
    <w:rsid w:val="11585503"/>
    <w:rsid w:val="11600670"/>
    <w:rsid w:val="11706F2E"/>
    <w:rsid w:val="118021E3"/>
    <w:rsid w:val="11A16A7F"/>
    <w:rsid w:val="11AA75C3"/>
    <w:rsid w:val="11BA2DA2"/>
    <w:rsid w:val="11C62161"/>
    <w:rsid w:val="11C85930"/>
    <w:rsid w:val="11D22F88"/>
    <w:rsid w:val="11DA3E4B"/>
    <w:rsid w:val="11E12C61"/>
    <w:rsid w:val="11EE1F77"/>
    <w:rsid w:val="11F2696B"/>
    <w:rsid w:val="11F347F3"/>
    <w:rsid w:val="11F90DF2"/>
    <w:rsid w:val="11FB1EA3"/>
    <w:rsid w:val="121C30ED"/>
    <w:rsid w:val="122447ED"/>
    <w:rsid w:val="122E2EBF"/>
    <w:rsid w:val="12304E8D"/>
    <w:rsid w:val="124455B9"/>
    <w:rsid w:val="124663D7"/>
    <w:rsid w:val="12476AD8"/>
    <w:rsid w:val="12487B37"/>
    <w:rsid w:val="12515FE5"/>
    <w:rsid w:val="12523FBC"/>
    <w:rsid w:val="12951F09"/>
    <w:rsid w:val="129D2BB4"/>
    <w:rsid w:val="12A8130D"/>
    <w:rsid w:val="12A8378D"/>
    <w:rsid w:val="12AC36BB"/>
    <w:rsid w:val="12CC6240"/>
    <w:rsid w:val="12E01BD4"/>
    <w:rsid w:val="12E40AFD"/>
    <w:rsid w:val="12E63EDB"/>
    <w:rsid w:val="12ED63FC"/>
    <w:rsid w:val="12ED7C64"/>
    <w:rsid w:val="12F2494F"/>
    <w:rsid w:val="12F343EF"/>
    <w:rsid w:val="1300693C"/>
    <w:rsid w:val="130205D0"/>
    <w:rsid w:val="13210D28"/>
    <w:rsid w:val="13673996"/>
    <w:rsid w:val="13A330D8"/>
    <w:rsid w:val="13B661A9"/>
    <w:rsid w:val="13BF2BB6"/>
    <w:rsid w:val="13C0319D"/>
    <w:rsid w:val="13C27E56"/>
    <w:rsid w:val="13CE3EA0"/>
    <w:rsid w:val="13CF7FAB"/>
    <w:rsid w:val="13E2777C"/>
    <w:rsid w:val="13EB653A"/>
    <w:rsid w:val="14236D92"/>
    <w:rsid w:val="14522A66"/>
    <w:rsid w:val="14692B41"/>
    <w:rsid w:val="146B08C6"/>
    <w:rsid w:val="147B03A7"/>
    <w:rsid w:val="14926AEC"/>
    <w:rsid w:val="149802BA"/>
    <w:rsid w:val="14A66C6D"/>
    <w:rsid w:val="14D65009"/>
    <w:rsid w:val="14D6663D"/>
    <w:rsid w:val="14E74988"/>
    <w:rsid w:val="14F023EB"/>
    <w:rsid w:val="14F4278B"/>
    <w:rsid w:val="15030825"/>
    <w:rsid w:val="150E155A"/>
    <w:rsid w:val="15157BD5"/>
    <w:rsid w:val="154E1A04"/>
    <w:rsid w:val="154E1E56"/>
    <w:rsid w:val="155A7A15"/>
    <w:rsid w:val="1560084E"/>
    <w:rsid w:val="1577455F"/>
    <w:rsid w:val="15832797"/>
    <w:rsid w:val="15862F6E"/>
    <w:rsid w:val="15AD5035"/>
    <w:rsid w:val="15BB45B7"/>
    <w:rsid w:val="15C514EA"/>
    <w:rsid w:val="15C61A8F"/>
    <w:rsid w:val="15C731EB"/>
    <w:rsid w:val="15D3594A"/>
    <w:rsid w:val="15E07DBE"/>
    <w:rsid w:val="15E302D1"/>
    <w:rsid w:val="15E56FF5"/>
    <w:rsid w:val="15EE5AA3"/>
    <w:rsid w:val="15F0262C"/>
    <w:rsid w:val="15FD1C69"/>
    <w:rsid w:val="15FD2337"/>
    <w:rsid w:val="16064DC1"/>
    <w:rsid w:val="161702FE"/>
    <w:rsid w:val="162F2B34"/>
    <w:rsid w:val="164C0480"/>
    <w:rsid w:val="16521914"/>
    <w:rsid w:val="165D7F6D"/>
    <w:rsid w:val="167B0575"/>
    <w:rsid w:val="16836F81"/>
    <w:rsid w:val="16880B36"/>
    <w:rsid w:val="168B3773"/>
    <w:rsid w:val="16924448"/>
    <w:rsid w:val="16943135"/>
    <w:rsid w:val="16A94F58"/>
    <w:rsid w:val="16AD1883"/>
    <w:rsid w:val="16DC0950"/>
    <w:rsid w:val="16E704A1"/>
    <w:rsid w:val="16EC54CF"/>
    <w:rsid w:val="16EF768A"/>
    <w:rsid w:val="16F87B89"/>
    <w:rsid w:val="16FE3FEA"/>
    <w:rsid w:val="170A7A4A"/>
    <w:rsid w:val="170C6758"/>
    <w:rsid w:val="17107398"/>
    <w:rsid w:val="17221EBB"/>
    <w:rsid w:val="17265F53"/>
    <w:rsid w:val="17326BB9"/>
    <w:rsid w:val="1739714A"/>
    <w:rsid w:val="174263A9"/>
    <w:rsid w:val="175D20B0"/>
    <w:rsid w:val="17835EC5"/>
    <w:rsid w:val="178A0AA7"/>
    <w:rsid w:val="17A6373C"/>
    <w:rsid w:val="17B346F1"/>
    <w:rsid w:val="17DE5C2C"/>
    <w:rsid w:val="180F14B1"/>
    <w:rsid w:val="18250E82"/>
    <w:rsid w:val="18280263"/>
    <w:rsid w:val="182E6082"/>
    <w:rsid w:val="1831412C"/>
    <w:rsid w:val="183C1919"/>
    <w:rsid w:val="18451B22"/>
    <w:rsid w:val="18492C9F"/>
    <w:rsid w:val="185922CA"/>
    <w:rsid w:val="18671850"/>
    <w:rsid w:val="186A38D7"/>
    <w:rsid w:val="187054B2"/>
    <w:rsid w:val="18746FB7"/>
    <w:rsid w:val="187D763D"/>
    <w:rsid w:val="188017FD"/>
    <w:rsid w:val="188D2958"/>
    <w:rsid w:val="18927D36"/>
    <w:rsid w:val="18965615"/>
    <w:rsid w:val="189A50AD"/>
    <w:rsid w:val="18A51308"/>
    <w:rsid w:val="18AA09F8"/>
    <w:rsid w:val="18AB2587"/>
    <w:rsid w:val="18B22B90"/>
    <w:rsid w:val="18B41D16"/>
    <w:rsid w:val="18CF272D"/>
    <w:rsid w:val="18E174F0"/>
    <w:rsid w:val="18ED0E67"/>
    <w:rsid w:val="19143034"/>
    <w:rsid w:val="192C3AF3"/>
    <w:rsid w:val="193F4A76"/>
    <w:rsid w:val="1959612E"/>
    <w:rsid w:val="197D7609"/>
    <w:rsid w:val="19A97DEF"/>
    <w:rsid w:val="19BB4AC7"/>
    <w:rsid w:val="19C56EB8"/>
    <w:rsid w:val="19D72A94"/>
    <w:rsid w:val="1A000666"/>
    <w:rsid w:val="1A0D22BB"/>
    <w:rsid w:val="1A210342"/>
    <w:rsid w:val="1A2C607F"/>
    <w:rsid w:val="1A456749"/>
    <w:rsid w:val="1A7A3A46"/>
    <w:rsid w:val="1A95222B"/>
    <w:rsid w:val="1AA53D8E"/>
    <w:rsid w:val="1AAA2E06"/>
    <w:rsid w:val="1AC31A76"/>
    <w:rsid w:val="1AC74A03"/>
    <w:rsid w:val="1AD4497F"/>
    <w:rsid w:val="1AD5073D"/>
    <w:rsid w:val="1ADA7AD6"/>
    <w:rsid w:val="1ADC7AA7"/>
    <w:rsid w:val="1AE8420C"/>
    <w:rsid w:val="1AEE7ED7"/>
    <w:rsid w:val="1AFA79DD"/>
    <w:rsid w:val="1B012DFF"/>
    <w:rsid w:val="1B0F3F34"/>
    <w:rsid w:val="1B1D4BB4"/>
    <w:rsid w:val="1B210ADF"/>
    <w:rsid w:val="1B246F05"/>
    <w:rsid w:val="1B285A99"/>
    <w:rsid w:val="1B2E36D7"/>
    <w:rsid w:val="1B36079A"/>
    <w:rsid w:val="1B54650A"/>
    <w:rsid w:val="1B560317"/>
    <w:rsid w:val="1BB93830"/>
    <w:rsid w:val="1BBB164E"/>
    <w:rsid w:val="1BCA4827"/>
    <w:rsid w:val="1BD52E34"/>
    <w:rsid w:val="1C137F0A"/>
    <w:rsid w:val="1C1A3B1D"/>
    <w:rsid w:val="1C234216"/>
    <w:rsid w:val="1C2766EF"/>
    <w:rsid w:val="1C2F4DAB"/>
    <w:rsid w:val="1C372854"/>
    <w:rsid w:val="1C5D1817"/>
    <w:rsid w:val="1C6646A5"/>
    <w:rsid w:val="1C6E7A7C"/>
    <w:rsid w:val="1C8A3B4C"/>
    <w:rsid w:val="1C8A62BF"/>
    <w:rsid w:val="1C975CFC"/>
    <w:rsid w:val="1CA87967"/>
    <w:rsid w:val="1CC03ABA"/>
    <w:rsid w:val="1CD23A1D"/>
    <w:rsid w:val="1CE91227"/>
    <w:rsid w:val="1D083E28"/>
    <w:rsid w:val="1D0C499E"/>
    <w:rsid w:val="1D0D5FBC"/>
    <w:rsid w:val="1D201555"/>
    <w:rsid w:val="1D222EA3"/>
    <w:rsid w:val="1D254FA6"/>
    <w:rsid w:val="1D2B7D9F"/>
    <w:rsid w:val="1D310042"/>
    <w:rsid w:val="1D3F4CBF"/>
    <w:rsid w:val="1D4D3677"/>
    <w:rsid w:val="1D53273F"/>
    <w:rsid w:val="1D6A6EED"/>
    <w:rsid w:val="1D6E35AD"/>
    <w:rsid w:val="1D706105"/>
    <w:rsid w:val="1D8D1AF4"/>
    <w:rsid w:val="1DA03128"/>
    <w:rsid w:val="1DAC5525"/>
    <w:rsid w:val="1DD0133A"/>
    <w:rsid w:val="1DE37094"/>
    <w:rsid w:val="1DEB11C5"/>
    <w:rsid w:val="1DFA1472"/>
    <w:rsid w:val="1DFE4AC7"/>
    <w:rsid w:val="1E0C059A"/>
    <w:rsid w:val="1E230BDE"/>
    <w:rsid w:val="1E247634"/>
    <w:rsid w:val="1E2E6504"/>
    <w:rsid w:val="1E302A17"/>
    <w:rsid w:val="1E336B66"/>
    <w:rsid w:val="1E436DB2"/>
    <w:rsid w:val="1E731B28"/>
    <w:rsid w:val="1E746983"/>
    <w:rsid w:val="1E753BB1"/>
    <w:rsid w:val="1E8B3B49"/>
    <w:rsid w:val="1E950147"/>
    <w:rsid w:val="1EA05A0C"/>
    <w:rsid w:val="1EAA6432"/>
    <w:rsid w:val="1EAF485F"/>
    <w:rsid w:val="1EBB1E0D"/>
    <w:rsid w:val="1ECA5B8E"/>
    <w:rsid w:val="1EDB762C"/>
    <w:rsid w:val="1EDF18B6"/>
    <w:rsid w:val="1EE04967"/>
    <w:rsid w:val="1F4242B4"/>
    <w:rsid w:val="1F546226"/>
    <w:rsid w:val="1F6138F9"/>
    <w:rsid w:val="1F63408D"/>
    <w:rsid w:val="1F65194D"/>
    <w:rsid w:val="1F6967B8"/>
    <w:rsid w:val="1F887D2E"/>
    <w:rsid w:val="1F897842"/>
    <w:rsid w:val="1F8E36CF"/>
    <w:rsid w:val="1F987846"/>
    <w:rsid w:val="1FAD2E33"/>
    <w:rsid w:val="1FB6524A"/>
    <w:rsid w:val="1FE139C2"/>
    <w:rsid w:val="1FE75612"/>
    <w:rsid w:val="1FE842E7"/>
    <w:rsid w:val="1FFD539C"/>
    <w:rsid w:val="20031EF1"/>
    <w:rsid w:val="2012512B"/>
    <w:rsid w:val="20136430"/>
    <w:rsid w:val="201F6F8B"/>
    <w:rsid w:val="20292CE2"/>
    <w:rsid w:val="205212EA"/>
    <w:rsid w:val="206A35BB"/>
    <w:rsid w:val="206D4753"/>
    <w:rsid w:val="208863EE"/>
    <w:rsid w:val="20936033"/>
    <w:rsid w:val="209D454A"/>
    <w:rsid w:val="20A71DBE"/>
    <w:rsid w:val="20AE28C8"/>
    <w:rsid w:val="20B53BC3"/>
    <w:rsid w:val="20B8621B"/>
    <w:rsid w:val="20BC03B5"/>
    <w:rsid w:val="20CE13ED"/>
    <w:rsid w:val="20E23A13"/>
    <w:rsid w:val="20EC58DA"/>
    <w:rsid w:val="21021984"/>
    <w:rsid w:val="210B645A"/>
    <w:rsid w:val="21176AF6"/>
    <w:rsid w:val="211E5D7D"/>
    <w:rsid w:val="212760BF"/>
    <w:rsid w:val="2139098A"/>
    <w:rsid w:val="21565A2C"/>
    <w:rsid w:val="21613770"/>
    <w:rsid w:val="21722AD1"/>
    <w:rsid w:val="217648CA"/>
    <w:rsid w:val="217C3A90"/>
    <w:rsid w:val="21985293"/>
    <w:rsid w:val="219A5304"/>
    <w:rsid w:val="21A32552"/>
    <w:rsid w:val="21AC0AA5"/>
    <w:rsid w:val="21AD32B9"/>
    <w:rsid w:val="21B1732D"/>
    <w:rsid w:val="21B26DD5"/>
    <w:rsid w:val="21B44156"/>
    <w:rsid w:val="21B67D2D"/>
    <w:rsid w:val="21C417EC"/>
    <w:rsid w:val="21D30F40"/>
    <w:rsid w:val="21D801A7"/>
    <w:rsid w:val="21DF073A"/>
    <w:rsid w:val="21EF50E1"/>
    <w:rsid w:val="21F76FAE"/>
    <w:rsid w:val="22020BDE"/>
    <w:rsid w:val="22131D4E"/>
    <w:rsid w:val="22471A99"/>
    <w:rsid w:val="226C51EC"/>
    <w:rsid w:val="22716DA9"/>
    <w:rsid w:val="228174F2"/>
    <w:rsid w:val="22890C58"/>
    <w:rsid w:val="228F60A9"/>
    <w:rsid w:val="2290412C"/>
    <w:rsid w:val="229B7004"/>
    <w:rsid w:val="22A20197"/>
    <w:rsid w:val="22A22C68"/>
    <w:rsid w:val="22B36277"/>
    <w:rsid w:val="22B42767"/>
    <w:rsid w:val="22D5721F"/>
    <w:rsid w:val="22F60FDF"/>
    <w:rsid w:val="230601CF"/>
    <w:rsid w:val="230C705D"/>
    <w:rsid w:val="233D6FAB"/>
    <w:rsid w:val="2349430D"/>
    <w:rsid w:val="234F3CB0"/>
    <w:rsid w:val="235C3954"/>
    <w:rsid w:val="2361054E"/>
    <w:rsid w:val="23630F44"/>
    <w:rsid w:val="23687AFD"/>
    <w:rsid w:val="236965E6"/>
    <w:rsid w:val="238207AD"/>
    <w:rsid w:val="23A04402"/>
    <w:rsid w:val="23AC1E1A"/>
    <w:rsid w:val="23B1279A"/>
    <w:rsid w:val="23C9355E"/>
    <w:rsid w:val="23D039E4"/>
    <w:rsid w:val="23D97A5F"/>
    <w:rsid w:val="23F0072D"/>
    <w:rsid w:val="24057FC8"/>
    <w:rsid w:val="244A225F"/>
    <w:rsid w:val="245E5F3F"/>
    <w:rsid w:val="24610C3D"/>
    <w:rsid w:val="246D35EF"/>
    <w:rsid w:val="2473018F"/>
    <w:rsid w:val="247E437F"/>
    <w:rsid w:val="24802137"/>
    <w:rsid w:val="249E7D5C"/>
    <w:rsid w:val="24A0419E"/>
    <w:rsid w:val="24AF0D7E"/>
    <w:rsid w:val="24D52C87"/>
    <w:rsid w:val="24DB0A78"/>
    <w:rsid w:val="24E771F8"/>
    <w:rsid w:val="24ED2A27"/>
    <w:rsid w:val="24F414B1"/>
    <w:rsid w:val="25164C82"/>
    <w:rsid w:val="251C1370"/>
    <w:rsid w:val="253526DE"/>
    <w:rsid w:val="25396722"/>
    <w:rsid w:val="253B4951"/>
    <w:rsid w:val="253F5E8F"/>
    <w:rsid w:val="254F24A2"/>
    <w:rsid w:val="255D5C82"/>
    <w:rsid w:val="256261B8"/>
    <w:rsid w:val="2563624A"/>
    <w:rsid w:val="256B3439"/>
    <w:rsid w:val="2573686F"/>
    <w:rsid w:val="25757BA6"/>
    <w:rsid w:val="25846CC7"/>
    <w:rsid w:val="25A02B97"/>
    <w:rsid w:val="25B520C7"/>
    <w:rsid w:val="25B553B9"/>
    <w:rsid w:val="25BB4979"/>
    <w:rsid w:val="25C363F1"/>
    <w:rsid w:val="25C92AE1"/>
    <w:rsid w:val="25DA16DD"/>
    <w:rsid w:val="25DE1A1B"/>
    <w:rsid w:val="25E87891"/>
    <w:rsid w:val="25EC467B"/>
    <w:rsid w:val="25EE742D"/>
    <w:rsid w:val="25F03408"/>
    <w:rsid w:val="26013CBF"/>
    <w:rsid w:val="26036512"/>
    <w:rsid w:val="261372DA"/>
    <w:rsid w:val="261D2218"/>
    <w:rsid w:val="26333950"/>
    <w:rsid w:val="263758F0"/>
    <w:rsid w:val="263A7053"/>
    <w:rsid w:val="26450CB7"/>
    <w:rsid w:val="264777D9"/>
    <w:rsid w:val="264B3965"/>
    <w:rsid w:val="264F0351"/>
    <w:rsid w:val="266D5535"/>
    <w:rsid w:val="26702236"/>
    <w:rsid w:val="267D744D"/>
    <w:rsid w:val="26967E82"/>
    <w:rsid w:val="269876D3"/>
    <w:rsid w:val="26A3209D"/>
    <w:rsid w:val="26AF51DF"/>
    <w:rsid w:val="26BD420F"/>
    <w:rsid w:val="26C419CE"/>
    <w:rsid w:val="26C6392A"/>
    <w:rsid w:val="26E4040B"/>
    <w:rsid w:val="27045E4C"/>
    <w:rsid w:val="270C0ABE"/>
    <w:rsid w:val="271414AB"/>
    <w:rsid w:val="27222A2F"/>
    <w:rsid w:val="27373E7F"/>
    <w:rsid w:val="274C6132"/>
    <w:rsid w:val="277904A7"/>
    <w:rsid w:val="27801CB5"/>
    <w:rsid w:val="27880E91"/>
    <w:rsid w:val="27A44EC3"/>
    <w:rsid w:val="27D768DB"/>
    <w:rsid w:val="27F361B5"/>
    <w:rsid w:val="280C55A0"/>
    <w:rsid w:val="281201EF"/>
    <w:rsid w:val="281F2C62"/>
    <w:rsid w:val="282966B1"/>
    <w:rsid w:val="28316093"/>
    <w:rsid w:val="284A4177"/>
    <w:rsid w:val="28691DDD"/>
    <w:rsid w:val="287B6024"/>
    <w:rsid w:val="288D2DF0"/>
    <w:rsid w:val="288D75BC"/>
    <w:rsid w:val="28B87F5C"/>
    <w:rsid w:val="28C15112"/>
    <w:rsid w:val="28C745E9"/>
    <w:rsid w:val="28C80DD0"/>
    <w:rsid w:val="28D02A64"/>
    <w:rsid w:val="28D54B9F"/>
    <w:rsid w:val="28DD4269"/>
    <w:rsid w:val="28F52825"/>
    <w:rsid w:val="28F7386B"/>
    <w:rsid w:val="28FE5719"/>
    <w:rsid w:val="291C4C1C"/>
    <w:rsid w:val="292337E5"/>
    <w:rsid w:val="29285E7F"/>
    <w:rsid w:val="292D54F9"/>
    <w:rsid w:val="29346A03"/>
    <w:rsid w:val="293556BF"/>
    <w:rsid w:val="29380A65"/>
    <w:rsid w:val="29407C18"/>
    <w:rsid w:val="2949068A"/>
    <w:rsid w:val="29796457"/>
    <w:rsid w:val="298E330C"/>
    <w:rsid w:val="29955CC7"/>
    <w:rsid w:val="299A2E15"/>
    <w:rsid w:val="29AB53F5"/>
    <w:rsid w:val="29BB0302"/>
    <w:rsid w:val="29CE1B76"/>
    <w:rsid w:val="29CE7720"/>
    <w:rsid w:val="29DB582C"/>
    <w:rsid w:val="2A1502C9"/>
    <w:rsid w:val="2A2040D2"/>
    <w:rsid w:val="2A2F2642"/>
    <w:rsid w:val="2A326FB3"/>
    <w:rsid w:val="2A357DCE"/>
    <w:rsid w:val="2A4C2C3D"/>
    <w:rsid w:val="2A863051"/>
    <w:rsid w:val="2A9B7362"/>
    <w:rsid w:val="2A9C5B30"/>
    <w:rsid w:val="2AD82E5B"/>
    <w:rsid w:val="2AE76459"/>
    <w:rsid w:val="2AED3CFA"/>
    <w:rsid w:val="2AED757D"/>
    <w:rsid w:val="2AEE177B"/>
    <w:rsid w:val="2AFA7C6E"/>
    <w:rsid w:val="2AFD3F94"/>
    <w:rsid w:val="2B0425EF"/>
    <w:rsid w:val="2B180D77"/>
    <w:rsid w:val="2B2217ED"/>
    <w:rsid w:val="2B3876E5"/>
    <w:rsid w:val="2B446139"/>
    <w:rsid w:val="2B6400E2"/>
    <w:rsid w:val="2B65743C"/>
    <w:rsid w:val="2B79793F"/>
    <w:rsid w:val="2B7B67CF"/>
    <w:rsid w:val="2B9F159F"/>
    <w:rsid w:val="2BB01953"/>
    <w:rsid w:val="2BBF6EC7"/>
    <w:rsid w:val="2BCA263B"/>
    <w:rsid w:val="2BCC2C8F"/>
    <w:rsid w:val="2BD43000"/>
    <w:rsid w:val="2BF0583D"/>
    <w:rsid w:val="2C0702A5"/>
    <w:rsid w:val="2C0A6A50"/>
    <w:rsid w:val="2C271298"/>
    <w:rsid w:val="2C342700"/>
    <w:rsid w:val="2C4B05A4"/>
    <w:rsid w:val="2C5A6099"/>
    <w:rsid w:val="2C6E0B15"/>
    <w:rsid w:val="2C8A4679"/>
    <w:rsid w:val="2C9440EE"/>
    <w:rsid w:val="2C952DB1"/>
    <w:rsid w:val="2C9C3418"/>
    <w:rsid w:val="2CA54AE6"/>
    <w:rsid w:val="2CAA2FAB"/>
    <w:rsid w:val="2CAC29D6"/>
    <w:rsid w:val="2CB957BB"/>
    <w:rsid w:val="2CFE5B96"/>
    <w:rsid w:val="2D0136F6"/>
    <w:rsid w:val="2D0C6ED7"/>
    <w:rsid w:val="2D1C2FA0"/>
    <w:rsid w:val="2D2B45A9"/>
    <w:rsid w:val="2D3124F3"/>
    <w:rsid w:val="2D946260"/>
    <w:rsid w:val="2DB9365A"/>
    <w:rsid w:val="2E020E22"/>
    <w:rsid w:val="2E093F97"/>
    <w:rsid w:val="2E0F6725"/>
    <w:rsid w:val="2E2369AE"/>
    <w:rsid w:val="2E2B4E97"/>
    <w:rsid w:val="2E416F7A"/>
    <w:rsid w:val="2E43471C"/>
    <w:rsid w:val="2E450D82"/>
    <w:rsid w:val="2E4F2027"/>
    <w:rsid w:val="2E50181A"/>
    <w:rsid w:val="2E5D7CAB"/>
    <w:rsid w:val="2E642951"/>
    <w:rsid w:val="2E6B04F6"/>
    <w:rsid w:val="2E8C5D75"/>
    <w:rsid w:val="2E965E1A"/>
    <w:rsid w:val="2E9E470A"/>
    <w:rsid w:val="2ECB7F1F"/>
    <w:rsid w:val="2EED0F1A"/>
    <w:rsid w:val="2F050AB9"/>
    <w:rsid w:val="2F12101B"/>
    <w:rsid w:val="2F260A8B"/>
    <w:rsid w:val="2F27403D"/>
    <w:rsid w:val="2F2C330F"/>
    <w:rsid w:val="2F413F12"/>
    <w:rsid w:val="2F4A6EFD"/>
    <w:rsid w:val="2F4F1707"/>
    <w:rsid w:val="2F596B17"/>
    <w:rsid w:val="2F5A35ED"/>
    <w:rsid w:val="2F5E21F8"/>
    <w:rsid w:val="2F6B5500"/>
    <w:rsid w:val="2F756488"/>
    <w:rsid w:val="2F781BEF"/>
    <w:rsid w:val="2FB372F1"/>
    <w:rsid w:val="2FC732B6"/>
    <w:rsid w:val="2FCC5607"/>
    <w:rsid w:val="2FD31004"/>
    <w:rsid w:val="2FD85DE3"/>
    <w:rsid w:val="2FE558D1"/>
    <w:rsid w:val="2FE701DF"/>
    <w:rsid w:val="2FE7726A"/>
    <w:rsid w:val="2FEF38D2"/>
    <w:rsid w:val="30133FEC"/>
    <w:rsid w:val="303A6A53"/>
    <w:rsid w:val="303C45D6"/>
    <w:rsid w:val="30580B19"/>
    <w:rsid w:val="306B7025"/>
    <w:rsid w:val="306F537F"/>
    <w:rsid w:val="3087604F"/>
    <w:rsid w:val="3099322C"/>
    <w:rsid w:val="309B7CE6"/>
    <w:rsid w:val="30B00753"/>
    <w:rsid w:val="30CF1847"/>
    <w:rsid w:val="30D70F9B"/>
    <w:rsid w:val="30E362D9"/>
    <w:rsid w:val="30E63698"/>
    <w:rsid w:val="3112052E"/>
    <w:rsid w:val="313B34E4"/>
    <w:rsid w:val="314F6109"/>
    <w:rsid w:val="31667D21"/>
    <w:rsid w:val="319A491A"/>
    <w:rsid w:val="31A101B1"/>
    <w:rsid w:val="31A50089"/>
    <w:rsid w:val="31AA2E09"/>
    <w:rsid w:val="31AE180F"/>
    <w:rsid w:val="31B1512E"/>
    <w:rsid w:val="31B6389F"/>
    <w:rsid w:val="31CA2CA7"/>
    <w:rsid w:val="31DE235E"/>
    <w:rsid w:val="31FB70AF"/>
    <w:rsid w:val="320D357B"/>
    <w:rsid w:val="32140399"/>
    <w:rsid w:val="321E7FA0"/>
    <w:rsid w:val="32243456"/>
    <w:rsid w:val="32291C1E"/>
    <w:rsid w:val="32302F7F"/>
    <w:rsid w:val="3230476B"/>
    <w:rsid w:val="323D6C3E"/>
    <w:rsid w:val="32410290"/>
    <w:rsid w:val="32501A58"/>
    <w:rsid w:val="32525458"/>
    <w:rsid w:val="3259416D"/>
    <w:rsid w:val="326D7BA7"/>
    <w:rsid w:val="32794823"/>
    <w:rsid w:val="328B38E5"/>
    <w:rsid w:val="32A377D3"/>
    <w:rsid w:val="32AD27C7"/>
    <w:rsid w:val="32F26657"/>
    <w:rsid w:val="32FA0DCA"/>
    <w:rsid w:val="3304573D"/>
    <w:rsid w:val="3324489C"/>
    <w:rsid w:val="33301D0B"/>
    <w:rsid w:val="33453BD9"/>
    <w:rsid w:val="33547F3B"/>
    <w:rsid w:val="33571C46"/>
    <w:rsid w:val="336D346F"/>
    <w:rsid w:val="33775020"/>
    <w:rsid w:val="337B0DB2"/>
    <w:rsid w:val="338D276E"/>
    <w:rsid w:val="33A13B4C"/>
    <w:rsid w:val="33AE4F46"/>
    <w:rsid w:val="33B73166"/>
    <w:rsid w:val="33B81CF4"/>
    <w:rsid w:val="33C2127A"/>
    <w:rsid w:val="33D40B08"/>
    <w:rsid w:val="33D421CD"/>
    <w:rsid w:val="33EC2D9B"/>
    <w:rsid w:val="33FD4B3F"/>
    <w:rsid w:val="342C7029"/>
    <w:rsid w:val="344F39A6"/>
    <w:rsid w:val="346D715A"/>
    <w:rsid w:val="347E0A30"/>
    <w:rsid w:val="347F3985"/>
    <w:rsid w:val="34821B53"/>
    <w:rsid w:val="348670BC"/>
    <w:rsid w:val="349608A4"/>
    <w:rsid w:val="34A14AE4"/>
    <w:rsid w:val="34A45035"/>
    <w:rsid w:val="34BB7B6F"/>
    <w:rsid w:val="34D13489"/>
    <w:rsid w:val="34E41CFD"/>
    <w:rsid w:val="34EE69C3"/>
    <w:rsid w:val="35134ED1"/>
    <w:rsid w:val="352B27FB"/>
    <w:rsid w:val="3535115B"/>
    <w:rsid w:val="35465AF4"/>
    <w:rsid w:val="355A0F70"/>
    <w:rsid w:val="35615559"/>
    <w:rsid w:val="358A229B"/>
    <w:rsid w:val="358C41D7"/>
    <w:rsid w:val="35926AFD"/>
    <w:rsid w:val="359A307E"/>
    <w:rsid w:val="359F4304"/>
    <w:rsid w:val="35AB5616"/>
    <w:rsid w:val="35B00AA5"/>
    <w:rsid w:val="35C51944"/>
    <w:rsid w:val="35E6334E"/>
    <w:rsid w:val="35F061DD"/>
    <w:rsid w:val="35F21CBF"/>
    <w:rsid w:val="35FD7A5D"/>
    <w:rsid w:val="35FE0BA4"/>
    <w:rsid w:val="36044CAC"/>
    <w:rsid w:val="362B4B6B"/>
    <w:rsid w:val="3634170B"/>
    <w:rsid w:val="363D7BCF"/>
    <w:rsid w:val="3640708F"/>
    <w:rsid w:val="36440C81"/>
    <w:rsid w:val="365F40C1"/>
    <w:rsid w:val="366208C9"/>
    <w:rsid w:val="366E6055"/>
    <w:rsid w:val="36724739"/>
    <w:rsid w:val="3676742A"/>
    <w:rsid w:val="36822E1D"/>
    <w:rsid w:val="36866F0C"/>
    <w:rsid w:val="369C526F"/>
    <w:rsid w:val="36AE7A40"/>
    <w:rsid w:val="36BC2CFF"/>
    <w:rsid w:val="36C572CB"/>
    <w:rsid w:val="36D56D85"/>
    <w:rsid w:val="36DE667F"/>
    <w:rsid w:val="37006263"/>
    <w:rsid w:val="37022D72"/>
    <w:rsid w:val="37307F67"/>
    <w:rsid w:val="373B0DF2"/>
    <w:rsid w:val="373C2155"/>
    <w:rsid w:val="373C716C"/>
    <w:rsid w:val="374E22D5"/>
    <w:rsid w:val="374E6BDB"/>
    <w:rsid w:val="375523F6"/>
    <w:rsid w:val="377A61BA"/>
    <w:rsid w:val="377B3686"/>
    <w:rsid w:val="378A6504"/>
    <w:rsid w:val="37912195"/>
    <w:rsid w:val="37A44758"/>
    <w:rsid w:val="37A778DB"/>
    <w:rsid w:val="37AB4D31"/>
    <w:rsid w:val="37BE0A94"/>
    <w:rsid w:val="382D342C"/>
    <w:rsid w:val="384A2968"/>
    <w:rsid w:val="384E7769"/>
    <w:rsid w:val="385002DB"/>
    <w:rsid w:val="38520EEB"/>
    <w:rsid w:val="38536A58"/>
    <w:rsid w:val="385F6A5C"/>
    <w:rsid w:val="387138E4"/>
    <w:rsid w:val="387519F3"/>
    <w:rsid w:val="38AD1D36"/>
    <w:rsid w:val="38BB7C06"/>
    <w:rsid w:val="38DC3781"/>
    <w:rsid w:val="38FF6124"/>
    <w:rsid w:val="39065155"/>
    <w:rsid w:val="39076AAB"/>
    <w:rsid w:val="391465DB"/>
    <w:rsid w:val="391B5050"/>
    <w:rsid w:val="39216B45"/>
    <w:rsid w:val="3928570A"/>
    <w:rsid w:val="393A2270"/>
    <w:rsid w:val="39460A3B"/>
    <w:rsid w:val="39485BCE"/>
    <w:rsid w:val="39636C68"/>
    <w:rsid w:val="396C570C"/>
    <w:rsid w:val="397024A5"/>
    <w:rsid w:val="39997BA6"/>
    <w:rsid w:val="399C0107"/>
    <w:rsid w:val="39A16045"/>
    <w:rsid w:val="39AB69F6"/>
    <w:rsid w:val="39AE1224"/>
    <w:rsid w:val="39AE3277"/>
    <w:rsid w:val="39B91F2C"/>
    <w:rsid w:val="39F31751"/>
    <w:rsid w:val="39FB5364"/>
    <w:rsid w:val="39FD3633"/>
    <w:rsid w:val="3A032728"/>
    <w:rsid w:val="3A210DEE"/>
    <w:rsid w:val="3A2D6BDA"/>
    <w:rsid w:val="3A382CD3"/>
    <w:rsid w:val="3A3E03BF"/>
    <w:rsid w:val="3A561548"/>
    <w:rsid w:val="3A5A260E"/>
    <w:rsid w:val="3A6B16E8"/>
    <w:rsid w:val="3A6E38CB"/>
    <w:rsid w:val="3A6F5D60"/>
    <w:rsid w:val="3A734567"/>
    <w:rsid w:val="3A902FED"/>
    <w:rsid w:val="3A9E2BCF"/>
    <w:rsid w:val="3AB66EE8"/>
    <w:rsid w:val="3ABC356A"/>
    <w:rsid w:val="3ABD0BC7"/>
    <w:rsid w:val="3AC0178A"/>
    <w:rsid w:val="3AC31B87"/>
    <w:rsid w:val="3AC454B2"/>
    <w:rsid w:val="3AC468C8"/>
    <w:rsid w:val="3AC67791"/>
    <w:rsid w:val="3ACC4B08"/>
    <w:rsid w:val="3AED6BD3"/>
    <w:rsid w:val="3B0D0E47"/>
    <w:rsid w:val="3B0D664A"/>
    <w:rsid w:val="3B1B3EB8"/>
    <w:rsid w:val="3B2C6245"/>
    <w:rsid w:val="3B3A594E"/>
    <w:rsid w:val="3B6416BF"/>
    <w:rsid w:val="3B716D4B"/>
    <w:rsid w:val="3B793D1A"/>
    <w:rsid w:val="3B880DDD"/>
    <w:rsid w:val="3BB63F97"/>
    <w:rsid w:val="3BC2055C"/>
    <w:rsid w:val="3BDC6425"/>
    <w:rsid w:val="3BE154F0"/>
    <w:rsid w:val="3BEF2626"/>
    <w:rsid w:val="3BEF489C"/>
    <w:rsid w:val="3BFA7488"/>
    <w:rsid w:val="3C0467B3"/>
    <w:rsid w:val="3C165EA1"/>
    <w:rsid w:val="3C2025E5"/>
    <w:rsid w:val="3C22457B"/>
    <w:rsid w:val="3C242FBF"/>
    <w:rsid w:val="3C2564BB"/>
    <w:rsid w:val="3C5B4265"/>
    <w:rsid w:val="3C76082F"/>
    <w:rsid w:val="3C7F3A5E"/>
    <w:rsid w:val="3C842D3A"/>
    <w:rsid w:val="3C8F4478"/>
    <w:rsid w:val="3C987724"/>
    <w:rsid w:val="3CBF11F5"/>
    <w:rsid w:val="3CEC7BD4"/>
    <w:rsid w:val="3CF65028"/>
    <w:rsid w:val="3CF81C71"/>
    <w:rsid w:val="3CFB2C9B"/>
    <w:rsid w:val="3D005F6C"/>
    <w:rsid w:val="3D083E96"/>
    <w:rsid w:val="3D1939BA"/>
    <w:rsid w:val="3D1E0EF0"/>
    <w:rsid w:val="3D232146"/>
    <w:rsid w:val="3D381F88"/>
    <w:rsid w:val="3D493A44"/>
    <w:rsid w:val="3D9306B3"/>
    <w:rsid w:val="3D94180F"/>
    <w:rsid w:val="3DA81BD2"/>
    <w:rsid w:val="3DBC4D5D"/>
    <w:rsid w:val="3DD41223"/>
    <w:rsid w:val="3DE23CA8"/>
    <w:rsid w:val="3E0C090D"/>
    <w:rsid w:val="3E1E276F"/>
    <w:rsid w:val="3E2F1D93"/>
    <w:rsid w:val="3E447347"/>
    <w:rsid w:val="3E55075E"/>
    <w:rsid w:val="3E5C73DF"/>
    <w:rsid w:val="3E681345"/>
    <w:rsid w:val="3E952C4C"/>
    <w:rsid w:val="3E985119"/>
    <w:rsid w:val="3E9E2047"/>
    <w:rsid w:val="3EC533B9"/>
    <w:rsid w:val="3ECD52D4"/>
    <w:rsid w:val="3EE93E04"/>
    <w:rsid w:val="3EEC39EC"/>
    <w:rsid w:val="3EF278C0"/>
    <w:rsid w:val="3EF45C47"/>
    <w:rsid w:val="3F1A051E"/>
    <w:rsid w:val="3F1C0869"/>
    <w:rsid w:val="3F1C3119"/>
    <w:rsid w:val="3F233925"/>
    <w:rsid w:val="3F3B0D9C"/>
    <w:rsid w:val="3F49778D"/>
    <w:rsid w:val="3F4C6CE8"/>
    <w:rsid w:val="3F503C1B"/>
    <w:rsid w:val="3F5328FD"/>
    <w:rsid w:val="3F5A2215"/>
    <w:rsid w:val="3F5A37B2"/>
    <w:rsid w:val="3F6B52EC"/>
    <w:rsid w:val="3F7A5F00"/>
    <w:rsid w:val="3F8C1D56"/>
    <w:rsid w:val="3F941F4C"/>
    <w:rsid w:val="3F94295F"/>
    <w:rsid w:val="3FA05703"/>
    <w:rsid w:val="3FAB60B0"/>
    <w:rsid w:val="3FBD3A8A"/>
    <w:rsid w:val="3FC369A0"/>
    <w:rsid w:val="3FCD0899"/>
    <w:rsid w:val="3FE146DD"/>
    <w:rsid w:val="3FE9325F"/>
    <w:rsid w:val="3FF250A7"/>
    <w:rsid w:val="40133760"/>
    <w:rsid w:val="40301D00"/>
    <w:rsid w:val="40342E1F"/>
    <w:rsid w:val="403B3537"/>
    <w:rsid w:val="40434307"/>
    <w:rsid w:val="40795E02"/>
    <w:rsid w:val="40854466"/>
    <w:rsid w:val="40A05445"/>
    <w:rsid w:val="40AC7BA9"/>
    <w:rsid w:val="40C646FA"/>
    <w:rsid w:val="40D24C62"/>
    <w:rsid w:val="40D76677"/>
    <w:rsid w:val="40E1601C"/>
    <w:rsid w:val="40F64FBA"/>
    <w:rsid w:val="40F70F51"/>
    <w:rsid w:val="41003DB0"/>
    <w:rsid w:val="410B72A7"/>
    <w:rsid w:val="411D14B8"/>
    <w:rsid w:val="41336B88"/>
    <w:rsid w:val="413B0D91"/>
    <w:rsid w:val="41A05DA0"/>
    <w:rsid w:val="41AA03F8"/>
    <w:rsid w:val="41B6640B"/>
    <w:rsid w:val="41CD3503"/>
    <w:rsid w:val="41DD5957"/>
    <w:rsid w:val="41F856DF"/>
    <w:rsid w:val="4208167E"/>
    <w:rsid w:val="420A5653"/>
    <w:rsid w:val="422432DB"/>
    <w:rsid w:val="422E4822"/>
    <w:rsid w:val="4250145A"/>
    <w:rsid w:val="426A084C"/>
    <w:rsid w:val="426C21C6"/>
    <w:rsid w:val="42754789"/>
    <w:rsid w:val="428827CD"/>
    <w:rsid w:val="429973D7"/>
    <w:rsid w:val="429A581F"/>
    <w:rsid w:val="429A77D0"/>
    <w:rsid w:val="429B34DC"/>
    <w:rsid w:val="42B33D71"/>
    <w:rsid w:val="42BE69D7"/>
    <w:rsid w:val="42C559B9"/>
    <w:rsid w:val="42D55B65"/>
    <w:rsid w:val="42F25864"/>
    <w:rsid w:val="42F41924"/>
    <w:rsid w:val="42F853BD"/>
    <w:rsid w:val="42FD4A2C"/>
    <w:rsid w:val="430E4C3F"/>
    <w:rsid w:val="43235FE1"/>
    <w:rsid w:val="43255FD6"/>
    <w:rsid w:val="4335365D"/>
    <w:rsid w:val="433833E1"/>
    <w:rsid w:val="43395FD9"/>
    <w:rsid w:val="43404B34"/>
    <w:rsid w:val="435746C1"/>
    <w:rsid w:val="435B4017"/>
    <w:rsid w:val="435C1379"/>
    <w:rsid w:val="436653AA"/>
    <w:rsid w:val="437F778B"/>
    <w:rsid w:val="438C142F"/>
    <w:rsid w:val="4398729B"/>
    <w:rsid w:val="43A852CF"/>
    <w:rsid w:val="43A97E5E"/>
    <w:rsid w:val="43BB2531"/>
    <w:rsid w:val="43D75DDE"/>
    <w:rsid w:val="43D76CDF"/>
    <w:rsid w:val="43D7749F"/>
    <w:rsid w:val="43E36AA0"/>
    <w:rsid w:val="43EC5065"/>
    <w:rsid w:val="43EE3D70"/>
    <w:rsid w:val="443963F9"/>
    <w:rsid w:val="444A0B38"/>
    <w:rsid w:val="444A5F01"/>
    <w:rsid w:val="44511ECF"/>
    <w:rsid w:val="445E033A"/>
    <w:rsid w:val="44626A6E"/>
    <w:rsid w:val="446D5E09"/>
    <w:rsid w:val="446F0254"/>
    <w:rsid w:val="448C7B84"/>
    <w:rsid w:val="44A37A63"/>
    <w:rsid w:val="44A52FE9"/>
    <w:rsid w:val="44A70903"/>
    <w:rsid w:val="44A93073"/>
    <w:rsid w:val="44AA0704"/>
    <w:rsid w:val="44AB056A"/>
    <w:rsid w:val="44B14540"/>
    <w:rsid w:val="44B43A2E"/>
    <w:rsid w:val="44B93160"/>
    <w:rsid w:val="44C95F31"/>
    <w:rsid w:val="44D7561F"/>
    <w:rsid w:val="44F5524E"/>
    <w:rsid w:val="44F72820"/>
    <w:rsid w:val="45194177"/>
    <w:rsid w:val="45577ED8"/>
    <w:rsid w:val="456831BA"/>
    <w:rsid w:val="456D462C"/>
    <w:rsid w:val="45732E01"/>
    <w:rsid w:val="45753A14"/>
    <w:rsid w:val="457F6B87"/>
    <w:rsid w:val="45817197"/>
    <w:rsid w:val="458379D6"/>
    <w:rsid w:val="45897FC6"/>
    <w:rsid w:val="459B20AA"/>
    <w:rsid w:val="459C3483"/>
    <w:rsid w:val="45B95488"/>
    <w:rsid w:val="45CB1574"/>
    <w:rsid w:val="45DA0529"/>
    <w:rsid w:val="45E226B4"/>
    <w:rsid w:val="45EF2C7D"/>
    <w:rsid w:val="45F566C8"/>
    <w:rsid w:val="45F84908"/>
    <w:rsid w:val="45FE0A0E"/>
    <w:rsid w:val="46063208"/>
    <w:rsid w:val="46095DF7"/>
    <w:rsid w:val="46114C89"/>
    <w:rsid w:val="46184904"/>
    <w:rsid w:val="4621102C"/>
    <w:rsid w:val="462966C8"/>
    <w:rsid w:val="463B417B"/>
    <w:rsid w:val="4642173C"/>
    <w:rsid w:val="465D030F"/>
    <w:rsid w:val="466832D7"/>
    <w:rsid w:val="4670321D"/>
    <w:rsid w:val="46950D24"/>
    <w:rsid w:val="46A53C30"/>
    <w:rsid w:val="46A87484"/>
    <w:rsid w:val="46B20B3F"/>
    <w:rsid w:val="46B350AD"/>
    <w:rsid w:val="46C55F4D"/>
    <w:rsid w:val="46C9692D"/>
    <w:rsid w:val="46D17DBE"/>
    <w:rsid w:val="46E2746E"/>
    <w:rsid w:val="46F91828"/>
    <w:rsid w:val="46FB1AED"/>
    <w:rsid w:val="4710222D"/>
    <w:rsid w:val="47105324"/>
    <w:rsid w:val="47135D7F"/>
    <w:rsid w:val="471D739A"/>
    <w:rsid w:val="472D6E53"/>
    <w:rsid w:val="474712B5"/>
    <w:rsid w:val="476D6D18"/>
    <w:rsid w:val="476F149C"/>
    <w:rsid w:val="47771607"/>
    <w:rsid w:val="477D377B"/>
    <w:rsid w:val="4783151D"/>
    <w:rsid w:val="47871DBD"/>
    <w:rsid w:val="47912074"/>
    <w:rsid w:val="47962BA6"/>
    <w:rsid w:val="47973751"/>
    <w:rsid w:val="47BA38BA"/>
    <w:rsid w:val="47BC1721"/>
    <w:rsid w:val="47BF5544"/>
    <w:rsid w:val="481C0975"/>
    <w:rsid w:val="482C47F7"/>
    <w:rsid w:val="482D67AB"/>
    <w:rsid w:val="483C7010"/>
    <w:rsid w:val="4852631D"/>
    <w:rsid w:val="48632753"/>
    <w:rsid w:val="48717B26"/>
    <w:rsid w:val="487C1B1D"/>
    <w:rsid w:val="489A5B99"/>
    <w:rsid w:val="48A52D94"/>
    <w:rsid w:val="48A85F16"/>
    <w:rsid w:val="48B126EF"/>
    <w:rsid w:val="48B41389"/>
    <w:rsid w:val="48BE52C8"/>
    <w:rsid w:val="48C23D0D"/>
    <w:rsid w:val="48E20E54"/>
    <w:rsid w:val="48EA7948"/>
    <w:rsid w:val="48EB19BF"/>
    <w:rsid w:val="48F158E5"/>
    <w:rsid w:val="48FC627F"/>
    <w:rsid w:val="494055BD"/>
    <w:rsid w:val="49414AE9"/>
    <w:rsid w:val="494E5DE3"/>
    <w:rsid w:val="49562FE0"/>
    <w:rsid w:val="495849AF"/>
    <w:rsid w:val="496069B4"/>
    <w:rsid w:val="49711F77"/>
    <w:rsid w:val="49852512"/>
    <w:rsid w:val="49852CBE"/>
    <w:rsid w:val="4988101B"/>
    <w:rsid w:val="49A26134"/>
    <w:rsid w:val="49CB4087"/>
    <w:rsid w:val="49D617AF"/>
    <w:rsid w:val="49EF5CD1"/>
    <w:rsid w:val="49F51E06"/>
    <w:rsid w:val="4A0140DC"/>
    <w:rsid w:val="4A1D3AD3"/>
    <w:rsid w:val="4A2B453A"/>
    <w:rsid w:val="4A4245AA"/>
    <w:rsid w:val="4A477C68"/>
    <w:rsid w:val="4A5756F3"/>
    <w:rsid w:val="4A5B288E"/>
    <w:rsid w:val="4A623FA8"/>
    <w:rsid w:val="4A786D0F"/>
    <w:rsid w:val="4A7B31F9"/>
    <w:rsid w:val="4A8631A1"/>
    <w:rsid w:val="4A884065"/>
    <w:rsid w:val="4A8C7786"/>
    <w:rsid w:val="4A9216E3"/>
    <w:rsid w:val="4A95601A"/>
    <w:rsid w:val="4A99460D"/>
    <w:rsid w:val="4A9B7DF4"/>
    <w:rsid w:val="4AA33A56"/>
    <w:rsid w:val="4AAB6A4B"/>
    <w:rsid w:val="4AAF071F"/>
    <w:rsid w:val="4AB42A29"/>
    <w:rsid w:val="4ACA372F"/>
    <w:rsid w:val="4AD3346E"/>
    <w:rsid w:val="4AF37F5F"/>
    <w:rsid w:val="4AF6514A"/>
    <w:rsid w:val="4AFC7E8E"/>
    <w:rsid w:val="4AFD7B6C"/>
    <w:rsid w:val="4B01301B"/>
    <w:rsid w:val="4B013DB2"/>
    <w:rsid w:val="4B031C32"/>
    <w:rsid w:val="4B1D5DC5"/>
    <w:rsid w:val="4B2452BC"/>
    <w:rsid w:val="4B2C7BD5"/>
    <w:rsid w:val="4B492A00"/>
    <w:rsid w:val="4B532D18"/>
    <w:rsid w:val="4B71056A"/>
    <w:rsid w:val="4B736FEC"/>
    <w:rsid w:val="4B79341C"/>
    <w:rsid w:val="4B80697B"/>
    <w:rsid w:val="4B9545BC"/>
    <w:rsid w:val="4B9D44F4"/>
    <w:rsid w:val="4BD4233B"/>
    <w:rsid w:val="4BD509F4"/>
    <w:rsid w:val="4BE26B5C"/>
    <w:rsid w:val="4BF316AA"/>
    <w:rsid w:val="4C0B6D51"/>
    <w:rsid w:val="4C0E4A64"/>
    <w:rsid w:val="4C1140A8"/>
    <w:rsid w:val="4C197120"/>
    <w:rsid w:val="4C1E287B"/>
    <w:rsid w:val="4C395B42"/>
    <w:rsid w:val="4C3D187C"/>
    <w:rsid w:val="4C514546"/>
    <w:rsid w:val="4C6B501B"/>
    <w:rsid w:val="4C6F0225"/>
    <w:rsid w:val="4C733602"/>
    <w:rsid w:val="4C7C1A93"/>
    <w:rsid w:val="4C7F32A8"/>
    <w:rsid w:val="4C87104A"/>
    <w:rsid w:val="4C8E1FD4"/>
    <w:rsid w:val="4C972AB6"/>
    <w:rsid w:val="4CA623C0"/>
    <w:rsid w:val="4CB3538E"/>
    <w:rsid w:val="4CC364FF"/>
    <w:rsid w:val="4CC45121"/>
    <w:rsid w:val="4CD049E1"/>
    <w:rsid w:val="4CD4028E"/>
    <w:rsid w:val="4CD71626"/>
    <w:rsid w:val="4CE93337"/>
    <w:rsid w:val="4D041756"/>
    <w:rsid w:val="4D070C0E"/>
    <w:rsid w:val="4D123444"/>
    <w:rsid w:val="4D1F08A7"/>
    <w:rsid w:val="4D1F0B2D"/>
    <w:rsid w:val="4D2346DA"/>
    <w:rsid w:val="4D33638C"/>
    <w:rsid w:val="4D3C337B"/>
    <w:rsid w:val="4D4B5A29"/>
    <w:rsid w:val="4D4D2354"/>
    <w:rsid w:val="4D555A6E"/>
    <w:rsid w:val="4D623103"/>
    <w:rsid w:val="4D68094D"/>
    <w:rsid w:val="4D684F6E"/>
    <w:rsid w:val="4D7814A6"/>
    <w:rsid w:val="4D961C68"/>
    <w:rsid w:val="4DAE3B9E"/>
    <w:rsid w:val="4DB87D11"/>
    <w:rsid w:val="4DBF5CB0"/>
    <w:rsid w:val="4DD17E3D"/>
    <w:rsid w:val="4DD3309B"/>
    <w:rsid w:val="4DD8347A"/>
    <w:rsid w:val="4DFB2D5D"/>
    <w:rsid w:val="4DFB7B78"/>
    <w:rsid w:val="4DFD3576"/>
    <w:rsid w:val="4E0A1150"/>
    <w:rsid w:val="4E0E2C9E"/>
    <w:rsid w:val="4E145411"/>
    <w:rsid w:val="4E166718"/>
    <w:rsid w:val="4E1C456A"/>
    <w:rsid w:val="4E2021D5"/>
    <w:rsid w:val="4E21506C"/>
    <w:rsid w:val="4E2355F3"/>
    <w:rsid w:val="4E4A7540"/>
    <w:rsid w:val="4E4F1927"/>
    <w:rsid w:val="4E572E95"/>
    <w:rsid w:val="4E676BB0"/>
    <w:rsid w:val="4E7C381A"/>
    <w:rsid w:val="4EAE567D"/>
    <w:rsid w:val="4EB432F8"/>
    <w:rsid w:val="4EB843F2"/>
    <w:rsid w:val="4EC744EC"/>
    <w:rsid w:val="4EDA1DC0"/>
    <w:rsid w:val="4EDE7C80"/>
    <w:rsid w:val="4EE63455"/>
    <w:rsid w:val="4EE8763A"/>
    <w:rsid w:val="4EE90491"/>
    <w:rsid w:val="4EEB5CB4"/>
    <w:rsid w:val="4EED01D5"/>
    <w:rsid w:val="4EED657E"/>
    <w:rsid w:val="4EF544F5"/>
    <w:rsid w:val="4F0D6DE1"/>
    <w:rsid w:val="4F147580"/>
    <w:rsid w:val="4F250268"/>
    <w:rsid w:val="4F252B31"/>
    <w:rsid w:val="4F3A7760"/>
    <w:rsid w:val="4F496D42"/>
    <w:rsid w:val="4F501631"/>
    <w:rsid w:val="4F5C52AF"/>
    <w:rsid w:val="4F61484A"/>
    <w:rsid w:val="4F6D2DFE"/>
    <w:rsid w:val="4F7F08EE"/>
    <w:rsid w:val="4F876C88"/>
    <w:rsid w:val="4FAC7EDB"/>
    <w:rsid w:val="4FB52383"/>
    <w:rsid w:val="4FBA6F55"/>
    <w:rsid w:val="4FCE4885"/>
    <w:rsid w:val="4FDC1578"/>
    <w:rsid w:val="4FE118E7"/>
    <w:rsid w:val="4FE44E23"/>
    <w:rsid w:val="4FE55C0A"/>
    <w:rsid w:val="4FE912AB"/>
    <w:rsid w:val="500D4E90"/>
    <w:rsid w:val="500E4A66"/>
    <w:rsid w:val="501511D4"/>
    <w:rsid w:val="501E3F5C"/>
    <w:rsid w:val="502A782A"/>
    <w:rsid w:val="5037123C"/>
    <w:rsid w:val="50395198"/>
    <w:rsid w:val="503A6CC2"/>
    <w:rsid w:val="505E6BA8"/>
    <w:rsid w:val="50606930"/>
    <w:rsid w:val="50762161"/>
    <w:rsid w:val="507B5930"/>
    <w:rsid w:val="50843D18"/>
    <w:rsid w:val="509437B7"/>
    <w:rsid w:val="50AB2007"/>
    <w:rsid w:val="50AD5F80"/>
    <w:rsid w:val="50B72BFD"/>
    <w:rsid w:val="50C83927"/>
    <w:rsid w:val="50C97A5F"/>
    <w:rsid w:val="50CF4DBA"/>
    <w:rsid w:val="50DC0111"/>
    <w:rsid w:val="50E90E4D"/>
    <w:rsid w:val="50E91A00"/>
    <w:rsid w:val="50F2381B"/>
    <w:rsid w:val="50F5148F"/>
    <w:rsid w:val="51073612"/>
    <w:rsid w:val="51206DA9"/>
    <w:rsid w:val="512F75B8"/>
    <w:rsid w:val="513F1D74"/>
    <w:rsid w:val="514A436A"/>
    <w:rsid w:val="515E533C"/>
    <w:rsid w:val="51626722"/>
    <w:rsid w:val="516D4963"/>
    <w:rsid w:val="5176323C"/>
    <w:rsid w:val="518447AC"/>
    <w:rsid w:val="518B5123"/>
    <w:rsid w:val="518E4D25"/>
    <w:rsid w:val="51A50149"/>
    <w:rsid w:val="51AA43DA"/>
    <w:rsid w:val="51C9790F"/>
    <w:rsid w:val="51CA30C8"/>
    <w:rsid w:val="51E03964"/>
    <w:rsid w:val="51E47A02"/>
    <w:rsid w:val="51E51B83"/>
    <w:rsid w:val="51E57DEC"/>
    <w:rsid w:val="51F223AA"/>
    <w:rsid w:val="51FB1F8F"/>
    <w:rsid w:val="52056221"/>
    <w:rsid w:val="5222467E"/>
    <w:rsid w:val="522259BD"/>
    <w:rsid w:val="522F3A85"/>
    <w:rsid w:val="5232280C"/>
    <w:rsid w:val="52367D31"/>
    <w:rsid w:val="524351EC"/>
    <w:rsid w:val="52474831"/>
    <w:rsid w:val="524A79AD"/>
    <w:rsid w:val="524C41F5"/>
    <w:rsid w:val="525548DD"/>
    <w:rsid w:val="5264613C"/>
    <w:rsid w:val="526A7A81"/>
    <w:rsid w:val="528817F3"/>
    <w:rsid w:val="528832AE"/>
    <w:rsid w:val="52892AF8"/>
    <w:rsid w:val="528C60BE"/>
    <w:rsid w:val="52B40BBC"/>
    <w:rsid w:val="52B934BF"/>
    <w:rsid w:val="52BE7ACF"/>
    <w:rsid w:val="52BF49CD"/>
    <w:rsid w:val="52CD7EAF"/>
    <w:rsid w:val="52D3192C"/>
    <w:rsid w:val="52DD2DA5"/>
    <w:rsid w:val="52F2525A"/>
    <w:rsid w:val="52F81903"/>
    <w:rsid w:val="53016DF5"/>
    <w:rsid w:val="53101AD7"/>
    <w:rsid w:val="531A54B7"/>
    <w:rsid w:val="53250E8E"/>
    <w:rsid w:val="53342F91"/>
    <w:rsid w:val="53526F09"/>
    <w:rsid w:val="53547B65"/>
    <w:rsid w:val="53574DDD"/>
    <w:rsid w:val="535D6353"/>
    <w:rsid w:val="53766ABA"/>
    <w:rsid w:val="53783C70"/>
    <w:rsid w:val="537F7F26"/>
    <w:rsid w:val="53801D8B"/>
    <w:rsid w:val="538916CA"/>
    <w:rsid w:val="53993D24"/>
    <w:rsid w:val="53B947CD"/>
    <w:rsid w:val="53BE4BA1"/>
    <w:rsid w:val="53CC27C6"/>
    <w:rsid w:val="53D62FBC"/>
    <w:rsid w:val="53E143AE"/>
    <w:rsid w:val="53EF0E0D"/>
    <w:rsid w:val="54027A7C"/>
    <w:rsid w:val="54247C4A"/>
    <w:rsid w:val="5431094C"/>
    <w:rsid w:val="544C6C18"/>
    <w:rsid w:val="5458268D"/>
    <w:rsid w:val="546261A5"/>
    <w:rsid w:val="54716A78"/>
    <w:rsid w:val="54740905"/>
    <w:rsid w:val="547C4D2C"/>
    <w:rsid w:val="54A8734F"/>
    <w:rsid w:val="54AC7BDA"/>
    <w:rsid w:val="54AF4B2A"/>
    <w:rsid w:val="54CB7429"/>
    <w:rsid w:val="54E6738C"/>
    <w:rsid w:val="54F208FE"/>
    <w:rsid w:val="550A1002"/>
    <w:rsid w:val="5534565B"/>
    <w:rsid w:val="554064E9"/>
    <w:rsid w:val="5558499C"/>
    <w:rsid w:val="555D0F71"/>
    <w:rsid w:val="555D1316"/>
    <w:rsid w:val="55641740"/>
    <w:rsid w:val="55853556"/>
    <w:rsid w:val="55854A5F"/>
    <w:rsid w:val="55A515E9"/>
    <w:rsid w:val="55A91391"/>
    <w:rsid w:val="55AF6C8E"/>
    <w:rsid w:val="55B60EB0"/>
    <w:rsid w:val="55BA2865"/>
    <w:rsid w:val="55C3284A"/>
    <w:rsid w:val="55C53921"/>
    <w:rsid w:val="55F54D13"/>
    <w:rsid w:val="56172444"/>
    <w:rsid w:val="561C32BA"/>
    <w:rsid w:val="56412C14"/>
    <w:rsid w:val="56582839"/>
    <w:rsid w:val="56585F35"/>
    <w:rsid w:val="565F6940"/>
    <w:rsid w:val="566A004E"/>
    <w:rsid w:val="568770B1"/>
    <w:rsid w:val="56930ED2"/>
    <w:rsid w:val="56994D2A"/>
    <w:rsid w:val="56A05EE6"/>
    <w:rsid w:val="56AA5ACE"/>
    <w:rsid w:val="56BA7533"/>
    <w:rsid w:val="56C17EC8"/>
    <w:rsid w:val="56D06D4A"/>
    <w:rsid w:val="5701736E"/>
    <w:rsid w:val="57035164"/>
    <w:rsid w:val="57256A9A"/>
    <w:rsid w:val="57316C99"/>
    <w:rsid w:val="57634913"/>
    <w:rsid w:val="57654713"/>
    <w:rsid w:val="577D746C"/>
    <w:rsid w:val="578547B8"/>
    <w:rsid w:val="57932BF7"/>
    <w:rsid w:val="57987F99"/>
    <w:rsid w:val="57A005D2"/>
    <w:rsid w:val="57A15BC2"/>
    <w:rsid w:val="57A306A5"/>
    <w:rsid w:val="57AB202A"/>
    <w:rsid w:val="57B9663C"/>
    <w:rsid w:val="57BA5CC3"/>
    <w:rsid w:val="57BD5B0E"/>
    <w:rsid w:val="57C266FC"/>
    <w:rsid w:val="57F93FAA"/>
    <w:rsid w:val="58087832"/>
    <w:rsid w:val="581C5A0B"/>
    <w:rsid w:val="582537A0"/>
    <w:rsid w:val="582554A5"/>
    <w:rsid w:val="5825702F"/>
    <w:rsid w:val="58381411"/>
    <w:rsid w:val="58534425"/>
    <w:rsid w:val="585967F2"/>
    <w:rsid w:val="585D16DF"/>
    <w:rsid w:val="58657C6A"/>
    <w:rsid w:val="58776152"/>
    <w:rsid w:val="58840844"/>
    <w:rsid w:val="588668DD"/>
    <w:rsid w:val="588E0674"/>
    <w:rsid w:val="58A47E17"/>
    <w:rsid w:val="58B44F60"/>
    <w:rsid w:val="58B53E81"/>
    <w:rsid w:val="58B56F89"/>
    <w:rsid w:val="58D81ECB"/>
    <w:rsid w:val="58F444E1"/>
    <w:rsid w:val="58FD4DB4"/>
    <w:rsid w:val="591A5827"/>
    <w:rsid w:val="591C4295"/>
    <w:rsid w:val="591D6844"/>
    <w:rsid w:val="59235FA8"/>
    <w:rsid w:val="59251282"/>
    <w:rsid w:val="592D7F8A"/>
    <w:rsid w:val="592F1E8B"/>
    <w:rsid w:val="593B3FE8"/>
    <w:rsid w:val="594935EF"/>
    <w:rsid w:val="59496ECD"/>
    <w:rsid w:val="594A2445"/>
    <w:rsid w:val="596802BA"/>
    <w:rsid w:val="596B247E"/>
    <w:rsid w:val="598474ED"/>
    <w:rsid w:val="599942E2"/>
    <w:rsid w:val="59A500BD"/>
    <w:rsid w:val="59A51311"/>
    <w:rsid w:val="59B5223B"/>
    <w:rsid w:val="59B74C14"/>
    <w:rsid w:val="59C64ECA"/>
    <w:rsid w:val="59C80D33"/>
    <w:rsid w:val="59DA247B"/>
    <w:rsid w:val="59F141D8"/>
    <w:rsid w:val="59FC04FF"/>
    <w:rsid w:val="5A0A463B"/>
    <w:rsid w:val="5A267160"/>
    <w:rsid w:val="5A290D29"/>
    <w:rsid w:val="5A320F3D"/>
    <w:rsid w:val="5A400A14"/>
    <w:rsid w:val="5A417068"/>
    <w:rsid w:val="5A5C174F"/>
    <w:rsid w:val="5A6B6CA0"/>
    <w:rsid w:val="5A7617CD"/>
    <w:rsid w:val="5A877923"/>
    <w:rsid w:val="5A8B69F3"/>
    <w:rsid w:val="5A8E7FB4"/>
    <w:rsid w:val="5A936EB9"/>
    <w:rsid w:val="5A9A617C"/>
    <w:rsid w:val="5AAB4F40"/>
    <w:rsid w:val="5AAB7DC4"/>
    <w:rsid w:val="5AC06316"/>
    <w:rsid w:val="5AC316D9"/>
    <w:rsid w:val="5AC60DF9"/>
    <w:rsid w:val="5ACD0516"/>
    <w:rsid w:val="5AD23F97"/>
    <w:rsid w:val="5AEA0E5D"/>
    <w:rsid w:val="5AED4DDE"/>
    <w:rsid w:val="5B0C6A55"/>
    <w:rsid w:val="5B1967F0"/>
    <w:rsid w:val="5B240102"/>
    <w:rsid w:val="5B2C1F42"/>
    <w:rsid w:val="5B3375BD"/>
    <w:rsid w:val="5B35347E"/>
    <w:rsid w:val="5B4341CA"/>
    <w:rsid w:val="5B606500"/>
    <w:rsid w:val="5B867180"/>
    <w:rsid w:val="5B885C23"/>
    <w:rsid w:val="5B956ECD"/>
    <w:rsid w:val="5B9700F2"/>
    <w:rsid w:val="5BB03B66"/>
    <w:rsid w:val="5BB826E4"/>
    <w:rsid w:val="5BE21058"/>
    <w:rsid w:val="5BF23922"/>
    <w:rsid w:val="5C023FFF"/>
    <w:rsid w:val="5C254864"/>
    <w:rsid w:val="5C624836"/>
    <w:rsid w:val="5C7D40B3"/>
    <w:rsid w:val="5C836B56"/>
    <w:rsid w:val="5C973198"/>
    <w:rsid w:val="5C976CBD"/>
    <w:rsid w:val="5CB567AA"/>
    <w:rsid w:val="5CCD7955"/>
    <w:rsid w:val="5CE67FF8"/>
    <w:rsid w:val="5CF10F8E"/>
    <w:rsid w:val="5D375DE9"/>
    <w:rsid w:val="5D4300EB"/>
    <w:rsid w:val="5D494814"/>
    <w:rsid w:val="5D5557EE"/>
    <w:rsid w:val="5D5F5CD8"/>
    <w:rsid w:val="5D8338B2"/>
    <w:rsid w:val="5D880CE4"/>
    <w:rsid w:val="5DBA54FC"/>
    <w:rsid w:val="5DCB727F"/>
    <w:rsid w:val="5DEF1B01"/>
    <w:rsid w:val="5E274E92"/>
    <w:rsid w:val="5E2A0F36"/>
    <w:rsid w:val="5E32559D"/>
    <w:rsid w:val="5E3E6F83"/>
    <w:rsid w:val="5E450824"/>
    <w:rsid w:val="5E461336"/>
    <w:rsid w:val="5E6036DD"/>
    <w:rsid w:val="5E6546AC"/>
    <w:rsid w:val="5E6D1513"/>
    <w:rsid w:val="5E847BF0"/>
    <w:rsid w:val="5E8540F2"/>
    <w:rsid w:val="5E8F3DA4"/>
    <w:rsid w:val="5E997F4D"/>
    <w:rsid w:val="5E9E6B0B"/>
    <w:rsid w:val="5EA24952"/>
    <w:rsid w:val="5EA43832"/>
    <w:rsid w:val="5EAF711D"/>
    <w:rsid w:val="5EB24BEC"/>
    <w:rsid w:val="5EBF5F05"/>
    <w:rsid w:val="5EC05607"/>
    <w:rsid w:val="5EC9531D"/>
    <w:rsid w:val="5ECF1B1B"/>
    <w:rsid w:val="5EEF0FEC"/>
    <w:rsid w:val="5EF90594"/>
    <w:rsid w:val="5F130109"/>
    <w:rsid w:val="5F270E0F"/>
    <w:rsid w:val="5F2E1FB7"/>
    <w:rsid w:val="5F3664C2"/>
    <w:rsid w:val="5F62634A"/>
    <w:rsid w:val="5F654690"/>
    <w:rsid w:val="5F982443"/>
    <w:rsid w:val="5FCA1E36"/>
    <w:rsid w:val="5FCC162C"/>
    <w:rsid w:val="5FD4394E"/>
    <w:rsid w:val="5FFC028D"/>
    <w:rsid w:val="600522F9"/>
    <w:rsid w:val="6009609D"/>
    <w:rsid w:val="601F7341"/>
    <w:rsid w:val="603A4179"/>
    <w:rsid w:val="604D2E01"/>
    <w:rsid w:val="605D2361"/>
    <w:rsid w:val="605E5930"/>
    <w:rsid w:val="6083093D"/>
    <w:rsid w:val="6094352D"/>
    <w:rsid w:val="60950480"/>
    <w:rsid w:val="60AD3B30"/>
    <w:rsid w:val="60BF1449"/>
    <w:rsid w:val="611637D9"/>
    <w:rsid w:val="611C3068"/>
    <w:rsid w:val="6120329E"/>
    <w:rsid w:val="61326D9C"/>
    <w:rsid w:val="613772F1"/>
    <w:rsid w:val="6151138F"/>
    <w:rsid w:val="61622F34"/>
    <w:rsid w:val="616C71A0"/>
    <w:rsid w:val="616D4A65"/>
    <w:rsid w:val="616E19D7"/>
    <w:rsid w:val="616E3449"/>
    <w:rsid w:val="61742CCB"/>
    <w:rsid w:val="61757791"/>
    <w:rsid w:val="617D6370"/>
    <w:rsid w:val="617F7613"/>
    <w:rsid w:val="61917D21"/>
    <w:rsid w:val="6194184A"/>
    <w:rsid w:val="619554A6"/>
    <w:rsid w:val="61C159D1"/>
    <w:rsid w:val="61CF3526"/>
    <w:rsid w:val="61F12AC0"/>
    <w:rsid w:val="61F21203"/>
    <w:rsid w:val="61F42ABC"/>
    <w:rsid w:val="62144922"/>
    <w:rsid w:val="62161558"/>
    <w:rsid w:val="62261C95"/>
    <w:rsid w:val="622B61D1"/>
    <w:rsid w:val="62336198"/>
    <w:rsid w:val="624122F5"/>
    <w:rsid w:val="624F3ADB"/>
    <w:rsid w:val="625F3C26"/>
    <w:rsid w:val="62621E41"/>
    <w:rsid w:val="626243C2"/>
    <w:rsid w:val="62654264"/>
    <w:rsid w:val="62993AFF"/>
    <w:rsid w:val="62AD7C52"/>
    <w:rsid w:val="62B10B12"/>
    <w:rsid w:val="62C535A3"/>
    <w:rsid w:val="62D83D18"/>
    <w:rsid w:val="62F06D0B"/>
    <w:rsid w:val="62FB4DCB"/>
    <w:rsid w:val="62FC79F2"/>
    <w:rsid w:val="63000D3C"/>
    <w:rsid w:val="630102C8"/>
    <w:rsid w:val="6310104A"/>
    <w:rsid w:val="6316159D"/>
    <w:rsid w:val="63284403"/>
    <w:rsid w:val="63295BA1"/>
    <w:rsid w:val="63296040"/>
    <w:rsid w:val="63402F56"/>
    <w:rsid w:val="634D466B"/>
    <w:rsid w:val="6351456C"/>
    <w:rsid w:val="63824FDA"/>
    <w:rsid w:val="638D5A12"/>
    <w:rsid w:val="639A7CA3"/>
    <w:rsid w:val="639C0D9E"/>
    <w:rsid w:val="63BE6A67"/>
    <w:rsid w:val="63C06B89"/>
    <w:rsid w:val="63CE0D2E"/>
    <w:rsid w:val="63F65FD9"/>
    <w:rsid w:val="641F00AC"/>
    <w:rsid w:val="64210A5D"/>
    <w:rsid w:val="6426421A"/>
    <w:rsid w:val="64277020"/>
    <w:rsid w:val="646D7F93"/>
    <w:rsid w:val="64783763"/>
    <w:rsid w:val="647F4AD8"/>
    <w:rsid w:val="648079FF"/>
    <w:rsid w:val="64831D76"/>
    <w:rsid w:val="648B2021"/>
    <w:rsid w:val="649E1685"/>
    <w:rsid w:val="64A30F54"/>
    <w:rsid w:val="64AC2D8B"/>
    <w:rsid w:val="64B32E17"/>
    <w:rsid w:val="64C60DD7"/>
    <w:rsid w:val="64EC5BA0"/>
    <w:rsid w:val="64EE5295"/>
    <w:rsid w:val="64F539F2"/>
    <w:rsid w:val="64F7371E"/>
    <w:rsid w:val="650520CD"/>
    <w:rsid w:val="650E1BF1"/>
    <w:rsid w:val="65167A44"/>
    <w:rsid w:val="651E5641"/>
    <w:rsid w:val="65313EB4"/>
    <w:rsid w:val="653E4943"/>
    <w:rsid w:val="653E7901"/>
    <w:rsid w:val="654311E5"/>
    <w:rsid w:val="65496FC3"/>
    <w:rsid w:val="658D1BE4"/>
    <w:rsid w:val="659724FF"/>
    <w:rsid w:val="65AC0293"/>
    <w:rsid w:val="65B514C0"/>
    <w:rsid w:val="65B64DE3"/>
    <w:rsid w:val="65CE6293"/>
    <w:rsid w:val="65D3665A"/>
    <w:rsid w:val="65F776D1"/>
    <w:rsid w:val="660B5015"/>
    <w:rsid w:val="66123504"/>
    <w:rsid w:val="661726DE"/>
    <w:rsid w:val="661E1116"/>
    <w:rsid w:val="662A7932"/>
    <w:rsid w:val="66444780"/>
    <w:rsid w:val="66491460"/>
    <w:rsid w:val="664A3B89"/>
    <w:rsid w:val="664E4F07"/>
    <w:rsid w:val="665737F6"/>
    <w:rsid w:val="665E49BF"/>
    <w:rsid w:val="665F4B08"/>
    <w:rsid w:val="66784D81"/>
    <w:rsid w:val="667F6F8D"/>
    <w:rsid w:val="668563E2"/>
    <w:rsid w:val="6695101B"/>
    <w:rsid w:val="669B07DB"/>
    <w:rsid w:val="66AD520C"/>
    <w:rsid w:val="66B80912"/>
    <w:rsid w:val="66CD4B89"/>
    <w:rsid w:val="66D64F35"/>
    <w:rsid w:val="66DB09CF"/>
    <w:rsid w:val="66E100B3"/>
    <w:rsid w:val="66F03598"/>
    <w:rsid w:val="66F648BF"/>
    <w:rsid w:val="67004044"/>
    <w:rsid w:val="67025FEC"/>
    <w:rsid w:val="671B0E29"/>
    <w:rsid w:val="671E7B24"/>
    <w:rsid w:val="6720607E"/>
    <w:rsid w:val="67290989"/>
    <w:rsid w:val="674E107D"/>
    <w:rsid w:val="675C3EB1"/>
    <w:rsid w:val="675D2184"/>
    <w:rsid w:val="676166A9"/>
    <w:rsid w:val="676311AA"/>
    <w:rsid w:val="67704A9E"/>
    <w:rsid w:val="67777AE1"/>
    <w:rsid w:val="67974BB8"/>
    <w:rsid w:val="67A15655"/>
    <w:rsid w:val="67A916F8"/>
    <w:rsid w:val="67B1280F"/>
    <w:rsid w:val="67DE50FA"/>
    <w:rsid w:val="67E56C2F"/>
    <w:rsid w:val="6814671F"/>
    <w:rsid w:val="68327A64"/>
    <w:rsid w:val="68376667"/>
    <w:rsid w:val="683C1890"/>
    <w:rsid w:val="68430F44"/>
    <w:rsid w:val="684C42AF"/>
    <w:rsid w:val="68654C52"/>
    <w:rsid w:val="686F76D1"/>
    <w:rsid w:val="6870195B"/>
    <w:rsid w:val="687142E8"/>
    <w:rsid w:val="68756FA4"/>
    <w:rsid w:val="687C5929"/>
    <w:rsid w:val="68961353"/>
    <w:rsid w:val="68A012C8"/>
    <w:rsid w:val="68A550E9"/>
    <w:rsid w:val="68B56700"/>
    <w:rsid w:val="68DF3A1A"/>
    <w:rsid w:val="68E8522C"/>
    <w:rsid w:val="68EA346A"/>
    <w:rsid w:val="69185D7B"/>
    <w:rsid w:val="691B7AAC"/>
    <w:rsid w:val="69266A19"/>
    <w:rsid w:val="692A65F9"/>
    <w:rsid w:val="692F5EC2"/>
    <w:rsid w:val="69366CDB"/>
    <w:rsid w:val="693903DA"/>
    <w:rsid w:val="693E01B9"/>
    <w:rsid w:val="6951621B"/>
    <w:rsid w:val="69544E80"/>
    <w:rsid w:val="69683B12"/>
    <w:rsid w:val="69696A7E"/>
    <w:rsid w:val="696A3077"/>
    <w:rsid w:val="698665FE"/>
    <w:rsid w:val="69C123FA"/>
    <w:rsid w:val="69C56537"/>
    <w:rsid w:val="69CD24E0"/>
    <w:rsid w:val="69CE67A3"/>
    <w:rsid w:val="69EF6B1E"/>
    <w:rsid w:val="6A00309E"/>
    <w:rsid w:val="6A017EF7"/>
    <w:rsid w:val="6A3B3C0A"/>
    <w:rsid w:val="6A406E93"/>
    <w:rsid w:val="6A5565F1"/>
    <w:rsid w:val="6A7A510F"/>
    <w:rsid w:val="6A837988"/>
    <w:rsid w:val="6A953FED"/>
    <w:rsid w:val="6A9763A2"/>
    <w:rsid w:val="6AA63099"/>
    <w:rsid w:val="6AAF40FA"/>
    <w:rsid w:val="6AC54984"/>
    <w:rsid w:val="6AC96E37"/>
    <w:rsid w:val="6ADF5D08"/>
    <w:rsid w:val="6AE04751"/>
    <w:rsid w:val="6AE06868"/>
    <w:rsid w:val="6AF03003"/>
    <w:rsid w:val="6B005055"/>
    <w:rsid w:val="6B072E96"/>
    <w:rsid w:val="6B13604D"/>
    <w:rsid w:val="6B347C68"/>
    <w:rsid w:val="6B396C50"/>
    <w:rsid w:val="6B515E72"/>
    <w:rsid w:val="6B5F5B2A"/>
    <w:rsid w:val="6B6E3623"/>
    <w:rsid w:val="6B7D67A0"/>
    <w:rsid w:val="6B880FF7"/>
    <w:rsid w:val="6BB6074A"/>
    <w:rsid w:val="6BBA2ACB"/>
    <w:rsid w:val="6BBC3E23"/>
    <w:rsid w:val="6BC731FB"/>
    <w:rsid w:val="6BC811CF"/>
    <w:rsid w:val="6BDF1480"/>
    <w:rsid w:val="6BE671E7"/>
    <w:rsid w:val="6BEF550F"/>
    <w:rsid w:val="6BFE44B9"/>
    <w:rsid w:val="6C070F90"/>
    <w:rsid w:val="6C27504A"/>
    <w:rsid w:val="6C2A72B4"/>
    <w:rsid w:val="6C335509"/>
    <w:rsid w:val="6C544BCA"/>
    <w:rsid w:val="6C5979FA"/>
    <w:rsid w:val="6C8659DC"/>
    <w:rsid w:val="6C8978EB"/>
    <w:rsid w:val="6C8F55F0"/>
    <w:rsid w:val="6C9D4F10"/>
    <w:rsid w:val="6CAE70D4"/>
    <w:rsid w:val="6CBE6165"/>
    <w:rsid w:val="6CCA4C3E"/>
    <w:rsid w:val="6CCD4360"/>
    <w:rsid w:val="6CCE5EEC"/>
    <w:rsid w:val="6CDD539C"/>
    <w:rsid w:val="6CF327DB"/>
    <w:rsid w:val="6D0D4C7F"/>
    <w:rsid w:val="6D0D7EFA"/>
    <w:rsid w:val="6D280315"/>
    <w:rsid w:val="6D285940"/>
    <w:rsid w:val="6D2C16A8"/>
    <w:rsid w:val="6D2D35EC"/>
    <w:rsid w:val="6D336D2C"/>
    <w:rsid w:val="6D365A3E"/>
    <w:rsid w:val="6D56470C"/>
    <w:rsid w:val="6D6562EB"/>
    <w:rsid w:val="6D7A00B0"/>
    <w:rsid w:val="6DA04472"/>
    <w:rsid w:val="6DC34377"/>
    <w:rsid w:val="6DD4443F"/>
    <w:rsid w:val="6DE62D3D"/>
    <w:rsid w:val="6E05777E"/>
    <w:rsid w:val="6E0B59D4"/>
    <w:rsid w:val="6E110319"/>
    <w:rsid w:val="6E123F24"/>
    <w:rsid w:val="6E12781E"/>
    <w:rsid w:val="6E383CDF"/>
    <w:rsid w:val="6E414A73"/>
    <w:rsid w:val="6E4567F9"/>
    <w:rsid w:val="6E523E68"/>
    <w:rsid w:val="6E6F7DA5"/>
    <w:rsid w:val="6E74389D"/>
    <w:rsid w:val="6E937611"/>
    <w:rsid w:val="6E9956CF"/>
    <w:rsid w:val="6EAD6321"/>
    <w:rsid w:val="6EC01107"/>
    <w:rsid w:val="6EC83F75"/>
    <w:rsid w:val="6ECF7B5A"/>
    <w:rsid w:val="6ED31EE6"/>
    <w:rsid w:val="6EFE3613"/>
    <w:rsid w:val="6EFF5EF9"/>
    <w:rsid w:val="6F0019EE"/>
    <w:rsid w:val="6F0F0944"/>
    <w:rsid w:val="6F13799E"/>
    <w:rsid w:val="6F1856A2"/>
    <w:rsid w:val="6F216B26"/>
    <w:rsid w:val="6F3C51E1"/>
    <w:rsid w:val="6F7C535D"/>
    <w:rsid w:val="6F7E1F0A"/>
    <w:rsid w:val="6F873A86"/>
    <w:rsid w:val="6F8B32CA"/>
    <w:rsid w:val="6FA11181"/>
    <w:rsid w:val="6FB30FF1"/>
    <w:rsid w:val="6FDA1902"/>
    <w:rsid w:val="6FE12E9B"/>
    <w:rsid w:val="6FE667DA"/>
    <w:rsid w:val="6FF31CA8"/>
    <w:rsid w:val="6FFE3FEA"/>
    <w:rsid w:val="70024FF4"/>
    <w:rsid w:val="700734D1"/>
    <w:rsid w:val="701D4502"/>
    <w:rsid w:val="70300741"/>
    <w:rsid w:val="703B0373"/>
    <w:rsid w:val="70430CCC"/>
    <w:rsid w:val="70455745"/>
    <w:rsid w:val="7051439E"/>
    <w:rsid w:val="70953A95"/>
    <w:rsid w:val="70A83564"/>
    <w:rsid w:val="70BF416E"/>
    <w:rsid w:val="70D67F96"/>
    <w:rsid w:val="70D74242"/>
    <w:rsid w:val="70EF7BD0"/>
    <w:rsid w:val="70F24D0B"/>
    <w:rsid w:val="70FF7F40"/>
    <w:rsid w:val="710B168F"/>
    <w:rsid w:val="710E6738"/>
    <w:rsid w:val="71137134"/>
    <w:rsid w:val="711D2C22"/>
    <w:rsid w:val="712A6A16"/>
    <w:rsid w:val="71432DF2"/>
    <w:rsid w:val="71912B91"/>
    <w:rsid w:val="71AA5D09"/>
    <w:rsid w:val="71B71371"/>
    <w:rsid w:val="71C52685"/>
    <w:rsid w:val="71E16C52"/>
    <w:rsid w:val="71E504E1"/>
    <w:rsid w:val="71EB7866"/>
    <w:rsid w:val="71EF701F"/>
    <w:rsid w:val="71FE0929"/>
    <w:rsid w:val="721F5CC8"/>
    <w:rsid w:val="72312B07"/>
    <w:rsid w:val="723447A9"/>
    <w:rsid w:val="725860AB"/>
    <w:rsid w:val="72593C9E"/>
    <w:rsid w:val="72676929"/>
    <w:rsid w:val="727347B6"/>
    <w:rsid w:val="727453D2"/>
    <w:rsid w:val="727E1881"/>
    <w:rsid w:val="728E7512"/>
    <w:rsid w:val="72904B1D"/>
    <w:rsid w:val="7296707E"/>
    <w:rsid w:val="72971F0E"/>
    <w:rsid w:val="729B5298"/>
    <w:rsid w:val="72CC3862"/>
    <w:rsid w:val="72D65038"/>
    <w:rsid w:val="72F76444"/>
    <w:rsid w:val="73116CF5"/>
    <w:rsid w:val="73166B5B"/>
    <w:rsid w:val="73192325"/>
    <w:rsid w:val="731A676E"/>
    <w:rsid w:val="7322737A"/>
    <w:rsid w:val="732B4F74"/>
    <w:rsid w:val="73315694"/>
    <w:rsid w:val="733E7F13"/>
    <w:rsid w:val="73493504"/>
    <w:rsid w:val="734A064B"/>
    <w:rsid w:val="73626904"/>
    <w:rsid w:val="73674D66"/>
    <w:rsid w:val="736C3234"/>
    <w:rsid w:val="736C3729"/>
    <w:rsid w:val="737E1C56"/>
    <w:rsid w:val="73944A57"/>
    <w:rsid w:val="73975F3F"/>
    <w:rsid w:val="73A12462"/>
    <w:rsid w:val="73D21CA1"/>
    <w:rsid w:val="73FE12C9"/>
    <w:rsid w:val="74064AA8"/>
    <w:rsid w:val="74092259"/>
    <w:rsid w:val="74105979"/>
    <w:rsid w:val="741671AF"/>
    <w:rsid w:val="74310D75"/>
    <w:rsid w:val="74317C0A"/>
    <w:rsid w:val="743B20E3"/>
    <w:rsid w:val="74486E49"/>
    <w:rsid w:val="74630481"/>
    <w:rsid w:val="746D43F2"/>
    <w:rsid w:val="746E2977"/>
    <w:rsid w:val="747D4577"/>
    <w:rsid w:val="74913FF1"/>
    <w:rsid w:val="74966E43"/>
    <w:rsid w:val="74AB40F8"/>
    <w:rsid w:val="74B01657"/>
    <w:rsid w:val="74D00AB5"/>
    <w:rsid w:val="74DB3BF3"/>
    <w:rsid w:val="74E03BDA"/>
    <w:rsid w:val="74FC71EF"/>
    <w:rsid w:val="74FD345F"/>
    <w:rsid w:val="75286F45"/>
    <w:rsid w:val="752C7789"/>
    <w:rsid w:val="75300A33"/>
    <w:rsid w:val="75505C79"/>
    <w:rsid w:val="755A4B9B"/>
    <w:rsid w:val="755F3768"/>
    <w:rsid w:val="756B0D55"/>
    <w:rsid w:val="757537C1"/>
    <w:rsid w:val="75873D07"/>
    <w:rsid w:val="75907376"/>
    <w:rsid w:val="75956274"/>
    <w:rsid w:val="759F32FB"/>
    <w:rsid w:val="75A4026E"/>
    <w:rsid w:val="75AF1429"/>
    <w:rsid w:val="75C208F2"/>
    <w:rsid w:val="75C54845"/>
    <w:rsid w:val="75CE2C22"/>
    <w:rsid w:val="75CE60BF"/>
    <w:rsid w:val="75CF2277"/>
    <w:rsid w:val="75D54F96"/>
    <w:rsid w:val="75DB100E"/>
    <w:rsid w:val="75DB69E8"/>
    <w:rsid w:val="75DD2F4D"/>
    <w:rsid w:val="75E0718C"/>
    <w:rsid w:val="75E33DF5"/>
    <w:rsid w:val="75EE101B"/>
    <w:rsid w:val="75F87F5A"/>
    <w:rsid w:val="75FA0854"/>
    <w:rsid w:val="75FA729D"/>
    <w:rsid w:val="76007611"/>
    <w:rsid w:val="76013866"/>
    <w:rsid w:val="76041DAB"/>
    <w:rsid w:val="76077CDA"/>
    <w:rsid w:val="761056EB"/>
    <w:rsid w:val="76164597"/>
    <w:rsid w:val="76194AEA"/>
    <w:rsid w:val="761C7333"/>
    <w:rsid w:val="7659106E"/>
    <w:rsid w:val="767E3DF7"/>
    <w:rsid w:val="76837F88"/>
    <w:rsid w:val="7695487D"/>
    <w:rsid w:val="76A9033B"/>
    <w:rsid w:val="76B03756"/>
    <w:rsid w:val="76B26A4C"/>
    <w:rsid w:val="76BD3E2B"/>
    <w:rsid w:val="76C74875"/>
    <w:rsid w:val="76DD08B2"/>
    <w:rsid w:val="76DD4750"/>
    <w:rsid w:val="76DF1591"/>
    <w:rsid w:val="76E31C12"/>
    <w:rsid w:val="76F011C7"/>
    <w:rsid w:val="76FE0D66"/>
    <w:rsid w:val="770167CB"/>
    <w:rsid w:val="771B52BB"/>
    <w:rsid w:val="771E4EDF"/>
    <w:rsid w:val="77484395"/>
    <w:rsid w:val="77571AFE"/>
    <w:rsid w:val="77651D73"/>
    <w:rsid w:val="77703DF1"/>
    <w:rsid w:val="777358EC"/>
    <w:rsid w:val="779E3CE0"/>
    <w:rsid w:val="779E46B3"/>
    <w:rsid w:val="77A16628"/>
    <w:rsid w:val="77BC5DCE"/>
    <w:rsid w:val="77C71381"/>
    <w:rsid w:val="77D8448B"/>
    <w:rsid w:val="77DB5CCD"/>
    <w:rsid w:val="77DB77B3"/>
    <w:rsid w:val="77DC2FAD"/>
    <w:rsid w:val="77DD4138"/>
    <w:rsid w:val="77E52E15"/>
    <w:rsid w:val="77EB0A03"/>
    <w:rsid w:val="77F54216"/>
    <w:rsid w:val="77FE3720"/>
    <w:rsid w:val="7821391D"/>
    <w:rsid w:val="782905E5"/>
    <w:rsid w:val="782A6046"/>
    <w:rsid w:val="78377CE2"/>
    <w:rsid w:val="7859584D"/>
    <w:rsid w:val="78596AE6"/>
    <w:rsid w:val="786B1A9B"/>
    <w:rsid w:val="78797634"/>
    <w:rsid w:val="78AD6005"/>
    <w:rsid w:val="78AF37F7"/>
    <w:rsid w:val="78DC4CF6"/>
    <w:rsid w:val="78E96530"/>
    <w:rsid w:val="78FE5B20"/>
    <w:rsid w:val="79052140"/>
    <w:rsid w:val="79087E79"/>
    <w:rsid w:val="791D6A03"/>
    <w:rsid w:val="794C6C16"/>
    <w:rsid w:val="7967225E"/>
    <w:rsid w:val="797947E9"/>
    <w:rsid w:val="79A92414"/>
    <w:rsid w:val="79B07635"/>
    <w:rsid w:val="79B96927"/>
    <w:rsid w:val="79BC010D"/>
    <w:rsid w:val="79CF4CC9"/>
    <w:rsid w:val="79D0566D"/>
    <w:rsid w:val="79E07A49"/>
    <w:rsid w:val="7A0127AB"/>
    <w:rsid w:val="7A0E5337"/>
    <w:rsid w:val="7A103BE6"/>
    <w:rsid w:val="7A176535"/>
    <w:rsid w:val="7A191DD5"/>
    <w:rsid w:val="7A1B0A78"/>
    <w:rsid w:val="7A27104E"/>
    <w:rsid w:val="7A3B6BC9"/>
    <w:rsid w:val="7A4205C4"/>
    <w:rsid w:val="7A4F4F6E"/>
    <w:rsid w:val="7A6659F0"/>
    <w:rsid w:val="7A720AA5"/>
    <w:rsid w:val="7A743CE7"/>
    <w:rsid w:val="7A791F97"/>
    <w:rsid w:val="7A88547A"/>
    <w:rsid w:val="7A8A6CD2"/>
    <w:rsid w:val="7A94568B"/>
    <w:rsid w:val="7A9D283A"/>
    <w:rsid w:val="7AD73562"/>
    <w:rsid w:val="7AE451AC"/>
    <w:rsid w:val="7AE960EE"/>
    <w:rsid w:val="7AF355AC"/>
    <w:rsid w:val="7AFC6555"/>
    <w:rsid w:val="7B001702"/>
    <w:rsid w:val="7B1611C6"/>
    <w:rsid w:val="7B170932"/>
    <w:rsid w:val="7B3C363D"/>
    <w:rsid w:val="7B3E05DD"/>
    <w:rsid w:val="7B427CE3"/>
    <w:rsid w:val="7B4711D6"/>
    <w:rsid w:val="7B5A51BC"/>
    <w:rsid w:val="7B66162E"/>
    <w:rsid w:val="7B6C1A2D"/>
    <w:rsid w:val="7B82052E"/>
    <w:rsid w:val="7B842CC3"/>
    <w:rsid w:val="7BA95823"/>
    <w:rsid w:val="7BAB1311"/>
    <w:rsid w:val="7BAC4ECE"/>
    <w:rsid w:val="7BBA70DA"/>
    <w:rsid w:val="7BBF06D2"/>
    <w:rsid w:val="7BBF1589"/>
    <w:rsid w:val="7BCE1C8E"/>
    <w:rsid w:val="7BCE3E9C"/>
    <w:rsid w:val="7BD87122"/>
    <w:rsid w:val="7BE844BA"/>
    <w:rsid w:val="7C003862"/>
    <w:rsid w:val="7C0A4738"/>
    <w:rsid w:val="7C0D2DDE"/>
    <w:rsid w:val="7C101897"/>
    <w:rsid w:val="7C1C6ADF"/>
    <w:rsid w:val="7C201231"/>
    <w:rsid w:val="7C225E6B"/>
    <w:rsid w:val="7C2858D3"/>
    <w:rsid w:val="7C2A2C41"/>
    <w:rsid w:val="7C3A6C56"/>
    <w:rsid w:val="7C482875"/>
    <w:rsid w:val="7C5B0211"/>
    <w:rsid w:val="7C6D6F88"/>
    <w:rsid w:val="7C7A0ECE"/>
    <w:rsid w:val="7C7B6746"/>
    <w:rsid w:val="7C7E12E1"/>
    <w:rsid w:val="7CAA0A9E"/>
    <w:rsid w:val="7CAB23AE"/>
    <w:rsid w:val="7CB13756"/>
    <w:rsid w:val="7CBF3358"/>
    <w:rsid w:val="7CC940C8"/>
    <w:rsid w:val="7CD67EEB"/>
    <w:rsid w:val="7CFE1D15"/>
    <w:rsid w:val="7D014052"/>
    <w:rsid w:val="7D0D1339"/>
    <w:rsid w:val="7D4A748A"/>
    <w:rsid w:val="7D520F4E"/>
    <w:rsid w:val="7D55794F"/>
    <w:rsid w:val="7D653F46"/>
    <w:rsid w:val="7DC3585E"/>
    <w:rsid w:val="7DCC1A0E"/>
    <w:rsid w:val="7DD84285"/>
    <w:rsid w:val="7DF12B16"/>
    <w:rsid w:val="7DF4187F"/>
    <w:rsid w:val="7E0B330A"/>
    <w:rsid w:val="7E2A080C"/>
    <w:rsid w:val="7E4B04E3"/>
    <w:rsid w:val="7E576027"/>
    <w:rsid w:val="7E5A20FB"/>
    <w:rsid w:val="7E672989"/>
    <w:rsid w:val="7E750DA1"/>
    <w:rsid w:val="7E751A73"/>
    <w:rsid w:val="7EA444C7"/>
    <w:rsid w:val="7EA74017"/>
    <w:rsid w:val="7EC768B5"/>
    <w:rsid w:val="7ECC2B2B"/>
    <w:rsid w:val="7ED85023"/>
    <w:rsid w:val="7EE03866"/>
    <w:rsid w:val="7EE90C02"/>
    <w:rsid w:val="7EEE50C1"/>
    <w:rsid w:val="7EFD4F92"/>
    <w:rsid w:val="7EFE212A"/>
    <w:rsid w:val="7F062E8D"/>
    <w:rsid w:val="7F101DB9"/>
    <w:rsid w:val="7F2A6B18"/>
    <w:rsid w:val="7F303CEE"/>
    <w:rsid w:val="7F470AF3"/>
    <w:rsid w:val="7F541762"/>
    <w:rsid w:val="7F6361DB"/>
    <w:rsid w:val="7F7F41D7"/>
    <w:rsid w:val="7F895BDF"/>
    <w:rsid w:val="7F8E6693"/>
    <w:rsid w:val="7F8E7C87"/>
    <w:rsid w:val="7FC97A74"/>
    <w:rsid w:val="7FCC75F7"/>
    <w:rsid w:val="7FD75F49"/>
    <w:rsid w:val="7FDC27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137"/>
    <w:qFormat/>
    <w:uiPriority w:val="0"/>
    <w:pPr>
      <w:keepNext/>
      <w:spacing w:line="380" w:lineRule="exact"/>
      <w:jc w:val="center"/>
      <w:outlineLvl w:val="0"/>
    </w:pPr>
    <w:rPr>
      <w:b/>
      <w:bCs/>
      <w:kern w:val="44"/>
      <w:sz w:val="44"/>
      <w:szCs w:val="44"/>
    </w:rPr>
  </w:style>
  <w:style w:type="paragraph" w:styleId="6">
    <w:name w:val="heading 2"/>
    <w:basedOn w:val="1"/>
    <w:next w:val="1"/>
    <w:link w:val="136"/>
    <w:qFormat/>
    <w:uiPriority w:val="0"/>
    <w:pPr>
      <w:keepNext/>
      <w:keepLines/>
      <w:tabs>
        <w:tab w:val="left" w:pos="578"/>
      </w:tabs>
      <w:spacing w:before="156" w:beforeLines="50" w:after="156" w:afterLines="50" w:line="360" w:lineRule="auto"/>
      <w:ind w:left="578" w:hanging="578"/>
      <w:outlineLvl w:val="1"/>
    </w:pPr>
    <w:rPr>
      <w:rFonts w:ascii="Arial" w:hAnsi="Arial" w:eastAsia="黑体"/>
      <w:b/>
      <w:bCs/>
      <w:sz w:val="32"/>
      <w:szCs w:val="32"/>
    </w:rPr>
  </w:style>
  <w:style w:type="paragraph" w:styleId="7">
    <w:name w:val="heading 3"/>
    <w:basedOn w:val="1"/>
    <w:next w:val="1"/>
    <w:link w:val="140"/>
    <w:qFormat/>
    <w:uiPriority w:val="0"/>
    <w:pPr>
      <w:keepNext/>
      <w:keepLines/>
      <w:tabs>
        <w:tab w:val="left" w:pos="1620"/>
      </w:tabs>
      <w:spacing w:before="156" w:beforeLines="50" w:after="156" w:afterLines="50" w:line="360" w:lineRule="auto"/>
      <w:ind w:left="1620" w:hanging="720"/>
      <w:outlineLvl w:val="2"/>
    </w:pPr>
    <w:rPr>
      <w:rFonts w:ascii="Arial" w:hAnsi="Arial" w:eastAsia="黑体" w:cs="Arial"/>
      <w:b/>
      <w:bCs/>
      <w:sz w:val="30"/>
      <w:szCs w:val="32"/>
    </w:rPr>
  </w:style>
  <w:style w:type="paragraph" w:styleId="8">
    <w:name w:val="heading 4"/>
    <w:basedOn w:val="1"/>
    <w:next w:val="1"/>
    <w:link w:val="171"/>
    <w:qFormat/>
    <w:uiPriority w:val="0"/>
    <w:pPr>
      <w:keepNext/>
      <w:keepLines/>
      <w:tabs>
        <w:tab w:val="left" w:pos="864"/>
      </w:tabs>
      <w:spacing w:before="280" w:beforeLines="0" w:after="290" w:afterLines="0" w:line="376" w:lineRule="auto"/>
      <w:ind w:left="864" w:hanging="864"/>
      <w:outlineLvl w:val="3"/>
    </w:pPr>
    <w:rPr>
      <w:rFonts w:ascii="Arial" w:hAnsi="Arial" w:eastAsia="黑体"/>
      <w:b/>
      <w:bCs/>
      <w:sz w:val="28"/>
      <w:szCs w:val="28"/>
    </w:rPr>
  </w:style>
  <w:style w:type="paragraph" w:styleId="9">
    <w:name w:val="heading 5"/>
    <w:basedOn w:val="1"/>
    <w:next w:val="1"/>
    <w:link w:val="152"/>
    <w:qFormat/>
    <w:uiPriority w:val="0"/>
    <w:pPr>
      <w:keepNext/>
      <w:keepLines/>
      <w:tabs>
        <w:tab w:val="left" w:pos="1548"/>
      </w:tabs>
      <w:spacing w:before="280" w:beforeLines="0" w:after="290" w:afterLines="0" w:line="376" w:lineRule="auto"/>
      <w:ind w:left="1548" w:hanging="1548"/>
      <w:outlineLvl w:val="4"/>
    </w:pPr>
    <w:rPr>
      <w:b/>
      <w:bCs/>
      <w:sz w:val="28"/>
      <w:szCs w:val="28"/>
    </w:rPr>
  </w:style>
  <w:style w:type="paragraph" w:styleId="10">
    <w:name w:val="heading 6"/>
    <w:basedOn w:val="1"/>
    <w:next w:val="1"/>
    <w:link w:val="156"/>
    <w:qFormat/>
    <w:uiPriority w:val="0"/>
    <w:pPr>
      <w:keepNext/>
      <w:keepLines/>
      <w:spacing w:before="240" w:beforeLines="0" w:after="64" w:afterLines="0" w:line="320" w:lineRule="auto"/>
      <w:outlineLvl w:val="5"/>
    </w:pPr>
    <w:rPr>
      <w:rFonts w:ascii="Cambria" w:hAnsi="Cambria"/>
      <w:b/>
      <w:bCs/>
      <w:sz w:val="24"/>
      <w:szCs w:val="24"/>
    </w:rPr>
  </w:style>
  <w:style w:type="paragraph" w:styleId="11">
    <w:name w:val="heading 7"/>
    <w:basedOn w:val="1"/>
    <w:next w:val="1"/>
    <w:link w:val="166"/>
    <w:qFormat/>
    <w:uiPriority w:val="0"/>
    <w:pPr>
      <w:keepNext/>
      <w:keepLines/>
      <w:numPr>
        <w:ilvl w:val="6"/>
        <w:numId w:val="1"/>
      </w:numPr>
      <w:tabs>
        <w:tab w:val="left" w:pos="1296"/>
        <w:tab w:val="clear" w:pos="2940"/>
      </w:tabs>
      <w:spacing w:before="240" w:beforeLines="0" w:after="64" w:afterLines="0" w:line="317" w:lineRule="auto"/>
      <w:outlineLvl w:val="6"/>
    </w:pPr>
    <w:rPr>
      <w:b/>
      <w:bCs/>
      <w:sz w:val="24"/>
      <w:szCs w:val="24"/>
    </w:rPr>
  </w:style>
  <w:style w:type="paragraph" w:styleId="12">
    <w:name w:val="heading 8"/>
    <w:basedOn w:val="1"/>
    <w:next w:val="1"/>
    <w:link w:val="154"/>
    <w:qFormat/>
    <w:uiPriority w:val="0"/>
    <w:pPr>
      <w:keepNext/>
      <w:keepLines/>
      <w:numPr>
        <w:ilvl w:val="7"/>
        <w:numId w:val="1"/>
      </w:numPr>
      <w:tabs>
        <w:tab w:val="left" w:pos="1440"/>
        <w:tab w:val="clear" w:pos="3360"/>
      </w:tabs>
      <w:spacing w:before="240" w:beforeLines="0" w:after="64" w:afterLines="0" w:line="317" w:lineRule="auto"/>
      <w:outlineLvl w:val="7"/>
    </w:pPr>
    <w:rPr>
      <w:rFonts w:ascii="Arial" w:hAnsi="Arial" w:eastAsia="黑体"/>
      <w:sz w:val="24"/>
      <w:szCs w:val="24"/>
    </w:rPr>
  </w:style>
  <w:style w:type="paragraph" w:styleId="13">
    <w:name w:val="heading 9"/>
    <w:basedOn w:val="1"/>
    <w:next w:val="1"/>
    <w:link w:val="124"/>
    <w:qFormat/>
    <w:uiPriority w:val="0"/>
    <w:pPr>
      <w:keepNext/>
      <w:keepLines/>
      <w:numPr>
        <w:ilvl w:val="8"/>
        <w:numId w:val="1"/>
      </w:numPr>
      <w:tabs>
        <w:tab w:val="left" w:pos="1584"/>
        <w:tab w:val="clear" w:pos="3780"/>
      </w:tabs>
      <w:spacing w:before="240" w:beforeLines="0" w:after="64" w:afterLines="0" w:line="317" w:lineRule="auto"/>
      <w:outlineLvl w:val="8"/>
    </w:pPr>
    <w:rPr>
      <w:rFonts w:ascii="Arial" w:hAnsi="Arial" w:eastAsia="黑体"/>
      <w:szCs w:val="21"/>
    </w:rPr>
  </w:style>
  <w:style w:type="character" w:default="1" w:styleId="46">
    <w:name w:val="Default Paragraph Font"/>
    <w:qFormat/>
    <w:uiPriority w:val="0"/>
    <w:rPr>
      <w:rFonts w:hint="default" w:ascii="Verdana" w:hAnsi="Verdana"/>
      <w:kern w:val="0"/>
      <w:sz w:val="20"/>
      <w:szCs w:val="20"/>
      <w:lang w:eastAsia="en-US"/>
    </w:rPr>
  </w:style>
  <w:style w:type="table" w:default="1" w:styleId="4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123"/>
    <w:qFormat/>
    <w:uiPriority w:val="0"/>
    <w:rPr>
      <w:i/>
      <w:sz w:val="18"/>
    </w:rPr>
  </w:style>
  <w:style w:type="paragraph" w:styleId="3">
    <w:name w:val="Body Text First Indent"/>
    <w:basedOn w:val="2"/>
    <w:next w:val="4"/>
    <w:link w:val="151"/>
    <w:qFormat/>
    <w:uiPriority w:val="0"/>
    <w:pPr>
      <w:spacing w:after="120" w:afterLines="0"/>
      <w:ind w:firstLine="420" w:firstLineChars="100"/>
    </w:pPr>
    <w:rPr>
      <w:sz w:val="21"/>
      <w:szCs w:val="24"/>
    </w:rPr>
  </w:style>
  <w:style w:type="paragraph" w:styleId="4">
    <w:name w:val="toc 6"/>
    <w:basedOn w:val="1"/>
    <w:next w:val="1"/>
    <w:qFormat/>
    <w:uiPriority w:val="0"/>
    <w:pPr>
      <w:ind w:left="1050"/>
      <w:jc w:val="left"/>
    </w:pPr>
    <w:rPr>
      <w:sz w:val="18"/>
      <w:szCs w:val="18"/>
    </w:rPr>
  </w:style>
  <w:style w:type="paragraph" w:styleId="14">
    <w:name w:val="toc 7"/>
    <w:basedOn w:val="1"/>
    <w:next w:val="1"/>
    <w:qFormat/>
    <w:uiPriority w:val="0"/>
    <w:pPr>
      <w:ind w:left="1260"/>
      <w:jc w:val="left"/>
    </w:pPr>
    <w:rPr>
      <w:sz w:val="18"/>
      <w:szCs w:val="18"/>
    </w:rPr>
  </w:style>
  <w:style w:type="paragraph" w:styleId="15">
    <w:name w:val="Normal Indent"/>
    <w:basedOn w:val="1"/>
    <w:link w:val="141"/>
    <w:qFormat/>
    <w:uiPriority w:val="0"/>
    <w:pPr>
      <w:ind w:firstLine="420" w:firstLineChars="200"/>
    </w:pPr>
    <w:rPr>
      <w:szCs w:val="24"/>
    </w:rPr>
  </w:style>
  <w:style w:type="paragraph" w:styleId="16">
    <w:name w:val="Document Map"/>
    <w:basedOn w:val="1"/>
    <w:link w:val="138"/>
    <w:qFormat/>
    <w:uiPriority w:val="0"/>
    <w:pPr>
      <w:shd w:val="clear" w:color="auto" w:fill="000080"/>
    </w:pPr>
  </w:style>
  <w:style w:type="paragraph" w:styleId="17">
    <w:name w:val="annotation text"/>
    <w:basedOn w:val="1"/>
    <w:link w:val="128"/>
    <w:qFormat/>
    <w:uiPriority w:val="0"/>
    <w:pPr>
      <w:jc w:val="left"/>
    </w:pPr>
  </w:style>
  <w:style w:type="paragraph" w:styleId="18">
    <w:name w:val="Body Text 3"/>
    <w:basedOn w:val="1"/>
    <w:link w:val="157"/>
    <w:qFormat/>
    <w:uiPriority w:val="0"/>
    <w:pPr>
      <w:spacing w:after="120" w:afterLines="0" w:line="360" w:lineRule="auto"/>
    </w:pPr>
    <w:rPr>
      <w:kern w:val="0"/>
      <w:sz w:val="16"/>
      <w:szCs w:val="16"/>
    </w:rPr>
  </w:style>
  <w:style w:type="paragraph" w:styleId="19">
    <w:name w:val="Body Text Indent"/>
    <w:basedOn w:val="1"/>
    <w:next w:val="1"/>
    <w:link w:val="155"/>
    <w:qFormat/>
    <w:uiPriority w:val="0"/>
    <w:pPr>
      <w:spacing w:line="380" w:lineRule="exact"/>
      <w:ind w:firstLine="480"/>
    </w:pPr>
    <w:rPr>
      <w:rFonts w:eastAsia="方正书宋简体"/>
      <w:sz w:val="24"/>
    </w:rPr>
  </w:style>
  <w:style w:type="paragraph" w:styleId="20">
    <w:name w:val="List Number 3"/>
    <w:basedOn w:val="1"/>
    <w:qFormat/>
    <w:uiPriority w:val="0"/>
    <w:pPr>
      <w:widowControl/>
      <w:numPr>
        <w:ilvl w:val="0"/>
        <w:numId w:val="1"/>
      </w:numPr>
      <w:tabs>
        <w:tab w:val="left" w:pos="482"/>
        <w:tab w:val="clear" w:pos="510"/>
      </w:tabs>
      <w:spacing w:after="156" w:afterLines="50"/>
      <w:ind w:left="482" w:hanging="340"/>
      <w:jc w:val="left"/>
    </w:pPr>
    <w:rPr>
      <w:kern w:val="0"/>
      <w:sz w:val="24"/>
    </w:rPr>
  </w:style>
  <w:style w:type="paragraph" w:styleId="21">
    <w:name w:val="toc 5"/>
    <w:basedOn w:val="1"/>
    <w:next w:val="1"/>
    <w:qFormat/>
    <w:uiPriority w:val="0"/>
    <w:pPr>
      <w:ind w:left="840"/>
      <w:jc w:val="left"/>
    </w:pPr>
    <w:rPr>
      <w:sz w:val="18"/>
      <w:szCs w:val="18"/>
    </w:rPr>
  </w:style>
  <w:style w:type="paragraph" w:styleId="22">
    <w:name w:val="toc 3"/>
    <w:basedOn w:val="1"/>
    <w:next w:val="1"/>
    <w:qFormat/>
    <w:uiPriority w:val="0"/>
    <w:pPr>
      <w:ind w:left="420"/>
      <w:jc w:val="left"/>
    </w:pPr>
    <w:rPr>
      <w:i/>
      <w:iCs/>
      <w:sz w:val="20"/>
    </w:rPr>
  </w:style>
  <w:style w:type="paragraph" w:styleId="23">
    <w:name w:val="Plain Text"/>
    <w:basedOn w:val="1"/>
    <w:link w:val="172"/>
    <w:qFormat/>
    <w:uiPriority w:val="0"/>
    <w:pPr>
      <w:widowControl/>
      <w:spacing w:before="100" w:beforeLines="0" w:beforeAutospacing="1" w:after="100" w:afterLines="0" w:afterAutospacing="1"/>
      <w:jc w:val="left"/>
    </w:pPr>
    <w:rPr>
      <w:rFonts w:ascii="宋体" w:hAnsi="宋体" w:cs="宋体"/>
      <w:color w:val="000000"/>
      <w:kern w:val="0"/>
      <w:sz w:val="24"/>
      <w:szCs w:val="24"/>
    </w:rPr>
  </w:style>
  <w:style w:type="paragraph" w:styleId="24">
    <w:name w:val="toc 8"/>
    <w:basedOn w:val="1"/>
    <w:next w:val="1"/>
    <w:qFormat/>
    <w:uiPriority w:val="0"/>
    <w:pPr>
      <w:ind w:left="1470"/>
      <w:jc w:val="left"/>
    </w:pPr>
    <w:rPr>
      <w:sz w:val="18"/>
      <w:szCs w:val="18"/>
    </w:rPr>
  </w:style>
  <w:style w:type="paragraph" w:styleId="25">
    <w:name w:val="Date"/>
    <w:basedOn w:val="1"/>
    <w:next w:val="1"/>
    <w:link w:val="125"/>
    <w:qFormat/>
    <w:uiPriority w:val="0"/>
    <w:pPr>
      <w:adjustRightInd w:val="0"/>
      <w:spacing w:line="312" w:lineRule="atLeast"/>
      <w:jc w:val="right"/>
      <w:textAlignment w:val="baseline"/>
    </w:pPr>
    <w:rPr>
      <w:rFonts w:ascii="宋体"/>
      <w:kern w:val="0"/>
      <w:sz w:val="24"/>
    </w:rPr>
  </w:style>
  <w:style w:type="paragraph" w:styleId="26">
    <w:name w:val="Body Text Indent 2"/>
    <w:basedOn w:val="1"/>
    <w:link w:val="169"/>
    <w:qFormat/>
    <w:uiPriority w:val="0"/>
    <w:pPr>
      <w:spacing w:line="380" w:lineRule="exact"/>
      <w:ind w:left="840" w:hanging="45"/>
    </w:pPr>
    <w:rPr>
      <w:rFonts w:ascii="宋体"/>
      <w:sz w:val="24"/>
    </w:rPr>
  </w:style>
  <w:style w:type="paragraph" w:styleId="27">
    <w:name w:val="Balloon Text"/>
    <w:basedOn w:val="1"/>
    <w:link w:val="119"/>
    <w:qFormat/>
    <w:uiPriority w:val="0"/>
    <w:rPr>
      <w:sz w:val="18"/>
      <w:szCs w:val="18"/>
    </w:rPr>
  </w:style>
  <w:style w:type="paragraph" w:styleId="28">
    <w:name w:val="footer"/>
    <w:basedOn w:val="1"/>
    <w:link w:val="132"/>
    <w:qFormat/>
    <w:uiPriority w:val="0"/>
    <w:pPr>
      <w:tabs>
        <w:tab w:val="center" w:pos="4153"/>
        <w:tab w:val="right" w:pos="8306"/>
      </w:tabs>
      <w:snapToGrid w:val="0"/>
      <w:jc w:val="left"/>
    </w:pPr>
    <w:rPr>
      <w:sz w:val="18"/>
    </w:rPr>
  </w:style>
  <w:style w:type="paragraph" w:styleId="29">
    <w:name w:val="header"/>
    <w:basedOn w:val="1"/>
    <w:link w:val="121"/>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0"/>
    <w:pPr>
      <w:tabs>
        <w:tab w:val="right" w:leader="dot" w:pos="8721"/>
      </w:tabs>
      <w:spacing w:line="480" w:lineRule="auto"/>
    </w:pPr>
    <w:rPr>
      <w:rFonts w:ascii="宋体" w:hAnsi="宋体"/>
      <w:color w:val="000000"/>
      <w:sz w:val="32"/>
      <w:szCs w:val="32"/>
    </w:rPr>
  </w:style>
  <w:style w:type="paragraph" w:styleId="31">
    <w:name w:val="toc 4"/>
    <w:basedOn w:val="1"/>
    <w:next w:val="1"/>
    <w:qFormat/>
    <w:uiPriority w:val="0"/>
    <w:pPr>
      <w:ind w:left="630"/>
      <w:jc w:val="left"/>
    </w:pPr>
    <w:rPr>
      <w:sz w:val="18"/>
      <w:szCs w:val="18"/>
    </w:rPr>
  </w:style>
  <w:style w:type="paragraph" w:styleId="32">
    <w:name w:val="List Number 5"/>
    <w:basedOn w:val="1"/>
    <w:qFormat/>
    <w:uiPriority w:val="0"/>
    <w:pPr>
      <w:numPr>
        <w:ilvl w:val="0"/>
        <w:numId w:val="2"/>
      </w:numPr>
      <w:tabs>
        <w:tab w:val="left" w:pos="2608"/>
        <w:tab w:val="clear" w:pos="840"/>
      </w:tabs>
      <w:spacing w:line="360" w:lineRule="auto"/>
    </w:pPr>
    <w:rPr>
      <w:sz w:val="24"/>
      <w:szCs w:val="24"/>
    </w:rPr>
  </w:style>
  <w:style w:type="paragraph" w:styleId="33">
    <w:name w:val="Body Text Indent 3"/>
    <w:basedOn w:val="1"/>
    <w:link w:val="126"/>
    <w:qFormat/>
    <w:uiPriority w:val="0"/>
    <w:pPr>
      <w:spacing w:line="380" w:lineRule="exact"/>
      <w:ind w:left="525"/>
    </w:pPr>
    <w:rPr>
      <w:rFonts w:ascii="宋体"/>
      <w:sz w:val="24"/>
    </w:rPr>
  </w:style>
  <w:style w:type="paragraph" w:styleId="34">
    <w:name w:val="table of figures"/>
    <w:basedOn w:val="1"/>
    <w:next w:val="1"/>
    <w:qFormat/>
    <w:uiPriority w:val="0"/>
    <w:pPr>
      <w:ind w:left="420" w:hanging="420"/>
      <w:jc w:val="left"/>
    </w:pPr>
    <w:rPr>
      <w:smallCaps/>
      <w:sz w:val="20"/>
    </w:rPr>
  </w:style>
  <w:style w:type="paragraph" w:styleId="35">
    <w:name w:val="toc 2"/>
    <w:basedOn w:val="1"/>
    <w:next w:val="1"/>
    <w:qFormat/>
    <w:uiPriority w:val="0"/>
    <w:pPr>
      <w:ind w:left="210"/>
      <w:jc w:val="left"/>
    </w:pPr>
    <w:rPr>
      <w:smallCaps/>
      <w:sz w:val="20"/>
    </w:rPr>
  </w:style>
  <w:style w:type="paragraph" w:styleId="36">
    <w:name w:val="toc 9"/>
    <w:basedOn w:val="1"/>
    <w:next w:val="1"/>
    <w:qFormat/>
    <w:uiPriority w:val="0"/>
    <w:pPr>
      <w:ind w:left="1680"/>
      <w:jc w:val="left"/>
    </w:pPr>
    <w:rPr>
      <w:sz w:val="18"/>
      <w:szCs w:val="18"/>
    </w:rPr>
  </w:style>
  <w:style w:type="paragraph" w:styleId="37">
    <w:name w:val="Body Text 2"/>
    <w:basedOn w:val="1"/>
    <w:link w:val="153"/>
    <w:qFormat/>
    <w:uiPriority w:val="0"/>
    <w:pPr>
      <w:spacing w:after="120" w:afterLines="0" w:line="480" w:lineRule="auto"/>
    </w:pPr>
    <w:rPr>
      <w:kern w:val="0"/>
      <w:sz w:val="24"/>
      <w:szCs w:val="24"/>
    </w:rPr>
  </w:style>
  <w:style w:type="paragraph" w:styleId="38">
    <w:name w:val="HTML Preformatted"/>
    <w:basedOn w:val="1"/>
    <w:qFormat/>
    <w:uiPriority w:val="0"/>
    <w:rPr>
      <w:rFonts w:ascii="Courier New" w:hAnsi="Courier New" w:cs="Courier New"/>
      <w:sz w:val="20"/>
    </w:rPr>
  </w:style>
  <w:style w:type="paragraph" w:styleId="39">
    <w:name w:val="Normal (Web)"/>
    <w:basedOn w:val="1"/>
    <w:qFormat/>
    <w:uiPriority w:val="0"/>
    <w:pPr>
      <w:widowControl/>
      <w:spacing w:before="100" w:beforeLines="0" w:beforeAutospacing="1" w:after="100" w:afterLines="0" w:afterAutospacing="1" w:line="300" w:lineRule="atLeast"/>
      <w:jc w:val="left"/>
    </w:pPr>
    <w:rPr>
      <w:rFonts w:ascii="宋体" w:hAnsi="宋体" w:cs="宋体"/>
      <w:kern w:val="0"/>
      <w:sz w:val="24"/>
      <w:szCs w:val="24"/>
    </w:rPr>
  </w:style>
  <w:style w:type="paragraph" w:styleId="40">
    <w:name w:val="index 1"/>
    <w:basedOn w:val="1"/>
    <w:next w:val="1"/>
    <w:qFormat/>
    <w:uiPriority w:val="0"/>
  </w:style>
  <w:style w:type="paragraph" w:styleId="41">
    <w:name w:val="Title"/>
    <w:basedOn w:val="1"/>
    <w:next w:val="1"/>
    <w:link w:val="167"/>
    <w:qFormat/>
    <w:uiPriority w:val="0"/>
    <w:pPr>
      <w:spacing w:before="240" w:after="60"/>
      <w:jc w:val="center"/>
      <w:outlineLvl w:val="0"/>
    </w:pPr>
    <w:rPr>
      <w:rFonts w:ascii="Cambria" w:hAnsi="Cambria"/>
      <w:b/>
      <w:bCs/>
      <w:sz w:val="32"/>
      <w:szCs w:val="32"/>
    </w:rPr>
  </w:style>
  <w:style w:type="paragraph" w:styleId="42">
    <w:name w:val="annotation subject"/>
    <w:basedOn w:val="17"/>
    <w:next w:val="17"/>
    <w:qFormat/>
    <w:uiPriority w:val="0"/>
    <w:rPr>
      <w:b/>
      <w:bCs/>
    </w:rPr>
  </w:style>
  <w:style w:type="paragraph" w:styleId="43">
    <w:name w:val="Body Text First Indent 2"/>
    <w:basedOn w:val="19"/>
    <w:qFormat/>
    <w:uiPriority w:val="0"/>
    <w:pPr>
      <w:ind w:firstLine="420" w:firstLineChars="200"/>
    </w:pPr>
  </w:style>
  <w:style w:type="table" w:styleId="45">
    <w:name w:val="Table Grid"/>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none"/>
    </w:rPr>
  </w:style>
  <w:style w:type="character" w:styleId="50">
    <w:name w:val="HTML Typewriter"/>
    <w:qFormat/>
    <w:uiPriority w:val="0"/>
    <w:rPr>
      <w:rFonts w:ascii="Courier New" w:hAnsi="Courier New" w:cs="Courier New"/>
      <w:sz w:val="20"/>
      <w:szCs w:val="20"/>
    </w:rPr>
  </w:style>
  <w:style w:type="character" w:styleId="51">
    <w:name w:val="Hyperlink"/>
    <w:qFormat/>
    <w:uiPriority w:val="0"/>
    <w:rPr>
      <w:color w:val="0000FF"/>
      <w:u w:val="none"/>
    </w:rPr>
  </w:style>
  <w:style w:type="character" w:styleId="52">
    <w:name w:val="annotation reference"/>
    <w:qFormat/>
    <w:uiPriority w:val="0"/>
    <w:rPr>
      <w:sz w:val="21"/>
      <w:szCs w:val="21"/>
    </w:rPr>
  </w:style>
  <w:style w:type="paragraph" w:customStyle="1" w:styleId="53">
    <w:name w:val="Char Char Char Char1"/>
    <w:basedOn w:val="1"/>
    <w:qFormat/>
    <w:uiPriority w:val="0"/>
    <w:rPr>
      <w:rFonts w:ascii="Tahoma" w:hAnsi="Tahoma"/>
      <w:sz w:val="24"/>
    </w:rPr>
  </w:style>
  <w:style w:type="paragraph" w:customStyle="1" w:styleId="54">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55">
    <w:name w:val=" Char1 Char Char Char Char Char Char Char Char Char Char Char Char Char Char Char"/>
    <w:basedOn w:val="1"/>
    <w:qFormat/>
    <w:uiPriority w:val="0"/>
    <w:rPr>
      <w:rFonts w:ascii="Verdana" w:hAnsi="Verdana" w:eastAsia="Times New Roman"/>
      <w:kern w:val="0"/>
      <w:sz w:val="20"/>
      <w:lang w:eastAsia="en-US"/>
    </w:rPr>
  </w:style>
  <w:style w:type="paragraph" w:customStyle="1" w:styleId="56">
    <w:name w:val=" Char"/>
    <w:basedOn w:val="1"/>
    <w:qFormat/>
    <w:uiPriority w:val="0"/>
    <w:pPr>
      <w:widowControl/>
      <w:spacing w:after="160" w:afterLines="0" w:line="240" w:lineRule="exact"/>
      <w:ind w:left="-62" w:right="36" w:rightChars="15"/>
      <w:jc w:val="left"/>
    </w:pPr>
    <w:rPr>
      <w:rFonts w:ascii="Arial" w:hAnsi="Arial" w:eastAsia="Times New Roman"/>
      <w:kern w:val="0"/>
      <w:sz w:val="20"/>
      <w:lang w:eastAsia="en-US"/>
    </w:rPr>
  </w:style>
  <w:style w:type="paragraph" w:customStyle="1" w:styleId="57">
    <w:name w:val="标准正文"/>
    <w:basedOn w:val="1"/>
    <w:qFormat/>
    <w:uiPriority w:val="0"/>
    <w:pPr>
      <w:adjustRightInd w:val="0"/>
      <w:spacing w:line="360" w:lineRule="auto"/>
      <w:ind w:firstLine="480" w:firstLineChars="200"/>
    </w:pPr>
    <w:rPr>
      <w:kern w:val="0"/>
      <w:sz w:val="24"/>
    </w:rPr>
  </w:style>
  <w:style w:type="paragraph" w:customStyle="1" w:styleId="58">
    <w:name w:val="正文编码"/>
    <w:basedOn w:val="3"/>
    <w:qFormat/>
    <w:uiPriority w:val="0"/>
    <w:pPr>
      <w:numPr>
        <w:ilvl w:val="0"/>
        <w:numId w:val="3"/>
      </w:numPr>
      <w:tabs>
        <w:tab w:val="center" w:pos="2185"/>
        <w:tab w:val="clear" w:pos="1200"/>
      </w:tabs>
      <w:spacing w:after="0" w:afterLines="0" w:line="360" w:lineRule="auto"/>
      <w:ind w:firstLineChars="0"/>
    </w:pPr>
    <w:rPr>
      <w:rFonts w:ascii="仿宋_GB2312" w:hAnsi="宋体" w:eastAsia="仿宋_GB2312"/>
      <w:kern w:val="0"/>
      <w:sz w:val="24"/>
      <w:szCs w:val="20"/>
    </w:rPr>
  </w:style>
  <w:style w:type="paragraph" w:customStyle="1" w:styleId="59">
    <w:name w:val="符号 1"/>
    <w:basedOn w:val="19"/>
    <w:qFormat/>
    <w:uiPriority w:val="0"/>
    <w:pPr>
      <w:numPr>
        <w:ilvl w:val="0"/>
        <w:numId w:val="3"/>
      </w:numPr>
      <w:tabs>
        <w:tab w:val="left" w:pos="900"/>
        <w:tab w:val="clear" w:pos="1200"/>
      </w:tabs>
      <w:spacing w:line="360" w:lineRule="auto"/>
    </w:pPr>
    <w:rPr>
      <w:rFonts w:eastAsia="宋体"/>
      <w:kern w:val="28"/>
      <w:szCs w:val="24"/>
    </w:rPr>
  </w:style>
  <w:style w:type="paragraph" w:customStyle="1" w:styleId="60">
    <w:name w:val="样式5"/>
    <w:basedOn w:val="1"/>
    <w:link w:val="170"/>
    <w:qFormat/>
    <w:uiPriority w:val="0"/>
    <w:pPr>
      <w:keepNext/>
      <w:keepLines/>
      <w:spacing w:before="280" w:beforeLines="0" w:after="290" w:afterLines="0" w:line="376" w:lineRule="auto"/>
      <w:ind w:left="210" w:leftChars="100" w:right="210" w:rightChars="100"/>
      <w:outlineLvl w:val="4"/>
    </w:pPr>
    <w:rPr>
      <w:b/>
      <w:bCs/>
      <w:sz w:val="28"/>
      <w:szCs w:val="28"/>
    </w:rPr>
  </w:style>
  <w:style w:type="paragraph" w:customStyle="1" w:styleId="61">
    <w:name w:val="标题1"/>
    <w:basedOn w:val="23"/>
    <w:qFormat/>
    <w:uiPriority w:val="0"/>
    <w:pPr>
      <w:keepLines/>
      <w:numPr>
        <w:ilvl w:val="0"/>
        <w:numId w:val="4"/>
      </w:numPr>
      <w:tabs>
        <w:tab w:val="left" w:pos="397"/>
        <w:tab w:val="clear" w:pos="700"/>
      </w:tabs>
      <w:spacing w:before="120" w:beforeLines="0" w:after="120" w:afterLines="0" w:line="300" w:lineRule="auto"/>
    </w:pPr>
    <w:rPr>
      <w:rFonts w:ascii="黑体" w:hAnsi="宋体" w:eastAsia="黑体"/>
      <w:b/>
      <w:bCs/>
      <w:spacing w:val="6"/>
      <w:kern w:val="44"/>
      <w:sz w:val="36"/>
    </w:rPr>
  </w:style>
  <w:style w:type="paragraph" w:customStyle="1" w:styleId="62">
    <w:name w:val="1 正文"/>
    <w:basedOn w:val="1"/>
    <w:qFormat/>
    <w:uiPriority w:val="0"/>
    <w:pPr>
      <w:adjustRightInd w:val="0"/>
      <w:snapToGrid w:val="0"/>
      <w:spacing w:line="360" w:lineRule="auto"/>
      <w:ind w:firstLine="200" w:firstLineChars="200"/>
      <w:jc w:val="left"/>
    </w:pPr>
    <w:rPr>
      <w:sz w:val="24"/>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正文段"/>
    <w:basedOn w:val="1"/>
    <w:qFormat/>
    <w:uiPriority w:val="0"/>
    <w:pPr>
      <w:widowControl/>
      <w:snapToGrid w:val="0"/>
      <w:spacing w:after="156" w:afterLines="50"/>
      <w:ind w:firstLine="200" w:firstLineChars="200"/>
    </w:pPr>
    <w:rPr>
      <w:kern w:val="0"/>
      <w:sz w:val="24"/>
    </w:rPr>
  </w:style>
  <w:style w:type="paragraph" w:customStyle="1" w:styleId="65">
    <w:name w:val="*正文"/>
    <w:basedOn w:val="15"/>
    <w:qFormat/>
    <w:uiPriority w:val="0"/>
    <w:pPr>
      <w:ind w:firstLine="567" w:firstLineChars="0"/>
    </w:pPr>
    <w:rPr>
      <w:rFonts w:ascii="Calibri" w:hAnsi="Calibri"/>
      <w:kern w:val="0"/>
      <w:szCs w:val="22"/>
    </w:rPr>
  </w:style>
  <w:style w:type="paragraph" w:customStyle="1" w:styleId="66">
    <w:name w:val="表内文字"/>
    <w:basedOn w:val="1"/>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67">
    <w:name w:val="xl25"/>
    <w:basedOn w:val="1"/>
    <w:qFormat/>
    <w:uiPriority w:val="0"/>
    <w:pPr>
      <w:widowControl/>
      <w:spacing w:before="100" w:beforeLines="0" w:beforeAutospacing="1" w:after="100" w:afterLines="0" w:afterAutospacing="1"/>
      <w:jc w:val="center"/>
      <w:textAlignment w:val="center"/>
    </w:pPr>
    <w:rPr>
      <w:rFonts w:ascii="宋体" w:hAnsi="宋体"/>
      <w:kern w:val="0"/>
      <w:sz w:val="20"/>
    </w:rPr>
  </w:style>
  <w:style w:type="paragraph" w:customStyle="1" w:styleId="68">
    <w:name w:val="itemlistintable"/>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69">
    <w:name w:val="正文无缩进"/>
    <w:basedOn w:val="1"/>
    <w:qFormat/>
    <w:uiPriority w:val="0"/>
    <w:pPr>
      <w:widowControl/>
      <w:autoSpaceDE w:val="0"/>
      <w:autoSpaceDN w:val="0"/>
      <w:spacing w:line="300" w:lineRule="auto"/>
      <w:textAlignment w:val="bottom"/>
    </w:pPr>
    <w:rPr>
      <w:rFonts w:eastAsia="楷体_GB2312"/>
    </w:rPr>
  </w:style>
  <w:style w:type="paragraph" w:customStyle="1" w:styleId="70">
    <w:name w:val="正文文本缩进 + 四号"/>
    <w:basedOn w:val="19"/>
    <w:qFormat/>
    <w:uiPriority w:val="0"/>
    <w:pPr>
      <w:spacing w:line="360" w:lineRule="auto"/>
      <w:ind w:firstLine="560" w:firstLineChars="200"/>
    </w:pPr>
    <w:rPr>
      <w:rFonts w:ascii="仿宋_GB2312" w:eastAsia="仿宋_GB2312"/>
      <w:color w:val="000000"/>
      <w:sz w:val="28"/>
      <w:szCs w:val="28"/>
    </w:rPr>
  </w:style>
  <w:style w:type="paragraph" w:customStyle="1" w:styleId="71">
    <w:name w:val="标题3"/>
    <w:basedOn w:val="7"/>
    <w:qFormat/>
    <w:uiPriority w:val="0"/>
    <w:pPr>
      <w:numPr>
        <w:ilvl w:val="2"/>
        <w:numId w:val="1"/>
      </w:numPr>
      <w:tabs>
        <w:tab w:val="left" w:pos="113"/>
        <w:tab w:val="left" w:pos="840"/>
        <w:tab w:val="clear" w:pos="1260"/>
        <w:tab w:val="clear" w:pos="1620"/>
      </w:tabs>
      <w:spacing w:before="100" w:beforeLines="0" w:beforeAutospacing="1" w:after="120" w:afterLines="0" w:line="300" w:lineRule="auto"/>
      <w:ind w:left="1180" w:hanging="340"/>
    </w:pPr>
    <w:rPr>
      <w:rFonts w:ascii="Times New Roman" w:hAnsi="Times New Roman" w:cs="Times New Roman"/>
      <w:b w:val="0"/>
      <w:bCs w:val="0"/>
      <w:spacing w:val="6"/>
      <w:kern w:val="44"/>
      <w:sz w:val="28"/>
      <w:szCs w:val="20"/>
      <w:lang w:val="ru-RU"/>
    </w:rPr>
  </w:style>
  <w:style w:type="paragraph" w:customStyle="1" w:styleId="72">
    <w:name w:val="样式4"/>
    <w:basedOn w:val="5"/>
    <w:link w:val="120"/>
    <w:qFormat/>
    <w:uiPriority w:val="0"/>
    <w:pPr>
      <w:keepLines/>
      <w:spacing w:line="360" w:lineRule="auto"/>
    </w:pPr>
    <w:rPr>
      <w:rFonts w:ascii="黑体" w:hAnsi="黑体" w:eastAsia="黑体"/>
      <w:b w:val="0"/>
    </w:rPr>
  </w:style>
  <w:style w:type="paragraph" w:customStyle="1" w:styleId="73">
    <w:name w:val="表格文字"/>
    <w:basedOn w:val="1"/>
    <w:next w:val="2"/>
    <w:qFormat/>
    <w:uiPriority w:val="0"/>
    <w:pPr>
      <w:widowControl w:val="0"/>
      <w:spacing w:before="25" w:beforeLines="0" w:after="25" w:afterLines="0"/>
    </w:pPr>
    <w:rPr>
      <w:bCs/>
      <w:spacing w:val="10"/>
      <w:sz w:val="24"/>
    </w:rPr>
  </w:style>
  <w:style w:type="paragraph" w:customStyle="1" w:styleId="74">
    <w:name w:val="Char"/>
    <w:basedOn w:val="1"/>
    <w:qFormat/>
    <w:uiPriority w:val="0"/>
    <w:pPr>
      <w:numPr>
        <w:ilvl w:val="0"/>
        <w:numId w:val="3"/>
      </w:numPr>
    </w:pPr>
    <w:rPr>
      <w:sz w:val="24"/>
      <w:szCs w:val="24"/>
    </w:rPr>
  </w:style>
  <w:style w:type="paragraph" w:customStyle="1" w:styleId="75">
    <w:name w:val="2 标题2"/>
    <w:basedOn w:val="62"/>
    <w:next w:val="62"/>
    <w:qFormat/>
    <w:uiPriority w:val="0"/>
    <w:pPr>
      <w:ind w:firstLine="0" w:firstLineChars="0"/>
      <w:outlineLvl w:val="1"/>
    </w:pPr>
    <w:rPr>
      <w:b/>
      <w:sz w:val="30"/>
    </w:rPr>
  </w:style>
  <w:style w:type="paragraph" w:customStyle="1" w:styleId="76">
    <w:name w:val="标准小四"/>
    <w:basedOn w:val="1"/>
    <w:qFormat/>
    <w:uiPriority w:val="0"/>
    <w:pPr>
      <w:spacing w:line="360" w:lineRule="auto"/>
      <w:ind w:firstLine="480" w:firstLineChars="200"/>
    </w:pPr>
    <w:rPr>
      <w:rFonts w:ascii="Arial" w:hAnsi="Arial"/>
      <w:sz w:val="24"/>
      <w:szCs w:val="21"/>
    </w:rPr>
  </w:style>
  <w:style w:type="paragraph" w:customStyle="1" w:styleId="77">
    <w:name w:val="符号 2"/>
    <w:basedOn w:val="59"/>
    <w:qFormat/>
    <w:uiPriority w:val="0"/>
    <w:pPr>
      <w:numPr>
        <w:ilvl w:val="1"/>
        <w:numId w:val="3"/>
      </w:numPr>
      <w:tabs>
        <w:tab w:val="clear" w:pos="900"/>
      </w:tabs>
    </w:pPr>
  </w:style>
  <w:style w:type="paragraph" w:customStyle="1" w:styleId="78">
    <w:name w:val="List Paragraph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0"/>
      <w:sz w:val="20"/>
      <w:szCs w:val="20"/>
      <w:lang w:val="en-US" w:eastAsia="zh-CN" w:bidi="ar"/>
    </w:rPr>
  </w:style>
  <w:style w:type="paragraph" w:customStyle="1" w:styleId="79">
    <w:name w:val="普通正文"/>
    <w:basedOn w:val="1"/>
    <w:qFormat/>
    <w:uiPriority w:val="0"/>
    <w:pPr>
      <w:adjustRightInd w:val="0"/>
      <w:spacing w:before="120" w:beforeLines="0" w:after="120" w:afterLines="0" w:line="360" w:lineRule="auto"/>
      <w:ind w:firstLine="480"/>
      <w:jc w:val="left"/>
      <w:textAlignment w:val="baseline"/>
    </w:pPr>
    <w:rPr>
      <w:rFonts w:ascii="Arial" w:hAnsi="Arial"/>
      <w:kern w:val="0"/>
      <w:sz w:val="24"/>
      <w:szCs w:val="24"/>
    </w:rPr>
  </w:style>
  <w:style w:type="paragraph" w:customStyle="1" w:styleId="8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1">
    <w:name w:val="Proposals body"/>
    <w:basedOn w:val="1"/>
    <w:next w:val="1"/>
    <w:qFormat/>
    <w:uiPriority w:val="0"/>
    <w:pPr>
      <w:widowControl/>
      <w:spacing w:line="360" w:lineRule="auto"/>
      <w:jc w:val="left"/>
    </w:pPr>
    <w:rPr>
      <w:rFonts w:ascii="宋体"/>
      <w:snapToGrid w:val="0"/>
      <w:color w:val="000000"/>
      <w:kern w:val="0"/>
      <w:sz w:val="24"/>
    </w:rPr>
  </w:style>
  <w:style w:type="paragraph" w:customStyle="1" w:styleId="82">
    <w:name w:val=" Char Char Char Char"/>
    <w:basedOn w:val="1"/>
    <w:qFormat/>
    <w:uiPriority w:val="0"/>
    <w:pPr>
      <w:widowControl/>
      <w:spacing w:line="400" w:lineRule="exact"/>
      <w:jc w:val="center"/>
    </w:pPr>
    <w:rPr>
      <w:rFonts w:ascii="Verdana" w:hAnsi="Verdana"/>
      <w:kern w:val="0"/>
      <w:lang w:eastAsia="en-US"/>
    </w:rPr>
  </w:style>
  <w:style w:type="paragraph" w:customStyle="1" w:styleId="83">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84">
    <w:name w:val="哈哈正文"/>
    <w:basedOn w:val="1"/>
    <w:link w:val="168"/>
    <w:qFormat/>
    <w:uiPriority w:val="0"/>
    <w:pPr>
      <w:spacing w:line="360" w:lineRule="auto"/>
      <w:ind w:firstLine="200" w:firstLineChars="200"/>
    </w:pPr>
    <w:rPr>
      <w:rFonts w:ascii="宋体" w:hAnsi="宋体" w:cs="宋体"/>
      <w:sz w:val="24"/>
    </w:rPr>
  </w:style>
  <w:style w:type="paragraph" w:customStyle="1" w:styleId="85">
    <w:name w:val=" Char Char1 Char Char Char Char"/>
    <w:basedOn w:val="1"/>
    <w:qFormat/>
    <w:uiPriority w:val="0"/>
    <w:rPr>
      <w:rFonts w:ascii="Tahoma" w:hAnsi="Tahoma"/>
      <w:sz w:val="24"/>
    </w:rPr>
  </w:style>
  <w:style w:type="paragraph" w:customStyle="1" w:styleId="86">
    <w:name w:val="xl28"/>
    <w:basedOn w:val="1"/>
    <w:qFormat/>
    <w:uiPriority w:val="0"/>
    <w:pPr>
      <w:widowControl/>
      <w:pBdr>
        <w:left w:val="single" w:color="auto" w:sz="8" w:space="0"/>
        <w:bottom w:val="single" w:color="auto" w:sz="4" w:space="0"/>
        <w:right w:val="single" w:color="auto" w:sz="4" w:space="0"/>
      </w:pBdr>
      <w:jc w:val="center"/>
    </w:pPr>
    <w:rPr>
      <w:rFonts w:ascii="Arial Unicode MS" w:hAnsi="Arial Unicode MS" w:eastAsia="Arial Unicode MS"/>
      <w:kern w:val="0"/>
      <w:sz w:val="24"/>
    </w:rPr>
  </w:style>
  <w:style w:type="paragraph" w:customStyle="1" w:styleId="87">
    <w:name w:val="正文 居中"/>
    <w:basedOn w:val="1"/>
    <w:qFormat/>
    <w:uiPriority w:val="0"/>
    <w:pPr>
      <w:spacing w:line="360" w:lineRule="auto"/>
      <w:jc w:val="center"/>
    </w:pPr>
    <w:rPr>
      <w:rFonts w:cs="宋体"/>
      <w:sz w:val="24"/>
    </w:rPr>
  </w:style>
  <w:style w:type="paragraph" w:styleId="8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标题2正文 Char"/>
    <w:basedOn w:val="1"/>
    <w:link w:val="159"/>
    <w:qFormat/>
    <w:uiPriority w:val="0"/>
    <w:pPr>
      <w:spacing w:before="156" w:beforeLines="50" w:after="156" w:afterLines="50"/>
      <w:ind w:right="38" w:rightChars="18" w:firstLine="420"/>
    </w:pPr>
    <w:rPr>
      <w:kern w:val="0"/>
      <w:sz w:val="24"/>
      <w:szCs w:val="24"/>
    </w:rPr>
  </w:style>
  <w:style w:type="paragraph" w:customStyle="1" w:styleId="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1">
    <w:name w:val="Normal 2"/>
    <w:basedOn w:val="1"/>
    <w:qFormat/>
    <w:uiPriority w:val="0"/>
    <w:pPr>
      <w:keepLines/>
      <w:widowControl/>
      <w:autoSpaceDE w:val="0"/>
      <w:autoSpaceDN w:val="0"/>
      <w:adjustRightInd w:val="0"/>
      <w:spacing w:before="240" w:beforeLines="0"/>
      <w:ind w:left="360" w:right="900"/>
      <w:jc w:val="left"/>
    </w:pPr>
    <w:rPr>
      <w:rFonts w:ascii="Arial" w:hAnsi="Arial"/>
      <w:kern w:val="0"/>
      <w:sz w:val="22"/>
      <w:lang w:eastAsia="en-US"/>
    </w:rPr>
  </w:style>
  <w:style w:type="paragraph" w:customStyle="1" w:styleId="92">
    <w:name w:val="xl24"/>
    <w:basedOn w:val="1"/>
    <w:qFormat/>
    <w:uiPriority w:val="0"/>
    <w:pPr>
      <w:widowControl/>
      <w:spacing w:before="100" w:beforeLines="0" w:beforeAutospacing="1" w:after="100" w:afterLines="0" w:afterAutospacing="1"/>
      <w:jc w:val="center"/>
    </w:pPr>
    <w:rPr>
      <w:rFonts w:ascii="仿宋_GB2312" w:hAnsi="宋体" w:eastAsia="仿宋_GB2312"/>
      <w:kern w:val="0"/>
      <w:sz w:val="24"/>
      <w:szCs w:val="24"/>
    </w:rPr>
  </w:style>
  <w:style w:type="paragraph" w:customStyle="1" w:styleId="93">
    <w:name w:val="1"/>
    <w:basedOn w:val="1"/>
    <w:next w:val="94"/>
    <w:qFormat/>
    <w:uiPriority w:val="0"/>
    <w:pPr>
      <w:ind w:firstLine="420" w:firstLineChars="200"/>
    </w:pPr>
    <w:rPr>
      <w:szCs w:val="24"/>
    </w:rPr>
  </w:style>
  <w:style w:type="paragraph" w:styleId="94">
    <w:name w:val="List Paragraph"/>
    <w:basedOn w:val="1"/>
    <w:qFormat/>
    <w:uiPriority w:val="0"/>
    <w:pPr>
      <w:spacing w:line="360" w:lineRule="auto"/>
      <w:ind w:firstLine="420" w:firstLineChars="200"/>
    </w:pPr>
    <w:rPr>
      <w:sz w:val="24"/>
      <w:szCs w:val="24"/>
    </w:rPr>
  </w:style>
  <w:style w:type="paragraph" w:customStyle="1" w:styleId="95">
    <w:name w:val="Char Char Char"/>
    <w:basedOn w:val="1"/>
    <w:qFormat/>
    <w:uiPriority w:val="0"/>
    <w:pPr>
      <w:spacing w:before="120" w:beforeLines="0" w:after="120" w:afterLines="0" w:line="360" w:lineRule="auto"/>
      <w:ind w:firstLine="200" w:firstLineChars="200"/>
    </w:pPr>
    <w:rPr>
      <w:rFonts w:ascii="Tahoma" w:hAnsi="Tahoma"/>
      <w:sz w:val="24"/>
    </w:rPr>
  </w:style>
  <w:style w:type="paragraph" w:customStyle="1" w:styleId="96">
    <w:name w:val="正文2"/>
    <w:basedOn w:val="1"/>
    <w:qFormat/>
    <w:uiPriority w:val="0"/>
    <w:pPr>
      <w:spacing w:before="156" w:beforeLines="50" w:after="156" w:afterLines="50" w:line="360" w:lineRule="auto"/>
      <w:ind w:firstLine="480" w:firstLineChars="200"/>
    </w:pPr>
    <w:rPr>
      <w:rFonts w:ascii="宋体" w:hAnsi="宋体"/>
      <w:sz w:val="24"/>
      <w:szCs w:val="24"/>
    </w:rPr>
  </w:style>
  <w:style w:type="paragraph" w:customStyle="1" w:styleId="97">
    <w:name w:val="xl33"/>
    <w:basedOn w:val="1"/>
    <w:qFormat/>
    <w:uiPriority w:val="0"/>
    <w:pPr>
      <w:widowControl/>
      <w:spacing w:before="100" w:beforeLines="0" w:beforeAutospacing="1" w:after="100" w:afterLines="0" w:afterAutospacing="1"/>
      <w:jc w:val="center"/>
    </w:pPr>
    <w:rPr>
      <w:rFonts w:ascii="华文中宋" w:hAnsi="华文中宋" w:eastAsia="华文中宋"/>
      <w:b/>
      <w:bCs/>
      <w:kern w:val="0"/>
      <w:sz w:val="36"/>
      <w:szCs w:val="36"/>
    </w:rPr>
  </w:style>
  <w:style w:type="paragraph" w:customStyle="1" w:styleId="98">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99">
    <w:name w:val="默认段落字体 Para Char Char Char Char Char Char Char Char Char1 Char Char Char Char"/>
    <w:basedOn w:val="1"/>
    <w:qFormat/>
    <w:uiPriority w:val="0"/>
    <w:rPr>
      <w:rFonts w:ascii="Tahoma" w:hAnsi="Tahoma"/>
      <w:sz w:val="24"/>
    </w:rPr>
  </w:style>
  <w:style w:type="paragraph" w:customStyle="1" w:styleId="100">
    <w:name w:val="Plain Text"/>
    <w:basedOn w:val="1"/>
    <w:qFormat/>
    <w:uiPriority w:val="0"/>
    <w:rPr>
      <w:rFonts w:ascii="宋体" w:hAnsi="Courier New"/>
      <w:szCs w:val="20"/>
    </w:rPr>
  </w:style>
  <w:style w:type="paragraph" w:customStyle="1" w:styleId="101">
    <w:name w:val="大标题"/>
    <w:basedOn w:val="1"/>
    <w:qFormat/>
    <w:uiPriority w:val="0"/>
    <w:pPr>
      <w:autoSpaceDE w:val="0"/>
      <w:autoSpaceDN w:val="0"/>
      <w:adjustRightInd w:val="0"/>
      <w:spacing w:after="560" w:afterLines="0"/>
      <w:jc w:val="center"/>
    </w:pPr>
    <w:rPr>
      <w:rFonts w:ascii="Arial Black" w:hAnsi="Arial Black"/>
      <w:b/>
      <w:kern w:val="0"/>
      <w:sz w:val="56"/>
    </w:rPr>
  </w:style>
  <w:style w:type="paragraph" w:customStyle="1" w:styleId="102">
    <w:name w:val="样式1"/>
    <w:basedOn w:val="6"/>
    <w:link w:val="131"/>
    <w:qFormat/>
    <w:uiPriority w:val="0"/>
    <w:pPr>
      <w:tabs>
        <w:tab w:val="clear" w:pos="578"/>
      </w:tabs>
      <w:spacing w:before="0" w:beforeLines="0" w:after="0" w:afterLines="0"/>
      <w:ind w:left="0" w:firstLine="0"/>
    </w:pPr>
    <w:rPr>
      <w:rFonts w:ascii="黑体" w:hAnsi="黑体"/>
    </w:rPr>
  </w:style>
  <w:style w:type="paragraph" w:customStyle="1" w:styleId="103">
    <w:name w:val=" Char Char Char Char Char Char Char"/>
    <w:basedOn w:val="1"/>
    <w:qFormat/>
    <w:uiPriority w:val="0"/>
    <w:pPr>
      <w:tabs>
        <w:tab w:val="left" w:pos="432"/>
      </w:tabs>
      <w:ind w:left="432" w:hanging="432"/>
    </w:pPr>
    <w:rPr>
      <w:rFonts w:ascii="Tahoma" w:hAnsi="Tahoma"/>
      <w:sz w:val="24"/>
    </w:rPr>
  </w:style>
  <w:style w:type="paragraph" w:customStyle="1" w:styleId="104">
    <w:name w:val="A正文小四"/>
    <w:basedOn w:val="1"/>
    <w:qFormat/>
    <w:uiPriority w:val="0"/>
    <w:pPr>
      <w:spacing w:line="360" w:lineRule="auto"/>
      <w:ind w:firstLine="600" w:firstLineChars="200"/>
      <w:jc w:val="left"/>
    </w:pPr>
    <w:rPr>
      <w:color w:val="000000"/>
      <w:szCs w:val="24"/>
    </w:rPr>
  </w:style>
  <w:style w:type="paragraph" w:customStyle="1" w:styleId="105">
    <w:name w:val="方案－正文"/>
    <w:basedOn w:val="1"/>
    <w:link w:val="142"/>
    <w:qFormat/>
    <w:uiPriority w:val="0"/>
    <w:pPr>
      <w:spacing w:line="360" w:lineRule="auto"/>
      <w:ind w:firstLine="480" w:firstLineChars="200"/>
    </w:pPr>
    <w:rPr>
      <w:rFonts w:ascii="仿宋_GB2312" w:hAnsi="宋体"/>
      <w:kern w:val="0"/>
      <w:sz w:val="24"/>
    </w:rPr>
  </w:style>
  <w:style w:type="paragraph" w:customStyle="1" w:styleId="106">
    <w:name w:val="无间距1"/>
    <w:qFormat/>
    <w:uiPriority w:val="1"/>
    <w:pPr>
      <w:widowControl w:val="0"/>
      <w:jc w:val="both"/>
    </w:pPr>
    <w:rPr>
      <w:rFonts w:ascii="Calibri" w:hAnsi="Calibri" w:eastAsia="微软雅黑 Light" w:cs="Times New Roman"/>
      <w:kern w:val="2"/>
      <w:sz w:val="24"/>
      <w:szCs w:val="22"/>
      <w:lang w:val="en-US" w:eastAsia="zh-CN" w:bidi="ar-SA"/>
    </w:rPr>
  </w:style>
  <w:style w:type="paragraph" w:customStyle="1" w:styleId="107">
    <w:name w:val=" Char1"/>
    <w:basedOn w:val="1"/>
    <w:qFormat/>
    <w:uiPriority w:val="0"/>
    <w:rPr>
      <w:rFonts w:ascii="仿宋_GB2312" w:eastAsia="仿宋_GB2312"/>
      <w:b/>
      <w:sz w:val="32"/>
      <w:szCs w:val="32"/>
    </w:rPr>
  </w:style>
  <w:style w:type="paragraph" w:customStyle="1" w:styleId="108">
    <w:name w:val="默认段落字体 Para Char Char Char Char Char Char Char Char Char Char"/>
    <w:basedOn w:val="1"/>
    <w:qFormat/>
    <w:uiPriority w:val="0"/>
    <w:rPr>
      <w:rFonts w:ascii="Tahoma" w:hAnsi="Tahoma"/>
      <w:sz w:val="24"/>
    </w:rPr>
  </w:style>
  <w:style w:type="paragraph" w:customStyle="1" w:styleId="109">
    <w:name w:val="Char Char Char Char"/>
    <w:basedOn w:val="1"/>
    <w:qFormat/>
    <w:uiPriority w:val="0"/>
    <w:pPr>
      <w:widowControl/>
      <w:spacing w:after="160" w:line="240" w:lineRule="exact"/>
      <w:jc w:val="left"/>
    </w:pPr>
    <w:rPr>
      <w:rFonts w:hint="default" w:ascii="Verdana" w:hAnsi="Verdana"/>
      <w:kern w:val="0"/>
      <w:sz w:val="20"/>
      <w:szCs w:val="20"/>
      <w:lang w:eastAsia="en-US"/>
    </w:rPr>
  </w:style>
  <w:style w:type="paragraph" w:customStyle="1" w:styleId="110">
    <w:name w:val=" Char Char Char1 Char"/>
    <w:basedOn w:val="1"/>
    <w:qFormat/>
    <w:uiPriority w:val="0"/>
    <w:pPr>
      <w:spacing w:line="360" w:lineRule="auto"/>
      <w:ind w:firstLine="200" w:firstLineChars="200"/>
    </w:pPr>
  </w:style>
  <w:style w:type="paragraph" w:customStyle="1" w:styleId="111">
    <w:name w:val="tabletextchar"/>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2">
    <w:name w:val="样式2"/>
    <w:basedOn w:val="7"/>
    <w:link w:val="139"/>
    <w:qFormat/>
    <w:uiPriority w:val="0"/>
    <w:pPr>
      <w:numPr>
        <w:ilvl w:val="0"/>
        <w:numId w:val="0"/>
      </w:numPr>
      <w:adjustRightInd w:val="0"/>
      <w:spacing w:before="0" w:beforeLines="0" w:after="0" w:afterLines="0"/>
      <w:textAlignment w:val="baseline"/>
    </w:pPr>
    <w:rPr>
      <w:rFonts w:ascii="黑体" w:hAnsi="黑体" w:cs="Times New Roman"/>
      <w:b w:val="0"/>
      <w:color w:val="FF0000"/>
      <w:sz w:val="28"/>
    </w:rPr>
  </w:style>
  <w:style w:type="paragraph" w:customStyle="1" w:styleId="113">
    <w:name w:val="tabletextcharchar"/>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4">
    <w:name w:val="p0"/>
    <w:basedOn w:val="1"/>
    <w:qFormat/>
    <w:uiPriority w:val="0"/>
    <w:pPr>
      <w:widowControl/>
    </w:pPr>
    <w:rPr>
      <w:kern w:val="0"/>
      <w:szCs w:val="21"/>
    </w:rPr>
  </w:style>
  <w:style w:type="character" w:customStyle="1" w:styleId="115">
    <w:name w:val=" Char Char13"/>
    <w:basedOn w:val="46"/>
    <w:qFormat/>
    <w:uiPriority w:val="0"/>
    <w:rPr>
      <w:rFonts w:ascii="Arial" w:hAnsi="Arial" w:eastAsia="黑体"/>
      <w:b/>
      <w:bCs/>
      <w:kern w:val="2"/>
      <w:sz w:val="32"/>
      <w:szCs w:val="32"/>
    </w:rPr>
  </w:style>
  <w:style w:type="character" w:customStyle="1" w:styleId="116">
    <w:name w:val=" Char Char7"/>
    <w:basedOn w:val="46"/>
    <w:qFormat/>
    <w:uiPriority w:val="0"/>
    <w:rPr>
      <w:rFonts w:ascii="Cambria" w:hAnsi="Cambria"/>
      <w:kern w:val="2"/>
      <w:sz w:val="24"/>
      <w:szCs w:val="24"/>
    </w:rPr>
  </w:style>
  <w:style w:type="character" w:customStyle="1" w:styleId="117">
    <w:name w:val="页眉 Char"/>
    <w:qFormat/>
    <w:uiPriority w:val="0"/>
    <w:rPr>
      <w:rFonts w:eastAsia="宋体"/>
      <w:kern w:val="2"/>
      <w:sz w:val="18"/>
      <w:lang w:val="en-US" w:eastAsia="zh-CN" w:bidi="ar-SA"/>
    </w:rPr>
  </w:style>
  <w:style w:type="character" w:customStyle="1" w:styleId="118">
    <w:name w:val=" Char Char21"/>
    <w:qFormat/>
    <w:uiPriority w:val="0"/>
    <w:rPr>
      <w:rFonts w:ascii="宋体" w:eastAsia="宋体"/>
      <w:b/>
      <w:bCs/>
      <w:kern w:val="2"/>
      <w:sz w:val="28"/>
      <w:lang w:val="en-US" w:eastAsia="zh-CN" w:bidi="ar-SA"/>
    </w:rPr>
  </w:style>
  <w:style w:type="character" w:customStyle="1" w:styleId="119">
    <w:name w:val="批注框文本 Char"/>
    <w:basedOn w:val="46"/>
    <w:link w:val="27"/>
    <w:qFormat/>
    <w:uiPriority w:val="0"/>
    <w:rPr>
      <w:rFonts w:eastAsia="宋体"/>
      <w:kern w:val="2"/>
      <w:sz w:val="18"/>
      <w:szCs w:val="18"/>
      <w:lang w:val="en-US" w:eastAsia="zh-CN" w:bidi="ar-SA"/>
    </w:rPr>
  </w:style>
  <w:style w:type="character" w:customStyle="1" w:styleId="120">
    <w:name w:val="样式4 Char Char"/>
    <w:link w:val="72"/>
    <w:qFormat/>
    <w:uiPriority w:val="0"/>
    <w:rPr>
      <w:rFonts w:ascii="黑体" w:hAnsi="黑体" w:eastAsia="黑体"/>
      <w:bCs/>
      <w:kern w:val="44"/>
      <w:sz w:val="44"/>
      <w:szCs w:val="44"/>
      <w:lang w:val="en-US" w:eastAsia="zh-CN" w:bidi="ar-SA"/>
    </w:rPr>
  </w:style>
  <w:style w:type="character" w:customStyle="1" w:styleId="121">
    <w:name w:val="页眉 Char1"/>
    <w:basedOn w:val="46"/>
    <w:link w:val="29"/>
    <w:qFormat/>
    <w:uiPriority w:val="0"/>
    <w:rPr>
      <w:rFonts w:hint="eastAsia" w:ascii="宋体" w:hAnsi="宋体" w:eastAsia="宋体" w:cs="宋体"/>
      <w:kern w:val="2"/>
      <w:sz w:val="18"/>
      <w:lang w:val="en-US" w:eastAsia="zh-CN" w:bidi="ar"/>
    </w:rPr>
  </w:style>
  <w:style w:type="character" w:customStyle="1" w:styleId="122">
    <w:name w:val=" Char Char10"/>
    <w:basedOn w:val="46"/>
    <w:qFormat/>
    <w:uiPriority w:val="0"/>
    <w:rPr>
      <w:b/>
      <w:bCs/>
      <w:kern w:val="2"/>
      <w:sz w:val="28"/>
      <w:szCs w:val="28"/>
      <w:lang w:val="zh-CN"/>
    </w:rPr>
  </w:style>
  <w:style w:type="character" w:customStyle="1" w:styleId="123">
    <w:name w:val="正文文本 Char"/>
    <w:link w:val="2"/>
    <w:qFormat/>
    <w:uiPriority w:val="0"/>
    <w:rPr>
      <w:rFonts w:eastAsia="宋体"/>
      <w:i/>
      <w:kern w:val="2"/>
      <w:sz w:val="18"/>
      <w:lang w:val="en-US" w:eastAsia="zh-CN" w:bidi="ar-SA"/>
    </w:rPr>
  </w:style>
  <w:style w:type="character" w:customStyle="1" w:styleId="124">
    <w:name w:val="标题 9 Char"/>
    <w:link w:val="13"/>
    <w:qFormat/>
    <w:uiPriority w:val="0"/>
    <w:rPr>
      <w:rFonts w:ascii="Arial" w:hAnsi="Arial" w:eastAsia="黑体"/>
      <w:kern w:val="2"/>
      <w:sz w:val="21"/>
      <w:szCs w:val="21"/>
      <w:lang w:val="en-US" w:eastAsia="zh-CN" w:bidi="ar-SA"/>
    </w:rPr>
  </w:style>
  <w:style w:type="character" w:customStyle="1" w:styleId="125">
    <w:name w:val="日期 Char"/>
    <w:basedOn w:val="46"/>
    <w:link w:val="25"/>
    <w:qFormat/>
    <w:uiPriority w:val="0"/>
    <w:rPr>
      <w:rFonts w:ascii="宋体" w:eastAsia="宋体"/>
      <w:sz w:val="24"/>
      <w:lang w:val="en-US" w:eastAsia="zh-CN" w:bidi="ar-SA"/>
    </w:rPr>
  </w:style>
  <w:style w:type="character" w:customStyle="1" w:styleId="126">
    <w:name w:val="正文文本缩进 3 Char"/>
    <w:link w:val="33"/>
    <w:qFormat/>
    <w:uiPriority w:val="0"/>
    <w:rPr>
      <w:rFonts w:ascii="宋体" w:eastAsia="宋体"/>
      <w:kern w:val="2"/>
      <w:sz w:val="24"/>
      <w:lang w:val="en-US" w:eastAsia="zh-CN" w:bidi="ar-SA"/>
    </w:rPr>
  </w:style>
  <w:style w:type="character" w:customStyle="1" w:styleId="127">
    <w:name w:val="纯文本 Char2"/>
    <w:qFormat/>
    <w:uiPriority w:val="0"/>
    <w:rPr>
      <w:rFonts w:hint="eastAsia" w:ascii="宋体" w:hAnsi="Courier New" w:eastAsia="宋体" w:cs="Courier New"/>
      <w:kern w:val="2"/>
      <w:sz w:val="21"/>
      <w:szCs w:val="21"/>
      <w:lang w:eastAsia="en-US"/>
    </w:rPr>
  </w:style>
  <w:style w:type="character" w:customStyle="1" w:styleId="128">
    <w:name w:val="批注文字 Char"/>
    <w:link w:val="17"/>
    <w:qFormat/>
    <w:uiPriority w:val="0"/>
    <w:rPr>
      <w:rFonts w:eastAsia="宋体"/>
      <w:kern w:val="2"/>
      <w:sz w:val="21"/>
      <w:lang w:val="en-US" w:eastAsia="zh-CN" w:bidi="ar-SA"/>
    </w:rPr>
  </w:style>
  <w:style w:type="character" w:customStyle="1" w:styleId="129">
    <w:name w:val=" Char Char3"/>
    <w:basedOn w:val="46"/>
    <w:qFormat/>
    <w:uiPriority w:val="0"/>
    <w:rPr>
      <w:kern w:val="2"/>
      <w:sz w:val="21"/>
      <w:szCs w:val="22"/>
    </w:rPr>
  </w:style>
  <w:style w:type="character" w:customStyle="1" w:styleId="130">
    <w:name w:val=" Char Char9"/>
    <w:basedOn w:val="46"/>
    <w:qFormat/>
    <w:uiPriority w:val="0"/>
    <w:rPr>
      <w:rFonts w:ascii="Arial" w:hAnsi="Arial" w:eastAsia="黑体"/>
      <w:b/>
      <w:bCs/>
      <w:kern w:val="2"/>
      <w:sz w:val="24"/>
      <w:szCs w:val="24"/>
    </w:rPr>
  </w:style>
  <w:style w:type="character" w:customStyle="1" w:styleId="131">
    <w:name w:val="样式1 Char Char"/>
    <w:link w:val="102"/>
    <w:qFormat/>
    <w:uiPriority w:val="0"/>
    <w:rPr>
      <w:rFonts w:ascii="黑体" w:hAnsi="黑体" w:eastAsia="黑体"/>
      <w:b/>
      <w:bCs/>
      <w:kern w:val="2"/>
      <w:sz w:val="32"/>
      <w:szCs w:val="32"/>
      <w:lang w:bidi="ar-SA"/>
    </w:rPr>
  </w:style>
  <w:style w:type="character" w:customStyle="1" w:styleId="132">
    <w:name w:val="页脚 Char2"/>
    <w:basedOn w:val="46"/>
    <w:link w:val="28"/>
    <w:qFormat/>
    <w:uiPriority w:val="0"/>
    <w:rPr>
      <w:rFonts w:hint="eastAsia" w:ascii="宋体" w:hAnsi="宋体" w:eastAsia="宋体" w:cs="宋体"/>
      <w:kern w:val="2"/>
      <w:sz w:val="18"/>
      <w:lang w:val="en-US" w:eastAsia="zh-CN" w:bidi="ar"/>
    </w:rPr>
  </w:style>
  <w:style w:type="character" w:customStyle="1" w:styleId="133">
    <w:name w:val=" Char Char11"/>
    <w:basedOn w:val="46"/>
    <w:qFormat/>
    <w:uiPriority w:val="0"/>
    <w:rPr>
      <w:rFonts w:ascii="Arial" w:hAnsi="Arial" w:eastAsia="黑体"/>
      <w:b/>
      <w:bCs/>
      <w:kern w:val="2"/>
      <w:sz w:val="28"/>
      <w:szCs w:val="28"/>
    </w:rPr>
  </w:style>
  <w:style w:type="character" w:customStyle="1" w:styleId="134">
    <w:name w:val=" Char Char6"/>
    <w:qFormat/>
    <w:uiPriority w:val="0"/>
    <w:rPr>
      <w:rFonts w:eastAsia="方正书宋简体"/>
      <w:kern w:val="2"/>
      <w:sz w:val="24"/>
      <w:lang w:val="en-US" w:eastAsia="zh-CN" w:bidi="ar-SA"/>
    </w:rPr>
  </w:style>
  <w:style w:type="character" w:customStyle="1" w:styleId="135">
    <w:name w:val=" Char Char12"/>
    <w:basedOn w:val="46"/>
    <w:qFormat/>
    <w:uiPriority w:val="0"/>
    <w:rPr>
      <w:b/>
      <w:bCs/>
      <w:kern w:val="2"/>
      <w:sz w:val="32"/>
      <w:szCs w:val="32"/>
    </w:rPr>
  </w:style>
  <w:style w:type="character" w:customStyle="1" w:styleId="136">
    <w:name w:val="标题 2 Char"/>
    <w:link w:val="6"/>
    <w:qFormat/>
    <w:uiPriority w:val="0"/>
    <w:rPr>
      <w:rFonts w:ascii="Arial" w:hAnsi="Arial" w:eastAsia="黑体"/>
      <w:b/>
      <w:bCs/>
      <w:kern w:val="2"/>
      <w:sz w:val="32"/>
      <w:szCs w:val="32"/>
      <w:lang w:val="en-US" w:eastAsia="zh-CN" w:bidi="ar-SA"/>
    </w:rPr>
  </w:style>
  <w:style w:type="character" w:customStyle="1" w:styleId="137">
    <w:name w:val="标题 1 Char"/>
    <w:link w:val="5"/>
    <w:qFormat/>
    <w:uiPriority w:val="0"/>
    <w:rPr>
      <w:rFonts w:eastAsia="宋体"/>
      <w:b/>
      <w:bCs/>
      <w:kern w:val="44"/>
      <w:sz w:val="44"/>
      <w:szCs w:val="44"/>
      <w:lang w:val="en-US" w:eastAsia="zh-CN" w:bidi="ar-SA"/>
    </w:rPr>
  </w:style>
  <w:style w:type="character" w:customStyle="1" w:styleId="138">
    <w:name w:val="文档结构图 Char"/>
    <w:link w:val="16"/>
    <w:qFormat/>
    <w:uiPriority w:val="0"/>
    <w:rPr>
      <w:rFonts w:eastAsia="宋体"/>
      <w:kern w:val="2"/>
      <w:sz w:val="21"/>
      <w:lang w:val="en-US" w:eastAsia="zh-CN" w:bidi="ar-SA"/>
    </w:rPr>
  </w:style>
  <w:style w:type="character" w:customStyle="1" w:styleId="139">
    <w:name w:val="样式2 Char Char"/>
    <w:link w:val="112"/>
    <w:qFormat/>
    <w:uiPriority w:val="0"/>
    <w:rPr>
      <w:rFonts w:ascii="黑体" w:hAnsi="黑体" w:eastAsia="黑体"/>
      <w:bCs/>
      <w:color w:val="FF0000"/>
      <w:kern w:val="2"/>
      <w:sz w:val="28"/>
      <w:szCs w:val="32"/>
      <w:lang w:val="en-US" w:eastAsia="zh-CN" w:bidi="ar-SA"/>
    </w:rPr>
  </w:style>
  <w:style w:type="character" w:customStyle="1" w:styleId="140">
    <w:name w:val="标题 3 Char"/>
    <w:link w:val="7"/>
    <w:qFormat/>
    <w:uiPriority w:val="0"/>
    <w:rPr>
      <w:rFonts w:ascii="Arial" w:hAnsi="Arial" w:eastAsia="黑体" w:cs="Arial"/>
      <w:b/>
      <w:bCs/>
      <w:kern w:val="2"/>
      <w:sz w:val="30"/>
      <w:szCs w:val="32"/>
      <w:lang w:val="en-US" w:eastAsia="zh-CN" w:bidi="ar-SA"/>
    </w:rPr>
  </w:style>
  <w:style w:type="character" w:customStyle="1" w:styleId="141">
    <w:name w:val="正文缩进 Char"/>
    <w:link w:val="15"/>
    <w:qFormat/>
    <w:uiPriority w:val="0"/>
    <w:rPr>
      <w:rFonts w:eastAsia="宋体"/>
      <w:kern w:val="2"/>
      <w:sz w:val="21"/>
      <w:szCs w:val="24"/>
      <w:lang w:val="en-US" w:eastAsia="zh-CN" w:bidi="ar-SA"/>
    </w:rPr>
  </w:style>
  <w:style w:type="character" w:customStyle="1" w:styleId="142">
    <w:name w:val="方案－正文 Char Char"/>
    <w:link w:val="105"/>
    <w:qFormat/>
    <w:uiPriority w:val="0"/>
    <w:rPr>
      <w:rFonts w:ascii="仿宋_GB2312" w:hAnsi="宋体"/>
      <w:sz w:val="24"/>
      <w:lang w:bidi="ar-SA"/>
    </w:rPr>
  </w:style>
  <w:style w:type="character" w:customStyle="1" w:styleId="143">
    <w:name w:val="标题 1 Char Char"/>
    <w:qFormat/>
    <w:uiPriority w:val="0"/>
    <w:rPr>
      <w:rFonts w:eastAsia="宋体"/>
      <w:b/>
      <w:spacing w:val="-2"/>
      <w:sz w:val="24"/>
      <w:lang w:val="en-US" w:eastAsia="zh-CN" w:bidi="ar-SA"/>
    </w:rPr>
  </w:style>
  <w:style w:type="character" w:customStyle="1" w:styleId="144">
    <w:name w:val=" Char Char24"/>
    <w:qFormat/>
    <w:uiPriority w:val="0"/>
    <w:rPr>
      <w:rFonts w:eastAsia="宋体"/>
      <w:b/>
      <w:bCs/>
      <w:kern w:val="44"/>
      <w:sz w:val="44"/>
      <w:szCs w:val="44"/>
      <w:lang w:val="en-US" w:eastAsia="zh-CN" w:bidi="ar-SA"/>
    </w:rPr>
  </w:style>
  <w:style w:type="character" w:customStyle="1" w:styleId="145">
    <w:name w:val=" Char Char5"/>
    <w:basedOn w:val="46"/>
    <w:qFormat/>
    <w:uiPriority w:val="0"/>
    <w:rPr>
      <w:kern w:val="2"/>
      <w:sz w:val="18"/>
      <w:szCs w:val="18"/>
    </w:rPr>
  </w:style>
  <w:style w:type="character" w:customStyle="1" w:styleId="146">
    <w:name w:val="页脚 Char"/>
    <w:qFormat/>
    <w:uiPriority w:val="0"/>
    <w:rPr>
      <w:rFonts w:eastAsia="宋体"/>
      <w:kern w:val="2"/>
      <w:sz w:val="18"/>
      <w:lang w:val="en-US" w:eastAsia="zh-CN" w:bidi="ar-SA"/>
    </w:rPr>
  </w:style>
  <w:style w:type="character" w:customStyle="1" w:styleId="147">
    <w:name w:val="正文文本缩进 Char1"/>
    <w:basedOn w:val="46"/>
    <w:link w:val="19"/>
    <w:qFormat/>
    <w:uiPriority w:val="0"/>
    <w:rPr>
      <w:rFonts w:hint="eastAsia" w:ascii="方正书宋简体" w:hAnsi="方正书宋简体" w:eastAsia="方正书宋简体" w:cs="方正书宋简体"/>
      <w:kern w:val="2"/>
      <w:sz w:val="24"/>
      <w:lang w:val="en-US" w:eastAsia="zh-CN" w:bidi="ar"/>
    </w:rPr>
  </w:style>
  <w:style w:type="character" w:customStyle="1" w:styleId="148">
    <w:name w:val="标题 2 Char1"/>
    <w:qFormat/>
    <w:uiPriority w:val="0"/>
    <w:rPr>
      <w:rFonts w:ascii="Arial" w:hAnsi="Arial" w:eastAsia="黑体"/>
      <w:b/>
      <w:bCs/>
      <w:kern w:val="2"/>
      <w:sz w:val="32"/>
      <w:szCs w:val="32"/>
      <w:lang w:val="en-US" w:eastAsia="zh-CN" w:bidi="ar-SA"/>
    </w:rPr>
  </w:style>
  <w:style w:type="character" w:customStyle="1" w:styleId="149">
    <w:name w:val="页脚 Char1"/>
    <w:qFormat/>
    <w:uiPriority w:val="0"/>
    <w:rPr>
      <w:rFonts w:eastAsia="宋体"/>
      <w:kern w:val="2"/>
      <w:sz w:val="18"/>
      <w:lang w:val="en-US" w:eastAsia="zh-CN" w:bidi="ar-SA"/>
    </w:rPr>
  </w:style>
  <w:style w:type="character" w:customStyle="1" w:styleId="150">
    <w:name w:val=" Char Char14"/>
    <w:basedOn w:val="46"/>
    <w:qFormat/>
    <w:uiPriority w:val="0"/>
    <w:rPr>
      <w:b/>
      <w:bCs/>
      <w:kern w:val="44"/>
      <w:sz w:val="44"/>
      <w:szCs w:val="44"/>
    </w:rPr>
  </w:style>
  <w:style w:type="character" w:customStyle="1" w:styleId="151">
    <w:name w:val="正文首行缩进 Char"/>
    <w:link w:val="3"/>
    <w:qFormat/>
    <w:uiPriority w:val="0"/>
    <w:rPr>
      <w:rFonts w:eastAsia="宋体"/>
      <w:i/>
      <w:kern w:val="2"/>
      <w:sz w:val="21"/>
      <w:szCs w:val="24"/>
      <w:lang w:val="en-US" w:eastAsia="zh-CN" w:bidi="ar-SA"/>
    </w:rPr>
  </w:style>
  <w:style w:type="character" w:customStyle="1" w:styleId="152">
    <w:name w:val="标题 5 Char"/>
    <w:link w:val="9"/>
    <w:qFormat/>
    <w:uiPriority w:val="0"/>
    <w:rPr>
      <w:rFonts w:eastAsia="宋体"/>
      <w:b/>
      <w:bCs/>
      <w:kern w:val="2"/>
      <w:sz w:val="28"/>
      <w:szCs w:val="28"/>
      <w:lang w:val="en-US" w:eastAsia="zh-CN" w:bidi="ar-SA"/>
    </w:rPr>
  </w:style>
  <w:style w:type="character" w:customStyle="1" w:styleId="153">
    <w:name w:val="正文文本 2 Char"/>
    <w:link w:val="37"/>
    <w:qFormat/>
    <w:uiPriority w:val="0"/>
    <w:rPr>
      <w:rFonts w:eastAsia="宋体"/>
      <w:sz w:val="24"/>
      <w:szCs w:val="24"/>
      <w:lang w:bidi="ar-SA"/>
    </w:rPr>
  </w:style>
  <w:style w:type="character" w:customStyle="1" w:styleId="154">
    <w:name w:val="标题 8 Char"/>
    <w:link w:val="12"/>
    <w:qFormat/>
    <w:uiPriority w:val="0"/>
    <w:rPr>
      <w:rFonts w:ascii="Arial" w:hAnsi="Arial" w:eastAsia="黑体"/>
      <w:kern w:val="2"/>
      <w:sz w:val="24"/>
      <w:szCs w:val="24"/>
      <w:lang w:val="en-US" w:eastAsia="zh-CN" w:bidi="ar-SA"/>
    </w:rPr>
  </w:style>
  <w:style w:type="character" w:customStyle="1" w:styleId="155">
    <w:name w:val="正文文本缩进 Char"/>
    <w:basedOn w:val="46"/>
    <w:link w:val="19"/>
    <w:qFormat/>
    <w:uiPriority w:val="0"/>
    <w:rPr>
      <w:rFonts w:hint="default" w:ascii="Verdana" w:hAnsi="Verdana" w:cs="Verdana"/>
      <w:kern w:val="2"/>
      <w:sz w:val="28"/>
      <w:lang w:eastAsia="en-US" w:bidi="ar"/>
    </w:rPr>
  </w:style>
  <w:style w:type="character" w:customStyle="1" w:styleId="156">
    <w:name w:val="标题 6 Char"/>
    <w:link w:val="10"/>
    <w:qFormat/>
    <w:uiPriority w:val="0"/>
    <w:rPr>
      <w:rFonts w:ascii="Cambria" w:hAnsi="Cambria" w:eastAsia="宋体"/>
      <w:b/>
      <w:bCs/>
      <w:kern w:val="2"/>
      <w:sz w:val="24"/>
      <w:szCs w:val="24"/>
      <w:lang w:val="en-US" w:eastAsia="zh-CN" w:bidi="ar-SA"/>
    </w:rPr>
  </w:style>
  <w:style w:type="character" w:customStyle="1" w:styleId="157">
    <w:name w:val="正文文本 3 Char"/>
    <w:link w:val="18"/>
    <w:qFormat/>
    <w:uiPriority w:val="0"/>
    <w:rPr>
      <w:rFonts w:eastAsia="宋体"/>
      <w:sz w:val="16"/>
      <w:szCs w:val="16"/>
      <w:lang w:bidi="ar-SA"/>
    </w:rPr>
  </w:style>
  <w:style w:type="character" w:customStyle="1" w:styleId="158">
    <w:name w:val="apple-style-span"/>
    <w:basedOn w:val="46"/>
    <w:qFormat/>
    <w:uiPriority w:val="0"/>
  </w:style>
  <w:style w:type="character" w:customStyle="1" w:styleId="159">
    <w:name w:val="标题2正文 Char Char Char"/>
    <w:link w:val="89"/>
    <w:qFormat/>
    <w:uiPriority w:val="0"/>
    <w:rPr>
      <w:rFonts w:eastAsia="宋体"/>
      <w:sz w:val="24"/>
      <w:szCs w:val="24"/>
      <w:lang w:bidi="ar-SA"/>
    </w:rPr>
  </w:style>
  <w:style w:type="character" w:customStyle="1" w:styleId="160">
    <w:name w:val="标题 Char1"/>
    <w:basedOn w:val="46"/>
    <w:qFormat/>
    <w:uiPriority w:val="0"/>
    <w:rPr>
      <w:rFonts w:ascii="Cambria" w:hAnsi="Cambria" w:cs="Times New Roman"/>
      <w:b/>
      <w:bCs/>
      <w:kern w:val="2"/>
      <w:sz w:val="32"/>
      <w:szCs w:val="32"/>
    </w:rPr>
  </w:style>
  <w:style w:type="character" w:customStyle="1" w:styleId="161">
    <w:name w:val="hui3"/>
    <w:qFormat/>
    <w:uiPriority w:val="0"/>
    <w:rPr>
      <w:color w:val="333333"/>
    </w:rPr>
  </w:style>
  <w:style w:type="character" w:customStyle="1" w:styleId="162">
    <w:name w:val=" Char Char8"/>
    <w:basedOn w:val="46"/>
    <w:qFormat/>
    <w:uiPriority w:val="0"/>
    <w:rPr>
      <w:b/>
      <w:bCs/>
      <w:kern w:val="2"/>
      <w:sz w:val="24"/>
      <w:szCs w:val="24"/>
    </w:rPr>
  </w:style>
  <w:style w:type="character" w:customStyle="1" w:styleId="163">
    <w:name w:val=" Char Char1"/>
    <w:qFormat/>
    <w:uiPriority w:val="0"/>
    <w:rPr>
      <w:rFonts w:ascii="Arial" w:hAnsi="Arial" w:cs="Arial"/>
      <w:b/>
      <w:bCs/>
      <w:kern w:val="2"/>
      <w:sz w:val="32"/>
      <w:szCs w:val="32"/>
    </w:rPr>
  </w:style>
  <w:style w:type="character" w:customStyle="1" w:styleId="164">
    <w:name w:val="h6 Char"/>
    <w:qFormat/>
    <w:uiPriority w:val="0"/>
    <w:rPr>
      <w:rFonts w:ascii="Arial" w:hAnsi="Arial" w:eastAsia="宋体"/>
      <w:b/>
      <w:bCs/>
      <w:kern w:val="2"/>
      <w:sz w:val="24"/>
      <w:szCs w:val="24"/>
      <w:lang w:val="en-US" w:eastAsia="zh-CN" w:bidi="ar-SA"/>
    </w:rPr>
  </w:style>
  <w:style w:type="character" w:customStyle="1" w:styleId="165">
    <w:name w:val=" Char Char4"/>
    <w:basedOn w:val="46"/>
    <w:qFormat/>
    <w:uiPriority w:val="0"/>
    <w:rPr>
      <w:kern w:val="2"/>
      <w:sz w:val="18"/>
      <w:szCs w:val="18"/>
    </w:rPr>
  </w:style>
  <w:style w:type="character" w:customStyle="1" w:styleId="166">
    <w:name w:val="标题 7 Char"/>
    <w:link w:val="11"/>
    <w:qFormat/>
    <w:uiPriority w:val="0"/>
    <w:rPr>
      <w:rFonts w:eastAsia="宋体"/>
      <w:b/>
      <w:bCs/>
      <w:kern w:val="2"/>
      <w:sz w:val="24"/>
      <w:szCs w:val="24"/>
      <w:lang w:val="en-US" w:eastAsia="zh-CN" w:bidi="ar-SA"/>
    </w:rPr>
  </w:style>
  <w:style w:type="character" w:customStyle="1" w:styleId="167">
    <w:name w:val="标题 Char"/>
    <w:link w:val="41"/>
    <w:qFormat/>
    <w:uiPriority w:val="0"/>
    <w:rPr>
      <w:rFonts w:ascii="Cambria" w:hAnsi="Cambria" w:cs="Times New Roman"/>
      <w:b/>
      <w:bCs/>
      <w:kern w:val="2"/>
      <w:sz w:val="32"/>
      <w:szCs w:val="32"/>
    </w:rPr>
  </w:style>
  <w:style w:type="character" w:customStyle="1" w:styleId="168">
    <w:name w:val="哈哈正文 Char Char"/>
    <w:link w:val="84"/>
    <w:qFormat/>
    <w:uiPriority w:val="0"/>
    <w:rPr>
      <w:rFonts w:ascii="宋体" w:hAnsi="宋体" w:eastAsia="宋体" w:cs="宋体"/>
      <w:kern w:val="2"/>
      <w:sz w:val="24"/>
      <w:lang w:val="en-US" w:eastAsia="zh-CN" w:bidi="ar-SA"/>
    </w:rPr>
  </w:style>
  <w:style w:type="character" w:customStyle="1" w:styleId="169">
    <w:name w:val="正文文本缩进 2 Char"/>
    <w:link w:val="26"/>
    <w:qFormat/>
    <w:uiPriority w:val="0"/>
    <w:rPr>
      <w:rFonts w:ascii="宋体" w:eastAsia="宋体"/>
      <w:kern w:val="2"/>
      <w:sz w:val="24"/>
      <w:lang w:val="en-US" w:eastAsia="zh-CN" w:bidi="ar-SA"/>
    </w:rPr>
  </w:style>
  <w:style w:type="character" w:customStyle="1" w:styleId="170">
    <w:name w:val="样式5 Char Char"/>
    <w:link w:val="60"/>
    <w:qFormat/>
    <w:uiPriority w:val="0"/>
    <w:rPr>
      <w:rFonts w:eastAsia="宋体"/>
      <w:b/>
      <w:bCs/>
      <w:kern w:val="2"/>
      <w:sz w:val="28"/>
      <w:szCs w:val="28"/>
      <w:lang w:val="en-US" w:eastAsia="zh-CN" w:bidi="ar-SA"/>
    </w:rPr>
  </w:style>
  <w:style w:type="character" w:customStyle="1" w:styleId="171">
    <w:name w:val="标题 4 Char"/>
    <w:link w:val="8"/>
    <w:qFormat/>
    <w:uiPriority w:val="0"/>
    <w:rPr>
      <w:rFonts w:ascii="Arial" w:hAnsi="Arial" w:eastAsia="黑体"/>
      <w:b/>
      <w:bCs/>
      <w:kern w:val="2"/>
      <w:sz w:val="28"/>
      <w:szCs w:val="28"/>
      <w:lang w:val="en-US" w:eastAsia="zh-CN" w:bidi="ar-SA"/>
    </w:rPr>
  </w:style>
  <w:style w:type="character" w:customStyle="1" w:styleId="172">
    <w:name w:val="纯文本 Char"/>
    <w:link w:val="23"/>
    <w:qFormat/>
    <w:uiPriority w:val="0"/>
    <w:rPr>
      <w:rFonts w:ascii="宋体" w:hAnsi="宋体" w:eastAsia="宋体" w:cs="宋体"/>
      <w:color w:val="000000"/>
      <w:sz w:val="24"/>
      <w:szCs w:val="24"/>
      <w:lang w:val="en-US" w:eastAsia="zh-CN" w:bidi="ar-SA"/>
    </w:rPr>
  </w:style>
  <w:style w:type="character" w:customStyle="1" w:styleId="173">
    <w:name w:val="ca-8"/>
    <w:basedOn w:val="46"/>
    <w:qFormat/>
    <w:uiPriority w:val="0"/>
  </w:style>
  <w:style w:type="character" w:customStyle="1" w:styleId="174">
    <w:name w:val="font11"/>
    <w:basedOn w:val="46"/>
    <w:qFormat/>
    <w:uiPriority w:val="0"/>
    <w:rPr>
      <w:rFonts w:hint="eastAsia" w:ascii="宋体" w:hAnsi="宋体" w:eastAsia="宋体" w:cs="宋体"/>
      <w:color w:val="000000"/>
      <w:sz w:val="21"/>
      <w:szCs w:val="21"/>
      <w:u w:val="none"/>
    </w:rPr>
  </w:style>
  <w:style w:type="character" w:customStyle="1" w:styleId="175">
    <w:name w:val="font31"/>
    <w:basedOn w:val="46"/>
    <w:qFormat/>
    <w:uiPriority w:val="0"/>
    <w:rPr>
      <w:rFonts w:hint="eastAsia" w:ascii="宋体" w:hAnsi="宋体" w:eastAsia="宋体" w:cs="宋体"/>
      <w:color w:val="000000"/>
      <w:sz w:val="21"/>
      <w:szCs w:val="21"/>
      <w:u w:val="none"/>
    </w:rPr>
  </w:style>
  <w:style w:type="character" w:customStyle="1" w:styleId="176">
    <w:name w:val="font21"/>
    <w:basedOn w:val="46"/>
    <w:qFormat/>
    <w:uiPriority w:val="0"/>
    <w:rPr>
      <w:rFonts w:hint="default" w:ascii="Times New Roman" w:hAnsi="Times New Roman" w:cs="Times New Roman"/>
      <w:color w:val="000000"/>
      <w:sz w:val="21"/>
      <w:szCs w:val="21"/>
      <w:u w:val="none"/>
      <w:vertAlign w:val="superscript"/>
    </w:rPr>
  </w:style>
  <w:style w:type="character" w:customStyle="1" w:styleId="177">
    <w:name w:val="font41"/>
    <w:basedOn w:val="46"/>
    <w:qFormat/>
    <w:uiPriority w:val="0"/>
    <w:rPr>
      <w:rFonts w:hint="eastAsia" w:ascii="宋体" w:hAnsi="宋体" w:eastAsia="宋体" w:cs="宋体"/>
      <w:color w:val="000000"/>
      <w:sz w:val="21"/>
      <w:szCs w:val="21"/>
      <w:u w:val="none"/>
    </w:rPr>
  </w:style>
  <w:style w:type="character" w:customStyle="1" w:styleId="178">
    <w:name w:val="font51"/>
    <w:basedOn w:val="46"/>
    <w:qFormat/>
    <w:uiPriority w:val="0"/>
    <w:rPr>
      <w:rFonts w:hint="eastAsia" w:ascii="宋体" w:hAnsi="宋体" w:eastAsia="宋体" w:cs="宋体"/>
      <w:color w:val="000000"/>
      <w:sz w:val="21"/>
      <w:szCs w:val="21"/>
      <w:u w:val="none"/>
    </w:rPr>
  </w:style>
  <w:style w:type="character" w:customStyle="1" w:styleId="179">
    <w:name w:val="font01"/>
    <w:basedOn w:val="4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6372</Words>
  <Characters>36324</Characters>
  <Lines>302</Lines>
  <Paragraphs>85</Paragraphs>
  <TotalTime>8</TotalTime>
  <ScaleCrop>false</ScaleCrop>
  <LinksUpToDate>false</LinksUpToDate>
  <CharactersWithSpaces>42611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2018-10-30T02:41:00Z</dcterms:created>
  <dc:creator>dyp</dc:creator>
  <cp:lastModifiedBy>猴爸</cp:lastModifiedBy>
  <cp:lastPrinted>2021-03-31T04:21:00Z</cp:lastPrinted>
  <dcterms:modified xsi:type="dcterms:W3CDTF">2021-05-07T06:22:30Z</dcterms:modified>
  <dc:title>第一部分  投标方须知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F91DA9C351C74690B245C7469E4A602A</vt:lpwstr>
  </property>
</Properties>
</file>