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rPr>
      </w:pPr>
      <w:bookmarkStart w:id="269" w:name="_GoBack"/>
      <w:bookmarkEnd w:id="269"/>
      <w:r>
        <w:rPr>
          <w:rFonts w:hint="eastAsia" w:ascii="宋体" w:hAnsi="宋体" w:cs="宋体"/>
          <w:b/>
          <w:sz w:val="44"/>
          <w:szCs w:val="44"/>
        </w:rPr>
        <w:t xml:space="preserve">慈溪市环杭州湾创新中心公共空间一体化管理服务采购项目 </w:t>
      </w:r>
    </w:p>
    <w:p>
      <w:pPr>
        <w:pStyle w:val="2"/>
        <w:ind w:firstLine="480"/>
        <w:rPr>
          <w:rFonts w:hint="eastAsia" w:ascii="宋体" w:hAnsi="宋体" w:eastAsia="宋体" w:cs="宋体"/>
        </w:rPr>
      </w:pPr>
    </w:p>
    <w:p>
      <w:pPr>
        <w:pStyle w:val="2"/>
        <w:ind w:firstLine="480"/>
        <w:rPr>
          <w:rFonts w:hint="eastAsia" w:ascii="宋体" w:hAnsi="宋体" w:eastAsia="宋体" w:cs="宋体"/>
        </w:rPr>
      </w:pPr>
    </w:p>
    <w:p>
      <w:pPr>
        <w:ind w:firstLine="1446" w:firstLineChars="400"/>
        <w:rPr>
          <w:rFonts w:hint="eastAsia" w:ascii="宋体" w:hAnsi="宋体" w:cs="宋体"/>
          <w:b/>
          <w:sz w:val="36"/>
          <w:szCs w:val="36"/>
        </w:rPr>
      </w:pPr>
      <w:r>
        <w:rPr>
          <w:rFonts w:hint="eastAsia" w:ascii="宋体" w:hAnsi="宋体" w:cs="宋体"/>
          <w:b/>
          <w:sz w:val="36"/>
          <w:szCs w:val="36"/>
        </w:rPr>
        <w:t>采购编号：永敬工政采招[2020]10号</w:t>
      </w:r>
    </w:p>
    <w:p>
      <w:pPr>
        <w:rPr>
          <w:rFonts w:hint="eastAsia" w:ascii="宋体" w:hAnsi="宋体" w:cs="宋体"/>
          <w:b/>
          <w:szCs w:val="21"/>
        </w:rPr>
      </w:pPr>
    </w:p>
    <w:p>
      <w:pPr>
        <w:rPr>
          <w:rFonts w:hint="eastAsia" w:ascii="宋体" w:hAnsi="宋体" w:cs="宋体"/>
          <w:b/>
          <w:bCs/>
          <w:szCs w:val="21"/>
        </w:rPr>
      </w:pPr>
    </w:p>
    <w:p>
      <w:pPr>
        <w:pStyle w:val="2"/>
        <w:ind w:firstLine="480"/>
        <w:rPr>
          <w:rFonts w:hint="eastAsia" w:ascii="宋体" w:hAnsi="宋体" w:eastAsia="宋体" w:cs="宋体"/>
        </w:rPr>
      </w:pPr>
    </w:p>
    <w:p>
      <w:pPr>
        <w:pStyle w:val="2"/>
        <w:ind w:firstLine="480"/>
        <w:rPr>
          <w:rFonts w:hint="eastAsia" w:ascii="宋体" w:hAnsi="宋体" w:eastAsia="宋体" w:cs="宋体"/>
        </w:rPr>
      </w:pPr>
    </w:p>
    <w:p>
      <w:pPr>
        <w:jc w:val="center"/>
        <w:rPr>
          <w:rFonts w:hint="eastAsia" w:ascii="宋体" w:hAnsi="宋体" w:cs="宋体"/>
          <w:b/>
          <w:bCs/>
          <w:sz w:val="72"/>
          <w:szCs w:val="72"/>
        </w:rPr>
      </w:pPr>
      <w:r>
        <w:rPr>
          <w:rFonts w:hint="eastAsia" w:ascii="宋体" w:hAnsi="宋体" w:cs="宋体"/>
          <w:b/>
          <w:bCs/>
          <w:sz w:val="72"/>
          <w:szCs w:val="72"/>
        </w:rPr>
        <w:t>公</w:t>
      </w:r>
    </w:p>
    <w:p>
      <w:pPr>
        <w:jc w:val="center"/>
        <w:rPr>
          <w:rFonts w:hint="eastAsia" w:ascii="宋体" w:hAnsi="宋体" w:cs="宋体"/>
          <w:b/>
          <w:bCs/>
          <w:sz w:val="72"/>
          <w:szCs w:val="72"/>
        </w:rPr>
      </w:pPr>
      <w:r>
        <w:rPr>
          <w:rFonts w:hint="eastAsia" w:ascii="宋体" w:hAnsi="宋体" w:cs="宋体"/>
          <w:b/>
          <w:bCs/>
          <w:sz w:val="72"/>
          <w:szCs w:val="72"/>
        </w:rPr>
        <w:t>开</w:t>
      </w:r>
    </w:p>
    <w:p>
      <w:pPr>
        <w:jc w:val="center"/>
        <w:rPr>
          <w:rFonts w:hint="eastAsia" w:ascii="宋体" w:hAnsi="宋体" w:cs="宋体"/>
          <w:b/>
          <w:bCs/>
          <w:sz w:val="72"/>
          <w:szCs w:val="72"/>
        </w:rPr>
      </w:pPr>
      <w:r>
        <w:rPr>
          <w:rFonts w:hint="eastAsia" w:ascii="宋体" w:hAnsi="宋体" w:cs="宋体"/>
          <w:b/>
          <w:bCs/>
          <w:sz w:val="72"/>
          <w:szCs w:val="72"/>
        </w:rPr>
        <w:t>招</w:t>
      </w:r>
    </w:p>
    <w:p>
      <w:pPr>
        <w:jc w:val="center"/>
        <w:rPr>
          <w:rFonts w:hint="eastAsia" w:ascii="宋体" w:hAnsi="宋体" w:cs="宋体"/>
          <w:b/>
          <w:bCs/>
          <w:sz w:val="72"/>
          <w:szCs w:val="72"/>
        </w:rPr>
      </w:pPr>
      <w:r>
        <w:rPr>
          <w:rFonts w:hint="eastAsia" w:ascii="宋体" w:hAnsi="宋体" w:cs="宋体"/>
          <w:b/>
          <w:bCs/>
          <w:sz w:val="72"/>
          <w:szCs w:val="72"/>
        </w:rPr>
        <w:t>标</w:t>
      </w:r>
    </w:p>
    <w:p>
      <w:pPr>
        <w:jc w:val="center"/>
        <w:rPr>
          <w:rFonts w:hint="eastAsia" w:ascii="宋体" w:hAnsi="宋体" w:cs="宋体"/>
          <w:b/>
          <w:bCs/>
          <w:sz w:val="72"/>
          <w:szCs w:val="72"/>
        </w:rPr>
      </w:pPr>
      <w:r>
        <w:rPr>
          <w:rFonts w:hint="eastAsia" w:ascii="宋体" w:hAnsi="宋体" w:cs="宋体"/>
          <w:b/>
          <w:bCs/>
          <w:sz w:val="72"/>
          <w:szCs w:val="72"/>
        </w:rPr>
        <w:t>文</w:t>
      </w:r>
    </w:p>
    <w:p>
      <w:pPr>
        <w:jc w:val="center"/>
        <w:rPr>
          <w:rFonts w:hint="eastAsia" w:ascii="宋体" w:hAnsi="宋体" w:cs="宋体"/>
          <w:b/>
          <w:bCs/>
          <w:sz w:val="72"/>
          <w:szCs w:val="72"/>
        </w:rPr>
      </w:pPr>
      <w:r>
        <w:rPr>
          <w:rFonts w:hint="eastAsia" w:ascii="宋体" w:hAnsi="宋体" w:cs="宋体"/>
          <w:b/>
          <w:bCs/>
          <w:sz w:val="72"/>
          <w:szCs w:val="72"/>
        </w:rPr>
        <w:t>件</w:t>
      </w:r>
    </w:p>
    <w:p>
      <w:pPr>
        <w:pStyle w:val="2"/>
        <w:ind w:firstLine="1446"/>
        <w:rPr>
          <w:rFonts w:hint="eastAsia" w:ascii="宋体" w:hAnsi="宋体" w:eastAsia="宋体" w:cs="宋体"/>
          <w:b/>
          <w:bCs/>
          <w:sz w:val="72"/>
          <w:szCs w:val="72"/>
        </w:rPr>
      </w:pPr>
    </w:p>
    <w:p>
      <w:pPr>
        <w:pStyle w:val="2"/>
        <w:ind w:firstLine="1446"/>
        <w:rPr>
          <w:rFonts w:hint="eastAsia" w:ascii="宋体" w:hAnsi="宋体" w:eastAsia="宋体" w:cs="宋体"/>
          <w:b/>
          <w:bCs/>
          <w:sz w:val="72"/>
          <w:szCs w:val="72"/>
        </w:rPr>
      </w:pPr>
    </w:p>
    <w:p>
      <w:pPr>
        <w:adjustRightInd w:val="0"/>
        <w:snapToGrid w:val="0"/>
        <w:spacing w:line="700" w:lineRule="exact"/>
        <w:rPr>
          <w:rFonts w:hint="eastAsia" w:ascii="宋体" w:hAnsi="宋体" w:cs="宋体"/>
          <w:b/>
          <w:bCs/>
          <w:sz w:val="30"/>
          <w:szCs w:val="30"/>
        </w:rPr>
      </w:pPr>
      <w:r>
        <w:rPr>
          <w:rFonts w:hint="eastAsia" w:ascii="宋体" w:hAnsi="宋体" w:cs="宋体"/>
          <w:b/>
          <w:bCs/>
          <w:sz w:val="30"/>
          <w:szCs w:val="30"/>
        </w:rPr>
        <w:t xml:space="preserve">           招 标 人：慈溪市环杭州湾创新中心</w:t>
      </w:r>
    </w:p>
    <w:p>
      <w:pPr>
        <w:adjustRightInd w:val="0"/>
        <w:snapToGrid w:val="0"/>
        <w:spacing w:line="700" w:lineRule="exact"/>
        <w:rPr>
          <w:rFonts w:hint="eastAsia" w:ascii="宋体" w:hAnsi="宋体" w:cs="宋体"/>
          <w:b/>
          <w:bCs/>
          <w:sz w:val="30"/>
          <w:szCs w:val="30"/>
        </w:rPr>
      </w:pPr>
      <w:r>
        <w:rPr>
          <w:rFonts w:hint="eastAsia" w:ascii="宋体" w:hAnsi="宋体" w:cs="宋体"/>
          <w:b/>
          <w:bCs/>
          <w:sz w:val="30"/>
          <w:szCs w:val="30"/>
        </w:rPr>
        <w:t xml:space="preserve">           代理机构：宁波永敬工程造价咨询有限公司</w:t>
      </w:r>
    </w:p>
    <w:p>
      <w:pPr>
        <w:adjustRightInd w:val="0"/>
        <w:snapToGrid w:val="0"/>
        <w:spacing w:line="700" w:lineRule="exact"/>
        <w:ind w:firstLine="280" w:firstLineChars="93"/>
        <w:rPr>
          <w:rFonts w:hint="eastAsia" w:ascii="宋体" w:hAnsi="宋体" w:cs="宋体"/>
          <w:b/>
          <w:bCs/>
          <w:sz w:val="30"/>
          <w:szCs w:val="30"/>
        </w:rPr>
      </w:pPr>
      <w:r>
        <w:rPr>
          <w:rFonts w:hint="eastAsia" w:ascii="宋体" w:hAnsi="宋体" w:cs="宋体"/>
          <w:b/>
          <w:bCs/>
          <w:sz w:val="30"/>
          <w:szCs w:val="30"/>
        </w:rPr>
        <w:t xml:space="preserve">         编制日期：2020年4月</w:t>
      </w:r>
    </w:p>
    <w:p>
      <w:pPr>
        <w:spacing w:line="360" w:lineRule="auto"/>
        <w:jc w:val="center"/>
        <w:rPr>
          <w:rFonts w:hint="eastAsia" w:ascii="宋体" w:hAnsi="宋体" w:cs="宋体"/>
          <w:b/>
          <w:bCs/>
          <w:sz w:val="24"/>
          <w:szCs w:val="24"/>
          <w:u w:val="single"/>
        </w:rPr>
        <w:sectPr>
          <w:headerReference r:id="rId3" w:type="default"/>
          <w:footerReference r:id="rId4" w:type="even"/>
          <w:type w:val="nextColumn"/>
          <w:pgSz w:w="11906" w:h="16838"/>
          <w:pgMar w:top="1701" w:right="1418" w:bottom="1134" w:left="1418" w:header="851" w:footer="992" w:gutter="0"/>
          <w:pgNumType w:start="1"/>
          <w:cols w:space="720" w:num="1"/>
          <w:docGrid w:linePitch="312" w:charSpace="0"/>
        </w:sectPr>
      </w:pPr>
      <w:r>
        <w:rPr>
          <w:rFonts w:hint="eastAsia" w:ascii="宋体" w:hAnsi="宋体" w:cs="宋体"/>
          <w:b/>
          <w:bCs/>
          <w:sz w:val="24"/>
          <w:szCs w:val="24"/>
        </w:rPr>
        <w:t xml:space="preserve">  </w:t>
      </w:r>
    </w:p>
    <w:p>
      <w:pPr>
        <w:spacing w:line="1000" w:lineRule="exact"/>
        <w:jc w:val="center"/>
        <w:rPr>
          <w:rFonts w:hint="eastAsia" w:ascii="宋体" w:hAnsi="宋体" w:cs="宋体"/>
          <w:sz w:val="48"/>
          <w:szCs w:val="48"/>
        </w:rPr>
      </w:pPr>
      <w:r>
        <w:rPr>
          <w:rFonts w:hint="eastAsia" w:ascii="宋体" w:hAnsi="宋体" w:cs="宋体"/>
          <w:b/>
          <w:sz w:val="52"/>
          <w:szCs w:val="52"/>
        </w:rPr>
        <w:tab/>
      </w:r>
      <w:r>
        <w:rPr>
          <w:rFonts w:hint="eastAsia" w:ascii="宋体" w:hAnsi="宋体" w:cs="宋体"/>
          <w:b/>
          <w:sz w:val="48"/>
          <w:szCs w:val="48"/>
          <w:lang w:bidi="ar"/>
        </w:rPr>
        <w:t>温馨提醒</w:t>
      </w:r>
    </w:p>
    <w:p>
      <w:pPr>
        <w:spacing w:line="1000" w:lineRule="exact"/>
        <w:jc w:val="center"/>
        <w:rPr>
          <w:rFonts w:hint="eastAsia" w:ascii="宋体" w:hAnsi="宋体" w:cs="宋体"/>
          <w:sz w:val="32"/>
          <w:szCs w:val="32"/>
        </w:rPr>
      </w:pPr>
    </w:p>
    <w:p>
      <w:pPr>
        <w:spacing w:line="360" w:lineRule="auto"/>
        <w:ind w:firstLine="602" w:firstLineChars="200"/>
        <w:jc w:val="left"/>
        <w:rPr>
          <w:rFonts w:hint="eastAsia" w:ascii="宋体" w:hAnsi="宋体" w:cs="宋体"/>
          <w:b/>
          <w:sz w:val="30"/>
          <w:szCs w:val="30"/>
        </w:rPr>
      </w:pPr>
      <w:r>
        <w:rPr>
          <w:rFonts w:hint="eastAsia" w:ascii="宋体" w:hAnsi="宋体" w:cs="宋体"/>
          <w:b/>
          <w:sz w:val="30"/>
          <w:szCs w:val="30"/>
          <w:lang w:bidi="ar"/>
        </w:rPr>
        <w:t>1、采购人可以对已发出的招标文件进行必要的澄清或者修改，将以“变更公告”的形式发布在政采云平台，供应商应及时登录政采云平台，进行浏览并下载，未及时浏览下载的责任自负。</w:t>
      </w:r>
    </w:p>
    <w:p>
      <w:pPr>
        <w:spacing w:line="360" w:lineRule="auto"/>
        <w:ind w:firstLine="602" w:firstLineChars="200"/>
        <w:jc w:val="left"/>
        <w:rPr>
          <w:rFonts w:hint="eastAsia" w:ascii="宋体" w:hAnsi="宋体" w:cs="宋体"/>
          <w:b/>
          <w:sz w:val="30"/>
          <w:szCs w:val="30"/>
          <w:lang w:bidi="ar"/>
        </w:rPr>
      </w:pPr>
      <w:r>
        <w:rPr>
          <w:rFonts w:hint="eastAsia" w:ascii="宋体" w:hAnsi="宋体" w:cs="宋体"/>
          <w:b/>
          <w:sz w:val="30"/>
          <w:szCs w:val="30"/>
          <w:lang w:bidi="ar"/>
        </w:rPr>
        <w:t>2、投标人应安排“甬行码或健康码”为绿码的相关人员（原则上不超过一名）。</w:t>
      </w:r>
    </w:p>
    <w:p>
      <w:pPr>
        <w:spacing w:line="360" w:lineRule="auto"/>
        <w:ind w:firstLine="602" w:firstLineChars="200"/>
        <w:jc w:val="left"/>
        <w:rPr>
          <w:rFonts w:hint="eastAsia" w:ascii="宋体" w:hAnsi="宋体" w:cs="宋体"/>
          <w:b/>
          <w:sz w:val="30"/>
          <w:szCs w:val="30"/>
          <w:lang w:bidi="ar"/>
        </w:rPr>
      </w:pPr>
      <w:r>
        <w:rPr>
          <w:rFonts w:hint="eastAsia" w:ascii="宋体" w:hAnsi="宋体" w:cs="宋体"/>
          <w:b/>
          <w:sz w:val="30"/>
          <w:szCs w:val="30"/>
          <w:lang w:bidi="ar"/>
        </w:rPr>
        <w:t>3、疫情防控期间，请各投标单位遵守慈溪市公共资源交易中心各项防疫措施规定。</w:t>
      </w:r>
    </w:p>
    <w:p>
      <w:pPr>
        <w:spacing w:line="360" w:lineRule="auto"/>
        <w:ind w:firstLine="602" w:firstLineChars="200"/>
        <w:jc w:val="left"/>
        <w:rPr>
          <w:rFonts w:hint="eastAsia" w:ascii="宋体" w:hAnsi="宋体" w:cs="宋体"/>
          <w:b/>
          <w:sz w:val="30"/>
          <w:szCs w:val="30"/>
          <w:lang w:bidi="ar"/>
        </w:rPr>
      </w:pPr>
      <w:r>
        <w:rPr>
          <w:rFonts w:hint="eastAsia" w:ascii="宋体" w:hAnsi="宋体" w:cs="宋体"/>
          <w:b/>
          <w:sz w:val="30"/>
          <w:szCs w:val="30"/>
          <w:lang w:bidi="ar"/>
        </w:rPr>
        <w:t>4、示意图在采购公告附件处,请自行下载。</w:t>
      </w: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pStyle w:val="2"/>
        <w:ind w:firstLine="720"/>
        <w:rPr>
          <w:rFonts w:hint="eastAsia" w:ascii="宋体" w:hAnsi="宋体" w:eastAsia="宋体" w:cs="宋体"/>
          <w:sz w:val="36"/>
          <w:szCs w:val="36"/>
        </w:rPr>
      </w:pPr>
    </w:p>
    <w:p>
      <w:pPr>
        <w:rPr>
          <w:rFonts w:hint="eastAsia" w:ascii="宋体" w:hAnsi="宋体" w:cs="宋体"/>
          <w:sz w:val="36"/>
          <w:szCs w:val="36"/>
        </w:rPr>
      </w:pPr>
    </w:p>
    <w:p>
      <w:pPr>
        <w:pStyle w:val="2"/>
        <w:ind w:firstLine="480"/>
        <w:rPr>
          <w:rFonts w:hint="eastAsia" w:ascii="宋体" w:hAnsi="宋体" w:eastAsia="宋体" w:cs="宋体"/>
        </w:rPr>
      </w:pPr>
    </w:p>
    <w:p>
      <w:pPr>
        <w:pStyle w:val="4"/>
        <w:keepLines/>
        <w:spacing w:before="340" w:after="330" w:line="360" w:lineRule="auto"/>
        <w:rPr>
          <w:rFonts w:hint="eastAsia" w:ascii="宋体" w:hAnsi="宋体" w:cs="宋体"/>
          <w:sz w:val="36"/>
          <w:szCs w:val="36"/>
        </w:rPr>
        <w:sectPr>
          <w:headerReference r:id="rId5" w:type="default"/>
          <w:footerReference r:id="rId6" w:type="default"/>
          <w:type w:val="nextColumn"/>
          <w:pgSz w:w="11906" w:h="16838"/>
          <w:pgMar w:top="1134" w:right="1418" w:bottom="1134" w:left="1418" w:header="851" w:footer="992" w:gutter="0"/>
          <w:pgNumType w:start="1"/>
          <w:cols w:space="720" w:num="1"/>
          <w:docGrid w:linePitch="312" w:charSpace="0"/>
        </w:sectPr>
      </w:pPr>
    </w:p>
    <w:p>
      <w:pPr>
        <w:tabs>
          <w:tab w:val="center" w:pos="4365"/>
        </w:tabs>
        <w:spacing w:line="480" w:lineRule="auto"/>
        <w:jc w:val="center"/>
        <w:rPr>
          <w:rFonts w:hint="eastAsia" w:ascii="宋体" w:hAnsi="宋体" w:cs="宋体"/>
          <w:b/>
          <w:sz w:val="52"/>
          <w:szCs w:val="52"/>
        </w:rPr>
      </w:pPr>
      <w:r>
        <w:rPr>
          <w:rFonts w:hint="eastAsia" w:ascii="宋体" w:hAnsi="宋体" w:cs="宋体"/>
          <w:b/>
          <w:sz w:val="36"/>
          <w:szCs w:val="36"/>
        </w:rPr>
        <w:t>目    录</w:t>
      </w:r>
    </w:p>
    <w:p>
      <w:pPr>
        <w:pStyle w:val="31"/>
        <w:tabs>
          <w:tab w:val="right" w:leader="dot" w:pos="9073"/>
          <w:tab w:val="clear" w:pos="8721"/>
        </w:tabs>
        <w:rPr>
          <w:rFonts w:hint="eastAsia"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TOC \o "1-3" \h \z \u </w:instrText>
      </w:r>
      <w:r>
        <w:rPr>
          <w:rFonts w:hint="eastAsia" w:cs="宋体"/>
          <w:color w:val="auto"/>
          <w:sz w:val="21"/>
          <w:szCs w:val="21"/>
        </w:rPr>
        <w:fldChar w:fldCharType="separate"/>
      </w:r>
      <w:r>
        <w:rPr>
          <w:rFonts w:hint="eastAsia" w:cs="宋体"/>
          <w:color w:val="auto"/>
          <w:sz w:val="21"/>
          <w:szCs w:val="21"/>
        </w:rPr>
        <w:fldChar w:fldCharType="begin"/>
      </w:r>
      <w:r>
        <w:rPr>
          <w:rFonts w:hint="eastAsia" w:cs="宋体"/>
          <w:color w:val="auto"/>
          <w:sz w:val="21"/>
          <w:szCs w:val="21"/>
        </w:rPr>
        <w:instrText xml:space="preserve"> HYPERLINK \l _Toc29951 </w:instrText>
      </w:r>
      <w:r>
        <w:rPr>
          <w:rFonts w:hint="eastAsia" w:cs="宋体"/>
          <w:color w:val="auto"/>
          <w:sz w:val="21"/>
          <w:szCs w:val="21"/>
        </w:rPr>
        <w:fldChar w:fldCharType="separate"/>
      </w:r>
      <w:r>
        <w:rPr>
          <w:rFonts w:hint="eastAsia" w:cs="宋体"/>
          <w:color w:val="auto"/>
          <w:sz w:val="21"/>
          <w:szCs w:val="21"/>
        </w:rPr>
        <w:t>第一章  采购公告</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_Toc29951 </w:instrText>
      </w:r>
      <w:r>
        <w:rPr>
          <w:rFonts w:hint="eastAsia" w:cs="宋体"/>
          <w:color w:val="auto"/>
          <w:sz w:val="21"/>
          <w:szCs w:val="21"/>
        </w:rPr>
        <w:fldChar w:fldCharType="separate"/>
      </w:r>
      <w:r>
        <w:rPr>
          <w:rFonts w:hint="eastAsia" w:cs="宋体"/>
          <w:color w:val="auto"/>
          <w:sz w:val="21"/>
          <w:szCs w:val="21"/>
        </w:rPr>
        <w:t>3</w:t>
      </w:r>
      <w:r>
        <w:rPr>
          <w:rFonts w:hint="eastAsia" w:cs="宋体"/>
          <w:color w:val="auto"/>
          <w:sz w:val="21"/>
          <w:szCs w:val="21"/>
        </w:rPr>
        <w:fldChar w:fldCharType="end"/>
      </w:r>
      <w:r>
        <w:rPr>
          <w:rFonts w:hint="eastAsia" w:cs="宋体"/>
          <w:color w:val="auto"/>
          <w:sz w:val="21"/>
          <w:szCs w:val="21"/>
        </w:rPr>
        <w:fldChar w:fldCharType="end"/>
      </w:r>
    </w:p>
    <w:p>
      <w:pPr>
        <w:pStyle w:val="31"/>
        <w:tabs>
          <w:tab w:val="right" w:leader="dot" w:pos="9073"/>
          <w:tab w:val="clear" w:pos="8721"/>
        </w:tabs>
        <w:rPr>
          <w:rFonts w:hint="eastAsia"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HYPERLINK \l _Toc23064 </w:instrText>
      </w:r>
      <w:r>
        <w:rPr>
          <w:rFonts w:hint="eastAsia" w:cs="宋体"/>
          <w:color w:val="auto"/>
          <w:sz w:val="21"/>
          <w:szCs w:val="21"/>
        </w:rPr>
        <w:fldChar w:fldCharType="separate"/>
      </w:r>
      <w:r>
        <w:rPr>
          <w:rFonts w:hint="eastAsia" w:cs="宋体"/>
          <w:color w:val="auto"/>
          <w:sz w:val="21"/>
          <w:szCs w:val="21"/>
        </w:rPr>
        <w:t>第二章  投标须知</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_Toc23064 </w:instrText>
      </w:r>
      <w:r>
        <w:rPr>
          <w:rFonts w:hint="eastAsia" w:cs="宋体"/>
          <w:color w:val="auto"/>
          <w:sz w:val="21"/>
          <w:szCs w:val="21"/>
        </w:rPr>
        <w:fldChar w:fldCharType="separate"/>
      </w:r>
      <w:r>
        <w:rPr>
          <w:rFonts w:hint="eastAsia" w:cs="宋体"/>
          <w:color w:val="auto"/>
          <w:sz w:val="21"/>
          <w:szCs w:val="21"/>
        </w:rPr>
        <w:t>7</w:t>
      </w:r>
      <w:r>
        <w:rPr>
          <w:rFonts w:hint="eastAsia" w:cs="宋体"/>
          <w:color w:val="auto"/>
          <w:sz w:val="21"/>
          <w:szCs w:val="21"/>
        </w:rPr>
        <w:fldChar w:fldCharType="end"/>
      </w:r>
      <w:r>
        <w:rPr>
          <w:rFonts w:hint="eastAsia" w:cs="宋体"/>
          <w:color w:val="auto"/>
          <w:sz w:val="21"/>
          <w:szCs w:val="21"/>
        </w:rPr>
        <w:fldChar w:fldCharType="end"/>
      </w:r>
    </w:p>
    <w:p>
      <w:pPr>
        <w:pStyle w:val="31"/>
        <w:tabs>
          <w:tab w:val="right" w:leader="dot" w:pos="9073"/>
          <w:tab w:val="clear" w:pos="8721"/>
        </w:tabs>
        <w:rPr>
          <w:rFonts w:hint="eastAsia"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HYPERLINK \l _Toc15581 </w:instrText>
      </w:r>
      <w:r>
        <w:rPr>
          <w:rFonts w:hint="eastAsia" w:cs="宋体"/>
          <w:color w:val="auto"/>
          <w:sz w:val="21"/>
          <w:szCs w:val="21"/>
        </w:rPr>
        <w:fldChar w:fldCharType="separate"/>
      </w:r>
      <w:r>
        <w:rPr>
          <w:rFonts w:hint="eastAsia" w:cs="宋体"/>
          <w:color w:val="auto"/>
          <w:sz w:val="21"/>
          <w:szCs w:val="21"/>
        </w:rPr>
        <w:t>第三章  评标办法及标准</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_Toc15581 </w:instrText>
      </w:r>
      <w:r>
        <w:rPr>
          <w:rFonts w:hint="eastAsia" w:cs="宋体"/>
          <w:color w:val="auto"/>
          <w:sz w:val="21"/>
          <w:szCs w:val="21"/>
        </w:rPr>
        <w:fldChar w:fldCharType="separate"/>
      </w:r>
      <w:r>
        <w:rPr>
          <w:rFonts w:hint="eastAsia" w:cs="宋体"/>
          <w:color w:val="auto"/>
          <w:sz w:val="21"/>
          <w:szCs w:val="21"/>
        </w:rPr>
        <w:t>15</w:t>
      </w:r>
      <w:r>
        <w:rPr>
          <w:rFonts w:hint="eastAsia" w:cs="宋体"/>
          <w:color w:val="auto"/>
          <w:sz w:val="21"/>
          <w:szCs w:val="21"/>
        </w:rPr>
        <w:fldChar w:fldCharType="end"/>
      </w:r>
      <w:r>
        <w:rPr>
          <w:rFonts w:hint="eastAsia" w:cs="宋体"/>
          <w:color w:val="auto"/>
          <w:sz w:val="21"/>
          <w:szCs w:val="21"/>
        </w:rPr>
        <w:fldChar w:fldCharType="end"/>
      </w:r>
    </w:p>
    <w:p>
      <w:pPr>
        <w:pStyle w:val="31"/>
        <w:tabs>
          <w:tab w:val="right" w:leader="dot" w:pos="9073"/>
          <w:tab w:val="clear" w:pos="8721"/>
        </w:tabs>
        <w:rPr>
          <w:rFonts w:hint="eastAsia" w:cs="宋体"/>
          <w:color w:val="auto"/>
          <w:sz w:val="21"/>
          <w:szCs w:val="21"/>
          <w:lang w:eastAsia="zh-CN"/>
        </w:rPr>
      </w:pPr>
      <w:r>
        <w:rPr>
          <w:rFonts w:hint="eastAsia" w:cs="宋体"/>
          <w:color w:val="auto"/>
          <w:sz w:val="21"/>
          <w:szCs w:val="21"/>
        </w:rPr>
        <w:fldChar w:fldCharType="begin"/>
      </w:r>
      <w:r>
        <w:rPr>
          <w:rFonts w:hint="eastAsia" w:cs="宋体"/>
          <w:color w:val="auto"/>
          <w:sz w:val="21"/>
          <w:szCs w:val="21"/>
        </w:rPr>
        <w:instrText xml:space="preserve"> HYPERLINK \l _Toc16187 </w:instrText>
      </w:r>
      <w:r>
        <w:rPr>
          <w:rFonts w:hint="eastAsia" w:cs="宋体"/>
          <w:color w:val="auto"/>
          <w:sz w:val="21"/>
          <w:szCs w:val="21"/>
        </w:rPr>
        <w:fldChar w:fldCharType="separate"/>
      </w:r>
      <w:r>
        <w:rPr>
          <w:rFonts w:hint="eastAsia" w:cs="宋体"/>
          <w:color w:val="auto"/>
          <w:sz w:val="21"/>
          <w:szCs w:val="21"/>
        </w:rPr>
        <w:t>第</w:t>
      </w:r>
      <w:r>
        <w:rPr>
          <w:rFonts w:hint="eastAsia" w:cs="宋体"/>
          <w:color w:val="auto"/>
          <w:sz w:val="21"/>
          <w:szCs w:val="21"/>
          <w:lang w:eastAsia="zh-CN"/>
        </w:rPr>
        <w:t>四</w:t>
      </w:r>
      <w:r>
        <w:rPr>
          <w:rFonts w:hint="eastAsia" w:cs="宋体"/>
          <w:color w:val="auto"/>
          <w:sz w:val="21"/>
          <w:szCs w:val="21"/>
        </w:rPr>
        <w:t>章  采购合同样本</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_Toc16187 </w:instrText>
      </w:r>
      <w:r>
        <w:rPr>
          <w:rFonts w:hint="eastAsia" w:cs="宋体"/>
          <w:color w:val="auto"/>
          <w:sz w:val="21"/>
          <w:szCs w:val="21"/>
        </w:rPr>
        <w:fldChar w:fldCharType="separate"/>
      </w:r>
      <w:r>
        <w:rPr>
          <w:rFonts w:hint="eastAsia" w:cs="宋体"/>
          <w:color w:val="auto"/>
          <w:sz w:val="21"/>
          <w:szCs w:val="21"/>
        </w:rPr>
        <w:t>22</w:t>
      </w:r>
      <w:r>
        <w:rPr>
          <w:rFonts w:hint="eastAsia" w:cs="宋体"/>
          <w:color w:val="auto"/>
          <w:sz w:val="21"/>
          <w:szCs w:val="21"/>
        </w:rPr>
        <w:fldChar w:fldCharType="end"/>
      </w:r>
      <w:r>
        <w:rPr>
          <w:rFonts w:hint="eastAsia" w:cs="宋体"/>
          <w:color w:val="auto"/>
          <w:sz w:val="21"/>
          <w:szCs w:val="21"/>
        </w:rPr>
        <w:fldChar w:fldCharType="end"/>
      </w:r>
    </w:p>
    <w:p>
      <w:pPr>
        <w:pStyle w:val="31"/>
        <w:tabs>
          <w:tab w:val="right" w:leader="dot" w:pos="9073"/>
          <w:tab w:val="clear" w:pos="8721"/>
        </w:tabs>
        <w:rPr>
          <w:rFonts w:cs="宋体"/>
          <w:color w:val="auto"/>
          <w:sz w:val="21"/>
          <w:szCs w:val="21"/>
          <w:lang w:val="en-US" w:eastAsia="zh-CN"/>
        </w:rPr>
      </w:pPr>
      <w:r>
        <w:rPr>
          <w:rFonts w:hint="eastAsia" w:cs="宋体"/>
          <w:color w:val="auto"/>
          <w:sz w:val="21"/>
          <w:szCs w:val="21"/>
          <w:lang w:eastAsia="zh-CN"/>
        </w:rPr>
        <w:t xml:space="preserve">第五章 </w:t>
      </w:r>
      <w:r>
        <w:rPr>
          <w:rFonts w:hint="eastAsia" w:cs="宋体"/>
          <w:color w:val="auto"/>
          <w:sz w:val="21"/>
          <w:szCs w:val="21"/>
          <w:lang w:val="en-US" w:eastAsia="zh-CN"/>
        </w:rPr>
        <w:t xml:space="preserve"> 招标内容与服务要求</w:t>
      </w:r>
      <w:r>
        <w:rPr>
          <w:rFonts w:hint="eastAsia" w:cs="宋体"/>
          <w:color w:val="auto"/>
          <w:sz w:val="21"/>
          <w:szCs w:val="21"/>
        </w:rPr>
        <w:tab/>
      </w:r>
      <w:r>
        <w:rPr>
          <w:rFonts w:hint="eastAsia" w:cs="宋体"/>
          <w:color w:val="auto"/>
          <w:sz w:val="21"/>
          <w:szCs w:val="21"/>
          <w:lang w:val="en-US" w:eastAsia="zh-CN"/>
        </w:rPr>
        <w:t>27</w:t>
      </w:r>
    </w:p>
    <w:p>
      <w:pPr>
        <w:pStyle w:val="31"/>
        <w:tabs>
          <w:tab w:val="right" w:leader="dot" w:pos="9073"/>
          <w:tab w:val="clear" w:pos="8721"/>
        </w:tabs>
        <w:rPr>
          <w:rFonts w:cs="宋体"/>
          <w:color w:val="auto"/>
          <w:sz w:val="21"/>
          <w:szCs w:val="21"/>
          <w:lang w:val="en-US" w:eastAsia="zh-CN"/>
        </w:rPr>
      </w:pPr>
      <w:r>
        <w:rPr>
          <w:rFonts w:hint="eastAsia" w:cs="宋体"/>
          <w:color w:val="auto"/>
          <w:sz w:val="21"/>
          <w:szCs w:val="21"/>
          <w:lang w:eastAsia="zh-CN"/>
        </w:rPr>
        <w:t>第</w:t>
      </w:r>
      <w:r>
        <w:rPr>
          <w:rFonts w:hint="eastAsia" w:cs="宋体"/>
          <w:color w:val="auto"/>
          <w:sz w:val="21"/>
          <w:szCs w:val="21"/>
          <w:lang w:val="en-US" w:eastAsia="zh-CN"/>
        </w:rPr>
        <w:t>六</w:t>
      </w:r>
      <w:r>
        <w:rPr>
          <w:rFonts w:hint="eastAsia" w:cs="宋体"/>
          <w:color w:val="auto"/>
          <w:sz w:val="21"/>
          <w:szCs w:val="21"/>
          <w:lang w:eastAsia="zh-CN"/>
        </w:rPr>
        <w:t xml:space="preserve">章 </w:t>
      </w:r>
      <w:r>
        <w:rPr>
          <w:rFonts w:hint="eastAsia" w:cs="宋体"/>
          <w:color w:val="auto"/>
          <w:sz w:val="21"/>
          <w:szCs w:val="21"/>
          <w:lang w:val="en-US" w:eastAsia="zh-CN"/>
        </w:rPr>
        <w:t xml:space="preserve"> 商务条款</w:t>
      </w:r>
      <w:r>
        <w:rPr>
          <w:rFonts w:hint="eastAsia" w:cs="宋体"/>
          <w:color w:val="auto"/>
          <w:sz w:val="21"/>
          <w:szCs w:val="21"/>
        </w:rPr>
        <w:tab/>
      </w:r>
      <w:r>
        <w:rPr>
          <w:rFonts w:hint="eastAsia" w:cs="宋体"/>
          <w:color w:val="auto"/>
          <w:sz w:val="21"/>
          <w:szCs w:val="21"/>
          <w:lang w:val="en-US" w:eastAsia="zh-CN"/>
        </w:rPr>
        <w:t>70</w:t>
      </w:r>
    </w:p>
    <w:p>
      <w:pPr>
        <w:pStyle w:val="31"/>
        <w:tabs>
          <w:tab w:val="right" w:leader="dot" w:pos="9073"/>
          <w:tab w:val="clear" w:pos="8721"/>
        </w:tabs>
        <w:rPr>
          <w:rFonts w:cs="宋体"/>
          <w:color w:val="auto"/>
          <w:sz w:val="21"/>
          <w:szCs w:val="21"/>
          <w:lang w:val="en-US" w:eastAsia="zh-CN"/>
        </w:rPr>
      </w:pPr>
      <w:r>
        <w:rPr>
          <w:rFonts w:hint="eastAsia" w:cs="宋体"/>
          <w:color w:val="auto"/>
          <w:sz w:val="21"/>
          <w:szCs w:val="21"/>
        </w:rPr>
        <w:fldChar w:fldCharType="begin"/>
      </w:r>
      <w:r>
        <w:rPr>
          <w:rFonts w:hint="eastAsia" w:cs="宋体"/>
          <w:color w:val="auto"/>
          <w:sz w:val="21"/>
          <w:szCs w:val="21"/>
        </w:rPr>
        <w:instrText xml:space="preserve"> HYPERLINK \l _Toc5926 </w:instrText>
      </w:r>
      <w:r>
        <w:rPr>
          <w:rFonts w:hint="eastAsia" w:cs="宋体"/>
          <w:color w:val="auto"/>
          <w:sz w:val="21"/>
          <w:szCs w:val="21"/>
        </w:rPr>
        <w:fldChar w:fldCharType="separate"/>
      </w:r>
      <w:r>
        <w:rPr>
          <w:rFonts w:hint="eastAsia" w:cs="宋体"/>
          <w:color w:val="auto"/>
          <w:sz w:val="21"/>
          <w:szCs w:val="21"/>
        </w:rPr>
        <w:t>第</w:t>
      </w:r>
      <w:r>
        <w:rPr>
          <w:rFonts w:hint="eastAsia" w:cs="宋体"/>
          <w:color w:val="auto"/>
          <w:sz w:val="21"/>
          <w:szCs w:val="21"/>
          <w:lang w:val="en-US" w:eastAsia="zh-CN"/>
        </w:rPr>
        <w:t>七</w:t>
      </w:r>
      <w:r>
        <w:rPr>
          <w:rFonts w:hint="eastAsia" w:cs="宋体"/>
          <w:color w:val="auto"/>
          <w:sz w:val="21"/>
          <w:szCs w:val="21"/>
        </w:rPr>
        <w:t>章  附件</w:t>
      </w:r>
      <w:r>
        <w:rPr>
          <w:rFonts w:hint="eastAsia" w:cs="宋体"/>
          <w:color w:val="auto"/>
          <w:sz w:val="21"/>
          <w:szCs w:val="21"/>
        </w:rPr>
        <w:tab/>
      </w:r>
      <w:r>
        <w:rPr>
          <w:rFonts w:hint="eastAsia" w:cs="宋体"/>
          <w:color w:val="auto"/>
          <w:sz w:val="21"/>
          <w:szCs w:val="21"/>
        </w:rPr>
        <w:fldChar w:fldCharType="end"/>
      </w:r>
      <w:r>
        <w:rPr>
          <w:rFonts w:hint="eastAsia" w:cs="宋体"/>
          <w:color w:val="auto"/>
          <w:sz w:val="21"/>
          <w:szCs w:val="21"/>
          <w:lang w:val="en-US" w:eastAsia="zh-CN"/>
        </w:rPr>
        <w:t>71</w:t>
      </w:r>
    </w:p>
    <w:p>
      <w:pPr>
        <w:spacing w:line="480" w:lineRule="auto"/>
        <w:jc w:val="center"/>
        <w:rPr>
          <w:rFonts w:hint="eastAsia" w:ascii="宋体" w:hAnsi="宋体" w:cs="宋体"/>
          <w:b/>
          <w:szCs w:val="21"/>
        </w:rPr>
      </w:pPr>
      <w:r>
        <w:rPr>
          <w:rFonts w:hint="eastAsia" w:ascii="宋体" w:hAnsi="宋体" w:cs="宋体"/>
          <w:szCs w:val="21"/>
        </w:rPr>
        <w:fldChar w:fldCharType="end"/>
      </w:r>
    </w:p>
    <w:p>
      <w:pPr>
        <w:spacing w:line="400" w:lineRule="exact"/>
        <w:jc w:val="center"/>
        <w:rPr>
          <w:rFonts w:hint="eastAsia" w:ascii="宋体" w:hAnsi="宋体" w:cs="宋体"/>
          <w:b/>
          <w:szCs w:val="21"/>
        </w:rPr>
        <w:sectPr>
          <w:headerReference r:id="rId7" w:type="default"/>
          <w:footerReference r:id="rId8" w:type="default"/>
          <w:type w:val="nextColumn"/>
          <w:pgSz w:w="11907" w:h="16840"/>
          <w:pgMar w:top="1134" w:right="1417" w:bottom="1134" w:left="1417" w:header="569" w:footer="697" w:gutter="0"/>
          <w:cols w:space="720" w:num="1"/>
          <w:docGrid w:linePitch="285" w:charSpace="0"/>
        </w:sectPr>
      </w:pPr>
    </w:p>
    <w:p>
      <w:pPr>
        <w:pStyle w:val="4"/>
        <w:keepLines/>
        <w:spacing w:before="340" w:after="330" w:line="360" w:lineRule="auto"/>
        <w:rPr>
          <w:rFonts w:hint="eastAsia" w:ascii="宋体" w:hAnsi="宋体" w:cs="宋体"/>
          <w:sz w:val="36"/>
          <w:szCs w:val="36"/>
        </w:rPr>
      </w:pPr>
      <w:bookmarkStart w:id="0" w:name="_Toc29951"/>
      <w:r>
        <w:rPr>
          <w:rFonts w:hint="eastAsia" w:ascii="宋体" w:hAnsi="宋体" w:cs="宋体"/>
          <w:sz w:val="36"/>
          <w:szCs w:val="36"/>
        </w:rPr>
        <w:t>第一章  采购公告</w:t>
      </w:r>
      <w:bookmarkEnd w:id="0"/>
    </w:p>
    <w:p>
      <w:pPr>
        <w:spacing w:line="380" w:lineRule="exact"/>
        <w:ind w:firstLine="420" w:firstLineChars="200"/>
        <w:rPr>
          <w:rFonts w:hint="eastAsia" w:ascii="宋体" w:hAnsi="宋体" w:cs="宋体"/>
          <w:szCs w:val="21"/>
        </w:rPr>
      </w:pPr>
      <w:r>
        <w:rPr>
          <w:rFonts w:hint="eastAsia" w:ascii="宋体" w:hAnsi="宋体" w:cs="宋体"/>
          <w:szCs w:val="21"/>
        </w:rPr>
        <w:t>根据</w:t>
      </w:r>
      <w:r>
        <w:rPr>
          <w:rFonts w:hint="eastAsia" w:ascii="宋体" w:hAnsi="宋体" w:cs="宋体"/>
          <w:szCs w:val="21"/>
          <w:lang w:val="zh-CN"/>
        </w:rPr>
        <w:t>《中华人民共和国政府采购法》、《中华人民共和国政府采购法实施条例》、《政府采购货物和服务招标投标管理办法》（</w:t>
      </w:r>
      <w:r>
        <w:rPr>
          <w:rFonts w:hint="eastAsia" w:ascii="宋体" w:hAnsi="宋体" w:cs="宋体"/>
          <w:szCs w:val="21"/>
        </w:rPr>
        <w:t>财政部令第87号</w:t>
      </w:r>
      <w:r>
        <w:rPr>
          <w:rFonts w:hint="eastAsia" w:ascii="宋体" w:hAnsi="宋体" w:cs="宋体"/>
          <w:szCs w:val="21"/>
          <w:lang w:val="zh-CN"/>
        </w:rPr>
        <w:t>）</w:t>
      </w:r>
      <w:r>
        <w:rPr>
          <w:rFonts w:hint="eastAsia" w:ascii="宋体" w:hAnsi="宋体" w:cs="宋体"/>
          <w:szCs w:val="21"/>
        </w:rPr>
        <w:t>等有关法律规定，宁波永敬工程造价咨询有限公司受</w:t>
      </w:r>
      <w:r>
        <w:rPr>
          <w:rFonts w:hint="eastAsia" w:ascii="宋体" w:hAnsi="宋体" w:cs="宋体"/>
          <w:szCs w:val="21"/>
          <w:u w:val="single"/>
        </w:rPr>
        <w:t>慈溪市环杭州湾创新中心</w:t>
      </w:r>
      <w:r>
        <w:rPr>
          <w:rFonts w:hint="eastAsia" w:ascii="宋体" w:hAnsi="宋体" w:cs="宋体"/>
          <w:szCs w:val="21"/>
        </w:rPr>
        <w:t>的委托，就</w:t>
      </w:r>
      <w:r>
        <w:rPr>
          <w:rFonts w:hint="eastAsia" w:ascii="宋体" w:hAnsi="宋体" w:cs="宋体"/>
          <w:szCs w:val="21"/>
          <w:u w:val="single"/>
        </w:rPr>
        <w:t>慈溪市环杭州湾创新中心公共空间一体化管理服务采购项目</w:t>
      </w:r>
      <w:r>
        <w:rPr>
          <w:rFonts w:hint="eastAsia" w:ascii="宋体" w:hAnsi="宋体" w:cs="宋体"/>
          <w:szCs w:val="21"/>
        </w:rPr>
        <w:t>进行公开招标，欢迎符合要求的供应商前来投标。</w:t>
      </w:r>
    </w:p>
    <w:p>
      <w:pPr>
        <w:spacing w:line="380" w:lineRule="exact"/>
        <w:rPr>
          <w:rFonts w:hint="eastAsia" w:ascii="宋体" w:hAnsi="宋体" w:cs="宋体"/>
          <w:b/>
          <w:bCs/>
          <w:szCs w:val="21"/>
        </w:rPr>
      </w:pPr>
      <w:r>
        <w:rPr>
          <w:rFonts w:hint="eastAsia" w:ascii="宋体" w:hAnsi="宋体" w:cs="宋体"/>
          <w:b/>
          <w:bCs/>
          <w:szCs w:val="21"/>
        </w:rPr>
        <w:t>一、采购编号：永敬工政采招[2020]10号</w:t>
      </w:r>
    </w:p>
    <w:p>
      <w:pPr>
        <w:spacing w:line="380" w:lineRule="exact"/>
        <w:rPr>
          <w:rFonts w:hint="eastAsia" w:ascii="宋体" w:hAnsi="宋体" w:cs="宋体"/>
          <w:b/>
          <w:bCs/>
          <w:szCs w:val="21"/>
        </w:rPr>
      </w:pPr>
      <w:r>
        <w:rPr>
          <w:rFonts w:hint="eastAsia" w:ascii="宋体" w:hAnsi="宋体" w:cs="宋体"/>
          <w:b/>
          <w:bCs/>
          <w:szCs w:val="21"/>
        </w:rPr>
        <w:t>二、项目名称：慈溪市环杭州湾创新中心公共空间一体化管理服务采购项目</w:t>
      </w:r>
    </w:p>
    <w:p>
      <w:pPr>
        <w:spacing w:line="380" w:lineRule="exact"/>
        <w:rPr>
          <w:rFonts w:hint="eastAsia" w:ascii="宋体" w:hAnsi="宋体" w:cs="宋体"/>
          <w:b/>
          <w:bCs/>
          <w:szCs w:val="21"/>
        </w:rPr>
      </w:pPr>
      <w:r>
        <w:rPr>
          <w:rFonts w:hint="eastAsia" w:ascii="宋体" w:hAnsi="宋体" w:cs="宋体"/>
          <w:b/>
          <w:bCs/>
          <w:szCs w:val="21"/>
        </w:rPr>
        <w:t>三、采购方式：公开招标</w:t>
      </w:r>
    </w:p>
    <w:p>
      <w:pPr>
        <w:spacing w:line="380" w:lineRule="exact"/>
        <w:rPr>
          <w:rFonts w:ascii="宋体" w:hAnsi="宋体" w:cs="宋体"/>
          <w:b/>
          <w:bCs/>
          <w:szCs w:val="21"/>
        </w:rPr>
      </w:pPr>
      <w:r>
        <w:rPr>
          <w:rFonts w:hint="eastAsia" w:ascii="宋体" w:hAnsi="宋体" w:cs="宋体"/>
          <w:b/>
          <w:bCs/>
          <w:szCs w:val="21"/>
        </w:rPr>
        <w:t>四、招标内容</w:t>
      </w:r>
    </w:p>
    <w:tbl>
      <w:tblPr>
        <w:tblStyle w:val="44"/>
        <w:tblW w:w="10068"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2234"/>
        <w:gridCol w:w="2728"/>
        <w:gridCol w:w="2675"/>
        <w:gridCol w:w="17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exact"/>
        </w:trPr>
        <w:tc>
          <w:tcPr>
            <w:tcW w:w="709" w:type="dxa"/>
            <w:shd w:val="clear" w:color="000000" w:fill="auto"/>
            <w:noWrap w:val="0"/>
            <w:vAlign w:val="center"/>
          </w:tcPr>
          <w:p>
            <w:pPr>
              <w:rPr>
                <w:rFonts w:hint="eastAsia"/>
              </w:rPr>
            </w:pPr>
            <w:r>
              <w:rPr>
                <w:rFonts w:hint="eastAsia"/>
              </w:rPr>
              <w:t>序号</w:t>
            </w:r>
          </w:p>
        </w:tc>
        <w:tc>
          <w:tcPr>
            <w:tcW w:w="2234" w:type="dxa"/>
            <w:shd w:val="clear" w:color="000000" w:fill="auto"/>
            <w:noWrap w:val="0"/>
            <w:vAlign w:val="center"/>
          </w:tcPr>
          <w:p>
            <w:pPr>
              <w:ind w:left="420"/>
            </w:pPr>
            <w:r>
              <w:rPr>
                <w:rFonts w:hint="eastAsia"/>
              </w:rPr>
              <w:t>项目名称</w:t>
            </w:r>
          </w:p>
        </w:tc>
        <w:tc>
          <w:tcPr>
            <w:tcW w:w="2728" w:type="dxa"/>
            <w:shd w:val="clear" w:color="000000" w:fill="auto"/>
            <w:noWrap w:val="0"/>
            <w:vAlign w:val="center"/>
          </w:tcPr>
          <w:p>
            <w:pPr>
              <w:ind w:left="420"/>
              <w:rPr>
                <w:rFonts w:hint="eastAsia"/>
              </w:rPr>
            </w:pPr>
            <w:r>
              <w:rPr>
                <w:rFonts w:hint="eastAsia"/>
              </w:rPr>
              <w:t>服务要求</w:t>
            </w:r>
          </w:p>
        </w:tc>
        <w:tc>
          <w:tcPr>
            <w:tcW w:w="2675" w:type="dxa"/>
            <w:shd w:val="clear" w:color="000000" w:fill="auto"/>
            <w:noWrap w:val="0"/>
            <w:vAlign w:val="center"/>
          </w:tcPr>
          <w:p>
            <w:pPr>
              <w:ind w:left="420"/>
              <w:rPr>
                <w:rFonts w:hint="eastAsia"/>
              </w:rPr>
            </w:pPr>
            <w:r>
              <w:rPr>
                <w:rFonts w:hint="eastAsia"/>
              </w:rPr>
              <w:t>服务期限</w:t>
            </w:r>
          </w:p>
        </w:tc>
        <w:tc>
          <w:tcPr>
            <w:tcW w:w="1722" w:type="dxa"/>
            <w:shd w:val="clear" w:color="000000" w:fill="auto"/>
            <w:noWrap w:val="0"/>
            <w:vAlign w:val="center"/>
          </w:tcPr>
          <w:p>
            <w:pPr>
              <w:jc w:val="center"/>
              <w:rPr>
                <w:rFonts w:hint="eastAsia"/>
              </w:rPr>
            </w:pPr>
            <w:r>
              <w:rPr>
                <w:rFonts w:hint="eastAsia"/>
              </w:rPr>
              <w:t>采购预算价（最高限价）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2" w:hRule="exact"/>
        </w:trPr>
        <w:tc>
          <w:tcPr>
            <w:tcW w:w="709" w:type="dxa"/>
            <w:noWrap w:val="0"/>
            <w:vAlign w:val="center"/>
          </w:tcPr>
          <w:p>
            <w:pPr>
              <w:jc w:val="center"/>
              <w:rPr>
                <w:rFonts w:hint="eastAsia"/>
              </w:rPr>
            </w:pPr>
            <w:r>
              <w:rPr>
                <w:rFonts w:hint="eastAsia"/>
              </w:rPr>
              <w:t>1</w:t>
            </w:r>
          </w:p>
        </w:tc>
        <w:tc>
          <w:tcPr>
            <w:tcW w:w="2234" w:type="dxa"/>
            <w:noWrap w:val="0"/>
            <w:vAlign w:val="center"/>
          </w:tcPr>
          <w:p>
            <w:pPr>
              <w:spacing w:line="320" w:lineRule="exact"/>
              <w:rPr>
                <w:rFonts w:hint="eastAsia"/>
              </w:rPr>
            </w:pPr>
            <w:r>
              <w:rPr>
                <w:rFonts w:hint="eastAsia"/>
                <w:szCs w:val="22"/>
              </w:rPr>
              <w:t>慈溪市环杭州湾创新中心公共空间一体化管理服务采购项目</w:t>
            </w:r>
          </w:p>
        </w:tc>
        <w:tc>
          <w:tcPr>
            <w:tcW w:w="2728" w:type="dxa"/>
            <w:noWrap w:val="0"/>
            <w:vAlign w:val="center"/>
          </w:tcPr>
          <w:p>
            <w:pPr>
              <w:spacing w:line="320" w:lineRule="exact"/>
              <w:ind w:right="50" w:rightChars="24"/>
              <w:jc w:val="left"/>
              <w:rPr>
                <w:rFonts w:hint="eastAsia"/>
              </w:rPr>
            </w:pPr>
            <w:r>
              <w:rPr>
                <w:rFonts w:hint="eastAsia" w:ascii="宋体" w:hAnsi="宋体" w:cs="仿宋_GB2312"/>
                <w:szCs w:val="21"/>
              </w:rPr>
              <w:t>慈溪市环杭州湾创新中心城市公共空间一体化管理服务，含环境保洁、公共安全维护、设备设施维护及绿化养护等</w:t>
            </w:r>
            <w:r>
              <w:rPr>
                <w:rFonts w:hint="eastAsia" w:ascii="宋体" w:hAnsi="宋体" w:cs="宋体"/>
                <w:szCs w:val="21"/>
              </w:rPr>
              <w:t>，具体采购内容详见采购需求。</w:t>
            </w:r>
          </w:p>
        </w:tc>
        <w:tc>
          <w:tcPr>
            <w:tcW w:w="2675" w:type="dxa"/>
            <w:noWrap w:val="0"/>
            <w:vAlign w:val="center"/>
          </w:tcPr>
          <w:p>
            <w:pPr>
              <w:spacing w:line="320" w:lineRule="exact"/>
              <w:rPr>
                <w:rFonts w:hint="eastAsia"/>
              </w:rPr>
            </w:pPr>
            <w:r>
              <w:rPr>
                <w:rFonts w:hint="eastAsia"/>
              </w:rPr>
              <w:t>本服务项目1年。服务期满经采购人考核合格并达到续签条件后，下一年度合同经费符合政府采购预算安排要求，申报政府采购计划并批准，双方同意后，可续签下一年度的合同，最多可续签2年。</w:t>
            </w:r>
          </w:p>
        </w:tc>
        <w:tc>
          <w:tcPr>
            <w:tcW w:w="1722" w:type="dxa"/>
            <w:noWrap w:val="0"/>
            <w:vAlign w:val="center"/>
          </w:tcPr>
          <w:p>
            <w:pPr>
              <w:jc w:val="center"/>
              <w:rPr>
                <w:rFonts w:hint="eastAsia"/>
              </w:rPr>
            </w:pPr>
            <w:r>
              <w:rPr>
                <w:rFonts w:hint="eastAsia"/>
              </w:rPr>
              <w:t>1200万元/年</w:t>
            </w:r>
          </w:p>
        </w:tc>
      </w:tr>
    </w:tbl>
    <w:p>
      <w:pPr>
        <w:spacing w:line="380" w:lineRule="exact"/>
        <w:rPr>
          <w:rFonts w:hint="eastAsia" w:ascii="宋体" w:hAnsi="宋体" w:cs="宋体"/>
          <w:b/>
          <w:bCs/>
          <w:szCs w:val="21"/>
        </w:rPr>
      </w:pPr>
      <w:r>
        <w:rPr>
          <w:rFonts w:hint="eastAsia" w:ascii="宋体" w:hAnsi="宋体" w:cs="宋体"/>
          <w:b/>
          <w:bCs/>
          <w:szCs w:val="21"/>
        </w:rPr>
        <w:t>五、供应商资格要求：</w:t>
      </w:r>
    </w:p>
    <w:p>
      <w:pPr>
        <w:spacing w:line="380" w:lineRule="exact"/>
        <w:ind w:firstLine="420" w:firstLineChars="200"/>
        <w:rPr>
          <w:rFonts w:hint="eastAsia" w:ascii="宋体" w:hAnsi="宋体" w:cs="宋体"/>
          <w:szCs w:val="21"/>
        </w:rPr>
      </w:pPr>
      <w:r>
        <w:rPr>
          <w:rFonts w:hint="eastAsia" w:ascii="宋体" w:hAnsi="宋体" w:cs="宋体"/>
          <w:szCs w:val="21"/>
        </w:rPr>
        <w:t>1、符合《中华人民共和国政府采购法》第二十二条规定：</w:t>
      </w:r>
    </w:p>
    <w:p>
      <w:pPr>
        <w:spacing w:line="380" w:lineRule="exact"/>
        <w:ind w:firstLine="420" w:firstLineChars="200"/>
        <w:rPr>
          <w:rFonts w:hint="eastAsia" w:ascii="宋体" w:hAnsi="宋体" w:cs="宋体"/>
          <w:szCs w:val="21"/>
        </w:rPr>
      </w:pPr>
      <w:r>
        <w:rPr>
          <w:rFonts w:hint="eastAsia" w:ascii="宋体" w:hAnsi="宋体" w:cs="宋体"/>
          <w:szCs w:val="21"/>
        </w:rPr>
        <w:t>（1）具有独立承担民事责任的能力；</w:t>
      </w:r>
    </w:p>
    <w:p>
      <w:pPr>
        <w:spacing w:line="380" w:lineRule="exact"/>
        <w:ind w:firstLine="420" w:firstLineChars="200"/>
        <w:rPr>
          <w:rFonts w:hint="eastAsia" w:ascii="宋体" w:hAnsi="宋体" w:cs="宋体"/>
          <w:szCs w:val="21"/>
        </w:rPr>
      </w:pPr>
      <w:r>
        <w:rPr>
          <w:rFonts w:hint="eastAsia" w:ascii="宋体" w:hAnsi="宋体" w:cs="宋体"/>
          <w:szCs w:val="21"/>
        </w:rPr>
        <w:t>（2）具有良好的商业信誉和健全的财务会计制度；</w:t>
      </w:r>
    </w:p>
    <w:p>
      <w:pPr>
        <w:spacing w:line="380" w:lineRule="exact"/>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pPr>
        <w:spacing w:line="380" w:lineRule="exact"/>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pPr>
        <w:spacing w:line="380" w:lineRule="exact"/>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pPr>
        <w:spacing w:line="380" w:lineRule="exact"/>
        <w:ind w:firstLine="420" w:firstLineChars="200"/>
        <w:rPr>
          <w:rFonts w:hint="eastAsia" w:ascii="宋体" w:hAnsi="宋体" w:cs="宋体"/>
          <w:szCs w:val="21"/>
        </w:rPr>
      </w:pPr>
      <w:r>
        <w:rPr>
          <w:rFonts w:hint="eastAsia" w:ascii="宋体" w:hAnsi="宋体" w:cs="宋体"/>
          <w:szCs w:val="21"/>
        </w:rPr>
        <w:t>（6）法律、行政法规规定的其他条件。</w:t>
      </w:r>
    </w:p>
    <w:p>
      <w:pPr>
        <w:spacing w:line="380" w:lineRule="exact"/>
        <w:ind w:firstLine="420" w:firstLineChars="200"/>
        <w:rPr>
          <w:rFonts w:hint="eastAsia" w:ascii="宋体" w:hAnsi="宋体" w:cs="宋体"/>
          <w:szCs w:val="21"/>
        </w:rPr>
      </w:pPr>
      <w:r>
        <w:rPr>
          <w:rFonts w:hint="eastAsia" w:ascii="宋体" w:hAnsi="宋体" w:cs="宋体"/>
          <w:szCs w:val="21"/>
        </w:rPr>
        <w:t>2、供应商未被信用中国网站（</w:t>
      </w:r>
      <w:r>
        <w:rPr>
          <w:rFonts w:hint="eastAsia" w:ascii="宋体" w:hAnsi="宋体" w:cs="宋体"/>
          <w:sz w:val="24"/>
          <w:szCs w:val="24"/>
        </w:rPr>
        <w:fldChar w:fldCharType="begin"/>
      </w:r>
      <w:r>
        <w:rPr>
          <w:rFonts w:hint="eastAsia" w:ascii="宋体" w:hAnsi="宋体" w:cs="宋体"/>
          <w:sz w:val="24"/>
          <w:szCs w:val="24"/>
        </w:rPr>
        <w:instrText xml:space="preserve"> HYPERLINK "http://www.creditchina.gov.cn/" </w:instrText>
      </w:r>
      <w:r>
        <w:rPr>
          <w:rFonts w:hint="eastAsia" w:ascii="宋体" w:hAnsi="宋体" w:cs="宋体"/>
          <w:sz w:val="24"/>
          <w:szCs w:val="24"/>
        </w:rPr>
        <w:fldChar w:fldCharType="separate"/>
      </w:r>
      <w:r>
        <w:rPr>
          <w:rStyle w:val="51"/>
          <w:rFonts w:hint="eastAsia" w:ascii="宋体" w:hAnsi="宋体" w:cs="宋体"/>
          <w:color w:val="auto"/>
          <w:szCs w:val="21"/>
        </w:rPr>
        <w:t>www.creditchina.gov.cn</w:t>
      </w:r>
      <w:r>
        <w:rPr>
          <w:rFonts w:hint="eastAsia" w:ascii="宋体" w:hAnsi="宋体" w:cs="宋体"/>
          <w:sz w:val="24"/>
          <w:szCs w:val="24"/>
        </w:rPr>
        <w:fldChar w:fldCharType="end"/>
      </w:r>
      <w:r>
        <w:rPr>
          <w:rFonts w:hint="eastAsia" w:ascii="宋体" w:hAnsi="宋体" w:cs="宋体"/>
          <w:szCs w:val="21"/>
        </w:rPr>
        <w:t>）列入失信被执行人、重大税收违法案件当事人名单，未被中国政府采购网（www.ccgp.gov.cn）列入政府采购严重违法失信行为记录名单。</w:t>
      </w:r>
    </w:p>
    <w:p>
      <w:pPr>
        <w:spacing w:line="380" w:lineRule="exact"/>
        <w:ind w:firstLine="420" w:firstLineChars="200"/>
        <w:rPr>
          <w:rFonts w:hint="eastAsia" w:ascii="宋体" w:hAnsi="宋体" w:cs="宋体"/>
          <w:szCs w:val="21"/>
        </w:rPr>
      </w:pPr>
      <w:r>
        <w:rPr>
          <w:rFonts w:hint="eastAsia" w:ascii="宋体" w:hAnsi="宋体" w:cs="宋体"/>
          <w:szCs w:val="21"/>
        </w:rPr>
        <w:t>3、本项目不接受联合体投标。</w:t>
      </w:r>
    </w:p>
    <w:p>
      <w:pPr>
        <w:spacing w:line="380" w:lineRule="exact"/>
        <w:rPr>
          <w:rFonts w:hint="eastAsia" w:ascii="宋体" w:hAnsi="宋体" w:cs="宋体"/>
          <w:b/>
          <w:bCs/>
          <w:szCs w:val="21"/>
        </w:rPr>
      </w:pPr>
      <w:r>
        <w:rPr>
          <w:rFonts w:hint="eastAsia" w:ascii="宋体" w:hAnsi="宋体" w:cs="宋体"/>
          <w:b/>
          <w:bCs/>
          <w:szCs w:val="21"/>
        </w:rPr>
        <w:t>六、招标文件的获取：</w:t>
      </w:r>
    </w:p>
    <w:p>
      <w:pPr>
        <w:wordWrap w:val="0"/>
        <w:spacing w:line="380" w:lineRule="exact"/>
        <w:ind w:firstLine="420" w:firstLineChars="200"/>
        <w:rPr>
          <w:rFonts w:hint="eastAsia" w:ascii="宋体" w:hAnsi="宋体" w:cs="宋体"/>
          <w:szCs w:val="21"/>
        </w:rPr>
      </w:pPr>
      <w:r>
        <w:rPr>
          <w:rFonts w:hint="eastAsia" w:ascii="宋体" w:hAnsi="宋体" w:cs="宋体"/>
          <w:szCs w:val="21"/>
        </w:rPr>
        <w:t>1、潜在供应商应当在政采云平台（网址：</w:t>
      </w:r>
      <w:r>
        <w:rPr>
          <w:rFonts w:hint="eastAsia" w:ascii="宋体" w:hAnsi="宋体" w:cs="宋体"/>
          <w:szCs w:val="21"/>
        </w:rPr>
        <w:fldChar w:fldCharType="begin"/>
      </w:r>
      <w:r>
        <w:rPr>
          <w:rFonts w:hint="eastAsia" w:ascii="宋体" w:hAnsi="宋体" w:cs="宋体"/>
          <w:szCs w:val="21"/>
        </w:rPr>
        <w:instrText xml:space="preserve"> HYPERLINK "http://www.zcygov.cn/" </w:instrText>
      </w:r>
      <w:r>
        <w:rPr>
          <w:rFonts w:hint="eastAsia" w:ascii="宋体" w:hAnsi="宋体" w:cs="宋体"/>
          <w:szCs w:val="21"/>
        </w:rPr>
        <w:fldChar w:fldCharType="separate"/>
      </w:r>
      <w:r>
        <w:rPr>
          <w:rFonts w:hint="eastAsia" w:ascii="宋体" w:hAnsi="宋体" w:cs="宋体"/>
          <w:szCs w:val="21"/>
        </w:rPr>
        <w:t>http://www.zcygov.cn/</w:t>
      </w:r>
      <w:r>
        <w:rPr>
          <w:rFonts w:hint="eastAsia" w:ascii="宋体" w:hAnsi="宋体" w:cs="宋体"/>
          <w:szCs w:val="21"/>
        </w:rPr>
        <w:fldChar w:fldCharType="end"/>
      </w:r>
      <w:r>
        <w:rPr>
          <w:rFonts w:hint="eastAsia" w:ascii="宋体" w:hAnsi="宋体" w:cs="宋体"/>
          <w:szCs w:val="21"/>
        </w:rPr>
        <w:t>）上注册账号并登录后获取采购文件，否则，采购代理机构将拒绝接收供应商的投标文件。供应商网上报名操作指南：</w:t>
      </w:r>
      <w:r>
        <w:rPr>
          <w:rFonts w:hint="eastAsia" w:ascii="宋体" w:hAnsi="宋体" w:cs="宋体"/>
          <w:szCs w:val="21"/>
        </w:rPr>
        <w:fldChar w:fldCharType="begin"/>
      </w:r>
      <w:r>
        <w:rPr>
          <w:rFonts w:hint="eastAsia" w:ascii="宋体" w:hAnsi="宋体" w:cs="宋体"/>
          <w:szCs w:val="21"/>
        </w:rPr>
        <w:instrText xml:space="preserve"> HYPERLINK "http://www.zjzfcg.gov.cn/bs_other/2018-03-30/12002.html?_=2018-03-30%2011:40:47" </w:instrText>
      </w:r>
      <w:r>
        <w:rPr>
          <w:rFonts w:hint="eastAsia" w:ascii="宋体" w:hAnsi="宋体" w:cs="宋体"/>
          <w:szCs w:val="21"/>
        </w:rPr>
        <w:fldChar w:fldCharType="separate"/>
      </w:r>
      <w:r>
        <w:rPr>
          <w:rFonts w:hint="eastAsia" w:ascii="宋体" w:hAnsi="宋体" w:cs="宋体"/>
          <w:szCs w:val="21"/>
        </w:rPr>
        <w:t>http://www.zjzfcg.gov.cn/bs_other/2018-03-30/12002.html?_=2018-03-30 11:40:47</w:t>
      </w:r>
      <w:r>
        <w:rPr>
          <w:rFonts w:hint="eastAsia" w:ascii="宋体" w:hAnsi="宋体" w:cs="宋体"/>
          <w:szCs w:val="21"/>
        </w:rPr>
        <w:fldChar w:fldCharType="end"/>
      </w:r>
      <w:r>
        <w:rPr>
          <w:rFonts w:hint="eastAsia" w:ascii="宋体" w:hAnsi="宋体" w:cs="宋体"/>
          <w:szCs w:val="21"/>
        </w:rPr>
        <w:t>；</w:t>
      </w:r>
    </w:p>
    <w:p>
      <w:pPr>
        <w:spacing w:line="380" w:lineRule="exact"/>
        <w:ind w:firstLine="420" w:firstLineChars="200"/>
        <w:rPr>
          <w:rFonts w:hint="eastAsia" w:ascii="宋体" w:hAnsi="宋体" w:cs="宋体"/>
          <w:szCs w:val="21"/>
        </w:rPr>
      </w:pPr>
      <w:r>
        <w:rPr>
          <w:rFonts w:hint="eastAsia" w:ascii="宋体" w:hAnsi="宋体" w:cs="宋体"/>
          <w:szCs w:val="21"/>
        </w:rPr>
        <w:t>2、招标文件提供期限：自采购公告发布之日起至2020年5月27日9:30时止。</w:t>
      </w:r>
    </w:p>
    <w:p>
      <w:pPr>
        <w:spacing w:line="380" w:lineRule="exact"/>
        <w:ind w:firstLine="420" w:firstLineChars="200"/>
        <w:rPr>
          <w:rFonts w:hint="eastAsia" w:ascii="宋体" w:hAnsi="宋体" w:cs="宋体"/>
          <w:szCs w:val="21"/>
        </w:rPr>
      </w:pPr>
      <w:r>
        <w:rPr>
          <w:rFonts w:hint="eastAsia" w:ascii="宋体" w:hAnsi="宋体" w:cs="宋体"/>
          <w:szCs w:val="21"/>
        </w:rPr>
        <w:t>3、招标文件售价：免费。</w:t>
      </w:r>
    </w:p>
    <w:p>
      <w:pPr>
        <w:widowControl/>
        <w:spacing w:line="420" w:lineRule="exact"/>
        <w:ind w:firstLine="422" w:firstLineChars="200"/>
        <w:rPr>
          <w:rFonts w:hint="eastAsia" w:ascii="宋体" w:hAnsi="宋体" w:cs="宋体"/>
          <w:szCs w:val="22"/>
        </w:rPr>
      </w:pPr>
      <w:r>
        <w:rPr>
          <w:rFonts w:hint="eastAsia" w:ascii="宋体" w:hAnsi="宋体" w:cs="宋体"/>
          <w:b/>
          <w:bCs/>
          <w:szCs w:val="21"/>
        </w:rPr>
        <w:t>注：本采购公告的附件中的采购文件仅供阅览。潜在供应商应当按照本款方式获取采购文件，未按本款方式获取采购文件的，不得对采购文件提起质疑、投诉。</w:t>
      </w:r>
    </w:p>
    <w:p>
      <w:pPr>
        <w:pStyle w:val="40"/>
        <w:spacing w:before="0" w:beforeAutospacing="0" w:after="0" w:afterAutospacing="0" w:line="380" w:lineRule="exact"/>
        <w:rPr>
          <w:rFonts w:hint="eastAsia"/>
          <w:b/>
          <w:bCs/>
          <w:sz w:val="21"/>
          <w:szCs w:val="21"/>
        </w:rPr>
      </w:pPr>
      <w:r>
        <w:rPr>
          <w:rFonts w:hint="eastAsia"/>
          <w:b/>
          <w:bCs/>
          <w:sz w:val="21"/>
          <w:szCs w:val="21"/>
        </w:rPr>
        <w:t>七、投标与开标注意事项：</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1.投标形式：本项目实行网上投标，采用电子投标文件。若供应商参与投标，自行承担投标一切费用。</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2.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采购文件、无法投标或投标失败等后果由供应商自行承担。</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3.投标文件制作：</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3.1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3.2投标人通过政采云平台电子投标工具制作投标文件，电子投标工具请供应商自行前往浙江省政府采购网下载并安装，下载网址：</w:t>
      </w:r>
      <w:r>
        <w:rPr>
          <w:rFonts w:hint="eastAsia"/>
          <w:sz w:val="21"/>
          <w:szCs w:val="21"/>
        </w:rPr>
        <w:fldChar w:fldCharType="begin"/>
      </w:r>
      <w:r>
        <w:rPr>
          <w:rFonts w:hint="eastAsia"/>
          <w:sz w:val="21"/>
          <w:szCs w:val="21"/>
        </w:rPr>
        <w:instrText xml:space="preserve"> HYPERLINK "http://www.zjzfcg.gov.cn/bidClientTemplate/2019-05-27/12946.html），" </w:instrText>
      </w:r>
      <w:r>
        <w:rPr>
          <w:rFonts w:hint="eastAsia"/>
          <w:sz w:val="21"/>
          <w:szCs w:val="21"/>
        </w:rPr>
        <w:fldChar w:fldCharType="separate"/>
      </w:r>
      <w:r>
        <w:rPr>
          <w:rFonts w:hint="eastAsia"/>
          <w:sz w:val="21"/>
          <w:szCs w:val="21"/>
        </w:rPr>
        <w:t>http://www.zjzfcg.gov.cn/bidClientTemplate/2019-05-27/12946.html，</w:t>
      </w:r>
      <w:r>
        <w:rPr>
          <w:rFonts w:hint="eastAsia"/>
          <w:sz w:val="21"/>
          <w:szCs w:val="21"/>
        </w:rPr>
        <w:fldChar w:fldCharType="end"/>
      </w:r>
    </w:p>
    <w:p>
      <w:pPr>
        <w:pStyle w:val="40"/>
        <w:spacing w:before="0" w:beforeAutospacing="0" w:after="0" w:afterAutospacing="0" w:line="380" w:lineRule="exact"/>
        <w:ind w:firstLine="420" w:firstLineChars="200"/>
        <w:rPr>
          <w:rFonts w:hint="eastAsia"/>
          <w:sz w:val="21"/>
          <w:szCs w:val="21"/>
        </w:rPr>
      </w:pPr>
      <w:r>
        <w:rPr>
          <w:rFonts w:hint="eastAsia"/>
          <w:sz w:val="21"/>
          <w:szCs w:val="21"/>
        </w:rPr>
        <w:t>供应商投标文件制作及电子交易操作指南：</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fldChar w:fldCharType="begin"/>
      </w:r>
      <w:r>
        <w:rPr>
          <w:rFonts w:hint="eastAsia"/>
          <w:sz w:val="21"/>
          <w:szCs w:val="21"/>
        </w:rPr>
        <w:instrText xml:space="preserve"> HYPERLINK "https://help.zcygov.cn/web/site_2/2019/08-20/3406.html" </w:instrText>
      </w:r>
      <w:r>
        <w:rPr>
          <w:rFonts w:hint="eastAsia"/>
          <w:sz w:val="21"/>
          <w:szCs w:val="21"/>
        </w:rPr>
        <w:fldChar w:fldCharType="separate"/>
      </w:r>
      <w:r>
        <w:rPr>
          <w:rFonts w:hint="eastAsia"/>
          <w:sz w:val="21"/>
          <w:szCs w:val="21"/>
        </w:rPr>
        <w:t>https://help.zcygov.cn/web/site_2/2019/08-20/3406.html</w:t>
      </w:r>
      <w:r>
        <w:rPr>
          <w:rFonts w:hint="eastAsia"/>
          <w:sz w:val="21"/>
          <w:szCs w:val="21"/>
        </w:rPr>
        <w:fldChar w:fldCharType="end"/>
      </w:r>
      <w:r>
        <w:rPr>
          <w:rFonts w:hint="eastAsia"/>
          <w:sz w:val="21"/>
          <w:szCs w:val="21"/>
        </w:rPr>
        <w:t>（手机观看）、</w:t>
      </w:r>
    </w:p>
    <w:p>
      <w:pPr>
        <w:pStyle w:val="40"/>
        <w:wordWrap w:val="0"/>
        <w:spacing w:before="0" w:beforeAutospacing="0" w:after="0" w:afterAutospacing="0" w:line="380" w:lineRule="exact"/>
        <w:ind w:firstLine="420" w:firstLineChars="200"/>
        <w:rPr>
          <w:rFonts w:hint="eastAsia"/>
          <w:sz w:val="21"/>
          <w:szCs w:val="21"/>
        </w:rPr>
      </w:pPr>
      <w:r>
        <w:rPr>
          <w:rFonts w:hint="eastAsia"/>
          <w:sz w:val="21"/>
          <w:szCs w:val="21"/>
        </w:rPr>
        <w:fldChar w:fldCharType="begin"/>
      </w:r>
      <w:r>
        <w:rPr>
          <w:rFonts w:hint="eastAsia"/>
          <w:sz w:val="21"/>
          <w:szCs w:val="21"/>
        </w:rPr>
        <w:instrText xml:space="preserve"> HYPERLINK "https://service.zcygov.cn/#/knowledges/CW1EtGwBFdiHxlNd6I3m/7GyLXW0BXgMSmLUuYuPM、" </w:instrText>
      </w:r>
      <w:r>
        <w:rPr>
          <w:rFonts w:hint="eastAsia"/>
          <w:sz w:val="21"/>
          <w:szCs w:val="21"/>
        </w:rPr>
        <w:fldChar w:fldCharType="separate"/>
      </w:r>
      <w:r>
        <w:rPr>
          <w:rFonts w:hint="eastAsia"/>
          <w:sz w:val="21"/>
          <w:szCs w:val="21"/>
        </w:rPr>
        <w:t>https://service.zcygov.cn/#/knowledges/CW1EtGwBFdiHxlNd6I3m/7GyLXW0BXgMSmLUuYuPM</w:t>
      </w:r>
      <w:r>
        <w:rPr>
          <w:rFonts w:hint="eastAsia"/>
          <w:sz w:val="21"/>
          <w:szCs w:val="21"/>
        </w:rPr>
        <w:fldChar w:fldCharType="end"/>
      </w:r>
      <w:r>
        <w:rPr>
          <w:rFonts w:hint="eastAsia"/>
          <w:sz w:val="21"/>
          <w:szCs w:val="21"/>
        </w:rPr>
        <w:t>（电脑登录账号后观看）、https://service.zcygov.cn/#/knowledges/CW1EtGwBFdiHxlNd6I3m/6IMVAG0BFdiHxlNdQ8Na（电脑登录账号后浏览）</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3.3本项目供应商可以以U盘或DVD光盘等介质存储的数据电文形式的备份电子投标文件1份，按政采云平台项目采购-电子招投标操作指南中上传的电子投标文件格式，以用于异常情况处理。</w:t>
      </w:r>
    </w:p>
    <w:p>
      <w:pPr>
        <w:spacing w:line="380" w:lineRule="exact"/>
        <w:jc w:val="left"/>
        <w:rPr>
          <w:rFonts w:hint="eastAsia" w:ascii="宋体" w:hAnsi="宋体" w:cs="宋体"/>
          <w:b/>
          <w:bCs/>
          <w:szCs w:val="21"/>
        </w:rPr>
      </w:pPr>
      <w:r>
        <w:rPr>
          <w:rFonts w:hint="eastAsia" w:ascii="宋体" w:hAnsi="宋体" w:cs="宋体"/>
          <w:b/>
          <w:bCs/>
          <w:szCs w:val="21"/>
        </w:rPr>
        <w:t>八、投标截止时间、地点及要求：</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供应商应当于投标截止时间2020年</w:t>
      </w:r>
      <w:r>
        <w:rPr>
          <w:rFonts w:hint="eastAsia"/>
          <w:sz w:val="21"/>
          <w:szCs w:val="21"/>
          <w:u w:val="single"/>
        </w:rPr>
        <w:t xml:space="preserve"> 5 </w:t>
      </w:r>
      <w:r>
        <w:rPr>
          <w:rFonts w:hint="eastAsia"/>
          <w:sz w:val="21"/>
          <w:szCs w:val="21"/>
        </w:rPr>
        <w:t>月</w:t>
      </w:r>
      <w:r>
        <w:rPr>
          <w:rFonts w:hint="eastAsia"/>
          <w:sz w:val="21"/>
          <w:szCs w:val="21"/>
          <w:u w:val="single"/>
        </w:rPr>
        <w:t xml:space="preserve"> 27 </w:t>
      </w:r>
      <w:r>
        <w:rPr>
          <w:rFonts w:hint="eastAsia"/>
          <w:sz w:val="21"/>
          <w:szCs w:val="21"/>
        </w:rPr>
        <w:t>日上午9:30前须将电子投标文件上传至政采云平台，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pStyle w:val="40"/>
        <w:spacing w:before="0" w:beforeAutospacing="0" w:after="0" w:afterAutospacing="0" w:line="380" w:lineRule="exact"/>
        <w:ind w:firstLine="420" w:firstLineChars="200"/>
        <w:rPr>
          <w:rFonts w:hint="eastAsia"/>
          <w:sz w:val="21"/>
          <w:szCs w:val="21"/>
        </w:rPr>
      </w:pPr>
      <w:r>
        <w:rPr>
          <w:rFonts w:hint="eastAsia"/>
          <w:sz w:val="21"/>
          <w:szCs w:val="21"/>
        </w:rPr>
        <w:t>供应商在上传电子投标文件的同时，也可安排“甬行码”为绿色的相关人员（原则上不超过一名）于投标截止时间前将以U盘或DVD光盘存储的备份电子投标文件密封后送交到慈溪市公共资源交易中心二楼第</w:t>
      </w:r>
      <w:r>
        <w:rPr>
          <w:rFonts w:hint="eastAsia"/>
          <w:sz w:val="21"/>
          <w:szCs w:val="21"/>
          <w:u w:val="single"/>
        </w:rPr>
        <w:t xml:space="preserve"> 四 </w:t>
      </w:r>
      <w:r>
        <w:rPr>
          <w:rFonts w:hint="eastAsia"/>
          <w:sz w:val="21"/>
          <w:szCs w:val="21"/>
        </w:rPr>
        <w:t>开标室（慈溪市南二环东路1355号），逾期送达或未密封将被拒收。</w:t>
      </w:r>
    </w:p>
    <w:p>
      <w:pPr>
        <w:snapToGrid w:val="0"/>
        <w:spacing w:line="420" w:lineRule="exact"/>
        <w:ind w:firstLine="422" w:firstLineChars="200"/>
        <w:rPr>
          <w:rFonts w:hint="eastAsia" w:ascii="宋体" w:hAnsi="宋体"/>
          <w:b/>
          <w:szCs w:val="21"/>
        </w:rPr>
      </w:pPr>
      <w:r>
        <w:rPr>
          <w:rFonts w:hint="eastAsia" w:ascii="宋体" w:hAnsi="宋体"/>
          <w:b/>
          <w:szCs w:val="21"/>
        </w:rPr>
        <w:t>本项目接受EMS邮递投标，</w:t>
      </w:r>
      <w:r>
        <w:rPr>
          <w:rFonts w:hint="eastAsia" w:ascii="宋体" w:hAnsi="宋体" w:cs="仿宋_GB2312"/>
          <w:b/>
          <w:szCs w:val="21"/>
        </w:rPr>
        <w:t>供应商可以通过EMS邮寄送达投标文件，送达地址：慈溪市孙塘南路4号永敬商务楼215室，联系方式0574-63898331。供应商邮寄后可将邮件单号发送至代理机构电子邮箱（电子邮箱：</w:t>
      </w:r>
      <w:r>
        <w:rPr>
          <w:rFonts w:hint="eastAsia" w:ascii="宋体" w:hAnsi="宋体"/>
          <w:b/>
          <w:szCs w:val="21"/>
          <w:u w:val="single"/>
        </w:rPr>
        <w:t>362153643@qq.com</w:t>
      </w:r>
      <w:r>
        <w:rPr>
          <w:rFonts w:hint="eastAsia" w:ascii="宋体" w:hAnsi="宋体"/>
          <w:b/>
          <w:szCs w:val="21"/>
        </w:rPr>
        <w:t>）</w:t>
      </w:r>
      <w:r>
        <w:rPr>
          <w:rFonts w:hint="eastAsia" w:ascii="宋体" w:hAnsi="宋体" w:cs="仿宋_GB2312"/>
          <w:b/>
          <w:szCs w:val="21"/>
        </w:rPr>
        <w:t>，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在投标截止时间前送达的，代理机构将拒绝其投标文件。各供应商自行考虑邮寄在途时间，投标文件送达时间以招标代理工作人员实际签收时间为准。</w:t>
      </w:r>
    </w:p>
    <w:p>
      <w:pPr>
        <w:snapToGrid w:val="0"/>
        <w:spacing w:line="420" w:lineRule="exact"/>
        <w:ind w:firstLine="422" w:firstLineChars="200"/>
        <w:rPr>
          <w:rFonts w:hint="eastAsia" w:ascii="宋体" w:hAnsi="宋体" w:cs="宋体"/>
          <w:szCs w:val="21"/>
        </w:rPr>
      </w:pPr>
      <w:r>
        <w:rPr>
          <w:rFonts w:hint="eastAsia"/>
          <w:b/>
          <w:szCs w:val="21"/>
        </w:rPr>
        <w:t>疫情防控期间，不要求投标人员必须到场参加现场开标，若投标人员需参加现场开标，应全程佩戴口罩等防护用具，自觉接受体温检测、接受疫情询问，并如实报告相关情况。请各投标人员遵守慈溪市公共资源交易中心各项防疫措施规定。由于疫情防控的影响，请提早安排送标时间</w:t>
      </w:r>
      <w:r>
        <w:rPr>
          <w:b/>
          <w:szCs w:val="21"/>
        </w:rPr>
        <w:t>。</w:t>
      </w:r>
    </w:p>
    <w:p>
      <w:pPr>
        <w:spacing w:line="380" w:lineRule="exact"/>
        <w:jc w:val="left"/>
        <w:rPr>
          <w:rFonts w:hint="eastAsia" w:ascii="宋体" w:hAnsi="宋体" w:cs="宋体"/>
          <w:b/>
          <w:szCs w:val="21"/>
        </w:rPr>
      </w:pPr>
      <w:r>
        <w:rPr>
          <w:rFonts w:hint="eastAsia" w:ascii="宋体" w:hAnsi="宋体" w:cs="宋体"/>
          <w:b/>
          <w:szCs w:val="21"/>
        </w:rPr>
        <w:t>九、开标时间及地点：</w:t>
      </w:r>
    </w:p>
    <w:p>
      <w:pPr>
        <w:pStyle w:val="2"/>
        <w:rPr>
          <w:rFonts w:hint="eastAsia" w:ascii="宋体" w:hAnsi="宋体" w:eastAsia="宋体" w:cs="宋体"/>
          <w:sz w:val="21"/>
          <w:szCs w:val="21"/>
        </w:rPr>
      </w:pPr>
      <w:r>
        <w:rPr>
          <w:rFonts w:hint="eastAsia" w:ascii="宋体" w:hAnsi="宋体" w:eastAsia="宋体" w:cs="宋体"/>
          <w:sz w:val="21"/>
          <w:szCs w:val="21"/>
        </w:rPr>
        <w:t>开标时间：2020年</w:t>
      </w:r>
      <w:r>
        <w:rPr>
          <w:rFonts w:hint="eastAsia" w:ascii="宋体" w:hAnsi="宋体" w:eastAsia="宋体" w:cs="宋体"/>
          <w:sz w:val="21"/>
          <w:szCs w:val="21"/>
          <w:u w:val="single"/>
        </w:rPr>
        <w:t xml:space="preserve"> 5 </w:t>
      </w:r>
      <w:r>
        <w:rPr>
          <w:rFonts w:hint="eastAsia" w:ascii="宋体" w:hAnsi="宋体" w:eastAsia="宋体" w:cs="宋体"/>
          <w:sz w:val="21"/>
          <w:szCs w:val="21"/>
        </w:rPr>
        <w:t>月</w:t>
      </w:r>
      <w:r>
        <w:rPr>
          <w:rFonts w:hint="eastAsia" w:ascii="宋体" w:hAnsi="宋体" w:eastAsia="宋体" w:cs="宋体"/>
          <w:sz w:val="21"/>
          <w:szCs w:val="21"/>
          <w:u w:val="single"/>
        </w:rPr>
        <w:t xml:space="preserve"> 27 </w:t>
      </w:r>
      <w:r>
        <w:rPr>
          <w:rFonts w:hint="eastAsia" w:ascii="宋体" w:hAnsi="宋体" w:eastAsia="宋体" w:cs="宋体"/>
          <w:sz w:val="21"/>
          <w:szCs w:val="21"/>
        </w:rPr>
        <w:t>日</w:t>
      </w:r>
      <w:r>
        <w:rPr>
          <w:rFonts w:hint="eastAsia" w:ascii="宋体" w:hAnsi="宋体" w:eastAsia="宋体" w:cs="宋体"/>
          <w:sz w:val="21"/>
          <w:szCs w:val="21"/>
          <w:u w:val="single"/>
        </w:rPr>
        <w:t xml:space="preserve"> 09 </w:t>
      </w:r>
      <w:r>
        <w:rPr>
          <w:rFonts w:hint="eastAsia" w:ascii="宋体" w:hAnsi="宋体" w:eastAsia="宋体" w:cs="宋体"/>
          <w:sz w:val="21"/>
          <w:szCs w:val="21"/>
        </w:rPr>
        <w:t>:</w:t>
      </w:r>
      <w:r>
        <w:rPr>
          <w:rFonts w:hint="eastAsia" w:ascii="宋体" w:hAnsi="宋体" w:eastAsia="宋体" w:cs="宋体"/>
          <w:sz w:val="21"/>
          <w:szCs w:val="21"/>
          <w:u w:val="single"/>
        </w:rPr>
        <w:t xml:space="preserve"> 30 </w:t>
      </w:r>
      <w:r>
        <w:rPr>
          <w:rFonts w:hint="eastAsia" w:ascii="宋体" w:hAnsi="宋体" w:eastAsia="宋体" w:cs="宋体"/>
          <w:sz w:val="21"/>
          <w:szCs w:val="21"/>
        </w:rPr>
        <w:t>（北京时间）；</w:t>
      </w:r>
    </w:p>
    <w:p>
      <w:pPr>
        <w:pStyle w:val="2"/>
        <w:rPr>
          <w:rFonts w:hint="eastAsia" w:ascii="宋体" w:hAnsi="宋体" w:eastAsia="宋体" w:cs="宋体"/>
          <w:sz w:val="21"/>
          <w:szCs w:val="21"/>
        </w:rPr>
      </w:pPr>
      <w:r>
        <w:rPr>
          <w:rFonts w:hint="eastAsia" w:ascii="宋体" w:hAnsi="宋体" w:eastAsia="宋体" w:cs="宋体"/>
          <w:sz w:val="21"/>
          <w:szCs w:val="21"/>
        </w:rPr>
        <w:t>开标地点：慈溪市公共资源交易中心二楼第</w:t>
      </w:r>
      <w:r>
        <w:rPr>
          <w:rFonts w:hint="eastAsia" w:ascii="宋体" w:hAnsi="宋体" w:eastAsia="宋体" w:cs="宋体"/>
          <w:sz w:val="21"/>
          <w:szCs w:val="21"/>
          <w:u w:val="single"/>
        </w:rPr>
        <w:t xml:space="preserve"> 四 </w:t>
      </w:r>
      <w:r>
        <w:rPr>
          <w:rFonts w:hint="eastAsia" w:ascii="宋体" w:hAnsi="宋体" w:eastAsia="宋体" w:cs="宋体"/>
          <w:sz w:val="21"/>
          <w:szCs w:val="21"/>
        </w:rPr>
        <w:t>开标室（慈溪市南二环东路1355号）；</w:t>
      </w:r>
    </w:p>
    <w:p>
      <w:pPr>
        <w:snapToGrid w:val="0"/>
        <w:spacing w:line="380" w:lineRule="exact"/>
        <w:ind w:firstLine="420" w:firstLineChars="200"/>
        <w:rPr>
          <w:rFonts w:hint="eastAsia"/>
        </w:rPr>
      </w:pPr>
      <w:r>
        <w:rPr>
          <w:rFonts w:hint="eastAsia" w:ascii="宋体" w:hAnsi="宋体" w:cs="宋体"/>
          <w:szCs w:val="21"/>
        </w:rPr>
        <w:t>开标时间后30分钟内（2020年</w:t>
      </w:r>
      <w:r>
        <w:rPr>
          <w:rFonts w:hint="eastAsia" w:ascii="宋体" w:hAnsi="宋体" w:cs="宋体"/>
          <w:szCs w:val="21"/>
          <w:u w:val="single"/>
        </w:rPr>
        <w:t xml:space="preserve"> 5 </w:t>
      </w:r>
      <w:r>
        <w:rPr>
          <w:rFonts w:hint="eastAsia" w:ascii="宋体" w:hAnsi="宋体" w:cs="宋体"/>
          <w:szCs w:val="21"/>
        </w:rPr>
        <w:t>月</w:t>
      </w:r>
      <w:r>
        <w:rPr>
          <w:rFonts w:hint="eastAsia" w:ascii="宋体" w:hAnsi="宋体" w:cs="宋体"/>
          <w:szCs w:val="21"/>
          <w:u w:val="single"/>
        </w:rPr>
        <w:t xml:space="preserve"> 27 </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w:t>
      </w:r>
      <w:r>
        <w:rPr>
          <w:rFonts w:hint="eastAsia" w:ascii="宋体" w:hAnsi="宋体" w:cs="宋体"/>
          <w:szCs w:val="21"/>
          <w:u w:val="single"/>
        </w:rPr>
        <w:t xml:space="preserve"> 00 </w:t>
      </w:r>
      <w:r>
        <w:rPr>
          <w:rFonts w:hint="eastAsia" w:ascii="宋体" w:hAnsi="宋体" w:cs="宋体"/>
          <w:szCs w:val="21"/>
        </w:rPr>
        <w:t>前）供应商应当登录“政采云”平台，用“项目采购-开标评标”功能进行解密投标文件。若供应商在规定时间内（2020年</w:t>
      </w:r>
      <w:r>
        <w:rPr>
          <w:rFonts w:hint="eastAsia" w:ascii="宋体" w:hAnsi="宋体" w:cs="宋体"/>
          <w:szCs w:val="21"/>
          <w:u w:val="single"/>
        </w:rPr>
        <w:t xml:space="preserve"> 5 </w:t>
      </w:r>
      <w:r>
        <w:rPr>
          <w:rFonts w:hint="eastAsia" w:ascii="宋体" w:hAnsi="宋体" w:cs="宋体"/>
          <w:szCs w:val="21"/>
        </w:rPr>
        <w:t>月</w:t>
      </w:r>
      <w:r>
        <w:rPr>
          <w:rFonts w:hint="eastAsia" w:ascii="宋体" w:hAnsi="宋体" w:cs="宋体"/>
          <w:szCs w:val="21"/>
          <w:u w:val="single"/>
        </w:rPr>
        <w:t xml:space="preserve"> 27 </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w:t>
      </w:r>
      <w:r>
        <w:rPr>
          <w:rFonts w:hint="eastAsia" w:ascii="宋体" w:hAnsi="宋体" w:cs="宋体"/>
          <w:szCs w:val="21"/>
          <w:u w:val="single"/>
        </w:rPr>
        <w:t xml:space="preserve"> 00 </w:t>
      </w:r>
      <w:r>
        <w:rPr>
          <w:rFonts w:hint="eastAsia" w:ascii="宋体" w:hAnsi="宋体" w:cs="宋体"/>
          <w:szCs w:val="21"/>
        </w:rPr>
        <w:t>前）无法解密或解密失败，可以以备份电子投标文件作为依据，若备份电子投标文件与政采云平台上传的投标文件被识别为不一致的则投标无效；供应商按时在线解密投标文件的，以在线解密的投标文件作为评审依据，采购代理机构于开评标结束后将备份电子投标文件退回给供应商。若供应商在规定时间内无法解密或解密失败且未提供备份电子投标文件的，视为供应商放弃投标</w:t>
      </w:r>
      <w:r>
        <w:rPr>
          <w:rFonts w:hint="eastAsia" w:ascii="宋体" w:hAnsi="宋体" w:cs="宋体"/>
          <w:bCs/>
          <w:szCs w:val="21"/>
        </w:rPr>
        <w:t>。</w:t>
      </w:r>
    </w:p>
    <w:p>
      <w:pPr>
        <w:spacing w:line="380" w:lineRule="exact"/>
        <w:jc w:val="left"/>
        <w:rPr>
          <w:rFonts w:hint="eastAsia" w:ascii="宋体" w:hAnsi="宋体" w:cs="宋体"/>
          <w:b/>
          <w:bCs/>
          <w:szCs w:val="21"/>
        </w:rPr>
      </w:pPr>
      <w:r>
        <w:rPr>
          <w:rFonts w:hint="eastAsia" w:ascii="宋体" w:hAnsi="宋体" w:cs="宋体"/>
          <w:b/>
          <w:bCs/>
          <w:szCs w:val="21"/>
        </w:rPr>
        <w:t>十、投标保证金：本项目无需递交投标保证金。</w:t>
      </w:r>
    </w:p>
    <w:p>
      <w:pPr>
        <w:spacing w:line="380" w:lineRule="exact"/>
        <w:jc w:val="left"/>
        <w:rPr>
          <w:rFonts w:hint="eastAsia" w:ascii="宋体" w:hAnsi="宋体" w:cs="宋体"/>
          <w:b/>
          <w:bCs/>
          <w:szCs w:val="21"/>
        </w:rPr>
      </w:pPr>
      <w:r>
        <w:rPr>
          <w:rFonts w:hint="eastAsia" w:ascii="宋体" w:hAnsi="宋体" w:cs="宋体"/>
          <w:b/>
          <w:bCs/>
          <w:szCs w:val="21"/>
        </w:rPr>
        <w:t xml:space="preserve">十一、联系方式： </w:t>
      </w:r>
    </w:p>
    <w:p>
      <w:pPr>
        <w:widowControl/>
        <w:tabs>
          <w:tab w:val="left" w:pos="540"/>
        </w:tabs>
        <w:spacing w:line="400" w:lineRule="exact"/>
        <w:ind w:firstLine="420"/>
        <w:rPr>
          <w:rFonts w:hint="eastAsia" w:ascii="宋体" w:hAnsi="宋体" w:cs="宋体"/>
          <w:szCs w:val="21"/>
        </w:rPr>
      </w:pPr>
      <w:r>
        <w:rPr>
          <w:rFonts w:hint="eastAsia" w:ascii="宋体" w:hAnsi="宋体" w:cs="宋体"/>
          <w:szCs w:val="21"/>
        </w:rPr>
        <w:t>1、采购人：慈溪市环杭州湾创新中心</w:t>
      </w:r>
    </w:p>
    <w:p>
      <w:pPr>
        <w:widowControl/>
        <w:tabs>
          <w:tab w:val="left" w:pos="540"/>
        </w:tabs>
        <w:spacing w:line="400" w:lineRule="exact"/>
        <w:ind w:firstLine="420"/>
        <w:rPr>
          <w:rFonts w:hint="eastAsia" w:ascii="宋体" w:hAnsi="宋体" w:cs="宋体"/>
          <w:szCs w:val="21"/>
        </w:rPr>
      </w:pPr>
      <w:r>
        <w:rPr>
          <w:rFonts w:hint="eastAsia" w:ascii="宋体" w:hAnsi="宋体" w:cs="宋体"/>
          <w:szCs w:val="21"/>
        </w:rPr>
        <w:t xml:space="preserve">地址：慈溪市文化商务区永利大厦12楼  </w:t>
      </w:r>
    </w:p>
    <w:p>
      <w:pPr>
        <w:tabs>
          <w:tab w:val="left" w:pos="540"/>
        </w:tabs>
        <w:spacing w:line="400" w:lineRule="exact"/>
        <w:ind w:firstLine="420"/>
        <w:rPr>
          <w:rFonts w:hint="eastAsia" w:ascii="宋体" w:hAnsi="宋体"/>
          <w:bCs/>
        </w:rPr>
      </w:pPr>
      <w:r>
        <w:rPr>
          <w:rFonts w:hint="eastAsia" w:ascii="宋体" w:hAnsi="宋体" w:cs="宋体"/>
          <w:szCs w:val="21"/>
        </w:rPr>
        <w:t xml:space="preserve">联系人：郑晴    联系电话： </w:t>
      </w:r>
      <w:r>
        <w:rPr>
          <w:rFonts w:ascii="宋体" w:hAnsi="宋体" w:cs="宋体"/>
          <w:szCs w:val="21"/>
        </w:rPr>
        <w:t>0574-639890</w:t>
      </w:r>
      <w:r>
        <w:rPr>
          <w:rFonts w:hint="eastAsia" w:ascii="宋体" w:hAnsi="宋体" w:cs="宋体"/>
          <w:szCs w:val="21"/>
        </w:rPr>
        <w:t>10</w:t>
      </w:r>
    </w:p>
    <w:p>
      <w:pPr>
        <w:widowControl/>
        <w:tabs>
          <w:tab w:val="left" w:pos="540"/>
        </w:tabs>
        <w:spacing w:line="380" w:lineRule="exact"/>
        <w:ind w:firstLine="420"/>
        <w:rPr>
          <w:rFonts w:hint="eastAsia" w:ascii="宋体" w:hAnsi="宋体" w:cs="宋体"/>
          <w:szCs w:val="21"/>
        </w:rPr>
      </w:pPr>
      <w:r>
        <w:rPr>
          <w:rFonts w:hint="eastAsia" w:ascii="宋体" w:hAnsi="宋体" w:cs="宋体"/>
          <w:szCs w:val="21"/>
        </w:rPr>
        <w:t>2、代理机构：宁波永敬工程造价咨询有限公司</w:t>
      </w:r>
    </w:p>
    <w:p>
      <w:pPr>
        <w:widowControl/>
        <w:tabs>
          <w:tab w:val="left" w:pos="540"/>
        </w:tabs>
        <w:spacing w:line="380" w:lineRule="exact"/>
        <w:ind w:firstLine="420"/>
        <w:rPr>
          <w:rFonts w:hint="eastAsia" w:ascii="宋体" w:hAnsi="宋体" w:cs="宋体"/>
          <w:szCs w:val="21"/>
        </w:rPr>
      </w:pPr>
      <w:r>
        <w:rPr>
          <w:rFonts w:hint="eastAsia" w:ascii="宋体" w:hAnsi="宋体" w:cs="宋体"/>
          <w:szCs w:val="21"/>
        </w:rPr>
        <w:t>地址：慈溪市孙塘南路4号永敬商务楼2楼</w:t>
      </w:r>
    </w:p>
    <w:p>
      <w:pPr>
        <w:widowControl/>
        <w:tabs>
          <w:tab w:val="left" w:pos="540"/>
        </w:tabs>
        <w:spacing w:line="380" w:lineRule="exact"/>
        <w:ind w:firstLine="420"/>
        <w:rPr>
          <w:rFonts w:hint="eastAsia" w:ascii="宋体" w:hAnsi="宋体" w:cs="宋体"/>
          <w:szCs w:val="21"/>
        </w:rPr>
      </w:pPr>
      <w:r>
        <w:rPr>
          <w:rFonts w:hint="eastAsia" w:ascii="宋体" w:hAnsi="宋体" w:cs="宋体"/>
          <w:szCs w:val="21"/>
        </w:rPr>
        <w:t>联系人：侯维雁</w:t>
      </w:r>
    </w:p>
    <w:p>
      <w:pPr>
        <w:widowControl/>
        <w:tabs>
          <w:tab w:val="left" w:pos="540"/>
        </w:tabs>
        <w:spacing w:line="380" w:lineRule="exact"/>
        <w:ind w:firstLine="420"/>
        <w:rPr>
          <w:rFonts w:hint="eastAsia" w:ascii="宋体" w:hAnsi="宋体" w:cs="宋体"/>
          <w:szCs w:val="21"/>
        </w:rPr>
      </w:pPr>
      <w:r>
        <w:rPr>
          <w:rFonts w:hint="eastAsia" w:ascii="宋体" w:hAnsi="宋体" w:cs="宋体"/>
          <w:szCs w:val="21"/>
        </w:rPr>
        <w:t>联系电话：0574-63898331</w:t>
      </w:r>
    </w:p>
    <w:p>
      <w:pPr>
        <w:widowControl/>
        <w:tabs>
          <w:tab w:val="left" w:pos="540"/>
        </w:tabs>
        <w:spacing w:line="380" w:lineRule="exact"/>
        <w:ind w:firstLine="420"/>
        <w:rPr>
          <w:rFonts w:hint="eastAsia" w:ascii="宋体" w:hAnsi="宋体" w:cs="宋体"/>
          <w:szCs w:val="21"/>
        </w:rPr>
      </w:pPr>
      <w:r>
        <w:rPr>
          <w:rFonts w:hint="eastAsia" w:ascii="宋体" w:hAnsi="宋体" w:cs="宋体"/>
          <w:szCs w:val="21"/>
        </w:rPr>
        <w:t>传真：0574-63898331</w:t>
      </w:r>
    </w:p>
    <w:p>
      <w:pPr>
        <w:pStyle w:val="2"/>
        <w:rPr>
          <w:rFonts w:hint="eastAsia" w:ascii="宋体" w:hAnsi="宋体" w:eastAsia="宋体" w:cs="宋体"/>
          <w:sz w:val="21"/>
          <w:szCs w:val="21"/>
        </w:rPr>
      </w:pPr>
      <w:r>
        <w:rPr>
          <w:rFonts w:hint="eastAsia" w:ascii="宋体" w:hAnsi="宋体" w:eastAsia="宋体" w:cs="宋体"/>
          <w:sz w:val="21"/>
          <w:szCs w:val="21"/>
        </w:rPr>
        <w:t>3、同级政府采购监督管理部门名称：慈溪市公共资源交易管理办公室</w:t>
      </w:r>
    </w:p>
    <w:p>
      <w:pPr>
        <w:widowControl/>
        <w:tabs>
          <w:tab w:val="left" w:pos="540"/>
        </w:tabs>
        <w:spacing w:line="380" w:lineRule="exact"/>
        <w:ind w:left="420" w:leftChars="200"/>
        <w:rPr>
          <w:rFonts w:hint="eastAsia" w:ascii="宋体" w:hAnsi="宋体" w:cs="宋体"/>
          <w:szCs w:val="21"/>
        </w:rPr>
      </w:pPr>
      <w:r>
        <w:rPr>
          <w:rFonts w:hint="eastAsia" w:ascii="宋体" w:hAnsi="宋体" w:cs="宋体"/>
          <w:szCs w:val="21"/>
        </w:rPr>
        <w:t>联系地址：慈溪市南二环东路1355号</w:t>
      </w:r>
      <w:r>
        <w:rPr>
          <w:rFonts w:hint="eastAsia" w:ascii="宋体" w:hAnsi="宋体" w:cs="宋体"/>
          <w:szCs w:val="21"/>
        </w:rPr>
        <w:br w:type="textWrapping"/>
      </w:r>
      <w:r>
        <w:rPr>
          <w:rFonts w:hint="eastAsia" w:ascii="宋体" w:hAnsi="宋体" w:cs="宋体"/>
          <w:szCs w:val="21"/>
        </w:rPr>
        <w:t>联系人：赵先生</w:t>
      </w:r>
      <w:r>
        <w:rPr>
          <w:rFonts w:hint="eastAsia" w:ascii="宋体" w:hAnsi="宋体" w:cs="宋体"/>
          <w:szCs w:val="21"/>
        </w:rPr>
        <w:br w:type="textWrapping"/>
      </w:r>
      <w:r>
        <w:rPr>
          <w:rFonts w:hint="eastAsia" w:ascii="宋体" w:hAnsi="宋体" w:cs="宋体"/>
          <w:szCs w:val="21"/>
        </w:rPr>
        <w:t>联系电话：0574-63032252</w:t>
      </w:r>
    </w:p>
    <w:p>
      <w:pPr>
        <w:spacing w:line="380" w:lineRule="exact"/>
        <w:rPr>
          <w:rFonts w:hint="eastAsia" w:ascii="宋体" w:hAnsi="宋体" w:cs="宋体"/>
          <w:b/>
          <w:bCs/>
          <w:szCs w:val="21"/>
        </w:rPr>
      </w:pPr>
      <w:r>
        <w:rPr>
          <w:rFonts w:hint="eastAsia" w:ascii="宋体" w:hAnsi="宋体" w:cs="宋体"/>
          <w:b/>
          <w:bCs/>
          <w:szCs w:val="21"/>
        </w:rPr>
        <w:t>十二、其他事项：</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rPr>
          <w:rFonts w:hint="eastAsia" w:ascii="宋体" w:hAnsi="宋体" w:eastAsia="宋体" w:cs="宋体"/>
          <w:sz w:val="21"/>
          <w:szCs w:val="21"/>
        </w:rPr>
      </w:pPr>
      <w:r>
        <w:rPr>
          <w:rFonts w:hint="eastAsia" w:ascii="宋体" w:hAnsi="宋体" w:eastAsia="宋体" w:cs="宋体"/>
          <w:sz w:val="21"/>
          <w:szCs w:val="21"/>
        </w:rPr>
        <w:t>2、采购项目需要落实的政府采购政策：《政府采购促进中小企业发展暂行办法》（财库[2011]181号）、《关于政府采购支持监狱企业发展有关问题的通知》(财库[2014]68号)、《关于促进残疾人就业政府采购政策的通知》（财库[2017]141号）。</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3、参加本项目的供应商应于投标前到“浙江政府采购网（www.zjzfcg.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4、单位负责人为同一人或者存在直接控股、管理关系的不同供应商，不得参加同一项目的投标。</w:t>
      </w:r>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5、为本项目提供整体设计、规范编制或者项目管理、监理、检测等服务的供应商，不得再参加本项目的投标。</w:t>
      </w:r>
    </w:p>
    <w:p>
      <w:pPr>
        <w:spacing w:line="400" w:lineRule="exact"/>
        <w:ind w:firstLine="420" w:firstLineChars="200"/>
        <w:rPr>
          <w:rFonts w:hint="eastAsia"/>
        </w:rPr>
      </w:pPr>
      <w:r>
        <w:rPr>
          <w:rFonts w:hint="eastAsia" w:ascii="宋体" w:hAnsi="宋体"/>
          <w:szCs w:val="21"/>
        </w:rPr>
        <w:t>6、公益一类事业单位不属于政府购买服务的承接主体，不得参与承接政府购买服务。</w:t>
      </w:r>
    </w:p>
    <w:p>
      <w:pPr>
        <w:pStyle w:val="2"/>
        <w:rPr>
          <w:rFonts w:hint="eastAsia" w:ascii="宋体" w:hAnsi="宋体" w:eastAsia="宋体" w:cs="宋体"/>
          <w:sz w:val="21"/>
          <w:szCs w:val="21"/>
        </w:rPr>
      </w:pPr>
      <w:r>
        <w:rPr>
          <w:rFonts w:hint="eastAsia" w:ascii="宋体" w:hAnsi="宋体" w:eastAsia="宋体" w:cs="宋体"/>
          <w:sz w:val="21"/>
          <w:szCs w:val="21"/>
        </w:rPr>
        <w:t>7、本项目禁止分包和转包。</w:t>
      </w:r>
    </w:p>
    <w:p>
      <w:pPr>
        <w:spacing w:line="380" w:lineRule="exact"/>
        <w:ind w:firstLine="420" w:firstLineChars="200"/>
        <w:rPr>
          <w:rFonts w:hint="eastAsia" w:ascii="宋体" w:hAnsi="宋体" w:cs="宋体"/>
          <w:szCs w:val="21"/>
        </w:rPr>
      </w:pPr>
      <w:r>
        <w:rPr>
          <w:rFonts w:hint="eastAsia" w:ascii="宋体" w:hAnsi="宋体" w:cs="宋体"/>
          <w:szCs w:val="21"/>
        </w:rPr>
        <w:t>8、未获取招标文件者的投标将被拒绝。</w:t>
      </w:r>
    </w:p>
    <w:p>
      <w:pPr>
        <w:spacing w:line="380" w:lineRule="exact"/>
        <w:ind w:firstLine="420" w:firstLineChars="200"/>
        <w:jc w:val="center"/>
        <w:rPr>
          <w:rFonts w:hint="eastAsia" w:ascii="宋体" w:hAnsi="宋体" w:cs="宋体"/>
          <w:b/>
          <w:bCs/>
          <w:kern w:val="44"/>
          <w:sz w:val="36"/>
          <w:szCs w:val="36"/>
        </w:rPr>
      </w:pPr>
      <w:r>
        <w:rPr>
          <w:rFonts w:hint="eastAsia" w:ascii="宋体" w:hAnsi="宋体" w:cs="宋体"/>
          <w:szCs w:val="21"/>
        </w:rPr>
        <w:br w:type="page"/>
      </w:r>
      <w:bookmarkStart w:id="1" w:name="_Toc23064"/>
      <w:r>
        <w:rPr>
          <w:rFonts w:hint="eastAsia" w:ascii="宋体" w:hAnsi="宋体" w:cs="宋体"/>
          <w:b/>
          <w:bCs/>
          <w:kern w:val="44"/>
          <w:sz w:val="36"/>
          <w:szCs w:val="36"/>
        </w:rPr>
        <w:t>第二章  投标须知</w:t>
      </w:r>
      <w:bookmarkEnd w:id="1"/>
    </w:p>
    <w:p>
      <w:pPr>
        <w:pStyle w:val="2"/>
        <w:ind w:firstLine="480"/>
        <w:rPr>
          <w:rFonts w:hint="eastAsia"/>
        </w:rPr>
      </w:pPr>
    </w:p>
    <w:p>
      <w:pPr>
        <w:spacing w:line="400" w:lineRule="exact"/>
        <w:ind w:firstLine="422" w:firstLineChars="200"/>
        <w:rPr>
          <w:rFonts w:hint="eastAsia" w:ascii="宋体" w:hAnsi="宋体" w:cs="宋体"/>
          <w:b/>
          <w:szCs w:val="21"/>
        </w:rPr>
      </w:pPr>
      <w:r>
        <w:rPr>
          <w:rFonts w:hint="eastAsia" w:ascii="宋体" w:hAnsi="宋体" w:cs="宋体"/>
          <w:b/>
          <w:szCs w:val="21"/>
        </w:rPr>
        <w:t>一、适用范围</w:t>
      </w:r>
    </w:p>
    <w:p>
      <w:pPr>
        <w:spacing w:line="400" w:lineRule="exact"/>
        <w:ind w:firstLine="420" w:firstLineChars="200"/>
        <w:jc w:val="left"/>
        <w:rPr>
          <w:rFonts w:hint="eastAsia" w:ascii="宋体" w:hAnsi="宋体" w:cs="宋体"/>
          <w:szCs w:val="21"/>
        </w:rPr>
      </w:pPr>
      <w:r>
        <w:rPr>
          <w:rFonts w:hint="eastAsia" w:ascii="宋体" w:hAnsi="宋体" w:cs="宋体"/>
          <w:szCs w:val="21"/>
        </w:rPr>
        <w:t>本招标文件仅适用于本采购项目所叙述的货物（服务）的招标、评标、定标、验收、合同履约、付款等（法律、法规另有规定的，从其规定）。</w:t>
      </w:r>
    </w:p>
    <w:p>
      <w:pPr>
        <w:spacing w:line="400" w:lineRule="exact"/>
        <w:ind w:firstLine="422" w:firstLineChars="200"/>
        <w:jc w:val="left"/>
        <w:rPr>
          <w:rFonts w:hint="eastAsia" w:ascii="宋体" w:hAnsi="宋体" w:cs="宋体"/>
          <w:b/>
          <w:szCs w:val="21"/>
        </w:rPr>
      </w:pPr>
      <w:r>
        <w:rPr>
          <w:rFonts w:hint="eastAsia" w:ascii="宋体" w:hAnsi="宋体" w:cs="宋体"/>
          <w:b/>
          <w:szCs w:val="21"/>
        </w:rPr>
        <w:t>二、定义</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1、“采购人”系指慈溪市环杭州湾创新中心。</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2、“代理机构”系指宁波永敬工程造价咨询有限公司。</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3、“供应商”系指向采购人提供投标文件的供应商。</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4、“中标人”系指在本次招标中确定向采购人提供慈溪市环杭州湾创新中心公共空间一体化管理服务的供应商；</w:t>
      </w:r>
    </w:p>
    <w:p>
      <w:pPr>
        <w:spacing w:line="400" w:lineRule="exact"/>
        <w:ind w:firstLine="420" w:firstLineChars="200"/>
        <w:jc w:val="left"/>
        <w:rPr>
          <w:rFonts w:hint="eastAsia" w:ascii="宋体" w:hAnsi="宋体" w:cs="宋体"/>
          <w:szCs w:val="21"/>
        </w:rPr>
      </w:pPr>
      <w:r>
        <w:rPr>
          <w:rFonts w:hint="eastAsia" w:ascii="宋体" w:hAnsi="宋体" w:cs="宋体"/>
          <w:szCs w:val="21"/>
        </w:rPr>
        <w:t>5、“货物”系指满足服务要求，投标人需具有的车辆、设备等。</w:t>
      </w:r>
    </w:p>
    <w:p>
      <w:pPr>
        <w:spacing w:line="400" w:lineRule="exact"/>
        <w:ind w:firstLine="420" w:firstLineChars="200"/>
        <w:jc w:val="left"/>
        <w:rPr>
          <w:rFonts w:hint="eastAsia" w:ascii="宋体" w:hAnsi="宋体" w:cs="宋体"/>
          <w:szCs w:val="21"/>
        </w:rPr>
      </w:pPr>
      <w:r>
        <w:rPr>
          <w:rFonts w:hint="eastAsia" w:ascii="宋体" w:hAnsi="宋体" w:cs="宋体"/>
          <w:szCs w:val="21"/>
        </w:rPr>
        <w:t>6、“服务”系指慈溪市环杭州湾创新中心公共空间一体化管理服务。</w:t>
      </w:r>
    </w:p>
    <w:p>
      <w:pPr>
        <w:spacing w:line="400" w:lineRule="exact"/>
        <w:ind w:firstLine="420" w:firstLineChars="200"/>
        <w:jc w:val="left"/>
        <w:rPr>
          <w:rFonts w:hint="eastAsia" w:ascii="宋体" w:hAnsi="宋体" w:cs="宋体"/>
          <w:szCs w:val="21"/>
        </w:rPr>
      </w:pPr>
      <w:r>
        <w:rPr>
          <w:rFonts w:hint="eastAsia" w:ascii="宋体" w:hAnsi="宋体" w:cs="宋体"/>
          <w:szCs w:val="21"/>
        </w:rPr>
        <w:t>7、“同级政府采购监管部门”系指慈溪市公共资源交易管理办公室</w:t>
      </w:r>
      <w:r>
        <w:rPr>
          <w:rFonts w:hint="eastAsia" w:ascii="宋体" w:hAnsi="宋体" w:cs="宋体"/>
          <w:kern w:val="10"/>
          <w:szCs w:val="21"/>
          <w:lang w:val="zh-CN"/>
        </w:rPr>
        <w:t>。</w:t>
      </w:r>
    </w:p>
    <w:p>
      <w:pPr>
        <w:spacing w:line="400" w:lineRule="exact"/>
        <w:ind w:firstLine="420" w:firstLineChars="200"/>
        <w:jc w:val="left"/>
        <w:rPr>
          <w:rFonts w:hint="eastAsia" w:ascii="宋体" w:hAnsi="宋体" w:cs="宋体"/>
          <w:szCs w:val="21"/>
        </w:rPr>
      </w:pPr>
      <w:r>
        <w:rPr>
          <w:rFonts w:hint="eastAsia" w:ascii="宋体" w:hAnsi="宋体" w:cs="宋体"/>
          <w:szCs w:val="21"/>
        </w:rPr>
        <w:t>8、“★”系指实质性响应条款。</w:t>
      </w:r>
    </w:p>
    <w:p>
      <w:pPr>
        <w:spacing w:line="400" w:lineRule="exact"/>
        <w:ind w:firstLine="422" w:firstLineChars="200"/>
        <w:jc w:val="left"/>
        <w:rPr>
          <w:rFonts w:hint="eastAsia" w:ascii="宋体" w:hAnsi="宋体" w:cs="宋体"/>
          <w:b/>
          <w:szCs w:val="21"/>
        </w:rPr>
      </w:pPr>
      <w:r>
        <w:rPr>
          <w:rFonts w:hint="eastAsia" w:ascii="宋体" w:hAnsi="宋体" w:cs="宋体"/>
          <w:b/>
          <w:szCs w:val="21"/>
        </w:rPr>
        <w:t>三、供应商的资格要求</w:t>
      </w:r>
    </w:p>
    <w:p>
      <w:pPr>
        <w:spacing w:line="400" w:lineRule="exact"/>
        <w:ind w:firstLine="420" w:firstLineChars="200"/>
        <w:jc w:val="left"/>
        <w:rPr>
          <w:rFonts w:hint="eastAsia" w:ascii="宋体" w:hAnsi="宋体" w:cs="宋体"/>
          <w:szCs w:val="21"/>
        </w:rPr>
      </w:pPr>
      <w:r>
        <w:rPr>
          <w:rFonts w:hint="eastAsia" w:ascii="宋体" w:hAnsi="宋体" w:cs="宋体"/>
          <w:szCs w:val="21"/>
        </w:rPr>
        <w:t>详见采购公告。</w:t>
      </w:r>
    </w:p>
    <w:p>
      <w:pPr>
        <w:spacing w:line="400" w:lineRule="exact"/>
        <w:ind w:firstLine="422" w:firstLineChars="200"/>
        <w:jc w:val="left"/>
        <w:rPr>
          <w:rFonts w:hint="eastAsia" w:ascii="宋体" w:hAnsi="宋体" w:cs="宋体"/>
          <w:b/>
          <w:szCs w:val="21"/>
        </w:rPr>
      </w:pPr>
      <w:r>
        <w:rPr>
          <w:rFonts w:hint="eastAsia" w:ascii="宋体" w:hAnsi="宋体" w:cs="宋体"/>
          <w:b/>
          <w:szCs w:val="21"/>
        </w:rPr>
        <w:t>四、投标费用</w:t>
      </w:r>
    </w:p>
    <w:p>
      <w:pPr>
        <w:spacing w:line="400" w:lineRule="exact"/>
        <w:ind w:firstLine="420" w:firstLineChars="200"/>
        <w:jc w:val="left"/>
        <w:rPr>
          <w:rFonts w:hint="eastAsia" w:ascii="宋体" w:hAnsi="宋体" w:cs="宋体"/>
          <w:szCs w:val="21"/>
        </w:rPr>
      </w:pPr>
      <w:r>
        <w:rPr>
          <w:rFonts w:hint="eastAsia" w:ascii="宋体" w:hAnsi="宋体" w:cs="宋体"/>
          <w:szCs w:val="21"/>
        </w:rPr>
        <w:t>1、无论投标过程和结果如何，供应商自行承担与投标有关的全部费用。</w:t>
      </w:r>
    </w:p>
    <w:p>
      <w:pPr>
        <w:spacing w:line="400" w:lineRule="exact"/>
        <w:ind w:firstLine="422" w:firstLineChars="200"/>
        <w:jc w:val="left"/>
        <w:rPr>
          <w:rFonts w:hint="eastAsia" w:ascii="宋体" w:hAnsi="宋体" w:cs="宋体"/>
          <w:b/>
          <w:bCs/>
        </w:rPr>
      </w:pPr>
      <w:r>
        <w:rPr>
          <w:rFonts w:hint="eastAsia" w:ascii="宋体" w:hAnsi="宋体" w:cs="宋体"/>
          <w:b/>
          <w:bCs/>
          <w:szCs w:val="21"/>
        </w:rPr>
        <w:t>2、供应商准备和参加投标活动发生的费用自理，本次采购中标服务费人民币柒万伍仟元（</w:t>
      </w:r>
      <w:r>
        <w:rPr>
          <w:rFonts w:ascii="Arial" w:hAnsi="Arial" w:cs="Arial"/>
          <w:b/>
          <w:bCs/>
          <w:szCs w:val="21"/>
        </w:rPr>
        <w:t>¥</w:t>
      </w:r>
      <w:r>
        <w:rPr>
          <w:rFonts w:hint="eastAsia" w:ascii="宋体" w:hAnsi="宋体" w:cs="宋体"/>
          <w:b/>
          <w:bCs/>
          <w:szCs w:val="21"/>
        </w:rPr>
        <w:t>：75000.00）由中标人支付，</w:t>
      </w:r>
      <w:r>
        <w:rPr>
          <w:rFonts w:hint="eastAsia" w:ascii="宋体" w:hAnsi="宋体" w:cs="宋体"/>
          <w:b/>
          <w:bCs/>
          <w:szCs w:val="21"/>
          <w:lang w:bidi="ar"/>
        </w:rPr>
        <w:t>中标人在发放中标通知书之前支付给招标机构</w:t>
      </w:r>
      <w:r>
        <w:rPr>
          <w:rFonts w:hint="eastAsia" w:ascii="宋体" w:hAnsi="宋体" w:cs="宋体"/>
          <w:b/>
          <w:bCs/>
          <w:szCs w:val="21"/>
        </w:rPr>
        <w:t>代理。</w:t>
      </w:r>
      <w:r>
        <w:rPr>
          <w:rFonts w:hint="eastAsia" w:ascii="宋体" w:hAnsi="宋体" w:cs="宋体"/>
          <w:b/>
          <w:bCs/>
          <w:szCs w:val="21"/>
          <w:lang w:bidi="ar"/>
        </w:rPr>
        <w:t>代理服务费不另列项目，但其费用在报价时综合考虑，投标总价中包含此项费用。</w:t>
      </w:r>
    </w:p>
    <w:p>
      <w:pPr>
        <w:spacing w:line="400" w:lineRule="exact"/>
        <w:ind w:firstLine="422" w:firstLineChars="200"/>
        <w:jc w:val="left"/>
        <w:rPr>
          <w:rFonts w:hint="eastAsia" w:ascii="宋体" w:hAnsi="宋体" w:cs="宋体"/>
          <w:b/>
          <w:szCs w:val="21"/>
        </w:rPr>
      </w:pPr>
      <w:r>
        <w:rPr>
          <w:rFonts w:hint="eastAsia" w:ascii="宋体" w:hAnsi="宋体" w:cs="宋体"/>
          <w:b/>
          <w:szCs w:val="21"/>
        </w:rPr>
        <w:t>五、投标报价</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1、投标报价以人民币为结算货币。</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）开标时，供应商应按招标文件要求认真填写报价内容，投标文件报价前后不一致的，按以下规定修正：</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①投标文件中开标一览表（报价表）内容与投标文件中相应内容不一致的，以开标一览表（报价表）为准；</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②投标文件的大写金额和小写金额不一致的，以大写金额为准；</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③单价金额小数点或者百分比有明显错位的，以开标一览表的总价为准，并修改单价；</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④总价金额与按单价汇总金额不一致的，以单价金额计算结果为准。</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2、投标报价是履行合同的最终价格，包含需交纳的所有税费及其他一切相关费用。供应商少报或漏报的工作量，采购单位将视为已包含在投标总价中，并不予调整。</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val="zh-CN"/>
        </w:rPr>
        <w:t>3、投标文件只允许有一个报价，有选择的或有条件的报价将不予接受。</w:t>
      </w:r>
    </w:p>
    <w:p>
      <w:pPr>
        <w:spacing w:line="400" w:lineRule="exact"/>
        <w:ind w:firstLine="422" w:firstLineChars="200"/>
        <w:jc w:val="left"/>
        <w:rPr>
          <w:rFonts w:hint="eastAsia" w:ascii="宋体" w:hAnsi="宋体" w:cs="宋体"/>
          <w:b/>
          <w:szCs w:val="21"/>
        </w:rPr>
      </w:pPr>
      <w:r>
        <w:rPr>
          <w:rFonts w:hint="eastAsia" w:ascii="宋体" w:hAnsi="宋体" w:cs="宋体"/>
          <w:b/>
          <w:szCs w:val="21"/>
        </w:rPr>
        <w:t>六、投标保证金</w:t>
      </w:r>
    </w:p>
    <w:p>
      <w:pPr>
        <w:spacing w:line="400" w:lineRule="exact"/>
        <w:ind w:firstLine="843" w:firstLineChars="400"/>
        <w:jc w:val="left"/>
        <w:rPr>
          <w:rFonts w:hint="eastAsia" w:ascii="宋体" w:hAnsi="宋体" w:cs="宋体"/>
          <w:b/>
          <w:bCs/>
          <w:szCs w:val="21"/>
          <w:u w:val="single"/>
          <w:lang w:bidi="ar"/>
        </w:rPr>
      </w:pPr>
      <w:r>
        <w:rPr>
          <w:rFonts w:hint="eastAsia" w:ascii="宋体" w:hAnsi="宋体" w:cs="宋体"/>
          <w:b/>
          <w:bCs/>
          <w:szCs w:val="21"/>
          <w:u w:val="single"/>
          <w:lang w:bidi="ar"/>
        </w:rPr>
        <w:t>本项目无需递交。</w:t>
      </w:r>
    </w:p>
    <w:p>
      <w:pPr>
        <w:spacing w:line="400" w:lineRule="exact"/>
        <w:ind w:firstLine="422" w:firstLineChars="200"/>
        <w:jc w:val="left"/>
        <w:rPr>
          <w:rFonts w:hint="eastAsia" w:ascii="宋体" w:hAnsi="宋体" w:cs="宋体"/>
          <w:b/>
          <w:szCs w:val="21"/>
        </w:rPr>
      </w:pPr>
      <w:r>
        <w:rPr>
          <w:rFonts w:hint="eastAsia" w:ascii="宋体" w:hAnsi="宋体" w:cs="宋体"/>
          <w:b/>
          <w:szCs w:val="21"/>
        </w:rPr>
        <w:t>七、投标有效期</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★1、投标文件从开标之日起，投标有效期为90个日历天。有效期自开标日起计算，不能小于招标文件的要求。</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2、特殊情况下，采购人可与供应商协商延缓投标文件的有效期，这种要求和答复均以书面形式进行。</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3、供应商可拒绝接受延期要求，同意延长有效期的供应商不能修改投标文件。</w:t>
      </w:r>
    </w:p>
    <w:p>
      <w:pPr>
        <w:spacing w:line="400" w:lineRule="exact"/>
        <w:ind w:firstLine="422" w:firstLineChars="200"/>
        <w:jc w:val="left"/>
        <w:rPr>
          <w:rFonts w:hint="eastAsia" w:ascii="宋体" w:hAnsi="宋体" w:cs="宋体"/>
          <w:b/>
          <w:szCs w:val="21"/>
        </w:rPr>
      </w:pPr>
      <w:r>
        <w:rPr>
          <w:rFonts w:hint="eastAsia" w:ascii="宋体" w:hAnsi="宋体" w:cs="宋体"/>
          <w:b/>
          <w:szCs w:val="21"/>
        </w:rPr>
        <w:t>八、投标文件的组成</w:t>
      </w:r>
    </w:p>
    <w:p>
      <w:pPr>
        <w:spacing w:line="400" w:lineRule="exact"/>
        <w:ind w:firstLine="420" w:firstLineChars="200"/>
        <w:jc w:val="left"/>
        <w:rPr>
          <w:rFonts w:hint="eastAsia" w:ascii="宋体" w:hAnsi="宋体" w:cs="宋体"/>
          <w:szCs w:val="21"/>
        </w:rPr>
      </w:pPr>
      <w:r>
        <w:rPr>
          <w:rFonts w:hint="eastAsia" w:ascii="宋体" w:hAnsi="宋体" w:cs="宋体"/>
        </w:rPr>
        <w:t>投标文件由“电子投标文件（含</w:t>
      </w:r>
      <w:r>
        <w:rPr>
          <w:rFonts w:hint="eastAsia" w:ascii="宋体" w:hAnsi="宋体" w:cs="宋体"/>
          <w:bCs/>
        </w:rPr>
        <w:t>商务技术文件、</w:t>
      </w:r>
      <w:r>
        <w:rPr>
          <w:rFonts w:hint="eastAsia" w:ascii="宋体" w:hAnsi="宋体" w:cs="宋体"/>
        </w:rPr>
        <w:t>报价文件二部分，下同）”、“备份电子投标文件（含</w:t>
      </w:r>
      <w:r>
        <w:rPr>
          <w:rFonts w:hint="eastAsia" w:ascii="宋体" w:hAnsi="宋体" w:cs="宋体"/>
          <w:bCs/>
        </w:rPr>
        <w:t>商务技术文件、</w:t>
      </w:r>
      <w:r>
        <w:rPr>
          <w:rFonts w:hint="eastAsia" w:ascii="宋体" w:hAnsi="宋体" w:cs="宋体"/>
        </w:rPr>
        <w:t>报价文件二部分，下同）二部分组成，</w:t>
      </w:r>
      <w:r>
        <w:rPr>
          <w:rFonts w:hint="eastAsia" w:ascii="宋体" w:hAnsi="宋体" w:cs="宋体"/>
          <w:b/>
          <w:bCs/>
          <w:szCs w:val="21"/>
        </w:rPr>
        <w:t>其中电子投标文件中所须加盖公章部分均采用CA签章</w:t>
      </w:r>
      <w:r>
        <w:rPr>
          <w:rFonts w:hint="eastAsia" w:ascii="宋体" w:hAnsi="宋体" w:cs="宋体"/>
        </w:rPr>
        <w:t>。商务技术文件、报价文件内容如下：</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〈一〉商务技术文件</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1、投标函（格式见附件）；</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2、法定代表人身份证明（格式见附件）；</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3、资格证明文件：</w:t>
      </w:r>
    </w:p>
    <w:p>
      <w:pPr>
        <w:spacing w:line="400" w:lineRule="exact"/>
        <w:ind w:left="420"/>
        <w:jc w:val="left"/>
        <w:rPr>
          <w:rFonts w:hint="eastAsia" w:ascii="宋体" w:hAnsi="宋体" w:cs="宋体"/>
          <w:szCs w:val="21"/>
        </w:rPr>
      </w:pPr>
      <w:r>
        <w:rPr>
          <w:rFonts w:hint="eastAsia" w:ascii="宋体" w:hAnsi="宋体" w:cs="宋体"/>
          <w:szCs w:val="21"/>
          <w:lang w:bidi="ar"/>
        </w:rPr>
        <w:t>3-1.关于资格的声明函（格式见附件）；</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3-2.</w:t>
      </w:r>
      <w:r>
        <w:rPr>
          <w:rFonts w:hint="eastAsia" w:ascii="宋体" w:hAnsi="宋体"/>
        </w:rPr>
        <w:t>有效的企业法人营业执照（或事业法人登记证）或其他组织（个体工商户）的营业执照或者民办非企业单位登记证书</w:t>
      </w:r>
      <w:r>
        <w:rPr>
          <w:rFonts w:hint="eastAsia" w:ascii="宋体" w:hAnsi="宋体" w:cs="宋体"/>
          <w:szCs w:val="21"/>
          <w:lang w:bidi="ar"/>
        </w:rPr>
        <w:t>扫描件加盖供应商公章；</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3-3.</w:t>
      </w:r>
      <w:r>
        <w:rPr>
          <w:rFonts w:hint="eastAsia" w:ascii="宋体" w:hAnsi="宋体" w:cs="宋体"/>
        </w:rPr>
        <w:t>投标人具有良好的商业信誉和健全的财务会计制度声明函</w:t>
      </w:r>
      <w:r>
        <w:rPr>
          <w:rFonts w:hint="eastAsia" w:ascii="宋体" w:hAnsi="宋体" w:cs="宋体"/>
          <w:szCs w:val="21"/>
          <w:lang w:bidi="ar"/>
        </w:rPr>
        <w:t>（格式见附件）；</w:t>
      </w:r>
    </w:p>
    <w:p>
      <w:pPr>
        <w:pStyle w:val="2"/>
        <w:rPr>
          <w:rFonts w:hint="eastAsia"/>
        </w:rPr>
      </w:pPr>
      <w:r>
        <w:rPr>
          <w:rFonts w:hint="eastAsia" w:ascii="宋体" w:hAnsi="宋体" w:eastAsia="宋体" w:cs="宋体"/>
          <w:bCs/>
          <w:sz w:val="21"/>
          <w:szCs w:val="21"/>
        </w:rPr>
        <w:t>3-4提供具有履行合同所必需的设备和专业技术能力的</w:t>
      </w:r>
      <w:r>
        <w:rPr>
          <w:rFonts w:hint="eastAsia" w:ascii="宋体" w:hAnsi="宋体" w:eastAsia="宋体" w:cs="宋体"/>
          <w:sz w:val="21"/>
          <w:szCs w:val="21"/>
          <w:lang w:bidi="ar"/>
        </w:rPr>
        <w:t>书面声明（格式见附件）；</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3-5.</w:t>
      </w:r>
      <w:r>
        <w:rPr>
          <w:rFonts w:hint="eastAsia" w:ascii="宋体" w:hAnsi="宋体" w:cs="宋体"/>
        </w:rPr>
        <w:t>开标前六个月任一个月开具的缴纳税收的凭据证明材料扫描件</w:t>
      </w:r>
      <w:r>
        <w:rPr>
          <w:rFonts w:hint="eastAsia" w:ascii="宋体" w:hAnsi="宋体" w:cs="宋体"/>
          <w:szCs w:val="21"/>
          <w:lang w:bidi="ar"/>
        </w:rPr>
        <w:t>（加盖供应商公章），如依法免税的，应提供相应文件证明其依法免税；</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3-6.</w:t>
      </w:r>
      <w:r>
        <w:rPr>
          <w:rFonts w:hint="eastAsia" w:ascii="宋体" w:hAnsi="宋体" w:cs="宋体"/>
        </w:rPr>
        <w:t>开标前六个月任一个月开具的缴纳社会保险的凭据证明材料扫描件</w:t>
      </w:r>
      <w:r>
        <w:rPr>
          <w:rFonts w:hint="eastAsia" w:ascii="宋体" w:hAnsi="宋体" w:cs="宋体"/>
          <w:szCs w:val="21"/>
          <w:lang w:bidi="ar"/>
        </w:rPr>
        <w:t>（加盖供应商公章），如依法不需要缴纳社保的，应提供相关文件证明其依法不需要缴纳社保；</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3-7.无重大违法记录声明函（格式见附件）；</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3-8.供应商一般情况表（格式见附件）；</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4、商务条款响应表（格式见附件）；</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5、技术条款响应表（格式见附件）；</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6、拟派项目负责人情况表（格式见附件）；</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7、项目小组人员情况表（格式见附件）；</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8、拟投入的设备、器具、工具一览表（格式见附件）；</w:t>
      </w:r>
    </w:p>
    <w:p>
      <w:pPr>
        <w:spacing w:line="400" w:lineRule="exact"/>
        <w:ind w:firstLine="420" w:firstLineChars="200"/>
        <w:jc w:val="left"/>
        <w:rPr>
          <w:rFonts w:hint="eastAsia"/>
        </w:rPr>
      </w:pPr>
      <w:r>
        <w:rPr>
          <w:rFonts w:hint="eastAsia" w:ascii="宋体" w:hAnsi="宋体" w:cs="宋体"/>
          <w:szCs w:val="21"/>
          <w:lang w:bidi="ar"/>
        </w:rPr>
        <w:t>9、企业业绩表（格式见附件）；</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10、如有，提供</w:t>
      </w:r>
      <w:r>
        <w:rPr>
          <w:rFonts w:hint="eastAsia" w:ascii="宋体" w:hAnsi="宋体" w:cs="宋体"/>
        </w:rPr>
        <w:t>自2017年1月1日至今（以合同签订日为准），投标人具有</w:t>
      </w:r>
      <w:r>
        <w:rPr>
          <w:rFonts w:hint="eastAsia" w:ascii="宋体" w:hAnsi="宋体" w:cs="仿宋_GB2312"/>
          <w:szCs w:val="21"/>
        </w:rPr>
        <w:t>广场、公园、景区、城市公共空间、产业园区等类似项目</w:t>
      </w:r>
      <w:r>
        <w:rPr>
          <w:rFonts w:hint="eastAsia" w:ascii="宋体" w:hAnsi="宋体" w:cs="宋体"/>
        </w:rPr>
        <w:t>业绩的合同扫描件；（加盖投标人公章）</w:t>
      </w:r>
      <w:r>
        <w:rPr>
          <w:rFonts w:hint="eastAsia" w:ascii="宋体" w:hAnsi="宋体" w:cs="宋体"/>
          <w:szCs w:val="21"/>
          <w:lang w:bidi="ar"/>
        </w:rPr>
        <w:t>；</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11、如有，有效的体系认证证书扫描件；（加盖投标人公章）</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12、如有，获得行政管理部门颁发的荣誉证书或文件扫描件；（加盖投标人公章）</w:t>
      </w:r>
    </w:p>
    <w:p>
      <w:pPr>
        <w:spacing w:line="400" w:lineRule="exact"/>
        <w:ind w:firstLine="420" w:firstLineChars="200"/>
        <w:jc w:val="left"/>
        <w:rPr>
          <w:rFonts w:ascii="宋体" w:hAnsi="宋体" w:cs="宋体"/>
          <w:szCs w:val="21"/>
          <w:lang w:bidi="ar"/>
        </w:rPr>
      </w:pPr>
      <w:r>
        <w:rPr>
          <w:rFonts w:hint="eastAsia" w:ascii="宋体" w:hAnsi="宋体" w:cs="宋体"/>
          <w:szCs w:val="21"/>
          <w:lang w:bidi="ar"/>
        </w:rPr>
        <w:t>13、技术服务方案；</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14、供应商认为需要提供的其他资料。</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〈二〉报价文件</w:t>
      </w:r>
    </w:p>
    <w:p>
      <w:pPr>
        <w:spacing w:line="380" w:lineRule="exact"/>
        <w:ind w:firstLine="420" w:firstLineChars="200"/>
        <w:jc w:val="left"/>
        <w:rPr>
          <w:rFonts w:hint="eastAsia" w:ascii="宋体" w:hAnsi="宋体" w:cs="宋体"/>
          <w:szCs w:val="21"/>
          <w:lang w:bidi="ar"/>
        </w:rPr>
      </w:pPr>
      <w:r>
        <w:rPr>
          <w:rFonts w:hint="eastAsia" w:ascii="宋体" w:hAnsi="宋体" w:cs="宋体"/>
          <w:szCs w:val="21"/>
          <w:lang w:bidi="ar"/>
        </w:rPr>
        <w:t>1、开标一览表（格式见附件）；</w:t>
      </w:r>
    </w:p>
    <w:p>
      <w:pPr>
        <w:spacing w:line="380" w:lineRule="exact"/>
        <w:ind w:firstLine="420" w:firstLineChars="200"/>
        <w:jc w:val="left"/>
        <w:rPr>
          <w:rFonts w:hint="eastAsia" w:ascii="宋体" w:hAnsi="宋体" w:cs="宋体"/>
          <w:szCs w:val="21"/>
          <w:lang w:bidi="ar"/>
        </w:rPr>
      </w:pPr>
      <w:r>
        <w:rPr>
          <w:rFonts w:hint="eastAsia" w:ascii="宋体" w:hAnsi="宋体" w:cs="宋体"/>
          <w:szCs w:val="21"/>
          <w:lang w:bidi="ar"/>
        </w:rPr>
        <w:t>2、</w:t>
      </w:r>
      <w:r>
        <w:rPr>
          <w:rFonts w:hint="eastAsia"/>
        </w:rPr>
        <w:t>投标分项报价表</w:t>
      </w:r>
      <w:r>
        <w:rPr>
          <w:rFonts w:hint="eastAsia" w:ascii="宋体" w:hAnsi="宋体" w:cs="宋体"/>
          <w:szCs w:val="21"/>
          <w:lang w:bidi="ar"/>
        </w:rPr>
        <w:t>（格式见附件）；</w:t>
      </w:r>
    </w:p>
    <w:p>
      <w:pPr>
        <w:spacing w:line="380" w:lineRule="exact"/>
        <w:ind w:firstLine="420" w:firstLineChars="200"/>
        <w:jc w:val="left"/>
        <w:rPr>
          <w:rFonts w:hint="eastAsia"/>
          <w:szCs w:val="22"/>
        </w:rPr>
      </w:pPr>
      <w:r>
        <w:rPr>
          <w:rFonts w:hint="eastAsia"/>
          <w:szCs w:val="22"/>
          <w:lang w:bidi="ar"/>
        </w:rPr>
        <w:t>3、分项测算明细表（格式自拟）；</w:t>
      </w:r>
    </w:p>
    <w:p>
      <w:pPr>
        <w:spacing w:line="380" w:lineRule="exact"/>
        <w:ind w:firstLine="420" w:firstLineChars="200"/>
        <w:jc w:val="left"/>
        <w:rPr>
          <w:rFonts w:hint="eastAsia" w:ascii="宋体" w:hAnsi="宋体" w:cs="宋体"/>
          <w:szCs w:val="21"/>
          <w:lang w:bidi="ar"/>
        </w:rPr>
      </w:pPr>
      <w:r>
        <w:rPr>
          <w:rFonts w:hint="eastAsia" w:ascii="宋体" w:hAnsi="宋体" w:cs="宋体"/>
          <w:szCs w:val="21"/>
          <w:lang w:bidi="ar"/>
        </w:rPr>
        <w:t>4、中小企业声明函（格式见附件）；</w:t>
      </w:r>
    </w:p>
    <w:p>
      <w:pPr>
        <w:spacing w:line="380" w:lineRule="exact"/>
        <w:ind w:firstLine="420" w:firstLineChars="200"/>
        <w:jc w:val="left"/>
        <w:rPr>
          <w:rFonts w:hint="eastAsia" w:ascii="宋体" w:hAnsi="宋体" w:cs="宋体"/>
          <w:szCs w:val="21"/>
          <w:lang w:bidi="ar"/>
        </w:rPr>
      </w:pPr>
      <w:r>
        <w:rPr>
          <w:rFonts w:hint="eastAsia" w:ascii="宋体" w:hAnsi="宋体" w:cs="宋体"/>
          <w:szCs w:val="21"/>
          <w:lang w:bidi="ar"/>
        </w:rPr>
        <w:t>5、残疾人福利性单位声明函（若有，格式见附件）；</w:t>
      </w:r>
    </w:p>
    <w:p>
      <w:pPr>
        <w:spacing w:line="380" w:lineRule="exact"/>
        <w:ind w:firstLine="420" w:firstLineChars="200"/>
        <w:jc w:val="left"/>
        <w:rPr>
          <w:rFonts w:hint="eastAsia" w:ascii="宋体" w:hAnsi="宋体" w:cs="宋体"/>
          <w:szCs w:val="21"/>
        </w:rPr>
      </w:pPr>
      <w:r>
        <w:rPr>
          <w:rFonts w:hint="eastAsia" w:ascii="宋体" w:hAnsi="宋体" w:cs="宋体"/>
          <w:szCs w:val="21"/>
          <w:lang w:bidi="ar"/>
        </w:rPr>
        <w:t>6、供应商认为需要的其他资料。</w:t>
      </w:r>
    </w:p>
    <w:p>
      <w:pPr>
        <w:spacing w:line="400" w:lineRule="exact"/>
        <w:ind w:firstLine="422" w:firstLineChars="200"/>
        <w:jc w:val="left"/>
        <w:rPr>
          <w:rFonts w:hint="eastAsia" w:ascii="宋体" w:hAnsi="宋体" w:cs="宋体"/>
          <w:b/>
          <w:szCs w:val="21"/>
        </w:rPr>
      </w:pPr>
      <w:r>
        <w:rPr>
          <w:rFonts w:hint="eastAsia" w:ascii="宋体" w:hAnsi="宋体" w:cs="宋体"/>
          <w:b/>
          <w:szCs w:val="21"/>
        </w:rPr>
        <w:t>九、投标文件的份数、密封、签署</w:t>
      </w:r>
    </w:p>
    <w:p>
      <w:pPr>
        <w:spacing w:line="400" w:lineRule="exact"/>
        <w:ind w:firstLine="422" w:firstLineChars="200"/>
        <w:jc w:val="left"/>
        <w:rPr>
          <w:rFonts w:hint="eastAsia" w:ascii="宋体" w:hAnsi="宋体" w:cs="宋体"/>
          <w:b/>
          <w:szCs w:val="21"/>
        </w:rPr>
      </w:pPr>
      <w:r>
        <w:rPr>
          <w:rFonts w:hint="eastAsia" w:ascii="宋体" w:hAnsi="宋体" w:cs="宋体"/>
          <w:b/>
          <w:szCs w:val="21"/>
        </w:rPr>
        <w:t>1、供应商应按本采购文件规定的格式和顺序编制投标文件并标注页码，投标文件内容不完整、编排混乱导致投标文件被误读、漏读或者查找不到相关内容的，由供应商自行承担相关责任。</w:t>
      </w:r>
    </w:p>
    <w:p>
      <w:pPr>
        <w:spacing w:line="400" w:lineRule="exact"/>
        <w:ind w:firstLine="422" w:firstLineChars="200"/>
        <w:jc w:val="left"/>
        <w:rPr>
          <w:rFonts w:hint="eastAsia" w:ascii="宋体" w:hAnsi="宋体" w:cs="宋体"/>
          <w:b/>
          <w:szCs w:val="21"/>
        </w:rPr>
      </w:pPr>
      <w:r>
        <w:rPr>
          <w:rFonts w:hint="eastAsia" w:ascii="宋体" w:hAnsi="宋体" w:cs="宋体"/>
          <w:b/>
          <w:szCs w:val="21"/>
        </w:rPr>
        <w:t>2、供应商于“政采云”上提供电子投标文件（</w:t>
      </w:r>
      <w:r>
        <w:rPr>
          <w:rFonts w:hint="eastAsia" w:ascii="宋体" w:hAnsi="宋体" w:cs="宋体"/>
          <w:b/>
          <w:bCs/>
          <w:szCs w:val="21"/>
        </w:rPr>
        <w:t>电子投标文件中所须加盖公章部分均采用CA签章</w:t>
      </w:r>
      <w:r>
        <w:rPr>
          <w:rFonts w:hint="eastAsia" w:ascii="宋体" w:hAnsi="宋体" w:cs="宋体"/>
          <w:b/>
          <w:szCs w:val="21"/>
        </w:rPr>
        <w:t>），并根据“政采云供应商项目采购-电子招投标操作指南”及本招标文件规定的格式和顺序编制电子投标文件并进行关联定位。未传输递交电子投标文件的，投标无效。</w:t>
      </w:r>
    </w:p>
    <w:p>
      <w:pPr>
        <w:pStyle w:val="2"/>
        <w:rPr>
          <w:rFonts w:hint="eastAsia" w:ascii="宋体" w:hAnsi="宋体" w:eastAsia="宋体" w:cs="宋体"/>
          <w:sz w:val="21"/>
          <w:szCs w:val="21"/>
          <w:lang w:bidi="ar"/>
        </w:rPr>
      </w:pPr>
      <w:r>
        <w:rPr>
          <w:rFonts w:hint="eastAsia" w:ascii="宋体" w:hAnsi="宋体" w:eastAsia="宋体" w:cs="宋体"/>
          <w:sz w:val="21"/>
          <w:szCs w:val="21"/>
        </w:rPr>
        <w:t>3、备份电子投标文件：以U盘或DVD光盘等介质存储的数据电文形式提供的备份电子投标文件数量1份，可安排一名“甬行码或健康码”为绿码的相关人员递交或EMS邮递，单独密封递交，外包装封面上应注明供应商名称、供应商地址、投标文件名称（电子备份文件）、采购项目名称、项目编号“在  年  月  日  时  分之前不得启封”字样，并加盖供应商公章</w:t>
      </w:r>
      <w:r>
        <w:rPr>
          <w:rFonts w:hint="eastAsia" w:ascii="宋体" w:hAnsi="宋体" w:eastAsia="宋体" w:cs="宋体"/>
          <w:sz w:val="21"/>
          <w:szCs w:val="21"/>
          <w:lang w:bidi="ar"/>
        </w:rPr>
        <w:t>，如果供应商未加写标记，采购人对投标文件的误投和提前启封不负责任。</w:t>
      </w:r>
    </w:p>
    <w:p>
      <w:pPr>
        <w:pStyle w:val="2"/>
        <w:ind w:firstLine="482"/>
        <w:rPr>
          <w:rFonts w:hint="eastAsia" w:ascii="宋体" w:hAnsi="宋体" w:eastAsia="宋体" w:cs="宋体"/>
          <w:sz w:val="21"/>
          <w:szCs w:val="21"/>
        </w:rPr>
      </w:pPr>
      <w:r>
        <w:rPr>
          <w:rFonts w:hint="eastAsia" w:ascii="宋体" w:hAnsi="宋体" w:eastAsia="宋体" w:cs="宋体"/>
          <w:b/>
          <w:szCs w:val="21"/>
        </w:rPr>
        <w:t>★</w:t>
      </w:r>
      <w:r>
        <w:rPr>
          <w:rFonts w:hint="eastAsia" w:ascii="宋体" w:hAnsi="宋体" w:eastAsia="宋体" w:cs="宋体"/>
          <w:sz w:val="21"/>
          <w:szCs w:val="21"/>
        </w:rPr>
        <w:t>未按规定提供相应的备份电子投标文件，造成项目开评标活动无法进行的，其投标无效。</w:t>
      </w:r>
    </w:p>
    <w:p>
      <w:pPr>
        <w:spacing w:line="400" w:lineRule="exact"/>
        <w:ind w:firstLine="420" w:firstLineChars="200"/>
        <w:jc w:val="left"/>
        <w:rPr>
          <w:rFonts w:hint="eastAsia" w:ascii="宋体" w:hAnsi="宋体" w:cs="宋体"/>
          <w:szCs w:val="21"/>
        </w:rPr>
      </w:pPr>
      <w:r>
        <w:rPr>
          <w:rFonts w:hint="eastAsia" w:ascii="宋体" w:hAnsi="宋体" w:cs="宋体"/>
          <w:szCs w:val="21"/>
        </w:rPr>
        <w:t>4、投标文件字迹必须清楚、工整，对不同文字文本投标文件的解释发生异议的，以中文文本为准</w:t>
      </w:r>
      <w:r>
        <w:rPr>
          <w:rFonts w:hint="eastAsia" w:ascii="宋体" w:hAnsi="宋体" w:cs="宋体"/>
          <w:szCs w:val="21"/>
          <w:lang w:bidi="ar"/>
        </w:rPr>
        <w:t>。</w:t>
      </w:r>
    </w:p>
    <w:p>
      <w:pPr>
        <w:spacing w:line="400" w:lineRule="exact"/>
        <w:ind w:firstLine="422" w:firstLineChars="200"/>
        <w:jc w:val="left"/>
        <w:rPr>
          <w:rFonts w:hint="eastAsia" w:ascii="宋体" w:hAnsi="宋体" w:cs="宋体"/>
          <w:b/>
          <w:szCs w:val="21"/>
        </w:rPr>
      </w:pPr>
      <w:r>
        <w:rPr>
          <w:rFonts w:hint="eastAsia" w:ascii="宋体" w:hAnsi="宋体" w:cs="宋体"/>
          <w:b/>
          <w:szCs w:val="21"/>
        </w:rPr>
        <w:t>十、投标文件的形式、效力和递交</w:t>
      </w:r>
    </w:p>
    <w:p>
      <w:pPr>
        <w:spacing w:line="400" w:lineRule="exact"/>
        <w:ind w:firstLine="420" w:firstLineChars="200"/>
        <w:jc w:val="left"/>
        <w:rPr>
          <w:rFonts w:hint="eastAsia" w:ascii="宋体" w:hAnsi="宋体" w:cs="宋体"/>
          <w:szCs w:val="21"/>
        </w:rPr>
      </w:pPr>
      <w:r>
        <w:rPr>
          <w:rFonts w:hint="eastAsia" w:ascii="宋体" w:hAnsi="宋体" w:cs="宋体"/>
          <w:szCs w:val="21"/>
        </w:rPr>
        <w:t>1、投标文件分为电子投标文件和电子备份投标文件。</w:t>
      </w:r>
    </w:p>
    <w:p>
      <w:pPr>
        <w:spacing w:line="400" w:lineRule="exact"/>
        <w:ind w:firstLine="420" w:firstLineChars="200"/>
        <w:jc w:val="left"/>
        <w:rPr>
          <w:rFonts w:hint="eastAsia" w:ascii="宋体" w:hAnsi="宋体" w:cs="宋体"/>
          <w:szCs w:val="21"/>
        </w:rPr>
      </w:pPr>
      <w:r>
        <w:rPr>
          <w:rFonts w:hint="eastAsia" w:ascii="宋体" w:hAnsi="宋体" w:cs="宋体"/>
          <w:szCs w:val="21"/>
        </w:rPr>
        <w:t>2、电子投标文件，按“政采云供应商项目采购-电子招投标操作指南”及本招标文件要求制作、加密并递交。</w:t>
      </w:r>
    </w:p>
    <w:p>
      <w:pPr>
        <w:spacing w:line="400" w:lineRule="exact"/>
        <w:ind w:firstLine="420" w:firstLineChars="200"/>
        <w:jc w:val="left"/>
        <w:rPr>
          <w:rFonts w:hint="eastAsia" w:ascii="宋体" w:hAnsi="宋体" w:cs="宋体"/>
          <w:szCs w:val="21"/>
        </w:rPr>
      </w:pPr>
      <w:r>
        <w:rPr>
          <w:rFonts w:hint="eastAsia" w:ascii="宋体" w:hAnsi="宋体" w:cs="宋体"/>
          <w:szCs w:val="21"/>
        </w:rPr>
        <w:t>3、电子备份投标文件，即电子投标文件按“政采云供应商项目采购-电子招投标操作指南”制作的备份文件。</w:t>
      </w:r>
    </w:p>
    <w:p>
      <w:pPr>
        <w:spacing w:line="400" w:lineRule="exact"/>
        <w:ind w:firstLine="420" w:firstLineChars="200"/>
        <w:jc w:val="left"/>
        <w:rPr>
          <w:rFonts w:hint="eastAsia" w:ascii="宋体" w:hAnsi="宋体" w:cs="宋体"/>
          <w:szCs w:val="21"/>
        </w:rPr>
      </w:pPr>
      <w:r>
        <w:rPr>
          <w:rFonts w:hint="eastAsia" w:ascii="宋体" w:hAnsi="宋体" w:cs="宋体"/>
          <w:szCs w:val="21"/>
        </w:rPr>
        <w:t>4、投标文件的效力</w:t>
      </w:r>
    </w:p>
    <w:p>
      <w:pPr>
        <w:spacing w:line="400" w:lineRule="exact"/>
        <w:ind w:firstLine="420" w:firstLineChars="200"/>
        <w:jc w:val="left"/>
        <w:rPr>
          <w:rFonts w:hint="eastAsia" w:ascii="宋体" w:hAnsi="宋体" w:cs="宋体"/>
          <w:szCs w:val="21"/>
        </w:rPr>
      </w:pPr>
      <w:r>
        <w:rPr>
          <w:rFonts w:hint="eastAsia" w:ascii="宋体" w:hAnsi="宋体" w:cs="宋体"/>
          <w:szCs w:val="21"/>
        </w:rPr>
        <w:t>4.1投标文件的启用，按先后顺位分别为电子投标文件、电子备份投标文件。在下一顺位的投标文件启用时，前一顺位的投标文件自动失效。</w:t>
      </w:r>
    </w:p>
    <w:p>
      <w:pPr>
        <w:spacing w:line="400" w:lineRule="exact"/>
        <w:ind w:firstLine="420" w:firstLineChars="200"/>
        <w:jc w:val="left"/>
        <w:rPr>
          <w:rFonts w:hint="eastAsia" w:ascii="宋体" w:hAnsi="宋体" w:cs="宋体"/>
          <w:szCs w:val="21"/>
        </w:rPr>
      </w:pPr>
      <w:r>
        <w:rPr>
          <w:rFonts w:hint="eastAsia" w:ascii="宋体" w:hAnsi="宋体" w:cs="宋体"/>
          <w:szCs w:val="21"/>
        </w:rPr>
        <w:t>4.2投标、响应文件未按时解密，供应商提供了备份投标、响应文件的，以备份投标、响应文件作为依据，否则视为投标、响应文件撤回。投标、响应文件已按时解密的，备份投标、响应文件自动失效。</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5、投标文件的递交</w:t>
      </w:r>
    </w:p>
    <w:p>
      <w:pPr>
        <w:spacing w:line="400" w:lineRule="exact"/>
        <w:ind w:firstLine="420" w:firstLineChars="200"/>
        <w:jc w:val="left"/>
        <w:rPr>
          <w:rFonts w:hint="eastAsia" w:ascii="宋体" w:hAnsi="宋体" w:cs="宋体"/>
          <w:szCs w:val="21"/>
        </w:rPr>
      </w:pPr>
      <w:r>
        <w:rPr>
          <w:rFonts w:hint="eastAsia" w:ascii="宋体" w:hAnsi="宋体" w:cs="宋体"/>
          <w:szCs w:val="21"/>
        </w:rPr>
        <w:t>供应商于投标截止时间（开标时间）之前将电子投标文件上传到“政采云”平台。</w:t>
      </w:r>
    </w:p>
    <w:p>
      <w:pPr>
        <w:spacing w:line="400" w:lineRule="exact"/>
        <w:ind w:firstLine="420" w:firstLineChars="200"/>
        <w:jc w:val="left"/>
        <w:rPr>
          <w:rFonts w:hint="eastAsia" w:ascii="宋体" w:hAnsi="宋体" w:cs="宋体"/>
          <w:szCs w:val="21"/>
        </w:rPr>
      </w:pPr>
      <w:r>
        <w:rPr>
          <w:rFonts w:hint="eastAsia" w:ascii="宋体" w:hAnsi="宋体" w:cs="宋体"/>
          <w:szCs w:val="21"/>
        </w:rPr>
        <w:t>投标人可安排“甬行码或健康码”为绿色的相关人员（原则上不超过一名）将U盘或DVD光盘等介质存储的电子备份投标文件密封并盖单位公章后递交至投标文件接收地点。本项目接受EMS邮递投标，邮递投标地址：慈溪市孙塘南路4号永敬商务楼215室，联系方式0574-63898331。本方式递交时间以招标代理工作人员签收时间为准。逾期送达不予接收。</w:t>
      </w:r>
    </w:p>
    <w:p>
      <w:pPr>
        <w:spacing w:line="400" w:lineRule="exact"/>
        <w:ind w:firstLine="420" w:firstLineChars="200"/>
        <w:jc w:val="left"/>
        <w:rPr>
          <w:rFonts w:hint="eastAsia"/>
        </w:rPr>
      </w:pPr>
      <w:r>
        <w:rPr>
          <w:rFonts w:hint="eastAsia" w:ascii="宋体" w:hAnsi="宋体" w:cs="宋体"/>
          <w:szCs w:val="21"/>
        </w:rPr>
        <w:t>疫情防控期间，请各投标单位遵守慈溪市公共资源交易中心各项防疫措施规定。</w:t>
      </w:r>
    </w:p>
    <w:p>
      <w:pPr>
        <w:spacing w:line="400" w:lineRule="exact"/>
        <w:ind w:firstLine="422" w:firstLineChars="200"/>
        <w:jc w:val="left"/>
        <w:rPr>
          <w:rFonts w:hint="eastAsia" w:ascii="宋体" w:hAnsi="宋体" w:cs="宋体"/>
          <w:b/>
          <w:szCs w:val="21"/>
        </w:rPr>
      </w:pPr>
      <w:bookmarkStart w:id="2" w:name="_Toc496099271"/>
      <w:r>
        <w:rPr>
          <w:rFonts w:hint="eastAsia" w:ascii="宋体" w:hAnsi="宋体" w:cs="宋体"/>
          <w:b/>
          <w:szCs w:val="21"/>
          <w:lang w:bidi="ar"/>
        </w:rPr>
        <w:t>十一、开评标程序</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1.1采购人在招标文件规定的时间和地点公开开标，疫情防控期间，不要求投标人员必须到场参加现场开标，若法定代表人或其授权代表需参加现场开标，法定代表人参加开标会的应出具《法定代表人身份证明书》及身份证明，授权代表参加开标会的应出具《法定代表人授权委托书》及身份证明。供应商的法定代表人或其授权代表未参加开标会议的，事后不得对采购相关人员、开标过程和开标结果提出异议。</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1.2开标会由代理机构主持。开标时，招标（代理）人介绍参加开标会议的相关人员，如投标人认为相关人员中有需要回避的情形可以在此时要求其回避。</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需要回避的情形：</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1、参加采购活动前3年内与投标人存在劳动关系；</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2、参加采购活动前3年内担任投标人的董事、监事；</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3、参加采购活动前3年内是投标人的控股股东或者实际控制人；</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4、与投标人的法定代表人或者负责人有夫妻、直系血亲、三代以内旁系血亲或者近姻亲关系；</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5、与投标人有其他可能影响政府采购活动公平、公正进行的关系。</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出现上述情形的，投标人法定代表人或其授权代表可以申请相关人员回避。</w:t>
      </w:r>
    </w:p>
    <w:p>
      <w:pPr>
        <w:pStyle w:val="2"/>
        <w:rPr>
          <w:rFonts w:hint="eastAsia" w:ascii="宋体" w:hAnsi="宋体" w:eastAsia="宋体" w:cs="宋体"/>
          <w:bCs/>
          <w:sz w:val="21"/>
          <w:szCs w:val="21"/>
          <w:lang w:bidi="ar"/>
        </w:rPr>
      </w:pPr>
      <w:r>
        <w:rPr>
          <w:rFonts w:hint="eastAsia" w:ascii="宋体" w:hAnsi="宋体" w:eastAsia="宋体" w:cs="宋体"/>
          <w:bCs/>
          <w:sz w:val="21"/>
          <w:szCs w:val="21"/>
          <w:lang w:bidi="ar"/>
        </w:rPr>
        <w:t>供应商应书面提出对参加开标会对主持人、唱读人、记录人和监督人是否有回避的请求。</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1.3电子招投标开标及评审程序</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1.3.1投标截止时间后，供应商登录政采云平台，用“项目采购-开标评标”功能对电子投标文件进行在线解密。在线解密电子投标文件时间为开标时间起30分钟内。</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1.3.2采购人或代理机构对供应商的资格进行审查；</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1.3.3评标委员会对商务技术响应文件进行评审；</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1.3.4在系统上公开商务技术评审结果；</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1.3.5在系统上公开报价开标情况；</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1.3.6评标委员会对报价情况进行评审；</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1.3.7在系统上公布评审结果。</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 xml:space="preserve">特别说明：政采云公司如对电子化开标及评审程序有调整的，按调整后的程序操作。 </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1.4本项目原则上采用政采云电子招投标开标及评审程序，但有下情形之一的，按以下情况处理：</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1.4.1若供应商在规定时间内无法解密或解密失败，将开启该供应商递交的电子备份投标文件，上传至政采云平台项目采购模块，以完成开标，其电子投标文件自动失效。</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1.4.2若因政采云平台原因无法读取或电子开评标无法正常进行，采购人将中止电子交易活动。</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1.4.3采购过程中出现以下情形，导致电子交易平台无法正常运行，或者无法保证电子交易的公平、公正和安全时，采购组织机构可中止电子交易活动：</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 xml:space="preserve">1.4.3.1电子交易平台发生故障而无法登录访问的； </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1.4.3.2电子交易平台应用或数据库出现错误，不能进行正常操作的；</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1.4.3.3电子交易平台发现严重安全漏洞，有潜在泄密危险的；</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 xml:space="preserve">1.4.3.4电脑病毒导致不能进行正常操作的； </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1.4.3.5其他无法保证电子交易的公平、公正和安全的情况。</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出现前款规定情形，不影响采购公平、公正性的，采购组织机构可以待上述情形消除后继续组织电子交易活动。</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2、评标委员会</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2.1评标委员会依法由7人及以上奇数的人员组成，评标委员会对投标文件进行审查、质疑、评估和比较。</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3、评标原则与方法</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3.1评标委员会将遵循公开、公平、公正的原则，对供应商提供服务价格、提供的服务方案等进行综合分析考评，由评委按照招标文件规定的评分标准记名并独立打分，根据综合得分排名推荐中标候选人。</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3.2客观、公正的对待所有投标供应商，对所有投标评价，均采用相同的程序和标准。</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3.3在开标、投标期间，投标供应商不得向评标委员会成员询问评标情况，不得进行旨在影响评标结果的活动，否则将废除其投标资格。</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3.4在评标过程中，评标成员不得与投标供应商私下交换意见，在招标工作结束后，凡与评标情况有接触的人不得将评标情况扩散出评标成员之外。</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3.5采购人不向落标方解释落标原因，不退还投标文件。</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3.6资格性审查：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对未通过资格性审查的供应商，采购人或采购机构告知其未通过的原因。合格供应商不足3家的，不再评标。</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3.7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具有实质性响应的投标。</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 xml:space="preserve">3.8商务评议：按照第六章商务条款的各项要求，对照投标文件的响应进行比较，判定其偏差性质和程度。 </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3.9技术评议：按照第五章采购项目需求的各项要求，对照投标文件的响应进行比较，判定其偏差性质和程度。</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3.10综合评估：通过资格性审查、符合性审查、商务评议和技术评议的投标，评标委员会成员分别对其商务、技术和价格按第三章评标办法及标准的规定进行打分。</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3.11评标委员会经过评审，认为所有投标都不符合招标文件要求的，可以否决所有投标。</w:t>
      </w:r>
    </w:p>
    <w:p>
      <w:pPr>
        <w:spacing w:line="400" w:lineRule="exact"/>
        <w:ind w:firstLine="420" w:firstLineChars="200"/>
        <w:jc w:val="left"/>
        <w:rPr>
          <w:rFonts w:ascii="宋体" w:hAnsi="宋体" w:cs="宋体"/>
          <w:bCs/>
          <w:szCs w:val="21"/>
          <w:lang w:bidi="ar"/>
        </w:rPr>
      </w:pPr>
      <w:r>
        <w:rPr>
          <w:rFonts w:hint="eastAsia" w:ascii="宋体" w:hAnsi="宋体" w:cs="宋体"/>
          <w:bCs/>
          <w:szCs w:val="21"/>
          <w:lang w:bidi="ar"/>
        </w:rPr>
        <w:t>3.12推荐预中标候选人</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3.12.1</w:t>
      </w:r>
      <w:r>
        <w:rPr>
          <w:rFonts w:hint="eastAsia" w:ascii="宋体" w:hAnsi="宋体" w:cs="宋体"/>
          <w:szCs w:val="21"/>
          <w:lang w:bidi="ar"/>
        </w:rPr>
        <w:t>按评分结果由高到低排序，得分相同，按投标报价由低到高顺序排列。得分且投标报价相同的并列。投标文件满足招标文件全部实质性要求，且按照评审因素的量化指标评审得分第一名的投标人为本项目第一中标候选人，按照评审因素的量化指标评审得分第二名的投标人为第二中标候选人。</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3.13定标</w:t>
      </w:r>
      <w:r>
        <w:rPr>
          <w:rFonts w:hint="eastAsia" w:ascii="宋体" w:hAnsi="宋体" w:cs="宋体"/>
          <w:bCs/>
          <w:szCs w:val="21"/>
          <w:lang w:bidi="ar"/>
        </w:rPr>
        <w:tab/>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本项目由采购人确定中标人。</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400" w:lineRule="exact"/>
        <w:ind w:firstLine="420" w:firstLineChars="200"/>
        <w:jc w:val="left"/>
        <w:rPr>
          <w:rFonts w:hint="eastAsia" w:ascii="宋体" w:hAnsi="宋体" w:cs="宋体"/>
          <w:bCs/>
          <w:szCs w:val="21"/>
          <w:lang w:bidi="ar"/>
        </w:rPr>
      </w:pPr>
      <w:r>
        <w:rPr>
          <w:rFonts w:hint="eastAsia" w:ascii="宋体" w:hAnsi="宋体" w:cs="宋体"/>
          <w:bCs/>
          <w:szCs w:val="21"/>
          <w:lang w:bidi="ar"/>
        </w:rPr>
        <w:t>若中标人放弃中标、或事后查询为失信被执行人的、或因不可抗力提出不能履行合同被依法撤销中标资格，则采购人可确定排名其次的中标候选人为中标人，或重新组织招标。</w:t>
      </w:r>
    </w:p>
    <w:p>
      <w:pPr>
        <w:spacing w:line="400" w:lineRule="exact"/>
        <w:ind w:firstLine="422" w:firstLineChars="200"/>
        <w:jc w:val="left"/>
        <w:rPr>
          <w:rFonts w:hint="eastAsia" w:ascii="宋体" w:hAnsi="宋体" w:cs="宋体"/>
          <w:b/>
          <w:szCs w:val="21"/>
          <w:lang w:bidi="ar"/>
        </w:rPr>
      </w:pPr>
      <w:r>
        <w:rPr>
          <w:rFonts w:hint="eastAsia" w:ascii="宋体" w:hAnsi="宋体" w:cs="宋体"/>
          <w:b/>
          <w:szCs w:val="21"/>
          <w:lang w:bidi="ar"/>
        </w:rPr>
        <w:t>4.评标过程的监控</w:t>
      </w:r>
    </w:p>
    <w:p>
      <w:pPr>
        <w:spacing w:line="400" w:lineRule="exact"/>
        <w:ind w:firstLine="422" w:firstLineChars="200"/>
        <w:jc w:val="left"/>
        <w:rPr>
          <w:rFonts w:hint="eastAsia" w:ascii="宋体" w:hAnsi="宋体" w:cs="宋体"/>
          <w:szCs w:val="21"/>
        </w:rPr>
      </w:pPr>
      <w:r>
        <w:rPr>
          <w:rFonts w:hint="eastAsia" w:ascii="宋体" w:hAnsi="宋体" w:cs="宋体"/>
          <w:b/>
          <w:szCs w:val="21"/>
          <w:lang w:bidi="ar"/>
        </w:rPr>
        <w:t>本项目评标过程实行全程录音、录像监控，供应商在评标过程中所进行的试图影响评标结果的不公正活动，可能导致其投标被拒绝</w:t>
      </w:r>
      <w:r>
        <w:rPr>
          <w:rFonts w:hint="eastAsia" w:ascii="宋体" w:hAnsi="宋体" w:cs="宋体"/>
          <w:b/>
          <w:bCs/>
          <w:szCs w:val="21"/>
          <w:lang w:bidi="ar"/>
        </w:rPr>
        <w:t>。</w:t>
      </w:r>
    </w:p>
    <w:p>
      <w:pPr>
        <w:spacing w:line="400" w:lineRule="exact"/>
        <w:ind w:firstLine="422" w:firstLineChars="200"/>
        <w:jc w:val="left"/>
        <w:rPr>
          <w:rFonts w:hint="eastAsia" w:ascii="宋体" w:hAnsi="宋体" w:cs="宋体"/>
          <w:b/>
          <w:szCs w:val="21"/>
        </w:rPr>
      </w:pPr>
      <w:r>
        <w:rPr>
          <w:rFonts w:hint="eastAsia" w:ascii="宋体" w:hAnsi="宋体" w:cs="宋体"/>
          <w:b/>
          <w:szCs w:val="21"/>
          <w:lang w:bidi="ar"/>
        </w:rPr>
        <w:t>十二、招标文件的澄清和修改</w:t>
      </w:r>
    </w:p>
    <w:p>
      <w:pPr>
        <w:spacing w:line="400" w:lineRule="exact"/>
        <w:ind w:firstLine="420" w:firstLineChars="200"/>
        <w:jc w:val="left"/>
        <w:rPr>
          <w:rFonts w:hint="eastAsia" w:ascii="宋体" w:hAnsi="宋体" w:cs="宋体"/>
        </w:rPr>
      </w:pPr>
      <w:r>
        <w:rPr>
          <w:rFonts w:hint="eastAsia" w:ascii="宋体" w:hAnsi="宋体" w:cs="宋体"/>
          <w:szCs w:val="21"/>
          <w:lang w:bidi="ar"/>
        </w:rPr>
        <w:t>1、</w:t>
      </w:r>
      <w:r>
        <w:rPr>
          <w:rFonts w:hint="eastAsia" w:ascii="宋体" w:hAnsi="宋体" w:cs="宋体"/>
        </w:rPr>
        <w:t>投标人应认真阅读本招标文件，发现其中有误或有要求不合理的，投标人应在招标公告期限届满之日起七个工作日内以书面形式向代理机构提出询问，代理机构在收到投标人依法提出的询问后3个工作日内作出答复。</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2、</w:t>
      </w:r>
      <w:r>
        <w:rPr>
          <w:rFonts w:hint="eastAsia" w:ascii="宋体" w:hAnsi="宋体" w:cs="宋体"/>
        </w:rPr>
        <w:t>招标代理机构在原采购公告发布媒体上以公告形式发布关于招标文件修改的“变更公告”。这些修改、补充文件或通知是招标文件的组成部分，相同内容修改以最后发出的为准，对所有投标人具有约束力。另请潜在投标人注意采购项目发布媒体的相关公告并自行下载。</w:t>
      </w:r>
    </w:p>
    <w:p>
      <w:pPr>
        <w:spacing w:line="400" w:lineRule="exact"/>
        <w:ind w:firstLine="422" w:firstLineChars="200"/>
        <w:jc w:val="left"/>
        <w:rPr>
          <w:rFonts w:hint="eastAsia" w:ascii="宋体" w:hAnsi="宋体" w:cs="宋体"/>
          <w:b/>
          <w:szCs w:val="21"/>
        </w:rPr>
      </w:pPr>
      <w:r>
        <w:rPr>
          <w:rFonts w:hint="eastAsia" w:ascii="宋体" w:hAnsi="宋体" w:cs="宋体"/>
          <w:b/>
          <w:szCs w:val="21"/>
          <w:lang w:bidi="ar"/>
        </w:rPr>
        <w:t>十三、质疑</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3、供应商提出质疑应当提交质疑函和必要的证明材料，质疑函应当以书面形式提出，质疑函格式和内容须符合财政部《质疑函范本》要求，供应商可到浙江政府采购网下载专区下载自行下载《质疑函范本》。</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5、采购人、采购代理机构接收质疑函的方式：供应商应以当面递交、邮寄、传真或电子邮件等方式提出质疑函。</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采取邮寄方式的，提出质疑的时间为质疑函原件交邮的时间（以邮戳时间或快递收件时间为准）。</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采取传真、电子邮件方式的，供应商应当在传真、电子邮件发出后将质疑函原件邮寄给被质疑人，提出质疑的时间为质疑函原件交邮的时间（以邮戳时间或快递收件时间为准）。</w:t>
      </w:r>
    </w:p>
    <w:p>
      <w:pPr>
        <w:topLinePunct/>
        <w:spacing w:line="380" w:lineRule="exact"/>
        <w:ind w:firstLine="420" w:firstLineChars="200"/>
        <w:rPr>
          <w:rFonts w:hint="eastAsia" w:ascii="宋体" w:hAnsi="宋体" w:cs="宋体"/>
          <w:szCs w:val="21"/>
        </w:rPr>
      </w:pPr>
      <w:r>
        <w:rPr>
          <w:rFonts w:hint="eastAsia" w:ascii="宋体" w:hAnsi="宋体" w:cs="宋体"/>
          <w:szCs w:val="21"/>
          <w:lang w:bidi="ar"/>
        </w:rPr>
        <w:t>6、采购人、采购代理机构以实际收到质疑函原件之日作为收到质疑函的日期，将在收到质疑函后7个工作日内作出答复。</w:t>
      </w:r>
    </w:p>
    <w:p>
      <w:pPr>
        <w:spacing w:line="380" w:lineRule="exact"/>
        <w:ind w:firstLine="420" w:firstLineChars="200"/>
        <w:jc w:val="left"/>
        <w:rPr>
          <w:rFonts w:hint="eastAsia" w:ascii="宋体" w:hAnsi="宋体" w:cs="宋体"/>
          <w:szCs w:val="21"/>
        </w:rPr>
      </w:pPr>
      <w:r>
        <w:rPr>
          <w:rFonts w:hint="eastAsia" w:ascii="宋体" w:hAnsi="宋体" w:cs="宋体"/>
          <w:szCs w:val="21"/>
          <w:lang w:bidi="ar"/>
        </w:rPr>
        <w:t>7、采购人、采购代理机构接收质疑函的联系人、联系电话和通讯地址等信息详见采购公告。</w:t>
      </w:r>
    </w:p>
    <w:p>
      <w:pPr>
        <w:spacing w:line="400" w:lineRule="exact"/>
        <w:ind w:firstLine="422" w:firstLineChars="200"/>
        <w:jc w:val="left"/>
        <w:rPr>
          <w:rFonts w:hint="eastAsia" w:ascii="宋体" w:hAnsi="宋体" w:cs="宋体"/>
          <w:b/>
          <w:szCs w:val="21"/>
        </w:rPr>
      </w:pPr>
      <w:r>
        <w:rPr>
          <w:rFonts w:hint="eastAsia" w:ascii="宋体" w:hAnsi="宋体" w:cs="宋体"/>
          <w:b/>
          <w:szCs w:val="21"/>
          <w:lang w:bidi="ar"/>
        </w:rPr>
        <w:t>十四、预算价</w:t>
      </w:r>
    </w:p>
    <w:p>
      <w:pPr>
        <w:spacing w:line="400" w:lineRule="exact"/>
        <w:ind w:firstLine="422" w:firstLineChars="200"/>
        <w:jc w:val="left"/>
        <w:rPr>
          <w:rFonts w:hint="eastAsia" w:ascii="宋体" w:hAnsi="宋体" w:cs="宋体"/>
          <w:b/>
          <w:szCs w:val="21"/>
          <w:lang w:bidi="ar"/>
        </w:rPr>
      </w:pPr>
      <w:r>
        <w:rPr>
          <w:rFonts w:hint="eastAsia" w:ascii="宋体" w:hAnsi="宋体" w:cs="宋体"/>
          <w:b/>
          <w:szCs w:val="21"/>
          <w:lang w:bidi="ar"/>
        </w:rPr>
        <w:t>本次公开招标设有预算价</w:t>
      </w:r>
      <w:r>
        <w:rPr>
          <w:rFonts w:hint="eastAsia" w:ascii="宋体" w:hAnsi="宋体" w:cs="宋体"/>
          <w:b/>
          <w:szCs w:val="21"/>
          <w:u w:val="single"/>
          <w:lang w:bidi="ar"/>
        </w:rPr>
        <w:t>1200万</w:t>
      </w:r>
      <w:r>
        <w:rPr>
          <w:rFonts w:hint="eastAsia" w:ascii="宋体" w:hAnsi="宋体" w:cs="宋体"/>
          <w:b/>
          <w:szCs w:val="21"/>
          <w:lang w:bidi="ar"/>
        </w:rPr>
        <w:t>元（</w:t>
      </w:r>
      <w:r>
        <w:rPr>
          <w:rFonts w:hint="eastAsia" w:ascii="宋体" w:hAnsi="宋体" w:cs="宋体"/>
          <w:b/>
          <w:bCs/>
          <w:szCs w:val="21"/>
        </w:rPr>
        <w:t>最高限价：</w:t>
      </w:r>
      <w:r>
        <w:rPr>
          <w:rFonts w:hint="eastAsia" w:ascii="宋体" w:hAnsi="宋体" w:cs="宋体"/>
          <w:b/>
          <w:bCs/>
          <w:szCs w:val="21"/>
          <w:u w:val="single"/>
        </w:rPr>
        <w:t>1200万</w:t>
      </w:r>
      <w:r>
        <w:rPr>
          <w:rFonts w:hint="eastAsia" w:ascii="宋体" w:hAnsi="宋体" w:cs="宋体"/>
          <w:b/>
          <w:bCs/>
          <w:szCs w:val="21"/>
        </w:rPr>
        <w:t>元</w:t>
      </w:r>
      <w:r>
        <w:rPr>
          <w:rFonts w:hint="eastAsia" w:ascii="宋体" w:hAnsi="宋体" w:cs="宋体"/>
          <w:b/>
          <w:szCs w:val="21"/>
          <w:lang w:bidi="ar"/>
        </w:rPr>
        <w:t>），总投标报价超出预算价的或最高限价的投标为无效投标；</w:t>
      </w:r>
    </w:p>
    <w:p>
      <w:pPr>
        <w:spacing w:line="400" w:lineRule="exact"/>
        <w:ind w:firstLine="422" w:firstLineChars="200"/>
        <w:jc w:val="left"/>
        <w:rPr>
          <w:rFonts w:hint="eastAsia" w:ascii="宋体" w:hAnsi="宋体" w:cs="宋体"/>
          <w:b/>
          <w:szCs w:val="21"/>
          <w:lang w:bidi="ar"/>
        </w:rPr>
      </w:pPr>
      <w:r>
        <w:rPr>
          <w:rFonts w:hint="eastAsia" w:ascii="宋体" w:hAnsi="宋体" w:cs="宋体"/>
          <w:b/>
          <w:szCs w:val="21"/>
          <w:lang w:bidi="ar"/>
        </w:rPr>
        <w:t>十五、合同相关</w:t>
      </w:r>
    </w:p>
    <w:p>
      <w:pPr>
        <w:topLinePunct/>
        <w:spacing w:line="380" w:lineRule="exact"/>
        <w:ind w:firstLine="420" w:firstLineChars="200"/>
        <w:rPr>
          <w:rFonts w:hint="eastAsia" w:ascii="宋体" w:hAnsi="宋体" w:cs="宋体"/>
          <w:szCs w:val="21"/>
          <w:lang w:bidi="ar"/>
        </w:rPr>
      </w:pPr>
      <w:r>
        <w:rPr>
          <w:rFonts w:hint="eastAsia" w:ascii="宋体" w:hAnsi="宋体" w:cs="宋体"/>
          <w:szCs w:val="21"/>
          <w:lang w:bidi="ar"/>
        </w:rPr>
        <w:t>1、采购人与中标人应当在《中标通知书》发出之日起30日内签订政府采购合同。同时，采购代理机构对合同内容进行鉴证，如发现与采购结果和投标承诺内容不一致的，应予以纠正。</w:t>
      </w:r>
    </w:p>
    <w:p>
      <w:pPr>
        <w:topLinePunct/>
        <w:spacing w:line="380" w:lineRule="exact"/>
        <w:ind w:firstLine="420" w:firstLineChars="200"/>
        <w:rPr>
          <w:rFonts w:hint="eastAsia" w:ascii="宋体" w:hAnsi="宋体" w:cs="宋体"/>
          <w:szCs w:val="21"/>
          <w:lang w:bidi="ar"/>
        </w:rPr>
      </w:pPr>
      <w:r>
        <w:rPr>
          <w:rFonts w:hint="eastAsia" w:ascii="宋体" w:hAnsi="宋体" w:cs="宋体"/>
          <w:szCs w:val="21"/>
          <w:lang w:bidi="ar"/>
        </w:rPr>
        <w:t>2、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2"/>
        <w:rPr>
          <w:rFonts w:hint="eastAsia"/>
        </w:rPr>
      </w:pPr>
      <w:r>
        <w:rPr>
          <w:rFonts w:hint="eastAsia" w:ascii="宋体" w:hAnsi="宋体" w:eastAsia="宋体" w:cs="宋体"/>
          <w:sz w:val="21"/>
          <w:szCs w:val="21"/>
        </w:rPr>
        <w:t>3、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topLinePunct/>
        <w:spacing w:line="380" w:lineRule="exact"/>
        <w:ind w:firstLine="422" w:firstLineChars="200"/>
        <w:rPr>
          <w:rFonts w:hint="eastAsia" w:ascii="宋体" w:hAnsi="宋体" w:cs="宋体"/>
          <w:b/>
          <w:szCs w:val="21"/>
        </w:rPr>
      </w:pPr>
      <w:r>
        <w:rPr>
          <w:rFonts w:hint="eastAsia" w:ascii="宋体" w:hAnsi="宋体" w:cs="宋体"/>
          <w:b/>
          <w:szCs w:val="21"/>
          <w:lang w:bidi="ar"/>
        </w:rPr>
        <w:t>十六、特别说明</w:t>
      </w:r>
    </w:p>
    <w:p>
      <w:pPr>
        <w:topLinePunct/>
        <w:spacing w:line="380" w:lineRule="exact"/>
        <w:ind w:firstLine="420" w:firstLineChars="200"/>
        <w:rPr>
          <w:rFonts w:hint="eastAsia" w:ascii="宋体" w:hAnsi="宋体" w:cs="宋体"/>
          <w:szCs w:val="21"/>
          <w:lang w:bidi="ar"/>
        </w:rPr>
      </w:pPr>
      <w:bookmarkStart w:id="3" w:name="_Toc529781143"/>
      <w:bookmarkStart w:id="4" w:name="_Toc12376821"/>
      <w:bookmarkStart w:id="5" w:name="_Toc11298"/>
      <w:bookmarkStart w:id="6" w:name="_Toc12428980"/>
      <w:bookmarkStart w:id="7" w:name="_Toc11591"/>
      <w:bookmarkStart w:id="8" w:name="_Toc12374296"/>
      <w:bookmarkStart w:id="9" w:name="_Toc436408708"/>
      <w:bookmarkStart w:id="10" w:name="_Toc441316554"/>
      <w:bookmarkStart w:id="11" w:name="_Toc419729158"/>
      <w:r>
        <w:rPr>
          <w:rFonts w:hint="eastAsia" w:ascii="宋体" w:hAnsi="宋体" w:cs="宋体"/>
          <w:szCs w:val="21"/>
          <w:lang w:bidi="ar"/>
        </w:rPr>
        <w:t>1、政府采购活动中有关中小企业的相关规定（采购进口产品的项目不适用）：</w:t>
      </w:r>
    </w:p>
    <w:p>
      <w:pPr>
        <w:spacing w:line="380" w:lineRule="exact"/>
        <w:ind w:firstLine="420" w:firstLineChars="200"/>
        <w:rPr>
          <w:rFonts w:hint="eastAsia" w:ascii="宋体" w:hAnsi="宋体" w:cs="宋体"/>
          <w:szCs w:val="21"/>
        </w:rPr>
      </w:pPr>
      <w:bookmarkStart w:id="12" w:name="_Toc1072"/>
      <w:bookmarkStart w:id="13" w:name="_Toc436408701"/>
      <w:bookmarkStart w:id="14" w:name="_Toc12376813"/>
      <w:bookmarkStart w:id="15" w:name="_Toc419729151"/>
      <w:bookmarkStart w:id="16" w:name="_Toc529781135"/>
      <w:bookmarkStart w:id="17" w:name="_Toc441316547"/>
      <w:bookmarkStart w:id="18" w:name="_Toc12374288"/>
      <w:bookmarkStart w:id="19" w:name="_Toc1083"/>
      <w:bookmarkStart w:id="20" w:name="_Toc12428972"/>
      <w:r>
        <w:rPr>
          <w:rFonts w:hint="eastAsia" w:ascii="宋体" w:hAnsi="宋体" w:cs="宋体"/>
          <w:szCs w:val="21"/>
          <w:lang w:bidi="ar"/>
        </w:rPr>
        <w:t>（1）参加政府采购活动的中小企业（含中型、小型、微型企业，其他地方同）应当同时符合以下条件：</w:t>
      </w:r>
      <w:bookmarkEnd w:id="12"/>
      <w:bookmarkEnd w:id="13"/>
      <w:bookmarkEnd w:id="14"/>
      <w:bookmarkEnd w:id="15"/>
      <w:bookmarkEnd w:id="16"/>
      <w:bookmarkEnd w:id="17"/>
      <w:bookmarkEnd w:id="18"/>
      <w:bookmarkEnd w:id="19"/>
      <w:bookmarkEnd w:id="20"/>
    </w:p>
    <w:p>
      <w:pPr>
        <w:spacing w:line="380" w:lineRule="exact"/>
        <w:ind w:firstLine="420" w:firstLineChars="200"/>
        <w:rPr>
          <w:rFonts w:hint="eastAsia" w:ascii="宋体" w:hAnsi="宋体" w:cs="宋体"/>
          <w:szCs w:val="21"/>
        </w:rPr>
      </w:pPr>
      <w:bookmarkStart w:id="21" w:name="_Toc419729152"/>
      <w:bookmarkStart w:id="22" w:name="_Toc436408702"/>
      <w:bookmarkStart w:id="23" w:name="_Toc24562"/>
      <w:bookmarkStart w:id="24" w:name="_Toc3879"/>
      <w:bookmarkStart w:id="25" w:name="_Toc12428973"/>
      <w:bookmarkStart w:id="26" w:name="_Toc12374289"/>
      <w:bookmarkStart w:id="27" w:name="_Toc12376814"/>
      <w:bookmarkStart w:id="28" w:name="_Toc441316548"/>
      <w:bookmarkStart w:id="29" w:name="_Toc529781136"/>
      <w:r>
        <w:rPr>
          <w:rFonts w:hint="eastAsia" w:ascii="宋体" w:hAnsi="宋体" w:cs="宋体"/>
          <w:szCs w:val="21"/>
          <w:lang w:bidi="ar"/>
        </w:rPr>
        <w:t>①符合中小企业划分标准（具体见工信部联企业[2011]300号）；</w:t>
      </w:r>
      <w:bookmarkEnd w:id="21"/>
      <w:bookmarkEnd w:id="22"/>
      <w:bookmarkEnd w:id="23"/>
      <w:bookmarkEnd w:id="24"/>
      <w:bookmarkEnd w:id="25"/>
      <w:bookmarkEnd w:id="26"/>
      <w:bookmarkEnd w:id="27"/>
      <w:bookmarkEnd w:id="28"/>
      <w:bookmarkEnd w:id="29"/>
    </w:p>
    <w:p>
      <w:pPr>
        <w:spacing w:line="380" w:lineRule="exact"/>
        <w:ind w:firstLine="420" w:firstLineChars="200"/>
        <w:rPr>
          <w:rFonts w:hint="eastAsia" w:ascii="宋体" w:hAnsi="宋体" w:cs="宋体"/>
          <w:szCs w:val="21"/>
        </w:rPr>
      </w:pPr>
      <w:bookmarkStart w:id="30" w:name="_Toc30104"/>
      <w:bookmarkStart w:id="31" w:name="_Toc529781137"/>
      <w:bookmarkStart w:id="32" w:name="_Toc24838"/>
      <w:bookmarkStart w:id="33" w:name="_Toc12374290"/>
      <w:bookmarkStart w:id="34" w:name="_Toc12376815"/>
      <w:bookmarkStart w:id="35" w:name="_Toc441316549"/>
      <w:bookmarkStart w:id="36" w:name="_Toc419729153"/>
      <w:bookmarkStart w:id="37" w:name="_Toc436408703"/>
      <w:bookmarkStart w:id="38" w:name="_Toc12428974"/>
      <w:r>
        <w:rPr>
          <w:rFonts w:hint="eastAsia" w:ascii="宋体" w:hAnsi="宋体" w:cs="宋体"/>
          <w:szCs w:val="21"/>
          <w:lang w:bidi="ar"/>
        </w:rPr>
        <w:t>②提供本企业制造的货物、承担的工程或者服务，或者提供其他中小企业制造的货物。本项目所称货物不包括使用大型企业注册商标的货物。小型、微型企业提供中型企业制造的货物的，视同为中型企业。</w:t>
      </w:r>
      <w:bookmarkEnd w:id="30"/>
      <w:bookmarkEnd w:id="31"/>
      <w:bookmarkEnd w:id="32"/>
      <w:bookmarkEnd w:id="33"/>
      <w:bookmarkEnd w:id="34"/>
      <w:bookmarkEnd w:id="35"/>
      <w:bookmarkEnd w:id="36"/>
      <w:bookmarkEnd w:id="37"/>
      <w:bookmarkEnd w:id="38"/>
    </w:p>
    <w:p>
      <w:pPr>
        <w:spacing w:line="380" w:lineRule="exact"/>
        <w:ind w:firstLine="420" w:firstLineChars="200"/>
        <w:rPr>
          <w:rFonts w:hint="eastAsia" w:ascii="宋体" w:hAnsi="宋体" w:cs="宋体"/>
          <w:szCs w:val="21"/>
        </w:rPr>
      </w:pPr>
      <w:bookmarkStart w:id="39" w:name="_Toc29780"/>
      <w:bookmarkStart w:id="40" w:name="_Toc419729154"/>
      <w:bookmarkStart w:id="41" w:name="_Toc12374291"/>
      <w:bookmarkStart w:id="42" w:name="_Toc29109"/>
      <w:bookmarkStart w:id="43" w:name="_Toc436408704"/>
      <w:bookmarkStart w:id="44" w:name="_Toc12376816"/>
      <w:bookmarkStart w:id="45" w:name="_Toc529781138"/>
      <w:bookmarkStart w:id="46" w:name="_Toc441316550"/>
      <w:bookmarkStart w:id="47" w:name="_Toc12428975"/>
      <w:r>
        <w:rPr>
          <w:rFonts w:hint="eastAsia" w:ascii="宋体" w:hAnsi="宋体" w:cs="宋体"/>
          <w:szCs w:val="21"/>
          <w:lang w:bidi="ar"/>
        </w:rPr>
        <w:t>（2）参加政府采购活动的中小企业应当提供《中小企业声明函》（格式见第六章）。</w:t>
      </w:r>
      <w:bookmarkEnd w:id="39"/>
      <w:bookmarkEnd w:id="40"/>
      <w:bookmarkEnd w:id="41"/>
      <w:bookmarkEnd w:id="42"/>
      <w:bookmarkEnd w:id="43"/>
      <w:bookmarkEnd w:id="44"/>
      <w:bookmarkEnd w:id="45"/>
      <w:bookmarkEnd w:id="46"/>
      <w:bookmarkEnd w:id="47"/>
    </w:p>
    <w:p>
      <w:pPr>
        <w:spacing w:line="380" w:lineRule="exact"/>
        <w:ind w:firstLine="420" w:firstLineChars="200"/>
        <w:rPr>
          <w:rFonts w:hint="eastAsia" w:ascii="宋体" w:hAnsi="宋体" w:cs="宋体"/>
          <w:szCs w:val="21"/>
        </w:rPr>
      </w:pPr>
      <w:bookmarkStart w:id="48" w:name="_Toc12376817"/>
      <w:bookmarkStart w:id="49" w:name="_Toc21047"/>
      <w:bookmarkStart w:id="50" w:name="_Toc436408705"/>
      <w:bookmarkStart w:id="51" w:name="_Toc12374292"/>
      <w:bookmarkStart w:id="52" w:name="_Toc441316551"/>
      <w:bookmarkStart w:id="53" w:name="_Toc419729155"/>
      <w:bookmarkStart w:id="54" w:name="_Toc18889"/>
      <w:bookmarkStart w:id="55" w:name="_Toc12428976"/>
      <w:bookmarkStart w:id="56" w:name="_Toc529781139"/>
      <w:r>
        <w:rPr>
          <w:rFonts w:hint="eastAsia" w:ascii="宋体" w:hAnsi="宋体" w:cs="宋体"/>
          <w:szCs w:val="21"/>
          <w:lang w:bidi="ar"/>
        </w:rPr>
        <w:t>（3）对于非专门面向中小企业的项目，对小微企业的价格应给予6%-10%的扣除，用扣除后的价格参与评审。具体扣除比例见第三章。</w:t>
      </w:r>
      <w:bookmarkEnd w:id="48"/>
      <w:bookmarkEnd w:id="49"/>
      <w:bookmarkEnd w:id="50"/>
      <w:bookmarkEnd w:id="51"/>
      <w:bookmarkEnd w:id="52"/>
      <w:bookmarkEnd w:id="53"/>
      <w:bookmarkEnd w:id="54"/>
      <w:bookmarkEnd w:id="55"/>
      <w:bookmarkEnd w:id="56"/>
    </w:p>
    <w:p>
      <w:pPr>
        <w:spacing w:line="380" w:lineRule="exact"/>
        <w:ind w:firstLine="420" w:firstLineChars="200"/>
        <w:rPr>
          <w:rFonts w:hint="eastAsia" w:ascii="宋体" w:hAnsi="宋体" w:cs="宋体"/>
          <w:szCs w:val="21"/>
        </w:rPr>
      </w:pPr>
      <w:bookmarkStart w:id="57" w:name="_Toc18607"/>
      <w:bookmarkStart w:id="58" w:name="_Toc25178"/>
      <w:bookmarkStart w:id="59" w:name="_Toc436408706"/>
      <w:bookmarkStart w:id="60" w:name="_Toc419729156"/>
      <w:bookmarkStart w:id="61" w:name="_Toc12376818"/>
      <w:bookmarkStart w:id="62" w:name="_Toc529781140"/>
      <w:bookmarkStart w:id="63" w:name="_Toc12374293"/>
      <w:bookmarkStart w:id="64" w:name="_Toc441316552"/>
      <w:bookmarkStart w:id="65" w:name="_Toc12428977"/>
      <w:r>
        <w:rPr>
          <w:rFonts w:hint="eastAsia" w:ascii="宋体" w:hAnsi="宋体" w:cs="宋体"/>
          <w:szCs w:val="21"/>
          <w:lang w:bidi="ar"/>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w:t>
      </w:r>
      <w:bookmarkEnd w:id="57"/>
      <w:bookmarkEnd w:id="58"/>
      <w:bookmarkEnd w:id="59"/>
      <w:bookmarkEnd w:id="60"/>
      <w:bookmarkEnd w:id="61"/>
      <w:bookmarkEnd w:id="62"/>
      <w:bookmarkEnd w:id="63"/>
      <w:bookmarkEnd w:id="64"/>
      <w:bookmarkEnd w:id="65"/>
    </w:p>
    <w:p>
      <w:pPr>
        <w:spacing w:line="380" w:lineRule="exact"/>
        <w:ind w:firstLine="420" w:firstLineChars="200"/>
        <w:rPr>
          <w:rFonts w:hint="eastAsia" w:ascii="宋体" w:hAnsi="宋体" w:cs="宋体"/>
          <w:szCs w:val="21"/>
        </w:rPr>
      </w:pPr>
      <w:bookmarkStart w:id="66" w:name="_Toc12428978"/>
      <w:bookmarkStart w:id="67" w:name="_Toc529781141"/>
      <w:bookmarkStart w:id="68" w:name="_Toc12374294"/>
      <w:bookmarkStart w:id="69" w:name="_Toc12376819"/>
      <w:bookmarkStart w:id="70" w:name="_Toc436408707"/>
      <w:bookmarkStart w:id="71" w:name="_Toc419729157"/>
      <w:bookmarkStart w:id="72" w:name="_Toc25608"/>
      <w:bookmarkStart w:id="73" w:name="_Toc441316553"/>
      <w:bookmarkStart w:id="74" w:name="_Toc28218"/>
      <w:r>
        <w:rPr>
          <w:rFonts w:hint="eastAsia" w:ascii="宋体" w:hAnsi="宋体" w:cs="宋体"/>
          <w:szCs w:val="21"/>
          <w:lang w:bidi="ar"/>
        </w:rPr>
        <w:t>（5）《中小企业声明函》由供应商提交，如供应商为代理商的，须自行采集制造商的中小企业划分类型信息填入相应栏目并对其真实性负责。</w:t>
      </w:r>
      <w:bookmarkEnd w:id="66"/>
      <w:bookmarkEnd w:id="67"/>
      <w:bookmarkEnd w:id="68"/>
      <w:bookmarkEnd w:id="69"/>
      <w:bookmarkEnd w:id="70"/>
      <w:bookmarkEnd w:id="71"/>
      <w:bookmarkEnd w:id="72"/>
      <w:bookmarkEnd w:id="73"/>
      <w:bookmarkEnd w:id="74"/>
    </w:p>
    <w:p>
      <w:pPr>
        <w:spacing w:line="380" w:lineRule="exact"/>
        <w:ind w:firstLine="420" w:firstLineChars="200"/>
        <w:rPr>
          <w:rFonts w:hint="eastAsia" w:ascii="宋体" w:hAnsi="宋体" w:cs="宋体"/>
          <w:szCs w:val="21"/>
        </w:rPr>
      </w:pPr>
      <w:bookmarkStart w:id="75" w:name="_Toc12374295"/>
      <w:bookmarkStart w:id="76" w:name="_Toc12428979"/>
      <w:bookmarkStart w:id="77" w:name="_Toc31308"/>
      <w:bookmarkStart w:id="78" w:name="_Toc12277"/>
      <w:bookmarkStart w:id="79" w:name="_Toc495244277"/>
      <w:bookmarkStart w:id="80" w:name="_Toc12376820"/>
      <w:bookmarkStart w:id="81" w:name="_Toc529781142"/>
      <w:r>
        <w:rPr>
          <w:rFonts w:hint="eastAsia" w:ascii="宋体" w:hAnsi="宋体" w:cs="宋体"/>
          <w:szCs w:val="21"/>
          <w:lang w:bidi="ar"/>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5"/>
      <w:bookmarkEnd w:id="76"/>
      <w:bookmarkEnd w:id="77"/>
      <w:bookmarkEnd w:id="78"/>
      <w:bookmarkEnd w:id="79"/>
      <w:bookmarkEnd w:id="80"/>
      <w:bookmarkEnd w:id="81"/>
    </w:p>
    <w:p>
      <w:pPr>
        <w:spacing w:line="380" w:lineRule="exact"/>
        <w:ind w:firstLine="420" w:firstLineChars="200"/>
        <w:rPr>
          <w:rFonts w:hint="eastAsia" w:ascii="宋体" w:hAnsi="宋体" w:cs="宋体"/>
          <w:szCs w:val="21"/>
          <w:lang w:bidi="ar"/>
        </w:rPr>
      </w:pPr>
      <w:r>
        <w:rPr>
          <w:rFonts w:hint="eastAsia" w:ascii="宋体" w:hAnsi="宋体" w:cs="宋体"/>
          <w:szCs w:val="21"/>
          <w:lang w:bidi="ar"/>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bookmarkEnd w:id="3"/>
    <w:bookmarkEnd w:id="4"/>
    <w:bookmarkEnd w:id="5"/>
    <w:bookmarkEnd w:id="6"/>
    <w:bookmarkEnd w:id="7"/>
    <w:bookmarkEnd w:id="8"/>
    <w:p>
      <w:pPr>
        <w:spacing w:line="380" w:lineRule="exact"/>
        <w:ind w:firstLine="422" w:firstLineChars="200"/>
        <w:jc w:val="left"/>
        <w:rPr>
          <w:rFonts w:hint="eastAsia" w:ascii="宋体" w:hAnsi="宋体" w:cs="宋体"/>
          <w:b/>
          <w:bCs/>
          <w:szCs w:val="21"/>
        </w:rPr>
      </w:pPr>
      <w:r>
        <w:rPr>
          <w:rFonts w:hint="eastAsia" w:ascii="宋体" w:hAnsi="宋体" w:cs="宋体"/>
          <w:b/>
          <w:bCs/>
          <w:szCs w:val="21"/>
          <w:lang w:bidi="ar"/>
        </w:rPr>
        <w:t>4、</w:t>
      </w:r>
      <w:r>
        <w:rPr>
          <w:rFonts w:hint="eastAsia" w:ascii="宋体" w:hAnsi="宋体" w:cs="宋体"/>
          <w:b/>
          <w:bCs/>
          <w:szCs w:val="21"/>
        </w:rPr>
        <w:t>无效投标</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发生下列情况之一的投标文件被视为无效：</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（一）标项以赠送方式响应的，或提供两个及以上方案的；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（二）供应商投标有效期不足的；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（三）投标文件未按招标文件要求签署、盖章的；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（四）报价超过招标文件中规定的预算金额或者最高限价的；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（五）经全体评标委员会一致认为，供应商的报价明显低于其他通过符合性审查供应商的报价，有可能影响产品质量或者不能诚信履约且不能提供有效材料证明其报价合理性的；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（六）有以下情形之一的，视为供应商串通投标，其投标无效：</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1.不同供应商的投标文件由同一单位或个人编制；</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2.不同供应商委托同一单位或者个人办理投标事宜；</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3.不同供应商的投标文件载明的项目管理成员或者联系人员为同一人；</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4.不同供应商的投标文件异常一致或者投标报价呈规律性差异；</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5.不同供应商的投标文件相互混装；</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（七）供应商违反公平竞争原则，恶意串通，妨碍其他供应商的竞争，损害采购人或者其他供应商的合法权益的；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（八）供应商因投标文件报价前后不一致而修正报价后不确认的；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（九）投标文件含有采购人不能接受的附加条件的；</w:t>
      </w:r>
    </w:p>
    <w:p>
      <w:pPr>
        <w:spacing w:line="380" w:lineRule="exact"/>
        <w:ind w:firstLine="422" w:firstLineChars="200"/>
        <w:jc w:val="left"/>
        <w:rPr>
          <w:rFonts w:hint="eastAsia" w:ascii="宋体" w:hAnsi="宋体" w:cs="宋体"/>
          <w:b/>
          <w:bCs/>
          <w:szCs w:val="21"/>
          <w:lang w:bidi="ar"/>
        </w:rPr>
      </w:pPr>
      <w:r>
        <w:rPr>
          <w:rFonts w:hint="eastAsia" w:ascii="宋体" w:hAnsi="宋体" w:cs="宋体"/>
          <w:b/>
          <w:bCs/>
          <w:szCs w:val="21"/>
          <w:lang w:bidi="ar"/>
        </w:rPr>
        <w:t>（十）不符合法律、法规和本招标文件规定的其他实质性要求的。</w:t>
      </w:r>
    </w:p>
    <w:p>
      <w:pPr>
        <w:spacing w:line="360" w:lineRule="exact"/>
        <w:ind w:firstLine="420" w:firstLineChars="200"/>
        <w:outlineLvl w:val="0"/>
        <w:rPr>
          <w:rFonts w:hint="eastAsia" w:ascii="宋体" w:hAnsi="宋体" w:cs="宋体"/>
          <w:szCs w:val="21"/>
        </w:rPr>
      </w:pPr>
      <w:bookmarkStart w:id="82" w:name="_Toc12374297"/>
      <w:bookmarkStart w:id="83" w:name="_Toc529781144"/>
      <w:bookmarkStart w:id="84" w:name="_Toc12376822"/>
      <w:bookmarkStart w:id="85" w:name="_Toc12428981"/>
      <w:bookmarkStart w:id="86" w:name="_Toc10801"/>
      <w:bookmarkStart w:id="87" w:name="_Toc7156"/>
      <w:r>
        <w:rPr>
          <w:rFonts w:hint="eastAsia" w:ascii="宋体" w:hAnsi="宋体" w:cs="宋体"/>
          <w:szCs w:val="21"/>
          <w:lang w:bidi="ar"/>
        </w:rPr>
        <w:t>5、本项目不组织潜在供应商现场考察或者召开开标前答疑。</w:t>
      </w:r>
      <w:bookmarkEnd w:id="82"/>
      <w:bookmarkEnd w:id="83"/>
      <w:bookmarkEnd w:id="84"/>
      <w:bookmarkEnd w:id="85"/>
      <w:bookmarkEnd w:id="86"/>
      <w:bookmarkEnd w:id="87"/>
    </w:p>
    <w:p>
      <w:pPr>
        <w:spacing w:line="360" w:lineRule="exact"/>
        <w:ind w:firstLine="420" w:firstLineChars="200"/>
        <w:outlineLvl w:val="0"/>
        <w:rPr>
          <w:rFonts w:hint="eastAsia" w:ascii="宋体" w:hAnsi="宋体" w:cs="宋体"/>
          <w:szCs w:val="21"/>
        </w:rPr>
      </w:pPr>
      <w:bookmarkStart w:id="88" w:name="_Toc12374298"/>
      <w:bookmarkStart w:id="89" w:name="_Toc15934"/>
      <w:bookmarkStart w:id="90" w:name="_Toc529781145"/>
      <w:bookmarkStart w:id="91" w:name="_Toc29744"/>
      <w:bookmarkStart w:id="92" w:name="_Toc12428982"/>
      <w:bookmarkStart w:id="93" w:name="_Toc12376823"/>
      <w:r>
        <w:rPr>
          <w:rFonts w:hint="eastAsia" w:ascii="宋体" w:hAnsi="宋体" w:cs="宋体"/>
          <w:szCs w:val="21"/>
          <w:lang w:bidi="ar"/>
        </w:rPr>
        <w:t>6、本文件未及事项，在签订合同时双方友好商定。</w:t>
      </w:r>
      <w:bookmarkEnd w:id="9"/>
      <w:bookmarkEnd w:id="10"/>
      <w:bookmarkEnd w:id="11"/>
      <w:bookmarkEnd w:id="88"/>
      <w:bookmarkEnd w:id="89"/>
      <w:bookmarkEnd w:id="90"/>
      <w:bookmarkEnd w:id="91"/>
      <w:bookmarkEnd w:id="92"/>
      <w:bookmarkEnd w:id="93"/>
    </w:p>
    <w:p>
      <w:pPr>
        <w:spacing w:line="360" w:lineRule="exact"/>
        <w:ind w:firstLine="420" w:firstLineChars="200"/>
        <w:rPr>
          <w:rFonts w:hint="eastAsia" w:ascii="宋体" w:hAnsi="宋体" w:cs="宋体"/>
          <w:szCs w:val="21"/>
        </w:rPr>
      </w:pPr>
      <w:bookmarkStart w:id="94" w:name="_Toc419729159"/>
      <w:r>
        <w:rPr>
          <w:rFonts w:hint="eastAsia" w:ascii="宋体" w:hAnsi="宋体" w:cs="宋体"/>
          <w:szCs w:val="21"/>
          <w:lang w:bidi="ar"/>
        </w:rPr>
        <w:t>7、本招标文件解释权归采购人。</w:t>
      </w:r>
      <w:bookmarkEnd w:id="94"/>
    </w:p>
    <w:p>
      <w:pPr>
        <w:pStyle w:val="4"/>
        <w:keepLines/>
        <w:spacing w:before="340" w:after="330" w:line="360" w:lineRule="auto"/>
        <w:rPr>
          <w:rFonts w:hint="eastAsia" w:ascii="宋体" w:hAnsi="宋体" w:cs="宋体"/>
          <w:sz w:val="36"/>
          <w:szCs w:val="36"/>
        </w:rPr>
      </w:pPr>
      <w:bookmarkStart w:id="95" w:name="_Toc15581"/>
      <w:r>
        <w:rPr>
          <w:rFonts w:hint="eastAsia" w:ascii="宋体" w:hAnsi="宋体" w:cs="宋体"/>
          <w:sz w:val="36"/>
          <w:szCs w:val="36"/>
        </w:rPr>
        <w:t xml:space="preserve">第三章  </w:t>
      </w:r>
      <w:bookmarkEnd w:id="2"/>
      <w:r>
        <w:rPr>
          <w:rFonts w:hint="eastAsia" w:ascii="宋体" w:hAnsi="宋体" w:cs="宋体"/>
          <w:sz w:val="36"/>
          <w:szCs w:val="36"/>
        </w:rPr>
        <w:t>评标办法及标准</w:t>
      </w:r>
      <w:bookmarkEnd w:id="95"/>
    </w:p>
    <w:p>
      <w:pPr>
        <w:spacing w:line="400" w:lineRule="exact"/>
        <w:rPr>
          <w:rFonts w:hint="eastAsia" w:ascii="宋体" w:hAnsi="宋体" w:cs="宋体"/>
          <w:b/>
          <w:szCs w:val="21"/>
        </w:rPr>
      </w:pPr>
      <w:r>
        <w:rPr>
          <w:rFonts w:hint="eastAsia" w:ascii="宋体" w:hAnsi="宋体" w:cs="宋体"/>
          <w:b/>
          <w:szCs w:val="21"/>
          <w:lang w:bidi="ar"/>
        </w:rPr>
        <w:t>一、评标办法</w:t>
      </w:r>
    </w:p>
    <w:p>
      <w:pPr>
        <w:spacing w:line="400" w:lineRule="exact"/>
        <w:ind w:left="-2" w:leftChars="-1" w:firstLine="420" w:firstLineChars="200"/>
        <w:rPr>
          <w:rFonts w:hint="eastAsia" w:ascii="宋体" w:hAnsi="宋体" w:cs="宋体"/>
          <w:szCs w:val="21"/>
        </w:rPr>
      </w:pPr>
      <w:r>
        <w:rPr>
          <w:rFonts w:hint="eastAsia" w:ascii="宋体" w:hAnsi="宋体" w:cs="宋体"/>
          <w:szCs w:val="21"/>
          <w:lang w:bidi="ar"/>
        </w:rPr>
        <w:t>1.1本项目评标采用综合评分法。</w:t>
      </w:r>
    </w:p>
    <w:p>
      <w:pPr>
        <w:spacing w:line="400" w:lineRule="exact"/>
        <w:ind w:left="-2" w:leftChars="-1" w:firstLine="420" w:firstLineChars="200"/>
        <w:rPr>
          <w:rFonts w:hint="eastAsia" w:ascii="宋体" w:hAnsi="宋体" w:cs="宋体"/>
          <w:szCs w:val="21"/>
        </w:rPr>
      </w:pPr>
      <w:r>
        <w:rPr>
          <w:rFonts w:hint="eastAsia" w:ascii="宋体" w:hAnsi="宋体" w:cs="宋体"/>
          <w:szCs w:val="21"/>
          <w:lang w:bidi="ar"/>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并推荐中标候选人。若供应商的综合得分相等，按投标报价由低到高顺序排列。得分且投标报价相同的并列。投标文件满足招标文件全部实质性要求，且按照评审因素的量化指标评审得分第一名的投标人为本项目第一中标候选人，按照评审因素的量化指标评审得分第二名的投标人为第二中标候选人</w:t>
      </w:r>
    </w:p>
    <w:p>
      <w:pPr>
        <w:spacing w:line="400" w:lineRule="exact"/>
        <w:ind w:left="-2" w:leftChars="-1" w:firstLine="420" w:firstLineChars="200"/>
        <w:rPr>
          <w:rFonts w:hint="eastAsia" w:ascii="宋体" w:hAnsi="宋体" w:cs="宋体"/>
          <w:szCs w:val="21"/>
        </w:rPr>
      </w:pPr>
      <w:r>
        <w:rPr>
          <w:rFonts w:hint="eastAsia" w:ascii="宋体" w:hAnsi="宋体" w:cs="宋体"/>
          <w:szCs w:val="21"/>
          <w:lang w:bidi="ar"/>
        </w:rPr>
        <w:t>1.3评标委员会成员对需要共同认定的事项存在争议的，应当按照少数服从多数的原则作出结论。</w:t>
      </w:r>
    </w:p>
    <w:p>
      <w:pPr>
        <w:spacing w:line="400" w:lineRule="exact"/>
        <w:rPr>
          <w:rFonts w:hint="eastAsia" w:ascii="宋体" w:hAnsi="宋体" w:cs="宋体"/>
          <w:b/>
          <w:szCs w:val="21"/>
        </w:rPr>
      </w:pPr>
      <w:r>
        <w:rPr>
          <w:rFonts w:hint="eastAsia" w:ascii="宋体" w:hAnsi="宋体" w:cs="宋体"/>
          <w:b/>
          <w:szCs w:val="21"/>
          <w:lang w:bidi="ar"/>
        </w:rPr>
        <w:t>二、评标委员会</w:t>
      </w:r>
    </w:p>
    <w:p>
      <w:pPr>
        <w:spacing w:line="400" w:lineRule="exact"/>
        <w:ind w:firstLine="420" w:firstLineChars="200"/>
        <w:rPr>
          <w:rFonts w:hint="eastAsia" w:ascii="宋体" w:hAnsi="宋体" w:cs="宋体"/>
          <w:szCs w:val="21"/>
        </w:rPr>
      </w:pPr>
      <w:r>
        <w:rPr>
          <w:rFonts w:hint="eastAsia" w:ascii="宋体" w:hAnsi="宋体" w:cs="宋体"/>
          <w:szCs w:val="21"/>
          <w:lang w:bidi="ar"/>
        </w:rPr>
        <w:t>2.1采购人依据相关规定组建评标委员会，负责本项目的评标工作。评标委员会成员名单在招标结果确定之前依法保密。</w:t>
      </w:r>
    </w:p>
    <w:p>
      <w:pPr>
        <w:spacing w:line="400" w:lineRule="exact"/>
        <w:ind w:firstLine="420" w:firstLineChars="200"/>
        <w:rPr>
          <w:rFonts w:hint="eastAsia" w:ascii="宋体" w:hAnsi="宋体" w:cs="宋体"/>
          <w:szCs w:val="21"/>
        </w:rPr>
      </w:pPr>
      <w:r>
        <w:rPr>
          <w:rFonts w:hint="eastAsia" w:ascii="宋体" w:hAnsi="宋体" w:cs="宋体"/>
          <w:szCs w:val="21"/>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pPr>
        <w:spacing w:line="400" w:lineRule="exact"/>
        <w:rPr>
          <w:rFonts w:hint="eastAsia" w:ascii="宋体" w:hAnsi="宋体" w:cs="宋体"/>
          <w:b/>
          <w:szCs w:val="21"/>
        </w:rPr>
      </w:pPr>
      <w:r>
        <w:rPr>
          <w:rFonts w:hint="eastAsia" w:ascii="宋体" w:hAnsi="宋体" w:cs="宋体"/>
          <w:b/>
          <w:szCs w:val="21"/>
          <w:lang w:bidi="ar"/>
        </w:rPr>
        <w:t>三、评标程序</w:t>
      </w:r>
    </w:p>
    <w:p>
      <w:pPr>
        <w:spacing w:line="400" w:lineRule="exact"/>
        <w:ind w:firstLine="422" w:firstLineChars="200"/>
        <w:rPr>
          <w:rFonts w:hint="eastAsia" w:ascii="宋体" w:hAnsi="宋体" w:cs="宋体"/>
          <w:b/>
          <w:bCs/>
          <w:szCs w:val="21"/>
          <w:lang w:bidi="ar"/>
        </w:rPr>
      </w:pPr>
      <w:r>
        <w:rPr>
          <w:rFonts w:hint="eastAsia" w:ascii="宋体" w:hAnsi="宋体" w:cs="宋体"/>
          <w:b/>
          <w:bCs/>
          <w:szCs w:val="21"/>
          <w:lang w:bidi="ar"/>
        </w:rPr>
        <w:t>3.1商务技术文件评审：</w:t>
      </w:r>
    </w:p>
    <w:p>
      <w:pPr>
        <w:spacing w:line="400" w:lineRule="exact"/>
        <w:ind w:firstLine="420" w:firstLineChars="200"/>
        <w:rPr>
          <w:rFonts w:hint="eastAsia" w:ascii="宋体" w:hAnsi="宋体" w:cs="宋体"/>
          <w:szCs w:val="21"/>
        </w:rPr>
      </w:pPr>
      <w:r>
        <w:rPr>
          <w:rFonts w:hint="eastAsia" w:ascii="宋体" w:hAnsi="宋体" w:cs="宋体"/>
          <w:szCs w:val="21"/>
          <w:lang w:bidi="ar"/>
        </w:rPr>
        <w:t>3.1.1初步审查：包含资格性审查和商务技术文件符合性审查。资格性审查是指采购人或代理机构根据“附表1资格审查表”的要求对投标文件逐一进行评审。商务技术文件符合性审查是指评标委员会根据“附表2商务技术文件符合性审查表”的要求对投标文件逐一进行评审。</w:t>
      </w:r>
      <w:r>
        <w:rPr>
          <w:rFonts w:hint="eastAsia" w:ascii="宋体" w:hAnsi="宋体" w:cs="宋体"/>
          <w:b/>
          <w:szCs w:val="21"/>
          <w:lang w:bidi="ar"/>
        </w:rPr>
        <w:t>资格性审查和商务技术文件符合性审查中，有任意一项审查结论不合格的，作无效标处理。</w:t>
      </w:r>
    </w:p>
    <w:p>
      <w:pPr>
        <w:spacing w:line="400" w:lineRule="exact"/>
        <w:ind w:firstLine="420" w:firstLineChars="200"/>
        <w:jc w:val="left"/>
        <w:rPr>
          <w:rFonts w:hint="eastAsia" w:ascii="宋体" w:hAnsi="宋体" w:cs="宋体"/>
          <w:szCs w:val="21"/>
          <w:lang w:val="zh-CN"/>
        </w:rPr>
      </w:pPr>
      <w:r>
        <w:rPr>
          <w:rFonts w:hint="eastAsia" w:ascii="宋体" w:hAnsi="宋体" w:cs="宋体"/>
          <w:szCs w:val="21"/>
          <w:lang w:bidi="ar"/>
        </w:rPr>
        <w:t>3.1.2</w:t>
      </w:r>
      <w:r>
        <w:rPr>
          <w:rFonts w:hint="eastAsia" w:ascii="宋体" w:hAnsi="宋体" w:cs="宋体"/>
          <w:szCs w:val="21"/>
          <w:lang w:val="zh-CN" w:bidi="ar"/>
        </w:rPr>
        <w:t>比较与评价：</w:t>
      </w:r>
      <w:r>
        <w:rPr>
          <w:rFonts w:hint="eastAsia" w:ascii="宋体" w:hAnsi="宋体" w:cs="宋体"/>
          <w:szCs w:val="21"/>
          <w:lang w:bidi="ar"/>
        </w:rPr>
        <w:t>评标委员会根据“附表3评分标准（兼评委打分表）”的要求，</w:t>
      </w:r>
      <w:r>
        <w:rPr>
          <w:rFonts w:hint="eastAsia" w:ascii="宋体" w:hAnsi="宋体" w:cs="宋体"/>
          <w:szCs w:val="21"/>
          <w:lang w:val="zh-CN" w:bidi="ar"/>
        </w:rPr>
        <w:t>对照投标文件的应答进行比较，判定其偏差性质和程度，</w:t>
      </w:r>
      <w:r>
        <w:rPr>
          <w:rFonts w:hint="eastAsia" w:ascii="宋体" w:hAnsi="宋体" w:cs="宋体"/>
          <w:szCs w:val="21"/>
          <w:lang w:bidi="ar"/>
        </w:rPr>
        <w:t>由评标委员会成员在分值范围内自行评分</w:t>
      </w:r>
      <w:r>
        <w:rPr>
          <w:rFonts w:hint="eastAsia" w:ascii="宋体" w:hAnsi="宋体" w:cs="宋体"/>
          <w:szCs w:val="21"/>
          <w:lang w:val="zh-CN" w:bidi="ar"/>
        </w:rPr>
        <w:t>。</w:t>
      </w:r>
    </w:p>
    <w:p>
      <w:pPr>
        <w:spacing w:line="400" w:lineRule="exact"/>
        <w:ind w:firstLine="420" w:firstLineChars="200"/>
        <w:jc w:val="left"/>
        <w:rPr>
          <w:rFonts w:hint="eastAsia" w:ascii="宋体" w:hAnsi="宋体" w:cs="宋体"/>
          <w:szCs w:val="21"/>
          <w:lang w:val="zh-CN" w:bidi="ar"/>
        </w:rPr>
      </w:pPr>
      <w:r>
        <w:rPr>
          <w:rFonts w:hint="eastAsia" w:ascii="宋体" w:hAnsi="宋体" w:cs="宋体"/>
          <w:szCs w:val="21"/>
          <w:lang w:bidi="ar"/>
        </w:rPr>
        <w:t>3.1.3</w:t>
      </w:r>
      <w:r>
        <w:rPr>
          <w:rFonts w:hint="eastAsia" w:ascii="宋体" w:hAnsi="宋体" w:cs="宋体"/>
          <w:szCs w:val="21"/>
          <w:lang w:val="zh-CN" w:bidi="ar"/>
        </w:rPr>
        <w:t>采购代理机构可协助评标委员会组长对打分结果进行校对、核对并汇总统计；</w:t>
      </w:r>
      <w:r>
        <w:rPr>
          <w:rFonts w:hint="eastAsia" w:ascii="宋体" w:hAnsi="宋体" w:cs="宋体"/>
          <w:b/>
          <w:szCs w:val="21"/>
          <w:lang w:val="zh-CN" w:bidi="ar"/>
        </w:rPr>
        <w:t>对明显畸高、畸低的评分（其总评分偏离平均分30%以上的），评标委员会组长应提醒相关评标委员会成员进行复核或书面说明理由</w:t>
      </w:r>
      <w:r>
        <w:rPr>
          <w:rFonts w:hint="eastAsia" w:ascii="宋体" w:hAnsi="宋体" w:cs="宋体"/>
          <w:szCs w:val="21"/>
          <w:lang w:val="zh-CN" w:bidi="ar"/>
        </w:rPr>
        <w:t>；评标委员会成员的评审、修改记录应保留原件，随项目其他资料一并存档。</w:t>
      </w:r>
    </w:p>
    <w:p>
      <w:pPr>
        <w:spacing w:line="400" w:lineRule="exact"/>
        <w:ind w:firstLine="422" w:firstLineChars="200"/>
        <w:jc w:val="left"/>
        <w:rPr>
          <w:rFonts w:hint="eastAsia" w:ascii="宋体" w:hAnsi="宋体" w:cs="宋体"/>
          <w:lang w:val="zh-CN"/>
        </w:rPr>
      </w:pPr>
      <w:r>
        <w:rPr>
          <w:rFonts w:hint="eastAsia" w:ascii="宋体" w:hAnsi="宋体" w:cs="宋体"/>
          <w:b/>
          <w:szCs w:val="21"/>
          <w:lang w:bidi="ar"/>
        </w:rPr>
        <w:t>3.2报价文件评审</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3.2.1报价文件符合性审查：报价文件符合性审查是指评标委员会根据“附表4报价文件符合性审查表”的要求对供应商报价文件逐一进行评审。</w:t>
      </w:r>
      <w:r>
        <w:rPr>
          <w:rFonts w:hint="eastAsia" w:ascii="宋体" w:hAnsi="宋体" w:cs="宋体"/>
          <w:b/>
          <w:bCs/>
          <w:szCs w:val="21"/>
          <w:lang w:bidi="ar"/>
        </w:rPr>
        <w:t>报价文件符合性审查中，审查结论不合格的，作无效标处理。</w:t>
      </w:r>
    </w:p>
    <w:p>
      <w:pPr>
        <w:spacing w:line="400" w:lineRule="exact"/>
        <w:ind w:firstLine="420" w:firstLineChars="200"/>
        <w:rPr>
          <w:rFonts w:hint="eastAsia" w:ascii="宋体" w:hAnsi="宋体" w:cs="宋体"/>
          <w:szCs w:val="21"/>
        </w:rPr>
      </w:pPr>
      <w:r>
        <w:rPr>
          <w:rFonts w:hint="eastAsia" w:ascii="宋体" w:hAnsi="宋体" w:cs="宋体"/>
          <w:szCs w:val="21"/>
          <w:lang w:bidi="ar"/>
        </w:rPr>
        <w:t>3.2.2在评标过程中，发现的价格计算错误按下述原则修正：</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（1）投标文件中开标一览表内容与投标文件中分项报价表内容不一致的，以开标一览表为准；</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（2）投标文件的大写金额和小写金额不一致的，以大写金额为准；</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（3）单价金额小数点有明显错位的，应以总价为准，并修改单价；</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（4）总价金额与按单价汇总金额不一致的，以单价金额计算结果为准。</w:t>
      </w:r>
    </w:p>
    <w:p>
      <w:pPr>
        <w:spacing w:line="400" w:lineRule="exact"/>
        <w:ind w:firstLine="420" w:firstLineChars="200"/>
        <w:rPr>
          <w:rFonts w:hint="eastAsia" w:ascii="宋体" w:hAnsi="宋体" w:cs="宋体"/>
          <w:lang w:bidi="ar"/>
        </w:rPr>
      </w:pPr>
      <w:r>
        <w:rPr>
          <w:rFonts w:hint="eastAsia" w:ascii="宋体" w:hAnsi="宋体" w:cs="宋体"/>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cs="宋体"/>
        </w:rPr>
      </w:pPr>
      <w:r>
        <w:rPr>
          <w:rFonts w:hint="eastAsia" w:ascii="宋体" w:hAnsi="宋体" w:cs="宋体"/>
          <w:szCs w:val="21"/>
          <w:lang w:bidi="ar"/>
        </w:rPr>
        <w:t>3.2.3评标委员会根据“附表5价格评分表”的规定，计算供应商报价得分（小数点后保留二位数）。</w:t>
      </w:r>
    </w:p>
    <w:p>
      <w:pPr>
        <w:spacing w:line="400" w:lineRule="exact"/>
        <w:ind w:firstLine="420" w:firstLineChars="200"/>
        <w:jc w:val="left"/>
        <w:rPr>
          <w:rFonts w:hint="eastAsia" w:ascii="宋体" w:hAnsi="宋体" w:cs="宋体"/>
        </w:rPr>
      </w:pPr>
      <w:r>
        <w:rPr>
          <w:rFonts w:hint="eastAsia" w:ascii="宋体" w:hAnsi="宋体" w:cs="宋体"/>
          <w:szCs w:val="21"/>
          <w:lang w:bidi="ar"/>
        </w:rPr>
        <w:t>3.3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3.4推荐中标候选人</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按评分结果由高到低排序，得分相同，按投标报价由低到高顺序排列。得分且投标报价相同的并列。投标文件满足招标文件全部实质性要求，且按照评审因素的量化指标评审得分第一名的投标人为本项目第一中标候选人，按照评审因素的量化指标评审得分第二名的投标人为第二中标候选人。</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3.5确定中标人</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本项目由采购人确定中标人。</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若中标人放弃中标、或事后查询为失信被执行人的、或因不可抗力提出不能履行合同被依法撤销中标资格，则招标人可确定排名其次的中标候选人为中标人，或重新组织招标。</w:t>
      </w:r>
    </w:p>
    <w:p>
      <w:pPr>
        <w:spacing w:line="400" w:lineRule="exact"/>
        <w:rPr>
          <w:rFonts w:hint="eastAsia" w:ascii="宋体" w:hAnsi="宋体" w:cs="宋体"/>
          <w:b/>
          <w:szCs w:val="21"/>
        </w:rPr>
      </w:pPr>
      <w:r>
        <w:rPr>
          <w:rFonts w:hint="eastAsia" w:ascii="宋体" w:hAnsi="宋体" w:cs="宋体"/>
          <w:b/>
          <w:szCs w:val="21"/>
          <w:lang w:bidi="ar"/>
        </w:rPr>
        <w:t>四、投标的澄清</w:t>
      </w:r>
    </w:p>
    <w:p>
      <w:pPr>
        <w:spacing w:line="400" w:lineRule="exact"/>
        <w:ind w:firstLine="420" w:firstLineChars="200"/>
        <w:rPr>
          <w:rFonts w:hint="eastAsia"/>
          <w:sz w:val="20"/>
          <w:szCs w:val="18"/>
        </w:rPr>
      </w:pPr>
      <w:r>
        <w:rPr>
          <w:rFonts w:hint="eastAsia" w:ascii="宋体" w:hAnsi="宋体" w:cs="宋体"/>
          <w:szCs w:val="21"/>
          <w:lang w:bidi="ar"/>
        </w:rPr>
        <w:t>4.1对投标文件审查中发现的投标文件表达含义不明确、同类问题表述不一致或者有明显文字和计算错误的内容，评标委员会应当书面形式要求供应商作出必要的澄清、说明或者补正；</w:t>
      </w:r>
      <w:r>
        <w:rPr>
          <w:rFonts w:hint="eastAsia" w:ascii="宋体" w:hAnsi="宋体" w:cs="仿宋_GB2312"/>
          <w:b/>
          <w:sz w:val="22"/>
          <w:szCs w:val="18"/>
        </w:rPr>
        <w:t>供应商代表未在开标现场的可以按规定以网上远程电子形式进行答复。</w:t>
      </w:r>
    </w:p>
    <w:p>
      <w:pPr>
        <w:spacing w:line="400" w:lineRule="exact"/>
        <w:ind w:firstLine="420" w:firstLineChars="200"/>
        <w:rPr>
          <w:rFonts w:hint="eastAsia" w:ascii="宋体" w:hAnsi="宋体" w:cs="宋体"/>
          <w:szCs w:val="21"/>
        </w:rPr>
      </w:pPr>
      <w:r>
        <w:rPr>
          <w:rFonts w:hint="eastAsia" w:ascii="宋体" w:hAnsi="宋体" w:cs="宋体"/>
          <w:szCs w:val="21"/>
          <w:lang w:bidi="ar"/>
        </w:rPr>
        <w:t>4.2供应商的现场澄清、说明或者补正应当采用书面形式，并加盖公章，或者由法定代表人或其委托代理人的签字。供应商的澄清、说明或者补正不得超出投标文件的范围或者改变投标文件的实质性内容。</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4.3若供应商未响应澄清安排的通知到场或网上电子形式进行答疑和澄清，将被视作自动放弃。</w:t>
      </w:r>
    </w:p>
    <w:p>
      <w:pPr>
        <w:spacing w:line="400" w:lineRule="exact"/>
        <w:ind w:firstLine="420" w:firstLineChars="200"/>
        <w:rPr>
          <w:rFonts w:ascii="宋体" w:hAnsi="宋体" w:cs="宋体"/>
          <w:szCs w:val="21"/>
          <w:lang w:bidi="ar"/>
        </w:rPr>
      </w:pPr>
      <w:r>
        <w:rPr>
          <w:rFonts w:hint="eastAsia" w:ascii="宋体" w:hAnsi="宋体" w:cs="宋体"/>
          <w:szCs w:val="21"/>
          <w:lang w:bidi="ar"/>
        </w:rPr>
        <w:t>4.4、网上电子澄清方式</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1、评标委员会对投标文件存在疑问的地方，可以进行询标，供应商代表未在开标现场的可以进行远程询标，要求投标人在合理时间内（至多30分钟，以开始网上接收时间为准）发送有关证明资料电子版，以便核验。</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2、供应商在截止时间前，根据标项回复询标函。路径：用户中心—项目采购—询标澄清。</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（1）政采云平台通过待办事项和短信提醒供应商在截止时间前完成澄清。</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（2）供应商在“询标澄清-待办理”标签页下选择状态为“待澄清”的项目，点击操作栏【澄清】。</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（3）查看询标函内容，在澄清截止时间前上传澄清文件并对澄清文件进行签章。（注：澄清文件必须以 PDF 格式上传，文件大小：50M。）</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（4）签章完成，文件名称处显示“已签章”，供应商可“撤回签章”修改澄清函和“查看文件”。</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完成状态：供应商澄清文件提交成功后，在“询标澄清-全部”标签页下显示状态为“已澄清”。</w:t>
      </w:r>
    </w:p>
    <w:p>
      <w:pPr>
        <w:widowControl/>
        <w:spacing w:line="400" w:lineRule="exact"/>
        <w:jc w:val="left"/>
        <w:rPr>
          <w:rFonts w:hint="eastAsia" w:ascii="宋体" w:hAnsi="宋体" w:cs="宋体"/>
          <w:b/>
          <w:szCs w:val="21"/>
        </w:rPr>
      </w:pPr>
      <w:r>
        <w:rPr>
          <w:rFonts w:hint="eastAsia" w:ascii="宋体" w:hAnsi="宋体" w:cs="宋体"/>
          <w:b/>
          <w:szCs w:val="21"/>
          <w:lang w:bidi="ar"/>
        </w:rPr>
        <w:t>五、特别声明：价格是评标的重要因素之一，但最低价不是中标的唯一依据。</w:t>
      </w:r>
    </w:p>
    <w:p>
      <w:pPr>
        <w:spacing w:line="400" w:lineRule="exact"/>
        <w:jc w:val="left"/>
        <w:rPr>
          <w:rFonts w:hint="eastAsia" w:ascii="宋体" w:hAnsi="宋体" w:cs="宋体"/>
          <w:b/>
          <w:szCs w:val="21"/>
        </w:rPr>
      </w:pPr>
      <w:r>
        <w:rPr>
          <w:rFonts w:hint="eastAsia" w:ascii="宋体" w:hAnsi="宋体" w:cs="宋体"/>
          <w:b/>
          <w:szCs w:val="21"/>
          <w:lang w:bidi="ar"/>
        </w:rPr>
        <w:t>六、重新招标</w:t>
      </w:r>
    </w:p>
    <w:p>
      <w:pPr>
        <w:spacing w:line="400" w:lineRule="exact"/>
        <w:ind w:firstLine="420" w:firstLineChars="200"/>
        <w:rPr>
          <w:rFonts w:hint="eastAsia" w:ascii="宋体" w:hAnsi="宋体" w:cs="宋体"/>
          <w:szCs w:val="21"/>
        </w:rPr>
      </w:pPr>
      <w:r>
        <w:rPr>
          <w:rFonts w:hint="eastAsia" w:ascii="宋体" w:hAnsi="宋体" w:cs="宋体"/>
          <w:szCs w:val="21"/>
          <w:lang w:bidi="ar"/>
        </w:rPr>
        <w:t>有下列情形之一的，采购人将重新招标：</w:t>
      </w:r>
    </w:p>
    <w:p>
      <w:pPr>
        <w:spacing w:line="400" w:lineRule="exact"/>
        <w:ind w:firstLine="420" w:firstLineChars="200"/>
        <w:rPr>
          <w:rFonts w:hint="eastAsia" w:ascii="宋体" w:hAnsi="宋体" w:cs="宋体"/>
          <w:szCs w:val="21"/>
        </w:rPr>
      </w:pPr>
      <w:r>
        <w:rPr>
          <w:rFonts w:hint="eastAsia" w:ascii="宋体" w:hAnsi="宋体" w:cs="宋体"/>
          <w:szCs w:val="21"/>
          <w:lang w:bidi="ar"/>
        </w:rPr>
        <w:t>6.1投标截止时间止，供应商少于3个的；</w:t>
      </w:r>
    </w:p>
    <w:p>
      <w:pPr>
        <w:spacing w:line="400" w:lineRule="exact"/>
        <w:ind w:firstLine="420" w:firstLineChars="200"/>
        <w:rPr>
          <w:rFonts w:hint="eastAsia" w:ascii="宋体" w:hAnsi="宋体" w:cs="宋体"/>
          <w:szCs w:val="21"/>
        </w:rPr>
      </w:pPr>
      <w:r>
        <w:rPr>
          <w:rFonts w:hint="eastAsia" w:ascii="宋体" w:hAnsi="宋体" w:cs="宋体"/>
          <w:szCs w:val="21"/>
          <w:lang w:bidi="ar"/>
        </w:rPr>
        <w:t>6.2评标委员会评标过程中，有效供应商少于3个的；</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pPr>
        <w:pStyle w:val="2"/>
        <w:ind w:firstLine="480"/>
        <w:rPr>
          <w:rFonts w:hint="eastAsia" w:ascii="宋体" w:hAnsi="宋体" w:eastAsia="宋体" w:cs="宋体"/>
          <w:szCs w:val="21"/>
          <w:lang w:bidi="ar"/>
        </w:rPr>
      </w:pPr>
    </w:p>
    <w:p>
      <w:pPr>
        <w:pStyle w:val="2"/>
        <w:ind w:firstLine="0" w:firstLineChars="0"/>
        <w:rPr>
          <w:rFonts w:hint="eastAsia" w:ascii="宋体" w:hAnsi="宋体" w:eastAsia="宋体" w:cs="宋体"/>
          <w:b/>
          <w:bCs/>
          <w:sz w:val="21"/>
          <w:szCs w:val="21"/>
          <w:lang w:bidi="ar"/>
        </w:rPr>
      </w:pPr>
      <w:r>
        <w:rPr>
          <w:rFonts w:hint="eastAsia" w:ascii="宋体" w:hAnsi="宋体" w:eastAsia="宋体" w:cs="宋体"/>
          <w:b/>
          <w:bCs/>
          <w:sz w:val="21"/>
          <w:szCs w:val="21"/>
          <w:lang w:bidi="ar"/>
        </w:rPr>
        <w:t xml:space="preserve">附表1：  </w:t>
      </w:r>
      <w:r>
        <w:rPr>
          <w:rFonts w:hint="eastAsia" w:ascii="宋体" w:hAnsi="宋体" w:eastAsia="宋体" w:cs="宋体"/>
          <w:sz w:val="21"/>
          <w:szCs w:val="21"/>
          <w:lang w:bidi="ar"/>
        </w:rPr>
        <w:t xml:space="preserve">                            </w:t>
      </w:r>
      <w:r>
        <w:rPr>
          <w:rFonts w:hint="eastAsia" w:ascii="宋体" w:hAnsi="宋体" w:eastAsia="宋体" w:cs="宋体"/>
          <w:b/>
          <w:bCs/>
          <w:sz w:val="21"/>
          <w:szCs w:val="21"/>
          <w:lang w:bidi="ar"/>
        </w:rPr>
        <w:t xml:space="preserve">  </w:t>
      </w:r>
    </w:p>
    <w:p>
      <w:pPr>
        <w:pStyle w:val="2"/>
        <w:spacing w:line="360" w:lineRule="auto"/>
        <w:ind w:firstLine="0" w:firstLineChars="0"/>
        <w:jc w:val="center"/>
        <w:rPr>
          <w:rFonts w:hint="eastAsia" w:ascii="宋体" w:hAnsi="宋体" w:eastAsia="宋体" w:cs="宋体"/>
          <w:b/>
          <w:bCs/>
          <w:sz w:val="28"/>
          <w:szCs w:val="28"/>
          <w:lang w:bidi="ar"/>
        </w:rPr>
      </w:pPr>
      <w:r>
        <w:rPr>
          <w:rFonts w:hint="eastAsia" w:ascii="宋体" w:hAnsi="宋体" w:eastAsia="宋体" w:cs="宋体"/>
          <w:b/>
          <w:bCs/>
          <w:sz w:val="28"/>
          <w:szCs w:val="28"/>
          <w:lang w:bidi="ar"/>
        </w:rPr>
        <w:t>资格性审查表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65"/>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序号</w:t>
            </w:r>
          </w:p>
        </w:tc>
        <w:tc>
          <w:tcPr>
            <w:tcW w:w="35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审查要求</w:t>
            </w:r>
          </w:p>
        </w:tc>
        <w:tc>
          <w:tcPr>
            <w:tcW w:w="549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cs="宋体"/>
                <w:szCs w:val="21"/>
                <w:lang w:bidi="ar"/>
              </w:rPr>
              <w:t>1</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具有独立承担民事责任的能力</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rPr>
              <w:t>具有有效的</w:t>
            </w:r>
            <w:r>
              <w:rPr>
                <w:rFonts w:hint="eastAsia" w:ascii="宋体" w:hAnsi="宋体"/>
              </w:rPr>
              <w:t>企业法人营业执照（或事业法人登记证）或其他组织（个体工商户）的营业执照或者民办非企业单位登记证书扫描件。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cs="宋体"/>
                <w:szCs w:val="21"/>
                <w:lang w:bidi="ar"/>
              </w:rPr>
              <w:t>2</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具有良好的商业信誉和健全的财务会计制度</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具有良好的商业信誉和健全的财务会计制度声明函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cs="宋体"/>
                <w:szCs w:val="21"/>
                <w:lang w:bidi="ar"/>
              </w:rPr>
              <w:t>3</w:t>
            </w:r>
          </w:p>
        </w:tc>
        <w:tc>
          <w:tcPr>
            <w:tcW w:w="3565" w:type="dxa"/>
            <w:tcBorders>
              <w:top w:val="single" w:color="auto" w:sz="4" w:space="0"/>
              <w:left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具有履行合同所必需的设备和专业技术能力</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具有履行合同所必需的设备和专业技术能力的书面声明函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cs="宋体"/>
                <w:szCs w:val="21"/>
                <w:lang w:bidi="ar"/>
              </w:rPr>
              <w:t>4</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有依法缴纳税收和社会保障资金的良好记录</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1、关于资格的声明函；</w:t>
            </w:r>
          </w:p>
          <w:p>
            <w:pPr>
              <w:spacing w:line="340" w:lineRule="exact"/>
              <w:rPr>
                <w:rFonts w:hint="eastAsia" w:ascii="宋体" w:hAnsi="宋体" w:cs="宋体"/>
                <w:szCs w:val="21"/>
                <w:lang w:bidi="ar"/>
              </w:rPr>
            </w:pPr>
            <w:r>
              <w:rPr>
                <w:rFonts w:hint="eastAsia" w:ascii="宋体" w:hAnsi="宋体" w:cs="宋体"/>
                <w:szCs w:val="21"/>
                <w:lang w:bidi="ar"/>
              </w:rPr>
              <w:t>2、供应商开标前六个月任一个月开具的缴纳税收的凭据证明材料扫描件（加盖供应商公章）（依法免税的供应商，应提供相应文件证明其依法免税）；</w:t>
            </w:r>
          </w:p>
          <w:p>
            <w:pPr>
              <w:spacing w:line="340" w:lineRule="exact"/>
              <w:rPr>
                <w:rFonts w:hint="eastAsia" w:ascii="宋体" w:hAnsi="宋体" w:cs="宋体"/>
                <w:szCs w:val="21"/>
                <w:lang w:bidi="ar"/>
              </w:rPr>
            </w:pPr>
            <w:r>
              <w:rPr>
                <w:rFonts w:hint="eastAsia" w:ascii="宋体" w:hAnsi="宋体" w:cs="宋体"/>
                <w:szCs w:val="21"/>
                <w:lang w:bidi="ar"/>
              </w:rPr>
              <w:t>3、供应商标前六个月任一个月开具的缴纳社会保险的凭据证明材料扫描件（加盖供应商公章）（依法不需要缴纳社保的供应商，应提供相应文件证明其依法不需要缴纳社保）。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cs="宋体"/>
                <w:szCs w:val="21"/>
                <w:lang w:bidi="ar"/>
              </w:rPr>
              <w:t>5</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参加政府采购活动前三年内，在经营活动中没有重大违法记录</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无重大违法记录声明函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cs="宋体"/>
                <w:szCs w:val="21"/>
                <w:lang w:bidi="ar"/>
              </w:rPr>
              <w:t>6</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未被信用中国网站（www.creditchina.gov.cn）列入失信被执行人、重大税收违法案件当事人名单，未被中国政府采购网（www.ccgp.gov.cn）列入政府采购严重违法失信行为记录名单。</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szCs w:val="21"/>
                <w:lang w:bidi="ar"/>
              </w:rPr>
            </w:pPr>
            <w:r>
              <w:rPr>
                <w:rFonts w:hint="eastAsia" w:ascii="宋体" w:hAnsi="宋体" w:cs="宋体"/>
                <w:szCs w:val="21"/>
                <w:lang w:bidi="ar"/>
              </w:rPr>
              <w:t>1、供应商一般情况表；</w:t>
            </w:r>
          </w:p>
          <w:p>
            <w:pPr>
              <w:spacing w:line="340" w:lineRule="exact"/>
              <w:rPr>
                <w:rFonts w:hint="eastAsia" w:ascii="宋体" w:hAnsi="宋体" w:cs="宋体"/>
                <w:szCs w:val="21"/>
                <w:lang w:bidi="ar"/>
              </w:rPr>
            </w:pPr>
            <w:r>
              <w:rPr>
                <w:rFonts w:hint="eastAsia" w:ascii="宋体" w:hAnsi="宋体" w:cs="宋体"/>
                <w:szCs w:val="21"/>
                <w:lang w:bidi="ar"/>
              </w:rPr>
              <w:t>2、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rPr>
                <w:rFonts w:hint="eastAsia" w:ascii="宋体" w:hAnsi="宋体" w:cs="宋体"/>
                <w:szCs w:val="21"/>
                <w:lang w:bidi="ar"/>
              </w:rPr>
            </w:pPr>
            <w:r>
              <w:rPr>
                <w:rFonts w:hint="eastAsia" w:ascii="宋体" w:hAnsi="宋体" w:cs="宋体"/>
                <w:szCs w:val="21"/>
                <w:lang w:bidi="ar"/>
              </w:rPr>
              <w:t>3、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7</w:t>
            </w:r>
          </w:p>
        </w:tc>
        <w:tc>
          <w:tcPr>
            <w:tcW w:w="35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lang w:bidi="ar"/>
              </w:rPr>
              <w:t>供应商是否为联合体</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bCs/>
                <w:szCs w:val="21"/>
              </w:rPr>
              <w:t>资格审查结论</w:t>
            </w:r>
          </w:p>
        </w:tc>
        <w:tc>
          <w:tcPr>
            <w:tcW w:w="54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p>
        </w:tc>
      </w:tr>
    </w:tbl>
    <w:p>
      <w:pPr>
        <w:spacing w:line="240" w:lineRule="exact"/>
        <w:rPr>
          <w:rFonts w:hint="eastAsia" w:ascii="宋体" w:hAnsi="宋体" w:cs="宋体"/>
          <w:bCs/>
          <w:lang w:bidi="ar"/>
        </w:rPr>
      </w:pPr>
    </w:p>
    <w:p>
      <w:pPr>
        <w:spacing w:line="300" w:lineRule="exact"/>
        <w:ind w:firstLine="211" w:firstLineChars="100"/>
        <w:rPr>
          <w:rFonts w:hint="eastAsia" w:ascii="宋体" w:hAnsi="宋体" w:cs="宋体"/>
          <w:b/>
          <w:szCs w:val="22"/>
          <w:lang w:bidi="ar"/>
        </w:rPr>
      </w:pPr>
      <w:r>
        <w:rPr>
          <w:rFonts w:hint="eastAsia" w:ascii="宋体" w:hAnsi="宋体" w:cs="宋体"/>
          <w:b/>
          <w:szCs w:val="22"/>
          <w:lang w:bidi="ar"/>
        </w:rPr>
        <w:t>注：1、上述资格证明文件未按招标文件要求附入投标文件中的，资格性审查不合格。</w:t>
      </w:r>
    </w:p>
    <w:p>
      <w:pPr>
        <w:spacing w:line="300" w:lineRule="exact"/>
        <w:ind w:firstLine="632" w:firstLineChars="300"/>
        <w:rPr>
          <w:rFonts w:hint="eastAsia" w:ascii="宋体" w:hAnsi="宋体" w:cs="宋体"/>
          <w:b/>
          <w:szCs w:val="22"/>
          <w:lang w:bidi="ar"/>
        </w:rPr>
      </w:pPr>
      <w:r>
        <w:rPr>
          <w:rFonts w:hint="eastAsia" w:ascii="宋体" w:hAnsi="宋体" w:cs="宋体"/>
          <w:b/>
          <w:szCs w:val="22"/>
          <w:lang w:bidi="ar"/>
        </w:rPr>
        <w:t>2、上述审查项目中，任意一项不符合的，资格性审查不合格。</w:t>
      </w:r>
    </w:p>
    <w:p>
      <w:pPr>
        <w:spacing w:line="300" w:lineRule="exact"/>
        <w:ind w:firstLine="632" w:firstLineChars="300"/>
        <w:rPr>
          <w:rFonts w:hint="eastAsia" w:ascii="宋体" w:hAnsi="宋体" w:cs="宋体"/>
          <w:b/>
          <w:szCs w:val="22"/>
          <w:lang w:bidi="ar"/>
        </w:rPr>
      </w:pPr>
      <w:r>
        <w:rPr>
          <w:rFonts w:hint="eastAsia" w:ascii="宋体" w:hAnsi="宋体" w:cs="宋体"/>
          <w:b/>
          <w:szCs w:val="22"/>
          <w:lang w:bidi="ar"/>
        </w:rPr>
        <w:t>3、未办理多证合一的供应商须提供税务登记证副本、组织机构代码证副本、社会保险登记证副本扫描件。</w:t>
      </w:r>
    </w:p>
    <w:p>
      <w:pPr>
        <w:spacing w:line="300" w:lineRule="exact"/>
        <w:ind w:firstLine="632" w:firstLineChars="300"/>
        <w:rPr>
          <w:rFonts w:hint="eastAsia" w:ascii="宋体" w:hAnsi="宋体" w:cs="宋体"/>
          <w:b/>
          <w:szCs w:val="22"/>
          <w:lang w:bidi="ar"/>
        </w:rPr>
      </w:pPr>
      <w:r>
        <w:rPr>
          <w:rFonts w:hint="eastAsia" w:ascii="宋体" w:hAnsi="宋体" w:cs="宋体"/>
          <w:b/>
          <w:szCs w:val="22"/>
          <w:lang w:bidi="ar"/>
        </w:rPr>
        <w:t>4、为采购项目提供整体设计、规范编制或者项目管理、监理、检测等服务的供应商投标无效。</w:t>
      </w:r>
    </w:p>
    <w:p>
      <w:pPr>
        <w:spacing w:line="300" w:lineRule="exact"/>
        <w:ind w:firstLine="632" w:firstLineChars="300"/>
        <w:rPr>
          <w:rFonts w:hint="eastAsia" w:ascii="宋体" w:hAnsi="宋体" w:cs="宋体"/>
          <w:b/>
          <w:szCs w:val="22"/>
          <w:lang w:bidi="ar"/>
        </w:rPr>
      </w:pPr>
      <w:r>
        <w:rPr>
          <w:rFonts w:hint="eastAsia" w:ascii="宋体" w:hAnsi="宋体" w:cs="宋体"/>
          <w:b/>
          <w:szCs w:val="22"/>
          <w:lang w:bidi="ar"/>
        </w:rPr>
        <w:t>5、本项目实行网上投标，供应商在制作投标文件时须根据上表要求说明要求的资料，将资料逐一对应上传。</w:t>
      </w:r>
    </w:p>
    <w:p>
      <w:pPr>
        <w:pStyle w:val="2"/>
        <w:ind w:firstLine="480"/>
        <w:rPr>
          <w:rFonts w:hint="eastAsia"/>
        </w:rPr>
      </w:pPr>
    </w:p>
    <w:p>
      <w:pPr>
        <w:spacing w:line="340" w:lineRule="exact"/>
        <w:rPr>
          <w:rFonts w:hint="eastAsia" w:ascii="宋体" w:hAnsi="宋体" w:cs="宋体"/>
          <w:b/>
          <w:bCs/>
          <w:szCs w:val="21"/>
        </w:rPr>
      </w:pPr>
      <w:r>
        <w:rPr>
          <w:rFonts w:hint="eastAsia" w:ascii="宋体" w:hAnsi="宋体" w:cs="宋体"/>
          <w:b/>
          <w:bCs/>
          <w:szCs w:val="21"/>
          <w:lang w:bidi="ar"/>
        </w:rPr>
        <w:t>附表2：</w:t>
      </w:r>
    </w:p>
    <w:p>
      <w:pPr>
        <w:pStyle w:val="2"/>
        <w:spacing w:line="360" w:lineRule="auto"/>
        <w:ind w:firstLine="0" w:firstLineChars="0"/>
        <w:jc w:val="center"/>
        <w:rPr>
          <w:rFonts w:hint="eastAsia" w:ascii="宋体" w:hAnsi="宋体" w:eastAsia="宋体" w:cs="宋体"/>
          <w:b/>
          <w:bCs/>
          <w:sz w:val="28"/>
          <w:szCs w:val="28"/>
          <w:lang w:bidi="ar"/>
        </w:rPr>
      </w:pPr>
      <w:r>
        <w:rPr>
          <w:rFonts w:hint="eastAsia" w:ascii="宋体" w:hAnsi="宋体" w:eastAsia="宋体" w:cs="宋体"/>
          <w:b/>
          <w:bCs/>
          <w:sz w:val="28"/>
          <w:szCs w:val="28"/>
          <w:lang w:bidi="ar"/>
        </w:rPr>
        <w:t>商务技术文件符合性审查表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363"/>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序号</w:t>
            </w:r>
          </w:p>
        </w:tc>
        <w:tc>
          <w:tcPr>
            <w:tcW w:w="336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要求</w:t>
            </w:r>
          </w:p>
        </w:tc>
        <w:tc>
          <w:tcPr>
            <w:tcW w:w="541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lang w:bidi="ar"/>
              </w:rPr>
              <w:t>供应商名称与</w:t>
            </w:r>
            <w:r>
              <w:rPr>
                <w:rFonts w:hint="eastAsia" w:ascii="宋体" w:hAnsi="宋体"/>
              </w:rPr>
              <w:t>企业法人营业执照（或事业法人登记证）或其他组织（个体工商户）的营业执照或者民办非企业单位登记证书</w:t>
            </w:r>
            <w:r>
              <w:rPr>
                <w:rFonts w:hint="eastAsia" w:ascii="宋体" w:hAnsi="宋体" w:cs="宋体"/>
                <w:szCs w:val="21"/>
                <w:lang w:bidi="ar"/>
              </w:rPr>
              <w:t>一致。</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lang w:bidi="ar"/>
              </w:rPr>
              <w:t>供应商名称与</w:t>
            </w:r>
            <w:r>
              <w:rPr>
                <w:rFonts w:hint="eastAsia" w:ascii="宋体" w:hAnsi="宋体"/>
              </w:rPr>
              <w:t>企业法人营业执照（或事业法人登记证）或其他组织（个体工商户）的营业执照或者民办非企业单位登记证书</w:t>
            </w:r>
            <w:r>
              <w:rPr>
                <w:rFonts w:hint="eastAsia" w:ascii="宋体" w:hAnsi="宋体" w:cs="宋体"/>
                <w:szCs w:val="21"/>
                <w:lang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2</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投标有效期符合第二章“投标须知”第七、1条的要求。</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投标有效期符合第二章“投标须知”第七、1条的要求。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3</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投标文件的签署盖章符合第二章“投标须知”第九、2条的要求。</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投标文件的签署盖章符合第二章“投标须知”第九、2条的要求。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4</w:t>
            </w:r>
          </w:p>
        </w:tc>
        <w:tc>
          <w:tcPr>
            <w:tcW w:w="3363"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sz w:val="20"/>
              </w:rPr>
            </w:pPr>
            <w:r>
              <w:rPr>
                <w:rFonts w:hint="eastAsia" w:ascii="宋体" w:hAnsi="宋体" w:cs="宋体"/>
                <w:szCs w:val="21"/>
                <w:lang w:bidi="ar"/>
              </w:rPr>
              <w:t>供应商不得在投标活动中提供任何虚假材料或从事其他违法活动的（本项无需上传或关联资料）。</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rPr>
            </w:pPr>
            <w:r>
              <w:rPr>
                <w:rFonts w:hint="eastAsia" w:ascii="宋体" w:hAnsi="宋体" w:cs="宋体"/>
                <w:szCs w:val="21"/>
                <w:lang w:bidi="ar"/>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5</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lang w:bidi="ar"/>
              </w:rPr>
            </w:pPr>
            <w:r>
              <w:rPr>
                <w:rFonts w:hint="eastAsia" w:ascii="宋体" w:hAnsi="宋体" w:cs="宋体"/>
                <w:szCs w:val="21"/>
                <w:lang w:bidi="ar"/>
              </w:rPr>
              <w:t>法定代表人身份证明符合采购文件要求。</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lang w:bidi="ar"/>
              </w:rPr>
            </w:pPr>
            <w:r>
              <w:rPr>
                <w:rFonts w:hint="eastAsia" w:ascii="宋体" w:hAnsi="宋体" w:cs="宋体"/>
                <w:szCs w:val="21"/>
                <w:lang w:bidi="ar"/>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6</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lang w:bidi="ar"/>
              </w:rPr>
            </w:pPr>
            <w:r>
              <w:rPr>
                <w:rFonts w:hint="eastAsia" w:ascii="宋体" w:hAnsi="宋体" w:cs="宋体"/>
                <w:szCs w:val="21"/>
                <w:lang w:bidi="ar"/>
              </w:rPr>
              <w:t>供应商编制的投标文件符合法律、法规和采购文件中规定并对实质性要求完全响应。</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供应商编制的投标文件符合法律、法规和采购文件中规定的并对其他实质性要求完全响应（实质性要求招标文件中“★”标记）。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szCs w:val="21"/>
                <w:lang w:bidi="ar"/>
              </w:rPr>
            </w:pPr>
            <w:r>
              <w:rPr>
                <w:rFonts w:hint="eastAsia" w:ascii="宋体" w:hAnsi="宋体" w:cs="宋体"/>
                <w:szCs w:val="21"/>
                <w:lang w:bidi="ar"/>
              </w:rPr>
              <w:t>商务技术文件符合性审查</w:t>
            </w:r>
          </w:p>
          <w:p>
            <w:pPr>
              <w:widowControl/>
              <w:spacing w:line="360" w:lineRule="exact"/>
              <w:jc w:val="center"/>
              <w:rPr>
                <w:rFonts w:hint="eastAsia" w:ascii="宋体" w:hAnsi="宋体" w:cs="宋体"/>
                <w:szCs w:val="21"/>
                <w:lang w:bidi="ar"/>
              </w:rPr>
            </w:pPr>
            <w:r>
              <w:rPr>
                <w:rFonts w:hint="eastAsia" w:ascii="宋体" w:hAnsi="宋体" w:cs="宋体"/>
                <w:szCs w:val="21"/>
                <w:lang w:bidi="ar"/>
              </w:rPr>
              <w:t>结论。</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szCs w:val="21"/>
                <w:lang w:bidi="ar"/>
              </w:rPr>
            </w:pPr>
          </w:p>
        </w:tc>
      </w:tr>
    </w:tbl>
    <w:p>
      <w:pPr>
        <w:spacing w:line="400" w:lineRule="exact"/>
        <w:ind w:firstLine="211" w:firstLineChars="100"/>
        <w:rPr>
          <w:rFonts w:hint="eastAsia" w:ascii="宋体" w:hAnsi="宋体" w:cs="宋体"/>
          <w:b/>
          <w:szCs w:val="22"/>
          <w:lang w:bidi="ar"/>
        </w:rPr>
      </w:pPr>
      <w:r>
        <w:rPr>
          <w:rFonts w:hint="eastAsia" w:ascii="宋体" w:hAnsi="宋体" w:cs="宋体"/>
          <w:b/>
          <w:szCs w:val="22"/>
          <w:lang w:bidi="ar"/>
        </w:rPr>
        <w:t>注：1、上述审查项目中，任意一项不符合的，商务技术文件符合性审查不合格。</w:t>
      </w:r>
    </w:p>
    <w:p>
      <w:pPr>
        <w:spacing w:line="400" w:lineRule="exact"/>
        <w:ind w:firstLine="632" w:firstLineChars="300"/>
        <w:rPr>
          <w:rFonts w:hint="eastAsia" w:ascii="宋体" w:hAnsi="宋体" w:cs="宋体"/>
          <w:b/>
          <w:szCs w:val="22"/>
          <w:lang w:bidi="ar"/>
        </w:rPr>
      </w:pPr>
      <w:r>
        <w:rPr>
          <w:rFonts w:hint="eastAsia" w:ascii="宋体" w:hAnsi="宋体" w:cs="宋体"/>
          <w:b/>
          <w:szCs w:val="22"/>
          <w:lang w:bidi="ar"/>
        </w:rPr>
        <w:t>2、本项目实行网上投标，供应商在制作投标文件时须根据上表要求说明要求的资料，将资料逐一对应上传或关联（有特殊备注的除外）（若关联页码有多页而只能关联一页的，则关联相应页码的第一页）。</w:t>
      </w:r>
    </w:p>
    <w:p>
      <w:pPr>
        <w:spacing w:line="400" w:lineRule="exact"/>
        <w:rPr>
          <w:rFonts w:hint="eastAsia" w:ascii="宋体" w:hAnsi="宋体" w:cs="宋体"/>
          <w:b/>
          <w:bCs/>
          <w:szCs w:val="21"/>
        </w:rPr>
      </w:pPr>
      <w:bookmarkStart w:id="96" w:name="_Toc5853"/>
      <w:bookmarkStart w:id="97" w:name="_Toc536024503"/>
      <w:r>
        <w:rPr>
          <w:rFonts w:hint="eastAsia" w:ascii="宋体" w:hAnsi="宋体" w:cs="宋体"/>
          <w:b/>
          <w:bCs/>
          <w:szCs w:val="21"/>
          <w:lang w:bidi="ar"/>
        </w:rPr>
        <w:t>附表3：</w:t>
      </w:r>
    </w:p>
    <w:p>
      <w:pPr>
        <w:pStyle w:val="2"/>
        <w:spacing w:line="360" w:lineRule="auto"/>
        <w:ind w:firstLine="0" w:firstLineChars="0"/>
        <w:jc w:val="center"/>
        <w:rPr>
          <w:rFonts w:hint="eastAsia" w:ascii="宋体" w:hAnsi="宋体" w:eastAsia="宋体" w:cs="宋体"/>
          <w:b/>
          <w:bCs/>
          <w:sz w:val="28"/>
          <w:szCs w:val="28"/>
          <w:lang w:bidi="ar"/>
        </w:rPr>
      </w:pPr>
      <w:r>
        <w:rPr>
          <w:rFonts w:hint="eastAsia" w:ascii="宋体" w:hAnsi="宋体" w:eastAsia="宋体" w:cs="宋体"/>
          <w:b/>
          <w:bCs/>
          <w:sz w:val="28"/>
          <w:szCs w:val="28"/>
          <w:lang w:bidi="ar"/>
        </w:rPr>
        <w:t>评分标准（兼评委打分表）</w:t>
      </w:r>
    </w:p>
    <w:p>
      <w:pPr>
        <w:pStyle w:val="2"/>
        <w:spacing w:line="360" w:lineRule="auto"/>
        <w:ind w:firstLine="0" w:firstLineChars="0"/>
        <w:jc w:val="center"/>
        <w:rPr>
          <w:rFonts w:hint="eastAsia" w:ascii="宋体" w:hAnsi="宋体" w:eastAsia="宋体" w:cs="宋体"/>
          <w:b/>
          <w:bCs/>
          <w:sz w:val="28"/>
          <w:szCs w:val="28"/>
          <w:lang w:bidi="ar"/>
        </w:rPr>
      </w:pPr>
      <w:r>
        <w:rPr>
          <w:rFonts w:hint="eastAsia" w:ascii="宋体" w:hAnsi="宋体" w:eastAsia="宋体" w:cs="宋体"/>
          <w:b/>
          <w:bCs/>
          <w:sz w:val="28"/>
          <w:szCs w:val="28"/>
          <w:lang w:bidi="ar"/>
        </w:rPr>
        <w:t>慈溪市环杭州湾创新中心公共空间一体化管理服务采购项目</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72"/>
        <w:gridCol w:w="682"/>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113" w:type="dxa"/>
            <w:gridSpan w:val="3"/>
            <w:tcBorders>
              <w:top w:val="double" w:color="auto" w:sz="4" w:space="0"/>
              <w:left w:val="double" w:color="auto" w:sz="4" w:space="0"/>
              <w:tl2br w:val="single" w:color="000000" w:sz="4" w:space="0"/>
            </w:tcBorders>
            <w:noWrap w:val="0"/>
            <w:vAlign w:val="top"/>
          </w:tcPr>
          <w:p>
            <w:pPr>
              <w:jc w:val="right"/>
              <w:rPr>
                <w:rFonts w:hint="eastAsia" w:ascii="宋体" w:hAnsi="宋体" w:cs="宋体"/>
              </w:rPr>
            </w:pPr>
            <w:r>
              <w:rPr>
                <w:rFonts w:hint="eastAsia" w:ascii="宋体" w:hAnsi="宋体" w:cs="宋体"/>
              </w:rPr>
              <w:t>投标人得分</w:t>
            </w:r>
          </w:p>
          <w:p>
            <w:pPr>
              <w:rPr>
                <w:rFonts w:hint="eastAsia" w:ascii="宋体" w:hAnsi="宋体" w:cs="宋体"/>
                <w:lang w:val="ru-RU"/>
              </w:rPr>
            </w:pPr>
            <w:r>
              <w:rPr>
                <w:rFonts w:hint="eastAsia" w:ascii="宋体" w:hAnsi="宋体" w:cs="宋体"/>
              </w:rPr>
              <w:t>评分内容及分值</w:t>
            </w:r>
          </w:p>
        </w:tc>
        <w:tc>
          <w:tcPr>
            <w:tcW w:w="515" w:type="dxa"/>
            <w:vMerge w:val="restart"/>
            <w:tcBorders>
              <w:top w:val="double" w:color="auto" w:sz="4" w:space="0"/>
              <w:right w:val="double" w:color="auto" w:sz="4" w:space="0"/>
            </w:tcBorders>
            <w:noWrap w:val="0"/>
            <w:vAlign w:val="center"/>
          </w:tcPr>
          <w:p>
            <w:pPr>
              <w:rPr>
                <w:rFonts w:hint="eastAsia" w:ascii="宋体" w:hAnsi="宋体" w:cs="宋体"/>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431" w:type="dxa"/>
            <w:gridSpan w:val="2"/>
            <w:tcBorders>
              <w:left w:val="double" w:color="auto" w:sz="4" w:space="0"/>
            </w:tcBorders>
            <w:noWrap w:val="0"/>
            <w:vAlign w:val="center"/>
          </w:tcPr>
          <w:p>
            <w:pPr>
              <w:jc w:val="center"/>
              <w:rPr>
                <w:rFonts w:hint="eastAsia" w:ascii="宋体" w:hAnsi="宋体" w:cs="宋体"/>
              </w:rPr>
            </w:pPr>
            <w:r>
              <w:rPr>
                <w:rFonts w:hint="eastAsia" w:ascii="宋体" w:hAnsi="宋体" w:cs="宋体"/>
              </w:rPr>
              <w:t>评分内容</w:t>
            </w:r>
          </w:p>
        </w:tc>
        <w:tc>
          <w:tcPr>
            <w:tcW w:w="682" w:type="dxa"/>
            <w:noWrap w:val="0"/>
            <w:vAlign w:val="center"/>
          </w:tcPr>
          <w:p>
            <w:pPr>
              <w:jc w:val="center"/>
              <w:rPr>
                <w:rFonts w:hint="eastAsia" w:ascii="宋体" w:hAnsi="宋体" w:cs="宋体"/>
                <w:lang w:val="ru-RU"/>
              </w:rPr>
            </w:pPr>
            <w:r>
              <w:rPr>
                <w:rFonts w:hint="eastAsia" w:ascii="宋体" w:hAnsi="宋体" w:cs="宋体"/>
              </w:rPr>
              <w:t>分值</w:t>
            </w:r>
          </w:p>
        </w:tc>
        <w:tc>
          <w:tcPr>
            <w:tcW w:w="515" w:type="dxa"/>
            <w:vMerge w:val="continue"/>
            <w:tcBorders>
              <w:right w:val="double" w:color="auto" w:sz="4" w:space="0"/>
            </w:tcBorders>
            <w:noWrap w:val="0"/>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9" w:type="dxa"/>
            <w:vMerge w:val="restart"/>
            <w:tcBorders>
              <w:left w:val="double" w:color="auto" w:sz="4" w:space="0"/>
              <w:right w:val="single" w:color="auto" w:sz="4" w:space="0"/>
            </w:tcBorders>
            <w:noWrap w:val="0"/>
            <w:vAlign w:val="center"/>
          </w:tcPr>
          <w:p>
            <w:pPr>
              <w:rPr>
                <w:rFonts w:hint="eastAsia" w:ascii="宋体" w:hAnsi="宋体" w:cs="宋体"/>
              </w:rPr>
            </w:pPr>
            <w:r>
              <w:rPr>
                <w:rFonts w:hint="eastAsia" w:ascii="宋体" w:hAnsi="宋体" w:cs="宋体"/>
              </w:rPr>
              <w:t>商务分15分</w:t>
            </w:r>
          </w:p>
        </w:tc>
        <w:tc>
          <w:tcPr>
            <w:tcW w:w="7472" w:type="dxa"/>
            <w:tcBorders>
              <w:left w:val="single" w:color="auto" w:sz="4" w:space="0"/>
            </w:tcBorders>
            <w:noWrap w:val="0"/>
            <w:vAlign w:val="center"/>
          </w:tcPr>
          <w:p>
            <w:pPr>
              <w:spacing w:line="280" w:lineRule="exact"/>
              <w:rPr>
                <w:rFonts w:hint="eastAsia" w:ascii="宋体" w:hAnsi="宋体" w:cs="宋体"/>
                <w:b/>
                <w:bCs/>
                <w:szCs w:val="22"/>
              </w:rPr>
            </w:pPr>
            <w:r>
              <w:rPr>
                <w:rFonts w:hint="eastAsia" w:ascii="宋体" w:hAnsi="宋体" w:cs="宋体"/>
                <w:b/>
                <w:bCs/>
                <w:szCs w:val="22"/>
              </w:rPr>
              <w:t>荣誉（3分）：</w:t>
            </w:r>
          </w:p>
          <w:p>
            <w:pPr>
              <w:spacing w:line="280" w:lineRule="exact"/>
              <w:rPr>
                <w:rFonts w:hint="eastAsia" w:ascii="宋体" w:hAnsi="宋体" w:cs="宋体"/>
                <w:szCs w:val="22"/>
              </w:rPr>
            </w:pPr>
            <w:r>
              <w:rPr>
                <w:rFonts w:hint="eastAsia" w:ascii="宋体" w:hAnsi="宋体" w:cs="宋体"/>
                <w:szCs w:val="22"/>
              </w:rPr>
              <w:t>2017年1月1日（以获奖证书或文件颁发时间为准）以来投标人所管理的项目获得行政主管部门颁发的荣誉的，省级及以上得3分，地市级得2分，县（区）级的得1分，其余不得分，本项可累计计分，</w:t>
            </w:r>
            <w:r>
              <w:rPr>
                <w:rFonts w:hint="eastAsia" w:ascii="宋体" w:hAnsi="宋体" w:cs="宋体"/>
                <w:bCs/>
                <w:szCs w:val="22"/>
              </w:rPr>
              <w:t>最高得3分。</w:t>
            </w:r>
          </w:p>
          <w:p>
            <w:pPr>
              <w:spacing w:line="280" w:lineRule="exact"/>
              <w:rPr>
                <w:rFonts w:hint="eastAsia" w:ascii="宋体" w:hAnsi="宋体" w:cs="宋体"/>
              </w:rPr>
            </w:pPr>
            <w:r>
              <w:rPr>
                <w:rFonts w:hint="eastAsia" w:ascii="宋体" w:hAnsi="宋体" w:cs="宋体"/>
                <w:szCs w:val="22"/>
              </w:rPr>
              <w:t>（投标文件提供相应荣誉证书或文件扫描件并加盖投标人公章）</w:t>
            </w:r>
          </w:p>
        </w:tc>
        <w:tc>
          <w:tcPr>
            <w:tcW w:w="682" w:type="dxa"/>
            <w:noWrap w:val="0"/>
            <w:vAlign w:val="center"/>
          </w:tcPr>
          <w:p>
            <w:pPr>
              <w:ind w:firstLine="210" w:firstLineChars="100"/>
              <w:rPr>
                <w:rFonts w:ascii="宋体" w:hAnsi="宋体" w:cs="宋体"/>
              </w:rPr>
            </w:pPr>
            <w:r>
              <w:rPr>
                <w:rFonts w:hint="eastAsia" w:ascii="宋体" w:hAnsi="宋体" w:cs="宋体"/>
              </w:rPr>
              <w:t>3</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pacing w:line="280" w:lineRule="exact"/>
              <w:rPr>
                <w:rFonts w:ascii="宋体" w:hAnsi="宋体" w:cs="宋体"/>
                <w:b/>
              </w:rPr>
            </w:pPr>
            <w:r>
              <w:rPr>
                <w:rFonts w:hint="eastAsia" w:ascii="宋体" w:hAnsi="宋体" w:cs="宋体"/>
                <w:b/>
              </w:rPr>
              <w:t>体系认证：（4分）</w:t>
            </w:r>
          </w:p>
          <w:p>
            <w:pPr>
              <w:snapToGrid w:val="0"/>
              <w:spacing w:line="340" w:lineRule="exact"/>
              <w:rPr>
                <w:rFonts w:hint="eastAsia" w:ascii="宋体" w:hAnsi="宋体" w:cs="宋体"/>
              </w:rPr>
            </w:pPr>
            <w:r>
              <w:rPr>
                <w:rFonts w:hint="eastAsia" w:ascii="宋体" w:hAnsi="宋体" w:cs="宋体"/>
              </w:rPr>
              <w:t>投标人具有有效的职业健康管理体系认证证书的得1分，具有有效的质量管理体系认证证书的得1分，具备有效的环境管理体系认证证书的得1分，具有有效的能源管理体系认证证书得1分。（</w:t>
            </w:r>
            <w:r>
              <w:rPr>
                <w:rFonts w:hint="eastAsia" w:ascii="宋体" w:hAnsi="宋体" w:cs="仿宋_GB2312"/>
                <w:szCs w:val="21"/>
              </w:rPr>
              <w:t>投标文件提供相应证书扫描件并加盖投标人</w:t>
            </w:r>
            <w:r>
              <w:rPr>
                <w:rFonts w:hint="eastAsia" w:ascii="宋体" w:hAnsi="宋体" w:cs="宋体"/>
              </w:rPr>
              <w:t>公章）</w:t>
            </w:r>
          </w:p>
        </w:tc>
        <w:tc>
          <w:tcPr>
            <w:tcW w:w="682" w:type="dxa"/>
            <w:noWrap w:val="0"/>
            <w:vAlign w:val="center"/>
          </w:tcPr>
          <w:p>
            <w:pPr>
              <w:ind w:firstLine="210" w:firstLineChars="100"/>
              <w:rPr>
                <w:rFonts w:ascii="宋体" w:hAnsi="宋体" w:cs="宋体"/>
              </w:rPr>
            </w:pPr>
            <w:r>
              <w:rPr>
                <w:rFonts w:hint="eastAsia" w:ascii="宋体" w:hAnsi="宋体" w:cs="宋体"/>
              </w:rPr>
              <w:t>4</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spacing w:line="340" w:lineRule="exact"/>
              <w:rPr>
                <w:rFonts w:hint="eastAsia" w:ascii="宋体" w:hAnsi="宋体" w:cs="宋体"/>
                <w:b/>
              </w:rPr>
            </w:pPr>
            <w:r>
              <w:rPr>
                <w:rFonts w:hint="eastAsia" w:ascii="宋体" w:hAnsi="宋体" w:cs="宋体"/>
                <w:b/>
              </w:rPr>
              <w:t>同类业绩经验：（8分）</w:t>
            </w:r>
          </w:p>
          <w:p>
            <w:pPr>
              <w:snapToGrid w:val="0"/>
              <w:spacing w:line="340" w:lineRule="exact"/>
              <w:rPr>
                <w:rFonts w:hint="eastAsia" w:ascii="宋体" w:hAnsi="宋体" w:cs="宋体"/>
                <w:szCs w:val="21"/>
              </w:rPr>
            </w:pPr>
            <w:r>
              <w:rPr>
                <w:rFonts w:hint="eastAsia" w:ascii="宋体" w:hAnsi="宋体" w:cs="仿宋_GB2312"/>
                <w:szCs w:val="21"/>
              </w:rPr>
              <w:t>2017年1月1日（以合同签订时间为准）以来投标人承担过广场、公园、景区、城市公共空间、产业园区等类似项目且业绩合同服务内容至少包含保洁、绿化、安保（秩序维护）、设备设施维修四项内容中的三项内容服务业绩的（其中广场、公园、景区、规模面积不小于10万㎡，城市公共空间、产业园区面积不小于50万㎡），每个得2分，满分8分，其余不得分。</w:t>
            </w:r>
            <w:r>
              <w:rPr>
                <w:rFonts w:hint="eastAsia" w:ascii="宋体" w:hAnsi="宋体" w:cs="仿宋_GB2312"/>
                <w:bCs/>
                <w:szCs w:val="21"/>
              </w:rPr>
              <w:t>同一单位同一业绩项目的不同年度业绩不累计得分，同一类型的业绩最多可累计得4分，</w:t>
            </w:r>
            <w:r>
              <w:rPr>
                <w:rFonts w:hint="eastAsia" w:ascii="宋体" w:hAnsi="宋体" w:cs="仿宋_GB2312"/>
                <w:szCs w:val="21"/>
              </w:rPr>
              <w:t>业绩合同未能体现相关服务内容的，须提供业主证明文件扫描件，否则不予计分。</w:t>
            </w:r>
            <w:r>
              <w:rPr>
                <w:rFonts w:hint="eastAsia" w:ascii="宋体" w:hAnsi="宋体" w:cs="宋体"/>
              </w:rPr>
              <w:t>（</w:t>
            </w:r>
            <w:r>
              <w:rPr>
                <w:rFonts w:hint="eastAsia" w:ascii="宋体" w:hAnsi="宋体" w:cs="仿宋_GB2312"/>
                <w:szCs w:val="21"/>
              </w:rPr>
              <w:t>投标文件提供相应业绩合同扫描件并加盖投标人</w:t>
            </w:r>
            <w:r>
              <w:rPr>
                <w:rFonts w:hint="eastAsia" w:ascii="宋体" w:hAnsi="宋体" w:cs="宋体"/>
              </w:rPr>
              <w:t>公章）</w:t>
            </w:r>
          </w:p>
        </w:tc>
        <w:tc>
          <w:tcPr>
            <w:tcW w:w="682" w:type="dxa"/>
            <w:noWrap w:val="0"/>
            <w:vAlign w:val="center"/>
          </w:tcPr>
          <w:p>
            <w:pPr>
              <w:ind w:firstLine="210" w:firstLineChars="100"/>
              <w:rPr>
                <w:rFonts w:ascii="宋体" w:hAnsi="宋体" w:cs="宋体"/>
              </w:rPr>
            </w:pPr>
            <w:r>
              <w:rPr>
                <w:rFonts w:hint="eastAsia" w:ascii="宋体" w:hAnsi="宋体" w:cs="宋体"/>
              </w:rPr>
              <w:t>8</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restart"/>
            <w:tcBorders>
              <w:left w:val="double" w:color="auto" w:sz="4" w:space="0"/>
              <w:right w:val="single" w:color="auto" w:sz="4" w:space="0"/>
            </w:tcBorders>
            <w:noWrap w:val="0"/>
            <w:vAlign w:val="center"/>
          </w:tcPr>
          <w:p>
            <w:pPr>
              <w:rPr>
                <w:rFonts w:hint="eastAsia" w:ascii="宋体" w:hAnsi="宋体" w:cs="宋体"/>
              </w:rPr>
            </w:pPr>
            <w:r>
              <w:rPr>
                <w:rFonts w:hint="eastAsia" w:ascii="宋体" w:hAnsi="宋体" w:cs="宋体"/>
              </w:rPr>
              <w:t>技术分65分</w:t>
            </w:r>
          </w:p>
        </w:tc>
        <w:tc>
          <w:tcPr>
            <w:tcW w:w="7472" w:type="dxa"/>
            <w:tcBorders>
              <w:left w:val="single" w:color="auto" w:sz="4" w:space="0"/>
            </w:tcBorders>
            <w:noWrap w:val="0"/>
            <w:vAlign w:val="center"/>
          </w:tcPr>
          <w:p>
            <w:pPr>
              <w:snapToGrid w:val="0"/>
              <w:spacing w:line="340" w:lineRule="exact"/>
              <w:rPr>
                <w:rFonts w:hint="eastAsia" w:ascii="宋体" w:hAnsi="宋体" w:cs="仿宋_GB2312"/>
                <w:b/>
                <w:bCs/>
                <w:szCs w:val="21"/>
              </w:rPr>
            </w:pPr>
            <w:r>
              <w:rPr>
                <w:rFonts w:hint="eastAsia" w:ascii="宋体" w:hAnsi="宋体" w:cs="仿宋_GB2312"/>
                <w:b/>
                <w:bCs/>
                <w:szCs w:val="21"/>
              </w:rPr>
              <w:t>总体管理方案相关指标：（5分）</w:t>
            </w:r>
          </w:p>
          <w:p>
            <w:pPr>
              <w:snapToGrid w:val="0"/>
              <w:spacing w:line="340" w:lineRule="exact"/>
              <w:rPr>
                <w:rFonts w:hint="eastAsia" w:ascii="宋体" w:hAnsi="宋体" w:cs="仿宋_GB2312"/>
                <w:szCs w:val="21"/>
              </w:rPr>
            </w:pPr>
            <w:r>
              <w:rPr>
                <w:rFonts w:hint="eastAsia" w:ascii="宋体" w:hAnsi="宋体" w:cs="仿宋_GB2312"/>
                <w:szCs w:val="21"/>
              </w:rPr>
              <w:t>对城市公共空间一体化管理的组织框架，岗位安排，管理的规章制度，档案资料管理制度等对总体管理方案进行评审；方案合理、科学，可操作性强的得3-5分，方案基本合理、科学，具有可操作性的得2-3分，方案欠科学合理，可操作性欠缺的得0-2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pStyle w:val="2"/>
              <w:ind w:firstLine="480"/>
              <w:rPr>
                <w:rFonts w:hint="eastAsia"/>
              </w:rPr>
            </w:pPr>
          </w:p>
          <w:p>
            <w:pPr>
              <w:pStyle w:val="2"/>
              <w:ind w:firstLine="480"/>
              <w:rPr>
                <w:rFonts w:hint="eastAsia"/>
              </w:rPr>
            </w:pPr>
          </w:p>
        </w:tc>
        <w:tc>
          <w:tcPr>
            <w:tcW w:w="7472" w:type="dxa"/>
            <w:tcBorders>
              <w:left w:val="single" w:color="auto" w:sz="4" w:space="0"/>
            </w:tcBorders>
            <w:noWrap w:val="0"/>
            <w:vAlign w:val="center"/>
          </w:tcPr>
          <w:p>
            <w:pPr>
              <w:snapToGrid w:val="0"/>
              <w:spacing w:line="320" w:lineRule="exact"/>
              <w:rPr>
                <w:rFonts w:hint="eastAsia"/>
                <w:b/>
                <w:bCs/>
              </w:rPr>
            </w:pPr>
            <w:r>
              <w:rPr>
                <w:rFonts w:hint="eastAsia"/>
                <w:b/>
                <w:bCs/>
              </w:rPr>
              <w:t>人员配置（8分）</w:t>
            </w:r>
          </w:p>
          <w:p>
            <w:pPr>
              <w:snapToGrid w:val="0"/>
              <w:spacing w:line="320" w:lineRule="exact"/>
              <w:rPr>
                <w:rFonts w:hint="eastAsia"/>
                <w:b/>
                <w:bCs/>
              </w:rPr>
            </w:pPr>
            <w:r>
              <w:rPr>
                <w:rFonts w:hint="eastAsia"/>
                <w:b/>
                <w:bCs/>
              </w:rPr>
              <w:t>主要人员配置：（5分）</w:t>
            </w:r>
          </w:p>
          <w:p>
            <w:pPr>
              <w:numPr>
                <w:ilvl w:val="0"/>
                <w:numId w:val="5"/>
              </w:numPr>
              <w:snapToGrid w:val="0"/>
              <w:spacing w:line="320" w:lineRule="exact"/>
              <w:rPr>
                <w:rFonts w:hint="eastAsia"/>
              </w:rPr>
            </w:pPr>
            <w:r>
              <w:rPr>
                <w:rFonts w:hint="eastAsia"/>
              </w:rPr>
              <w:t>项目负责人满足以下条件：（1）本科（含）以上学历；（2）持有全国物业管理企业经理证书；每满足1项得0.5分，满分1分；</w:t>
            </w:r>
          </w:p>
          <w:p>
            <w:pPr>
              <w:snapToGrid w:val="0"/>
              <w:spacing w:line="320" w:lineRule="exact"/>
              <w:rPr>
                <w:rFonts w:hint="eastAsia"/>
              </w:rPr>
            </w:pPr>
            <w:r>
              <w:rPr>
                <w:rFonts w:hint="eastAsia"/>
              </w:rPr>
              <w:t>（投标文件中提供相关证书及近三个月投标人为其缴纳社保证明材料扫描件并加盖投标人电子公章）</w:t>
            </w:r>
          </w:p>
          <w:p>
            <w:pPr>
              <w:snapToGrid w:val="0"/>
              <w:spacing w:line="320" w:lineRule="exact"/>
              <w:rPr>
                <w:rFonts w:hint="eastAsia"/>
              </w:rPr>
            </w:pPr>
            <w:r>
              <w:rPr>
                <w:rFonts w:hint="eastAsia"/>
              </w:rPr>
              <w:t>2、拟派工程维修主管满足以下条件：（1）大专（含）以上学历；（2）持有人设部门颁发的助理智能楼宇管理师及以上级别证书；（3）持有人社部门颁发的维修电工三级及以上级别证书；（4）持有建（构）筑物消防员五级及以上级别证书。满足一项得0.5分，满分2分；</w:t>
            </w:r>
          </w:p>
          <w:p>
            <w:pPr>
              <w:snapToGrid w:val="0"/>
              <w:spacing w:line="320" w:lineRule="exact"/>
              <w:rPr>
                <w:rFonts w:hint="eastAsia"/>
              </w:rPr>
            </w:pPr>
            <w:r>
              <w:rPr>
                <w:rFonts w:hint="eastAsia"/>
              </w:rPr>
              <w:t>（投标文件中提供相关证书及近三个月投标人为其缴纳社保证明材料扫描件并加盖投标人电子公章）</w:t>
            </w:r>
          </w:p>
          <w:p>
            <w:pPr>
              <w:numPr>
                <w:ilvl w:val="0"/>
                <w:numId w:val="6"/>
              </w:numPr>
              <w:snapToGrid w:val="0"/>
              <w:spacing w:line="320" w:lineRule="exact"/>
              <w:rPr>
                <w:rFonts w:hint="eastAsia"/>
              </w:rPr>
            </w:pPr>
            <w:r>
              <w:rPr>
                <w:rFonts w:hint="eastAsia"/>
              </w:rPr>
              <w:t>拟派秩序维护主管满足以下条件：（1）大专（含）以上学历；（2）持有退伍军人证书；（3）持有人社部门颁发的高级保安</w:t>
            </w:r>
            <w:r>
              <w:rPr>
                <w:rFonts w:hint="eastAsia"/>
                <w:szCs w:val="22"/>
              </w:rPr>
              <w:t>员（国家职业资格三级）</w:t>
            </w:r>
            <w:r>
              <w:rPr>
                <w:rFonts w:hint="eastAsia"/>
              </w:rPr>
              <w:t>及以上级别证书；（4）持有安全生产管理员证书。满足一项得0.5分，满分2分；</w:t>
            </w:r>
          </w:p>
          <w:p>
            <w:pPr>
              <w:snapToGrid w:val="0"/>
              <w:spacing w:line="320" w:lineRule="exact"/>
              <w:rPr>
                <w:rFonts w:hint="eastAsia"/>
              </w:rPr>
            </w:pPr>
            <w:r>
              <w:rPr>
                <w:rFonts w:hint="eastAsia"/>
              </w:rPr>
              <w:t>（投标文件中提供相关证书及近三个月投标人为其缴纳社保证明材料扫描件并加盖投标人电子公章）。</w:t>
            </w:r>
          </w:p>
          <w:p>
            <w:pPr>
              <w:snapToGrid w:val="0"/>
              <w:spacing w:line="320" w:lineRule="exact"/>
              <w:rPr>
                <w:rFonts w:hint="eastAsia" w:ascii="宋体" w:hAnsi="宋体" w:cs="仿宋_GB2312"/>
                <w:b/>
                <w:bCs/>
                <w:szCs w:val="21"/>
              </w:rPr>
            </w:pPr>
            <w:r>
              <w:rPr>
                <w:rFonts w:hint="eastAsia" w:ascii="宋体" w:hAnsi="宋体" w:cs="仿宋_GB2312"/>
                <w:b/>
                <w:bCs/>
                <w:szCs w:val="21"/>
              </w:rPr>
              <w:t>其他人员：（3分）</w:t>
            </w:r>
          </w:p>
          <w:p>
            <w:pPr>
              <w:snapToGrid w:val="0"/>
              <w:spacing w:line="320" w:lineRule="exact"/>
              <w:rPr>
                <w:rFonts w:hint="eastAsia" w:ascii="宋体" w:hAnsi="宋体" w:cs="仿宋_GB2312"/>
                <w:szCs w:val="21"/>
              </w:rPr>
            </w:pPr>
            <w:r>
              <w:rPr>
                <w:rFonts w:hint="eastAsia" w:ascii="宋体" w:hAnsi="宋体"/>
                <w:bCs/>
                <w:spacing w:val="-2"/>
                <w:szCs w:val="21"/>
              </w:rPr>
              <w:t>除负责人及主管外，其他根据投标人拟投入的项目组人员资质、能力、从业经验</w:t>
            </w:r>
            <w:r>
              <w:rPr>
                <w:rFonts w:hint="eastAsia" w:ascii="宋体" w:hAnsi="宋体" w:cs="仿宋_GB2312"/>
                <w:szCs w:val="21"/>
              </w:rPr>
              <w:t>等进行评审，人员配置情况全部优于采购需求的得2-3分，人员配置基本满足采购需求的得1-2分，人员配置情况低于采购需求的得0-1分。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8</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959" w:type="dxa"/>
            <w:vMerge w:val="continue"/>
            <w:tcBorders>
              <w:left w:val="double" w:color="auto" w:sz="4" w:space="0"/>
              <w:right w:val="single" w:color="auto" w:sz="4" w:space="0"/>
            </w:tcBorders>
            <w:noWrap w:val="0"/>
            <w:vAlign w:val="center"/>
          </w:tcPr>
          <w:p>
            <w:pPr>
              <w:pStyle w:val="2"/>
              <w:ind w:firstLine="480"/>
              <w:rPr>
                <w:rFonts w:hint="eastAsia"/>
              </w:rPr>
            </w:pPr>
          </w:p>
        </w:tc>
        <w:tc>
          <w:tcPr>
            <w:tcW w:w="7472" w:type="dxa"/>
            <w:tcBorders>
              <w:left w:val="single" w:color="auto" w:sz="4" w:space="0"/>
            </w:tcBorders>
            <w:noWrap w:val="0"/>
            <w:vAlign w:val="center"/>
          </w:tcPr>
          <w:p>
            <w:pPr>
              <w:snapToGrid w:val="0"/>
              <w:spacing w:line="320" w:lineRule="exact"/>
              <w:rPr>
                <w:rFonts w:ascii="宋体" w:hAnsi="宋体" w:cs="仿宋_GB2312"/>
                <w:b/>
                <w:bCs/>
                <w:szCs w:val="21"/>
              </w:rPr>
            </w:pPr>
            <w:r>
              <w:rPr>
                <w:rFonts w:hint="eastAsia" w:ascii="宋体" w:hAnsi="宋体" w:cs="仿宋_GB2312"/>
                <w:b/>
                <w:bCs/>
                <w:szCs w:val="21"/>
              </w:rPr>
              <w:t>保洁服务方案：（5分）</w:t>
            </w:r>
          </w:p>
          <w:p>
            <w:pPr>
              <w:snapToGrid w:val="0"/>
              <w:spacing w:line="320" w:lineRule="exact"/>
              <w:rPr>
                <w:rFonts w:hint="eastAsia" w:ascii="宋体" w:hAnsi="宋体" w:cs="仿宋_GB2312"/>
                <w:szCs w:val="21"/>
              </w:rPr>
            </w:pPr>
            <w:r>
              <w:rPr>
                <w:rFonts w:hint="eastAsia" w:ascii="宋体" w:hAnsi="宋体" w:cs="仿宋_GB2312"/>
                <w:szCs w:val="21"/>
              </w:rPr>
              <w:t>保洁管理方案全面、具体、细致等进行评审；方案合理、科学，可操作性强的得4-5分，方案基本合理、科学，具有可操作性的得3-4分，方案欠科学合理，可操作性欠缺的得0-3分。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pStyle w:val="2"/>
              <w:ind w:firstLine="480"/>
              <w:rPr>
                <w:rFonts w:hint="eastAsia"/>
              </w:rPr>
            </w:pPr>
          </w:p>
        </w:tc>
        <w:tc>
          <w:tcPr>
            <w:tcW w:w="7472" w:type="dxa"/>
            <w:tcBorders>
              <w:left w:val="single" w:color="auto" w:sz="4" w:space="0"/>
            </w:tcBorders>
            <w:noWrap w:val="0"/>
            <w:vAlign w:val="center"/>
          </w:tcPr>
          <w:p>
            <w:pPr>
              <w:snapToGrid w:val="0"/>
              <w:spacing w:line="320" w:lineRule="exact"/>
              <w:rPr>
                <w:rFonts w:hint="eastAsia" w:ascii="宋体" w:hAnsi="宋体" w:cs="仿宋_GB2312"/>
                <w:b/>
                <w:bCs/>
                <w:szCs w:val="21"/>
              </w:rPr>
            </w:pPr>
            <w:r>
              <w:rPr>
                <w:rFonts w:hint="eastAsia" w:ascii="宋体" w:hAnsi="宋体" w:cs="仿宋_GB2312"/>
                <w:b/>
                <w:bCs/>
                <w:szCs w:val="21"/>
              </w:rPr>
              <w:t>秩序维护服务方案：（5分）</w:t>
            </w:r>
          </w:p>
          <w:p>
            <w:pPr>
              <w:snapToGrid w:val="0"/>
              <w:spacing w:line="320" w:lineRule="exact"/>
              <w:rPr>
                <w:rFonts w:hint="eastAsia" w:ascii="宋体" w:hAnsi="宋体" w:cs="仿宋_GB2312"/>
                <w:szCs w:val="21"/>
              </w:rPr>
            </w:pPr>
            <w:r>
              <w:rPr>
                <w:rFonts w:hint="eastAsia" w:ascii="宋体" w:hAnsi="宋体" w:cs="仿宋_GB2312"/>
                <w:szCs w:val="21"/>
              </w:rPr>
              <w:t>保安、门岗、巡逻管理方案等进行评审；方案合理、科学，可操作性强的得4-5分，方案基本合理、科学，具有可操作性的得3-4分，方案欠科学合理，可操作性欠缺的得0-3分。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pStyle w:val="2"/>
              <w:ind w:firstLine="480"/>
              <w:rPr>
                <w:rFonts w:hint="eastAsia"/>
              </w:rPr>
            </w:pPr>
          </w:p>
        </w:tc>
        <w:tc>
          <w:tcPr>
            <w:tcW w:w="7472" w:type="dxa"/>
            <w:tcBorders>
              <w:left w:val="single" w:color="auto" w:sz="4" w:space="0"/>
            </w:tcBorders>
            <w:noWrap w:val="0"/>
            <w:vAlign w:val="center"/>
          </w:tcPr>
          <w:p>
            <w:pPr>
              <w:snapToGrid w:val="0"/>
              <w:spacing w:line="320" w:lineRule="exact"/>
              <w:rPr>
                <w:rFonts w:hint="eastAsia" w:ascii="宋体" w:hAnsi="宋体" w:cs="仿宋_GB2312"/>
                <w:b/>
                <w:bCs/>
                <w:szCs w:val="21"/>
              </w:rPr>
            </w:pPr>
            <w:r>
              <w:rPr>
                <w:rFonts w:hint="eastAsia" w:ascii="宋体" w:hAnsi="宋体" w:cs="仿宋_GB2312"/>
                <w:b/>
                <w:bCs/>
                <w:szCs w:val="21"/>
              </w:rPr>
              <w:t>服务区域内设备、设施维修、维护服务方案：（5分）</w:t>
            </w:r>
          </w:p>
          <w:p>
            <w:pPr>
              <w:snapToGrid w:val="0"/>
              <w:spacing w:line="320" w:lineRule="exact"/>
              <w:rPr>
                <w:rFonts w:hint="eastAsia" w:ascii="宋体" w:hAnsi="宋体" w:cs="仿宋_GB2312"/>
                <w:szCs w:val="21"/>
              </w:rPr>
            </w:pPr>
            <w:r>
              <w:rPr>
                <w:rFonts w:hint="eastAsia" w:ascii="宋体" w:hAnsi="宋体" w:cs="仿宋_GB2312"/>
                <w:szCs w:val="21"/>
              </w:rPr>
              <w:t>房屋及配套设备、设施等物业维修、养护方案，机电设备等公用设备、设施管理方案等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pStyle w:val="2"/>
              <w:ind w:firstLine="480"/>
              <w:rPr>
                <w:rFonts w:hint="eastAsia"/>
              </w:rPr>
            </w:pPr>
          </w:p>
        </w:tc>
        <w:tc>
          <w:tcPr>
            <w:tcW w:w="7472" w:type="dxa"/>
            <w:tcBorders>
              <w:left w:val="single" w:color="auto" w:sz="4" w:space="0"/>
            </w:tcBorders>
            <w:noWrap w:val="0"/>
            <w:vAlign w:val="center"/>
          </w:tcPr>
          <w:p>
            <w:pPr>
              <w:snapToGrid w:val="0"/>
              <w:spacing w:line="340" w:lineRule="exact"/>
              <w:rPr>
                <w:rFonts w:hint="eastAsia" w:ascii="宋体" w:hAnsi="宋体" w:cs="仿宋_GB2312"/>
                <w:b/>
                <w:bCs/>
                <w:szCs w:val="21"/>
              </w:rPr>
            </w:pPr>
            <w:r>
              <w:rPr>
                <w:rFonts w:hint="eastAsia" w:ascii="宋体" w:hAnsi="宋体" w:cs="仿宋_GB2312"/>
                <w:b/>
                <w:bCs/>
                <w:szCs w:val="21"/>
              </w:rPr>
              <w:t>服务区域内绿化管理方案：（5分）。</w:t>
            </w:r>
          </w:p>
          <w:p>
            <w:pPr>
              <w:snapToGrid w:val="0"/>
              <w:spacing w:line="340" w:lineRule="exact"/>
              <w:rPr>
                <w:rFonts w:hint="eastAsia" w:ascii="宋体" w:hAnsi="宋体" w:cs="仿宋_GB2312"/>
                <w:szCs w:val="21"/>
              </w:rPr>
            </w:pPr>
            <w:r>
              <w:t>绿化带的树木、花、草等的日常养护和管理等方案进行评审；方案合理、科学，可操作性强的得4-5分，方案基本合理、科学，具有可操作性的得3-4分，方案欠科学合理，可操作性欠缺的得0-3分。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pStyle w:val="2"/>
              <w:ind w:firstLine="480"/>
              <w:rPr>
                <w:rFonts w:hint="eastAsia"/>
              </w:rPr>
            </w:pPr>
          </w:p>
        </w:tc>
        <w:tc>
          <w:tcPr>
            <w:tcW w:w="7472" w:type="dxa"/>
            <w:tcBorders>
              <w:left w:val="single" w:color="auto" w:sz="4" w:space="0"/>
            </w:tcBorders>
            <w:noWrap w:val="0"/>
            <w:vAlign w:val="center"/>
          </w:tcPr>
          <w:p>
            <w:pPr>
              <w:snapToGrid w:val="0"/>
              <w:spacing w:line="300" w:lineRule="exact"/>
              <w:rPr>
                <w:rFonts w:hint="eastAsia" w:ascii="宋体" w:hAnsi="宋体" w:cs="Arial"/>
                <w:b/>
                <w:snapToGrid w:val="0"/>
                <w:szCs w:val="21"/>
              </w:rPr>
            </w:pPr>
            <w:r>
              <w:rPr>
                <w:rFonts w:hint="eastAsia" w:ascii="宋体" w:hAnsi="宋体" w:cs="Arial"/>
                <w:b/>
                <w:snapToGrid w:val="0"/>
                <w:szCs w:val="21"/>
              </w:rPr>
              <w:t>设备、器具、工具投入方案：（5分）</w:t>
            </w:r>
          </w:p>
          <w:p>
            <w:pPr>
              <w:snapToGrid w:val="0"/>
              <w:spacing w:line="300" w:lineRule="exact"/>
              <w:rPr>
                <w:rFonts w:hint="eastAsia" w:ascii="宋体" w:hAnsi="宋体" w:cs="Tahoma"/>
                <w:szCs w:val="21"/>
              </w:rPr>
            </w:pPr>
            <w:r>
              <w:rPr>
                <w:rFonts w:hint="eastAsia" w:ascii="宋体" w:hAnsi="宋体" w:cs="仿宋_GB2312"/>
                <w:szCs w:val="21"/>
              </w:rPr>
              <w:t>根据配置的设备、工具、器械及办公用品等设备投入情况方面进行评审；拟投入的设备、器具、工具等充分考虑到整体项目管理需求的4-5分，拟投入的设备、器具、工具等基本满足整体项目管理需求的3-4分，拟投入的设备、器具、工具等未能满足整体项目管理需求的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spacing w:line="300" w:lineRule="exact"/>
              <w:rPr>
                <w:rFonts w:hint="eastAsia" w:ascii="宋体" w:hAnsi="宋体" w:cs="Arial"/>
                <w:b/>
                <w:snapToGrid w:val="0"/>
                <w:szCs w:val="21"/>
              </w:rPr>
            </w:pPr>
            <w:r>
              <w:rPr>
                <w:rFonts w:hint="eastAsia" w:ascii="宋体" w:hAnsi="宋体" w:cs="Arial"/>
                <w:b/>
                <w:snapToGrid w:val="0"/>
                <w:szCs w:val="21"/>
              </w:rPr>
              <w:t>文明城市建设方案：（5分）</w:t>
            </w:r>
          </w:p>
          <w:p>
            <w:pPr>
              <w:snapToGrid w:val="0"/>
              <w:spacing w:line="300" w:lineRule="exact"/>
              <w:rPr>
                <w:rFonts w:hint="eastAsia" w:ascii="宋体" w:hAnsi="宋体" w:cs="宋体"/>
                <w:sz w:val="22"/>
                <w:szCs w:val="22"/>
              </w:rPr>
            </w:pPr>
            <w:r>
              <w:rPr>
                <w:rFonts w:hint="eastAsia" w:ascii="宋体" w:hAnsi="宋体" w:cs="仿宋_GB2312"/>
                <w:szCs w:val="21"/>
              </w:rPr>
              <w:t>根据投标人的文明城市建设方案进行评审；方案合理、科学，可操作性强的得4-5分，方案基本合理、科学，具有可操作性的得3-4分，方案欠科学合理，可操作性欠缺的得0-3分。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spacing w:line="300" w:lineRule="exact"/>
              <w:rPr>
                <w:rFonts w:hint="eastAsia" w:ascii="宋体" w:hAnsi="宋体" w:cs="仿宋_GB2312"/>
                <w:szCs w:val="21"/>
              </w:rPr>
            </w:pPr>
            <w:r>
              <w:rPr>
                <w:rFonts w:hint="eastAsia" w:ascii="宋体" w:hAnsi="宋体" w:cs="Arial"/>
                <w:b/>
                <w:snapToGrid w:val="0"/>
                <w:szCs w:val="21"/>
              </w:rPr>
              <w:t>智能化管理方案：（5分）</w:t>
            </w:r>
            <w:r>
              <w:rPr>
                <w:rFonts w:hint="eastAsia" w:ascii="宋体" w:hAnsi="宋体" w:cs="仿宋_GB2312"/>
                <w:szCs w:val="21"/>
              </w:rPr>
              <w:t>根据整体项目人员岗位考核、服务质量控制、内部质量处理流程等智能化管理方案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spacing w:line="300" w:lineRule="exact"/>
              <w:rPr>
                <w:rFonts w:hint="eastAsia" w:ascii="宋体" w:hAnsi="宋体" w:cs="Arial"/>
                <w:b/>
                <w:snapToGrid w:val="0"/>
                <w:szCs w:val="21"/>
              </w:rPr>
            </w:pPr>
            <w:r>
              <w:rPr>
                <w:rFonts w:hint="eastAsia" w:ascii="宋体" w:hAnsi="宋体" w:cs="Arial"/>
                <w:b/>
                <w:snapToGrid w:val="0"/>
                <w:szCs w:val="21"/>
              </w:rPr>
              <w:t>运作流程、质量过程控制及协调机制：（5分）</w:t>
            </w:r>
          </w:p>
          <w:p>
            <w:pPr>
              <w:snapToGrid w:val="0"/>
              <w:spacing w:line="300" w:lineRule="exact"/>
              <w:rPr>
                <w:rFonts w:hint="eastAsia" w:ascii="宋体" w:hAnsi="宋体" w:cs="宋体"/>
                <w:sz w:val="22"/>
                <w:szCs w:val="22"/>
              </w:rPr>
            </w:pPr>
            <w:r>
              <w:rPr>
                <w:rFonts w:hint="eastAsia" w:ascii="宋体" w:hAnsi="宋体" w:cs="仿宋_GB2312"/>
                <w:szCs w:val="21"/>
              </w:rPr>
              <w:t>根据管理服务组织机构设置（附组织机构图）、运作流程（附流程图）、激励机制、监督机制、自我约束机制和信息反馈机制等进行评审；运作流程及协调机制可行性强的得4-5分，运作流程及协调机制可行性具有可操作性的得3-4分，运作流程及协调机制可行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rPr>
                <w:rFonts w:hint="eastAsia" w:ascii="宋体" w:hAnsi="宋体" w:cs="仿宋_GB2312"/>
                <w:b/>
                <w:bCs/>
                <w:szCs w:val="21"/>
              </w:rPr>
            </w:pPr>
            <w:r>
              <w:rPr>
                <w:rFonts w:hint="eastAsia" w:ascii="宋体" w:hAnsi="宋体"/>
                <w:b/>
                <w:szCs w:val="21"/>
              </w:rPr>
              <w:t>应急措施和智能化设施的管理与维修方案</w:t>
            </w:r>
            <w:r>
              <w:rPr>
                <w:rFonts w:hint="eastAsia" w:ascii="宋体" w:hAnsi="宋体" w:cs="仿宋_GB2312"/>
                <w:b/>
                <w:bCs/>
                <w:szCs w:val="21"/>
              </w:rPr>
              <w:t>：（5分）</w:t>
            </w:r>
          </w:p>
          <w:p>
            <w:pPr>
              <w:snapToGrid w:val="0"/>
              <w:rPr>
                <w:rFonts w:hint="eastAsia" w:ascii="宋体" w:hAnsi="宋体" w:cs="仿宋_GB2312"/>
                <w:szCs w:val="21"/>
              </w:rPr>
            </w:pPr>
            <w:r>
              <w:rPr>
                <w:rFonts w:hint="eastAsia" w:ascii="宋体" w:hAnsi="宋体" w:cs="仿宋_GB2312"/>
                <w:szCs w:val="21"/>
              </w:rPr>
              <w:t>对突发事件（包括发生台风、暴雨等灾害性天气及其他突发事件）时的应急预案及相应的措施，对设备机房、停车场等露天设施进行检查和加固所采取的应急措施，对智能化设施（如监控设备、公共区域及办公、会议室的供电系统、电气照明装置等公共设施）的检查、维护和应急维修方案等进行评审；方案合理、科学，可操作性强的得4-5分，方案基本合理、科学，具有可操作性的得3-4分，方案欠科学合理，可操作性欠缺的得0-3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5</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spacing w:line="300" w:lineRule="exact"/>
              <w:rPr>
                <w:rFonts w:hint="eastAsia" w:ascii="宋体" w:hAnsi="宋体"/>
                <w:b/>
                <w:szCs w:val="21"/>
              </w:rPr>
            </w:pPr>
            <w:r>
              <w:rPr>
                <w:rFonts w:hint="eastAsia" w:ascii="宋体" w:hAnsi="宋体"/>
                <w:b/>
                <w:szCs w:val="21"/>
              </w:rPr>
              <w:t>节能降耗方案：（3分）</w:t>
            </w:r>
          </w:p>
          <w:p>
            <w:pPr>
              <w:snapToGrid w:val="0"/>
              <w:spacing w:line="300" w:lineRule="exact"/>
              <w:rPr>
                <w:rFonts w:hint="eastAsia" w:ascii="宋体" w:hAnsi="宋体" w:cs="仿宋_GB2312"/>
                <w:szCs w:val="21"/>
              </w:rPr>
            </w:pPr>
            <w:r>
              <w:rPr>
                <w:rFonts w:hint="eastAsia" w:ascii="宋体" w:hAnsi="宋体" w:cs="仿宋_GB2312"/>
                <w:szCs w:val="21"/>
              </w:rPr>
              <w:t>根据节能降耗措施合理、科学，可操作性强等方面进行评审；方案合理、科学，可操作性强的得2-3分，方案基本合理、科学，具有可操作性的得1-2分，方案欠科学合理，可操作性欠缺的得0-1分。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3</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59" w:type="dxa"/>
            <w:vMerge w:val="continue"/>
            <w:tcBorders>
              <w:left w:val="double" w:color="auto" w:sz="4" w:space="0"/>
              <w:right w:val="single" w:color="auto" w:sz="4" w:space="0"/>
            </w:tcBorders>
            <w:noWrap w:val="0"/>
            <w:vAlign w:val="center"/>
          </w:tcPr>
          <w:p>
            <w:pPr>
              <w:rPr>
                <w:rFonts w:hint="eastAsia" w:ascii="宋体" w:hAnsi="宋体" w:cs="宋体"/>
              </w:rPr>
            </w:pPr>
          </w:p>
        </w:tc>
        <w:tc>
          <w:tcPr>
            <w:tcW w:w="7472" w:type="dxa"/>
            <w:tcBorders>
              <w:left w:val="single" w:color="auto" w:sz="4" w:space="0"/>
            </w:tcBorders>
            <w:noWrap w:val="0"/>
            <w:vAlign w:val="center"/>
          </w:tcPr>
          <w:p>
            <w:pPr>
              <w:snapToGrid w:val="0"/>
              <w:rPr>
                <w:rFonts w:hint="eastAsia" w:ascii="宋体" w:hAnsi="宋体" w:cs="Tahoma"/>
                <w:b/>
                <w:szCs w:val="21"/>
              </w:rPr>
            </w:pPr>
            <w:r>
              <w:rPr>
                <w:rFonts w:hint="eastAsia" w:ascii="宋体" w:hAnsi="宋体" w:cs="Tahoma"/>
                <w:b/>
                <w:szCs w:val="21"/>
              </w:rPr>
              <w:t>优惠承诺和</w:t>
            </w:r>
            <w:r>
              <w:rPr>
                <w:rFonts w:hint="eastAsia" w:ascii="宋体" w:hAnsi="宋体"/>
                <w:b/>
                <w:szCs w:val="21"/>
              </w:rPr>
              <w:t>特色服务</w:t>
            </w:r>
            <w:r>
              <w:rPr>
                <w:rFonts w:hint="eastAsia" w:ascii="宋体" w:hAnsi="宋体" w:cs="Tahoma"/>
                <w:b/>
                <w:szCs w:val="21"/>
              </w:rPr>
              <w:t>情况：（</w:t>
            </w:r>
            <w:r>
              <w:rPr>
                <w:rFonts w:hint="eastAsia" w:ascii="宋体" w:hAnsi="宋体"/>
                <w:b/>
                <w:szCs w:val="21"/>
              </w:rPr>
              <w:t>4分</w:t>
            </w:r>
            <w:r>
              <w:rPr>
                <w:rFonts w:hint="eastAsia" w:ascii="宋体" w:hAnsi="宋体" w:cs="Tahoma"/>
                <w:b/>
                <w:szCs w:val="21"/>
              </w:rPr>
              <w:t>）</w:t>
            </w:r>
          </w:p>
          <w:p>
            <w:pPr>
              <w:snapToGrid w:val="0"/>
              <w:spacing w:line="300" w:lineRule="exact"/>
              <w:rPr>
                <w:rFonts w:hint="eastAsia" w:ascii="宋体" w:hAnsi="宋体" w:cs="仿宋_GB2312"/>
                <w:szCs w:val="21"/>
              </w:rPr>
            </w:pPr>
            <w:r>
              <w:rPr>
                <w:rFonts w:hint="eastAsia" w:ascii="宋体" w:hAnsi="宋体"/>
                <w:szCs w:val="21"/>
              </w:rPr>
              <w:t>对后续服务等方面的优惠承诺以及其他特色服务等情况进行评审。对后续服务给予了优惠服务承诺并提供了符合本项目情况的特色服务的得3-4分，对后续服务给予了较大优惠服务承诺并提供了基本符合本项目情况的特色服务的得2-3分，对后续优惠服务承诺、特色服务欠缺的得0-2分。</w:t>
            </w:r>
          </w:p>
        </w:tc>
        <w:tc>
          <w:tcPr>
            <w:tcW w:w="682" w:type="dxa"/>
            <w:noWrap w:val="0"/>
            <w:vAlign w:val="center"/>
          </w:tcPr>
          <w:p>
            <w:pPr>
              <w:jc w:val="center"/>
              <w:rPr>
                <w:rFonts w:hint="eastAsia" w:ascii="宋体" w:hAnsi="宋体" w:cs="仿宋_GB2312"/>
                <w:szCs w:val="21"/>
              </w:rPr>
            </w:pPr>
            <w:r>
              <w:rPr>
                <w:rFonts w:hint="eastAsia" w:ascii="宋体" w:hAnsi="宋体" w:cs="仿宋_GB2312"/>
                <w:szCs w:val="21"/>
              </w:rPr>
              <w:t>4</w:t>
            </w:r>
          </w:p>
        </w:tc>
        <w:tc>
          <w:tcPr>
            <w:tcW w:w="515" w:type="dxa"/>
            <w:tcBorders>
              <w:right w:val="double" w:color="auto" w:sz="4" w:space="0"/>
            </w:tcBorders>
            <w:noWrap w:val="0"/>
            <w:vAlign w:val="top"/>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431" w:type="dxa"/>
            <w:gridSpan w:val="2"/>
            <w:tcBorders>
              <w:left w:val="double" w:color="auto" w:sz="4" w:space="0"/>
              <w:bottom w:val="double" w:color="auto" w:sz="4" w:space="0"/>
            </w:tcBorders>
            <w:noWrap w:val="0"/>
            <w:vAlign w:val="center"/>
          </w:tcPr>
          <w:p>
            <w:pPr>
              <w:jc w:val="center"/>
              <w:rPr>
                <w:rFonts w:hint="eastAsia" w:ascii="宋体" w:hAnsi="宋体" w:cs="宋体"/>
              </w:rPr>
            </w:pPr>
            <w:r>
              <w:rPr>
                <w:rFonts w:hint="eastAsia" w:ascii="宋体" w:hAnsi="宋体" w:cs="宋体"/>
              </w:rPr>
              <w:t>总得分</w:t>
            </w:r>
          </w:p>
        </w:tc>
        <w:tc>
          <w:tcPr>
            <w:tcW w:w="682" w:type="dxa"/>
            <w:tcBorders>
              <w:bottom w:val="double" w:color="auto" w:sz="4" w:space="0"/>
            </w:tcBorders>
            <w:noWrap w:val="0"/>
            <w:vAlign w:val="center"/>
          </w:tcPr>
          <w:p>
            <w:pPr>
              <w:jc w:val="center"/>
              <w:rPr>
                <w:rFonts w:ascii="宋体" w:hAnsi="宋体" w:cs="宋体"/>
              </w:rPr>
            </w:pPr>
            <w:r>
              <w:rPr>
                <w:rFonts w:hint="eastAsia" w:ascii="宋体" w:hAnsi="宋体" w:cs="宋体"/>
              </w:rPr>
              <w:t>80</w:t>
            </w:r>
          </w:p>
        </w:tc>
        <w:tc>
          <w:tcPr>
            <w:tcW w:w="515" w:type="dxa"/>
            <w:tcBorders>
              <w:bottom w:val="double" w:color="auto" w:sz="4" w:space="0"/>
              <w:right w:val="double" w:color="auto" w:sz="4" w:space="0"/>
            </w:tcBorders>
            <w:noWrap w:val="0"/>
            <w:vAlign w:val="center"/>
          </w:tcPr>
          <w:p>
            <w:pPr>
              <w:rPr>
                <w:rFonts w:hint="eastAsia" w:ascii="宋体" w:hAnsi="宋体" w:cs="宋体"/>
              </w:rPr>
            </w:pPr>
          </w:p>
        </w:tc>
      </w:tr>
    </w:tbl>
    <w:p>
      <w:pPr>
        <w:spacing w:line="400" w:lineRule="exact"/>
        <w:rPr>
          <w:rFonts w:hint="eastAsia" w:ascii="宋体" w:hAnsi="宋体" w:cs="宋体"/>
          <w:b/>
          <w:szCs w:val="22"/>
          <w:lang w:bidi="ar"/>
        </w:rPr>
      </w:pPr>
      <w:r>
        <w:rPr>
          <w:rFonts w:hint="eastAsia" w:ascii="宋体" w:hAnsi="宋体" w:cs="宋体"/>
          <w:b/>
          <w:szCs w:val="22"/>
          <w:lang w:bidi="ar"/>
        </w:rPr>
        <w:t>注：1、各评委成员自行按以上参考分值评分，小数点后保留一位数。</w:t>
      </w:r>
    </w:p>
    <w:p>
      <w:pPr>
        <w:spacing w:line="400" w:lineRule="exact"/>
        <w:rPr>
          <w:rFonts w:hint="eastAsia" w:ascii="宋体" w:hAnsi="宋体" w:cs="宋体"/>
          <w:szCs w:val="21"/>
          <w:lang w:bidi="ar"/>
        </w:rPr>
      </w:pPr>
      <w:r>
        <w:rPr>
          <w:rFonts w:hint="eastAsia" w:ascii="宋体" w:hAnsi="宋体" w:cs="宋体"/>
          <w:b/>
          <w:szCs w:val="22"/>
          <w:lang w:bidi="ar"/>
        </w:rPr>
        <w:t>2、以上分值重复的地方，下限不含，上限含。</w:t>
      </w:r>
    </w:p>
    <w:p>
      <w:pPr>
        <w:rPr>
          <w:rFonts w:hint="eastAsia" w:ascii="宋体" w:hAnsi="宋体" w:cs="宋体"/>
          <w:szCs w:val="21"/>
          <w:lang w:bidi="ar"/>
        </w:rPr>
      </w:pPr>
    </w:p>
    <w:p>
      <w:pPr>
        <w:rPr>
          <w:rFonts w:hint="eastAsia" w:ascii="宋体" w:hAnsi="宋体" w:cs="宋体"/>
          <w:szCs w:val="21"/>
          <w:lang w:bidi="ar"/>
        </w:rPr>
      </w:pPr>
      <w:r>
        <w:rPr>
          <w:rFonts w:hint="eastAsia" w:ascii="宋体" w:hAnsi="宋体" w:cs="宋体"/>
          <w:sz w:val="22"/>
          <w:szCs w:val="22"/>
          <w:lang w:bidi="ar"/>
        </w:rPr>
        <w:t xml:space="preserve">评委签名：  </w:t>
      </w:r>
      <w:r>
        <w:rPr>
          <w:rFonts w:hint="eastAsia" w:ascii="宋体" w:hAnsi="宋体" w:cs="宋体"/>
          <w:szCs w:val="21"/>
          <w:lang w:bidi="ar"/>
        </w:rPr>
        <w:t xml:space="preserve">                                            </w:t>
      </w:r>
    </w:p>
    <w:p>
      <w:pPr>
        <w:pStyle w:val="2"/>
        <w:ind w:firstLine="480"/>
        <w:rPr>
          <w:rFonts w:hint="eastAsia" w:ascii="宋体" w:hAnsi="宋体" w:eastAsia="宋体" w:cs="宋体"/>
        </w:rPr>
      </w:pPr>
    </w:p>
    <w:p>
      <w:pPr>
        <w:jc w:val="right"/>
        <w:rPr>
          <w:rFonts w:hint="eastAsia" w:ascii="宋体" w:hAnsi="宋体" w:cs="宋体"/>
          <w:szCs w:val="21"/>
          <w:lang w:bidi="ar"/>
        </w:rPr>
      </w:pPr>
      <w:r>
        <w:rPr>
          <w:rFonts w:hint="eastAsia" w:ascii="宋体" w:hAnsi="宋体" w:cs="宋体"/>
          <w:szCs w:val="21"/>
          <w:lang w:bidi="ar"/>
        </w:rPr>
        <w:t xml:space="preserve"> 年  月   日  </w:t>
      </w:r>
    </w:p>
    <w:p>
      <w:pPr>
        <w:widowControl/>
        <w:spacing w:line="340" w:lineRule="exact"/>
        <w:rPr>
          <w:rFonts w:hint="eastAsia" w:ascii="宋体" w:hAnsi="宋体" w:cs="宋体"/>
          <w:szCs w:val="21"/>
          <w:lang w:bidi="ar"/>
        </w:rPr>
      </w:pPr>
      <w:bookmarkStart w:id="98" w:name="_Toc16187"/>
    </w:p>
    <w:p>
      <w:pPr>
        <w:widowControl/>
        <w:spacing w:line="340" w:lineRule="exact"/>
        <w:rPr>
          <w:rFonts w:hint="eastAsia" w:ascii="宋体" w:hAnsi="宋体" w:cs="宋体"/>
          <w:szCs w:val="21"/>
          <w:lang w:bidi="ar"/>
        </w:rPr>
      </w:pPr>
    </w:p>
    <w:p>
      <w:pPr>
        <w:widowControl/>
        <w:spacing w:line="340" w:lineRule="exact"/>
        <w:rPr>
          <w:rFonts w:hint="eastAsia" w:ascii="宋体" w:hAnsi="宋体" w:cs="宋体"/>
          <w:szCs w:val="21"/>
          <w:lang w:bidi="ar"/>
        </w:rPr>
      </w:pPr>
    </w:p>
    <w:p>
      <w:pPr>
        <w:pStyle w:val="2"/>
        <w:ind w:firstLine="480"/>
        <w:rPr>
          <w:rFonts w:hint="eastAsia" w:ascii="宋体" w:hAnsi="宋体" w:eastAsia="宋体" w:cs="宋体"/>
          <w:szCs w:val="21"/>
          <w:lang w:bidi="ar"/>
        </w:rPr>
      </w:pPr>
    </w:p>
    <w:p>
      <w:pPr>
        <w:pStyle w:val="2"/>
        <w:ind w:firstLine="480"/>
        <w:rPr>
          <w:rFonts w:hint="eastAsia" w:ascii="宋体" w:hAnsi="宋体" w:eastAsia="宋体" w:cs="宋体"/>
          <w:szCs w:val="21"/>
          <w:lang w:bidi="ar"/>
        </w:rPr>
      </w:pPr>
    </w:p>
    <w:p>
      <w:pPr>
        <w:pStyle w:val="2"/>
        <w:ind w:firstLine="480"/>
        <w:rPr>
          <w:rFonts w:hint="eastAsia" w:ascii="宋体" w:hAnsi="宋体" w:eastAsia="宋体" w:cs="宋体"/>
          <w:szCs w:val="21"/>
          <w:lang w:bidi="ar"/>
        </w:rPr>
      </w:pPr>
    </w:p>
    <w:p>
      <w:pPr>
        <w:pStyle w:val="2"/>
        <w:ind w:firstLine="480"/>
        <w:rPr>
          <w:rFonts w:hint="eastAsia" w:ascii="宋体" w:hAnsi="宋体" w:eastAsia="宋体" w:cs="宋体"/>
          <w:szCs w:val="21"/>
          <w:lang w:bidi="ar"/>
        </w:rPr>
      </w:pPr>
    </w:p>
    <w:p>
      <w:pPr>
        <w:pStyle w:val="2"/>
        <w:ind w:firstLine="480"/>
        <w:rPr>
          <w:rFonts w:hint="eastAsia" w:ascii="宋体" w:hAnsi="宋体" w:eastAsia="宋体" w:cs="宋体"/>
          <w:szCs w:val="21"/>
          <w:lang w:bidi="ar"/>
        </w:rPr>
      </w:pPr>
    </w:p>
    <w:p>
      <w:pPr>
        <w:widowControl/>
        <w:spacing w:line="340" w:lineRule="exact"/>
        <w:rPr>
          <w:rFonts w:hint="eastAsia" w:ascii="宋体" w:hAnsi="宋体" w:cs="宋体"/>
          <w:b/>
          <w:bCs/>
          <w:szCs w:val="21"/>
        </w:rPr>
      </w:pPr>
      <w:r>
        <w:rPr>
          <w:rFonts w:hint="eastAsia" w:ascii="宋体" w:hAnsi="宋体" w:cs="宋体"/>
          <w:b/>
          <w:bCs/>
          <w:szCs w:val="21"/>
          <w:lang w:bidi="ar"/>
        </w:rPr>
        <w:t>附表4</w:t>
      </w:r>
    </w:p>
    <w:p>
      <w:pPr>
        <w:pStyle w:val="2"/>
        <w:spacing w:line="360" w:lineRule="auto"/>
        <w:ind w:firstLine="0" w:firstLineChars="0"/>
        <w:jc w:val="center"/>
        <w:rPr>
          <w:rFonts w:hint="eastAsia" w:ascii="宋体" w:hAnsi="宋体" w:eastAsia="宋体" w:cs="宋体"/>
          <w:b/>
          <w:bCs/>
          <w:sz w:val="28"/>
          <w:szCs w:val="28"/>
          <w:lang w:bidi="ar"/>
        </w:rPr>
      </w:pPr>
      <w:r>
        <w:rPr>
          <w:rFonts w:hint="eastAsia" w:ascii="宋体" w:hAnsi="宋体" w:eastAsia="宋体" w:cs="宋体"/>
          <w:b/>
          <w:bCs/>
          <w:sz w:val="28"/>
          <w:szCs w:val="28"/>
          <w:lang w:bidi="ar"/>
        </w:rPr>
        <w:t>报价文件符合性审查表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序号</w:t>
            </w:r>
          </w:p>
        </w:tc>
        <w:tc>
          <w:tcPr>
            <w:tcW w:w="359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要求</w:t>
            </w:r>
          </w:p>
        </w:tc>
        <w:tc>
          <w:tcPr>
            <w:tcW w:w="510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b/>
                <w:szCs w:val="21"/>
              </w:rPr>
            </w:pPr>
            <w:r>
              <w:rPr>
                <w:rFonts w:hint="eastAsia" w:ascii="宋体" w:hAnsi="宋体" w:cs="宋体"/>
                <w:b/>
                <w:szCs w:val="21"/>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供应商名称与</w:t>
            </w:r>
            <w:r>
              <w:rPr>
                <w:rFonts w:hint="eastAsia" w:ascii="宋体" w:hAnsi="宋体"/>
              </w:rPr>
              <w:t>企业法人营业执照（或事业法人登记证）或其他组织（个体工商户）的营业执照或者民办非企业单位登记证书</w:t>
            </w:r>
            <w:r>
              <w:rPr>
                <w:rFonts w:hint="eastAsia" w:ascii="宋体" w:hAnsi="宋体" w:cs="宋体"/>
                <w:szCs w:val="21"/>
                <w:lang w:bidi="ar"/>
              </w:rPr>
              <w:t>一致。</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供应商名称与</w:t>
            </w:r>
            <w:r>
              <w:rPr>
                <w:rFonts w:hint="eastAsia" w:ascii="宋体" w:hAnsi="宋体"/>
              </w:rPr>
              <w:t>企业法人营业执照（或事业法人登记证）或其他组织（个体工商户）的营业执照或者民办非企业单位登记证书</w:t>
            </w:r>
            <w:r>
              <w:rPr>
                <w:rFonts w:hint="eastAsia" w:ascii="宋体" w:hAnsi="宋体" w:cs="宋体"/>
                <w:szCs w:val="21"/>
                <w:lang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2</w:t>
            </w:r>
          </w:p>
        </w:tc>
        <w:tc>
          <w:tcPr>
            <w:tcW w:w="3594"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bCs/>
                <w:szCs w:val="21"/>
                <w:lang w:bidi="ar"/>
              </w:rPr>
              <w:t>总投标报价超出预算价或最高限价的投标为无效投标</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Cs w:val="21"/>
              </w:rPr>
            </w:pPr>
            <w:r>
              <w:rPr>
                <w:rFonts w:hint="eastAsia" w:ascii="宋体" w:hAnsi="宋体" w:cs="宋体"/>
                <w:bCs/>
                <w:szCs w:val="21"/>
                <w:lang w:bidi="ar"/>
              </w:rPr>
              <w:t>预算价为</w:t>
            </w:r>
            <w:r>
              <w:rPr>
                <w:rFonts w:hint="eastAsia"/>
                <w:lang w:bidi="ar"/>
              </w:rPr>
              <w:t>1200万</w:t>
            </w:r>
            <w:r>
              <w:rPr>
                <w:lang w:bidi="ar"/>
              </w:rPr>
              <w:t>元（</w:t>
            </w:r>
            <w:r>
              <w:t>最高限价：</w:t>
            </w:r>
            <w:r>
              <w:rPr>
                <w:rFonts w:hint="eastAsia"/>
              </w:rPr>
              <w:t>1200万</w:t>
            </w:r>
            <w:r>
              <w:t>元</w:t>
            </w:r>
            <w:r>
              <w:rPr>
                <w:lang w:bidi="ar"/>
              </w:rPr>
              <w:t>）</w:t>
            </w:r>
            <w:r>
              <w:rPr>
                <w:rFonts w:hint="eastAsia" w:ascii="宋体" w:hAnsi="宋体" w:cs="宋体"/>
                <w:bCs/>
                <w:szCs w:val="21"/>
                <w:lang w:bidi="ar"/>
              </w:rPr>
              <w:t>，总投标报价超出预算价或最高限价的投标为无效投标；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3</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标文件的签署盖章符合第二章“投标须知”第九、2条的要求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r>
              <w:rPr>
                <w:rFonts w:hint="eastAsia" w:ascii="宋体" w:hAnsi="宋体" w:cs="宋体"/>
                <w:sz w:val="20"/>
              </w:rPr>
              <w:t>4</w:t>
            </w:r>
          </w:p>
        </w:tc>
        <w:tc>
          <w:tcPr>
            <w:tcW w:w="35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lang w:bidi="ar"/>
              </w:rPr>
            </w:pPr>
            <w:r>
              <w:rPr>
                <w:rFonts w:hint="eastAsia" w:ascii="宋体" w:hAnsi="宋体" w:cs="宋体"/>
                <w:szCs w:val="21"/>
                <w:lang w:bidi="ar"/>
              </w:rPr>
              <w:t>供应商编制的投标文件符合法律、法规和采购文件中规定并对实质性要求完全响应</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Cs w:val="21"/>
                <w:lang w:bidi="ar"/>
              </w:rPr>
            </w:pPr>
            <w:r>
              <w:rPr>
                <w:rFonts w:hint="eastAsia" w:ascii="宋体" w:hAnsi="宋体" w:cs="宋体"/>
                <w:szCs w:val="21"/>
                <w:lang w:bidi="ar"/>
              </w:rPr>
              <w:t>供应商编制的投标文件符合法律、法规和采购文件中规定的并对其他实质性要求完全响应（实质性要求招标文件中“★”标记）。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b/>
                <w:szCs w:val="21"/>
                <w:lang w:bidi="ar"/>
              </w:rPr>
              <w:t>初步审查结论</w:t>
            </w:r>
          </w:p>
        </w:tc>
        <w:tc>
          <w:tcPr>
            <w:tcW w:w="5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bl>
    <w:p>
      <w:pPr>
        <w:spacing w:line="400" w:lineRule="exact"/>
        <w:rPr>
          <w:rFonts w:hint="eastAsia" w:ascii="宋体" w:hAnsi="宋体" w:cs="宋体"/>
          <w:b/>
          <w:szCs w:val="22"/>
          <w:lang w:bidi="ar"/>
        </w:rPr>
      </w:pPr>
      <w:r>
        <w:rPr>
          <w:rFonts w:hint="eastAsia" w:ascii="宋体" w:hAnsi="宋体" w:cs="宋体"/>
          <w:b/>
          <w:szCs w:val="22"/>
          <w:lang w:bidi="ar"/>
        </w:rPr>
        <w:t>注：1、上述审查项目中，任意一项不符合的，报价文件符合性审查不合格。</w:t>
      </w:r>
    </w:p>
    <w:p>
      <w:pPr>
        <w:spacing w:line="400" w:lineRule="exact"/>
        <w:ind w:firstLine="422" w:firstLineChars="200"/>
        <w:rPr>
          <w:rFonts w:hint="eastAsia" w:ascii="宋体" w:hAnsi="宋体" w:cs="宋体"/>
          <w:b/>
          <w:szCs w:val="22"/>
          <w:lang w:bidi="ar"/>
        </w:rPr>
      </w:pPr>
      <w:r>
        <w:rPr>
          <w:rFonts w:hint="eastAsia" w:ascii="宋体" w:hAnsi="宋体" w:cs="宋体"/>
          <w:b/>
          <w:szCs w:val="22"/>
          <w:lang w:bidi="ar"/>
        </w:rPr>
        <w:t>2、本项目实行网上投标，供应商在制作投标文件时须根据上表要求说明要求的资料，将资料逐一对应上传或关联（有特殊备注的除外）（若关联页码有多页而只能关联一页的，则关联相应页码的第一页）。</w:t>
      </w:r>
    </w:p>
    <w:p>
      <w:pPr>
        <w:pStyle w:val="2"/>
        <w:ind w:firstLine="480"/>
        <w:rPr>
          <w:rFonts w:hint="eastAsia" w:ascii="宋体" w:hAnsi="宋体" w:eastAsia="宋体" w:cs="宋体"/>
          <w:szCs w:val="21"/>
          <w:lang w:bidi="ar"/>
        </w:rPr>
      </w:pPr>
    </w:p>
    <w:p>
      <w:pPr>
        <w:spacing w:line="360" w:lineRule="auto"/>
        <w:rPr>
          <w:rFonts w:hint="eastAsia" w:ascii="宋体" w:hAnsi="宋体" w:cs="宋体"/>
          <w:szCs w:val="21"/>
          <w:lang w:bidi="ar"/>
        </w:rPr>
      </w:pPr>
    </w:p>
    <w:p>
      <w:pPr>
        <w:spacing w:line="360" w:lineRule="auto"/>
        <w:rPr>
          <w:rFonts w:hint="eastAsia" w:ascii="宋体" w:hAnsi="宋体" w:cs="宋体"/>
          <w:b/>
          <w:bCs/>
          <w:szCs w:val="21"/>
        </w:rPr>
      </w:pPr>
      <w:r>
        <w:rPr>
          <w:rFonts w:hint="eastAsia" w:ascii="宋体" w:hAnsi="宋体" w:cs="宋体"/>
          <w:b/>
          <w:bCs/>
          <w:szCs w:val="21"/>
          <w:lang w:bidi="ar"/>
        </w:rPr>
        <w:t>附表5</w:t>
      </w:r>
    </w:p>
    <w:p>
      <w:pPr>
        <w:spacing w:line="360" w:lineRule="auto"/>
        <w:jc w:val="center"/>
        <w:rPr>
          <w:rFonts w:hint="eastAsia" w:ascii="宋体" w:hAnsi="宋体" w:cs="宋体"/>
          <w:b/>
          <w:bCs/>
          <w:sz w:val="28"/>
          <w:szCs w:val="28"/>
          <w:lang w:bidi="ar"/>
        </w:rPr>
      </w:pPr>
      <w:r>
        <w:rPr>
          <w:rFonts w:hint="eastAsia" w:ascii="宋体" w:hAnsi="宋体" w:cs="宋体"/>
          <w:b/>
          <w:bCs/>
          <w:sz w:val="28"/>
          <w:szCs w:val="28"/>
          <w:lang w:bidi="ar"/>
        </w:rPr>
        <w:t>价格评分表</w:t>
      </w:r>
    </w:p>
    <w:p>
      <w:pPr>
        <w:pStyle w:val="2"/>
        <w:ind w:firstLine="480"/>
        <w:rPr>
          <w:rFonts w:hint="eastAsia" w:ascii="宋体" w:hAnsi="宋体" w:eastAsia="宋体" w:cs="宋体"/>
        </w:rPr>
      </w:pPr>
    </w:p>
    <w:p>
      <w:pPr>
        <w:pStyle w:val="2"/>
        <w:spacing w:line="360" w:lineRule="auto"/>
        <w:ind w:firstLine="0" w:firstLineChars="0"/>
        <w:rPr>
          <w:rFonts w:hint="eastAsia" w:ascii="宋体" w:hAnsi="宋体" w:eastAsia="宋体" w:cs="宋体"/>
          <w:b/>
          <w:bCs/>
          <w:sz w:val="28"/>
          <w:szCs w:val="28"/>
          <w:lang w:bidi="ar"/>
        </w:rPr>
      </w:pPr>
      <w:r>
        <w:rPr>
          <w:rFonts w:hint="eastAsia" w:ascii="宋体" w:hAnsi="宋体" w:eastAsia="宋体" w:cs="宋体"/>
          <w:b/>
          <w:bCs/>
          <w:sz w:val="28"/>
          <w:szCs w:val="28"/>
          <w:lang w:bidi="ar"/>
        </w:rPr>
        <w:t>慈溪市环杭州湾创新中心公共空间一体化管理服务采购项目</w:t>
      </w:r>
    </w:p>
    <w:tbl>
      <w:tblPr>
        <w:tblStyle w:val="44"/>
        <w:tblpPr w:leftFromText="180" w:rightFromText="180" w:vertAnchor="text" w:horzAnchor="page" w:tblpX="1049"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98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000" w:type="dxa"/>
            <w:gridSpan w:val="2"/>
            <w:tcBorders>
              <w:top w:val="single" w:color="auto" w:sz="4" w:space="0"/>
              <w:left w:val="single" w:color="auto" w:sz="4" w:space="0"/>
              <w:bottom w:val="single" w:color="auto" w:sz="4" w:space="0"/>
              <w:right w:val="single" w:color="auto" w:sz="4" w:space="0"/>
              <w:tl2br w:val="single" w:color="000000" w:sz="4" w:space="0"/>
            </w:tcBorders>
            <w:noWrap w:val="0"/>
            <w:vAlign w:val="top"/>
          </w:tcPr>
          <w:p>
            <w:pPr>
              <w:spacing w:line="320" w:lineRule="exact"/>
              <w:ind w:right="420" w:firstLine="4410" w:firstLineChars="2100"/>
              <w:rPr>
                <w:rFonts w:hint="eastAsia" w:ascii="宋体" w:hAnsi="宋体" w:cs="宋体"/>
                <w:szCs w:val="21"/>
              </w:rPr>
            </w:pPr>
            <w:r>
              <w:rPr>
                <w:rFonts w:hint="eastAsia" w:ascii="宋体" w:hAnsi="宋体" w:cs="宋体"/>
                <w:szCs w:val="21"/>
                <w:lang w:bidi="ar"/>
              </w:rPr>
              <w:t xml:space="preserve">                        供应商</w:t>
            </w:r>
          </w:p>
          <w:p>
            <w:pPr>
              <w:spacing w:line="320" w:lineRule="exact"/>
              <w:ind w:firstLine="945" w:firstLineChars="450"/>
              <w:rPr>
                <w:rFonts w:hint="eastAsia" w:ascii="宋体" w:hAnsi="宋体" w:cs="宋体"/>
                <w:szCs w:val="21"/>
                <w:lang w:val="ru"/>
              </w:rPr>
            </w:pPr>
            <w:r>
              <w:rPr>
                <w:rFonts w:hint="eastAsia" w:ascii="宋体" w:hAnsi="宋体" w:cs="宋体"/>
                <w:szCs w:val="21"/>
                <w:lang w:bidi="ar"/>
              </w:rPr>
              <w:t>分值</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lang w:val="ru"/>
              </w:rPr>
            </w:pPr>
            <w:r>
              <w:rPr>
                <w:rFonts w:hint="eastAsia" w:ascii="宋体" w:hAnsi="宋体" w:cs="宋体"/>
                <w:szCs w:val="21"/>
                <w:lang w:val="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trPr>
        <w:tc>
          <w:tcPr>
            <w:tcW w:w="102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spacing w:val="-4"/>
                <w:szCs w:val="21"/>
              </w:rPr>
            </w:pPr>
            <w:r>
              <w:rPr>
                <w:rFonts w:hint="eastAsia" w:ascii="宋体" w:hAnsi="宋体" w:cs="宋体"/>
                <w:spacing w:val="-4"/>
                <w:szCs w:val="21"/>
              </w:rPr>
              <w:t>价格</w:t>
            </w:r>
          </w:p>
          <w:p>
            <w:pPr>
              <w:snapToGrid w:val="0"/>
              <w:jc w:val="center"/>
              <w:rPr>
                <w:rFonts w:hint="eastAsia" w:ascii="宋体" w:hAnsi="宋体" w:cs="宋体"/>
                <w:szCs w:val="21"/>
              </w:rPr>
            </w:pPr>
            <w:r>
              <w:rPr>
                <w:rFonts w:hint="eastAsia" w:ascii="宋体" w:hAnsi="宋体" w:cs="宋体"/>
                <w:spacing w:val="-4"/>
                <w:szCs w:val="21"/>
              </w:rPr>
              <w:t>（20分）</w:t>
            </w:r>
          </w:p>
        </w:tc>
        <w:tc>
          <w:tcPr>
            <w:tcW w:w="7980" w:type="dxa"/>
            <w:tcBorders>
              <w:top w:val="single" w:color="auto" w:sz="4" w:space="0"/>
              <w:left w:val="single" w:color="auto" w:sz="4" w:space="0"/>
              <w:right w:val="single" w:color="auto" w:sz="4" w:space="0"/>
            </w:tcBorders>
            <w:noWrap w:val="0"/>
            <w:vAlign w:val="center"/>
          </w:tcPr>
          <w:p>
            <w:pPr>
              <w:spacing w:line="320" w:lineRule="exact"/>
              <w:rPr>
                <w:rFonts w:hint="eastAsia" w:ascii="宋体" w:hAnsi="宋体" w:cs="宋体"/>
              </w:rPr>
            </w:pPr>
            <w:r>
              <w:rPr>
                <w:rFonts w:hint="eastAsia" w:ascii="宋体" w:hAnsi="宋体" w:cs="宋体"/>
              </w:rPr>
              <w:t>本次采购为非专门面向中小企业，本次评审将对中小企业声明函中满足采购文件要求的小微型企业的投标报价给予6%的扣除，用扣除后的价格参与评审。</w:t>
            </w:r>
          </w:p>
          <w:p>
            <w:pPr>
              <w:spacing w:line="320" w:lineRule="exact"/>
              <w:rPr>
                <w:rFonts w:hint="eastAsia" w:ascii="宋体" w:hAnsi="宋体" w:cs="宋体"/>
              </w:rPr>
            </w:pPr>
            <w:r>
              <w:rPr>
                <w:rFonts w:hint="eastAsia" w:ascii="宋体" w:hAnsi="宋体" w:cs="宋体"/>
              </w:rPr>
              <w:t>满足采购文件要求且投标报价最低的为评审基准价，等于基准价的得分为满分。其他投标人的报价分按照下式计算：</w:t>
            </w:r>
          </w:p>
          <w:p>
            <w:pPr>
              <w:snapToGrid w:val="0"/>
              <w:jc w:val="left"/>
              <w:rPr>
                <w:rFonts w:hint="eastAsia" w:ascii="宋体" w:hAnsi="宋体" w:cs="宋体"/>
                <w:szCs w:val="21"/>
              </w:rPr>
            </w:pPr>
            <w:r>
              <w:rPr>
                <w:rFonts w:hint="eastAsia" w:ascii="宋体" w:hAnsi="宋体" w:cs="宋体"/>
              </w:rPr>
              <w:t>报价得分＝（基准价÷参与评审报价）×20。</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b/>
                <w:sz w:val="22"/>
                <w:szCs w:val="18"/>
                <w:lang w:bidi="ar"/>
              </w:rPr>
              <w:t>报价得分（20分）</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p>
        </w:tc>
      </w:tr>
    </w:tbl>
    <w:p>
      <w:pPr>
        <w:spacing w:line="320" w:lineRule="exact"/>
        <w:ind w:firstLine="211" w:firstLineChars="100"/>
        <w:rPr>
          <w:rFonts w:hint="eastAsia" w:ascii="宋体" w:hAnsi="宋体" w:cs="宋体"/>
          <w:b/>
          <w:szCs w:val="21"/>
          <w:lang w:bidi="ar"/>
        </w:rPr>
      </w:pPr>
      <w:r>
        <w:rPr>
          <w:rFonts w:hint="eastAsia" w:ascii="宋体" w:hAnsi="宋体" w:cs="宋体"/>
          <w:b/>
          <w:bCs/>
          <w:szCs w:val="21"/>
          <w:lang w:bidi="ar"/>
        </w:rPr>
        <w:t xml:space="preserve">   </w:t>
      </w:r>
      <w:r>
        <w:rPr>
          <w:rFonts w:hint="eastAsia" w:ascii="宋体" w:hAnsi="宋体" w:cs="宋体"/>
          <w:b/>
          <w:szCs w:val="21"/>
          <w:lang w:bidi="ar"/>
        </w:rPr>
        <w:t xml:space="preserve">      </w:t>
      </w:r>
    </w:p>
    <w:p>
      <w:pPr>
        <w:spacing w:line="320" w:lineRule="exact"/>
        <w:ind w:firstLine="211" w:firstLineChars="100"/>
        <w:rPr>
          <w:rFonts w:hint="eastAsia" w:ascii="宋体" w:hAnsi="宋体" w:cs="宋体"/>
          <w:b/>
          <w:szCs w:val="21"/>
          <w:lang w:bidi="ar"/>
        </w:rPr>
      </w:pPr>
    </w:p>
    <w:p>
      <w:pPr>
        <w:spacing w:line="320" w:lineRule="exact"/>
        <w:rPr>
          <w:rFonts w:hint="eastAsia"/>
        </w:rPr>
        <w:sectPr>
          <w:headerReference r:id="rId9" w:type="default"/>
          <w:footerReference r:id="rId10" w:type="default"/>
          <w:pgSz w:w="11915" w:h="16840"/>
          <w:pgMar w:top="1418" w:right="1135" w:bottom="1418" w:left="1135" w:header="285" w:footer="616" w:gutter="0"/>
          <w:pgBorders w:offsetFrom="page">
            <w:top w:val="none" w:sz="0" w:space="0"/>
            <w:left w:val="none" w:sz="0" w:space="0"/>
            <w:bottom w:val="none" w:sz="0" w:space="0"/>
            <w:right w:val="none" w:sz="0" w:space="0"/>
          </w:pgBorders>
          <w:cols w:space="720" w:num="1"/>
          <w:docGrid w:linePitch="285" w:charSpace="0"/>
        </w:sectPr>
      </w:pPr>
    </w:p>
    <w:p>
      <w:pPr>
        <w:pStyle w:val="4"/>
        <w:keepLines/>
        <w:spacing w:before="340" w:after="330" w:line="240" w:lineRule="auto"/>
        <w:rPr>
          <w:rFonts w:hint="eastAsia" w:ascii="宋体" w:hAnsi="宋体" w:cs="宋体"/>
          <w:sz w:val="36"/>
          <w:szCs w:val="36"/>
        </w:rPr>
      </w:pPr>
      <w:r>
        <w:rPr>
          <w:rFonts w:hint="eastAsia" w:ascii="宋体" w:hAnsi="宋体" w:cs="宋体"/>
          <w:sz w:val="36"/>
          <w:szCs w:val="36"/>
        </w:rPr>
        <w:t>第四章  采购合同样本</w:t>
      </w:r>
      <w:bookmarkEnd w:id="96"/>
      <w:bookmarkEnd w:id="98"/>
    </w:p>
    <w:p>
      <w:pPr>
        <w:pStyle w:val="4"/>
        <w:keepLines/>
        <w:spacing w:before="340" w:after="330" w:line="240" w:lineRule="auto"/>
        <w:rPr>
          <w:rFonts w:hint="eastAsia" w:ascii="宋体" w:hAnsi="宋体" w:cs="宋体"/>
          <w:sz w:val="30"/>
          <w:szCs w:val="30"/>
        </w:rPr>
      </w:pPr>
      <w:bookmarkStart w:id="99" w:name="_Toc18645"/>
      <w:bookmarkStart w:id="100" w:name="_Toc32584"/>
      <w:bookmarkStart w:id="101" w:name="_Toc29021"/>
      <w:bookmarkStart w:id="102" w:name="_Toc508626485"/>
      <w:bookmarkStart w:id="103" w:name="_Toc2199"/>
      <w:r>
        <w:rPr>
          <w:rFonts w:hint="eastAsia" w:ascii="宋体" w:hAnsi="宋体" w:cs="宋体"/>
          <w:sz w:val="30"/>
          <w:szCs w:val="30"/>
        </w:rPr>
        <w:t>（本合同为合同样稿，最终稿由甲乙双方协商后确定）</w:t>
      </w:r>
      <w:bookmarkEnd w:id="99"/>
      <w:bookmarkEnd w:id="100"/>
      <w:bookmarkEnd w:id="101"/>
      <w:bookmarkEnd w:id="102"/>
      <w:bookmarkEnd w:id="103"/>
    </w:p>
    <w:p>
      <w:pPr>
        <w:tabs>
          <w:tab w:val="left" w:pos="840"/>
        </w:tabs>
        <w:spacing w:line="360" w:lineRule="exact"/>
        <w:ind w:firstLine="456"/>
        <w:rPr>
          <w:rFonts w:ascii="宋体" w:hAnsi="宋体"/>
          <w:szCs w:val="21"/>
        </w:rPr>
      </w:pPr>
      <w:bookmarkStart w:id="104" w:name="_Toc21364"/>
      <w:r>
        <w:rPr>
          <w:rFonts w:hint="eastAsia" w:ascii="宋体" w:hAnsi="宋体"/>
          <w:szCs w:val="21"/>
        </w:rPr>
        <w:t>甲方：</w:t>
      </w:r>
      <w:r>
        <w:rPr>
          <w:rFonts w:hint="eastAsia" w:ascii="宋体" w:hAnsi="宋体"/>
          <w:szCs w:val="21"/>
          <w:u w:val="single"/>
        </w:rPr>
        <w:t>慈溪市环杭州湾创新中心  （以下简称甲方）</w:t>
      </w:r>
      <w:r>
        <w:rPr>
          <w:rFonts w:ascii="宋体" w:hAnsi="宋体"/>
          <w:szCs w:val="21"/>
        </w:rPr>
        <w:t xml:space="preserve"> </w:t>
      </w:r>
    </w:p>
    <w:p>
      <w:pPr>
        <w:tabs>
          <w:tab w:val="left" w:pos="840"/>
        </w:tabs>
        <w:spacing w:line="360" w:lineRule="exact"/>
        <w:ind w:firstLine="456"/>
        <w:rPr>
          <w:rFonts w:hint="eastAsia" w:ascii="宋体" w:hAnsi="宋体"/>
          <w:szCs w:val="21"/>
        </w:rPr>
      </w:pPr>
      <w:r>
        <w:rPr>
          <w:rFonts w:hint="eastAsia" w:ascii="宋体" w:hAnsi="宋体"/>
          <w:szCs w:val="21"/>
        </w:rPr>
        <w:t>乙方：</w:t>
      </w:r>
      <w:r>
        <w:rPr>
          <w:rFonts w:ascii="宋体" w:hAnsi="宋体"/>
          <w:szCs w:val="21"/>
          <w:u w:val="single"/>
        </w:rPr>
        <w:t xml:space="preserve">             </w:t>
      </w:r>
      <w:r>
        <w:rPr>
          <w:rFonts w:hint="eastAsia" w:ascii="宋体" w:hAnsi="宋体"/>
          <w:szCs w:val="21"/>
          <w:u w:val="single"/>
        </w:rPr>
        <w:t xml:space="preserve">           （以下简称乙方）</w:t>
      </w:r>
    </w:p>
    <w:p>
      <w:pPr>
        <w:tabs>
          <w:tab w:val="left" w:pos="840"/>
        </w:tabs>
        <w:spacing w:line="360" w:lineRule="exact"/>
        <w:ind w:left="420" w:leftChars="200" w:firstLine="525" w:firstLineChars="250"/>
        <w:rPr>
          <w:rFonts w:ascii="宋体" w:hAnsi="宋体"/>
          <w:szCs w:val="21"/>
        </w:rPr>
      </w:pPr>
      <w:r>
        <w:rPr>
          <w:rFonts w:hint="eastAsia" w:ascii="宋体" w:hAnsi="宋体"/>
          <w:szCs w:val="21"/>
        </w:rPr>
        <w:t>经过公开招标，确定</w:t>
      </w:r>
      <w:r>
        <w:rPr>
          <w:rFonts w:ascii="宋体" w:hAnsi="宋体"/>
          <w:szCs w:val="21"/>
          <w:u w:val="single"/>
        </w:rPr>
        <w:t xml:space="preserve">                        </w:t>
      </w:r>
      <w:r>
        <w:rPr>
          <w:rFonts w:ascii="宋体" w:hAnsi="宋体"/>
          <w:b/>
          <w:szCs w:val="21"/>
          <w:u w:val="single"/>
        </w:rPr>
        <w:t xml:space="preserve"> </w:t>
      </w:r>
      <w:r>
        <w:rPr>
          <w:rFonts w:ascii="宋体" w:hAnsi="宋体"/>
          <w:szCs w:val="21"/>
          <w:u w:val="single"/>
        </w:rPr>
        <w:t xml:space="preserve">     </w:t>
      </w:r>
      <w:r>
        <w:rPr>
          <w:rFonts w:hint="eastAsia" w:ascii="宋体" w:hAnsi="宋体"/>
          <w:szCs w:val="21"/>
        </w:rPr>
        <w:t>为</w:t>
      </w:r>
      <w:r>
        <w:rPr>
          <w:rFonts w:hint="eastAsia" w:ascii="宋体" w:hAnsi="宋体" w:cs="宋体"/>
          <w:szCs w:val="21"/>
        </w:rPr>
        <w:t>慈溪市环杭州湾创新中心城市公共空间一体化管理服务</w:t>
      </w:r>
      <w:r>
        <w:rPr>
          <w:rFonts w:hint="eastAsia" w:ascii="宋体" w:hAnsi="宋体"/>
          <w:szCs w:val="21"/>
        </w:rPr>
        <w:t>合格合作商，甲乙双方经协商，就协议服务有效期内合作事宜达成以下条款：</w:t>
      </w:r>
      <w:r>
        <w:rPr>
          <w:rFonts w:ascii="宋体" w:hAnsi="宋体"/>
          <w:szCs w:val="21"/>
        </w:rPr>
        <w:t> </w:t>
      </w:r>
    </w:p>
    <w:p>
      <w:pPr>
        <w:pStyle w:val="14"/>
        <w:tabs>
          <w:tab w:val="left" w:pos="840"/>
        </w:tabs>
        <w:spacing w:line="360" w:lineRule="exact"/>
        <w:rPr>
          <w:rFonts w:ascii="宋体" w:hAnsi="宋体"/>
          <w:szCs w:val="21"/>
        </w:rPr>
      </w:pPr>
      <w:r>
        <w:rPr>
          <w:rFonts w:hint="eastAsia" w:ascii="宋体" w:hAnsi="宋体" w:cs="宋体"/>
          <w:szCs w:val="21"/>
        </w:rPr>
        <w:t>第一条：定义</w:t>
      </w:r>
    </w:p>
    <w:p>
      <w:pPr>
        <w:spacing w:line="340" w:lineRule="exact"/>
        <w:ind w:firstLine="525" w:firstLineChars="250"/>
        <w:rPr>
          <w:rFonts w:ascii="宋体" w:hAnsi="宋体"/>
          <w:szCs w:val="21"/>
        </w:rPr>
      </w:pPr>
      <w:r>
        <w:rPr>
          <w:rFonts w:ascii="宋体" w:hAnsi="宋体"/>
          <w:szCs w:val="21"/>
        </w:rPr>
        <w:t>1</w:t>
      </w:r>
      <w:r>
        <w:rPr>
          <w:rFonts w:hint="eastAsia" w:ascii="宋体" w:hAnsi="宋体"/>
          <w:szCs w:val="21"/>
        </w:rPr>
        <w:t>、本协议中的下列术语应解释为：</w:t>
      </w:r>
    </w:p>
    <w:p>
      <w:pPr>
        <w:spacing w:line="340" w:lineRule="exact"/>
        <w:ind w:left="525" w:leftChars="250"/>
        <w:rPr>
          <w:rFonts w:hint="eastAsia" w:ascii="宋体" w:hAnsi="宋体"/>
          <w:szCs w:val="21"/>
        </w:rPr>
      </w:pPr>
      <w:r>
        <w:rPr>
          <w:rFonts w:hint="eastAsia" w:ascii="宋体" w:hAnsi="宋体"/>
          <w:szCs w:val="21"/>
        </w:rPr>
        <w:t>(1)“协议”系指甲方与乙方签署的、载明甲方与乙方协利义务的协议，包括所有的附件、附录和其他构成协议的所有文件。</w:t>
      </w:r>
    </w:p>
    <w:p>
      <w:pPr>
        <w:spacing w:line="340" w:lineRule="exact"/>
        <w:ind w:left="525" w:leftChars="250"/>
        <w:rPr>
          <w:rFonts w:hint="eastAsia" w:ascii="宋体" w:hAnsi="宋体"/>
          <w:szCs w:val="21"/>
        </w:rPr>
      </w:pPr>
      <w:r>
        <w:rPr>
          <w:rFonts w:hint="eastAsia" w:ascii="宋体" w:hAnsi="宋体"/>
          <w:szCs w:val="21"/>
        </w:rPr>
        <w:t>(2)“甲方”系指慈溪市环杭州湾创新中心。</w:t>
      </w:r>
    </w:p>
    <w:p>
      <w:pPr>
        <w:spacing w:line="340" w:lineRule="exact"/>
        <w:ind w:left="525" w:leftChars="250"/>
        <w:rPr>
          <w:rFonts w:hint="eastAsia" w:ascii="宋体" w:hAnsi="宋体"/>
          <w:szCs w:val="21"/>
        </w:rPr>
      </w:pPr>
      <w:r>
        <w:rPr>
          <w:rFonts w:hint="eastAsia" w:ascii="宋体" w:hAnsi="宋体"/>
          <w:szCs w:val="21"/>
        </w:rPr>
        <w:t>(3) “乙方”系指为慈溪市环杭州湾创新中心城市公共空间一体化管理服务的具体实施单位。</w:t>
      </w:r>
    </w:p>
    <w:p>
      <w:pPr>
        <w:tabs>
          <w:tab w:val="left" w:pos="840"/>
        </w:tabs>
        <w:spacing w:line="340" w:lineRule="exact"/>
        <w:ind w:left="840" w:leftChars="200" w:hanging="420" w:hangingChars="200"/>
        <w:rPr>
          <w:rFonts w:ascii="宋体" w:hAnsi="宋体"/>
          <w:b/>
          <w:bCs/>
          <w:szCs w:val="21"/>
        </w:rPr>
      </w:pPr>
      <w:r>
        <w:rPr>
          <w:rFonts w:hint="eastAsia" w:ascii="宋体" w:hAnsi="宋体"/>
          <w:szCs w:val="21"/>
        </w:rPr>
        <w:t>第二条：服务期限</w:t>
      </w:r>
    </w:p>
    <w:p>
      <w:pPr>
        <w:spacing w:line="340" w:lineRule="exact"/>
        <w:ind w:firstLine="420" w:firstLineChars="200"/>
        <w:rPr>
          <w:rFonts w:ascii="宋体" w:hAnsi="宋体" w:cs="宋体"/>
          <w:szCs w:val="21"/>
        </w:rPr>
      </w:pPr>
      <w:r>
        <w:rPr>
          <w:rFonts w:hint="eastAsia" w:ascii="宋体" w:hAnsi="宋体"/>
          <w:szCs w:val="21"/>
        </w:rPr>
        <w:t xml:space="preserve">  服务期限：从</w:t>
      </w:r>
      <w:r>
        <w:rPr>
          <w:rFonts w:ascii="宋体" w:hAnsi="宋体"/>
          <w:szCs w:val="21"/>
        </w:rPr>
        <w:t>20</w:t>
      </w:r>
      <w:r>
        <w:rPr>
          <w:rFonts w:hint="eastAsia" w:ascii="宋体" w:hAnsi="宋体"/>
          <w:szCs w:val="21"/>
        </w:rPr>
        <w:t>20年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日至2021年   月  日止</w:t>
      </w:r>
      <w:r>
        <w:rPr>
          <w:rFonts w:hint="eastAsia"/>
        </w:rPr>
        <w:t>。服务期满经采购人考核合格并达到续签条件后，下一年度合同经费符合政府采购预算安排要求，申报政府采购计划并批准，双方同意后，可续签下一年度的合同，最多可续签2年。</w:t>
      </w:r>
    </w:p>
    <w:p>
      <w:pPr>
        <w:tabs>
          <w:tab w:val="left" w:pos="840"/>
        </w:tabs>
        <w:spacing w:line="380" w:lineRule="exact"/>
        <w:ind w:left="840" w:leftChars="200" w:hanging="420" w:hangingChars="200"/>
        <w:rPr>
          <w:rFonts w:hint="eastAsia" w:ascii="宋体" w:hAnsi="宋体"/>
          <w:szCs w:val="21"/>
        </w:rPr>
      </w:pPr>
      <w:bookmarkStart w:id="105" w:name="_Toc216662971"/>
      <w:r>
        <w:rPr>
          <w:rFonts w:hint="eastAsia" w:ascii="宋体" w:hAnsi="宋体"/>
          <w:szCs w:val="21"/>
        </w:rPr>
        <w:t>第三条、</w:t>
      </w:r>
      <w:bookmarkEnd w:id="105"/>
      <w:bookmarkStart w:id="106" w:name="_Toc216662972"/>
      <w:r>
        <w:rPr>
          <w:rFonts w:hint="eastAsia" w:ascii="宋体" w:hAnsi="宋体"/>
          <w:szCs w:val="21"/>
        </w:rPr>
        <w:t>履约保证金</w:t>
      </w:r>
      <w:bookmarkEnd w:id="106"/>
    </w:p>
    <w:p>
      <w:pPr>
        <w:pStyle w:val="16"/>
        <w:spacing w:line="380" w:lineRule="exact"/>
        <w:ind w:firstLine="420"/>
        <w:rPr>
          <w:rFonts w:hint="eastAsia"/>
        </w:rPr>
      </w:pPr>
      <w:r>
        <w:rPr>
          <w:rFonts w:hint="eastAsia" w:ascii="宋体" w:hAnsi="宋体"/>
          <w:szCs w:val="21"/>
        </w:rPr>
        <w:t>乙方交纳人民币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合同总金额的5%，采用银行保函、保险保单、担保公司担保或现金转账等形式）作为本合同的履约保证金，其中服务质量为40%、安全为30%、人员到位为20%、廉政为10%，中标供应商在签订合同后3个工作日内提交。合同期满经甲方履约考核扣除应扣款项并办理移交手续后五个工作日内无息退还。</w:t>
      </w:r>
    </w:p>
    <w:p>
      <w:pPr>
        <w:tabs>
          <w:tab w:val="left" w:pos="840"/>
        </w:tabs>
        <w:spacing w:line="340" w:lineRule="exact"/>
        <w:ind w:left="420" w:leftChars="200"/>
        <w:rPr>
          <w:rFonts w:hint="eastAsia" w:ascii="宋体" w:hAnsi="宋体"/>
          <w:szCs w:val="21"/>
        </w:rPr>
      </w:pPr>
      <w:r>
        <w:rPr>
          <w:rFonts w:hint="eastAsia" w:ascii="宋体" w:hAnsi="宋体"/>
          <w:szCs w:val="21"/>
        </w:rPr>
        <w:t>第四条：合同金额</w:t>
      </w:r>
      <w:r>
        <w:rPr>
          <w:rFonts w:ascii="宋体" w:hAnsi="宋体"/>
          <w:szCs w:val="21"/>
        </w:rPr>
        <w:t xml:space="preserve"> </w:t>
      </w:r>
    </w:p>
    <w:p>
      <w:pPr>
        <w:tabs>
          <w:tab w:val="left" w:pos="840"/>
        </w:tabs>
        <w:spacing w:line="340" w:lineRule="exact"/>
        <w:ind w:firstLine="420" w:firstLineChars="200"/>
        <w:rPr>
          <w:rFonts w:ascii="宋体" w:hAnsi="宋体"/>
          <w:szCs w:val="21"/>
        </w:rPr>
      </w:pPr>
      <w:r>
        <w:rPr>
          <w:rFonts w:hint="eastAsia" w:ascii="宋体" w:hAnsi="宋体"/>
          <w:szCs w:val="21"/>
        </w:rPr>
        <w:t>合同金额：</w:t>
      </w:r>
      <w:r>
        <w:rPr>
          <w:rFonts w:hint="eastAsia" w:ascii="宋体" w:hAnsi="宋体"/>
          <w:szCs w:val="21"/>
          <w:u w:val="single"/>
        </w:rPr>
        <w:t xml:space="preserve">       </w:t>
      </w:r>
      <w:r>
        <w:rPr>
          <w:rFonts w:hint="eastAsia" w:ascii="宋体" w:hAnsi="宋体"/>
          <w:szCs w:val="21"/>
        </w:rPr>
        <w:t>万元/年，保洁和绿化养护按具体保洁和养护的面积结算，秩序维护和消控人员按岗位进行结算，今后甲方根据实际工作需要增加或减少相应内容时，根据投标报价按实调整。</w:t>
      </w:r>
    </w:p>
    <w:p>
      <w:pPr>
        <w:tabs>
          <w:tab w:val="left" w:pos="840"/>
        </w:tabs>
        <w:spacing w:line="360" w:lineRule="exact"/>
        <w:ind w:left="420" w:leftChars="200"/>
        <w:rPr>
          <w:rFonts w:hint="eastAsia" w:ascii="宋体" w:hAnsi="宋体"/>
          <w:szCs w:val="21"/>
        </w:rPr>
      </w:pPr>
      <w:r>
        <w:rPr>
          <w:rFonts w:hint="eastAsia" w:ascii="宋体" w:hAnsi="宋体"/>
          <w:szCs w:val="21"/>
        </w:rPr>
        <w:t>第五条：合同付款方式</w:t>
      </w:r>
      <w:r>
        <w:rPr>
          <w:rFonts w:ascii="宋体" w:hAnsi="宋体"/>
          <w:szCs w:val="21"/>
        </w:rPr>
        <w:t xml:space="preserve"> </w:t>
      </w:r>
    </w:p>
    <w:p>
      <w:pPr>
        <w:tabs>
          <w:tab w:val="left" w:pos="840"/>
        </w:tabs>
        <w:spacing w:line="360" w:lineRule="exact"/>
        <w:ind w:firstLine="420" w:firstLineChars="200"/>
        <w:rPr>
          <w:rFonts w:hint="eastAsia" w:ascii="宋体" w:hAnsi="宋体"/>
          <w:szCs w:val="21"/>
        </w:rPr>
      </w:pPr>
      <w:r>
        <w:rPr>
          <w:rFonts w:hint="eastAsia" w:ascii="宋体" w:hAnsi="宋体"/>
          <w:szCs w:val="21"/>
        </w:rPr>
        <w:t>合同签订后十个工作日内支付合同价10%的预付款，之后三个季度，每季度满后十个工作日内支付合同价的25%（合同价增减以合作备忘录的形式按实调整），第四季度满后十个工作日内结算剩余应付价款。</w:t>
      </w:r>
      <w:r>
        <w:rPr>
          <w:rFonts w:hint="eastAsia" w:ascii="宋体" w:hAnsi="宋体"/>
          <w:bCs/>
          <w:szCs w:val="21"/>
        </w:rPr>
        <w:t>费用支付前</w:t>
      </w:r>
      <w:r>
        <w:rPr>
          <w:rFonts w:hint="eastAsia" w:ascii="宋体" w:hAnsi="宋体"/>
          <w:szCs w:val="21"/>
        </w:rPr>
        <w:t>根据考核情况扣除应扣款，乙方提供税务发票。</w:t>
      </w:r>
    </w:p>
    <w:p>
      <w:pPr>
        <w:tabs>
          <w:tab w:val="left" w:pos="840"/>
        </w:tabs>
        <w:spacing w:line="360" w:lineRule="exact"/>
        <w:ind w:left="420" w:leftChars="200"/>
        <w:rPr>
          <w:rFonts w:hint="eastAsia" w:ascii="宋体" w:hAnsi="宋体"/>
          <w:szCs w:val="21"/>
        </w:rPr>
      </w:pPr>
      <w:r>
        <w:rPr>
          <w:rFonts w:hint="eastAsia" w:ascii="宋体" w:hAnsi="宋体"/>
          <w:szCs w:val="21"/>
        </w:rPr>
        <w:t>第六条：甲方的权利和义务：</w:t>
      </w:r>
    </w:p>
    <w:p>
      <w:pPr>
        <w:numPr>
          <w:ilvl w:val="0"/>
          <w:numId w:val="7"/>
        </w:numPr>
        <w:tabs>
          <w:tab w:val="left" w:pos="840"/>
        </w:tabs>
        <w:spacing w:line="360" w:lineRule="exact"/>
        <w:rPr>
          <w:rFonts w:hint="eastAsia" w:ascii="宋体" w:hAnsi="宋体"/>
          <w:szCs w:val="21"/>
        </w:rPr>
      </w:pPr>
      <w:r>
        <w:rPr>
          <w:rFonts w:hint="eastAsia" w:ascii="宋体" w:hAnsi="宋体"/>
          <w:szCs w:val="21"/>
        </w:rPr>
        <w:t>甲方有权监督乙方承诺服务方面的承诺实施情况并有权提出整改。</w:t>
      </w:r>
    </w:p>
    <w:p>
      <w:pPr>
        <w:numPr>
          <w:ilvl w:val="0"/>
          <w:numId w:val="7"/>
        </w:numPr>
        <w:tabs>
          <w:tab w:val="left" w:pos="840"/>
        </w:tabs>
        <w:spacing w:line="360" w:lineRule="exact"/>
        <w:rPr>
          <w:rFonts w:hint="eastAsia" w:ascii="宋体" w:hAnsi="宋体"/>
          <w:szCs w:val="21"/>
        </w:rPr>
      </w:pPr>
      <w:r>
        <w:rPr>
          <w:rFonts w:hint="eastAsia" w:ascii="宋体" w:hAnsi="宋体"/>
          <w:szCs w:val="21"/>
        </w:rPr>
        <w:t>甲方有权根据实际情况对涉及本次招标服务内容的相关财务情况进行核查，乙方需无条件配合。</w:t>
      </w:r>
    </w:p>
    <w:p>
      <w:pPr>
        <w:numPr>
          <w:ilvl w:val="0"/>
          <w:numId w:val="7"/>
        </w:numPr>
        <w:tabs>
          <w:tab w:val="left" w:pos="840"/>
        </w:tabs>
        <w:spacing w:line="360" w:lineRule="exact"/>
        <w:rPr>
          <w:rFonts w:hint="eastAsia" w:ascii="宋体" w:hAnsi="宋体"/>
          <w:szCs w:val="21"/>
        </w:rPr>
      </w:pPr>
      <w:r>
        <w:rPr>
          <w:rFonts w:hint="eastAsia" w:ascii="宋体" w:hAnsi="宋体"/>
          <w:szCs w:val="21"/>
        </w:rPr>
        <w:t>甲方对乙方实行检查考核管理（具体考核办法详见附件），按实支付管理服务费。</w:t>
      </w:r>
    </w:p>
    <w:p>
      <w:pPr>
        <w:numPr>
          <w:ilvl w:val="0"/>
          <w:numId w:val="7"/>
        </w:numPr>
        <w:tabs>
          <w:tab w:val="left" w:pos="840"/>
        </w:tabs>
        <w:spacing w:line="360" w:lineRule="exact"/>
        <w:rPr>
          <w:rFonts w:hint="eastAsia" w:ascii="宋体" w:hAnsi="宋体"/>
          <w:szCs w:val="21"/>
        </w:rPr>
      </w:pPr>
      <w:r>
        <w:rPr>
          <w:rFonts w:hint="eastAsia" w:ascii="宋体" w:hAnsi="宋体"/>
          <w:szCs w:val="21"/>
        </w:rPr>
        <w:t>乙方对甲方发出的整改通知书后一周内未按照合同要求整改的，甲方有权单方面解除合同。</w:t>
      </w:r>
    </w:p>
    <w:p>
      <w:pPr>
        <w:numPr>
          <w:ilvl w:val="0"/>
          <w:numId w:val="7"/>
        </w:numPr>
        <w:tabs>
          <w:tab w:val="left" w:pos="840"/>
        </w:tabs>
        <w:spacing w:line="360" w:lineRule="exact"/>
        <w:rPr>
          <w:rFonts w:hint="eastAsia" w:ascii="宋体" w:hAnsi="宋体"/>
          <w:szCs w:val="21"/>
        </w:rPr>
      </w:pPr>
      <w:r>
        <w:rPr>
          <w:rFonts w:hint="eastAsia" w:ascii="宋体" w:hAnsi="宋体"/>
          <w:szCs w:val="21"/>
        </w:rPr>
        <w:t>乙方制定服务管理方案，组织实施，接受甲方及相关部门的监督。</w:t>
      </w:r>
    </w:p>
    <w:p>
      <w:pPr>
        <w:numPr>
          <w:ilvl w:val="0"/>
          <w:numId w:val="7"/>
        </w:numPr>
        <w:tabs>
          <w:tab w:val="left" w:pos="840"/>
        </w:tabs>
        <w:spacing w:line="360" w:lineRule="exact"/>
        <w:rPr>
          <w:rFonts w:hint="eastAsia" w:ascii="宋体" w:hAnsi="宋体"/>
          <w:szCs w:val="21"/>
        </w:rPr>
      </w:pPr>
      <w:r>
        <w:rPr>
          <w:rFonts w:hint="eastAsia" w:ascii="宋体" w:hAnsi="宋体"/>
          <w:szCs w:val="21"/>
        </w:rPr>
        <w:t>在合同续签期间甲方可无条件终止合同，相应已完成服务内容按实结算，乙方应在接到终止合同通知之日起两个月内办理完成相应移交手续。</w:t>
      </w:r>
    </w:p>
    <w:p>
      <w:pPr>
        <w:tabs>
          <w:tab w:val="left" w:pos="840"/>
        </w:tabs>
        <w:spacing w:line="360" w:lineRule="exact"/>
        <w:ind w:left="420" w:leftChars="200"/>
        <w:rPr>
          <w:rFonts w:hint="eastAsia" w:ascii="宋体" w:hAnsi="宋体"/>
          <w:szCs w:val="21"/>
        </w:rPr>
      </w:pPr>
      <w:r>
        <w:rPr>
          <w:rFonts w:hint="eastAsia" w:ascii="宋体" w:hAnsi="宋体"/>
          <w:szCs w:val="21"/>
        </w:rPr>
        <w:t>第七条：乙方的权利和义务：</w:t>
      </w:r>
    </w:p>
    <w:p>
      <w:pPr>
        <w:tabs>
          <w:tab w:val="left" w:pos="840"/>
        </w:tabs>
        <w:spacing w:line="360" w:lineRule="exact"/>
        <w:ind w:left="420" w:leftChars="200"/>
        <w:rPr>
          <w:rFonts w:hint="eastAsia" w:ascii="宋体" w:hAnsi="宋体"/>
          <w:szCs w:val="21"/>
        </w:rPr>
      </w:pPr>
      <w:r>
        <w:rPr>
          <w:rFonts w:hint="eastAsia" w:ascii="宋体" w:hAnsi="宋体"/>
          <w:szCs w:val="21"/>
        </w:rPr>
        <w:t>1、乙方以多元化管理模式提供慈溪市环杭州湾创新中心多层次、多方面的</w:t>
      </w:r>
      <w:r>
        <w:rPr>
          <w:rFonts w:hint="eastAsia" w:ascii="宋体" w:hAnsi="宋体" w:cs="宋体"/>
          <w:szCs w:val="21"/>
        </w:rPr>
        <w:t>城市公共空间一体化管理</w:t>
      </w:r>
      <w:r>
        <w:rPr>
          <w:rFonts w:hint="eastAsia" w:ascii="宋体" w:hAnsi="宋体"/>
          <w:szCs w:val="21"/>
        </w:rPr>
        <w:t>服务。</w:t>
      </w:r>
    </w:p>
    <w:p>
      <w:pPr>
        <w:tabs>
          <w:tab w:val="left" w:pos="840"/>
        </w:tabs>
        <w:spacing w:line="360" w:lineRule="exact"/>
        <w:ind w:left="466" w:leftChars="172" w:hanging="105" w:hangingChars="50"/>
        <w:rPr>
          <w:rFonts w:hint="eastAsia" w:ascii="宋体" w:hAnsi="宋体"/>
          <w:szCs w:val="21"/>
        </w:rPr>
      </w:pPr>
      <w:r>
        <w:rPr>
          <w:rFonts w:hint="eastAsia" w:ascii="宋体" w:hAnsi="宋体"/>
          <w:szCs w:val="21"/>
        </w:rPr>
        <w:t xml:space="preserve"> 2、乙方提供慈溪市环杭州湾创新中心防汛防台、抗雪防冻、重大活动与突发事件的应急保障服务。</w:t>
      </w:r>
    </w:p>
    <w:p>
      <w:pPr>
        <w:spacing w:line="420" w:lineRule="exact"/>
        <w:ind w:firstLine="420"/>
        <w:rPr>
          <w:rFonts w:hint="eastAsia" w:ascii="宋体" w:hAnsi="宋体" w:cs="宋体"/>
          <w:szCs w:val="21"/>
        </w:rPr>
      </w:pPr>
      <w:r>
        <w:rPr>
          <w:rFonts w:hint="eastAsia" w:ascii="宋体" w:hAnsi="宋体" w:cs="宋体"/>
          <w:szCs w:val="21"/>
        </w:rPr>
        <w:t>3、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spacing w:line="420" w:lineRule="exact"/>
        <w:ind w:firstLine="420"/>
        <w:rPr>
          <w:rFonts w:hint="eastAsia" w:ascii="宋体" w:hAnsi="宋体" w:cs="宋体"/>
          <w:szCs w:val="21"/>
        </w:rPr>
      </w:pPr>
      <w:r>
        <w:rPr>
          <w:rFonts w:hint="eastAsia" w:ascii="宋体" w:hAnsi="宋体" w:cs="宋体"/>
          <w:szCs w:val="21"/>
        </w:rPr>
        <w:t>4、需建立健全项目管理档案资料，如巡逻工作记录以及其他需要记录在案的文档，并做好各项保密工作；</w:t>
      </w:r>
    </w:p>
    <w:p>
      <w:pPr>
        <w:spacing w:line="420" w:lineRule="exact"/>
        <w:ind w:firstLine="420"/>
        <w:rPr>
          <w:rFonts w:hint="eastAsia" w:ascii="宋体" w:hAnsi="宋体" w:cs="宋体"/>
          <w:szCs w:val="21"/>
        </w:rPr>
      </w:pPr>
      <w:r>
        <w:rPr>
          <w:rFonts w:hint="eastAsia" w:ascii="宋体" w:hAnsi="宋体" w:cs="宋体"/>
          <w:szCs w:val="21"/>
        </w:rPr>
        <w:t>5、应认真听取甲方提出的建议和意见，并接受甲方的考核管理规定，对在服务管理中出现的问题和薄弱环节应立即整改；</w:t>
      </w:r>
    </w:p>
    <w:p>
      <w:pPr>
        <w:spacing w:line="420" w:lineRule="exact"/>
        <w:ind w:firstLine="420"/>
        <w:rPr>
          <w:rFonts w:hint="eastAsia" w:ascii="宋体" w:hAnsi="宋体" w:cs="宋体"/>
          <w:szCs w:val="21"/>
        </w:rPr>
      </w:pPr>
      <w:r>
        <w:rPr>
          <w:rFonts w:hint="eastAsia" w:ascii="宋体" w:hAnsi="宋体" w:cs="宋体"/>
          <w:szCs w:val="21"/>
        </w:rPr>
        <w:t>6、对服务人员违反法规、规章的行为，根据情节轻重，采取批评、规劝、警告、制止等措施或提请有关部门处理；</w:t>
      </w:r>
    </w:p>
    <w:p>
      <w:pPr>
        <w:spacing w:line="420" w:lineRule="exact"/>
        <w:ind w:firstLine="420"/>
        <w:rPr>
          <w:rFonts w:hint="eastAsia" w:ascii="宋体" w:hAnsi="宋体" w:cs="宋体"/>
          <w:szCs w:val="21"/>
        </w:rPr>
      </w:pPr>
      <w:r>
        <w:rPr>
          <w:rFonts w:hint="eastAsia" w:ascii="宋体" w:hAnsi="宋体" w:cs="宋体"/>
          <w:szCs w:val="21"/>
        </w:rPr>
        <w:t>7、加强治安形势教育和加强内部管理，根据项目开展的工作进度适时调整管理办法；</w:t>
      </w:r>
    </w:p>
    <w:p>
      <w:pPr>
        <w:spacing w:line="420" w:lineRule="exact"/>
        <w:ind w:firstLine="420"/>
        <w:rPr>
          <w:rFonts w:hint="eastAsia" w:ascii="宋体" w:hAnsi="宋体" w:cs="宋体"/>
          <w:szCs w:val="21"/>
        </w:rPr>
      </w:pPr>
      <w:r>
        <w:rPr>
          <w:rFonts w:hint="eastAsia" w:ascii="宋体" w:hAnsi="宋体" w:cs="宋体"/>
          <w:szCs w:val="21"/>
        </w:rPr>
        <w:t>8、项目实施过程中服务年度计划、月度人员排班计划，以及人员调动情况需及时上报甲方备案；</w:t>
      </w:r>
    </w:p>
    <w:p>
      <w:pPr>
        <w:spacing w:line="420" w:lineRule="exact"/>
        <w:ind w:firstLine="420"/>
        <w:rPr>
          <w:rFonts w:hint="eastAsia" w:ascii="宋体" w:hAnsi="宋体" w:cs="宋体"/>
          <w:szCs w:val="21"/>
        </w:rPr>
      </w:pPr>
      <w:r>
        <w:rPr>
          <w:rFonts w:hint="eastAsia" w:ascii="宋体" w:hAnsi="宋体" w:cs="宋体"/>
          <w:szCs w:val="21"/>
        </w:rPr>
        <w:t>9、所有项目人员必须经严格培训，经考核合格后上岗，要求身体健康，无犯罪等不良记录；</w:t>
      </w:r>
    </w:p>
    <w:p>
      <w:pPr>
        <w:spacing w:line="420" w:lineRule="exact"/>
        <w:ind w:firstLine="420"/>
        <w:rPr>
          <w:rFonts w:hint="eastAsia" w:ascii="宋体" w:hAnsi="宋体" w:cs="宋体"/>
          <w:szCs w:val="21"/>
        </w:rPr>
      </w:pPr>
      <w:r>
        <w:rPr>
          <w:rFonts w:hint="eastAsia" w:ascii="宋体" w:hAnsi="宋体" w:cs="宋体"/>
          <w:szCs w:val="21"/>
        </w:rPr>
        <w:t>10、乙方应按照甲方要求做好日常节能工作；</w:t>
      </w:r>
    </w:p>
    <w:p>
      <w:pPr>
        <w:spacing w:line="420" w:lineRule="exact"/>
        <w:ind w:firstLine="420"/>
        <w:rPr>
          <w:rFonts w:hint="eastAsia" w:ascii="宋体" w:hAnsi="宋体" w:cs="宋体"/>
          <w:szCs w:val="21"/>
        </w:rPr>
      </w:pPr>
      <w:r>
        <w:rPr>
          <w:rFonts w:hint="eastAsia" w:ascii="宋体" w:hAnsi="宋体" w:cs="宋体"/>
          <w:szCs w:val="21"/>
        </w:rPr>
        <w:t>11、本合同终止时，乙方必须向甲方移交全部管理用房、甲方资产及全部的管理档案资料；</w:t>
      </w:r>
    </w:p>
    <w:p>
      <w:pPr>
        <w:spacing w:line="420" w:lineRule="exact"/>
        <w:ind w:firstLine="420"/>
        <w:rPr>
          <w:rFonts w:hint="eastAsia" w:ascii="宋体" w:hAnsi="宋体" w:cs="宋体"/>
          <w:szCs w:val="21"/>
        </w:rPr>
      </w:pPr>
      <w:r>
        <w:rPr>
          <w:rFonts w:hint="eastAsia" w:ascii="宋体" w:hAnsi="宋体" w:cs="宋体"/>
          <w:szCs w:val="21"/>
        </w:rPr>
        <w:t>12、</w:t>
      </w:r>
      <w:r>
        <w:rPr>
          <w:rFonts w:hint="eastAsia" w:ascii="宋体" w:hAnsi="宋体"/>
          <w:bCs/>
          <w:szCs w:val="21"/>
        </w:rPr>
        <w:t>乙方不得将本项目转包或分包，否则甲方视乙方单方面违约，甲方可单方面终止合同，乙方承担违约赔偿责任，并没收履约保证金。</w:t>
      </w:r>
    </w:p>
    <w:p>
      <w:pPr>
        <w:spacing w:line="420" w:lineRule="exact"/>
        <w:ind w:firstLine="420"/>
        <w:rPr>
          <w:rFonts w:hint="eastAsia" w:ascii="宋体" w:hAnsi="宋体" w:cs="宋体"/>
          <w:szCs w:val="21"/>
        </w:rPr>
      </w:pPr>
      <w:r>
        <w:rPr>
          <w:rFonts w:hint="eastAsia" w:ascii="宋体" w:hAnsi="宋体" w:cs="宋体"/>
          <w:szCs w:val="21"/>
        </w:rPr>
        <w:t xml:space="preserve">第八条 </w:t>
      </w:r>
      <w:bookmarkStart w:id="107" w:name="_Hlk10545471"/>
      <w:r>
        <w:rPr>
          <w:rFonts w:hint="eastAsia" w:ascii="宋体" w:hAnsi="宋体" w:cs="宋体"/>
          <w:szCs w:val="21"/>
        </w:rPr>
        <w:t xml:space="preserve"> 甲、乙双方责任限定</w:t>
      </w:r>
    </w:p>
    <w:p>
      <w:pPr>
        <w:spacing w:line="420" w:lineRule="exact"/>
        <w:ind w:firstLine="420"/>
        <w:rPr>
          <w:rFonts w:hint="eastAsia" w:ascii="宋体" w:hAnsi="宋体" w:cs="宋体"/>
          <w:szCs w:val="21"/>
        </w:rPr>
      </w:pPr>
      <w:r>
        <w:rPr>
          <w:rFonts w:hint="eastAsia" w:ascii="宋体" w:hAnsi="宋体" w:cs="宋体"/>
          <w:szCs w:val="21"/>
        </w:rPr>
        <w:t>1、乙方工作人员在服务过程中，因其工作失职造成甲方损失的．乙方应承担相应的经济赔偿。</w:t>
      </w:r>
    </w:p>
    <w:p>
      <w:pPr>
        <w:spacing w:line="420" w:lineRule="exact"/>
        <w:ind w:firstLine="420"/>
        <w:rPr>
          <w:rFonts w:hint="eastAsia" w:ascii="宋体" w:hAnsi="宋体" w:cs="宋体"/>
          <w:szCs w:val="21"/>
        </w:rPr>
      </w:pPr>
      <w:r>
        <w:rPr>
          <w:rFonts w:hint="eastAsia" w:ascii="宋体" w:hAnsi="宋体" w:cs="宋体"/>
          <w:szCs w:val="21"/>
        </w:rPr>
        <w:t>2、甲方禁止安排乙方工作人员参与其他违反法律规定及工作职责以外的活动，违者由甲方承担法律和经济责任。</w:t>
      </w:r>
    </w:p>
    <w:p>
      <w:pPr>
        <w:spacing w:line="420" w:lineRule="exact"/>
        <w:ind w:firstLine="420"/>
        <w:rPr>
          <w:rFonts w:hint="eastAsia" w:ascii="宋体" w:hAnsi="宋体" w:cs="宋体"/>
          <w:szCs w:val="21"/>
        </w:rPr>
      </w:pPr>
      <w:r>
        <w:rPr>
          <w:rFonts w:hint="eastAsia" w:ascii="宋体" w:hAnsi="宋体" w:cs="宋体"/>
          <w:szCs w:val="21"/>
        </w:rPr>
        <w:t>3、乙方派遣至甲方的所有工作人员，其食宿、着装、社会保险、意外伤害保险、培训等各类费用及发生的各种工伤事故和意外事故均由乙方承担，乙方按有关规定按实足额支付工资加班费用并为全体员工缴纳社会保险、人身意外伤害险等，乙方如有违反，由劳务保障部门按有关规定处理，与甲方无涉。</w:t>
      </w:r>
    </w:p>
    <w:p>
      <w:pPr>
        <w:spacing w:line="420" w:lineRule="exact"/>
        <w:ind w:firstLine="420"/>
        <w:rPr>
          <w:rFonts w:hint="eastAsia" w:ascii="宋体" w:hAnsi="宋体" w:cs="宋体"/>
          <w:szCs w:val="21"/>
        </w:rPr>
      </w:pPr>
      <w:r>
        <w:rPr>
          <w:rFonts w:hint="eastAsia" w:ascii="宋体" w:hAnsi="宋体" w:cs="宋体"/>
          <w:szCs w:val="21"/>
        </w:rPr>
        <w:t>4、乙方在服务期间如遇招工困难，造成项目人员数量配置不足，应在5个工作日内及时补齐，并扣除缺岗人员的所有费用。</w:t>
      </w:r>
      <w:bookmarkEnd w:id="107"/>
    </w:p>
    <w:p>
      <w:pPr>
        <w:spacing w:line="420" w:lineRule="exact"/>
        <w:ind w:firstLine="420"/>
        <w:rPr>
          <w:rFonts w:hint="eastAsia" w:ascii="宋体" w:hAnsi="宋体" w:cs="宋体"/>
          <w:szCs w:val="21"/>
        </w:rPr>
      </w:pPr>
      <w:r>
        <w:rPr>
          <w:rFonts w:hint="eastAsia" w:ascii="宋体" w:hAnsi="宋体" w:cs="宋体"/>
          <w:szCs w:val="21"/>
        </w:rPr>
        <w:t>5、若甲方在各种不定期检查的过程中或在群众投诉反映中发现乙方有质量、安全、人员或廉政的问题，甲方视情节轻重进行相应扣罚。每季度最大的扣罚额度为该项履约保证金（质量、安全、人员或廉政）的25%。月（季）度考核所产生的扣罚，不含在履约保证金内。</w:t>
      </w:r>
    </w:p>
    <w:p>
      <w:pPr>
        <w:tabs>
          <w:tab w:val="left" w:pos="840"/>
        </w:tabs>
        <w:spacing w:line="360" w:lineRule="exact"/>
        <w:ind w:firstLine="420" w:firstLineChars="200"/>
        <w:rPr>
          <w:rFonts w:ascii="宋体" w:hAnsi="宋体"/>
          <w:szCs w:val="21"/>
        </w:rPr>
      </w:pPr>
      <w:r>
        <w:rPr>
          <w:rFonts w:hint="eastAsia" w:ascii="宋体" w:hAnsi="宋体"/>
          <w:szCs w:val="21"/>
        </w:rPr>
        <w:t>第九条：不可抗力</w:t>
      </w:r>
    </w:p>
    <w:p>
      <w:pPr>
        <w:tabs>
          <w:tab w:val="left" w:pos="840"/>
        </w:tabs>
        <w:spacing w:line="360" w:lineRule="exact"/>
        <w:ind w:firstLine="420" w:firstLineChars="200"/>
        <w:rPr>
          <w:rFonts w:ascii="宋体" w:hAnsi="宋体"/>
          <w:szCs w:val="21"/>
        </w:rPr>
      </w:pPr>
      <w:r>
        <w:rPr>
          <w:rFonts w:ascii="宋体" w:hAnsi="宋体"/>
          <w:szCs w:val="21"/>
        </w:rPr>
        <w:t>1</w:t>
      </w:r>
      <w:r>
        <w:rPr>
          <w:rFonts w:hint="eastAsia" w:ascii="宋体" w:hAnsi="宋体"/>
          <w:szCs w:val="21"/>
        </w:rPr>
        <w:t>、如果协议各方因不可抗力而导致协议实施延误或不能履行协议义务的话，不应该承担误期赔偿或不能履行协议义务的责任。</w:t>
      </w:r>
    </w:p>
    <w:p>
      <w:pPr>
        <w:tabs>
          <w:tab w:val="left" w:pos="840"/>
        </w:tabs>
        <w:spacing w:line="360" w:lineRule="exact"/>
        <w:ind w:firstLine="420" w:firstLineChars="200"/>
        <w:rPr>
          <w:rFonts w:ascii="宋体" w:hAnsi="宋体"/>
          <w:szCs w:val="21"/>
        </w:rPr>
      </w:pPr>
      <w:r>
        <w:rPr>
          <w:rFonts w:ascii="宋体" w:hAnsi="宋体"/>
          <w:szCs w:val="21"/>
        </w:rPr>
        <w:t>2</w:t>
      </w:r>
      <w:r>
        <w:rPr>
          <w:rFonts w:hint="eastAsia" w:ascii="宋体" w:hAnsi="宋体"/>
          <w:szCs w:val="21"/>
        </w:rPr>
        <w:t>、本条所述的</w:t>
      </w:r>
      <w:r>
        <w:rPr>
          <w:rFonts w:ascii="宋体" w:hAnsi="宋体"/>
          <w:szCs w:val="21"/>
        </w:rPr>
        <w:t>“</w:t>
      </w:r>
      <w:r>
        <w:rPr>
          <w:rFonts w:hint="eastAsia" w:ascii="宋体" w:hAnsi="宋体"/>
          <w:szCs w:val="21"/>
        </w:rPr>
        <w:t>不可抗力</w:t>
      </w:r>
      <w:r>
        <w:rPr>
          <w:rFonts w:ascii="宋体" w:hAnsi="宋体"/>
          <w:szCs w:val="21"/>
        </w:rPr>
        <w:t>”</w:t>
      </w:r>
      <w:r>
        <w:rPr>
          <w:rFonts w:hint="eastAsia" w:ascii="宋体" w:hAnsi="宋体"/>
          <w:szCs w:val="21"/>
        </w:rPr>
        <w:t>系指那些双方不可预见、不可避免、不可克服的事件，但不包括双方的违约或疏忽。这些事件包括但不限于：战争、严重火灾、洪水、台风、地震、国家政策的重大变化，以及双方商定的其他事件。</w:t>
      </w:r>
    </w:p>
    <w:p>
      <w:pPr>
        <w:tabs>
          <w:tab w:val="left" w:pos="840"/>
        </w:tabs>
        <w:spacing w:line="360" w:lineRule="exact"/>
        <w:ind w:firstLine="420" w:firstLineChars="200"/>
        <w:rPr>
          <w:rFonts w:ascii="宋体" w:hAnsi="宋体"/>
          <w:szCs w:val="21"/>
        </w:rPr>
      </w:pPr>
      <w:r>
        <w:rPr>
          <w:rFonts w:ascii="宋体" w:hAnsi="宋体"/>
          <w:szCs w:val="21"/>
        </w:rPr>
        <w:t>3</w:t>
      </w:r>
      <w:r>
        <w:rPr>
          <w:rFonts w:hint="eastAsia" w:ascii="宋体" w:hAnsi="宋体"/>
          <w:szCs w:val="21"/>
        </w:rPr>
        <w:t>、在不可抗力事件发生后，当事方应尽快以书面形式将不可抗力的情况和原因通知对方，不可抗力以相关部门认定为准。协议各方应尽可能继续履行协议义务，并积极寻求采取合理的措施履行不受不可抗力影响的其他事项。协议各方应通过友好协商在合理的时间内达成进一步履行协议。</w:t>
      </w:r>
    </w:p>
    <w:p>
      <w:pPr>
        <w:tabs>
          <w:tab w:val="left" w:pos="840"/>
        </w:tabs>
        <w:spacing w:line="360" w:lineRule="exact"/>
        <w:ind w:firstLine="420" w:firstLineChars="200"/>
        <w:rPr>
          <w:rFonts w:ascii="宋体" w:hAnsi="宋体"/>
          <w:szCs w:val="21"/>
        </w:rPr>
      </w:pPr>
      <w:r>
        <w:rPr>
          <w:rFonts w:hint="eastAsia" w:ascii="宋体" w:hAnsi="宋体"/>
          <w:szCs w:val="21"/>
        </w:rPr>
        <w:t>第十条：其他约定</w:t>
      </w:r>
    </w:p>
    <w:p>
      <w:pPr>
        <w:tabs>
          <w:tab w:val="left" w:pos="840"/>
        </w:tabs>
        <w:spacing w:line="360" w:lineRule="exact"/>
        <w:ind w:firstLine="420" w:firstLineChars="200"/>
        <w:rPr>
          <w:rFonts w:hint="eastAsia" w:ascii="宋体" w:hAnsi="宋体"/>
          <w:szCs w:val="21"/>
        </w:rPr>
      </w:pPr>
      <w:r>
        <w:rPr>
          <w:rFonts w:hint="eastAsia" w:ascii="宋体" w:hAnsi="宋体"/>
          <w:szCs w:val="21"/>
        </w:rPr>
        <w:t>1、认真遵守职业道德和行业规范，严格执行财经纪律，坚决杜绝送礼品、给回扣、报销费用等一切不正当竞争行为。</w:t>
      </w:r>
    </w:p>
    <w:p>
      <w:pPr>
        <w:spacing w:line="400" w:lineRule="atLeast"/>
        <w:ind w:firstLine="420" w:firstLineChars="200"/>
        <w:rPr>
          <w:rFonts w:hint="eastAsia" w:ascii="宋体" w:hAnsi="宋体" w:cs="宋体"/>
          <w:szCs w:val="21"/>
        </w:rPr>
      </w:pPr>
      <w:r>
        <w:rPr>
          <w:rFonts w:hint="eastAsia" w:ascii="宋体" w:hAnsi="宋体" w:cs="宋体"/>
          <w:szCs w:val="21"/>
        </w:rPr>
        <w:t>2、如果甲方根据实际情况需要增减人员（岗位），按投标文件中的相应费用支付给乙方。如发生劳动纠纷时甲方不承担连带责任，用工调整须报甲方备案。乙方在履行合同过程中（合同续签期内），如遇国家最低保障工资调整，投标报价中的人员工资低于后期慈溪市调整后的最低社会保障工资的，酌情对工资差价作相应调整价款，具体调整办法如下，调整金额=（项目部管理人员（按招标文件和合同约定数量）+岗位数量）*最低工资差价。</w:t>
      </w:r>
    </w:p>
    <w:p>
      <w:pPr>
        <w:spacing w:line="400" w:lineRule="atLeast"/>
        <w:ind w:firstLine="420" w:firstLineChars="200"/>
        <w:rPr>
          <w:rFonts w:hint="eastAsia" w:ascii="宋体" w:hAnsi="宋体" w:cs="宋体"/>
          <w:szCs w:val="21"/>
        </w:rPr>
      </w:pPr>
      <w:r>
        <w:rPr>
          <w:rFonts w:hint="eastAsia" w:ascii="宋体" w:hAnsi="宋体" w:cs="宋体"/>
          <w:szCs w:val="21"/>
        </w:rPr>
        <w:t>3、甲、乙方对《招标文件》以外的服务内容，可根据实际情况另行签订补充协议。补充协议和本合同的附件与本合同具有同等效力；</w:t>
      </w:r>
    </w:p>
    <w:p>
      <w:pPr>
        <w:spacing w:line="400" w:lineRule="atLeast"/>
        <w:ind w:firstLine="420" w:firstLineChars="200"/>
        <w:rPr>
          <w:rFonts w:hint="eastAsia" w:ascii="宋体" w:hAnsi="宋体" w:cs="宋体"/>
          <w:szCs w:val="21"/>
        </w:rPr>
      </w:pPr>
      <w:r>
        <w:rPr>
          <w:rFonts w:hint="eastAsia" w:ascii="宋体" w:hAnsi="宋体" w:cs="宋体"/>
          <w:szCs w:val="21"/>
        </w:rPr>
        <w:t>4、如遇突发或重大事件，乙方管理人员应在第一时间报告有关部门，乙方项目负责人应在第一时间到达现场，适时处理或协助处理有关问题，甲方如认为情况危及到内部人员的安定管理，乙方应无条件同意甲方直接调配乙方资源直至危机结束；</w:t>
      </w:r>
    </w:p>
    <w:p>
      <w:pPr>
        <w:spacing w:line="400" w:lineRule="atLeast"/>
        <w:ind w:firstLine="420" w:firstLineChars="200"/>
        <w:rPr>
          <w:rFonts w:ascii="宋体" w:hAnsi="宋体" w:cs="宋体"/>
          <w:szCs w:val="21"/>
        </w:rPr>
      </w:pPr>
      <w:r>
        <w:rPr>
          <w:rFonts w:hint="eastAsia" w:ascii="宋体" w:hAnsi="宋体" w:cs="宋体"/>
          <w:szCs w:val="21"/>
        </w:rPr>
        <w:t>5、由于乙方原因而损坏设施设备的，由乙方负责赔偿。</w:t>
      </w:r>
    </w:p>
    <w:p>
      <w:pPr>
        <w:tabs>
          <w:tab w:val="left" w:pos="840"/>
        </w:tabs>
        <w:spacing w:line="360" w:lineRule="exact"/>
        <w:ind w:firstLine="420" w:firstLineChars="200"/>
        <w:rPr>
          <w:rFonts w:ascii="宋体" w:hAnsi="宋体"/>
          <w:szCs w:val="21"/>
        </w:rPr>
      </w:pPr>
      <w:r>
        <w:rPr>
          <w:rFonts w:hint="eastAsia" w:ascii="宋体" w:hAnsi="宋体"/>
          <w:szCs w:val="21"/>
        </w:rPr>
        <w:t>第十一条：违约终止协议</w:t>
      </w:r>
    </w:p>
    <w:p>
      <w:pPr>
        <w:tabs>
          <w:tab w:val="left" w:pos="840"/>
        </w:tabs>
        <w:spacing w:line="360" w:lineRule="exact"/>
        <w:ind w:firstLine="420" w:firstLineChars="200"/>
        <w:rPr>
          <w:rFonts w:ascii="宋体" w:hAnsi="宋体"/>
          <w:szCs w:val="21"/>
        </w:rPr>
      </w:pPr>
      <w:r>
        <w:rPr>
          <w:rFonts w:ascii="宋体" w:hAnsi="宋体"/>
          <w:szCs w:val="21"/>
        </w:rPr>
        <w:t>1</w:t>
      </w:r>
      <w:r>
        <w:rPr>
          <w:rFonts w:hint="eastAsia" w:ascii="宋体" w:hAnsi="宋体"/>
          <w:szCs w:val="21"/>
        </w:rPr>
        <w:t>、在甲方对乙方违约而采取的任何补救措施不受影响的情况下，甲方在报请监管部门同意后可在下列情况下向乙方发出书面通知书，提出终止部分或全部协议。在履约期间，乙方出现合同第十条约定的违约行为的，罚没其履约保证金。如履约保证金不能弥补甲方损失的，甲方将进一步追纠乙方的责任</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）乙方提供的服务不符合国家规定和采购单位的标准；</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）乙方没有按协议承诺的时间提供服务；</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）乙方没有按协议承诺的价格为采购单位服务；</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）乙方无故不提供服务范围内的内容；</w:t>
      </w:r>
    </w:p>
    <w:p>
      <w:pPr>
        <w:tabs>
          <w:tab w:val="left" w:pos="840"/>
        </w:tabs>
        <w:spacing w:line="360" w:lineRule="exact"/>
        <w:ind w:left="525" w:leftChars="200" w:hanging="105" w:hangingChars="5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）违反本协议规定或承诺的其他情形。</w:t>
      </w:r>
    </w:p>
    <w:p>
      <w:pPr>
        <w:tabs>
          <w:tab w:val="left" w:pos="840"/>
        </w:tabs>
        <w:spacing w:line="360" w:lineRule="exact"/>
        <w:ind w:firstLine="420" w:firstLineChars="200"/>
        <w:rPr>
          <w:rFonts w:hint="eastAsia" w:ascii="宋体" w:hAnsi="宋体"/>
          <w:szCs w:val="21"/>
        </w:rPr>
      </w:pPr>
      <w:r>
        <w:rPr>
          <w:rFonts w:hint="eastAsia" w:ascii="宋体" w:hAnsi="宋体"/>
          <w:szCs w:val="21"/>
        </w:rPr>
        <w:t>在履约期间，乙方出现上述约定的违约行为的，罚没其履约保证金。如履约保证金不能弥补给甲方造成损失的，甲方有权进一步追究乙方的责任。</w:t>
      </w:r>
    </w:p>
    <w:p>
      <w:pPr>
        <w:tabs>
          <w:tab w:val="left" w:pos="840"/>
        </w:tabs>
        <w:spacing w:line="360" w:lineRule="exact"/>
        <w:ind w:firstLine="420" w:firstLineChars="200"/>
        <w:rPr>
          <w:rFonts w:ascii="宋体" w:hAnsi="宋体"/>
          <w:szCs w:val="21"/>
        </w:rPr>
      </w:pPr>
      <w:r>
        <w:rPr>
          <w:rFonts w:ascii="宋体" w:hAnsi="宋体"/>
          <w:szCs w:val="21"/>
        </w:rPr>
        <w:t>2</w:t>
      </w:r>
      <w:r>
        <w:rPr>
          <w:rFonts w:hint="eastAsia" w:ascii="宋体" w:hAnsi="宋体"/>
          <w:szCs w:val="21"/>
        </w:rPr>
        <w:t>、甲方及其人员，不得假借政府采购之名为其他单位或个人采购，不得向乙方提出超越协议服务范围的其他要求。</w:t>
      </w:r>
    </w:p>
    <w:p>
      <w:pPr>
        <w:tabs>
          <w:tab w:val="left" w:pos="840"/>
        </w:tabs>
        <w:spacing w:line="360" w:lineRule="exact"/>
        <w:ind w:firstLine="420" w:firstLineChars="200"/>
        <w:rPr>
          <w:rFonts w:ascii="宋体" w:hAnsi="宋体"/>
          <w:szCs w:val="21"/>
        </w:rPr>
      </w:pPr>
      <w:r>
        <w:rPr>
          <w:rFonts w:hint="eastAsia" w:ascii="宋体" w:hAnsi="宋体"/>
          <w:szCs w:val="21"/>
        </w:rPr>
        <w:t>3、如果乙方在履行协议或合同过程中有不正当竞争行为，甲方有权解除协议，并按《中华人民共和国反不正当竞争法》之规定由有关部门追究其法律责任。</w:t>
      </w:r>
    </w:p>
    <w:p>
      <w:pPr>
        <w:tabs>
          <w:tab w:val="left" w:pos="840"/>
        </w:tabs>
        <w:spacing w:line="360" w:lineRule="exact"/>
        <w:ind w:firstLine="420" w:firstLineChars="200"/>
        <w:rPr>
          <w:rFonts w:hint="eastAsia" w:ascii="宋体" w:hAnsi="宋体"/>
          <w:szCs w:val="21"/>
        </w:rPr>
      </w:pPr>
      <w:r>
        <w:rPr>
          <w:rFonts w:hint="eastAsia" w:ascii="宋体" w:hAnsi="宋体"/>
          <w:szCs w:val="21"/>
        </w:rPr>
        <w:t>第十二条  其他事项</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1、自本合同生效之日起7天内，根据甲方委托管理事项，办理完交接验收手续；</w:t>
      </w:r>
    </w:p>
    <w:p>
      <w:pPr>
        <w:widowControl/>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2、电梯日常维护保养，消防、防排烟系统维护保养，空调系统维护保养，通风系统维护保养，智能化系统由乙方按规范要求落实维护、保养以及年检工作，上述系统需要专业单位进行维修、保养、年检的，由乙方自行委托具有相应资质的单位进行维护保养，具体维护保养计划、保养单位资质须报甲方审核确认，所需费用(不含电梯、消防、防排烟系统、空调系统检测费)已包含在本签约合同价中。</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3、防腐木油漆保养：休闲广场约5000平方米，科博中心约4200平方米，中央公园约4300平方米，具体以现场交付数据为准，此项费用已包含在本签约合同价中。若年度内采购人使用木塑地板更换防腐木超500㎡时，按木塑地板更换面积扣除相应的防腐木保养费，扣除费用为:木塑地板更换面积*防腐木油漆保养投标报价/13500㎡。</w:t>
      </w:r>
    </w:p>
    <w:p>
      <w:pPr>
        <w:widowControl/>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4、防腐木维修（主材除外），硬质铺装年度维修使用新材料累计在100㎡以内的，墙面粉刷维修面积累计在在200㎡以内的费用已包含在本签约合同价中。</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5、日常维修所需的五金件（转轴、合页、插销、锁具、铁丝、铁钉、螺丝、螺帽、自攻螺丝等）、低值易耗品（室内灯泡、水龙头、开关、插座、润滑油、除锈剂等）的费用已包含在本签约合同价中。</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6、门的油漆修补及维修（包括垃圾箱）、屋顶风管油漆防锈保养、地下室的铸铁盖板及各种设备器具的油漆保养的费用已包含在本签约合同价中。</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rPr>
        <w:t>7、</w:t>
      </w:r>
      <w:r>
        <w:rPr>
          <w:rFonts w:hint="eastAsia" w:ascii="宋体" w:hAnsi="宋体"/>
          <w:szCs w:val="21"/>
          <w:lang w:val="zh-CN"/>
        </w:rPr>
        <w:t>水泵维修费用</w:t>
      </w:r>
      <w:r>
        <w:rPr>
          <w:rFonts w:hint="eastAsia" w:ascii="宋体" w:hAnsi="宋体" w:cs="Arial"/>
          <w:szCs w:val="21"/>
          <w:lang w:val="zh-CN"/>
        </w:rPr>
        <w:t>已包含在本签约合同价中。</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rPr>
        <w:t>8、</w:t>
      </w:r>
      <w:r>
        <w:rPr>
          <w:rFonts w:hint="eastAsia" w:ascii="宋体" w:hAnsi="宋体"/>
          <w:szCs w:val="21"/>
          <w:lang w:val="zh-CN"/>
        </w:rPr>
        <w:t>窨井盖、排水沟盖更换</w:t>
      </w:r>
      <w:r>
        <w:rPr>
          <w:rFonts w:hint="eastAsia" w:ascii="宋体" w:hAnsi="宋体"/>
          <w:szCs w:val="21"/>
        </w:rPr>
        <w:t>费用</w:t>
      </w:r>
      <w:r>
        <w:rPr>
          <w:rFonts w:hint="eastAsia" w:ascii="宋体" w:hAnsi="宋体" w:cs="Arial"/>
          <w:szCs w:val="21"/>
          <w:lang w:val="zh-CN"/>
        </w:rPr>
        <w:t>已包含在本签约合同价中</w:t>
      </w:r>
      <w:r>
        <w:rPr>
          <w:rFonts w:hint="eastAsia" w:ascii="宋体" w:hAnsi="宋体"/>
          <w:szCs w:val="21"/>
          <w:lang w:val="zh-CN"/>
        </w:rPr>
        <w:t>。</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rPr>
        <w:t>9、</w:t>
      </w:r>
      <w:r>
        <w:rPr>
          <w:rFonts w:hint="eastAsia" w:ascii="宋体" w:hAnsi="宋体"/>
          <w:szCs w:val="21"/>
          <w:lang w:val="zh-CN"/>
        </w:rPr>
        <w:t>保洁用品与耗材（包括但不限于口罩、手套、簸箕、铁锹、铲子、清洁剂、扫地机及洗</w:t>
      </w:r>
      <w:r>
        <w:rPr>
          <w:rFonts w:hint="eastAsia" w:ascii="宋体" w:hAnsi="宋体"/>
          <w:szCs w:val="21"/>
        </w:rPr>
        <w:t xml:space="preserve"> </w:t>
      </w:r>
      <w:r>
        <w:rPr>
          <w:rFonts w:hint="eastAsia" w:ascii="宋体" w:hAnsi="宋体"/>
          <w:szCs w:val="21"/>
          <w:lang w:val="zh-CN"/>
        </w:rPr>
        <w:t>地机耗材、</w:t>
      </w:r>
      <w:r>
        <w:rPr>
          <w:rFonts w:hint="eastAsia" w:ascii="宋体" w:hAnsi="宋体"/>
          <w:szCs w:val="21"/>
        </w:rPr>
        <w:t>石材打磨抛光耗材、</w:t>
      </w:r>
      <w:r>
        <w:rPr>
          <w:rFonts w:hint="eastAsia" w:ascii="宋体" w:hAnsi="宋体"/>
          <w:szCs w:val="21"/>
          <w:lang w:val="zh-CN"/>
        </w:rPr>
        <w:t>其他工具耗材等）费用</w:t>
      </w:r>
      <w:r>
        <w:rPr>
          <w:rFonts w:hint="eastAsia" w:ascii="宋体" w:hAnsi="宋体" w:cs="Arial"/>
          <w:szCs w:val="21"/>
          <w:lang w:val="zh-CN"/>
        </w:rPr>
        <w:t>已包含在本签约合同价中</w:t>
      </w:r>
      <w:r>
        <w:rPr>
          <w:rFonts w:hint="eastAsia" w:ascii="宋体" w:hAnsi="宋体"/>
          <w:szCs w:val="21"/>
          <w:lang w:val="zh-CN"/>
        </w:rPr>
        <w:t>。</w:t>
      </w:r>
    </w:p>
    <w:p>
      <w:pPr>
        <w:tabs>
          <w:tab w:val="left" w:pos="840"/>
        </w:tabs>
        <w:spacing w:line="400" w:lineRule="exact"/>
        <w:ind w:firstLine="420" w:firstLineChars="200"/>
        <w:rPr>
          <w:rFonts w:hint="eastAsia" w:ascii="宋体" w:hAnsi="宋体"/>
          <w:szCs w:val="21"/>
        </w:rPr>
      </w:pPr>
      <w:r>
        <w:rPr>
          <w:rFonts w:hint="eastAsia" w:ascii="宋体" w:hAnsi="宋体"/>
          <w:szCs w:val="21"/>
        </w:rPr>
        <w:t>10、</w:t>
      </w:r>
      <w:r>
        <w:rPr>
          <w:rFonts w:hint="eastAsia" w:ascii="宋体" w:hAnsi="宋体"/>
          <w:szCs w:val="21"/>
          <w:lang w:val="zh-CN"/>
        </w:rPr>
        <w:t>绿化养护设备、工具、肥料、补种苗木等费用</w:t>
      </w:r>
      <w:r>
        <w:rPr>
          <w:rFonts w:hint="eastAsia" w:ascii="宋体" w:hAnsi="宋体" w:cs="Arial"/>
          <w:szCs w:val="21"/>
          <w:lang w:val="zh-CN"/>
        </w:rPr>
        <w:t>已包含在本签约合同价中</w:t>
      </w:r>
      <w:r>
        <w:rPr>
          <w:rFonts w:hint="eastAsia" w:ascii="宋体" w:hAnsi="宋体"/>
          <w:szCs w:val="21"/>
          <w:lang w:val="zh-CN"/>
        </w:rPr>
        <w:t>。</w:t>
      </w:r>
    </w:p>
    <w:p>
      <w:pPr>
        <w:tabs>
          <w:tab w:val="left" w:pos="840"/>
        </w:tabs>
        <w:spacing w:line="400" w:lineRule="exact"/>
        <w:ind w:firstLine="420" w:firstLineChars="200"/>
        <w:rPr>
          <w:rFonts w:hint="eastAsia" w:ascii="宋体" w:hAnsi="宋体"/>
          <w:szCs w:val="21"/>
          <w:lang w:val="zh-CN"/>
        </w:rPr>
      </w:pPr>
      <w:r>
        <w:rPr>
          <w:rFonts w:hint="eastAsia" w:ascii="宋体" w:hAnsi="宋体"/>
          <w:szCs w:val="21"/>
          <w:lang w:val="zh-CN"/>
        </w:rPr>
        <w:t>11、绿化提升费暂定20万元/年，报价下浮率为</w:t>
      </w:r>
      <w:r>
        <w:rPr>
          <w:rFonts w:hint="eastAsia" w:ascii="宋体" w:hAnsi="宋体"/>
          <w:szCs w:val="21"/>
          <w:u w:val="single"/>
          <w:lang w:val="zh-CN"/>
        </w:rPr>
        <w:t xml:space="preserve">     </w:t>
      </w:r>
      <w:r>
        <w:rPr>
          <w:rFonts w:hint="eastAsia" w:ascii="宋体" w:hAnsi="宋体"/>
          <w:szCs w:val="21"/>
          <w:lang w:val="zh-CN"/>
        </w:rPr>
        <w:t>%，结算价=绿化提升费审核价*（1-报价下浮率），结算按实调整，整个年度不超过20万元。</w:t>
      </w:r>
    </w:p>
    <w:p>
      <w:pPr>
        <w:tabs>
          <w:tab w:val="left" w:pos="840"/>
        </w:tabs>
        <w:spacing w:line="400" w:lineRule="exact"/>
        <w:ind w:firstLine="420" w:firstLineChars="200"/>
        <w:rPr>
          <w:rFonts w:hint="eastAsia" w:ascii="宋体" w:hAnsi="宋体"/>
          <w:szCs w:val="21"/>
        </w:rPr>
      </w:pPr>
      <w:r>
        <w:rPr>
          <w:rFonts w:hint="eastAsia" w:ascii="宋体" w:hAnsi="宋体"/>
          <w:szCs w:val="21"/>
        </w:rPr>
        <w:t>12、甲、乙方对《招标文件》以外的服务内容，可根据实际情况另行签订补充协议。补充协议和本合同的附件与本合同具有同等效力；</w:t>
      </w:r>
    </w:p>
    <w:p>
      <w:pPr>
        <w:tabs>
          <w:tab w:val="left" w:pos="840"/>
        </w:tabs>
        <w:spacing w:line="400" w:lineRule="exact"/>
        <w:ind w:firstLine="420" w:firstLineChars="200"/>
        <w:rPr>
          <w:rFonts w:hint="eastAsia" w:ascii="宋体" w:hAnsi="宋体"/>
          <w:szCs w:val="21"/>
        </w:rPr>
      </w:pPr>
      <w:r>
        <w:rPr>
          <w:rFonts w:hint="eastAsia" w:ascii="宋体" w:hAnsi="宋体"/>
          <w:szCs w:val="21"/>
        </w:rPr>
        <w:t>13、本合同执行期间，如遇不可抗力，致使合同无法履行时，双方应按有关法律法规及时协商处理；</w:t>
      </w:r>
    </w:p>
    <w:p>
      <w:pPr>
        <w:tabs>
          <w:tab w:val="left" w:pos="840"/>
        </w:tabs>
        <w:spacing w:line="400" w:lineRule="exact"/>
        <w:ind w:firstLine="420" w:firstLineChars="200"/>
        <w:rPr>
          <w:rFonts w:hint="eastAsia" w:ascii="宋体" w:hAnsi="宋体"/>
          <w:szCs w:val="21"/>
        </w:rPr>
      </w:pPr>
      <w:r>
        <w:rPr>
          <w:rFonts w:hint="eastAsia" w:ascii="宋体" w:hAnsi="宋体"/>
          <w:szCs w:val="21"/>
        </w:rPr>
        <w:t>14、本合同在履行中如发生争议，双方应协商解决或报请慈溪市住房和城乡建设局物管中心调解，协商或调解不成的，可以向慈溪市人民法院起诉。</w:t>
      </w:r>
    </w:p>
    <w:p>
      <w:pPr>
        <w:tabs>
          <w:tab w:val="left" w:pos="840"/>
        </w:tabs>
        <w:spacing w:line="360" w:lineRule="exact"/>
        <w:ind w:firstLine="420" w:firstLineChars="200"/>
        <w:rPr>
          <w:rFonts w:ascii="宋体" w:hAnsi="宋体"/>
          <w:szCs w:val="21"/>
        </w:rPr>
      </w:pPr>
      <w:r>
        <w:rPr>
          <w:rFonts w:hint="eastAsia" w:ascii="宋体" w:hAnsi="宋体"/>
          <w:szCs w:val="21"/>
        </w:rPr>
        <w:t>第十三条：协议生效</w:t>
      </w:r>
    </w:p>
    <w:p>
      <w:pPr>
        <w:tabs>
          <w:tab w:val="left" w:pos="840"/>
        </w:tabs>
        <w:spacing w:line="360" w:lineRule="exact"/>
        <w:ind w:firstLine="420" w:firstLineChars="200"/>
        <w:rPr>
          <w:rFonts w:ascii="宋体" w:hAnsi="宋体"/>
          <w:szCs w:val="21"/>
        </w:rPr>
      </w:pPr>
      <w:r>
        <w:rPr>
          <w:rFonts w:ascii="宋体" w:hAnsi="宋体"/>
          <w:szCs w:val="21"/>
        </w:rPr>
        <w:t>1</w:t>
      </w:r>
      <w:r>
        <w:rPr>
          <w:rFonts w:hint="eastAsia" w:ascii="宋体" w:hAnsi="宋体"/>
          <w:szCs w:val="21"/>
        </w:rPr>
        <w:t>、下列文件与本协议具有同等法律效力：</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甲方采购文件；</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乙方投标文件；</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询标纪要；</w:t>
      </w:r>
    </w:p>
    <w:p>
      <w:pPr>
        <w:tabs>
          <w:tab w:val="left" w:pos="84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中标通知书。</w:t>
      </w:r>
    </w:p>
    <w:p>
      <w:pPr>
        <w:tabs>
          <w:tab w:val="left" w:pos="840"/>
        </w:tabs>
        <w:spacing w:line="360" w:lineRule="exact"/>
        <w:ind w:firstLine="420" w:firstLineChars="200"/>
        <w:rPr>
          <w:rFonts w:ascii="宋体" w:hAnsi="宋体"/>
          <w:szCs w:val="21"/>
        </w:rPr>
      </w:pPr>
      <w:r>
        <w:rPr>
          <w:rFonts w:hint="eastAsia" w:ascii="宋体" w:hAnsi="宋体"/>
          <w:szCs w:val="21"/>
        </w:rPr>
        <w:t>如上述文件与本协议有不符之处，以本协议为准。</w:t>
      </w:r>
    </w:p>
    <w:p>
      <w:pPr>
        <w:tabs>
          <w:tab w:val="left" w:pos="840"/>
        </w:tabs>
        <w:spacing w:line="360" w:lineRule="exact"/>
        <w:ind w:firstLine="420" w:firstLineChars="200"/>
        <w:rPr>
          <w:rFonts w:ascii="宋体" w:hAnsi="宋体"/>
          <w:szCs w:val="21"/>
        </w:rPr>
      </w:pPr>
      <w:r>
        <w:rPr>
          <w:rFonts w:ascii="宋体" w:hAnsi="宋体"/>
          <w:szCs w:val="21"/>
        </w:rPr>
        <w:t>2</w:t>
      </w:r>
      <w:r>
        <w:rPr>
          <w:rFonts w:hint="eastAsia" w:ascii="宋体" w:hAnsi="宋体"/>
          <w:szCs w:val="21"/>
        </w:rPr>
        <w:t>、本协议经甲乙双方法定代表人或其委托人签字并加盖双方公章后生效。</w:t>
      </w:r>
    </w:p>
    <w:p>
      <w:pPr>
        <w:tabs>
          <w:tab w:val="left" w:pos="840"/>
        </w:tabs>
        <w:spacing w:line="360" w:lineRule="exact"/>
        <w:ind w:firstLine="420" w:firstLineChars="200"/>
        <w:rPr>
          <w:rFonts w:hint="eastAsia" w:ascii="宋体" w:hAnsi="宋体"/>
          <w:b/>
          <w:szCs w:val="21"/>
        </w:rPr>
      </w:pPr>
      <w:r>
        <w:rPr>
          <w:rFonts w:ascii="宋体" w:hAnsi="宋体"/>
          <w:szCs w:val="21"/>
        </w:rPr>
        <w:t>3</w:t>
      </w:r>
      <w:r>
        <w:rPr>
          <w:rFonts w:hint="eastAsia" w:ascii="宋体" w:hAnsi="宋体"/>
          <w:szCs w:val="21"/>
        </w:rPr>
        <w:t>、</w:t>
      </w:r>
      <w:r>
        <w:rPr>
          <w:rFonts w:hint="eastAsia" w:ascii="宋体" w:hAnsi="宋体"/>
          <w:b/>
          <w:szCs w:val="21"/>
        </w:rPr>
        <w:t>本协议一式七份，双方各执三份，招标代理单位一份，具有同等法律效力。</w:t>
      </w:r>
    </w:p>
    <w:p>
      <w:pPr>
        <w:spacing w:line="420" w:lineRule="exact"/>
        <w:ind w:firstLine="420"/>
        <w:rPr>
          <w:rFonts w:hint="eastAsia" w:ascii="宋体" w:hAnsi="宋体" w:cs="宋体"/>
          <w:szCs w:val="21"/>
        </w:rPr>
      </w:pPr>
    </w:p>
    <w:tbl>
      <w:tblPr>
        <w:tblStyle w:val="44"/>
        <w:tblW w:w="0" w:type="auto"/>
        <w:jc w:val="center"/>
        <w:tblLayout w:type="fixed"/>
        <w:tblCellMar>
          <w:top w:w="0" w:type="dxa"/>
          <w:left w:w="108" w:type="dxa"/>
          <w:bottom w:w="0" w:type="dxa"/>
          <w:right w:w="108" w:type="dxa"/>
        </w:tblCellMar>
      </w:tblPr>
      <w:tblGrid>
        <w:gridCol w:w="1526"/>
        <w:gridCol w:w="3120"/>
        <w:gridCol w:w="1559"/>
        <w:gridCol w:w="3084"/>
      </w:tblGrid>
      <w:tr>
        <w:tblPrEx>
          <w:tblCellMar>
            <w:top w:w="0" w:type="dxa"/>
            <w:left w:w="108" w:type="dxa"/>
            <w:bottom w:w="0" w:type="dxa"/>
            <w:right w:w="108" w:type="dxa"/>
          </w:tblCellMar>
        </w:tblPrEx>
        <w:trPr>
          <w:trHeight w:val="535" w:hRule="atLeast"/>
          <w:jc w:val="center"/>
        </w:trPr>
        <w:tc>
          <w:tcPr>
            <w:tcW w:w="1526" w:type="dxa"/>
            <w:noWrap w:val="0"/>
            <w:vAlign w:val="top"/>
          </w:tcPr>
          <w:p>
            <w:pPr>
              <w:spacing w:line="520" w:lineRule="exact"/>
              <w:ind w:firstLine="420"/>
              <w:rPr>
                <w:rFonts w:hint="eastAsia" w:ascii="宋体" w:hAnsi="宋体" w:cs="宋体"/>
                <w:szCs w:val="21"/>
              </w:rPr>
            </w:pPr>
            <w:r>
              <w:rPr>
                <w:rFonts w:hint="eastAsia" w:ascii="宋体" w:hAnsi="宋体" w:cs="宋体"/>
                <w:szCs w:val="21"/>
              </w:rPr>
              <w:t>甲  方</w:t>
            </w:r>
          </w:p>
        </w:tc>
        <w:tc>
          <w:tcPr>
            <w:tcW w:w="3120" w:type="dxa"/>
            <w:noWrap w:val="0"/>
            <w:vAlign w:val="center"/>
          </w:tcPr>
          <w:p>
            <w:pPr>
              <w:spacing w:line="520" w:lineRule="exact"/>
              <w:ind w:firstLine="420"/>
              <w:rPr>
                <w:rFonts w:hint="eastAsia" w:ascii="宋体" w:hAnsi="宋体" w:cs="宋体"/>
                <w:szCs w:val="21"/>
              </w:rPr>
            </w:pPr>
            <w:r>
              <w:rPr>
                <w:rFonts w:hint="eastAsia" w:ascii="宋体" w:hAnsi="宋体" w:cs="宋体"/>
                <w:szCs w:val="21"/>
              </w:rPr>
              <w:t>（盖章）</w:t>
            </w:r>
          </w:p>
        </w:tc>
        <w:tc>
          <w:tcPr>
            <w:tcW w:w="1559" w:type="dxa"/>
            <w:noWrap w:val="0"/>
            <w:vAlign w:val="top"/>
          </w:tcPr>
          <w:p>
            <w:pPr>
              <w:spacing w:line="520" w:lineRule="exact"/>
              <w:ind w:firstLine="420"/>
              <w:rPr>
                <w:rFonts w:hint="eastAsia" w:ascii="宋体" w:hAnsi="宋体" w:cs="宋体"/>
                <w:szCs w:val="21"/>
              </w:rPr>
            </w:pPr>
            <w:r>
              <w:rPr>
                <w:rFonts w:hint="eastAsia" w:ascii="宋体" w:hAnsi="宋体" w:cs="宋体"/>
                <w:szCs w:val="21"/>
              </w:rPr>
              <w:t>乙  方</w:t>
            </w:r>
          </w:p>
        </w:tc>
        <w:tc>
          <w:tcPr>
            <w:tcW w:w="3084" w:type="dxa"/>
            <w:noWrap w:val="0"/>
            <w:vAlign w:val="center"/>
          </w:tcPr>
          <w:p>
            <w:pPr>
              <w:spacing w:line="520" w:lineRule="exact"/>
              <w:ind w:firstLine="420"/>
              <w:rPr>
                <w:rFonts w:hint="eastAsia" w:ascii="宋体" w:hAnsi="宋体" w:cs="宋体"/>
                <w:szCs w:val="21"/>
              </w:rPr>
            </w:pPr>
            <w:r>
              <w:rPr>
                <w:rFonts w:hint="eastAsia" w:ascii="宋体" w:hAnsi="宋体" w:cs="宋体"/>
                <w:szCs w:val="21"/>
              </w:rPr>
              <w:t>（盖章）</w:t>
            </w: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rPr>
                <w:rFonts w:hint="eastAsia" w:ascii="宋体" w:hAnsi="宋体" w:cs="宋体"/>
                <w:szCs w:val="21"/>
              </w:rPr>
            </w:pPr>
            <w:r>
              <w:rPr>
                <w:rFonts w:hint="eastAsia" w:ascii="宋体" w:hAnsi="宋体" w:cs="宋体"/>
                <w:szCs w:val="21"/>
              </w:rPr>
              <w:t>法定代表人</w:t>
            </w:r>
          </w:p>
        </w:tc>
        <w:tc>
          <w:tcPr>
            <w:tcW w:w="3120" w:type="dxa"/>
            <w:vMerge w:val="restart"/>
            <w:noWrap w:val="0"/>
            <w:vAlign w:val="center"/>
          </w:tcPr>
          <w:p>
            <w:pPr>
              <w:spacing w:line="520" w:lineRule="exact"/>
              <w:ind w:firstLine="420"/>
              <w:rPr>
                <w:rFonts w:hint="eastAsia" w:ascii="宋体" w:hAnsi="宋体" w:cs="宋体"/>
                <w:szCs w:val="21"/>
              </w:rPr>
            </w:pPr>
            <w:r>
              <w:rPr>
                <w:rFonts w:hint="eastAsia" w:ascii="宋体" w:hAnsi="宋体" w:cs="宋体"/>
                <w:szCs w:val="21"/>
              </w:rPr>
              <w:t>（签字）</w:t>
            </w:r>
          </w:p>
        </w:tc>
        <w:tc>
          <w:tcPr>
            <w:tcW w:w="1559" w:type="dxa"/>
            <w:noWrap w:val="0"/>
            <w:vAlign w:val="top"/>
          </w:tcPr>
          <w:p>
            <w:pPr>
              <w:spacing w:line="520" w:lineRule="exact"/>
              <w:rPr>
                <w:rFonts w:hint="eastAsia" w:ascii="宋体" w:hAnsi="宋体" w:cs="宋体"/>
                <w:szCs w:val="21"/>
              </w:rPr>
            </w:pPr>
            <w:r>
              <w:rPr>
                <w:rFonts w:hint="eastAsia" w:ascii="宋体" w:hAnsi="宋体" w:cs="宋体"/>
                <w:szCs w:val="21"/>
              </w:rPr>
              <w:t>法定代表人</w:t>
            </w:r>
          </w:p>
        </w:tc>
        <w:tc>
          <w:tcPr>
            <w:tcW w:w="3084" w:type="dxa"/>
            <w:vMerge w:val="restart"/>
            <w:noWrap w:val="0"/>
            <w:vAlign w:val="center"/>
          </w:tcPr>
          <w:p>
            <w:pPr>
              <w:spacing w:line="520" w:lineRule="exact"/>
              <w:ind w:firstLine="420"/>
              <w:rPr>
                <w:rFonts w:hint="eastAsia" w:ascii="宋体" w:hAnsi="宋体" w:cs="宋体"/>
                <w:szCs w:val="21"/>
              </w:rPr>
            </w:pPr>
            <w:r>
              <w:rPr>
                <w:rFonts w:hint="eastAsia" w:ascii="宋体" w:hAnsi="宋体" w:cs="宋体"/>
                <w:szCs w:val="21"/>
              </w:rPr>
              <w:t>（签字）</w:t>
            </w: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rPr>
                <w:rFonts w:hint="eastAsia" w:ascii="宋体" w:hAnsi="宋体" w:cs="宋体"/>
                <w:szCs w:val="21"/>
              </w:rPr>
            </w:pPr>
            <w:r>
              <w:rPr>
                <w:rFonts w:hint="eastAsia" w:ascii="宋体" w:hAnsi="宋体" w:cs="宋体"/>
                <w:szCs w:val="21"/>
              </w:rPr>
              <w:t>或受委托人</w:t>
            </w:r>
          </w:p>
        </w:tc>
        <w:tc>
          <w:tcPr>
            <w:tcW w:w="3120" w:type="dxa"/>
            <w:vMerge w:val="continue"/>
            <w:noWrap w:val="0"/>
            <w:vAlign w:val="top"/>
          </w:tcPr>
          <w:p>
            <w:pPr>
              <w:spacing w:line="520" w:lineRule="exact"/>
              <w:ind w:firstLine="420"/>
              <w:rPr>
                <w:rFonts w:hint="eastAsia" w:ascii="宋体" w:hAnsi="宋体" w:cs="宋体"/>
                <w:szCs w:val="21"/>
              </w:rPr>
            </w:pPr>
          </w:p>
        </w:tc>
        <w:tc>
          <w:tcPr>
            <w:tcW w:w="1559" w:type="dxa"/>
            <w:noWrap w:val="0"/>
            <w:vAlign w:val="top"/>
          </w:tcPr>
          <w:p>
            <w:pPr>
              <w:spacing w:line="520" w:lineRule="exact"/>
              <w:rPr>
                <w:rFonts w:hint="eastAsia" w:ascii="宋体" w:hAnsi="宋体" w:cs="宋体"/>
                <w:szCs w:val="21"/>
              </w:rPr>
            </w:pPr>
            <w:r>
              <w:rPr>
                <w:rFonts w:hint="eastAsia" w:ascii="宋体" w:hAnsi="宋体" w:cs="宋体"/>
                <w:szCs w:val="21"/>
              </w:rPr>
              <w:t>或受委托人</w:t>
            </w:r>
          </w:p>
        </w:tc>
        <w:tc>
          <w:tcPr>
            <w:tcW w:w="3084" w:type="dxa"/>
            <w:vMerge w:val="continue"/>
            <w:noWrap w:val="0"/>
            <w:vAlign w:val="top"/>
          </w:tcPr>
          <w:p>
            <w:pPr>
              <w:spacing w:line="520" w:lineRule="exact"/>
              <w:ind w:firstLine="420"/>
              <w:rPr>
                <w:rFonts w:hint="eastAsia" w:ascii="宋体" w:hAnsi="宋体" w:cs="宋体"/>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szCs w:val="21"/>
              </w:rPr>
            </w:pPr>
            <w:r>
              <w:rPr>
                <w:rFonts w:hint="eastAsia" w:ascii="宋体" w:hAnsi="宋体" w:cs="宋体"/>
                <w:szCs w:val="21"/>
              </w:rPr>
              <w:t>地  址：</w:t>
            </w:r>
          </w:p>
        </w:tc>
        <w:tc>
          <w:tcPr>
            <w:tcW w:w="3120" w:type="dxa"/>
            <w:noWrap w:val="0"/>
            <w:vAlign w:val="top"/>
          </w:tcPr>
          <w:p>
            <w:pPr>
              <w:spacing w:line="520" w:lineRule="exact"/>
              <w:ind w:firstLine="420"/>
              <w:rPr>
                <w:rFonts w:hint="eastAsia" w:ascii="宋体" w:hAnsi="宋体" w:cs="宋体"/>
                <w:szCs w:val="21"/>
              </w:rPr>
            </w:pPr>
          </w:p>
        </w:tc>
        <w:tc>
          <w:tcPr>
            <w:tcW w:w="1559" w:type="dxa"/>
            <w:noWrap w:val="0"/>
            <w:vAlign w:val="top"/>
          </w:tcPr>
          <w:p>
            <w:pPr>
              <w:spacing w:line="520" w:lineRule="exact"/>
              <w:ind w:firstLine="420"/>
              <w:rPr>
                <w:rFonts w:hint="eastAsia" w:ascii="宋体" w:hAnsi="宋体" w:cs="宋体"/>
                <w:szCs w:val="21"/>
              </w:rPr>
            </w:pPr>
            <w:r>
              <w:rPr>
                <w:rFonts w:hint="eastAsia" w:ascii="宋体" w:hAnsi="宋体" w:cs="宋体"/>
                <w:szCs w:val="21"/>
              </w:rPr>
              <w:t>地 址：</w:t>
            </w:r>
          </w:p>
        </w:tc>
        <w:tc>
          <w:tcPr>
            <w:tcW w:w="3084" w:type="dxa"/>
            <w:noWrap w:val="0"/>
            <w:vAlign w:val="top"/>
          </w:tcPr>
          <w:p>
            <w:pPr>
              <w:spacing w:line="520" w:lineRule="exact"/>
              <w:ind w:firstLine="420"/>
              <w:rPr>
                <w:rFonts w:hint="eastAsia" w:ascii="宋体" w:hAnsi="宋体" w:cs="宋体"/>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szCs w:val="21"/>
              </w:rPr>
            </w:pPr>
            <w:r>
              <w:rPr>
                <w:rFonts w:hint="eastAsia" w:ascii="宋体" w:hAnsi="宋体" w:cs="宋体"/>
                <w:szCs w:val="21"/>
              </w:rPr>
              <w:t>电  话：</w:t>
            </w:r>
          </w:p>
        </w:tc>
        <w:tc>
          <w:tcPr>
            <w:tcW w:w="3120" w:type="dxa"/>
            <w:noWrap w:val="0"/>
            <w:vAlign w:val="top"/>
          </w:tcPr>
          <w:p>
            <w:pPr>
              <w:spacing w:line="520" w:lineRule="exact"/>
              <w:ind w:firstLine="420"/>
              <w:rPr>
                <w:rFonts w:hint="eastAsia" w:ascii="宋体" w:hAnsi="宋体" w:cs="宋体"/>
                <w:szCs w:val="21"/>
              </w:rPr>
            </w:pPr>
          </w:p>
        </w:tc>
        <w:tc>
          <w:tcPr>
            <w:tcW w:w="1559" w:type="dxa"/>
            <w:noWrap w:val="0"/>
            <w:vAlign w:val="top"/>
          </w:tcPr>
          <w:p>
            <w:pPr>
              <w:spacing w:line="520" w:lineRule="exact"/>
              <w:ind w:firstLine="420"/>
              <w:rPr>
                <w:rFonts w:hint="eastAsia" w:ascii="宋体" w:hAnsi="宋体" w:cs="宋体"/>
                <w:szCs w:val="21"/>
              </w:rPr>
            </w:pPr>
            <w:r>
              <w:rPr>
                <w:rFonts w:hint="eastAsia" w:ascii="宋体" w:hAnsi="宋体" w:cs="宋体"/>
                <w:szCs w:val="21"/>
              </w:rPr>
              <w:t>电  话：</w:t>
            </w:r>
          </w:p>
        </w:tc>
        <w:tc>
          <w:tcPr>
            <w:tcW w:w="3084" w:type="dxa"/>
            <w:noWrap w:val="0"/>
            <w:vAlign w:val="top"/>
          </w:tcPr>
          <w:p>
            <w:pPr>
              <w:spacing w:line="520" w:lineRule="exact"/>
              <w:ind w:firstLine="420"/>
              <w:rPr>
                <w:rFonts w:hint="eastAsia" w:ascii="宋体" w:hAnsi="宋体" w:cs="宋体"/>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210" w:firstLineChars="100"/>
              <w:rPr>
                <w:rFonts w:hint="eastAsia" w:ascii="宋体" w:hAnsi="宋体" w:cs="宋体"/>
                <w:szCs w:val="21"/>
              </w:rPr>
            </w:pPr>
            <w:r>
              <w:rPr>
                <w:rFonts w:hint="eastAsia" w:ascii="宋体" w:hAnsi="宋体" w:cs="宋体"/>
                <w:szCs w:val="21"/>
              </w:rPr>
              <w:t>开户银行：</w:t>
            </w:r>
          </w:p>
        </w:tc>
        <w:tc>
          <w:tcPr>
            <w:tcW w:w="3120" w:type="dxa"/>
            <w:noWrap w:val="0"/>
            <w:vAlign w:val="top"/>
          </w:tcPr>
          <w:p>
            <w:pPr>
              <w:spacing w:line="520" w:lineRule="exact"/>
              <w:ind w:firstLine="420"/>
              <w:rPr>
                <w:rFonts w:hint="eastAsia" w:ascii="宋体" w:hAnsi="宋体" w:cs="宋体"/>
                <w:szCs w:val="21"/>
              </w:rPr>
            </w:pPr>
          </w:p>
        </w:tc>
        <w:tc>
          <w:tcPr>
            <w:tcW w:w="1559" w:type="dxa"/>
            <w:noWrap w:val="0"/>
            <w:vAlign w:val="top"/>
          </w:tcPr>
          <w:p>
            <w:pPr>
              <w:spacing w:line="520" w:lineRule="exact"/>
              <w:ind w:firstLine="210" w:firstLineChars="100"/>
              <w:rPr>
                <w:rFonts w:hint="eastAsia" w:ascii="宋体" w:hAnsi="宋体" w:cs="宋体"/>
                <w:szCs w:val="21"/>
              </w:rPr>
            </w:pPr>
            <w:r>
              <w:rPr>
                <w:rFonts w:hint="eastAsia" w:ascii="宋体" w:hAnsi="宋体" w:cs="宋体"/>
                <w:szCs w:val="21"/>
              </w:rPr>
              <w:t>开户银行：</w:t>
            </w:r>
          </w:p>
        </w:tc>
        <w:tc>
          <w:tcPr>
            <w:tcW w:w="3084" w:type="dxa"/>
            <w:noWrap w:val="0"/>
            <w:vAlign w:val="top"/>
          </w:tcPr>
          <w:p>
            <w:pPr>
              <w:spacing w:line="520" w:lineRule="exact"/>
              <w:ind w:firstLine="420"/>
              <w:rPr>
                <w:rFonts w:hint="eastAsia" w:ascii="宋体" w:hAnsi="宋体" w:cs="宋体"/>
                <w:szCs w:val="21"/>
              </w:rPr>
            </w:pPr>
          </w:p>
        </w:tc>
      </w:tr>
      <w:tr>
        <w:tblPrEx>
          <w:tblCellMar>
            <w:top w:w="0" w:type="dxa"/>
            <w:left w:w="108" w:type="dxa"/>
            <w:bottom w:w="0" w:type="dxa"/>
            <w:right w:w="108" w:type="dxa"/>
          </w:tblCellMar>
        </w:tblPrEx>
        <w:trPr>
          <w:trHeight w:val="475" w:hRule="atLeast"/>
          <w:jc w:val="center"/>
        </w:trPr>
        <w:tc>
          <w:tcPr>
            <w:tcW w:w="1526" w:type="dxa"/>
            <w:noWrap w:val="0"/>
            <w:vAlign w:val="top"/>
          </w:tcPr>
          <w:p>
            <w:pPr>
              <w:spacing w:line="520" w:lineRule="exact"/>
              <w:ind w:firstLine="420"/>
              <w:rPr>
                <w:rFonts w:hint="eastAsia" w:ascii="宋体" w:hAnsi="宋体" w:cs="宋体"/>
                <w:szCs w:val="21"/>
              </w:rPr>
            </w:pPr>
            <w:r>
              <w:rPr>
                <w:rFonts w:hint="eastAsia" w:ascii="宋体" w:hAnsi="宋体" w:cs="宋体"/>
                <w:szCs w:val="21"/>
              </w:rPr>
              <w:t>帐  号：</w:t>
            </w:r>
          </w:p>
        </w:tc>
        <w:tc>
          <w:tcPr>
            <w:tcW w:w="3120" w:type="dxa"/>
            <w:noWrap w:val="0"/>
            <w:vAlign w:val="top"/>
          </w:tcPr>
          <w:p>
            <w:pPr>
              <w:spacing w:line="520" w:lineRule="exact"/>
              <w:ind w:firstLine="420"/>
              <w:rPr>
                <w:rFonts w:hint="eastAsia" w:ascii="宋体" w:hAnsi="宋体" w:cs="宋体"/>
                <w:szCs w:val="21"/>
              </w:rPr>
            </w:pPr>
          </w:p>
        </w:tc>
        <w:tc>
          <w:tcPr>
            <w:tcW w:w="1559" w:type="dxa"/>
            <w:noWrap w:val="0"/>
            <w:vAlign w:val="top"/>
          </w:tcPr>
          <w:p>
            <w:pPr>
              <w:spacing w:line="520" w:lineRule="exact"/>
              <w:ind w:firstLine="420"/>
              <w:rPr>
                <w:rFonts w:hint="eastAsia" w:ascii="宋体" w:hAnsi="宋体" w:cs="宋体"/>
                <w:szCs w:val="21"/>
              </w:rPr>
            </w:pPr>
            <w:r>
              <w:rPr>
                <w:rFonts w:hint="eastAsia" w:ascii="宋体" w:hAnsi="宋体" w:cs="宋体"/>
                <w:szCs w:val="21"/>
              </w:rPr>
              <w:t>帐  号：</w:t>
            </w:r>
          </w:p>
        </w:tc>
        <w:tc>
          <w:tcPr>
            <w:tcW w:w="3084" w:type="dxa"/>
            <w:noWrap w:val="0"/>
            <w:vAlign w:val="top"/>
          </w:tcPr>
          <w:p>
            <w:pPr>
              <w:spacing w:line="520" w:lineRule="exact"/>
              <w:ind w:firstLine="420"/>
              <w:rPr>
                <w:rFonts w:hint="eastAsia" w:ascii="宋体" w:hAnsi="宋体" w:cs="宋体"/>
                <w:szCs w:val="21"/>
              </w:rPr>
            </w:pPr>
          </w:p>
        </w:tc>
      </w:tr>
    </w:tbl>
    <w:p>
      <w:pPr>
        <w:ind w:firstLine="420"/>
        <w:rPr>
          <w:rFonts w:hint="eastAsia" w:ascii="宋体" w:hAnsi="宋体" w:cs="宋体"/>
          <w:szCs w:val="21"/>
        </w:rPr>
      </w:pPr>
    </w:p>
    <w:p>
      <w:pPr>
        <w:ind w:firstLine="420"/>
        <w:rPr>
          <w:rFonts w:ascii="宋体" w:hAnsi="宋体" w:cs="宋体"/>
          <w:szCs w:val="21"/>
        </w:rPr>
      </w:pPr>
      <w:r>
        <w:rPr>
          <w:rFonts w:hint="eastAsia" w:ascii="宋体" w:hAnsi="宋体" w:cs="宋体"/>
          <w:szCs w:val="21"/>
        </w:rPr>
        <w:t>合同鉴证方：</w:t>
      </w:r>
    </w:p>
    <w:p>
      <w:pPr>
        <w:ind w:firstLine="420"/>
      </w:pPr>
    </w:p>
    <w:p>
      <w:pPr>
        <w:ind w:firstLine="420"/>
        <w:rPr>
          <w:rFonts w:hint="eastAsia" w:ascii="宋体" w:hAnsi="宋体" w:cs="宋体"/>
          <w:szCs w:val="21"/>
        </w:rPr>
        <w:sectPr>
          <w:pgSz w:w="11906" w:h="16838"/>
          <w:pgMar w:top="1418" w:right="1134" w:bottom="1418" w:left="1134" w:header="851" w:footer="851" w:gutter="0"/>
          <w:cols w:space="720" w:num="1"/>
          <w:docGrid w:linePitch="312" w:charSpace="0"/>
        </w:sectPr>
      </w:pPr>
      <w:r>
        <w:rPr>
          <w:rFonts w:ascii="宋体" w:hAnsi="宋体" w:cs="宋体"/>
          <w:szCs w:val="21"/>
        </w:rPr>
        <w:t>采购代理机构</w:t>
      </w:r>
      <w:r>
        <w:rPr>
          <w:rFonts w:hint="eastAsia" w:ascii="宋体" w:hAnsi="宋体" w:cs="宋体"/>
          <w:szCs w:val="21"/>
        </w:rPr>
        <w:t xml:space="preserve">        （盖章）    </w:t>
      </w:r>
    </w:p>
    <w:p>
      <w:pPr>
        <w:pStyle w:val="4"/>
        <w:keepLines/>
        <w:spacing w:before="120" w:after="330" w:line="360" w:lineRule="auto"/>
        <w:rPr>
          <w:rFonts w:hint="eastAsia" w:ascii="宋体" w:hAnsi="宋体" w:cs="宋体"/>
          <w:sz w:val="36"/>
          <w:szCs w:val="36"/>
        </w:rPr>
      </w:pPr>
      <w:r>
        <w:rPr>
          <w:rFonts w:hint="eastAsia" w:ascii="宋体" w:hAnsi="宋体" w:cs="宋体"/>
          <w:sz w:val="36"/>
          <w:szCs w:val="36"/>
        </w:rPr>
        <w:t>第五章</w:t>
      </w:r>
      <w:r>
        <w:rPr>
          <w:rFonts w:hint="eastAsia" w:ascii="宋体" w:hAnsi="宋体" w:cs="宋体"/>
          <w:bCs w:val="0"/>
          <w:kern w:val="2"/>
          <w:sz w:val="24"/>
          <w:szCs w:val="21"/>
          <w:lang w:bidi="ar"/>
        </w:rPr>
        <w:t xml:space="preserve"> </w:t>
      </w:r>
      <w:bookmarkEnd w:id="104"/>
      <w:r>
        <w:rPr>
          <w:rFonts w:hint="eastAsia" w:ascii="宋体" w:hAnsi="宋体" w:cs="宋体"/>
          <w:sz w:val="36"/>
          <w:szCs w:val="36"/>
        </w:rPr>
        <w:t>招标内容与服务要求</w:t>
      </w:r>
    </w:p>
    <w:bookmarkEnd w:id="97"/>
    <w:p>
      <w:pPr>
        <w:spacing w:line="360" w:lineRule="atLeast"/>
        <w:ind w:left="141"/>
        <w:rPr>
          <w:rFonts w:hint="eastAsia" w:ascii="宋体" w:hAnsi="宋体"/>
          <w:b/>
          <w:szCs w:val="21"/>
        </w:rPr>
      </w:pPr>
      <w:bookmarkStart w:id="108" w:name="_Toc216662965"/>
      <w:bookmarkStart w:id="109" w:name="_Toc5926"/>
      <w:r>
        <w:rPr>
          <w:rFonts w:hint="eastAsia" w:ascii="宋体" w:hAnsi="宋体"/>
          <w:b/>
          <w:szCs w:val="21"/>
        </w:rPr>
        <w:t>一、项目背景</w:t>
      </w:r>
    </w:p>
    <w:p>
      <w:pPr>
        <w:spacing w:line="320" w:lineRule="atLeast"/>
        <w:ind w:firstLine="420" w:firstLineChars="200"/>
        <w:rPr>
          <w:rFonts w:hint="eastAsia" w:ascii="宋体" w:hAnsi="宋体"/>
          <w:bCs/>
          <w:szCs w:val="21"/>
        </w:rPr>
      </w:pPr>
      <w:r>
        <w:rPr>
          <w:rFonts w:hint="eastAsia" w:ascii="宋体" w:hAnsi="宋体"/>
          <w:bCs/>
          <w:szCs w:val="21"/>
        </w:rPr>
        <w:t>环杭州湾创新中心是慈溪市委、市政府面对发展新常态，立足宁波、对接上海，加快实施创新驱动战略，为谋求“十三五”时期慈溪跨越式发展而全力打造的“二次创业”主阵地、转型升级先行区。</w:t>
      </w:r>
    </w:p>
    <w:p>
      <w:pPr>
        <w:spacing w:line="320" w:lineRule="atLeast"/>
        <w:ind w:firstLine="420" w:firstLineChars="200"/>
        <w:rPr>
          <w:rFonts w:ascii="宋体" w:hAnsi="宋体"/>
          <w:bCs/>
          <w:szCs w:val="21"/>
        </w:rPr>
      </w:pPr>
      <w:r>
        <w:rPr>
          <w:rFonts w:hint="eastAsia" w:ascii="宋体" w:hAnsi="宋体"/>
          <w:bCs/>
          <w:szCs w:val="21"/>
        </w:rPr>
        <w:t>本项目位于环杭州湾创新中心的文化商务区板块内，它位于中心城区东北部，西至新城大道、东至新城河、南到北三环、北到中横线面积约1.8平方公里范围内的公共区域，区域内拥有大剧院、博物馆、科技馆、文化馆、党史馆、城市展示馆、青少年活动中心、妇女活动中心、群众文化活动中心等公建场馆以及明月湖、中央公园、滨河公园等人工景观，本项目考察接待及文明城市创建等任务较多，为慈溪市重要的形象展示窗口之一。</w:t>
      </w:r>
    </w:p>
    <w:p>
      <w:pPr>
        <w:spacing w:line="360" w:lineRule="atLeast"/>
        <w:ind w:left="141"/>
        <w:rPr>
          <w:rFonts w:hint="eastAsia" w:ascii="宋体" w:hAnsi="宋体"/>
          <w:b/>
          <w:szCs w:val="21"/>
        </w:rPr>
      </w:pPr>
      <w:r>
        <w:rPr>
          <w:rFonts w:hint="eastAsia" w:ascii="宋体" w:hAnsi="宋体"/>
          <w:b/>
          <w:szCs w:val="21"/>
        </w:rPr>
        <w:t>二、项目概况</w:t>
      </w:r>
    </w:p>
    <w:p>
      <w:pPr>
        <w:spacing w:line="320" w:lineRule="atLeast"/>
        <w:ind w:firstLine="420" w:firstLineChars="200"/>
        <w:rPr>
          <w:rFonts w:hint="eastAsia" w:ascii="宋体" w:hAnsi="宋体"/>
          <w:szCs w:val="21"/>
        </w:rPr>
      </w:pPr>
      <w:r>
        <w:rPr>
          <w:rFonts w:hint="eastAsia" w:ascii="宋体" w:hAnsi="宋体"/>
          <w:szCs w:val="21"/>
        </w:rPr>
        <w:t>慈溪市环杭州湾创新中心</w:t>
      </w:r>
      <w:r>
        <w:rPr>
          <w:rFonts w:hint="eastAsia" w:ascii="宋体" w:hAnsi="宋体"/>
          <w:bCs/>
          <w:szCs w:val="21"/>
        </w:rPr>
        <w:t>文化商务区板块内</w:t>
      </w:r>
      <w:r>
        <w:rPr>
          <w:rFonts w:hint="eastAsia" w:ascii="宋体" w:hAnsi="宋体"/>
          <w:szCs w:val="21"/>
        </w:rPr>
        <w:t>公共区域，具体情况如下：</w:t>
      </w:r>
    </w:p>
    <w:p>
      <w:pPr>
        <w:spacing w:line="320" w:lineRule="atLeast"/>
        <w:rPr>
          <w:rFonts w:hint="eastAsia" w:ascii="宋体" w:hAnsi="宋体"/>
          <w:b/>
          <w:szCs w:val="21"/>
        </w:rPr>
      </w:pPr>
      <w:r>
        <w:rPr>
          <w:rFonts w:hint="eastAsia" w:ascii="宋体" w:hAnsi="宋体"/>
          <w:b/>
          <w:szCs w:val="21"/>
        </w:rPr>
        <w:t>1、区域范围：详见附图。</w:t>
      </w:r>
    </w:p>
    <w:tbl>
      <w:tblPr>
        <w:tblStyle w:val="44"/>
        <w:tblW w:w="96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417"/>
        <w:gridCol w:w="1134"/>
        <w:gridCol w:w="1134"/>
        <w:gridCol w:w="1134"/>
        <w:gridCol w:w="58"/>
        <w:gridCol w:w="1218"/>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8" w:type="dxa"/>
            <w:noWrap w:val="0"/>
            <w:vAlign w:val="center"/>
          </w:tcPr>
          <w:p>
            <w:pPr>
              <w:spacing w:line="400" w:lineRule="atLeast"/>
              <w:jc w:val="center"/>
              <w:rPr>
                <w:rFonts w:ascii="宋体" w:hAnsi="宋体"/>
                <w:szCs w:val="21"/>
              </w:rPr>
            </w:pPr>
            <w:r>
              <w:rPr>
                <w:rFonts w:hint="eastAsia" w:ascii="宋体" w:hAnsi="宋体"/>
                <w:szCs w:val="21"/>
              </w:rPr>
              <w:t>各区域名称</w:t>
            </w:r>
          </w:p>
        </w:tc>
        <w:tc>
          <w:tcPr>
            <w:tcW w:w="1417" w:type="dxa"/>
            <w:noWrap w:val="0"/>
            <w:vAlign w:val="center"/>
          </w:tcPr>
          <w:p>
            <w:pPr>
              <w:spacing w:line="400" w:lineRule="atLeast"/>
              <w:jc w:val="center"/>
              <w:rPr>
                <w:rFonts w:ascii="宋体" w:hAnsi="宋体"/>
                <w:szCs w:val="21"/>
              </w:rPr>
            </w:pPr>
            <w:r>
              <w:rPr>
                <w:rFonts w:hint="eastAsia" w:ascii="宋体" w:hAnsi="宋体"/>
                <w:szCs w:val="21"/>
              </w:rPr>
              <w:t>总面积</w:t>
            </w:r>
          </w:p>
          <w:p>
            <w:pPr>
              <w:spacing w:line="400" w:lineRule="atLeas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+②+③+④</w:t>
            </w:r>
          </w:p>
        </w:tc>
        <w:tc>
          <w:tcPr>
            <w:tcW w:w="1134" w:type="dxa"/>
            <w:noWrap w:val="0"/>
            <w:vAlign w:val="center"/>
          </w:tcPr>
          <w:p>
            <w:pPr>
              <w:spacing w:line="400" w:lineRule="atLeast"/>
              <w:jc w:val="center"/>
              <w:rPr>
                <w:rFonts w:ascii="宋体" w:hAnsi="宋体"/>
                <w:szCs w:val="21"/>
              </w:rPr>
            </w:pPr>
            <w:r>
              <w:rPr>
                <w:rFonts w:hint="eastAsia" w:ascii="宋体" w:hAnsi="宋体"/>
                <w:szCs w:val="21"/>
              </w:rPr>
              <w:t>铺装(㎡)</w:t>
            </w:r>
          </w:p>
          <w:p>
            <w:pPr>
              <w:spacing w:line="400" w:lineRule="atLeast"/>
              <w:ind w:left="36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p>
        </w:tc>
        <w:tc>
          <w:tcPr>
            <w:tcW w:w="1134" w:type="dxa"/>
            <w:noWrap w:val="0"/>
            <w:vAlign w:val="center"/>
          </w:tcPr>
          <w:p>
            <w:pPr>
              <w:spacing w:line="400" w:lineRule="atLeast"/>
              <w:jc w:val="center"/>
              <w:rPr>
                <w:rFonts w:ascii="宋体" w:hAnsi="宋体"/>
                <w:szCs w:val="21"/>
              </w:rPr>
            </w:pPr>
            <w:r>
              <w:rPr>
                <w:rFonts w:hint="eastAsia" w:ascii="宋体" w:hAnsi="宋体"/>
                <w:szCs w:val="21"/>
              </w:rPr>
              <w:t>绿化(㎡)</w:t>
            </w:r>
          </w:p>
          <w:p>
            <w:pPr>
              <w:spacing w:line="400" w:lineRule="atLeast"/>
              <w:jc w:val="center"/>
              <w:rPr>
                <w:rFonts w:ascii="宋体" w:hAnsi="宋体"/>
                <w:szCs w:val="21"/>
              </w:rPr>
            </w:pPr>
            <w:r>
              <w:rPr>
                <w:rFonts w:hint="eastAsia" w:ascii="宋体" w:hAnsi="宋体"/>
                <w:szCs w:val="21"/>
              </w:rPr>
              <w:t>②</w:t>
            </w:r>
          </w:p>
        </w:tc>
        <w:tc>
          <w:tcPr>
            <w:tcW w:w="1134" w:type="dxa"/>
            <w:noWrap w:val="0"/>
            <w:vAlign w:val="center"/>
          </w:tcPr>
          <w:p>
            <w:pPr>
              <w:spacing w:line="400" w:lineRule="atLeast"/>
              <w:jc w:val="center"/>
              <w:rPr>
                <w:rFonts w:ascii="宋体" w:hAnsi="宋体"/>
                <w:szCs w:val="21"/>
              </w:rPr>
            </w:pPr>
            <w:r>
              <w:rPr>
                <w:rFonts w:hint="eastAsia" w:ascii="宋体" w:hAnsi="宋体"/>
                <w:szCs w:val="21"/>
              </w:rPr>
              <w:t>水景(㎡)</w:t>
            </w:r>
          </w:p>
          <w:p>
            <w:pPr>
              <w:spacing w:line="400" w:lineRule="atLeast"/>
              <w:jc w:val="center"/>
              <w:rPr>
                <w:rFonts w:ascii="宋体" w:hAnsi="宋体"/>
                <w:szCs w:val="21"/>
              </w:rPr>
            </w:pPr>
            <w:r>
              <w:rPr>
                <w:rFonts w:hint="eastAsia" w:ascii="宋体" w:hAnsi="宋体"/>
                <w:szCs w:val="21"/>
              </w:rPr>
              <w:t>③</w:t>
            </w:r>
          </w:p>
        </w:tc>
        <w:tc>
          <w:tcPr>
            <w:tcW w:w="1276" w:type="dxa"/>
            <w:gridSpan w:val="2"/>
            <w:noWrap w:val="0"/>
            <w:vAlign w:val="center"/>
          </w:tcPr>
          <w:p>
            <w:pPr>
              <w:spacing w:line="400" w:lineRule="atLeast"/>
              <w:jc w:val="center"/>
              <w:rPr>
                <w:rFonts w:ascii="宋体" w:hAnsi="宋体"/>
                <w:szCs w:val="21"/>
              </w:rPr>
            </w:pPr>
            <w:r>
              <w:rPr>
                <w:rFonts w:hint="eastAsia" w:ascii="宋体" w:hAnsi="宋体"/>
                <w:szCs w:val="21"/>
              </w:rPr>
              <w:t>建筑(㎡)</w:t>
            </w:r>
          </w:p>
          <w:p>
            <w:pPr>
              <w:spacing w:line="400" w:lineRule="atLeast"/>
              <w:jc w:val="center"/>
              <w:rPr>
                <w:rFonts w:ascii="宋体" w:hAnsi="宋体"/>
                <w:szCs w:val="21"/>
              </w:rPr>
            </w:pPr>
            <w:r>
              <w:rPr>
                <w:rFonts w:hint="eastAsia" w:ascii="宋体" w:hAnsi="宋体"/>
                <w:szCs w:val="21"/>
              </w:rPr>
              <w:t>④</w:t>
            </w:r>
          </w:p>
        </w:tc>
        <w:tc>
          <w:tcPr>
            <w:tcW w:w="1939" w:type="dxa"/>
            <w:noWrap w:val="0"/>
            <w:vAlign w:val="center"/>
          </w:tcPr>
          <w:p>
            <w:pPr>
              <w:spacing w:line="40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8" w:type="dxa"/>
            <w:noWrap w:val="0"/>
            <w:vAlign w:val="center"/>
          </w:tcPr>
          <w:p>
            <w:pPr>
              <w:spacing w:line="400" w:lineRule="exact"/>
              <w:rPr>
                <w:rFonts w:ascii="宋体" w:hAnsi="宋体"/>
                <w:szCs w:val="21"/>
              </w:rPr>
            </w:pPr>
            <w:r>
              <w:rPr>
                <w:rFonts w:hint="eastAsia" w:ascii="宋体" w:hAnsi="宋体"/>
                <w:szCs w:val="21"/>
              </w:rPr>
              <w:t>南侧公建群公共区域及休闲广场</w:t>
            </w:r>
          </w:p>
        </w:tc>
        <w:tc>
          <w:tcPr>
            <w:tcW w:w="1417" w:type="dxa"/>
            <w:noWrap w:val="0"/>
            <w:vAlign w:val="center"/>
          </w:tcPr>
          <w:p>
            <w:pPr>
              <w:spacing w:line="400" w:lineRule="atLeast"/>
              <w:jc w:val="center"/>
              <w:rPr>
                <w:rFonts w:ascii="宋体" w:hAnsi="宋体"/>
                <w:szCs w:val="21"/>
              </w:rPr>
            </w:pPr>
            <w:r>
              <w:rPr>
                <w:rFonts w:hint="eastAsia" w:ascii="宋体" w:hAnsi="宋体"/>
                <w:szCs w:val="21"/>
              </w:rPr>
              <w:t>114307</w:t>
            </w:r>
          </w:p>
        </w:tc>
        <w:tc>
          <w:tcPr>
            <w:tcW w:w="1134" w:type="dxa"/>
            <w:noWrap w:val="0"/>
            <w:vAlign w:val="center"/>
          </w:tcPr>
          <w:p>
            <w:pPr>
              <w:spacing w:line="400" w:lineRule="atLeast"/>
              <w:jc w:val="center"/>
              <w:rPr>
                <w:rFonts w:ascii="宋体" w:hAnsi="宋体"/>
                <w:szCs w:val="21"/>
              </w:rPr>
            </w:pPr>
            <w:r>
              <w:rPr>
                <w:rFonts w:hint="eastAsia" w:ascii="宋体" w:hAnsi="宋体"/>
                <w:szCs w:val="21"/>
              </w:rPr>
              <w:t>43198</w:t>
            </w:r>
          </w:p>
        </w:tc>
        <w:tc>
          <w:tcPr>
            <w:tcW w:w="1134" w:type="dxa"/>
            <w:noWrap w:val="0"/>
            <w:vAlign w:val="center"/>
          </w:tcPr>
          <w:p>
            <w:pPr>
              <w:spacing w:line="400" w:lineRule="atLeast"/>
              <w:jc w:val="center"/>
              <w:rPr>
                <w:rFonts w:ascii="宋体" w:hAnsi="宋体"/>
                <w:szCs w:val="21"/>
              </w:rPr>
            </w:pPr>
            <w:r>
              <w:rPr>
                <w:rFonts w:hint="eastAsia" w:ascii="宋体" w:hAnsi="宋体"/>
                <w:szCs w:val="21"/>
              </w:rPr>
              <w:t>28998</w:t>
            </w:r>
          </w:p>
        </w:tc>
        <w:tc>
          <w:tcPr>
            <w:tcW w:w="1134" w:type="dxa"/>
            <w:noWrap w:val="0"/>
            <w:vAlign w:val="center"/>
          </w:tcPr>
          <w:p>
            <w:pPr>
              <w:spacing w:line="400" w:lineRule="atLeast"/>
              <w:jc w:val="center"/>
              <w:rPr>
                <w:rFonts w:ascii="宋体" w:hAnsi="宋体"/>
                <w:szCs w:val="21"/>
              </w:rPr>
            </w:pPr>
            <w:r>
              <w:rPr>
                <w:rFonts w:hint="eastAsia" w:ascii="宋体" w:hAnsi="宋体"/>
                <w:szCs w:val="21"/>
              </w:rPr>
              <w:t>1661</w:t>
            </w:r>
          </w:p>
        </w:tc>
        <w:tc>
          <w:tcPr>
            <w:tcW w:w="1276" w:type="dxa"/>
            <w:gridSpan w:val="2"/>
            <w:noWrap w:val="0"/>
            <w:vAlign w:val="center"/>
          </w:tcPr>
          <w:p>
            <w:pPr>
              <w:spacing w:line="400" w:lineRule="atLeast"/>
              <w:jc w:val="center"/>
              <w:rPr>
                <w:rFonts w:ascii="宋体" w:hAnsi="宋体"/>
                <w:szCs w:val="21"/>
              </w:rPr>
            </w:pPr>
            <w:r>
              <w:rPr>
                <w:rFonts w:hint="eastAsia" w:ascii="宋体" w:hAnsi="宋体"/>
                <w:szCs w:val="21"/>
              </w:rPr>
              <w:t>40450</w:t>
            </w:r>
          </w:p>
        </w:tc>
        <w:tc>
          <w:tcPr>
            <w:tcW w:w="1939" w:type="dxa"/>
            <w:noWrap w:val="0"/>
            <w:vAlign w:val="center"/>
          </w:tcPr>
          <w:p>
            <w:pPr>
              <w:spacing w:line="400" w:lineRule="atLeast"/>
              <w:jc w:val="center"/>
              <w:rPr>
                <w:rFonts w:hint="eastAsia" w:ascii="宋体" w:hAnsi="宋体"/>
                <w:szCs w:val="21"/>
              </w:rPr>
            </w:pPr>
            <w:r>
              <w:rPr>
                <w:rFonts w:hint="eastAsia" w:ascii="宋体" w:hAnsi="宋体"/>
                <w:szCs w:val="21"/>
              </w:rPr>
              <w:t>(含南侧地下室4397平方米，休闲广场地下停车库4500平方米)；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rPr>
                <w:rFonts w:ascii="宋体" w:hAnsi="宋体"/>
                <w:szCs w:val="21"/>
              </w:rPr>
            </w:pPr>
            <w:r>
              <w:rPr>
                <w:rFonts w:hint="eastAsia" w:ascii="宋体" w:hAnsi="宋体"/>
                <w:szCs w:val="21"/>
              </w:rPr>
              <w:t>大剧院（室外）</w:t>
            </w:r>
          </w:p>
        </w:tc>
        <w:tc>
          <w:tcPr>
            <w:tcW w:w="1417" w:type="dxa"/>
            <w:noWrap w:val="0"/>
            <w:vAlign w:val="center"/>
          </w:tcPr>
          <w:p>
            <w:pPr>
              <w:spacing w:line="400" w:lineRule="atLeast"/>
              <w:jc w:val="center"/>
              <w:rPr>
                <w:rFonts w:ascii="宋体" w:hAnsi="宋体"/>
                <w:szCs w:val="21"/>
              </w:rPr>
            </w:pPr>
            <w:r>
              <w:rPr>
                <w:rFonts w:hint="eastAsia" w:ascii="宋体" w:hAnsi="宋体"/>
                <w:szCs w:val="21"/>
              </w:rPr>
              <w:t>31354</w:t>
            </w:r>
          </w:p>
        </w:tc>
        <w:tc>
          <w:tcPr>
            <w:tcW w:w="1134" w:type="dxa"/>
            <w:noWrap w:val="0"/>
            <w:vAlign w:val="center"/>
          </w:tcPr>
          <w:p>
            <w:pPr>
              <w:spacing w:line="400" w:lineRule="atLeast"/>
              <w:jc w:val="center"/>
              <w:rPr>
                <w:rFonts w:ascii="宋体" w:hAnsi="宋体"/>
                <w:szCs w:val="21"/>
              </w:rPr>
            </w:pPr>
            <w:r>
              <w:rPr>
                <w:rFonts w:hint="eastAsia" w:ascii="宋体" w:hAnsi="宋体"/>
                <w:szCs w:val="21"/>
              </w:rPr>
              <w:t>21948</w:t>
            </w:r>
          </w:p>
        </w:tc>
        <w:tc>
          <w:tcPr>
            <w:tcW w:w="1134" w:type="dxa"/>
            <w:noWrap w:val="0"/>
            <w:vAlign w:val="center"/>
          </w:tcPr>
          <w:p>
            <w:pPr>
              <w:spacing w:line="400" w:lineRule="atLeast"/>
              <w:jc w:val="center"/>
              <w:rPr>
                <w:rFonts w:ascii="宋体" w:hAnsi="宋体"/>
                <w:szCs w:val="21"/>
              </w:rPr>
            </w:pPr>
            <w:r>
              <w:rPr>
                <w:rFonts w:hint="eastAsia" w:ascii="宋体" w:hAnsi="宋体"/>
                <w:szCs w:val="21"/>
              </w:rPr>
              <w:t>8943</w:t>
            </w:r>
          </w:p>
        </w:tc>
        <w:tc>
          <w:tcPr>
            <w:tcW w:w="1134" w:type="dxa"/>
            <w:noWrap w:val="0"/>
            <w:vAlign w:val="center"/>
          </w:tcPr>
          <w:p>
            <w:pPr>
              <w:spacing w:line="400" w:lineRule="atLeast"/>
              <w:jc w:val="center"/>
              <w:rPr>
                <w:rFonts w:ascii="宋体" w:hAnsi="宋体"/>
                <w:szCs w:val="21"/>
              </w:rPr>
            </w:pPr>
            <w:r>
              <w:rPr>
                <w:rFonts w:hint="eastAsia" w:ascii="宋体" w:hAnsi="宋体"/>
                <w:szCs w:val="21"/>
              </w:rPr>
              <w:t>463</w:t>
            </w:r>
          </w:p>
        </w:tc>
        <w:tc>
          <w:tcPr>
            <w:tcW w:w="1276" w:type="dxa"/>
            <w:gridSpan w:val="2"/>
            <w:noWrap w:val="0"/>
            <w:vAlign w:val="center"/>
          </w:tcPr>
          <w:p>
            <w:pPr>
              <w:spacing w:line="400" w:lineRule="atLeast"/>
              <w:jc w:val="center"/>
              <w:rPr>
                <w:rFonts w:ascii="宋体" w:hAnsi="宋体"/>
                <w:szCs w:val="21"/>
              </w:rPr>
            </w:pPr>
            <w:r>
              <w:rPr>
                <w:rFonts w:hint="eastAsia" w:ascii="宋体" w:hAnsi="宋体"/>
                <w:szCs w:val="21"/>
              </w:rPr>
              <w:t>9113</w:t>
            </w:r>
          </w:p>
        </w:tc>
        <w:tc>
          <w:tcPr>
            <w:tcW w:w="1939" w:type="dxa"/>
            <w:noWrap w:val="0"/>
            <w:vAlign w:val="center"/>
          </w:tcPr>
          <w:p>
            <w:pPr>
              <w:spacing w:line="400" w:lineRule="atLeast"/>
              <w:rPr>
                <w:rFonts w:hint="eastAsia" w:ascii="宋体" w:hAnsi="宋体"/>
                <w:szCs w:val="21"/>
              </w:rPr>
            </w:pPr>
            <w:r>
              <w:rPr>
                <w:rFonts w:hint="eastAsia" w:ascii="宋体" w:hAnsi="宋体"/>
                <w:szCs w:val="21"/>
              </w:rPr>
              <w:t>（含地下室9113平方米)；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jc w:val="center"/>
              <w:rPr>
                <w:rFonts w:ascii="宋体" w:hAnsi="宋体"/>
                <w:szCs w:val="21"/>
              </w:rPr>
            </w:pPr>
            <w:r>
              <w:rPr>
                <w:rFonts w:hint="eastAsia" w:ascii="宋体" w:hAnsi="宋体"/>
                <w:szCs w:val="21"/>
              </w:rPr>
              <w:t>中央广场</w:t>
            </w:r>
          </w:p>
        </w:tc>
        <w:tc>
          <w:tcPr>
            <w:tcW w:w="1417" w:type="dxa"/>
            <w:noWrap w:val="0"/>
            <w:vAlign w:val="center"/>
          </w:tcPr>
          <w:p>
            <w:pPr>
              <w:spacing w:line="400" w:lineRule="atLeast"/>
              <w:jc w:val="center"/>
              <w:rPr>
                <w:rFonts w:ascii="宋体" w:hAnsi="宋体"/>
                <w:szCs w:val="21"/>
              </w:rPr>
            </w:pPr>
            <w:r>
              <w:rPr>
                <w:rFonts w:hint="eastAsia" w:ascii="宋体" w:hAnsi="宋体"/>
                <w:szCs w:val="21"/>
              </w:rPr>
              <w:t>153207</w:t>
            </w:r>
          </w:p>
        </w:tc>
        <w:tc>
          <w:tcPr>
            <w:tcW w:w="1134" w:type="dxa"/>
            <w:noWrap w:val="0"/>
            <w:vAlign w:val="center"/>
          </w:tcPr>
          <w:p>
            <w:pPr>
              <w:spacing w:line="400" w:lineRule="atLeast"/>
              <w:jc w:val="center"/>
              <w:rPr>
                <w:rFonts w:ascii="宋体" w:hAnsi="宋体"/>
                <w:szCs w:val="21"/>
              </w:rPr>
            </w:pPr>
            <w:r>
              <w:rPr>
                <w:rFonts w:hint="eastAsia" w:ascii="宋体" w:hAnsi="宋体"/>
                <w:szCs w:val="21"/>
              </w:rPr>
              <w:t>24831</w:t>
            </w:r>
          </w:p>
        </w:tc>
        <w:tc>
          <w:tcPr>
            <w:tcW w:w="1134" w:type="dxa"/>
            <w:noWrap w:val="0"/>
            <w:vAlign w:val="center"/>
          </w:tcPr>
          <w:p>
            <w:pPr>
              <w:spacing w:line="400" w:lineRule="atLeast"/>
              <w:jc w:val="center"/>
              <w:rPr>
                <w:rFonts w:ascii="宋体" w:hAnsi="宋体"/>
                <w:szCs w:val="21"/>
              </w:rPr>
            </w:pPr>
            <w:r>
              <w:rPr>
                <w:rFonts w:hint="eastAsia" w:ascii="宋体" w:hAnsi="宋体"/>
                <w:szCs w:val="21"/>
              </w:rPr>
              <w:t>35831</w:t>
            </w:r>
          </w:p>
        </w:tc>
        <w:tc>
          <w:tcPr>
            <w:tcW w:w="1134" w:type="dxa"/>
            <w:noWrap w:val="0"/>
            <w:vAlign w:val="center"/>
          </w:tcPr>
          <w:p>
            <w:pPr>
              <w:spacing w:line="400" w:lineRule="atLeast"/>
              <w:jc w:val="center"/>
              <w:rPr>
                <w:rFonts w:ascii="宋体" w:hAnsi="宋体"/>
                <w:szCs w:val="21"/>
              </w:rPr>
            </w:pPr>
            <w:r>
              <w:rPr>
                <w:rFonts w:hint="eastAsia" w:ascii="宋体" w:hAnsi="宋体"/>
                <w:szCs w:val="21"/>
              </w:rPr>
              <w:t>3430</w:t>
            </w:r>
          </w:p>
        </w:tc>
        <w:tc>
          <w:tcPr>
            <w:tcW w:w="1276" w:type="dxa"/>
            <w:gridSpan w:val="2"/>
            <w:noWrap w:val="0"/>
            <w:vAlign w:val="center"/>
          </w:tcPr>
          <w:p>
            <w:pPr>
              <w:spacing w:line="400" w:lineRule="atLeast"/>
              <w:jc w:val="center"/>
              <w:rPr>
                <w:rFonts w:ascii="宋体" w:hAnsi="宋体"/>
                <w:szCs w:val="21"/>
              </w:rPr>
            </w:pPr>
            <w:r>
              <w:rPr>
                <w:rFonts w:hint="eastAsia" w:ascii="宋体" w:hAnsi="宋体"/>
                <w:szCs w:val="21"/>
              </w:rPr>
              <w:t>89115</w:t>
            </w:r>
          </w:p>
        </w:tc>
        <w:tc>
          <w:tcPr>
            <w:tcW w:w="1939" w:type="dxa"/>
            <w:noWrap w:val="0"/>
            <w:vAlign w:val="center"/>
          </w:tcPr>
          <w:p>
            <w:pPr>
              <w:spacing w:line="400" w:lineRule="atLeast"/>
              <w:jc w:val="center"/>
              <w:rPr>
                <w:rFonts w:hint="eastAsia" w:ascii="宋体" w:hAnsi="宋体"/>
                <w:szCs w:val="21"/>
              </w:rPr>
            </w:pPr>
            <w:r>
              <w:rPr>
                <w:rFonts w:hint="eastAsia" w:ascii="宋体" w:hAnsi="宋体"/>
                <w:szCs w:val="21"/>
              </w:rPr>
              <w:t>（含地下室及人防77433平方米）；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jc w:val="center"/>
              <w:rPr>
                <w:rFonts w:ascii="宋体" w:hAnsi="宋体"/>
                <w:szCs w:val="21"/>
              </w:rPr>
            </w:pPr>
            <w:r>
              <w:rPr>
                <w:rFonts w:hint="eastAsia" w:ascii="宋体" w:hAnsi="宋体"/>
                <w:szCs w:val="21"/>
              </w:rPr>
              <w:t>南侧滨河公园</w:t>
            </w:r>
          </w:p>
        </w:tc>
        <w:tc>
          <w:tcPr>
            <w:tcW w:w="1417" w:type="dxa"/>
            <w:noWrap w:val="0"/>
            <w:vAlign w:val="center"/>
          </w:tcPr>
          <w:p>
            <w:pPr>
              <w:jc w:val="center"/>
              <w:rPr>
                <w:rFonts w:ascii="宋体" w:hAnsi="宋体"/>
                <w:szCs w:val="21"/>
              </w:rPr>
            </w:pPr>
            <w:r>
              <w:rPr>
                <w:rFonts w:hint="eastAsia" w:ascii="宋体" w:hAnsi="宋体"/>
                <w:szCs w:val="21"/>
              </w:rPr>
              <w:t>38882</w:t>
            </w:r>
          </w:p>
        </w:tc>
        <w:tc>
          <w:tcPr>
            <w:tcW w:w="1134" w:type="dxa"/>
            <w:noWrap w:val="0"/>
            <w:vAlign w:val="center"/>
          </w:tcPr>
          <w:p>
            <w:pPr>
              <w:jc w:val="center"/>
              <w:rPr>
                <w:rFonts w:ascii="宋体" w:hAnsi="宋体"/>
                <w:szCs w:val="21"/>
              </w:rPr>
            </w:pPr>
            <w:r>
              <w:rPr>
                <w:rFonts w:hint="eastAsia" w:ascii="宋体" w:hAnsi="宋体"/>
                <w:szCs w:val="21"/>
              </w:rPr>
              <w:t>7526</w:t>
            </w:r>
          </w:p>
        </w:tc>
        <w:tc>
          <w:tcPr>
            <w:tcW w:w="1134" w:type="dxa"/>
            <w:noWrap w:val="0"/>
            <w:vAlign w:val="center"/>
          </w:tcPr>
          <w:p>
            <w:pPr>
              <w:jc w:val="center"/>
              <w:rPr>
                <w:rFonts w:ascii="宋体" w:hAnsi="宋体"/>
                <w:szCs w:val="21"/>
              </w:rPr>
            </w:pPr>
            <w:r>
              <w:rPr>
                <w:rFonts w:hint="eastAsia" w:ascii="宋体" w:hAnsi="宋体"/>
                <w:szCs w:val="21"/>
              </w:rPr>
              <w:t>25596</w:t>
            </w:r>
          </w:p>
        </w:tc>
        <w:tc>
          <w:tcPr>
            <w:tcW w:w="1134" w:type="dxa"/>
            <w:noWrap w:val="0"/>
            <w:vAlign w:val="center"/>
          </w:tcPr>
          <w:p>
            <w:pPr>
              <w:jc w:val="center"/>
              <w:rPr>
                <w:rFonts w:ascii="宋体" w:hAnsi="宋体"/>
                <w:szCs w:val="21"/>
              </w:rPr>
            </w:pPr>
            <w:r>
              <w:rPr>
                <w:rFonts w:hint="eastAsia" w:ascii="宋体" w:hAnsi="宋体"/>
                <w:szCs w:val="21"/>
              </w:rPr>
              <w:t>5429</w:t>
            </w:r>
          </w:p>
        </w:tc>
        <w:tc>
          <w:tcPr>
            <w:tcW w:w="1276" w:type="dxa"/>
            <w:gridSpan w:val="2"/>
            <w:noWrap w:val="0"/>
            <w:vAlign w:val="center"/>
          </w:tcPr>
          <w:p>
            <w:pPr>
              <w:jc w:val="center"/>
              <w:rPr>
                <w:rFonts w:ascii="宋体" w:hAnsi="宋体"/>
                <w:szCs w:val="21"/>
              </w:rPr>
            </w:pPr>
            <w:r>
              <w:rPr>
                <w:rFonts w:hint="eastAsia" w:ascii="宋体" w:hAnsi="宋体"/>
                <w:szCs w:val="21"/>
              </w:rPr>
              <w:t>331</w:t>
            </w:r>
          </w:p>
        </w:tc>
        <w:tc>
          <w:tcPr>
            <w:tcW w:w="193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noWrap w:val="0"/>
            <w:vAlign w:val="center"/>
          </w:tcPr>
          <w:p>
            <w:pPr>
              <w:spacing w:line="400" w:lineRule="exact"/>
              <w:jc w:val="center"/>
              <w:rPr>
                <w:rFonts w:ascii="宋体" w:hAnsi="宋体"/>
                <w:szCs w:val="21"/>
              </w:rPr>
            </w:pPr>
            <w:r>
              <w:rPr>
                <w:rFonts w:hint="eastAsia" w:ascii="宋体" w:hAnsi="宋体"/>
                <w:szCs w:val="21"/>
              </w:rPr>
              <w:t>北侧滨河公园</w:t>
            </w:r>
          </w:p>
        </w:tc>
        <w:tc>
          <w:tcPr>
            <w:tcW w:w="1417" w:type="dxa"/>
            <w:noWrap w:val="0"/>
            <w:vAlign w:val="center"/>
          </w:tcPr>
          <w:p>
            <w:pPr>
              <w:jc w:val="center"/>
              <w:rPr>
                <w:rFonts w:ascii="宋体" w:hAnsi="宋体"/>
                <w:szCs w:val="21"/>
              </w:rPr>
            </w:pPr>
            <w:r>
              <w:rPr>
                <w:rFonts w:hint="eastAsia" w:ascii="宋体" w:hAnsi="宋体"/>
                <w:szCs w:val="21"/>
              </w:rPr>
              <w:t>12392</w:t>
            </w:r>
          </w:p>
        </w:tc>
        <w:tc>
          <w:tcPr>
            <w:tcW w:w="1134" w:type="dxa"/>
            <w:noWrap w:val="0"/>
            <w:vAlign w:val="center"/>
          </w:tcPr>
          <w:p>
            <w:pPr>
              <w:jc w:val="center"/>
              <w:rPr>
                <w:rFonts w:ascii="宋体" w:hAnsi="宋体"/>
                <w:szCs w:val="21"/>
              </w:rPr>
            </w:pPr>
            <w:r>
              <w:rPr>
                <w:rFonts w:hint="eastAsia" w:ascii="宋体" w:hAnsi="宋体"/>
                <w:szCs w:val="21"/>
              </w:rPr>
              <w:t>3325</w:t>
            </w:r>
          </w:p>
        </w:tc>
        <w:tc>
          <w:tcPr>
            <w:tcW w:w="1134" w:type="dxa"/>
            <w:noWrap w:val="0"/>
            <w:vAlign w:val="center"/>
          </w:tcPr>
          <w:p>
            <w:pPr>
              <w:jc w:val="center"/>
              <w:rPr>
                <w:rFonts w:ascii="宋体" w:hAnsi="宋体"/>
                <w:szCs w:val="21"/>
              </w:rPr>
            </w:pPr>
            <w:r>
              <w:rPr>
                <w:rFonts w:hint="eastAsia" w:ascii="宋体" w:hAnsi="宋体"/>
                <w:szCs w:val="21"/>
              </w:rPr>
              <w:t>7618</w:t>
            </w:r>
          </w:p>
        </w:tc>
        <w:tc>
          <w:tcPr>
            <w:tcW w:w="1134" w:type="dxa"/>
            <w:noWrap w:val="0"/>
            <w:vAlign w:val="center"/>
          </w:tcPr>
          <w:p>
            <w:pPr>
              <w:jc w:val="center"/>
              <w:rPr>
                <w:rFonts w:ascii="宋体" w:hAnsi="宋体"/>
                <w:szCs w:val="21"/>
              </w:rPr>
            </w:pPr>
            <w:r>
              <w:rPr>
                <w:rFonts w:hint="eastAsia" w:ascii="宋体" w:hAnsi="宋体"/>
                <w:szCs w:val="21"/>
              </w:rPr>
              <w:t>1449</w:t>
            </w:r>
          </w:p>
        </w:tc>
        <w:tc>
          <w:tcPr>
            <w:tcW w:w="1276" w:type="dxa"/>
            <w:gridSpan w:val="2"/>
            <w:noWrap w:val="0"/>
            <w:vAlign w:val="center"/>
          </w:tcPr>
          <w:p>
            <w:pPr>
              <w:jc w:val="center"/>
              <w:rPr>
                <w:rFonts w:ascii="宋体" w:hAnsi="宋体"/>
                <w:szCs w:val="21"/>
              </w:rPr>
            </w:pPr>
            <w:r>
              <w:rPr>
                <w:rFonts w:hint="eastAsia" w:ascii="宋体" w:hAnsi="宋体"/>
                <w:szCs w:val="21"/>
              </w:rPr>
              <w:t>-</w:t>
            </w:r>
          </w:p>
        </w:tc>
        <w:tc>
          <w:tcPr>
            <w:tcW w:w="193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jc w:val="center"/>
              <w:rPr>
                <w:rFonts w:ascii="宋体" w:hAnsi="宋体"/>
                <w:szCs w:val="21"/>
              </w:rPr>
            </w:pPr>
            <w:r>
              <w:rPr>
                <w:rFonts w:hint="eastAsia" w:ascii="宋体" w:hAnsi="宋体"/>
                <w:szCs w:val="21"/>
              </w:rPr>
              <w:t>中横线绿化</w:t>
            </w:r>
          </w:p>
        </w:tc>
        <w:tc>
          <w:tcPr>
            <w:tcW w:w="1417" w:type="dxa"/>
            <w:noWrap w:val="0"/>
            <w:vAlign w:val="center"/>
          </w:tcPr>
          <w:p>
            <w:pPr>
              <w:jc w:val="center"/>
              <w:rPr>
                <w:rFonts w:ascii="宋体" w:hAnsi="宋体"/>
                <w:szCs w:val="21"/>
              </w:rPr>
            </w:pPr>
            <w:r>
              <w:rPr>
                <w:rFonts w:hint="eastAsia" w:ascii="宋体" w:hAnsi="宋体"/>
                <w:szCs w:val="21"/>
              </w:rPr>
              <w:t>25000</w:t>
            </w:r>
          </w:p>
        </w:tc>
        <w:tc>
          <w:tcPr>
            <w:tcW w:w="1134" w:type="dxa"/>
            <w:noWrap w:val="0"/>
            <w:vAlign w:val="center"/>
          </w:tcPr>
          <w:p>
            <w:pPr>
              <w:jc w:val="center"/>
              <w:rPr>
                <w:rFonts w:ascii="宋体" w:hAnsi="宋体"/>
                <w:szCs w:val="21"/>
              </w:rPr>
            </w:pPr>
            <w:r>
              <w:rPr>
                <w:rFonts w:hint="eastAsia" w:ascii="宋体" w:hAnsi="宋体"/>
                <w:szCs w:val="21"/>
              </w:rPr>
              <w:t>5000</w:t>
            </w:r>
          </w:p>
        </w:tc>
        <w:tc>
          <w:tcPr>
            <w:tcW w:w="1134" w:type="dxa"/>
            <w:noWrap w:val="0"/>
            <w:vAlign w:val="center"/>
          </w:tcPr>
          <w:p>
            <w:pPr>
              <w:jc w:val="center"/>
              <w:rPr>
                <w:rFonts w:ascii="宋体" w:hAnsi="宋体"/>
                <w:szCs w:val="21"/>
              </w:rPr>
            </w:pPr>
            <w:r>
              <w:rPr>
                <w:rFonts w:hint="eastAsia" w:ascii="宋体" w:hAnsi="宋体"/>
                <w:szCs w:val="21"/>
              </w:rPr>
              <w:t>20000</w:t>
            </w:r>
          </w:p>
        </w:tc>
        <w:tc>
          <w:tcPr>
            <w:tcW w:w="1134" w:type="dxa"/>
            <w:noWrap w:val="0"/>
            <w:vAlign w:val="center"/>
          </w:tcPr>
          <w:p>
            <w:pPr>
              <w:jc w:val="center"/>
              <w:rPr>
                <w:rFonts w:ascii="宋体" w:hAnsi="宋体"/>
                <w:szCs w:val="21"/>
              </w:rPr>
            </w:pPr>
            <w:r>
              <w:rPr>
                <w:rFonts w:hint="eastAsia" w:ascii="宋体" w:hAnsi="宋体"/>
                <w:szCs w:val="21"/>
              </w:rPr>
              <w:t>-</w:t>
            </w:r>
          </w:p>
        </w:tc>
        <w:tc>
          <w:tcPr>
            <w:tcW w:w="1276" w:type="dxa"/>
            <w:gridSpan w:val="2"/>
            <w:noWrap w:val="0"/>
            <w:vAlign w:val="center"/>
          </w:tcPr>
          <w:p>
            <w:pPr>
              <w:jc w:val="center"/>
              <w:rPr>
                <w:rFonts w:ascii="宋体" w:hAnsi="宋体"/>
                <w:szCs w:val="21"/>
              </w:rPr>
            </w:pPr>
            <w:r>
              <w:rPr>
                <w:rFonts w:hint="eastAsia" w:ascii="宋体" w:hAnsi="宋体"/>
                <w:szCs w:val="21"/>
              </w:rPr>
              <w:t>-</w:t>
            </w:r>
          </w:p>
        </w:tc>
        <w:tc>
          <w:tcPr>
            <w:tcW w:w="193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jc w:val="center"/>
              <w:rPr>
                <w:rFonts w:hint="eastAsia" w:ascii="宋体" w:hAnsi="宋体"/>
                <w:szCs w:val="21"/>
              </w:rPr>
            </w:pPr>
            <w:r>
              <w:rPr>
                <w:rFonts w:hint="eastAsia" w:ascii="宋体" w:hAnsi="宋体"/>
                <w:szCs w:val="21"/>
              </w:rPr>
              <w:t>创意水街</w:t>
            </w:r>
          </w:p>
        </w:tc>
        <w:tc>
          <w:tcPr>
            <w:tcW w:w="1417" w:type="dxa"/>
            <w:noWrap w:val="0"/>
            <w:vAlign w:val="center"/>
          </w:tcPr>
          <w:p>
            <w:pPr>
              <w:jc w:val="center"/>
              <w:rPr>
                <w:rFonts w:ascii="宋体" w:hAnsi="宋体"/>
                <w:szCs w:val="21"/>
              </w:rPr>
            </w:pPr>
            <w:r>
              <w:rPr>
                <w:rFonts w:hint="eastAsia" w:ascii="宋体" w:hAnsi="宋体"/>
                <w:szCs w:val="21"/>
              </w:rPr>
              <w:t>18379</w:t>
            </w:r>
          </w:p>
        </w:tc>
        <w:tc>
          <w:tcPr>
            <w:tcW w:w="1134" w:type="dxa"/>
            <w:noWrap w:val="0"/>
            <w:vAlign w:val="center"/>
          </w:tcPr>
          <w:p>
            <w:pPr>
              <w:jc w:val="center"/>
              <w:rPr>
                <w:rFonts w:ascii="宋体" w:hAnsi="宋体"/>
                <w:szCs w:val="21"/>
              </w:rPr>
            </w:pPr>
            <w:r>
              <w:rPr>
                <w:rFonts w:hint="eastAsia" w:ascii="宋体" w:hAnsi="宋体"/>
                <w:szCs w:val="21"/>
              </w:rPr>
              <w:t>15404</w:t>
            </w:r>
          </w:p>
        </w:tc>
        <w:tc>
          <w:tcPr>
            <w:tcW w:w="1134" w:type="dxa"/>
            <w:noWrap w:val="0"/>
            <w:vAlign w:val="center"/>
          </w:tcPr>
          <w:p>
            <w:pPr>
              <w:jc w:val="center"/>
              <w:rPr>
                <w:rFonts w:ascii="宋体" w:hAnsi="宋体"/>
                <w:szCs w:val="21"/>
              </w:rPr>
            </w:pPr>
            <w:r>
              <w:rPr>
                <w:rFonts w:hint="eastAsia" w:ascii="宋体" w:hAnsi="宋体"/>
                <w:szCs w:val="21"/>
              </w:rPr>
              <w:t>2975</w:t>
            </w:r>
          </w:p>
        </w:tc>
        <w:tc>
          <w:tcPr>
            <w:tcW w:w="1134" w:type="dxa"/>
            <w:noWrap w:val="0"/>
            <w:vAlign w:val="center"/>
          </w:tcPr>
          <w:p>
            <w:pPr>
              <w:jc w:val="center"/>
              <w:rPr>
                <w:rFonts w:hint="eastAsia" w:ascii="宋体" w:hAnsi="宋体"/>
                <w:szCs w:val="21"/>
              </w:rPr>
            </w:pPr>
          </w:p>
        </w:tc>
        <w:tc>
          <w:tcPr>
            <w:tcW w:w="1276" w:type="dxa"/>
            <w:gridSpan w:val="2"/>
            <w:noWrap w:val="0"/>
            <w:vAlign w:val="center"/>
          </w:tcPr>
          <w:p>
            <w:pPr>
              <w:jc w:val="center"/>
              <w:rPr>
                <w:rFonts w:hint="eastAsia" w:ascii="宋体" w:hAnsi="宋体"/>
                <w:szCs w:val="21"/>
              </w:rPr>
            </w:pPr>
            <w:r>
              <w:rPr>
                <w:rFonts w:hint="eastAsia" w:ascii="宋体" w:hAnsi="宋体"/>
                <w:szCs w:val="21"/>
              </w:rPr>
              <w:t>-</w:t>
            </w:r>
          </w:p>
        </w:tc>
        <w:tc>
          <w:tcPr>
            <w:tcW w:w="1939" w:type="dxa"/>
            <w:noWrap w:val="0"/>
            <w:vAlign w:val="center"/>
          </w:tcPr>
          <w:p>
            <w:pPr>
              <w:jc w:val="center"/>
              <w:rPr>
                <w:rFonts w:ascii="宋体" w:hAnsi="宋体"/>
                <w:szCs w:val="21"/>
              </w:rPr>
            </w:pPr>
            <w:r>
              <w:rPr>
                <w:rFonts w:hint="eastAsia" w:ascii="宋体" w:hAnsi="宋体" w:cs="宋体"/>
                <w:szCs w:val="21"/>
              </w:rPr>
              <w:t>备注：室外保洁(包括水景池)和绿化养护；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jc w:val="center"/>
              <w:rPr>
                <w:rFonts w:ascii="宋体" w:hAnsi="宋体"/>
                <w:szCs w:val="21"/>
              </w:rPr>
            </w:pPr>
            <w:r>
              <w:rPr>
                <w:rFonts w:hint="eastAsia" w:ascii="宋体" w:hAnsi="宋体"/>
                <w:szCs w:val="21"/>
              </w:rPr>
              <w:t>市政道路</w:t>
            </w:r>
          </w:p>
          <w:p>
            <w:pPr>
              <w:spacing w:line="400" w:lineRule="exact"/>
              <w:jc w:val="center"/>
              <w:rPr>
                <w:rFonts w:ascii="宋体" w:hAnsi="宋体"/>
                <w:szCs w:val="21"/>
              </w:rPr>
            </w:pPr>
            <w:r>
              <w:rPr>
                <w:rFonts w:hint="eastAsia" w:ascii="宋体" w:hAnsi="宋体"/>
                <w:szCs w:val="21"/>
              </w:rPr>
              <w:t>及绿化</w:t>
            </w:r>
          </w:p>
        </w:tc>
        <w:tc>
          <w:tcPr>
            <w:tcW w:w="1417" w:type="dxa"/>
            <w:noWrap w:val="0"/>
            <w:vAlign w:val="center"/>
          </w:tcPr>
          <w:p>
            <w:pPr>
              <w:jc w:val="center"/>
              <w:rPr>
                <w:rFonts w:ascii="宋体" w:hAnsi="宋体"/>
                <w:szCs w:val="21"/>
              </w:rPr>
            </w:pPr>
            <w:r>
              <w:rPr>
                <w:rFonts w:hint="eastAsia" w:ascii="宋体" w:hAnsi="宋体"/>
                <w:szCs w:val="21"/>
              </w:rPr>
              <w:t>140815</w:t>
            </w:r>
          </w:p>
        </w:tc>
        <w:tc>
          <w:tcPr>
            <w:tcW w:w="4678" w:type="dxa"/>
            <w:gridSpan w:val="5"/>
            <w:noWrap w:val="0"/>
            <w:vAlign w:val="center"/>
          </w:tcPr>
          <w:p>
            <w:pPr>
              <w:jc w:val="center"/>
              <w:rPr>
                <w:rFonts w:ascii="宋体" w:hAnsi="宋体"/>
                <w:szCs w:val="21"/>
              </w:rPr>
            </w:pPr>
            <w:r>
              <w:rPr>
                <w:rFonts w:hint="eastAsia" w:ascii="宋体" w:hAnsi="宋体"/>
                <w:szCs w:val="21"/>
              </w:rPr>
              <w:t>包括两侧行道树约1200棵，绿化带，花箱（新城大道67只、北三环68只、市政道路96只）；</w:t>
            </w:r>
          </w:p>
        </w:tc>
        <w:tc>
          <w:tcPr>
            <w:tcW w:w="1939" w:type="dxa"/>
            <w:noWrap w:val="0"/>
            <w:vAlign w:val="center"/>
          </w:tcPr>
          <w:p>
            <w:pPr>
              <w:spacing w:line="400" w:lineRule="atLeas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98" w:type="dxa"/>
            <w:noWrap w:val="0"/>
            <w:vAlign w:val="center"/>
          </w:tcPr>
          <w:p>
            <w:pPr>
              <w:spacing w:line="400" w:lineRule="exact"/>
              <w:jc w:val="center"/>
              <w:rPr>
                <w:rFonts w:ascii="宋体" w:hAnsi="宋体"/>
                <w:szCs w:val="21"/>
              </w:rPr>
            </w:pPr>
            <w:r>
              <w:rPr>
                <w:rFonts w:hint="eastAsia" w:ascii="宋体" w:hAnsi="宋体"/>
                <w:szCs w:val="21"/>
              </w:rPr>
              <w:t>08-A地块</w:t>
            </w:r>
          </w:p>
        </w:tc>
        <w:tc>
          <w:tcPr>
            <w:tcW w:w="1417" w:type="dxa"/>
            <w:noWrap w:val="0"/>
            <w:vAlign w:val="center"/>
          </w:tcPr>
          <w:p>
            <w:pPr>
              <w:jc w:val="center"/>
              <w:rPr>
                <w:rFonts w:ascii="宋体" w:hAnsi="宋体"/>
                <w:szCs w:val="21"/>
              </w:rPr>
            </w:pPr>
          </w:p>
        </w:tc>
        <w:tc>
          <w:tcPr>
            <w:tcW w:w="3460" w:type="dxa"/>
            <w:gridSpan w:val="4"/>
            <w:noWrap w:val="0"/>
            <w:vAlign w:val="center"/>
          </w:tcPr>
          <w:p>
            <w:pPr>
              <w:jc w:val="center"/>
              <w:rPr>
                <w:rFonts w:ascii="宋体" w:hAnsi="宋体"/>
                <w:szCs w:val="21"/>
              </w:rPr>
            </w:pPr>
          </w:p>
        </w:tc>
        <w:tc>
          <w:tcPr>
            <w:tcW w:w="1218" w:type="dxa"/>
            <w:noWrap w:val="0"/>
            <w:vAlign w:val="center"/>
          </w:tcPr>
          <w:p>
            <w:pPr>
              <w:jc w:val="center"/>
              <w:rPr>
                <w:rFonts w:ascii="宋体" w:hAnsi="宋体"/>
                <w:szCs w:val="21"/>
              </w:rPr>
            </w:pPr>
            <w:r>
              <w:rPr>
                <w:rFonts w:hint="eastAsia" w:ascii="宋体" w:hAnsi="宋体"/>
                <w:szCs w:val="21"/>
              </w:rPr>
              <w:t>4500</w:t>
            </w:r>
          </w:p>
        </w:tc>
        <w:tc>
          <w:tcPr>
            <w:tcW w:w="1939" w:type="dxa"/>
            <w:noWrap w:val="0"/>
            <w:vAlign w:val="center"/>
          </w:tcPr>
          <w:p>
            <w:pPr>
              <w:spacing w:line="400" w:lineRule="atLeast"/>
              <w:rPr>
                <w:rFonts w:hint="eastAsia" w:ascii="宋体" w:hAnsi="宋体" w:cs="宋体"/>
                <w:szCs w:val="21"/>
              </w:rPr>
            </w:pPr>
            <w:r>
              <w:rPr>
                <w:rFonts w:hint="eastAsia" w:ascii="宋体" w:hAnsi="宋体" w:cs="宋体"/>
                <w:szCs w:val="21"/>
              </w:rPr>
              <w:t>临时停车场 4500平方米。</w:t>
            </w:r>
          </w:p>
        </w:tc>
      </w:tr>
    </w:tbl>
    <w:p>
      <w:pPr>
        <w:spacing w:line="400" w:lineRule="atLeast"/>
        <w:ind w:left="738" w:hanging="738" w:hangingChars="350"/>
        <w:rPr>
          <w:rFonts w:hint="eastAsia" w:ascii="宋体" w:hAnsi="宋体"/>
          <w:b/>
          <w:szCs w:val="21"/>
        </w:rPr>
      </w:pPr>
      <w:r>
        <w:rPr>
          <w:rFonts w:hint="eastAsia" w:ascii="宋体" w:hAnsi="宋体"/>
          <w:b/>
          <w:bCs/>
          <w:szCs w:val="21"/>
        </w:rPr>
        <w:t>注：广场、市政道路及绿化带整体实行8小时保洁，其中大剧院（室外）、休闲广场、南侧公建群、科技路、文华南路、剧院路按16小时保洁，绿化按现状移交。</w:t>
      </w:r>
    </w:p>
    <w:p>
      <w:pPr>
        <w:spacing w:line="560" w:lineRule="exact"/>
        <w:rPr>
          <w:rFonts w:hint="eastAsia" w:ascii="宋体" w:hAnsi="宋体"/>
          <w:b/>
          <w:szCs w:val="21"/>
        </w:rPr>
      </w:pPr>
    </w:p>
    <w:p>
      <w:pPr>
        <w:rPr>
          <w:rFonts w:ascii="宋体" w:hAnsi="宋体"/>
        </w:rPr>
        <w:sectPr>
          <w:footerReference r:id="rId11" w:type="default"/>
          <w:pgSz w:w="11906" w:h="16838"/>
          <w:pgMar w:top="1361" w:right="1247" w:bottom="1361" w:left="1361" w:header="851" w:footer="992" w:gutter="0"/>
          <w:cols w:space="720" w:num="1"/>
          <w:docGrid w:linePitch="391" w:charSpace="0"/>
        </w:sectPr>
      </w:pPr>
    </w:p>
    <w:p>
      <w:pPr>
        <w:rPr>
          <w:rFonts w:hint="eastAsia" w:ascii="宋体" w:hAnsi="宋体"/>
          <w:b/>
          <w:bCs/>
          <w:sz w:val="22"/>
          <w:szCs w:val="22"/>
        </w:rPr>
      </w:pPr>
    </w:p>
    <w:p>
      <w:pPr>
        <w:rPr>
          <w:rFonts w:hint="eastAsia" w:ascii="宋体" w:hAnsi="宋体"/>
          <w:b/>
          <w:bCs/>
          <w:sz w:val="22"/>
          <w:szCs w:val="22"/>
        </w:rPr>
      </w:pPr>
      <w:r>
        <w:rPr>
          <w:rFonts w:hint="eastAsia" w:ascii="宋体" w:hAnsi="宋体"/>
          <w:b/>
          <w:bCs/>
          <w:sz w:val="22"/>
          <w:szCs w:val="22"/>
        </w:rPr>
        <w:t>2、慈溪市环杭州湾创新中心市政道路面积：</w:t>
      </w:r>
    </w:p>
    <w:tbl>
      <w:tblPr>
        <w:tblStyle w:val="44"/>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297"/>
        <w:gridCol w:w="1722"/>
        <w:gridCol w:w="1723"/>
        <w:gridCol w:w="1722"/>
        <w:gridCol w:w="1723"/>
        <w:gridCol w:w="172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路名</w:t>
            </w:r>
          </w:p>
        </w:tc>
        <w:tc>
          <w:tcPr>
            <w:tcW w:w="1722" w:type="dxa"/>
            <w:noWrap w:val="0"/>
            <w:vAlign w:val="top"/>
          </w:tcPr>
          <w:p>
            <w:pPr>
              <w:spacing w:line="240" w:lineRule="atLeast"/>
              <w:rPr>
                <w:rFonts w:hint="eastAsia" w:ascii="宋体" w:hAnsi="宋体"/>
                <w:szCs w:val="21"/>
              </w:rPr>
            </w:pPr>
            <w:r>
              <w:rPr>
                <w:rFonts w:hint="eastAsia" w:ascii="宋体" w:hAnsi="宋体"/>
                <w:szCs w:val="21"/>
              </w:rPr>
              <w:t>道路面积（</w:t>
            </w:r>
            <w:r>
              <w:rPr>
                <w:rFonts w:ascii="宋体" w:hAnsi="宋体" w:cs="Arial"/>
                <w:szCs w:val="21"/>
              </w:rPr>
              <w:t>㎡</w:t>
            </w:r>
            <w:r>
              <w:rPr>
                <w:rFonts w:hint="eastAsia" w:ascii="宋体" w:hAnsi="宋体" w:cs="Arial"/>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机动车道（</w:t>
            </w:r>
            <w:r>
              <w:rPr>
                <w:rFonts w:ascii="宋体" w:hAnsi="宋体" w:cs="Arial"/>
                <w:szCs w:val="21"/>
              </w:rPr>
              <w:t>㎡</w:t>
            </w:r>
            <w:r>
              <w:rPr>
                <w:rFonts w:hint="eastAsia" w:ascii="宋体" w:hAnsi="宋体" w:cs="Arial"/>
                <w:szCs w:val="21"/>
              </w:rPr>
              <w:t>）</w:t>
            </w:r>
          </w:p>
        </w:tc>
        <w:tc>
          <w:tcPr>
            <w:tcW w:w="1722" w:type="dxa"/>
            <w:noWrap w:val="0"/>
            <w:vAlign w:val="top"/>
          </w:tcPr>
          <w:p>
            <w:pPr>
              <w:spacing w:line="240" w:lineRule="atLeast"/>
              <w:rPr>
                <w:rFonts w:hint="eastAsia" w:ascii="宋体" w:hAnsi="宋体"/>
                <w:szCs w:val="21"/>
              </w:rPr>
            </w:pPr>
            <w:r>
              <w:rPr>
                <w:rFonts w:hint="eastAsia" w:ascii="宋体" w:hAnsi="宋体"/>
                <w:szCs w:val="21"/>
              </w:rPr>
              <w:t>非机动车道（</w:t>
            </w:r>
            <w:r>
              <w:rPr>
                <w:rFonts w:ascii="宋体" w:hAnsi="宋体" w:cs="Arial"/>
                <w:szCs w:val="21"/>
              </w:rPr>
              <w:t>㎡</w:t>
            </w:r>
            <w:r>
              <w:rPr>
                <w:rFonts w:hint="eastAsia" w:ascii="宋体" w:hAnsi="宋体" w:cs="Arial"/>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人行道（</w:t>
            </w:r>
            <w:r>
              <w:rPr>
                <w:rFonts w:ascii="宋体" w:hAnsi="宋体" w:cs="Arial"/>
                <w:szCs w:val="21"/>
              </w:rPr>
              <w:t>㎡</w:t>
            </w:r>
            <w:r>
              <w:rPr>
                <w:rFonts w:hint="eastAsia" w:ascii="宋体" w:hAnsi="宋体" w:cs="Arial"/>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绿化带（</w:t>
            </w:r>
            <w:r>
              <w:rPr>
                <w:rFonts w:ascii="宋体" w:hAnsi="宋体" w:cs="Arial"/>
                <w:szCs w:val="21"/>
              </w:rPr>
              <w:t>㎡</w:t>
            </w:r>
            <w:r>
              <w:rPr>
                <w:rFonts w:hint="eastAsia" w:ascii="宋体" w:hAnsi="宋体" w:cs="Arial"/>
                <w:szCs w:val="21"/>
              </w:rPr>
              <w:t>）</w:t>
            </w:r>
          </w:p>
        </w:tc>
        <w:tc>
          <w:tcPr>
            <w:tcW w:w="1287" w:type="dxa"/>
            <w:noWrap w:val="0"/>
            <w:vAlign w:val="top"/>
          </w:tcPr>
          <w:p>
            <w:pPr>
              <w:spacing w:line="240" w:lineRule="atLeast"/>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r>
              <w:rPr>
                <w:rFonts w:hint="eastAsia" w:ascii="宋体" w:hAnsi="宋体"/>
                <w:szCs w:val="21"/>
              </w:rPr>
              <w:t>北侧道路</w:t>
            </w:r>
          </w:p>
        </w:tc>
        <w:tc>
          <w:tcPr>
            <w:tcW w:w="2297" w:type="dxa"/>
            <w:noWrap w:val="0"/>
            <w:vAlign w:val="top"/>
          </w:tcPr>
          <w:p>
            <w:pPr>
              <w:spacing w:line="240" w:lineRule="atLeast"/>
              <w:rPr>
                <w:rFonts w:hint="eastAsia" w:ascii="宋体" w:hAnsi="宋体"/>
                <w:szCs w:val="21"/>
              </w:rPr>
            </w:pPr>
            <w:r>
              <w:rPr>
                <w:rFonts w:hint="eastAsia" w:ascii="宋体" w:hAnsi="宋体"/>
                <w:szCs w:val="21"/>
              </w:rPr>
              <w:t>人和路（含人和桥）</w:t>
            </w:r>
          </w:p>
        </w:tc>
        <w:tc>
          <w:tcPr>
            <w:tcW w:w="1722" w:type="dxa"/>
            <w:noWrap w:val="0"/>
            <w:vAlign w:val="top"/>
          </w:tcPr>
          <w:p>
            <w:pPr>
              <w:spacing w:line="240" w:lineRule="atLeast"/>
              <w:rPr>
                <w:rFonts w:hint="eastAsia" w:ascii="宋体" w:hAnsi="宋体"/>
                <w:szCs w:val="21"/>
              </w:rPr>
            </w:pPr>
            <w:r>
              <w:rPr>
                <w:rFonts w:hint="eastAsia" w:ascii="宋体" w:hAnsi="宋体"/>
                <w:szCs w:val="21"/>
              </w:rPr>
              <w:t>16200</w:t>
            </w:r>
          </w:p>
        </w:tc>
        <w:tc>
          <w:tcPr>
            <w:tcW w:w="1723" w:type="dxa"/>
            <w:noWrap w:val="0"/>
            <w:vAlign w:val="top"/>
          </w:tcPr>
          <w:p>
            <w:pPr>
              <w:spacing w:line="240" w:lineRule="atLeast"/>
              <w:rPr>
                <w:rFonts w:hint="eastAsia" w:ascii="宋体" w:hAnsi="宋体"/>
                <w:szCs w:val="21"/>
              </w:rPr>
            </w:pPr>
            <w:r>
              <w:rPr>
                <w:rFonts w:hint="eastAsia" w:ascii="宋体" w:hAnsi="宋体"/>
                <w:szCs w:val="21"/>
              </w:rPr>
              <w:t>8960（16</w:t>
            </w:r>
            <w:r>
              <w:rPr>
                <w:rFonts w:ascii="宋体" w:hAnsi="宋体" w:cs="Arial"/>
                <w:szCs w:val="21"/>
              </w:rPr>
              <w:t>×</w:t>
            </w:r>
            <w:r>
              <w:rPr>
                <w:rFonts w:hint="eastAsia" w:ascii="宋体" w:hAnsi="宋体"/>
                <w:szCs w:val="21"/>
              </w:rPr>
              <w:t>560）</w:t>
            </w:r>
          </w:p>
        </w:tc>
        <w:tc>
          <w:tcPr>
            <w:tcW w:w="1722" w:type="dxa"/>
            <w:noWrap w:val="0"/>
            <w:vAlign w:val="top"/>
          </w:tcPr>
          <w:p>
            <w:pPr>
              <w:spacing w:line="240" w:lineRule="atLeast"/>
              <w:rPr>
                <w:rFonts w:hint="eastAsia" w:ascii="宋体" w:hAnsi="宋体"/>
                <w:szCs w:val="21"/>
              </w:rPr>
            </w:pPr>
            <w:r>
              <w:rPr>
                <w:rFonts w:hint="eastAsia" w:ascii="宋体" w:hAnsi="宋体"/>
                <w:szCs w:val="21"/>
              </w:rPr>
              <w:t>2880(8</w:t>
            </w:r>
            <w:r>
              <w:rPr>
                <w:rFonts w:ascii="宋体" w:hAnsi="宋体" w:cs="Arial"/>
                <w:szCs w:val="21"/>
              </w:rPr>
              <w:t>×</w:t>
            </w:r>
            <w:r>
              <w:rPr>
                <w:rFonts w:hint="eastAsia" w:ascii="宋体" w:hAnsi="宋体" w:cs="Arial"/>
                <w:szCs w:val="21"/>
              </w:rPr>
              <w:t>560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3360(6</w:t>
            </w:r>
            <w:r>
              <w:rPr>
                <w:rFonts w:ascii="宋体" w:hAnsi="宋体" w:cs="Arial"/>
                <w:szCs w:val="21"/>
              </w:rPr>
              <w:t>×</w:t>
            </w:r>
            <w:r>
              <w:rPr>
                <w:rFonts w:hint="eastAsia" w:ascii="宋体" w:hAnsi="宋体" w:cs="Arial"/>
                <w:szCs w:val="21"/>
              </w:rPr>
              <w:t>560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1000(4</w:t>
            </w:r>
            <w:r>
              <w:rPr>
                <w:rFonts w:ascii="宋体" w:hAnsi="宋体" w:cs="Arial"/>
                <w:szCs w:val="21"/>
              </w:rPr>
              <w:t>×</w:t>
            </w:r>
            <w:r>
              <w:rPr>
                <w:rFonts w:hint="eastAsia" w:ascii="宋体" w:hAnsi="宋体" w:cs="Arial"/>
                <w:szCs w:val="21"/>
              </w:rPr>
              <w:t>250</w:t>
            </w:r>
            <w:r>
              <w:rPr>
                <w:rFonts w:hint="eastAsia" w:ascii="宋体" w:hAnsi="宋体"/>
                <w:szCs w:val="21"/>
              </w:rPr>
              <w:t>)</w:t>
            </w:r>
          </w:p>
        </w:tc>
        <w:tc>
          <w:tcPr>
            <w:tcW w:w="1287" w:type="dxa"/>
            <w:noWrap w:val="0"/>
            <w:vAlign w:val="top"/>
          </w:tcPr>
          <w:p>
            <w:pPr>
              <w:spacing w:line="240" w:lineRule="atLeast"/>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文华北路</w:t>
            </w:r>
          </w:p>
        </w:tc>
        <w:tc>
          <w:tcPr>
            <w:tcW w:w="1722" w:type="dxa"/>
            <w:noWrap w:val="0"/>
            <w:vAlign w:val="top"/>
          </w:tcPr>
          <w:p>
            <w:pPr>
              <w:spacing w:line="240" w:lineRule="atLeast"/>
              <w:rPr>
                <w:rFonts w:hint="eastAsia" w:ascii="宋体" w:hAnsi="宋体"/>
                <w:szCs w:val="21"/>
              </w:rPr>
            </w:pPr>
            <w:r>
              <w:rPr>
                <w:rFonts w:hint="eastAsia" w:ascii="宋体" w:hAnsi="宋体"/>
                <w:szCs w:val="21"/>
              </w:rPr>
              <w:t>16200</w:t>
            </w:r>
          </w:p>
        </w:tc>
        <w:tc>
          <w:tcPr>
            <w:tcW w:w="1723" w:type="dxa"/>
            <w:noWrap w:val="0"/>
            <w:vAlign w:val="top"/>
          </w:tcPr>
          <w:p>
            <w:pPr>
              <w:spacing w:line="240" w:lineRule="atLeast"/>
              <w:rPr>
                <w:rFonts w:hint="eastAsia" w:ascii="宋体" w:hAnsi="宋体"/>
                <w:szCs w:val="21"/>
              </w:rPr>
            </w:pPr>
            <w:r>
              <w:rPr>
                <w:rFonts w:hint="eastAsia" w:ascii="宋体" w:hAnsi="宋体"/>
                <w:szCs w:val="21"/>
              </w:rPr>
              <w:t>12825(19</w:t>
            </w:r>
            <w:r>
              <w:rPr>
                <w:rFonts w:ascii="宋体" w:hAnsi="宋体" w:cs="Arial"/>
                <w:szCs w:val="21"/>
              </w:rPr>
              <w:t>×</w:t>
            </w:r>
            <w:r>
              <w:rPr>
                <w:rFonts w:hint="eastAsia" w:ascii="宋体" w:hAnsi="宋体" w:cs="Arial"/>
                <w:szCs w:val="21"/>
              </w:rPr>
              <w:t>675</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3375(5</w:t>
            </w:r>
            <w:r>
              <w:rPr>
                <w:rFonts w:ascii="宋体" w:hAnsi="宋体" w:cs="Arial"/>
                <w:szCs w:val="21"/>
              </w:rPr>
              <w:t>×</w:t>
            </w:r>
            <w:r>
              <w:rPr>
                <w:rFonts w:hint="eastAsia" w:ascii="宋体" w:hAnsi="宋体" w:cs="Arial"/>
                <w:szCs w:val="21"/>
              </w:rPr>
              <w:t>675</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新月路</w:t>
            </w:r>
          </w:p>
        </w:tc>
        <w:tc>
          <w:tcPr>
            <w:tcW w:w="1722" w:type="dxa"/>
            <w:noWrap w:val="0"/>
            <w:vAlign w:val="top"/>
          </w:tcPr>
          <w:p>
            <w:pPr>
              <w:spacing w:line="240" w:lineRule="atLeast"/>
              <w:rPr>
                <w:rFonts w:hint="eastAsia" w:ascii="宋体" w:hAnsi="宋体"/>
                <w:szCs w:val="21"/>
              </w:rPr>
            </w:pPr>
            <w:r>
              <w:rPr>
                <w:rFonts w:hint="eastAsia" w:ascii="宋体" w:hAnsi="宋体"/>
                <w:szCs w:val="21"/>
              </w:rPr>
              <w:t>2880</w:t>
            </w:r>
          </w:p>
        </w:tc>
        <w:tc>
          <w:tcPr>
            <w:tcW w:w="1723" w:type="dxa"/>
            <w:noWrap w:val="0"/>
            <w:vAlign w:val="top"/>
          </w:tcPr>
          <w:p>
            <w:pPr>
              <w:spacing w:line="240" w:lineRule="atLeast"/>
              <w:rPr>
                <w:rFonts w:hint="eastAsia" w:ascii="宋体" w:hAnsi="宋体"/>
                <w:szCs w:val="21"/>
              </w:rPr>
            </w:pPr>
            <w:r>
              <w:rPr>
                <w:rFonts w:hint="eastAsia" w:ascii="宋体" w:hAnsi="宋体"/>
                <w:szCs w:val="21"/>
              </w:rPr>
              <w:t>1800(10</w:t>
            </w:r>
            <w:r>
              <w:rPr>
                <w:rFonts w:ascii="宋体" w:hAnsi="宋体" w:cs="Arial"/>
                <w:szCs w:val="21"/>
              </w:rPr>
              <w:t>×</w:t>
            </w:r>
            <w:r>
              <w:rPr>
                <w:rFonts w:hint="eastAsia" w:ascii="宋体" w:hAnsi="宋体" w:cs="Arial"/>
                <w:szCs w:val="21"/>
              </w:rPr>
              <w:t>180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1080(6</w:t>
            </w:r>
            <w:r>
              <w:rPr>
                <w:rFonts w:ascii="宋体" w:hAnsi="宋体" w:cs="Arial"/>
                <w:szCs w:val="21"/>
              </w:rPr>
              <w:t>×</w:t>
            </w:r>
            <w:r>
              <w:rPr>
                <w:rFonts w:hint="eastAsia" w:ascii="宋体" w:hAnsi="宋体" w:cs="Arial"/>
                <w:szCs w:val="21"/>
              </w:rPr>
              <w:t>180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剧院路</w:t>
            </w:r>
          </w:p>
        </w:tc>
        <w:tc>
          <w:tcPr>
            <w:tcW w:w="1722" w:type="dxa"/>
            <w:noWrap w:val="0"/>
            <w:vAlign w:val="top"/>
          </w:tcPr>
          <w:p>
            <w:pPr>
              <w:spacing w:line="240" w:lineRule="atLeast"/>
              <w:rPr>
                <w:rFonts w:hint="eastAsia" w:ascii="宋体" w:hAnsi="宋体"/>
                <w:szCs w:val="21"/>
              </w:rPr>
            </w:pPr>
            <w:r>
              <w:rPr>
                <w:rFonts w:hint="eastAsia" w:ascii="宋体" w:hAnsi="宋体"/>
                <w:szCs w:val="21"/>
              </w:rPr>
              <w:t>8520</w:t>
            </w:r>
          </w:p>
        </w:tc>
        <w:tc>
          <w:tcPr>
            <w:tcW w:w="1723" w:type="dxa"/>
            <w:noWrap w:val="0"/>
            <w:vAlign w:val="top"/>
          </w:tcPr>
          <w:p>
            <w:pPr>
              <w:spacing w:line="240" w:lineRule="atLeast"/>
              <w:rPr>
                <w:rFonts w:hint="eastAsia" w:ascii="宋体" w:hAnsi="宋体"/>
                <w:szCs w:val="21"/>
              </w:rPr>
            </w:pPr>
            <w:r>
              <w:rPr>
                <w:rFonts w:hint="eastAsia" w:ascii="宋体" w:hAnsi="宋体"/>
                <w:szCs w:val="21"/>
              </w:rPr>
              <w:t>6390(18</w:t>
            </w:r>
            <w:r>
              <w:rPr>
                <w:rFonts w:ascii="宋体" w:hAnsi="宋体" w:cs="Arial"/>
                <w:szCs w:val="21"/>
              </w:rPr>
              <w:t>×</w:t>
            </w:r>
            <w:r>
              <w:rPr>
                <w:rFonts w:hint="eastAsia" w:ascii="宋体" w:hAnsi="宋体" w:cs="Arial"/>
                <w:szCs w:val="21"/>
              </w:rPr>
              <w:t>355</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2130(6</w:t>
            </w:r>
            <w:r>
              <w:rPr>
                <w:rFonts w:ascii="宋体" w:hAnsi="宋体" w:cs="Arial"/>
                <w:szCs w:val="21"/>
              </w:rPr>
              <w:t>×</w:t>
            </w:r>
            <w:r>
              <w:rPr>
                <w:rFonts w:hint="eastAsia" w:ascii="宋体" w:hAnsi="宋体" w:cs="Arial"/>
                <w:szCs w:val="21"/>
              </w:rPr>
              <w:t>355</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滨河北路</w:t>
            </w:r>
          </w:p>
        </w:tc>
        <w:tc>
          <w:tcPr>
            <w:tcW w:w="1722" w:type="dxa"/>
            <w:noWrap w:val="0"/>
            <w:vAlign w:val="top"/>
          </w:tcPr>
          <w:p>
            <w:pPr>
              <w:spacing w:line="240" w:lineRule="atLeast"/>
              <w:rPr>
                <w:rFonts w:hint="eastAsia" w:ascii="宋体" w:hAnsi="宋体"/>
                <w:szCs w:val="21"/>
              </w:rPr>
            </w:pPr>
            <w:r>
              <w:rPr>
                <w:rFonts w:hint="eastAsia" w:ascii="宋体" w:hAnsi="宋体"/>
                <w:szCs w:val="21"/>
              </w:rPr>
              <w:t>12640</w:t>
            </w:r>
          </w:p>
        </w:tc>
        <w:tc>
          <w:tcPr>
            <w:tcW w:w="1723" w:type="dxa"/>
            <w:noWrap w:val="0"/>
            <w:vAlign w:val="top"/>
          </w:tcPr>
          <w:p>
            <w:pPr>
              <w:spacing w:line="240" w:lineRule="atLeast"/>
              <w:rPr>
                <w:rFonts w:hint="eastAsia" w:ascii="宋体" w:hAnsi="宋体"/>
                <w:szCs w:val="21"/>
              </w:rPr>
            </w:pPr>
            <w:r>
              <w:rPr>
                <w:rFonts w:hint="eastAsia" w:ascii="宋体" w:hAnsi="宋体"/>
                <w:szCs w:val="21"/>
              </w:rPr>
              <w:t>9480(12</w:t>
            </w:r>
            <w:r>
              <w:rPr>
                <w:rFonts w:ascii="宋体" w:hAnsi="宋体" w:cs="Arial"/>
                <w:szCs w:val="21"/>
              </w:rPr>
              <w:t>×</w:t>
            </w:r>
            <w:r>
              <w:rPr>
                <w:rFonts w:hint="eastAsia" w:ascii="宋体" w:hAnsi="宋体" w:cs="Arial"/>
                <w:szCs w:val="21"/>
              </w:rPr>
              <w:t>790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3160(4</w:t>
            </w:r>
            <w:r>
              <w:rPr>
                <w:rFonts w:ascii="宋体" w:hAnsi="宋体" w:cs="Arial"/>
                <w:szCs w:val="21"/>
              </w:rPr>
              <w:t>×</w:t>
            </w:r>
            <w:r>
              <w:rPr>
                <w:rFonts w:hint="eastAsia" w:ascii="宋体" w:hAnsi="宋体" w:cs="Arial"/>
                <w:szCs w:val="21"/>
              </w:rPr>
              <w:t>790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r>
              <w:rPr>
                <w:rFonts w:hint="eastAsia" w:ascii="宋体" w:hAnsi="宋体"/>
                <w:szCs w:val="21"/>
              </w:rPr>
              <w:t>小计</w:t>
            </w:r>
          </w:p>
        </w:tc>
        <w:tc>
          <w:tcPr>
            <w:tcW w:w="2297"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r>
              <w:rPr>
                <w:rFonts w:hint="eastAsia" w:ascii="宋体" w:hAnsi="宋体"/>
                <w:szCs w:val="21"/>
              </w:rPr>
              <w:t>56440</w:t>
            </w:r>
          </w:p>
        </w:tc>
        <w:tc>
          <w:tcPr>
            <w:tcW w:w="1723" w:type="dxa"/>
            <w:noWrap w:val="0"/>
            <w:vAlign w:val="top"/>
          </w:tcPr>
          <w:p>
            <w:pPr>
              <w:spacing w:line="240" w:lineRule="atLeast"/>
              <w:rPr>
                <w:rFonts w:hint="eastAsia" w:ascii="宋体" w:hAnsi="宋体"/>
                <w:szCs w:val="21"/>
              </w:rPr>
            </w:pPr>
            <w:r>
              <w:rPr>
                <w:rFonts w:hint="eastAsia" w:ascii="宋体" w:hAnsi="宋体"/>
                <w:szCs w:val="21"/>
              </w:rPr>
              <w:t>39455</w:t>
            </w:r>
          </w:p>
        </w:tc>
        <w:tc>
          <w:tcPr>
            <w:tcW w:w="1722" w:type="dxa"/>
            <w:noWrap w:val="0"/>
            <w:vAlign w:val="top"/>
          </w:tcPr>
          <w:p>
            <w:pPr>
              <w:spacing w:line="240" w:lineRule="atLeast"/>
              <w:rPr>
                <w:rFonts w:hint="eastAsia" w:ascii="宋体" w:hAnsi="宋体"/>
                <w:szCs w:val="21"/>
              </w:rPr>
            </w:pPr>
            <w:r>
              <w:rPr>
                <w:rFonts w:hint="eastAsia" w:ascii="宋体" w:hAnsi="宋体"/>
                <w:szCs w:val="21"/>
              </w:rPr>
              <w:t>2880</w:t>
            </w:r>
          </w:p>
        </w:tc>
        <w:tc>
          <w:tcPr>
            <w:tcW w:w="1723" w:type="dxa"/>
            <w:noWrap w:val="0"/>
            <w:vAlign w:val="top"/>
          </w:tcPr>
          <w:p>
            <w:pPr>
              <w:spacing w:line="240" w:lineRule="atLeast"/>
              <w:rPr>
                <w:rFonts w:hint="eastAsia" w:ascii="宋体" w:hAnsi="宋体"/>
                <w:szCs w:val="21"/>
              </w:rPr>
            </w:pPr>
            <w:r>
              <w:rPr>
                <w:rFonts w:hint="eastAsia" w:ascii="宋体" w:hAnsi="宋体"/>
                <w:szCs w:val="21"/>
              </w:rPr>
              <w:t>13105</w:t>
            </w:r>
          </w:p>
        </w:tc>
        <w:tc>
          <w:tcPr>
            <w:tcW w:w="1723" w:type="dxa"/>
            <w:noWrap w:val="0"/>
            <w:vAlign w:val="top"/>
          </w:tcPr>
          <w:p>
            <w:pPr>
              <w:spacing w:line="240" w:lineRule="atLeast"/>
              <w:rPr>
                <w:rFonts w:hint="eastAsia" w:ascii="宋体" w:hAnsi="宋体"/>
                <w:szCs w:val="21"/>
              </w:rPr>
            </w:pPr>
            <w:r>
              <w:rPr>
                <w:rFonts w:hint="eastAsia" w:ascii="宋体" w:hAnsi="宋体"/>
                <w:szCs w:val="21"/>
              </w:rPr>
              <w:t>1000</w:t>
            </w: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r>
              <w:rPr>
                <w:rFonts w:hint="eastAsia" w:ascii="宋体" w:hAnsi="宋体"/>
                <w:szCs w:val="21"/>
              </w:rPr>
              <w:t>南侧道路</w:t>
            </w:r>
          </w:p>
        </w:tc>
        <w:tc>
          <w:tcPr>
            <w:tcW w:w="2297" w:type="dxa"/>
            <w:noWrap w:val="0"/>
            <w:vAlign w:val="top"/>
          </w:tcPr>
          <w:p>
            <w:pPr>
              <w:spacing w:line="240" w:lineRule="atLeast"/>
              <w:rPr>
                <w:rFonts w:hint="eastAsia" w:ascii="宋体" w:hAnsi="宋体"/>
                <w:szCs w:val="21"/>
              </w:rPr>
            </w:pPr>
            <w:r>
              <w:rPr>
                <w:rFonts w:hint="eastAsia" w:ascii="宋体" w:hAnsi="宋体"/>
                <w:szCs w:val="21"/>
              </w:rPr>
              <w:t>科技路（含科博桥）</w:t>
            </w:r>
          </w:p>
        </w:tc>
        <w:tc>
          <w:tcPr>
            <w:tcW w:w="1722" w:type="dxa"/>
            <w:noWrap w:val="0"/>
            <w:vAlign w:val="top"/>
          </w:tcPr>
          <w:p>
            <w:pPr>
              <w:spacing w:line="240" w:lineRule="atLeast"/>
              <w:rPr>
                <w:rFonts w:hint="eastAsia" w:ascii="宋体" w:hAnsi="宋体"/>
                <w:szCs w:val="21"/>
              </w:rPr>
            </w:pPr>
            <w:r>
              <w:rPr>
                <w:rFonts w:hint="eastAsia" w:ascii="宋体" w:hAnsi="宋体"/>
                <w:szCs w:val="21"/>
              </w:rPr>
              <w:t>27200</w:t>
            </w:r>
          </w:p>
        </w:tc>
        <w:tc>
          <w:tcPr>
            <w:tcW w:w="1723" w:type="dxa"/>
            <w:noWrap w:val="0"/>
            <w:vAlign w:val="top"/>
          </w:tcPr>
          <w:p>
            <w:pPr>
              <w:spacing w:line="240" w:lineRule="atLeast"/>
              <w:rPr>
                <w:rFonts w:hint="eastAsia" w:ascii="宋体" w:hAnsi="宋体"/>
                <w:szCs w:val="21"/>
              </w:rPr>
            </w:pPr>
            <w:r>
              <w:rPr>
                <w:rFonts w:hint="eastAsia" w:ascii="宋体" w:hAnsi="宋体"/>
                <w:szCs w:val="21"/>
              </w:rPr>
              <w:t>13440（16</w:t>
            </w:r>
            <w:r>
              <w:rPr>
                <w:rFonts w:ascii="宋体" w:hAnsi="宋体" w:cs="Arial"/>
                <w:szCs w:val="21"/>
              </w:rPr>
              <w:t>×</w:t>
            </w:r>
            <w:r>
              <w:rPr>
                <w:rFonts w:hint="eastAsia" w:ascii="宋体" w:hAnsi="宋体" w:cs="Arial"/>
                <w:szCs w:val="21"/>
              </w:rPr>
              <w:t>840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r>
              <w:rPr>
                <w:rFonts w:hint="eastAsia" w:ascii="宋体" w:hAnsi="宋体"/>
                <w:szCs w:val="21"/>
              </w:rPr>
              <w:t>6720（8</w:t>
            </w:r>
            <w:r>
              <w:rPr>
                <w:rFonts w:ascii="宋体" w:hAnsi="宋体" w:cs="Arial"/>
                <w:szCs w:val="21"/>
              </w:rPr>
              <w:t>×</w:t>
            </w:r>
            <w:r>
              <w:rPr>
                <w:rFonts w:hint="eastAsia" w:ascii="宋体" w:hAnsi="宋体" w:cs="Arial"/>
                <w:szCs w:val="21"/>
              </w:rPr>
              <w:t>840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5040（6</w:t>
            </w:r>
            <w:r>
              <w:rPr>
                <w:rFonts w:ascii="宋体" w:hAnsi="宋体" w:cs="Arial"/>
                <w:szCs w:val="21"/>
              </w:rPr>
              <w:t>×</w:t>
            </w:r>
            <w:r>
              <w:rPr>
                <w:rFonts w:hint="eastAsia" w:ascii="宋体" w:hAnsi="宋体" w:cs="Arial"/>
                <w:szCs w:val="21"/>
              </w:rPr>
              <w:t>840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r>
              <w:rPr>
                <w:rFonts w:hint="eastAsia" w:ascii="宋体" w:hAnsi="宋体"/>
                <w:szCs w:val="21"/>
              </w:rPr>
              <w:t>2000（4</w:t>
            </w:r>
            <w:r>
              <w:rPr>
                <w:rFonts w:ascii="宋体" w:hAnsi="宋体" w:cs="Arial"/>
                <w:szCs w:val="21"/>
              </w:rPr>
              <w:t>×</w:t>
            </w:r>
            <w:r>
              <w:rPr>
                <w:rFonts w:hint="eastAsia" w:ascii="宋体" w:hAnsi="宋体" w:cs="Arial"/>
                <w:szCs w:val="21"/>
              </w:rPr>
              <w:t>500</w:t>
            </w:r>
            <w:r>
              <w:rPr>
                <w:rFonts w:hint="eastAsia" w:ascii="宋体" w:hAnsi="宋体"/>
                <w:szCs w:val="21"/>
              </w:rPr>
              <w:t>）</w:t>
            </w: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文华南路</w:t>
            </w:r>
          </w:p>
        </w:tc>
        <w:tc>
          <w:tcPr>
            <w:tcW w:w="1722" w:type="dxa"/>
            <w:noWrap w:val="0"/>
            <w:vAlign w:val="top"/>
          </w:tcPr>
          <w:p>
            <w:pPr>
              <w:spacing w:line="240" w:lineRule="atLeast"/>
              <w:rPr>
                <w:rFonts w:hint="eastAsia" w:ascii="宋体" w:hAnsi="宋体"/>
                <w:szCs w:val="21"/>
              </w:rPr>
            </w:pPr>
            <w:r>
              <w:rPr>
                <w:rFonts w:hint="eastAsia" w:ascii="宋体" w:hAnsi="宋体"/>
                <w:szCs w:val="21"/>
              </w:rPr>
              <w:t>14400</w:t>
            </w:r>
          </w:p>
        </w:tc>
        <w:tc>
          <w:tcPr>
            <w:tcW w:w="1723" w:type="dxa"/>
            <w:noWrap w:val="0"/>
            <w:vAlign w:val="top"/>
          </w:tcPr>
          <w:p>
            <w:pPr>
              <w:spacing w:line="240" w:lineRule="atLeast"/>
              <w:rPr>
                <w:rFonts w:hint="eastAsia" w:ascii="宋体" w:hAnsi="宋体"/>
                <w:szCs w:val="21"/>
              </w:rPr>
            </w:pPr>
            <w:r>
              <w:rPr>
                <w:rFonts w:hint="eastAsia" w:ascii="宋体" w:hAnsi="宋体"/>
                <w:szCs w:val="21"/>
              </w:rPr>
              <w:t>11400（19</w:t>
            </w:r>
            <w:r>
              <w:rPr>
                <w:rFonts w:ascii="宋体" w:hAnsi="宋体" w:cs="Arial"/>
                <w:szCs w:val="21"/>
              </w:rPr>
              <w:t>×</w:t>
            </w:r>
            <w:r>
              <w:rPr>
                <w:rFonts w:hint="eastAsia" w:ascii="宋体" w:hAnsi="宋体" w:cs="Arial"/>
                <w:szCs w:val="21"/>
              </w:rPr>
              <w:t>600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3000（5</w:t>
            </w:r>
            <w:r>
              <w:rPr>
                <w:rFonts w:ascii="宋体" w:hAnsi="宋体" w:cs="Arial"/>
                <w:szCs w:val="21"/>
              </w:rPr>
              <w:t>×</w:t>
            </w:r>
            <w:r>
              <w:rPr>
                <w:rFonts w:hint="eastAsia" w:ascii="宋体" w:hAnsi="宋体" w:cs="Arial"/>
                <w:szCs w:val="21"/>
              </w:rPr>
              <w:t>600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滨河南路</w:t>
            </w:r>
          </w:p>
        </w:tc>
        <w:tc>
          <w:tcPr>
            <w:tcW w:w="1722" w:type="dxa"/>
            <w:noWrap w:val="0"/>
            <w:vAlign w:val="top"/>
          </w:tcPr>
          <w:p>
            <w:pPr>
              <w:spacing w:line="240" w:lineRule="atLeast"/>
              <w:rPr>
                <w:rFonts w:hint="eastAsia" w:ascii="宋体" w:hAnsi="宋体"/>
                <w:szCs w:val="21"/>
              </w:rPr>
            </w:pPr>
            <w:r>
              <w:rPr>
                <w:rFonts w:hint="eastAsia" w:ascii="宋体" w:hAnsi="宋体"/>
                <w:szCs w:val="21"/>
              </w:rPr>
              <w:t>9440</w:t>
            </w:r>
          </w:p>
        </w:tc>
        <w:tc>
          <w:tcPr>
            <w:tcW w:w="1723" w:type="dxa"/>
            <w:noWrap w:val="0"/>
            <w:vAlign w:val="top"/>
          </w:tcPr>
          <w:p>
            <w:pPr>
              <w:spacing w:line="240" w:lineRule="atLeast"/>
              <w:rPr>
                <w:rFonts w:hint="eastAsia" w:ascii="宋体" w:hAnsi="宋体"/>
                <w:szCs w:val="21"/>
              </w:rPr>
            </w:pPr>
            <w:r>
              <w:rPr>
                <w:rFonts w:hint="eastAsia" w:ascii="宋体" w:hAnsi="宋体"/>
                <w:szCs w:val="21"/>
              </w:rPr>
              <w:t>7080（12</w:t>
            </w:r>
            <w:r>
              <w:rPr>
                <w:rFonts w:ascii="宋体" w:hAnsi="宋体" w:cs="Arial"/>
                <w:szCs w:val="21"/>
              </w:rPr>
              <w:t>×</w:t>
            </w:r>
            <w:r>
              <w:rPr>
                <w:rFonts w:hint="eastAsia" w:ascii="宋体" w:hAnsi="宋体" w:cs="Arial"/>
                <w:szCs w:val="21"/>
              </w:rPr>
              <w:t>590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2360（4</w:t>
            </w:r>
            <w:r>
              <w:rPr>
                <w:rFonts w:ascii="宋体" w:hAnsi="宋体" w:cs="Arial"/>
                <w:szCs w:val="21"/>
              </w:rPr>
              <w:t>×</w:t>
            </w:r>
            <w:r>
              <w:rPr>
                <w:rFonts w:hint="eastAsia" w:ascii="宋体" w:hAnsi="宋体" w:cs="Arial"/>
                <w:szCs w:val="21"/>
              </w:rPr>
              <w:t>590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商务一路</w:t>
            </w:r>
          </w:p>
        </w:tc>
        <w:tc>
          <w:tcPr>
            <w:tcW w:w="1722" w:type="dxa"/>
            <w:noWrap w:val="0"/>
            <w:vAlign w:val="top"/>
          </w:tcPr>
          <w:p>
            <w:pPr>
              <w:spacing w:line="240" w:lineRule="atLeast"/>
              <w:rPr>
                <w:rFonts w:hint="eastAsia" w:ascii="宋体" w:hAnsi="宋体"/>
                <w:szCs w:val="21"/>
              </w:rPr>
            </w:pPr>
            <w:r>
              <w:rPr>
                <w:rFonts w:hint="eastAsia" w:ascii="宋体" w:hAnsi="宋体"/>
                <w:szCs w:val="21"/>
              </w:rPr>
              <w:t>3520</w:t>
            </w:r>
          </w:p>
        </w:tc>
        <w:tc>
          <w:tcPr>
            <w:tcW w:w="1723" w:type="dxa"/>
            <w:noWrap w:val="0"/>
            <w:vAlign w:val="top"/>
          </w:tcPr>
          <w:p>
            <w:pPr>
              <w:spacing w:line="240" w:lineRule="atLeast"/>
              <w:rPr>
                <w:rFonts w:hint="eastAsia" w:ascii="宋体" w:hAnsi="宋体"/>
                <w:szCs w:val="21"/>
              </w:rPr>
            </w:pPr>
            <w:r>
              <w:rPr>
                <w:rFonts w:hint="eastAsia" w:ascii="宋体" w:hAnsi="宋体"/>
                <w:szCs w:val="21"/>
              </w:rPr>
              <w:t>2200（10</w:t>
            </w:r>
            <w:r>
              <w:rPr>
                <w:rFonts w:ascii="宋体" w:hAnsi="宋体" w:cs="Arial"/>
                <w:szCs w:val="21"/>
              </w:rPr>
              <w:t>×</w:t>
            </w:r>
            <w:r>
              <w:rPr>
                <w:rFonts w:hint="eastAsia" w:ascii="宋体" w:hAnsi="宋体" w:cs="Arial"/>
                <w:szCs w:val="21"/>
              </w:rPr>
              <w:t>220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1320（6</w:t>
            </w:r>
            <w:r>
              <w:rPr>
                <w:rFonts w:ascii="宋体" w:hAnsi="宋体" w:cs="Arial"/>
                <w:szCs w:val="21"/>
              </w:rPr>
              <w:t>×</w:t>
            </w:r>
            <w:r>
              <w:rPr>
                <w:rFonts w:hint="eastAsia" w:ascii="宋体" w:hAnsi="宋体" w:cs="Arial"/>
                <w:szCs w:val="21"/>
              </w:rPr>
              <w:t>220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商务二路</w:t>
            </w:r>
          </w:p>
        </w:tc>
        <w:tc>
          <w:tcPr>
            <w:tcW w:w="1722" w:type="dxa"/>
            <w:noWrap w:val="0"/>
            <w:vAlign w:val="top"/>
          </w:tcPr>
          <w:p>
            <w:pPr>
              <w:spacing w:line="240" w:lineRule="atLeast"/>
              <w:rPr>
                <w:rFonts w:hint="eastAsia" w:ascii="宋体" w:hAnsi="宋体"/>
                <w:szCs w:val="21"/>
              </w:rPr>
            </w:pPr>
            <w:r>
              <w:rPr>
                <w:rFonts w:hint="eastAsia" w:ascii="宋体" w:hAnsi="宋体"/>
                <w:szCs w:val="21"/>
              </w:rPr>
              <w:t>3520</w:t>
            </w:r>
          </w:p>
        </w:tc>
        <w:tc>
          <w:tcPr>
            <w:tcW w:w="1723" w:type="dxa"/>
            <w:noWrap w:val="0"/>
            <w:vAlign w:val="top"/>
          </w:tcPr>
          <w:p>
            <w:pPr>
              <w:spacing w:line="240" w:lineRule="atLeast"/>
              <w:rPr>
                <w:rFonts w:hint="eastAsia" w:ascii="宋体" w:hAnsi="宋体"/>
                <w:szCs w:val="21"/>
              </w:rPr>
            </w:pPr>
            <w:r>
              <w:rPr>
                <w:rFonts w:hint="eastAsia" w:ascii="宋体" w:hAnsi="宋体"/>
                <w:szCs w:val="21"/>
              </w:rPr>
              <w:t>2200（10</w:t>
            </w:r>
            <w:r>
              <w:rPr>
                <w:rFonts w:ascii="宋体" w:hAnsi="宋体" w:cs="Arial"/>
                <w:szCs w:val="21"/>
              </w:rPr>
              <w:t>×</w:t>
            </w:r>
            <w:r>
              <w:rPr>
                <w:rFonts w:hint="eastAsia" w:ascii="宋体" w:hAnsi="宋体" w:cs="Arial"/>
                <w:szCs w:val="21"/>
              </w:rPr>
              <w:t>220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1320（6</w:t>
            </w:r>
            <w:r>
              <w:rPr>
                <w:rFonts w:ascii="宋体" w:hAnsi="宋体" w:cs="Arial"/>
                <w:szCs w:val="21"/>
              </w:rPr>
              <w:t>×</w:t>
            </w:r>
            <w:r>
              <w:rPr>
                <w:rFonts w:hint="eastAsia" w:ascii="宋体" w:hAnsi="宋体" w:cs="Arial"/>
                <w:szCs w:val="21"/>
              </w:rPr>
              <w:t>220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水晶街道</w:t>
            </w:r>
          </w:p>
        </w:tc>
        <w:tc>
          <w:tcPr>
            <w:tcW w:w="1722" w:type="dxa"/>
            <w:noWrap w:val="0"/>
            <w:vAlign w:val="top"/>
          </w:tcPr>
          <w:p>
            <w:pPr>
              <w:spacing w:line="240" w:lineRule="atLeast"/>
              <w:rPr>
                <w:rFonts w:hint="eastAsia" w:ascii="宋体" w:hAnsi="宋体"/>
                <w:szCs w:val="21"/>
              </w:rPr>
            </w:pPr>
            <w:r>
              <w:rPr>
                <w:rFonts w:hint="eastAsia" w:ascii="宋体" w:hAnsi="宋体"/>
                <w:szCs w:val="21"/>
              </w:rPr>
              <w:t>2720</w:t>
            </w:r>
          </w:p>
        </w:tc>
        <w:tc>
          <w:tcPr>
            <w:tcW w:w="1723" w:type="dxa"/>
            <w:noWrap w:val="0"/>
            <w:vAlign w:val="top"/>
          </w:tcPr>
          <w:p>
            <w:pPr>
              <w:spacing w:line="240" w:lineRule="atLeast"/>
              <w:rPr>
                <w:rFonts w:hint="eastAsia" w:ascii="宋体" w:hAnsi="宋体"/>
                <w:szCs w:val="21"/>
              </w:rPr>
            </w:pPr>
            <w:r>
              <w:rPr>
                <w:rFonts w:hint="eastAsia" w:ascii="宋体" w:hAnsi="宋体"/>
                <w:szCs w:val="21"/>
              </w:rPr>
              <w:t>1700（10</w:t>
            </w:r>
            <w:r>
              <w:rPr>
                <w:rFonts w:ascii="宋体" w:hAnsi="宋体" w:cs="Arial"/>
                <w:szCs w:val="21"/>
              </w:rPr>
              <w:t>×</w:t>
            </w:r>
            <w:r>
              <w:rPr>
                <w:rFonts w:hint="eastAsia" w:ascii="宋体" w:hAnsi="宋体" w:cs="Arial"/>
                <w:szCs w:val="21"/>
              </w:rPr>
              <w:t>170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1020（6</w:t>
            </w:r>
            <w:r>
              <w:rPr>
                <w:rFonts w:ascii="宋体" w:hAnsi="宋体" w:cs="Arial"/>
                <w:szCs w:val="21"/>
              </w:rPr>
              <w:t>×</w:t>
            </w:r>
            <w:r>
              <w:rPr>
                <w:rFonts w:hint="eastAsia" w:ascii="宋体" w:hAnsi="宋体" w:cs="Arial"/>
                <w:szCs w:val="21"/>
              </w:rPr>
              <w:t>170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广益路（东到西）</w:t>
            </w:r>
          </w:p>
        </w:tc>
        <w:tc>
          <w:tcPr>
            <w:tcW w:w="1722" w:type="dxa"/>
            <w:noWrap w:val="0"/>
            <w:vAlign w:val="top"/>
          </w:tcPr>
          <w:p>
            <w:pPr>
              <w:spacing w:line="240" w:lineRule="atLeast"/>
              <w:rPr>
                <w:rFonts w:hint="eastAsia" w:ascii="宋体" w:hAnsi="宋体"/>
                <w:szCs w:val="21"/>
              </w:rPr>
            </w:pPr>
            <w:r>
              <w:rPr>
                <w:rFonts w:hint="eastAsia" w:ascii="宋体" w:hAnsi="宋体"/>
                <w:szCs w:val="21"/>
              </w:rPr>
              <w:t>2320</w:t>
            </w:r>
          </w:p>
        </w:tc>
        <w:tc>
          <w:tcPr>
            <w:tcW w:w="1723" w:type="dxa"/>
            <w:noWrap w:val="0"/>
            <w:vAlign w:val="top"/>
          </w:tcPr>
          <w:p>
            <w:pPr>
              <w:spacing w:line="240" w:lineRule="atLeast"/>
              <w:rPr>
                <w:rFonts w:hint="eastAsia" w:ascii="宋体" w:hAnsi="宋体"/>
                <w:szCs w:val="21"/>
              </w:rPr>
            </w:pPr>
            <w:r>
              <w:rPr>
                <w:rFonts w:hint="eastAsia" w:ascii="宋体" w:hAnsi="宋体"/>
                <w:szCs w:val="21"/>
              </w:rPr>
              <w:t>1450（10</w:t>
            </w:r>
            <w:r>
              <w:rPr>
                <w:rFonts w:ascii="宋体" w:hAnsi="宋体" w:cs="Arial"/>
                <w:szCs w:val="21"/>
              </w:rPr>
              <w:t>×</w:t>
            </w:r>
            <w:r>
              <w:rPr>
                <w:rFonts w:hint="eastAsia" w:ascii="宋体" w:hAnsi="宋体" w:cs="Arial"/>
                <w:szCs w:val="21"/>
              </w:rPr>
              <w:t>145</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870（6</w:t>
            </w:r>
            <w:r>
              <w:rPr>
                <w:rFonts w:ascii="宋体" w:hAnsi="宋体" w:cs="Arial"/>
                <w:szCs w:val="21"/>
              </w:rPr>
              <w:t>×</w:t>
            </w:r>
            <w:r>
              <w:rPr>
                <w:rFonts w:hint="eastAsia" w:ascii="宋体" w:hAnsi="宋体" w:cs="Arial"/>
                <w:szCs w:val="21"/>
              </w:rPr>
              <w:t>145</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广益路（南到北）</w:t>
            </w:r>
          </w:p>
        </w:tc>
        <w:tc>
          <w:tcPr>
            <w:tcW w:w="1722" w:type="dxa"/>
            <w:noWrap w:val="0"/>
            <w:vAlign w:val="top"/>
          </w:tcPr>
          <w:p>
            <w:pPr>
              <w:spacing w:line="240" w:lineRule="atLeast"/>
              <w:rPr>
                <w:rFonts w:hint="eastAsia" w:ascii="宋体" w:hAnsi="宋体"/>
                <w:szCs w:val="21"/>
              </w:rPr>
            </w:pPr>
            <w:r>
              <w:rPr>
                <w:rFonts w:hint="eastAsia" w:ascii="宋体" w:hAnsi="宋体"/>
                <w:szCs w:val="21"/>
              </w:rPr>
              <w:t>7080</w:t>
            </w:r>
          </w:p>
        </w:tc>
        <w:tc>
          <w:tcPr>
            <w:tcW w:w="1723" w:type="dxa"/>
            <w:noWrap w:val="0"/>
            <w:vAlign w:val="top"/>
          </w:tcPr>
          <w:p>
            <w:pPr>
              <w:spacing w:line="240" w:lineRule="atLeast"/>
              <w:rPr>
                <w:rFonts w:hint="eastAsia" w:ascii="宋体" w:hAnsi="宋体"/>
                <w:szCs w:val="21"/>
              </w:rPr>
            </w:pPr>
            <w:r>
              <w:rPr>
                <w:rFonts w:hint="eastAsia" w:ascii="宋体" w:hAnsi="宋体"/>
                <w:szCs w:val="21"/>
              </w:rPr>
              <w:t>4440（10</w:t>
            </w:r>
            <w:r>
              <w:rPr>
                <w:rFonts w:ascii="宋体" w:hAnsi="宋体" w:cs="Arial"/>
                <w:szCs w:val="21"/>
              </w:rPr>
              <w:t>×</w:t>
            </w:r>
            <w:r>
              <w:rPr>
                <w:rFonts w:hint="eastAsia" w:ascii="宋体" w:hAnsi="宋体" w:cs="Arial"/>
                <w:szCs w:val="21"/>
              </w:rPr>
              <w:t>440</w:t>
            </w:r>
            <w:r>
              <w:rPr>
                <w:rFonts w:hint="eastAsia" w:ascii="宋体" w:hAnsi="宋体"/>
                <w:szCs w:val="21"/>
              </w:rPr>
              <w:t>）</w:t>
            </w: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r>
              <w:rPr>
                <w:rFonts w:hint="eastAsia" w:ascii="宋体" w:hAnsi="宋体"/>
                <w:szCs w:val="21"/>
              </w:rPr>
              <w:t>2640（6</w:t>
            </w:r>
            <w:r>
              <w:rPr>
                <w:rFonts w:ascii="宋体" w:hAnsi="宋体" w:cs="Arial"/>
                <w:szCs w:val="21"/>
              </w:rPr>
              <w:t>×</w:t>
            </w:r>
            <w:r>
              <w:rPr>
                <w:rFonts w:hint="eastAsia" w:ascii="宋体" w:hAnsi="宋体" w:cs="Arial"/>
                <w:szCs w:val="21"/>
              </w:rPr>
              <w:t>440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新城大道东侧人行道</w:t>
            </w:r>
          </w:p>
        </w:tc>
        <w:tc>
          <w:tcPr>
            <w:tcW w:w="1722" w:type="dxa"/>
            <w:noWrap w:val="0"/>
            <w:vAlign w:val="top"/>
          </w:tcPr>
          <w:p>
            <w:pPr>
              <w:spacing w:line="240" w:lineRule="atLeast"/>
              <w:rPr>
                <w:rFonts w:hint="eastAsia" w:ascii="宋体" w:hAnsi="宋体"/>
                <w:szCs w:val="21"/>
              </w:rPr>
            </w:pPr>
            <w:r>
              <w:rPr>
                <w:rFonts w:hint="eastAsia" w:ascii="宋体" w:hAnsi="宋体"/>
                <w:szCs w:val="21"/>
              </w:rPr>
              <w:t>9000</w:t>
            </w:r>
          </w:p>
        </w:tc>
        <w:tc>
          <w:tcPr>
            <w:tcW w:w="1723"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r>
              <w:rPr>
                <w:rFonts w:hint="eastAsia" w:ascii="宋体" w:hAnsi="宋体"/>
                <w:szCs w:val="21"/>
              </w:rPr>
              <w:t>9000（5</w:t>
            </w:r>
            <w:r>
              <w:rPr>
                <w:rFonts w:ascii="宋体" w:hAnsi="宋体" w:cs="Arial"/>
                <w:szCs w:val="21"/>
              </w:rPr>
              <w:t>×</w:t>
            </w:r>
            <w:r>
              <w:rPr>
                <w:rFonts w:hint="eastAsia" w:ascii="宋体" w:hAnsi="宋体" w:cs="Arial"/>
                <w:szCs w:val="21"/>
              </w:rPr>
              <w:t>1800</w:t>
            </w:r>
            <w:r>
              <w:rPr>
                <w:rFonts w:hint="eastAsia" w:ascii="宋体" w:hAnsi="宋体"/>
                <w:szCs w:val="21"/>
              </w:rPr>
              <w:t>）</w:t>
            </w:r>
          </w:p>
        </w:tc>
        <w:tc>
          <w:tcPr>
            <w:tcW w:w="1723"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hint="eastAsia" w:ascii="宋体" w:hAnsi="宋体"/>
                <w:szCs w:val="21"/>
              </w:rPr>
            </w:pPr>
            <w:r>
              <w:rPr>
                <w:rFonts w:hint="eastAsia" w:ascii="宋体" w:hAnsi="宋体"/>
                <w:szCs w:val="21"/>
              </w:rPr>
              <w:t>北三环路北侧人行道</w:t>
            </w:r>
          </w:p>
        </w:tc>
        <w:tc>
          <w:tcPr>
            <w:tcW w:w="1722" w:type="dxa"/>
            <w:noWrap w:val="0"/>
            <w:vAlign w:val="top"/>
          </w:tcPr>
          <w:p>
            <w:pPr>
              <w:spacing w:line="240" w:lineRule="atLeast"/>
              <w:rPr>
                <w:rFonts w:hint="eastAsia" w:ascii="宋体" w:hAnsi="宋体"/>
                <w:szCs w:val="21"/>
              </w:rPr>
            </w:pPr>
            <w:r>
              <w:rPr>
                <w:rFonts w:hint="eastAsia" w:ascii="宋体" w:hAnsi="宋体"/>
                <w:szCs w:val="21"/>
              </w:rPr>
              <w:t>2100</w:t>
            </w:r>
          </w:p>
        </w:tc>
        <w:tc>
          <w:tcPr>
            <w:tcW w:w="1723"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r>
              <w:rPr>
                <w:rFonts w:hint="eastAsia" w:ascii="宋体" w:hAnsi="宋体"/>
                <w:szCs w:val="21"/>
              </w:rPr>
              <w:t>2100（3</w:t>
            </w:r>
            <w:r>
              <w:rPr>
                <w:rFonts w:ascii="宋体" w:hAnsi="宋体" w:cs="Arial"/>
                <w:szCs w:val="21"/>
              </w:rPr>
              <w:t>×</w:t>
            </w:r>
            <w:r>
              <w:rPr>
                <w:rFonts w:hint="eastAsia" w:ascii="宋体" w:hAnsi="宋体"/>
                <w:szCs w:val="21"/>
              </w:rPr>
              <w:t>700）</w:t>
            </w:r>
          </w:p>
        </w:tc>
        <w:tc>
          <w:tcPr>
            <w:tcW w:w="1723"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p>
        </w:tc>
        <w:tc>
          <w:tcPr>
            <w:tcW w:w="2297" w:type="dxa"/>
            <w:noWrap w:val="0"/>
            <w:vAlign w:val="top"/>
          </w:tcPr>
          <w:p>
            <w:pPr>
              <w:spacing w:line="240" w:lineRule="atLeast"/>
              <w:rPr>
                <w:rFonts w:ascii="宋体" w:hAnsi="宋体"/>
                <w:szCs w:val="21"/>
              </w:rPr>
            </w:pPr>
            <w:r>
              <w:rPr>
                <w:rFonts w:hint="eastAsia" w:ascii="宋体" w:hAnsi="宋体"/>
                <w:szCs w:val="21"/>
              </w:rPr>
              <w:t>创新路</w:t>
            </w:r>
          </w:p>
        </w:tc>
        <w:tc>
          <w:tcPr>
            <w:tcW w:w="1722" w:type="dxa"/>
            <w:noWrap w:val="0"/>
            <w:vAlign w:val="top"/>
          </w:tcPr>
          <w:p>
            <w:pPr>
              <w:spacing w:line="240" w:lineRule="atLeast"/>
              <w:rPr>
                <w:rFonts w:ascii="宋体" w:hAnsi="宋体"/>
                <w:szCs w:val="21"/>
              </w:rPr>
            </w:pPr>
            <w:r>
              <w:rPr>
                <w:rFonts w:hint="eastAsia" w:ascii="宋体" w:hAnsi="宋体"/>
                <w:szCs w:val="21"/>
              </w:rPr>
              <w:t>3075</w:t>
            </w:r>
          </w:p>
        </w:tc>
        <w:tc>
          <w:tcPr>
            <w:tcW w:w="1723"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r>
              <w:rPr>
                <w:rFonts w:hint="eastAsia" w:ascii="宋体" w:hAnsi="宋体"/>
                <w:szCs w:val="21"/>
              </w:rPr>
              <w:t>小计</w:t>
            </w:r>
          </w:p>
        </w:tc>
        <w:tc>
          <w:tcPr>
            <w:tcW w:w="2297"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ascii="宋体" w:hAnsi="宋体"/>
                <w:szCs w:val="21"/>
              </w:rPr>
            </w:pPr>
            <w:r>
              <w:rPr>
                <w:rFonts w:hint="eastAsia" w:ascii="宋体" w:hAnsi="宋体"/>
                <w:szCs w:val="21"/>
              </w:rPr>
              <w:t>84375</w:t>
            </w:r>
          </w:p>
        </w:tc>
        <w:tc>
          <w:tcPr>
            <w:tcW w:w="1723" w:type="dxa"/>
            <w:noWrap w:val="0"/>
            <w:vAlign w:val="top"/>
          </w:tcPr>
          <w:p>
            <w:pPr>
              <w:spacing w:line="240" w:lineRule="atLeast"/>
              <w:rPr>
                <w:rFonts w:hint="eastAsia" w:ascii="宋体" w:hAnsi="宋体"/>
                <w:szCs w:val="21"/>
              </w:rPr>
            </w:pPr>
            <w:r>
              <w:rPr>
                <w:rFonts w:hint="eastAsia" w:ascii="宋体" w:hAnsi="宋体"/>
                <w:szCs w:val="21"/>
              </w:rPr>
              <w:t>43910</w:t>
            </w:r>
          </w:p>
        </w:tc>
        <w:tc>
          <w:tcPr>
            <w:tcW w:w="1722" w:type="dxa"/>
            <w:noWrap w:val="0"/>
            <w:vAlign w:val="top"/>
          </w:tcPr>
          <w:p>
            <w:pPr>
              <w:spacing w:line="240" w:lineRule="atLeast"/>
              <w:rPr>
                <w:rFonts w:hint="eastAsia" w:ascii="宋体" w:hAnsi="宋体"/>
                <w:szCs w:val="21"/>
              </w:rPr>
            </w:pPr>
            <w:r>
              <w:rPr>
                <w:rFonts w:hint="eastAsia" w:ascii="宋体" w:hAnsi="宋体"/>
                <w:szCs w:val="21"/>
              </w:rPr>
              <w:t>17820</w:t>
            </w:r>
          </w:p>
        </w:tc>
        <w:tc>
          <w:tcPr>
            <w:tcW w:w="1723" w:type="dxa"/>
            <w:noWrap w:val="0"/>
            <w:vAlign w:val="top"/>
          </w:tcPr>
          <w:p>
            <w:pPr>
              <w:spacing w:line="240" w:lineRule="atLeast"/>
              <w:rPr>
                <w:rFonts w:hint="eastAsia" w:ascii="宋体" w:hAnsi="宋体"/>
                <w:szCs w:val="21"/>
              </w:rPr>
            </w:pPr>
            <w:r>
              <w:rPr>
                <w:rFonts w:hint="eastAsia" w:ascii="宋体" w:hAnsi="宋体"/>
                <w:szCs w:val="21"/>
              </w:rPr>
              <w:t>17570</w:t>
            </w:r>
          </w:p>
        </w:tc>
        <w:tc>
          <w:tcPr>
            <w:tcW w:w="1723" w:type="dxa"/>
            <w:noWrap w:val="0"/>
            <w:vAlign w:val="top"/>
          </w:tcPr>
          <w:p>
            <w:pPr>
              <w:spacing w:line="240" w:lineRule="atLeast"/>
              <w:rPr>
                <w:rFonts w:hint="eastAsia" w:ascii="宋体" w:hAnsi="宋体"/>
                <w:szCs w:val="21"/>
              </w:rPr>
            </w:pPr>
            <w:r>
              <w:rPr>
                <w:rFonts w:hint="eastAsia" w:ascii="宋体" w:hAnsi="宋体"/>
                <w:szCs w:val="21"/>
              </w:rPr>
              <w:t>2000</w:t>
            </w:r>
          </w:p>
        </w:tc>
        <w:tc>
          <w:tcPr>
            <w:tcW w:w="1287" w:type="dxa"/>
            <w:noWrap w:val="0"/>
            <w:vAlign w:val="top"/>
          </w:tcPr>
          <w:p>
            <w:pPr>
              <w:spacing w:line="240" w:lineRule="atLeas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line="240" w:lineRule="atLeast"/>
              <w:rPr>
                <w:rFonts w:hint="eastAsia" w:ascii="宋体" w:hAnsi="宋体"/>
                <w:szCs w:val="21"/>
              </w:rPr>
            </w:pPr>
            <w:r>
              <w:rPr>
                <w:rFonts w:hint="eastAsia" w:ascii="宋体" w:hAnsi="宋体"/>
                <w:szCs w:val="21"/>
              </w:rPr>
              <w:t>总面积</w:t>
            </w:r>
          </w:p>
        </w:tc>
        <w:tc>
          <w:tcPr>
            <w:tcW w:w="2297"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ascii="宋体" w:hAnsi="宋体"/>
                <w:szCs w:val="21"/>
              </w:rPr>
            </w:pPr>
            <w:r>
              <w:rPr>
                <w:rFonts w:hint="eastAsia" w:ascii="宋体" w:hAnsi="宋体"/>
                <w:szCs w:val="21"/>
              </w:rPr>
              <w:t>140815</w:t>
            </w:r>
          </w:p>
        </w:tc>
        <w:tc>
          <w:tcPr>
            <w:tcW w:w="1723" w:type="dxa"/>
            <w:noWrap w:val="0"/>
            <w:vAlign w:val="top"/>
          </w:tcPr>
          <w:p>
            <w:pPr>
              <w:spacing w:line="240" w:lineRule="atLeast"/>
              <w:rPr>
                <w:rFonts w:hint="eastAsia" w:ascii="宋体" w:hAnsi="宋体"/>
                <w:szCs w:val="21"/>
              </w:rPr>
            </w:pPr>
          </w:p>
        </w:tc>
        <w:tc>
          <w:tcPr>
            <w:tcW w:w="1722"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723" w:type="dxa"/>
            <w:noWrap w:val="0"/>
            <w:vAlign w:val="top"/>
          </w:tcPr>
          <w:p>
            <w:pPr>
              <w:spacing w:line="240" w:lineRule="atLeast"/>
              <w:rPr>
                <w:rFonts w:hint="eastAsia" w:ascii="宋体" w:hAnsi="宋体"/>
                <w:szCs w:val="21"/>
              </w:rPr>
            </w:pPr>
          </w:p>
        </w:tc>
        <w:tc>
          <w:tcPr>
            <w:tcW w:w="1287" w:type="dxa"/>
            <w:noWrap w:val="0"/>
            <w:vAlign w:val="top"/>
          </w:tcPr>
          <w:p>
            <w:pPr>
              <w:spacing w:line="240" w:lineRule="atLeast"/>
              <w:rPr>
                <w:rFonts w:hint="eastAsia" w:ascii="宋体" w:hAnsi="宋体"/>
                <w:szCs w:val="21"/>
              </w:rPr>
            </w:pPr>
          </w:p>
        </w:tc>
      </w:tr>
    </w:tbl>
    <w:p>
      <w:pPr>
        <w:spacing w:line="560" w:lineRule="exact"/>
        <w:rPr>
          <w:rFonts w:ascii="宋体" w:hAnsi="宋体"/>
          <w:b/>
          <w:sz w:val="24"/>
          <w:szCs w:val="24"/>
        </w:rPr>
        <w:sectPr>
          <w:pgSz w:w="16838" w:h="11906" w:orient="landscape"/>
          <w:pgMar w:top="1361" w:right="1361" w:bottom="1247" w:left="1361" w:header="851" w:footer="992" w:gutter="0"/>
          <w:cols w:space="720" w:num="1"/>
          <w:docGrid w:linePitch="391" w:charSpace="0"/>
        </w:sectPr>
      </w:pPr>
    </w:p>
    <w:p>
      <w:pPr>
        <w:rPr>
          <w:rFonts w:hint="eastAsia" w:ascii="宋体" w:hAnsi="宋体"/>
          <w:b/>
          <w:bCs/>
          <w:sz w:val="22"/>
          <w:szCs w:val="22"/>
        </w:rPr>
      </w:pPr>
      <w:r>
        <w:rPr>
          <w:rFonts w:hint="eastAsia" w:ascii="宋体" w:hAnsi="宋体"/>
          <w:b/>
          <w:bCs/>
          <w:sz w:val="22"/>
          <w:szCs w:val="22"/>
        </w:rPr>
        <w:t xml:space="preserve">3、设施设备： </w:t>
      </w:r>
    </w:p>
    <w:tbl>
      <w:tblPr>
        <w:tblStyle w:val="44"/>
        <w:tblpPr w:leftFromText="180" w:rightFromText="180" w:vertAnchor="text" w:horzAnchor="page" w:tblpX="1181" w:tblpY="298"/>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825"/>
        <w:gridCol w:w="1013"/>
        <w:gridCol w:w="2212"/>
        <w:gridCol w:w="15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spacing w:line="320" w:lineRule="exact"/>
              <w:jc w:val="center"/>
              <w:rPr>
                <w:rFonts w:hint="eastAsia" w:ascii="宋体" w:hAnsi="宋体"/>
                <w:szCs w:val="21"/>
              </w:rPr>
            </w:pPr>
            <w:r>
              <w:rPr>
                <w:rFonts w:hint="eastAsia" w:ascii="宋体" w:hAnsi="宋体"/>
                <w:szCs w:val="21"/>
              </w:rPr>
              <w:t>序号</w:t>
            </w:r>
          </w:p>
        </w:tc>
        <w:tc>
          <w:tcPr>
            <w:tcW w:w="2825" w:type="dxa"/>
            <w:noWrap w:val="0"/>
            <w:vAlign w:val="top"/>
          </w:tcPr>
          <w:p>
            <w:pPr>
              <w:spacing w:line="320" w:lineRule="exact"/>
              <w:jc w:val="center"/>
              <w:rPr>
                <w:rFonts w:hint="eastAsia" w:ascii="宋体" w:hAnsi="宋体"/>
                <w:szCs w:val="21"/>
              </w:rPr>
            </w:pPr>
            <w:r>
              <w:rPr>
                <w:rFonts w:hint="eastAsia" w:ascii="宋体" w:hAnsi="宋体"/>
                <w:szCs w:val="21"/>
              </w:rPr>
              <w:t>设施设备名称</w:t>
            </w:r>
          </w:p>
        </w:tc>
        <w:tc>
          <w:tcPr>
            <w:tcW w:w="1013" w:type="dxa"/>
            <w:noWrap w:val="0"/>
            <w:vAlign w:val="top"/>
          </w:tcPr>
          <w:p>
            <w:pPr>
              <w:spacing w:line="320" w:lineRule="exact"/>
              <w:jc w:val="center"/>
              <w:rPr>
                <w:rFonts w:hint="eastAsia" w:ascii="宋体" w:hAnsi="宋体"/>
                <w:szCs w:val="21"/>
              </w:rPr>
            </w:pPr>
            <w:r>
              <w:rPr>
                <w:rFonts w:hint="eastAsia" w:ascii="宋体" w:hAnsi="宋体"/>
                <w:szCs w:val="21"/>
              </w:rPr>
              <w:t>数量</w:t>
            </w: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具体区块</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12" w:type="dxa"/>
            <w:vMerge w:val="restart"/>
            <w:noWrap w:val="0"/>
            <w:vAlign w:val="center"/>
          </w:tcPr>
          <w:p>
            <w:pPr>
              <w:spacing w:line="320" w:lineRule="exact"/>
              <w:jc w:val="center"/>
              <w:rPr>
                <w:rFonts w:hint="eastAsia" w:ascii="宋体" w:hAnsi="宋体"/>
                <w:szCs w:val="21"/>
              </w:rPr>
            </w:pPr>
          </w:p>
          <w:p>
            <w:pPr>
              <w:spacing w:line="320" w:lineRule="exact"/>
              <w:jc w:val="center"/>
              <w:rPr>
                <w:rFonts w:hint="eastAsia" w:ascii="宋体" w:hAnsi="宋体"/>
                <w:szCs w:val="21"/>
              </w:rPr>
            </w:pPr>
            <w:r>
              <w:rPr>
                <w:rFonts w:hint="eastAsia" w:ascii="宋体" w:hAnsi="宋体"/>
                <w:szCs w:val="21"/>
              </w:rPr>
              <w:t>1</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机动停车位</w:t>
            </w:r>
          </w:p>
        </w:tc>
        <w:tc>
          <w:tcPr>
            <w:tcW w:w="1013" w:type="dxa"/>
            <w:vMerge w:val="restart"/>
            <w:noWrap w:val="0"/>
            <w:vAlign w:val="top"/>
          </w:tcPr>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p>
          <w:p>
            <w:pPr>
              <w:spacing w:line="320" w:lineRule="exact"/>
              <w:jc w:val="center"/>
              <w:rPr>
                <w:rFonts w:hint="eastAsia" w:ascii="宋体" w:hAnsi="宋体"/>
                <w:szCs w:val="21"/>
              </w:rPr>
            </w:pPr>
            <w:r>
              <w:rPr>
                <w:rFonts w:hint="eastAsia" w:ascii="宋体" w:hAnsi="宋体"/>
                <w:szCs w:val="21"/>
              </w:rPr>
              <w:t>2942个</w:t>
            </w:r>
          </w:p>
        </w:tc>
        <w:tc>
          <w:tcPr>
            <w:tcW w:w="2212" w:type="dxa"/>
            <w:vMerge w:val="restart"/>
            <w:noWrap w:val="0"/>
            <w:vAlign w:val="center"/>
          </w:tcPr>
          <w:p>
            <w:pPr>
              <w:spacing w:line="320" w:lineRule="exact"/>
              <w:rPr>
                <w:rFonts w:hint="eastAsia" w:ascii="宋体" w:hAnsi="宋体"/>
                <w:szCs w:val="21"/>
              </w:rPr>
            </w:pPr>
            <w:r>
              <w:rPr>
                <w:rFonts w:hint="eastAsia" w:ascii="宋体" w:hAnsi="宋体"/>
                <w:szCs w:val="21"/>
              </w:rPr>
              <w:t>科博文化中心</w:t>
            </w:r>
          </w:p>
        </w:tc>
        <w:tc>
          <w:tcPr>
            <w:tcW w:w="1525" w:type="dxa"/>
            <w:noWrap w:val="0"/>
            <w:vAlign w:val="top"/>
          </w:tcPr>
          <w:p>
            <w:pPr>
              <w:spacing w:line="320" w:lineRule="exact"/>
              <w:jc w:val="center"/>
              <w:rPr>
                <w:rFonts w:hint="eastAsia" w:ascii="宋体" w:hAnsi="宋体"/>
                <w:szCs w:val="21"/>
              </w:rPr>
            </w:pPr>
            <w:r>
              <w:rPr>
                <w:rFonts w:hint="eastAsia" w:ascii="宋体" w:hAnsi="宋体"/>
                <w:szCs w:val="21"/>
              </w:rPr>
              <w:t>地下室</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305个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2212" w:type="dxa"/>
            <w:vMerge w:val="continue"/>
            <w:noWrap w:val="0"/>
            <w:vAlign w:val="top"/>
          </w:tcPr>
          <w:p>
            <w:pPr>
              <w:spacing w:line="320" w:lineRule="exact"/>
              <w:jc w:val="center"/>
              <w:rPr>
                <w:rFonts w:hint="eastAsia" w:ascii="宋体" w:hAnsi="宋体"/>
                <w:szCs w:val="21"/>
              </w:rPr>
            </w:pPr>
          </w:p>
        </w:tc>
        <w:tc>
          <w:tcPr>
            <w:tcW w:w="1525" w:type="dxa"/>
            <w:noWrap w:val="0"/>
            <w:vAlign w:val="top"/>
          </w:tcPr>
          <w:p>
            <w:pPr>
              <w:spacing w:line="320" w:lineRule="exact"/>
              <w:jc w:val="center"/>
              <w:rPr>
                <w:rFonts w:hint="eastAsia" w:ascii="宋体" w:hAnsi="宋体"/>
                <w:szCs w:val="21"/>
              </w:rPr>
            </w:pPr>
            <w:r>
              <w:rPr>
                <w:rFonts w:hint="eastAsia" w:ascii="宋体" w:hAnsi="宋体"/>
                <w:szCs w:val="21"/>
              </w:rPr>
              <w:t>地面</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南侧地下停车库</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81个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城展馆地面</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2212" w:type="dxa"/>
            <w:vMerge w:val="restart"/>
            <w:noWrap w:val="0"/>
            <w:vAlign w:val="center"/>
          </w:tcPr>
          <w:p>
            <w:pPr>
              <w:spacing w:line="320" w:lineRule="exact"/>
              <w:rPr>
                <w:rFonts w:hint="eastAsia" w:ascii="宋体" w:hAnsi="宋体"/>
                <w:szCs w:val="21"/>
              </w:rPr>
            </w:pPr>
            <w:r>
              <w:rPr>
                <w:rFonts w:hint="eastAsia" w:ascii="宋体" w:hAnsi="宋体"/>
                <w:szCs w:val="21"/>
              </w:rPr>
              <w:t>休闲广场</w:t>
            </w:r>
          </w:p>
        </w:tc>
        <w:tc>
          <w:tcPr>
            <w:tcW w:w="1525" w:type="dxa"/>
            <w:noWrap w:val="0"/>
            <w:vAlign w:val="top"/>
          </w:tcPr>
          <w:p>
            <w:pPr>
              <w:spacing w:line="320" w:lineRule="exact"/>
              <w:jc w:val="center"/>
              <w:rPr>
                <w:rFonts w:hint="eastAsia" w:ascii="宋体" w:hAnsi="宋体"/>
                <w:szCs w:val="21"/>
              </w:rPr>
            </w:pPr>
            <w:r>
              <w:rPr>
                <w:rFonts w:hint="eastAsia" w:ascii="宋体" w:hAnsi="宋体"/>
                <w:szCs w:val="21"/>
              </w:rPr>
              <w:t>地下室</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84个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2212" w:type="dxa"/>
            <w:vMerge w:val="continue"/>
            <w:noWrap w:val="0"/>
            <w:vAlign w:val="top"/>
          </w:tcPr>
          <w:p>
            <w:pPr>
              <w:spacing w:line="320" w:lineRule="exact"/>
              <w:jc w:val="center"/>
              <w:rPr>
                <w:rFonts w:hint="eastAsia" w:ascii="宋体" w:hAnsi="宋体"/>
                <w:szCs w:val="21"/>
              </w:rPr>
            </w:pPr>
          </w:p>
        </w:tc>
        <w:tc>
          <w:tcPr>
            <w:tcW w:w="1525" w:type="dxa"/>
            <w:noWrap w:val="0"/>
            <w:vAlign w:val="top"/>
          </w:tcPr>
          <w:p>
            <w:pPr>
              <w:spacing w:line="320" w:lineRule="exact"/>
              <w:jc w:val="center"/>
              <w:rPr>
                <w:rFonts w:hint="eastAsia" w:ascii="宋体" w:hAnsi="宋体"/>
                <w:szCs w:val="21"/>
              </w:rPr>
            </w:pPr>
            <w:r>
              <w:rPr>
                <w:rFonts w:hint="eastAsia" w:ascii="宋体" w:hAnsi="宋体"/>
                <w:szCs w:val="21"/>
              </w:rPr>
              <w:t>地面</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大剧院地面</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大剧院地下</w:t>
            </w:r>
          </w:p>
        </w:tc>
        <w:tc>
          <w:tcPr>
            <w:tcW w:w="1175" w:type="dxa"/>
            <w:noWrap w:val="0"/>
            <w:vAlign w:val="top"/>
          </w:tcPr>
          <w:p>
            <w:pPr>
              <w:spacing w:line="320" w:lineRule="exact"/>
              <w:jc w:val="center"/>
              <w:rPr>
                <w:rFonts w:ascii="宋体" w:hAnsi="宋体"/>
                <w:szCs w:val="21"/>
              </w:rPr>
            </w:pPr>
            <w:r>
              <w:rPr>
                <w:rFonts w:hint="eastAsia" w:ascii="宋体" w:hAnsi="宋体"/>
                <w:szCs w:val="21"/>
              </w:rPr>
              <w:t>211个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中央广场</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2023个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ascii="宋体" w:hAnsi="宋体"/>
                <w:szCs w:val="21"/>
              </w:rPr>
            </w:pPr>
            <w:r>
              <w:rPr>
                <w:rFonts w:hint="eastAsia" w:ascii="宋体" w:hAnsi="宋体"/>
                <w:szCs w:val="21"/>
              </w:rPr>
              <w:t>大剧院北侧临时停车场</w:t>
            </w:r>
          </w:p>
        </w:tc>
        <w:tc>
          <w:tcPr>
            <w:tcW w:w="1175" w:type="dxa"/>
            <w:noWrap w:val="0"/>
            <w:vAlign w:val="top"/>
          </w:tcPr>
          <w:p>
            <w:pPr>
              <w:spacing w:line="320" w:lineRule="exact"/>
              <w:jc w:val="center"/>
              <w:rPr>
                <w:rFonts w:ascii="宋体" w:hAnsi="宋体"/>
                <w:szCs w:val="21"/>
              </w:rPr>
            </w:pPr>
            <w:r>
              <w:rPr>
                <w:rFonts w:hint="eastAsia" w:ascii="宋体" w:hAnsi="宋体"/>
                <w:szCs w:val="21"/>
              </w:rPr>
              <w:t>156个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2" w:type="dxa"/>
            <w:noWrap w:val="0"/>
            <w:vAlign w:val="center"/>
          </w:tcPr>
          <w:p>
            <w:pPr>
              <w:spacing w:line="320" w:lineRule="exact"/>
              <w:jc w:val="center"/>
              <w:rPr>
                <w:rFonts w:hint="eastAsia" w:ascii="宋体" w:hAnsi="宋体"/>
                <w:szCs w:val="21"/>
              </w:rPr>
            </w:pPr>
            <w:r>
              <w:rPr>
                <w:rFonts w:hint="eastAsia" w:ascii="宋体" w:hAnsi="宋体"/>
                <w:szCs w:val="21"/>
              </w:rPr>
              <w:t>2</w:t>
            </w:r>
          </w:p>
        </w:tc>
        <w:tc>
          <w:tcPr>
            <w:tcW w:w="2825" w:type="dxa"/>
            <w:noWrap w:val="0"/>
            <w:vAlign w:val="center"/>
          </w:tcPr>
          <w:p>
            <w:pPr>
              <w:spacing w:line="320" w:lineRule="exact"/>
              <w:rPr>
                <w:rFonts w:hint="eastAsia" w:ascii="宋体" w:hAnsi="宋体"/>
                <w:szCs w:val="21"/>
              </w:rPr>
            </w:pPr>
            <w:r>
              <w:rPr>
                <w:rFonts w:hint="eastAsia" w:ascii="宋体" w:hAnsi="宋体"/>
                <w:szCs w:val="21"/>
              </w:rPr>
              <w:t>小型地面停车场</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1个</w:t>
            </w:r>
          </w:p>
        </w:tc>
        <w:tc>
          <w:tcPr>
            <w:tcW w:w="4912" w:type="dxa"/>
            <w:gridSpan w:val="3"/>
            <w:noWrap w:val="0"/>
            <w:vAlign w:val="center"/>
          </w:tcPr>
          <w:p>
            <w:pPr>
              <w:spacing w:line="320" w:lineRule="exact"/>
              <w:jc w:val="center"/>
              <w:rPr>
                <w:rFonts w:hint="eastAsia" w:ascii="宋体" w:hAnsi="宋体"/>
                <w:szCs w:val="21"/>
              </w:rPr>
            </w:pPr>
            <w:r>
              <w:rPr>
                <w:rFonts w:hint="eastAsia" w:ascii="宋体" w:hAnsi="宋体"/>
                <w:szCs w:val="21"/>
              </w:rPr>
              <w:t>北侧滨河公园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noWrap w:val="0"/>
            <w:vAlign w:val="center"/>
          </w:tcPr>
          <w:p>
            <w:pPr>
              <w:spacing w:line="320" w:lineRule="exact"/>
              <w:jc w:val="center"/>
              <w:rPr>
                <w:rFonts w:hint="eastAsia" w:ascii="宋体" w:hAnsi="宋体"/>
                <w:szCs w:val="21"/>
              </w:rPr>
            </w:pPr>
          </w:p>
          <w:p>
            <w:pPr>
              <w:spacing w:line="320" w:lineRule="exact"/>
              <w:jc w:val="center"/>
              <w:rPr>
                <w:rFonts w:hint="eastAsia" w:ascii="宋体" w:hAnsi="宋体"/>
                <w:szCs w:val="21"/>
              </w:rPr>
            </w:pPr>
            <w:r>
              <w:rPr>
                <w:rFonts w:hint="eastAsia" w:ascii="宋体" w:hAnsi="宋体"/>
                <w:szCs w:val="21"/>
              </w:rPr>
              <w:t>3</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非机动车停车位</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600个</w:t>
            </w: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休闲广场地下室</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南侧地下停车库</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noWrap w:val="0"/>
            <w:vAlign w:val="center"/>
          </w:tcPr>
          <w:p>
            <w:pPr>
              <w:spacing w:line="320" w:lineRule="exact"/>
              <w:jc w:val="center"/>
              <w:rPr>
                <w:rFonts w:hint="eastAsia" w:ascii="宋体" w:hAnsi="宋体"/>
                <w:szCs w:val="21"/>
              </w:rPr>
            </w:pPr>
          </w:p>
          <w:p>
            <w:pPr>
              <w:spacing w:line="320" w:lineRule="exact"/>
              <w:jc w:val="center"/>
              <w:rPr>
                <w:rFonts w:hint="eastAsia" w:ascii="宋体" w:hAnsi="宋体"/>
                <w:szCs w:val="21"/>
              </w:rPr>
            </w:pPr>
            <w:r>
              <w:rPr>
                <w:rFonts w:hint="eastAsia" w:ascii="宋体" w:hAnsi="宋体"/>
                <w:szCs w:val="21"/>
              </w:rPr>
              <w:t>4</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地下车库出入口</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8处</w:t>
            </w: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休闲广场</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科博文化中心</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南地库</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中央广场</w:t>
            </w:r>
          </w:p>
        </w:tc>
        <w:tc>
          <w:tcPr>
            <w:tcW w:w="1175" w:type="dxa"/>
            <w:noWrap w:val="0"/>
            <w:vAlign w:val="top"/>
          </w:tcPr>
          <w:p>
            <w:pPr>
              <w:spacing w:line="320" w:lineRule="exact"/>
              <w:jc w:val="center"/>
              <w:rPr>
                <w:rFonts w:hint="eastAsia" w:ascii="宋体" w:hAnsi="宋体"/>
                <w:szCs w:val="21"/>
              </w:rPr>
            </w:pPr>
            <w:r>
              <w:rPr>
                <w:rFonts w:hint="eastAsia" w:ascii="宋体" w:hAnsi="宋体"/>
                <w:szCs w:val="21"/>
              </w:rPr>
              <w:t>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2" w:type="dxa"/>
            <w:noWrap w:val="0"/>
            <w:vAlign w:val="center"/>
          </w:tcPr>
          <w:p>
            <w:pPr>
              <w:spacing w:line="320" w:lineRule="exact"/>
              <w:ind w:firstLine="105" w:firstLineChars="50"/>
              <w:jc w:val="center"/>
              <w:rPr>
                <w:rFonts w:hint="eastAsia" w:ascii="宋体" w:hAnsi="宋体"/>
                <w:szCs w:val="21"/>
              </w:rPr>
            </w:pPr>
            <w:r>
              <w:rPr>
                <w:rFonts w:hint="eastAsia" w:ascii="宋体" w:hAnsi="宋体"/>
                <w:szCs w:val="21"/>
              </w:rPr>
              <w:t>5</w:t>
            </w:r>
          </w:p>
        </w:tc>
        <w:tc>
          <w:tcPr>
            <w:tcW w:w="2825" w:type="dxa"/>
            <w:noWrap w:val="0"/>
            <w:vAlign w:val="center"/>
          </w:tcPr>
          <w:p>
            <w:pPr>
              <w:spacing w:line="320" w:lineRule="exact"/>
              <w:rPr>
                <w:rFonts w:hint="eastAsia" w:ascii="宋体" w:hAnsi="宋体"/>
                <w:szCs w:val="21"/>
              </w:rPr>
            </w:pPr>
            <w:r>
              <w:rPr>
                <w:rFonts w:hint="eastAsia" w:ascii="宋体" w:hAnsi="宋体"/>
                <w:szCs w:val="21"/>
              </w:rPr>
              <w:t>主要供配电设施</w:t>
            </w:r>
          </w:p>
        </w:tc>
        <w:tc>
          <w:tcPr>
            <w:tcW w:w="5925" w:type="dxa"/>
            <w:gridSpan w:val="4"/>
            <w:noWrap w:val="0"/>
            <w:vAlign w:val="center"/>
          </w:tcPr>
          <w:p>
            <w:pPr>
              <w:spacing w:line="320" w:lineRule="exact"/>
              <w:jc w:val="center"/>
              <w:rPr>
                <w:rFonts w:hint="eastAsia" w:ascii="宋体" w:hAnsi="宋体"/>
                <w:szCs w:val="21"/>
              </w:rPr>
            </w:pPr>
            <w:r>
              <w:rPr>
                <w:rFonts w:hint="eastAsia" w:ascii="宋体" w:hAnsi="宋体"/>
                <w:szCs w:val="21"/>
              </w:rPr>
              <w:t>除变配电房以外部分配电设施（详见附图）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12" w:type="dxa"/>
            <w:vMerge w:val="restart"/>
            <w:noWrap w:val="0"/>
            <w:vAlign w:val="center"/>
          </w:tcPr>
          <w:p>
            <w:pPr>
              <w:spacing w:line="320" w:lineRule="exact"/>
              <w:jc w:val="center"/>
              <w:rPr>
                <w:rFonts w:hint="eastAsia" w:ascii="宋体" w:hAnsi="宋体"/>
                <w:szCs w:val="21"/>
              </w:rPr>
            </w:pPr>
            <w:r>
              <w:rPr>
                <w:rFonts w:hint="eastAsia" w:ascii="宋体" w:hAnsi="宋体"/>
                <w:szCs w:val="21"/>
              </w:rPr>
              <w:t>6</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消防控制室</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3处</w:t>
            </w: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科博中心一层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center"/>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中央广场公共停车库地下一层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center"/>
          </w:tcPr>
          <w:p>
            <w:pPr>
              <w:spacing w:line="320" w:lineRule="exact"/>
              <w:jc w:val="center"/>
              <w:rPr>
                <w:rFonts w:hint="eastAsia" w:ascii="宋体" w:hAnsi="宋体"/>
                <w:szCs w:val="21"/>
              </w:rPr>
            </w:pPr>
          </w:p>
        </w:tc>
        <w:tc>
          <w:tcPr>
            <w:tcW w:w="3737" w:type="dxa"/>
            <w:gridSpan w:val="2"/>
            <w:noWrap w:val="0"/>
            <w:vAlign w:val="top"/>
          </w:tcPr>
          <w:p>
            <w:pPr>
              <w:spacing w:line="320" w:lineRule="exact"/>
              <w:jc w:val="center"/>
              <w:rPr>
                <w:rFonts w:hint="eastAsia" w:ascii="宋体" w:hAnsi="宋体"/>
                <w:szCs w:val="21"/>
              </w:rPr>
            </w:pPr>
            <w:r>
              <w:rPr>
                <w:rFonts w:hint="eastAsia" w:ascii="宋体" w:hAnsi="宋体"/>
                <w:szCs w:val="21"/>
              </w:rPr>
              <w:t>中央广场人防地下一层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noWrap w:val="0"/>
            <w:vAlign w:val="center"/>
          </w:tcPr>
          <w:p>
            <w:pPr>
              <w:spacing w:line="320" w:lineRule="exact"/>
              <w:jc w:val="center"/>
              <w:rPr>
                <w:rFonts w:hint="eastAsia" w:ascii="宋体" w:hAnsi="宋体"/>
                <w:szCs w:val="21"/>
              </w:rPr>
            </w:pPr>
            <w:r>
              <w:rPr>
                <w:rFonts w:hint="eastAsia" w:ascii="宋体" w:hAnsi="宋体"/>
                <w:szCs w:val="21"/>
              </w:rPr>
              <w:t>7</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弱电监控机房</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2处</w:t>
            </w:r>
          </w:p>
        </w:tc>
        <w:tc>
          <w:tcPr>
            <w:tcW w:w="3737" w:type="dxa"/>
            <w:gridSpan w:val="2"/>
            <w:noWrap w:val="0"/>
            <w:vAlign w:val="center"/>
          </w:tcPr>
          <w:p>
            <w:pPr>
              <w:spacing w:line="300" w:lineRule="exact"/>
              <w:jc w:val="center"/>
              <w:rPr>
                <w:rFonts w:hint="eastAsia" w:ascii="宋体" w:hAnsi="宋体"/>
                <w:szCs w:val="21"/>
              </w:rPr>
            </w:pPr>
            <w:r>
              <w:rPr>
                <w:rFonts w:hint="eastAsia" w:ascii="宋体" w:hAnsi="宋体"/>
                <w:szCs w:val="21"/>
              </w:rPr>
              <w:t>文化中心一层</w:t>
            </w:r>
          </w:p>
          <w:p>
            <w:pPr>
              <w:spacing w:line="300" w:lineRule="exact"/>
              <w:jc w:val="center"/>
              <w:rPr>
                <w:rFonts w:hint="eastAsia" w:ascii="宋体" w:hAnsi="宋体"/>
                <w:szCs w:val="21"/>
              </w:rPr>
            </w:pPr>
            <w:r>
              <w:rPr>
                <w:rFonts w:hint="eastAsia" w:ascii="宋体" w:hAnsi="宋体"/>
                <w:szCs w:val="21"/>
              </w:rPr>
              <w:t>（科博文化中心大楼的监控）</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00" w:lineRule="exact"/>
              <w:jc w:val="center"/>
              <w:rPr>
                <w:rFonts w:hint="eastAsia" w:ascii="宋体" w:hAnsi="宋体"/>
                <w:szCs w:val="21"/>
              </w:rPr>
            </w:pPr>
            <w:r>
              <w:rPr>
                <w:rFonts w:hint="eastAsia" w:ascii="宋体" w:hAnsi="宋体"/>
                <w:szCs w:val="21"/>
              </w:rPr>
              <w:t>中央广场公共停车库地下一层（与消控室合用）</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20" w:lineRule="exact"/>
              <w:jc w:val="center"/>
              <w:rPr>
                <w:rFonts w:hint="eastAsia" w:ascii="宋体" w:hAnsi="宋体"/>
                <w:szCs w:val="21"/>
              </w:rPr>
            </w:pPr>
            <w:r>
              <w:rPr>
                <w:rFonts w:hint="eastAsia" w:ascii="宋体" w:hAnsi="宋体"/>
                <w:szCs w:val="21"/>
              </w:rPr>
              <w:t>8</w:t>
            </w:r>
          </w:p>
        </w:tc>
        <w:tc>
          <w:tcPr>
            <w:tcW w:w="2825" w:type="dxa"/>
            <w:noWrap w:val="0"/>
            <w:vAlign w:val="center"/>
          </w:tcPr>
          <w:p>
            <w:pPr>
              <w:spacing w:line="320" w:lineRule="exact"/>
              <w:rPr>
                <w:rFonts w:hint="eastAsia" w:ascii="宋体" w:hAnsi="宋体"/>
                <w:szCs w:val="21"/>
              </w:rPr>
            </w:pPr>
            <w:r>
              <w:rPr>
                <w:rFonts w:hint="eastAsia" w:ascii="宋体" w:hAnsi="宋体"/>
                <w:szCs w:val="21"/>
              </w:rPr>
              <w:t>湖心喷泉机房</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1处</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休闲广场地下一层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20" w:lineRule="exact"/>
              <w:jc w:val="center"/>
              <w:rPr>
                <w:rFonts w:hint="eastAsia" w:ascii="宋体" w:hAnsi="宋体"/>
                <w:szCs w:val="21"/>
              </w:rPr>
            </w:pPr>
            <w:r>
              <w:rPr>
                <w:rFonts w:hint="eastAsia" w:ascii="宋体" w:hAnsi="宋体"/>
                <w:szCs w:val="21"/>
              </w:rPr>
              <w:t>9</w:t>
            </w:r>
          </w:p>
        </w:tc>
        <w:tc>
          <w:tcPr>
            <w:tcW w:w="2825" w:type="dxa"/>
            <w:noWrap w:val="0"/>
            <w:vAlign w:val="center"/>
          </w:tcPr>
          <w:p>
            <w:pPr>
              <w:spacing w:line="320" w:lineRule="exact"/>
              <w:rPr>
                <w:rFonts w:hint="eastAsia" w:ascii="宋体" w:hAnsi="宋体"/>
                <w:szCs w:val="21"/>
              </w:rPr>
            </w:pPr>
            <w:r>
              <w:rPr>
                <w:rFonts w:hint="eastAsia" w:ascii="宋体" w:hAnsi="宋体"/>
                <w:szCs w:val="21"/>
              </w:rPr>
              <w:t>3D投影机房</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1处</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休闲广场地面西南侧天桥下方</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20" w:lineRule="exact"/>
              <w:jc w:val="center"/>
              <w:rPr>
                <w:rFonts w:hint="eastAsia" w:ascii="宋体" w:hAnsi="宋体"/>
                <w:szCs w:val="21"/>
              </w:rPr>
            </w:pPr>
            <w:r>
              <w:rPr>
                <w:rFonts w:hint="eastAsia" w:ascii="宋体" w:hAnsi="宋体"/>
                <w:szCs w:val="21"/>
              </w:rPr>
              <w:t>10</w:t>
            </w:r>
          </w:p>
        </w:tc>
        <w:tc>
          <w:tcPr>
            <w:tcW w:w="2825" w:type="dxa"/>
            <w:noWrap w:val="0"/>
            <w:vAlign w:val="center"/>
          </w:tcPr>
          <w:p>
            <w:pPr>
              <w:spacing w:line="320" w:lineRule="exact"/>
              <w:rPr>
                <w:rFonts w:hint="eastAsia" w:ascii="宋体" w:hAnsi="宋体"/>
                <w:szCs w:val="21"/>
              </w:rPr>
            </w:pPr>
            <w:r>
              <w:rPr>
                <w:rFonts w:hint="eastAsia" w:ascii="宋体" w:hAnsi="宋体"/>
                <w:szCs w:val="21"/>
              </w:rPr>
              <w:t>湖心喷泉、表演灯光、表演音响、3D投影控制室</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1个</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休闲广场地下一层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20" w:lineRule="exact"/>
              <w:jc w:val="center"/>
              <w:rPr>
                <w:rFonts w:hint="eastAsia" w:ascii="宋体" w:hAnsi="宋体"/>
                <w:szCs w:val="21"/>
              </w:rPr>
            </w:pPr>
            <w:r>
              <w:rPr>
                <w:rFonts w:hint="eastAsia" w:ascii="宋体" w:hAnsi="宋体"/>
                <w:szCs w:val="21"/>
              </w:rPr>
              <w:t>11</w:t>
            </w:r>
          </w:p>
        </w:tc>
        <w:tc>
          <w:tcPr>
            <w:tcW w:w="2825" w:type="dxa"/>
            <w:noWrap w:val="0"/>
            <w:vAlign w:val="center"/>
          </w:tcPr>
          <w:p>
            <w:pPr>
              <w:spacing w:line="320" w:lineRule="exact"/>
              <w:rPr>
                <w:rFonts w:hint="eastAsia" w:ascii="宋体" w:hAnsi="宋体"/>
                <w:szCs w:val="21"/>
              </w:rPr>
            </w:pPr>
            <w:r>
              <w:rPr>
                <w:rFonts w:hint="eastAsia" w:ascii="宋体" w:hAnsi="宋体"/>
                <w:szCs w:val="21"/>
              </w:rPr>
              <w:t>弱电中转站</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1个</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休闲广场地下一层</w:t>
            </w:r>
          </w:p>
          <w:p>
            <w:pPr>
              <w:spacing w:line="320" w:lineRule="exact"/>
              <w:jc w:val="center"/>
              <w:rPr>
                <w:rFonts w:hint="eastAsia" w:ascii="宋体" w:hAnsi="宋体"/>
                <w:szCs w:val="21"/>
              </w:rPr>
            </w:pPr>
            <w:r>
              <w:rPr>
                <w:rFonts w:hint="eastAsia" w:ascii="宋体" w:hAnsi="宋体"/>
                <w:szCs w:val="21"/>
              </w:rPr>
              <w:t>（用于安防管理）</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20" w:lineRule="exact"/>
              <w:jc w:val="center"/>
              <w:rPr>
                <w:rFonts w:hint="eastAsia" w:ascii="宋体" w:hAnsi="宋体"/>
                <w:szCs w:val="21"/>
              </w:rPr>
            </w:pPr>
            <w:r>
              <w:rPr>
                <w:rFonts w:hint="eastAsia" w:ascii="宋体" w:hAnsi="宋体"/>
                <w:szCs w:val="21"/>
              </w:rPr>
              <w:t>12</w:t>
            </w:r>
          </w:p>
        </w:tc>
        <w:tc>
          <w:tcPr>
            <w:tcW w:w="2825" w:type="dxa"/>
            <w:noWrap w:val="0"/>
            <w:vAlign w:val="center"/>
          </w:tcPr>
          <w:p>
            <w:pPr>
              <w:spacing w:line="320" w:lineRule="exact"/>
              <w:rPr>
                <w:rFonts w:hint="eastAsia" w:ascii="宋体" w:hAnsi="宋体"/>
                <w:szCs w:val="21"/>
              </w:rPr>
            </w:pPr>
            <w:r>
              <w:rPr>
                <w:rFonts w:hint="eastAsia" w:ascii="宋体" w:hAnsi="宋体"/>
                <w:szCs w:val="21"/>
              </w:rPr>
              <w:t>灯光控制室</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1个</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休闲广场地下一层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2" w:type="dxa"/>
            <w:vMerge w:val="restart"/>
            <w:noWrap w:val="0"/>
            <w:vAlign w:val="center"/>
          </w:tcPr>
          <w:p>
            <w:pPr>
              <w:spacing w:line="320" w:lineRule="exact"/>
              <w:jc w:val="center"/>
              <w:rPr>
                <w:rFonts w:hint="eastAsia" w:ascii="宋体" w:hAnsi="宋体"/>
                <w:szCs w:val="21"/>
              </w:rPr>
            </w:pPr>
            <w:r>
              <w:rPr>
                <w:rFonts w:hint="eastAsia" w:ascii="宋体" w:hAnsi="宋体"/>
                <w:szCs w:val="21"/>
              </w:rPr>
              <w:t>13</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电梯</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25台</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科博文化中心</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center"/>
          </w:tcPr>
          <w:p>
            <w:pPr>
              <w:spacing w:line="320" w:lineRule="exact"/>
              <w:rPr>
                <w:rFonts w:hint="eastAsia" w:ascii="宋体" w:hAnsi="宋体"/>
                <w:szCs w:val="21"/>
              </w:rPr>
            </w:pPr>
          </w:p>
        </w:tc>
        <w:tc>
          <w:tcPr>
            <w:tcW w:w="1013" w:type="dxa"/>
            <w:vMerge w:val="continue"/>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中央广场</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2" w:type="dxa"/>
            <w:noWrap w:val="0"/>
            <w:vAlign w:val="center"/>
          </w:tcPr>
          <w:p>
            <w:pPr>
              <w:spacing w:line="320" w:lineRule="exact"/>
              <w:jc w:val="center"/>
              <w:rPr>
                <w:rFonts w:hint="eastAsia" w:ascii="宋体" w:hAnsi="宋体"/>
                <w:szCs w:val="21"/>
              </w:rPr>
            </w:pPr>
            <w:r>
              <w:rPr>
                <w:rFonts w:hint="eastAsia" w:ascii="宋体" w:hAnsi="宋体"/>
                <w:szCs w:val="21"/>
              </w:rPr>
              <w:t>14</w:t>
            </w:r>
          </w:p>
        </w:tc>
        <w:tc>
          <w:tcPr>
            <w:tcW w:w="2825" w:type="dxa"/>
            <w:noWrap w:val="0"/>
            <w:vAlign w:val="center"/>
          </w:tcPr>
          <w:p>
            <w:pPr>
              <w:spacing w:line="320" w:lineRule="exact"/>
              <w:rPr>
                <w:rFonts w:hint="eastAsia" w:ascii="宋体" w:hAnsi="宋体"/>
                <w:szCs w:val="21"/>
              </w:rPr>
            </w:pPr>
            <w:r>
              <w:rPr>
                <w:rFonts w:hint="eastAsia" w:ascii="宋体" w:hAnsi="宋体"/>
                <w:szCs w:val="21"/>
              </w:rPr>
              <w:t>湖心喷泉</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1处</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明月湖中心</w:t>
            </w:r>
          </w:p>
        </w:tc>
        <w:tc>
          <w:tcPr>
            <w:tcW w:w="1175"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12" w:type="dxa"/>
            <w:vMerge w:val="restart"/>
            <w:noWrap w:val="0"/>
            <w:vAlign w:val="center"/>
          </w:tcPr>
          <w:p>
            <w:pPr>
              <w:spacing w:line="320" w:lineRule="exact"/>
              <w:jc w:val="center"/>
              <w:rPr>
                <w:rFonts w:hint="eastAsia" w:ascii="宋体" w:hAnsi="宋体"/>
                <w:szCs w:val="21"/>
              </w:rPr>
            </w:pPr>
            <w:r>
              <w:rPr>
                <w:rFonts w:hint="eastAsia" w:ascii="宋体" w:hAnsi="宋体"/>
                <w:szCs w:val="21"/>
              </w:rPr>
              <w:t>15</w:t>
            </w:r>
          </w:p>
        </w:tc>
        <w:tc>
          <w:tcPr>
            <w:tcW w:w="2825" w:type="dxa"/>
            <w:vMerge w:val="restart"/>
            <w:noWrap w:val="0"/>
            <w:vAlign w:val="center"/>
          </w:tcPr>
          <w:p>
            <w:pPr>
              <w:spacing w:line="320" w:lineRule="exact"/>
              <w:rPr>
                <w:rFonts w:hint="eastAsia" w:ascii="宋体" w:hAnsi="宋体"/>
                <w:szCs w:val="21"/>
              </w:rPr>
            </w:pPr>
            <w:r>
              <w:rPr>
                <w:rFonts w:hint="eastAsia" w:ascii="宋体" w:hAnsi="宋体"/>
                <w:szCs w:val="21"/>
              </w:rPr>
              <w:t>公共厕所</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13处</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南侧地下停车库一层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2" w:type="dxa"/>
            <w:vMerge w:val="continue"/>
            <w:shd w:val="clear" w:color="auto" w:fill="9BBB59"/>
            <w:noWrap w:val="0"/>
            <w:vAlign w:val="center"/>
          </w:tcPr>
          <w:p>
            <w:pPr>
              <w:spacing w:line="320" w:lineRule="exact"/>
              <w:jc w:val="center"/>
              <w:rPr>
                <w:rFonts w:hint="eastAsia" w:ascii="宋体" w:hAnsi="宋体"/>
                <w:szCs w:val="21"/>
              </w:rPr>
            </w:pPr>
          </w:p>
        </w:tc>
        <w:tc>
          <w:tcPr>
            <w:tcW w:w="2825" w:type="dxa"/>
            <w:vMerge w:val="continue"/>
            <w:shd w:val="clear" w:color="auto" w:fill="9BBB59"/>
            <w:noWrap w:val="0"/>
            <w:vAlign w:val="center"/>
          </w:tcPr>
          <w:p>
            <w:pPr>
              <w:spacing w:line="320" w:lineRule="exact"/>
              <w:rPr>
                <w:rFonts w:hint="eastAsia" w:ascii="宋体" w:hAnsi="宋体"/>
                <w:szCs w:val="21"/>
              </w:rPr>
            </w:pPr>
          </w:p>
        </w:tc>
        <w:tc>
          <w:tcPr>
            <w:tcW w:w="1013" w:type="dxa"/>
            <w:vMerge w:val="continue"/>
            <w:shd w:val="clear" w:color="auto" w:fill="9BBB59"/>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2" w:type="dxa"/>
            <w:vMerge w:val="continue"/>
            <w:shd w:val="clear" w:color="auto" w:fill="9BBB59"/>
            <w:noWrap w:val="0"/>
            <w:vAlign w:val="center"/>
          </w:tcPr>
          <w:p>
            <w:pPr>
              <w:spacing w:line="320" w:lineRule="exact"/>
              <w:jc w:val="center"/>
              <w:rPr>
                <w:rFonts w:hint="eastAsia" w:ascii="宋体" w:hAnsi="宋体"/>
                <w:szCs w:val="21"/>
              </w:rPr>
            </w:pPr>
          </w:p>
        </w:tc>
        <w:tc>
          <w:tcPr>
            <w:tcW w:w="2825" w:type="dxa"/>
            <w:vMerge w:val="continue"/>
            <w:shd w:val="clear" w:color="auto" w:fill="9BBB59"/>
            <w:noWrap w:val="0"/>
            <w:vAlign w:val="center"/>
          </w:tcPr>
          <w:p>
            <w:pPr>
              <w:spacing w:line="320" w:lineRule="exact"/>
              <w:rPr>
                <w:rFonts w:hint="eastAsia" w:ascii="宋体" w:hAnsi="宋体"/>
                <w:szCs w:val="21"/>
              </w:rPr>
            </w:pPr>
          </w:p>
        </w:tc>
        <w:tc>
          <w:tcPr>
            <w:tcW w:w="1013" w:type="dxa"/>
            <w:vMerge w:val="continue"/>
            <w:shd w:val="clear" w:color="auto" w:fill="9BBB59"/>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南侧滨河公园</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2" w:type="dxa"/>
            <w:vMerge w:val="continue"/>
            <w:shd w:val="clear" w:color="auto" w:fill="9BBB59"/>
            <w:noWrap w:val="0"/>
            <w:vAlign w:val="center"/>
          </w:tcPr>
          <w:p>
            <w:pPr>
              <w:spacing w:line="320" w:lineRule="exact"/>
              <w:jc w:val="center"/>
              <w:rPr>
                <w:rFonts w:hint="eastAsia" w:ascii="宋体" w:hAnsi="宋体"/>
                <w:szCs w:val="21"/>
              </w:rPr>
            </w:pPr>
          </w:p>
        </w:tc>
        <w:tc>
          <w:tcPr>
            <w:tcW w:w="2825" w:type="dxa"/>
            <w:vMerge w:val="continue"/>
            <w:shd w:val="clear" w:color="auto" w:fill="9BBB59"/>
            <w:noWrap w:val="0"/>
            <w:vAlign w:val="center"/>
          </w:tcPr>
          <w:p>
            <w:pPr>
              <w:spacing w:line="320" w:lineRule="exact"/>
              <w:rPr>
                <w:rFonts w:hint="eastAsia" w:ascii="宋体" w:hAnsi="宋体"/>
                <w:szCs w:val="21"/>
              </w:rPr>
            </w:pPr>
          </w:p>
        </w:tc>
        <w:tc>
          <w:tcPr>
            <w:tcW w:w="1013" w:type="dxa"/>
            <w:vMerge w:val="continue"/>
            <w:shd w:val="clear" w:color="auto" w:fill="9BBB59"/>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中央广场地上</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2" w:type="dxa"/>
            <w:vMerge w:val="continue"/>
            <w:shd w:val="clear" w:color="auto" w:fill="9BBB59"/>
            <w:noWrap w:val="0"/>
            <w:vAlign w:val="center"/>
          </w:tcPr>
          <w:p>
            <w:pPr>
              <w:spacing w:line="320" w:lineRule="exact"/>
              <w:jc w:val="center"/>
              <w:rPr>
                <w:rFonts w:hint="eastAsia" w:ascii="宋体" w:hAnsi="宋体"/>
                <w:szCs w:val="21"/>
              </w:rPr>
            </w:pPr>
          </w:p>
        </w:tc>
        <w:tc>
          <w:tcPr>
            <w:tcW w:w="2825" w:type="dxa"/>
            <w:vMerge w:val="continue"/>
            <w:shd w:val="clear" w:color="auto" w:fill="9BBB59"/>
            <w:noWrap w:val="0"/>
            <w:vAlign w:val="center"/>
          </w:tcPr>
          <w:p>
            <w:pPr>
              <w:spacing w:line="320" w:lineRule="exact"/>
              <w:rPr>
                <w:rFonts w:hint="eastAsia" w:ascii="宋体" w:hAnsi="宋体"/>
                <w:szCs w:val="21"/>
              </w:rPr>
            </w:pPr>
          </w:p>
        </w:tc>
        <w:tc>
          <w:tcPr>
            <w:tcW w:w="1013" w:type="dxa"/>
            <w:vMerge w:val="continue"/>
            <w:shd w:val="clear" w:color="auto" w:fill="9BBB59"/>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中央广场地下一层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2" w:type="dxa"/>
            <w:vMerge w:val="continue"/>
            <w:shd w:val="clear" w:color="auto" w:fill="9BBB59"/>
            <w:noWrap w:val="0"/>
            <w:vAlign w:val="center"/>
          </w:tcPr>
          <w:p>
            <w:pPr>
              <w:spacing w:line="320" w:lineRule="exact"/>
              <w:jc w:val="center"/>
              <w:rPr>
                <w:rFonts w:hint="eastAsia" w:ascii="宋体" w:hAnsi="宋体"/>
                <w:szCs w:val="21"/>
              </w:rPr>
            </w:pPr>
          </w:p>
        </w:tc>
        <w:tc>
          <w:tcPr>
            <w:tcW w:w="2825" w:type="dxa"/>
            <w:vMerge w:val="continue"/>
            <w:shd w:val="clear" w:color="auto" w:fill="9BBB59"/>
            <w:noWrap w:val="0"/>
            <w:vAlign w:val="center"/>
          </w:tcPr>
          <w:p>
            <w:pPr>
              <w:spacing w:line="320" w:lineRule="exact"/>
              <w:rPr>
                <w:rFonts w:hint="eastAsia" w:ascii="宋体" w:hAnsi="宋体"/>
                <w:szCs w:val="21"/>
              </w:rPr>
            </w:pPr>
          </w:p>
        </w:tc>
        <w:tc>
          <w:tcPr>
            <w:tcW w:w="1013" w:type="dxa"/>
            <w:vMerge w:val="continue"/>
            <w:shd w:val="clear" w:color="auto" w:fill="9BBB59"/>
            <w:noWrap w:val="0"/>
            <w:vAlign w:val="center"/>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中央广场地下二层</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2" w:type="dxa"/>
            <w:noWrap w:val="0"/>
            <w:vAlign w:val="center"/>
          </w:tcPr>
          <w:p>
            <w:pPr>
              <w:spacing w:line="320" w:lineRule="exact"/>
              <w:jc w:val="center"/>
              <w:rPr>
                <w:rFonts w:hint="eastAsia" w:ascii="宋体" w:hAnsi="宋体"/>
                <w:szCs w:val="21"/>
              </w:rPr>
            </w:pPr>
            <w:r>
              <w:rPr>
                <w:rFonts w:hint="eastAsia" w:ascii="宋体" w:hAnsi="宋体"/>
                <w:szCs w:val="21"/>
              </w:rPr>
              <w:t>16</w:t>
            </w:r>
          </w:p>
        </w:tc>
        <w:tc>
          <w:tcPr>
            <w:tcW w:w="2825" w:type="dxa"/>
            <w:noWrap w:val="0"/>
            <w:vAlign w:val="center"/>
          </w:tcPr>
          <w:p>
            <w:pPr>
              <w:spacing w:line="320" w:lineRule="exact"/>
              <w:rPr>
                <w:rFonts w:hint="eastAsia" w:ascii="宋体" w:hAnsi="宋体"/>
                <w:szCs w:val="21"/>
              </w:rPr>
            </w:pPr>
            <w:r>
              <w:rPr>
                <w:rFonts w:hint="eastAsia" w:ascii="宋体" w:hAnsi="宋体"/>
                <w:szCs w:val="21"/>
              </w:rPr>
              <w:t>夜景灯光系统</w:t>
            </w:r>
          </w:p>
        </w:tc>
        <w:tc>
          <w:tcPr>
            <w:tcW w:w="1013" w:type="dxa"/>
            <w:noWrap w:val="0"/>
            <w:vAlign w:val="center"/>
          </w:tcPr>
          <w:p>
            <w:pPr>
              <w:spacing w:line="320" w:lineRule="exact"/>
              <w:jc w:val="center"/>
              <w:rPr>
                <w:rFonts w:hint="eastAsia" w:ascii="宋体" w:hAnsi="宋体"/>
                <w:szCs w:val="21"/>
              </w:rPr>
            </w:pPr>
            <w:r>
              <w:rPr>
                <w:rFonts w:hint="eastAsia" w:ascii="宋体" w:hAnsi="宋体"/>
                <w:szCs w:val="21"/>
              </w:rPr>
              <w:t>若干处</w:t>
            </w:r>
          </w:p>
        </w:tc>
        <w:tc>
          <w:tcPr>
            <w:tcW w:w="4912" w:type="dxa"/>
            <w:gridSpan w:val="3"/>
            <w:noWrap w:val="0"/>
            <w:vAlign w:val="center"/>
          </w:tcPr>
          <w:p>
            <w:pPr>
              <w:spacing w:line="320" w:lineRule="exact"/>
              <w:jc w:val="center"/>
              <w:rPr>
                <w:rFonts w:hint="eastAsia" w:ascii="宋体" w:hAnsi="宋体"/>
                <w:szCs w:val="21"/>
              </w:rPr>
            </w:pPr>
            <w:r>
              <w:rPr>
                <w:rFonts w:hint="eastAsia" w:ascii="宋体" w:hAnsi="宋体"/>
                <w:szCs w:val="21"/>
              </w:rPr>
              <w:t>休闲广场、科博文化中心、中央广场、中横线、滨河公园等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12" w:type="dxa"/>
            <w:vMerge w:val="restart"/>
            <w:noWrap w:val="0"/>
            <w:vAlign w:val="center"/>
          </w:tcPr>
          <w:p>
            <w:pPr>
              <w:spacing w:line="320" w:lineRule="exact"/>
              <w:jc w:val="center"/>
              <w:rPr>
                <w:rFonts w:hint="eastAsia" w:ascii="宋体" w:hAnsi="宋体"/>
                <w:szCs w:val="21"/>
              </w:rPr>
            </w:pPr>
            <w:r>
              <w:rPr>
                <w:rFonts w:hint="eastAsia" w:ascii="宋体" w:hAnsi="宋体"/>
                <w:szCs w:val="21"/>
              </w:rPr>
              <w:t>17</w:t>
            </w:r>
          </w:p>
        </w:tc>
        <w:tc>
          <w:tcPr>
            <w:tcW w:w="2825" w:type="dxa"/>
            <w:vMerge w:val="restart"/>
            <w:noWrap w:val="0"/>
            <w:vAlign w:val="top"/>
          </w:tcPr>
          <w:p>
            <w:pPr>
              <w:spacing w:line="320" w:lineRule="exact"/>
              <w:jc w:val="center"/>
              <w:rPr>
                <w:rFonts w:hint="eastAsia" w:ascii="宋体" w:hAnsi="宋体"/>
                <w:szCs w:val="21"/>
              </w:rPr>
            </w:pPr>
            <w:r>
              <w:rPr>
                <w:rFonts w:hint="eastAsia" w:ascii="宋体" w:hAnsi="宋体"/>
                <w:szCs w:val="21"/>
              </w:rPr>
              <w:t>消防水泵房（含消火栓泵、喷淋泵、消防水池）、市政进水口、水表计量、电表计量、照明系统、通风和空调系统（含水源热泵）、冷冻机房等、防排烟系统、高低配系统、监控系统、消防系统、综合弱电系统、音响系统、给排水系统、避雷系统、BA系统、人防系统等。</w:t>
            </w:r>
          </w:p>
        </w:tc>
        <w:tc>
          <w:tcPr>
            <w:tcW w:w="1013" w:type="dxa"/>
            <w:vMerge w:val="restart"/>
            <w:noWrap w:val="0"/>
            <w:vAlign w:val="center"/>
          </w:tcPr>
          <w:p>
            <w:pPr>
              <w:spacing w:line="320" w:lineRule="exact"/>
              <w:jc w:val="center"/>
              <w:rPr>
                <w:rFonts w:hint="eastAsia" w:ascii="宋体" w:hAnsi="宋体"/>
                <w:szCs w:val="21"/>
              </w:rPr>
            </w:pPr>
            <w:r>
              <w:rPr>
                <w:rFonts w:hint="eastAsia" w:ascii="宋体" w:hAnsi="宋体"/>
                <w:szCs w:val="21"/>
              </w:rPr>
              <w:t>3套</w:t>
            </w: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休闲广场（其中消防水泵房位于大剧院地下室）</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top"/>
          </w:tcPr>
          <w:p>
            <w:pPr>
              <w:spacing w:line="320" w:lineRule="exact"/>
              <w:jc w:val="center"/>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科博文化中心</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12" w:type="dxa"/>
            <w:vMerge w:val="continue"/>
            <w:noWrap w:val="0"/>
            <w:vAlign w:val="center"/>
          </w:tcPr>
          <w:p>
            <w:pPr>
              <w:spacing w:line="320" w:lineRule="exact"/>
              <w:jc w:val="center"/>
              <w:rPr>
                <w:rFonts w:hint="eastAsia" w:ascii="宋体" w:hAnsi="宋体"/>
                <w:szCs w:val="21"/>
              </w:rPr>
            </w:pPr>
          </w:p>
        </w:tc>
        <w:tc>
          <w:tcPr>
            <w:tcW w:w="2825" w:type="dxa"/>
            <w:vMerge w:val="continue"/>
            <w:noWrap w:val="0"/>
            <w:vAlign w:val="top"/>
          </w:tcPr>
          <w:p>
            <w:pPr>
              <w:spacing w:line="320" w:lineRule="exact"/>
              <w:jc w:val="center"/>
              <w:rPr>
                <w:rFonts w:hint="eastAsia" w:ascii="宋体" w:hAnsi="宋体"/>
                <w:szCs w:val="21"/>
              </w:rPr>
            </w:pPr>
          </w:p>
        </w:tc>
        <w:tc>
          <w:tcPr>
            <w:tcW w:w="1013" w:type="dxa"/>
            <w:vMerge w:val="continue"/>
            <w:noWrap w:val="0"/>
            <w:vAlign w:val="top"/>
          </w:tcPr>
          <w:p>
            <w:pPr>
              <w:spacing w:line="320" w:lineRule="exact"/>
              <w:jc w:val="center"/>
              <w:rPr>
                <w:rFonts w:hint="eastAsia" w:ascii="宋体" w:hAnsi="宋体"/>
                <w:szCs w:val="21"/>
              </w:rPr>
            </w:pPr>
          </w:p>
        </w:tc>
        <w:tc>
          <w:tcPr>
            <w:tcW w:w="3737" w:type="dxa"/>
            <w:gridSpan w:val="2"/>
            <w:noWrap w:val="0"/>
            <w:vAlign w:val="center"/>
          </w:tcPr>
          <w:p>
            <w:pPr>
              <w:spacing w:line="320" w:lineRule="exact"/>
              <w:jc w:val="center"/>
              <w:rPr>
                <w:rFonts w:hint="eastAsia" w:ascii="宋体" w:hAnsi="宋体"/>
                <w:szCs w:val="21"/>
              </w:rPr>
            </w:pPr>
            <w:r>
              <w:rPr>
                <w:rFonts w:hint="eastAsia" w:ascii="宋体" w:hAnsi="宋体"/>
                <w:szCs w:val="21"/>
              </w:rPr>
              <w:t>中央广场</w:t>
            </w:r>
          </w:p>
        </w:tc>
        <w:tc>
          <w:tcPr>
            <w:tcW w:w="1175" w:type="dxa"/>
            <w:noWrap w:val="0"/>
            <w:vAlign w:val="center"/>
          </w:tcPr>
          <w:p>
            <w:pPr>
              <w:spacing w:line="320" w:lineRule="exact"/>
              <w:jc w:val="center"/>
              <w:rPr>
                <w:rFonts w:hint="eastAsia" w:ascii="宋体" w:hAnsi="宋体"/>
                <w:szCs w:val="21"/>
              </w:rPr>
            </w:pPr>
            <w:r>
              <w:rPr>
                <w:rFonts w:hint="eastAsia" w:ascii="宋体" w:hAnsi="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20" w:lineRule="exact"/>
              <w:jc w:val="center"/>
              <w:rPr>
                <w:rFonts w:hint="eastAsia" w:ascii="宋体" w:hAnsi="宋体"/>
                <w:szCs w:val="21"/>
              </w:rPr>
            </w:pPr>
            <w:r>
              <w:rPr>
                <w:rFonts w:hint="eastAsia" w:ascii="宋体" w:hAnsi="宋体"/>
                <w:szCs w:val="21"/>
              </w:rPr>
              <w:t>18</w:t>
            </w:r>
          </w:p>
        </w:tc>
        <w:tc>
          <w:tcPr>
            <w:tcW w:w="2825" w:type="dxa"/>
            <w:noWrap w:val="0"/>
            <w:vAlign w:val="center"/>
          </w:tcPr>
          <w:p>
            <w:pPr>
              <w:spacing w:line="320" w:lineRule="exact"/>
              <w:jc w:val="center"/>
              <w:rPr>
                <w:rFonts w:hint="eastAsia" w:ascii="宋体" w:hAnsi="宋体"/>
                <w:szCs w:val="21"/>
              </w:rPr>
            </w:pPr>
            <w:r>
              <w:rPr>
                <w:rFonts w:hint="eastAsia" w:ascii="宋体" w:hAnsi="宋体"/>
                <w:szCs w:val="21"/>
              </w:rPr>
              <w:t>其他设施设备（包括城市家具、小品雕塑、垃圾箱（含智能四分类垃圾收集箱）、扶手栏杆、景观桥、喷泉、照明系统、音响系统、给排水系统等）</w:t>
            </w:r>
          </w:p>
        </w:tc>
        <w:tc>
          <w:tcPr>
            <w:tcW w:w="5925" w:type="dxa"/>
            <w:gridSpan w:val="4"/>
            <w:noWrap w:val="0"/>
            <w:vAlign w:val="center"/>
          </w:tcPr>
          <w:p>
            <w:pPr>
              <w:spacing w:line="320" w:lineRule="exact"/>
              <w:jc w:val="center"/>
              <w:rPr>
                <w:rFonts w:hint="eastAsia" w:ascii="宋体" w:hAnsi="宋体"/>
                <w:szCs w:val="21"/>
              </w:rPr>
            </w:pPr>
            <w:r>
              <w:rPr>
                <w:rFonts w:hint="eastAsia" w:ascii="宋体" w:hAnsi="宋体"/>
                <w:szCs w:val="21"/>
              </w:rPr>
              <w:t>若干（以现场实际为准）</w:t>
            </w:r>
          </w:p>
        </w:tc>
      </w:tr>
    </w:tbl>
    <w:p>
      <w:pPr>
        <w:spacing w:line="400" w:lineRule="atLeast"/>
        <w:ind w:left="141"/>
        <w:rPr>
          <w:rFonts w:hint="eastAsia" w:ascii="宋体" w:hAnsi="宋体"/>
          <w:b/>
          <w:bCs/>
          <w:szCs w:val="21"/>
        </w:rPr>
      </w:pPr>
      <w:r>
        <w:rPr>
          <w:rFonts w:hint="eastAsia" w:ascii="宋体" w:hAnsi="宋体"/>
          <w:b/>
          <w:bCs/>
          <w:szCs w:val="21"/>
        </w:rPr>
        <w:t>三、城市公共空间一体化管理服务目标和方式</w:t>
      </w:r>
    </w:p>
    <w:p>
      <w:pPr>
        <w:autoSpaceDE w:val="0"/>
        <w:autoSpaceDN w:val="0"/>
        <w:adjustRightInd w:val="0"/>
        <w:spacing w:line="400" w:lineRule="atLeast"/>
        <w:rPr>
          <w:rFonts w:hint="eastAsia" w:ascii="宋体" w:hAnsi="宋体"/>
          <w:b/>
          <w:bCs/>
          <w:szCs w:val="21"/>
        </w:rPr>
      </w:pPr>
      <w:r>
        <w:rPr>
          <w:rFonts w:hint="eastAsia" w:ascii="宋体" w:hAnsi="宋体" w:cs="Arial"/>
          <w:b/>
          <w:szCs w:val="21"/>
          <w:lang w:val="zh-CN"/>
        </w:rPr>
        <w:t>（</w:t>
      </w:r>
      <w:r>
        <w:rPr>
          <w:rFonts w:hint="eastAsia" w:ascii="宋体" w:hAnsi="宋体" w:cs="Arial"/>
          <w:b/>
          <w:szCs w:val="21"/>
        </w:rPr>
        <w:t>一</w:t>
      </w:r>
      <w:r>
        <w:rPr>
          <w:rFonts w:hint="eastAsia" w:ascii="宋体" w:hAnsi="宋体" w:cs="Arial"/>
          <w:b/>
          <w:szCs w:val="21"/>
          <w:lang w:val="zh-CN"/>
        </w:rPr>
        <w:t>）、管理目标</w:t>
      </w:r>
    </w:p>
    <w:p>
      <w:pPr>
        <w:autoSpaceDE w:val="0"/>
        <w:autoSpaceDN w:val="0"/>
        <w:adjustRightInd w:val="0"/>
        <w:spacing w:line="400" w:lineRule="atLeast"/>
        <w:ind w:left="120"/>
        <w:rPr>
          <w:rFonts w:hint="eastAsia" w:ascii="宋体" w:hAnsi="宋体" w:cs="Arial"/>
          <w:szCs w:val="21"/>
          <w:lang w:val="zh-CN"/>
        </w:rPr>
      </w:pPr>
      <w:r>
        <w:rPr>
          <w:rFonts w:hint="eastAsia" w:ascii="宋体" w:hAnsi="宋体" w:cs="Arial"/>
          <w:szCs w:val="21"/>
        </w:rPr>
        <w:t>1、</w:t>
      </w:r>
      <w:r>
        <w:rPr>
          <w:rFonts w:hint="eastAsia" w:ascii="宋体" w:hAnsi="宋体" w:cs="Arial"/>
          <w:szCs w:val="21"/>
          <w:lang w:val="zh-CN"/>
        </w:rPr>
        <w:t>突出慈溪市环杭州湾创新中心的：人文、和谐、健康、发展的服务理念。</w:t>
      </w:r>
    </w:p>
    <w:p>
      <w:pPr>
        <w:autoSpaceDE w:val="0"/>
        <w:autoSpaceDN w:val="0"/>
        <w:adjustRightInd w:val="0"/>
        <w:spacing w:line="400" w:lineRule="atLeast"/>
        <w:ind w:left="120"/>
        <w:rPr>
          <w:rFonts w:hint="eastAsia" w:ascii="宋体" w:hAnsi="宋体" w:cs="Arial"/>
          <w:szCs w:val="21"/>
        </w:rPr>
      </w:pPr>
      <w:r>
        <w:rPr>
          <w:rFonts w:hint="eastAsia" w:ascii="宋体" w:hAnsi="宋体" w:cs="Arial"/>
          <w:szCs w:val="21"/>
        </w:rPr>
        <w:t>2、</w:t>
      </w:r>
      <w:r>
        <w:rPr>
          <w:rFonts w:hint="eastAsia" w:ascii="宋体" w:hAnsi="宋体" w:cs="Arial"/>
          <w:szCs w:val="21"/>
          <w:lang w:val="zh-CN"/>
        </w:rPr>
        <w:t xml:space="preserve">努力达到“三优一保证”即优美环境、优质服务、优化功能、保证安全。                                                                                                                                                                                                                                       </w:t>
      </w:r>
    </w:p>
    <w:p>
      <w:pPr>
        <w:autoSpaceDE w:val="0"/>
        <w:autoSpaceDN w:val="0"/>
        <w:adjustRightInd w:val="0"/>
        <w:spacing w:line="400" w:lineRule="atLeast"/>
        <w:rPr>
          <w:rFonts w:hint="eastAsia" w:ascii="宋体" w:hAnsi="宋体" w:cs="Arial"/>
          <w:b/>
          <w:szCs w:val="21"/>
          <w:lang w:val="zh-CN"/>
        </w:rPr>
      </w:pPr>
      <w:r>
        <w:rPr>
          <w:rFonts w:hint="eastAsia" w:ascii="宋体" w:hAnsi="宋体" w:cs="Arial"/>
          <w:b/>
          <w:szCs w:val="21"/>
          <w:lang w:val="zh-CN"/>
        </w:rPr>
        <w:t>（</w:t>
      </w:r>
      <w:r>
        <w:rPr>
          <w:rFonts w:hint="eastAsia" w:ascii="宋体" w:hAnsi="宋体" w:cs="Arial"/>
          <w:b/>
          <w:szCs w:val="21"/>
        </w:rPr>
        <w:t>二</w:t>
      </w:r>
      <w:r>
        <w:rPr>
          <w:rFonts w:hint="eastAsia" w:ascii="宋体" w:hAnsi="宋体" w:cs="Arial"/>
          <w:b/>
          <w:szCs w:val="21"/>
          <w:lang w:val="zh-CN"/>
        </w:rPr>
        <w:t>）管理方式</w:t>
      </w:r>
    </w:p>
    <w:p>
      <w:r>
        <w:t>1、中标人</w:t>
      </w:r>
      <w:r>
        <w:rPr>
          <w:lang w:val="zh-CN"/>
        </w:rPr>
        <w:t>所有岗位建立岗位责任制、运作程序、工作质量标准。</w:t>
      </w:r>
      <w:r>
        <w:t>并落实城市公共空间一体化管理品质督导员，对本项目的管理服务总体工作进行监督，以确保本项目的服务达到应有的水平。</w:t>
      </w:r>
    </w:p>
    <w:p>
      <w:pPr>
        <w:rPr>
          <w:lang w:val="zh-CN"/>
        </w:rPr>
      </w:pPr>
      <w:r>
        <w:rPr>
          <w:rFonts w:hint="eastAsia"/>
        </w:rPr>
        <w:t>2、</w:t>
      </w:r>
      <w:r>
        <w:rPr>
          <w:lang w:val="zh-CN"/>
        </w:rPr>
        <w:t>中标人按照管理内容编制检查表，每日进行检查，发现问题及时整改。</w:t>
      </w:r>
    </w:p>
    <w:p>
      <w:pPr>
        <w:rPr>
          <w:lang w:val="zh-CN"/>
        </w:rPr>
      </w:pPr>
      <w:r>
        <w:rPr>
          <w:rFonts w:hint="eastAsia"/>
        </w:rPr>
        <w:t>3、</w:t>
      </w:r>
      <w:r>
        <w:rPr>
          <w:lang w:val="zh-CN"/>
        </w:rPr>
        <w:t>中标人要加强节能减排工作，按规定开关公共部位照明灯具，每月编制书面月度能耗分析报告。</w:t>
      </w:r>
    </w:p>
    <w:p>
      <w:pPr>
        <w:rPr>
          <w:lang w:val="zh-CN"/>
        </w:rPr>
      </w:pPr>
      <w:r>
        <w:rPr>
          <w:rFonts w:hint="eastAsia"/>
        </w:rPr>
        <w:t>4、采购</w:t>
      </w:r>
      <w:r>
        <w:rPr>
          <w:lang w:val="zh-CN"/>
        </w:rPr>
        <w:t>人负责对中标人</w:t>
      </w:r>
      <w:r>
        <w:t>城市公共空间一体化管理服务</w:t>
      </w:r>
      <w:r>
        <w:rPr>
          <w:lang w:val="zh-CN"/>
        </w:rPr>
        <w:t>项目进行日常监督和考核，对中标人各工作</w:t>
      </w:r>
      <w:r>
        <w:t>内容</w:t>
      </w:r>
      <w:r>
        <w:rPr>
          <w:lang w:val="zh-CN"/>
        </w:rPr>
        <w:t>的服务质量随时进行抽查。发现问题，及时书面通知整改，每月进行统计，参与综合评分。</w:t>
      </w:r>
    </w:p>
    <w:p>
      <w:pPr>
        <w:rPr>
          <w:lang w:val="zh-CN"/>
        </w:rPr>
      </w:pPr>
      <w:r>
        <w:rPr>
          <w:rFonts w:hint="eastAsia"/>
        </w:rPr>
        <w:t>5、采购</w:t>
      </w:r>
      <w:r>
        <w:rPr>
          <w:rFonts w:ascii="Calibri" w:hAnsi="Calibri"/>
          <w:lang w:val="zh-CN"/>
        </w:rPr>
        <w:t>人</w:t>
      </w:r>
      <w:r>
        <w:rPr>
          <w:lang w:val="zh-CN"/>
        </w:rPr>
        <w:t>定期向有关人员发放“服务意见征询书”，根据反馈意见书进行统计，进行综合评分。</w:t>
      </w:r>
    </w:p>
    <w:p>
      <w:pPr>
        <w:rPr>
          <w:lang w:val="zh-CN"/>
        </w:rPr>
      </w:pPr>
      <w:r>
        <w:rPr>
          <w:rFonts w:hint="eastAsia"/>
        </w:rPr>
        <w:t>6、采购</w:t>
      </w:r>
      <w:r>
        <w:rPr>
          <w:rFonts w:ascii="Calibri" w:hAnsi="Calibri"/>
          <w:lang w:val="zh-CN"/>
        </w:rPr>
        <w:t>人</w:t>
      </w:r>
      <w:r>
        <w:rPr>
          <w:lang w:val="zh-CN"/>
        </w:rPr>
        <w:t>根据综合考核评分按合同相关条款进行管理服务费的支付（在合同中体现）。</w:t>
      </w:r>
    </w:p>
    <w:p>
      <w:pPr>
        <w:rPr>
          <w:lang w:val="zh-CN"/>
        </w:rPr>
      </w:pPr>
      <w:r>
        <w:rPr>
          <w:rFonts w:hint="eastAsia"/>
        </w:rPr>
        <w:t>7、采购</w:t>
      </w:r>
      <w:r>
        <w:rPr>
          <w:rFonts w:ascii="Calibri" w:hAnsi="Calibri"/>
          <w:lang w:val="zh-CN"/>
        </w:rPr>
        <w:t>人</w:t>
      </w:r>
      <w:r>
        <w:rPr>
          <w:lang w:val="zh-CN"/>
        </w:rPr>
        <w:t>建立各类应急预案（如消防、抗台等），中标后培训相关人员达到相关要求。</w:t>
      </w:r>
    </w:p>
    <w:p>
      <w:pPr>
        <w:rPr>
          <w:lang w:val="zh-CN"/>
        </w:rPr>
      </w:pPr>
      <w:r>
        <w:rPr>
          <w:lang w:val="zh-CN"/>
        </w:rPr>
        <w:t>对于上级下达的重大接待任务，中标人应根据</w:t>
      </w:r>
      <w:r>
        <w:rPr>
          <w:rFonts w:hint="eastAsia"/>
          <w:lang w:val="zh-CN"/>
        </w:rPr>
        <w:t>采购人</w:t>
      </w:r>
      <w:r>
        <w:rPr>
          <w:lang w:val="zh-CN"/>
        </w:rPr>
        <w:t>的工作要求，做好配合工作。</w:t>
      </w:r>
    </w:p>
    <w:p>
      <w:pPr>
        <w:spacing w:line="400" w:lineRule="atLeast"/>
        <w:rPr>
          <w:rFonts w:hint="eastAsia" w:ascii="宋体" w:hAnsi="宋体" w:cs="Arial"/>
          <w:b/>
          <w:bCs/>
          <w:szCs w:val="21"/>
          <w:lang w:val="zh-CN"/>
        </w:rPr>
      </w:pPr>
      <w:r>
        <w:rPr>
          <w:rFonts w:hint="eastAsia" w:ascii="宋体" w:hAnsi="宋体" w:cs="Arial"/>
          <w:b/>
          <w:bCs/>
          <w:szCs w:val="21"/>
        </w:rPr>
        <w:t>四、</w:t>
      </w:r>
      <w:r>
        <w:rPr>
          <w:rFonts w:hint="eastAsia" w:ascii="宋体" w:hAnsi="宋体" w:cs="Arial"/>
          <w:b/>
          <w:bCs/>
          <w:szCs w:val="21"/>
          <w:lang w:val="zh-CN"/>
        </w:rPr>
        <w:t>城市公共空间一体化管理服务主要内容和要求</w:t>
      </w:r>
    </w:p>
    <w:p>
      <w:pPr>
        <w:spacing w:line="400" w:lineRule="atLeast"/>
        <w:ind w:firstLine="411" w:firstLineChars="196"/>
        <w:rPr>
          <w:rFonts w:hint="eastAsia" w:ascii="宋体" w:hAnsi="宋体" w:cs="Arial"/>
          <w:szCs w:val="21"/>
          <w:lang w:val="zh-CN"/>
        </w:rPr>
      </w:pPr>
      <w:r>
        <w:rPr>
          <w:rFonts w:hint="eastAsia" w:ascii="宋体" w:hAnsi="宋体" w:cs="Arial"/>
          <w:szCs w:val="21"/>
          <w:lang w:val="zh-CN"/>
        </w:rPr>
        <w:t>慈溪市环杭州湾创新中心公共区域保洁服务、公共安全维护服务、园林绿化养护、日常维修等内容。</w:t>
      </w:r>
    </w:p>
    <w:p>
      <w:pPr>
        <w:spacing w:line="400" w:lineRule="atLeast"/>
        <w:rPr>
          <w:rFonts w:hint="eastAsia" w:ascii="宋体" w:hAnsi="宋体"/>
          <w:b/>
          <w:szCs w:val="21"/>
        </w:rPr>
      </w:pPr>
      <w:r>
        <w:rPr>
          <w:rFonts w:hint="eastAsia" w:ascii="宋体" w:hAnsi="宋体" w:cs="Arial"/>
          <w:b/>
          <w:szCs w:val="21"/>
          <w:lang w:val="zh-CN"/>
        </w:rPr>
        <w:t>（</w:t>
      </w:r>
      <w:r>
        <w:rPr>
          <w:rFonts w:hint="eastAsia" w:ascii="宋体" w:hAnsi="宋体" w:cs="Arial"/>
          <w:b/>
          <w:szCs w:val="21"/>
        </w:rPr>
        <w:t>一</w:t>
      </w:r>
      <w:r>
        <w:rPr>
          <w:rFonts w:hint="eastAsia" w:ascii="宋体" w:hAnsi="宋体" w:cs="Arial"/>
          <w:b/>
          <w:szCs w:val="21"/>
          <w:lang w:val="zh-CN"/>
        </w:rPr>
        <w:t>）、保洁服务</w:t>
      </w:r>
    </w:p>
    <w:p>
      <w:pPr>
        <w:autoSpaceDE w:val="0"/>
        <w:autoSpaceDN w:val="0"/>
        <w:adjustRightInd w:val="0"/>
        <w:spacing w:line="400" w:lineRule="atLeast"/>
        <w:rPr>
          <w:rFonts w:hint="eastAsia" w:ascii="宋体" w:hAnsi="宋体" w:cs="Arial"/>
          <w:szCs w:val="21"/>
          <w:lang w:val="zh-CN"/>
        </w:rPr>
      </w:pPr>
      <w:r>
        <w:rPr>
          <w:rFonts w:hint="eastAsia" w:ascii="宋体" w:hAnsi="宋体" w:cs="Arial"/>
          <w:szCs w:val="21"/>
        </w:rPr>
        <w:t>1、</w:t>
      </w:r>
      <w:r>
        <w:rPr>
          <w:rFonts w:hint="eastAsia" w:ascii="宋体" w:hAnsi="宋体" w:cs="Arial"/>
          <w:szCs w:val="21"/>
          <w:lang w:val="zh-CN"/>
        </w:rPr>
        <w:t>保洁范围：</w:t>
      </w:r>
    </w:p>
    <w:p>
      <w:pPr>
        <w:autoSpaceDE w:val="0"/>
        <w:autoSpaceDN w:val="0"/>
        <w:adjustRightInd w:val="0"/>
        <w:spacing w:line="400" w:lineRule="atLeast"/>
        <w:rPr>
          <w:rFonts w:hint="eastAsia" w:ascii="宋体" w:hAnsi="宋体"/>
          <w:bCs/>
          <w:szCs w:val="21"/>
        </w:rPr>
      </w:pPr>
      <w:r>
        <w:rPr>
          <w:rFonts w:hint="eastAsia" w:ascii="宋体" w:hAnsi="宋体"/>
          <w:b/>
          <w:bCs/>
          <w:szCs w:val="21"/>
        </w:rPr>
        <w:t>1）、公共区域范围内（详见附图）</w:t>
      </w:r>
      <w:r>
        <w:rPr>
          <w:rFonts w:hint="eastAsia" w:ascii="宋体" w:hAnsi="宋体" w:cs="Arial"/>
          <w:b/>
          <w:szCs w:val="21"/>
          <w:lang w:val="zh-CN"/>
        </w:rPr>
        <w:t>的公共环境卫生保洁。</w:t>
      </w:r>
      <w:r>
        <w:rPr>
          <w:rFonts w:hint="eastAsia" w:ascii="宋体" w:hAnsi="宋体" w:cs="Arial"/>
          <w:szCs w:val="21"/>
          <w:lang w:val="zh-CN"/>
        </w:rPr>
        <w:t>包括南侧公建群室外广场、</w:t>
      </w:r>
      <w:r>
        <w:rPr>
          <w:rFonts w:hint="eastAsia" w:ascii="宋体" w:hAnsi="宋体" w:cs="Arial"/>
          <w:szCs w:val="21"/>
        </w:rPr>
        <w:t>大剧院室外及地下停车库、</w:t>
      </w:r>
      <w:r>
        <w:rPr>
          <w:rFonts w:hint="eastAsia" w:ascii="宋体" w:hAnsi="宋体" w:cs="Arial"/>
          <w:szCs w:val="21"/>
          <w:lang w:val="zh-CN"/>
        </w:rPr>
        <w:t>中央广场、公共停车库和人防地下室、科博文化中心地下室、地上一层共享大厅、地上各层公共设备用房、屋面、南北侧地下停车库、休闲广场、环形天桥、景观桥、扶手栏杆、自</w:t>
      </w:r>
      <w:r>
        <w:rPr>
          <w:rFonts w:hint="eastAsia" w:ascii="宋体" w:hAnsi="宋体"/>
          <w:bCs/>
          <w:szCs w:val="21"/>
        </w:rPr>
        <w:t>动扶梯、垂直电梯、建筑小品、公共厕所、雕塑、</w:t>
      </w:r>
      <w:r>
        <w:rPr>
          <w:rFonts w:hint="eastAsia" w:ascii="宋体" w:hAnsi="宋体" w:cs="Arial"/>
          <w:szCs w:val="21"/>
          <w:lang w:val="zh-CN"/>
        </w:rPr>
        <w:t>绿化、</w:t>
      </w:r>
      <w:r>
        <w:rPr>
          <w:rFonts w:hint="eastAsia" w:ascii="宋体" w:hAnsi="宋体"/>
          <w:bCs/>
          <w:szCs w:val="21"/>
        </w:rPr>
        <w:t>水景、湖心喷泉、路灯灯具、垃圾箱、</w:t>
      </w:r>
      <w:r>
        <w:rPr>
          <w:rFonts w:hint="eastAsia" w:ascii="宋体" w:hAnsi="宋体" w:cs="Arial"/>
          <w:szCs w:val="21"/>
          <w:lang w:val="zh-CN"/>
        </w:rPr>
        <w:t>亲水平台外5米范围内的水面、各类小广告清理、3D投影机房、</w:t>
      </w:r>
      <w:r>
        <w:rPr>
          <w:rFonts w:hint="eastAsia" w:ascii="宋体" w:hAnsi="宋体"/>
          <w:bCs/>
          <w:szCs w:val="21"/>
        </w:rPr>
        <w:t>市政道路、桥梁、人行道、公共厕所、南北侧滨河公园、中横线绿化、08-A地块临时停车场等。</w:t>
      </w:r>
    </w:p>
    <w:p>
      <w:pPr>
        <w:autoSpaceDE w:val="0"/>
        <w:autoSpaceDN w:val="0"/>
        <w:adjustRightInd w:val="0"/>
        <w:spacing w:line="400" w:lineRule="atLeast"/>
        <w:rPr>
          <w:rFonts w:hint="eastAsia" w:ascii="宋体" w:hAnsi="宋体" w:cs="Arial"/>
          <w:b/>
          <w:szCs w:val="21"/>
          <w:lang w:val="zh-CN"/>
        </w:rPr>
      </w:pPr>
      <w:r>
        <w:rPr>
          <w:rFonts w:hint="eastAsia" w:ascii="宋体" w:hAnsi="宋体" w:cs="Arial"/>
          <w:b/>
          <w:szCs w:val="21"/>
        </w:rPr>
        <w:t>2）、</w:t>
      </w:r>
      <w:r>
        <w:rPr>
          <w:rFonts w:hint="eastAsia" w:ascii="宋体" w:hAnsi="宋体" w:cs="Arial"/>
          <w:b/>
          <w:szCs w:val="21"/>
          <w:lang w:val="zh-CN"/>
        </w:rPr>
        <w:t>门前三包卫生工作。</w:t>
      </w:r>
    </w:p>
    <w:p>
      <w:pPr>
        <w:autoSpaceDE w:val="0"/>
        <w:autoSpaceDN w:val="0"/>
        <w:adjustRightInd w:val="0"/>
        <w:spacing w:line="400" w:lineRule="atLeast"/>
        <w:rPr>
          <w:rFonts w:hint="eastAsia" w:ascii="宋体" w:hAnsi="宋体" w:cs="Arial"/>
          <w:b/>
          <w:szCs w:val="21"/>
          <w:lang w:val="zh-CN"/>
        </w:rPr>
      </w:pPr>
      <w:r>
        <w:rPr>
          <w:rFonts w:hint="eastAsia" w:ascii="宋体" w:hAnsi="宋体"/>
          <w:b/>
          <w:bCs/>
          <w:szCs w:val="21"/>
        </w:rPr>
        <w:t>3）、做好化粪池吸粪并按环卫规定清运。</w:t>
      </w:r>
    </w:p>
    <w:p>
      <w:pPr>
        <w:autoSpaceDE w:val="0"/>
        <w:autoSpaceDN w:val="0"/>
        <w:adjustRightInd w:val="0"/>
        <w:spacing w:line="400" w:lineRule="atLeast"/>
        <w:rPr>
          <w:rFonts w:hint="eastAsia" w:ascii="宋体" w:hAnsi="宋体" w:cs="Arial"/>
          <w:szCs w:val="21"/>
          <w:lang w:val="zh-CN"/>
        </w:rPr>
      </w:pPr>
      <w:r>
        <w:rPr>
          <w:rFonts w:hint="eastAsia" w:ascii="宋体" w:hAnsi="宋体" w:cs="Arial"/>
          <w:szCs w:val="21"/>
        </w:rPr>
        <w:t>2、</w:t>
      </w:r>
      <w:r>
        <w:rPr>
          <w:rFonts w:hint="eastAsia" w:ascii="宋体" w:hAnsi="宋体" w:cs="Arial"/>
          <w:szCs w:val="21"/>
          <w:lang w:val="zh-CN"/>
        </w:rPr>
        <w:t>培训要求：除中标人对服务人员的培训外，如有必要服务人员还需接受采购人的集中进行的卫生安全培训。</w:t>
      </w:r>
    </w:p>
    <w:p>
      <w:pPr>
        <w:autoSpaceDE w:val="0"/>
        <w:autoSpaceDN w:val="0"/>
        <w:adjustRightInd w:val="0"/>
        <w:spacing w:line="400" w:lineRule="atLeast"/>
        <w:rPr>
          <w:rFonts w:hint="eastAsia" w:ascii="宋体" w:hAnsi="宋体" w:cs="Arial"/>
          <w:szCs w:val="21"/>
          <w:lang w:val="zh-CN"/>
        </w:rPr>
      </w:pPr>
      <w:r>
        <w:rPr>
          <w:rFonts w:hint="eastAsia" w:ascii="宋体" w:hAnsi="宋体" w:cs="Arial"/>
          <w:szCs w:val="21"/>
        </w:rPr>
        <w:t>3、</w:t>
      </w:r>
      <w:r>
        <w:rPr>
          <w:rFonts w:hint="eastAsia" w:ascii="宋体" w:hAnsi="宋体" w:cs="Arial"/>
          <w:szCs w:val="21"/>
          <w:lang w:val="zh-CN"/>
        </w:rPr>
        <w:t>保洁服务质量要求：</w:t>
      </w:r>
    </w:p>
    <w:p>
      <w:pPr>
        <w:snapToGrid w:val="0"/>
        <w:spacing w:line="400" w:lineRule="atLeast"/>
        <w:rPr>
          <w:rFonts w:hint="eastAsia" w:ascii="宋体" w:hAnsi="宋体" w:cs="宋体"/>
          <w:szCs w:val="21"/>
        </w:rPr>
      </w:pPr>
      <w:r>
        <w:rPr>
          <w:rFonts w:hint="eastAsia" w:ascii="宋体" w:hAnsi="宋体" w:cs="宋体"/>
          <w:szCs w:val="21"/>
        </w:rPr>
        <w:t>1）、应达到路面整洁，无果皮纸屑，无土石杂草，无积水积泥，无堆积物，道路绿化，树圈干净，窨井沟槽畅通，侧石干净。</w:t>
      </w:r>
    </w:p>
    <w:p>
      <w:pPr>
        <w:snapToGrid w:val="0"/>
        <w:spacing w:line="400" w:lineRule="atLeast"/>
        <w:rPr>
          <w:rFonts w:hint="eastAsia" w:ascii="宋体" w:hAnsi="宋体" w:cs="宋体"/>
          <w:szCs w:val="21"/>
        </w:rPr>
      </w:pPr>
      <w:r>
        <w:rPr>
          <w:rFonts w:hint="eastAsia" w:ascii="宋体" w:hAnsi="宋体" w:cs="宋体"/>
          <w:szCs w:val="21"/>
        </w:rPr>
        <w:t>2）、</w:t>
      </w:r>
      <w:r>
        <w:t>本招标范围区域产生的垃圾（含绿化养护产生的垃圾）由中标人按环卫规定自行负责处置，费用包干。</w:t>
      </w:r>
    </w:p>
    <w:p>
      <w:pPr>
        <w:snapToGrid w:val="0"/>
        <w:spacing w:line="400" w:lineRule="atLeast"/>
        <w:rPr>
          <w:rFonts w:hint="eastAsia" w:ascii="宋体" w:hAnsi="宋体" w:cs="宋体"/>
          <w:szCs w:val="21"/>
        </w:rPr>
      </w:pPr>
      <w:r>
        <w:rPr>
          <w:rFonts w:hint="eastAsia" w:ascii="宋体" w:hAnsi="宋体" w:cs="宋体"/>
          <w:szCs w:val="21"/>
        </w:rPr>
        <w:t>3）、道路首次普扫应在上午</w:t>
      </w:r>
      <w:r>
        <w:rPr>
          <w:rFonts w:hint="eastAsia" w:ascii="宋体" w:hAnsi="宋体" w:cs="宋体"/>
          <w:szCs w:val="21"/>
          <w:u w:val="single"/>
        </w:rPr>
        <w:t xml:space="preserve"> 7 </w:t>
      </w:r>
      <w:r>
        <w:rPr>
          <w:rFonts w:hint="eastAsia" w:ascii="宋体" w:hAnsi="宋体" w:cs="宋体"/>
          <w:szCs w:val="21"/>
        </w:rPr>
        <w:t>时前结束，每天清扫不少于二次，晚上最后一次保洁在</w:t>
      </w:r>
      <w:r>
        <w:rPr>
          <w:rFonts w:hint="eastAsia" w:ascii="宋体" w:hAnsi="宋体" w:cs="宋体"/>
          <w:szCs w:val="21"/>
          <w:u w:val="single"/>
        </w:rPr>
        <w:t>17</w:t>
      </w:r>
      <w:r>
        <w:rPr>
          <w:rFonts w:hint="eastAsia" w:ascii="宋体" w:hAnsi="宋体" w:cs="宋体"/>
          <w:szCs w:val="21"/>
        </w:rPr>
        <w:t>时前完成（节假日及重要活动期间实行16小时保洁，早上一次保洁应在6点前完成，晚上最后一次保洁在</w:t>
      </w:r>
      <w:r>
        <w:rPr>
          <w:rFonts w:hint="eastAsia" w:ascii="宋体" w:hAnsi="宋体" w:cs="宋体"/>
          <w:szCs w:val="21"/>
          <w:u w:val="single"/>
        </w:rPr>
        <w:t>22</w:t>
      </w:r>
      <w:r>
        <w:rPr>
          <w:rFonts w:hint="eastAsia" w:ascii="宋体" w:hAnsi="宋体" w:cs="宋体"/>
          <w:szCs w:val="21"/>
        </w:rPr>
        <w:t>时前完成），其余时间为巡回保洁（实行全日制巡回保洁）。</w:t>
      </w:r>
    </w:p>
    <w:p>
      <w:pPr>
        <w:snapToGrid w:val="0"/>
        <w:spacing w:line="400" w:lineRule="atLeast"/>
        <w:rPr>
          <w:rFonts w:hint="eastAsia" w:ascii="宋体" w:hAnsi="宋体" w:cs="宋体"/>
          <w:szCs w:val="21"/>
        </w:rPr>
      </w:pPr>
      <w:r>
        <w:rPr>
          <w:rFonts w:hint="eastAsia" w:ascii="宋体" w:hAnsi="宋体" w:cs="宋体"/>
          <w:szCs w:val="21"/>
        </w:rPr>
        <w:t>4）、保洁人员必须穿着反光安全工作服戴安全帽上岗，作业时应按车行线反方向清扫，保洁车辆停放地点适宜，不能太靠近车行线。车容应整洁。</w:t>
      </w:r>
    </w:p>
    <w:p>
      <w:pPr>
        <w:snapToGrid w:val="0"/>
        <w:spacing w:line="400" w:lineRule="atLeast"/>
        <w:rPr>
          <w:rFonts w:hint="eastAsia" w:ascii="宋体" w:hAnsi="宋体" w:cs="宋体"/>
          <w:szCs w:val="21"/>
        </w:rPr>
      </w:pPr>
      <w:r>
        <w:rPr>
          <w:rFonts w:hint="eastAsia" w:ascii="宋体" w:hAnsi="宋体" w:cs="宋体"/>
          <w:szCs w:val="21"/>
        </w:rPr>
        <w:t>5）、保洁人员应文明作业，不得将垃圾、污水扫到或溅到行人身上，禁止将垃圾堆入或留在窨井盖上，禁止将垃圾扫入或倒入窨井、道路绿地、河道等处，不得焚烧垃圾，必须运到指定垃圾收集处。</w:t>
      </w:r>
    </w:p>
    <w:p>
      <w:pPr>
        <w:snapToGrid w:val="0"/>
        <w:spacing w:line="400" w:lineRule="atLeast"/>
        <w:rPr>
          <w:rFonts w:hint="eastAsia" w:ascii="宋体" w:hAnsi="宋体" w:cs="宋体"/>
          <w:szCs w:val="21"/>
        </w:rPr>
      </w:pPr>
      <w:r>
        <w:rPr>
          <w:rFonts w:hint="eastAsia" w:ascii="宋体" w:hAnsi="宋体" w:cs="宋体"/>
          <w:szCs w:val="21"/>
        </w:rPr>
        <w:t>6）、果壳箱（含智能四分类垃圾箱）表面必须每天擦洗一次（</w:t>
      </w:r>
      <w:r>
        <w:rPr>
          <w:rFonts w:hint="eastAsia" w:ascii="宋体" w:hAnsi="宋体" w:cs="宋体"/>
          <w:szCs w:val="21"/>
          <w:em w:val="dot"/>
        </w:rPr>
        <w:t>箱内设垃圾袋</w:t>
      </w:r>
      <w:r>
        <w:rPr>
          <w:rFonts w:hint="eastAsia" w:ascii="宋体" w:hAnsi="宋体" w:cs="宋体"/>
          <w:szCs w:val="21"/>
        </w:rPr>
        <w:t>），箱内垃圾每日一清，箱体如有损坏、缺少及时汇报，配合采购人做好智能四分类垃圾箱的管理工作（箱体保洁，内部垃圾清理等日常管理工作）。</w:t>
      </w:r>
    </w:p>
    <w:p>
      <w:pPr>
        <w:snapToGrid w:val="0"/>
        <w:spacing w:line="400" w:lineRule="atLeast"/>
        <w:rPr>
          <w:rFonts w:hint="eastAsia" w:ascii="宋体" w:hAnsi="宋体" w:cs="宋体"/>
          <w:szCs w:val="21"/>
        </w:rPr>
      </w:pPr>
      <w:r>
        <w:rPr>
          <w:rFonts w:hint="eastAsia" w:ascii="宋体" w:hAnsi="宋体" w:cs="宋体"/>
          <w:szCs w:val="21"/>
        </w:rPr>
        <w:t>7）、广场上必须保持清洁，无明显可见垃圾。</w:t>
      </w:r>
    </w:p>
    <w:p>
      <w:pPr>
        <w:snapToGrid w:val="0"/>
        <w:spacing w:line="400" w:lineRule="atLeast"/>
        <w:rPr>
          <w:rFonts w:hint="eastAsia" w:ascii="宋体" w:hAnsi="宋体" w:cs="宋体"/>
          <w:szCs w:val="21"/>
        </w:rPr>
      </w:pPr>
      <w:r>
        <w:rPr>
          <w:rFonts w:hint="eastAsia" w:ascii="宋体" w:hAnsi="宋体" w:cs="宋体"/>
          <w:szCs w:val="21"/>
        </w:rPr>
        <w:t>8）、广场保洁时间须保持每天</w:t>
      </w:r>
      <w:r>
        <w:rPr>
          <w:rFonts w:hint="eastAsia" w:ascii="宋体" w:hAnsi="宋体" w:cs="宋体"/>
          <w:szCs w:val="21"/>
          <w:u w:val="single"/>
        </w:rPr>
        <w:t xml:space="preserve"> 8 </w:t>
      </w:r>
      <w:r>
        <w:rPr>
          <w:rFonts w:hint="eastAsia" w:ascii="宋体" w:hAnsi="宋体" w:cs="宋体"/>
          <w:szCs w:val="21"/>
        </w:rPr>
        <w:t>小时以上，早上一次保洁应在</w:t>
      </w:r>
      <w:r>
        <w:rPr>
          <w:rFonts w:hint="eastAsia" w:ascii="宋体" w:hAnsi="宋体" w:cs="宋体"/>
          <w:szCs w:val="21"/>
          <w:u w:val="single"/>
        </w:rPr>
        <w:t xml:space="preserve"> 7 </w:t>
      </w:r>
      <w:r>
        <w:rPr>
          <w:rFonts w:hint="eastAsia" w:ascii="宋体" w:hAnsi="宋体" w:cs="宋体"/>
          <w:szCs w:val="21"/>
        </w:rPr>
        <w:t>点之前完成，每天清扫不少于二次，晚上最后一次保洁在</w:t>
      </w:r>
      <w:r>
        <w:rPr>
          <w:rFonts w:hint="eastAsia" w:ascii="宋体" w:hAnsi="宋体" w:cs="宋体"/>
          <w:szCs w:val="21"/>
          <w:u w:val="single"/>
        </w:rPr>
        <w:t>17</w:t>
      </w:r>
      <w:r>
        <w:rPr>
          <w:rFonts w:hint="eastAsia" w:ascii="宋体" w:hAnsi="宋体" w:cs="宋体"/>
          <w:szCs w:val="21"/>
        </w:rPr>
        <w:t>时前完成，其余时间为巡回保洁（实行全日制巡回保洁）。双休日、节假日以及重大活动期间16小时保洁服务，早上一次保洁应在</w:t>
      </w:r>
      <w:r>
        <w:rPr>
          <w:rFonts w:hint="eastAsia" w:ascii="宋体" w:hAnsi="宋体" w:cs="宋体"/>
          <w:szCs w:val="21"/>
          <w:u w:val="single"/>
        </w:rPr>
        <w:t xml:space="preserve"> 6 </w:t>
      </w:r>
      <w:r>
        <w:rPr>
          <w:rFonts w:hint="eastAsia" w:ascii="宋体" w:hAnsi="宋体" w:cs="宋体"/>
          <w:szCs w:val="21"/>
        </w:rPr>
        <w:t>点之前完成，每天清扫不少于二次，晚上最后一次保洁在</w:t>
      </w:r>
      <w:r>
        <w:rPr>
          <w:rFonts w:hint="eastAsia" w:ascii="宋体" w:hAnsi="宋体" w:cs="宋体"/>
          <w:szCs w:val="21"/>
          <w:u w:val="single"/>
        </w:rPr>
        <w:t>22</w:t>
      </w:r>
      <w:r>
        <w:rPr>
          <w:rFonts w:hint="eastAsia" w:ascii="宋体" w:hAnsi="宋体" w:cs="宋体"/>
          <w:szCs w:val="21"/>
        </w:rPr>
        <w:t>时前完成，其余时间为巡回保洁（实行全日制巡回保洁）。</w:t>
      </w:r>
    </w:p>
    <w:p>
      <w:pPr>
        <w:snapToGrid w:val="0"/>
        <w:spacing w:line="400" w:lineRule="atLeast"/>
        <w:rPr>
          <w:rFonts w:hint="eastAsia" w:ascii="宋体" w:hAnsi="宋体" w:cs="宋体"/>
          <w:szCs w:val="21"/>
        </w:rPr>
      </w:pPr>
      <w:r>
        <w:rPr>
          <w:rFonts w:hint="eastAsia" w:ascii="宋体" w:hAnsi="宋体" w:cs="宋体"/>
          <w:szCs w:val="21"/>
        </w:rPr>
        <w:t>9）、合理安排各类机械清扫作业，车辆外观整洁。</w:t>
      </w:r>
    </w:p>
    <w:p>
      <w:pPr>
        <w:snapToGrid w:val="0"/>
        <w:spacing w:line="400" w:lineRule="atLeast"/>
        <w:rPr>
          <w:rFonts w:hint="eastAsia" w:ascii="宋体" w:hAnsi="宋体" w:cs="宋体"/>
          <w:szCs w:val="21"/>
        </w:rPr>
      </w:pPr>
      <w:r>
        <w:rPr>
          <w:rFonts w:hint="eastAsia" w:ascii="宋体" w:hAnsi="宋体" w:cs="宋体"/>
          <w:szCs w:val="21"/>
        </w:rPr>
        <w:t>10）、保洁员在日常道路巡回保洁时，时刻注意环杭州湾创新中心区内设施设备的完好性，如有损坏、缺少应及时汇报甲方，当甲方派人进行维修时乙方应派人跟踪进度，避免无效汇报。</w:t>
      </w:r>
    </w:p>
    <w:p>
      <w:pPr>
        <w:snapToGrid w:val="0"/>
        <w:spacing w:line="400" w:lineRule="atLeast"/>
        <w:rPr>
          <w:rFonts w:hint="eastAsia" w:ascii="宋体" w:hAnsi="宋体" w:cs="宋体"/>
          <w:szCs w:val="21"/>
          <w:lang w:val="zh-CN"/>
        </w:rPr>
      </w:pPr>
      <w:r>
        <w:rPr>
          <w:rFonts w:hint="eastAsia" w:ascii="宋体" w:hAnsi="宋体" w:cs="宋体"/>
          <w:szCs w:val="21"/>
        </w:rPr>
        <w:t>11</w:t>
      </w:r>
      <w:r>
        <w:rPr>
          <w:rFonts w:hint="eastAsia" w:ascii="宋体" w:hAnsi="宋体" w:cs="宋体"/>
          <w:szCs w:val="21"/>
          <w:lang w:val="zh-CN"/>
        </w:rPr>
        <w:t>）、每天必须使用洒水车对标注的道路进行冲洗不少于2次（洒水车除雨天及冬季</w:t>
      </w:r>
      <w:r>
        <w:rPr>
          <w:rFonts w:hint="eastAsia" w:ascii="宋体" w:hAnsi="宋体" w:cs="宋体"/>
          <w:szCs w:val="21"/>
        </w:rPr>
        <w:t>易结冰天气</w:t>
      </w:r>
      <w:r>
        <w:rPr>
          <w:rFonts w:hint="eastAsia" w:ascii="宋体" w:hAnsi="宋体" w:cs="宋体"/>
          <w:szCs w:val="21"/>
          <w:lang w:val="zh-CN"/>
        </w:rPr>
        <w:t>停止作业）。</w:t>
      </w:r>
    </w:p>
    <w:p>
      <w:pPr>
        <w:snapToGrid w:val="0"/>
        <w:spacing w:line="400" w:lineRule="atLeast"/>
        <w:rPr>
          <w:rFonts w:hint="eastAsia" w:ascii="宋体" w:hAnsi="宋体" w:cs="宋体"/>
          <w:szCs w:val="21"/>
          <w:lang w:val="zh-CN"/>
        </w:rPr>
      </w:pPr>
      <w:r>
        <w:rPr>
          <w:rFonts w:hint="eastAsia" w:ascii="宋体" w:hAnsi="宋体" w:cs="宋体"/>
          <w:szCs w:val="21"/>
        </w:rPr>
        <w:t>12</w:t>
      </w:r>
      <w:r>
        <w:rPr>
          <w:rFonts w:hint="eastAsia" w:ascii="宋体" w:hAnsi="宋体" w:cs="宋体"/>
          <w:szCs w:val="21"/>
          <w:lang w:val="zh-CN"/>
        </w:rPr>
        <w:t>）、每天必须使用扫地车对标注的道路进行扫地不少于2次。</w:t>
      </w:r>
    </w:p>
    <w:p>
      <w:pPr>
        <w:autoSpaceDE w:val="0"/>
        <w:autoSpaceDN w:val="0"/>
        <w:adjustRightInd w:val="0"/>
        <w:spacing w:line="400" w:lineRule="atLeast"/>
        <w:rPr>
          <w:rFonts w:hint="eastAsia" w:ascii="宋体" w:hAnsi="宋体" w:cs="Arial"/>
          <w:szCs w:val="21"/>
          <w:lang w:val="zh-CN"/>
        </w:rPr>
      </w:pPr>
      <w:r>
        <w:rPr>
          <w:rFonts w:hint="eastAsia" w:ascii="宋体" w:hAnsi="宋体" w:cs="Arial"/>
          <w:b/>
          <w:szCs w:val="21"/>
          <w:lang w:val="zh-CN"/>
        </w:rPr>
        <w:t>（</w:t>
      </w:r>
      <w:r>
        <w:rPr>
          <w:rFonts w:hint="eastAsia" w:ascii="宋体" w:hAnsi="宋体" w:cs="Arial"/>
          <w:b/>
          <w:szCs w:val="21"/>
        </w:rPr>
        <w:t>二</w:t>
      </w:r>
      <w:r>
        <w:rPr>
          <w:rFonts w:hint="eastAsia" w:ascii="宋体" w:hAnsi="宋体" w:cs="Arial"/>
          <w:b/>
          <w:szCs w:val="21"/>
          <w:lang w:val="zh-CN"/>
        </w:rPr>
        <w:t>）、公共安全维护服务</w:t>
      </w:r>
    </w:p>
    <w:p>
      <w:pPr>
        <w:autoSpaceDE w:val="0"/>
        <w:autoSpaceDN w:val="0"/>
        <w:adjustRightInd w:val="0"/>
        <w:spacing w:line="400" w:lineRule="atLeast"/>
        <w:rPr>
          <w:rFonts w:hint="eastAsia" w:ascii="宋体" w:hAnsi="宋体"/>
          <w:szCs w:val="21"/>
          <w:lang w:val="zh-CN"/>
        </w:rPr>
      </w:pPr>
      <w:r>
        <w:rPr>
          <w:rFonts w:hint="eastAsia" w:ascii="宋体" w:hAnsi="宋体"/>
          <w:szCs w:val="21"/>
        </w:rPr>
        <w:t>1.</w:t>
      </w:r>
      <w:r>
        <w:rPr>
          <w:rFonts w:hint="eastAsia" w:ascii="宋体" w:hAnsi="宋体"/>
          <w:szCs w:val="21"/>
          <w:lang w:val="zh-CN"/>
        </w:rPr>
        <w:t>公共区域24小时执勤并配合做好相关秩序维护、车辆引导等工作。</w:t>
      </w:r>
    </w:p>
    <w:p>
      <w:pPr>
        <w:autoSpaceDE w:val="0"/>
        <w:autoSpaceDN w:val="0"/>
        <w:adjustRightInd w:val="0"/>
        <w:spacing w:line="400" w:lineRule="atLeast"/>
        <w:rPr>
          <w:rFonts w:hint="eastAsia" w:ascii="宋体" w:hAnsi="宋体"/>
          <w:szCs w:val="21"/>
          <w:lang w:val="zh-CN"/>
        </w:rPr>
      </w:pPr>
      <w:r>
        <w:rPr>
          <w:rFonts w:hint="eastAsia" w:ascii="宋体" w:hAnsi="宋体"/>
          <w:szCs w:val="21"/>
        </w:rPr>
        <w:t>2.</w:t>
      </w:r>
      <w:r>
        <w:rPr>
          <w:rFonts w:hint="eastAsia" w:ascii="宋体" w:hAnsi="宋体"/>
          <w:szCs w:val="21"/>
          <w:lang w:val="zh-CN"/>
        </w:rPr>
        <w:t>对工作人员车辆进行指挥，引导车辆按正确行车路线行驶，对车辆停放秩序进行管理。</w:t>
      </w:r>
    </w:p>
    <w:p>
      <w:pPr>
        <w:autoSpaceDE w:val="0"/>
        <w:autoSpaceDN w:val="0"/>
        <w:adjustRightInd w:val="0"/>
        <w:spacing w:line="400" w:lineRule="atLeast"/>
        <w:rPr>
          <w:rFonts w:hint="eastAsia" w:ascii="宋体" w:hAnsi="宋体"/>
          <w:szCs w:val="21"/>
          <w:lang w:val="zh-CN"/>
        </w:rPr>
      </w:pPr>
      <w:r>
        <w:rPr>
          <w:rFonts w:hint="eastAsia" w:ascii="宋体" w:hAnsi="宋体"/>
          <w:szCs w:val="21"/>
        </w:rPr>
        <w:t>3.</w:t>
      </w:r>
      <w:r>
        <w:rPr>
          <w:rFonts w:hint="eastAsia" w:ascii="宋体" w:hAnsi="宋体"/>
          <w:szCs w:val="21"/>
          <w:lang w:val="zh-CN"/>
        </w:rPr>
        <w:t>对外来车辆实行登记制度，公共区域停车位对外按规定开放。</w:t>
      </w:r>
    </w:p>
    <w:p>
      <w:pPr>
        <w:autoSpaceDE w:val="0"/>
        <w:autoSpaceDN w:val="0"/>
        <w:adjustRightInd w:val="0"/>
        <w:spacing w:line="400" w:lineRule="atLeast"/>
        <w:rPr>
          <w:rFonts w:hint="eastAsia" w:ascii="宋体" w:hAnsi="宋体"/>
          <w:szCs w:val="21"/>
          <w:lang w:val="zh-CN"/>
        </w:rPr>
      </w:pPr>
      <w:r>
        <w:rPr>
          <w:rFonts w:hint="eastAsia" w:ascii="宋体" w:hAnsi="宋体"/>
          <w:szCs w:val="21"/>
        </w:rPr>
        <w:t>4.</w:t>
      </w:r>
      <w:r>
        <w:rPr>
          <w:rFonts w:hint="eastAsia" w:ascii="宋体" w:hAnsi="宋体"/>
          <w:szCs w:val="21"/>
          <w:lang w:val="zh-CN"/>
        </w:rPr>
        <w:t>维护</w:t>
      </w:r>
      <w:r>
        <w:rPr>
          <w:rFonts w:hint="eastAsia" w:ascii="宋体" w:hAnsi="宋体"/>
          <w:szCs w:val="21"/>
        </w:rPr>
        <w:t>服务区域内</w:t>
      </w:r>
      <w:r>
        <w:rPr>
          <w:rFonts w:hint="eastAsia" w:ascii="宋体" w:hAnsi="宋体"/>
          <w:szCs w:val="21"/>
          <w:lang w:val="zh-CN"/>
        </w:rPr>
        <w:t>公共秩序，确保安全有序。</w:t>
      </w:r>
    </w:p>
    <w:p>
      <w:pPr>
        <w:autoSpaceDE w:val="0"/>
        <w:autoSpaceDN w:val="0"/>
        <w:adjustRightInd w:val="0"/>
        <w:spacing w:line="400" w:lineRule="atLeast"/>
        <w:rPr>
          <w:rFonts w:hint="eastAsia" w:ascii="宋体" w:hAnsi="宋体"/>
          <w:szCs w:val="21"/>
          <w:lang w:val="zh-CN"/>
        </w:rPr>
      </w:pPr>
      <w:r>
        <w:rPr>
          <w:rFonts w:hint="eastAsia" w:ascii="宋体" w:hAnsi="宋体"/>
          <w:szCs w:val="21"/>
        </w:rPr>
        <w:t>5.</w:t>
      </w:r>
      <w:r>
        <w:rPr>
          <w:rFonts w:hint="eastAsia" w:ascii="宋体" w:hAnsi="宋体"/>
          <w:szCs w:val="21"/>
          <w:lang w:val="zh-CN"/>
        </w:rPr>
        <w:t>对公共消防设施设备进行管理。</w:t>
      </w:r>
    </w:p>
    <w:p>
      <w:pPr>
        <w:autoSpaceDE w:val="0"/>
        <w:autoSpaceDN w:val="0"/>
        <w:adjustRightInd w:val="0"/>
        <w:spacing w:line="400" w:lineRule="atLeast"/>
        <w:rPr>
          <w:rFonts w:hint="eastAsia" w:ascii="宋体" w:hAnsi="宋体"/>
          <w:szCs w:val="21"/>
          <w:lang w:val="zh-CN"/>
        </w:rPr>
      </w:pPr>
      <w:r>
        <w:rPr>
          <w:rFonts w:hint="eastAsia" w:ascii="宋体" w:hAnsi="宋体"/>
          <w:szCs w:val="21"/>
        </w:rPr>
        <w:t>6.</w:t>
      </w:r>
      <w:r>
        <w:rPr>
          <w:rFonts w:hint="eastAsia" w:ascii="宋体" w:hAnsi="宋体"/>
          <w:szCs w:val="21"/>
          <w:lang w:val="zh-CN"/>
        </w:rPr>
        <w:t>对应急事件如各种灾害和群体上访事件进行妥善处理。</w:t>
      </w:r>
    </w:p>
    <w:p>
      <w:pPr>
        <w:autoSpaceDE w:val="0"/>
        <w:autoSpaceDN w:val="0"/>
        <w:adjustRightInd w:val="0"/>
        <w:spacing w:line="400" w:lineRule="atLeast"/>
        <w:rPr>
          <w:rFonts w:hint="eastAsia" w:ascii="宋体" w:hAnsi="宋体"/>
          <w:szCs w:val="21"/>
        </w:rPr>
      </w:pPr>
      <w:r>
        <w:rPr>
          <w:rFonts w:hint="eastAsia" w:ascii="宋体" w:hAnsi="宋体"/>
          <w:szCs w:val="21"/>
        </w:rPr>
        <w:t>7.</w:t>
      </w:r>
      <w:r>
        <w:rPr>
          <w:rFonts w:hint="eastAsia" w:ascii="宋体" w:hAnsi="宋体"/>
          <w:szCs w:val="21"/>
          <w:lang w:val="zh-CN"/>
        </w:rPr>
        <w:t>监控、安保人员对管辖区内进行24小时不间断监控、巡逻，对监控、巡逻范围内的设施设</w:t>
      </w:r>
      <w:r>
        <w:rPr>
          <w:rFonts w:hint="eastAsia" w:ascii="宋体" w:hAnsi="宋体"/>
          <w:szCs w:val="21"/>
        </w:rPr>
        <w:t>。</w:t>
      </w:r>
    </w:p>
    <w:p>
      <w:pPr>
        <w:autoSpaceDE w:val="0"/>
        <w:autoSpaceDN w:val="0"/>
        <w:adjustRightInd w:val="0"/>
        <w:spacing w:line="400" w:lineRule="atLeast"/>
        <w:rPr>
          <w:rFonts w:hint="eastAsia" w:ascii="宋体" w:hAnsi="宋体"/>
          <w:szCs w:val="21"/>
          <w:lang w:val="zh-CN"/>
        </w:rPr>
      </w:pPr>
      <w:r>
        <w:rPr>
          <w:rFonts w:hint="eastAsia" w:ascii="宋体" w:hAnsi="宋体"/>
          <w:szCs w:val="21"/>
        </w:rPr>
        <w:t>8.设</w:t>
      </w:r>
      <w:r>
        <w:rPr>
          <w:rFonts w:hint="eastAsia" w:ascii="宋体" w:hAnsi="宋体"/>
          <w:szCs w:val="21"/>
          <w:lang w:val="zh-CN"/>
        </w:rPr>
        <w:t>备是否完好做到实时监控、及时报告；</w:t>
      </w:r>
    </w:p>
    <w:p>
      <w:pPr>
        <w:autoSpaceDE w:val="0"/>
        <w:autoSpaceDN w:val="0"/>
        <w:adjustRightInd w:val="0"/>
        <w:spacing w:line="400" w:lineRule="atLeast"/>
        <w:rPr>
          <w:rFonts w:hint="eastAsia" w:ascii="宋体" w:hAnsi="宋体"/>
          <w:szCs w:val="21"/>
          <w:lang w:val="zh-CN"/>
        </w:rPr>
      </w:pPr>
      <w:r>
        <w:rPr>
          <w:rFonts w:hint="eastAsia" w:ascii="宋体" w:hAnsi="宋体"/>
          <w:szCs w:val="21"/>
        </w:rPr>
        <w:t>9.</w:t>
      </w:r>
      <w:r>
        <w:rPr>
          <w:rFonts w:hint="eastAsia" w:ascii="宋体" w:hAnsi="宋体"/>
          <w:szCs w:val="21"/>
          <w:lang w:val="zh-CN"/>
        </w:rPr>
        <w:t>安保人员在巡逻期间，发现任何安全隐患要及时报告，立即处理；</w:t>
      </w:r>
    </w:p>
    <w:p>
      <w:pPr>
        <w:autoSpaceDE w:val="0"/>
        <w:autoSpaceDN w:val="0"/>
        <w:adjustRightInd w:val="0"/>
        <w:spacing w:line="400" w:lineRule="atLeast"/>
        <w:rPr>
          <w:rFonts w:hint="eastAsia" w:ascii="宋体" w:hAnsi="宋体"/>
          <w:szCs w:val="21"/>
          <w:lang w:val="zh-CN"/>
        </w:rPr>
      </w:pPr>
      <w:r>
        <w:rPr>
          <w:rFonts w:hint="eastAsia" w:ascii="宋体" w:hAnsi="宋体"/>
          <w:szCs w:val="21"/>
        </w:rPr>
        <w:t>10.</w:t>
      </w:r>
      <w:r>
        <w:rPr>
          <w:rFonts w:hint="eastAsia" w:ascii="宋体" w:hAnsi="宋体"/>
          <w:szCs w:val="21"/>
          <w:lang w:val="zh-CN"/>
        </w:rPr>
        <w:t>监控、巡逻时发现有破坏绿化、</w:t>
      </w:r>
      <w:r>
        <w:rPr>
          <w:rFonts w:hint="eastAsia" w:ascii="宋体" w:hAnsi="宋体"/>
          <w:szCs w:val="21"/>
        </w:rPr>
        <w:t>公共设施设备、</w:t>
      </w:r>
      <w:r>
        <w:rPr>
          <w:rFonts w:hint="eastAsia" w:ascii="宋体" w:hAnsi="宋体"/>
          <w:szCs w:val="21"/>
          <w:lang w:val="zh-CN"/>
        </w:rPr>
        <w:t>环境整洁的，巡逻保安应及时告知并制止；</w:t>
      </w:r>
    </w:p>
    <w:p>
      <w:pPr>
        <w:autoSpaceDE w:val="0"/>
        <w:autoSpaceDN w:val="0"/>
        <w:adjustRightInd w:val="0"/>
        <w:spacing w:line="400" w:lineRule="atLeast"/>
        <w:rPr>
          <w:rFonts w:hint="eastAsia" w:ascii="宋体" w:hAnsi="宋体"/>
          <w:szCs w:val="21"/>
          <w:lang w:val="zh-CN"/>
        </w:rPr>
      </w:pPr>
      <w:r>
        <w:rPr>
          <w:rFonts w:hint="eastAsia" w:ascii="宋体" w:hAnsi="宋体"/>
          <w:szCs w:val="21"/>
        </w:rPr>
        <w:t>11.</w:t>
      </w:r>
      <w:r>
        <w:rPr>
          <w:rFonts w:hint="eastAsia" w:ascii="宋体" w:hAnsi="宋体"/>
          <w:szCs w:val="21"/>
          <w:lang w:val="zh-CN"/>
        </w:rPr>
        <w:t>按规定对安保人员进行培训；</w:t>
      </w:r>
    </w:p>
    <w:p>
      <w:pPr>
        <w:autoSpaceDE w:val="0"/>
        <w:autoSpaceDN w:val="0"/>
        <w:adjustRightInd w:val="0"/>
        <w:spacing w:line="400" w:lineRule="atLeast"/>
        <w:rPr>
          <w:rFonts w:hint="eastAsia" w:ascii="宋体" w:hAnsi="宋体"/>
          <w:szCs w:val="21"/>
          <w:lang w:val="zh-CN"/>
        </w:rPr>
      </w:pPr>
      <w:r>
        <w:rPr>
          <w:rFonts w:hint="eastAsia" w:ascii="宋体" w:hAnsi="宋体"/>
          <w:szCs w:val="21"/>
        </w:rPr>
        <w:t>12.</w:t>
      </w:r>
      <w:r>
        <w:rPr>
          <w:rFonts w:hint="eastAsia" w:ascii="宋体" w:hAnsi="宋体"/>
          <w:szCs w:val="21"/>
          <w:lang w:val="zh-CN"/>
        </w:rPr>
        <w:t>配合</w:t>
      </w:r>
      <w:r>
        <w:rPr>
          <w:rFonts w:hint="eastAsia" w:ascii="宋体" w:hAnsi="宋体"/>
          <w:szCs w:val="21"/>
        </w:rPr>
        <w:t>慈溪市环杭州湾创新中心</w:t>
      </w:r>
      <w:r>
        <w:rPr>
          <w:rFonts w:hint="eastAsia" w:ascii="宋体" w:hAnsi="宋体"/>
          <w:szCs w:val="21"/>
          <w:lang w:val="zh-CN"/>
        </w:rPr>
        <w:t>**室</w:t>
      </w:r>
      <w:r>
        <w:rPr>
          <w:rFonts w:hint="eastAsia" w:ascii="宋体" w:hAnsi="宋体"/>
          <w:szCs w:val="21"/>
        </w:rPr>
        <w:t>、</w:t>
      </w:r>
      <w:r>
        <w:rPr>
          <w:rFonts w:hint="eastAsia" w:ascii="宋体" w:hAnsi="宋体"/>
          <w:szCs w:val="21"/>
          <w:lang w:val="zh-CN"/>
        </w:rPr>
        <w:t>城管中队、交管站做好相关工作。</w:t>
      </w:r>
    </w:p>
    <w:p>
      <w:pPr>
        <w:autoSpaceDE w:val="0"/>
        <w:autoSpaceDN w:val="0"/>
        <w:adjustRightInd w:val="0"/>
        <w:spacing w:line="400" w:lineRule="atLeast"/>
        <w:rPr>
          <w:rFonts w:hint="eastAsia" w:ascii="宋体" w:hAnsi="宋体"/>
          <w:szCs w:val="21"/>
          <w:lang w:val="zh-CN"/>
        </w:rPr>
      </w:pPr>
      <w:r>
        <w:rPr>
          <w:rFonts w:hint="eastAsia" w:ascii="宋体" w:hAnsi="宋体"/>
          <w:szCs w:val="21"/>
          <w:lang w:val="zh-CN"/>
        </w:rPr>
        <w:t>13.附近定岗秩序安保人员须配合处理地库道闸异常情况。</w:t>
      </w:r>
    </w:p>
    <w:p>
      <w:pPr>
        <w:autoSpaceDE w:val="0"/>
        <w:autoSpaceDN w:val="0"/>
        <w:adjustRightInd w:val="0"/>
        <w:spacing w:line="400" w:lineRule="atLeast"/>
        <w:rPr>
          <w:rFonts w:hint="eastAsia" w:ascii="宋体" w:hAnsi="宋体" w:cs="Arial"/>
          <w:b/>
          <w:szCs w:val="21"/>
          <w:lang w:val="zh-CN"/>
        </w:rPr>
      </w:pPr>
      <w:r>
        <w:rPr>
          <w:rFonts w:hint="eastAsia" w:ascii="宋体" w:hAnsi="宋体" w:cs="Arial"/>
          <w:b/>
          <w:szCs w:val="21"/>
          <w:lang w:val="zh-CN"/>
        </w:rPr>
        <w:t>（</w:t>
      </w:r>
      <w:r>
        <w:rPr>
          <w:rFonts w:hint="eastAsia" w:ascii="宋体" w:hAnsi="宋体" w:cs="Arial"/>
          <w:b/>
          <w:szCs w:val="21"/>
        </w:rPr>
        <w:t>三</w:t>
      </w:r>
      <w:r>
        <w:rPr>
          <w:rFonts w:hint="eastAsia" w:ascii="宋体" w:hAnsi="宋体" w:cs="Arial"/>
          <w:b/>
          <w:szCs w:val="21"/>
          <w:lang w:val="zh-CN"/>
        </w:rPr>
        <w:t>）、绿化养护</w:t>
      </w:r>
    </w:p>
    <w:p>
      <w:pPr>
        <w:autoSpaceDE w:val="0"/>
        <w:autoSpaceDN w:val="0"/>
        <w:adjustRightInd w:val="0"/>
        <w:spacing w:line="400" w:lineRule="atLeast"/>
        <w:rPr>
          <w:rFonts w:hint="eastAsia" w:ascii="宋体" w:hAnsi="宋体"/>
          <w:szCs w:val="21"/>
        </w:rPr>
      </w:pPr>
      <w:r>
        <w:rPr>
          <w:rFonts w:hint="eastAsia" w:ascii="宋体" w:hAnsi="宋体"/>
          <w:szCs w:val="21"/>
        </w:rPr>
        <w:t>1.乔木及花灌木</w:t>
      </w:r>
    </w:p>
    <w:p>
      <w:pPr>
        <w:autoSpaceDE w:val="0"/>
        <w:autoSpaceDN w:val="0"/>
        <w:adjustRightInd w:val="0"/>
        <w:spacing w:line="400" w:lineRule="atLeast"/>
        <w:ind w:firstLine="420" w:firstLineChars="200"/>
        <w:rPr>
          <w:rFonts w:hint="eastAsia" w:ascii="宋体" w:hAnsi="宋体"/>
          <w:szCs w:val="21"/>
          <w:lang w:val="zh-CN"/>
        </w:rPr>
      </w:pPr>
      <w:r>
        <w:rPr>
          <w:rFonts w:hint="eastAsia" w:ascii="宋体" w:hAnsi="宋体"/>
          <w:szCs w:val="21"/>
          <w:lang w:val="zh-CN"/>
        </w:rPr>
        <w:t>生长旺盛、树形美观，无枯枝死杈；冠型美观，分枝点合适，内堂不乱，通风透光；叶片、枝干健壮；及时抹芽，树干、一级分枝上无萌条；及时清理死树，挖除死树桩并进行补植，保持无缺株；及时扶正倾斜树木；行道树分支点高度、树高、冠幅应基本保持一致，树池有侧石、无黄土裸露。</w:t>
      </w:r>
    </w:p>
    <w:p>
      <w:pPr>
        <w:autoSpaceDE w:val="0"/>
        <w:autoSpaceDN w:val="0"/>
        <w:adjustRightInd w:val="0"/>
        <w:spacing w:line="400" w:lineRule="atLeast"/>
        <w:rPr>
          <w:rFonts w:hint="eastAsia" w:ascii="宋体" w:hAnsi="宋体"/>
          <w:szCs w:val="21"/>
        </w:rPr>
      </w:pPr>
      <w:r>
        <w:rPr>
          <w:rFonts w:hint="eastAsia" w:ascii="宋体" w:hAnsi="宋体"/>
          <w:szCs w:val="21"/>
        </w:rPr>
        <w:t>2.绿篱、种植块及整形灌木</w:t>
      </w:r>
    </w:p>
    <w:p>
      <w:pPr>
        <w:autoSpaceDE w:val="0"/>
        <w:autoSpaceDN w:val="0"/>
        <w:adjustRightInd w:val="0"/>
        <w:spacing w:line="400" w:lineRule="atLeast"/>
        <w:ind w:firstLine="420" w:firstLineChars="200"/>
        <w:rPr>
          <w:rFonts w:hint="eastAsia" w:ascii="宋体" w:hAnsi="宋体"/>
          <w:szCs w:val="21"/>
          <w:lang w:val="zh-CN"/>
        </w:rPr>
      </w:pPr>
      <w:r>
        <w:rPr>
          <w:rFonts w:hint="eastAsia" w:ascii="宋体" w:hAnsi="宋体"/>
          <w:szCs w:val="21"/>
          <w:lang w:val="zh-CN"/>
        </w:rPr>
        <w:t>绿篱及种植块生长茂盛，栽植到边到角，无死枯；绿篱及种植块轮廓清晰，平立面整齐，线条流畅，边缘线清晰；无杂生植物、爬藤、蛛网等和缺株、断档现象；无倒伏、歪斜、亮脚现象；整形灌木（球类等）生长丰满，无偏冠、空洞，修剪面光滑。</w:t>
      </w:r>
    </w:p>
    <w:p>
      <w:pPr>
        <w:autoSpaceDE w:val="0"/>
        <w:autoSpaceDN w:val="0"/>
        <w:adjustRightInd w:val="0"/>
        <w:spacing w:line="400" w:lineRule="atLeast"/>
        <w:rPr>
          <w:rFonts w:hint="eastAsia" w:ascii="宋体" w:hAnsi="宋体"/>
          <w:szCs w:val="21"/>
        </w:rPr>
      </w:pPr>
      <w:r>
        <w:rPr>
          <w:rFonts w:hint="eastAsia" w:ascii="宋体" w:hAnsi="宋体"/>
          <w:szCs w:val="21"/>
        </w:rPr>
        <w:t>3.草坪</w:t>
      </w:r>
    </w:p>
    <w:p>
      <w:pPr>
        <w:autoSpaceDE w:val="0"/>
        <w:autoSpaceDN w:val="0"/>
        <w:adjustRightInd w:val="0"/>
        <w:spacing w:line="400" w:lineRule="atLeast"/>
        <w:ind w:firstLine="420" w:firstLineChars="200"/>
        <w:rPr>
          <w:rFonts w:hint="eastAsia" w:ascii="宋体" w:hAnsi="宋体"/>
          <w:szCs w:val="21"/>
          <w:lang w:val="zh-CN"/>
        </w:rPr>
      </w:pPr>
      <w:r>
        <w:rPr>
          <w:rFonts w:hint="eastAsia" w:ascii="宋体" w:hAnsi="宋体"/>
          <w:szCs w:val="21"/>
          <w:lang w:val="zh-CN"/>
        </w:rPr>
        <w:t>生长茂盛、叶色正常；无秃斑、杂草，生长季节无枯黄，无违规使用化学药剂现象；暖季性草坪高度保持在6cm以下，冷季性草坪保持在8cm以下；草坪与种植块等绿化相接处应切边；做好草坪的冬季防火工作。</w:t>
      </w:r>
    </w:p>
    <w:p>
      <w:pPr>
        <w:autoSpaceDE w:val="0"/>
        <w:autoSpaceDN w:val="0"/>
        <w:adjustRightInd w:val="0"/>
        <w:spacing w:line="400" w:lineRule="atLeast"/>
        <w:rPr>
          <w:rFonts w:hint="eastAsia" w:ascii="宋体" w:hAnsi="宋体"/>
          <w:szCs w:val="21"/>
        </w:rPr>
      </w:pPr>
      <w:r>
        <w:rPr>
          <w:rFonts w:hint="eastAsia" w:ascii="宋体" w:hAnsi="宋体"/>
          <w:szCs w:val="21"/>
        </w:rPr>
        <w:t>4.草花</w:t>
      </w:r>
    </w:p>
    <w:p>
      <w:pPr>
        <w:autoSpaceDE w:val="0"/>
        <w:autoSpaceDN w:val="0"/>
        <w:adjustRightInd w:val="0"/>
        <w:spacing w:line="400" w:lineRule="atLeast"/>
        <w:ind w:firstLine="420" w:firstLineChars="200"/>
        <w:rPr>
          <w:rFonts w:hint="eastAsia" w:ascii="宋体" w:hAnsi="宋体"/>
          <w:szCs w:val="21"/>
          <w:lang w:val="zh-CN"/>
        </w:rPr>
      </w:pPr>
      <w:r>
        <w:rPr>
          <w:rFonts w:hint="eastAsia" w:ascii="宋体" w:hAnsi="宋体"/>
          <w:szCs w:val="21"/>
          <w:lang w:val="zh-CN"/>
        </w:rPr>
        <w:t>按季节更换（一年四次），具体更换草花方案由中标人在更换前15前报采购人审核确认，茎叶无黄斑、褐斑或黑色斑点，无病虫害；植株颜色正常，规格整齐，高度冠径之间差距不超过15%，叶片正常、无虫眼、无枯萎现象；花卉根茎处无裸露、枯叶现象，花卉品种配置科学、美观；花丛中无砖瓦、石块、积水、废弃物等现象；花卉无缺株、倒伏现象。</w:t>
      </w:r>
    </w:p>
    <w:p>
      <w:pPr>
        <w:autoSpaceDE w:val="0"/>
        <w:autoSpaceDN w:val="0"/>
        <w:adjustRightInd w:val="0"/>
        <w:spacing w:line="400" w:lineRule="atLeast"/>
        <w:rPr>
          <w:rFonts w:hint="eastAsia" w:ascii="宋体" w:hAnsi="宋体"/>
          <w:szCs w:val="21"/>
        </w:rPr>
      </w:pPr>
      <w:r>
        <w:rPr>
          <w:rFonts w:hint="eastAsia" w:ascii="宋体" w:hAnsi="宋体"/>
          <w:szCs w:val="21"/>
        </w:rPr>
        <w:t>5.补植</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养管单位正常养管中，凡出现死亡、严重损伤的苗木，须在十五日内安排补植、更换；乔木补植须选用干径不低于现有的同品种全冠苗，大灌木及整形灌木须选用同规格、同品种全冠苗，绿篱、种植块等须选择同品种、大于现规格健壮苗密植，然后修剪至同等高度。</w:t>
      </w:r>
    </w:p>
    <w:p>
      <w:pPr>
        <w:autoSpaceDE w:val="0"/>
        <w:autoSpaceDN w:val="0"/>
        <w:adjustRightInd w:val="0"/>
        <w:spacing w:line="400" w:lineRule="atLeast"/>
        <w:rPr>
          <w:rFonts w:hint="eastAsia" w:ascii="宋体" w:hAnsi="宋体"/>
          <w:szCs w:val="21"/>
        </w:rPr>
      </w:pPr>
      <w:r>
        <w:rPr>
          <w:rFonts w:hint="eastAsia" w:ascii="宋体" w:hAnsi="宋体"/>
          <w:szCs w:val="21"/>
        </w:rPr>
        <w:t>6.病虫害防治</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根据植物病虫害的发生规律，做好病虫害预防工作，发现病虫害疫情及时上报，对于已发生的病虫害，要根据不同的树种、病虫害的种类和具体环境条件，及时治理；食叶性害虫危害的叶片每株（m2）小于5%，刺吸性害虫危害的叶片每株（m2）小于10%，基本无蛀干性害虫危害。</w:t>
      </w:r>
    </w:p>
    <w:p>
      <w:pPr>
        <w:autoSpaceDE w:val="0"/>
        <w:autoSpaceDN w:val="0"/>
        <w:adjustRightInd w:val="0"/>
        <w:spacing w:line="400" w:lineRule="atLeast"/>
        <w:rPr>
          <w:rFonts w:hint="eastAsia" w:ascii="宋体" w:hAnsi="宋体"/>
          <w:szCs w:val="21"/>
        </w:rPr>
      </w:pPr>
      <w:r>
        <w:rPr>
          <w:rFonts w:hint="eastAsia" w:ascii="宋体" w:hAnsi="宋体"/>
          <w:szCs w:val="21"/>
        </w:rPr>
        <w:t>7.浇水和喷淋</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乔木与灌木，应根据气温、土壤墒情等情况合理安排浇水：一般在无雨气候下，30℃以下天气一周安排浇水两次，30℃以上天气持续每天安排浇水一次、35℃以上天气应安排每天浇水2次。</w:t>
      </w:r>
    </w:p>
    <w:p>
      <w:pPr>
        <w:autoSpaceDE w:val="0"/>
        <w:autoSpaceDN w:val="0"/>
        <w:adjustRightInd w:val="0"/>
        <w:spacing w:line="400" w:lineRule="atLeast"/>
        <w:rPr>
          <w:rFonts w:hint="eastAsia" w:ascii="宋体" w:hAnsi="宋体"/>
          <w:szCs w:val="21"/>
        </w:rPr>
      </w:pPr>
      <w:r>
        <w:rPr>
          <w:rFonts w:hint="eastAsia" w:ascii="宋体" w:hAnsi="宋体"/>
          <w:szCs w:val="21"/>
        </w:rPr>
        <w:t>8.整形修剪</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修剪应根据树种习性、养护季节、景观效果进行，达到均衡树势、调节生长、姿态优美、花繁叶茂的目的。乔木、大灌木每年修剪内膛枝、下垂枝、平行枝等不少于2次，修剪创面大于20cm2，必须进行防腐处理；绿篱、种植块及整形灌木（球类等）适时修剪（针叶类萌条不超过5cm，阔叶类萌条不超过10cm），表面无修剪残留物。</w:t>
      </w:r>
    </w:p>
    <w:p>
      <w:pPr>
        <w:autoSpaceDE w:val="0"/>
        <w:autoSpaceDN w:val="0"/>
        <w:adjustRightInd w:val="0"/>
        <w:spacing w:line="400" w:lineRule="atLeast"/>
        <w:rPr>
          <w:rFonts w:hint="eastAsia" w:ascii="宋体" w:hAnsi="宋体"/>
          <w:szCs w:val="21"/>
        </w:rPr>
      </w:pPr>
      <w:r>
        <w:rPr>
          <w:rFonts w:hint="eastAsia" w:ascii="宋体" w:hAnsi="宋体"/>
          <w:szCs w:val="21"/>
        </w:rPr>
        <w:t>9.开盘与施肥</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树木开盘大小适当，边缘线圆滑整齐，盘面平整，深度控制在10-20cm。结合开盘对绿化进行施肥。</w:t>
      </w:r>
    </w:p>
    <w:p>
      <w:pPr>
        <w:autoSpaceDE w:val="0"/>
        <w:autoSpaceDN w:val="0"/>
        <w:adjustRightInd w:val="0"/>
        <w:spacing w:line="400" w:lineRule="atLeast"/>
        <w:rPr>
          <w:rFonts w:hint="eastAsia" w:ascii="宋体" w:hAnsi="宋体"/>
          <w:szCs w:val="21"/>
        </w:rPr>
      </w:pPr>
      <w:r>
        <w:rPr>
          <w:rFonts w:hint="eastAsia" w:ascii="宋体" w:hAnsi="宋体"/>
          <w:szCs w:val="21"/>
        </w:rPr>
        <w:t>10.防护措施</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新植乔木和有倒伏危险的树木须设置支撑，对意外造成的植物倒伏、折损，须在当日内扶正、修剪或在三日内安排更换；对易受冻害树木，须在每年的11月底之前完成根际培土、覆草、包扎、修剪及裹干等措施；为防止雪压损毁树枝或变形，降雪天气时应及时清除树木枝叶上的积雪。</w:t>
      </w:r>
    </w:p>
    <w:p>
      <w:pPr>
        <w:autoSpaceDE w:val="0"/>
        <w:autoSpaceDN w:val="0"/>
        <w:adjustRightInd w:val="0"/>
        <w:spacing w:line="400" w:lineRule="atLeast"/>
        <w:rPr>
          <w:rFonts w:hint="eastAsia" w:ascii="宋体" w:hAnsi="宋体"/>
          <w:szCs w:val="21"/>
        </w:rPr>
      </w:pPr>
      <w:r>
        <w:rPr>
          <w:rFonts w:hint="eastAsia" w:ascii="宋体" w:hAnsi="宋体"/>
          <w:szCs w:val="21"/>
        </w:rPr>
        <w:t>11.绿地管理及保护</w:t>
      </w:r>
    </w:p>
    <w:p>
      <w:pPr>
        <w:autoSpaceDE w:val="0"/>
        <w:autoSpaceDN w:val="0"/>
        <w:adjustRightInd w:val="0"/>
        <w:spacing w:line="400" w:lineRule="atLeast"/>
        <w:ind w:firstLine="420" w:firstLineChars="200"/>
        <w:rPr>
          <w:rFonts w:hint="eastAsia" w:ascii="宋体" w:hAnsi="宋体"/>
          <w:szCs w:val="21"/>
        </w:rPr>
      </w:pPr>
      <w:r>
        <w:rPr>
          <w:rFonts w:hint="eastAsia" w:ascii="宋体" w:hAnsi="宋体"/>
          <w:szCs w:val="21"/>
        </w:rPr>
        <w:t>绿地、树池内无砖瓦石块、杂物、积水、杂草、杂树等，行道树树池、绿化带内表土应低于侧石3-5cm；绿地内、树木上无拉挂、晾晒、乱绑扎、刻画、牛皮癣、悬挂物、禁锢物等；绿地内、树池内无私栽植物等现象；对破坏绿化和毁绿行为要及时制止，并及时向公司管理部门汇报，对已遭破坏的绿化，待城管执法大队现场取证后即行恢复；经审批同意在绿地内施工的项目，要监督施工单位，确保其在审批范围内施工，不得超范围破坏绿化；在日常养管中，不得擅自改变绿化设计意图。</w:t>
      </w:r>
    </w:p>
    <w:p>
      <w:pPr>
        <w:autoSpaceDE w:val="0"/>
        <w:autoSpaceDN w:val="0"/>
        <w:adjustRightInd w:val="0"/>
        <w:spacing w:line="400" w:lineRule="atLeast"/>
        <w:rPr>
          <w:rFonts w:ascii="宋体" w:hAnsi="宋体"/>
          <w:szCs w:val="21"/>
        </w:rPr>
      </w:pPr>
      <w:r>
        <w:rPr>
          <w:rFonts w:hint="eastAsia" w:ascii="宋体" w:hAnsi="宋体"/>
          <w:szCs w:val="21"/>
        </w:rPr>
        <w:t>12.其余养护规范等内容详见附件1、附件2、附件3。</w:t>
      </w:r>
    </w:p>
    <w:p>
      <w:pPr>
        <w:autoSpaceDE w:val="0"/>
        <w:autoSpaceDN w:val="0"/>
        <w:adjustRightInd w:val="0"/>
        <w:spacing w:line="400" w:lineRule="atLeast"/>
        <w:rPr>
          <w:rFonts w:hint="eastAsia" w:ascii="宋体" w:hAnsi="宋体" w:cs="Arial"/>
          <w:b/>
          <w:szCs w:val="21"/>
          <w:lang w:val="zh-CN"/>
        </w:rPr>
      </w:pPr>
      <w:r>
        <w:rPr>
          <w:rFonts w:hint="eastAsia" w:ascii="宋体" w:hAnsi="宋体" w:cs="Arial"/>
          <w:b/>
          <w:szCs w:val="21"/>
          <w:lang w:val="zh-CN"/>
        </w:rPr>
        <w:t>（</w:t>
      </w:r>
      <w:r>
        <w:rPr>
          <w:rFonts w:hint="eastAsia" w:ascii="宋体" w:hAnsi="宋体" w:cs="Arial"/>
          <w:b/>
          <w:szCs w:val="21"/>
        </w:rPr>
        <w:t>四</w:t>
      </w:r>
      <w:r>
        <w:rPr>
          <w:rFonts w:hint="eastAsia" w:ascii="宋体" w:hAnsi="宋体" w:cs="Arial"/>
          <w:b/>
          <w:szCs w:val="21"/>
          <w:lang w:val="zh-CN"/>
        </w:rPr>
        <w:t>）、日常维保服务</w:t>
      </w:r>
    </w:p>
    <w:p>
      <w:pPr>
        <w:numPr>
          <w:ilvl w:val="0"/>
          <w:numId w:val="8"/>
        </w:numPr>
        <w:autoSpaceDE w:val="0"/>
        <w:autoSpaceDN w:val="0"/>
        <w:adjustRightInd w:val="0"/>
        <w:spacing w:line="400" w:lineRule="atLeast"/>
        <w:rPr>
          <w:rFonts w:hint="eastAsia" w:ascii="宋体" w:hAnsi="宋体" w:cs="Arial"/>
          <w:szCs w:val="21"/>
          <w:lang w:val="zh-CN"/>
        </w:rPr>
      </w:pPr>
      <w:r>
        <w:rPr>
          <w:rFonts w:hint="eastAsia" w:ascii="宋体" w:hAnsi="宋体" w:cs="Arial"/>
          <w:szCs w:val="21"/>
          <w:lang w:val="zh-CN"/>
        </w:rPr>
        <w:t>服务范围：各设备房，设施设备日常维护保养，不含消防、监控、热力、高配设施设备专业维修。具体如下但不限以下项目：</w:t>
      </w:r>
    </w:p>
    <w:p>
      <w:pPr>
        <w:numPr>
          <w:ilvl w:val="0"/>
          <w:numId w:val="9"/>
        </w:numPr>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水：水龙头调换；水管维修；地下车库排污泵系统维修及清理；下水管道疏通；</w:t>
      </w:r>
    </w:p>
    <w:p>
      <w:pPr>
        <w:numPr>
          <w:ilvl w:val="0"/>
          <w:numId w:val="9"/>
        </w:numPr>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电：各种开关、插座、灯泡调换；线路检修；</w:t>
      </w:r>
    </w:p>
    <w:p>
      <w:pPr>
        <w:numPr>
          <w:ilvl w:val="0"/>
          <w:numId w:val="9"/>
        </w:numPr>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各设备机房：设施设备日常维护保养，其中监、消控室24小时值班；</w:t>
      </w:r>
    </w:p>
    <w:p>
      <w:pPr>
        <w:numPr>
          <w:ilvl w:val="0"/>
          <w:numId w:val="9"/>
        </w:numPr>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目前各专业设备（高配、热力、电信、移动、联通、煤气、</w:t>
      </w:r>
      <w:r>
        <w:rPr>
          <w:rFonts w:ascii="宋体" w:hAnsi="宋体" w:cs="Arial"/>
          <w:szCs w:val="21"/>
          <w:lang w:val="zh-CN"/>
        </w:rPr>
        <w:t>湖心喷泉、3D投影系统、夜景灯光</w:t>
      </w:r>
      <w:r>
        <w:rPr>
          <w:rFonts w:hint="eastAsia" w:ascii="宋体" w:hAnsi="宋体" w:cs="Arial"/>
          <w:szCs w:val="21"/>
          <w:lang w:val="zh-CN"/>
        </w:rPr>
        <w:t>）由采购人委托专业公司负责维护和保养，中标人需做好平时的监管，发现问题及时与行业主管部门联系解决。除上述由采购人负责维护和保养的内容外，其他系统的维保工作按以下方式进行：</w:t>
      </w:r>
    </w:p>
    <w:p>
      <w:pPr>
        <w:autoSpaceDE w:val="0"/>
        <w:autoSpaceDN w:val="0"/>
        <w:adjustRightInd w:val="0"/>
        <w:spacing w:line="380" w:lineRule="exact"/>
        <w:rPr>
          <w:rFonts w:hint="eastAsia"/>
          <w:bCs/>
          <w:spacing w:val="10"/>
          <w:szCs w:val="16"/>
        </w:rPr>
      </w:pPr>
      <w:r>
        <w:rPr>
          <w:rFonts w:hint="eastAsia" w:ascii="宋体" w:hAnsi="宋体" w:cs="Arial"/>
          <w:szCs w:val="21"/>
        </w:rPr>
        <w:t>A：</w:t>
      </w:r>
      <w:r>
        <w:rPr>
          <w:rFonts w:hint="eastAsia" w:ascii="宋体" w:hAnsi="宋体" w:cs="Arial"/>
          <w:szCs w:val="21"/>
          <w:lang w:val="zh-CN"/>
        </w:rPr>
        <w:t>以下项目由中标人包干，</w:t>
      </w:r>
      <w:r>
        <w:rPr>
          <w:rFonts w:hint="eastAsia"/>
        </w:rPr>
        <w:t>费用（不含电梯、消防、防排烟系统、空调系统检测费）纳入</w:t>
      </w:r>
      <w:r>
        <w:rPr>
          <w:rFonts w:hint="eastAsia"/>
          <w:bCs/>
          <w:spacing w:val="10"/>
          <w:szCs w:val="16"/>
        </w:rPr>
        <w:t>投标报价，采购人不另行支付相关费用：</w:t>
      </w:r>
    </w:p>
    <w:p>
      <w:pPr>
        <w:autoSpaceDE w:val="0"/>
        <w:autoSpaceDN w:val="0"/>
        <w:adjustRightInd w:val="0"/>
        <w:spacing w:line="380" w:lineRule="exact"/>
        <w:rPr>
          <w:rFonts w:hint="eastAsia"/>
          <w:bCs/>
          <w:spacing w:val="10"/>
          <w:szCs w:val="16"/>
        </w:rPr>
      </w:pPr>
      <w:r>
        <w:rPr>
          <w:rFonts w:hint="eastAsia"/>
          <w:bCs/>
          <w:spacing w:val="10"/>
          <w:szCs w:val="16"/>
        </w:rPr>
        <w:t>①电梯日常维护保养，②消防、防排烟系统维护保养，③空调系统维护保养，通风系统维护保养，④智能化系统维护保养，⑤人防工程的维护保养；</w:t>
      </w:r>
    </w:p>
    <w:p>
      <w:pPr>
        <w:autoSpaceDE w:val="0"/>
        <w:autoSpaceDN w:val="0"/>
        <w:adjustRightInd w:val="0"/>
        <w:ind w:firstLine="230" w:firstLineChars="100"/>
        <w:rPr>
          <w:rFonts w:hint="eastAsia"/>
          <w:bCs/>
          <w:spacing w:val="10"/>
          <w:szCs w:val="16"/>
        </w:rPr>
      </w:pPr>
      <w:r>
        <w:rPr>
          <w:rFonts w:hint="eastAsia"/>
          <w:bCs/>
          <w:spacing w:val="10"/>
          <w:szCs w:val="16"/>
        </w:rPr>
        <w:t>电梯日常维护保养，消防、防排烟系统维护保养，空调系统维护保养，通风系统维护保养，智能化系统由乙方按规范要求落实维护、保养以及年检工作，上述系统需要专业单位进行维修、保养、年检的，由中标单位自行委托具有相应资质的单位进行维护保养，具体维护保养计划、保养单位资质须报采购人审核确认。</w:t>
      </w:r>
    </w:p>
    <w:p>
      <w:pPr>
        <w:pStyle w:val="170"/>
        <w:rPr>
          <w:sz w:val="21"/>
          <w:szCs w:val="16"/>
        </w:rPr>
      </w:pPr>
      <w:r>
        <w:rPr>
          <w:rFonts w:hint="eastAsia"/>
          <w:sz w:val="21"/>
          <w:szCs w:val="16"/>
        </w:rPr>
        <w:t>B:以下项目由中标人包干（含人工、材料等所有费用），费用纳入投标报价，采购人不另行支付相关费用：</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防腐木油漆保养：休闲广场约5000平方米，科博中心约4200平方米，中央公园约4300平方米，此项费用投标报价一次性包干，若年度内采购人使用木塑地板更换防腐木超</w:t>
      </w:r>
      <w:r>
        <w:rPr>
          <w:rFonts w:hint="eastAsia" w:ascii="宋体" w:hAnsi="宋体" w:cs="Arial"/>
          <w:szCs w:val="21"/>
        </w:rPr>
        <w:t>500㎡时，按木塑地板更换面积扣除相应的防腐木保养费，扣除费用为:木塑地板更换面积*防腐木油漆保养</w:t>
      </w:r>
      <w:r>
        <w:rPr>
          <w:rFonts w:hint="eastAsia" w:ascii="宋体" w:hAnsi="宋体" w:cs="Arial"/>
          <w:szCs w:val="21"/>
          <w:lang w:val="zh-CN"/>
        </w:rPr>
        <w:t>投标报价</w:t>
      </w:r>
      <w:r>
        <w:rPr>
          <w:rFonts w:hint="eastAsia" w:ascii="宋体" w:hAnsi="宋体" w:cs="Arial"/>
          <w:szCs w:val="21"/>
        </w:rPr>
        <w:t>/13500㎡</w:t>
      </w:r>
      <w:r>
        <w:rPr>
          <w:rFonts w:hint="eastAsia" w:ascii="宋体" w:hAnsi="宋体" w:cs="Arial"/>
          <w:szCs w:val="21"/>
          <w:lang w:val="zh-CN"/>
        </w:rPr>
        <w:t>。</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rPr>
        <w:t>防腐木维修（主材除外）</w:t>
      </w:r>
      <w:r>
        <w:rPr>
          <w:rFonts w:hint="eastAsia" w:ascii="宋体" w:hAnsi="宋体" w:cs="Arial"/>
          <w:szCs w:val="21"/>
          <w:lang w:val="zh-CN"/>
        </w:rPr>
        <w:t>，硬质铺装年度维修使用新材料累计在100㎡以内的，墙面粉刷维修面积累计在在200㎡以内的费用；</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日常维修所需的五金件（转轴、合页、插销、锁具、铁丝、铁钉、螺丝、螺帽、自攻螺丝等）、低值易耗品（室内灯泡、水龙头、开关、插座、润滑油、除锈剂等）的费用。</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门的油漆修补及维修（包括垃圾箱）、屋顶风管油漆防锈保养、地下室的铸铁盖板及各种设备器具的油漆保养。</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水泵维修费用；</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窨井盖、排水沟盖更换；</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保洁用品与耗材（包括但不限于口罩、手套、簸箕、铁锹、铲子、清洁剂、扫地机及洗</w:t>
      </w:r>
      <w:r>
        <w:rPr>
          <w:rFonts w:hint="eastAsia" w:ascii="宋体" w:hAnsi="宋体" w:cs="Arial"/>
          <w:szCs w:val="21"/>
        </w:rPr>
        <w:t xml:space="preserve"> </w:t>
      </w:r>
      <w:r>
        <w:rPr>
          <w:rFonts w:hint="eastAsia" w:ascii="宋体" w:hAnsi="宋体" w:cs="Arial"/>
          <w:szCs w:val="21"/>
          <w:lang w:val="zh-CN"/>
        </w:rPr>
        <w:t>地机耗材、</w:t>
      </w:r>
      <w:r>
        <w:rPr>
          <w:rFonts w:hint="eastAsia" w:ascii="宋体" w:hAnsi="宋体" w:cs="Arial"/>
          <w:szCs w:val="21"/>
        </w:rPr>
        <w:t>石材打磨抛光耗材、</w:t>
      </w:r>
      <w:r>
        <w:rPr>
          <w:rFonts w:hint="eastAsia" w:ascii="宋体" w:hAnsi="宋体" w:cs="Arial"/>
          <w:szCs w:val="21"/>
          <w:lang w:val="zh-CN"/>
        </w:rPr>
        <w:t>其他工具耗材等）费用；</w:t>
      </w:r>
    </w:p>
    <w:p>
      <w:pPr>
        <w:numPr>
          <w:ilvl w:val="0"/>
          <w:numId w:val="10"/>
        </w:numPr>
        <w:tabs>
          <w:tab w:val="left" w:pos="420"/>
          <w:tab w:val="clear" w:pos="0"/>
        </w:tabs>
        <w:autoSpaceDE w:val="0"/>
        <w:autoSpaceDN w:val="0"/>
        <w:adjustRightInd w:val="0"/>
        <w:spacing w:line="380" w:lineRule="exact"/>
        <w:rPr>
          <w:rFonts w:hint="eastAsia" w:ascii="宋体" w:hAnsi="宋体" w:cs="Arial"/>
          <w:szCs w:val="21"/>
          <w:lang w:val="zh-CN"/>
        </w:rPr>
      </w:pPr>
      <w:r>
        <w:rPr>
          <w:rFonts w:hint="eastAsia" w:ascii="宋体" w:hAnsi="宋体" w:cs="Arial"/>
          <w:szCs w:val="21"/>
          <w:lang w:val="zh-CN"/>
        </w:rPr>
        <w:t>绿化养护设备、工具、肥料、补种苗木等费用；</w:t>
      </w:r>
    </w:p>
    <w:p>
      <w:pPr>
        <w:pStyle w:val="170"/>
        <w:rPr>
          <w:rFonts w:hint="eastAsia"/>
          <w:sz w:val="21"/>
          <w:szCs w:val="16"/>
        </w:rPr>
      </w:pPr>
      <w:r>
        <w:rPr>
          <w:rFonts w:hint="eastAsia"/>
          <w:sz w:val="21"/>
          <w:szCs w:val="16"/>
          <w:lang w:val="zh-CN"/>
        </w:rPr>
        <w:t>（</w:t>
      </w:r>
      <w:r>
        <w:rPr>
          <w:rFonts w:hint="eastAsia"/>
          <w:sz w:val="21"/>
          <w:szCs w:val="16"/>
        </w:rPr>
        <w:t>5</w:t>
      </w:r>
      <w:r>
        <w:rPr>
          <w:rFonts w:hint="eastAsia"/>
          <w:sz w:val="21"/>
          <w:szCs w:val="16"/>
          <w:lang w:val="zh-CN"/>
        </w:rPr>
        <w:t>）空调及通风系统维保要求</w:t>
      </w:r>
      <w:r>
        <w:rPr>
          <w:rFonts w:hint="eastAsia"/>
          <w:sz w:val="21"/>
          <w:szCs w:val="16"/>
        </w:rPr>
        <w:t>详见附件4；</w:t>
      </w:r>
    </w:p>
    <w:p>
      <w:pPr>
        <w:pStyle w:val="170"/>
        <w:rPr>
          <w:rFonts w:hint="eastAsia"/>
          <w:sz w:val="21"/>
          <w:szCs w:val="16"/>
        </w:rPr>
      </w:pPr>
      <w:r>
        <w:rPr>
          <w:rFonts w:hint="eastAsia"/>
          <w:sz w:val="21"/>
          <w:szCs w:val="16"/>
        </w:rPr>
        <w:t>（6）消防、防排烟系统维护、保养要求详见附件5；</w:t>
      </w:r>
    </w:p>
    <w:p>
      <w:pPr>
        <w:pStyle w:val="170"/>
        <w:rPr>
          <w:rFonts w:hint="eastAsia"/>
          <w:sz w:val="21"/>
          <w:szCs w:val="16"/>
        </w:rPr>
      </w:pPr>
      <w:r>
        <w:rPr>
          <w:rFonts w:hint="eastAsia"/>
          <w:sz w:val="21"/>
          <w:szCs w:val="16"/>
        </w:rPr>
        <w:t>（7）防腐木保养要求详见附件6；</w:t>
      </w:r>
    </w:p>
    <w:p>
      <w:pPr>
        <w:pStyle w:val="170"/>
        <w:rPr>
          <w:sz w:val="21"/>
          <w:szCs w:val="16"/>
        </w:rPr>
      </w:pPr>
      <w:r>
        <w:rPr>
          <w:rFonts w:hint="eastAsia"/>
          <w:sz w:val="21"/>
          <w:szCs w:val="16"/>
        </w:rPr>
        <w:t>（8）智能化系统维护、保养要求详见附件7；</w:t>
      </w:r>
    </w:p>
    <w:p>
      <w:pPr>
        <w:pStyle w:val="170"/>
        <w:rPr>
          <w:sz w:val="21"/>
          <w:szCs w:val="16"/>
        </w:rPr>
      </w:pPr>
      <w:r>
        <w:rPr>
          <w:rFonts w:hint="eastAsia"/>
          <w:sz w:val="21"/>
          <w:szCs w:val="16"/>
        </w:rPr>
        <w:t>（9）人防工程维护保养要求详见附件8。</w:t>
      </w:r>
    </w:p>
    <w:p>
      <w:pPr>
        <w:tabs>
          <w:tab w:val="left" w:pos="315"/>
        </w:tabs>
        <w:autoSpaceDE w:val="0"/>
        <w:autoSpaceDN w:val="0"/>
        <w:adjustRightInd w:val="0"/>
        <w:spacing w:line="400" w:lineRule="atLeast"/>
        <w:rPr>
          <w:rFonts w:hint="eastAsia" w:ascii="宋体" w:hAnsi="宋体" w:cs="Arial"/>
          <w:b/>
          <w:szCs w:val="21"/>
          <w:lang w:val="zh-CN"/>
        </w:rPr>
      </w:pPr>
      <w:r>
        <w:rPr>
          <w:rFonts w:hint="eastAsia" w:ascii="宋体" w:hAnsi="宋体" w:cs="Arial"/>
          <w:b/>
          <w:szCs w:val="21"/>
          <w:lang w:val="zh-CN"/>
        </w:rPr>
        <w:t>（</w:t>
      </w:r>
      <w:r>
        <w:rPr>
          <w:rFonts w:hint="eastAsia" w:ascii="宋体" w:hAnsi="宋体" w:cs="Arial"/>
          <w:b/>
          <w:szCs w:val="21"/>
        </w:rPr>
        <w:t>五</w:t>
      </w:r>
      <w:r>
        <w:rPr>
          <w:rFonts w:hint="eastAsia" w:ascii="宋体" w:hAnsi="宋体" w:cs="Arial"/>
          <w:b/>
          <w:szCs w:val="21"/>
          <w:lang w:val="zh-CN"/>
        </w:rPr>
        <w:t>）、热线接听管理规范</w:t>
      </w:r>
    </w:p>
    <w:p>
      <w:pPr>
        <w:autoSpaceDE w:val="0"/>
        <w:autoSpaceDN w:val="0"/>
        <w:adjustRightInd w:val="0"/>
        <w:spacing w:line="500" w:lineRule="exact"/>
        <w:rPr>
          <w:rFonts w:hint="eastAsia" w:ascii="宋体" w:hAnsi="宋体" w:cs="Arial"/>
          <w:szCs w:val="21"/>
          <w:lang w:val="zh-CN"/>
        </w:rPr>
      </w:pPr>
      <w:r>
        <w:rPr>
          <w:rFonts w:hint="eastAsia" w:ascii="宋体" w:hAnsi="宋体" w:cs="Arial"/>
          <w:szCs w:val="21"/>
          <w:lang w:val="zh-CN"/>
        </w:rPr>
        <w:t>1.提供24小时热线接听记录服务，要求接听人员口齿清楚、普通话标准，并使用文明用语。</w:t>
      </w:r>
    </w:p>
    <w:p>
      <w:pPr>
        <w:autoSpaceDE w:val="0"/>
        <w:autoSpaceDN w:val="0"/>
        <w:adjustRightInd w:val="0"/>
        <w:spacing w:line="500" w:lineRule="exact"/>
        <w:rPr>
          <w:rFonts w:hint="eastAsia" w:ascii="宋体" w:hAnsi="宋体" w:cs="Arial"/>
          <w:szCs w:val="21"/>
          <w:lang w:val="zh-CN"/>
        </w:rPr>
      </w:pPr>
      <w:r>
        <w:rPr>
          <w:rFonts w:hint="eastAsia" w:ascii="宋体" w:hAnsi="宋体" w:cs="Arial"/>
          <w:szCs w:val="21"/>
          <w:lang w:val="zh-CN"/>
        </w:rPr>
        <w:t>2.负责网络舆情、市政热线、数字城管等投诉热线记录、回复及反馈。</w:t>
      </w:r>
    </w:p>
    <w:p>
      <w:pPr>
        <w:autoSpaceDE w:val="0"/>
        <w:autoSpaceDN w:val="0"/>
        <w:adjustRightInd w:val="0"/>
        <w:spacing w:line="500" w:lineRule="exact"/>
        <w:rPr>
          <w:rFonts w:hint="eastAsia" w:ascii="宋体" w:hAnsi="宋体" w:cs="Arial"/>
          <w:szCs w:val="21"/>
          <w:lang w:val="zh-CN"/>
        </w:rPr>
      </w:pPr>
      <w:r>
        <w:rPr>
          <w:rFonts w:hint="eastAsia" w:ascii="宋体" w:hAnsi="宋体" w:cs="Arial"/>
          <w:szCs w:val="21"/>
          <w:lang w:val="zh-CN"/>
        </w:rPr>
        <w:t>3.热线由投标人负责安装，费用包干，号码公布。</w:t>
      </w:r>
    </w:p>
    <w:p>
      <w:pPr>
        <w:autoSpaceDE w:val="0"/>
        <w:autoSpaceDN w:val="0"/>
        <w:adjustRightInd w:val="0"/>
        <w:spacing w:line="400" w:lineRule="atLeast"/>
        <w:rPr>
          <w:rFonts w:hint="eastAsia" w:ascii="宋体" w:hAnsi="宋体" w:cs="Arial"/>
          <w:b/>
          <w:szCs w:val="21"/>
          <w:lang w:val="zh-CN"/>
        </w:rPr>
      </w:pPr>
      <w:r>
        <w:rPr>
          <w:rFonts w:hint="eastAsia" w:ascii="宋体" w:hAnsi="宋体" w:cs="Arial"/>
          <w:b/>
          <w:szCs w:val="21"/>
          <w:lang w:val="zh-CN"/>
        </w:rPr>
        <w:t>（</w:t>
      </w:r>
      <w:r>
        <w:rPr>
          <w:rFonts w:hint="eastAsia" w:ascii="宋体" w:hAnsi="宋体" w:cs="Arial"/>
          <w:b/>
          <w:szCs w:val="21"/>
        </w:rPr>
        <w:t>六</w:t>
      </w:r>
      <w:r>
        <w:rPr>
          <w:rFonts w:hint="eastAsia" w:ascii="宋体" w:hAnsi="宋体" w:cs="Arial"/>
          <w:b/>
          <w:szCs w:val="21"/>
          <w:lang w:val="zh-CN"/>
        </w:rPr>
        <w:t>）、工作时间和城市公共空间一体化管理服务人员要求</w:t>
      </w:r>
    </w:p>
    <w:p>
      <w:pPr>
        <w:autoSpaceDE w:val="0"/>
        <w:autoSpaceDN w:val="0"/>
        <w:adjustRightInd w:val="0"/>
        <w:spacing w:line="440" w:lineRule="exact"/>
        <w:rPr>
          <w:rFonts w:hint="eastAsia" w:ascii="宋体" w:hAnsi="宋体"/>
          <w:szCs w:val="21"/>
        </w:rPr>
      </w:pPr>
      <w:r>
        <w:rPr>
          <w:rFonts w:hint="eastAsia" w:ascii="宋体" w:hAnsi="宋体"/>
          <w:szCs w:val="21"/>
        </w:rPr>
        <w:t>1.工作时间要求：</w:t>
      </w:r>
    </w:p>
    <w:p>
      <w:pPr>
        <w:tabs>
          <w:tab w:val="left" w:pos="425"/>
        </w:tabs>
        <w:autoSpaceDE w:val="0"/>
        <w:autoSpaceDN w:val="0"/>
        <w:adjustRightInd w:val="0"/>
        <w:spacing w:line="440" w:lineRule="exact"/>
        <w:ind w:left="425"/>
        <w:rPr>
          <w:rFonts w:hint="eastAsia" w:ascii="宋体" w:hAnsi="宋体"/>
          <w:szCs w:val="21"/>
        </w:rPr>
      </w:pPr>
      <w:r>
        <w:rPr>
          <w:rFonts w:hint="eastAsia" w:ascii="宋体" w:hAnsi="宋体"/>
          <w:szCs w:val="21"/>
        </w:rPr>
        <w:t>双休日及节假日必须配足值班人员，投标人必须充分考虑环杭州湾创新中心区的实际情况，如遇抗台等特殊时期，24小时到场服务。</w:t>
      </w:r>
    </w:p>
    <w:p>
      <w:pPr>
        <w:autoSpaceDE w:val="0"/>
        <w:autoSpaceDN w:val="0"/>
        <w:adjustRightInd w:val="0"/>
        <w:spacing w:line="440" w:lineRule="exact"/>
        <w:rPr>
          <w:rFonts w:hint="eastAsia" w:ascii="宋体" w:hAnsi="宋体" w:cs="Arial"/>
          <w:szCs w:val="21"/>
          <w:lang w:val="zh-CN"/>
        </w:rPr>
      </w:pPr>
      <w:r>
        <w:rPr>
          <w:rFonts w:hint="eastAsia" w:ascii="宋体" w:hAnsi="宋体"/>
          <w:szCs w:val="21"/>
        </w:rPr>
        <w:t>2.城市公共空间一体化管理服务</w:t>
      </w:r>
      <w:r>
        <w:rPr>
          <w:rFonts w:hint="eastAsia" w:ascii="宋体" w:hAnsi="宋体" w:cs="Arial"/>
          <w:szCs w:val="21"/>
          <w:lang w:val="zh-CN"/>
        </w:rPr>
        <w:t>人员要求：</w:t>
      </w:r>
    </w:p>
    <w:p>
      <w:pPr>
        <w:numPr>
          <w:ilvl w:val="0"/>
          <w:numId w:val="11"/>
        </w:numPr>
        <w:autoSpaceDE w:val="0"/>
        <w:autoSpaceDN w:val="0"/>
        <w:adjustRightInd w:val="0"/>
        <w:spacing w:line="440" w:lineRule="exact"/>
        <w:ind w:left="845"/>
        <w:rPr>
          <w:rFonts w:hint="eastAsia" w:ascii="宋体" w:hAnsi="宋体" w:cs="Arial"/>
          <w:bCs/>
          <w:szCs w:val="21"/>
          <w:lang w:val="zh-CN"/>
        </w:rPr>
      </w:pPr>
      <w:r>
        <w:rPr>
          <w:rFonts w:hint="eastAsia" w:ascii="宋体" w:hAnsi="宋体" w:cs="Arial"/>
          <w:bCs/>
          <w:szCs w:val="21"/>
          <w:lang w:val="zh-CN"/>
        </w:rPr>
        <w:t>所有相关人员的配备如需获得相关主管部门认证的，均需培训并持证上岗，且根据不同岗位统一着装。</w:t>
      </w:r>
    </w:p>
    <w:p>
      <w:pPr>
        <w:numPr>
          <w:ilvl w:val="0"/>
          <w:numId w:val="11"/>
        </w:numPr>
        <w:autoSpaceDE w:val="0"/>
        <w:autoSpaceDN w:val="0"/>
        <w:adjustRightInd w:val="0"/>
        <w:spacing w:line="440" w:lineRule="exact"/>
        <w:ind w:left="845"/>
        <w:rPr>
          <w:rFonts w:hint="eastAsia" w:ascii="宋体" w:hAnsi="宋体" w:cs="Arial"/>
          <w:bCs/>
          <w:szCs w:val="21"/>
          <w:lang w:val="zh-CN"/>
        </w:rPr>
      </w:pPr>
      <w:r>
        <w:rPr>
          <w:rFonts w:hint="eastAsia" w:ascii="宋体" w:hAnsi="宋体" w:cs="Arial"/>
          <w:bCs/>
          <w:szCs w:val="21"/>
          <w:lang w:val="zh-CN"/>
        </w:rPr>
        <w:t>所有相关人员要求政治上可靠，身体素质好，无不良行为记录。</w:t>
      </w:r>
    </w:p>
    <w:p>
      <w:pPr>
        <w:numPr>
          <w:ilvl w:val="0"/>
          <w:numId w:val="11"/>
        </w:numPr>
        <w:autoSpaceDE w:val="0"/>
        <w:autoSpaceDN w:val="0"/>
        <w:adjustRightInd w:val="0"/>
        <w:spacing w:line="440" w:lineRule="exact"/>
        <w:ind w:left="845"/>
        <w:rPr>
          <w:rFonts w:hint="eastAsia" w:ascii="宋体" w:hAnsi="宋体" w:cs="Arial"/>
          <w:szCs w:val="21"/>
          <w:lang w:val="zh-CN"/>
        </w:rPr>
      </w:pPr>
      <w:r>
        <w:rPr>
          <w:rFonts w:hint="eastAsia" w:ascii="宋体" w:hAnsi="宋体" w:cs="Arial"/>
          <w:szCs w:val="21"/>
          <w:lang w:val="zh-CN"/>
        </w:rPr>
        <w:t>为提高</w:t>
      </w:r>
      <w:r>
        <w:rPr>
          <w:rFonts w:hint="eastAsia" w:ascii="宋体" w:hAnsi="宋体"/>
          <w:szCs w:val="21"/>
        </w:rPr>
        <w:t>城市公共空间一体化管理服务</w:t>
      </w:r>
      <w:r>
        <w:rPr>
          <w:rFonts w:hint="eastAsia" w:ascii="宋体" w:hAnsi="宋体" w:cs="Arial"/>
          <w:szCs w:val="21"/>
          <w:lang w:val="zh-CN"/>
        </w:rPr>
        <w:t>水平，所有</w:t>
      </w:r>
      <w:r>
        <w:rPr>
          <w:rFonts w:hint="eastAsia" w:ascii="宋体" w:hAnsi="宋体"/>
          <w:szCs w:val="21"/>
        </w:rPr>
        <w:t>城市公共空间一体化管理服务</w:t>
      </w:r>
      <w:r>
        <w:rPr>
          <w:rFonts w:hint="eastAsia" w:ascii="宋体" w:hAnsi="宋体" w:cs="Arial"/>
          <w:szCs w:val="21"/>
          <w:lang w:val="zh-CN"/>
        </w:rPr>
        <w:t>人员还需进行</w:t>
      </w:r>
      <w:r>
        <w:rPr>
          <w:rFonts w:hint="eastAsia" w:ascii="宋体" w:hAnsi="宋体" w:cs="Arial"/>
          <w:bCs/>
          <w:szCs w:val="21"/>
          <w:lang w:val="zh-CN"/>
        </w:rPr>
        <w:t>相关服务</w:t>
      </w:r>
      <w:r>
        <w:rPr>
          <w:rFonts w:hint="eastAsia" w:ascii="宋体" w:hAnsi="宋体" w:cs="Arial"/>
          <w:szCs w:val="21"/>
          <w:lang w:val="zh-CN"/>
        </w:rPr>
        <w:t>的培训。</w:t>
      </w:r>
    </w:p>
    <w:p>
      <w:pPr>
        <w:numPr>
          <w:ilvl w:val="0"/>
          <w:numId w:val="11"/>
        </w:numPr>
        <w:autoSpaceDE w:val="0"/>
        <w:autoSpaceDN w:val="0"/>
        <w:adjustRightInd w:val="0"/>
        <w:spacing w:line="440" w:lineRule="exact"/>
        <w:ind w:left="845"/>
        <w:rPr>
          <w:rFonts w:hint="eastAsia" w:ascii="宋体" w:hAnsi="宋体" w:cs="Arial"/>
          <w:szCs w:val="21"/>
          <w:lang w:val="zh-CN"/>
        </w:rPr>
      </w:pPr>
      <w:r>
        <w:rPr>
          <w:rFonts w:hint="eastAsia" w:ascii="宋体" w:hAnsi="宋体" w:cs="Arial"/>
          <w:szCs w:val="21"/>
          <w:lang w:val="zh-CN"/>
        </w:rPr>
        <w:t>所有城市公共空间一体化管理服务人员年龄要求男性不高于60周岁，女性不高于50周岁，身体健康；其中秩序维护人员（含消控人员）年龄要求男性不高于45周岁，女性不高于于40周岁，女性占比不超过20%。</w:t>
      </w:r>
    </w:p>
    <w:p>
      <w:pPr>
        <w:autoSpaceDE w:val="0"/>
        <w:autoSpaceDN w:val="0"/>
        <w:adjustRightInd w:val="0"/>
        <w:spacing w:line="360" w:lineRule="auto"/>
        <w:rPr>
          <w:rFonts w:hint="eastAsia" w:ascii="宋体" w:hAnsi="宋体" w:cs="Arial"/>
          <w:b/>
          <w:szCs w:val="21"/>
          <w:lang w:val="zh-CN"/>
        </w:rPr>
      </w:pPr>
      <w:r>
        <w:rPr>
          <w:rFonts w:hint="eastAsia" w:ascii="宋体" w:hAnsi="宋体" w:cs="Arial"/>
          <w:b/>
          <w:szCs w:val="21"/>
          <w:lang w:val="zh-CN"/>
        </w:rPr>
        <w:t>（</w:t>
      </w:r>
      <w:r>
        <w:rPr>
          <w:rFonts w:hint="eastAsia" w:ascii="宋体" w:hAnsi="宋体" w:cs="Arial"/>
          <w:b/>
          <w:szCs w:val="21"/>
        </w:rPr>
        <w:t>七</w:t>
      </w:r>
      <w:r>
        <w:rPr>
          <w:rFonts w:hint="eastAsia" w:ascii="宋体" w:hAnsi="宋体" w:cs="Arial"/>
          <w:b/>
          <w:szCs w:val="21"/>
          <w:lang w:val="zh-CN"/>
        </w:rPr>
        <w:t>）、采购人提供的相关场地：</w:t>
      </w:r>
    </w:p>
    <w:p>
      <w:pPr>
        <w:autoSpaceDE w:val="0"/>
        <w:autoSpaceDN w:val="0"/>
        <w:adjustRightInd w:val="0"/>
        <w:spacing w:line="440" w:lineRule="exact"/>
        <w:ind w:firstLine="420" w:firstLineChars="200"/>
        <w:rPr>
          <w:rFonts w:hint="eastAsia" w:ascii="宋体" w:hAnsi="宋体" w:cs="Arial"/>
          <w:szCs w:val="21"/>
        </w:rPr>
      </w:pPr>
      <w:r>
        <w:rPr>
          <w:rFonts w:hint="eastAsia" w:ascii="宋体" w:hAnsi="宋体" w:cs="Arial"/>
          <w:szCs w:val="21"/>
          <w:lang w:val="zh-CN"/>
        </w:rPr>
        <w:t>采购人仅提供可用于城市公共空间一体化管理服务的场地（</w:t>
      </w:r>
      <w:r>
        <w:rPr>
          <w:rFonts w:hint="eastAsia" w:ascii="宋体" w:hAnsi="宋体" w:cs="Arial"/>
          <w:szCs w:val="21"/>
        </w:rPr>
        <w:t>已有办公场地由投标人自行踏勘，具体为准详见附图</w:t>
      </w:r>
      <w:r>
        <w:rPr>
          <w:rFonts w:hint="eastAsia" w:ascii="宋体" w:hAnsi="宋体" w:cs="Arial"/>
          <w:szCs w:val="21"/>
          <w:lang w:val="zh-CN"/>
        </w:rPr>
        <w:t>），</w:t>
      </w:r>
      <w:r>
        <w:rPr>
          <w:rFonts w:hint="eastAsia" w:ascii="宋体" w:hAnsi="宋体" w:cs="Arial"/>
          <w:szCs w:val="21"/>
        </w:rPr>
        <w:t>室内装修</w:t>
      </w:r>
      <w:r>
        <w:rPr>
          <w:rFonts w:hint="eastAsia" w:ascii="宋体" w:hAnsi="宋体" w:cs="Arial"/>
          <w:szCs w:val="21"/>
          <w:lang w:val="zh-CN"/>
        </w:rPr>
        <w:t>、办公用品和办公耗材由中标人自行承担</w:t>
      </w:r>
      <w:r>
        <w:rPr>
          <w:rFonts w:hint="eastAsia" w:ascii="宋体" w:hAnsi="宋体" w:cs="Arial"/>
          <w:szCs w:val="21"/>
        </w:rPr>
        <w:t>。</w:t>
      </w:r>
    </w:p>
    <w:p>
      <w:pPr>
        <w:autoSpaceDE w:val="0"/>
        <w:autoSpaceDN w:val="0"/>
        <w:adjustRightInd w:val="0"/>
        <w:spacing w:line="360" w:lineRule="auto"/>
        <w:rPr>
          <w:rFonts w:hint="eastAsia" w:ascii="宋体" w:hAnsi="宋体"/>
          <w:b/>
          <w:szCs w:val="21"/>
        </w:rPr>
      </w:pPr>
      <w:r>
        <w:rPr>
          <w:rFonts w:hint="eastAsia" w:ascii="宋体" w:hAnsi="宋体"/>
          <w:b/>
          <w:szCs w:val="21"/>
        </w:rPr>
        <w:t>（八）、采购人对服务管理质量相关要求</w:t>
      </w:r>
    </w:p>
    <w:p>
      <w:pPr>
        <w:autoSpaceDE w:val="0"/>
        <w:autoSpaceDN w:val="0"/>
        <w:adjustRightInd w:val="0"/>
        <w:spacing w:line="360" w:lineRule="auto"/>
        <w:rPr>
          <w:rFonts w:hint="eastAsia" w:ascii="宋体" w:hAnsi="宋体"/>
          <w:szCs w:val="21"/>
        </w:rPr>
      </w:pPr>
      <w:r>
        <w:rPr>
          <w:rFonts w:hint="eastAsia" w:ascii="宋体" w:hAnsi="宋体"/>
          <w:szCs w:val="21"/>
        </w:rPr>
        <w:t>1.总体要求：</w:t>
      </w:r>
    </w:p>
    <w:p>
      <w:pPr>
        <w:numPr>
          <w:ilvl w:val="0"/>
          <w:numId w:val="12"/>
        </w:numPr>
        <w:autoSpaceDE w:val="0"/>
        <w:autoSpaceDN w:val="0"/>
        <w:adjustRightInd w:val="0"/>
        <w:spacing w:line="400" w:lineRule="atLeast"/>
        <w:ind w:left="845"/>
        <w:rPr>
          <w:rFonts w:hint="eastAsia" w:ascii="宋体" w:hAnsi="宋体"/>
          <w:szCs w:val="21"/>
        </w:rPr>
      </w:pPr>
      <w:r>
        <w:rPr>
          <w:rFonts w:hint="eastAsia" w:ascii="宋体" w:hAnsi="宋体"/>
          <w:szCs w:val="21"/>
        </w:rPr>
        <w:t>各投标人需本着对企业品牌的延伸，以社会化效益为重的原则进行报价。</w:t>
      </w:r>
    </w:p>
    <w:p>
      <w:pPr>
        <w:numPr>
          <w:ilvl w:val="0"/>
          <w:numId w:val="12"/>
        </w:numPr>
        <w:autoSpaceDE w:val="0"/>
        <w:autoSpaceDN w:val="0"/>
        <w:adjustRightInd w:val="0"/>
        <w:spacing w:line="400" w:lineRule="atLeast"/>
        <w:ind w:left="845"/>
        <w:rPr>
          <w:rFonts w:hint="eastAsia" w:ascii="宋体" w:hAnsi="宋体"/>
          <w:szCs w:val="21"/>
        </w:rPr>
      </w:pPr>
      <w:r>
        <w:rPr>
          <w:rFonts w:hint="eastAsia" w:ascii="宋体" w:hAnsi="宋体"/>
          <w:szCs w:val="21"/>
        </w:rPr>
        <w:t>投标人须按现代企业制度运行，发挥自身优势，以热心、爱心、专心贴心服务，为慈溪市环杭州湾创新中心公共区域提供全方位、一体化的专业服务保障。确保慈溪市环杭州湾创新中心公共区域正常运转，各项重大活动顺利完成。</w:t>
      </w:r>
    </w:p>
    <w:p>
      <w:pPr>
        <w:numPr>
          <w:ilvl w:val="0"/>
          <w:numId w:val="12"/>
        </w:numPr>
        <w:autoSpaceDE w:val="0"/>
        <w:autoSpaceDN w:val="0"/>
        <w:adjustRightInd w:val="0"/>
        <w:spacing w:line="400" w:lineRule="atLeast"/>
        <w:ind w:left="845"/>
        <w:rPr>
          <w:rFonts w:hint="eastAsia" w:ascii="宋体" w:hAnsi="宋体"/>
          <w:szCs w:val="21"/>
        </w:rPr>
      </w:pPr>
      <w:r>
        <w:rPr>
          <w:rFonts w:hint="eastAsia" w:ascii="宋体" w:hAnsi="宋体"/>
          <w:szCs w:val="21"/>
        </w:rPr>
        <w:t>各投标人须在对现场、周边环境全面了解的情况下编制科学合理、切实可行的组织实施计划以及具体的保障措施、工作程序。</w:t>
      </w:r>
    </w:p>
    <w:p>
      <w:pPr>
        <w:numPr>
          <w:ilvl w:val="0"/>
          <w:numId w:val="12"/>
        </w:numPr>
        <w:autoSpaceDE w:val="0"/>
        <w:autoSpaceDN w:val="0"/>
        <w:adjustRightInd w:val="0"/>
        <w:spacing w:line="400" w:lineRule="atLeast"/>
        <w:ind w:left="845"/>
        <w:rPr>
          <w:rFonts w:hint="eastAsia" w:ascii="宋体" w:hAnsi="宋体"/>
          <w:szCs w:val="21"/>
        </w:rPr>
      </w:pPr>
      <w:r>
        <w:rPr>
          <w:rFonts w:hint="eastAsia" w:ascii="宋体" w:hAnsi="宋体"/>
          <w:szCs w:val="21"/>
        </w:rPr>
        <w:t>采购人有权在需要时对投标人相关人员做集中调配并以调休、补休等方式进行补偿。此方式投标人必须认可。</w:t>
      </w:r>
    </w:p>
    <w:p>
      <w:pPr>
        <w:numPr>
          <w:ilvl w:val="0"/>
          <w:numId w:val="12"/>
        </w:numPr>
        <w:autoSpaceDE w:val="0"/>
        <w:autoSpaceDN w:val="0"/>
        <w:adjustRightInd w:val="0"/>
        <w:spacing w:line="400" w:lineRule="atLeast"/>
        <w:ind w:left="845"/>
        <w:rPr>
          <w:rFonts w:hint="eastAsia" w:ascii="宋体" w:hAnsi="宋体"/>
          <w:szCs w:val="21"/>
        </w:rPr>
      </w:pPr>
      <w:r>
        <w:rPr>
          <w:rFonts w:hint="eastAsia" w:ascii="宋体" w:hAnsi="宋体"/>
          <w:szCs w:val="21"/>
        </w:rPr>
        <w:t>投标人需制定消防、抗台、安全等紧急预案，并切实地培训到每个岗位人员。</w:t>
      </w:r>
    </w:p>
    <w:p>
      <w:pPr>
        <w:autoSpaceDE w:val="0"/>
        <w:autoSpaceDN w:val="0"/>
        <w:adjustRightInd w:val="0"/>
        <w:spacing w:line="400" w:lineRule="atLeast"/>
        <w:rPr>
          <w:rFonts w:hint="eastAsia" w:ascii="宋体" w:hAnsi="宋体"/>
          <w:szCs w:val="21"/>
        </w:rPr>
      </w:pPr>
      <w:r>
        <w:rPr>
          <w:rFonts w:hint="eastAsia" w:ascii="宋体" w:hAnsi="宋体"/>
          <w:szCs w:val="21"/>
        </w:rPr>
        <w:t>2.投标人应制订具体的质量保证措施及质量保证和相关服务承诺。投标人所有的工作除应按投标人的内部流程实施外还应接受采购人或第三方的检查。如因质量未达到目标，采购人有权要求其整改，投标人应承担责任和经济赔偿（扣款或终止合同）。</w:t>
      </w:r>
    </w:p>
    <w:p>
      <w:pPr>
        <w:autoSpaceDE w:val="0"/>
        <w:autoSpaceDN w:val="0"/>
        <w:adjustRightInd w:val="0"/>
        <w:spacing w:line="400" w:lineRule="atLeast"/>
        <w:rPr>
          <w:rFonts w:hint="eastAsia"/>
        </w:rPr>
      </w:pPr>
      <w:r>
        <w:rPr>
          <w:rFonts w:hint="eastAsia"/>
        </w:rPr>
        <w:t>3</w:t>
      </w:r>
      <w:r>
        <w:t>.项目整体服务品质实行智能化管理，即环境卫生、秩序维护、人员到岗情况、绿化养护、设备设施养护等须做好品质管控智能化管理，由投标人自行开发相关管理APP或微信小程序实现上述管理功能，配置相关管理账户给采购人。</w:t>
      </w:r>
    </w:p>
    <w:p>
      <w:pPr>
        <w:autoSpaceDE w:val="0"/>
        <w:autoSpaceDN w:val="0"/>
        <w:adjustRightInd w:val="0"/>
        <w:spacing w:line="400" w:lineRule="atLeast"/>
        <w:rPr>
          <w:rFonts w:ascii="宋体" w:hAnsi="宋体"/>
          <w:szCs w:val="21"/>
        </w:rPr>
      </w:pPr>
      <w:r>
        <w:rPr>
          <w:rFonts w:hint="eastAsia" w:ascii="宋体" w:hAnsi="宋体"/>
          <w:szCs w:val="21"/>
        </w:rPr>
        <w:t>4.项目有关资料需按采购人要求整理归档。</w:t>
      </w:r>
    </w:p>
    <w:p>
      <w:pPr>
        <w:autoSpaceDE w:val="0"/>
        <w:autoSpaceDN w:val="0"/>
        <w:adjustRightInd w:val="0"/>
        <w:spacing w:line="400" w:lineRule="atLeast"/>
        <w:rPr>
          <w:rFonts w:hint="eastAsia" w:ascii="宋体" w:hAnsi="宋体"/>
          <w:szCs w:val="21"/>
        </w:rPr>
      </w:pPr>
      <w:r>
        <w:rPr>
          <w:rFonts w:hint="eastAsia" w:ascii="宋体" w:hAnsi="宋体"/>
          <w:szCs w:val="21"/>
        </w:rPr>
        <w:t>5.相关法规、管理条例与技术标准、行业规范；国家规定的标准和规范，有新标准按新标准执行；行业标准及规范，有新标准按新标准执行；其他相关标准。</w:t>
      </w:r>
    </w:p>
    <w:p>
      <w:pPr>
        <w:autoSpaceDE w:val="0"/>
        <w:autoSpaceDN w:val="0"/>
        <w:adjustRightInd w:val="0"/>
        <w:spacing w:line="400" w:lineRule="atLeast"/>
        <w:rPr>
          <w:rFonts w:hint="eastAsia" w:ascii="宋体" w:hAnsi="宋体"/>
          <w:b/>
          <w:bCs/>
          <w:szCs w:val="21"/>
        </w:rPr>
      </w:pPr>
      <w:r>
        <w:rPr>
          <w:rFonts w:hint="eastAsia" w:ascii="宋体" w:hAnsi="宋体"/>
          <w:b/>
          <w:bCs/>
          <w:szCs w:val="21"/>
        </w:rPr>
        <w:t>5.★岗位设置要求（不得低于下表）</w:t>
      </w:r>
    </w:p>
    <w:tbl>
      <w:tblPr>
        <w:tblStyle w:val="44"/>
        <w:tblW w:w="9027"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988"/>
        <w:gridCol w:w="33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87" w:type="dxa"/>
            <w:noWrap w:val="0"/>
            <w:vAlign w:val="center"/>
          </w:tcPr>
          <w:p>
            <w:pPr>
              <w:spacing w:line="280" w:lineRule="exact"/>
              <w:rPr>
                <w:rFonts w:ascii="宋体" w:hAnsi="宋体"/>
                <w:sz w:val="18"/>
                <w:szCs w:val="18"/>
              </w:rPr>
            </w:pPr>
            <w:r>
              <w:rPr>
                <w:rFonts w:hint="eastAsia" w:ascii="宋体" w:hAnsi="宋体"/>
                <w:sz w:val="18"/>
                <w:szCs w:val="18"/>
              </w:rPr>
              <w:t>岗位</w:t>
            </w:r>
          </w:p>
        </w:tc>
        <w:tc>
          <w:tcPr>
            <w:tcW w:w="988" w:type="dxa"/>
            <w:noWrap w:val="0"/>
            <w:vAlign w:val="center"/>
          </w:tcPr>
          <w:p>
            <w:pPr>
              <w:spacing w:line="280" w:lineRule="exact"/>
              <w:rPr>
                <w:rFonts w:ascii="宋体" w:hAnsi="宋体"/>
                <w:sz w:val="18"/>
                <w:szCs w:val="18"/>
              </w:rPr>
            </w:pPr>
            <w:r>
              <w:rPr>
                <w:rFonts w:hint="eastAsia" w:ascii="宋体" w:hAnsi="宋体"/>
                <w:sz w:val="18"/>
                <w:szCs w:val="18"/>
              </w:rPr>
              <w:t xml:space="preserve">岗位或人数 </w:t>
            </w:r>
          </w:p>
        </w:tc>
        <w:tc>
          <w:tcPr>
            <w:tcW w:w="3312" w:type="dxa"/>
            <w:noWrap w:val="0"/>
            <w:vAlign w:val="center"/>
          </w:tcPr>
          <w:p>
            <w:pPr>
              <w:spacing w:line="280" w:lineRule="exact"/>
              <w:rPr>
                <w:rFonts w:ascii="宋体" w:hAnsi="宋体"/>
                <w:sz w:val="18"/>
                <w:szCs w:val="18"/>
              </w:rPr>
            </w:pPr>
            <w:r>
              <w:rPr>
                <w:rFonts w:hint="eastAsia" w:ascii="宋体" w:hAnsi="宋体"/>
                <w:sz w:val="18"/>
                <w:szCs w:val="18"/>
              </w:rPr>
              <w:t>要求</w:t>
            </w:r>
          </w:p>
        </w:tc>
        <w:tc>
          <w:tcPr>
            <w:tcW w:w="2840" w:type="dxa"/>
            <w:noWrap w:val="0"/>
            <w:vAlign w:val="center"/>
          </w:tcPr>
          <w:p>
            <w:pPr>
              <w:spacing w:line="280" w:lineRule="exact"/>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87" w:type="dxa"/>
            <w:noWrap w:val="0"/>
            <w:vAlign w:val="center"/>
          </w:tcPr>
          <w:p>
            <w:pPr>
              <w:spacing w:line="280" w:lineRule="exact"/>
              <w:rPr>
                <w:rFonts w:ascii="宋体" w:hAnsi="宋体"/>
                <w:sz w:val="18"/>
                <w:szCs w:val="18"/>
              </w:rPr>
            </w:pPr>
            <w:r>
              <w:rPr>
                <w:rFonts w:hint="eastAsia" w:ascii="宋体" w:hAnsi="宋体"/>
                <w:sz w:val="18"/>
                <w:szCs w:val="18"/>
              </w:rPr>
              <w:t>经理（负责人）</w:t>
            </w:r>
          </w:p>
        </w:tc>
        <w:tc>
          <w:tcPr>
            <w:tcW w:w="988"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1人</w:t>
            </w:r>
          </w:p>
        </w:tc>
        <w:tc>
          <w:tcPr>
            <w:tcW w:w="3312" w:type="dxa"/>
            <w:noWrap w:val="0"/>
            <w:vAlign w:val="center"/>
          </w:tcPr>
          <w:p>
            <w:pPr>
              <w:spacing w:line="280" w:lineRule="exact"/>
              <w:rPr>
                <w:rFonts w:ascii="宋体" w:hAnsi="宋体"/>
                <w:sz w:val="18"/>
                <w:szCs w:val="18"/>
              </w:rPr>
            </w:pPr>
            <w:r>
              <w:rPr>
                <w:rFonts w:hint="eastAsia" w:ascii="宋体" w:hAnsi="宋体"/>
                <w:sz w:val="18"/>
                <w:szCs w:val="18"/>
              </w:rPr>
              <w:t>具有物业方面相关工作经验</w:t>
            </w:r>
          </w:p>
        </w:tc>
        <w:tc>
          <w:tcPr>
            <w:tcW w:w="2840" w:type="dxa"/>
            <w:noWrap w:val="0"/>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87" w:type="dxa"/>
            <w:noWrap w:val="0"/>
            <w:vAlign w:val="center"/>
          </w:tcPr>
          <w:p>
            <w:pPr>
              <w:spacing w:line="280" w:lineRule="exact"/>
              <w:rPr>
                <w:rFonts w:ascii="宋体" w:hAnsi="宋体"/>
                <w:sz w:val="18"/>
                <w:szCs w:val="18"/>
              </w:rPr>
            </w:pPr>
            <w:r>
              <w:rPr>
                <w:rFonts w:hint="eastAsia" w:ascii="宋体" w:hAnsi="宋体"/>
                <w:sz w:val="18"/>
                <w:szCs w:val="18"/>
              </w:rPr>
              <w:t>秩序维护主管</w:t>
            </w:r>
          </w:p>
        </w:tc>
        <w:tc>
          <w:tcPr>
            <w:tcW w:w="988" w:type="dxa"/>
            <w:noWrap w:val="0"/>
            <w:vAlign w:val="center"/>
          </w:tcPr>
          <w:p>
            <w:pPr>
              <w:spacing w:line="280" w:lineRule="exact"/>
              <w:jc w:val="center"/>
              <w:rPr>
                <w:rFonts w:ascii="宋体" w:hAnsi="宋体"/>
                <w:sz w:val="18"/>
                <w:szCs w:val="18"/>
              </w:rPr>
            </w:pPr>
            <w:r>
              <w:rPr>
                <w:rFonts w:hint="eastAsia" w:ascii="宋体" w:hAnsi="宋体"/>
                <w:sz w:val="18"/>
                <w:szCs w:val="18"/>
              </w:rPr>
              <w:t>1人</w:t>
            </w:r>
          </w:p>
        </w:tc>
        <w:tc>
          <w:tcPr>
            <w:tcW w:w="3312" w:type="dxa"/>
            <w:noWrap w:val="0"/>
            <w:vAlign w:val="center"/>
          </w:tcPr>
          <w:p>
            <w:pPr>
              <w:spacing w:line="280" w:lineRule="exact"/>
              <w:rPr>
                <w:rFonts w:hint="eastAsia" w:ascii="宋体" w:hAnsi="宋体"/>
                <w:sz w:val="18"/>
                <w:szCs w:val="18"/>
              </w:rPr>
            </w:pPr>
            <w:r>
              <w:rPr>
                <w:rFonts w:hint="eastAsia" w:ascii="宋体" w:hAnsi="宋体"/>
                <w:sz w:val="18"/>
                <w:szCs w:val="18"/>
              </w:rPr>
              <w:t>有相应的工作经验</w:t>
            </w:r>
          </w:p>
        </w:tc>
        <w:tc>
          <w:tcPr>
            <w:tcW w:w="2840" w:type="dxa"/>
            <w:noWrap w:val="0"/>
            <w:vAlign w:val="center"/>
          </w:tcPr>
          <w:p>
            <w:pPr>
              <w:tabs>
                <w:tab w:val="left" w:pos="209"/>
                <w:tab w:val="center" w:pos="874"/>
              </w:tabs>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noWrap w:val="0"/>
            <w:vAlign w:val="center"/>
          </w:tcPr>
          <w:p>
            <w:pPr>
              <w:spacing w:line="280" w:lineRule="exact"/>
              <w:rPr>
                <w:rFonts w:ascii="宋体" w:hAnsi="宋体"/>
                <w:sz w:val="18"/>
                <w:szCs w:val="18"/>
              </w:rPr>
            </w:pPr>
            <w:r>
              <w:rPr>
                <w:rFonts w:hint="eastAsia" w:ascii="宋体" w:hAnsi="宋体"/>
                <w:sz w:val="18"/>
                <w:szCs w:val="18"/>
              </w:rPr>
              <w:t>工程设施、设备主管</w:t>
            </w:r>
          </w:p>
        </w:tc>
        <w:tc>
          <w:tcPr>
            <w:tcW w:w="988" w:type="dxa"/>
            <w:noWrap w:val="0"/>
            <w:vAlign w:val="center"/>
          </w:tcPr>
          <w:p>
            <w:pPr>
              <w:spacing w:line="280" w:lineRule="exact"/>
              <w:jc w:val="center"/>
              <w:rPr>
                <w:rFonts w:ascii="宋体" w:hAnsi="宋体"/>
                <w:bCs/>
                <w:sz w:val="18"/>
                <w:szCs w:val="18"/>
              </w:rPr>
            </w:pPr>
            <w:r>
              <w:rPr>
                <w:rFonts w:hint="eastAsia" w:ascii="宋体" w:hAnsi="宋体"/>
                <w:bCs/>
                <w:sz w:val="18"/>
                <w:szCs w:val="18"/>
              </w:rPr>
              <w:t>1人</w:t>
            </w:r>
          </w:p>
        </w:tc>
        <w:tc>
          <w:tcPr>
            <w:tcW w:w="3312" w:type="dxa"/>
            <w:noWrap w:val="0"/>
            <w:vAlign w:val="center"/>
          </w:tcPr>
          <w:p>
            <w:pPr>
              <w:spacing w:line="280" w:lineRule="exact"/>
              <w:rPr>
                <w:rFonts w:ascii="宋体" w:hAnsi="宋体"/>
                <w:sz w:val="18"/>
                <w:szCs w:val="18"/>
              </w:rPr>
            </w:pPr>
            <w:r>
              <w:rPr>
                <w:rFonts w:hint="eastAsia" w:ascii="宋体" w:hAnsi="宋体"/>
                <w:sz w:val="18"/>
                <w:szCs w:val="18"/>
              </w:rPr>
              <w:t>熟练掌握建筑、市政等维修施工管理工作。</w:t>
            </w:r>
          </w:p>
        </w:tc>
        <w:tc>
          <w:tcPr>
            <w:tcW w:w="2840" w:type="dxa"/>
            <w:vMerge w:val="restart"/>
            <w:noWrap w:val="0"/>
            <w:vAlign w:val="center"/>
          </w:tcPr>
          <w:p>
            <w:pPr>
              <w:spacing w:line="280" w:lineRule="exact"/>
              <w:rPr>
                <w:rFonts w:ascii="宋体" w:hAnsi="宋体"/>
                <w:sz w:val="18"/>
                <w:szCs w:val="18"/>
              </w:rPr>
            </w:pPr>
            <w:r>
              <w:rPr>
                <w:rFonts w:hint="eastAsia" w:ascii="宋体" w:hAnsi="宋体"/>
                <w:sz w:val="18"/>
                <w:szCs w:val="18"/>
              </w:rPr>
              <w:t>具有相应操作证（包括高配工不少于1人，低配工不少于1人）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87" w:type="dxa"/>
            <w:noWrap w:val="0"/>
            <w:vAlign w:val="center"/>
          </w:tcPr>
          <w:p>
            <w:pPr>
              <w:spacing w:line="280" w:lineRule="exact"/>
              <w:rPr>
                <w:rFonts w:hint="eastAsia" w:ascii="宋体" w:hAnsi="宋体"/>
                <w:sz w:val="18"/>
                <w:szCs w:val="18"/>
              </w:rPr>
            </w:pPr>
            <w:r>
              <w:rPr>
                <w:rFonts w:hint="eastAsia" w:ascii="宋体" w:hAnsi="宋体"/>
                <w:sz w:val="18"/>
                <w:szCs w:val="18"/>
              </w:rPr>
              <w:t>综合维修工</w:t>
            </w:r>
          </w:p>
        </w:tc>
        <w:tc>
          <w:tcPr>
            <w:tcW w:w="988" w:type="dxa"/>
            <w:noWrap w:val="0"/>
            <w:vAlign w:val="center"/>
          </w:tcPr>
          <w:p>
            <w:pPr>
              <w:spacing w:line="280" w:lineRule="exact"/>
              <w:ind w:firstLine="180" w:firstLineChars="100"/>
              <w:rPr>
                <w:rFonts w:hint="eastAsia" w:ascii="宋体" w:hAnsi="宋体"/>
                <w:bCs/>
                <w:sz w:val="18"/>
                <w:szCs w:val="18"/>
              </w:rPr>
            </w:pPr>
            <w:r>
              <w:rPr>
                <w:rFonts w:hint="eastAsia" w:ascii="宋体" w:hAnsi="宋体"/>
                <w:bCs/>
                <w:sz w:val="18"/>
                <w:szCs w:val="18"/>
              </w:rPr>
              <w:t>3人</w:t>
            </w:r>
          </w:p>
        </w:tc>
        <w:tc>
          <w:tcPr>
            <w:tcW w:w="3312" w:type="dxa"/>
            <w:noWrap w:val="0"/>
            <w:vAlign w:val="center"/>
          </w:tcPr>
          <w:p>
            <w:pPr>
              <w:spacing w:line="280" w:lineRule="exact"/>
              <w:rPr>
                <w:rFonts w:hint="eastAsia" w:ascii="宋体" w:hAnsi="宋体"/>
                <w:sz w:val="18"/>
                <w:szCs w:val="18"/>
              </w:rPr>
            </w:pPr>
          </w:p>
        </w:tc>
        <w:tc>
          <w:tcPr>
            <w:tcW w:w="2840" w:type="dxa"/>
            <w:vMerge w:val="continue"/>
            <w:noWrap w:val="0"/>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87" w:type="dxa"/>
            <w:vMerge w:val="restart"/>
            <w:noWrap w:val="0"/>
            <w:vAlign w:val="center"/>
          </w:tcPr>
          <w:p>
            <w:pPr>
              <w:spacing w:line="280" w:lineRule="exact"/>
              <w:rPr>
                <w:rFonts w:ascii="宋体" w:hAnsi="宋体"/>
                <w:sz w:val="18"/>
                <w:szCs w:val="18"/>
              </w:rPr>
            </w:pPr>
            <w:r>
              <w:rPr>
                <w:rFonts w:hint="eastAsia" w:ascii="宋体" w:hAnsi="宋体"/>
                <w:sz w:val="18"/>
                <w:szCs w:val="18"/>
              </w:rPr>
              <w:t>弱电监控员</w:t>
            </w:r>
          </w:p>
          <w:p>
            <w:pPr>
              <w:spacing w:line="280" w:lineRule="exact"/>
              <w:rPr>
                <w:rFonts w:ascii="宋体" w:hAnsi="宋体"/>
                <w:sz w:val="18"/>
                <w:szCs w:val="18"/>
              </w:rPr>
            </w:pPr>
            <w:r>
              <w:rPr>
                <w:rFonts w:hint="eastAsia" w:ascii="宋体" w:hAnsi="宋体"/>
                <w:sz w:val="18"/>
                <w:szCs w:val="18"/>
              </w:rPr>
              <w:t>消控人员</w:t>
            </w:r>
          </w:p>
        </w:tc>
        <w:tc>
          <w:tcPr>
            <w:tcW w:w="988" w:type="dxa"/>
            <w:vMerge w:val="restart"/>
            <w:noWrap w:val="0"/>
            <w:vAlign w:val="center"/>
          </w:tcPr>
          <w:p>
            <w:pPr>
              <w:spacing w:line="280" w:lineRule="exact"/>
              <w:jc w:val="center"/>
              <w:rPr>
                <w:rFonts w:hint="eastAsia" w:ascii="宋体" w:hAnsi="宋体"/>
                <w:sz w:val="18"/>
                <w:szCs w:val="18"/>
              </w:rPr>
            </w:pPr>
            <w:r>
              <w:rPr>
                <w:rFonts w:hint="eastAsia" w:ascii="宋体" w:hAnsi="宋体"/>
                <w:sz w:val="18"/>
                <w:szCs w:val="18"/>
              </w:rPr>
              <w:t>15岗</w:t>
            </w:r>
          </w:p>
        </w:tc>
        <w:tc>
          <w:tcPr>
            <w:tcW w:w="3312" w:type="dxa"/>
            <w:vMerge w:val="restart"/>
            <w:noWrap w:val="0"/>
            <w:vAlign w:val="center"/>
          </w:tcPr>
          <w:p>
            <w:pPr>
              <w:spacing w:line="280" w:lineRule="exact"/>
              <w:rPr>
                <w:rFonts w:ascii="宋体" w:hAnsi="宋体"/>
                <w:sz w:val="18"/>
                <w:szCs w:val="18"/>
              </w:rPr>
            </w:pPr>
            <w:r>
              <w:rPr>
                <w:rFonts w:hint="eastAsia" w:ascii="宋体" w:hAnsi="宋体"/>
                <w:sz w:val="18"/>
                <w:szCs w:val="18"/>
              </w:rPr>
              <w:t>具有相应上岗证，男女不限，具体人员由投标人自行安排。</w:t>
            </w:r>
          </w:p>
        </w:tc>
        <w:tc>
          <w:tcPr>
            <w:tcW w:w="2840" w:type="dxa"/>
            <w:vMerge w:val="restart"/>
            <w:noWrap w:val="0"/>
            <w:vAlign w:val="center"/>
          </w:tcPr>
          <w:p>
            <w:pPr>
              <w:spacing w:line="280" w:lineRule="exact"/>
              <w:rPr>
                <w:rFonts w:ascii="宋体" w:hAnsi="宋体"/>
                <w:sz w:val="18"/>
                <w:szCs w:val="18"/>
              </w:rPr>
            </w:pPr>
            <w:r>
              <w:rPr>
                <w:rFonts w:hint="eastAsia" w:ascii="宋体" w:hAnsi="宋体"/>
                <w:sz w:val="18"/>
                <w:szCs w:val="18"/>
              </w:rPr>
              <w:t>负责中央公园消控室、中央公园消监控室、文化馆监控室、科博中心消控室、休闲广场监控室这5个消监控室的值班任务。早、中、晚班各5岗（和公安消防系统联网，每1人可负责1个岗位消监控室的当班任务。调休人员由投标人自行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87" w:type="dxa"/>
            <w:vMerge w:val="continue"/>
            <w:noWrap w:val="0"/>
            <w:vAlign w:val="center"/>
          </w:tcPr>
          <w:p>
            <w:pPr>
              <w:spacing w:line="280" w:lineRule="exact"/>
              <w:rPr>
                <w:rFonts w:ascii="宋体" w:hAnsi="宋体"/>
                <w:sz w:val="18"/>
                <w:szCs w:val="18"/>
              </w:rPr>
            </w:pPr>
          </w:p>
        </w:tc>
        <w:tc>
          <w:tcPr>
            <w:tcW w:w="988" w:type="dxa"/>
            <w:vMerge w:val="continue"/>
            <w:noWrap w:val="0"/>
            <w:vAlign w:val="center"/>
          </w:tcPr>
          <w:p>
            <w:pPr>
              <w:spacing w:line="280" w:lineRule="exact"/>
              <w:jc w:val="center"/>
              <w:rPr>
                <w:rFonts w:ascii="宋体" w:hAnsi="宋体"/>
                <w:sz w:val="18"/>
                <w:szCs w:val="18"/>
              </w:rPr>
            </w:pPr>
          </w:p>
        </w:tc>
        <w:tc>
          <w:tcPr>
            <w:tcW w:w="3312" w:type="dxa"/>
            <w:vMerge w:val="continue"/>
            <w:noWrap w:val="0"/>
            <w:vAlign w:val="center"/>
          </w:tcPr>
          <w:p>
            <w:pPr>
              <w:spacing w:line="280" w:lineRule="exact"/>
              <w:rPr>
                <w:rFonts w:hint="eastAsia" w:ascii="宋体" w:hAnsi="宋体"/>
                <w:sz w:val="18"/>
                <w:szCs w:val="18"/>
              </w:rPr>
            </w:pPr>
          </w:p>
        </w:tc>
        <w:tc>
          <w:tcPr>
            <w:tcW w:w="2840" w:type="dxa"/>
            <w:vMerge w:val="continue"/>
            <w:noWrap w:val="0"/>
            <w:vAlign w:val="center"/>
          </w:tcPr>
          <w:p>
            <w:pPr>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887" w:type="dxa"/>
            <w:noWrap w:val="0"/>
            <w:vAlign w:val="center"/>
          </w:tcPr>
          <w:p>
            <w:pPr>
              <w:spacing w:line="280" w:lineRule="exact"/>
              <w:rPr>
                <w:rFonts w:ascii="宋体" w:hAnsi="宋体"/>
                <w:sz w:val="18"/>
                <w:szCs w:val="18"/>
              </w:rPr>
            </w:pPr>
            <w:r>
              <w:rPr>
                <w:rFonts w:hint="eastAsia" w:ascii="宋体" w:hAnsi="宋体"/>
                <w:sz w:val="18"/>
                <w:szCs w:val="18"/>
              </w:rPr>
              <w:t>秩序维护员</w:t>
            </w:r>
          </w:p>
          <w:p>
            <w:pPr>
              <w:spacing w:line="280" w:lineRule="exact"/>
              <w:rPr>
                <w:rFonts w:ascii="宋体" w:hAnsi="宋体"/>
                <w:sz w:val="18"/>
                <w:szCs w:val="18"/>
              </w:rPr>
            </w:pPr>
            <w:r>
              <w:rPr>
                <w:rFonts w:hint="eastAsia" w:ascii="宋体" w:hAnsi="宋体"/>
                <w:sz w:val="18"/>
                <w:szCs w:val="18"/>
              </w:rPr>
              <w:t>（24小时三班制）</w:t>
            </w:r>
          </w:p>
        </w:tc>
        <w:tc>
          <w:tcPr>
            <w:tcW w:w="988" w:type="dxa"/>
            <w:noWrap w:val="0"/>
            <w:vAlign w:val="center"/>
          </w:tcPr>
          <w:p>
            <w:pPr>
              <w:spacing w:line="280" w:lineRule="exact"/>
              <w:jc w:val="center"/>
              <w:rPr>
                <w:rFonts w:ascii="宋体" w:hAnsi="宋体"/>
                <w:sz w:val="18"/>
                <w:szCs w:val="18"/>
              </w:rPr>
            </w:pPr>
            <w:r>
              <w:rPr>
                <w:rFonts w:hint="eastAsia" w:ascii="宋体" w:hAnsi="宋体"/>
                <w:sz w:val="18"/>
                <w:szCs w:val="18"/>
              </w:rPr>
              <w:t>52岗</w:t>
            </w:r>
          </w:p>
        </w:tc>
        <w:tc>
          <w:tcPr>
            <w:tcW w:w="3312" w:type="dxa"/>
            <w:noWrap w:val="0"/>
            <w:vAlign w:val="center"/>
          </w:tcPr>
          <w:p>
            <w:pPr>
              <w:spacing w:line="280" w:lineRule="exact"/>
              <w:rPr>
                <w:rFonts w:ascii="宋体" w:hAnsi="宋体"/>
                <w:sz w:val="18"/>
                <w:szCs w:val="18"/>
              </w:rPr>
            </w:pPr>
          </w:p>
        </w:tc>
        <w:tc>
          <w:tcPr>
            <w:tcW w:w="2840" w:type="dxa"/>
            <w:noWrap w:val="0"/>
            <w:vAlign w:val="center"/>
          </w:tcPr>
          <w:p>
            <w:pPr>
              <w:spacing w:line="280" w:lineRule="exact"/>
              <w:rPr>
                <w:rFonts w:ascii="宋体" w:hAnsi="宋体"/>
                <w:sz w:val="18"/>
                <w:szCs w:val="18"/>
              </w:rPr>
            </w:pPr>
            <w:r>
              <w:rPr>
                <w:rFonts w:hint="eastAsia" w:ascii="宋体" w:hAnsi="宋体"/>
                <w:sz w:val="18"/>
                <w:szCs w:val="18"/>
              </w:rPr>
              <w:t>具体岗位配置详见附表1秩序维护员岗位配置表。调休人员由投标人自行考虑。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87" w:type="dxa"/>
            <w:noWrap w:val="0"/>
            <w:vAlign w:val="center"/>
          </w:tcPr>
          <w:p>
            <w:pPr>
              <w:spacing w:line="280" w:lineRule="exact"/>
              <w:jc w:val="center"/>
              <w:rPr>
                <w:rFonts w:hint="eastAsia" w:ascii="宋体" w:hAnsi="宋体"/>
                <w:sz w:val="18"/>
                <w:szCs w:val="18"/>
              </w:rPr>
            </w:pPr>
            <w:r>
              <w:rPr>
                <w:rFonts w:hint="eastAsia" w:ascii="宋体" w:hAnsi="宋体"/>
                <w:b/>
                <w:bCs/>
                <w:sz w:val="18"/>
                <w:szCs w:val="18"/>
              </w:rPr>
              <w:t>备注</w:t>
            </w:r>
          </w:p>
        </w:tc>
        <w:tc>
          <w:tcPr>
            <w:tcW w:w="7140" w:type="dxa"/>
            <w:gridSpan w:val="3"/>
            <w:noWrap w:val="0"/>
            <w:vAlign w:val="center"/>
          </w:tcPr>
          <w:p>
            <w:pPr>
              <w:spacing w:line="280" w:lineRule="exact"/>
              <w:rPr>
                <w:rFonts w:hint="eastAsia" w:ascii="宋体" w:hAnsi="宋体"/>
                <w:sz w:val="18"/>
                <w:szCs w:val="18"/>
              </w:rPr>
            </w:pPr>
            <w:r>
              <w:rPr>
                <w:rFonts w:hint="eastAsia" w:ascii="宋体" w:hAnsi="宋体"/>
                <w:sz w:val="18"/>
                <w:szCs w:val="18"/>
              </w:rPr>
              <w:t>1、保洁员、绿化养护、系统维保人员、工程维修人员由中标单位根据项目实际情况自行配置，满足采购需求。</w:t>
            </w:r>
          </w:p>
          <w:p>
            <w:pPr>
              <w:spacing w:line="280" w:lineRule="exact"/>
              <w:rPr>
                <w:rFonts w:hint="eastAsia" w:ascii="宋体" w:hAnsi="宋体"/>
                <w:sz w:val="18"/>
                <w:szCs w:val="18"/>
              </w:rPr>
            </w:pPr>
            <w:r>
              <w:rPr>
                <w:rFonts w:hint="eastAsia" w:ascii="宋体" w:hAnsi="宋体"/>
                <w:sz w:val="18"/>
                <w:szCs w:val="18"/>
              </w:rPr>
              <w:t>2、在实际项目管理服务中，招标方可根据现场情况对以上人员配置做适当调整（保洁、绿化养护除外），管理费用亦做相应增减，采购人随时对城市公共空间一体化管理服务单位的服务情况进行检查并考核。</w:t>
            </w:r>
          </w:p>
          <w:p>
            <w:pPr>
              <w:spacing w:line="280" w:lineRule="exact"/>
              <w:rPr>
                <w:rFonts w:hint="eastAsia" w:ascii="宋体" w:hAnsi="宋体"/>
                <w:sz w:val="18"/>
                <w:szCs w:val="18"/>
              </w:rPr>
            </w:pPr>
            <w:r>
              <w:rPr>
                <w:rFonts w:hint="eastAsia" w:ascii="宋体" w:hAnsi="宋体"/>
                <w:sz w:val="18"/>
                <w:szCs w:val="18"/>
              </w:rPr>
              <w:t>3、上表所需人员均由中标人负责招聘、落实，并依法签订劳动合同，所有人员由采购人审核后方可进场作业，严禁招聘超龄人员或未成年人员或无自主劳动能力人员；</w:t>
            </w:r>
          </w:p>
          <w:p>
            <w:pPr>
              <w:spacing w:line="280" w:lineRule="exact"/>
              <w:rPr>
                <w:sz w:val="18"/>
                <w:szCs w:val="18"/>
              </w:rPr>
            </w:pPr>
            <w:r>
              <w:rPr>
                <w:rFonts w:hint="eastAsia" w:ascii="宋体" w:hAnsi="宋体"/>
                <w:sz w:val="18"/>
                <w:szCs w:val="18"/>
              </w:rPr>
              <w:t>4、中标后服务人员需要更换，须及时上报采购人，经采购人认可后方可更换。</w:t>
            </w:r>
          </w:p>
        </w:tc>
      </w:tr>
    </w:tbl>
    <w:p>
      <w:pPr>
        <w:pStyle w:val="170"/>
        <w:rPr>
          <w:rFonts w:hint="eastAsia"/>
        </w:rPr>
      </w:pPr>
    </w:p>
    <w:p>
      <w:pPr>
        <w:autoSpaceDE w:val="0"/>
        <w:autoSpaceDN w:val="0"/>
        <w:adjustRightInd w:val="0"/>
        <w:spacing w:line="400" w:lineRule="atLeast"/>
        <w:ind w:firstLine="2530" w:firstLineChars="1200"/>
        <w:rPr>
          <w:rFonts w:hint="eastAsia" w:ascii="宋体" w:hAnsi="宋体" w:cs="宋体"/>
          <w:b/>
          <w:bCs/>
          <w:szCs w:val="21"/>
        </w:rPr>
      </w:pPr>
      <w:r>
        <w:rPr>
          <w:rFonts w:hint="eastAsia" w:ascii="宋体" w:hAnsi="宋体"/>
          <w:b/>
          <w:bCs/>
          <w:szCs w:val="21"/>
        </w:rPr>
        <w:t>★</w:t>
      </w:r>
      <w:r>
        <w:rPr>
          <w:rFonts w:hint="eastAsia" w:ascii="宋体" w:hAnsi="宋体" w:cs="宋体"/>
          <w:b/>
          <w:bCs/>
          <w:szCs w:val="21"/>
        </w:rPr>
        <w:t>附表1：秩序维护员岗位配置表</w:t>
      </w:r>
    </w:p>
    <w:tbl>
      <w:tblPr>
        <w:tblStyle w:val="44"/>
        <w:tblpPr w:leftFromText="180" w:rightFromText="180" w:vertAnchor="text" w:horzAnchor="page" w:tblpX="1487" w:tblpY="187"/>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25"/>
        <w:gridCol w:w="332"/>
        <w:gridCol w:w="343"/>
        <w:gridCol w:w="1362"/>
        <w:gridCol w:w="375"/>
        <w:gridCol w:w="400"/>
        <w:gridCol w:w="338"/>
        <w:gridCol w:w="1175"/>
        <w:gridCol w:w="437"/>
        <w:gridCol w:w="325"/>
        <w:gridCol w:w="313"/>
        <w:gridCol w:w="1337"/>
        <w:gridCol w:w="350"/>
        <w:gridCol w:w="288"/>
        <w:gridCol w:w="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13" w:type="dxa"/>
            <w:noWrap w:val="0"/>
            <w:vAlign w:val="top"/>
          </w:tcPr>
          <w:p>
            <w:pPr>
              <w:spacing w:line="240" w:lineRule="atLeast"/>
              <w:rPr>
                <w:rFonts w:ascii="宋体" w:hAnsi="宋体"/>
                <w:sz w:val="18"/>
                <w:szCs w:val="18"/>
              </w:rPr>
            </w:pPr>
            <w:r>
              <w:rPr>
                <w:rFonts w:hint="eastAsia" w:ascii="宋体" w:hAnsi="宋体"/>
                <w:sz w:val="18"/>
                <w:szCs w:val="18"/>
              </w:rPr>
              <w:t>岗位</w:t>
            </w:r>
          </w:p>
        </w:tc>
        <w:tc>
          <w:tcPr>
            <w:tcW w:w="425" w:type="dxa"/>
            <w:noWrap w:val="0"/>
            <w:vAlign w:val="top"/>
          </w:tcPr>
          <w:p>
            <w:pPr>
              <w:spacing w:line="240" w:lineRule="atLeast"/>
              <w:rPr>
                <w:rFonts w:ascii="宋体" w:hAnsi="宋体"/>
                <w:sz w:val="18"/>
                <w:szCs w:val="18"/>
              </w:rPr>
            </w:pPr>
            <w:r>
              <w:rPr>
                <w:rFonts w:hint="eastAsia" w:ascii="宋体" w:hAnsi="宋体"/>
                <w:sz w:val="18"/>
                <w:szCs w:val="18"/>
              </w:rPr>
              <w:t>早</w:t>
            </w:r>
          </w:p>
        </w:tc>
        <w:tc>
          <w:tcPr>
            <w:tcW w:w="332" w:type="dxa"/>
            <w:noWrap w:val="0"/>
            <w:vAlign w:val="top"/>
          </w:tcPr>
          <w:p>
            <w:pPr>
              <w:spacing w:line="240" w:lineRule="atLeast"/>
              <w:rPr>
                <w:rFonts w:ascii="宋体" w:hAnsi="宋体"/>
                <w:sz w:val="18"/>
                <w:szCs w:val="18"/>
              </w:rPr>
            </w:pPr>
            <w:r>
              <w:rPr>
                <w:rFonts w:hint="eastAsia" w:ascii="宋体" w:hAnsi="宋体"/>
                <w:sz w:val="18"/>
                <w:szCs w:val="18"/>
              </w:rPr>
              <w:t>中</w:t>
            </w:r>
          </w:p>
        </w:tc>
        <w:tc>
          <w:tcPr>
            <w:tcW w:w="343" w:type="dxa"/>
            <w:noWrap w:val="0"/>
            <w:vAlign w:val="top"/>
          </w:tcPr>
          <w:p>
            <w:pPr>
              <w:spacing w:line="240" w:lineRule="atLeast"/>
              <w:rPr>
                <w:rFonts w:ascii="宋体" w:hAnsi="宋体"/>
                <w:sz w:val="18"/>
                <w:szCs w:val="18"/>
              </w:rPr>
            </w:pPr>
            <w:r>
              <w:rPr>
                <w:rFonts w:hint="eastAsia" w:ascii="宋体" w:hAnsi="宋体"/>
                <w:sz w:val="18"/>
                <w:szCs w:val="18"/>
              </w:rPr>
              <w:t>晚</w:t>
            </w:r>
          </w:p>
        </w:tc>
        <w:tc>
          <w:tcPr>
            <w:tcW w:w="1362" w:type="dxa"/>
            <w:noWrap w:val="0"/>
            <w:vAlign w:val="top"/>
          </w:tcPr>
          <w:p>
            <w:pPr>
              <w:spacing w:line="240" w:lineRule="atLeast"/>
              <w:rPr>
                <w:rFonts w:ascii="宋体" w:hAnsi="宋体"/>
                <w:sz w:val="18"/>
                <w:szCs w:val="18"/>
              </w:rPr>
            </w:pPr>
            <w:r>
              <w:rPr>
                <w:rFonts w:hint="eastAsia" w:ascii="宋体" w:hAnsi="宋体"/>
                <w:sz w:val="18"/>
                <w:szCs w:val="18"/>
              </w:rPr>
              <w:t>岗位</w:t>
            </w:r>
          </w:p>
        </w:tc>
        <w:tc>
          <w:tcPr>
            <w:tcW w:w="375" w:type="dxa"/>
            <w:noWrap w:val="0"/>
            <w:vAlign w:val="top"/>
          </w:tcPr>
          <w:p>
            <w:pPr>
              <w:spacing w:line="240" w:lineRule="atLeast"/>
              <w:rPr>
                <w:rFonts w:ascii="宋体" w:hAnsi="宋体"/>
                <w:sz w:val="18"/>
                <w:szCs w:val="18"/>
              </w:rPr>
            </w:pPr>
            <w:r>
              <w:rPr>
                <w:rFonts w:hint="eastAsia" w:ascii="宋体" w:hAnsi="宋体"/>
                <w:sz w:val="18"/>
                <w:szCs w:val="18"/>
              </w:rPr>
              <w:t>早</w:t>
            </w:r>
          </w:p>
        </w:tc>
        <w:tc>
          <w:tcPr>
            <w:tcW w:w="400" w:type="dxa"/>
            <w:noWrap w:val="0"/>
            <w:vAlign w:val="top"/>
          </w:tcPr>
          <w:p>
            <w:pPr>
              <w:spacing w:line="240" w:lineRule="atLeast"/>
              <w:rPr>
                <w:rFonts w:ascii="宋体" w:hAnsi="宋体"/>
                <w:sz w:val="18"/>
                <w:szCs w:val="18"/>
              </w:rPr>
            </w:pPr>
            <w:r>
              <w:rPr>
                <w:rFonts w:hint="eastAsia" w:ascii="宋体" w:hAnsi="宋体"/>
                <w:sz w:val="18"/>
                <w:szCs w:val="18"/>
              </w:rPr>
              <w:t>中</w:t>
            </w:r>
          </w:p>
        </w:tc>
        <w:tc>
          <w:tcPr>
            <w:tcW w:w="338" w:type="dxa"/>
            <w:noWrap w:val="0"/>
            <w:vAlign w:val="top"/>
          </w:tcPr>
          <w:p>
            <w:pPr>
              <w:spacing w:line="240" w:lineRule="atLeast"/>
              <w:rPr>
                <w:rFonts w:ascii="宋体" w:hAnsi="宋体"/>
                <w:sz w:val="18"/>
                <w:szCs w:val="18"/>
              </w:rPr>
            </w:pPr>
            <w:r>
              <w:rPr>
                <w:rFonts w:hint="eastAsia" w:ascii="宋体" w:hAnsi="宋体"/>
                <w:sz w:val="18"/>
                <w:szCs w:val="18"/>
              </w:rPr>
              <w:t>晚</w:t>
            </w:r>
          </w:p>
        </w:tc>
        <w:tc>
          <w:tcPr>
            <w:tcW w:w="1175" w:type="dxa"/>
            <w:noWrap w:val="0"/>
            <w:vAlign w:val="top"/>
          </w:tcPr>
          <w:p>
            <w:pPr>
              <w:spacing w:line="240" w:lineRule="atLeast"/>
              <w:rPr>
                <w:rFonts w:ascii="宋体" w:hAnsi="宋体"/>
                <w:sz w:val="18"/>
                <w:szCs w:val="18"/>
              </w:rPr>
            </w:pPr>
            <w:r>
              <w:rPr>
                <w:rFonts w:hint="eastAsia" w:ascii="宋体" w:hAnsi="宋体"/>
                <w:sz w:val="18"/>
                <w:szCs w:val="18"/>
              </w:rPr>
              <w:t>岗位</w:t>
            </w:r>
          </w:p>
        </w:tc>
        <w:tc>
          <w:tcPr>
            <w:tcW w:w="437" w:type="dxa"/>
            <w:noWrap w:val="0"/>
            <w:vAlign w:val="top"/>
          </w:tcPr>
          <w:p>
            <w:pPr>
              <w:spacing w:line="240" w:lineRule="atLeast"/>
              <w:rPr>
                <w:rFonts w:ascii="宋体" w:hAnsi="宋体"/>
                <w:sz w:val="18"/>
                <w:szCs w:val="18"/>
              </w:rPr>
            </w:pPr>
            <w:r>
              <w:rPr>
                <w:rFonts w:hint="eastAsia" w:ascii="宋体" w:hAnsi="宋体"/>
                <w:sz w:val="18"/>
                <w:szCs w:val="18"/>
              </w:rPr>
              <w:t>早</w:t>
            </w:r>
          </w:p>
        </w:tc>
        <w:tc>
          <w:tcPr>
            <w:tcW w:w="325" w:type="dxa"/>
            <w:noWrap w:val="0"/>
            <w:vAlign w:val="top"/>
          </w:tcPr>
          <w:p>
            <w:pPr>
              <w:spacing w:line="240" w:lineRule="atLeast"/>
              <w:rPr>
                <w:rFonts w:ascii="宋体" w:hAnsi="宋体"/>
                <w:sz w:val="18"/>
                <w:szCs w:val="18"/>
              </w:rPr>
            </w:pPr>
            <w:r>
              <w:rPr>
                <w:rFonts w:hint="eastAsia" w:ascii="宋体" w:hAnsi="宋体"/>
                <w:sz w:val="18"/>
                <w:szCs w:val="18"/>
              </w:rPr>
              <w:t>中</w:t>
            </w:r>
          </w:p>
        </w:tc>
        <w:tc>
          <w:tcPr>
            <w:tcW w:w="313" w:type="dxa"/>
            <w:noWrap w:val="0"/>
            <w:vAlign w:val="top"/>
          </w:tcPr>
          <w:p>
            <w:pPr>
              <w:spacing w:line="240" w:lineRule="atLeast"/>
              <w:rPr>
                <w:rFonts w:ascii="宋体" w:hAnsi="宋体"/>
                <w:sz w:val="18"/>
                <w:szCs w:val="18"/>
              </w:rPr>
            </w:pPr>
            <w:r>
              <w:rPr>
                <w:rFonts w:hint="eastAsia" w:ascii="宋体" w:hAnsi="宋体"/>
                <w:sz w:val="18"/>
                <w:szCs w:val="18"/>
              </w:rPr>
              <w:t>晚</w:t>
            </w:r>
          </w:p>
        </w:tc>
        <w:tc>
          <w:tcPr>
            <w:tcW w:w="1337" w:type="dxa"/>
            <w:noWrap w:val="0"/>
            <w:vAlign w:val="top"/>
          </w:tcPr>
          <w:p>
            <w:pPr>
              <w:spacing w:line="240" w:lineRule="atLeast"/>
              <w:rPr>
                <w:rFonts w:ascii="宋体" w:hAnsi="宋体"/>
                <w:sz w:val="18"/>
                <w:szCs w:val="18"/>
              </w:rPr>
            </w:pPr>
            <w:r>
              <w:rPr>
                <w:rFonts w:hint="eastAsia" w:ascii="宋体" w:hAnsi="宋体"/>
                <w:sz w:val="18"/>
                <w:szCs w:val="18"/>
              </w:rPr>
              <w:t>岗位</w:t>
            </w:r>
          </w:p>
        </w:tc>
        <w:tc>
          <w:tcPr>
            <w:tcW w:w="350" w:type="dxa"/>
            <w:noWrap w:val="0"/>
            <w:vAlign w:val="top"/>
          </w:tcPr>
          <w:p>
            <w:pPr>
              <w:spacing w:line="240" w:lineRule="atLeast"/>
              <w:rPr>
                <w:rFonts w:ascii="宋体" w:hAnsi="宋体"/>
                <w:sz w:val="18"/>
                <w:szCs w:val="18"/>
              </w:rPr>
            </w:pPr>
            <w:r>
              <w:rPr>
                <w:rFonts w:hint="eastAsia" w:ascii="宋体" w:hAnsi="宋体"/>
                <w:sz w:val="18"/>
                <w:szCs w:val="18"/>
              </w:rPr>
              <w:t>早</w:t>
            </w:r>
          </w:p>
        </w:tc>
        <w:tc>
          <w:tcPr>
            <w:tcW w:w="288" w:type="dxa"/>
            <w:noWrap w:val="0"/>
            <w:vAlign w:val="top"/>
          </w:tcPr>
          <w:p>
            <w:pPr>
              <w:spacing w:line="240" w:lineRule="atLeast"/>
              <w:rPr>
                <w:rFonts w:ascii="宋体" w:hAnsi="宋体"/>
                <w:sz w:val="18"/>
                <w:szCs w:val="18"/>
              </w:rPr>
            </w:pPr>
            <w:r>
              <w:rPr>
                <w:rFonts w:hint="eastAsia" w:ascii="宋体" w:hAnsi="宋体"/>
                <w:sz w:val="18"/>
                <w:szCs w:val="18"/>
              </w:rPr>
              <w:t>中</w:t>
            </w:r>
          </w:p>
        </w:tc>
        <w:tc>
          <w:tcPr>
            <w:tcW w:w="364" w:type="dxa"/>
            <w:noWrap w:val="0"/>
            <w:vAlign w:val="top"/>
          </w:tcPr>
          <w:p>
            <w:pPr>
              <w:spacing w:line="240" w:lineRule="atLeast"/>
              <w:rPr>
                <w:rFonts w:ascii="宋体" w:hAnsi="宋体"/>
                <w:sz w:val="18"/>
                <w:szCs w:val="18"/>
              </w:rPr>
            </w:pPr>
            <w:r>
              <w:rPr>
                <w:rFonts w:hint="eastAsia" w:ascii="宋体" w:hAnsi="宋体"/>
                <w:sz w:val="18"/>
                <w:szCs w:val="18"/>
              </w:rPr>
              <w:t>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13" w:type="dxa"/>
            <w:noWrap w:val="0"/>
            <w:vAlign w:val="center"/>
          </w:tcPr>
          <w:p>
            <w:pPr>
              <w:spacing w:line="280" w:lineRule="exact"/>
              <w:rPr>
                <w:rFonts w:ascii="宋体" w:hAnsi="宋体"/>
                <w:sz w:val="18"/>
                <w:szCs w:val="18"/>
              </w:rPr>
            </w:pPr>
            <w:r>
              <w:rPr>
                <w:rFonts w:hint="eastAsia" w:ascii="宋体" w:hAnsi="宋体"/>
                <w:sz w:val="18"/>
                <w:szCs w:val="18"/>
              </w:rPr>
              <w:t>班长</w:t>
            </w:r>
          </w:p>
        </w:tc>
        <w:tc>
          <w:tcPr>
            <w:tcW w:w="42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2"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43"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1362" w:type="dxa"/>
            <w:noWrap w:val="0"/>
            <w:vAlign w:val="center"/>
          </w:tcPr>
          <w:p>
            <w:pPr>
              <w:spacing w:line="280" w:lineRule="exact"/>
              <w:rPr>
                <w:rFonts w:hint="eastAsia" w:ascii="宋体" w:hAnsi="宋体"/>
                <w:sz w:val="18"/>
                <w:szCs w:val="18"/>
              </w:rPr>
            </w:pPr>
            <w:r>
              <w:rPr>
                <w:rFonts w:hint="eastAsia" w:ascii="宋体" w:hAnsi="宋体"/>
                <w:sz w:val="18"/>
                <w:szCs w:val="18"/>
              </w:rPr>
              <w:t>南片流动岗</w:t>
            </w:r>
          </w:p>
        </w:tc>
        <w:tc>
          <w:tcPr>
            <w:tcW w:w="375" w:type="dxa"/>
            <w:noWrap w:val="0"/>
            <w:vAlign w:val="center"/>
          </w:tcPr>
          <w:p>
            <w:pPr>
              <w:spacing w:line="280" w:lineRule="exact"/>
              <w:jc w:val="center"/>
              <w:rPr>
                <w:rFonts w:hint="eastAsia" w:ascii="宋体" w:hAnsi="宋体"/>
                <w:sz w:val="18"/>
                <w:szCs w:val="18"/>
              </w:rPr>
            </w:pPr>
            <w:r>
              <w:rPr>
                <w:rFonts w:hint="eastAsia" w:ascii="宋体" w:hAnsi="宋体"/>
                <w:sz w:val="18"/>
                <w:szCs w:val="18"/>
              </w:rPr>
              <w:t>5</w:t>
            </w:r>
          </w:p>
        </w:tc>
        <w:tc>
          <w:tcPr>
            <w:tcW w:w="400" w:type="dxa"/>
            <w:noWrap w:val="0"/>
            <w:vAlign w:val="center"/>
          </w:tcPr>
          <w:p>
            <w:pPr>
              <w:spacing w:line="280" w:lineRule="exact"/>
              <w:jc w:val="center"/>
              <w:rPr>
                <w:rFonts w:hint="eastAsia" w:ascii="宋体" w:hAnsi="宋体"/>
                <w:sz w:val="18"/>
                <w:szCs w:val="18"/>
              </w:rPr>
            </w:pPr>
            <w:r>
              <w:rPr>
                <w:rFonts w:hint="eastAsia" w:ascii="宋体" w:hAnsi="宋体"/>
                <w:sz w:val="18"/>
                <w:szCs w:val="18"/>
              </w:rPr>
              <w:t>5</w:t>
            </w:r>
          </w:p>
        </w:tc>
        <w:tc>
          <w:tcPr>
            <w:tcW w:w="338" w:type="dxa"/>
            <w:noWrap w:val="0"/>
            <w:vAlign w:val="center"/>
          </w:tcPr>
          <w:p>
            <w:pPr>
              <w:spacing w:line="280" w:lineRule="exact"/>
              <w:jc w:val="center"/>
              <w:rPr>
                <w:rFonts w:ascii="宋体" w:hAnsi="宋体"/>
                <w:sz w:val="18"/>
                <w:szCs w:val="18"/>
              </w:rPr>
            </w:pPr>
            <w:r>
              <w:rPr>
                <w:rFonts w:hint="eastAsia" w:ascii="宋体" w:hAnsi="宋体"/>
                <w:sz w:val="18"/>
                <w:szCs w:val="18"/>
              </w:rPr>
              <w:t>2</w:t>
            </w:r>
          </w:p>
        </w:tc>
        <w:tc>
          <w:tcPr>
            <w:tcW w:w="1175" w:type="dxa"/>
            <w:noWrap w:val="0"/>
            <w:vAlign w:val="center"/>
          </w:tcPr>
          <w:p>
            <w:pPr>
              <w:spacing w:line="280" w:lineRule="exact"/>
              <w:rPr>
                <w:rFonts w:ascii="宋体" w:hAnsi="宋体"/>
                <w:sz w:val="18"/>
                <w:szCs w:val="18"/>
              </w:rPr>
            </w:pPr>
            <w:r>
              <w:rPr>
                <w:rFonts w:hint="eastAsia" w:ascii="宋体" w:hAnsi="宋体"/>
                <w:sz w:val="18"/>
                <w:szCs w:val="18"/>
              </w:rPr>
              <w:t>北片流动岗</w:t>
            </w:r>
          </w:p>
        </w:tc>
        <w:tc>
          <w:tcPr>
            <w:tcW w:w="437" w:type="dxa"/>
            <w:noWrap w:val="0"/>
            <w:vAlign w:val="center"/>
          </w:tcPr>
          <w:p>
            <w:pPr>
              <w:spacing w:line="280" w:lineRule="exact"/>
              <w:jc w:val="center"/>
              <w:rPr>
                <w:rFonts w:hint="eastAsia" w:ascii="宋体" w:hAnsi="宋体"/>
                <w:sz w:val="18"/>
                <w:szCs w:val="18"/>
              </w:rPr>
            </w:pPr>
            <w:r>
              <w:rPr>
                <w:rFonts w:hint="eastAsia" w:ascii="宋体" w:hAnsi="宋体"/>
                <w:sz w:val="18"/>
                <w:szCs w:val="18"/>
              </w:rPr>
              <w:t>4</w:t>
            </w:r>
          </w:p>
        </w:tc>
        <w:tc>
          <w:tcPr>
            <w:tcW w:w="325" w:type="dxa"/>
            <w:noWrap w:val="0"/>
            <w:vAlign w:val="center"/>
          </w:tcPr>
          <w:p>
            <w:pPr>
              <w:spacing w:line="280" w:lineRule="exact"/>
              <w:jc w:val="center"/>
              <w:rPr>
                <w:rFonts w:hint="eastAsia" w:ascii="宋体" w:hAnsi="宋体"/>
                <w:sz w:val="18"/>
                <w:szCs w:val="18"/>
              </w:rPr>
            </w:pPr>
            <w:r>
              <w:rPr>
                <w:rFonts w:hint="eastAsia" w:ascii="宋体" w:hAnsi="宋体"/>
                <w:sz w:val="18"/>
                <w:szCs w:val="18"/>
              </w:rPr>
              <w:t>4</w:t>
            </w:r>
          </w:p>
        </w:tc>
        <w:tc>
          <w:tcPr>
            <w:tcW w:w="313" w:type="dxa"/>
            <w:noWrap w:val="0"/>
            <w:vAlign w:val="center"/>
          </w:tcPr>
          <w:p>
            <w:pPr>
              <w:spacing w:line="280" w:lineRule="exact"/>
              <w:jc w:val="center"/>
              <w:rPr>
                <w:rFonts w:ascii="宋体" w:hAnsi="宋体"/>
                <w:sz w:val="18"/>
                <w:szCs w:val="18"/>
              </w:rPr>
            </w:pPr>
            <w:r>
              <w:rPr>
                <w:rFonts w:hint="eastAsia" w:ascii="宋体" w:hAnsi="宋体"/>
                <w:sz w:val="18"/>
                <w:szCs w:val="18"/>
              </w:rPr>
              <w:t>2</w:t>
            </w:r>
          </w:p>
        </w:tc>
        <w:tc>
          <w:tcPr>
            <w:tcW w:w="1337" w:type="dxa"/>
            <w:noWrap w:val="0"/>
            <w:vAlign w:val="center"/>
          </w:tcPr>
          <w:p>
            <w:pPr>
              <w:spacing w:line="280" w:lineRule="exact"/>
              <w:rPr>
                <w:rFonts w:ascii="宋体" w:hAnsi="宋体"/>
                <w:sz w:val="18"/>
                <w:szCs w:val="18"/>
              </w:rPr>
            </w:pPr>
            <w:r>
              <w:rPr>
                <w:rFonts w:hint="eastAsia" w:ascii="宋体" w:hAnsi="宋体"/>
                <w:sz w:val="18"/>
                <w:szCs w:val="18"/>
              </w:rPr>
              <w:t>大剧院主岗</w:t>
            </w:r>
          </w:p>
        </w:tc>
        <w:tc>
          <w:tcPr>
            <w:tcW w:w="350"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288"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64" w:type="dxa"/>
            <w:noWrap w:val="0"/>
            <w:vAlign w:val="center"/>
          </w:tcPr>
          <w:p>
            <w:pPr>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13" w:type="dxa"/>
            <w:noWrap w:val="0"/>
            <w:vAlign w:val="center"/>
          </w:tcPr>
          <w:p>
            <w:pPr>
              <w:spacing w:line="280" w:lineRule="exact"/>
              <w:rPr>
                <w:rFonts w:ascii="宋体" w:hAnsi="宋体"/>
                <w:sz w:val="18"/>
                <w:szCs w:val="18"/>
              </w:rPr>
            </w:pPr>
            <w:r>
              <w:rPr>
                <w:rFonts w:hint="eastAsia" w:ascii="宋体" w:hAnsi="宋体"/>
                <w:sz w:val="18"/>
                <w:szCs w:val="18"/>
              </w:rPr>
              <w:t>天桥1号定岗</w:t>
            </w:r>
          </w:p>
        </w:tc>
        <w:tc>
          <w:tcPr>
            <w:tcW w:w="42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2"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43" w:type="dxa"/>
            <w:noWrap w:val="0"/>
            <w:vAlign w:val="center"/>
          </w:tcPr>
          <w:p>
            <w:pPr>
              <w:spacing w:line="280" w:lineRule="exact"/>
              <w:jc w:val="center"/>
              <w:rPr>
                <w:rFonts w:ascii="宋体" w:hAnsi="宋体"/>
                <w:sz w:val="18"/>
                <w:szCs w:val="18"/>
              </w:rPr>
            </w:pPr>
          </w:p>
        </w:tc>
        <w:tc>
          <w:tcPr>
            <w:tcW w:w="1362" w:type="dxa"/>
            <w:noWrap w:val="0"/>
            <w:vAlign w:val="center"/>
          </w:tcPr>
          <w:p>
            <w:pPr>
              <w:spacing w:line="280" w:lineRule="exact"/>
              <w:rPr>
                <w:rFonts w:ascii="宋体" w:hAnsi="宋体"/>
                <w:sz w:val="18"/>
                <w:szCs w:val="18"/>
              </w:rPr>
            </w:pPr>
            <w:r>
              <w:rPr>
                <w:rFonts w:hint="eastAsia" w:ascii="宋体" w:hAnsi="宋体"/>
                <w:sz w:val="18"/>
                <w:szCs w:val="18"/>
              </w:rPr>
              <w:t>2号车管定岗</w:t>
            </w:r>
          </w:p>
        </w:tc>
        <w:tc>
          <w:tcPr>
            <w:tcW w:w="37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400"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8" w:type="dxa"/>
            <w:noWrap w:val="0"/>
            <w:vAlign w:val="center"/>
          </w:tcPr>
          <w:p>
            <w:pPr>
              <w:spacing w:line="280" w:lineRule="exact"/>
              <w:jc w:val="center"/>
              <w:rPr>
                <w:rFonts w:ascii="宋体" w:hAnsi="宋体"/>
                <w:sz w:val="18"/>
                <w:szCs w:val="18"/>
              </w:rPr>
            </w:pPr>
          </w:p>
        </w:tc>
        <w:tc>
          <w:tcPr>
            <w:tcW w:w="1175" w:type="dxa"/>
            <w:noWrap w:val="0"/>
            <w:vAlign w:val="center"/>
          </w:tcPr>
          <w:p>
            <w:pPr>
              <w:spacing w:line="280" w:lineRule="exact"/>
              <w:rPr>
                <w:rFonts w:ascii="宋体" w:hAnsi="宋体"/>
                <w:sz w:val="18"/>
                <w:szCs w:val="18"/>
              </w:rPr>
            </w:pPr>
            <w:r>
              <w:rPr>
                <w:rFonts w:hint="eastAsia" w:ascii="宋体" w:hAnsi="宋体"/>
                <w:sz w:val="18"/>
                <w:szCs w:val="18"/>
              </w:rPr>
              <w:t>休闲广场主岗</w:t>
            </w:r>
          </w:p>
        </w:tc>
        <w:tc>
          <w:tcPr>
            <w:tcW w:w="437"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2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13" w:type="dxa"/>
            <w:noWrap w:val="0"/>
            <w:vAlign w:val="center"/>
          </w:tcPr>
          <w:p>
            <w:pPr>
              <w:spacing w:line="280" w:lineRule="exact"/>
              <w:jc w:val="center"/>
              <w:rPr>
                <w:rFonts w:ascii="宋体" w:hAnsi="宋体"/>
                <w:sz w:val="18"/>
                <w:szCs w:val="18"/>
              </w:rPr>
            </w:pPr>
          </w:p>
        </w:tc>
        <w:tc>
          <w:tcPr>
            <w:tcW w:w="1337" w:type="dxa"/>
            <w:noWrap w:val="0"/>
            <w:vAlign w:val="center"/>
          </w:tcPr>
          <w:p>
            <w:pPr>
              <w:spacing w:line="280" w:lineRule="exact"/>
              <w:rPr>
                <w:rFonts w:hint="eastAsia" w:ascii="宋体" w:hAnsi="宋体"/>
                <w:sz w:val="18"/>
                <w:szCs w:val="18"/>
              </w:rPr>
            </w:pPr>
            <w:r>
              <w:rPr>
                <w:rFonts w:hint="eastAsia" w:ascii="宋体" w:hAnsi="宋体"/>
                <w:sz w:val="18"/>
                <w:szCs w:val="18"/>
              </w:rPr>
              <w:t>中央公园地下室巡逻岗</w:t>
            </w:r>
          </w:p>
        </w:tc>
        <w:tc>
          <w:tcPr>
            <w:tcW w:w="350"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w:t>
            </w:r>
          </w:p>
        </w:tc>
        <w:tc>
          <w:tcPr>
            <w:tcW w:w="288" w:type="dxa"/>
            <w:noWrap w:val="0"/>
            <w:vAlign w:val="center"/>
          </w:tcPr>
          <w:p>
            <w:pPr>
              <w:spacing w:line="280" w:lineRule="exact"/>
              <w:jc w:val="center"/>
              <w:rPr>
                <w:rFonts w:hint="eastAsia" w:ascii="宋体" w:hAnsi="宋体"/>
                <w:sz w:val="18"/>
                <w:szCs w:val="18"/>
              </w:rPr>
            </w:pPr>
            <w:r>
              <w:rPr>
                <w:rFonts w:hint="eastAsia" w:ascii="宋体" w:hAnsi="宋体"/>
                <w:sz w:val="18"/>
                <w:szCs w:val="18"/>
              </w:rPr>
              <w:t>2</w:t>
            </w:r>
          </w:p>
        </w:tc>
        <w:tc>
          <w:tcPr>
            <w:tcW w:w="364"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13" w:type="dxa"/>
            <w:noWrap w:val="0"/>
            <w:vAlign w:val="center"/>
          </w:tcPr>
          <w:p>
            <w:pPr>
              <w:spacing w:line="280" w:lineRule="exact"/>
              <w:rPr>
                <w:rFonts w:ascii="宋体" w:hAnsi="宋体"/>
                <w:sz w:val="18"/>
                <w:szCs w:val="18"/>
              </w:rPr>
            </w:pPr>
            <w:r>
              <w:rPr>
                <w:rFonts w:hint="eastAsia" w:ascii="宋体" w:hAnsi="宋体"/>
                <w:sz w:val="18"/>
                <w:szCs w:val="18"/>
              </w:rPr>
              <w:t>大剧院12号门定岗</w:t>
            </w:r>
          </w:p>
        </w:tc>
        <w:tc>
          <w:tcPr>
            <w:tcW w:w="42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2"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43" w:type="dxa"/>
            <w:noWrap w:val="0"/>
            <w:vAlign w:val="center"/>
          </w:tcPr>
          <w:p>
            <w:pPr>
              <w:spacing w:line="280" w:lineRule="exact"/>
              <w:jc w:val="center"/>
              <w:rPr>
                <w:rFonts w:ascii="宋体" w:hAnsi="宋体"/>
                <w:sz w:val="18"/>
                <w:szCs w:val="18"/>
              </w:rPr>
            </w:pPr>
          </w:p>
        </w:tc>
        <w:tc>
          <w:tcPr>
            <w:tcW w:w="1362" w:type="dxa"/>
            <w:noWrap w:val="0"/>
            <w:vAlign w:val="center"/>
          </w:tcPr>
          <w:p>
            <w:pPr>
              <w:spacing w:line="280" w:lineRule="exact"/>
              <w:rPr>
                <w:rFonts w:hint="eastAsia" w:ascii="宋体" w:hAnsi="宋体"/>
                <w:sz w:val="18"/>
                <w:szCs w:val="18"/>
              </w:rPr>
            </w:pPr>
            <w:r>
              <w:rPr>
                <w:rFonts w:hint="eastAsia" w:ascii="宋体" w:hAnsi="宋体"/>
                <w:sz w:val="18"/>
                <w:szCs w:val="18"/>
              </w:rPr>
              <w:t>中央公园西出口定岗</w:t>
            </w:r>
          </w:p>
        </w:tc>
        <w:tc>
          <w:tcPr>
            <w:tcW w:w="37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400"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8" w:type="dxa"/>
            <w:noWrap w:val="0"/>
            <w:vAlign w:val="center"/>
          </w:tcPr>
          <w:p>
            <w:pPr>
              <w:spacing w:line="280" w:lineRule="exact"/>
              <w:jc w:val="center"/>
              <w:rPr>
                <w:rFonts w:ascii="宋体" w:hAnsi="宋体"/>
                <w:sz w:val="18"/>
                <w:szCs w:val="18"/>
              </w:rPr>
            </w:pPr>
          </w:p>
        </w:tc>
        <w:tc>
          <w:tcPr>
            <w:tcW w:w="1175" w:type="dxa"/>
            <w:noWrap w:val="0"/>
            <w:vAlign w:val="center"/>
          </w:tcPr>
          <w:p>
            <w:pPr>
              <w:spacing w:line="280" w:lineRule="exact"/>
              <w:rPr>
                <w:rFonts w:hint="eastAsia" w:ascii="宋体" w:hAnsi="宋体"/>
                <w:sz w:val="18"/>
                <w:szCs w:val="18"/>
              </w:rPr>
            </w:pPr>
            <w:r>
              <w:rPr>
                <w:rFonts w:hint="eastAsia" w:ascii="宋体" w:hAnsi="宋体"/>
                <w:sz w:val="18"/>
                <w:szCs w:val="18"/>
              </w:rPr>
              <w:t>大剧院地下停车巡逻岗</w:t>
            </w:r>
          </w:p>
        </w:tc>
        <w:tc>
          <w:tcPr>
            <w:tcW w:w="437"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w:t>
            </w:r>
          </w:p>
        </w:tc>
        <w:tc>
          <w:tcPr>
            <w:tcW w:w="325" w:type="dxa"/>
            <w:noWrap w:val="0"/>
            <w:vAlign w:val="center"/>
          </w:tcPr>
          <w:p>
            <w:pPr>
              <w:spacing w:line="280" w:lineRule="exact"/>
              <w:jc w:val="center"/>
              <w:rPr>
                <w:rFonts w:hint="eastAsia" w:ascii="宋体" w:hAnsi="宋体"/>
                <w:sz w:val="18"/>
                <w:szCs w:val="18"/>
              </w:rPr>
            </w:pPr>
            <w:r>
              <w:rPr>
                <w:rFonts w:hint="eastAsia" w:ascii="宋体" w:hAnsi="宋体"/>
                <w:sz w:val="18"/>
                <w:szCs w:val="18"/>
              </w:rPr>
              <w:t>3</w:t>
            </w:r>
          </w:p>
        </w:tc>
        <w:tc>
          <w:tcPr>
            <w:tcW w:w="313" w:type="dxa"/>
            <w:noWrap w:val="0"/>
            <w:vAlign w:val="center"/>
          </w:tcPr>
          <w:p>
            <w:pPr>
              <w:spacing w:line="280" w:lineRule="exact"/>
              <w:jc w:val="center"/>
              <w:rPr>
                <w:rFonts w:hint="eastAsia" w:ascii="宋体" w:hAnsi="宋体"/>
                <w:sz w:val="18"/>
                <w:szCs w:val="18"/>
              </w:rPr>
            </w:pPr>
            <w:r>
              <w:rPr>
                <w:rFonts w:hint="eastAsia" w:ascii="宋体" w:hAnsi="宋体"/>
                <w:sz w:val="18"/>
                <w:szCs w:val="18"/>
              </w:rPr>
              <w:t>0</w:t>
            </w:r>
          </w:p>
        </w:tc>
        <w:tc>
          <w:tcPr>
            <w:tcW w:w="1337" w:type="dxa"/>
            <w:noWrap w:val="0"/>
            <w:vAlign w:val="center"/>
          </w:tcPr>
          <w:p>
            <w:pPr>
              <w:spacing w:line="280" w:lineRule="exact"/>
              <w:rPr>
                <w:rFonts w:hint="eastAsia" w:ascii="宋体" w:hAnsi="宋体"/>
                <w:sz w:val="18"/>
                <w:szCs w:val="18"/>
              </w:rPr>
            </w:pPr>
          </w:p>
        </w:tc>
        <w:tc>
          <w:tcPr>
            <w:tcW w:w="350" w:type="dxa"/>
            <w:noWrap w:val="0"/>
            <w:vAlign w:val="center"/>
          </w:tcPr>
          <w:p>
            <w:pPr>
              <w:spacing w:line="280" w:lineRule="exact"/>
              <w:jc w:val="center"/>
              <w:rPr>
                <w:rFonts w:hint="eastAsia" w:ascii="宋体" w:hAnsi="宋体"/>
                <w:sz w:val="18"/>
                <w:szCs w:val="18"/>
              </w:rPr>
            </w:pPr>
          </w:p>
        </w:tc>
        <w:tc>
          <w:tcPr>
            <w:tcW w:w="288" w:type="dxa"/>
            <w:noWrap w:val="0"/>
            <w:vAlign w:val="center"/>
          </w:tcPr>
          <w:p>
            <w:pPr>
              <w:spacing w:line="280" w:lineRule="exact"/>
              <w:jc w:val="center"/>
              <w:rPr>
                <w:rFonts w:hint="eastAsia" w:ascii="宋体" w:hAnsi="宋体"/>
                <w:sz w:val="18"/>
                <w:szCs w:val="18"/>
              </w:rPr>
            </w:pPr>
          </w:p>
        </w:tc>
        <w:tc>
          <w:tcPr>
            <w:tcW w:w="364" w:type="dxa"/>
            <w:noWrap w:val="0"/>
            <w:vAlign w:val="center"/>
          </w:tcPr>
          <w:p>
            <w:pPr>
              <w:spacing w:line="28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113" w:type="dxa"/>
            <w:noWrap w:val="0"/>
            <w:vAlign w:val="center"/>
          </w:tcPr>
          <w:p>
            <w:pPr>
              <w:spacing w:line="280" w:lineRule="exact"/>
              <w:rPr>
                <w:rFonts w:hint="eastAsia" w:ascii="宋体" w:hAnsi="宋体"/>
                <w:sz w:val="18"/>
                <w:szCs w:val="18"/>
              </w:rPr>
            </w:pPr>
            <w:r>
              <w:rPr>
                <w:rFonts w:hint="eastAsia" w:ascii="宋体" w:hAnsi="宋体"/>
                <w:sz w:val="18"/>
                <w:szCs w:val="18"/>
              </w:rPr>
              <w:t>科博地下停车巡逻岗</w:t>
            </w:r>
          </w:p>
        </w:tc>
        <w:tc>
          <w:tcPr>
            <w:tcW w:w="42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2"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43" w:type="dxa"/>
            <w:noWrap w:val="0"/>
            <w:vAlign w:val="center"/>
          </w:tcPr>
          <w:p>
            <w:pPr>
              <w:spacing w:line="280" w:lineRule="exact"/>
              <w:jc w:val="center"/>
              <w:rPr>
                <w:rFonts w:hint="eastAsia" w:ascii="宋体" w:hAnsi="宋体"/>
                <w:sz w:val="18"/>
                <w:szCs w:val="18"/>
              </w:rPr>
            </w:pPr>
            <w:r>
              <w:rPr>
                <w:rFonts w:hint="eastAsia" w:ascii="宋体" w:hAnsi="宋体"/>
                <w:sz w:val="18"/>
                <w:szCs w:val="18"/>
              </w:rPr>
              <w:t>0</w:t>
            </w:r>
          </w:p>
        </w:tc>
        <w:tc>
          <w:tcPr>
            <w:tcW w:w="1362" w:type="dxa"/>
            <w:noWrap w:val="0"/>
            <w:vAlign w:val="center"/>
          </w:tcPr>
          <w:p>
            <w:pPr>
              <w:spacing w:line="280" w:lineRule="exact"/>
              <w:rPr>
                <w:rFonts w:hint="eastAsia" w:ascii="宋体" w:hAnsi="宋体"/>
                <w:sz w:val="18"/>
                <w:szCs w:val="18"/>
              </w:rPr>
            </w:pPr>
            <w:r>
              <w:rPr>
                <w:rFonts w:hint="eastAsia" w:ascii="宋体" w:hAnsi="宋体"/>
                <w:sz w:val="18"/>
                <w:szCs w:val="18"/>
              </w:rPr>
              <w:t>休闲广场地下停车巡逻岗</w:t>
            </w:r>
          </w:p>
        </w:tc>
        <w:tc>
          <w:tcPr>
            <w:tcW w:w="375"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400" w:type="dxa"/>
            <w:noWrap w:val="0"/>
            <w:vAlign w:val="center"/>
          </w:tcPr>
          <w:p>
            <w:pPr>
              <w:spacing w:line="280" w:lineRule="exact"/>
              <w:jc w:val="center"/>
              <w:rPr>
                <w:rFonts w:ascii="宋体" w:hAnsi="宋体"/>
                <w:sz w:val="18"/>
                <w:szCs w:val="18"/>
              </w:rPr>
            </w:pPr>
            <w:r>
              <w:rPr>
                <w:rFonts w:hint="eastAsia" w:ascii="宋体" w:hAnsi="宋体"/>
                <w:sz w:val="18"/>
                <w:szCs w:val="18"/>
              </w:rPr>
              <w:t>1</w:t>
            </w:r>
          </w:p>
        </w:tc>
        <w:tc>
          <w:tcPr>
            <w:tcW w:w="338" w:type="dxa"/>
            <w:noWrap w:val="0"/>
            <w:vAlign w:val="center"/>
          </w:tcPr>
          <w:p>
            <w:pPr>
              <w:spacing w:line="280" w:lineRule="exact"/>
              <w:jc w:val="center"/>
              <w:rPr>
                <w:rFonts w:hint="eastAsia" w:ascii="宋体" w:hAnsi="宋体"/>
                <w:sz w:val="18"/>
                <w:szCs w:val="18"/>
              </w:rPr>
            </w:pPr>
            <w:r>
              <w:rPr>
                <w:rFonts w:hint="eastAsia" w:ascii="宋体" w:hAnsi="宋体"/>
                <w:sz w:val="18"/>
                <w:szCs w:val="18"/>
              </w:rPr>
              <w:t>0</w:t>
            </w:r>
          </w:p>
        </w:tc>
        <w:tc>
          <w:tcPr>
            <w:tcW w:w="1175" w:type="dxa"/>
            <w:noWrap w:val="0"/>
            <w:vAlign w:val="center"/>
          </w:tcPr>
          <w:p>
            <w:pPr>
              <w:spacing w:line="280" w:lineRule="exact"/>
              <w:rPr>
                <w:rFonts w:ascii="宋体" w:hAnsi="宋体"/>
                <w:sz w:val="18"/>
                <w:szCs w:val="18"/>
              </w:rPr>
            </w:pPr>
            <w:r>
              <w:rPr>
                <w:rFonts w:hint="eastAsia" w:ascii="宋体" w:hAnsi="宋体"/>
                <w:sz w:val="18"/>
                <w:szCs w:val="18"/>
              </w:rPr>
              <w:t>大剧院临时停车定岗</w:t>
            </w:r>
          </w:p>
        </w:tc>
        <w:tc>
          <w:tcPr>
            <w:tcW w:w="437"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w:t>
            </w:r>
          </w:p>
        </w:tc>
        <w:tc>
          <w:tcPr>
            <w:tcW w:w="325"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w:t>
            </w:r>
          </w:p>
        </w:tc>
        <w:tc>
          <w:tcPr>
            <w:tcW w:w="313" w:type="dxa"/>
            <w:noWrap w:val="0"/>
            <w:vAlign w:val="center"/>
          </w:tcPr>
          <w:p>
            <w:pPr>
              <w:spacing w:line="280" w:lineRule="exact"/>
              <w:jc w:val="center"/>
              <w:rPr>
                <w:rFonts w:hint="eastAsia" w:ascii="宋体" w:hAnsi="宋体"/>
                <w:sz w:val="18"/>
                <w:szCs w:val="18"/>
              </w:rPr>
            </w:pPr>
            <w:r>
              <w:rPr>
                <w:rFonts w:hint="eastAsia" w:ascii="宋体" w:hAnsi="宋体"/>
                <w:sz w:val="18"/>
                <w:szCs w:val="18"/>
              </w:rPr>
              <w:t>1</w:t>
            </w:r>
          </w:p>
        </w:tc>
        <w:tc>
          <w:tcPr>
            <w:tcW w:w="2339" w:type="dxa"/>
            <w:gridSpan w:val="4"/>
            <w:noWrap w:val="0"/>
            <w:vAlign w:val="center"/>
          </w:tcPr>
          <w:p>
            <w:pPr>
              <w:spacing w:line="280" w:lineRule="exact"/>
              <w:jc w:val="center"/>
              <w:rPr>
                <w:rFonts w:hint="eastAsia" w:ascii="宋体" w:hAnsi="宋体"/>
                <w:sz w:val="18"/>
                <w:szCs w:val="18"/>
              </w:rPr>
            </w:pPr>
            <w:r>
              <w:rPr>
                <w:rFonts w:hint="eastAsia" w:ascii="宋体" w:hAnsi="宋体"/>
                <w:sz w:val="18"/>
                <w:szCs w:val="18"/>
              </w:rPr>
              <w:t>/</w:t>
            </w:r>
          </w:p>
        </w:tc>
      </w:tr>
    </w:tbl>
    <w:p>
      <w:pPr>
        <w:autoSpaceDE w:val="0"/>
        <w:autoSpaceDN w:val="0"/>
        <w:adjustRightInd w:val="0"/>
        <w:spacing w:line="400" w:lineRule="atLeast"/>
        <w:rPr>
          <w:rFonts w:hint="eastAsia" w:ascii="宋体" w:hAnsi="宋体"/>
          <w:b/>
          <w:bCs/>
          <w:szCs w:val="21"/>
        </w:rPr>
      </w:pPr>
      <w:r>
        <w:rPr>
          <w:rFonts w:hint="eastAsia" w:ascii="宋体" w:hAnsi="宋体"/>
          <w:b/>
          <w:bCs/>
          <w:szCs w:val="21"/>
        </w:rPr>
        <w:t>6.★设备配置要求（不得低于下表）</w:t>
      </w:r>
    </w:p>
    <w:tbl>
      <w:tblPr>
        <w:tblStyle w:val="44"/>
        <w:tblW w:w="926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3"/>
        <w:gridCol w:w="2688"/>
        <w:gridCol w:w="2289"/>
        <w:gridCol w:w="341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87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268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名称</w:t>
            </w:r>
          </w:p>
        </w:tc>
        <w:tc>
          <w:tcPr>
            <w:tcW w:w="2289" w:type="dxa"/>
            <w:tcBorders>
              <w:right w:val="single" w:color="auto" w:sz="4" w:space="0"/>
            </w:tcBorders>
            <w:noWrap w:val="0"/>
            <w:vAlign w:val="center"/>
          </w:tcPr>
          <w:p>
            <w:pPr>
              <w:jc w:val="center"/>
              <w:rPr>
                <w:rFonts w:hint="eastAsia" w:ascii="宋体" w:hAnsi="宋体" w:cs="宋体"/>
                <w:b/>
                <w:bCs/>
                <w:sz w:val="18"/>
                <w:szCs w:val="18"/>
              </w:rPr>
            </w:pPr>
            <w:r>
              <w:rPr>
                <w:rFonts w:hint="eastAsia" w:ascii="宋体" w:hAnsi="宋体" w:cs="宋体"/>
                <w:b/>
                <w:bCs/>
                <w:sz w:val="18"/>
                <w:szCs w:val="18"/>
              </w:rPr>
              <w:t>数量（辆）</w:t>
            </w:r>
          </w:p>
        </w:tc>
        <w:tc>
          <w:tcPr>
            <w:tcW w:w="3411" w:type="dxa"/>
            <w:tcBorders>
              <w:right w:val="single" w:color="auto" w:sz="4" w:space="0"/>
            </w:tcBorders>
            <w:noWrap w:val="0"/>
            <w:vAlign w:val="center"/>
          </w:tcPr>
          <w:p>
            <w:pPr>
              <w:jc w:val="center"/>
              <w:rPr>
                <w:rFonts w:hint="eastAsia" w:ascii="宋体" w:hAnsi="宋体" w:cs="宋体"/>
                <w:b/>
                <w:bCs/>
                <w:sz w:val="18"/>
                <w:szCs w:val="18"/>
              </w:rPr>
            </w:pPr>
            <w:r>
              <w:rPr>
                <w:rFonts w:hint="eastAsia" w:ascii="宋体" w:hAnsi="宋体"/>
                <w:b/>
                <w:bCs/>
                <w:sz w:val="18"/>
                <w:szCs w:val="18"/>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1</w:t>
            </w:r>
          </w:p>
        </w:tc>
        <w:tc>
          <w:tcPr>
            <w:tcW w:w="2688" w:type="dxa"/>
            <w:noWrap w:val="0"/>
            <w:vAlign w:val="center"/>
          </w:tcPr>
          <w:p>
            <w:pPr>
              <w:jc w:val="center"/>
              <w:rPr>
                <w:rFonts w:hint="eastAsia" w:ascii="宋体" w:hAnsi="宋体" w:cs="宋体"/>
                <w:b/>
                <w:bCs/>
                <w:sz w:val="18"/>
                <w:szCs w:val="18"/>
              </w:rPr>
            </w:pPr>
            <w:r>
              <w:rPr>
                <w:rFonts w:hint="eastAsia" w:ascii="宋体" w:hAnsi="宋体"/>
                <w:sz w:val="18"/>
                <w:szCs w:val="18"/>
              </w:rPr>
              <w:t>道路扫地车</w:t>
            </w:r>
          </w:p>
        </w:tc>
        <w:tc>
          <w:tcPr>
            <w:tcW w:w="2289" w:type="dxa"/>
            <w:tcBorders>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1辆</w:t>
            </w:r>
          </w:p>
        </w:tc>
        <w:tc>
          <w:tcPr>
            <w:tcW w:w="3411" w:type="dxa"/>
            <w:tcBorders>
              <w:right w:val="single" w:color="auto" w:sz="4" w:space="0"/>
            </w:tcBorders>
            <w:noWrap w:val="0"/>
            <w:vAlign w:val="center"/>
          </w:tcPr>
          <w:p>
            <w:pPr>
              <w:jc w:val="center"/>
              <w:rPr>
                <w:rFonts w:hint="eastAsia" w:ascii="宋体" w:hAnsi="宋体"/>
                <w:b/>
                <w:bCs/>
                <w:sz w:val="18"/>
                <w:szCs w:val="18"/>
              </w:rPr>
            </w:pPr>
            <w:r>
              <w:rPr>
                <w:rFonts w:hint="eastAsia" w:ascii="宋体" w:hAnsi="宋体"/>
                <w:sz w:val="18"/>
                <w:szCs w:val="18"/>
              </w:rPr>
              <w:t>整备质量5吨及以上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2</w:t>
            </w:r>
          </w:p>
        </w:tc>
        <w:tc>
          <w:tcPr>
            <w:tcW w:w="2688" w:type="dxa"/>
            <w:noWrap w:val="0"/>
            <w:vAlign w:val="center"/>
          </w:tcPr>
          <w:p>
            <w:pPr>
              <w:jc w:val="center"/>
              <w:rPr>
                <w:rFonts w:hint="eastAsia" w:ascii="宋体" w:hAnsi="宋体" w:cs="宋体"/>
                <w:b/>
                <w:bCs/>
                <w:sz w:val="18"/>
                <w:szCs w:val="18"/>
              </w:rPr>
            </w:pPr>
            <w:r>
              <w:rPr>
                <w:rFonts w:hint="eastAsia" w:ascii="宋体" w:hAnsi="宋体"/>
                <w:sz w:val="18"/>
                <w:szCs w:val="18"/>
              </w:rPr>
              <w:t>洒水车</w:t>
            </w:r>
          </w:p>
        </w:tc>
        <w:tc>
          <w:tcPr>
            <w:tcW w:w="2289" w:type="dxa"/>
            <w:tcBorders>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1辆</w:t>
            </w:r>
          </w:p>
        </w:tc>
        <w:tc>
          <w:tcPr>
            <w:tcW w:w="3411" w:type="dxa"/>
            <w:tcBorders>
              <w:right w:val="single" w:color="auto" w:sz="4" w:space="0"/>
            </w:tcBorders>
            <w:noWrap w:val="0"/>
            <w:vAlign w:val="center"/>
          </w:tcPr>
          <w:p>
            <w:pPr>
              <w:jc w:val="center"/>
              <w:rPr>
                <w:rFonts w:hint="eastAsia" w:ascii="宋体" w:hAnsi="宋体"/>
                <w:b/>
                <w:bCs/>
                <w:sz w:val="18"/>
                <w:szCs w:val="18"/>
              </w:rPr>
            </w:pPr>
            <w:r>
              <w:rPr>
                <w:rFonts w:hint="eastAsia" w:ascii="宋体" w:hAnsi="宋体"/>
                <w:sz w:val="18"/>
                <w:szCs w:val="18"/>
              </w:rPr>
              <w:t>整备质量8吨及以上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3</w:t>
            </w:r>
          </w:p>
        </w:tc>
        <w:tc>
          <w:tcPr>
            <w:tcW w:w="2688" w:type="dxa"/>
            <w:noWrap w:val="0"/>
            <w:vAlign w:val="center"/>
          </w:tcPr>
          <w:p>
            <w:pPr>
              <w:jc w:val="center"/>
              <w:rPr>
                <w:rFonts w:hint="eastAsia" w:ascii="宋体" w:hAnsi="宋体"/>
                <w:sz w:val="18"/>
                <w:szCs w:val="18"/>
              </w:rPr>
            </w:pPr>
            <w:r>
              <w:rPr>
                <w:rFonts w:hint="eastAsia" w:ascii="宋体" w:hAnsi="宋体"/>
                <w:sz w:val="18"/>
                <w:szCs w:val="18"/>
              </w:rPr>
              <w:t>纯电动驾驶式洗地机</w:t>
            </w:r>
          </w:p>
        </w:tc>
        <w:tc>
          <w:tcPr>
            <w:tcW w:w="2289"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2台</w:t>
            </w:r>
          </w:p>
        </w:tc>
        <w:tc>
          <w:tcPr>
            <w:tcW w:w="3411" w:type="dxa"/>
            <w:tcBorders>
              <w:right w:val="single" w:color="auto" w:sz="4" w:space="0"/>
            </w:tcBorders>
            <w:noWrap w:val="0"/>
            <w:vAlign w:val="center"/>
          </w:tcPr>
          <w:p>
            <w:pPr>
              <w:jc w:val="center"/>
              <w:rPr>
                <w:rFonts w:hint="eastAsia" w:ascii="宋体" w:hAnsi="宋体"/>
                <w:b/>
                <w:bCs/>
                <w:sz w:val="18"/>
                <w:szCs w:val="18"/>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4</w:t>
            </w:r>
          </w:p>
        </w:tc>
        <w:tc>
          <w:tcPr>
            <w:tcW w:w="2688" w:type="dxa"/>
            <w:noWrap w:val="0"/>
            <w:vAlign w:val="center"/>
          </w:tcPr>
          <w:p>
            <w:pPr>
              <w:jc w:val="center"/>
              <w:rPr>
                <w:rFonts w:hint="eastAsia" w:ascii="宋体" w:hAnsi="宋体"/>
                <w:sz w:val="18"/>
                <w:szCs w:val="18"/>
              </w:rPr>
            </w:pPr>
            <w:r>
              <w:rPr>
                <w:rFonts w:hint="eastAsia" w:ascii="宋体" w:hAnsi="宋体"/>
                <w:sz w:val="18"/>
                <w:szCs w:val="18"/>
              </w:rPr>
              <w:t>纯电动驾驶式扫地机</w:t>
            </w:r>
          </w:p>
        </w:tc>
        <w:tc>
          <w:tcPr>
            <w:tcW w:w="2289"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2台</w:t>
            </w:r>
          </w:p>
        </w:tc>
        <w:tc>
          <w:tcPr>
            <w:tcW w:w="3411" w:type="dxa"/>
            <w:tcBorders>
              <w:right w:val="single" w:color="auto" w:sz="4" w:space="0"/>
            </w:tcBorders>
            <w:noWrap w:val="0"/>
            <w:vAlign w:val="center"/>
          </w:tcPr>
          <w:p>
            <w:pPr>
              <w:jc w:val="center"/>
              <w:rPr>
                <w:rFonts w:hint="eastAsia" w:ascii="宋体" w:hAnsi="宋体"/>
                <w:b/>
                <w:bCs/>
                <w:sz w:val="18"/>
                <w:szCs w:val="18"/>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5</w:t>
            </w:r>
          </w:p>
        </w:tc>
        <w:tc>
          <w:tcPr>
            <w:tcW w:w="2688" w:type="dxa"/>
            <w:noWrap w:val="0"/>
            <w:vAlign w:val="center"/>
          </w:tcPr>
          <w:p>
            <w:pPr>
              <w:jc w:val="center"/>
              <w:rPr>
                <w:rFonts w:hint="eastAsia" w:ascii="宋体" w:hAnsi="宋体"/>
                <w:sz w:val="18"/>
                <w:szCs w:val="18"/>
              </w:rPr>
            </w:pPr>
            <w:r>
              <w:rPr>
                <w:rFonts w:hint="eastAsia" w:ascii="宋体" w:hAnsi="宋体"/>
                <w:sz w:val="18"/>
                <w:szCs w:val="18"/>
              </w:rPr>
              <w:t>高压喷水洗地机</w:t>
            </w:r>
          </w:p>
        </w:tc>
        <w:tc>
          <w:tcPr>
            <w:tcW w:w="2289"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2台</w:t>
            </w:r>
          </w:p>
        </w:tc>
        <w:tc>
          <w:tcPr>
            <w:tcW w:w="3411" w:type="dxa"/>
            <w:tcBorders>
              <w:right w:val="single" w:color="auto" w:sz="4" w:space="0"/>
            </w:tcBorders>
            <w:noWrap w:val="0"/>
            <w:vAlign w:val="center"/>
          </w:tcPr>
          <w:p>
            <w:pPr>
              <w:jc w:val="center"/>
              <w:rPr>
                <w:rFonts w:hint="eastAsia" w:ascii="宋体" w:hAnsi="宋体"/>
                <w:b/>
                <w:bCs/>
                <w:sz w:val="18"/>
                <w:szCs w:val="18"/>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6</w:t>
            </w:r>
          </w:p>
        </w:tc>
        <w:tc>
          <w:tcPr>
            <w:tcW w:w="2688" w:type="dxa"/>
            <w:noWrap w:val="0"/>
            <w:vAlign w:val="center"/>
          </w:tcPr>
          <w:p>
            <w:pPr>
              <w:jc w:val="center"/>
              <w:rPr>
                <w:rFonts w:ascii="宋体" w:hAnsi="宋体" w:cs="宋体"/>
                <w:sz w:val="18"/>
                <w:szCs w:val="18"/>
              </w:rPr>
            </w:pPr>
            <w:r>
              <w:rPr>
                <w:rFonts w:hint="eastAsia" w:ascii="宋体" w:hAnsi="宋体"/>
                <w:sz w:val="18"/>
                <w:szCs w:val="18"/>
              </w:rPr>
              <w:t>四轮电瓶巡逻车</w:t>
            </w:r>
          </w:p>
        </w:tc>
        <w:tc>
          <w:tcPr>
            <w:tcW w:w="2289"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1台</w:t>
            </w:r>
          </w:p>
        </w:tc>
        <w:tc>
          <w:tcPr>
            <w:tcW w:w="3411" w:type="dxa"/>
            <w:tcBorders>
              <w:right w:val="single" w:color="auto" w:sz="4" w:space="0"/>
            </w:tcBorders>
            <w:noWrap w:val="0"/>
            <w:vAlign w:val="center"/>
          </w:tcPr>
          <w:p>
            <w:pPr>
              <w:jc w:val="center"/>
              <w:rPr>
                <w:rFonts w:hint="eastAsia" w:ascii="宋体" w:hAnsi="宋体" w:cs="宋体"/>
                <w:sz w:val="18"/>
                <w:szCs w:val="18"/>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873" w:type="dxa"/>
            <w:noWrap w:val="0"/>
            <w:vAlign w:val="center"/>
          </w:tcPr>
          <w:p>
            <w:pPr>
              <w:jc w:val="center"/>
              <w:rPr>
                <w:rFonts w:hint="eastAsia" w:ascii="宋体" w:hAnsi="宋体"/>
                <w:sz w:val="18"/>
                <w:szCs w:val="18"/>
              </w:rPr>
            </w:pPr>
            <w:r>
              <w:rPr>
                <w:rFonts w:hint="eastAsia" w:ascii="宋体" w:hAnsi="宋体"/>
                <w:sz w:val="18"/>
                <w:szCs w:val="18"/>
              </w:rPr>
              <w:t>7</w:t>
            </w:r>
          </w:p>
        </w:tc>
        <w:tc>
          <w:tcPr>
            <w:tcW w:w="2688" w:type="dxa"/>
            <w:noWrap w:val="0"/>
            <w:vAlign w:val="center"/>
          </w:tcPr>
          <w:p>
            <w:pPr>
              <w:jc w:val="center"/>
              <w:rPr>
                <w:rFonts w:hint="eastAsia" w:ascii="宋体" w:hAnsi="宋体" w:cs="Courier New"/>
                <w:sz w:val="18"/>
                <w:szCs w:val="18"/>
              </w:rPr>
            </w:pPr>
            <w:r>
              <w:rPr>
                <w:rFonts w:hint="eastAsia" w:ascii="宋体" w:hAnsi="宋体"/>
                <w:sz w:val="18"/>
                <w:szCs w:val="18"/>
              </w:rPr>
              <w:t>保洁用船</w:t>
            </w:r>
          </w:p>
        </w:tc>
        <w:tc>
          <w:tcPr>
            <w:tcW w:w="2289"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1艘</w:t>
            </w:r>
          </w:p>
        </w:tc>
        <w:tc>
          <w:tcPr>
            <w:tcW w:w="3411" w:type="dxa"/>
            <w:tcBorders>
              <w:right w:val="single" w:color="auto" w:sz="4" w:space="0"/>
            </w:tcBorders>
            <w:noWrap w:val="0"/>
            <w:vAlign w:val="center"/>
          </w:tcPr>
          <w:p>
            <w:pPr>
              <w:jc w:val="center"/>
              <w:rPr>
                <w:rFonts w:hint="eastAsia" w:ascii="宋体" w:hAnsi="宋体" w:cs="宋体"/>
                <w:sz w:val="18"/>
                <w:szCs w:val="18"/>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3" w:type="dxa"/>
            <w:noWrap w:val="0"/>
            <w:vAlign w:val="center"/>
          </w:tcPr>
          <w:p>
            <w:pPr>
              <w:jc w:val="center"/>
              <w:rPr>
                <w:rFonts w:ascii="宋体" w:hAnsi="宋体"/>
                <w:sz w:val="18"/>
                <w:szCs w:val="18"/>
              </w:rPr>
            </w:pPr>
            <w:r>
              <w:rPr>
                <w:rFonts w:hint="eastAsia" w:ascii="宋体" w:hAnsi="宋体"/>
                <w:sz w:val="18"/>
                <w:szCs w:val="18"/>
              </w:rPr>
              <w:t>8</w:t>
            </w:r>
          </w:p>
        </w:tc>
        <w:tc>
          <w:tcPr>
            <w:tcW w:w="2688" w:type="dxa"/>
            <w:noWrap w:val="0"/>
            <w:vAlign w:val="center"/>
          </w:tcPr>
          <w:p>
            <w:pPr>
              <w:jc w:val="center"/>
              <w:rPr>
                <w:rFonts w:hint="eastAsia" w:ascii="宋体" w:hAnsi="宋体"/>
                <w:sz w:val="18"/>
                <w:szCs w:val="18"/>
              </w:rPr>
            </w:pPr>
            <w:r>
              <w:rPr>
                <w:rFonts w:hint="eastAsia" w:ascii="宋体" w:hAnsi="宋体"/>
                <w:sz w:val="18"/>
                <w:szCs w:val="18"/>
              </w:rPr>
              <w:t>水泵</w:t>
            </w:r>
          </w:p>
        </w:tc>
        <w:tc>
          <w:tcPr>
            <w:tcW w:w="2289"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8台</w:t>
            </w:r>
          </w:p>
        </w:tc>
        <w:tc>
          <w:tcPr>
            <w:tcW w:w="3411" w:type="dxa"/>
            <w:tcBorders>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1.5KW及以上</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3561" w:type="dxa"/>
            <w:gridSpan w:val="2"/>
            <w:noWrap w:val="0"/>
            <w:vAlign w:val="center"/>
          </w:tcPr>
          <w:p>
            <w:pPr>
              <w:jc w:val="center"/>
              <w:rPr>
                <w:rFonts w:hint="eastAsia" w:ascii="宋体" w:hAnsi="宋体" w:cs="宋体"/>
                <w:b/>
                <w:bCs/>
                <w:sz w:val="18"/>
                <w:szCs w:val="18"/>
              </w:rPr>
            </w:pPr>
            <w:r>
              <w:rPr>
                <w:rFonts w:hint="eastAsia" w:ascii="宋体" w:hAnsi="宋体" w:cs="宋体"/>
                <w:b/>
                <w:bCs/>
                <w:sz w:val="18"/>
                <w:szCs w:val="18"/>
              </w:rPr>
              <w:t>合计</w:t>
            </w:r>
          </w:p>
        </w:tc>
        <w:tc>
          <w:tcPr>
            <w:tcW w:w="2289" w:type="dxa"/>
            <w:tcBorders>
              <w:right w:val="single" w:color="auto" w:sz="4" w:space="0"/>
            </w:tcBorders>
            <w:noWrap w:val="0"/>
            <w:vAlign w:val="center"/>
          </w:tcPr>
          <w:p>
            <w:pPr>
              <w:jc w:val="center"/>
              <w:rPr>
                <w:rFonts w:ascii="宋体" w:hAnsi="宋体" w:cs="宋体"/>
                <w:b/>
                <w:bCs/>
                <w:sz w:val="18"/>
                <w:szCs w:val="18"/>
              </w:rPr>
            </w:pPr>
            <w:r>
              <w:rPr>
                <w:rFonts w:hint="eastAsia" w:ascii="宋体" w:hAnsi="宋体" w:cs="宋体"/>
                <w:b/>
                <w:bCs/>
                <w:sz w:val="18"/>
                <w:szCs w:val="18"/>
              </w:rPr>
              <w:t>18</w:t>
            </w:r>
          </w:p>
        </w:tc>
        <w:tc>
          <w:tcPr>
            <w:tcW w:w="3411" w:type="dxa"/>
            <w:tcBorders>
              <w:right w:val="single" w:color="auto" w:sz="4" w:space="0"/>
            </w:tcBorders>
            <w:noWrap w:val="0"/>
            <w:vAlign w:val="center"/>
          </w:tcPr>
          <w:p>
            <w:pPr>
              <w:jc w:val="center"/>
              <w:rPr>
                <w:rFonts w:hint="eastAsia" w:ascii="宋体" w:hAnsi="宋体" w:cs="宋体"/>
                <w:b/>
                <w:bCs/>
                <w:sz w:val="18"/>
                <w:szCs w:val="18"/>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9261" w:type="dxa"/>
            <w:gridSpan w:val="4"/>
            <w:tcBorders>
              <w:right w:val="single" w:color="auto" w:sz="4" w:space="0"/>
            </w:tcBorders>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eastAsia"/>
                <w:sz w:val="18"/>
                <w:szCs w:val="18"/>
              </w:rPr>
            </w:pPr>
            <w:r>
              <w:rPr>
                <w:rFonts w:hint="eastAsia" w:ascii="宋体" w:hAnsi="宋体"/>
                <w:b/>
                <w:iCs/>
                <w:sz w:val="18"/>
                <w:szCs w:val="18"/>
              </w:rPr>
              <w:t>1、投标文件中须提供扫地车、洒水车行驶证、保险证明扫描件，其余提供购置发票扫描件；如非自有车辆/设备的，另须提供车辆租赁合同（协议）扫描件，租赁合同（协议）的有效期不得少于本次招标服务期；如投标方既无现有自有车辆/设备，又不能租赁到全部车辆/设备的，另可提供车辆/设备购置承诺书（可部分购置），车辆/设备购置承诺书格式自拟，并注明车辆/设备购置费用预算和完成时间，车辆/设备购置完成时间不得超过合同履行开始之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eastAsia"/>
                <w:sz w:val="18"/>
                <w:szCs w:val="18"/>
              </w:rPr>
            </w:pPr>
            <w:r>
              <w:rPr>
                <w:rFonts w:hint="eastAsia"/>
                <w:sz w:val="18"/>
                <w:szCs w:val="18"/>
              </w:rPr>
              <w:t>2、</w:t>
            </w:r>
            <w:r>
              <w:rPr>
                <w:rFonts w:hint="eastAsia" w:ascii="宋体" w:hAnsi="宋体" w:cs="仿宋_GB2312"/>
                <w:b/>
                <w:bCs/>
                <w:sz w:val="18"/>
                <w:szCs w:val="18"/>
              </w:rPr>
              <w:t>如投标方承诺购置扫地车，洒水车的，未在合同履约前将车辆购置完成，采购人视投标方放弃中标，采购人可推荐排名第二的为中标方。</w:t>
            </w:r>
          </w:p>
        </w:tc>
      </w:tr>
    </w:tbl>
    <w:p>
      <w:pPr>
        <w:autoSpaceDE w:val="0"/>
        <w:autoSpaceDN w:val="0"/>
        <w:adjustRightInd w:val="0"/>
        <w:spacing w:line="360" w:lineRule="auto"/>
        <w:rPr>
          <w:rFonts w:hint="eastAsia" w:ascii="宋体" w:hAnsi="宋体"/>
          <w:b/>
          <w:szCs w:val="21"/>
        </w:rPr>
      </w:pPr>
      <w:r>
        <w:rPr>
          <w:rFonts w:hint="eastAsia" w:ascii="宋体" w:hAnsi="宋体"/>
          <w:b/>
          <w:szCs w:val="21"/>
        </w:rPr>
        <w:t>（十）、其他要求</w:t>
      </w:r>
    </w:p>
    <w:p>
      <w:pPr>
        <w:autoSpaceDE w:val="0"/>
        <w:autoSpaceDN w:val="0"/>
        <w:adjustRightInd w:val="0"/>
        <w:spacing w:line="360" w:lineRule="exact"/>
        <w:rPr>
          <w:rFonts w:hint="eastAsia" w:ascii="宋体" w:hAnsi="宋体"/>
          <w:szCs w:val="21"/>
        </w:rPr>
      </w:pPr>
      <w:r>
        <w:rPr>
          <w:rFonts w:hint="eastAsia" w:ascii="宋体" w:hAnsi="宋体"/>
          <w:szCs w:val="21"/>
        </w:rPr>
        <w:t>1.所有人员服装由投标人自行配备，费用计入投标总价，但服装样式需经过采购人认可。</w:t>
      </w:r>
    </w:p>
    <w:p>
      <w:pPr>
        <w:autoSpaceDE w:val="0"/>
        <w:autoSpaceDN w:val="0"/>
        <w:adjustRightInd w:val="0"/>
        <w:spacing w:line="360" w:lineRule="exact"/>
        <w:rPr>
          <w:rFonts w:hint="eastAsia" w:ascii="宋体" w:hAnsi="宋体"/>
          <w:szCs w:val="21"/>
        </w:rPr>
      </w:pPr>
      <w:r>
        <w:rPr>
          <w:rFonts w:hint="eastAsia" w:ascii="宋体" w:hAnsi="宋体"/>
          <w:szCs w:val="21"/>
        </w:rPr>
        <w:t>2.服务区域内，保安需加强巡逻管理，防止无围挡地块发生</w:t>
      </w:r>
      <w:r>
        <w:rPr>
          <w:rFonts w:hint="eastAsia" w:ascii="宋体" w:hAnsi="宋体"/>
          <w:szCs w:val="21"/>
          <w:em w:val="dot"/>
        </w:rPr>
        <w:t>垃圾偷倒</w:t>
      </w:r>
      <w:r>
        <w:rPr>
          <w:rFonts w:hint="eastAsia" w:ascii="宋体" w:hAnsi="宋体"/>
          <w:szCs w:val="21"/>
        </w:rPr>
        <w:t>。</w:t>
      </w:r>
    </w:p>
    <w:p>
      <w:pPr>
        <w:autoSpaceDE w:val="0"/>
        <w:autoSpaceDN w:val="0"/>
        <w:adjustRightInd w:val="0"/>
        <w:spacing w:line="360" w:lineRule="exact"/>
        <w:ind w:right="-313" w:rightChars="-149"/>
        <w:rPr>
          <w:rFonts w:hint="eastAsia" w:ascii="宋体" w:hAnsi="宋体"/>
          <w:szCs w:val="21"/>
        </w:rPr>
      </w:pPr>
      <w:r>
        <w:rPr>
          <w:rFonts w:hint="eastAsia" w:ascii="宋体" w:hAnsi="宋体"/>
          <w:szCs w:val="21"/>
        </w:rPr>
        <w:t>3.树木支撑由中标人按规定进行，若发生被风刮到、折断、养护不当死亡等的损失由中标人负责，不可抗力因素除外。</w:t>
      </w:r>
    </w:p>
    <w:p>
      <w:pPr>
        <w:autoSpaceDE w:val="0"/>
        <w:autoSpaceDN w:val="0"/>
        <w:adjustRightInd w:val="0"/>
        <w:spacing w:line="360" w:lineRule="exact"/>
        <w:rPr>
          <w:rFonts w:ascii="宋体" w:hAnsi="宋体"/>
          <w:szCs w:val="21"/>
        </w:rPr>
      </w:pPr>
      <w:r>
        <w:rPr>
          <w:rFonts w:hint="eastAsia" w:ascii="宋体" w:hAnsi="宋体"/>
          <w:szCs w:val="21"/>
        </w:rPr>
        <w:t>4.公园草地灌木因行人踩踏，电瓶车等行驶、养护不当造成的缺损，补种费用由中标人负责。5.各设施设备按计划开启使用，开启计划报采购人备案。</w:t>
      </w:r>
    </w:p>
    <w:p>
      <w:pPr>
        <w:autoSpaceDE w:val="0"/>
        <w:autoSpaceDN w:val="0"/>
        <w:adjustRightInd w:val="0"/>
        <w:spacing w:line="360" w:lineRule="exact"/>
        <w:rPr>
          <w:rFonts w:hint="eastAsia" w:ascii="宋体" w:hAnsi="宋体"/>
          <w:szCs w:val="21"/>
        </w:rPr>
      </w:pPr>
      <w:r>
        <w:rPr>
          <w:rFonts w:hint="eastAsia" w:ascii="宋体" w:hAnsi="宋体"/>
          <w:szCs w:val="21"/>
        </w:rPr>
        <w:t>6.保洁和绿化养护按具体保洁和养护的面积结算，秩序维护和消控人员按岗位进行报价计算，今后采购人根据实际工作需要增加或减少相应内容时，根据投标报价按实调整。</w:t>
      </w:r>
    </w:p>
    <w:p>
      <w:pPr>
        <w:autoSpaceDE w:val="0"/>
        <w:autoSpaceDN w:val="0"/>
        <w:adjustRightInd w:val="0"/>
        <w:spacing w:line="360" w:lineRule="exact"/>
        <w:rPr>
          <w:rFonts w:hint="eastAsia" w:ascii="宋体" w:hAnsi="宋体"/>
          <w:szCs w:val="21"/>
        </w:rPr>
      </w:pPr>
      <w:r>
        <w:rPr>
          <w:rFonts w:hint="eastAsia" w:ascii="宋体" w:hAnsi="宋体"/>
          <w:szCs w:val="21"/>
        </w:rPr>
        <w:t>7.中</w:t>
      </w:r>
      <w:r>
        <w:rPr>
          <w:rFonts w:ascii="宋体" w:hAnsi="宋体"/>
          <w:szCs w:val="21"/>
        </w:rPr>
        <w:t>标人必须重视安全生产工作，确保</w:t>
      </w:r>
      <w:r>
        <w:rPr>
          <w:rFonts w:hint="eastAsia" w:ascii="宋体" w:hAnsi="宋体"/>
          <w:szCs w:val="21"/>
        </w:rPr>
        <w:t>合同期内</w:t>
      </w:r>
      <w:r>
        <w:rPr>
          <w:rFonts w:ascii="宋体" w:hAnsi="宋体"/>
          <w:szCs w:val="21"/>
        </w:rPr>
        <w:t>不出安全生产责任事故。如发</w:t>
      </w:r>
      <w:r>
        <w:rPr>
          <w:rFonts w:hint="eastAsia" w:ascii="宋体" w:hAnsi="宋体"/>
          <w:szCs w:val="21"/>
        </w:rPr>
        <w:t>生任何</w:t>
      </w:r>
      <w:r>
        <w:rPr>
          <w:rFonts w:ascii="宋体" w:hAnsi="宋体"/>
          <w:szCs w:val="21"/>
        </w:rPr>
        <w:t>安全生产责任事故，由</w:t>
      </w:r>
      <w:r>
        <w:rPr>
          <w:rFonts w:hint="eastAsia" w:ascii="宋体" w:hAnsi="宋体"/>
          <w:szCs w:val="21"/>
        </w:rPr>
        <w:t>中</w:t>
      </w:r>
      <w:r>
        <w:rPr>
          <w:rFonts w:ascii="宋体" w:hAnsi="宋体"/>
          <w:szCs w:val="21"/>
        </w:rPr>
        <w:t>标人承担一切责任及损失</w:t>
      </w:r>
      <w:r>
        <w:rPr>
          <w:rFonts w:hint="eastAsia" w:ascii="宋体" w:hAnsi="宋体"/>
          <w:szCs w:val="21"/>
        </w:rPr>
        <w:t>。</w:t>
      </w:r>
    </w:p>
    <w:p>
      <w:pPr>
        <w:autoSpaceDE w:val="0"/>
        <w:autoSpaceDN w:val="0"/>
        <w:adjustRightInd w:val="0"/>
        <w:spacing w:line="360" w:lineRule="exact"/>
        <w:rPr>
          <w:rFonts w:hint="eastAsia" w:ascii="宋体" w:hAnsi="宋体"/>
          <w:szCs w:val="21"/>
        </w:rPr>
      </w:pPr>
      <w:r>
        <w:rPr>
          <w:rFonts w:hint="eastAsia" w:ascii="宋体" w:hAnsi="宋体"/>
          <w:szCs w:val="21"/>
        </w:rPr>
        <w:t>8.本项目不接受联合体投标</w:t>
      </w:r>
      <w:r>
        <w:rPr>
          <w:rFonts w:ascii="宋体" w:hAnsi="宋体"/>
          <w:szCs w:val="21"/>
        </w:rPr>
        <w:t>，中标单位不得</w:t>
      </w:r>
      <w:r>
        <w:rPr>
          <w:rFonts w:hint="eastAsia" w:ascii="宋体" w:hAnsi="宋体"/>
          <w:szCs w:val="21"/>
        </w:rPr>
        <w:t>合</w:t>
      </w:r>
      <w:r>
        <w:rPr>
          <w:rFonts w:ascii="宋体" w:hAnsi="宋体"/>
          <w:szCs w:val="21"/>
        </w:rPr>
        <w:t>包、转包</w:t>
      </w:r>
      <w:r>
        <w:rPr>
          <w:rFonts w:hint="eastAsia" w:ascii="宋体" w:hAnsi="宋体"/>
          <w:szCs w:val="21"/>
        </w:rPr>
        <w:t>，未经采购单位允许，不得</w:t>
      </w:r>
      <w:r>
        <w:rPr>
          <w:rFonts w:ascii="宋体" w:hAnsi="宋体"/>
          <w:szCs w:val="21"/>
        </w:rPr>
        <w:t>分包</w:t>
      </w:r>
      <w:r>
        <w:rPr>
          <w:rFonts w:hint="eastAsia" w:ascii="宋体" w:hAnsi="宋体"/>
          <w:szCs w:val="21"/>
        </w:rPr>
        <w:t>。投标人不得借用他人资质或名义参与投标，一经发现且查实有上述行为的取消其投标资格并按照法律法规相关规定处理。投标人需在投标文件中对此项内容作出明确承诺。</w:t>
      </w:r>
    </w:p>
    <w:p>
      <w:pPr>
        <w:autoSpaceDE w:val="0"/>
        <w:autoSpaceDN w:val="0"/>
        <w:adjustRightInd w:val="0"/>
        <w:spacing w:line="360" w:lineRule="exact"/>
        <w:rPr>
          <w:rFonts w:hint="eastAsia" w:ascii="宋体" w:hAnsi="宋体"/>
          <w:szCs w:val="21"/>
        </w:rPr>
      </w:pPr>
      <w:r>
        <w:rPr>
          <w:rFonts w:hint="eastAsia" w:ascii="宋体" w:hAnsi="宋体"/>
          <w:szCs w:val="21"/>
        </w:rPr>
        <w:t>9.合同终止时，中标人应将所养护的各类设施完整地移交给采购人，如有损失，按设施原价在履约保证金及养护经费中扣减。</w:t>
      </w:r>
    </w:p>
    <w:p>
      <w:pPr>
        <w:autoSpaceDE w:val="0"/>
        <w:autoSpaceDN w:val="0"/>
        <w:adjustRightInd w:val="0"/>
        <w:spacing w:line="360" w:lineRule="exact"/>
        <w:rPr>
          <w:rFonts w:hint="eastAsia" w:ascii="宋体" w:hAnsi="宋体"/>
          <w:szCs w:val="21"/>
        </w:rPr>
      </w:pPr>
      <w:r>
        <w:rPr>
          <w:rFonts w:hint="eastAsia" w:ascii="宋体" w:hAnsi="宋体"/>
          <w:szCs w:val="21"/>
        </w:rPr>
        <w:t>10.合同履行期间，由于中标人养管不力（如偷盗等人为破坏行为）引起设施、设备等发生缺损的，中标人应予及时补齐或修复，并承担全部费用。特殊情况（如不可力抗因素导致）造成的损失由采购人与中标人协商解决。</w:t>
      </w:r>
    </w:p>
    <w:p>
      <w:pPr>
        <w:autoSpaceDE w:val="0"/>
        <w:autoSpaceDN w:val="0"/>
        <w:adjustRightInd w:val="0"/>
        <w:spacing w:line="360" w:lineRule="exact"/>
        <w:rPr>
          <w:rFonts w:hint="eastAsia" w:ascii="宋体" w:hAnsi="宋体"/>
          <w:szCs w:val="21"/>
        </w:rPr>
      </w:pPr>
      <w:r>
        <w:rPr>
          <w:rFonts w:hint="eastAsia" w:ascii="宋体" w:hAnsi="宋体"/>
          <w:szCs w:val="21"/>
        </w:rPr>
        <w:t>11.中标人聘用人员的劳务薪酬，食宿，养老、医保、工伤、失业等社保缴费由中标人全额承担，与采购人无经济联系。</w:t>
      </w:r>
    </w:p>
    <w:p>
      <w:pPr>
        <w:autoSpaceDE w:val="0"/>
        <w:autoSpaceDN w:val="0"/>
        <w:adjustRightInd w:val="0"/>
        <w:spacing w:line="360" w:lineRule="exact"/>
        <w:rPr>
          <w:rFonts w:hint="eastAsia" w:ascii="宋体" w:hAnsi="宋体"/>
          <w:szCs w:val="21"/>
        </w:rPr>
      </w:pPr>
      <w:r>
        <w:rPr>
          <w:rFonts w:hint="eastAsia" w:ascii="宋体" w:hAnsi="宋体"/>
          <w:szCs w:val="21"/>
        </w:rPr>
        <w:t>12.投标人须具有树木支撑铁支架不少于300个。</w:t>
      </w:r>
    </w:p>
    <w:p>
      <w:pPr>
        <w:autoSpaceDE w:val="0"/>
        <w:autoSpaceDN w:val="0"/>
        <w:adjustRightInd w:val="0"/>
        <w:spacing w:line="360" w:lineRule="exact"/>
        <w:rPr>
          <w:rFonts w:hint="eastAsia" w:ascii="宋体" w:hAnsi="宋体"/>
          <w:szCs w:val="21"/>
        </w:rPr>
      </w:pPr>
      <w:r>
        <w:rPr>
          <w:rFonts w:hint="eastAsia" w:ascii="宋体" w:hAnsi="宋体"/>
          <w:szCs w:val="21"/>
        </w:rPr>
        <w:t>13.绿化提升费暂定20万元/年，投标单位在报价中自行填报报价下浮率，结算价=绿化提升费审核价*（1-报价下浮率），结算按实调整，整个年度不超过20万元。</w:t>
      </w:r>
    </w:p>
    <w:p>
      <w:pPr>
        <w:autoSpaceDE w:val="0"/>
        <w:autoSpaceDN w:val="0"/>
        <w:adjustRightInd w:val="0"/>
        <w:spacing w:line="360" w:lineRule="exact"/>
        <w:rPr>
          <w:rFonts w:hint="eastAsia" w:ascii="宋体" w:hAnsi="宋体"/>
          <w:szCs w:val="21"/>
        </w:rPr>
      </w:pPr>
      <w:r>
        <w:rPr>
          <w:rFonts w:hint="eastAsia" w:ascii="宋体" w:hAnsi="宋体"/>
          <w:szCs w:val="21"/>
        </w:rPr>
        <w:t>14.消监控室的固定电话由中标人实施。</w:t>
      </w:r>
    </w:p>
    <w:p>
      <w:pPr>
        <w:autoSpaceDE w:val="0"/>
        <w:autoSpaceDN w:val="0"/>
        <w:adjustRightInd w:val="0"/>
        <w:spacing w:line="360" w:lineRule="exact"/>
        <w:rPr>
          <w:rFonts w:hint="eastAsia" w:ascii="宋体" w:hAnsi="宋体"/>
          <w:szCs w:val="21"/>
        </w:rPr>
      </w:pPr>
      <w:r>
        <w:rPr>
          <w:rFonts w:hint="eastAsia" w:ascii="宋体" w:hAnsi="宋体"/>
          <w:szCs w:val="21"/>
        </w:rPr>
        <w:t>15.建议配备200w及以上手持激光除锈机。</w:t>
      </w:r>
    </w:p>
    <w:p>
      <w:pPr>
        <w:autoSpaceDE w:val="0"/>
        <w:autoSpaceDN w:val="0"/>
        <w:adjustRightInd w:val="0"/>
        <w:spacing w:line="360" w:lineRule="exact"/>
        <w:rPr>
          <w:rFonts w:hint="eastAsia" w:ascii="宋体" w:hAnsi="宋体"/>
          <w:b/>
          <w:szCs w:val="21"/>
          <w:u w:val="single"/>
        </w:rPr>
      </w:pPr>
    </w:p>
    <w:p>
      <w:pPr>
        <w:autoSpaceDE w:val="0"/>
        <w:autoSpaceDN w:val="0"/>
        <w:adjustRightInd w:val="0"/>
        <w:spacing w:line="360" w:lineRule="exact"/>
        <w:rPr>
          <w:rFonts w:hint="eastAsia" w:ascii="宋体" w:hAnsi="宋体"/>
          <w:b/>
          <w:bCs/>
          <w:szCs w:val="21"/>
        </w:rPr>
      </w:pPr>
      <w:r>
        <w:rPr>
          <w:rFonts w:hint="eastAsia" w:ascii="宋体" w:hAnsi="宋体"/>
          <w:szCs w:val="21"/>
        </w:rPr>
        <w:br w:type="page"/>
      </w:r>
      <w:r>
        <w:rPr>
          <w:rFonts w:hint="eastAsia" w:ascii="宋体" w:hAnsi="宋体"/>
          <w:b/>
          <w:bCs/>
          <w:szCs w:val="21"/>
        </w:rPr>
        <w:t>五、考核标准及办法</w:t>
      </w:r>
    </w:p>
    <w:p>
      <w:pPr>
        <w:pStyle w:val="170"/>
      </w:pPr>
    </w:p>
    <w:p>
      <w:pPr>
        <w:spacing w:line="400" w:lineRule="exact"/>
        <w:ind w:firstLine="3654" w:firstLineChars="1300"/>
        <w:rPr>
          <w:rFonts w:hint="eastAsia" w:ascii="宋体" w:hAnsi="宋体"/>
          <w:b/>
          <w:sz w:val="28"/>
          <w:szCs w:val="24"/>
        </w:rPr>
      </w:pPr>
      <w:r>
        <w:rPr>
          <w:rFonts w:hint="eastAsia" w:ascii="宋体" w:hAnsi="宋体"/>
          <w:b/>
          <w:sz w:val="28"/>
          <w:szCs w:val="24"/>
        </w:rPr>
        <w:t>考核标准</w:t>
      </w:r>
    </w:p>
    <w:p>
      <w:pPr>
        <w:widowControl/>
        <w:ind w:firstLine="420" w:firstLineChars="200"/>
      </w:pPr>
      <w:r>
        <w:t>为了使慈溪慈溪市环杭州湾创新中心公共区域管理服务质量最大限度地满足社会公共需求，不断改善慈溪市环杭州湾创新中心环境质量。城市公共空间一体化管理服务质量考核分定期考核和不定期检查，不定期检查的扣分计入当月定期考核成绩，定期考核按月考核和按季度考核。</w:t>
      </w:r>
    </w:p>
    <w:p>
      <w:pPr>
        <w:widowControl/>
      </w:pPr>
      <w:r>
        <w:t>1.在对中标人进行定期和不定期考核过程中，中标人须无条件配合，否则当月考核按不合格处理。</w:t>
      </w:r>
    </w:p>
    <w:p>
      <w:pPr>
        <w:widowControl/>
        <w:rPr>
          <w:rFonts w:hint="eastAsia" w:ascii="宋体" w:hAnsi="宋体"/>
          <w:szCs w:val="21"/>
        </w:rPr>
      </w:pPr>
      <w:r>
        <w:t>2.定期考核前须由中标人相关品质管理部门根据考核细则及评分标准进行自评分，由具体考核人员签字并加盖中标单位公章，再向采购人递交考核申请。中标人需加强对项目部的管理品质督导，督导每季度不少于一次。</w:t>
      </w:r>
      <w:r>
        <w:rPr>
          <w:rFonts w:hint="eastAsia" w:ascii="宋体" w:hAnsi="宋体"/>
          <w:szCs w:val="21"/>
        </w:rPr>
        <w:t>采购人将督导服务工作情况纳入季度考核，公司督导服务次数不足，未进行季度督导的季度考核扣2分，督导流于形式，未对项目部的品质和服务质量进行全面检查的，采购人根据实际情况扣1-2分。督导工作应根据现场情况独立进行，应避免与采购人沟通反馈的形式作出督导结论。</w:t>
      </w:r>
    </w:p>
    <w:p>
      <w:pPr>
        <w:spacing w:line="400" w:lineRule="exact"/>
      </w:pPr>
      <w:r>
        <w:rPr>
          <w:rFonts w:hint="eastAsia" w:ascii="宋体" w:hAnsi="宋体"/>
          <w:szCs w:val="21"/>
        </w:rPr>
        <w:t>3.在慈溪市环杭州湾创新中心月度检查考核中，合格为80分，考核总分低于85分的，按考核要求发现问题每扣1分，扣人民币1000元，考核总分85分以上的，允许按时整改不扣罚，不能按时整改的，按上述标准扣罚；扣罚金额在季度服务款中统一扣除。</w:t>
      </w:r>
    </w:p>
    <w:p>
      <w:pPr>
        <w:spacing w:line="400" w:lineRule="exact"/>
        <w:rPr>
          <w:rFonts w:hint="eastAsia" w:ascii="宋体" w:hAnsi="宋体"/>
          <w:szCs w:val="21"/>
        </w:rPr>
      </w:pPr>
      <w:r>
        <w:rPr>
          <w:rFonts w:hint="eastAsia" w:ascii="宋体" w:hAnsi="宋体"/>
          <w:szCs w:val="21"/>
        </w:rPr>
        <w:t>4.季度考核合格标准为80分。低于80分的为不合格。暂停发放当季</w:t>
      </w:r>
      <w:r>
        <w:rPr>
          <w:rFonts w:hint="eastAsia" w:ascii="宋体" w:hAnsi="宋体"/>
          <w:b/>
          <w:szCs w:val="21"/>
        </w:rPr>
        <w:t>管理服务费</w:t>
      </w:r>
      <w:r>
        <w:rPr>
          <w:rFonts w:hint="eastAsia" w:ascii="宋体" w:hAnsi="宋体"/>
          <w:szCs w:val="21"/>
        </w:rPr>
        <w:t>。待问题项整改完成后发放并从中一次性扣罚</w:t>
      </w:r>
      <w:r>
        <w:rPr>
          <w:rFonts w:hint="eastAsia" w:ascii="宋体" w:hAnsi="宋体"/>
          <w:b/>
          <w:szCs w:val="21"/>
        </w:rPr>
        <w:t>拾万元。</w:t>
      </w:r>
    </w:p>
    <w:p>
      <w:pPr>
        <w:spacing w:line="400" w:lineRule="exact"/>
        <w:rPr>
          <w:rFonts w:hint="eastAsia" w:ascii="宋体" w:hAnsi="宋体"/>
          <w:szCs w:val="21"/>
        </w:rPr>
      </w:pPr>
      <w:r>
        <w:rPr>
          <w:rFonts w:hint="eastAsia" w:ascii="宋体" w:hAnsi="宋体"/>
          <w:szCs w:val="21"/>
        </w:rPr>
        <w:t>5.不管考核结果如何，检查中发现的问题均需按时整改，若不能按时整改完成，采购人将下发通知单函告整改，函告整改以二次为限，函告二次仍不能完成整改，则发包人有权</w:t>
      </w:r>
      <w:r>
        <w:rPr>
          <w:rFonts w:hint="eastAsia" w:ascii="宋体" w:hAnsi="宋体"/>
          <w:b/>
          <w:szCs w:val="21"/>
        </w:rPr>
        <w:t>解除合同，没收履约保证金，</w:t>
      </w:r>
      <w:r>
        <w:rPr>
          <w:rFonts w:hint="eastAsia" w:ascii="宋体" w:hAnsi="宋体"/>
          <w:szCs w:val="21"/>
        </w:rPr>
        <w:t>给采购人造成损失的，另行赔偿。</w:t>
      </w:r>
    </w:p>
    <w:p>
      <w:pPr>
        <w:spacing w:line="400" w:lineRule="exact"/>
        <w:rPr>
          <w:rFonts w:hint="eastAsia" w:ascii="宋体" w:hAnsi="宋体"/>
          <w:szCs w:val="21"/>
        </w:rPr>
      </w:pPr>
      <w:r>
        <w:rPr>
          <w:rFonts w:hint="eastAsia" w:ascii="宋体" w:hAnsi="宋体"/>
          <w:szCs w:val="21"/>
        </w:rPr>
        <w:t>6.季度考核得分=第1个月</w:t>
      </w:r>
      <w:r>
        <w:rPr>
          <w:rFonts w:ascii="Arial" w:hAnsi="Arial" w:cs="Arial"/>
          <w:szCs w:val="21"/>
        </w:rPr>
        <w:t>×</w:t>
      </w:r>
      <w:r>
        <w:rPr>
          <w:rFonts w:hint="eastAsia" w:ascii="宋体" w:hAnsi="宋体"/>
          <w:szCs w:val="21"/>
        </w:rPr>
        <w:t>30%+第2个月</w:t>
      </w:r>
      <w:r>
        <w:rPr>
          <w:rFonts w:ascii="Arial" w:hAnsi="Arial" w:cs="Arial"/>
          <w:szCs w:val="21"/>
        </w:rPr>
        <w:t>×</w:t>
      </w:r>
      <w:r>
        <w:rPr>
          <w:rFonts w:hint="eastAsia" w:ascii="宋体" w:hAnsi="宋体"/>
          <w:szCs w:val="21"/>
        </w:rPr>
        <w:t>30%+第3个月</w:t>
      </w:r>
      <w:r>
        <w:rPr>
          <w:rFonts w:ascii="Arial" w:hAnsi="Arial" w:cs="Arial"/>
          <w:szCs w:val="21"/>
        </w:rPr>
        <w:t>×</w:t>
      </w:r>
      <w:r>
        <w:rPr>
          <w:rFonts w:hint="eastAsia" w:ascii="宋体" w:hAnsi="宋体"/>
          <w:szCs w:val="21"/>
        </w:rPr>
        <w:t>40%-督导扣分。</w:t>
      </w:r>
    </w:p>
    <w:p>
      <w:pPr>
        <w:spacing w:line="400" w:lineRule="exact"/>
        <w:rPr>
          <w:rFonts w:hint="eastAsia" w:ascii="宋体" w:hAnsi="宋体"/>
          <w:szCs w:val="21"/>
        </w:rPr>
      </w:pPr>
      <w:r>
        <w:rPr>
          <w:rFonts w:hint="eastAsia" w:ascii="宋体" w:hAnsi="宋体"/>
          <w:szCs w:val="21"/>
        </w:rPr>
        <w:t>7.采购人续约必要条件：</w:t>
      </w:r>
    </w:p>
    <w:p>
      <w:pPr>
        <w:spacing w:line="400" w:lineRule="exact"/>
        <w:rPr>
          <w:rFonts w:ascii="宋体" w:hAnsi="宋体"/>
          <w:szCs w:val="21"/>
        </w:rPr>
      </w:pPr>
      <w:r>
        <w:rPr>
          <w:rFonts w:hint="eastAsia" w:ascii="宋体" w:hAnsi="宋体"/>
          <w:szCs w:val="21"/>
        </w:rPr>
        <w:t>a、</w:t>
      </w:r>
      <w:r>
        <w:rPr>
          <w:rFonts w:ascii="宋体" w:hAnsi="宋体"/>
          <w:szCs w:val="21"/>
        </w:rPr>
        <w:t>月考不合格的不多于1次，且能在规定时间内整改到位</w:t>
      </w:r>
      <w:r>
        <w:rPr>
          <w:rFonts w:hint="eastAsia" w:ascii="宋体" w:hAnsi="宋体"/>
          <w:szCs w:val="21"/>
        </w:rPr>
        <w:t>；</w:t>
      </w:r>
    </w:p>
    <w:p>
      <w:pPr>
        <w:spacing w:line="400" w:lineRule="exact"/>
        <w:rPr>
          <w:rFonts w:hint="eastAsia"/>
        </w:rPr>
        <w:sectPr>
          <w:pgSz w:w="11906" w:h="16838"/>
          <w:pgMar w:top="1440" w:right="1800" w:bottom="1440" w:left="1800" w:header="851" w:footer="992" w:gutter="0"/>
          <w:cols w:space="720" w:num="1"/>
          <w:docGrid w:type="lines" w:linePitch="381" w:charSpace="0"/>
        </w:sectPr>
      </w:pPr>
      <w:r>
        <w:rPr>
          <w:rFonts w:hint="eastAsia" w:ascii="宋体" w:hAnsi="宋体"/>
          <w:szCs w:val="21"/>
        </w:rPr>
        <w:t>b、</w:t>
      </w:r>
      <w:r>
        <w:rPr>
          <w:rFonts w:ascii="宋体" w:hAnsi="宋体"/>
          <w:szCs w:val="21"/>
        </w:rPr>
        <w:t>季度考核</w:t>
      </w:r>
      <w:r>
        <w:rPr>
          <w:rFonts w:hint="eastAsia" w:ascii="宋体" w:hAnsi="宋体"/>
          <w:szCs w:val="21"/>
        </w:rPr>
        <w:t>全部合格</w:t>
      </w:r>
      <w:r>
        <w:rPr>
          <w:rFonts w:ascii="宋体" w:hAnsi="宋体"/>
          <w:szCs w:val="21"/>
        </w:rPr>
        <w:t>。</w:t>
      </w:r>
    </w:p>
    <w:p>
      <w:pPr>
        <w:ind w:right="-307" w:rightChars="-146"/>
        <w:rPr>
          <w:rFonts w:hint="eastAsia" w:ascii="宋体" w:hAnsi="宋体"/>
          <w:b/>
          <w:sz w:val="24"/>
          <w:szCs w:val="24"/>
        </w:rPr>
      </w:pPr>
      <w:r>
        <w:rPr>
          <w:rFonts w:hint="eastAsia" w:ascii="宋体" w:hAnsi="宋体"/>
          <w:b/>
          <w:sz w:val="24"/>
          <w:szCs w:val="24"/>
        </w:rPr>
        <w:t>慈溪市环杭州湾创新中心城市公共空间一体化管理服务项目考核细则及评分标准</w:t>
      </w:r>
    </w:p>
    <w:tbl>
      <w:tblPr>
        <w:tblStyle w:val="44"/>
        <w:tblW w:w="96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988"/>
        <w:gridCol w:w="1359"/>
        <w:gridCol w:w="136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20" w:lineRule="exact"/>
              <w:jc w:val="center"/>
              <w:rPr>
                <w:rFonts w:hint="eastAsia" w:ascii="宋体" w:hAnsi="宋体"/>
                <w:b/>
                <w:sz w:val="20"/>
              </w:rPr>
            </w:pPr>
            <w:r>
              <w:rPr>
                <w:rFonts w:hint="eastAsia" w:ascii="宋体" w:hAnsi="宋体"/>
                <w:b/>
                <w:sz w:val="20"/>
              </w:rPr>
              <w:t>考核内容</w:t>
            </w:r>
          </w:p>
        </w:tc>
        <w:tc>
          <w:tcPr>
            <w:tcW w:w="2988" w:type="dxa"/>
            <w:noWrap w:val="0"/>
            <w:vAlign w:val="top"/>
          </w:tcPr>
          <w:p>
            <w:pPr>
              <w:spacing w:line="320" w:lineRule="exact"/>
              <w:jc w:val="center"/>
              <w:rPr>
                <w:rFonts w:hint="eastAsia" w:ascii="宋体" w:hAnsi="宋体"/>
                <w:b/>
                <w:sz w:val="20"/>
              </w:rPr>
            </w:pPr>
            <w:r>
              <w:rPr>
                <w:rFonts w:hint="eastAsia" w:ascii="宋体" w:hAnsi="宋体"/>
                <w:b/>
                <w:sz w:val="20"/>
              </w:rPr>
              <w:t>考核评分办法</w:t>
            </w:r>
          </w:p>
        </w:tc>
        <w:tc>
          <w:tcPr>
            <w:tcW w:w="1359" w:type="dxa"/>
            <w:noWrap w:val="0"/>
            <w:vAlign w:val="top"/>
          </w:tcPr>
          <w:p>
            <w:pPr>
              <w:spacing w:line="320" w:lineRule="exact"/>
              <w:jc w:val="center"/>
              <w:rPr>
                <w:rFonts w:hint="eastAsia" w:ascii="宋体" w:hAnsi="宋体"/>
                <w:b/>
                <w:sz w:val="20"/>
              </w:rPr>
            </w:pPr>
            <w:r>
              <w:rPr>
                <w:rFonts w:hint="eastAsia" w:ascii="宋体" w:hAnsi="宋体"/>
                <w:b/>
                <w:sz w:val="20"/>
              </w:rPr>
              <w:t>标准分</w:t>
            </w:r>
          </w:p>
        </w:tc>
        <w:tc>
          <w:tcPr>
            <w:tcW w:w="1362" w:type="dxa"/>
            <w:noWrap w:val="0"/>
            <w:vAlign w:val="top"/>
          </w:tcPr>
          <w:p>
            <w:pPr>
              <w:spacing w:line="320" w:lineRule="exact"/>
              <w:jc w:val="center"/>
              <w:rPr>
                <w:rFonts w:ascii="宋体" w:hAnsi="宋体"/>
                <w:b/>
                <w:sz w:val="20"/>
              </w:rPr>
            </w:pPr>
            <w:r>
              <w:rPr>
                <w:rFonts w:hint="eastAsia" w:ascii="宋体" w:hAnsi="宋体"/>
                <w:b/>
                <w:sz w:val="20"/>
              </w:rPr>
              <w:t>公司自评</w:t>
            </w:r>
          </w:p>
        </w:tc>
        <w:tc>
          <w:tcPr>
            <w:tcW w:w="1350" w:type="dxa"/>
            <w:noWrap w:val="0"/>
            <w:vAlign w:val="top"/>
          </w:tcPr>
          <w:p>
            <w:pPr>
              <w:spacing w:line="320" w:lineRule="exact"/>
              <w:jc w:val="center"/>
              <w:rPr>
                <w:rFonts w:hint="eastAsia" w:ascii="宋体" w:hAnsi="宋体"/>
                <w:b/>
                <w:sz w:val="20"/>
              </w:rPr>
            </w:pPr>
            <w:r>
              <w:rPr>
                <w:rFonts w:hint="eastAsia" w:ascii="宋体" w:hAnsi="宋体"/>
                <w:b/>
                <w:sz w:val="20"/>
              </w:rPr>
              <w:t>业主考核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2"/>
            <w:noWrap w:val="0"/>
            <w:vAlign w:val="top"/>
          </w:tcPr>
          <w:p>
            <w:pPr>
              <w:spacing w:line="320" w:lineRule="exact"/>
              <w:jc w:val="center"/>
              <w:rPr>
                <w:rFonts w:hint="eastAsia" w:ascii="宋体" w:hAnsi="宋体"/>
                <w:b/>
                <w:sz w:val="20"/>
              </w:rPr>
            </w:pPr>
            <w:r>
              <w:rPr>
                <w:rFonts w:hint="eastAsia" w:ascii="宋体" w:hAnsi="宋体"/>
                <w:b/>
                <w:sz w:val="20"/>
              </w:rPr>
              <w:t>一、综合安全管理</w:t>
            </w:r>
          </w:p>
        </w:tc>
        <w:tc>
          <w:tcPr>
            <w:tcW w:w="1359" w:type="dxa"/>
            <w:noWrap w:val="0"/>
            <w:vAlign w:val="top"/>
          </w:tcPr>
          <w:p>
            <w:pPr>
              <w:spacing w:line="320" w:lineRule="exact"/>
              <w:jc w:val="center"/>
              <w:rPr>
                <w:rFonts w:ascii="宋体" w:hAnsi="宋体"/>
                <w:b/>
                <w:sz w:val="20"/>
              </w:rPr>
            </w:pPr>
            <w:r>
              <w:rPr>
                <w:rFonts w:hint="eastAsia" w:ascii="宋体" w:hAnsi="宋体"/>
                <w:b/>
                <w:sz w:val="20"/>
              </w:rPr>
              <w:t>23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1、消控中心实行24小时值班制，配备专职岗位人员，并持合格的上岗证书（上墙张贴）。</w:t>
            </w:r>
          </w:p>
        </w:tc>
        <w:tc>
          <w:tcPr>
            <w:tcW w:w="2988" w:type="dxa"/>
            <w:noWrap w:val="0"/>
            <w:vAlign w:val="top"/>
          </w:tcPr>
          <w:p>
            <w:pPr>
              <w:spacing w:line="300" w:lineRule="exact"/>
              <w:rPr>
                <w:rFonts w:hint="eastAsia" w:ascii="宋体" w:hAnsi="宋体"/>
                <w:sz w:val="20"/>
              </w:rPr>
            </w:pPr>
            <w:r>
              <w:rPr>
                <w:rFonts w:hint="eastAsia" w:ascii="宋体" w:hAnsi="宋体"/>
                <w:sz w:val="20"/>
              </w:rPr>
              <w:t>检查</w:t>
            </w:r>
            <w:r>
              <w:rPr>
                <w:rFonts w:hint="eastAsia" w:ascii="宋体" w:hAnsi="宋体"/>
                <w:sz w:val="20"/>
                <w:szCs w:val="22"/>
              </w:rPr>
              <w:t>值班情况，核</w:t>
            </w:r>
            <w:r>
              <w:rPr>
                <w:rFonts w:hint="eastAsia" w:ascii="宋体" w:hAnsi="宋体"/>
                <w:sz w:val="20"/>
              </w:rPr>
              <w:t>对人证是否相符，不符合的每处扣0.5分，</w:t>
            </w:r>
          </w:p>
          <w:p>
            <w:pPr>
              <w:spacing w:line="300" w:lineRule="exact"/>
              <w:rPr>
                <w:rFonts w:hint="eastAsia" w:ascii="宋体" w:hAnsi="宋体"/>
                <w:sz w:val="20"/>
              </w:rPr>
            </w:pPr>
            <w:r>
              <w:rPr>
                <w:rFonts w:hint="eastAsia" w:ascii="宋体" w:hAnsi="宋体"/>
                <w:sz w:val="20"/>
              </w:rPr>
              <w:t>检查应知应会，每发现一处不符扣0.5分；扣完为止；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2、消控中心应有交接班记录和值班日记录，明确岗位责任制及操作流程。</w:t>
            </w:r>
          </w:p>
        </w:tc>
        <w:tc>
          <w:tcPr>
            <w:tcW w:w="2988" w:type="dxa"/>
            <w:noWrap w:val="0"/>
            <w:vAlign w:val="top"/>
          </w:tcPr>
          <w:p>
            <w:pPr>
              <w:spacing w:line="300" w:lineRule="exact"/>
              <w:rPr>
                <w:rFonts w:hint="eastAsia" w:ascii="宋体" w:hAnsi="宋体"/>
                <w:sz w:val="20"/>
              </w:rPr>
            </w:pPr>
            <w:r>
              <w:rPr>
                <w:rFonts w:hint="eastAsia" w:ascii="宋体" w:hAnsi="宋体"/>
                <w:sz w:val="20"/>
              </w:rPr>
              <w:t>记录不齐全，岗位责任制及操作流程未上墙每处扣0.5分，扣完为止；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6" w:type="dxa"/>
            <w:vMerge w:val="restart"/>
            <w:noWrap w:val="0"/>
            <w:vAlign w:val="center"/>
          </w:tcPr>
          <w:p>
            <w:pPr>
              <w:spacing w:line="300" w:lineRule="exact"/>
              <w:rPr>
                <w:rFonts w:hint="eastAsia" w:ascii="宋体" w:hAnsi="宋体"/>
                <w:sz w:val="20"/>
              </w:rPr>
            </w:pPr>
            <w:r>
              <w:rPr>
                <w:rFonts w:hint="eastAsia" w:ascii="宋体" w:hAnsi="宋体"/>
                <w:sz w:val="20"/>
              </w:rPr>
              <w:t>3、建立有量足质优的专业安保队伍，岗位职责明确，实行24小时值班及户内外巡查制度，日常秩序维护良好；</w:t>
            </w:r>
          </w:p>
        </w:tc>
        <w:tc>
          <w:tcPr>
            <w:tcW w:w="2988" w:type="dxa"/>
            <w:noWrap w:val="0"/>
            <w:vAlign w:val="top"/>
          </w:tcPr>
          <w:p>
            <w:pPr>
              <w:spacing w:line="300" w:lineRule="exact"/>
              <w:rPr>
                <w:rFonts w:hint="eastAsia" w:ascii="宋体" w:hAnsi="宋体"/>
                <w:sz w:val="20"/>
              </w:rPr>
            </w:pPr>
            <w:r>
              <w:rPr>
                <w:rFonts w:hint="eastAsia" w:ascii="宋体" w:hAnsi="宋体"/>
                <w:sz w:val="20"/>
              </w:rPr>
              <w:t>提供保安执勤排班计划，报业主方备案。未提供或计划有调整不备案的，扣1分。人员素质条件不符合要求的，每处扣0.5分；扣完为止；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4</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556" w:type="dxa"/>
            <w:vMerge w:val="continue"/>
            <w:noWrap w:val="0"/>
            <w:vAlign w:val="top"/>
          </w:tcPr>
          <w:p>
            <w:pPr>
              <w:spacing w:line="300" w:lineRule="exact"/>
              <w:rPr>
                <w:rFonts w:hint="eastAsia" w:ascii="宋体" w:hAnsi="宋体"/>
                <w:sz w:val="20"/>
              </w:rPr>
            </w:pPr>
          </w:p>
        </w:tc>
        <w:tc>
          <w:tcPr>
            <w:tcW w:w="2988" w:type="dxa"/>
            <w:noWrap w:val="0"/>
            <w:vAlign w:val="top"/>
          </w:tcPr>
          <w:p>
            <w:pPr>
              <w:spacing w:line="300" w:lineRule="exact"/>
              <w:rPr>
                <w:rFonts w:hint="eastAsia" w:ascii="宋体" w:hAnsi="宋体"/>
                <w:sz w:val="20"/>
              </w:rPr>
            </w:pPr>
            <w:r>
              <w:rPr>
                <w:rFonts w:hint="eastAsia" w:ascii="宋体" w:hAnsi="宋体"/>
                <w:sz w:val="20"/>
              </w:rPr>
              <w:t>日常检查，消控室固定岗脱岗或干其他无关工作的，每处扣0.5分，其他固定岗脱岗，每处扣0.2分，现场秩序管理不到位的，每处扣0.5分；扣完为止；</w:t>
            </w:r>
          </w:p>
        </w:tc>
        <w:tc>
          <w:tcPr>
            <w:tcW w:w="1359" w:type="dxa"/>
            <w:noWrap w:val="0"/>
            <w:vAlign w:val="center"/>
          </w:tcPr>
          <w:p>
            <w:pPr>
              <w:spacing w:line="320" w:lineRule="exact"/>
              <w:jc w:val="center"/>
              <w:rPr>
                <w:rFonts w:ascii="宋体" w:hAnsi="宋体"/>
                <w:sz w:val="20"/>
              </w:rPr>
            </w:pPr>
            <w:r>
              <w:rPr>
                <w:rFonts w:hint="eastAsia" w:ascii="宋体" w:hAnsi="宋体"/>
                <w:sz w:val="20"/>
              </w:rPr>
              <w:t>5</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4、建立应急处理的设备、器材、防护、施救物品的储备中心。</w:t>
            </w:r>
          </w:p>
        </w:tc>
        <w:tc>
          <w:tcPr>
            <w:tcW w:w="2988" w:type="dxa"/>
            <w:noWrap w:val="0"/>
            <w:vAlign w:val="top"/>
          </w:tcPr>
          <w:p>
            <w:pPr>
              <w:spacing w:line="300" w:lineRule="exact"/>
              <w:rPr>
                <w:rFonts w:hint="eastAsia" w:ascii="宋体" w:hAnsi="宋体"/>
                <w:sz w:val="20"/>
              </w:rPr>
            </w:pPr>
            <w:r>
              <w:rPr>
                <w:rFonts w:hint="eastAsia" w:ascii="宋体" w:hAnsi="宋体"/>
                <w:sz w:val="20"/>
              </w:rPr>
              <w:t>储备中心未建立的扣2分；</w:t>
            </w:r>
          </w:p>
          <w:p>
            <w:pPr>
              <w:spacing w:line="300" w:lineRule="exact"/>
              <w:rPr>
                <w:rFonts w:hint="eastAsia" w:ascii="宋体" w:hAnsi="宋体"/>
                <w:sz w:val="20"/>
              </w:rPr>
            </w:pPr>
            <w:r>
              <w:rPr>
                <w:rFonts w:hint="eastAsia" w:ascii="宋体" w:hAnsi="宋体"/>
                <w:sz w:val="20"/>
              </w:rPr>
              <w:t>应急处理的设备、器材、防护、施救物品不齐的，每发现一处扣0.5分，扣完为止；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6、建立一整套安全管理资料和日常安全监管工作台账。</w:t>
            </w:r>
          </w:p>
        </w:tc>
        <w:tc>
          <w:tcPr>
            <w:tcW w:w="2988" w:type="dxa"/>
            <w:noWrap w:val="0"/>
            <w:vAlign w:val="top"/>
          </w:tcPr>
          <w:p>
            <w:pPr>
              <w:spacing w:line="300" w:lineRule="exact"/>
              <w:rPr>
                <w:rFonts w:hint="eastAsia" w:ascii="宋体" w:hAnsi="宋体"/>
                <w:sz w:val="20"/>
              </w:rPr>
            </w:pPr>
            <w:r>
              <w:rPr>
                <w:rFonts w:hint="eastAsia" w:ascii="宋体" w:hAnsi="宋体"/>
                <w:sz w:val="20"/>
              </w:rPr>
              <w:t>安全监管方案经公司审批后，报业主方备案。未按安全监管要求落实的，每发现一处扣0.2分；</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7、半年开展1次综合性及单项安全演练和培训，有书面和图片记录存档。</w:t>
            </w:r>
          </w:p>
        </w:tc>
        <w:tc>
          <w:tcPr>
            <w:tcW w:w="2988" w:type="dxa"/>
            <w:noWrap w:val="0"/>
            <w:vAlign w:val="top"/>
          </w:tcPr>
          <w:p>
            <w:pPr>
              <w:spacing w:line="300" w:lineRule="exact"/>
              <w:rPr>
                <w:rFonts w:hint="eastAsia" w:ascii="宋体" w:hAnsi="宋体"/>
                <w:sz w:val="20"/>
              </w:rPr>
            </w:pPr>
            <w:r>
              <w:rPr>
                <w:rFonts w:hint="eastAsia" w:ascii="宋体" w:hAnsi="宋体"/>
                <w:sz w:val="20"/>
              </w:rPr>
              <w:t>综合性安全演练及单项安全演练方案经公司审批后，报业主方备案。未按演练方案落实的，每次扣1分；扣完为止；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8、联合辖区城管、交管，做好公共区域内停车秩序管理工作，按规定有序停放。</w:t>
            </w:r>
          </w:p>
        </w:tc>
        <w:tc>
          <w:tcPr>
            <w:tcW w:w="2988" w:type="dxa"/>
            <w:noWrap w:val="0"/>
            <w:vAlign w:val="top"/>
          </w:tcPr>
          <w:p>
            <w:pPr>
              <w:spacing w:line="300" w:lineRule="exact"/>
              <w:rPr>
                <w:rFonts w:hint="eastAsia" w:ascii="宋体" w:hAnsi="宋体"/>
                <w:sz w:val="20"/>
              </w:rPr>
            </w:pPr>
            <w:r>
              <w:rPr>
                <w:rFonts w:hint="eastAsia" w:ascii="宋体" w:hAnsi="宋体"/>
                <w:sz w:val="20"/>
              </w:rPr>
              <w:t>现场实地检查，非机动车不按规定摆放的，每发现一辆扣0.1分；机动车不按规定停放的，每辆扣0.2分，扣完为止；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2"/>
            <w:noWrap w:val="0"/>
            <w:vAlign w:val="top"/>
          </w:tcPr>
          <w:p>
            <w:pPr>
              <w:spacing w:line="320" w:lineRule="exact"/>
              <w:jc w:val="center"/>
              <w:rPr>
                <w:rFonts w:hint="eastAsia" w:ascii="宋体" w:hAnsi="宋体"/>
                <w:b/>
                <w:sz w:val="20"/>
              </w:rPr>
            </w:pPr>
            <w:r>
              <w:rPr>
                <w:rFonts w:hint="eastAsia" w:ascii="宋体" w:hAnsi="宋体"/>
                <w:b/>
                <w:sz w:val="20"/>
              </w:rPr>
              <w:t>二、环境秩序管理</w:t>
            </w:r>
          </w:p>
        </w:tc>
        <w:tc>
          <w:tcPr>
            <w:tcW w:w="1359" w:type="dxa"/>
            <w:noWrap w:val="0"/>
            <w:vAlign w:val="top"/>
          </w:tcPr>
          <w:p>
            <w:pPr>
              <w:spacing w:line="320" w:lineRule="exact"/>
              <w:jc w:val="center"/>
              <w:rPr>
                <w:rFonts w:ascii="宋体" w:hAnsi="宋体"/>
                <w:b/>
                <w:sz w:val="20"/>
              </w:rPr>
            </w:pPr>
            <w:r>
              <w:rPr>
                <w:rFonts w:hint="eastAsia" w:ascii="宋体" w:hAnsi="宋体"/>
                <w:b/>
                <w:sz w:val="20"/>
              </w:rPr>
              <w:t>20</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1、按时开展保洁工作,垃圾规范清运</w:t>
            </w:r>
          </w:p>
        </w:tc>
        <w:tc>
          <w:tcPr>
            <w:tcW w:w="2988" w:type="dxa"/>
            <w:noWrap w:val="0"/>
            <w:vAlign w:val="top"/>
          </w:tcPr>
          <w:p>
            <w:pPr>
              <w:spacing w:line="300" w:lineRule="exact"/>
              <w:rPr>
                <w:rFonts w:hint="eastAsia" w:ascii="宋体" w:hAnsi="宋体"/>
                <w:sz w:val="20"/>
              </w:rPr>
            </w:pPr>
            <w:r>
              <w:rPr>
                <w:rFonts w:hint="eastAsia" w:ascii="宋体" w:hAnsi="宋体"/>
                <w:sz w:val="20"/>
              </w:rPr>
              <w:t>不符合要求的，每次扣0.5分；扣完为止；</w:t>
            </w:r>
          </w:p>
        </w:tc>
        <w:tc>
          <w:tcPr>
            <w:tcW w:w="1359" w:type="dxa"/>
            <w:noWrap w:val="0"/>
            <w:vAlign w:val="center"/>
          </w:tcPr>
          <w:p>
            <w:pPr>
              <w:spacing w:line="320" w:lineRule="exact"/>
              <w:jc w:val="center"/>
              <w:rPr>
                <w:rFonts w:ascii="宋体" w:hAnsi="宋体"/>
                <w:b/>
                <w:sz w:val="20"/>
              </w:rPr>
            </w:pPr>
            <w:r>
              <w:rPr>
                <w:rFonts w:hint="eastAsia" w:ascii="宋体" w:hAnsi="宋体"/>
                <w:bCs/>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2、保持公共区域整洁有序，垃圾箱日产日清（垃圾箱内设垃圾袋），环卫设施维护良好，无小广告等城市牛皮癣现象。</w:t>
            </w:r>
          </w:p>
        </w:tc>
        <w:tc>
          <w:tcPr>
            <w:tcW w:w="2988" w:type="dxa"/>
            <w:noWrap w:val="0"/>
            <w:vAlign w:val="top"/>
          </w:tcPr>
          <w:p>
            <w:pPr>
              <w:spacing w:line="300" w:lineRule="exact"/>
              <w:rPr>
                <w:rFonts w:hint="eastAsia" w:ascii="宋体" w:hAnsi="宋体"/>
                <w:sz w:val="20"/>
              </w:rPr>
            </w:pPr>
            <w:r>
              <w:rPr>
                <w:rFonts w:hint="eastAsia" w:ascii="宋体" w:hAnsi="宋体"/>
                <w:sz w:val="20"/>
              </w:rPr>
              <w:t>不整洁的，每处扣0.2分，垃圾箱清理不及时，未设置垃圾袋的，每处扣0.2分，环卫设施维护不到位，不符合的每处扣0.2分，存在小广告等城市牛皮癣现象，每处扣0.2分，扣完为止；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56" w:type="dxa"/>
            <w:noWrap w:val="0"/>
            <w:vAlign w:val="top"/>
          </w:tcPr>
          <w:p>
            <w:pPr>
              <w:spacing w:line="300" w:lineRule="exact"/>
              <w:rPr>
                <w:rFonts w:ascii="宋体" w:hAnsi="宋体"/>
                <w:sz w:val="20"/>
              </w:rPr>
            </w:pPr>
            <w:r>
              <w:rPr>
                <w:rFonts w:hint="eastAsia" w:ascii="宋体" w:hAnsi="宋体"/>
                <w:sz w:val="20"/>
              </w:rPr>
              <w:t>3、地下室保持干燥，防止地面潮湿。</w:t>
            </w:r>
          </w:p>
        </w:tc>
        <w:tc>
          <w:tcPr>
            <w:tcW w:w="2988" w:type="dxa"/>
            <w:noWrap w:val="0"/>
            <w:vAlign w:val="top"/>
          </w:tcPr>
          <w:p>
            <w:pPr>
              <w:spacing w:line="300" w:lineRule="exact"/>
              <w:rPr>
                <w:rFonts w:hint="eastAsia" w:ascii="宋体" w:hAnsi="宋体"/>
                <w:sz w:val="20"/>
              </w:rPr>
            </w:pPr>
            <w:r>
              <w:rPr>
                <w:rFonts w:hint="eastAsia" w:ascii="宋体" w:hAnsi="宋体"/>
                <w:sz w:val="20"/>
              </w:rPr>
              <w:t>除雨天或梅雨季节特殊情况外，地下室地面潮湿，按每100平方扣0.5分；扣完为止；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4、做到文明作业，不得将垃圾、污水溅到行人身上或扫入绿化带、河道、窨井内。</w:t>
            </w:r>
          </w:p>
        </w:tc>
        <w:tc>
          <w:tcPr>
            <w:tcW w:w="2988" w:type="dxa"/>
            <w:noWrap w:val="0"/>
            <w:vAlign w:val="top"/>
          </w:tcPr>
          <w:p>
            <w:pPr>
              <w:spacing w:line="300" w:lineRule="exact"/>
              <w:rPr>
                <w:rFonts w:hint="eastAsia" w:ascii="宋体" w:hAnsi="宋体"/>
                <w:sz w:val="20"/>
              </w:rPr>
            </w:pPr>
            <w:r>
              <w:rPr>
                <w:rFonts w:hint="eastAsia" w:ascii="宋体" w:hAnsi="宋体"/>
                <w:sz w:val="20"/>
              </w:rPr>
              <w:t>每发现一处扣0.5分；扣完为止；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1</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5、保持区域河道、水景、喷泉及周围区域的环境整洁，不得有白色垃圾，青苔、绿藻等浮生植物，水景池内每季度至少换水一次；</w:t>
            </w:r>
          </w:p>
        </w:tc>
        <w:tc>
          <w:tcPr>
            <w:tcW w:w="2988" w:type="dxa"/>
            <w:noWrap w:val="0"/>
            <w:vAlign w:val="top"/>
          </w:tcPr>
          <w:p>
            <w:pPr>
              <w:spacing w:line="300" w:lineRule="exact"/>
              <w:rPr>
                <w:rFonts w:hint="eastAsia" w:ascii="宋体" w:hAnsi="宋体"/>
                <w:sz w:val="20"/>
              </w:rPr>
            </w:pPr>
            <w:r>
              <w:rPr>
                <w:rFonts w:hint="eastAsia" w:ascii="宋体" w:hAnsi="宋体"/>
                <w:sz w:val="20"/>
              </w:rPr>
              <w:t>不符合要求的，每项扣0.5分；扣完为止；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6、保洁车辆（容器）保持完好整洁；</w:t>
            </w:r>
          </w:p>
        </w:tc>
        <w:tc>
          <w:tcPr>
            <w:tcW w:w="2988" w:type="dxa"/>
            <w:noWrap w:val="0"/>
            <w:vAlign w:val="top"/>
          </w:tcPr>
          <w:p>
            <w:pPr>
              <w:spacing w:line="300" w:lineRule="exact"/>
              <w:rPr>
                <w:rFonts w:hint="eastAsia" w:ascii="宋体" w:hAnsi="宋体"/>
                <w:sz w:val="20"/>
              </w:rPr>
            </w:pPr>
            <w:r>
              <w:rPr>
                <w:rFonts w:hint="eastAsia" w:ascii="宋体" w:hAnsi="宋体"/>
                <w:sz w:val="20"/>
              </w:rPr>
              <w:t>不符合要求的，每项扣0.2分；扣完为止；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1</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7、上岗人员按规定穿戴工作服，安全帽、仪容整洁。</w:t>
            </w:r>
          </w:p>
        </w:tc>
        <w:tc>
          <w:tcPr>
            <w:tcW w:w="2988" w:type="dxa"/>
            <w:noWrap w:val="0"/>
            <w:vAlign w:val="top"/>
          </w:tcPr>
          <w:p>
            <w:pPr>
              <w:spacing w:line="300" w:lineRule="exact"/>
              <w:rPr>
                <w:rFonts w:hint="eastAsia" w:ascii="宋体" w:hAnsi="宋体"/>
                <w:sz w:val="20"/>
              </w:rPr>
            </w:pPr>
            <w:r>
              <w:rPr>
                <w:rFonts w:hint="eastAsia" w:ascii="宋体" w:hAnsi="宋体"/>
                <w:sz w:val="20"/>
              </w:rPr>
              <w:t>未穿戴工作服，安全帽，每发现一处，扣0.2分；扣完为止；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b/>
                <w:sz w:val="20"/>
              </w:rPr>
            </w:pPr>
            <w:r>
              <w:rPr>
                <w:rFonts w:hint="eastAsia" w:ascii="宋体" w:hAnsi="宋体" w:cs="仿宋_GB2312"/>
                <w:sz w:val="20"/>
              </w:rPr>
              <w:t>8、按照文明城市创建要求，开展公共厕所、公园绿地、停车场、人行道等的管理。</w:t>
            </w:r>
          </w:p>
        </w:tc>
        <w:tc>
          <w:tcPr>
            <w:tcW w:w="2988" w:type="dxa"/>
            <w:noWrap w:val="0"/>
            <w:vAlign w:val="top"/>
          </w:tcPr>
          <w:p>
            <w:pPr>
              <w:spacing w:line="300" w:lineRule="exact"/>
              <w:rPr>
                <w:rFonts w:hint="eastAsia" w:ascii="宋体" w:hAnsi="宋体"/>
                <w:sz w:val="20"/>
              </w:rPr>
            </w:pPr>
            <w:r>
              <w:rPr>
                <w:rFonts w:hint="eastAsia" w:ascii="宋体" w:hAnsi="宋体"/>
                <w:sz w:val="20"/>
              </w:rPr>
              <w:t>不符合要求的，每项扣0.5分；扣完为止；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5</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4" w:type="dxa"/>
            <w:gridSpan w:val="2"/>
            <w:noWrap w:val="0"/>
            <w:vAlign w:val="top"/>
          </w:tcPr>
          <w:p>
            <w:pPr>
              <w:spacing w:line="320" w:lineRule="exact"/>
              <w:jc w:val="center"/>
              <w:rPr>
                <w:rFonts w:hint="eastAsia" w:ascii="宋体" w:hAnsi="宋体"/>
                <w:b/>
                <w:sz w:val="20"/>
              </w:rPr>
            </w:pPr>
            <w:r>
              <w:rPr>
                <w:rFonts w:hint="eastAsia" w:ascii="宋体" w:hAnsi="宋体"/>
                <w:b/>
                <w:sz w:val="20"/>
              </w:rPr>
              <w:t>三、公共设施管理</w:t>
            </w:r>
          </w:p>
        </w:tc>
        <w:tc>
          <w:tcPr>
            <w:tcW w:w="1359" w:type="dxa"/>
            <w:noWrap w:val="0"/>
            <w:vAlign w:val="top"/>
          </w:tcPr>
          <w:p>
            <w:pPr>
              <w:spacing w:line="320" w:lineRule="exact"/>
              <w:jc w:val="center"/>
              <w:rPr>
                <w:rFonts w:ascii="宋体" w:hAnsi="宋体"/>
                <w:b/>
                <w:sz w:val="20"/>
              </w:rPr>
            </w:pPr>
            <w:r>
              <w:rPr>
                <w:rFonts w:hint="eastAsia" w:ascii="宋体" w:hAnsi="宋体"/>
                <w:b/>
                <w:sz w:val="20"/>
              </w:rPr>
              <w:t>20</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b/>
                <w:sz w:val="20"/>
              </w:rPr>
            </w:pPr>
            <w:r>
              <w:rPr>
                <w:rFonts w:hint="eastAsia" w:ascii="宋体" w:hAnsi="宋体" w:cs="仿宋_GB2312"/>
                <w:sz w:val="20"/>
              </w:rPr>
              <w:t>1、保持公共设施完好。破损处及时修复；如有损坏及时汇报；</w:t>
            </w:r>
          </w:p>
        </w:tc>
        <w:tc>
          <w:tcPr>
            <w:tcW w:w="2988" w:type="dxa"/>
            <w:noWrap w:val="0"/>
            <w:vAlign w:val="top"/>
          </w:tcPr>
          <w:p>
            <w:pPr>
              <w:spacing w:line="300" w:lineRule="exact"/>
              <w:rPr>
                <w:rFonts w:hint="eastAsia" w:ascii="宋体" w:hAnsi="宋体"/>
                <w:sz w:val="20"/>
              </w:rPr>
            </w:pPr>
            <w:r>
              <w:rPr>
                <w:rFonts w:hint="eastAsia" w:ascii="宋体" w:hAnsi="宋体"/>
                <w:sz w:val="20"/>
              </w:rPr>
              <w:t>未及时报告及修复的，每发现一处扣0.5分，扣完为止；</w:t>
            </w:r>
          </w:p>
          <w:p>
            <w:pPr>
              <w:pStyle w:val="170"/>
              <w:rPr>
                <w:rFonts w:hint="eastAsia"/>
              </w:rPr>
            </w:pP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5</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2、按计划开展各类设施设备的维保、年检工作；</w:t>
            </w:r>
          </w:p>
        </w:tc>
        <w:tc>
          <w:tcPr>
            <w:tcW w:w="2988" w:type="dxa"/>
            <w:noWrap w:val="0"/>
            <w:vAlign w:val="top"/>
          </w:tcPr>
          <w:p>
            <w:pPr>
              <w:spacing w:line="300" w:lineRule="exact"/>
              <w:rPr>
                <w:rFonts w:hint="eastAsia" w:ascii="宋体" w:hAnsi="宋体"/>
                <w:sz w:val="20"/>
              </w:rPr>
            </w:pPr>
            <w:r>
              <w:rPr>
                <w:rFonts w:hint="eastAsia" w:ascii="宋体" w:hAnsi="宋体"/>
                <w:sz w:val="20"/>
              </w:rPr>
              <w:t>各类设施设备维保计划经公司审批，报业主方备案，维保及年检工作按计划实施到位，不符合的每处扣0.5分；扣完为止；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b/>
                <w:sz w:val="20"/>
              </w:rPr>
            </w:pPr>
            <w:r>
              <w:rPr>
                <w:rFonts w:hint="eastAsia" w:ascii="宋体" w:hAnsi="宋体"/>
                <w:sz w:val="20"/>
              </w:rPr>
              <w:t>3、灭火器材设置到位，消防设施能正常使用。</w:t>
            </w:r>
          </w:p>
        </w:tc>
        <w:tc>
          <w:tcPr>
            <w:tcW w:w="2988" w:type="dxa"/>
            <w:noWrap w:val="0"/>
            <w:vAlign w:val="top"/>
          </w:tcPr>
          <w:p>
            <w:pPr>
              <w:spacing w:line="300" w:lineRule="exact"/>
              <w:rPr>
                <w:rFonts w:hint="eastAsia" w:ascii="宋体" w:hAnsi="宋体"/>
                <w:b/>
                <w:sz w:val="20"/>
              </w:rPr>
            </w:pPr>
            <w:r>
              <w:rPr>
                <w:rFonts w:hint="eastAsia" w:ascii="宋体" w:hAnsi="宋体"/>
                <w:sz w:val="20"/>
              </w:rPr>
              <w:t>随机抽查，不符合要求的每处扣0.5分；扣完为止；</w:t>
            </w:r>
          </w:p>
        </w:tc>
        <w:tc>
          <w:tcPr>
            <w:tcW w:w="1359" w:type="dxa"/>
            <w:noWrap w:val="0"/>
            <w:vAlign w:val="center"/>
          </w:tcPr>
          <w:p>
            <w:pPr>
              <w:spacing w:line="320" w:lineRule="exact"/>
              <w:jc w:val="center"/>
              <w:rPr>
                <w:rFonts w:hint="eastAsia" w:ascii="宋体" w:hAnsi="宋体"/>
                <w:b/>
                <w:sz w:val="20"/>
              </w:rPr>
            </w:pPr>
            <w:r>
              <w:rPr>
                <w:rFonts w:hint="eastAsia" w:ascii="宋体" w:hAnsi="宋体"/>
                <w:sz w:val="20"/>
              </w:rPr>
              <w:t>4</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ascii="宋体" w:hAnsi="宋体"/>
                <w:sz w:val="20"/>
              </w:rPr>
            </w:pPr>
            <w:r>
              <w:rPr>
                <w:rFonts w:hint="eastAsia" w:ascii="宋体" w:hAnsi="宋体"/>
                <w:sz w:val="20"/>
              </w:rPr>
              <w:t>4、严格按要求做好各项设备的按时运行工作，杜绝出现浪费水电等现象；</w:t>
            </w:r>
          </w:p>
        </w:tc>
        <w:tc>
          <w:tcPr>
            <w:tcW w:w="2988" w:type="dxa"/>
            <w:noWrap w:val="0"/>
            <w:vAlign w:val="top"/>
          </w:tcPr>
          <w:p>
            <w:pPr>
              <w:spacing w:line="300" w:lineRule="exact"/>
              <w:rPr>
                <w:rFonts w:hint="eastAsia" w:ascii="宋体" w:hAnsi="宋体"/>
                <w:sz w:val="20"/>
              </w:rPr>
            </w:pPr>
            <w:r>
              <w:rPr>
                <w:rFonts w:hint="eastAsia" w:ascii="宋体" w:hAnsi="宋体"/>
                <w:sz w:val="20"/>
              </w:rPr>
              <w:t>各设施设备按计划开启使用，计划内不开启（如正常的通风，消防设施电气设备定期运转等），或计划外开启使用的每出现一次扣1分，扣完为止；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5、楼内确保消防通道通畅，防火安全门使用正常，无任何堆物，严禁封堵消防安全通道（门）。</w:t>
            </w:r>
          </w:p>
        </w:tc>
        <w:tc>
          <w:tcPr>
            <w:tcW w:w="2988" w:type="dxa"/>
            <w:noWrap w:val="0"/>
            <w:vAlign w:val="top"/>
          </w:tcPr>
          <w:p>
            <w:pPr>
              <w:spacing w:line="300" w:lineRule="exact"/>
              <w:rPr>
                <w:rFonts w:hint="eastAsia" w:ascii="宋体" w:hAnsi="宋体"/>
                <w:sz w:val="20"/>
              </w:rPr>
            </w:pPr>
            <w:r>
              <w:rPr>
                <w:rFonts w:hint="eastAsia" w:ascii="宋体" w:hAnsi="宋体"/>
                <w:sz w:val="20"/>
              </w:rPr>
              <w:t>随机抽查， 不符合要求的每处扣0.5分；扣完为止；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4</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ascii="宋体" w:hAnsi="宋体"/>
                <w:sz w:val="20"/>
              </w:rPr>
            </w:pPr>
            <w:r>
              <w:rPr>
                <w:rFonts w:hint="eastAsia" w:ascii="宋体" w:hAnsi="宋体"/>
                <w:sz w:val="20"/>
              </w:rPr>
              <w:t>6、协助甲方做好智能分类垃圾桶的管理工作</w:t>
            </w:r>
          </w:p>
        </w:tc>
        <w:tc>
          <w:tcPr>
            <w:tcW w:w="2988" w:type="dxa"/>
            <w:noWrap w:val="0"/>
            <w:vAlign w:val="top"/>
          </w:tcPr>
          <w:p>
            <w:pPr>
              <w:spacing w:line="300" w:lineRule="exact"/>
              <w:rPr>
                <w:rFonts w:hint="eastAsia" w:ascii="宋体" w:hAnsi="宋体"/>
                <w:sz w:val="20"/>
              </w:rPr>
            </w:pPr>
            <w:r>
              <w:rPr>
                <w:rFonts w:hint="eastAsia" w:ascii="宋体" w:hAnsi="宋体"/>
                <w:sz w:val="20"/>
              </w:rPr>
              <w:t>未配合工作的，每次扣0.5分，扣完为止；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1</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2"/>
            <w:noWrap w:val="0"/>
            <w:vAlign w:val="top"/>
          </w:tcPr>
          <w:p>
            <w:pPr>
              <w:spacing w:line="320" w:lineRule="exact"/>
              <w:jc w:val="center"/>
              <w:rPr>
                <w:rFonts w:hint="eastAsia" w:ascii="宋体" w:hAnsi="宋体"/>
                <w:sz w:val="20"/>
              </w:rPr>
            </w:pPr>
            <w:r>
              <w:rPr>
                <w:rFonts w:hint="eastAsia" w:ascii="宋体" w:hAnsi="宋体"/>
                <w:b/>
                <w:sz w:val="20"/>
              </w:rPr>
              <w:t>四、绿化养护管理</w:t>
            </w:r>
          </w:p>
        </w:tc>
        <w:tc>
          <w:tcPr>
            <w:tcW w:w="1359" w:type="dxa"/>
            <w:noWrap w:val="0"/>
            <w:vAlign w:val="top"/>
          </w:tcPr>
          <w:p>
            <w:pPr>
              <w:spacing w:line="320" w:lineRule="exact"/>
              <w:jc w:val="center"/>
              <w:rPr>
                <w:rFonts w:ascii="宋体" w:hAnsi="宋体"/>
                <w:b/>
                <w:sz w:val="20"/>
              </w:rPr>
            </w:pPr>
            <w:r>
              <w:rPr>
                <w:rFonts w:hint="eastAsia" w:ascii="宋体" w:hAnsi="宋体"/>
                <w:b/>
                <w:sz w:val="20"/>
              </w:rPr>
              <w:t>22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1、树冠完整、骨架均匀、修剪规范，生长态势良好，无明显病枯枝，下垂枝高叉、萌芽长枝控制在30CM内，修剪规范。</w:t>
            </w:r>
          </w:p>
        </w:tc>
        <w:tc>
          <w:tcPr>
            <w:tcW w:w="2988" w:type="dxa"/>
            <w:noWrap w:val="0"/>
            <w:vAlign w:val="top"/>
          </w:tcPr>
          <w:p>
            <w:pPr>
              <w:spacing w:line="300" w:lineRule="exact"/>
              <w:rPr>
                <w:rFonts w:hint="eastAsia" w:ascii="宋体" w:hAnsi="宋体"/>
                <w:sz w:val="20"/>
              </w:rPr>
            </w:pPr>
            <w:r>
              <w:rPr>
                <w:rFonts w:hint="eastAsia" w:ascii="宋体" w:hAnsi="宋体"/>
                <w:sz w:val="20"/>
              </w:rPr>
              <w:t>树冠不完整或偏冠的扣0.1分/株.叶色、叶形不正常或非正常落叶、提前落叶的扣0.1分/株。叶生长势较差扣0.2分/株。修剪不规范扣2分。扣完为止；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2、新种树成活率在95%以上，老树保存率在98%以上。</w:t>
            </w:r>
          </w:p>
        </w:tc>
        <w:tc>
          <w:tcPr>
            <w:tcW w:w="2988" w:type="dxa"/>
            <w:noWrap w:val="0"/>
            <w:vAlign w:val="top"/>
          </w:tcPr>
          <w:p>
            <w:pPr>
              <w:spacing w:line="300" w:lineRule="exact"/>
              <w:rPr>
                <w:rFonts w:hint="eastAsia" w:ascii="宋体" w:hAnsi="宋体"/>
                <w:sz w:val="20"/>
              </w:rPr>
            </w:pPr>
            <w:r>
              <w:rPr>
                <w:rFonts w:hint="eastAsia" w:ascii="宋体" w:hAnsi="宋体"/>
                <w:sz w:val="20"/>
              </w:rPr>
              <w:t>新种树死扣0.1分/株，老树死株0.5分/株，缺空处未及时补种扣1分/株。死树、残桩未及时清理的扣2分/株。扣完为止；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ascii="宋体" w:hAnsi="宋体"/>
                <w:sz w:val="20"/>
                <w:szCs w:val="22"/>
              </w:rPr>
            </w:pPr>
            <w:r>
              <w:rPr>
                <w:rFonts w:hint="eastAsia" w:ascii="宋体" w:hAnsi="宋体"/>
                <w:sz w:val="20"/>
                <w:szCs w:val="22"/>
              </w:rPr>
              <w:t>3、树穴杂草清理及时，无积水，无杂物，无影响绿化树木生长情形。</w:t>
            </w:r>
          </w:p>
        </w:tc>
        <w:tc>
          <w:tcPr>
            <w:tcW w:w="2988" w:type="dxa"/>
            <w:noWrap w:val="0"/>
            <w:vAlign w:val="top"/>
          </w:tcPr>
          <w:p>
            <w:pPr>
              <w:spacing w:line="300" w:lineRule="exact"/>
              <w:rPr>
                <w:rFonts w:hint="eastAsia" w:ascii="宋体" w:hAnsi="宋体"/>
                <w:sz w:val="20"/>
                <w:szCs w:val="22"/>
              </w:rPr>
            </w:pPr>
            <w:r>
              <w:rPr>
                <w:rFonts w:hint="eastAsia" w:ascii="宋体" w:hAnsi="宋体"/>
                <w:sz w:val="20"/>
                <w:szCs w:val="22"/>
              </w:rPr>
              <w:t>高杂草&gt;15CM一处扣1分，有杂物扣0.1分，有影响绿化树木生长情形的扣0.5分。扣完为止；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4、绿篱色块整齐，高度控制得当，生长良好，无缺陷，徒长枝控制在8CM以下。</w:t>
            </w:r>
          </w:p>
        </w:tc>
        <w:tc>
          <w:tcPr>
            <w:tcW w:w="2988" w:type="dxa"/>
            <w:noWrap w:val="0"/>
            <w:vAlign w:val="top"/>
          </w:tcPr>
          <w:p>
            <w:pPr>
              <w:spacing w:line="300" w:lineRule="exact"/>
              <w:rPr>
                <w:rFonts w:hint="eastAsia" w:ascii="宋体" w:hAnsi="宋体"/>
                <w:sz w:val="20"/>
              </w:rPr>
            </w:pPr>
            <w:r>
              <w:rPr>
                <w:rFonts w:hint="eastAsia" w:ascii="宋体" w:hAnsi="宋体"/>
                <w:sz w:val="20"/>
              </w:rPr>
              <w:t>绿篱、色块不整齐扣0.1分/2米，破残、缺株、死株扣0.2分/平方米（累计），8CM以上徒长枝扣0.1分/米，杂草扣0.1分/平方米（累计）。生长较差影响景观的扣1-3分。扣完为止；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6、草栽盆花换花及时，无明显枯叶残花，新种草花要求每株至少有一朵盛开的花，种填密度必须达到70%以上。</w:t>
            </w:r>
          </w:p>
        </w:tc>
        <w:tc>
          <w:tcPr>
            <w:tcW w:w="2988" w:type="dxa"/>
            <w:noWrap w:val="0"/>
            <w:vAlign w:val="top"/>
          </w:tcPr>
          <w:p>
            <w:pPr>
              <w:spacing w:line="300" w:lineRule="exact"/>
              <w:rPr>
                <w:rFonts w:hint="eastAsia" w:ascii="宋体" w:hAnsi="宋体"/>
                <w:sz w:val="20"/>
              </w:rPr>
            </w:pPr>
            <w:r>
              <w:rPr>
                <w:rFonts w:hint="eastAsia" w:ascii="宋体" w:hAnsi="宋体"/>
                <w:sz w:val="20"/>
              </w:rPr>
              <w:t>枯叶、残花未清理扣0.3分/处，残花严重扣1分。新种草花无开花的扣0.1分/株，种植密度达不到70%的扣1分，调换不及时或草花明显接不上造成花坛空缺期的扣1分。扣完为止；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556" w:type="dxa"/>
            <w:noWrap w:val="0"/>
            <w:vAlign w:val="top"/>
          </w:tcPr>
          <w:p>
            <w:pPr>
              <w:spacing w:line="300" w:lineRule="exact"/>
              <w:rPr>
                <w:rFonts w:hint="eastAsia" w:ascii="宋体" w:hAnsi="宋体"/>
                <w:sz w:val="20"/>
              </w:rPr>
            </w:pPr>
            <w:r>
              <w:rPr>
                <w:rFonts w:hint="eastAsia" w:ascii="宋体" w:hAnsi="宋体"/>
                <w:sz w:val="20"/>
              </w:rPr>
              <w:t>7、草坪生长良好，高度控制适宜，无明显杂草，残缺和积水。</w:t>
            </w:r>
          </w:p>
        </w:tc>
        <w:tc>
          <w:tcPr>
            <w:tcW w:w="2988" w:type="dxa"/>
            <w:noWrap w:val="0"/>
            <w:vAlign w:val="top"/>
          </w:tcPr>
          <w:p>
            <w:pPr>
              <w:spacing w:line="300" w:lineRule="exact"/>
              <w:rPr>
                <w:rFonts w:hint="eastAsia" w:ascii="宋体" w:hAnsi="宋体"/>
                <w:sz w:val="20"/>
              </w:rPr>
            </w:pPr>
            <w:r>
              <w:rPr>
                <w:rFonts w:hint="eastAsia" w:ascii="宋体" w:hAnsi="宋体"/>
                <w:sz w:val="20"/>
              </w:rPr>
              <w:t>不符合要求的，每项扣0.2分；扣完为止；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8、植物病虫害防治及时，主要常见病虫危害在5%以下。</w:t>
            </w:r>
          </w:p>
        </w:tc>
        <w:tc>
          <w:tcPr>
            <w:tcW w:w="2988" w:type="dxa"/>
            <w:noWrap w:val="0"/>
            <w:vAlign w:val="top"/>
          </w:tcPr>
          <w:p>
            <w:pPr>
              <w:spacing w:line="300" w:lineRule="exact"/>
              <w:rPr>
                <w:rFonts w:hint="eastAsia" w:ascii="宋体" w:hAnsi="宋体"/>
                <w:sz w:val="20"/>
              </w:rPr>
            </w:pPr>
            <w:r>
              <w:rPr>
                <w:rFonts w:hint="eastAsia" w:ascii="宋体" w:hAnsi="宋体"/>
                <w:sz w:val="20"/>
              </w:rPr>
              <w:t>不符合要求的，每项扣0.2分；扣完为止；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3</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noWrap w:val="0"/>
            <w:vAlign w:val="top"/>
          </w:tcPr>
          <w:p>
            <w:pPr>
              <w:spacing w:line="300" w:lineRule="exact"/>
              <w:rPr>
                <w:rFonts w:hint="eastAsia" w:ascii="宋体" w:hAnsi="宋体"/>
                <w:sz w:val="20"/>
              </w:rPr>
            </w:pPr>
            <w:r>
              <w:rPr>
                <w:rFonts w:hint="eastAsia" w:ascii="宋体" w:hAnsi="宋体"/>
                <w:sz w:val="20"/>
              </w:rPr>
              <w:t>9、记录备查</w:t>
            </w:r>
          </w:p>
        </w:tc>
        <w:tc>
          <w:tcPr>
            <w:tcW w:w="2988" w:type="dxa"/>
            <w:noWrap w:val="0"/>
            <w:vAlign w:val="top"/>
          </w:tcPr>
          <w:p>
            <w:pPr>
              <w:spacing w:line="300" w:lineRule="exact"/>
              <w:rPr>
                <w:rFonts w:hint="eastAsia"/>
              </w:rPr>
            </w:pPr>
            <w:r>
              <w:rPr>
                <w:rFonts w:hint="eastAsia"/>
              </w:rPr>
              <w:t>新种、移植树木的备案完整；</w:t>
            </w:r>
          </w:p>
          <w:p>
            <w:pPr>
              <w:pStyle w:val="2"/>
              <w:ind w:firstLine="0" w:firstLineChars="0"/>
            </w:pPr>
            <w:r>
              <w:rPr>
                <w:rFonts w:hint="eastAsia" w:ascii="宋体" w:hAnsi="宋体"/>
                <w:sz w:val="20"/>
              </w:rPr>
              <w:t>不符合要求的，每处扣0.2分；扣完为止；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2</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2"/>
            <w:noWrap w:val="0"/>
            <w:vAlign w:val="top"/>
          </w:tcPr>
          <w:p>
            <w:pPr>
              <w:spacing w:line="300" w:lineRule="exact"/>
              <w:jc w:val="center"/>
              <w:rPr>
                <w:rFonts w:hint="eastAsia" w:ascii="宋体" w:hAnsi="宋体"/>
                <w:sz w:val="20"/>
              </w:rPr>
            </w:pPr>
            <w:r>
              <w:rPr>
                <w:rFonts w:hint="eastAsia" w:ascii="宋体" w:hAnsi="宋体"/>
                <w:b/>
                <w:sz w:val="20"/>
                <w:szCs w:val="22"/>
              </w:rPr>
              <w:t>五、品质管控智能化管理</w:t>
            </w:r>
          </w:p>
        </w:tc>
        <w:tc>
          <w:tcPr>
            <w:tcW w:w="1359" w:type="dxa"/>
            <w:noWrap w:val="0"/>
            <w:vAlign w:val="center"/>
          </w:tcPr>
          <w:p>
            <w:pPr>
              <w:spacing w:line="320" w:lineRule="exact"/>
              <w:jc w:val="center"/>
              <w:rPr>
                <w:rFonts w:hint="eastAsia" w:ascii="宋体" w:hAnsi="宋体"/>
                <w:sz w:val="20"/>
              </w:rPr>
            </w:pPr>
            <w:r>
              <w:rPr>
                <w:rFonts w:hint="eastAsia" w:ascii="宋体" w:hAnsi="宋体"/>
                <w:b/>
                <w:bCs/>
                <w:sz w:val="20"/>
              </w:rPr>
              <w:t>5</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2"/>
            <w:noWrap w:val="0"/>
            <w:vAlign w:val="top"/>
          </w:tcPr>
          <w:p>
            <w:pPr>
              <w:spacing w:line="300" w:lineRule="exact"/>
              <w:rPr>
                <w:rFonts w:hint="eastAsia" w:ascii="宋体" w:hAnsi="宋体"/>
                <w:sz w:val="20"/>
              </w:rPr>
            </w:pPr>
            <w:r>
              <w:rPr>
                <w:rFonts w:hint="eastAsia"/>
              </w:rPr>
              <w:t>环境卫生、秩序维护、人员到岗情况、绿化养护、设备设施养护须做好品质管控智能化管理，缺少一项不得分，局部不规范或不到位的，每处扣0.2分，扣完为止；</w:t>
            </w:r>
          </w:p>
        </w:tc>
        <w:tc>
          <w:tcPr>
            <w:tcW w:w="1359" w:type="dxa"/>
            <w:noWrap w:val="0"/>
            <w:vAlign w:val="center"/>
          </w:tcPr>
          <w:p>
            <w:pPr>
              <w:spacing w:line="320" w:lineRule="exact"/>
              <w:jc w:val="center"/>
              <w:rPr>
                <w:rFonts w:hint="eastAsia" w:ascii="宋体" w:hAnsi="宋体"/>
                <w:sz w:val="20"/>
              </w:rPr>
            </w:pPr>
            <w:r>
              <w:rPr>
                <w:rFonts w:hint="eastAsia" w:ascii="宋体" w:hAnsi="宋体"/>
                <w:sz w:val="20"/>
              </w:rPr>
              <w:t>5</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2"/>
            <w:noWrap w:val="0"/>
            <w:vAlign w:val="top"/>
          </w:tcPr>
          <w:p>
            <w:pPr>
              <w:spacing w:line="320" w:lineRule="exact"/>
              <w:jc w:val="center"/>
              <w:rPr>
                <w:rFonts w:hint="eastAsia" w:ascii="宋体" w:hAnsi="宋体"/>
                <w:sz w:val="20"/>
              </w:rPr>
            </w:pPr>
            <w:r>
              <w:rPr>
                <w:rFonts w:hint="eastAsia" w:ascii="宋体" w:hAnsi="宋体"/>
                <w:b/>
                <w:sz w:val="20"/>
              </w:rPr>
              <w:t>六、日常配合</w:t>
            </w:r>
          </w:p>
        </w:tc>
        <w:tc>
          <w:tcPr>
            <w:tcW w:w="1359" w:type="dxa"/>
            <w:noWrap w:val="0"/>
            <w:vAlign w:val="top"/>
          </w:tcPr>
          <w:p>
            <w:pPr>
              <w:spacing w:line="320" w:lineRule="exact"/>
              <w:jc w:val="center"/>
              <w:rPr>
                <w:rFonts w:hint="eastAsia" w:ascii="宋体" w:hAnsi="宋体"/>
                <w:b/>
                <w:sz w:val="20"/>
              </w:rPr>
            </w:pPr>
            <w:r>
              <w:rPr>
                <w:rFonts w:hint="eastAsia" w:ascii="宋体" w:hAnsi="宋体"/>
                <w:b/>
                <w:sz w:val="20"/>
              </w:rPr>
              <w:t>10</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44" w:type="dxa"/>
            <w:gridSpan w:val="2"/>
            <w:noWrap w:val="0"/>
            <w:vAlign w:val="top"/>
          </w:tcPr>
          <w:p>
            <w:pPr>
              <w:spacing w:line="320" w:lineRule="exact"/>
              <w:ind w:firstLine="400" w:firstLineChars="200"/>
              <w:rPr>
                <w:rFonts w:hint="eastAsia" w:ascii="宋体" w:hAnsi="宋体"/>
                <w:sz w:val="20"/>
              </w:rPr>
            </w:pPr>
            <w:r>
              <w:rPr>
                <w:rFonts w:hint="eastAsia" w:ascii="宋体" w:hAnsi="宋体" w:cs="仿宋_GB2312"/>
                <w:sz w:val="20"/>
              </w:rPr>
              <w:t>在日常检查中发现的问题（墙面、地面，各类设施设备及时维修保养、绿化补种及养护、环境保洁、秩序维护等），由业主方通知（微信通知、书面通知、联系单签证等形式）中标人在规定时间内完成整改工作，按时整改的不扣分，逾期未整改或整改不到位的每一处在</w:t>
            </w:r>
            <w:r>
              <w:rPr>
                <w:rFonts w:hint="eastAsia" w:ascii="宋体" w:hAnsi="宋体" w:cs="仿宋_GB2312"/>
                <w:sz w:val="20"/>
                <w:u w:val="single"/>
              </w:rPr>
              <w:t>当期</w:t>
            </w:r>
            <w:r>
              <w:rPr>
                <w:rFonts w:hint="eastAsia" w:ascii="宋体" w:hAnsi="宋体" w:cs="仿宋_GB2312"/>
                <w:sz w:val="20"/>
              </w:rPr>
              <w:t>考核总分中扣1分。</w:t>
            </w:r>
            <w:r>
              <w:rPr>
                <w:rFonts w:hint="eastAsia" w:ascii="宋体" w:hAnsi="宋体"/>
                <w:sz w:val="20"/>
              </w:rPr>
              <w:t>媒体曝光、市民举报信访查实的问题，由业主方通知中标人在规定时间内完成整改，按时整改的不扣分，逾期未整改或整改不到位的每一例在当期考核总分中扣1分。处置不当导致严重后果的，当期考核为不合格。中标人对业主方下发的整改事项应做到闭环处理并存档备查。</w:t>
            </w:r>
          </w:p>
        </w:tc>
        <w:tc>
          <w:tcPr>
            <w:tcW w:w="1359" w:type="dxa"/>
            <w:noWrap w:val="0"/>
            <w:vAlign w:val="center"/>
          </w:tcPr>
          <w:p>
            <w:pPr>
              <w:spacing w:line="320" w:lineRule="exact"/>
              <w:jc w:val="center"/>
              <w:rPr>
                <w:rFonts w:ascii="宋体" w:hAnsi="宋体"/>
                <w:sz w:val="20"/>
              </w:rPr>
            </w:pPr>
            <w:r>
              <w:rPr>
                <w:rFonts w:hint="eastAsia" w:ascii="宋体" w:hAnsi="宋体"/>
                <w:sz w:val="20"/>
              </w:rPr>
              <w:t>10</w:t>
            </w: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544" w:type="dxa"/>
            <w:gridSpan w:val="2"/>
            <w:noWrap w:val="0"/>
            <w:vAlign w:val="top"/>
          </w:tcPr>
          <w:p>
            <w:pPr>
              <w:spacing w:line="320" w:lineRule="exact"/>
              <w:rPr>
                <w:rFonts w:hint="eastAsia" w:ascii="宋体" w:hAnsi="宋体" w:cs="仿宋_GB2312"/>
                <w:sz w:val="20"/>
              </w:rPr>
            </w:pPr>
            <w:r>
              <w:rPr>
                <w:rFonts w:hint="eastAsia" w:ascii="宋体" w:hAnsi="宋体" w:cs="仿宋_GB2312"/>
                <w:sz w:val="20"/>
              </w:rPr>
              <w:t>总分</w:t>
            </w:r>
          </w:p>
        </w:tc>
        <w:tc>
          <w:tcPr>
            <w:tcW w:w="1359" w:type="dxa"/>
            <w:noWrap w:val="0"/>
            <w:vAlign w:val="center"/>
          </w:tcPr>
          <w:p>
            <w:pPr>
              <w:spacing w:line="320" w:lineRule="exact"/>
              <w:jc w:val="center"/>
              <w:rPr>
                <w:rFonts w:hint="eastAsia" w:ascii="宋体" w:hAnsi="宋体"/>
                <w:sz w:val="20"/>
              </w:rPr>
            </w:pPr>
          </w:p>
        </w:tc>
        <w:tc>
          <w:tcPr>
            <w:tcW w:w="1362" w:type="dxa"/>
            <w:noWrap w:val="0"/>
            <w:vAlign w:val="top"/>
          </w:tcPr>
          <w:p>
            <w:pPr>
              <w:spacing w:line="320" w:lineRule="exact"/>
              <w:jc w:val="center"/>
              <w:rPr>
                <w:rFonts w:hint="eastAsia" w:ascii="宋体" w:hAnsi="宋体"/>
                <w:sz w:val="20"/>
              </w:rPr>
            </w:pPr>
          </w:p>
        </w:tc>
        <w:tc>
          <w:tcPr>
            <w:tcW w:w="1350" w:type="dxa"/>
            <w:noWrap w:val="0"/>
            <w:vAlign w:val="top"/>
          </w:tcPr>
          <w:p>
            <w:pPr>
              <w:spacing w:line="320" w:lineRule="exact"/>
              <w:jc w:val="center"/>
              <w:rPr>
                <w:rFonts w:hint="eastAsia" w:ascii="宋体" w:hAnsi="宋体"/>
                <w:sz w:val="20"/>
              </w:rPr>
            </w:pPr>
          </w:p>
        </w:tc>
      </w:tr>
    </w:tbl>
    <w:p>
      <w:pPr>
        <w:rPr>
          <w:sz w:val="24"/>
        </w:rPr>
      </w:pPr>
      <w:r>
        <w:rPr>
          <w:sz w:val="24"/>
        </w:rPr>
        <w:t>公司考核人员：签名                         业主考核人员：签名</w:t>
      </w:r>
    </w:p>
    <w:p>
      <w:pPr>
        <w:rPr>
          <w:sz w:val="24"/>
        </w:rPr>
      </w:pPr>
      <w:r>
        <w:rPr>
          <w:sz w:val="24"/>
        </w:rPr>
        <w:t>单位公章                                          单位公章</w:t>
      </w:r>
    </w:p>
    <w:p>
      <w:pPr>
        <w:rPr>
          <w:rFonts w:hint="eastAsia"/>
        </w:rPr>
      </w:pPr>
      <w:r>
        <w:rPr>
          <w:rFonts w:hint="eastAsia"/>
        </w:rPr>
        <w:br w:type="page"/>
      </w:r>
    </w:p>
    <w:p>
      <w:pPr>
        <w:rPr>
          <w:rFonts w:hint="eastAsia" w:ascii="宋体" w:hAnsi="宋体"/>
          <w:b/>
          <w:bCs/>
        </w:rPr>
      </w:pPr>
      <w:r>
        <w:rPr>
          <w:rFonts w:hint="eastAsia" w:ascii="宋体" w:hAnsi="宋体"/>
          <w:b/>
          <w:bCs/>
        </w:rPr>
        <w:t>附件1：</w:t>
      </w:r>
    </w:p>
    <w:p>
      <w:pPr>
        <w:spacing w:line="60" w:lineRule="auto"/>
        <w:rPr>
          <w:rFonts w:hint="eastAsia" w:ascii="宋体" w:hAnsi="宋体"/>
        </w:rPr>
      </w:pPr>
    </w:p>
    <w:p>
      <w:pPr>
        <w:spacing w:line="384" w:lineRule="auto"/>
        <w:jc w:val="center"/>
        <w:rPr>
          <w:rFonts w:ascii="宋体" w:hAnsi="宋体"/>
          <w:spacing w:val="4"/>
          <w:sz w:val="30"/>
          <w:szCs w:val="30"/>
        </w:rPr>
      </w:pPr>
      <w:r>
        <w:rPr>
          <w:rFonts w:ascii="宋体" w:hAnsi="宋体"/>
          <w:spacing w:val="4"/>
          <w:sz w:val="30"/>
          <w:szCs w:val="30"/>
        </w:rPr>
        <w:t>宁波市城市绿地养护技术规程</w:t>
      </w:r>
    </w:p>
    <w:p>
      <w:pPr>
        <w:pStyle w:val="170"/>
      </w:pPr>
    </w:p>
    <w:p>
      <w:pPr>
        <w:rPr>
          <w:rFonts w:hint="eastAsia" w:ascii="宋体" w:hAnsi="宋体"/>
          <w:szCs w:val="21"/>
        </w:rPr>
      </w:pPr>
      <w:r>
        <w:rPr>
          <w:rFonts w:ascii="宋体" w:hAnsi="宋体"/>
          <w:szCs w:val="21"/>
        </w:rPr>
        <w:t>第一章    总  则</w:t>
      </w:r>
    </w:p>
    <w:p>
      <w:pPr>
        <w:rPr>
          <w:rFonts w:hint="eastAsia" w:ascii="宋体" w:hAnsi="宋体"/>
          <w:szCs w:val="21"/>
        </w:rPr>
      </w:pPr>
      <w:r>
        <w:rPr>
          <w:rFonts w:ascii="宋体" w:hAnsi="宋体"/>
          <w:szCs w:val="21"/>
        </w:rPr>
        <w:t>第1.0.1条  为了加强本市园林植物养护技术管理、提高园林植物养护技术水平，确保植物生长繁茂，特制订本技术规程。</w:t>
      </w:r>
    </w:p>
    <w:p>
      <w:pPr>
        <w:rPr>
          <w:rFonts w:hint="eastAsia" w:ascii="宋体" w:hAnsi="宋体"/>
          <w:szCs w:val="21"/>
        </w:rPr>
      </w:pPr>
      <w:r>
        <w:rPr>
          <w:rFonts w:ascii="宋体" w:hAnsi="宋体"/>
          <w:szCs w:val="21"/>
        </w:rPr>
        <w:t>第1.0.2条  本规程适用于本市的县（市）、区各类绿地内树木、花卉、藤本和攀援、地被和草坪等植物的养护。</w:t>
      </w:r>
    </w:p>
    <w:p>
      <w:pPr>
        <w:rPr>
          <w:rFonts w:hint="eastAsia" w:ascii="宋体" w:hAnsi="宋体"/>
          <w:szCs w:val="21"/>
        </w:rPr>
      </w:pPr>
      <w:r>
        <w:rPr>
          <w:rFonts w:ascii="宋体" w:hAnsi="宋体"/>
          <w:szCs w:val="21"/>
        </w:rPr>
        <w:t>第1.0.3条  凡经栽植成活一年以上(大树二年后)的乔木、灌木、花卉、藤本和攀援、地被和草坪等植物，其保存率均应达到98％。因不可抗力造成死亡的除外。</w:t>
      </w:r>
    </w:p>
    <w:p>
      <w:pPr>
        <w:rPr>
          <w:rFonts w:hint="eastAsia" w:ascii="宋体" w:hAnsi="宋体"/>
          <w:szCs w:val="21"/>
        </w:rPr>
      </w:pPr>
      <w:r>
        <w:rPr>
          <w:rFonts w:ascii="宋体" w:hAnsi="宋体"/>
          <w:szCs w:val="21"/>
        </w:rPr>
        <w:t>第1.0.4条  树木与架空线、地下管线、照明、交通及各种信号标志的关系与要求，按《宁波市园林绿化建植技术规程》有关条文规定执行。</w:t>
      </w:r>
    </w:p>
    <w:p>
      <w:pPr>
        <w:rPr>
          <w:rFonts w:hint="eastAsia" w:ascii="宋体" w:hAnsi="宋体"/>
          <w:szCs w:val="21"/>
        </w:rPr>
      </w:pPr>
      <w:r>
        <w:rPr>
          <w:rFonts w:ascii="宋体" w:hAnsi="宋体"/>
          <w:szCs w:val="21"/>
        </w:rPr>
        <w:t>第1.0.5条  各单位应根据分级养护管理要求、质量标准制订全年养护计划，并严格遵守本规程。</w:t>
      </w:r>
      <w:r>
        <w:rPr>
          <w:rFonts w:ascii="宋体" w:hAnsi="宋体"/>
          <w:szCs w:val="21"/>
        </w:rPr>
        <w:br w:type="textWrapping"/>
      </w:r>
      <w:r>
        <w:rPr>
          <w:rFonts w:ascii="宋体" w:hAnsi="宋体"/>
          <w:szCs w:val="21"/>
        </w:rPr>
        <w:t>第二章  树木养护</w:t>
      </w:r>
      <w:r>
        <w:rPr>
          <w:rFonts w:ascii="宋体" w:hAnsi="宋体"/>
          <w:szCs w:val="21"/>
        </w:rPr>
        <w:br w:type="textWrapping"/>
      </w:r>
      <w:r>
        <w:rPr>
          <w:rFonts w:ascii="宋体" w:hAnsi="宋体"/>
          <w:szCs w:val="21"/>
        </w:rPr>
        <w:t>第一节  浇灌与排水</w:t>
      </w:r>
    </w:p>
    <w:p>
      <w:pPr>
        <w:rPr>
          <w:rFonts w:hint="eastAsia" w:ascii="宋体" w:hAnsi="宋体"/>
          <w:szCs w:val="21"/>
        </w:rPr>
      </w:pPr>
      <w:r>
        <w:rPr>
          <w:rFonts w:ascii="宋体" w:hAnsi="宋体"/>
          <w:szCs w:val="21"/>
        </w:rPr>
        <w:t>第2.1.1条  各类绿地，应有各自完整的浇灌与排水系统。</w:t>
      </w:r>
    </w:p>
    <w:p>
      <w:pPr>
        <w:rPr>
          <w:rFonts w:hint="eastAsia" w:ascii="宋体" w:hAnsi="宋体"/>
          <w:szCs w:val="21"/>
        </w:rPr>
      </w:pPr>
      <w:r>
        <w:rPr>
          <w:rFonts w:ascii="宋体" w:hAnsi="宋体"/>
          <w:szCs w:val="21"/>
        </w:rPr>
        <w:t>第2.1.2条  对新栽植的树木应根据不同树种和不同立地条件进行适期、适量的浇灌，应保持土壤中有效水分。</w:t>
      </w:r>
    </w:p>
    <w:p>
      <w:pPr>
        <w:rPr>
          <w:rFonts w:hint="eastAsia" w:ascii="宋体" w:hAnsi="宋体"/>
          <w:szCs w:val="21"/>
        </w:rPr>
      </w:pPr>
      <w:r>
        <w:rPr>
          <w:rFonts w:ascii="宋体" w:hAnsi="宋体"/>
          <w:szCs w:val="21"/>
        </w:rPr>
        <w:t>第2.1.3条  已栽植成活的树木，在土壤干旱的环境中也应及时进行浇灌，对水分和空气湿度要求较高的树种，须在清晨或傍晚进行，特别是新栽或立地环境较差的树木，还应适当地进行叶面喷雾。</w:t>
      </w:r>
    </w:p>
    <w:p>
      <w:pPr>
        <w:rPr>
          <w:rFonts w:hint="eastAsia" w:ascii="宋体" w:hAnsi="宋体"/>
          <w:szCs w:val="21"/>
        </w:rPr>
      </w:pPr>
      <w:r>
        <w:rPr>
          <w:rFonts w:ascii="宋体" w:hAnsi="宋体"/>
          <w:szCs w:val="21"/>
        </w:rPr>
        <w:t>第2.1.4条  浇灌前应先松土。夏季浇灌宜早、晚进行，冬季浇灌选在中午进行。灌溉要一次浇透。</w:t>
      </w:r>
      <w:r>
        <w:rPr>
          <w:rFonts w:ascii="宋体" w:hAnsi="宋体"/>
          <w:szCs w:val="21"/>
        </w:rPr>
        <w:br w:type="textWrapping"/>
      </w:r>
      <w:r>
        <w:rPr>
          <w:rFonts w:ascii="宋体" w:hAnsi="宋体"/>
          <w:szCs w:val="21"/>
        </w:rPr>
        <w:t>第2.1.5条  树木周围积水应及时排除，新栽树木周围积水尤应尽快排除。</w:t>
      </w:r>
      <w:r>
        <w:rPr>
          <w:rFonts w:ascii="宋体" w:hAnsi="宋体"/>
          <w:szCs w:val="21"/>
        </w:rPr>
        <w:br w:type="textWrapping"/>
      </w:r>
      <w:r>
        <w:rPr>
          <w:rFonts w:ascii="宋体" w:hAnsi="宋体"/>
          <w:szCs w:val="21"/>
        </w:rPr>
        <w:t>第二节  中耕除草</w:t>
      </w:r>
      <w:r>
        <w:rPr>
          <w:rFonts w:ascii="宋体" w:hAnsi="宋体"/>
          <w:szCs w:val="21"/>
        </w:rPr>
        <w:br w:type="textWrapping"/>
      </w:r>
      <w:r>
        <w:rPr>
          <w:rFonts w:ascii="宋体" w:hAnsi="宋体"/>
          <w:szCs w:val="21"/>
        </w:rPr>
        <w:t>第2.2.1条  乔木、灌木下的大型野草必须铲除，特别是对树木危害严重的各类藤蔓，例如菟丝子等。</w:t>
      </w:r>
      <w:r>
        <w:rPr>
          <w:rFonts w:ascii="宋体" w:hAnsi="宋体"/>
          <w:szCs w:val="21"/>
        </w:rPr>
        <w:br w:type="textWrapping"/>
      </w:r>
      <w:r>
        <w:rPr>
          <w:rFonts w:ascii="宋体" w:hAnsi="宋体"/>
          <w:szCs w:val="21"/>
        </w:rPr>
        <w:t>第2.2.2条  树木根部附近的土壤要保持疏松，易板结的土壤，应及时松土。</w:t>
      </w:r>
      <w:r>
        <w:rPr>
          <w:rFonts w:ascii="宋体" w:hAnsi="宋体"/>
          <w:szCs w:val="21"/>
        </w:rPr>
        <w:br w:type="textWrapping"/>
      </w:r>
      <w:r>
        <w:rPr>
          <w:rFonts w:ascii="宋体" w:hAnsi="宋体"/>
          <w:szCs w:val="21"/>
        </w:rPr>
        <w:t>第2.2.3条  中耕除草应选在晴朗天气，过分潮湿的土壤不宜中耕除草。</w:t>
      </w:r>
      <w:r>
        <w:rPr>
          <w:rFonts w:ascii="宋体" w:hAnsi="宋体"/>
          <w:szCs w:val="21"/>
        </w:rPr>
        <w:br w:type="textWrapping"/>
      </w:r>
      <w:r>
        <w:rPr>
          <w:rFonts w:ascii="宋体" w:hAnsi="宋体"/>
          <w:szCs w:val="21"/>
        </w:rPr>
        <w:t>第2.2.4条  中耕深度以不影响根系生长为限。</w:t>
      </w:r>
      <w:r>
        <w:rPr>
          <w:rFonts w:ascii="宋体" w:hAnsi="宋体"/>
          <w:szCs w:val="21"/>
        </w:rPr>
        <w:br w:type="textWrapping"/>
      </w:r>
      <w:r>
        <w:rPr>
          <w:rFonts w:ascii="宋体" w:hAnsi="宋体"/>
          <w:szCs w:val="21"/>
        </w:rPr>
        <w:t>第三节   施  肥</w:t>
      </w:r>
      <w:r>
        <w:rPr>
          <w:rFonts w:ascii="宋体" w:hAnsi="宋体"/>
          <w:szCs w:val="21"/>
        </w:rPr>
        <w:br w:type="textWrapping"/>
      </w:r>
      <w:r>
        <w:rPr>
          <w:rFonts w:ascii="宋体" w:hAnsi="宋体"/>
          <w:szCs w:val="21"/>
        </w:rPr>
        <w:t>第2.3.1条  树木休眠期和栽植前，需施基肥。树木生长期施追肥，可以按照植株的生长势进行。</w:t>
      </w:r>
      <w:r>
        <w:rPr>
          <w:rFonts w:ascii="宋体" w:hAnsi="宋体"/>
          <w:szCs w:val="21"/>
        </w:rPr>
        <w:br w:type="textWrapping"/>
      </w:r>
      <w:r>
        <w:rPr>
          <w:rFonts w:ascii="宋体" w:hAnsi="宋体"/>
          <w:szCs w:val="21"/>
        </w:rPr>
        <w:t>第2.3.2条  施肥量应视树木生长情况、土壤肥力而定。一般乔木胸径15CM以下的，每3CM胸径应施堆肥1.0公斤，胸径在1 5CM以上的，每3CM胸径施堆肥1.0—2.0公斤。树木青壮年期欲扩大树冠及观花、观果植物，应适当增加施肥量。</w:t>
      </w:r>
      <w:r>
        <w:rPr>
          <w:rFonts w:ascii="宋体" w:hAnsi="宋体"/>
          <w:szCs w:val="21"/>
        </w:rPr>
        <w:br w:type="textWrapping"/>
      </w:r>
      <w:r>
        <w:rPr>
          <w:rFonts w:ascii="宋体" w:hAnsi="宋体"/>
          <w:szCs w:val="21"/>
        </w:rPr>
        <w:t>第2.3.3条  乔木和灌木均应先挖好施肥环沟，其外径应与树木的冠幅相适应，深度和宽度一般为25—30CM。</w:t>
      </w:r>
      <w:r>
        <w:rPr>
          <w:rFonts w:ascii="宋体" w:hAnsi="宋体"/>
          <w:szCs w:val="21"/>
        </w:rPr>
        <w:br w:type="textWrapping"/>
      </w:r>
      <w:r>
        <w:rPr>
          <w:rFonts w:ascii="宋体" w:hAnsi="宋体"/>
          <w:szCs w:val="21"/>
        </w:rPr>
        <w:t>第2.3.4条  施用的肥料种类选择应视树种、生长期及观赏和土壤缺肥状况等不同要求而定。早期欲扩大冠幅，宜施氮肥，观花观果树种应增施磷、钾肥。注意应用微量元素和根外施肥的技术，并推广应用复合肥料。</w:t>
      </w:r>
      <w:r>
        <w:rPr>
          <w:rFonts w:ascii="宋体" w:hAnsi="宋体"/>
          <w:szCs w:val="21"/>
        </w:rPr>
        <w:br w:type="textWrapping"/>
      </w:r>
      <w:r>
        <w:rPr>
          <w:rFonts w:ascii="宋体" w:hAnsi="宋体"/>
          <w:szCs w:val="21"/>
        </w:rPr>
        <w:t>第2.3.5条  有机肥应腐熟后施用。根部施肥宜在晴天，且土壤干燥时施肥；根外施肥应控制浓度，防止肥害。</w:t>
      </w:r>
      <w:r>
        <w:rPr>
          <w:rFonts w:ascii="宋体" w:hAnsi="宋体"/>
          <w:szCs w:val="21"/>
        </w:rPr>
        <w:br w:type="textWrapping"/>
      </w:r>
      <w:r>
        <w:rPr>
          <w:rFonts w:ascii="宋体" w:hAnsi="宋体"/>
          <w:szCs w:val="21"/>
        </w:rPr>
        <w:t>第2.3.6条  花灌木宜在花后施肥，果木类应按果木种类不同的养护技术要求进行，乔木类宜春季进行。</w:t>
      </w:r>
      <w:r>
        <w:rPr>
          <w:rFonts w:ascii="宋体" w:hAnsi="宋体"/>
          <w:szCs w:val="21"/>
        </w:rPr>
        <w:br w:type="textWrapping"/>
      </w:r>
      <w:r>
        <w:rPr>
          <w:rFonts w:ascii="宋体" w:hAnsi="宋体"/>
          <w:szCs w:val="21"/>
        </w:rPr>
        <w:t>第四节    整形、修剪</w:t>
      </w:r>
      <w:r>
        <w:rPr>
          <w:rFonts w:ascii="宋体" w:hAnsi="宋体"/>
          <w:szCs w:val="21"/>
        </w:rPr>
        <w:br w:type="textWrapping"/>
      </w:r>
      <w:r>
        <w:rPr>
          <w:rFonts w:ascii="宋体" w:hAnsi="宋体"/>
          <w:szCs w:val="21"/>
        </w:rPr>
        <w:t>第2.4.1条  乔木和灌木的修剪应以自然构形为主。观赏树木可根据生长发育的特性对树木整形，将树冠修成一定形状。 </w:t>
      </w:r>
    </w:p>
    <w:p>
      <w:pPr>
        <w:rPr>
          <w:rFonts w:hint="eastAsia" w:ascii="宋体" w:hAnsi="宋体"/>
          <w:szCs w:val="21"/>
        </w:rPr>
      </w:pPr>
      <w:r>
        <w:rPr>
          <w:rFonts w:ascii="宋体" w:hAnsi="宋体"/>
          <w:szCs w:val="21"/>
        </w:rPr>
        <w:t>第2.4.2条  园林树木整形修剪的时期</w:t>
      </w:r>
    </w:p>
    <w:p>
      <w:pPr>
        <w:rPr>
          <w:rFonts w:hint="eastAsia" w:ascii="宋体" w:hAnsi="宋体"/>
          <w:szCs w:val="21"/>
        </w:rPr>
      </w:pPr>
      <w:r>
        <w:rPr>
          <w:rFonts w:ascii="宋体" w:hAnsi="宋体"/>
          <w:szCs w:val="21"/>
        </w:rPr>
        <w:t>（一）休眠期修剪  以整形为主，可稍重剪。落叶树中观花的花芽类树种宜在花后修剪，其它一般为落叶后至萌芽前修剪。常绿树及抗寒力差的树种在严冬不进行修剪，宜早春剪。</w:t>
      </w:r>
      <w:r>
        <w:rPr>
          <w:rFonts w:ascii="宋体" w:hAnsi="宋体"/>
          <w:szCs w:val="21"/>
        </w:rPr>
        <w:br w:type="textWrapping"/>
      </w:r>
      <w:r>
        <w:rPr>
          <w:rFonts w:ascii="宋体" w:hAnsi="宋体"/>
          <w:szCs w:val="21"/>
        </w:rPr>
        <w:t>（二）生长期修剪  以调整树势为主，宜轻剪。有伤流的树种应在夏秋两季进行。应根据各类树木的生长特性及不同要求进行疏枝、剥芽、摘心、去残花、疏蕾、疏果等。</w:t>
      </w:r>
      <w:r>
        <w:rPr>
          <w:rFonts w:ascii="宋体" w:hAnsi="宋体"/>
          <w:szCs w:val="21"/>
        </w:rPr>
        <w:br w:type="textWrapping"/>
      </w:r>
      <w:r>
        <w:rPr>
          <w:rFonts w:ascii="宋体" w:hAnsi="宋体"/>
          <w:szCs w:val="21"/>
        </w:rPr>
        <w:t>第2.4.3条  乔木类：主要修剪徒长枝、病虫枝、交叉枝、并生枝、下垂枝、扭伤枝以及枯枝和烂头。遇有架空线者应按杯状形修剪，树冠圆整，分枝均衡；树冠幅度，不宜覆盖全部路面，道路中间高空宜留有散放废气的空隙。常绿树应通过逐年修剪，提高主干高度以达到标准要求。</w:t>
      </w:r>
    </w:p>
    <w:p>
      <w:pPr>
        <w:rPr>
          <w:rFonts w:hint="eastAsia" w:ascii="宋体" w:hAnsi="宋体"/>
          <w:szCs w:val="21"/>
        </w:rPr>
      </w:pPr>
      <w:r>
        <w:rPr>
          <w:rFonts w:ascii="宋体" w:hAnsi="宋体"/>
          <w:szCs w:val="21"/>
        </w:rPr>
        <w:t>第2.4.4条  灌木类：灌木修剪应使枝叶繁茂，分布匀称，花灌木修剪要有利于促进短枝和花芽形成；根据不同树种的习性可将老枝齐根剪去，留下新枝。修剪应遵循“先上后下，先内后外，去弱留强，去老留新”的原则进行。</w:t>
      </w:r>
    </w:p>
    <w:p>
      <w:pPr>
        <w:rPr>
          <w:rFonts w:hint="eastAsia" w:ascii="宋体" w:hAnsi="宋体"/>
          <w:szCs w:val="21"/>
        </w:rPr>
      </w:pPr>
      <w:r>
        <w:rPr>
          <w:rFonts w:ascii="宋体" w:hAnsi="宋体"/>
          <w:szCs w:val="21"/>
        </w:rPr>
        <w:t>第2.4.5条  绿篱类：绿篱修剪，应促其分枝，保持全株枝叶丰满；也可作整形修剪，特殊造型绿篱应逐步修剪成形，整形重修剪宜在早春进行，隔离带绿篱高度应控制在距地面80cm以下。</w:t>
      </w:r>
    </w:p>
    <w:p>
      <w:pPr>
        <w:rPr>
          <w:rFonts w:hint="eastAsia" w:ascii="宋体" w:hAnsi="宋体"/>
          <w:szCs w:val="21"/>
        </w:rPr>
      </w:pPr>
      <w:r>
        <w:rPr>
          <w:rFonts w:ascii="宋体" w:hAnsi="宋体"/>
          <w:szCs w:val="21"/>
        </w:rPr>
        <w:t>第2.4.6条  地被、攀援类：地被、攀援植物修剪应促进分枝，加速覆盖和攀缠的功能；对多年生的攀援植物要定期翻蔓，清除枯枝，疏删老弱的藤蔓，留新枝。</w:t>
      </w:r>
    </w:p>
    <w:p>
      <w:pPr>
        <w:rPr>
          <w:rFonts w:hint="eastAsia" w:ascii="宋体" w:hAnsi="宋体"/>
          <w:szCs w:val="21"/>
        </w:rPr>
      </w:pPr>
      <w:r>
        <w:rPr>
          <w:rFonts w:ascii="宋体" w:hAnsi="宋体"/>
          <w:szCs w:val="21"/>
        </w:rPr>
        <w:t>第2.4.7条  修剪时，切口都必须靠节，剪口应在剪口芽的反侧呈45度倾斜，剪口部位在剪口芽上方2—3CM；剪口要平整，按培养方向选剪口芽的方向。对过于粗壮的大枝应采取分段截枝法，防扯裂，并涂抹防腐剂，操作时必须保证安全。</w:t>
      </w:r>
    </w:p>
    <w:p>
      <w:pPr>
        <w:rPr>
          <w:rFonts w:hint="eastAsia" w:ascii="宋体" w:hAnsi="宋体"/>
          <w:szCs w:val="21"/>
        </w:rPr>
      </w:pPr>
      <w:r>
        <w:rPr>
          <w:rFonts w:ascii="宋体" w:hAnsi="宋体"/>
          <w:szCs w:val="21"/>
        </w:rPr>
        <w:t>第2.4.8条  根据树木年龄差异进行修剪。</w:t>
      </w:r>
      <w:r>
        <w:rPr>
          <w:rFonts w:ascii="宋体" w:hAnsi="宋体"/>
          <w:szCs w:val="21"/>
        </w:rPr>
        <w:br w:type="textWrapping"/>
      </w:r>
      <w:r>
        <w:rPr>
          <w:rFonts w:ascii="宋体" w:hAnsi="宋体"/>
          <w:szCs w:val="21"/>
        </w:rPr>
        <w:t>（一）幼年期树木宜轻剪，一般树冠厚度不得低于树高1／2—1／3，小苗偏于2／3为宜。</w:t>
      </w:r>
      <w:r>
        <w:rPr>
          <w:rFonts w:ascii="宋体" w:hAnsi="宋体"/>
          <w:szCs w:val="21"/>
        </w:rPr>
        <w:br w:type="textWrapping"/>
      </w:r>
      <w:r>
        <w:rPr>
          <w:rFonts w:ascii="宋体" w:hAnsi="宋体"/>
          <w:szCs w:val="21"/>
        </w:rPr>
        <w:t>（二）成年期修剪的目的是保持树木完整优美的树冠和健壮成长，为达到调节均衡目的应遵循如下原则：</w:t>
      </w:r>
      <w:r>
        <w:rPr>
          <w:rFonts w:ascii="宋体" w:hAnsi="宋体"/>
          <w:szCs w:val="21"/>
        </w:rPr>
        <w:br w:type="textWrapping"/>
      </w:r>
      <w:r>
        <w:rPr>
          <w:rFonts w:ascii="宋体" w:hAnsi="宋体"/>
          <w:szCs w:val="21"/>
        </w:rPr>
        <w:t>１.对强主枝强剪(留得短些)，进行抑制；弱主枝弱剪(留得长些)促使生长。对强主枝弱剪(留得长些)进行保持；弱主枝强剪(留得短些)促使发芽生长，使侧枝分布均匀。</w:t>
      </w:r>
      <w:r>
        <w:rPr>
          <w:rFonts w:ascii="宋体" w:hAnsi="宋体"/>
          <w:szCs w:val="21"/>
        </w:rPr>
        <w:br w:type="textWrapping"/>
      </w:r>
      <w:r>
        <w:rPr>
          <w:rFonts w:ascii="宋体" w:hAnsi="宋体"/>
          <w:szCs w:val="21"/>
        </w:rPr>
        <w:t>２.行道树侧枝粗度大于主干粗度或接近主干粗度时，一律从基部剪除，绿地乔木可酌情处理。</w:t>
      </w:r>
      <w:r>
        <w:rPr>
          <w:rFonts w:ascii="宋体" w:hAnsi="宋体"/>
          <w:szCs w:val="21"/>
        </w:rPr>
        <w:br w:type="textWrapping"/>
      </w:r>
      <w:r>
        <w:rPr>
          <w:rFonts w:ascii="宋体" w:hAnsi="宋体"/>
          <w:szCs w:val="21"/>
        </w:rPr>
        <w:t>３.凡侧枝与主干并列或有争夺养分趋势的应予剪除。</w:t>
      </w:r>
      <w:r>
        <w:rPr>
          <w:rFonts w:ascii="宋体" w:hAnsi="宋体"/>
          <w:szCs w:val="21"/>
        </w:rPr>
        <w:br w:type="textWrapping"/>
      </w:r>
      <w:r>
        <w:rPr>
          <w:rFonts w:ascii="宋体" w:hAnsi="宋体"/>
          <w:szCs w:val="21"/>
        </w:rPr>
        <w:t>（三）老年期修剪应以恢复其生长势进行更新为主。而对于方向性好的徒长枝应予保留，用于复壮。</w:t>
      </w:r>
      <w:r>
        <w:rPr>
          <w:rFonts w:ascii="宋体" w:hAnsi="宋体"/>
          <w:szCs w:val="21"/>
        </w:rPr>
        <w:br w:type="textWrapping"/>
      </w:r>
      <w:r>
        <w:rPr>
          <w:rFonts w:ascii="宋体" w:hAnsi="宋体"/>
          <w:szCs w:val="21"/>
        </w:rPr>
        <w:t>第2.4.9条  果木的修剪应按各类不同果木的修剪技术要求进行。</w:t>
      </w:r>
      <w:r>
        <w:rPr>
          <w:rFonts w:ascii="宋体" w:hAnsi="宋体"/>
          <w:szCs w:val="21"/>
        </w:rPr>
        <w:br w:type="textWrapping"/>
      </w:r>
      <w:r>
        <w:rPr>
          <w:rFonts w:ascii="宋体" w:hAnsi="宋体"/>
          <w:szCs w:val="21"/>
        </w:rPr>
        <w:t>第2.4.10条  行道树与公用设施有矛盾的枝条应及时剪去，具体要求应不小于附表一的规定。</w:t>
      </w:r>
      <w:r>
        <w:rPr>
          <w:rFonts w:ascii="宋体" w:hAnsi="宋体"/>
          <w:szCs w:val="21"/>
        </w:rPr>
        <w:br w:type="textWrapping"/>
      </w:r>
      <w:r>
        <w:rPr>
          <w:rFonts w:ascii="宋体" w:hAnsi="宋体"/>
          <w:szCs w:val="21"/>
        </w:rPr>
        <w:t>第2.4.11条  行道树修剪必须按如下规定进行安全操作：</w:t>
      </w:r>
      <w:r>
        <w:rPr>
          <w:rFonts w:ascii="宋体" w:hAnsi="宋体"/>
          <w:szCs w:val="21"/>
        </w:rPr>
        <w:br w:type="textWrapping"/>
      </w:r>
      <w:r>
        <w:rPr>
          <w:rFonts w:ascii="宋体" w:hAnsi="宋体"/>
          <w:szCs w:val="21"/>
        </w:rPr>
        <w:t>（一）修剪行道树应事先将操作进行的路线与交通、公交、环卫、供电等部门联系，取得密切协作，相互配合。</w:t>
      </w:r>
    </w:p>
    <w:p>
      <w:pPr>
        <w:rPr>
          <w:rFonts w:hint="eastAsia" w:ascii="宋体" w:hAnsi="宋体"/>
          <w:szCs w:val="21"/>
        </w:rPr>
      </w:pPr>
      <w:r>
        <w:rPr>
          <w:rFonts w:ascii="宋体" w:hAnsi="宋体"/>
          <w:szCs w:val="21"/>
        </w:rPr>
        <w:t>（二）上树工上树前应将扶梯脚用橡皮包扎，扶梯应放置平稳，扶梯档子用铅丝加固，上下扶梯应面向扶梯。扶梯位置应放在人行道两侧。</w:t>
      </w:r>
    </w:p>
    <w:p>
      <w:pPr>
        <w:rPr>
          <w:rFonts w:hint="eastAsia" w:ascii="宋体" w:hAnsi="宋体"/>
          <w:szCs w:val="21"/>
        </w:rPr>
      </w:pPr>
      <w:r>
        <w:rPr>
          <w:rFonts w:ascii="宋体" w:hAnsi="宋体"/>
          <w:szCs w:val="21"/>
        </w:rPr>
        <w:t>（三）集中思想，不准酒后上树，不准树上吸烟，不准嘻笑打闹。必须穿胶鞋，系好安全带并系扣在粗壮的大枝上，戴好安全帽，随带工具放置在工具袋内，手锯柄应系好绳索套在手腕上。</w:t>
      </w:r>
    </w:p>
    <w:p>
      <w:pPr>
        <w:rPr>
          <w:rFonts w:hint="eastAsia" w:ascii="宋体" w:hAnsi="宋体"/>
          <w:szCs w:val="21"/>
        </w:rPr>
      </w:pPr>
      <w:r>
        <w:rPr>
          <w:rFonts w:ascii="宋体" w:hAnsi="宋体"/>
          <w:szCs w:val="21"/>
        </w:rPr>
        <w:t>（四）树上不准两人在同一分枝和同一方位上下作业。</w:t>
      </w:r>
      <w:r>
        <w:rPr>
          <w:rFonts w:ascii="宋体" w:hAnsi="宋体"/>
          <w:szCs w:val="21"/>
        </w:rPr>
        <w:br w:type="textWrapping"/>
      </w:r>
      <w:r>
        <w:rPr>
          <w:rFonts w:ascii="宋体" w:hAnsi="宋体"/>
          <w:szCs w:val="21"/>
        </w:rPr>
        <w:t>（五）上树工将大枝分段锯下前，应与地勤人员联络后，方可下落。</w:t>
      </w:r>
      <w:r>
        <w:rPr>
          <w:rFonts w:ascii="宋体" w:hAnsi="宋体"/>
          <w:szCs w:val="21"/>
        </w:rPr>
        <w:br w:type="textWrapping"/>
      </w:r>
      <w:r>
        <w:rPr>
          <w:rFonts w:ascii="宋体" w:hAnsi="宋体"/>
          <w:szCs w:val="21"/>
        </w:rPr>
        <w:t>（六）操作区内，必须用红、白小旗拉好安全区域。</w:t>
      </w:r>
      <w:r>
        <w:rPr>
          <w:rFonts w:ascii="宋体" w:hAnsi="宋体"/>
          <w:szCs w:val="21"/>
        </w:rPr>
        <w:br w:type="textWrapping"/>
      </w:r>
      <w:r>
        <w:rPr>
          <w:rFonts w:ascii="宋体" w:hAnsi="宋体"/>
          <w:szCs w:val="21"/>
        </w:rPr>
        <w:t>（七）修剪下来的树枝，落在房屋、围墙、架空线及搭挂在树上的，必须加以清除。修剪下来的树枝，应当日清除运走，属检疫对象的病虫枝应予以烧毁。</w:t>
      </w:r>
      <w:r>
        <w:rPr>
          <w:rFonts w:ascii="宋体" w:hAnsi="宋体"/>
          <w:szCs w:val="21"/>
        </w:rPr>
        <w:br w:type="textWrapping"/>
      </w:r>
      <w:r>
        <w:rPr>
          <w:rFonts w:ascii="宋体" w:hAnsi="宋体"/>
          <w:szCs w:val="21"/>
        </w:rPr>
        <w:t>（八）雨雪天、积雪、浓雾，树皮未干及风力七级以上，不得上树操作。</w:t>
      </w:r>
      <w:r>
        <w:rPr>
          <w:rFonts w:ascii="宋体" w:hAnsi="宋体"/>
          <w:szCs w:val="21"/>
        </w:rPr>
        <w:br w:type="textWrapping"/>
      </w:r>
      <w:r>
        <w:rPr>
          <w:rFonts w:ascii="宋体" w:hAnsi="宋体"/>
          <w:szCs w:val="21"/>
        </w:rPr>
        <w:t>（九）患有高血压、心脏病、严重关节炎、贫血者不得上树登高作业。</w:t>
      </w:r>
      <w:r>
        <w:rPr>
          <w:rFonts w:ascii="宋体" w:hAnsi="宋体"/>
          <w:szCs w:val="21"/>
        </w:rPr>
        <w:br w:type="textWrapping"/>
      </w:r>
      <w:r>
        <w:rPr>
          <w:rFonts w:ascii="宋体" w:hAnsi="宋体"/>
          <w:szCs w:val="21"/>
        </w:rPr>
        <w:t>（十）上树修剪必须有专业训练，机械作业应专人使用。</w:t>
      </w:r>
      <w:r>
        <w:rPr>
          <w:rFonts w:ascii="宋体" w:hAnsi="宋体"/>
          <w:szCs w:val="21"/>
        </w:rPr>
        <w:br w:type="textWrapping"/>
      </w:r>
      <w:r>
        <w:rPr>
          <w:rFonts w:ascii="宋体" w:hAnsi="宋体"/>
          <w:szCs w:val="21"/>
        </w:rPr>
        <w:t>第五节   防护设施</w:t>
      </w:r>
      <w:r>
        <w:rPr>
          <w:rFonts w:ascii="宋体" w:hAnsi="宋体"/>
          <w:szCs w:val="21"/>
        </w:rPr>
        <w:br w:type="textWrapping"/>
      </w:r>
      <w:r>
        <w:rPr>
          <w:rFonts w:ascii="宋体" w:hAnsi="宋体"/>
          <w:szCs w:val="21"/>
        </w:rPr>
        <w:t>第2.5.1条  围栏：为防止人畜或车辆碰撞树木，可在不影响游览、观赏和景观的条件下，在树木周围用各种栏栅、绿篱或其它措施围栏。</w:t>
      </w:r>
      <w:r>
        <w:rPr>
          <w:rFonts w:ascii="宋体" w:hAnsi="宋体"/>
          <w:szCs w:val="21"/>
        </w:rPr>
        <w:br w:type="textWrapping"/>
      </w:r>
      <w:r>
        <w:rPr>
          <w:rFonts w:ascii="宋体" w:hAnsi="宋体"/>
          <w:szCs w:val="21"/>
        </w:rPr>
        <w:t>第2.5.2条  浅根性高大乔木在风暴来临前，应以“预防为主，综合防护”的原则，在六月下旬以前做好立支柱、绑扎、加土、扶正、疏枝、打地桩等六项综合措施。</w:t>
      </w:r>
    </w:p>
    <w:p>
      <w:pPr>
        <w:rPr>
          <w:rFonts w:hint="eastAsia" w:ascii="宋体" w:hAnsi="宋体"/>
          <w:szCs w:val="21"/>
        </w:rPr>
      </w:pPr>
      <w:r>
        <w:rPr>
          <w:rFonts w:ascii="宋体" w:hAnsi="宋体"/>
          <w:szCs w:val="21"/>
        </w:rPr>
        <w:t>第2.5.3条  因自然灾害等造成树木倒伏的，应及时扶正加固，影响交通等公用设施的应及时修剪并采取相应措施。</w:t>
      </w:r>
    </w:p>
    <w:p>
      <w:pPr>
        <w:rPr>
          <w:rFonts w:hint="eastAsia" w:ascii="宋体" w:hAnsi="宋体"/>
          <w:szCs w:val="21"/>
        </w:rPr>
      </w:pPr>
      <w:r>
        <w:rPr>
          <w:rFonts w:ascii="宋体" w:hAnsi="宋体"/>
          <w:szCs w:val="21"/>
        </w:rPr>
        <w:t>第2.5.4条  凡易受冻害的树木，冬季应采取根际培土主干包扎等防寒措施。</w:t>
      </w:r>
    </w:p>
    <w:p>
      <w:pPr>
        <w:rPr>
          <w:rFonts w:hint="eastAsia" w:ascii="宋体" w:hAnsi="宋体"/>
          <w:szCs w:val="21"/>
        </w:rPr>
      </w:pPr>
      <w:r>
        <w:rPr>
          <w:rFonts w:ascii="宋体" w:hAnsi="宋体"/>
          <w:szCs w:val="21"/>
        </w:rPr>
        <w:t>第2.5.5条  枝叶积雪时应及时清除；有倒伏危险的树木应树立支柱支撑保护。</w:t>
      </w:r>
      <w:r>
        <w:rPr>
          <w:rFonts w:ascii="宋体" w:hAnsi="宋体"/>
          <w:szCs w:val="21"/>
        </w:rPr>
        <w:br w:type="textWrapping"/>
      </w:r>
      <w:r>
        <w:rPr>
          <w:rFonts w:ascii="宋体" w:hAnsi="宋体"/>
          <w:szCs w:val="21"/>
        </w:rPr>
        <w:t>第六节   补植树木</w:t>
      </w:r>
    </w:p>
    <w:p>
      <w:pPr>
        <w:rPr>
          <w:rFonts w:hint="eastAsia" w:ascii="宋体" w:hAnsi="宋体"/>
          <w:szCs w:val="21"/>
        </w:rPr>
      </w:pPr>
      <w:r>
        <w:rPr>
          <w:rFonts w:ascii="宋体" w:hAnsi="宋体"/>
          <w:szCs w:val="21"/>
        </w:rPr>
        <w:t>第2.6.1条  树木缺株应尽早适时补植。</w:t>
      </w:r>
    </w:p>
    <w:p>
      <w:pPr>
        <w:rPr>
          <w:rFonts w:hint="eastAsia" w:ascii="宋体" w:hAnsi="宋体"/>
          <w:szCs w:val="21"/>
        </w:rPr>
      </w:pPr>
      <w:r>
        <w:rPr>
          <w:rFonts w:ascii="宋体" w:hAnsi="宋体"/>
          <w:szCs w:val="21"/>
        </w:rPr>
        <w:t>第2.6.2条  补植季节应以春秋两季种植为主，非种植季节补植时，应采取相应措施并加强补植后的养护工作。</w:t>
      </w:r>
    </w:p>
    <w:p>
      <w:pPr>
        <w:rPr>
          <w:rFonts w:hint="eastAsia" w:ascii="宋体" w:hAnsi="宋体"/>
          <w:szCs w:val="21"/>
        </w:rPr>
      </w:pPr>
      <w:r>
        <w:rPr>
          <w:rFonts w:ascii="宋体" w:hAnsi="宋体"/>
          <w:szCs w:val="21"/>
        </w:rPr>
        <w:t>第2.6.3条  补植的树木，应选用原来树种，规格也应相近似；若改变树种或规格则须与原来的景观相协调。补植行道树树种必须与同路段树种一致。</w:t>
      </w:r>
      <w:r>
        <w:rPr>
          <w:rFonts w:ascii="宋体" w:hAnsi="宋体"/>
          <w:szCs w:val="21"/>
        </w:rPr>
        <w:br w:type="textWrapping"/>
      </w:r>
      <w:r>
        <w:rPr>
          <w:rFonts w:ascii="宋体" w:hAnsi="宋体"/>
          <w:szCs w:val="21"/>
        </w:rPr>
        <w:t>第七节  枯死树木的挖除</w:t>
      </w:r>
    </w:p>
    <w:p>
      <w:pPr>
        <w:rPr>
          <w:rFonts w:hint="eastAsia" w:ascii="宋体" w:hAnsi="宋体"/>
          <w:szCs w:val="21"/>
        </w:rPr>
      </w:pPr>
      <w:r>
        <w:rPr>
          <w:rFonts w:ascii="宋体" w:hAnsi="宋体"/>
          <w:szCs w:val="21"/>
        </w:rPr>
        <w:t>第2.7.1条  枯死树木应连同根部及时挖除，并结合做好补植工作。</w:t>
      </w:r>
    </w:p>
    <w:p>
      <w:pPr>
        <w:rPr>
          <w:rFonts w:hint="eastAsia" w:ascii="宋体" w:hAnsi="宋体"/>
          <w:szCs w:val="21"/>
        </w:rPr>
      </w:pPr>
      <w:r>
        <w:rPr>
          <w:rFonts w:ascii="宋体" w:hAnsi="宋体"/>
          <w:szCs w:val="21"/>
        </w:rPr>
        <w:t>第2.7.2条  古树名木在挖除前，必须报经市主管部门审批，任何单位和个人均无权擅自挖除。</w:t>
      </w:r>
      <w:r>
        <w:rPr>
          <w:rFonts w:ascii="宋体" w:hAnsi="宋体"/>
          <w:szCs w:val="21"/>
        </w:rPr>
        <w:br w:type="textWrapping"/>
      </w:r>
      <w:r>
        <w:rPr>
          <w:rFonts w:ascii="宋体" w:hAnsi="宋体"/>
          <w:szCs w:val="21"/>
        </w:rPr>
        <w:t>第三章    地被和草坪养护</w:t>
      </w:r>
      <w:r>
        <w:rPr>
          <w:rFonts w:ascii="宋体" w:hAnsi="宋体"/>
          <w:szCs w:val="21"/>
        </w:rPr>
        <w:br w:type="textWrapping"/>
      </w:r>
      <w:r>
        <w:rPr>
          <w:rFonts w:ascii="宋体" w:hAnsi="宋体"/>
          <w:szCs w:val="21"/>
        </w:rPr>
        <w:t>第一节  地  被</w:t>
      </w:r>
      <w:r>
        <w:rPr>
          <w:rFonts w:ascii="宋体" w:hAnsi="宋体"/>
          <w:szCs w:val="21"/>
        </w:rPr>
        <w:br w:type="textWrapping"/>
      </w:r>
      <w:r>
        <w:rPr>
          <w:rFonts w:ascii="宋体" w:hAnsi="宋体"/>
          <w:szCs w:val="21"/>
        </w:rPr>
        <w:t>第3.1.1条  地被植物在未覆盖前期，每年应及时中耕除草，促进地被植物覆盖。</w:t>
      </w:r>
      <w:r>
        <w:rPr>
          <w:rFonts w:ascii="宋体" w:hAnsi="宋体"/>
          <w:szCs w:val="21"/>
        </w:rPr>
        <w:br w:type="textWrapping"/>
      </w:r>
      <w:r>
        <w:rPr>
          <w:rFonts w:ascii="宋体" w:hAnsi="宋体"/>
          <w:szCs w:val="21"/>
        </w:rPr>
        <w:t>第3.1.2条  早春发芽前期要普遍进行施肥，采取薄肥勤施的方法。土壤干燥时要适时、适量进行浇水。第3.1.3条  发现枯死植株应及时挖除和补植；枯叶残花要随时整理清除。</w:t>
      </w:r>
    </w:p>
    <w:p>
      <w:pPr>
        <w:rPr>
          <w:rFonts w:hint="eastAsia" w:ascii="宋体" w:hAnsi="宋体"/>
          <w:szCs w:val="21"/>
        </w:rPr>
      </w:pPr>
      <w:r>
        <w:rPr>
          <w:rFonts w:ascii="宋体" w:hAnsi="宋体"/>
          <w:szCs w:val="21"/>
        </w:rPr>
        <w:t>第3.1.4条  木本地被植物萌发能力强者，应在冬季休眠期进行修剪。应使植株在生长期间，始终保持在高度不超过60CM的低矮状态.</w:t>
      </w:r>
    </w:p>
    <w:p>
      <w:pPr>
        <w:rPr>
          <w:rFonts w:hint="eastAsia" w:ascii="宋体" w:hAnsi="宋体"/>
          <w:szCs w:val="21"/>
        </w:rPr>
      </w:pPr>
      <w:r>
        <w:rPr>
          <w:rFonts w:ascii="宋体" w:hAnsi="宋体"/>
          <w:szCs w:val="21"/>
        </w:rPr>
        <w:t>第3.1.5条  球根、宿根类地被植物，经3—4年生长后，根部分蘖已影响其正常发育时，应进行分株更新。</w:t>
      </w:r>
    </w:p>
    <w:p>
      <w:pPr>
        <w:rPr>
          <w:rFonts w:hint="eastAsia" w:ascii="宋体" w:hAnsi="宋体"/>
          <w:szCs w:val="21"/>
        </w:rPr>
      </w:pPr>
      <w:r>
        <w:rPr>
          <w:rFonts w:ascii="宋体" w:hAnsi="宋体"/>
          <w:szCs w:val="21"/>
        </w:rPr>
        <w:t>第二节  草  坪</w:t>
      </w:r>
    </w:p>
    <w:p>
      <w:pPr>
        <w:rPr>
          <w:rFonts w:hint="eastAsia" w:ascii="宋体" w:hAnsi="宋体"/>
          <w:szCs w:val="21"/>
        </w:rPr>
      </w:pPr>
      <w:r>
        <w:rPr>
          <w:rFonts w:ascii="宋体" w:hAnsi="宋体"/>
          <w:szCs w:val="21"/>
        </w:rPr>
        <w:t>第3.2.1条  草坪中杂草应及时剔除，杂草过多又无法净化时，应淘汰重铺。凡低洼常年积水处，要填土整平或浅沟排水。空秃地段应及时补种。</w:t>
      </w:r>
    </w:p>
    <w:p>
      <w:pPr>
        <w:rPr>
          <w:rFonts w:hint="eastAsia" w:ascii="宋体" w:hAnsi="宋体"/>
          <w:szCs w:val="21"/>
        </w:rPr>
      </w:pPr>
      <w:r>
        <w:rPr>
          <w:rFonts w:ascii="宋体" w:hAnsi="宋体"/>
          <w:szCs w:val="21"/>
        </w:rPr>
        <w:t>第3.2.2条  采用化学除莠剂除草时，必须选用已经过试验成功的药剂。严格掌握施用的浓度和时间。第3.2.3条  草坪在生长季节，应适时进行中耕、加土、镇压保持土壤平整和良好的透气性。</w:t>
      </w:r>
    </w:p>
    <w:p>
      <w:pPr>
        <w:rPr>
          <w:rFonts w:hint="eastAsia" w:ascii="宋体" w:hAnsi="宋体"/>
          <w:szCs w:val="21"/>
        </w:rPr>
      </w:pPr>
      <w:r>
        <w:rPr>
          <w:rFonts w:ascii="宋体" w:hAnsi="宋体"/>
          <w:szCs w:val="21"/>
        </w:rPr>
        <w:t>第3.2.4条  草坪应适时进行修剪，高度视不同品种及不同季节，一般控制在4—10CM，普通草坪不超8CM。冷季型草坪(如高羊草)生长季宜控制在8CM，休眠期宜控制在10—12CM；暖季型草坪生长季控制在4—6CM，休眠期控制在4CM。</w:t>
      </w:r>
      <w:r>
        <w:rPr>
          <w:rFonts w:ascii="宋体" w:hAnsi="宋体"/>
          <w:szCs w:val="21"/>
        </w:rPr>
        <w:br w:type="textWrapping"/>
      </w:r>
      <w:r>
        <w:rPr>
          <w:rFonts w:ascii="宋体" w:hAnsi="宋体"/>
          <w:szCs w:val="21"/>
        </w:rPr>
        <w:t>第3.2.5条 草坪靠近道路一边和树穴的草要修剪整齐，保持线条清晰，修剪前必须清除草坪上的石子、瓦砾、树枝等杂物。修剪要平整，边角无遗漏，草屑应及时清除。</w:t>
      </w:r>
      <w:r>
        <w:rPr>
          <w:rFonts w:ascii="宋体" w:hAnsi="宋体"/>
          <w:szCs w:val="21"/>
        </w:rPr>
        <w:br w:type="textWrapping"/>
      </w:r>
      <w:r>
        <w:rPr>
          <w:rFonts w:ascii="宋体" w:hAnsi="宋体"/>
          <w:szCs w:val="21"/>
        </w:rPr>
        <w:t>第3.2.6条  草坪生长期应及时浇水，特别注意夏季、秋冬季的抗旱工作。冷季型草坪夏季应充分浇水，暖季型草坪应在早春和11月份各浇一次透水，以后视情况而定。</w:t>
      </w:r>
    </w:p>
    <w:p>
      <w:pPr>
        <w:rPr>
          <w:rFonts w:hint="eastAsia" w:ascii="宋体" w:hAnsi="宋体"/>
          <w:szCs w:val="21"/>
        </w:rPr>
      </w:pPr>
      <w:r>
        <w:rPr>
          <w:rFonts w:ascii="宋体" w:hAnsi="宋体"/>
          <w:szCs w:val="21"/>
        </w:rPr>
        <w:t>第3.2.7条  草坪施肥应遵循“薄肥勤施原则”，以有机肥和复合肥为主，对冷季型草坪施肥宜在10—3月进行，一般3—5次，对高羊草等品种应视具体情况而定，适当增加次数。暖季型草坪视生长而定，宜在4—9月进行，一般l—2次。</w:t>
      </w:r>
      <w:r>
        <w:rPr>
          <w:rFonts w:ascii="宋体" w:hAnsi="宋体"/>
          <w:szCs w:val="21"/>
        </w:rPr>
        <w:br w:type="textWrapping"/>
      </w:r>
      <w:r>
        <w:rPr>
          <w:rFonts w:ascii="宋体" w:hAnsi="宋体"/>
          <w:szCs w:val="21"/>
        </w:rPr>
        <w:t>第3.2.8条  草坪萌芽期，土壤过湿或浇水后应暂停开放。</w:t>
      </w:r>
      <w:r>
        <w:rPr>
          <w:rFonts w:ascii="宋体" w:hAnsi="宋体"/>
          <w:szCs w:val="21"/>
        </w:rPr>
        <w:br w:type="textWrapping"/>
      </w:r>
      <w:r>
        <w:rPr>
          <w:rFonts w:ascii="宋体" w:hAnsi="宋体"/>
          <w:szCs w:val="21"/>
        </w:rPr>
        <w:t>第3.2.9条  在春季可行加泥滚压，不使草根暴露。</w:t>
      </w:r>
      <w:r>
        <w:rPr>
          <w:rFonts w:ascii="宋体" w:hAnsi="宋体"/>
          <w:szCs w:val="21"/>
        </w:rPr>
        <w:br w:type="textWrapping"/>
      </w:r>
      <w:r>
        <w:rPr>
          <w:rFonts w:ascii="宋体" w:hAnsi="宋体"/>
          <w:szCs w:val="21"/>
        </w:rPr>
        <w:t>第3.2.10条  发现病虫害应及时防治。对冷季型草坪应注意夜蛾害虫发生，定时预防，预防时间4—9月。</w:t>
      </w:r>
      <w:r>
        <w:rPr>
          <w:rFonts w:ascii="宋体" w:hAnsi="宋体"/>
          <w:szCs w:val="21"/>
        </w:rPr>
        <w:br w:type="textWrapping"/>
      </w:r>
      <w:r>
        <w:rPr>
          <w:rFonts w:ascii="宋体" w:hAnsi="宋体"/>
          <w:szCs w:val="21"/>
        </w:rPr>
        <w:t>第3.2.11条  草坪可采用打孔松土进行土壤疏松，冷季型草坪宜在秋季进行，暖季型宜在早春进行。</w:t>
      </w:r>
      <w:r>
        <w:rPr>
          <w:rFonts w:ascii="宋体" w:hAnsi="宋体"/>
          <w:szCs w:val="21"/>
        </w:rPr>
        <w:br w:type="textWrapping"/>
      </w:r>
      <w:r>
        <w:rPr>
          <w:rFonts w:ascii="宋体" w:hAnsi="宋体"/>
          <w:szCs w:val="21"/>
        </w:rPr>
        <w:t>第四章  花坛及花坛花卉的养护</w:t>
      </w:r>
      <w:r>
        <w:rPr>
          <w:rFonts w:ascii="宋体" w:hAnsi="宋体"/>
          <w:szCs w:val="21"/>
        </w:rPr>
        <w:br w:type="textWrapping"/>
      </w:r>
      <w:r>
        <w:rPr>
          <w:rFonts w:ascii="宋体" w:hAnsi="宋体"/>
          <w:szCs w:val="21"/>
        </w:rPr>
        <w:t>第一节  花  坛</w:t>
      </w:r>
      <w:r>
        <w:rPr>
          <w:rFonts w:ascii="宋体" w:hAnsi="宋体"/>
          <w:szCs w:val="21"/>
        </w:rPr>
        <w:br w:type="textWrapping"/>
      </w:r>
      <w:r>
        <w:rPr>
          <w:rFonts w:ascii="宋体" w:hAnsi="宋体"/>
          <w:szCs w:val="21"/>
        </w:rPr>
        <w:t>第4.1.1条  应根据不同花卉品种和花坛的分级标准，制定花坛养护分级技术措施和管理质量标准。</w:t>
      </w:r>
    </w:p>
    <w:p>
      <w:pPr>
        <w:rPr>
          <w:rFonts w:hint="eastAsia" w:ascii="宋体" w:hAnsi="宋体"/>
          <w:szCs w:val="21"/>
        </w:rPr>
      </w:pPr>
      <w:r>
        <w:rPr>
          <w:rFonts w:ascii="宋体" w:hAnsi="宋体"/>
          <w:szCs w:val="21"/>
        </w:rPr>
        <w:t>第4.1.2条  花坛换花移栽前必须要深耕细耙，清除土中石块、草屑、残茎和落叶等杂物并施足基肥。重点花坛换花应用脱盆大苗。</w:t>
      </w:r>
      <w:r>
        <w:rPr>
          <w:rFonts w:ascii="宋体" w:hAnsi="宋体"/>
          <w:szCs w:val="21"/>
        </w:rPr>
        <w:br w:type="textWrapping"/>
      </w:r>
      <w:r>
        <w:rPr>
          <w:rFonts w:ascii="宋体" w:hAnsi="宋体"/>
          <w:szCs w:val="21"/>
        </w:rPr>
        <w:t>第4.1.3条  花坛的防护设施应经常保持清洁完好，发现损坏，应及时修复。</w:t>
      </w:r>
      <w:r>
        <w:rPr>
          <w:rFonts w:ascii="宋体" w:hAnsi="宋体"/>
          <w:szCs w:val="21"/>
        </w:rPr>
        <w:br w:type="textWrapping"/>
      </w:r>
      <w:r>
        <w:rPr>
          <w:rFonts w:ascii="宋体" w:hAnsi="宋体"/>
          <w:szCs w:val="21"/>
        </w:rPr>
        <w:t>第二节  花  卉</w:t>
      </w:r>
      <w:r>
        <w:rPr>
          <w:rFonts w:ascii="宋体" w:hAnsi="宋体"/>
          <w:szCs w:val="21"/>
        </w:rPr>
        <w:br w:type="textWrapping"/>
      </w:r>
      <w:r>
        <w:rPr>
          <w:rFonts w:ascii="宋体" w:hAnsi="宋体"/>
          <w:szCs w:val="21"/>
        </w:rPr>
        <w:t>第4.2.1条  夏季花苗的移栽应在早晨或傍晚进行。</w:t>
      </w:r>
      <w:r>
        <w:rPr>
          <w:rFonts w:ascii="宋体" w:hAnsi="宋体"/>
          <w:szCs w:val="21"/>
        </w:rPr>
        <w:br w:type="textWrapping"/>
      </w:r>
      <w:r>
        <w:rPr>
          <w:rFonts w:ascii="宋体" w:hAnsi="宋体"/>
          <w:szCs w:val="21"/>
        </w:rPr>
        <w:t>第4.2.2条  移栽后，应随即浇透水。移栽后的4—5天内视天气和土壤干湿情况补充水分。</w:t>
      </w:r>
      <w:r>
        <w:rPr>
          <w:rFonts w:ascii="宋体" w:hAnsi="宋体"/>
          <w:szCs w:val="21"/>
        </w:rPr>
        <w:br w:type="textWrapping"/>
      </w:r>
      <w:r>
        <w:rPr>
          <w:rFonts w:ascii="宋体" w:hAnsi="宋体"/>
          <w:szCs w:val="21"/>
        </w:rPr>
        <w:t>第4.2.3条  在花卉生长盛期，要及时中耕除草，追施肥料，施肥后应立即喷洒清水。</w:t>
      </w:r>
    </w:p>
    <w:p>
      <w:pPr>
        <w:rPr>
          <w:rFonts w:hint="eastAsia" w:ascii="宋体" w:hAnsi="宋体"/>
          <w:szCs w:val="21"/>
        </w:rPr>
      </w:pPr>
      <w:r>
        <w:rPr>
          <w:rFonts w:ascii="宋体" w:hAnsi="宋体"/>
          <w:szCs w:val="21"/>
        </w:rPr>
        <w:t>第4.2.4条  枯萎的花蒂和黄叶要及时剪除，以保持花坛清洁，缺株要及时补栽；凡须摘心的品种，应及时进行。</w:t>
      </w:r>
      <w:r>
        <w:rPr>
          <w:rFonts w:ascii="宋体" w:hAnsi="宋体"/>
          <w:szCs w:val="21"/>
        </w:rPr>
        <w:br w:type="textWrapping"/>
      </w:r>
      <w:r>
        <w:rPr>
          <w:rFonts w:ascii="宋体" w:hAnsi="宋体"/>
          <w:szCs w:val="21"/>
        </w:rPr>
        <w:t>第4.2.5条  木本花卉要及时修枝、整形；易倒伏的，要立支柱绑扎。</w:t>
      </w:r>
      <w:r>
        <w:rPr>
          <w:rFonts w:ascii="宋体" w:hAnsi="宋体"/>
          <w:szCs w:val="21"/>
        </w:rPr>
        <w:br w:type="textWrapping"/>
      </w:r>
      <w:r>
        <w:rPr>
          <w:rFonts w:ascii="宋体" w:hAnsi="宋体"/>
          <w:szCs w:val="21"/>
        </w:rPr>
        <w:t>第五章  古树名木养护</w:t>
      </w:r>
    </w:p>
    <w:p>
      <w:pPr>
        <w:rPr>
          <w:rFonts w:hint="eastAsia" w:ascii="宋体" w:hAnsi="宋体"/>
          <w:szCs w:val="21"/>
        </w:rPr>
      </w:pPr>
      <w:r>
        <w:rPr>
          <w:rFonts w:ascii="宋体" w:hAnsi="宋体"/>
          <w:szCs w:val="21"/>
        </w:rPr>
        <w:t>第5.0.1条  古树名木要建立档案和标志，进行重点保护，并指定专人负责养护。</w:t>
      </w:r>
    </w:p>
    <w:p>
      <w:pPr>
        <w:rPr>
          <w:rFonts w:hint="eastAsia" w:ascii="宋体" w:hAnsi="宋体"/>
          <w:szCs w:val="21"/>
        </w:rPr>
      </w:pPr>
      <w:r>
        <w:rPr>
          <w:rFonts w:ascii="宋体" w:hAnsi="宋体"/>
          <w:szCs w:val="21"/>
        </w:rPr>
        <w:t>第5.0.2条  对古树名木生长不利的立地条件须及时改进；对腐烂的部位应按外科方法进行治疗，并保持其古老苍劲的形态。</w:t>
      </w:r>
      <w:r>
        <w:rPr>
          <w:rFonts w:ascii="宋体" w:hAnsi="宋体"/>
          <w:szCs w:val="21"/>
        </w:rPr>
        <w:br w:type="textWrapping"/>
      </w:r>
      <w:r>
        <w:rPr>
          <w:rFonts w:ascii="宋体" w:hAnsi="宋体"/>
          <w:szCs w:val="21"/>
        </w:rPr>
        <w:t>第5.0.3条  古树名木易受蛀蚀性害虫危害，应制定切实可行的措施及时防治。</w:t>
      </w:r>
    </w:p>
    <w:p>
      <w:pPr>
        <w:rPr>
          <w:rFonts w:hint="eastAsia" w:ascii="宋体" w:hAnsi="宋体"/>
          <w:szCs w:val="21"/>
        </w:rPr>
      </w:pPr>
      <w:r>
        <w:rPr>
          <w:rFonts w:ascii="宋体" w:hAnsi="宋体"/>
          <w:szCs w:val="21"/>
        </w:rPr>
        <w:t>第5.0.4条  对生长日益衰弱的古树名木，应组织有关科技人员，制定复壮措施。</w:t>
      </w:r>
    </w:p>
    <w:p>
      <w:pPr>
        <w:rPr>
          <w:rFonts w:hint="eastAsia" w:ascii="宋体" w:hAnsi="宋体"/>
          <w:szCs w:val="21"/>
        </w:rPr>
      </w:pPr>
      <w:r>
        <w:rPr>
          <w:rFonts w:ascii="宋体" w:hAnsi="宋体"/>
          <w:szCs w:val="21"/>
        </w:rPr>
        <w:t>第5.0.5条  已倾斜的古树要予以支撑，防止倒状，并应注意美观。</w:t>
      </w:r>
    </w:p>
    <w:p>
      <w:pPr>
        <w:rPr>
          <w:rFonts w:hint="eastAsia" w:ascii="宋体" w:hAnsi="宋体"/>
          <w:szCs w:val="21"/>
        </w:rPr>
      </w:pPr>
      <w:r>
        <w:rPr>
          <w:rFonts w:ascii="宋体" w:hAnsi="宋体"/>
          <w:szCs w:val="21"/>
        </w:rPr>
        <w:t>第5.0.6条  对有历史背景和具有纪念性意义的已枯死的古木应立碑保留。</w:t>
      </w:r>
    </w:p>
    <w:p>
      <w:pPr>
        <w:rPr>
          <w:rFonts w:hint="eastAsia" w:ascii="宋体" w:hAnsi="宋体"/>
          <w:szCs w:val="21"/>
        </w:rPr>
      </w:pPr>
      <w:r>
        <w:rPr>
          <w:rFonts w:ascii="宋体" w:hAnsi="宋体"/>
          <w:szCs w:val="21"/>
        </w:rPr>
        <w:t>第5.0.7条  严禁砍伐、擅自移植及其他损害古树名木的行为。</w:t>
      </w:r>
      <w:r>
        <w:rPr>
          <w:rFonts w:ascii="宋体" w:hAnsi="宋体"/>
          <w:szCs w:val="21"/>
        </w:rPr>
        <w:br w:type="textWrapping"/>
      </w:r>
      <w:r>
        <w:rPr>
          <w:rFonts w:ascii="宋体" w:hAnsi="宋体"/>
          <w:szCs w:val="21"/>
        </w:rPr>
        <w:t>第六章  园林病虫、杂草防治</w:t>
      </w:r>
      <w:r>
        <w:rPr>
          <w:rFonts w:ascii="宋体" w:hAnsi="宋体"/>
          <w:szCs w:val="21"/>
        </w:rPr>
        <w:br w:type="textWrapping"/>
      </w:r>
      <w:r>
        <w:rPr>
          <w:rFonts w:ascii="宋体" w:hAnsi="宋体"/>
          <w:szCs w:val="21"/>
        </w:rPr>
        <w:t>第一节  病虫害防治</w:t>
      </w:r>
    </w:p>
    <w:p>
      <w:pPr>
        <w:rPr>
          <w:rFonts w:hint="eastAsia" w:ascii="宋体" w:hAnsi="宋体"/>
          <w:szCs w:val="21"/>
        </w:rPr>
      </w:pPr>
      <w:r>
        <w:rPr>
          <w:rFonts w:ascii="宋体" w:hAnsi="宋体"/>
          <w:szCs w:val="21"/>
        </w:rPr>
        <w:t>第6.1.1条  贯彻“预防为主、综合治理”的病虫害防治方针。充分利用园林间植被的多样化来保护和增殖天敌，抑制病虫害。</w:t>
      </w:r>
      <w:r>
        <w:rPr>
          <w:rFonts w:ascii="宋体" w:hAnsi="宋体"/>
          <w:szCs w:val="21"/>
        </w:rPr>
        <w:br w:type="textWrapping"/>
      </w:r>
      <w:r>
        <w:rPr>
          <w:rFonts w:ascii="宋体" w:hAnsi="宋体"/>
          <w:szCs w:val="21"/>
        </w:rPr>
        <w:t>第6.1.2条 引进和输出种苗，必须严格遵守国家和本市有关植物检疫法和有关规章制度。</w:t>
      </w:r>
      <w:r>
        <w:rPr>
          <w:rFonts w:ascii="宋体" w:hAnsi="宋体"/>
          <w:szCs w:val="21"/>
        </w:rPr>
        <w:br w:type="textWrapping"/>
      </w:r>
      <w:r>
        <w:rPr>
          <w:rFonts w:ascii="宋体" w:hAnsi="宋体"/>
          <w:szCs w:val="21"/>
        </w:rPr>
        <w:t>(一)从外地引入苗木、花卉、草坪及绿化材料必须先经植保专业人员检查，确无检疫性病、虫、草害，才能种植，若有其它严重病虫必须经植保人员进行技术处理后方可种植。</w:t>
      </w:r>
      <w:r>
        <w:rPr>
          <w:rFonts w:ascii="宋体" w:hAnsi="宋体"/>
          <w:szCs w:val="21"/>
        </w:rPr>
        <w:br w:type="textWrapping"/>
      </w:r>
      <w:r>
        <w:rPr>
          <w:rFonts w:ascii="宋体" w:hAnsi="宋体"/>
          <w:szCs w:val="21"/>
        </w:rPr>
        <w:t>(二)本地苗圃出售苗木、花卉、草被及绿化材料，严禁附带病虫源出圃。</w:t>
      </w:r>
      <w:r>
        <w:rPr>
          <w:rFonts w:ascii="宋体" w:hAnsi="宋体"/>
          <w:szCs w:val="21"/>
        </w:rPr>
        <w:br w:type="textWrapping"/>
      </w:r>
      <w:r>
        <w:rPr>
          <w:rFonts w:ascii="宋体" w:hAnsi="宋体"/>
          <w:szCs w:val="21"/>
        </w:rPr>
        <w:t>(三)对有检疫性危险病、虫、草害源的进口园林植物，必须在隔离温室或隔离区观察或处理，经一年以上确无危险病、虫、草后才能繁殖或定植。</w:t>
      </w:r>
    </w:p>
    <w:p>
      <w:pPr>
        <w:rPr>
          <w:rFonts w:hint="eastAsia" w:ascii="宋体" w:hAnsi="宋体"/>
          <w:szCs w:val="21"/>
        </w:rPr>
      </w:pPr>
      <w:r>
        <w:rPr>
          <w:rFonts w:ascii="宋体" w:hAnsi="宋体"/>
          <w:szCs w:val="21"/>
        </w:rPr>
        <w:t>第6.1.3条  应做好园林植物病虫害的预测预报工作，制订长期和短期的防治计划。</w:t>
      </w:r>
    </w:p>
    <w:p>
      <w:pPr>
        <w:rPr>
          <w:rFonts w:hint="eastAsia" w:ascii="宋体" w:hAnsi="宋体"/>
          <w:szCs w:val="21"/>
        </w:rPr>
      </w:pPr>
      <w:r>
        <w:rPr>
          <w:rFonts w:ascii="宋体" w:hAnsi="宋体"/>
          <w:szCs w:val="21"/>
        </w:rPr>
        <w:t>第6.1.4条  发现危害严重，且大面积发生的，应及时组织力量进行调查、分析，针对性采取措施。</w:t>
      </w:r>
    </w:p>
    <w:p>
      <w:pPr>
        <w:rPr>
          <w:rFonts w:hint="eastAsia" w:ascii="宋体" w:hAnsi="宋体"/>
          <w:szCs w:val="21"/>
        </w:rPr>
      </w:pPr>
      <w:r>
        <w:rPr>
          <w:rFonts w:ascii="宋体" w:hAnsi="宋体"/>
          <w:szCs w:val="21"/>
        </w:rPr>
        <w:t>第6.1.5条  必须对本市园林植物危害既普遍又严重的各类蚧壳虫、蚜虫、叶螨、粉虱、天牛、木蠡等害虫，以及白粉病、炭疽病、褐斑病、黑斑病等病害进行综合防治。</w:t>
      </w:r>
    </w:p>
    <w:p>
      <w:pPr>
        <w:rPr>
          <w:rFonts w:hint="eastAsia" w:ascii="宋体" w:hAnsi="宋体"/>
          <w:szCs w:val="21"/>
        </w:rPr>
      </w:pPr>
      <w:r>
        <w:rPr>
          <w:rFonts w:ascii="宋体" w:hAnsi="宋体"/>
          <w:szCs w:val="21"/>
        </w:rPr>
        <w:t>第6.1.6条  园艺防治</w:t>
      </w:r>
      <w:r>
        <w:rPr>
          <w:rFonts w:ascii="宋体" w:hAnsi="宋体"/>
          <w:szCs w:val="21"/>
        </w:rPr>
        <w:br w:type="textWrapping"/>
      </w:r>
      <w:r>
        <w:rPr>
          <w:rFonts w:ascii="宋体" w:hAnsi="宋体"/>
          <w:szCs w:val="21"/>
        </w:rPr>
        <w:t>(一)加强养护管理、夏、秋生长季节应适量控制氮肥，增施磷、钾肥，禁止施用未腐熟的堆肥、厩肥、饼肥和植物残体，做好排水工作。</w:t>
      </w:r>
      <w:r>
        <w:rPr>
          <w:rFonts w:ascii="宋体" w:hAnsi="宋体"/>
          <w:szCs w:val="21"/>
        </w:rPr>
        <w:br w:type="textWrapping"/>
      </w:r>
      <w:r>
        <w:rPr>
          <w:rFonts w:ascii="宋体" w:hAnsi="宋体"/>
          <w:szCs w:val="21"/>
        </w:rPr>
        <w:t>(二)适度修剪，剪除病、虫枝，挡风、遮光徒长枝，过密的内膛枝。</w:t>
      </w:r>
      <w:r>
        <w:rPr>
          <w:rFonts w:ascii="宋体" w:hAnsi="宋体"/>
          <w:szCs w:val="21"/>
        </w:rPr>
        <w:br w:type="textWrapping"/>
      </w:r>
      <w:r>
        <w:rPr>
          <w:rFonts w:ascii="宋体" w:hAnsi="宋体"/>
          <w:szCs w:val="21"/>
        </w:rPr>
        <w:t>(三)对病叶、病枝、病根、病株应及时集中焚毁。</w:t>
      </w:r>
      <w:r>
        <w:rPr>
          <w:rFonts w:ascii="宋体" w:hAnsi="宋体"/>
          <w:szCs w:val="21"/>
        </w:rPr>
        <w:br w:type="textWrapping"/>
      </w:r>
      <w:r>
        <w:rPr>
          <w:rFonts w:ascii="宋体" w:hAnsi="宋体"/>
          <w:szCs w:val="21"/>
        </w:rPr>
        <w:t>(四)结合中耕(冬耕)除草，消灭地下害虫。</w:t>
      </w:r>
      <w:r>
        <w:rPr>
          <w:rFonts w:ascii="宋体" w:hAnsi="宋体"/>
          <w:szCs w:val="21"/>
        </w:rPr>
        <w:br w:type="textWrapping"/>
      </w:r>
      <w:r>
        <w:rPr>
          <w:rFonts w:ascii="宋体" w:hAnsi="宋体"/>
          <w:szCs w:val="21"/>
        </w:rPr>
        <w:t>(五)有土传病原的土壤，应及时消毒。</w:t>
      </w:r>
    </w:p>
    <w:p>
      <w:pPr>
        <w:rPr>
          <w:rFonts w:hint="eastAsia" w:ascii="宋体" w:hAnsi="宋体"/>
          <w:szCs w:val="21"/>
        </w:rPr>
      </w:pPr>
      <w:r>
        <w:rPr>
          <w:rFonts w:ascii="宋体" w:hAnsi="宋体"/>
          <w:szCs w:val="21"/>
        </w:rPr>
        <w:t>第6.1.7条  人工防治</w:t>
      </w:r>
      <w:r>
        <w:rPr>
          <w:rFonts w:ascii="宋体" w:hAnsi="宋体"/>
          <w:szCs w:val="21"/>
        </w:rPr>
        <w:br w:type="textWrapping"/>
      </w:r>
      <w:r>
        <w:rPr>
          <w:rFonts w:ascii="宋体" w:hAnsi="宋体"/>
          <w:szCs w:val="21"/>
        </w:rPr>
        <w:t>(一)摘除休眠虫体，悬挂或依附在植物体和建筑物上的越冬虫茧、虫囊和卵块、卵囊并集中焚烧。    </w:t>
      </w:r>
      <w:r>
        <w:rPr>
          <w:rFonts w:ascii="宋体" w:hAnsi="宋体"/>
          <w:szCs w:val="21"/>
        </w:rPr>
        <w:br w:type="textWrapping"/>
      </w:r>
      <w:r>
        <w:rPr>
          <w:rFonts w:ascii="宋体" w:hAnsi="宋体"/>
          <w:szCs w:val="21"/>
        </w:rPr>
        <w:t>(二)直接捕杀个体大、危害状明显的害虫、有假死性或飞翔力不强的成虫(天蛾、尺蠖、蚱蝉、天牛、金龟子、叶甲)。</w:t>
      </w:r>
      <w:r>
        <w:rPr>
          <w:rFonts w:ascii="宋体" w:hAnsi="宋体"/>
          <w:szCs w:val="21"/>
        </w:rPr>
        <w:br w:type="textWrapping"/>
      </w:r>
      <w:r>
        <w:rPr>
          <w:rFonts w:ascii="宋体" w:hAnsi="宋体"/>
          <w:szCs w:val="21"/>
        </w:rPr>
        <w:t>(三)刮刷枝干虫体，要注意刮刷干净，不要损伤枝干皮层。刮除枝干病斑时尽可能不损伤树体，病斑的伤口处应进行消毒(可用千分之一升汞消毒)，然后涂抹保护剂(波尔多液浆：硫酸铜：生石灰：水=1：3：15-20)。</w:t>
      </w:r>
      <w:r>
        <w:rPr>
          <w:rFonts w:ascii="宋体" w:hAnsi="宋体"/>
          <w:szCs w:val="21"/>
        </w:rPr>
        <w:br w:type="textWrapping"/>
      </w:r>
      <w:r>
        <w:rPr>
          <w:rFonts w:ascii="宋体" w:hAnsi="宋体"/>
          <w:szCs w:val="21"/>
        </w:rPr>
        <w:t>(四)冬季做好乔木涂白工作。</w:t>
      </w:r>
      <w:r>
        <w:rPr>
          <w:rFonts w:ascii="宋体" w:hAnsi="宋体"/>
          <w:szCs w:val="21"/>
        </w:rPr>
        <w:br w:type="textWrapping"/>
      </w:r>
      <w:r>
        <w:rPr>
          <w:rFonts w:ascii="宋体" w:hAnsi="宋体"/>
          <w:szCs w:val="21"/>
        </w:rPr>
        <w:t>第6.1.8条  生物防治    </w:t>
      </w:r>
      <w:r>
        <w:rPr>
          <w:rFonts w:ascii="宋体" w:hAnsi="宋体"/>
          <w:szCs w:val="21"/>
        </w:rPr>
        <w:br w:type="textWrapping"/>
      </w:r>
      <w:r>
        <w:rPr>
          <w:rFonts w:ascii="宋体" w:hAnsi="宋体"/>
          <w:szCs w:val="21"/>
        </w:rPr>
        <w:t xml:space="preserve">(一)保护和利用天敌资源。 </w:t>
      </w:r>
      <w:r>
        <w:rPr>
          <w:rFonts w:ascii="宋体" w:hAnsi="宋体"/>
          <w:szCs w:val="21"/>
        </w:rPr>
        <w:br w:type="textWrapping"/>
      </w:r>
      <w:r>
        <w:rPr>
          <w:rFonts w:ascii="宋体" w:hAnsi="宋体"/>
          <w:szCs w:val="21"/>
        </w:rPr>
        <w:t>(二)积极推广和施用微生物制剂、BT乳剂、白僵菌制剂以及性引诱剂。</w:t>
      </w:r>
    </w:p>
    <w:p>
      <w:pPr>
        <w:rPr>
          <w:rFonts w:hint="eastAsia" w:ascii="宋体" w:hAnsi="宋体"/>
          <w:szCs w:val="21"/>
        </w:rPr>
      </w:pPr>
      <w:r>
        <w:rPr>
          <w:rFonts w:ascii="宋体" w:hAnsi="宋体"/>
          <w:szCs w:val="21"/>
        </w:rPr>
        <w:t>第6.1.9条  物理防治</w:t>
      </w:r>
      <w:r>
        <w:rPr>
          <w:rFonts w:ascii="宋体" w:hAnsi="宋体"/>
          <w:szCs w:val="21"/>
        </w:rPr>
        <w:br w:type="textWrapping"/>
      </w:r>
      <w:r>
        <w:rPr>
          <w:rFonts w:ascii="宋体" w:hAnsi="宋体"/>
          <w:szCs w:val="21"/>
        </w:rPr>
        <w:t>(一)在成虫发生期应利用有一定装置规格的黑光灯(短光波3600—4000)诱杀成虫。在诱杀害虫时应防止误伤益虫(主要开灯期5月下旬—6月下旬，8月中旬—9月中旬)。</w:t>
      </w:r>
      <w:r>
        <w:rPr>
          <w:rFonts w:ascii="宋体" w:hAnsi="宋体"/>
          <w:szCs w:val="21"/>
        </w:rPr>
        <w:br w:type="textWrapping"/>
      </w:r>
      <w:r>
        <w:rPr>
          <w:rFonts w:ascii="宋体" w:hAnsi="宋体"/>
          <w:szCs w:val="21"/>
        </w:rPr>
        <w:t>(二)利用热力(干温或湿温)处理种籽、种球以及植物组织，以消灭内、外病虫原。</w:t>
      </w:r>
    </w:p>
    <w:p>
      <w:pPr>
        <w:rPr>
          <w:rFonts w:hint="eastAsia" w:ascii="宋体" w:hAnsi="宋体"/>
          <w:szCs w:val="21"/>
        </w:rPr>
      </w:pPr>
      <w:r>
        <w:rPr>
          <w:rFonts w:ascii="宋体" w:hAnsi="宋体"/>
          <w:szCs w:val="21"/>
        </w:rPr>
        <w:t>第6.1.10条  化学防治</w:t>
      </w:r>
    </w:p>
    <w:p>
      <w:pPr>
        <w:rPr>
          <w:rFonts w:hint="eastAsia" w:ascii="宋体" w:hAnsi="宋体"/>
          <w:szCs w:val="21"/>
        </w:rPr>
      </w:pPr>
      <w:r>
        <w:rPr>
          <w:rFonts w:ascii="宋体" w:hAnsi="宋体"/>
          <w:szCs w:val="21"/>
        </w:rPr>
        <w:t>采用化学农药防治病虫害，必须掌握对症下药、合理使用、适地防治、用量适当、安全使用等原则。</w:t>
      </w:r>
      <w:r>
        <w:rPr>
          <w:rFonts w:ascii="宋体" w:hAnsi="宋体"/>
          <w:szCs w:val="21"/>
        </w:rPr>
        <w:br w:type="textWrapping"/>
      </w:r>
      <w:r>
        <w:rPr>
          <w:rFonts w:ascii="宋体" w:hAnsi="宋体"/>
          <w:szCs w:val="21"/>
        </w:rPr>
        <w:t>(一)应用化学农药，必须选用低毒，低残留(易分解)及无公害的药物。</w:t>
      </w:r>
    </w:p>
    <w:p>
      <w:pPr>
        <w:rPr>
          <w:rFonts w:hint="eastAsia" w:ascii="宋体" w:hAnsi="宋体"/>
          <w:szCs w:val="21"/>
        </w:rPr>
      </w:pPr>
      <w:r>
        <w:rPr>
          <w:rFonts w:ascii="宋体" w:hAnsi="宋体"/>
          <w:szCs w:val="21"/>
        </w:rPr>
        <w:t>(二)同—种化学药剂，不宜连续施用。</w:t>
      </w:r>
      <w:r>
        <w:rPr>
          <w:rFonts w:ascii="宋体" w:hAnsi="宋体"/>
          <w:szCs w:val="21"/>
        </w:rPr>
        <w:br w:type="textWrapping"/>
      </w:r>
      <w:r>
        <w:rPr>
          <w:rFonts w:ascii="宋体" w:hAnsi="宋体"/>
          <w:szCs w:val="21"/>
        </w:rPr>
        <w:t>(三)在—定植物群落范围内应针对性施药，以免伤及天敌。</w:t>
      </w:r>
      <w:r>
        <w:rPr>
          <w:rFonts w:ascii="宋体" w:hAnsi="宋体"/>
          <w:szCs w:val="21"/>
        </w:rPr>
        <w:br w:type="textWrapping"/>
      </w:r>
      <w:r>
        <w:rPr>
          <w:rFonts w:ascii="宋体" w:hAnsi="宋体"/>
          <w:szCs w:val="21"/>
        </w:rPr>
        <w:t>(四)化学药剂混用，必须掌握药剂的理化性质。</w:t>
      </w:r>
      <w:r>
        <w:rPr>
          <w:rFonts w:ascii="宋体" w:hAnsi="宋体"/>
          <w:szCs w:val="21"/>
        </w:rPr>
        <w:br w:type="textWrapping"/>
      </w:r>
      <w:r>
        <w:rPr>
          <w:rFonts w:ascii="宋体" w:hAnsi="宋体"/>
          <w:szCs w:val="21"/>
        </w:rPr>
        <w:t>(五)严禁使用剧毒化学药剂和有机氯、有机汞化学农药，严禁使用国家或地方禁止使用的化学农药。</w:t>
      </w:r>
      <w:r>
        <w:rPr>
          <w:rFonts w:ascii="宋体" w:hAnsi="宋体"/>
          <w:szCs w:val="21"/>
        </w:rPr>
        <w:br w:type="textWrapping"/>
      </w:r>
      <w:r>
        <w:rPr>
          <w:rFonts w:ascii="宋体" w:hAnsi="宋体"/>
          <w:szCs w:val="21"/>
        </w:rPr>
        <w:t>(六)操作者未经技术人员同意，不得任意把二种不同的药剂混合使用。</w:t>
      </w:r>
      <w:r>
        <w:rPr>
          <w:rFonts w:ascii="宋体" w:hAnsi="宋体"/>
          <w:szCs w:val="21"/>
        </w:rPr>
        <w:br w:type="textWrapping"/>
      </w:r>
      <w:r>
        <w:rPr>
          <w:rFonts w:ascii="宋体" w:hAnsi="宋体"/>
          <w:szCs w:val="21"/>
        </w:rPr>
        <w:t>(七)化学农药应按规定浓度施用，不得任意提高浓度。</w:t>
      </w:r>
    </w:p>
    <w:p>
      <w:pPr>
        <w:rPr>
          <w:rFonts w:hint="eastAsia" w:ascii="宋体" w:hAnsi="宋体"/>
          <w:szCs w:val="21"/>
        </w:rPr>
      </w:pPr>
      <w:r>
        <w:rPr>
          <w:rFonts w:ascii="宋体" w:hAnsi="宋体"/>
          <w:szCs w:val="21"/>
        </w:rPr>
        <w:t>第6.1.11条  应严格遵照如下安全操作规程：</w:t>
      </w:r>
    </w:p>
    <w:p>
      <w:pPr>
        <w:rPr>
          <w:rFonts w:hint="eastAsia" w:ascii="宋体" w:hAnsi="宋体"/>
          <w:szCs w:val="21"/>
        </w:rPr>
      </w:pPr>
      <w:r>
        <w:rPr>
          <w:rFonts w:ascii="宋体" w:hAnsi="宋体"/>
          <w:szCs w:val="21"/>
        </w:rPr>
        <w:t>１.配药、喷药人员必须有安全保护措施，穿工作服、胶鞋、戴胶皮手套、口罩、风镜等。</w:t>
      </w:r>
      <w:r>
        <w:rPr>
          <w:rFonts w:ascii="宋体" w:hAnsi="宋体"/>
          <w:szCs w:val="21"/>
        </w:rPr>
        <w:br w:type="textWrapping"/>
      </w:r>
      <w:r>
        <w:rPr>
          <w:rFonts w:ascii="宋体" w:hAnsi="宋体"/>
          <w:szCs w:val="21"/>
        </w:rPr>
        <w:t>２.体弱多病者、药物过敏者和月经期、孕期、哺乳期妇女不要参加施药工作。</w:t>
      </w:r>
    </w:p>
    <w:p>
      <w:pPr>
        <w:rPr>
          <w:rFonts w:hint="eastAsia" w:ascii="宋体" w:hAnsi="宋体"/>
          <w:szCs w:val="21"/>
        </w:rPr>
      </w:pPr>
      <w:r>
        <w:rPr>
          <w:rFonts w:ascii="宋体" w:hAnsi="宋体"/>
          <w:szCs w:val="21"/>
        </w:rPr>
        <w:t>３.配药、喷药时作业人员不准吸烟、喝酒、饮水、进食，不得用手擦抹眼、脸和口鼻，不准嬉闹。工作后必须用肥皂洗净手脸后才能取食，喷施人员在操作过程中感到不适或头痛、目眩时应立即离开现场或去医院就诊，不可延误。</w:t>
      </w:r>
    </w:p>
    <w:p>
      <w:pPr>
        <w:rPr>
          <w:rFonts w:hint="eastAsia" w:ascii="宋体" w:hAnsi="宋体"/>
          <w:szCs w:val="21"/>
        </w:rPr>
      </w:pPr>
      <w:r>
        <w:rPr>
          <w:rFonts w:ascii="宋体" w:hAnsi="宋体"/>
          <w:szCs w:val="21"/>
        </w:rPr>
        <w:t>４.在公共场所喷药时，应注意行人及车辆的安全，对于可能污染食物、器具、物体等应事先招呼，待放妥后才能喷施。</w:t>
      </w:r>
      <w:r>
        <w:rPr>
          <w:rFonts w:ascii="宋体" w:hAnsi="宋体"/>
          <w:szCs w:val="21"/>
        </w:rPr>
        <w:br w:type="textWrapping"/>
      </w:r>
      <w:r>
        <w:rPr>
          <w:rFonts w:ascii="宋体" w:hAnsi="宋体"/>
          <w:szCs w:val="21"/>
        </w:rPr>
        <w:t>５.配制药剂，洗刷药械时要远离水源、厨房等地，剩余或洗刷的药液不得乱倒，不得倒入池、湖、河中。</w:t>
      </w:r>
    </w:p>
    <w:p>
      <w:pPr>
        <w:rPr>
          <w:rFonts w:hint="eastAsia" w:ascii="宋体" w:hAnsi="宋体"/>
          <w:szCs w:val="21"/>
        </w:rPr>
      </w:pPr>
      <w:r>
        <w:rPr>
          <w:rFonts w:ascii="宋体" w:hAnsi="宋体"/>
          <w:szCs w:val="21"/>
        </w:rPr>
        <w:t>６.药剂的保管与领用应建立一定的制度，以确保安全。</w:t>
      </w:r>
    </w:p>
    <w:p>
      <w:pPr>
        <w:rPr>
          <w:rFonts w:hint="eastAsia" w:ascii="宋体" w:hAnsi="宋体"/>
          <w:szCs w:val="21"/>
        </w:rPr>
      </w:pPr>
      <w:r>
        <w:rPr>
          <w:rFonts w:ascii="宋体" w:hAnsi="宋体"/>
          <w:szCs w:val="21"/>
        </w:rPr>
        <w:t>第6.1.1 2条  药剂的喷施应掌握如下原则：</w:t>
      </w:r>
    </w:p>
    <w:p>
      <w:pPr>
        <w:rPr>
          <w:rFonts w:hint="eastAsia" w:ascii="宋体" w:hAnsi="宋体"/>
          <w:szCs w:val="21"/>
        </w:rPr>
      </w:pPr>
      <w:r>
        <w:rPr>
          <w:rFonts w:ascii="宋体" w:hAnsi="宋体"/>
          <w:szCs w:val="21"/>
        </w:rPr>
        <w:t>１.应在无风晴朗天喷药，操作人员应站在顺风的上方顺风喷施，避免在大风、炎热高温的中午进行。</w:t>
      </w:r>
    </w:p>
    <w:p>
      <w:pPr>
        <w:rPr>
          <w:rFonts w:hint="eastAsia" w:ascii="宋体" w:hAnsi="宋体"/>
          <w:szCs w:val="21"/>
        </w:rPr>
      </w:pPr>
      <w:r>
        <w:rPr>
          <w:rFonts w:ascii="宋体" w:hAnsi="宋体"/>
          <w:szCs w:val="21"/>
        </w:rPr>
        <w:t>２.在树种较多的绿地喷药时，应注意有的农药对某些园林植物的药害。(如梅、樱花、杏、柑桔、沙朴等对乐果及氧化乐果敏感，易发生药害)    </w:t>
      </w:r>
    </w:p>
    <w:p>
      <w:pPr>
        <w:rPr>
          <w:rFonts w:hint="eastAsia" w:ascii="宋体" w:hAnsi="宋体"/>
          <w:szCs w:val="21"/>
        </w:rPr>
      </w:pPr>
      <w:r>
        <w:rPr>
          <w:rFonts w:ascii="宋体" w:hAnsi="宋体"/>
          <w:szCs w:val="21"/>
        </w:rPr>
        <w:t>３.在植物开花期间避免喷施农药，以防落花，对果树、药用植物应在收获前20—30天内停止用药，</w:t>
      </w:r>
      <w:r>
        <w:rPr>
          <w:rFonts w:ascii="宋体" w:hAnsi="宋体"/>
          <w:szCs w:val="21"/>
        </w:rPr>
        <w:br w:type="textWrapping"/>
      </w:r>
      <w:r>
        <w:rPr>
          <w:rFonts w:ascii="宋体" w:hAnsi="宋体"/>
          <w:szCs w:val="21"/>
        </w:rPr>
        <w:t>４.喷药时应尽量做到药液成雾状，枝叶上附药均匀，对有些虫在叶背上危害的，叶正、反面均应喷剂。</w:t>
      </w:r>
      <w:r>
        <w:rPr>
          <w:rFonts w:ascii="宋体" w:hAnsi="宋体"/>
          <w:szCs w:val="21"/>
        </w:rPr>
        <w:br w:type="textWrapping"/>
      </w:r>
      <w:r>
        <w:rPr>
          <w:rFonts w:ascii="宋体" w:hAnsi="宋体"/>
          <w:szCs w:val="21"/>
        </w:rPr>
        <w:t>５.对蛀干害虫采用药剂注射时，必须事先清除孔内的粪便杂物，使药液通畅进入穴内。虫孔，排粪孔均需注满药液，注射后用泥团塞堵孔口。碰到一虫多孔时，应先堵塞注射孔洞以下的虫孔，然后注射。</w:t>
      </w:r>
      <w:r>
        <w:rPr>
          <w:rFonts w:ascii="宋体" w:hAnsi="宋体"/>
          <w:szCs w:val="21"/>
        </w:rPr>
        <w:br w:type="textWrapping"/>
      </w:r>
      <w:r>
        <w:rPr>
          <w:rFonts w:ascii="宋体" w:hAnsi="宋体"/>
          <w:szCs w:val="21"/>
        </w:rPr>
        <w:t>第二节  除莠剂的使用</w:t>
      </w:r>
    </w:p>
    <w:p>
      <w:pPr>
        <w:rPr>
          <w:rFonts w:hint="eastAsia" w:ascii="宋体" w:hAnsi="宋体"/>
          <w:szCs w:val="21"/>
        </w:rPr>
      </w:pPr>
      <w:r>
        <w:rPr>
          <w:rFonts w:ascii="宋体" w:hAnsi="宋体"/>
          <w:szCs w:val="21"/>
        </w:rPr>
        <w:t>第6.2.1条  使用除莠剂应了解药剂性能、杂草种类和生态习性以及使用地区上的花木种类对药剂的敏感程度，并经过小面积的试验，确定使用药剂的品种、比例以及方法，切实做到安全、有效。</w:t>
      </w:r>
    </w:p>
    <w:p>
      <w:pPr>
        <w:rPr>
          <w:rFonts w:hint="eastAsia" w:ascii="宋体" w:hAnsi="宋体"/>
          <w:szCs w:val="21"/>
        </w:rPr>
      </w:pPr>
      <w:r>
        <w:rPr>
          <w:rFonts w:ascii="宋体" w:hAnsi="宋体"/>
          <w:szCs w:val="21"/>
        </w:rPr>
        <w:t>第6.2.2条  调配药剂应采用标准量具，按照经过试验而确定的比例配比，随配随用；已配好的药剂，应避免烈日曝晒。</w:t>
      </w:r>
    </w:p>
    <w:p>
      <w:pPr>
        <w:rPr>
          <w:rFonts w:hint="eastAsia" w:ascii="宋体" w:hAnsi="宋体"/>
          <w:szCs w:val="21"/>
        </w:rPr>
      </w:pPr>
      <w:r>
        <w:rPr>
          <w:rFonts w:ascii="宋体" w:hAnsi="宋体"/>
          <w:szCs w:val="21"/>
        </w:rPr>
        <w:t>第6.2.3条  喷药要严格防止沾染到花木上，对敏感性强的花木应设置保护物隔离。喷药要均匀，有风时应注意风向，风大时不宜喷药。</w:t>
      </w:r>
    </w:p>
    <w:p>
      <w:pPr>
        <w:rPr>
          <w:rFonts w:hint="eastAsia" w:ascii="宋体" w:hAnsi="宋体"/>
          <w:szCs w:val="21"/>
        </w:rPr>
      </w:pPr>
      <w:r>
        <w:rPr>
          <w:rFonts w:ascii="宋体" w:hAnsi="宋体"/>
          <w:szCs w:val="21"/>
        </w:rPr>
        <w:t xml:space="preserve">第6.2.4条  在草坪上操作时，药桶下要有保护物衬垫，药液不得外溢。   </w:t>
      </w:r>
      <w:r>
        <w:rPr>
          <w:rFonts w:ascii="宋体" w:hAnsi="宋体"/>
          <w:szCs w:val="21"/>
        </w:rPr>
        <w:br w:type="textWrapping"/>
      </w:r>
      <w:r>
        <w:rPr>
          <w:rFonts w:ascii="宋体" w:hAnsi="宋体"/>
          <w:szCs w:val="21"/>
        </w:rPr>
        <w:t>第6.2.5条  药剂用完后，工具要立即洗净，洗下的水不得倒在植物根部附近和草坪上或水体中。施药工作人员完工后应洗净双手和脸部。</w:t>
      </w:r>
    </w:p>
    <w:p>
      <w:pPr>
        <w:rPr>
          <w:rFonts w:hint="eastAsia" w:ascii="宋体" w:hAnsi="宋体"/>
          <w:szCs w:val="21"/>
        </w:rPr>
      </w:pPr>
      <w:r>
        <w:rPr>
          <w:rFonts w:ascii="宋体" w:hAnsi="宋体"/>
          <w:szCs w:val="21"/>
        </w:rPr>
        <w:t>第6.2.6条  施用化学除草剂的机具(动力部分除外)，必须专用，不得与防治病虫的机具混用。</w:t>
      </w:r>
      <w:r>
        <w:rPr>
          <w:rFonts w:ascii="宋体" w:hAnsi="宋体"/>
          <w:szCs w:val="21"/>
        </w:rPr>
        <w:br w:type="textWrapping"/>
      </w:r>
      <w:r>
        <w:rPr>
          <w:rFonts w:ascii="宋体" w:hAnsi="宋体"/>
          <w:szCs w:val="21"/>
        </w:rPr>
        <w:t>第6.2.7条 严禁工作中吸烟；孕妇不应参加除莠剂的操作。</w:t>
      </w:r>
    </w:p>
    <w:p>
      <w:pPr>
        <w:rPr>
          <w:rFonts w:hint="eastAsia" w:ascii="宋体" w:hAnsi="宋体"/>
          <w:szCs w:val="21"/>
        </w:rPr>
      </w:pPr>
      <w:r>
        <w:rPr>
          <w:rFonts w:ascii="宋体" w:hAnsi="宋体"/>
          <w:szCs w:val="21"/>
        </w:rPr>
        <w:t>第6.2.8条  除莠剂使用后的地区在药剂残效期间应停止开放。</w:t>
      </w:r>
      <w:r>
        <w:rPr>
          <w:rFonts w:ascii="宋体" w:hAnsi="宋体"/>
          <w:szCs w:val="21"/>
        </w:rPr>
        <w:br w:type="textWrapping"/>
      </w:r>
      <w:r>
        <w:rPr>
          <w:rFonts w:ascii="宋体" w:hAnsi="宋体"/>
          <w:szCs w:val="21"/>
        </w:rPr>
        <w:t>第三节  防治效果要求</w:t>
      </w:r>
    </w:p>
    <w:p>
      <w:pPr>
        <w:rPr>
          <w:rFonts w:hint="eastAsia" w:ascii="宋体" w:hAnsi="宋体"/>
          <w:szCs w:val="21"/>
        </w:rPr>
      </w:pPr>
      <w:r>
        <w:rPr>
          <w:rFonts w:ascii="宋体" w:hAnsi="宋体"/>
          <w:szCs w:val="21"/>
        </w:rPr>
        <w:t>第6.3.1条  对园林病虫害的防治，其效果应达到95％以上，各类绿地与行道树能基本控制病虫害危害，其危害率在5％以下。</w:t>
      </w:r>
    </w:p>
    <w:p>
      <w:pPr>
        <w:rPr>
          <w:rFonts w:hint="eastAsia" w:ascii="宋体" w:hAnsi="宋体"/>
          <w:szCs w:val="21"/>
        </w:rPr>
      </w:pPr>
      <w:r>
        <w:rPr>
          <w:rFonts w:ascii="宋体" w:hAnsi="宋体"/>
          <w:szCs w:val="21"/>
        </w:rPr>
        <w:t>第6.3.2条  防莠剂使用效果应达到95％以上。</w:t>
      </w:r>
      <w:r>
        <w:rPr>
          <w:rFonts w:ascii="宋体" w:hAnsi="宋体"/>
          <w:szCs w:val="21"/>
        </w:rPr>
        <w:br w:type="textWrapping"/>
      </w:r>
      <w:r>
        <w:rPr>
          <w:rFonts w:ascii="宋体" w:hAnsi="宋体"/>
          <w:szCs w:val="21"/>
        </w:rPr>
        <w:t>第七章  园林植物技术档案</w:t>
      </w:r>
    </w:p>
    <w:p>
      <w:pPr>
        <w:rPr>
          <w:rFonts w:hint="eastAsia" w:ascii="宋体" w:hAnsi="宋体"/>
          <w:szCs w:val="21"/>
        </w:rPr>
      </w:pPr>
      <w:r>
        <w:rPr>
          <w:rFonts w:ascii="宋体" w:hAnsi="宋体"/>
          <w:szCs w:val="21"/>
        </w:rPr>
        <w:t>第7.0.1条  各绿化单位必须建立完整的植物养护技术档案，要及时收集、积累、整理分析和总结经验。</w:t>
      </w:r>
    </w:p>
    <w:p>
      <w:pPr>
        <w:rPr>
          <w:rFonts w:hint="eastAsia" w:ascii="宋体" w:hAnsi="宋体"/>
          <w:szCs w:val="21"/>
        </w:rPr>
      </w:pPr>
      <w:r>
        <w:rPr>
          <w:rFonts w:ascii="宋体" w:hAnsi="宋体"/>
          <w:szCs w:val="21"/>
        </w:rPr>
        <w:t xml:space="preserve">第7.0.2条  档案内容 </w:t>
      </w:r>
      <w:r>
        <w:rPr>
          <w:rFonts w:ascii="宋体" w:hAnsi="宋体"/>
          <w:szCs w:val="21"/>
        </w:rPr>
        <w:br w:type="textWrapping"/>
      </w:r>
      <w:r>
        <w:rPr>
          <w:rFonts w:ascii="宋体" w:hAnsi="宋体"/>
          <w:szCs w:val="21"/>
        </w:rPr>
        <w:t>(一)绿地气候、物候、水文、土质地形、地下构筑物等自然条件变化资料(注：气候：当年每月最高、最低，平均气温及特殊气候，如连续高温、干旱、暴雨、积水等状况)及调查报告。</w:t>
      </w:r>
      <w:r>
        <w:rPr>
          <w:rFonts w:ascii="宋体" w:hAnsi="宋体"/>
          <w:szCs w:val="21"/>
        </w:rPr>
        <w:br w:type="textWrapping"/>
      </w:r>
      <w:r>
        <w:rPr>
          <w:rFonts w:ascii="宋体" w:hAnsi="宋体"/>
          <w:szCs w:val="21"/>
        </w:rPr>
        <w:t>(二)绿地建设历史及其发展。</w:t>
      </w:r>
      <w:r>
        <w:rPr>
          <w:rFonts w:ascii="宋体" w:hAnsi="宋体"/>
          <w:szCs w:val="21"/>
        </w:rPr>
        <w:br w:type="textWrapping"/>
      </w:r>
      <w:r>
        <w:rPr>
          <w:rFonts w:ascii="宋体" w:hAnsi="宋体"/>
          <w:szCs w:val="21"/>
        </w:rPr>
        <w:t>(三)植物种类：按植物分类记载，地区名称、规格、来源、栽植年月，生长势和日常养护措施及其成效等。(附表二)</w:t>
      </w:r>
      <w:r>
        <w:rPr>
          <w:rFonts w:ascii="宋体" w:hAnsi="宋体"/>
          <w:szCs w:val="21"/>
        </w:rPr>
        <w:br w:type="textWrapping"/>
      </w:r>
      <w:r>
        <w:rPr>
          <w:rFonts w:ascii="宋体" w:hAnsi="宋体"/>
          <w:szCs w:val="21"/>
        </w:rPr>
        <w:t>(四)应用新技术、新工艺和新成果的单项技术资料。</w:t>
      </w:r>
      <w:r>
        <w:rPr>
          <w:rFonts w:ascii="宋体" w:hAnsi="宋体"/>
          <w:szCs w:val="21"/>
        </w:rPr>
        <w:br w:type="textWrapping"/>
      </w:r>
      <w:r>
        <w:rPr>
          <w:rFonts w:ascii="宋体" w:hAnsi="宋体"/>
          <w:szCs w:val="21"/>
        </w:rPr>
        <w:t>(五)植保：病虫害发生期、发生量、虫口密度、病害率；综合防治措施、防治效果数据，以及防治新技术、新药剂的应用及其效果；由于病虫危害枯萎死亡伐除的乔灌木数量及草本、小苗面积等。</w:t>
      </w:r>
      <w:r>
        <w:rPr>
          <w:rFonts w:ascii="宋体" w:hAnsi="宋体"/>
          <w:szCs w:val="21"/>
        </w:rPr>
        <w:br w:type="textWrapping"/>
      </w:r>
      <w:r>
        <w:rPr>
          <w:rFonts w:ascii="宋体" w:hAnsi="宋体"/>
          <w:szCs w:val="21"/>
        </w:rPr>
        <w:t>(六)各类统计报表和调查总结报告等。</w:t>
      </w:r>
      <w:r>
        <w:rPr>
          <w:rFonts w:ascii="宋体" w:hAnsi="宋体"/>
          <w:szCs w:val="21"/>
        </w:rPr>
        <w:br w:type="textWrapping"/>
      </w:r>
      <w:r>
        <w:rPr>
          <w:rFonts w:ascii="宋体" w:hAnsi="宋体"/>
          <w:szCs w:val="21"/>
        </w:rPr>
        <w:t>(七)枯死树木凡经挖除后必须记录归档。其内容是：编号地区、树种、规格、枯死原因、死亡日期、挖除日期、经过何种措施救护、挖除人、记录人、主管人姓名等。</w:t>
      </w:r>
    </w:p>
    <w:p>
      <w:pPr>
        <w:rPr>
          <w:rFonts w:hint="eastAsia" w:ascii="宋体" w:hAnsi="宋体"/>
          <w:szCs w:val="21"/>
        </w:rPr>
      </w:pPr>
      <w:r>
        <w:rPr>
          <w:rFonts w:ascii="宋体" w:hAnsi="宋体"/>
          <w:szCs w:val="21"/>
        </w:rPr>
        <w:t>第7.0.3条  技术档案应每年分期整理，装订成册，编好目录，分类归档。</w:t>
      </w:r>
    </w:p>
    <w:p>
      <w:pPr>
        <w:rPr>
          <w:rFonts w:hint="eastAsia" w:ascii="宋体" w:hAnsi="宋体"/>
          <w:szCs w:val="21"/>
        </w:rPr>
      </w:pPr>
      <w:r>
        <w:rPr>
          <w:rFonts w:ascii="宋体" w:hAnsi="宋体"/>
          <w:szCs w:val="21"/>
        </w:rPr>
        <w:t>第7.0.4条  建立一路一卡制度和一园一卡制度，实行园、路的动态管理。</w:t>
      </w:r>
    </w:p>
    <w:p>
      <w:pPr>
        <w:rPr>
          <w:rFonts w:hint="eastAsia" w:ascii="宋体" w:hAnsi="宋体"/>
          <w:szCs w:val="21"/>
        </w:rPr>
      </w:pPr>
      <w:r>
        <w:rPr>
          <w:rFonts w:ascii="宋体" w:hAnsi="宋体"/>
          <w:szCs w:val="21"/>
        </w:rPr>
        <w:t>第7.0.5条  机械设备应有专人管理并建立档案制度，及时跟踪，提高机械设备的使用率。</w:t>
      </w:r>
    </w:p>
    <w:p>
      <w:pPr>
        <w:rPr>
          <w:rFonts w:hint="eastAsia" w:ascii="宋体" w:hAnsi="宋体"/>
          <w:szCs w:val="21"/>
        </w:rPr>
      </w:pPr>
      <w:r>
        <w:rPr>
          <w:rFonts w:ascii="宋体" w:hAnsi="宋体"/>
          <w:szCs w:val="21"/>
        </w:rPr>
        <w:t>第7.0.6条  有条件的单位，可将技术档案纳入软件管理之中。</w:t>
      </w:r>
    </w:p>
    <w:p>
      <w:pPr>
        <w:tabs>
          <w:tab w:val="left" w:pos="360"/>
          <w:tab w:val="left" w:pos="720"/>
        </w:tabs>
        <w:ind w:left="861" w:leftChars="410" w:firstLine="3360" w:firstLineChars="1600"/>
        <w:jc w:val="right"/>
        <w:rPr>
          <w:rFonts w:hint="eastAsia" w:ascii="宋体" w:hAnsi="宋体"/>
          <w:szCs w:val="21"/>
        </w:rPr>
      </w:pPr>
      <w:r>
        <w:rPr>
          <w:rFonts w:hint="eastAsia" w:ascii="宋体" w:hAnsi="宋体"/>
          <w:szCs w:val="21"/>
        </w:rPr>
        <w:t xml:space="preserve">  </w:t>
      </w:r>
    </w:p>
    <w:p>
      <w:pPr>
        <w:spacing w:line="384" w:lineRule="auto"/>
        <w:rPr>
          <w:rFonts w:ascii="宋体" w:hAnsi="宋体"/>
          <w:spacing w:val="4"/>
          <w:szCs w:val="21"/>
        </w:rPr>
      </w:pPr>
      <w:r>
        <w:rPr>
          <w:rFonts w:ascii="宋体" w:hAnsi="宋体"/>
        </w:rPr>
        <w:br w:type="page"/>
      </w:r>
      <w:r>
        <w:rPr>
          <w:rFonts w:hint="eastAsia" w:ascii="宋体" w:hAnsi="宋体"/>
          <w:b/>
          <w:bCs/>
          <w:spacing w:val="4"/>
          <w:szCs w:val="21"/>
        </w:rPr>
        <w:t>附件2：</w:t>
      </w:r>
    </w:p>
    <w:p>
      <w:pPr>
        <w:jc w:val="center"/>
        <w:rPr>
          <w:rFonts w:ascii="宋体" w:hAnsi="宋体"/>
          <w:sz w:val="30"/>
          <w:szCs w:val="30"/>
        </w:rPr>
      </w:pPr>
      <w:r>
        <w:rPr>
          <w:rFonts w:hint="eastAsia" w:ascii="宋体" w:hAnsi="宋体"/>
          <w:sz w:val="30"/>
          <w:szCs w:val="30"/>
        </w:rPr>
        <w:t>绿化养护修剪安全规范</w:t>
      </w:r>
    </w:p>
    <w:p>
      <w:pPr>
        <w:spacing w:line="480" w:lineRule="exact"/>
        <w:rPr>
          <w:rFonts w:hint="eastAsia" w:ascii="宋体" w:hAnsi="宋体"/>
          <w:sz w:val="24"/>
        </w:rPr>
      </w:pPr>
    </w:p>
    <w:p>
      <w:pPr>
        <w:spacing w:line="360" w:lineRule="auto"/>
        <w:ind w:firstLine="420" w:firstLineChars="200"/>
        <w:rPr>
          <w:rFonts w:hint="eastAsia" w:ascii="宋体" w:hAnsi="宋体"/>
          <w:szCs w:val="21"/>
        </w:rPr>
      </w:pPr>
      <w:r>
        <w:rPr>
          <w:rFonts w:hint="eastAsia" w:ascii="宋体" w:hAnsi="宋体"/>
          <w:szCs w:val="21"/>
        </w:rPr>
        <w:t>为确保绿化养护管理的正常开展，维护养护单位和企业员工的安全利益，加强安全防范措施，避免安全事故的发生，特制定如下几点绿化养护的安全规范：</w:t>
      </w:r>
    </w:p>
    <w:p>
      <w:pPr>
        <w:numPr>
          <w:ilvl w:val="1"/>
          <w:numId w:val="13"/>
        </w:numPr>
        <w:tabs>
          <w:tab w:val="left" w:pos="840"/>
          <w:tab w:val="left" w:pos="1140"/>
        </w:tabs>
        <w:spacing w:line="360" w:lineRule="auto"/>
        <w:ind w:left="0" w:firstLine="420" w:firstLineChars="200"/>
        <w:rPr>
          <w:rFonts w:hint="eastAsia" w:ascii="宋体" w:hAnsi="宋体"/>
          <w:szCs w:val="21"/>
        </w:rPr>
      </w:pPr>
      <w:r>
        <w:rPr>
          <w:rFonts w:hint="eastAsia" w:ascii="宋体" w:hAnsi="宋体"/>
          <w:szCs w:val="21"/>
        </w:rPr>
        <w:t>大树的修剪</w:t>
      </w:r>
    </w:p>
    <w:p>
      <w:pPr>
        <w:spacing w:line="360" w:lineRule="auto"/>
        <w:ind w:left="420" w:leftChars="200"/>
        <w:rPr>
          <w:rFonts w:hint="eastAsia" w:ascii="宋体" w:hAnsi="宋体"/>
          <w:szCs w:val="21"/>
        </w:rPr>
      </w:pPr>
      <w:r>
        <w:rPr>
          <w:rFonts w:hint="eastAsia" w:ascii="宋体" w:hAnsi="宋体"/>
          <w:szCs w:val="21"/>
        </w:rPr>
        <w:t>1、上树必须戴好安全带、安全帽，以防滑落和掉落物砸伤头部而发生险情。</w:t>
      </w:r>
    </w:p>
    <w:p>
      <w:pPr>
        <w:spacing w:line="360" w:lineRule="auto"/>
        <w:ind w:left="420" w:leftChars="200"/>
        <w:rPr>
          <w:rFonts w:hint="eastAsia" w:ascii="宋体" w:hAnsi="宋体"/>
          <w:szCs w:val="21"/>
        </w:rPr>
      </w:pPr>
      <w:r>
        <w:rPr>
          <w:rFonts w:hint="eastAsia" w:ascii="宋体" w:hAnsi="宋体"/>
          <w:szCs w:val="21"/>
        </w:rPr>
        <w:t>2、在修剪的树旁20米的半径周围应设置警示牌并用护栏或防护带实行隔离，主要以防车辆和行人发生险情。</w:t>
      </w:r>
    </w:p>
    <w:p>
      <w:pPr>
        <w:spacing w:line="360" w:lineRule="auto"/>
        <w:ind w:left="420" w:leftChars="200"/>
        <w:rPr>
          <w:rFonts w:hint="eastAsia" w:ascii="宋体" w:hAnsi="宋体"/>
          <w:szCs w:val="21"/>
        </w:rPr>
      </w:pPr>
      <w:r>
        <w:rPr>
          <w:rFonts w:hint="eastAsia" w:ascii="宋体" w:hAnsi="宋体"/>
          <w:szCs w:val="21"/>
        </w:rPr>
        <w:t>3、树木在靠近电线、变压器等电路设施时应通知供电部门做配合工作，不要擅自实行修剪作业，以防发生险情。</w:t>
      </w:r>
    </w:p>
    <w:p>
      <w:pPr>
        <w:spacing w:line="360" w:lineRule="auto"/>
        <w:ind w:left="420" w:leftChars="200"/>
        <w:rPr>
          <w:rFonts w:hint="eastAsia" w:ascii="宋体" w:hAnsi="宋体"/>
          <w:szCs w:val="21"/>
        </w:rPr>
      </w:pPr>
      <w:r>
        <w:rPr>
          <w:rFonts w:hint="eastAsia" w:ascii="宋体" w:hAnsi="宋体"/>
          <w:szCs w:val="21"/>
        </w:rPr>
        <w:t>4、行道树修剪避开交通高峰时段，修剪后的树枝堆放在路边上，不要挡车道。堆枝当天必须清理干净。</w:t>
      </w:r>
    </w:p>
    <w:p>
      <w:pPr>
        <w:numPr>
          <w:ilvl w:val="1"/>
          <w:numId w:val="13"/>
        </w:numPr>
        <w:tabs>
          <w:tab w:val="left" w:pos="840"/>
          <w:tab w:val="left" w:pos="1140"/>
        </w:tabs>
        <w:spacing w:line="360" w:lineRule="auto"/>
        <w:ind w:left="0" w:firstLine="420" w:firstLineChars="200"/>
        <w:rPr>
          <w:rFonts w:hint="eastAsia" w:ascii="宋体" w:hAnsi="宋体"/>
          <w:szCs w:val="21"/>
        </w:rPr>
      </w:pPr>
      <w:r>
        <w:rPr>
          <w:rFonts w:hint="eastAsia" w:ascii="宋体" w:hAnsi="宋体"/>
          <w:szCs w:val="21"/>
        </w:rPr>
        <w:t>分车带绿篱修剪</w:t>
      </w:r>
    </w:p>
    <w:p>
      <w:pPr>
        <w:spacing w:line="360" w:lineRule="auto"/>
        <w:ind w:left="420" w:leftChars="200"/>
        <w:rPr>
          <w:rFonts w:hint="eastAsia" w:ascii="宋体" w:hAnsi="宋体"/>
          <w:szCs w:val="21"/>
        </w:rPr>
      </w:pPr>
      <w:r>
        <w:rPr>
          <w:rFonts w:hint="eastAsia" w:ascii="宋体" w:hAnsi="宋体"/>
          <w:szCs w:val="21"/>
        </w:rPr>
        <w:t>1、修剪路段应设置安全警示牌。</w:t>
      </w:r>
    </w:p>
    <w:p>
      <w:pPr>
        <w:spacing w:line="360" w:lineRule="auto"/>
        <w:ind w:left="420" w:leftChars="200"/>
        <w:rPr>
          <w:rFonts w:hint="eastAsia" w:ascii="宋体" w:hAnsi="宋体"/>
          <w:szCs w:val="21"/>
        </w:rPr>
      </w:pPr>
      <w:r>
        <w:rPr>
          <w:rFonts w:hint="eastAsia" w:ascii="宋体" w:hAnsi="宋体"/>
          <w:szCs w:val="21"/>
        </w:rPr>
        <w:t>2、修剪人员必须穿戴安全警示服帽，以防车辆安全事故发生。</w:t>
      </w:r>
    </w:p>
    <w:p>
      <w:pPr>
        <w:spacing w:line="360" w:lineRule="auto"/>
        <w:ind w:left="420" w:leftChars="200" w:right="-313" w:rightChars="-149"/>
        <w:rPr>
          <w:rFonts w:hint="eastAsia" w:ascii="宋体" w:hAnsi="宋体"/>
          <w:szCs w:val="21"/>
        </w:rPr>
      </w:pPr>
      <w:r>
        <w:rPr>
          <w:rFonts w:hint="eastAsia" w:ascii="宋体" w:hAnsi="宋体"/>
          <w:szCs w:val="21"/>
        </w:rPr>
        <w:t>3、一般的绿篱修剪用机械操作要规范，操作人员应进行相应的技术培训，以免机械伤人。</w:t>
      </w:r>
    </w:p>
    <w:p>
      <w:pPr>
        <w:spacing w:line="360" w:lineRule="auto"/>
        <w:ind w:firstLine="420" w:firstLineChars="200"/>
        <w:rPr>
          <w:rFonts w:hint="eastAsia" w:ascii="宋体" w:hAnsi="宋体"/>
          <w:szCs w:val="21"/>
        </w:rPr>
      </w:pPr>
      <w:r>
        <w:rPr>
          <w:rFonts w:hint="eastAsia" w:ascii="宋体" w:hAnsi="宋体"/>
          <w:szCs w:val="21"/>
        </w:rPr>
        <w:t>另外除了以上几点的注意事项外，还应注意以下要求：1、在台风天气时不要上树修剪，只可加强道路的巡查力度，发现断枝及时清理，倒树戈边即可，等台风过后再进行修剪。2、发生雪灾时，因天气寒冷，树枝冰冻发滑，也尽量不要上树进行修剪，应加强竹棒打枝作业减少树上积雪，防止断枝，等天晴积雪融化后的中午最暖时段对断枝、残枝进行上树修剪。</w:t>
      </w:r>
    </w:p>
    <w:p>
      <w:pPr>
        <w:spacing w:line="360" w:lineRule="auto"/>
        <w:ind w:firstLine="420" w:firstLineChars="200"/>
        <w:rPr>
          <w:rFonts w:hint="eastAsia" w:ascii="宋体" w:hAnsi="宋体"/>
          <w:szCs w:val="21"/>
        </w:rPr>
      </w:pPr>
    </w:p>
    <w:p>
      <w:pPr>
        <w:spacing w:line="480" w:lineRule="exact"/>
        <w:ind w:firstLine="420" w:firstLineChars="200"/>
        <w:rPr>
          <w:rFonts w:hint="eastAsia" w:ascii="宋体" w:hAnsi="宋体"/>
          <w:szCs w:val="21"/>
        </w:rPr>
      </w:pPr>
    </w:p>
    <w:p>
      <w:pPr>
        <w:spacing w:line="480" w:lineRule="exact"/>
        <w:ind w:left="420"/>
        <w:rPr>
          <w:rFonts w:hint="eastAsia" w:ascii="宋体" w:hAnsi="宋体"/>
          <w:szCs w:val="21"/>
        </w:rPr>
      </w:pPr>
    </w:p>
    <w:p>
      <w:pPr>
        <w:spacing w:line="384" w:lineRule="auto"/>
        <w:rPr>
          <w:rFonts w:ascii="宋体" w:hAnsi="宋体"/>
          <w:szCs w:val="36"/>
        </w:rPr>
      </w:pPr>
      <w:r>
        <w:rPr>
          <w:rFonts w:ascii="宋体" w:hAnsi="宋体"/>
          <w:szCs w:val="36"/>
        </w:rPr>
        <w:br w:type="page"/>
      </w:r>
    </w:p>
    <w:p>
      <w:pPr>
        <w:spacing w:line="384" w:lineRule="auto"/>
        <w:rPr>
          <w:rFonts w:hint="eastAsia" w:ascii="宋体" w:hAnsi="宋体"/>
          <w:b/>
          <w:bCs/>
          <w:spacing w:val="4"/>
          <w:szCs w:val="21"/>
        </w:rPr>
      </w:pPr>
      <w:r>
        <w:rPr>
          <w:rFonts w:hint="eastAsia" w:ascii="宋体" w:hAnsi="宋体"/>
          <w:b/>
          <w:bCs/>
          <w:spacing w:val="4"/>
          <w:szCs w:val="21"/>
        </w:rPr>
        <w:t>附件3：</w:t>
      </w:r>
    </w:p>
    <w:p>
      <w:pPr>
        <w:jc w:val="center"/>
        <w:rPr>
          <w:rFonts w:hint="eastAsia" w:ascii="宋体" w:hAnsi="宋体"/>
          <w:sz w:val="30"/>
          <w:szCs w:val="30"/>
        </w:rPr>
      </w:pPr>
      <w:r>
        <w:rPr>
          <w:rFonts w:hint="eastAsia" w:ascii="宋体" w:hAnsi="宋体"/>
          <w:sz w:val="30"/>
          <w:szCs w:val="30"/>
        </w:rPr>
        <w:t>养护工作简明专业标准</w:t>
      </w:r>
    </w:p>
    <w:p>
      <w:pPr>
        <w:jc w:val="center"/>
        <w:rPr>
          <w:rFonts w:hint="eastAsia" w:ascii="宋体" w:hAnsi="宋体"/>
          <w:b/>
          <w:spacing w:val="4"/>
          <w:sz w:val="44"/>
          <w:szCs w:val="44"/>
        </w:rPr>
      </w:pPr>
    </w:p>
    <w:p>
      <w:pPr>
        <w:spacing w:line="384" w:lineRule="auto"/>
        <w:rPr>
          <w:rFonts w:hint="eastAsia" w:ascii="宋体" w:hAnsi="宋体"/>
          <w:szCs w:val="21"/>
        </w:rPr>
      </w:pPr>
      <w:r>
        <w:rPr>
          <w:rFonts w:hint="eastAsia" w:ascii="宋体" w:hAnsi="宋体"/>
          <w:szCs w:val="21"/>
        </w:rPr>
        <w:t>（1）修剪：乔木全年不少于一次，灌木全年不少于六次（含清理枯枝）。</w:t>
      </w:r>
    </w:p>
    <w:p>
      <w:pPr>
        <w:spacing w:line="384" w:lineRule="auto"/>
        <w:rPr>
          <w:rFonts w:hint="eastAsia" w:ascii="宋体" w:hAnsi="宋体"/>
          <w:szCs w:val="21"/>
        </w:rPr>
      </w:pPr>
      <w:r>
        <w:rPr>
          <w:rFonts w:hint="eastAsia" w:ascii="宋体" w:hAnsi="宋体"/>
          <w:szCs w:val="21"/>
        </w:rPr>
        <w:t>（2）施肥：乔木全年不少于一次，灌木全年不少于二次。</w:t>
      </w:r>
    </w:p>
    <w:p>
      <w:pPr>
        <w:numPr>
          <w:ilvl w:val="0"/>
          <w:numId w:val="2"/>
        </w:numPr>
        <w:tabs>
          <w:tab w:val="left" w:pos="420"/>
        </w:tabs>
        <w:spacing w:line="384" w:lineRule="auto"/>
        <w:ind w:left="420" w:hanging="420"/>
        <w:rPr>
          <w:rFonts w:hint="eastAsia" w:ascii="宋体" w:hAnsi="宋体"/>
          <w:szCs w:val="21"/>
        </w:rPr>
      </w:pPr>
      <w:r>
        <w:rPr>
          <w:rFonts w:hint="eastAsia" w:ascii="宋体" w:hAnsi="宋体"/>
          <w:szCs w:val="21"/>
        </w:rPr>
        <w:t>治病虫：树木花草全年不少于五次。</w:t>
      </w:r>
    </w:p>
    <w:p>
      <w:pPr>
        <w:numPr>
          <w:ilvl w:val="0"/>
          <w:numId w:val="2"/>
        </w:numPr>
        <w:tabs>
          <w:tab w:val="left" w:pos="420"/>
        </w:tabs>
        <w:spacing w:line="384" w:lineRule="auto"/>
        <w:ind w:left="420" w:hanging="420"/>
        <w:rPr>
          <w:rFonts w:hint="eastAsia" w:ascii="宋体" w:hAnsi="宋体"/>
          <w:szCs w:val="21"/>
        </w:rPr>
      </w:pPr>
      <w:r>
        <w:rPr>
          <w:rFonts w:hint="eastAsia" w:ascii="宋体" w:hAnsi="宋体"/>
          <w:szCs w:val="21"/>
        </w:rPr>
        <w:t>除草：全年基本无杂草，根据季节每年至少开展3次除草。</w:t>
      </w:r>
    </w:p>
    <w:p>
      <w:pPr>
        <w:numPr>
          <w:ilvl w:val="0"/>
          <w:numId w:val="2"/>
        </w:numPr>
        <w:tabs>
          <w:tab w:val="left" w:pos="420"/>
        </w:tabs>
        <w:spacing w:line="384" w:lineRule="auto"/>
        <w:ind w:left="420" w:hanging="420"/>
        <w:rPr>
          <w:rFonts w:hint="eastAsia" w:ascii="宋体" w:hAnsi="宋体"/>
          <w:szCs w:val="21"/>
        </w:rPr>
      </w:pPr>
      <w:r>
        <w:rPr>
          <w:rFonts w:hint="eastAsia" w:ascii="宋体" w:hAnsi="宋体"/>
          <w:szCs w:val="21"/>
        </w:rPr>
        <w:t>抹芽：落叶树全年不少于二次。</w:t>
      </w:r>
    </w:p>
    <w:p>
      <w:pPr>
        <w:numPr>
          <w:ilvl w:val="0"/>
          <w:numId w:val="2"/>
        </w:numPr>
        <w:tabs>
          <w:tab w:val="left" w:pos="420"/>
        </w:tabs>
        <w:spacing w:line="384" w:lineRule="auto"/>
        <w:ind w:left="420" w:hanging="420"/>
        <w:rPr>
          <w:rFonts w:hint="eastAsia" w:ascii="宋体" w:hAnsi="宋体"/>
          <w:szCs w:val="21"/>
        </w:rPr>
      </w:pPr>
      <w:r>
        <w:rPr>
          <w:rFonts w:hint="eastAsia" w:ascii="宋体" w:hAnsi="宋体"/>
          <w:szCs w:val="21"/>
        </w:rPr>
        <w:t>刷白：全年一次。</w:t>
      </w:r>
    </w:p>
    <w:p>
      <w:pPr>
        <w:numPr>
          <w:ilvl w:val="0"/>
          <w:numId w:val="2"/>
        </w:numPr>
        <w:tabs>
          <w:tab w:val="left" w:pos="420"/>
        </w:tabs>
        <w:spacing w:line="384" w:lineRule="auto"/>
        <w:ind w:left="420" w:hanging="420"/>
        <w:rPr>
          <w:rFonts w:hint="eastAsia" w:ascii="宋体" w:hAnsi="宋体"/>
          <w:szCs w:val="21"/>
        </w:rPr>
      </w:pPr>
      <w:r>
        <w:rPr>
          <w:rFonts w:hint="eastAsia" w:ascii="宋体" w:hAnsi="宋体"/>
          <w:szCs w:val="21"/>
        </w:rPr>
        <w:t>台风季节要做好乔木的支撑、抗台防台措施。</w:t>
      </w:r>
    </w:p>
    <w:p>
      <w:pPr>
        <w:spacing w:line="320" w:lineRule="exact"/>
        <w:outlineLvl w:val="0"/>
        <w:rPr>
          <w:rFonts w:hint="eastAsia"/>
          <w:sz w:val="28"/>
          <w:szCs w:val="28"/>
        </w:rPr>
      </w:pPr>
    </w:p>
    <w:p>
      <w:pPr>
        <w:rPr>
          <w:rFonts w:hint="eastAsia" w:ascii="Arial" w:hAnsi="Arial" w:cs="宋体"/>
          <w:b/>
          <w:szCs w:val="21"/>
          <w:lang w:bidi="ar"/>
        </w:rPr>
      </w:pPr>
    </w:p>
    <w:p>
      <w:pPr>
        <w:rPr>
          <w:rFonts w:hint="eastAsia" w:eastAsia="Times New Roman"/>
        </w:rPr>
      </w:pPr>
    </w:p>
    <w:p>
      <w:pPr>
        <w:rPr>
          <w:rFonts w:hint="eastAsia"/>
        </w:rPr>
      </w:pPr>
    </w:p>
    <w:p>
      <w:pPr>
        <w:rPr>
          <w:rFonts w:hint="eastAsia"/>
        </w:rPr>
      </w:pPr>
    </w:p>
    <w:p>
      <w:pPr>
        <w:rPr>
          <w:rFonts w:hint="eastAsia"/>
        </w:rPr>
      </w:pPr>
    </w:p>
    <w:p>
      <w:pPr>
        <w:rPr>
          <w:rFonts w:hint="eastAsia"/>
        </w:rPr>
      </w:pPr>
    </w:p>
    <w:p>
      <w:pPr>
        <w:tabs>
          <w:tab w:val="center" w:pos="4819"/>
        </w:tabs>
        <w:spacing w:before="200" w:after="200" w:line="400" w:lineRule="exact"/>
        <w:outlineLvl w:val="0"/>
        <w:rPr>
          <w:rFonts w:hint="eastAsia" w:ascii="宋体" w:hAnsi="宋体"/>
          <w:spacing w:val="4"/>
          <w:szCs w:val="21"/>
        </w:rPr>
      </w:pPr>
      <w:r>
        <w:rPr>
          <w:rFonts w:hint="eastAsia"/>
        </w:rPr>
        <w:br w:type="page"/>
      </w:r>
      <w:r>
        <w:rPr>
          <w:rFonts w:hint="eastAsia" w:ascii="宋体" w:hAnsi="宋体"/>
          <w:b/>
          <w:bCs/>
          <w:spacing w:val="4"/>
          <w:szCs w:val="21"/>
        </w:rPr>
        <w:t>附件4：</w:t>
      </w:r>
    </w:p>
    <w:p>
      <w:pPr>
        <w:jc w:val="center"/>
        <w:rPr>
          <w:rFonts w:hint="eastAsia" w:ascii="宋体" w:hAnsi="宋体"/>
          <w:sz w:val="30"/>
          <w:szCs w:val="30"/>
        </w:rPr>
      </w:pPr>
      <w:r>
        <w:rPr>
          <w:rFonts w:hint="eastAsia" w:ascii="宋体" w:hAnsi="宋体"/>
          <w:sz w:val="30"/>
          <w:szCs w:val="30"/>
        </w:rPr>
        <w:t>空调及通风系统维保要求</w:t>
      </w:r>
    </w:p>
    <w:p>
      <w:pPr>
        <w:spacing w:line="360" w:lineRule="auto"/>
        <w:jc w:val="center"/>
        <w:rPr>
          <w:rFonts w:hint="eastAsia" w:ascii="宋体" w:hAnsi="宋体"/>
          <w:szCs w:val="21"/>
        </w:rPr>
      </w:pPr>
    </w:p>
    <w:p>
      <w:pPr>
        <w:numPr>
          <w:ilvl w:val="0"/>
          <w:numId w:val="14"/>
        </w:numPr>
        <w:spacing w:line="288" w:lineRule="auto"/>
        <w:rPr>
          <w:rFonts w:hint="eastAsia" w:ascii="宋体" w:hAnsi="宋体" w:cs="宋体"/>
          <w:szCs w:val="21"/>
          <w:lang w:bidi="ar"/>
        </w:rPr>
      </w:pPr>
      <w:r>
        <w:rPr>
          <w:rFonts w:hint="eastAsia" w:ascii="宋体" w:hAnsi="宋体" w:cs="宋体"/>
          <w:szCs w:val="21"/>
          <w:lang w:bidi="ar"/>
        </w:rPr>
        <w:t>空调维保服务内容</w:t>
      </w:r>
    </w:p>
    <w:p>
      <w:pPr>
        <w:numPr>
          <w:ilvl w:val="0"/>
          <w:numId w:val="15"/>
        </w:numPr>
        <w:spacing w:line="288" w:lineRule="auto"/>
        <w:ind w:firstLine="420" w:firstLineChars="200"/>
        <w:rPr>
          <w:rFonts w:hint="eastAsia" w:ascii="宋体" w:hAnsi="宋体" w:cs="宋体"/>
          <w:szCs w:val="21"/>
          <w:lang w:bidi="ar"/>
        </w:rPr>
      </w:pPr>
      <w:r>
        <w:rPr>
          <w:rFonts w:hint="eastAsia" w:ascii="宋体" w:hAnsi="宋体" w:cs="宋体"/>
          <w:szCs w:val="21"/>
          <w:lang w:bidi="ar"/>
        </w:rPr>
        <w:t>离心式冷水机组每月巡检1次，制冷期结束后进行一次保养。在保养期限内，维保过的项目出现问题，维修保养费均免。</w:t>
      </w:r>
    </w:p>
    <w:p>
      <w:pPr>
        <w:numPr>
          <w:ilvl w:val="0"/>
          <w:numId w:val="15"/>
        </w:numPr>
        <w:spacing w:line="288" w:lineRule="auto"/>
        <w:ind w:firstLine="420" w:firstLineChars="200"/>
        <w:rPr>
          <w:rFonts w:ascii="宋体" w:hAnsi="宋体" w:cs="宋体"/>
          <w:szCs w:val="21"/>
          <w:lang w:bidi="ar"/>
        </w:rPr>
      </w:pPr>
      <w:r>
        <w:rPr>
          <w:rFonts w:hint="eastAsia" w:ascii="宋体" w:hAnsi="宋体" w:cs="宋体"/>
          <w:szCs w:val="21"/>
          <w:lang w:bidi="ar"/>
        </w:rPr>
        <w:t>冷却塔每年清洗2次，每月巡检1次。</w:t>
      </w:r>
    </w:p>
    <w:p>
      <w:pPr>
        <w:numPr>
          <w:ilvl w:val="0"/>
          <w:numId w:val="15"/>
        </w:numPr>
        <w:spacing w:line="288" w:lineRule="auto"/>
        <w:ind w:firstLine="420" w:firstLineChars="200"/>
        <w:rPr>
          <w:rFonts w:ascii="宋体" w:hAnsi="宋体" w:cs="宋体"/>
          <w:szCs w:val="21"/>
          <w:lang w:bidi="ar"/>
        </w:rPr>
      </w:pPr>
      <w:r>
        <w:rPr>
          <w:rFonts w:hint="eastAsia" w:ascii="宋体" w:hAnsi="宋体" w:cs="宋体"/>
          <w:szCs w:val="21"/>
          <w:lang w:bidi="ar"/>
        </w:rPr>
        <w:t>风机盘管、水过滤器每年清洗一次，过滤网每年清洗二次，全年免费维修。</w:t>
      </w:r>
    </w:p>
    <w:p>
      <w:pPr>
        <w:numPr>
          <w:ilvl w:val="0"/>
          <w:numId w:val="15"/>
        </w:numPr>
        <w:spacing w:line="288" w:lineRule="auto"/>
        <w:ind w:firstLine="420" w:firstLineChars="200"/>
        <w:rPr>
          <w:rFonts w:ascii="宋体" w:hAnsi="宋体" w:cs="宋体"/>
          <w:szCs w:val="21"/>
          <w:lang w:bidi="ar"/>
        </w:rPr>
      </w:pPr>
      <w:r>
        <w:rPr>
          <w:rFonts w:hint="eastAsia" w:ascii="宋体" w:hAnsi="宋体" w:cs="宋体"/>
          <w:szCs w:val="21"/>
          <w:lang w:bidi="ar"/>
        </w:rPr>
        <w:t>新风机、组合式空调器、水过滤器的过滤网每年清洗1次，全年免费维修。</w:t>
      </w:r>
    </w:p>
    <w:p>
      <w:pPr>
        <w:numPr>
          <w:ilvl w:val="0"/>
          <w:numId w:val="15"/>
        </w:numPr>
        <w:spacing w:line="288" w:lineRule="auto"/>
        <w:ind w:firstLine="420" w:firstLineChars="200"/>
        <w:rPr>
          <w:rFonts w:ascii="宋体" w:hAnsi="宋体" w:cs="宋体"/>
          <w:szCs w:val="21"/>
          <w:lang w:bidi="ar"/>
        </w:rPr>
      </w:pPr>
      <w:r>
        <w:rPr>
          <w:rFonts w:hint="eastAsia" w:ascii="宋体" w:hAnsi="宋体" w:cs="宋体"/>
          <w:szCs w:val="21"/>
          <w:lang w:bidi="ar"/>
        </w:rPr>
        <w:t>水泵每月巡检2次，每年加注一次润滑油。</w:t>
      </w:r>
    </w:p>
    <w:p>
      <w:pPr>
        <w:numPr>
          <w:ilvl w:val="0"/>
          <w:numId w:val="15"/>
        </w:numPr>
        <w:spacing w:line="288" w:lineRule="auto"/>
        <w:ind w:firstLine="420" w:firstLineChars="200"/>
        <w:rPr>
          <w:rFonts w:ascii="宋体" w:hAnsi="宋体" w:cs="宋体"/>
          <w:szCs w:val="21"/>
          <w:lang w:bidi="ar"/>
        </w:rPr>
      </w:pPr>
      <w:r>
        <w:rPr>
          <w:rFonts w:hint="eastAsia" w:ascii="宋体" w:hAnsi="宋体" w:cs="宋体"/>
          <w:szCs w:val="21"/>
          <w:lang w:bidi="ar"/>
        </w:rPr>
        <w:t>多联机、全热交换器每月巡检1次。</w:t>
      </w:r>
    </w:p>
    <w:p>
      <w:pPr>
        <w:numPr>
          <w:ilvl w:val="0"/>
          <w:numId w:val="15"/>
        </w:numPr>
        <w:spacing w:line="288" w:lineRule="auto"/>
        <w:ind w:firstLine="420" w:firstLineChars="200"/>
        <w:rPr>
          <w:rFonts w:ascii="宋体" w:hAnsi="宋体" w:cs="宋体"/>
          <w:szCs w:val="21"/>
          <w:lang w:bidi="ar"/>
        </w:rPr>
      </w:pPr>
      <w:r>
        <w:rPr>
          <w:rFonts w:hint="eastAsia" w:ascii="宋体" w:hAnsi="宋体" w:cs="宋体"/>
          <w:szCs w:val="21"/>
          <w:lang w:bidi="ar"/>
        </w:rPr>
        <w:t>紧急服务响应时间，接到电话通知4小时到现场。</w:t>
      </w:r>
    </w:p>
    <w:p>
      <w:pPr>
        <w:numPr>
          <w:ilvl w:val="0"/>
          <w:numId w:val="14"/>
        </w:numPr>
        <w:spacing w:line="288" w:lineRule="auto"/>
        <w:rPr>
          <w:rFonts w:hint="eastAsia" w:ascii="宋体" w:hAnsi="宋体" w:cs="宋体"/>
          <w:szCs w:val="21"/>
          <w:lang w:bidi="ar"/>
        </w:rPr>
      </w:pPr>
      <w:r>
        <w:rPr>
          <w:rFonts w:hint="eastAsia" w:ascii="宋体" w:hAnsi="宋体" w:cs="宋体"/>
          <w:szCs w:val="21"/>
          <w:lang w:bidi="ar"/>
        </w:rPr>
        <w:t>服务流程</w:t>
      </w:r>
    </w:p>
    <w:p>
      <w:pPr>
        <w:spacing w:line="288" w:lineRule="auto"/>
        <w:rPr>
          <w:rFonts w:hint="eastAsia" w:ascii="宋体" w:hAnsi="宋体" w:cs="宋体"/>
          <w:szCs w:val="21"/>
          <w:lang w:bidi="ar"/>
        </w:rPr>
      </w:pPr>
      <w:r>
        <w:rPr>
          <w:rFonts w:hint="eastAsia" w:ascii="宋体" w:hAnsi="宋体" w:cs="宋体"/>
          <w:szCs w:val="21"/>
          <w:lang w:bidi="ar"/>
        </w:rPr>
        <w:t>(一)中央空调主机</w:t>
      </w:r>
    </w:p>
    <w:p>
      <w:pPr>
        <w:spacing w:line="288" w:lineRule="auto"/>
        <w:rPr>
          <w:rFonts w:hint="eastAsia" w:ascii="宋体" w:hAnsi="宋体" w:cs="宋体"/>
          <w:szCs w:val="21"/>
          <w:lang w:bidi="ar"/>
        </w:rPr>
      </w:pPr>
      <w:r>
        <w:rPr>
          <w:rFonts w:hint="eastAsia" w:ascii="宋体" w:hAnsi="宋体" w:cs="宋体"/>
          <w:szCs w:val="21"/>
          <w:lang w:bidi="ar"/>
        </w:rPr>
        <w:t>1、年度保养工序</w:t>
      </w:r>
    </w:p>
    <w:p>
      <w:pPr>
        <w:spacing w:line="288" w:lineRule="auto"/>
        <w:rPr>
          <w:rFonts w:hint="eastAsia" w:ascii="宋体" w:hAnsi="宋体" w:cs="宋体"/>
          <w:szCs w:val="21"/>
          <w:lang w:bidi="ar"/>
        </w:rPr>
      </w:pPr>
      <w:r>
        <w:rPr>
          <w:rFonts w:hint="eastAsia" w:ascii="宋体" w:hAnsi="宋体" w:cs="宋体"/>
          <w:szCs w:val="21"/>
          <w:lang w:bidi="ar"/>
        </w:rPr>
        <w:t xml:space="preserve">  (1)紧固所有接线端排防止接线松动导致发热烧毁电器元件</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(2)清理马达主副接触器触点弧垢</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(3)使用500V兆欧表对马达进行绝缘检测</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(4)紧固油泵、马达、压缩机电源主机控制柜接线端排并清理除尘。</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(5)检测低温感知器</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(6)检测及调整高压开关</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(7)检测及调整油压调整阀</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(8)检测油压转换器是否有误差值</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(9)检测及校正高压传感器</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(10)检测冷却水及冰水温度感知器</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(11) 检测及调整冷却水及冰水流量开关</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(12)校正及调整主机设定参数</w:t>
      </w:r>
    </w:p>
    <w:p>
      <w:pPr>
        <w:spacing w:line="288" w:lineRule="auto"/>
        <w:ind w:firstLine="210" w:firstLineChars="100"/>
        <w:rPr>
          <w:rFonts w:ascii="宋体" w:hAnsi="宋体" w:cs="宋体"/>
          <w:szCs w:val="21"/>
          <w:lang w:bidi="ar"/>
        </w:rPr>
      </w:pPr>
      <w:r>
        <w:rPr>
          <w:rFonts w:ascii="宋体" w:hAnsi="宋体" w:cs="宋体"/>
          <w:szCs w:val="21"/>
          <w:lang w:bidi="ar"/>
        </w:rPr>
        <w:t>(13)检测马达温度传感器</w:t>
      </w:r>
    </w:p>
    <w:p>
      <w:pPr>
        <w:spacing w:line="288" w:lineRule="auto"/>
        <w:ind w:firstLine="210" w:firstLineChars="100"/>
        <w:rPr>
          <w:rFonts w:ascii="宋体" w:hAnsi="宋体" w:cs="宋体"/>
          <w:szCs w:val="21"/>
          <w:lang w:bidi="ar"/>
        </w:rPr>
      </w:pPr>
      <w:r>
        <w:rPr>
          <w:rFonts w:ascii="宋体" w:hAnsi="宋体" w:cs="宋体"/>
          <w:szCs w:val="21"/>
          <w:lang w:bidi="ar"/>
        </w:rPr>
        <w:t>(14)更换压缩机油过滤器</w:t>
      </w:r>
    </w:p>
    <w:p>
      <w:pPr>
        <w:spacing w:line="288" w:lineRule="auto"/>
        <w:ind w:firstLine="210" w:firstLineChars="100"/>
        <w:rPr>
          <w:rFonts w:ascii="宋体" w:hAnsi="宋体" w:cs="宋体"/>
          <w:szCs w:val="21"/>
          <w:lang w:bidi="ar"/>
        </w:rPr>
      </w:pPr>
      <w:r>
        <w:rPr>
          <w:rFonts w:ascii="宋体" w:hAnsi="宋体" w:cs="宋体"/>
          <w:szCs w:val="21"/>
          <w:lang w:bidi="ar"/>
        </w:rPr>
        <w:t>(15)用药水及机械清洗冷凝器、蒸发器</w:t>
      </w:r>
    </w:p>
    <w:p>
      <w:pPr>
        <w:spacing w:line="288" w:lineRule="auto"/>
        <w:ind w:firstLine="210" w:firstLineChars="100"/>
        <w:rPr>
          <w:rFonts w:ascii="宋体" w:hAnsi="宋体" w:cs="宋体"/>
          <w:szCs w:val="21"/>
          <w:lang w:bidi="ar"/>
        </w:rPr>
      </w:pPr>
      <w:r>
        <w:rPr>
          <w:rFonts w:ascii="宋体" w:hAnsi="宋体" w:cs="宋体"/>
          <w:szCs w:val="21"/>
          <w:lang w:bidi="ar"/>
        </w:rPr>
        <w:t>(16)测试剂测试冷冻油品质</w:t>
      </w:r>
    </w:p>
    <w:p>
      <w:pPr>
        <w:spacing w:line="288" w:lineRule="auto"/>
        <w:ind w:firstLine="210" w:firstLineChars="100"/>
        <w:rPr>
          <w:rFonts w:ascii="宋体" w:hAnsi="宋体" w:cs="宋体"/>
          <w:szCs w:val="21"/>
          <w:lang w:bidi="ar"/>
        </w:rPr>
      </w:pPr>
      <w:r>
        <w:rPr>
          <w:rFonts w:ascii="宋体" w:hAnsi="宋体" w:cs="宋体"/>
          <w:szCs w:val="21"/>
          <w:lang w:bidi="ar"/>
        </w:rPr>
        <w:t>(17)更换压缩机冷冻油。</w:t>
      </w:r>
    </w:p>
    <w:p>
      <w:pPr>
        <w:spacing w:line="288" w:lineRule="auto"/>
        <w:ind w:firstLine="210" w:firstLineChars="100"/>
        <w:rPr>
          <w:rFonts w:ascii="宋体" w:hAnsi="宋体" w:cs="宋体"/>
          <w:szCs w:val="21"/>
          <w:lang w:bidi="ar"/>
        </w:rPr>
      </w:pPr>
      <w:r>
        <w:rPr>
          <w:rFonts w:ascii="宋体" w:hAnsi="宋体" w:cs="宋体"/>
          <w:szCs w:val="21"/>
          <w:lang w:bidi="ar"/>
        </w:rPr>
        <w:t>(18)检查和测试所有运行控制和安全控制功能。</w:t>
      </w:r>
    </w:p>
    <w:p>
      <w:pPr>
        <w:spacing w:line="288" w:lineRule="auto"/>
        <w:ind w:firstLine="210" w:firstLineChars="100"/>
        <w:rPr>
          <w:rFonts w:ascii="宋体" w:hAnsi="宋体" w:cs="宋体"/>
          <w:szCs w:val="21"/>
          <w:lang w:bidi="ar"/>
        </w:rPr>
      </w:pPr>
      <w:r>
        <w:rPr>
          <w:rFonts w:ascii="宋体" w:hAnsi="宋体" w:cs="宋体"/>
          <w:szCs w:val="21"/>
          <w:lang w:bidi="ar"/>
        </w:rPr>
        <w:t>(19)安全阀年检有乙方来完成，并由乙方来支付年检费用。</w:t>
      </w:r>
    </w:p>
    <w:p>
      <w:pPr>
        <w:spacing w:line="288" w:lineRule="auto"/>
        <w:ind w:firstLine="210" w:firstLineChars="100"/>
        <w:rPr>
          <w:rFonts w:ascii="宋体" w:hAnsi="宋体" w:cs="宋体"/>
          <w:szCs w:val="21"/>
          <w:lang w:bidi="ar"/>
        </w:rPr>
      </w:pPr>
      <w:r>
        <w:rPr>
          <w:rFonts w:ascii="宋体" w:hAnsi="宋体" w:cs="宋体"/>
          <w:szCs w:val="21"/>
          <w:lang w:bidi="ar"/>
        </w:rPr>
        <w:t>(20)制冷剂不足进行补充</w:t>
      </w:r>
      <w:r>
        <w:rPr>
          <w:rFonts w:hint="eastAsia" w:ascii="宋体" w:hAnsi="宋体" w:cs="宋体"/>
          <w:szCs w:val="21"/>
          <w:lang w:bidi="ar"/>
        </w:rPr>
        <w:t>(制冷剂费用另计)</w:t>
      </w:r>
    </w:p>
    <w:p>
      <w:pPr>
        <w:spacing w:line="288" w:lineRule="auto"/>
        <w:ind w:firstLine="210" w:firstLineChars="100"/>
        <w:rPr>
          <w:rFonts w:ascii="宋体" w:hAnsi="宋体" w:cs="宋体"/>
          <w:szCs w:val="21"/>
          <w:lang w:bidi="ar"/>
        </w:rPr>
      </w:pPr>
      <w:r>
        <w:rPr>
          <w:rFonts w:ascii="宋体" w:hAnsi="宋体" w:cs="宋体"/>
          <w:szCs w:val="21"/>
          <w:lang w:bidi="ar"/>
        </w:rPr>
        <w:t>(21)开机运行调试。</w:t>
      </w:r>
    </w:p>
    <w:p>
      <w:pPr>
        <w:spacing w:line="288" w:lineRule="auto"/>
        <w:ind w:firstLine="210" w:firstLineChars="100"/>
        <w:rPr>
          <w:rFonts w:ascii="宋体" w:hAnsi="宋体" w:cs="宋体"/>
          <w:szCs w:val="21"/>
          <w:lang w:bidi="ar"/>
        </w:rPr>
      </w:pPr>
      <w:r>
        <w:rPr>
          <w:rFonts w:ascii="宋体" w:hAnsi="宋体" w:cs="宋体"/>
          <w:szCs w:val="21"/>
          <w:lang w:bidi="ar"/>
        </w:rPr>
        <w:t>2.月度巡检工序马达及启动控制柜</w:t>
      </w:r>
    </w:p>
    <w:p>
      <w:pPr>
        <w:spacing w:line="288" w:lineRule="auto"/>
        <w:ind w:firstLine="210" w:firstLineChars="100"/>
        <w:rPr>
          <w:rFonts w:ascii="宋体" w:hAnsi="宋体" w:cs="宋体"/>
          <w:szCs w:val="21"/>
          <w:lang w:bidi="ar"/>
        </w:rPr>
      </w:pPr>
      <w:r>
        <w:rPr>
          <w:rFonts w:ascii="宋体" w:hAnsi="宋体" w:cs="宋体"/>
          <w:szCs w:val="21"/>
          <w:lang w:bidi="ar"/>
        </w:rPr>
        <w:t>(1)检测马达启动器及其附属装置</w:t>
      </w:r>
    </w:p>
    <w:p>
      <w:pPr>
        <w:spacing w:line="288" w:lineRule="auto"/>
        <w:ind w:firstLine="210" w:firstLineChars="100"/>
        <w:rPr>
          <w:rFonts w:ascii="宋体" w:hAnsi="宋体" w:cs="宋体"/>
          <w:szCs w:val="21"/>
          <w:lang w:bidi="ar"/>
        </w:rPr>
      </w:pPr>
      <w:r>
        <w:rPr>
          <w:rFonts w:ascii="宋体" w:hAnsi="宋体" w:cs="宋体"/>
          <w:szCs w:val="21"/>
          <w:lang w:bidi="ar"/>
        </w:rPr>
        <w:t>(2)检测马达主副接触器端口并紧固</w:t>
      </w:r>
    </w:p>
    <w:p>
      <w:pPr>
        <w:spacing w:line="288" w:lineRule="auto"/>
        <w:ind w:firstLine="210" w:firstLineChars="100"/>
        <w:rPr>
          <w:rFonts w:ascii="宋体" w:hAnsi="宋体" w:cs="宋体"/>
          <w:szCs w:val="21"/>
          <w:lang w:bidi="ar"/>
        </w:rPr>
      </w:pPr>
      <w:r>
        <w:rPr>
          <w:rFonts w:ascii="宋体" w:hAnsi="宋体" w:cs="宋体"/>
          <w:szCs w:val="21"/>
          <w:lang w:bidi="ar"/>
        </w:rPr>
        <w:t>(3)清理马达控制柜内灰尘及污垢</w:t>
      </w:r>
    </w:p>
    <w:p>
      <w:pPr>
        <w:spacing w:line="288" w:lineRule="auto"/>
        <w:ind w:firstLine="210" w:firstLineChars="100"/>
        <w:rPr>
          <w:rFonts w:ascii="宋体" w:hAnsi="宋体" w:cs="宋体"/>
          <w:szCs w:val="21"/>
          <w:lang w:bidi="ar"/>
        </w:rPr>
      </w:pPr>
      <w:r>
        <w:rPr>
          <w:rFonts w:ascii="宋体" w:hAnsi="宋体" w:cs="宋体"/>
          <w:szCs w:val="21"/>
          <w:lang w:bidi="ar"/>
        </w:rPr>
        <w:t>(4)紧固马达电源接线端排</w:t>
      </w:r>
    </w:p>
    <w:p>
      <w:pPr>
        <w:spacing w:line="288" w:lineRule="auto"/>
        <w:ind w:firstLine="210" w:firstLineChars="100"/>
        <w:rPr>
          <w:rFonts w:ascii="宋体" w:hAnsi="宋体" w:cs="宋体"/>
          <w:szCs w:val="21"/>
          <w:lang w:bidi="ar"/>
        </w:rPr>
      </w:pPr>
      <w:r>
        <w:rPr>
          <w:rFonts w:ascii="宋体" w:hAnsi="宋体" w:cs="宋体"/>
          <w:szCs w:val="21"/>
          <w:lang w:bidi="ar"/>
        </w:rPr>
        <w:t>(5)检查主机控制柜各设置参数及运行参数。</w:t>
      </w:r>
    </w:p>
    <w:p>
      <w:pPr>
        <w:spacing w:line="288" w:lineRule="auto"/>
        <w:ind w:firstLine="210" w:firstLineChars="100"/>
        <w:rPr>
          <w:rFonts w:ascii="宋体" w:hAnsi="宋体" w:cs="宋体"/>
          <w:szCs w:val="21"/>
          <w:lang w:bidi="ar"/>
        </w:rPr>
      </w:pPr>
      <w:r>
        <w:rPr>
          <w:rFonts w:ascii="宋体" w:hAnsi="宋体" w:cs="宋体"/>
          <w:szCs w:val="21"/>
          <w:lang w:bidi="ar"/>
        </w:rPr>
        <w:t>润滑系统</w:t>
      </w:r>
    </w:p>
    <w:p>
      <w:pPr>
        <w:spacing w:line="288" w:lineRule="auto"/>
        <w:ind w:firstLine="210" w:firstLineChars="100"/>
        <w:rPr>
          <w:rFonts w:ascii="宋体" w:hAnsi="宋体" w:cs="宋体"/>
          <w:szCs w:val="21"/>
          <w:lang w:bidi="ar"/>
        </w:rPr>
      </w:pPr>
      <w:r>
        <w:rPr>
          <w:rFonts w:ascii="宋体" w:hAnsi="宋体" w:cs="宋体"/>
          <w:szCs w:val="21"/>
          <w:lang w:bidi="ar"/>
        </w:rPr>
        <w:t>(1)测油位是否在正常范围(开机状态)</w:t>
      </w:r>
    </w:p>
    <w:p>
      <w:pPr>
        <w:spacing w:line="288" w:lineRule="auto"/>
        <w:ind w:firstLine="210" w:firstLineChars="100"/>
        <w:rPr>
          <w:rFonts w:ascii="宋体" w:hAnsi="宋体" w:cs="宋体"/>
          <w:szCs w:val="21"/>
          <w:lang w:bidi="ar"/>
        </w:rPr>
      </w:pPr>
      <w:r>
        <w:rPr>
          <w:rFonts w:ascii="宋体" w:hAnsi="宋体" w:cs="宋体"/>
          <w:szCs w:val="21"/>
          <w:lang w:bidi="ar"/>
        </w:rPr>
        <w:t>(2)检查油温传感器感知是否正常</w:t>
      </w:r>
    </w:p>
    <w:p>
      <w:pPr>
        <w:spacing w:line="288" w:lineRule="auto"/>
        <w:ind w:firstLine="210" w:firstLineChars="100"/>
        <w:rPr>
          <w:rFonts w:ascii="宋体" w:hAnsi="宋体" w:cs="宋体"/>
          <w:szCs w:val="21"/>
          <w:lang w:bidi="ar"/>
        </w:rPr>
      </w:pPr>
      <w:r>
        <w:rPr>
          <w:rFonts w:ascii="宋体" w:hAnsi="宋体" w:cs="宋体"/>
          <w:szCs w:val="21"/>
          <w:lang w:bidi="ar"/>
        </w:rPr>
        <w:t>(3)检测油泵马达绕阻</w:t>
      </w:r>
    </w:p>
    <w:p>
      <w:pPr>
        <w:spacing w:line="288" w:lineRule="auto"/>
        <w:ind w:firstLine="210" w:firstLineChars="100"/>
        <w:rPr>
          <w:rFonts w:ascii="宋体" w:hAnsi="宋体" w:cs="宋体"/>
          <w:szCs w:val="21"/>
          <w:lang w:bidi="ar"/>
        </w:rPr>
      </w:pPr>
      <w:r>
        <w:rPr>
          <w:rFonts w:ascii="宋体" w:hAnsi="宋体" w:cs="宋体"/>
          <w:szCs w:val="21"/>
          <w:lang w:bidi="ar"/>
        </w:rPr>
        <w:t>(4)油路泄漏检查</w:t>
      </w:r>
    </w:p>
    <w:p>
      <w:pPr>
        <w:spacing w:line="288" w:lineRule="auto"/>
        <w:ind w:firstLine="210" w:firstLineChars="100"/>
        <w:rPr>
          <w:rFonts w:ascii="宋体" w:hAnsi="宋体" w:cs="宋体"/>
          <w:szCs w:val="21"/>
          <w:lang w:bidi="ar"/>
        </w:rPr>
      </w:pPr>
      <w:r>
        <w:rPr>
          <w:rFonts w:ascii="宋体" w:hAnsi="宋体" w:cs="宋体"/>
          <w:szCs w:val="21"/>
          <w:lang w:bidi="ar"/>
        </w:rPr>
        <w:t>冷凝系统</w:t>
      </w:r>
    </w:p>
    <w:p>
      <w:pPr>
        <w:spacing w:line="288" w:lineRule="auto"/>
        <w:ind w:firstLine="210" w:firstLineChars="100"/>
        <w:rPr>
          <w:rFonts w:ascii="宋体" w:hAnsi="宋体" w:cs="宋体"/>
          <w:szCs w:val="21"/>
          <w:lang w:bidi="ar"/>
        </w:rPr>
      </w:pPr>
      <w:r>
        <w:rPr>
          <w:rFonts w:ascii="宋体" w:hAnsi="宋体" w:cs="宋体"/>
          <w:szCs w:val="21"/>
          <w:lang w:bidi="ar"/>
        </w:rPr>
        <w:t>(1) 检测水及冷媒溫度</w:t>
      </w:r>
    </w:p>
    <w:p>
      <w:pPr>
        <w:spacing w:line="288" w:lineRule="auto"/>
        <w:ind w:firstLine="210" w:firstLineChars="100"/>
        <w:rPr>
          <w:rFonts w:ascii="宋体" w:hAnsi="宋体" w:cs="宋体"/>
          <w:szCs w:val="21"/>
          <w:lang w:bidi="ar"/>
        </w:rPr>
      </w:pPr>
      <w:r>
        <w:rPr>
          <w:rFonts w:ascii="宋体" w:hAnsi="宋体" w:cs="宋体"/>
          <w:szCs w:val="21"/>
          <w:lang w:bidi="ar"/>
        </w:rPr>
        <w:t>(2)检测及校正冷媒冷凝压力</w:t>
      </w:r>
    </w:p>
    <w:p>
      <w:pPr>
        <w:spacing w:line="288" w:lineRule="auto"/>
        <w:ind w:firstLine="210" w:firstLineChars="100"/>
        <w:rPr>
          <w:rFonts w:ascii="宋体" w:hAnsi="宋体" w:cs="宋体"/>
          <w:szCs w:val="21"/>
          <w:lang w:bidi="ar"/>
        </w:rPr>
      </w:pPr>
      <w:r>
        <w:rPr>
          <w:rFonts w:ascii="宋体" w:hAnsi="宋体" w:cs="宋体"/>
          <w:szCs w:val="21"/>
          <w:lang w:bidi="ar"/>
        </w:rPr>
        <w:t>(3)管道泄漏检查</w:t>
      </w:r>
    </w:p>
    <w:p>
      <w:pPr>
        <w:spacing w:line="288" w:lineRule="auto"/>
        <w:ind w:firstLine="210" w:firstLineChars="100"/>
        <w:rPr>
          <w:rFonts w:ascii="宋体" w:hAnsi="宋体" w:cs="宋体"/>
          <w:szCs w:val="21"/>
          <w:lang w:bidi="ar"/>
        </w:rPr>
      </w:pPr>
      <w:r>
        <w:rPr>
          <w:rFonts w:ascii="宋体" w:hAnsi="宋体" w:cs="宋体"/>
          <w:szCs w:val="21"/>
          <w:lang w:bidi="ar"/>
        </w:rPr>
        <w:t>(4)检查泵体运行状况</w:t>
      </w:r>
    </w:p>
    <w:p>
      <w:pPr>
        <w:spacing w:line="288" w:lineRule="auto"/>
        <w:ind w:firstLine="210" w:firstLineChars="100"/>
        <w:rPr>
          <w:rFonts w:ascii="宋体" w:hAnsi="宋体" w:cs="宋体"/>
          <w:szCs w:val="21"/>
          <w:lang w:bidi="ar"/>
        </w:rPr>
      </w:pPr>
      <w:r>
        <w:rPr>
          <w:rFonts w:ascii="宋体" w:hAnsi="宋体" w:cs="宋体"/>
          <w:szCs w:val="21"/>
          <w:lang w:bidi="ar"/>
        </w:rPr>
        <w:t xml:space="preserve"> 冷却水系统</w:t>
      </w:r>
    </w:p>
    <w:p>
      <w:pPr>
        <w:spacing w:line="288" w:lineRule="auto"/>
        <w:ind w:firstLine="210" w:firstLineChars="100"/>
        <w:rPr>
          <w:rFonts w:ascii="宋体" w:hAnsi="宋体" w:cs="宋体"/>
          <w:szCs w:val="21"/>
          <w:lang w:bidi="ar"/>
        </w:rPr>
      </w:pPr>
      <w:r>
        <w:rPr>
          <w:rFonts w:ascii="宋体" w:hAnsi="宋体" w:cs="宋体"/>
          <w:szCs w:val="21"/>
          <w:lang w:bidi="ar"/>
        </w:rPr>
        <w:t>(1)检测冷却水温度</w:t>
      </w:r>
    </w:p>
    <w:p>
      <w:pPr>
        <w:spacing w:line="288" w:lineRule="auto"/>
        <w:ind w:firstLine="210" w:firstLineChars="100"/>
        <w:rPr>
          <w:rFonts w:ascii="宋体" w:hAnsi="宋体" w:cs="宋体"/>
          <w:szCs w:val="21"/>
          <w:lang w:bidi="ar"/>
        </w:rPr>
      </w:pPr>
      <w:r>
        <w:rPr>
          <w:rFonts w:ascii="宋体" w:hAnsi="宋体" w:cs="宋体"/>
          <w:szCs w:val="21"/>
          <w:lang w:bidi="ar"/>
        </w:rPr>
        <w:t>(2)检测及校正冷媒冷凝压力</w:t>
      </w:r>
    </w:p>
    <w:p>
      <w:pPr>
        <w:spacing w:line="288" w:lineRule="auto"/>
        <w:ind w:firstLine="210" w:firstLineChars="100"/>
        <w:rPr>
          <w:rFonts w:ascii="宋体" w:hAnsi="宋体" w:cs="宋体"/>
          <w:szCs w:val="21"/>
          <w:lang w:bidi="ar"/>
        </w:rPr>
      </w:pPr>
      <w:r>
        <w:rPr>
          <w:rFonts w:ascii="宋体" w:hAnsi="宋体" w:cs="宋体"/>
          <w:szCs w:val="21"/>
          <w:lang w:bidi="ar"/>
        </w:rPr>
        <w:t>(3)管道泄漏检查</w:t>
      </w:r>
    </w:p>
    <w:p>
      <w:pPr>
        <w:spacing w:line="288" w:lineRule="auto"/>
        <w:ind w:firstLine="210" w:firstLineChars="100"/>
        <w:rPr>
          <w:rFonts w:ascii="宋体" w:hAnsi="宋体" w:cs="宋体"/>
          <w:szCs w:val="21"/>
          <w:lang w:bidi="ar"/>
        </w:rPr>
      </w:pPr>
      <w:r>
        <w:rPr>
          <w:rFonts w:ascii="宋体" w:hAnsi="宋体" w:cs="宋体"/>
          <w:szCs w:val="21"/>
          <w:lang w:bidi="ar"/>
        </w:rPr>
        <w:t>(</w:t>
      </w:r>
      <w:r>
        <w:rPr>
          <w:rFonts w:hint="eastAsia" w:ascii="宋体" w:hAnsi="宋体" w:cs="宋体"/>
          <w:szCs w:val="21"/>
          <w:lang w:bidi="ar"/>
        </w:rPr>
        <w:t>二</w:t>
      </w:r>
      <w:r>
        <w:rPr>
          <w:rFonts w:ascii="宋体" w:hAnsi="宋体" w:cs="宋体"/>
          <w:szCs w:val="21"/>
          <w:lang w:bidi="ar"/>
        </w:rPr>
        <w:t>)冷却塔</w:t>
      </w:r>
    </w:p>
    <w:p>
      <w:pPr>
        <w:spacing w:line="288" w:lineRule="auto"/>
        <w:ind w:firstLine="210" w:firstLineChars="100"/>
        <w:rPr>
          <w:rFonts w:ascii="宋体" w:hAnsi="宋体" w:cs="宋体"/>
          <w:szCs w:val="21"/>
          <w:lang w:bidi="ar"/>
        </w:rPr>
      </w:pPr>
      <w:r>
        <w:rPr>
          <w:rFonts w:ascii="宋体" w:hAnsi="宋体" w:cs="宋体"/>
          <w:szCs w:val="21"/>
          <w:lang w:bidi="ar"/>
        </w:rPr>
        <w:t>1.一年一次冷却塔清洗</w:t>
      </w:r>
    </w:p>
    <w:p>
      <w:pPr>
        <w:spacing w:line="288" w:lineRule="auto"/>
        <w:ind w:firstLine="210" w:firstLineChars="100"/>
        <w:rPr>
          <w:rFonts w:ascii="宋体" w:hAnsi="宋体" w:cs="宋体"/>
          <w:szCs w:val="21"/>
          <w:lang w:bidi="ar"/>
        </w:rPr>
      </w:pPr>
      <w:r>
        <w:rPr>
          <w:rFonts w:ascii="宋体" w:hAnsi="宋体" w:cs="宋体"/>
          <w:szCs w:val="21"/>
          <w:lang w:bidi="ar"/>
        </w:rPr>
        <w:t>2.冷却塔风机运行检测</w:t>
      </w:r>
    </w:p>
    <w:p>
      <w:pPr>
        <w:spacing w:line="288" w:lineRule="auto"/>
        <w:ind w:firstLine="210" w:firstLineChars="100"/>
        <w:rPr>
          <w:rFonts w:ascii="宋体" w:hAnsi="宋体" w:cs="宋体"/>
          <w:szCs w:val="21"/>
          <w:lang w:bidi="ar"/>
        </w:rPr>
      </w:pPr>
      <w:r>
        <w:rPr>
          <w:rFonts w:ascii="宋体" w:hAnsi="宋体" w:cs="宋体"/>
          <w:szCs w:val="21"/>
          <w:lang w:bidi="ar"/>
        </w:rPr>
        <w:t>3.一年一次免费添加轴承润滑油</w:t>
      </w:r>
    </w:p>
    <w:p>
      <w:pPr>
        <w:spacing w:line="288" w:lineRule="auto"/>
        <w:ind w:firstLine="210" w:firstLineChars="100"/>
        <w:rPr>
          <w:rFonts w:ascii="宋体" w:hAnsi="宋体" w:cs="宋体"/>
          <w:szCs w:val="21"/>
          <w:lang w:bidi="ar"/>
        </w:rPr>
      </w:pPr>
      <w:r>
        <w:rPr>
          <w:rFonts w:ascii="宋体" w:hAnsi="宋体" w:cs="宋体"/>
          <w:szCs w:val="21"/>
          <w:lang w:bidi="ar"/>
        </w:rPr>
        <w:t>4.全年免费故障检测维修</w:t>
      </w:r>
    </w:p>
    <w:p>
      <w:pPr>
        <w:spacing w:line="288" w:lineRule="auto"/>
        <w:ind w:firstLine="210" w:firstLineChars="100"/>
        <w:rPr>
          <w:rFonts w:ascii="宋体" w:hAnsi="宋体" w:cs="宋体"/>
          <w:szCs w:val="21"/>
          <w:lang w:bidi="ar"/>
        </w:rPr>
      </w:pPr>
      <w:r>
        <w:rPr>
          <w:rFonts w:ascii="宋体" w:hAnsi="宋体" w:cs="宋体"/>
          <w:szCs w:val="21"/>
          <w:lang w:bidi="ar"/>
        </w:rPr>
        <w:t>(</w:t>
      </w:r>
      <w:r>
        <w:rPr>
          <w:rFonts w:hint="eastAsia" w:ascii="宋体" w:hAnsi="宋体" w:cs="宋体"/>
          <w:szCs w:val="21"/>
          <w:lang w:bidi="ar"/>
        </w:rPr>
        <w:t>三</w:t>
      </w:r>
      <w:r>
        <w:rPr>
          <w:rFonts w:ascii="宋体" w:hAnsi="宋体" w:cs="宋体"/>
          <w:szCs w:val="21"/>
          <w:lang w:bidi="ar"/>
        </w:rPr>
        <w:t>)水泵</w:t>
      </w:r>
    </w:p>
    <w:p>
      <w:pPr>
        <w:spacing w:line="288" w:lineRule="auto"/>
        <w:ind w:firstLine="210" w:firstLineChars="100"/>
        <w:rPr>
          <w:rFonts w:ascii="宋体" w:hAnsi="宋体" w:cs="宋体"/>
          <w:szCs w:val="21"/>
          <w:lang w:bidi="ar"/>
        </w:rPr>
      </w:pPr>
      <w:r>
        <w:rPr>
          <w:rFonts w:ascii="宋体" w:hAnsi="宋体" w:cs="宋体"/>
          <w:szCs w:val="21"/>
          <w:lang w:bidi="ar"/>
        </w:rPr>
        <w:t>1.一年一次进水过滤器清洗</w:t>
      </w:r>
    </w:p>
    <w:p>
      <w:pPr>
        <w:spacing w:line="288" w:lineRule="auto"/>
        <w:ind w:firstLine="210" w:firstLineChars="100"/>
        <w:rPr>
          <w:rFonts w:ascii="宋体" w:hAnsi="宋体" w:cs="宋体"/>
          <w:szCs w:val="21"/>
          <w:lang w:bidi="ar"/>
        </w:rPr>
      </w:pPr>
      <w:r>
        <w:rPr>
          <w:rFonts w:ascii="宋体" w:hAnsi="宋体" w:cs="宋体"/>
          <w:szCs w:val="21"/>
          <w:lang w:bidi="ar"/>
        </w:rPr>
        <w:t>2.一年一次开机运行检测(噪音检测、轴承异响检测、皮带松紧度调节、电动阀门检测、动平衡调节)</w:t>
      </w:r>
    </w:p>
    <w:p>
      <w:pPr>
        <w:spacing w:line="288" w:lineRule="auto"/>
        <w:ind w:firstLine="210" w:firstLineChars="100"/>
        <w:rPr>
          <w:rFonts w:ascii="宋体" w:hAnsi="宋体" w:cs="宋体"/>
          <w:szCs w:val="21"/>
          <w:lang w:bidi="ar"/>
        </w:rPr>
      </w:pPr>
      <w:r>
        <w:rPr>
          <w:rFonts w:ascii="宋体" w:hAnsi="宋体" w:cs="宋体"/>
          <w:szCs w:val="21"/>
          <w:lang w:bidi="ar"/>
        </w:rPr>
        <w:t>3.一年一次免费添加轴承润滑油</w:t>
      </w:r>
    </w:p>
    <w:p>
      <w:pPr>
        <w:spacing w:line="288" w:lineRule="auto"/>
        <w:ind w:firstLine="210" w:firstLineChars="100"/>
        <w:rPr>
          <w:rFonts w:ascii="宋体" w:hAnsi="宋体" w:cs="宋体"/>
          <w:szCs w:val="21"/>
          <w:lang w:bidi="ar"/>
        </w:rPr>
      </w:pPr>
      <w:r>
        <w:rPr>
          <w:rFonts w:ascii="宋体" w:hAnsi="宋体" w:cs="宋体"/>
          <w:szCs w:val="21"/>
          <w:lang w:bidi="ar"/>
        </w:rPr>
        <w:t>4.全年免费故障检测维修</w:t>
      </w:r>
    </w:p>
    <w:p>
      <w:pPr>
        <w:spacing w:line="288" w:lineRule="auto"/>
        <w:ind w:firstLine="210" w:firstLineChars="100"/>
        <w:rPr>
          <w:rFonts w:hint="eastAsia" w:ascii="宋体" w:hAnsi="宋体" w:cs="宋体"/>
          <w:szCs w:val="21"/>
          <w:lang w:bidi="ar"/>
        </w:rPr>
      </w:pPr>
      <w:r>
        <w:rPr>
          <w:rFonts w:hint="eastAsia" w:ascii="宋体" w:hAnsi="宋体" w:cs="宋体"/>
          <w:szCs w:val="21"/>
          <w:lang w:bidi="ar"/>
        </w:rPr>
        <w:t>5</w:t>
      </w:r>
      <w:r>
        <w:rPr>
          <w:rFonts w:ascii="宋体" w:hAnsi="宋体" w:cs="宋体"/>
          <w:szCs w:val="21"/>
          <w:lang w:bidi="ar"/>
        </w:rPr>
        <w:t>.</w:t>
      </w:r>
      <w:r>
        <w:rPr>
          <w:rFonts w:hint="eastAsia" w:ascii="宋体" w:hAnsi="宋体" w:cs="宋体"/>
          <w:szCs w:val="21"/>
          <w:lang w:bidi="ar"/>
        </w:rPr>
        <w:t>每日巡检</w:t>
      </w:r>
    </w:p>
    <w:p>
      <w:pPr>
        <w:spacing w:line="288" w:lineRule="auto"/>
        <w:ind w:firstLine="210" w:firstLineChars="100"/>
        <w:rPr>
          <w:rFonts w:ascii="宋体" w:hAnsi="宋体" w:cs="宋体"/>
          <w:szCs w:val="21"/>
          <w:lang w:bidi="ar"/>
        </w:rPr>
      </w:pPr>
      <w:r>
        <w:rPr>
          <w:rFonts w:ascii="宋体" w:hAnsi="宋体" w:cs="宋体"/>
          <w:szCs w:val="21"/>
          <w:lang w:bidi="ar"/>
        </w:rPr>
        <w:t>(</w:t>
      </w:r>
      <w:r>
        <w:rPr>
          <w:rFonts w:hint="eastAsia" w:ascii="宋体" w:hAnsi="宋体" w:cs="宋体"/>
          <w:szCs w:val="21"/>
          <w:lang w:bidi="ar"/>
        </w:rPr>
        <w:t>四</w:t>
      </w:r>
      <w:r>
        <w:rPr>
          <w:rFonts w:ascii="宋体" w:hAnsi="宋体" w:cs="宋体"/>
          <w:szCs w:val="21"/>
          <w:lang w:bidi="ar"/>
        </w:rPr>
        <w:t>)多联机、全热交换机</w:t>
      </w:r>
    </w:p>
    <w:p>
      <w:pPr>
        <w:spacing w:line="288" w:lineRule="auto"/>
        <w:ind w:firstLine="210" w:firstLineChars="100"/>
        <w:rPr>
          <w:rFonts w:ascii="宋体" w:hAnsi="宋体" w:cs="宋体"/>
          <w:szCs w:val="21"/>
          <w:lang w:bidi="ar"/>
        </w:rPr>
      </w:pPr>
      <w:r>
        <w:rPr>
          <w:rFonts w:ascii="宋体" w:hAnsi="宋体" w:cs="宋体"/>
          <w:szCs w:val="21"/>
          <w:lang w:bidi="ar"/>
        </w:rPr>
        <w:t>1.一年一次专业检测。检查并润滑风机和运动部件;检查换向阀的换向功能，检查异常噪音</w:t>
      </w:r>
      <w:r>
        <w:rPr>
          <w:rFonts w:hint="eastAsia" w:ascii="宋体" w:hAnsi="宋体" w:cs="宋体"/>
          <w:szCs w:val="21"/>
          <w:lang w:bidi="ar"/>
        </w:rPr>
        <w:t>；</w:t>
      </w:r>
      <w:r>
        <w:rPr>
          <w:rFonts w:ascii="宋体" w:hAnsi="宋体" w:cs="宋体"/>
          <w:szCs w:val="21"/>
          <w:lang w:bidi="ar"/>
        </w:rPr>
        <w:t>检查指示灯、控制开关</w:t>
      </w:r>
      <w:r>
        <w:rPr>
          <w:rFonts w:hint="eastAsia" w:ascii="宋体" w:hAnsi="宋体" w:cs="宋体"/>
          <w:szCs w:val="21"/>
          <w:lang w:bidi="ar"/>
        </w:rPr>
        <w:t>；</w:t>
      </w:r>
      <w:r>
        <w:rPr>
          <w:rFonts w:ascii="宋体" w:hAnsi="宋体" w:cs="宋体"/>
          <w:szCs w:val="21"/>
          <w:lang w:bidi="ar"/>
        </w:rPr>
        <w:t>检查遥控信号的发射和接收</w:t>
      </w:r>
      <w:r>
        <w:rPr>
          <w:rFonts w:hint="eastAsia" w:ascii="宋体" w:hAnsi="宋体" w:cs="宋体"/>
          <w:szCs w:val="21"/>
          <w:lang w:bidi="ar"/>
        </w:rPr>
        <w:t>；</w:t>
      </w:r>
      <w:r>
        <w:rPr>
          <w:rFonts w:ascii="宋体" w:hAnsi="宋体" w:cs="宋体"/>
          <w:szCs w:val="21"/>
          <w:lang w:bidi="ar"/>
        </w:rPr>
        <w:t>检查和测试风量、进出风温度、温差。</w:t>
      </w:r>
    </w:p>
    <w:p>
      <w:pPr>
        <w:spacing w:line="288" w:lineRule="auto"/>
        <w:ind w:firstLine="210" w:firstLineChars="100"/>
        <w:rPr>
          <w:rFonts w:ascii="宋体" w:hAnsi="宋体" w:cs="宋体"/>
          <w:szCs w:val="21"/>
          <w:lang w:bidi="ar"/>
        </w:rPr>
      </w:pPr>
      <w:r>
        <w:rPr>
          <w:rFonts w:ascii="宋体" w:hAnsi="宋体" w:cs="宋体"/>
          <w:szCs w:val="21"/>
          <w:lang w:bidi="ar"/>
        </w:rPr>
        <w:t>2.一年一次专业空调清洗。用专业清洗剂清洗风机叶轮及蜗壳内;壁;使用原装进口的清洗剂清洗内机翅片</w:t>
      </w:r>
      <w:r>
        <w:rPr>
          <w:rFonts w:hint="eastAsia" w:ascii="宋体" w:hAnsi="宋体" w:cs="宋体"/>
          <w:szCs w:val="21"/>
          <w:lang w:bidi="ar"/>
        </w:rPr>
        <w:t>；</w:t>
      </w:r>
      <w:r>
        <w:rPr>
          <w:rFonts w:ascii="宋体" w:hAnsi="宋体" w:cs="宋体"/>
          <w:szCs w:val="21"/>
          <w:lang w:bidi="ar"/>
        </w:rPr>
        <w:t>清洗过滤网及风口;净化积水盘、去除异味;开机运行20分钟检查验收。</w:t>
      </w:r>
    </w:p>
    <w:p>
      <w:pPr>
        <w:spacing w:line="360" w:lineRule="auto"/>
        <w:ind w:left="840" w:leftChars="100" w:hanging="630" w:hangingChars="300"/>
        <w:rPr>
          <w:rFonts w:ascii="宋体" w:hAnsi="宋体" w:cs="宋体"/>
          <w:szCs w:val="21"/>
          <w:lang w:bidi="ar"/>
        </w:rPr>
      </w:pPr>
      <w:r>
        <w:rPr>
          <w:rFonts w:ascii="宋体" w:hAnsi="宋体" w:cs="宋体"/>
          <w:szCs w:val="21"/>
          <w:lang w:bidi="ar"/>
        </w:rPr>
        <w:t>3.一年免费维修(不含材料费)。接到报修电话后，</w:t>
      </w:r>
      <w:r>
        <w:rPr>
          <w:rFonts w:hint="eastAsia" w:ascii="宋体" w:hAnsi="宋体" w:cs="宋体"/>
          <w:szCs w:val="21"/>
          <w:lang w:bidi="ar"/>
        </w:rPr>
        <w:t>2</w:t>
      </w:r>
      <w:r>
        <w:rPr>
          <w:rFonts w:ascii="宋体" w:hAnsi="宋体" w:cs="宋体"/>
          <w:szCs w:val="21"/>
          <w:lang w:bidi="ar"/>
        </w:rPr>
        <w:t>小时内安排专业人员上门。</w:t>
      </w:r>
    </w:p>
    <w:p>
      <w:pPr>
        <w:tabs>
          <w:tab w:val="center" w:pos="4819"/>
        </w:tabs>
        <w:spacing w:before="200" w:after="200" w:line="400" w:lineRule="exact"/>
        <w:ind w:left="-199" w:leftChars="-95" w:right="-86" w:rightChars="-41"/>
        <w:outlineLvl w:val="0"/>
        <w:rPr>
          <w:rFonts w:hint="eastAsia" w:ascii="宋体" w:hAnsi="宋体"/>
          <w:spacing w:val="4"/>
          <w:szCs w:val="21"/>
        </w:rPr>
      </w:pPr>
      <w:r>
        <w:rPr>
          <w:rFonts w:ascii="宋体" w:hAnsi="宋体" w:cs="宋体"/>
          <w:szCs w:val="21"/>
          <w:lang w:bidi="ar"/>
        </w:rPr>
        <w:br w:type="page"/>
      </w:r>
      <w:r>
        <w:rPr>
          <w:rFonts w:hint="eastAsia" w:ascii="宋体" w:hAnsi="宋体"/>
          <w:b/>
          <w:bCs/>
          <w:spacing w:val="4"/>
          <w:szCs w:val="21"/>
        </w:rPr>
        <w:t>附件5：</w:t>
      </w:r>
    </w:p>
    <w:p>
      <w:pPr>
        <w:jc w:val="center"/>
        <w:rPr>
          <w:rFonts w:hint="eastAsia" w:ascii="宋体" w:hAnsi="宋体"/>
          <w:sz w:val="30"/>
          <w:szCs w:val="30"/>
        </w:rPr>
      </w:pPr>
      <w:r>
        <w:rPr>
          <w:rFonts w:hint="eastAsia" w:ascii="宋体" w:hAnsi="宋体"/>
          <w:sz w:val="30"/>
          <w:szCs w:val="30"/>
        </w:rPr>
        <w:t>消防、防排烟系统维护、保养要求</w:t>
      </w:r>
    </w:p>
    <w:p>
      <w:pPr>
        <w:spacing w:line="360" w:lineRule="auto"/>
        <w:ind w:left="840" w:leftChars="100" w:hanging="630" w:hangingChars="300"/>
        <w:rPr>
          <w:rFonts w:hint="eastAsia"/>
        </w:rPr>
      </w:pPr>
    </w:p>
    <w:p>
      <w:pPr>
        <w:pStyle w:val="153"/>
        <w:spacing w:line="380" w:lineRule="exact"/>
        <w:rPr>
          <w:szCs w:val="21"/>
        </w:rPr>
      </w:pPr>
      <w:r>
        <w:rPr>
          <w:szCs w:val="21"/>
        </w:rPr>
        <w:t>一、维保要求</w:t>
      </w:r>
    </w:p>
    <w:p>
      <w:pPr>
        <w:pStyle w:val="153"/>
        <w:numPr>
          <w:ilvl w:val="0"/>
          <w:numId w:val="16"/>
        </w:numPr>
        <w:tabs>
          <w:tab w:val="left" w:pos="1224"/>
        </w:tabs>
        <w:spacing w:line="380" w:lineRule="exact"/>
        <w:ind w:firstLine="880"/>
        <w:rPr>
          <w:szCs w:val="21"/>
        </w:rPr>
      </w:pPr>
      <w:bookmarkStart w:id="110" w:name="bookmark3"/>
      <w:bookmarkEnd w:id="110"/>
      <w:r>
        <w:rPr>
          <w:szCs w:val="21"/>
        </w:rPr>
        <w:t>消防供配电设施</w:t>
      </w:r>
    </w:p>
    <w:p>
      <w:pPr>
        <w:pStyle w:val="153"/>
        <w:spacing w:line="380" w:lineRule="exact"/>
        <w:rPr>
          <w:szCs w:val="21"/>
        </w:rPr>
      </w:pPr>
      <w:r>
        <w:rPr>
          <w:szCs w:val="21"/>
        </w:rPr>
        <w:t>⑴每月査看消防控制配电箱的标志，一级仪表、指示灯、开关、控制按 钮；</w:t>
      </w:r>
    </w:p>
    <w:p>
      <w:pPr>
        <w:pStyle w:val="153"/>
        <w:spacing w:line="380" w:lineRule="exact"/>
        <w:rPr>
          <w:szCs w:val="21"/>
        </w:rPr>
      </w:pPr>
      <w:r>
        <w:rPr>
          <w:szCs w:val="21"/>
        </w:rPr>
        <w:t>⑵每月检查消防设备末端配电箱主备电源之间的自动切换是否正常；</w:t>
      </w:r>
    </w:p>
    <w:p>
      <w:pPr>
        <w:pStyle w:val="153"/>
        <w:spacing w:line="380" w:lineRule="exact"/>
        <w:ind w:right="-307" w:rightChars="-146"/>
        <w:rPr>
          <w:szCs w:val="21"/>
        </w:rPr>
      </w:pPr>
      <w:r>
        <w:rPr>
          <w:szCs w:val="21"/>
        </w:rPr>
        <w:t>⑶每月监测消防控制室、消防水泵房、防烟与排烟风机房的消防用电设备及消防电梯等的供电，自动切换装置工作状态；</w:t>
      </w:r>
    </w:p>
    <w:p>
      <w:pPr>
        <w:pStyle w:val="153"/>
        <w:spacing w:line="380" w:lineRule="exact"/>
        <w:rPr>
          <w:szCs w:val="21"/>
        </w:rPr>
      </w:pPr>
      <w:r>
        <w:rPr>
          <w:szCs w:val="21"/>
        </w:rPr>
        <w:t>⑷每月检查发电机启动装置外观及工作状态、发电机燃料储量、储油间 的环境。</w:t>
      </w:r>
    </w:p>
    <w:p>
      <w:pPr>
        <w:pStyle w:val="153"/>
        <w:numPr>
          <w:ilvl w:val="0"/>
          <w:numId w:val="16"/>
        </w:numPr>
        <w:tabs>
          <w:tab w:val="left" w:pos="1248"/>
        </w:tabs>
        <w:spacing w:line="380" w:lineRule="exact"/>
        <w:ind w:firstLine="880"/>
        <w:rPr>
          <w:szCs w:val="21"/>
        </w:rPr>
      </w:pPr>
      <w:bookmarkStart w:id="111" w:name="bookmark4"/>
      <w:bookmarkEnd w:id="111"/>
      <w:r>
        <w:rPr>
          <w:szCs w:val="21"/>
        </w:rPr>
        <w:t>火灾自动报警及联动控制系统</w:t>
      </w:r>
    </w:p>
    <w:p>
      <w:pPr>
        <w:pStyle w:val="153"/>
        <w:spacing w:line="380" w:lineRule="exact"/>
        <w:rPr>
          <w:szCs w:val="21"/>
        </w:rPr>
      </w:pPr>
      <w:r>
        <w:rPr>
          <w:szCs w:val="21"/>
        </w:rPr>
        <w:t>⑴每月检查消防主机主电源与备用电源之间的切换是否正常；</w:t>
      </w:r>
    </w:p>
    <w:p>
      <w:pPr>
        <w:pStyle w:val="153"/>
        <w:spacing w:line="380" w:lineRule="exact"/>
        <w:rPr>
          <w:szCs w:val="21"/>
        </w:rPr>
      </w:pPr>
      <w:r>
        <w:rPr>
          <w:szCs w:val="21"/>
        </w:rPr>
        <w:t>⑵每月出发自检键进行功能自检；</w:t>
      </w:r>
    </w:p>
    <w:p>
      <w:pPr>
        <w:pStyle w:val="153"/>
        <w:spacing w:line="380" w:lineRule="exact"/>
        <w:rPr>
          <w:szCs w:val="21"/>
        </w:rPr>
      </w:pPr>
      <w:r>
        <w:rPr>
          <w:szCs w:val="21"/>
        </w:rPr>
        <w:t>⑶每月监测主机打印功能；</w:t>
      </w:r>
    </w:p>
    <w:p>
      <w:pPr>
        <w:pStyle w:val="153"/>
        <w:spacing w:line="380" w:lineRule="exact"/>
        <w:rPr>
          <w:szCs w:val="21"/>
        </w:rPr>
      </w:pPr>
      <w:r>
        <w:rPr>
          <w:szCs w:val="21"/>
        </w:rPr>
        <w:t>⑷每月检查火灾报警控制器、消防联动控制器、火灾显示盘、</w:t>
      </w:r>
      <w:r>
        <w:rPr>
          <w:rFonts w:ascii="Times New Roman" w:hAnsi="Times New Roman" w:eastAsia="Times New Roman" w:cs="Times New Roman"/>
          <w:szCs w:val="21"/>
          <w:lang w:val="en-US" w:eastAsia="zh-CN" w:bidi="en-US"/>
        </w:rPr>
        <w:t>CRT</w:t>
      </w:r>
      <w:r>
        <w:rPr>
          <w:szCs w:val="21"/>
        </w:rPr>
        <w:t>图形 显示器运行状况；</w:t>
      </w:r>
    </w:p>
    <w:p>
      <w:pPr>
        <w:pStyle w:val="153"/>
        <w:spacing w:line="380" w:lineRule="exact"/>
        <w:rPr>
          <w:szCs w:val="21"/>
        </w:rPr>
      </w:pPr>
      <w:r>
        <w:rPr>
          <w:szCs w:val="21"/>
        </w:rPr>
        <w:t>⑸每季度分批次检查火灾探测器、手动报警按钮、信号输入模块、输出 模块等外观及运行状态；</w:t>
      </w:r>
    </w:p>
    <w:p>
      <w:pPr>
        <w:pStyle w:val="153"/>
        <w:spacing w:line="380" w:lineRule="exact"/>
        <w:rPr>
          <w:szCs w:val="21"/>
        </w:rPr>
      </w:pPr>
      <w:r>
        <w:rPr>
          <w:szCs w:val="21"/>
        </w:rPr>
        <w:t>⑹每年对系统的联动功能进行一次测试。</w:t>
      </w:r>
    </w:p>
    <w:p>
      <w:pPr>
        <w:pStyle w:val="153"/>
        <w:numPr>
          <w:ilvl w:val="0"/>
          <w:numId w:val="16"/>
        </w:numPr>
        <w:tabs>
          <w:tab w:val="left" w:pos="1248"/>
        </w:tabs>
        <w:spacing w:line="380" w:lineRule="exact"/>
        <w:ind w:firstLine="880"/>
        <w:rPr>
          <w:szCs w:val="21"/>
        </w:rPr>
      </w:pPr>
      <w:bookmarkStart w:id="112" w:name="bookmark5"/>
      <w:bookmarkEnd w:id="112"/>
      <w:r>
        <w:rPr>
          <w:szCs w:val="21"/>
        </w:rPr>
        <w:t>消火栓给水系统</w:t>
      </w:r>
    </w:p>
    <w:p>
      <w:pPr>
        <w:pStyle w:val="153"/>
        <w:spacing w:line="380" w:lineRule="exact"/>
        <w:rPr>
          <w:szCs w:val="21"/>
        </w:rPr>
      </w:pPr>
      <w:r>
        <w:rPr>
          <w:szCs w:val="21"/>
        </w:rPr>
        <w:t>⑴每月对室内消火栓箱内的水枪、水带等设备进行检查，发现问题及时 通报用户；</w:t>
      </w:r>
    </w:p>
    <w:p>
      <w:pPr>
        <w:pStyle w:val="153"/>
        <w:spacing w:line="380" w:lineRule="exact"/>
        <w:rPr>
          <w:szCs w:val="21"/>
        </w:rPr>
      </w:pPr>
      <w:r>
        <w:rPr>
          <w:szCs w:val="21"/>
        </w:rPr>
        <w:t>⑵每月对消防水池、消防水箱外观，液位显示装置外观及运行状况，天 然水源水位、水量、水质情况，进户管外观进行检查；</w:t>
      </w:r>
    </w:p>
    <w:p>
      <w:pPr>
        <w:pStyle w:val="153"/>
        <w:spacing w:line="380" w:lineRule="exact"/>
        <w:rPr>
          <w:szCs w:val="21"/>
        </w:rPr>
      </w:pPr>
      <w:r>
        <w:rPr>
          <w:szCs w:val="21"/>
        </w:rPr>
        <w:t>⑶每月对消防水泵、稳压泵、增压泵、气压水罐及控制柜工作状态进行 检査；</w:t>
      </w:r>
    </w:p>
    <w:p>
      <w:pPr>
        <w:pStyle w:val="153"/>
        <w:spacing w:line="380" w:lineRule="exact"/>
        <w:rPr>
          <w:szCs w:val="21"/>
        </w:rPr>
      </w:pPr>
      <w:r>
        <w:rPr>
          <w:szCs w:val="21"/>
        </w:rPr>
        <w:t>⑷每季度对系统上所有的控制阀门进行检査并保证控制阀门处于正常工 作状态；</w:t>
      </w:r>
    </w:p>
    <w:p>
      <w:pPr>
        <w:pStyle w:val="153"/>
        <w:spacing w:line="380" w:lineRule="exact"/>
        <w:rPr>
          <w:szCs w:val="21"/>
        </w:rPr>
      </w:pPr>
      <w:r>
        <w:rPr>
          <w:szCs w:val="21"/>
        </w:rPr>
        <w:t>⑸每季度对水泵接合器、室外消防栓进行检査；</w:t>
      </w:r>
    </w:p>
    <w:p>
      <w:pPr>
        <w:pStyle w:val="153"/>
        <w:spacing w:line="380" w:lineRule="exact"/>
        <w:rPr>
          <w:szCs w:val="21"/>
        </w:rPr>
      </w:pPr>
      <w:r>
        <w:rPr>
          <w:szCs w:val="21"/>
        </w:rPr>
        <w:t>⑹每季度抽查消火栓的出水情况，对重点部位的消火栓每月进行出水检</w:t>
      </w:r>
    </w:p>
    <w:p>
      <w:pPr>
        <w:pStyle w:val="153"/>
        <w:spacing w:line="380" w:lineRule="exact"/>
        <w:rPr>
          <w:szCs w:val="21"/>
        </w:rPr>
      </w:pPr>
      <w:r>
        <w:rPr>
          <w:szCs w:val="21"/>
        </w:rPr>
        <w:t>⑺每季度对消防泵做启停测试；</w:t>
      </w:r>
    </w:p>
    <w:p>
      <w:pPr>
        <w:pStyle w:val="153"/>
        <w:spacing w:line="380" w:lineRule="exact"/>
        <w:rPr>
          <w:szCs w:val="21"/>
        </w:rPr>
      </w:pPr>
      <w:r>
        <w:rPr>
          <w:szCs w:val="21"/>
        </w:rPr>
        <w:t>⑻每年对最不利点消火栓进行静压压力试验；</w:t>
      </w:r>
    </w:p>
    <w:p>
      <w:pPr>
        <w:pStyle w:val="153"/>
        <w:numPr>
          <w:ilvl w:val="0"/>
          <w:numId w:val="16"/>
        </w:numPr>
        <w:spacing w:line="380" w:lineRule="exact"/>
        <w:ind w:firstLine="900"/>
        <w:rPr>
          <w:szCs w:val="21"/>
        </w:rPr>
      </w:pPr>
      <w:bookmarkStart w:id="113" w:name="bookmark6"/>
      <w:bookmarkEnd w:id="113"/>
      <w:r>
        <w:rPr>
          <w:szCs w:val="21"/>
        </w:rPr>
        <w:t>自动喷水灭火系统</w:t>
      </w:r>
    </w:p>
    <w:p>
      <w:pPr>
        <w:pStyle w:val="153"/>
        <w:spacing w:line="380" w:lineRule="exact"/>
        <w:rPr>
          <w:szCs w:val="21"/>
        </w:rPr>
      </w:pPr>
      <w:r>
        <w:rPr>
          <w:szCs w:val="21"/>
        </w:rPr>
        <w:t>⑴每月对消防水池，消防水箱及消防气压给水设备的消防储水位及消防 气压给水设备的压力进行检査；</w:t>
      </w:r>
    </w:p>
    <w:p>
      <w:pPr>
        <w:pStyle w:val="153"/>
        <w:spacing w:line="380" w:lineRule="exact"/>
        <w:rPr>
          <w:szCs w:val="21"/>
        </w:rPr>
      </w:pPr>
      <w:r>
        <w:rPr>
          <w:szCs w:val="21"/>
        </w:rPr>
        <w:t>⑵每月对报警阀组进行检査，检查报警阀前后压力表指示是否正常，每 季度对报警阀的防水试验进行一次试验，验证系统供水能力，水力警 铃和压力开关动作是否正常；</w:t>
      </w:r>
    </w:p>
    <w:p>
      <w:pPr>
        <w:pStyle w:val="153"/>
        <w:spacing w:line="380" w:lineRule="exact"/>
        <w:rPr>
          <w:szCs w:val="21"/>
        </w:rPr>
      </w:pPr>
      <w:r>
        <w:rPr>
          <w:szCs w:val="21"/>
        </w:rPr>
        <w:t>⑶每季度对系统管网及部件的阀门进行检查，保证各种阀门处于工作状 态；</w:t>
      </w:r>
    </w:p>
    <w:p>
      <w:pPr>
        <w:pStyle w:val="153"/>
        <w:spacing w:line="380" w:lineRule="exact"/>
        <w:rPr>
          <w:szCs w:val="21"/>
        </w:rPr>
      </w:pPr>
      <w:r>
        <w:rPr>
          <w:szCs w:val="21"/>
        </w:rPr>
        <w:t>⑷每季度分批次对喷头进行外观检查，发现喷头破损及时更换，对喷头 上的异物及时清除；</w:t>
      </w:r>
    </w:p>
    <w:p>
      <w:pPr>
        <w:pStyle w:val="153"/>
        <w:spacing w:line="380" w:lineRule="exact"/>
        <w:rPr>
          <w:szCs w:val="21"/>
        </w:rPr>
      </w:pPr>
      <w:r>
        <w:rPr>
          <w:szCs w:val="21"/>
        </w:rPr>
        <w:t>⑸每季度对水泵接合器的接口及附件进行检查并进行维护；</w:t>
      </w:r>
    </w:p>
    <w:p>
      <w:pPr>
        <w:pStyle w:val="153"/>
        <w:spacing w:line="380" w:lineRule="exact"/>
        <w:rPr>
          <w:szCs w:val="21"/>
        </w:rPr>
      </w:pPr>
      <w:r>
        <w:rPr>
          <w:szCs w:val="21"/>
        </w:rPr>
        <w:t>⑹每季度对最不利点末端防水进行测试；</w:t>
      </w:r>
    </w:p>
    <w:p>
      <w:pPr>
        <w:pStyle w:val="153"/>
        <w:spacing w:line="380" w:lineRule="exact"/>
        <w:rPr>
          <w:szCs w:val="21"/>
        </w:rPr>
      </w:pPr>
      <w:r>
        <w:rPr>
          <w:szCs w:val="21"/>
        </w:rPr>
        <w:t>⑺每季度测试各信号阀和水流指示器的反馈信号是否正常；</w:t>
      </w:r>
    </w:p>
    <w:p>
      <w:pPr>
        <w:pStyle w:val="153"/>
        <w:spacing w:line="380" w:lineRule="exact"/>
        <w:rPr>
          <w:szCs w:val="21"/>
        </w:rPr>
      </w:pPr>
      <w:r>
        <w:rPr>
          <w:szCs w:val="21"/>
        </w:rPr>
        <w:t>⑻每季度对喷淋泵做启停测试；</w:t>
      </w:r>
    </w:p>
    <w:p>
      <w:pPr>
        <w:pStyle w:val="153"/>
        <w:spacing w:line="380" w:lineRule="exact"/>
        <w:rPr>
          <w:szCs w:val="21"/>
        </w:rPr>
      </w:pPr>
      <w:r>
        <w:rPr>
          <w:szCs w:val="21"/>
        </w:rPr>
        <w:t>⑼每半年度对报警阀阀瓣进行冲刷除锈，防止堵塞；</w:t>
      </w:r>
    </w:p>
    <w:p>
      <w:pPr>
        <w:pStyle w:val="153"/>
        <w:spacing w:line="380" w:lineRule="exact"/>
        <w:rPr>
          <w:szCs w:val="21"/>
        </w:rPr>
      </w:pPr>
      <w:r>
        <w:rPr>
          <w:szCs w:val="21"/>
        </w:rPr>
        <w:t>(10)每半年度对报警阀过滤器进行排渣处理。</w:t>
      </w:r>
    </w:p>
    <w:p>
      <w:pPr>
        <w:pStyle w:val="153"/>
        <w:numPr>
          <w:ilvl w:val="0"/>
          <w:numId w:val="16"/>
        </w:numPr>
        <w:tabs>
          <w:tab w:val="left" w:pos="1043"/>
        </w:tabs>
        <w:spacing w:line="380" w:lineRule="exact"/>
        <w:ind w:firstLine="680"/>
        <w:rPr>
          <w:szCs w:val="21"/>
        </w:rPr>
      </w:pPr>
      <w:bookmarkStart w:id="114" w:name="bookmark7"/>
      <w:bookmarkEnd w:id="114"/>
      <w:r>
        <w:rPr>
          <w:szCs w:val="21"/>
        </w:rPr>
        <w:t>防排烟系统</w:t>
      </w:r>
    </w:p>
    <w:p>
      <w:pPr>
        <w:pStyle w:val="153"/>
        <w:spacing w:line="380" w:lineRule="exact"/>
        <w:rPr>
          <w:szCs w:val="21"/>
        </w:rPr>
      </w:pPr>
      <w:r>
        <w:rPr>
          <w:szCs w:val="21"/>
        </w:rPr>
        <w:t>⑴每月检查送风、排烟机房工作环境，检査送风机、排烟机、电源控制 柜、风机控制柜工作状态是否正常，查看送风机、排烟机、送风机、 排烟阀的外观状态；</w:t>
      </w:r>
    </w:p>
    <w:p>
      <w:pPr>
        <w:pStyle w:val="153"/>
        <w:spacing w:line="380" w:lineRule="exact"/>
        <w:rPr>
          <w:szCs w:val="21"/>
        </w:rPr>
      </w:pPr>
      <w:r>
        <w:rPr>
          <w:szCs w:val="21"/>
        </w:rPr>
        <w:t>⑵每月检查挡烟垂壁及其控制装置外观及工作状况、排烟阀及其控制装 置外观；</w:t>
      </w:r>
    </w:p>
    <w:p>
      <w:pPr>
        <w:pStyle w:val="153"/>
        <w:spacing w:line="380" w:lineRule="exact"/>
        <w:rPr>
          <w:szCs w:val="21"/>
        </w:rPr>
      </w:pPr>
      <w:r>
        <w:rPr>
          <w:szCs w:val="21"/>
        </w:rPr>
        <w:t>⑶每月检查自然排烟设施，电动排烟窗的外观及工作情况；</w:t>
      </w:r>
    </w:p>
    <w:p>
      <w:pPr>
        <w:pStyle w:val="153"/>
        <w:spacing w:line="380" w:lineRule="exact"/>
        <w:rPr>
          <w:szCs w:val="21"/>
        </w:rPr>
      </w:pPr>
      <w:r>
        <w:rPr>
          <w:szCs w:val="21"/>
        </w:rPr>
        <w:t>⑷每季度试验排烟/送风阀启闭功能，检测送风机、排烟机启停性能是否 正常；</w:t>
      </w:r>
    </w:p>
    <w:p>
      <w:pPr>
        <w:pStyle w:val="153"/>
        <w:numPr>
          <w:ilvl w:val="0"/>
          <w:numId w:val="16"/>
        </w:numPr>
        <w:tabs>
          <w:tab w:val="left" w:pos="948"/>
        </w:tabs>
        <w:spacing w:line="380" w:lineRule="exact"/>
        <w:ind w:firstLine="580"/>
        <w:rPr>
          <w:szCs w:val="21"/>
        </w:rPr>
      </w:pPr>
      <w:bookmarkStart w:id="115" w:name="bookmark8"/>
      <w:bookmarkEnd w:id="115"/>
      <w:r>
        <w:rPr>
          <w:szCs w:val="21"/>
        </w:rPr>
        <w:t>气体灭火系统</w:t>
      </w:r>
    </w:p>
    <w:p>
      <w:pPr>
        <w:pStyle w:val="153"/>
        <w:spacing w:line="380" w:lineRule="exact"/>
        <w:rPr>
          <w:szCs w:val="21"/>
        </w:rPr>
      </w:pPr>
      <w:r>
        <w:rPr>
          <w:szCs w:val="21"/>
        </w:rPr>
        <w:t>⑴每月检查气体灭火控制柜的外观及工作状态；</w:t>
      </w:r>
    </w:p>
    <w:p>
      <w:pPr>
        <w:pStyle w:val="153"/>
        <w:spacing w:line="380" w:lineRule="exact"/>
        <w:rPr>
          <w:szCs w:val="21"/>
        </w:rPr>
      </w:pPr>
      <w:r>
        <w:rPr>
          <w:szCs w:val="21"/>
        </w:rPr>
        <w:t>⑵每月检查储瓶间环境、气体瓶组成或储罐外观、检漏装置外观及运行状态；</w:t>
      </w:r>
    </w:p>
    <w:p>
      <w:pPr>
        <w:pStyle w:val="153"/>
        <w:spacing w:line="380" w:lineRule="exact"/>
        <w:rPr>
          <w:szCs w:val="21"/>
        </w:rPr>
      </w:pPr>
      <w:r>
        <w:rPr>
          <w:szCs w:val="21"/>
        </w:rPr>
        <w:t>⑶每月检查紧急启停按钮外观、喷嘴外观、防护区状况；</w:t>
      </w:r>
    </w:p>
    <w:p>
      <w:pPr>
        <w:pStyle w:val="153"/>
        <w:spacing w:line="380" w:lineRule="exact"/>
        <w:rPr>
          <w:szCs w:val="21"/>
        </w:rPr>
      </w:pPr>
      <w:r>
        <w:rPr>
          <w:szCs w:val="21"/>
        </w:rPr>
        <w:t>⑷每月检查容器阀、选择阀、駆动装置等组件外观；</w:t>
      </w:r>
    </w:p>
    <w:p>
      <w:pPr>
        <w:pStyle w:val="153"/>
        <w:spacing w:line="380" w:lineRule="exact"/>
        <w:rPr>
          <w:szCs w:val="21"/>
        </w:rPr>
      </w:pPr>
      <w:r>
        <w:rPr>
          <w:szCs w:val="21"/>
        </w:rPr>
        <w:t>⑸每月检查预制灭火装置外观、设置位置、控制装置外观及运行状态；</w:t>
      </w:r>
    </w:p>
    <w:p>
      <w:pPr>
        <w:pStyle w:val="153"/>
        <w:spacing w:line="380" w:lineRule="exact"/>
        <w:rPr>
          <w:szCs w:val="21"/>
        </w:rPr>
      </w:pPr>
      <w:r>
        <w:rPr>
          <w:szCs w:val="21"/>
        </w:rPr>
        <w:t>⑹每月检查放气指示灯及警报外观；</w:t>
      </w:r>
    </w:p>
    <w:p>
      <w:pPr>
        <w:pStyle w:val="153"/>
        <w:spacing w:line="380" w:lineRule="exact"/>
        <w:rPr>
          <w:szCs w:val="21"/>
        </w:rPr>
      </w:pPr>
      <w:r>
        <w:rPr>
          <w:szCs w:val="21"/>
        </w:rPr>
        <w:t>⑺每月检査低压二氧化碳系统制冷装'置、控制装徂、安全阀鏡组件外观 及运行状态；</w:t>
      </w:r>
    </w:p>
    <w:p>
      <w:pPr>
        <w:pStyle w:val="153"/>
        <w:spacing w:line="380" w:lineRule="exact"/>
        <w:rPr>
          <w:szCs w:val="21"/>
        </w:rPr>
      </w:pPr>
      <w:r>
        <w:rPr>
          <w:szCs w:val="21"/>
        </w:rPr>
        <w:t>⑻每月检测控制屏的和你情况、气瓶压力是否正常；</w:t>
      </w:r>
    </w:p>
    <w:p>
      <w:pPr>
        <w:pStyle w:val="153"/>
        <w:spacing w:line="380" w:lineRule="exact"/>
        <w:rPr>
          <w:szCs w:val="21"/>
        </w:rPr>
      </w:pPr>
      <w:r>
        <w:rPr>
          <w:szCs w:val="21"/>
        </w:rPr>
        <w:t>⑼每季度检査试验手动和自动放气装置：</w:t>
      </w:r>
    </w:p>
    <w:p>
      <w:pPr>
        <w:pStyle w:val="153"/>
        <w:spacing w:line="380" w:lineRule="exact"/>
        <w:rPr>
          <w:szCs w:val="21"/>
        </w:rPr>
      </w:pPr>
      <w:r>
        <w:rPr>
          <w:szCs w:val="21"/>
        </w:rPr>
        <w:t>(10)每季度模拟进行烟、温感探测器动作，是否有放气信号，警铃、蜂鸣 器是否动作灵敏。</w:t>
      </w:r>
    </w:p>
    <w:p>
      <w:pPr>
        <w:pStyle w:val="153"/>
        <w:numPr>
          <w:ilvl w:val="0"/>
          <w:numId w:val="16"/>
        </w:numPr>
        <w:tabs>
          <w:tab w:val="left" w:pos="963"/>
        </w:tabs>
        <w:spacing w:line="380" w:lineRule="exact"/>
        <w:ind w:firstLine="600"/>
        <w:rPr>
          <w:szCs w:val="21"/>
        </w:rPr>
      </w:pPr>
      <w:bookmarkStart w:id="116" w:name="bookmark9"/>
      <w:bookmarkEnd w:id="116"/>
      <w:r>
        <w:rPr>
          <w:szCs w:val="21"/>
        </w:rPr>
        <w:t>应急照明疏散指示</w:t>
      </w:r>
    </w:p>
    <w:p>
      <w:pPr>
        <w:pStyle w:val="153"/>
        <w:spacing w:line="380" w:lineRule="exact"/>
        <w:rPr>
          <w:szCs w:val="21"/>
        </w:rPr>
      </w:pPr>
      <w:r>
        <w:rPr>
          <w:szCs w:val="21"/>
        </w:rPr>
        <w:t>⑴每月检査安全出口、疏散通道、重要场所的应急照明和疏散指示标志 外观及工作状态；</w:t>
      </w:r>
    </w:p>
    <w:p>
      <w:pPr>
        <w:pStyle w:val="153"/>
        <w:spacing w:line="380" w:lineRule="exact"/>
        <w:rPr>
          <w:szCs w:val="21"/>
        </w:rPr>
      </w:pPr>
      <w:r>
        <w:rPr>
          <w:szCs w:val="21"/>
        </w:rPr>
        <w:t>⑵每月试验应急照明灯和疏散指示灯切断电源后是否正常工作；</w:t>
      </w:r>
    </w:p>
    <w:p>
      <w:pPr>
        <w:pStyle w:val="153"/>
        <w:spacing w:line="380" w:lineRule="exact"/>
        <w:rPr>
          <w:szCs w:val="21"/>
        </w:rPr>
      </w:pPr>
      <w:r>
        <w:rPr>
          <w:szCs w:val="21"/>
        </w:rPr>
        <w:t>⑶每月对有蜂鸣现象的应急照明和疏散指示的充电电源进行更换；</w:t>
      </w:r>
    </w:p>
    <w:p>
      <w:pPr>
        <w:pStyle w:val="153"/>
        <w:numPr>
          <w:ilvl w:val="0"/>
          <w:numId w:val="16"/>
        </w:numPr>
        <w:tabs>
          <w:tab w:val="left" w:pos="963"/>
        </w:tabs>
        <w:spacing w:line="380" w:lineRule="exact"/>
        <w:ind w:firstLine="600"/>
        <w:rPr>
          <w:szCs w:val="21"/>
        </w:rPr>
      </w:pPr>
      <w:bookmarkStart w:id="117" w:name="bookmark10"/>
      <w:bookmarkEnd w:id="117"/>
      <w:r>
        <w:rPr>
          <w:szCs w:val="21"/>
        </w:rPr>
        <w:t>火灾应急广播</w:t>
      </w:r>
    </w:p>
    <w:p>
      <w:pPr>
        <w:pStyle w:val="153"/>
        <w:spacing w:line="380" w:lineRule="exact"/>
        <w:rPr>
          <w:szCs w:val="21"/>
        </w:rPr>
      </w:pPr>
      <w:r>
        <w:rPr>
          <w:szCs w:val="21"/>
        </w:rPr>
        <w:t>⑴每月检查功效、</w:t>
      </w:r>
      <w:r>
        <w:rPr>
          <w:rFonts w:ascii="Times New Roman" w:hAnsi="Times New Roman" w:eastAsia="Times New Roman" w:cs="Times New Roman"/>
          <w:szCs w:val="21"/>
          <w:lang w:val="en-US" w:eastAsia="zh-CN" w:bidi="en-US"/>
        </w:rPr>
        <w:t>CD</w:t>
      </w:r>
      <w:r>
        <w:rPr>
          <w:szCs w:val="21"/>
        </w:rPr>
        <w:t>播放盘及扬声器的外观是否完好；</w:t>
      </w:r>
    </w:p>
    <w:p>
      <w:pPr>
        <w:pStyle w:val="153"/>
        <w:spacing w:line="380" w:lineRule="exact"/>
        <w:rPr>
          <w:szCs w:val="21"/>
        </w:rPr>
      </w:pPr>
      <w:r>
        <w:rPr>
          <w:szCs w:val="21"/>
        </w:rPr>
        <w:t>⑵每月在消防控制室用话筒对所选区域播音</w:t>
      </w:r>
    </w:p>
    <w:p>
      <w:pPr>
        <w:pStyle w:val="153"/>
        <w:spacing w:line="380" w:lineRule="exact"/>
        <w:rPr>
          <w:szCs w:val="21"/>
        </w:rPr>
      </w:pPr>
      <w:r>
        <w:rPr>
          <w:szCs w:val="21"/>
        </w:rPr>
        <w:t>⑶每季度试验背景音乐状态下强切至事故应急广播状态的功能。</w:t>
      </w:r>
    </w:p>
    <w:p>
      <w:pPr>
        <w:pStyle w:val="153"/>
        <w:numPr>
          <w:ilvl w:val="0"/>
          <w:numId w:val="16"/>
        </w:numPr>
        <w:tabs>
          <w:tab w:val="left" w:pos="968"/>
        </w:tabs>
        <w:spacing w:line="380" w:lineRule="exact"/>
        <w:ind w:firstLine="600"/>
        <w:rPr>
          <w:szCs w:val="21"/>
        </w:rPr>
      </w:pPr>
      <w:bookmarkStart w:id="118" w:name="bookmark11"/>
      <w:bookmarkEnd w:id="118"/>
      <w:r>
        <w:rPr>
          <w:szCs w:val="21"/>
        </w:rPr>
        <w:t>消防通讯</w:t>
      </w:r>
    </w:p>
    <w:p>
      <w:pPr>
        <w:pStyle w:val="153"/>
        <w:spacing w:line="380" w:lineRule="exact"/>
        <w:rPr>
          <w:szCs w:val="21"/>
        </w:rPr>
      </w:pPr>
      <w:r>
        <w:rPr>
          <w:szCs w:val="21"/>
        </w:rPr>
        <w:t>⑴每月检查消防电话主机及分机的外观是否完好；</w:t>
      </w:r>
    </w:p>
    <w:p>
      <w:pPr>
        <w:pStyle w:val="153"/>
        <w:spacing w:line="380" w:lineRule="exact"/>
        <w:rPr>
          <w:szCs w:val="21"/>
        </w:rPr>
      </w:pPr>
      <w:r>
        <w:rPr>
          <w:szCs w:val="21"/>
        </w:rPr>
        <w:t>⑵每月测试电话分机与电话主机之间的通话效果；</w:t>
      </w:r>
    </w:p>
    <w:p>
      <w:pPr>
        <w:pStyle w:val="153"/>
        <w:numPr>
          <w:ilvl w:val="0"/>
          <w:numId w:val="16"/>
        </w:numPr>
        <w:tabs>
          <w:tab w:val="left" w:pos="1078"/>
        </w:tabs>
        <w:spacing w:line="380" w:lineRule="exact"/>
        <w:ind w:firstLine="600"/>
        <w:rPr>
          <w:szCs w:val="21"/>
        </w:rPr>
      </w:pPr>
      <w:bookmarkStart w:id="119" w:name="bookmark12"/>
      <w:bookmarkEnd w:id="119"/>
      <w:r>
        <w:rPr>
          <w:szCs w:val="21"/>
        </w:rPr>
        <w:t>防火分隔</w:t>
      </w:r>
    </w:p>
    <w:p>
      <w:pPr>
        <w:pStyle w:val="153"/>
        <w:spacing w:line="380" w:lineRule="exact"/>
        <w:rPr>
          <w:szCs w:val="21"/>
        </w:rPr>
      </w:pPr>
      <w:r>
        <w:rPr>
          <w:szCs w:val="21"/>
        </w:rPr>
        <w:t>⑴每月检查各防火通道是否有堵塞现象；</w:t>
      </w:r>
    </w:p>
    <w:p>
      <w:pPr>
        <w:pStyle w:val="153"/>
        <w:spacing w:line="380" w:lineRule="exact"/>
        <w:rPr>
          <w:szCs w:val="21"/>
        </w:rPr>
      </w:pPr>
      <w:r>
        <w:rPr>
          <w:szCs w:val="21"/>
        </w:rPr>
        <w:t>⑵每季度分批次检查防火门、防火窗、防火卷帘门、电动防火门等的外 观情况；</w:t>
      </w:r>
    </w:p>
    <w:p>
      <w:pPr>
        <w:pStyle w:val="153"/>
        <w:spacing w:line="380" w:lineRule="exact"/>
        <w:rPr>
          <w:szCs w:val="21"/>
        </w:rPr>
      </w:pPr>
      <w:r>
        <w:rPr>
          <w:szCs w:val="21"/>
        </w:rPr>
        <w:t>⑶每季度分批次检查防火封堵外观、防火墙、防火阀外观及工作情况； ⑷每季度检查防火卷帘、电动防火门的工作状态；</w:t>
      </w:r>
    </w:p>
    <w:p>
      <w:pPr>
        <w:pStyle w:val="153"/>
        <w:spacing w:line="380" w:lineRule="exact"/>
        <w:ind w:firstLine="210" w:firstLineChars="100"/>
        <w:rPr>
          <w:szCs w:val="21"/>
          <w:lang w:val="en-US" w:eastAsia="zh-CN"/>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lang w:val="en-US" w:eastAsia="zh-CN"/>
        </w:rPr>
        <w:t>每季度检查防火卷帘，电动防火门的工作状态；</w:t>
      </w:r>
    </w:p>
    <w:p>
      <w:pPr>
        <w:pStyle w:val="153"/>
        <w:spacing w:line="380" w:lineRule="exact"/>
        <w:rPr>
          <w:szCs w:val="21"/>
        </w:rPr>
      </w:pPr>
      <w:r>
        <w:rPr>
          <w:szCs w:val="21"/>
        </w:rPr>
        <w:t>⑸每季度对防火卷帘做联动测试，检查其启动和反馈是否正常。</w:t>
      </w:r>
    </w:p>
    <w:p>
      <w:pPr>
        <w:pStyle w:val="153"/>
        <w:numPr>
          <w:ilvl w:val="0"/>
          <w:numId w:val="16"/>
        </w:numPr>
        <w:tabs>
          <w:tab w:val="left" w:pos="1078"/>
        </w:tabs>
        <w:spacing w:line="380" w:lineRule="exact"/>
        <w:ind w:firstLine="600"/>
        <w:rPr>
          <w:szCs w:val="21"/>
        </w:rPr>
      </w:pPr>
      <w:bookmarkStart w:id="120" w:name="bookmark13"/>
      <w:bookmarkEnd w:id="120"/>
      <w:r>
        <w:rPr>
          <w:szCs w:val="21"/>
        </w:rPr>
        <w:t>消防电梯</w:t>
      </w:r>
    </w:p>
    <w:p>
      <w:pPr>
        <w:pStyle w:val="153"/>
        <w:spacing w:line="380" w:lineRule="exact"/>
        <w:rPr>
          <w:szCs w:val="21"/>
        </w:rPr>
      </w:pPr>
      <w:r>
        <w:rPr>
          <w:szCs w:val="21"/>
        </w:rPr>
        <w:t>⑴每月检査紧急按钮外观，桥箱内电话外观；</w:t>
      </w:r>
    </w:p>
    <w:p>
      <w:pPr>
        <w:pStyle w:val="153"/>
        <w:spacing w:line="380" w:lineRule="exact"/>
        <w:rPr>
          <w:szCs w:val="21"/>
        </w:rPr>
      </w:pPr>
      <w:r>
        <w:rPr>
          <w:szCs w:val="21"/>
        </w:rPr>
        <w:t>⑵每月检査电梯井排水设施外观及工作状态；</w:t>
      </w:r>
    </w:p>
    <w:p>
      <w:pPr>
        <w:pStyle w:val="153"/>
        <w:spacing w:line="380" w:lineRule="exact"/>
        <w:rPr>
          <w:szCs w:val="21"/>
        </w:rPr>
      </w:pPr>
      <w:r>
        <w:rPr>
          <w:szCs w:val="21"/>
        </w:rPr>
        <w:t>⑶每季度对消防电梯一次功能性测试。</w:t>
      </w:r>
    </w:p>
    <w:p>
      <w:pPr>
        <w:pStyle w:val="153"/>
        <w:numPr>
          <w:ilvl w:val="0"/>
          <w:numId w:val="16"/>
        </w:numPr>
        <w:tabs>
          <w:tab w:val="left" w:pos="1078"/>
        </w:tabs>
        <w:spacing w:line="380" w:lineRule="exact"/>
        <w:ind w:firstLine="600"/>
        <w:rPr>
          <w:szCs w:val="21"/>
        </w:rPr>
      </w:pPr>
      <w:bookmarkStart w:id="121" w:name="bookmark14"/>
      <w:bookmarkEnd w:id="121"/>
      <w:r>
        <w:rPr>
          <w:szCs w:val="21"/>
        </w:rPr>
        <w:t>灭火器维护管理</w:t>
      </w:r>
    </w:p>
    <w:p>
      <w:pPr>
        <w:pStyle w:val="153"/>
        <w:spacing w:line="380" w:lineRule="exact"/>
        <w:rPr>
          <w:szCs w:val="21"/>
        </w:rPr>
      </w:pPr>
      <w:r>
        <w:rPr>
          <w:szCs w:val="21"/>
        </w:rPr>
        <w:t>⑴每月查看灭火器数量及规格、摆放位置，灭火剂的有效期；</w:t>
      </w:r>
    </w:p>
    <w:p>
      <w:pPr>
        <w:pStyle w:val="153"/>
        <w:spacing w:line="380" w:lineRule="exact"/>
        <w:rPr>
          <w:szCs w:val="21"/>
        </w:rPr>
      </w:pPr>
      <w:r>
        <w:rPr>
          <w:szCs w:val="21"/>
        </w:rPr>
        <w:t>⑵每月检查灭火器压力表外观，压力值是否正常；</w:t>
      </w:r>
    </w:p>
    <w:p>
      <w:pPr>
        <w:pStyle w:val="153"/>
        <w:spacing w:line="380" w:lineRule="exact"/>
        <w:rPr>
          <w:szCs w:val="21"/>
        </w:rPr>
      </w:pPr>
      <w:r>
        <w:rPr>
          <w:szCs w:val="21"/>
        </w:rPr>
        <w:t>⑶每月检查灭火器瓶外观，是否有腐蚀，变形现象、铭牌是否完整。</w:t>
      </w:r>
    </w:p>
    <w:p>
      <w:pPr>
        <w:pStyle w:val="153"/>
        <w:numPr>
          <w:ilvl w:val="0"/>
          <w:numId w:val="16"/>
        </w:numPr>
        <w:tabs>
          <w:tab w:val="left" w:pos="1023"/>
        </w:tabs>
        <w:spacing w:line="380" w:lineRule="exact"/>
        <w:ind w:firstLine="540"/>
        <w:rPr>
          <w:szCs w:val="21"/>
        </w:rPr>
      </w:pPr>
      <w:bookmarkStart w:id="122" w:name="bookmark15"/>
      <w:bookmarkEnd w:id="122"/>
      <w:r>
        <w:rPr>
          <w:szCs w:val="21"/>
        </w:rPr>
        <w:t>消防设施维护标准</w:t>
      </w:r>
    </w:p>
    <w:p>
      <w:pPr>
        <w:tabs>
          <w:tab w:val="left" w:pos="1317"/>
        </w:tabs>
        <w:spacing w:line="380" w:lineRule="exact"/>
        <w:ind w:firstLine="420" w:firstLineChars="200"/>
        <w:rPr>
          <w:szCs w:val="21"/>
        </w:rPr>
      </w:pPr>
      <w:r>
        <w:rPr>
          <w:szCs w:val="21"/>
        </w:rPr>
        <w:t>⑴我公司派出的技术人员有较强的责任感和事业心，按时到位。</w:t>
      </w:r>
    </w:p>
    <w:p>
      <w:pPr>
        <w:pStyle w:val="153"/>
        <w:spacing w:line="380" w:lineRule="exact"/>
        <w:rPr>
          <w:szCs w:val="21"/>
        </w:rPr>
      </w:pPr>
      <w:r>
        <w:rPr>
          <w:szCs w:val="21"/>
        </w:rPr>
        <w:t>⑵我公司派出的技术人员经消防部门专业培训，并已去的上岗证书。</w:t>
      </w:r>
    </w:p>
    <w:p>
      <w:pPr>
        <w:pStyle w:val="153"/>
        <w:spacing w:line="380" w:lineRule="exact"/>
        <w:rPr>
          <w:szCs w:val="21"/>
        </w:rPr>
      </w:pPr>
      <w:r>
        <w:rPr>
          <w:szCs w:val="21"/>
        </w:rPr>
        <w:t>⑶我公司配合业主单位完成消防安全检查工作及消防演习任务。</w:t>
      </w:r>
    </w:p>
    <w:p>
      <w:pPr>
        <w:pStyle w:val="153"/>
        <w:spacing w:line="380" w:lineRule="exact"/>
        <w:rPr>
          <w:szCs w:val="21"/>
        </w:rPr>
      </w:pPr>
      <w:r>
        <w:rPr>
          <w:szCs w:val="21"/>
        </w:rPr>
        <w:t>⑷我公司派出的技术人员还将负责对业主的操作人员进行现场培训，教 会他们如何操作及维护设备系统；</w:t>
      </w:r>
    </w:p>
    <w:p>
      <w:pPr>
        <w:pStyle w:val="153"/>
        <w:numPr>
          <w:ilvl w:val="0"/>
          <w:numId w:val="16"/>
        </w:numPr>
        <w:tabs>
          <w:tab w:val="left" w:pos="1064"/>
        </w:tabs>
        <w:spacing w:line="380" w:lineRule="exact"/>
        <w:ind w:firstLine="600"/>
        <w:rPr>
          <w:szCs w:val="21"/>
        </w:rPr>
      </w:pPr>
      <w:bookmarkStart w:id="123" w:name="bookmark16"/>
      <w:bookmarkEnd w:id="123"/>
      <w:r>
        <w:rPr>
          <w:szCs w:val="21"/>
        </w:rPr>
        <w:t>对上述全面检査测试中发现的问题故障及时组织维修更换，排除故障。</w:t>
      </w:r>
    </w:p>
    <w:p>
      <w:pPr>
        <w:pStyle w:val="153"/>
        <w:spacing w:line="380" w:lineRule="exact"/>
        <w:ind w:firstLine="0"/>
        <w:rPr>
          <w:szCs w:val="21"/>
        </w:rPr>
      </w:pPr>
      <w:r>
        <w:rPr>
          <w:szCs w:val="21"/>
        </w:rPr>
        <w:t>对一时无法解决的问题应立即报告甲方相关人员，同时釆取应急措施。</w:t>
      </w:r>
    </w:p>
    <w:p>
      <w:pPr>
        <w:pStyle w:val="153"/>
        <w:numPr>
          <w:ilvl w:val="0"/>
          <w:numId w:val="16"/>
        </w:numPr>
        <w:tabs>
          <w:tab w:val="left" w:pos="1069"/>
        </w:tabs>
        <w:spacing w:line="380" w:lineRule="exact"/>
        <w:ind w:firstLine="600"/>
        <w:rPr>
          <w:szCs w:val="21"/>
        </w:rPr>
      </w:pPr>
      <w:bookmarkStart w:id="124" w:name="bookmark17"/>
      <w:bookmarkEnd w:id="124"/>
      <w:r>
        <w:rPr>
          <w:rFonts w:hint="eastAsia"/>
          <w:szCs w:val="21"/>
          <w:lang w:val="en-US" w:eastAsia="zh-CN"/>
        </w:rPr>
        <w:t>上</w:t>
      </w:r>
      <w:r>
        <w:rPr>
          <w:szCs w:val="21"/>
        </w:rPr>
        <w:t>述维护、保养原则上应有甲方相关工作人员全程参与，并签字。</w:t>
      </w:r>
    </w:p>
    <w:p>
      <w:pPr>
        <w:pStyle w:val="153"/>
        <w:spacing w:line="380" w:lineRule="exact"/>
        <w:ind w:firstLine="0"/>
        <w:rPr>
          <w:szCs w:val="21"/>
        </w:rPr>
      </w:pPr>
      <w:r>
        <w:rPr>
          <w:szCs w:val="21"/>
        </w:rPr>
        <w:t>二、维保步骤</w:t>
      </w:r>
    </w:p>
    <w:p>
      <w:pPr>
        <w:pStyle w:val="153"/>
        <w:spacing w:line="380" w:lineRule="exact"/>
        <w:ind w:firstLine="600"/>
        <w:rPr>
          <w:szCs w:val="21"/>
        </w:rPr>
      </w:pPr>
      <w:r>
        <w:rPr>
          <w:szCs w:val="21"/>
        </w:rPr>
        <w:t>火灾自动报警系统的维护保养</w:t>
      </w:r>
    </w:p>
    <w:p>
      <w:pPr>
        <w:pStyle w:val="153"/>
        <w:tabs>
          <w:tab w:val="left" w:pos="987"/>
        </w:tabs>
        <w:spacing w:line="380" w:lineRule="exact"/>
        <w:ind w:firstLine="600"/>
        <w:rPr>
          <w:szCs w:val="21"/>
        </w:rPr>
      </w:pPr>
      <w:bookmarkStart w:id="125" w:name="bookmark18"/>
      <w:r>
        <w:rPr>
          <w:rFonts w:ascii="Times New Roman" w:hAnsi="Times New Roman" w:eastAsia="Times New Roman" w:cs="Times New Roman"/>
          <w:szCs w:val="21"/>
        </w:rPr>
        <w:t>1</w:t>
      </w:r>
      <w:bookmarkEnd w:id="125"/>
      <w:r>
        <w:rPr>
          <w:szCs w:val="21"/>
        </w:rPr>
        <w:t>、</w:t>
      </w:r>
      <w:r>
        <w:rPr>
          <w:szCs w:val="21"/>
        </w:rPr>
        <w:tab/>
      </w:r>
      <w:r>
        <w:rPr>
          <w:szCs w:val="21"/>
        </w:rPr>
        <w:t>每月检查和试验火灾自动报警系统的下列功能</w:t>
      </w:r>
    </w:p>
    <w:p>
      <w:pPr>
        <w:pStyle w:val="153"/>
        <w:spacing w:line="380" w:lineRule="exact"/>
        <w:rPr>
          <w:szCs w:val="21"/>
        </w:rPr>
      </w:pPr>
      <w:bookmarkStart w:id="126" w:name="bookmark19"/>
      <w:bookmarkEnd w:id="126"/>
      <w:r>
        <w:rPr>
          <w:rFonts w:hint="eastAsia"/>
          <w:szCs w:val="21"/>
          <w:lang w:eastAsia="zh-CN"/>
        </w:rPr>
        <w:t>（</w:t>
      </w:r>
      <w:r>
        <w:rPr>
          <w:rFonts w:hint="eastAsia"/>
          <w:szCs w:val="21"/>
          <w:lang w:val="en-US" w:eastAsia="zh-CN"/>
        </w:rPr>
        <w:t>1</w:t>
      </w:r>
      <w:r>
        <w:rPr>
          <w:rFonts w:hint="eastAsia"/>
          <w:szCs w:val="21"/>
          <w:lang w:eastAsia="zh-CN"/>
        </w:rPr>
        <w:t>）</w:t>
      </w:r>
      <w:r>
        <w:rPr>
          <w:szCs w:val="21"/>
        </w:rPr>
        <w:t>检查复位、消音、故障报警等功能是否正常。如发现不正常，做好记录 并及时处理；</w:t>
      </w:r>
    </w:p>
    <w:p>
      <w:pPr>
        <w:pStyle w:val="153"/>
        <w:spacing w:line="380" w:lineRule="exact"/>
        <w:rPr>
          <w:szCs w:val="21"/>
        </w:rPr>
      </w:pPr>
      <w:bookmarkStart w:id="127" w:name="bookmark20"/>
      <w:bookmarkEnd w:id="127"/>
      <w:r>
        <w:rPr>
          <w:rFonts w:hint="eastAsia"/>
          <w:szCs w:val="21"/>
          <w:lang w:eastAsia="zh-CN"/>
        </w:rPr>
        <w:t>（</w:t>
      </w:r>
      <w:r>
        <w:rPr>
          <w:rFonts w:hint="eastAsia"/>
          <w:szCs w:val="21"/>
          <w:lang w:val="en-US" w:eastAsia="zh-CN"/>
        </w:rPr>
        <w:t>2</w:t>
      </w:r>
      <w:r>
        <w:rPr>
          <w:rFonts w:hint="eastAsia"/>
          <w:szCs w:val="21"/>
          <w:lang w:eastAsia="zh-CN"/>
        </w:rPr>
        <w:t>）</w:t>
      </w:r>
      <w:r>
        <w:rPr>
          <w:szCs w:val="21"/>
        </w:rPr>
        <w:t>试验火灾警报装置的声、光显示是否正常；</w:t>
      </w:r>
    </w:p>
    <w:p>
      <w:pPr>
        <w:pStyle w:val="153"/>
        <w:spacing w:line="380" w:lineRule="exact"/>
        <w:rPr>
          <w:szCs w:val="21"/>
        </w:rPr>
      </w:pPr>
      <w:bookmarkStart w:id="128" w:name="bookmark21"/>
      <w:bookmarkEnd w:id="128"/>
      <w:r>
        <w:rPr>
          <w:rFonts w:hint="eastAsia"/>
          <w:szCs w:val="21"/>
          <w:lang w:eastAsia="zh-CN"/>
        </w:rPr>
        <w:t>（</w:t>
      </w:r>
      <w:r>
        <w:rPr>
          <w:rFonts w:hint="eastAsia"/>
          <w:szCs w:val="21"/>
          <w:lang w:val="en-US" w:eastAsia="zh-CN"/>
        </w:rPr>
        <w:t>3</w:t>
      </w:r>
      <w:r>
        <w:rPr>
          <w:rFonts w:hint="eastAsia"/>
          <w:szCs w:val="21"/>
          <w:lang w:eastAsia="zh-CN"/>
        </w:rPr>
        <w:t>）</w:t>
      </w:r>
      <w:r>
        <w:rPr>
          <w:szCs w:val="21"/>
        </w:rPr>
        <w:t>主电源和备用电源自动转换试验，检查其功能是否正常。</w:t>
      </w:r>
    </w:p>
    <w:p>
      <w:pPr>
        <w:pStyle w:val="153"/>
        <w:tabs>
          <w:tab w:val="left" w:pos="1006"/>
        </w:tabs>
        <w:spacing w:line="380" w:lineRule="exact"/>
        <w:ind w:firstLine="600"/>
        <w:rPr>
          <w:szCs w:val="21"/>
        </w:rPr>
      </w:pPr>
      <w:bookmarkStart w:id="129" w:name="bookmark22"/>
      <w:r>
        <w:rPr>
          <w:rFonts w:ascii="Times New Roman" w:hAnsi="Times New Roman" w:eastAsia="Times New Roman" w:cs="Times New Roman"/>
          <w:szCs w:val="21"/>
        </w:rPr>
        <w:t>2</w:t>
      </w:r>
      <w:bookmarkEnd w:id="129"/>
      <w:r>
        <w:rPr>
          <w:szCs w:val="21"/>
        </w:rPr>
        <w:t>、</w:t>
      </w:r>
      <w:r>
        <w:rPr>
          <w:szCs w:val="21"/>
        </w:rPr>
        <w:tab/>
      </w:r>
      <w:r>
        <w:rPr>
          <w:szCs w:val="21"/>
        </w:rPr>
        <w:t>每季检查和试验火灾自动报警系统的下列功能</w:t>
      </w:r>
    </w:p>
    <w:p>
      <w:pPr>
        <w:pStyle w:val="153"/>
        <w:spacing w:line="380" w:lineRule="exact"/>
        <w:rPr>
          <w:szCs w:val="21"/>
        </w:rPr>
      </w:pPr>
      <w:r>
        <w:rPr>
          <w:szCs w:val="21"/>
        </w:rPr>
        <w:t>⑴釆用加烟(或加温)的方法分期分批</w:t>
      </w:r>
      <w:r>
        <w:rPr>
          <w:rFonts w:ascii="Times New Roman" w:hAnsi="Times New Roman" w:eastAsia="Times New Roman" w:cs="Times New Roman"/>
          <w:szCs w:val="21"/>
        </w:rPr>
        <w:t>(10%)</w:t>
      </w:r>
      <w:r>
        <w:rPr>
          <w:szCs w:val="21"/>
        </w:rPr>
        <w:t>试验探测器的动作是否正常， 及确认灯显示。试验中发现有故障或失效的探测器应及时拆换；</w:t>
      </w:r>
    </w:p>
    <w:p>
      <w:pPr>
        <w:pStyle w:val="153"/>
        <w:tabs>
          <w:tab w:val="left" w:pos="1138"/>
        </w:tabs>
        <w:spacing w:line="380" w:lineRule="exact"/>
        <w:ind w:firstLine="210" w:firstLineChars="100"/>
        <w:rPr>
          <w:szCs w:val="21"/>
        </w:rPr>
      </w:pPr>
      <w:bookmarkStart w:id="130" w:name="bookmark23"/>
      <w:bookmarkEnd w:id="130"/>
      <w:r>
        <w:rPr>
          <w:rFonts w:hint="eastAsia"/>
          <w:szCs w:val="21"/>
          <w:lang w:eastAsia="zh-CN"/>
        </w:rPr>
        <w:t>（</w:t>
      </w:r>
      <w:r>
        <w:rPr>
          <w:rFonts w:hint="eastAsia"/>
          <w:szCs w:val="21"/>
          <w:lang w:val="en-US" w:eastAsia="zh-CN"/>
        </w:rPr>
        <w:t>2</w:t>
      </w:r>
      <w:r>
        <w:rPr>
          <w:rFonts w:hint="eastAsia"/>
          <w:szCs w:val="21"/>
          <w:lang w:eastAsia="zh-CN"/>
        </w:rPr>
        <w:t>）</w:t>
      </w:r>
      <w:r>
        <w:rPr>
          <w:szCs w:val="21"/>
        </w:rPr>
        <w:t>试验火灾警报装置的声、光显示是否正常；</w:t>
      </w:r>
    </w:p>
    <w:p>
      <w:pPr>
        <w:pStyle w:val="153"/>
        <w:tabs>
          <w:tab w:val="left" w:pos="1083"/>
        </w:tabs>
        <w:spacing w:line="380" w:lineRule="exact"/>
        <w:ind w:firstLine="210" w:firstLineChars="100"/>
        <w:rPr>
          <w:szCs w:val="21"/>
        </w:rPr>
      </w:pPr>
      <w:bookmarkStart w:id="131" w:name="bookmark24"/>
      <w:bookmarkEnd w:id="131"/>
      <w:r>
        <w:rPr>
          <w:rFonts w:hint="eastAsia"/>
          <w:szCs w:val="21"/>
          <w:lang w:eastAsia="zh-CN"/>
        </w:rPr>
        <w:t>（</w:t>
      </w:r>
      <w:r>
        <w:rPr>
          <w:rFonts w:hint="eastAsia"/>
          <w:szCs w:val="21"/>
          <w:lang w:val="en-US" w:eastAsia="zh-CN"/>
        </w:rPr>
        <w:t>3</w:t>
      </w:r>
      <w:r>
        <w:rPr>
          <w:rFonts w:hint="eastAsia"/>
          <w:szCs w:val="21"/>
          <w:lang w:eastAsia="zh-CN"/>
        </w:rPr>
        <w:t>）</w:t>
      </w:r>
      <w:r>
        <w:rPr>
          <w:szCs w:val="21"/>
        </w:rPr>
        <w:t>主电源和备用电源自动转换试验，检查其功能是否正常；</w:t>
      </w:r>
    </w:p>
    <w:p>
      <w:pPr>
        <w:pStyle w:val="153"/>
        <w:tabs>
          <w:tab w:val="left" w:pos="1083"/>
        </w:tabs>
        <w:spacing w:line="380" w:lineRule="exact"/>
        <w:ind w:firstLine="210" w:firstLineChars="100"/>
        <w:rPr>
          <w:szCs w:val="21"/>
        </w:rPr>
      </w:pPr>
      <w:bookmarkStart w:id="132" w:name="bookmark25"/>
      <w:bookmarkEnd w:id="132"/>
      <w:r>
        <w:rPr>
          <w:rFonts w:hint="eastAsia"/>
          <w:szCs w:val="21"/>
          <w:lang w:eastAsia="zh-CN"/>
        </w:rPr>
        <w:t>（</w:t>
      </w:r>
      <w:r>
        <w:rPr>
          <w:rFonts w:hint="eastAsia"/>
          <w:szCs w:val="21"/>
          <w:lang w:val="en-US" w:eastAsia="zh-CN"/>
        </w:rPr>
        <w:t>4</w:t>
      </w:r>
      <w:r>
        <w:rPr>
          <w:rFonts w:hint="eastAsia"/>
          <w:szCs w:val="21"/>
          <w:lang w:eastAsia="zh-CN"/>
        </w:rPr>
        <w:t>）</w:t>
      </w:r>
      <w:r>
        <w:rPr>
          <w:szCs w:val="21"/>
        </w:rPr>
        <w:t>检查手动/自动转换开关，如电源转换开关、灭火转换开关等是否正常；</w:t>
      </w:r>
    </w:p>
    <w:p>
      <w:pPr>
        <w:pStyle w:val="153"/>
        <w:tabs>
          <w:tab w:val="left" w:pos="1050"/>
        </w:tabs>
        <w:spacing w:line="380" w:lineRule="exact"/>
        <w:ind w:firstLine="210" w:firstLineChars="100"/>
        <w:rPr>
          <w:szCs w:val="21"/>
        </w:rPr>
      </w:pPr>
      <w:bookmarkStart w:id="133" w:name="bookmark26"/>
      <w:bookmarkEnd w:id="133"/>
      <w:r>
        <w:rPr>
          <w:rFonts w:hint="eastAsia"/>
          <w:szCs w:val="21"/>
          <w:lang w:eastAsia="zh-CN"/>
        </w:rPr>
        <w:t>（</w:t>
      </w:r>
      <w:r>
        <w:rPr>
          <w:rFonts w:hint="eastAsia"/>
          <w:szCs w:val="21"/>
          <w:lang w:val="en-US" w:eastAsia="zh-CN"/>
        </w:rPr>
        <w:t>5</w:t>
      </w:r>
      <w:r>
        <w:rPr>
          <w:rFonts w:hint="eastAsia"/>
          <w:szCs w:val="21"/>
          <w:lang w:eastAsia="zh-CN"/>
        </w:rPr>
        <w:t>）</w:t>
      </w:r>
      <w:r>
        <w:rPr>
          <w:szCs w:val="21"/>
        </w:rPr>
        <w:t>直观检查所有消防用电设备的动力线、控制线、报警信号传输线、接地 线、接线盒及设备等是否处于安全无损状态；</w:t>
      </w:r>
    </w:p>
    <w:p>
      <w:pPr>
        <w:pStyle w:val="153"/>
        <w:tabs>
          <w:tab w:val="left" w:pos="1069"/>
        </w:tabs>
        <w:spacing w:line="380" w:lineRule="exact"/>
        <w:ind w:firstLine="210" w:firstLineChars="100"/>
        <w:rPr>
          <w:szCs w:val="21"/>
        </w:rPr>
      </w:pPr>
      <w:bookmarkStart w:id="134" w:name="bookmark27"/>
      <w:bookmarkEnd w:id="134"/>
      <w:r>
        <w:rPr>
          <w:rFonts w:hint="eastAsia"/>
          <w:szCs w:val="21"/>
          <w:lang w:eastAsia="zh-CN"/>
        </w:rPr>
        <w:t>（</w:t>
      </w:r>
      <w:r>
        <w:rPr>
          <w:rFonts w:hint="eastAsia"/>
          <w:szCs w:val="21"/>
          <w:lang w:val="en-US" w:eastAsia="zh-CN"/>
        </w:rPr>
        <w:t>6</w:t>
      </w:r>
      <w:r>
        <w:rPr>
          <w:rFonts w:hint="eastAsia"/>
          <w:szCs w:val="21"/>
          <w:lang w:eastAsia="zh-CN"/>
        </w:rPr>
        <w:t>）</w:t>
      </w:r>
      <w:r>
        <w:rPr>
          <w:szCs w:val="21"/>
        </w:rPr>
        <w:t>巡视检查探测器、手动报警按钮和指示装置的位置是否准确，有无缺漏、 脱落和丢失，每个探测器的下方及周围各方向，手动报警按钮的周围是否留有规 定的空白空间。</w:t>
      </w:r>
    </w:p>
    <w:p>
      <w:pPr>
        <w:pStyle w:val="153"/>
        <w:spacing w:line="380" w:lineRule="exact"/>
        <w:ind w:firstLine="500"/>
        <w:rPr>
          <w:szCs w:val="21"/>
        </w:rPr>
      </w:pPr>
      <w:bookmarkStart w:id="135" w:name="bookmark28"/>
      <w:r>
        <w:rPr>
          <w:rFonts w:ascii="Times New Roman" w:hAnsi="Times New Roman" w:eastAsia="Times New Roman" w:cs="Times New Roman"/>
          <w:szCs w:val="21"/>
        </w:rPr>
        <w:t>3</w:t>
      </w:r>
      <w:bookmarkEnd w:id="135"/>
      <w:r>
        <w:rPr>
          <w:szCs w:val="21"/>
        </w:rPr>
        <w:t>、每年检査和试验火灾自动报瞥系统的下列功能</w:t>
      </w:r>
    </w:p>
    <w:p>
      <w:pPr>
        <w:pStyle w:val="153"/>
        <w:tabs>
          <w:tab w:val="left" w:pos="1069"/>
        </w:tabs>
        <w:spacing w:line="380" w:lineRule="exact"/>
        <w:ind w:firstLine="210" w:firstLineChars="100"/>
        <w:rPr>
          <w:szCs w:val="21"/>
        </w:rPr>
      </w:pPr>
      <w:bookmarkStart w:id="136" w:name="bookmark29"/>
      <w:bookmarkEnd w:id="136"/>
      <w:r>
        <w:rPr>
          <w:rFonts w:hint="eastAsia"/>
          <w:szCs w:val="21"/>
          <w:lang w:eastAsia="zh-CN"/>
        </w:rPr>
        <w:t>（</w:t>
      </w:r>
      <w:r>
        <w:rPr>
          <w:rFonts w:hint="eastAsia"/>
          <w:szCs w:val="21"/>
          <w:lang w:val="en-US" w:eastAsia="zh-CN"/>
        </w:rPr>
        <w:t>1</w:t>
      </w:r>
      <w:r>
        <w:rPr>
          <w:rFonts w:hint="eastAsia"/>
          <w:szCs w:val="21"/>
          <w:lang w:eastAsia="zh-CN"/>
        </w:rPr>
        <w:t>）</w:t>
      </w:r>
      <w:r>
        <w:rPr>
          <w:szCs w:val="21"/>
        </w:rPr>
        <w:t>釆用加烟(或加温)的方法对安装的所有探测器全部检查试验一遍；</w:t>
      </w:r>
    </w:p>
    <w:p>
      <w:pPr>
        <w:pStyle w:val="153"/>
        <w:tabs>
          <w:tab w:val="left" w:pos="1069"/>
        </w:tabs>
        <w:spacing w:line="380" w:lineRule="exact"/>
        <w:ind w:firstLine="210" w:firstLineChars="100"/>
        <w:rPr>
          <w:szCs w:val="21"/>
        </w:rPr>
      </w:pPr>
      <w:bookmarkStart w:id="137" w:name="bookmark30"/>
      <w:bookmarkEnd w:id="137"/>
      <w:r>
        <w:rPr>
          <w:rFonts w:hint="eastAsia"/>
          <w:szCs w:val="21"/>
          <w:lang w:eastAsia="zh-CN"/>
        </w:rPr>
        <w:t>（</w:t>
      </w:r>
      <w:r>
        <w:rPr>
          <w:rFonts w:hint="eastAsia"/>
          <w:szCs w:val="21"/>
          <w:lang w:val="en-US" w:eastAsia="zh-CN"/>
        </w:rPr>
        <w:t>2</w:t>
      </w:r>
      <w:r>
        <w:rPr>
          <w:rFonts w:hint="eastAsia"/>
          <w:szCs w:val="21"/>
          <w:lang w:eastAsia="zh-CN"/>
        </w:rPr>
        <w:t>）</w:t>
      </w:r>
      <w:r>
        <w:rPr>
          <w:szCs w:val="21"/>
        </w:rPr>
        <w:t>主电源和备用电源自动转换试验，检査其功能是否正常；</w:t>
      </w:r>
    </w:p>
    <w:p>
      <w:pPr>
        <w:pStyle w:val="153"/>
        <w:tabs>
          <w:tab w:val="left" w:pos="1069"/>
        </w:tabs>
        <w:spacing w:line="380" w:lineRule="exact"/>
        <w:ind w:firstLine="210" w:firstLineChars="100"/>
        <w:rPr>
          <w:szCs w:val="21"/>
        </w:rPr>
      </w:pPr>
      <w:bookmarkStart w:id="138" w:name="bookmark31"/>
      <w:bookmarkEnd w:id="138"/>
      <w:r>
        <w:rPr>
          <w:rFonts w:hint="eastAsia"/>
          <w:szCs w:val="21"/>
          <w:lang w:eastAsia="zh-CN"/>
        </w:rPr>
        <w:t>（</w:t>
      </w:r>
      <w:r>
        <w:rPr>
          <w:rFonts w:hint="eastAsia"/>
          <w:szCs w:val="21"/>
          <w:lang w:val="en-US" w:eastAsia="zh-CN"/>
        </w:rPr>
        <w:t>3</w:t>
      </w:r>
      <w:r>
        <w:rPr>
          <w:rFonts w:hint="eastAsia"/>
          <w:szCs w:val="21"/>
          <w:lang w:eastAsia="zh-CN"/>
        </w:rPr>
        <w:t>）</w:t>
      </w:r>
      <w:r>
        <w:rPr>
          <w:szCs w:val="21"/>
        </w:rPr>
        <w:t>检査手动/自动转换开关，如电源转换开关、灭火转换开关等转换开关 是否正常；</w:t>
      </w:r>
    </w:p>
    <w:p>
      <w:pPr>
        <w:pStyle w:val="153"/>
        <w:tabs>
          <w:tab w:val="left" w:pos="1069"/>
        </w:tabs>
        <w:spacing w:line="380" w:lineRule="exact"/>
        <w:ind w:firstLine="210" w:firstLineChars="100"/>
        <w:rPr>
          <w:szCs w:val="21"/>
        </w:rPr>
      </w:pPr>
      <w:bookmarkStart w:id="139" w:name="bookmark32"/>
      <w:bookmarkEnd w:id="139"/>
      <w:r>
        <w:rPr>
          <w:rFonts w:hint="eastAsia"/>
          <w:szCs w:val="21"/>
          <w:lang w:eastAsia="zh-CN"/>
        </w:rPr>
        <w:t>（</w:t>
      </w:r>
      <w:r>
        <w:rPr>
          <w:rFonts w:hint="eastAsia"/>
          <w:szCs w:val="21"/>
          <w:lang w:val="en-US" w:eastAsia="zh-CN"/>
        </w:rPr>
        <w:t>4</w:t>
      </w:r>
      <w:r>
        <w:rPr>
          <w:rFonts w:hint="eastAsia"/>
          <w:szCs w:val="21"/>
          <w:lang w:eastAsia="zh-CN"/>
        </w:rPr>
        <w:t>）</w:t>
      </w:r>
      <w:r>
        <w:rPr>
          <w:szCs w:val="21"/>
        </w:rPr>
        <w:t>检查所有接线端子是否有松动、破损和脱落现象；</w:t>
      </w:r>
    </w:p>
    <w:p>
      <w:pPr>
        <w:pStyle w:val="153"/>
        <w:tabs>
          <w:tab w:val="left" w:pos="1069"/>
        </w:tabs>
        <w:spacing w:line="380" w:lineRule="exact"/>
        <w:ind w:firstLine="210" w:firstLineChars="100"/>
        <w:rPr>
          <w:szCs w:val="21"/>
        </w:rPr>
      </w:pPr>
      <w:bookmarkStart w:id="140" w:name="bookmark33"/>
      <w:bookmarkEnd w:id="140"/>
      <w:r>
        <w:rPr>
          <w:rFonts w:hint="eastAsia"/>
          <w:szCs w:val="21"/>
          <w:lang w:eastAsia="zh-CN"/>
        </w:rPr>
        <w:t>（</w:t>
      </w:r>
      <w:r>
        <w:rPr>
          <w:rFonts w:hint="eastAsia"/>
          <w:szCs w:val="21"/>
          <w:lang w:val="en-US" w:eastAsia="zh-CN"/>
        </w:rPr>
        <w:t>5</w:t>
      </w:r>
      <w:r>
        <w:rPr>
          <w:rFonts w:hint="eastAsia"/>
          <w:szCs w:val="21"/>
          <w:lang w:eastAsia="zh-CN"/>
        </w:rPr>
        <w:t>）</w:t>
      </w:r>
      <w:r>
        <w:rPr>
          <w:szCs w:val="21"/>
        </w:rPr>
        <w:t>探测器每隔3年全部清洗一遍。清洗后作响应阈值及其他必要的功能试 验，试验不合格的探测器一律报废，更换新的探测器。</w:t>
      </w:r>
    </w:p>
    <w:p>
      <w:pPr>
        <w:pStyle w:val="153"/>
        <w:spacing w:line="380" w:lineRule="exact"/>
        <w:ind w:firstLine="480"/>
        <w:rPr>
          <w:szCs w:val="21"/>
        </w:rPr>
      </w:pPr>
      <w:r>
        <w:rPr>
          <w:szCs w:val="21"/>
        </w:rPr>
        <w:t>气体灭火系统的日常管理与维护：</w:t>
      </w:r>
    </w:p>
    <w:p>
      <w:pPr>
        <w:pStyle w:val="153"/>
        <w:spacing w:line="380" w:lineRule="exact"/>
        <w:ind w:firstLine="560"/>
        <w:rPr>
          <w:szCs w:val="21"/>
        </w:rPr>
      </w:pPr>
      <w:r>
        <w:rPr>
          <w:szCs w:val="21"/>
        </w:rPr>
        <w:t>在气体灭火系统正常运行情况下，应对气体灭火系统进行检查，检查内容及 要求如下：在对灭火剂贮存容器，选择阀，液体单向周、高压软管、集流管、 阀驱动装置、管网与喷嘴等全部系统组件进行外观检查，系统组件应无碰撞变形 及其它机械性损伤，表面应无锈蚀，保护涂层应完好，铭牌应清晰，手动操作装 置的防护罩、铅封和安全标志应完整。</w:t>
      </w:r>
    </w:p>
    <w:p>
      <w:pPr>
        <w:pStyle w:val="153"/>
        <w:tabs>
          <w:tab w:val="left" w:pos="1069"/>
        </w:tabs>
        <w:spacing w:line="380" w:lineRule="exact"/>
        <w:ind w:firstLine="210" w:firstLineChars="100"/>
        <w:rPr>
          <w:szCs w:val="21"/>
        </w:rPr>
      </w:pPr>
      <w:bookmarkStart w:id="141" w:name="bookmark34"/>
      <w:bookmarkEnd w:id="141"/>
      <w:r>
        <w:rPr>
          <w:rFonts w:hint="eastAsia"/>
          <w:szCs w:val="21"/>
          <w:lang w:eastAsia="zh-CN"/>
        </w:rPr>
        <w:t>（</w:t>
      </w:r>
      <w:r>
        <w:rPr>
          <w:rFonts w:hint="eastAsia"/>
          <w:szCs w:val="21"/>
          <w:lang w:val="en-US" w:eastAsia="zh-CN"/>
        </w:rPr>
        <w:t>1</w:t>
      </w:r>
      <w:r>
        <w:rPr>
          <w:rFonts w:hint="eastAsia"/>
          <w:szCs w:val="21"/>
          <w:lang w:eastAsia="zh-CN"/>
        </w:rPr>
        <w:t>）</w:t>
      </w:r>
      <w:r>
        <w:rPr>
          <w:szCs w:val="21"/>
        </w:rPr>
        <w:t>灭火剂贮瓶间的设备，灭火剂输送管道和支、吊架的固定应无松动。</w:t>
      </w:r>
    </w:p>
    <w:p>
      <w:pPr>
        <w:pStyle w:val="153"/>
        <w:tabs>
          <w:tab w:val="left" w:pos="1069"/>
        </w:tabs>
        <w:spacing w:line="380" w:lineRule="exact"/>
        <w:ind w:firstLine="210" w:firstLineChars="100"/>
        <w:rPr>
          <w:szCs w:val="21"/>
        </w:rPr>
      </w:pPr>
      <w:bookmarkStart w:id="142" w:name="bookmark35"/>
      <w:bookmarkEnd w:id="142"/>
      <w:r>
        <w:rPr>
          <w:rFonts w:hint="eastAsia"/>
          <w:szCs w:val="21"/>
          <w:lang w:eastAsia="zh-CN"/>
        </w:rPr>
        <w:t>（</w:t>
      </w:r>
      <w:r>
        <w:rPr>
          <w:rFonts w:hint="eastAsia"/>
          <w:szCs w:val="21"/>
          <w:lang w:val="en-US" w:eastAsia="zh-CN"/>
        </w:rPr>
        <w:t>2</w:t>
      </w:r>
      <w:r>
        <w:rPr>
          <w:rFonts w:hint="eastAsia"/>
          <w:szCs w:val="21"/>
          <w:lang w:eastAsia="zh-CN"/>
        </w:rPr>
        <w:t>）</w:t>
      </w:r>
      <w:r>
        <w:rPr>
          <w:szCs w:val="21"/>
        </w:rPr>
        <w:t>高压软管应无变形、裂纹及老化现象，必要时应按施工准备条款中的 要求，对每根高压软管进行水压强度试验和气压严密性试验，不合格者应及时更 换。</w:t>
      </w:r>
    </w:p>
    <w:p>
      <w:pPr>
        <w:pStyle w:val="153"/>
        <w:tabs>
          <w:tab w:val="left" w:pos="1069"/>
        </w:tabs>
        <w:spacing w:line="380" w:lineRule="exact"/>
        <w:ind w:firstLine="210" w:firstLineChars="100"/>
        <w:rPr>
          <w:szCs w:val="21"/>
        </w:rPr>
      </w:pPr>
      <w:bookmarkStart w:id="143" w:name="bookmark36"/>
      <w:bookmarkEnd w:id="143"/>
      <w:r>
        <w:rPr>
          <w:rFonts w:hint="eastAsia"/>
          <w:szCs w:val="21"/>
          <w:lang w:eastAsia="zh-CN"/>
        </w:rPr>
        <w:t>（</w:t>
      </w:r>
      <w:r>
        <w:rPr>
          <w:rFonts w:hint="eastAsia"/>
          <w:szCs w:val="21"/>
          <w:lang w:val="en-US" w:eastAsia="zh-CN"/>
        </w:rPr>
        <w:t>3</w:t>
      </w:r>
      <w:r>
        <w:rPr>
          <w:rFonts w:hint="eastAsia"/>
          <w:szCs w:val="21"/>
          <w:lang w:eastAsia="zh-CN"/>
        </w:rPr>
        <w:t>）</w:t>
      </w:r>
      <w:r>
        <w:rPr>
          <w:szCs w:val="21"/>
        </w:rPr>
        <w:t>灭火剂净重不得小于规范数值，低于规定值的应及时进行维修。</w:t>
      </w:r>
    </w:p>
    <w:p>
      <w:pPr>
        <w:pStyle w:val="153"/>
        <w:tabs>
          <w:tab w:val="left" w:pos="1069"/>
        </w:tabs>
        <w:spacing w:line="380" w:lineRule="exact"/>
        <w:ind w:firstLine="210" w:firstLineChars="100"/>
        <w:rPr>
          <w:szCs w:val="21"/>
        </w:rPr>
      </w:pPr>
      <w:bookmarkStart w:id="144" w:name="bookmark37"/>
      <w:bookmarkEnd w:id="144"/>
      <w:r>
        <w:rPr>
          <w:rFonts w:hint="eastAsia"/>
          <w:szCs w:val="21"/>
          <w:lang w:eastAsia="zh-CN"/>
        </w:rPr>
        <w:t>（</w:t>
      </w:r>
      <w:r>
        <w:rPr>
          <w:rFonts w:hint="eastAsia"/>
          <w:szCs w:val="21"/>
          <w:lang w:val="en-US" w:eastAsia="zh-CN"/>
        </w:rPr>
        <w:t>4</w:t>
      </w:r>
      <w:r>
        <w:rPr>
          <w:rFonts w:hint="eastAsia"/>
          <w:szCs w:val="21"/>
          <w:lang w:eastAsia="zh-CN"/>
        </w:rPr>
        <w:t>）</w:t>
      </w:r>
      <w:r>
        <w:rPr>
          <w:szCs w:val="21"/>
        </w:rPr>
        <w:t>灭火剂输送管道和喷嘴孔口应无堵塞和损伤。如有损伤则应进行维修; 如有堵塞则应按系统施工中的要求进行吹扫。</w:t>
      </w:r>
    </w:p>
    <w:p>
      <w:pPr>
        <w:pStyle w:val="153"/>
        <w:spacing w:line="380" w:lineRule="exact"/>
        <w:ind w:firstLine="480"/>
        <w:rPr>
          <w:szCs w:val="21"/>
        </w:rPr>
      </w:pPr>
      <w:r>
        <w:rPr>
          <w:szCs w:val="21"/>
        </w:rPr>
        <w:t>室内消火栓系统的维护保养</w:t>
      </w:r>
    </w:p>
    <w:p>
      <w:pPr>
        <w:pStyle w:val="153"/>
        <w:spacing w:line="380" w:lineRule="exact"/>
        <w:ind w:firstLine="480"/>
        <w:rPr>
          <w:szCs w:val="21"/>
        </w:rPr>
      </w:pPr>
      <w:bookmarkStart w:id="145" w:name="bookmark38"/>
      <w:r>
        <w:rPr>
          <w:rFonts w:ascii="Times New Roman" w:hAnsi="Times New Roman" w:eastAsia="Times New Roman" w:cs="Times New Roman"/>
          <w:szCs w:val="21"/>
        </w:rPr>
        <w:t>1</w:t>
      </w:r>
      <w:bookmarkEnd w:id="145"/>
      <w:r>
        <w:rPr>
          <w:szCs w:val="21"/>
        </w:rPr>
        <w:t>、每月检查项目</w:t>
      </w:r>
    </w:p>
    <w:p>
      <w:pPr>
        <w:pStyle w:val="153"/>
        <w:tabs>
          <w:tab w:val="left" w:pos="1069"/>
        </w:tabs>
        <w:spacing w:line="380" w:lineRule="exact"/>
        <w:ind w:firstLine="210" w:firstLineChars="100"/>
        <w:rPr>
          <w:szCs w:val="21"/>
        </w:rPr>
      </w:pPr>
      <w:bookmarkStart w:id="146" w:name="bookmark39"/>
      <w:bookmarkEnd w:id="146"/>
      <w:r>
        <w:rPr>
          <w:rFonts w:hint="eastAsia"/>
          <w:szCs w:val="21"/>
          <w:lang w:eastAsia="zh-CN"/>
        </w:rPr>
        <w:t>（</w:t>
      </w:r>
      <w:r>
        <w:rPr>
          <w:rFonts w:hint="eastAsia"/>
          <w:szCs w:val="21"/>
          <w:lang w:val="en-US" w:eastAsia="zh-CN"/>
        </w:rPr>
        <w:t>1</w:t>
      </w:r>
      <w:r>
        <w:rPr>
          <w:rFonts w:hint="eastAsia"/>
          <w:szCs w:val="21"/>
          <w:lang w:eastAsia="zh-CN"/>
        </w:rPr>
        <w:t>）</w:t>
      </w:r>
      <w:r>
        <w:rPr>
          <w:szCs w:val="21"/>
        </w:rPr>
        <w:t>检查消火栓箱内设备是否齐全，是否破损、老化、霉变；</w:t>
      </w:r>
    </w:p>
    <w:p>
      <w:pPr>
        <w:pStyle w:val="153"/>
        <w:tabs>
          <w:tab w:val="left" w:pos="1069"/>
        </w:tabs>
        <w:spacing w:line="380" w:lineRule="exact"/>
        <w:ind w:firstLine="210" w:firstLineChars="100"/>
        <w:rPr>
          <w:szCs w:val="21"/>
        </w:rPr>
      </w:pPr>
      <w:bookmarkStart w:id="147" w:name="bookmark40"/>
      <w:bookmarkEnd w:id="147"/>
      <w:r>
        <w:rPr>
          <w:rFonts w:hint="eastAsia"/>
          <w:szCs w:val="21"/>
          <w:lang w:eastAsia="zh-CN"/>
        </w:rPr>
        <w:t>（</w:t>
      </w:r>
      <w:r>
        <w:rPr>
          <w:rFonts w:hint="eastAsia"/>
          <w:szCs w:val="21"/>
          <w:lang w:val="en-US" w:eastAsia="zh-CN"/>
        </w:rPr>
        <w:t>2</w:t>
      </w:r>
      <w:r>
        <w:rPr>
          <w:rFonts w:hint="eastAsia"/>
          <w:szCs w:val="21"/>
          <w:lang w:eastAsia="zh-CN"/>
        </w:rPr>
        <w:t>）</w:t>
      </w:r>
      <w:r>
        <w:rPr>
          <w:szCs w:val="21"/>
        </w:rPr>
        <w:t>外观检查管道、阀门有无漏水，阀门是否位于开启状态；</w:t>
      </w:r>
    </w:p>
    <w:p>
      <w:pPr>
        <w:pStyle w:val="153"/>
        <w:tabs>
          <w:tab w:val="left" w:pos="1069"/>
        </w:tabs>
        <w:spacing w:line="380" w:lineRule="exact"/>
        <w:ind w:firstLine="210" w:firstLineChars="100"/>
        <w:rPr>
          <w:szCs w:val="21"/>
        </w:rPr>
      </w:pPr>
      <w:bookmarkStart w:id="148" w:name="bookmark41"/>
      <w:bookmarkEnd w:id="148"/>
      <w:r>
        <w:rPr>
          <w:rFonts w:hint="eastAsia"/>
          <w:szCs w:val="21"/>
          <w:lang w:eastAsia="zh-CN"/>
        </w:rPr>
        <w:t>（</w:t>
      </w:r>
      <w:r>
        <w:rPr>
          <w:rFonts w:hint="eastAsia"/>
          <w:szCs w:val="21"/>
          <w:lang w:val="en-US" w:eastAsia="zh-CN"/>
        </w:rPr>
        <w:t>3</w:t>
      </w:r>
      <w:r>
        <w:rPr>
          <w:rFonts w:hint="eastAsia"/>
          <w:szCs w:val="21"/>
          <w:lang w:eastAsia="zh-CN"/>
        </w:rPr>
        <w:t>）</w:t>
      </w:r>
      <w:r>
        <w:rPr>
          <w:szCs w:val="21"/>
        </w:rPr>
        <w:t>检查破玻按钮外观有无破损，远程启动水泵测试；</w:t>
      </w:r>
    </w:p>
    <w:p>
      <w:pPr>
        <w:pStyle w:val="153"/>
        <w:tabs>
          <w:tab w:val="left" w:pos="1069"/>
        </w:tabs>
        <w:spacing w:line="380" w:lineRule="exact"/>
        <w:ind w:firstLine="210" w:firstLineChars="100"/>
        <w:rPr>
          <w:szCs w:val="21"/>
        </w:rPr>
      </w:pPr>
      <w:bookmarkStart w:id="149" w:name="bookmark42"/>
      <w:bookmarkEnd w:id="149"/>
      <w:r>
        <w:rPr>
          <w:rFonts w:hint="eastAsia"/>
          <w:szCs w:val="21"/>
          <w:lang w:eastAsia="zh-CN"/>
        </w:rPr>
        <w:t>（</w:t>
      </w:r>
      <w:r>
        <w:rPr>
          <w:rFonts w:hint="eastAsia"/>
          <w:szCs w:val="21"/>
          <w:lang w:val="en-US" w:eastAsia="zh-CN"/>
        </w:rPr>
        <w:t>4</w:t>
      </w:r>
      <w:r>
        <w:rPr>
          <w:rFonts w:hint="eastAsia"/>
          <w:szCs w:val="21"/>
          <w:lang w:eastAsia="zh-CN"/>
        </w:rPr>
        <w:t>）</w:t>
      </w:r>
      <w:r>
        <w:rPr>
          <w:szCs w:val="21"/>
        </w:rPr>
        <w:t>检查水泵控制箱所处控制状态是否正确；</w:t>
      </w:r>
    </w:p>
    <w:p>
      <w:pPr>
        <w:pStyle w:val="153"/>
        <w:tabs>
          <w:tab w:val="left" w:pos="1069"/>
        </w:tabs>
        <w:spacing w:line="380" w:lineRule="exact"/>
        <w:ind w:firstLine="210" w:firstLineChars="100"/>
        <w:rPr>
          <w:szCs w:val="21"/>
        </w:rPr>
      </w:pPr>
      <w:bookmarkStart w:id="150" w:name="bookmark43"/>
      <w:bookmarkEnd w:id="150"/>
      <w:r>
        <w:rPr>
          <w:rFonts w:hint="eastAsia"/>
          <w:szCs w:val="21"/>
          <w:lang w:eastAsia="zh-CN"/>
        </w:rPr>
        <w:t>（</w:t>
      </w:r>
      <w:r>
        <w:rPr>
          <w:rFonts w:hint="eastAsia"/>
          <w:szCs w:val="21"/>
          <w:lang w:val="en-US" w:eastAsia="zh-CN"/>
        </w:rPr>
        <w:t>5</w:t>
      </w:r>
      <w:r>
        <w:rPr>
          <w:rFonts w:hint="eastAsia"/>
          <w:szCs w:val="21"/>
          <w:lang w:eastAsia="zh-CN"/>
        </w:rPr>
        <w:t>）</w:t>
      </w:r>
      <w:r>
        <w:rPr>
          <w:szCs w:val="21"/>
        </w:rPr>
        <w:t>检查消火栓箱门是否完好、正常上锁，箱内配件是否完好；</w:t>
      </w:r>
    </w:p>
    <w:p>
      <w:pPr>
        <w:pStyle w:val="153"/>
        <w:tabs>
          <w:tab w:val="left" w:pos="1069"/>
        </w:tabs>
        <w:spacing w:line="380" w:lineRule="exact"/>
        <w:ind w:firstLine="210" w:firstLineChars="100"/>
        <w:rPr>
          <w:szCs w:val="21"/>
        </w:rPr>
      </w:pPr>
      <w:bookmarkStart w:id="151" w:name="bookmark44"/>
      <w:bookmarkEnd w:id="151"/>
      <w:r>
        <w:rPr>
          <w:rFonts w:hint="eastAsia"/>
          <w:szCs w:val="21"/>
          <w:lang w:eastAsia="zh-CN"/>
        </w:rPr>
        <w:t>（</w:t>
      </w:r>
      <w:r>
        <w:rPr>
          <w:rFonts w:hint="eastAsia"/>
          <w:szCs w:val="21"/>
          <w:lang w:val="en-US" w:eastAsia="zh-CN"/>
        </w:rPr>
        <w:t>6</w:t>
      </w:r>
      <w:r>
        <w:rPr>
          <w:rFonts w:hint="eastAsia"/>
          <w:szCs w:val="21"/>
          <w:lang w:eastAsia="zh-CN"/>
        </w:rPr>
        <w:t>）</w:t>
      </w:r>
      <w:r>
        <w:rPr>
          <w:szCs w:val="21"/>
        </w:rPr>
        <w:t>消防水泵手动、自动状态下启动试验。</w:t>
      </w:r>
    </w:p>
    <w:p>
      <w:pPr>
        <w:pStyle w:val="153"/>
        <w:spacing w:line="380" w:lineRule="exact"/>
        <w:rPr>
          <w:szCs w:val="21"/>
        </w:rPr>
      </w:pPr>
      <w:bookmarkStart w:id="152" w:name="bookmark45"/>
      <w:r>
        <w:rPr>
          <w:rFonts w:ascii="Times New Roman" w:hAnsi="Times New Roman" w:eastAsia="Times New Roman" w:cs="Times New Roman"/>
          <w:szCs w:val="21"/>
        </w:rPr>
        <w:t>2</w:t>
      </w:r>
      <w:bookmarkEnd w:id="152"/>
      <w:r>
        <w:rPr>
          <w:szCs w:val="21"/>
        </w:rPr>
        <w:t>、每季检査项目</w:t>
      </w:r>
    </w:p>
    <w:p>
      <w:pPr>
        <w:pStyle w:val="153"/>
        <w:tabs>
          <w:tab w:val="left" w:pos="1069"/>
        </w:tabs>
        <w:spacing w:line="380" w:lineRule="exact"/>
        <w:ind w:firstLine="210" w:firstLineChars="100"/>
        <w:rPr>
          <w:szCs w:val="21"/>
        </w:rPr>
      </w:pPr>
      <w:bookmarkStart w:id="153" w:name="bookmark46"/>
      <w:bookmarkEnd w:id="153"/>
      <w:r>
        <w:rPr>
          <w:rFonts w:hint="eastAsia"/>
          <w:szCs w:val="21"/>
          <w:lang w:eastAsia="zh-CN"/>
        </w:rPr>
        <w:t>（</w:t>
      </w:r>
      <w:r>
        <w:rPr>
          <w:rFonts w:hint="eastAsia"/>
          <w:szCs w:val="21"/>
          <w:lang w:val="en-US" w:eastAsia="zh-CN"/>
        </w:rPr>
        <w:t>1</w:t>
      </w:r>
      <w:r>
        <w:rPr>
          <w:rFonts w:hint="eastAsia"/>
          <w:szCs w:val="21"/>
          <w:lang w:eastAsia="zh-CN"/>
        </w:rPr>
        <w:t>）</w:t>
      </w:r>
      <w:r>
        <w:rPr>
          <w:szCs w:val="21"/>
        </w:rPr>
        <w:t>检查破玻按钮外观有无破损，远程启动水泵测试；</w:t>
      </w:r>
    </w:p>
    <w:p>
      <w:pPr>
        <w:pStyle w:val="153"/>
        <w:tabs>
          <w:tab w:val="left" w:pos="1069"/>
        </w:tabs>
        <w:spacing w:line="380" w:lineRule="exact"/>
        <w:ind w:firstLine="210" w:firstLineChars="100"/>
        <w:rPr>
          <w:szCs w:val="21"/>
        </w:rPr>
      </w:pPr>
      <w:bookmarkStart w:id="154" w:name="bookmark47"/>
      <w:bookmarkEnd w:id="154"/>
      <w:r>
        <w:rPr>
          <w:rFonts w:hint="eastAsia"/>
          <w:szCs w:val="21"/>
          <w:lang w:eastAsia="zh-CN"/>
        </w:rPr>
        <w:t>（</w:t>
      </w:r>
      <w:r>
        <w:rPr>
          <w:rFonts w:hint="eastAsia"/>
          <w:szCs w:val="21"/>
          <w:lang w:val="en-US" w:eastAsia="zh-CN"/>
        </w:rPr>
        <w:t>2</w:t>
      </w:r>
      <w:r>
        <w:rPr>
          <w:rFonts w:hint="eastAsia"/>
          <w:szCs w:val="21"/>
          <w:lang w:eastAsia="zh-CN"/>
        </w:rPr>
        <w:t>）</w:t>
      </w:r>
      <w:r>
        <w:rPr>
          <w:szCs w:val="21"/>
        </w:rPr>
        <w:t>检查水泵控制箱所处控制状态是否正确；</w:t>
      </w:r>
      <w:bookmarkStart w:id="155" w:name="bookmark48"/>
      <w:bookmarkEnd w:id="155"/>
      <w:r>
        <w:rPr>
          <w:szCs w:val="21"/>
        </w:rPr>
        <w:t>消防水泵手动、自动状态下启动试验。</w:t>
      </w:r>
    </w:p>
    <w:p>
      <w:pPr>
        <w:pStyle w:val="153"/>
        <w:spacing w:line="380" w:lineRule="exact"/>
        <w:rPr>
          <w:szCs w:val="21"/>
        </w:rPr>
      </w:pPr>
      <w:bookmarkStart w:id="156" w:name="bookmark49"/>
      <w:r>
        <w:rPr>
          <w:rFonts w:ascii="Times New Roman" w:hAnsi="Times New Roman" w:eastAsia="Times New Roman" w:cs="Times New Roman"/>
          <w:szCs w:val="21"/>
        </w:rPr>
        <w:t>3</w:t>
      </w:r>
      <w:bookmarkEnd w:id="156"/>
      <w:r>
        <w:rPr>
          <w:szCs w:val="21"/>
        </w:rPr>
        <w:t>、每年检查项目</w:t>
      </w:r>
    </w:p>
    <w:p>
      <w:pPr>
        <w:pStyle w:val="153"/>
        <w:tabs>
          <w:tab w:val="left" w:pos="1069"/>
        </w:tabs>
        <w:spacing w:line="380" w:lineRule="exact"/>
        <w:ind w:firstLine="210" w:firstLineChars="100"/>
        <w:rPr>
          <w:szCs w:val="21"/>
        </w:rPr>
      </w:pPr>
      <w:bookmarkStart w:id="157" w:name="bookmark50"/>
      <w:bookmarkEnd w:id="157"/>
      <w:r>
        <w:rPr>
          <w:rFonts w:hint="eastAsia"/>
          <w:szCs w:val="21"/>
          <w:lang w:eastAsia="zh-CN"/>
        </w:rPr>
        <w:t>（</w:t>
      </w:r>
      <w:r>
        <w:rPr>
          <w:rFonts w:hint="eastAsia"/>
          <w:szCs w:val="21"/>
          <w:lang w:val="en-US" w:eastAsia="zh-CN"/>
        </w:rPr>
        <w:t>1</w:t>
      </w:r>
      <w:r>
        <w:rPr>
          <w:rFonts w:hint="eastAsia"/>
          <w:szCs w:val="21"/>
          <w:lang w:eastAsia="zh-CN"/>
        </w:rPr>
        <w:t>）</w:t>
      </w:r>
      <w:r>
        <w:rPr>
          <w:szCs w:val="21"/>
        </w:rPr>
        <w:t>检查电动机是否损伤、锈蚀，机械性能是否良好；</w:t>
      </w:r>
    </w:p>
    <w:p>
      <w:pPr>
        <w:pStyle w:val="153"/>
        <w:tabs>
          <w:tab w:val="left" w:pos="1069"/>
        </w:tabs>
        <w:spacing w:line="380" w:lineRule="exact"/>
        <w:ind w:firstLine="210" w:firstLineChars="100"/>
        <w:rPr>
          <w:szCs w:val="21"/>
        </w:rPr>
      </w:pPr>
      <w:bookmarkStart w:id="158" w:name="bookmark51"/>
      <w:bookmarkEnd w:id="158"/>
      <w:r>
        <w:rPr>
          <w:rFonts w:hint="eastAsia"/>
          <w:szCs w:val="21"/>
          <w:lang w:eastAsia="zh-CN"/>
        </w:rPr>
        <w:t>（</w:t>
      </w:r>
      <w:r>
        <w:rPr>
          <w:rFonts w:hint="eastAsia"/>
          <w:szCs w:val="21"/>
          <w:lang w:val="en-US" w:eastAsia="zh-CN"/>
        </w:rPr>
        <w:t>2</w:t>
      </w:r>
      <w:r>
        <w:rPr>
          <w:rFonts w:hint="eastAsia"/>
          <w:szCs w:val="21"/>
          <w:lang w:eastAsia="zh-CN"/>
        </w:rPr>
        <w:t>）</w:t>
      </w:r>
      <w:r>
        <w:rPr>
          <w:szCs w:val="21"/>
        </w:rPr>
        <w:t>检查水泵轴与电动机连接部位是否松动、变形、损伤和严重锈蚀；</w:t>
      </w:r>
    </w:p>
    <w:p>
      <w:pPr>
        <w:pStyle w:val="153"/>
        <w:tabs>
          <w:tab w:val="left" w:pos="1069"/>
        </w:tabs>
        <w:spacing w:line="380" w:lineRule="exact"/>
        <w:ind w:firstLine="210" w:firstLineChars="100"/>
        <w:rPr>
          <w:szCs w:val="21"/>
        </w:rPr>
      </w:pPr>
      <w:bookmarkStart w:id="159" w:name="bookmark52"/>
      <w:bookmarkEnd w:id="159"/>
      <w:r>
        <w:rPr>
          <w:rFonts w:hint="eastAsia"/>
          <w:szCs w:val="21"/>
          <w:lang w:eastAsia="zh-CN"/>
        </w:rPr>
        <w:t>（</w:t>
      </w:r>
      <w:r>
        <w:rPr>
          <w:rFonts w:hint="eastAsia"/>
          <w:szCs w:val="21"/>
          <w:lang w:val="en-US" w:eastAsia="zh-CN"/>
        </w:rPr>
        <w:t>3</w:t>
      </w:r>
      <w:r>
        <w:rPr>
          <w:rFonts w:hint="eastAsia"/>
          <w:szCs w:val="21"/>
          <w:lang w:eastAsia="zh-CN"/>
        </w:rPr>
        <w:t>）</w:t>
      </w:r>
      <w:r>
        <w:rPr>
          <w:szCs w:val="21"/>
        </w:rPr>
        <w:t>检查轴承润滑油是否加足，油污严重污染、变质现象，用手转动检查转 动是否正常；</w:t>
      </w:r>
    </w:p>
    <w:p>
      <w:pPr>
        <w:pStyle w:val="153"/>
        <w:tabs>
          <w:tab w:val="left" w:pos="1069"/>
        </w:tabs>
        <w:spacing w:line="380" w:lineRule="exact"/>
        <w:ind w:firstLine="210" w:firstLineChars="100"/>
        <w:rPr>
          <w:szCs w:val="21"/>
        </w:rPr>
      </w:pPr>
      <w:bookmarkStart w:id="160" w:name="bookmark53"/>
      <w:bookmarkEnd w:id="160"/>
      <w:r>
        <w:rPr>
          <w:rFonts w:hint="eastAsia"/>
          <w:szCs w:val="21"/>
          <w:lang w:eastAsia="zh-CN"/>
        </w:rPr>
        <w:t>（</w:t>
      </w:r>
      <w:r>
        <w:rPr>
          <w:rFonts w:hint="eastAsia"/>
          <w:szCs w:val="21"/>
          <w:lang w:val="en-US" w:eastAsia="zh-CN"/>
        </w:rPr>
        <w:t>4</w:t>
      </w:r>
      <w:r>
        <w:rPr>
          <w:rFonts w:hint="eastAsia"/>
          <w:szCs w:val="21"/>
          <w:lang w:eastAsia="zh-CN"/>
        </w:rPr>
        <w:t>）</w:t>
      </w:r>
      <w:r>
        <w:rPr>
          <w:szCs w:val="21"/>
        </w:rPr>
        <w:t>检査继电器是否脱落、松动，接触器接点是否烧损。</w:t>
      </w:r>
    </w:p>
    <w:p>
      <w:pPr>
        <w:pStyle w:val="153"/>
        <w:spacing w:line="380" w:lineRule="exact"/>
        <w:ind w:firstLine="609" w:firstLineChars="290"/>
        <w:rPr>
          <w:szCs w:val="21"/>
        </w:rPr>
      </w:pPr>
      <w:r>
        <w:rPr>
          <w:szCs w:val="21"/>
        </w:rPr>
        <w:t>自动水喷淋灭火系统的维护保养</w:t>
      </w:r>
    </w:p>
    <w:p>
      <w:pPr>
        <w:pStyle w:val="153"/>
        <w:spacing w:line="380" w:lineRule="exact"/>
        <w:ind w:firstLine="940"/>
        <w:rPr>
          <w:szCs w:val="21"/>
        </w:rPr>
      </w:pPr>
      <w:bookmarkStart w:id="161" w:name="bookmark54"/>
      <w:r>
        <w:rPr>
          <w:rFonts w:ascii="Times New Roman" w:hAnsi="Times New Roman" w:eastAsia="Times New Roman" w:cs="Times New Roman"/>
          <w:szCs w:val="21"/>
        </w:rPr>
        <w:t>1</w:t>
      </w:r>
      <w:bookmarkEnd w:id="161"/>
      <w:r>
        <w:rPr>
          <w:szCs w:val="21"/>
        </w:rPr>
        <w:t>、每月检查项目</w:t>
      </w:r>
    </w:p>
    <w:p>
      <w:pPr>
        <w:pStyle w:val="153"/>
        <w:tabs>
          <w:tab w:val="left" w:pos="1069"/>
        </w:tabs>
        <w:spacing w:line="380" w:lineRule="exact"/>
        <w:ind w:firstLine="210" w:firstLineChars="100"/>
        <w:rPr>
          <w:szCs w:val="21"/>
        </w:rPr>
      </w:pPr>
      <w:bookmarkStart w:id="162" w:name="bookmark55"/>
      <w:bookmarkEnd w:id="162"/>
      <w:r>
        <w:rPr>
          <w:rFonts w:hint="eastAsia"/>
          <w:szCs w:val="21"/>
          <w:lang w:eastAsia="zh-CN"/>
        </w:rPr>
        <w:t>（</w:t>
      </w:r>
      <w:r>
        <w:rPr>
          <w:rFonts w:hint="eastAsia"/>
          <w:szCs w:val="21"/>
          <w:lang w:val="en-US" w:eastAsia="zh-CN"/>
        </w:rPr>
        <w:t>1</w:t>
      </w:r>
      <w:r>
        <w:rPr>
          <w:rFonts w:hint="eastAsia"/>
          <w:szCs w:val="21"/>
          <w:lang w:eastAsia="zh-CN"/>
        </w:rPr>
        <w:t>）</w:t>
      </w:r>
      <w:r>
        <w:rPr>
          <w:szCs w:val="21"/>
        </w:rPr>
        <w:t>消防水池、消防水箱及消防气压给水设备应每月检查一次，对其消防储 备水位及消防气压给水设备的气体压力进行检查，并应对保证消防用水不被挪作 他用的措施进行检查，发现故障，应及时进行处理；</w:t>
      </w:r>
    </w:p>
    <w:p>
      <w:pPr>
        <w:pStyle w:val="153"/>
        <w:tabs>
          <w:tab w:val="left" w:pos="1069"/>
        </w:tabs>
        <w:spacing w:line="380" w:lineRule="exact"/>
        <w:ind w:firstLine="210" w:firstLineChars="100"/>
        <w:rPr>
          <w:szCs w:val="21"/>
        </w:rPr>
      </w:pPr>
      <w:bookmarkStart w:id="163" w:name="bookmark56"/>
      <w:bookmarkEnd w:id="163"/>
      <w:r>
        <w:rPr>
          <w:rFonts w:hint="eastAsia"/>
          <w:szCs w:val="21"/>
          <w:lang w:eastAsia="zh-CN"/>
        </w:rPr>
        <w:t>（</w:t>
      </w:r>
      <w:r>
        <w:rPr>
          <w:rFonts w:hint="eastAsia"/>
          <w:szCs w:val="21"/>
          <w:lang w:val="en-US" w:eastAsia="zh-CN"/>
        </w:rPr>
        <w:t>2</w:t>
      </w:r>
      <w:r>
        <w:rPr>
          <w:rFonts w:hint="eastAsia"/>
          <w:szCs w:val="21"/>
          <w:lang w:eastAsia="zh-CN"/>
        </w:rPr>
        <w:t>）</w:t>
      </w:r>
      <w:r>
        <w:rPr>
          <w:szCs w:val="21"/>
        </w:rPr>
        <w:t>消防水泵应每月启动运转一次。当消防水泵为自动控制启动时，应每月 摸拟自动控制的条件启动运转一次；</w:t>
      </w:r>
    </w:p>
    <w:p>
      <w:pPr>
        <w:pStyle w:val="153"/>
        <w:tabs>
          <w:tab w:val="left" w:pos="1069"/>
        </w:tabs>
        <w:spacing w:line="380" w:lineRule="exact"/>
        <w:ind w:firstLine="210" w:firstLineChars="100"/>
        <w:rPr>
          <w:szCs w:val="21"/>
        </w:rPr>
      </w:pPr>
      <w:bookmarkStart w:id="164" w:name="bookmark57"/>
      <w:bookmarkEnd w:id="164"/>
      <w:r>
        <w:rPr>
          <w:rFonts w:hint="eastAsia"/>
          <w:szCs w:val="21"/>
          <w:lang w:eastAsia="zh-CN"/>
        </w:rPr>
        <w:t>（</w:t>
      </w:r>
      <w:r>
        <w:rPr>
          <w:rFonts w:hint="eastAsia"/>
          <w:szCs w:val="21"/>
          <w:lang w:val="en-US" w:eastAsia="zh-CN"/>
        </w:rPr>
        <w:t>3</w:t>
      </w:r>
      <w:r>
        <w:rPr>
          <w:rFonts w:hint="eastAsia"/>
          <w:szCs w:val="21"/>
          <w:lang w:eastAsia="zh-CN"/>
        </w:rPr>
        <w:t>）</w:t>
      </w:r>
      <w:r>
        <w:rPr>
          <w:szCs w:val="21"/>
        </w:rPr>
        <w:t>电磁阀应每月检查并应作启动试验，动作失常时应及时更换；</w:t>
      </w:r>
    </w:p>
    <w:p>
      <w:pPr>
        <w:pStyle w:val="153"/>
        <w:tabs>
          <w:tab w:val="left" w:pos="1069"/>
        </w:tabs>
        <w:spacing w:line="380" w:lineRule="exact"/>
        <w:ind w:firstLine="210" w:firstLineChars="100"/>
        <w:rPr>
          <w:szCs w:val="21"/>
        </w:rPr>
      </w:pPr>
      <w:bookmarkStart w:id="165" w:name="bookmark58"/>
      <w:bookmarkEnd w:id="165"/>
      <w:r>
        <w:rPr>
          <w:rFonts w:hint="eastAsia"/>
          <w:szCs w:val="21"/>
          <w:lang w:eastAsia="zh-CN"/>
        </w:rPr>
        <w:t>（</w:t>
      </w:r>
      <w:r>
        <w:rPr>
          <w:rFonts w:hint="eastAsia"/>
          <w:szCs w:val="21"/>
          <w:lang w:val="en-US" w:eastAsia="zh-CN"/>
        </w:rPr>
        <w:t>4</w:t>
      </w:r>
      <w:r>
        <w:rPr>
          <w:rFonts w:hint="eastAsia"/>
          <w:szCs w:val="21"/>
          <w:lang w:eastAsia="zh-CN"/>
        </w:rPr>
        <w:t>）</w:t>
      </w:r>
      <w:r>
        <w:rPr>
          <w:szCs w:val="21"/>
        </w:rPr>
        <w:t>每月应对系统上所有的铅封、锁链进行一次检査，当有损坏时，应及时 修理或更换；</w:t>
      </w:r>
    </w:p>
    <w:p>
      <w:pPr>
        <w:pStyle w:val="153"/>
        <w:tabs>
          <w:tab w:val="left" w:pos="1069"/>
        </w:tabs>
        <w:spacing w:line="380" w:lineRule="exact"/>
        <w:ind w:firstLine="210" w:firstLineChars="100"/>
        <w:rPr>
          <w:szCs w:val="21"/>
        </w:rPr>
      </w:pPr>
      <w:bookmarkStart w:id="166" w:name="bookmark59"/>
      <w:bookmarkEnd w:id="166"/>
      <w:r>
        <w:rPr>
          <w:rFonts w:hint="eastAsia"/>
          <w:szCs w:val="21"/>
          <w:lang w:eastAsia="zh-CN"/>
        </w:rPr>
        <w:t>（</w:t>
      </w:r>
      <w:r>
        <w:rPr>
          <w:rFonts w:hint="eastAsia"/>
          <w:szCs w:val="21"/>
          <w:lang w:val="en-US" w:eastAsia="zh-CN"/>
        </w:rPr>
        <w:t>5</w:t>
      </w:r>
      <w:r>
        <w:rPr>
          <w:rFonts w:hint="eastAsia"/>
          <w:szCs w:val="21"/>
          <w:lang w:eastAsia="zh-CN"/>
        </w:rPr>
        <w:t>）</w:t>
      </w:r>
      <w:r>
        <w:rPr>
          <w:szCs w:val="21"/>
        </w:rPr>
        <w:t>消防水泵接合器的接口及附件应每月检查一次，并应保证接口完好、无 渗漏、闷盖齐全；</w:t>
      </w:r>
    </w:p>
    <w:p>
      <w:pPr>
        <w:pStyle w:val="153"/>
        <w:tabs>
          <w:tab w:val="left" w:pos="1069"/>
        </w:tabs>
        <w:spacing w:line="380" w:lineRule="exact"/>
        <w:ind w:firstLine="210" w:firstLineChars="100"/>
        <w:rPr>
          <w:szCs w:val="21"/>
        </w:rPr>
      </w:pPr>
      <w:bookmarkStart w:id="167" w:name="bookmark60"/>
      <w:bookmarkEnd w:id="167"/>
      <w:r>
        <w:rPr>
          <w:rFonts w:hint="eastAsia"/>
          <w:szCs w:val="21"/>
          <w:lang w:eastAsia="zh-CN"/>
        </w:rPr>
        <w:t>（</w:t>
      </w:r>
      <w:r>
        <w:rPr>
          <w:rFonts w:hint="eastAsia"/>
          <w:szCs w:val="21"/>
          <w:lang w:val="en-US" w:eastAsia="zh-CN"/>
        </w:rPr>
        <w:t>6</w:t>
      </w:r>
      <w:r>
        <w:rPr>
          <w:rFonts w:hint="eastAsia"/>
          <w:szCs w:val="21"/>
          <w:lang w:eastAsia="zh-CN"/>
        </w:rPr>
        <w:t>）</w:t>
      </w:r>
      <w:r>
        <w:rPr>
          <w:szCs w:val="21"/>
        </w:rPr>
        <w:t>每月应对喷头进行一次外观检査，当发现有不正常的喷头应及时更换； 当喷头上有异物时应及时清除。更换或安装喷头均应使用专用扳手。</w:t>
      </w:r>
    </w:p>
    <w:p>
      <w:pPr>
        <w:pStyle w:val="153"/>
        <w:tabs>
          <w:tab w:val="left" w:pos="1351"/>
        </w:tabs>
        <w:spacing w:line="380" w:lineRule="exact"/>
        <w:ind w:firstLine="940"/>
        <w:rPr>
          <w:szCs w:val="21"/>
        </w:rPr>
      </w:pPr>
      <w:bookmarkStart w:id="168" w:name="bookmark61"/>
      <w:r>
        <w:rPr>
          <w:rFonts w:ascii="Times New Roman" w:hAnsi="Times New Roman" w:eastAsia="Times New Roman" w:cs="Times New Roman"/>
          <w:szCs w:val="21"/>
        </w:rPr>
        <w:t>2</w:t>
      </w:r>
      <w:bookmarkEnd w:id="168"/>
      <w:r>
        <w:rPr>
          <w:szCs w:val="21"/>
        </w:rPr>
        <w:t>、</w:t>
      </w:r>
      <w:r>
        <w:rPr>
          <w:szCs w:val="21"/>
        </w:rPr>
        <w:tab/>
      </w:r>
      <w:r>
        <w:rPr>
          <w:szCs w:val="21"/>
        </w:rPr>
        <w:t>每季检査项目</w:t>
      </w:r>
    </w:p>
    <w:p>
      <w:pPr>
        <w:pStyle w:val="153"/>
        <w:tabs>
          <w:tab w:val="left" w:pos="1069"/>
        </w:tabs>
        <w:spacing w:line="380" w:lineRule="exact"/>
        <w:ind w:firstLine="210" w:firstLineChars="100"/>
        <w:rPr>
          <w:szCs w:val="21"/>
        </w:rPr>
      </w:pPr>
      <w:bookmarkStart w:id="169" w:name="bookmark62"/>
      <w:bookmarkEnd w:id="169"/>
      <w:r>
        <w:rPr>
          <w:rFonts w:hint="eastAsia"/>
          <w:szCs w:val="21"/>
          <w:lang w:eastAsia="zh-CN"/>
        </w:rPr>
        <w:t>（</w:t>
      </w:r>
      <w:r>
        <w:rPr>
          <w:rFonts w:hint="eastAsia"/>
          <w:szCs w:val="21"/>
          <w:lang w:val="en-US" w:eastAsia="zh-CN"/>
        </w:rPr>
        <w:t>1</w:t>
      </w:r>
      <w:r>
        <w:rPr>
          <w:rFonts w:hint="eastAsia"/>
          <w:szCs w:val="21"/>
          <w:lang w:eastAsia="zh-CN"/>
        </w:rPr>
        <w:t>）</w:t>
      </w:r>
      <w:r>
        <w:rPr>
          <w:szCs w:val="21"/>
        </w:rPr>
        <w:t>每季度应对报警阀旁的放水试验阀进行一次供水试验，验证系统的供水 能力；</w:t>
      </w:r>
    </w:p>
    <w:p>
      <w:pPr>
        <w:pStyle w:val="153"/>
        <w:tabs>
          <w:tab w:val="left" w:pos="1069"/>
        </w:tabs>
        <w:spacing w:line="380" w:lineRule="exact"/>
        <w:ind w:firstLine="210" w:firstLineChars="100"/>
        <w:rPr>
          <w:szCs w:val="21"/>
        </w:rPr>
      </w:pPr>
      <w:bookmarkStart w:id="170" w:name="bookmark63"/>
      <w:bookmarkEnd w:id="170"/>
      <w:r>
        <w:rPr>
          <w:rFonts w:hint="eastAsia"/>
          <w:szCs w:val="21"/>
          <w:lang w:eastAsia="zh-CN"/>
        </w:rPr>
        <w:t>（</w:t>
      </w:r>
      <w:r>
        <w:rPr>
          <w:rFonts w:hint="eastAsia"/>
          <w:szCs w:val="21"/>
          <w:lang w:val="en-US" w:eastAsia="zh-CN"/>
        </w:rPr>
        <w:t>2</w:t>
      </w:r>
      <w:r>
        <w:rPr>
          <w:rFonts w:hint="eastAsia"/>
          <w:szCs w:val="21"/>
          <w:lang w:eastAsia="zh-CN"/>
        </w:rPr>
        <w:t>）</w:t>
      </w:r>
      <w:r>
        <w:rPr>
          <w:szCs w:val="21"/>
        </w:rPr>
        <w:t>室外阀门井中，进水管上的控制阀门应每个季度检查一次，核实处于全 开启状态。</w:t>
      </w:r>
    </w:p>
    <w:p>
      <w:pPr>
        <w:pStyle w:val="153"/>
        <w:tabs>
          <w:tab w:val="left" w:pos="1320"/>
        </w:tabs>
        <w:spacing w:line="380" w:lineRule="exact"/>
        <w:ind w:firstLine="880"/>
        <w:rPr>
          <w:szCs w:val="21"/>
        </w:rPr>
      </w:pPr>
      <w:bookmarkStart w:id="171" w:name="bookmark64"/>
      <w:r>
        <w:rPr>
          <w:rFonts w:ascii="Times New Roman" w:hAnsi="Times New Roman" w:eastAsia="Times New Roman" w:cs="Times New Roman"/>
          <w:szCs w:val="21"/>
        </w:rPr>
        <w:t>3</w:t>
      </w:r>
      <w:bookmarkEnd w:id="171"/>
      <w:r>
        <w:rPr>
          <w:szCs w:val="21"/>
        </w:rPr>
        <w:t>、</w:t>
      </w:r>
      <w:r>
        <w:rPr>
          <w:szCs w:val="21"/>
        </w:rPr>
        <w:tab/>
      </w:r>
      <w:r>
        <w:rPr>
          <w:szCs w:val="21"/>
        </w:rPr>
        <w:t>每年检査项目</w:t>
      </w:r>
    </w:p>
    <w:p>
      <w:pPr>
        <w:pStyle w:val="153"/>
        <w:tabs>
          <w:tab w:val="left" w:pos="1069"/>
        </w:tabs>
        <w:spacing w:line="380" w:lineRule="exact"/>
        <w:ind w:firstLine="210" w:firstLineChars="100"/>
        <w:rPr>
          <w:szCs w:val="21"/>
        </w:rPr>
      </w:pPr>
      <w:bookmarkStart w:id="172" w:name="bookmark65"/>
      <w:bookmarkEnd w:id="172"/>
      <w:r>
        <w:rPr>
          <w:rFonts w:hint="eastAsia"/>
          <w:szCs w:val="21"/>
          <w:lang w:eastAsia="zh-CN"/>
        </w:rPr>
        <w:t>（</w:t>
      </w:r>
      <w:r>
        <w:rPr>
          <w:rFonts w:hint="eastAsia"/>
          <w:szCs w:val="21"/>
          <w:lang w:val="en-US" w:eastAsia="zh-CN"/>
        </w:rPr>
        <w:t>1</w:t>
      </w:r>
      <w:r>
        <w:rPr>
          <w:rFonts w:hint="eastAsia"/>
          <w:szCs w:val="21"/>
          <w:lang w:eastAsia="zh-CN"/>
        </w:rPr>
        <w:t>）</w:t>
      </w:r>
      <w:r>
        <w:rPr>
          <w:szCs w:val="21"/>
        </w:rPr>
        <w:t>每年应对水源的供水能力进行一次测定；</w:t>
      </w:r>
    </w:p>
    <w:p>
      <w:pPr>
        <w:pStyle w:val="153"/>
        <w:tabs>
          <w:tab w:val="left" w:pos="1069"/>
        </w:tabs>
        <w:spacing w:line="380" w:lineRule="exact"/>
        <w:ind w:firstLine="210" w:firstLineChars="100"/>
        <w:rPr>
          <w:szCs w:val="21"/>
        </w:rPr>
      </w:pPr>
      <w:bookmarkStart w:id="173" w:name="bookmark66"/>
      <w:bookmarkEnd w:id="173"/>
      <w:r>
        <w:rPr>
          <w:rFonts w:hint="eastAsia"/>
          <w:szCs w:val="21"/>
          <w:lang w:eastAsia="zh-CN"/>
        </w:rPr>
        <w:t>（</w:t>
      </w:r>
      <w:r>
        <w:rPr>
          <w:rFonts w:hint="eastAsia"/>
          <w:szCs w:val="21"/>
          <w:lang w:val="en-US" w:eastAsia="zh-CN"/>
        </w:rPr>
        <w:t>2</w:t>
      </w:r>
      <w:r>
        <w:rPr>
          <w:rFonts w:hint="eastAsia"/>
          <w:szCs w:val="21"/>
          <w:lang w:eastAsia="zh-CN"/>
        </w:rPr>
        <w:t>）</w:t>
      </w:r>
      <w:r>
        <w:rPr>
          <w:szCs w:val="21"/>
        </w:rPr>
        <w:t>每两年应对消防储水设备进行检查，修补缺损和重新油漆。</w:t>
      </w:r>
    </w:p>
    <w:p>
      <w:pPr>
        <w:pStyle w:val="153"/>
        <w:spacing w:line="380" w:lineRule="exact"/>
        <w:ind w:firstLine="1000"/>
        <w:rPr>
          <w:szCs w:val="21"/>
        </w:rPr>
      </w:pPr>
      <w:bookmarkStart w:id="174" w:name="bookmark67"/>
      <w:r>
        <w:rPr>
          <w:rFonts w:ascii="Times New Roman" w:hAnsi="Times New Roman" w:eastAsia="Times New Roman" w:cs="Times New Roman"/>
          <w:szCs w:val="21"/>
          <w:lang w:val="zh-CN" w:eastAsia="zh-CN" w:bidi="zh-CN"/>
        </w:rPr>
        <w:t>4</w:t>
      </w:r>
      <w:bookmarkEnd w:id="174"/>
      <w:r>
        <w:rPr>
          <w:szCs w:val="21"/>
          <w:lang w:val="zh-CN" w:eastAsia="zh-CN" w:bidi="zh-CN"/>
        </w:rPr>
        <w:t>、</w:t>
      </w:r>
      <w:r>
        <w:rPr>
          <w:szCs w:val="21"/>
        </w:rPr>
        <w:t>喷头的检查与维护方法</w:t>
      </w:r>
    </w:p>
    <w:p>
      <w:pPr>
        <w:pStyle w:val="153"/>
        <w:tabs>
          <w:tab w:val="left" w:pos="1069"/>
        </w:tabs>
        <w:spacing w:line="380" w:lineRule="exact"/>
        <w:ind w:firstLine="210" w:firstLineChars="100"/>
        <w:rPr>
          <w:szCs w:val="21"/>
        </w:rPr>
      </w:pPr>
      <w:bookmarkStart w:id="175" w:name="bookmark68"/>
      <w:bookmarkEnd w:id="175"/>
      <w:r>
        <w:rPr>
          <w:rFonts w:hint="eastAsia"/>
          <w:szCs w:val="21"/>
          <w:lang w:eastAsia="zh-CN"/>
        </w:rPr>
        <w:t>（</w:t>
      </w:r>
      <w:r>
        <w:rPr>
          <w:rFonts w:hint="eastAsia"/>
          <w:szCs w:val="21"/>
          <w:lang w:val="en-US" w:eastAsia="zh-CN"/>
        </w:rPr>
        <w:t>1</w:t>
      </w:r>
      <w:r>
        <w:rPr>
          <w:rFonts w:hint="eastAsia"/>
          <w:szCs w:val="21"/>
          <w:lang w:eastAsia="zh-CN"/>
        </w:rPr>
        <w:t>）</w:t>
      </w:r>
      <w:r>
        <w:rPr>
          <w:szCs w:val="21"/>
        </w:rPr>
        <w:t>外观检查：检查喷头有无损坏、锈蚀、漏水现象，如存在应及时维修或 更换；</w:t>
      </w:r>
    </w:p>
    <w:p>
      <w:pPr>
        <w:pStyle w:val="153"/>
        <w:tabs>
          <w:tab w:val="left" w:pos="1069"/>
        </w:tabs>
        <w:spacing w:line="380" w:lineRule="exact"/>
        <w:ind w:firstLine="210" w:firstLineChars="100"/>
        <w:rPr>
          <w:szCs w:val="21"/>
        </w:rPr>
      </w:pPr>
      <w:bookmarkStart w:id="176" w:name="bookmark69"/>
      <w:bookmarkEnd w:id="176"/>
      <w:r>
        <w:rPr>
          <w:rFonts w:hint="eastAsia"/>
          <w:szCs w:val="21"/>
          <w:lang w:eastAsia="zh-CN"/>
        </w:rPr>
        <w:t>（</w:t>
      </w:r>
      <w:r>
        <w:rPr>
          <w:rFonts w:hint="eastAsia"/>
          <w:szCs w:val="21"/>
          <w:lang w:val="en-US" w:eastAsia="zh-CN"/>
        </w:rPr>
        <w:t>2</w:t>
      </w:r>
      <w:r>
        <w:rPr>
          <w:rFonts w:hint="eastAsia"/>
          <w:szCs w:val="21"/>
          <w:lang w:eastAsia="zh-CN"/>
        </w:rPr>
        <w:t>）</w:t>
      </w:r>
      <w:r>
        <w:rPr>
          <w:szCs w:val="21"/>
        </w:rPr>
        <w:t>抽样检査：使用年限较长的系统，应按要求对喷头进行抽査，对不符合 喷头产品要求的喷头要更换；</w:t>
      </w:r>
    </w:p>
    <w:p>
      <w:pPr>
        <w:pStyle w:val="153"/>
        <w:tabs>
          <w:tab w:val="left" w:pos="1069"/>
        </w:tabs>
        <w:spacing w:line="380" w:lineRule="exact"/>
        <w:ind w:firstLine="210" w:firstLineChars="100"/>
        <w:rPr>
          <w:szCs w:val="21"/>
        </w:rPr>
      </w:pPr>
      <w:bookmarkStart w:id="177" w:name="bookmark70"/>
      <w:bookmarkEnd w:id="177"/>
      <w:r>
        <w:rPr>
          <w:rFonts w:hint="eastAsia"/>
          <w:szCs w:val="21"/>
          <w:lang w:eastAsia="zh-CN"/>
        </w:rPr>
        <w:t>（</w:t>
      </w:r>
      <w:r>
        <w:rPr>
          <w:rFonts w:hint="eastAsia"/>
          <w:szCs w:val="21"/>
          <w:lang w:val="en-US" w:eastAsia="zh-CN"/>
        </w:rPr>
        <w:t>3</w:t>
      </w:r>
      <w:r>
        <w:rPr>
          <w:rFonts w:hint="eastAsia"/>
          <w:szCs w:val="21"/>
          <w:lang w:eastAsia="zh-CN"/>
        </w:rPr>
        <w:t>）</w:t>
      </w:r>
      <w:r>
        <w:rPr>
          <w:szCs w:val="21"/>
        </w:rPr>
        <w:t>维护：对轻质粉尘可用空气吹除或用软布擦净；对容易形成结垢的尘埃， 如喷漆雾粒、水泥粉等就不易清除，只能分批拆换喷头，集中清理，但不佗用酸 或碱溶液洗刷易熔元件洒水喷头，也不要用热水或热的溶液洗刷。</w:t>
      </w:r>
    </w:p>
    <w:p>
      <w:pPr>
        <w:pStyle w:val="153"/>
        <w:spacing w:line="380" w:lineRule="exact"/>
        <w:ind w:firstLine="840"/>
        <w:rPr>
          <w:szCs w:val="21"/>
        </w:rPr>
      </w:pPr>
      <w:bookmarkStart w:id="178" w:name="bookmark71"/>
      <w:r>
        <w:rPr>
          <w:rFonts w:ascii="Times New Roman" w:hAnsi="Times New Roman" w:eastAsia="Times New Roman" w:cs="Times New Roman"/>
          <w:szCs w:val="21"/>
        </w:rPr>
        <w:t>5</w:t>
      </w:r>
      <w:bookmarkEnd w:id="178"/>
      <w:r>
        <w:rPr>
          <w:szCs w:val="21"/>
        </w:rPr>
        <w:t>、管路系统的检查与维护方法</w:t>
      </w:r>
    </w:p>
    <w:p>
      <w:pPr>
        <w:pStyle w:val="153"/>
        <w:tabs>
          <w:tab w:val="left" w:pos="1069"/>
        </w:tabs>
        <w:spacing w:line="380" w:lineRule="exact"/>
        <w:ind w:firstLine="210" w:firstLineChars="100"/>
        <w:rPr>
          <w:szCs w:val="21"/>
        </w:rPr>
      </w:pPr>
      <w:bookmarkStart w:id="179" w:name="bookmark72"/>
      <w:bookmarkEnd w:id="179"/>
      <w:r>
        <w:rPr>
          <w:rFonts w:hint="eastAsia"/>
          <w:szCs w:val="21"/>
          <w:lang w:eastAsia="zh-CN"/>
        </w:rPr>
        <w:t>（</w:t>
      </w:r>
      <w:r>
        <w:rPr>
          <w:rFonts w:hint="eastAsia"/>
          <w:szCs w:val="21"/>
          <w:lang w:val="en-US" w:eastAsia="zh-CN"/>
        </w:rPr>
        <w:t>1</w:t>
      </w:r>
      <w:r>
        <w:rPr>
          <w:rFonts w:hint="eastAsia"/>
          <w:szCs w:val="21"/>
          <w:lang w:eastAsia="zh-CN"/>
        </w:rPr>
        <w:t>）</w:t>
      </w:r>
      <w:r>
        <w:rPr>
          <w:szCs w:val="21"/>
        </w:rPr>
        <w:t>外观检查：检查管道有无机械损伤、油漆脱落、锈蚀等，管道固定是否 牢固，发现问题应及时处理；</w:t>
      </w:r>
    </w:p>
    <w:p>
      <w:pPr>
        <w:pStyle w:val="153"/>
        <w:tabs>
          <w:tab w:val="left" w:pos="1069"/>
        </w:tabs>
        <w:spacing w:line="380" w:lineRule="exact"/>
        <w:ind w:firstLine="210" w:firstLineChars="100"/>
        <w:rPr>
          <w:szCs w:val="21"/>
        </w:rPr>
      </w:pPr>
      <w:bookmarkStart w:id="180" w:name="bookmark73"/>
      <w:bookmarkEnd w:id="180"/>
      <w:r>
        <w:rPr>
          <w:rFonts w:hint="eastAsia"/>
          <w:szCs w:val="21"/>
          <w:lang w:eastAsia="zh-CN"/>
        </w:rPr>
        <w:t>（</w:t>
      </w:r>
      <w:r>
        <w:rPr>
          <w:rFonts w:hint="eastAsia"/>
          <w:szCs w:val="21"/>
          <w:lang w:val="en-US" w:eastAsia="zh-CN"/>
        </w:rPr>
        <w:t>2</w:t>
      </w:r>
      <w:r>
        <w:rPr>
          <w:rFonts w:hint="eastAsia"/>
          <w:szCs w:val="21"/>
          <w:lang w:eastAsia="zh-CN"/>
        </w:rPr>
        <w:t>）</w:t>
      </w:r>
      <w:r>
        <w:rPr>
          <w:szCs w:val="21"/>
        </w:rPr>
        <w:t>清除堵塞：自动喷水灭火系统管路中，可能因施工疏忽残留有砂、石、 木屑或水源带来的垃圾、铁锈等，这样会造成喷头堵塞、报警阀关闭不严、水力 警铃输水管堵塞等，从而影响灭火效果。如发现管路有沉积物，应进行冲洗；</w:t>
      </w:r>
    </w:p>
    <w:p>
      <w:pPr>
        <w:pStyle w:val="153"/>
        <w:tabs>
          <w:tab w:val="left" w:pos="1069"/>
        </w:tabs>
        <w:spacing w:line="380" w:lineRule="exact"/>
        <w:ind w:firstLine="210" w:firstLineChars="100"/>
        <w:rPr>
          <w:szCs w:val="21"/>
        </w:rPr>
      </w:pPr>
      <w:bookmarkStart w:id="181" w:name="bookmark74"/>
      <w:bookmarkEnd w:id="181"/>
      <w:r>
        <w:rPr>
          <w:rFonts w:hint="eastAsia"/>
          <w:szCs w:val="21"/>
          <w:lang w:eastAsia="zh-CN"/>
        </w:rPr>
        <w:t>（</w:t>
      </w:r>
      <w:r>
        <w:rPr>
          <w:rFonts w:hint="eastAsia"/>
          <w:szCs w:val="21"/>
          <w:lang w:val="en-US" w:eastAsia="zh-CN"/>
        </w:rPr>
        <w:t>3</w:t>
      </w:r>
      <w:r>
        <w:rPr>
          <w:rFonts w:hint="eastAsia"/>
          <w:szCs w:val="21"/>
          <w:lang w:eastAsia="zh-CN"/>
        </w:rPr>
        <w:t>）</w:t>
      </w:r>
      <w:r>
        <w:rPr>
          <w:szCs w:val="21"/>
        </w:rPr>
        <w:t>防漏措施：平时严禁将管子用作其他支撑；拆装喷头时必须按操作规程 应用合适的工具，切忌直接钳住喷头悬臂进行旋紧或拧松；管路的防腐涂层应视 情况而定，一般每隔3〜5年应重新涂刷一次。</w:t>
      </w:r>
    </w:p>
    <w:p>
      <w:pPr>
        <w:pStyle w:val="153"/>
        <w:tabs>
          <w:tab w:val="left" w:pos="1185"/>
        </w:tabs>
        <w:spacing w:line="380" w:lineRule="exact"/>
        <w:ind w:firstLine="760"/>
        <w:rPr>
          <w:szCs w:val="21"/>
        </w:rPr>
      </w:pPr>
      <w:bookmarkStart w:id="182" w:name="bookmark75"/>
      <w:r>
        <w:rPr>
          <w:rFonts w:ascii="Times New Roman" w:hAnsi="Times New Roman" w:eastAsia="Times New Roman" w:cs="Times New Roman"/>
          <w:szCs w:val="21"/>
        </w:rPr>
        <w:t>6</w:t>
      </w:r>
      <w:bookmarkEnd w:id="182"/>
      <w:r>
        <w:rPr>
          <w:szCs w:val="21"/>
        </w:rPr>
        <w:t>、</w:t>
      </w:r>
      <w:r>
        <w:rPr>
          <w:szCs w:val="21"/>
        </w:rPr>
        <w:tab/>
      </w:r>
      <w:r>
        <w:rPr>
          <w:szCs w:val="21"/>
        </w:rPr>
        <w:t>报警阀的检查与维护方法</w:t>
      </w:r>
    </w:p>
    <w:p>
      <w:pPr>
        <w:pStyle w:val="153"/>
        <w:tabs>
          <w:tab w:val="left" w:pos="1069"/>
        </w:tabs>
        <w:spacing w:line="380" w:lineRule="exact"/>
        <w:ind w:firstLine="210" w:firstLineChars="100"/>
        <w:rPr>
          <w:szCs w:val="21"/>
        </w:rPr>
      </w:pPr>
      <w:bookmarkStart w:id="183" w:name="bookmark76"/>
      <w:bookmarkEnd w:id="183"/>
      <w:r>
        <w:rPr>
          <w:rFonts w:hint="eastAsia"/>
          <w:szCs w:val="21"/>
          <w:lang w:eastAsia="zh-CN"/>
        </w:rPr>
        <w:t>（</w:t>
      </w:r>
      <w:r>
        <w:rPr>
          <w:rFonts w:hint="eastAsia"/>
          <w:szCs w:val="21"/>
          <w:lang w:val="en-US" w:eastAsia="zh-CN"/>
        </w:rPr>
        <w:t>1</w:t>
      </w:r>
      <w:r>
        <w:rPr>
          <w:rFonts w:hint="eastAsia"/>
          <w:szCs w:val="21"/>
          <w:lang w:eastAsia="zh-CN"/>
        </w:rPr>
        <w:t>）</w:t>
      </w:r>
      <w:r>
        <w:rPr>
          <w:szCs w:val="21"/>
        </w:rPr>
        <w:t>开阀试验：对报警阀应进行开阀试验，观察阀门开启性能和密封性能， 以及水力警铃、延迟器等性能。此试验可通过末端试验装置进行。如发现阀门开 启不畅或密封不严，可拆开阀门检查，视情况调换阀瓣密封件；</w:t>
      </w:r>
    </w:p>
    <w:p>
      <w:pPr>
        <w:pStyle w:val="153"/>
        <w:tabs>
          <w:tab w:val="left" w:pos="1069"/>
        </w:tabs>
        <w:spacing w:line="380" w:lineRule="exact"/>
        <w:ind w:firstLine="210" w:firstLineChars="100"/>
        <w:rPr>
          <w:szCs w:val="21"/>
        </w:rPr>
      </w:pPr>
      <w:bookmarkStart w:id="184" w:name="bookmark77"/>
      <w:bookmarkEnd w:id="184"/>
      <w:r>
        <w:rPr>
          <w:rFonts w:hint="eastAsia"/>
          <w:szCs w:val="21"/>
          <w:lang w:eastAsia="zh-CN"/>
        </w:rPr>
        <w:t>（</w:t>
      </w:r>
      <w:r>
        <w:rPr>
          <w:rFonts w:hint="eastAsia"/>
          <w:szCs w:val="21"/>
          <w:lang w:val="en-US" w:eastAsia="zh-CN"/>
        </w:rPr>
        <w:t>2</w:t>
      </w:r>
      <w:r>
        <w:rPr>
          <w:rFonts w:hint="eastAsia"/>
          <w:szCs w:val="21"/>
          <w:lang w:eastAsia="zh-CN"/>
        </w:rPr>
        <w:t>）</w:t>
      </w:r>
      <w:r>
        <w:rPr>
          <w:szCs w:val="21"/>
        </w:rPr>
        <w:t>对安装的压力表要定期检査。检査报警阀前、后压力表指示是否正常。</w:t>
      </w:r>
    </w:p>
    <w:p>
      <w:pPr>
        <w:pStyle w:val="153"/>
        <w:tabs>
          <w:tab w:val="left" w:pos="1185"/>
        </w:tabs>
        <w:spacing w:line="380" w:lineRule="exact"/>
        <w:ind w:firstLine="760"/>
        <w:rPr>
          <w:szCs w:val="21"/>
        </w:rPr>
      </w:pPr>
      <w:bookmarkStart w:id="185" w:name="bookmark78"/>
      <w:r>
        <w:rPr>
          <w:rFonts w:ascii="Times New Roman" w:hAnsi="Times New Roman" w:eastAsia="Times New Roman" w:cs="Times New Roman"/>
          <w:szCs w:val="21"/>
        </w:rPr>
        <w:t>7</w:t>
      </w:r>
      <w:bookmarkEnd w:id="185"/>
      <w:r>
        <w:rPr>
          <w:szCs w:val="21"/>
        </w:rPr>
        <w:t>、</w:t>
      </w:r>
      <w:r>
        <w:rPr>
          <w:szCs w:val="21"/>
        </w:rPr>
        <w:tab/>
      </w:r>
      <w:r>
        <w:rPr>
          <w:szCs w:val="21"/>
        </w:rPr>
        <w:t>水源及水泵的检查与维护</w:t>
      </w:r>
    </w:p>
    <w:p>
      <w:pPr>
        <w:pStyle w:val="153"/>
        <w:tabs>
          <w:tab w:val="left" w:pos="1069"/>
        </w:tabs>
        <w:spacing w:line="380" w:lineRule="exact"/>
        <w:ind w:firstLine="210" w:firstLineChars="100"/>
        <w:rPr>
          <w:szCs w:val="21"/>
        </w:rPr>
      </w:pPr>
      <w:bookmarkStart w:id="186" w:name="bookmark79"/>
      <w:bookmarkEnd w:id="186"/>
      <w:r>
        <w:rPr>
          <w:rFonts w:hint="eastAsia"/>
          <w:szCs w:val="21"/>
          <w:lang w:eastAsia="zh-CN"/>
        </w:rPr>
        <w:t>（</w:t>
      </w:r>
      <w:r>
        <w:rPr>
          <w:rFonts w:hint="eastAsia"/>
          <w:szCs w:val="21"/>
          <w:lang w:val="en-US" w:eastAsia="zh-CN"/>
        </w:rPr>
        <w:t>1</w:t>
      </w:r>
      <w:r>
        <w:rPr>
          <w:rFonts w:hint="eastAsia"/>
          <w:szCs w:val="21"/>
          <w:lang w:eastAsia="zh-CN"/>
        </w:rPr>
        <w:t>）</w:t>
      </w:r>
      <w:r>
        <w:rPr>
          <w:szCs w:val="21"/>
        </w:rPr>
        <w:t>检查消防水池的水位能否保持消防用水量：水位标尺是否正常工作：水 池各种阀门是否处于正常状态；有无受冻的可能。</w:t>
      </w:r>
    </w:p>
    <w:p>
      <w:pPr>
        <w:pStyle w:val="153"/>
        <w:tabs>
          <w:tab w:val="left" w:pos="1069"/>
        </w:tabs>
        <w:spacing w:line="380" w:lineRule="exact"/>
        <w:ind w:firstLine="210" w:firstLineChars="100"/>
        <w:rPr>
          <w:szCs w:val="21"/>
        </w:rPr>
      </w:pPr>
      <w:bookmarkStart w:id="187" w:name="bookmark80"/>
      <w:bookmarkEnd w:id="187"/>
      <w:r>
        <w:rPr>
          <w:rFonts w:hint="eastAsia"/>
          <w:szCs w:val="21"/>
          <w:lang w:eastAsia="zh-CN"/>
        </w:rPr>
        <w:t>（</w:t>
      </w:r>
      <w:r>
        <w:rPr>
          <w:rFonts w:hint="eastAsia"/>
          <w:szCs w:val="21"/>
          <w:lang w:val="en-US" w:eastAsia="zh-CN"/>
        </w:rPr>
        <w:t>2</w:t>
      </w:r>
      <w:r>
        <w:rPr>
          <w:rFonts w:hint="eastAsia"/>
          <w:szCs w:val="21"/>
          <w:lang w:eastAsia="zh-CN"/>
        </w:rPr>
        <w:t>）</w:t>
      </w:r>
      <w:r>
        <w:rPr>
          <w:szCs w:val="21"/>
        </w:rPr>
        <w:t>检査消防水箱的水量能否满足要求；消防气压给水装置能否保证水量和 水压；自动控制系统能否正常工作。</w:t>
      </w:r>
      <w:bookmarkStart w:id="188" w:name="bookmark81"/>
      <w:bookmarkEnd w:id="188"/>
      <w:r>
        <w:rPr>
          <w:szCs w:val="21"/>
        </w:rPr>
        <w:t>检查消防水泵能否正常运转，流量和压力能否保证；消防水泵的动力是否可靠；电力上有无保证不间断供电设施，其性能是否良好；内燃机的储油量是否充足。</w:t>
      </w:r>
    </w:p>
    <w:p>
      <w:pPr>
        <w:pStyle w:val="153"/>
        <w:tabs>
          <w:tab w:val="left" w:pos="1069"/>
        </w:tabs>
        <w:spacing w:line="380" w:lineRule="exact"/>
        <w:ind w:firstLine="210" w:firstLineChars="100"/>
        <w:rPr>
          <w:szCs w:val="21"/>
        </w:rPr>
      </w:pPr>
      <w:bookmarkStart w:id="189" w:name="bookmark82"/>
      <w:bookmarkEnd w:id="189"/>
      <w:r>
        <w:rPr>
          <w:rFonts w:hint="eastAsia"/>
          <w:szCs w:val="21"/>
          <w:lang w:eastAsia="zh-CN"/>
        </w:rPr>
        <w:t>（</w:t>
      </w:r>
      <w:r>
        <w:rPr>
          <w:rFonts w:hint="eastAsia"/>
          <w:szCs w:val="21"/>
          <w:lang w:val="en-US" w:eastAsia="zh-CN"/>
        </w:rPr>
        <w:t>3</w:t>
      </w:r>
      <w:r>
        <w:rPr>
          <w:rFonts w:hint="eastAsia"/>
          <w:szCs w:val="21"/>
          <w:lang w:eastAsia="zh-CN"/>
        </w:rPr>
        <w:t>）</w:t>
      </w:r>
      <w:r>
        <w:rPr>
          <w:szCs w:val="21"/>
        </w:rPr>
        <w:t>检查消防水泵接合器是否正常，附近的室外消火栓使用是否便利。</w:t>
      </w:r>
    </w:p>
    <w:p>
      <w:pPr>
        <w:pStyle w:val="153"/>
        <w:tabs>
          <w:tab w:val="left" w:pos="1146"/>
        </w:tabs>
        <w:spacing w:line="380" w:lineRule="exact"/>
        <w:rPr>
          <w:szCs w:val="21"/>
        </w:rPr>
      </w:pPr>
      <w:bookmarkStart w:id="190" w:name="bookmark83"/>
      <w:r>
        <w:rPr>
          <w:rFonts w:ascii="Times New Roman" w:hAnsi="Times New Roman" w:eastAsia="Times New Roman" w:cs="Times New Roman"/>
          <w:szCs w:val="21"/>
        </w:rPr>
        <w:t>8</w:t>
      </w:r>
      <w:bookmarkEnd w:id="190"/>
      <w:r>
        <w:rPr>
          <w:szCs w:val="21"/>
        </w:rPr>
        <w:t>、系统功能检查与维护</w:t>
      </w:r>
    </w:p>
    <w:p>
      <w:pPr>
        <w:pStyle w:val="153"/>
        <w:spacing w:line="380" w:lineRule="exact"/>
        <w:ind w:firstLine="580"/>
        <w:rPr>
          <w:szCs w:val="21"/>
        </w:rPr>
      </w:pPr>
      <w:r>
        <w:rPr>
          <w:szCs w:val="21"/>
        </w:rPr>
        <w:t>应按照各类系统的设计规定，通过末端试验装置喷水试验，对系统功能进行 检查，即检查各种组件在火灾状态时，能否按设计要求动作，火灾报警设备是否 正常。如发现系统有不正常的部件时，应及时进行维修，直到系统全部功能正常。</w:t>
      </w:r>
    </w:p>
    <w:p>
      <w:pPr>
        <w:pStyle w:val="153"/>
        <w:tabs>
          <w:tab w:val="left" w:pos="926"/>
        </w:tabs>
        <w:spacing w:line="380" w:lineRule="exact"/>
        <w:ind w:firstLine="520"/>
        <w:rPr>
          <w:szCs w:val="21"/>
        </w:rPr>
      </w:pPr>
      <w:bookmarkStart w:id="191" w:name="bookmark84"/>
      <w:r>
        <w:rPr>
          <w:rFonts w:ascii="Times New Roman" w:hAnsi="Times New Roman" w:eastAsia="Times New Roman" w:cs="Times New Roman"/>
          <w:szCs w:val="21"/>
        </w:rPr>
        <w:t>9</w:t>
      </w:r>
      <w:bookmarkEnd w:id="191"/>
      <w:r>
        <w:rPr>
          <w:szCs w:val="21"/>
        </w:rPr>
        <w:t>、</w:t>
      </w:r>
      <w:r>
        <w:rPr>
          <w:szCs w:val="21"/>
        </w:rPr>
        <w:tab/>
      </w:r>
      <w:r>
        <w:rPr>
          <w:szCs w:val="21"/>
        </w:rPr>
        <w:t>使用环境检査与维护</w:t>
      </w:r>
    </w:p>
    <w:p>
      <w:pPr>
        <w:pStyle w:val="153"/>
        <w:spacing w:line="380" w:lineRule="exact"/>
        <w:ind w:firstLine="580"/>
        <w:rPr>
          <w:szCs w:val="21"/>
        </w:rPr>
      </w:pPr>
      <w:r>
        <w:rPr>
          <w:szCs w:val="21"/>
        </w:rPr>
        <w:t>使用环境及保护对象被人为地作了不恰当的改变，往往会成为对系统功能的 损害因素。例如在仓库内货物堆放高度不适当地增大而阻挡了喷头的喷洒范围； 喷头被刷漆而延迟了动作灵敏度等，因而对使用环境和条件要定期检查，不符合 要求的要改正。</w:t>
      </w:r>
    </w:p>
    <w:p>
      <w:pPr>
        <w:pStyle w:val="153"/>
        <w:spacing w:line="380" w:lineRule="exact"/>
        <w:ind w:firstLine="520"/>
        <w:jc w:val="center"/>
        <w:rPr>
          <w:szCs w:val="21"/>
        </w:rPr>
      </w:pPr>
      <w:r>
        <w:rPr>
          <w:szCs w:val="21"/>
        </w:rPr>
        <w:br w:type="page"/>
      </w:r>
      <w:r>
        <w:rPr>
          <w:b/>
          <w:bCs/>
          <w:szCs w:val="21"/>
        </w:rPr>
        <w:t>防排烟系统日常检査、维护管理</w:t>
      </w:r>
    </w:p>
    <w:p>
      <w:pPr>
        <w:pStyle w:val="153"/>
        <w:spacing w:line="380" w:lineRule="exact"/>
        <w:rPr>
          <w:szCs w:val="21"/>
        </w:rPr>
      </w:pPr>
      <w:r>
        <w:rPr>
          <w:rFonts w:ascii="Times New Roman" w:hAnsi="Times New Roman" w:eastAsia="Times New Roman" w:cs="Times New Roman"/>
          <w:szCs w:val="21"/>
        </w:rPr>
        <w:t>1</w:t>
      </w:r>
      <w:r>
        <w:rPr>
          <w:szCs w:val="21"/>
        </w:rPr>
        <w:t>、外观检查</w:t>
      </w:r>
    </w:p>
    <w:p>
      <w:pPr>
        <w:pStyle w:val="153"/>
        <w:tabs>
          <w:tab w:val="left" w:pos="1069"/>
        </w:tabs>
        <w:spacing w:line="380" w:lineRule="exact"/>
        <w:ind w:firstLine="210" w:firstLineChars="100"/>
        <w:rPr>
          <w:szCs w:val="21"/>
        </w:rPr>
      </w:pPr>
      <w:bookmarkStart w:id="192" w:name="bookmark85"/>
      <w:bookmarkEnd w:id="192"/>
      <w:r>
        <w:rPr>
          <w:rFonts w:hint="eastAsia"/>
          <w:szCs w:val="21"/>
          <w:lang w:eastAsia="zh-CN"/>
        </w:rPr>
        <w:t>（</w:t>
      </w:r>
      <w:r>
        <w:rPr>
          <w:rFonts w:hint="eastAsia"/>
          <w:szCs w:val="21"/>
          <w:lang w:val="en-US" w:eastAsia="zh-CN"/>
        </w:rPr>
        <w:t>1</w:t>
      </w:r>
      <w:r>
        <w:rPr>
          <w:rFonts w:hint="eastAsia"/>
          <w:szCs w:val="21"/>
          <w:lang w:eastAsia="zh-CN"/>
        </w:rPr>
        <w:t>）</w:t>
      </w:r>
      <w:r>
        <w:rPr>
          <w:szCs w:val="21"/>
        </w:rPr>
        <w:t>吸烟口有无变形、损伤，周围有无影响吸烟的障碍；</w:t>
      </w:r>
    </w:p>
    <w:p>
      <w:pPr>
        <w:pStyle w:val="153"/>
        <w:tabs>
          <w:tab w:val="left" w:pos="1069"/>
        </w:tabs>
        <w:spacing w:line="380" w:lineRule="exact"/>
        <w:ind w:firstLine="210" w:firstLineChars="100"/>
        <w:rPr>
          <w:szCs w:val="21"/>
        </w:rPr>
      </w:pPr>
      <w:bookmarkStart w:id="193" w:name="bookmark86"/>
      <w:bookmarkEnd w:id="193"/>
      <w:r>
        <w:rPr>
          <w:rFonts w:hint="eastAsia"/>
          <w:szCs w:val="21"/>
          <w:lang w:eastAsia="zh-CN"/>
        </w:rPr>
        <w:t>（</w:t>
      </w:r>
      <w:r>
        <w:rPr>
          <w:rFonts w:hint="eastAsia"/>
          <w:szCs w:val="21"/>
          <w:lang w:val="en-US" w:eastAsia="zh-CN"/>
        </w:rPr>
        <w:t>2</w:t>
      </w:r>
      <w:r>
        <w:rPr>
          <w:rFonts w:hint="eastAsia"/>
          <w:szCs w:val="21"/>
          <w:lang w:eastAsia="zh-CN"/>
        </w:rPr>
        <w:t>）</w:t>
      </w:r>
      <w:r>
        <w:rPr>
          <w:szCs w:val="21"/>
        </w:rPr>
        <w:t>用于自动启动装置的感烟(感温)探测器有无变形、损伤，安装是否松动 脱落。手动启动装置的操作箱有无变形、损伤：手柄、操作杆等有无损伤、脱落： 操作部位标志有无破损、脏污、脱落，有无使用方法的说明；</w:t>
      </w:r>
    </w:p>
    <w:p>
      <w:pPr>
        <w:pStyle w:val="153"/>
        <w:tabs>
          <w:tab w:val="left" w:pos="1069"/>
        </w:tabs>
        <w:spacing w:line="380" w:lineRule="exact"/>
        <w:ind w:firstLine="210" w:firstLineChars="100"/>
        <w:rPr>
          <w:szCs w:val="21"/>
        </w:rPr>
      </w:pPr>
      <w:bookmarkStart w:id="194" w:name="bookmark87"/>
      <w:bookmarkEnd w:id="194"/>
      <w:r>
        <w:rPr>
          <w:rFonts w:hint="eastAsia"/>
          <w:szCs w:val="21"/>
          <w:lang w:eastAsia="zh-CN"/>
        </w:rPr>
        <w:t>（</w:t>
      </w:r>
      <w:r>
        <w:rPr>
          <w:rFonts w:hint="eastAsia"/>
          <w:szCs w:val="21"/>
          <w:lang w:val="en-US" w:eastAsia="zh-CN"/>
        </w:rPr>
        <w:t>3</w:t>
      </w:r>
      <w:r>
        <w:rPr>
          <w:rFonts w:hint="eastAsia"/>
          <w:szCs w:val="21"/>
          <w:lang w:eastAsia="zh-CN"/>
        </w:rPr>
        <w:t>）</w:t>
      </w:r>
      <w:r>
        <w:rPr>
          <w:szCs w:val="21"/>
        </w:rPr>
        <w:t>风管有无变形、损伤，支撑是否松动；风管是否与可然物接触；</w:t>
      </w:r>
      <w:bookmarkStart w:id="195" w:name="bookmark88"/>
      <w:bookmarkEnd w:id="195"/>
    </w:p>
    <w:p>
      <w:pPr>
        <w:pStyle w:val="153"/>
        <w:tabs>
          <w:tab w:val="left" w:pos="1069"/>
        </w:tabs>
        <w:spacing w:line="380" w:lineRule="exact"/>
        <w:ind w:firstLine="210" w:firstLineChars="100"/>
        <w:rPr>
          <w:szCs w:val="21"/>
        </w:rPr>
      </w:pPr>
      <w:r>
        <w:rPr>
          <w:rFonts w:hint="eastAsia"/>
          <w:szCs w:val="21"/>
          <w:lang w:eastAsia="zh-CN"/>
        </w:rPr>
        <w:t>（</w:t>
      </w:r>
      <w:r>
        <w:rPr>
          <w:rFonts w:hint="eastAsia"/>
          <w:szCs w:val="21"/>
          <w:lang w:val="en-US" w:eastAsia="zh-CN"/>
        </w:rPr>
        <w:t>4</w:t>
      </w:r>
      <w:r>
        <w:rPr>
          <w:rFonts w:hint="eastAsia"/>
          <w:szCs w:val="21"/>
          <w:lang w:eastAsia="zh-CN"/>
        </w:rPr>
        <w:t>）</w:t>
      </w:r>
      <w:r>
        <w:rPr>
          <w:szCs w:val="21"/>
        </w:rPr>
        <w:t>送风、排烟风机</w:t>
      </w:r>
    </w:p>
    <w:p>
      <w:pPr>
        <w:pStyle w:val="153"/>
        <w:tabs>
          <w:tab w:val="left" w:pos="970"/>
        </w:tabs>
        <w:spacing w:line="380" w:lineRule="exact"/>
        <w:ind w:firstLine="0"/>
        <w:rPr>
          <w:szCs w:val="21"/>
        </w:rPr>
      </w:pPr>
      <w:bookmarkStart w:id="196" w:name="bookmark89"/>
      <w:bookmarkEnd w:id="196"/>
      <w:r>
        <w:rPr>
          <w:szCs w:val="21"/>
        </w:rPr>
        <w:t>周围有无可燃物；安装螺栓是否松动、损伤；</w:t>
      </w:r>
    </w:p>
    <w:p>
      <w:pPr>
        <w:pStyle w:val="153"/>
        <w:tabs>
          <w:tab w:val="left" w:pos="970"/>
        </w:tabs>
        <w:spacing w:line="380" w:lineRule="exact"/>
        <w:ind w:firstLine="0"/>
        <w:rPr>
          <w:szCs w:val="21"/>
        </w:rPr>
      </w:pPr>
      <w:bookmarkStart w:id="197" w:name="bookmark90"/>
      <w:bookmarkEnd w:id="197"/>
      <w:r>
        <w:rPr>
          <w:szCs w:val="21"/>
        </w:rPr>
        <w:t>传动机构是否变形、损伤；叶轮是否与外壳接触；</w:t>
      </w:r>
    </w:p>
    <w:p>
      <w:pPr>
        <w:pStyle w:val="153"/>
        <w:tabs>
          <w:tab w:val="left" w:pos="970"/>
        </w:tabs>
        <w:spacing w:line="380" w:lineRule="exact"/>
        <w:ind w:firstLine="0"/>
        <w:rPr>
          <w:szCs w:val="21"/>
        </w:rPr>
      </w:pPr>
      <w:bookmarkStart w:id="198" w:name="bookmark91"/>
      <w:bookmarkEnd w:id="198"/>
      <w:r>
        <w:rPr>
          <w:szCs w:val="21"/>
        </w:rPr>
        <w:t>电动机的接线是否松动：电动机的外壳有无腐蚀现象；</w:t>
      </w:r>
    </w:p>
    <w:p>
      <w:pPr>
        <w:pStyle w:val="153"/>
        <w:tabs>
          <w:tab w:val="left" w:pos="970"/>
        </w:tabs>
        <w:spacing w:line="380" w:lineRule="exact"/>
        <w:ind w:firstLine="0"/>
        <w:rPr>
          <w:szCs w:val="21"/>
        </w:rPr>
      </w:pPr>
      <w:bookmarkStart w:id="199" w:name="bookmark92"/>
      <w:bookmarkEnd w:id="199"/>
      <w:r>
        <w:rPr>
          <w:szCs w:val="21"/>
        </w:rPr>
        <w:t>电源的供电是否正常(检査电压表或电源指示灯)</w:t>
      </w:r>
      <w:r>
        <w:rPr>
          <w:rFonts w:ascii="Times New Roman" w:hAnsi="Times New Roman" w:eastAsia="Times New Roman" w:cs="Times New Roman"/>
          <w:szCs w:val="21"/>
        </w:rPr>
        <w:t>0</w:t>
      </w:r>
    </w:p>
    <w:p>
      <w:pPr>
        <w:pStyle w:val="153"/>
        <w:tabs>
          <w:tab w:val="left" w:pos="948"/>
        </w:tabs>
        <w:spacing w:line="380" w:lineRule="exact"/>
        <w:ind w:firstLine="0"/>
        <w:rPr>
          <w:szCs w:val="21"/>
        </w:rPr>
      </w:pPr>
      <w:bookmarkStart w:id="200" w:name="bookmark93"/>
      <w:bookmarkEnd w:id="200"/>
      <w:r>
        <w:rPr>
          <w:rFonts w:hint="eastAsia"/>
          <w:szCs w:val="21"/>
          <w:lang w:eastAsia="zh-CN"/>
        </w:rPr>
        <w:t>（</w:t>
      </w:r>
      <w:r>
        <w:rPr>
          <w:rFonts w:hint="eastAsia"/>
          <w:szCs w:val="21"/>
          <w:lang w:val="en-US" w:eastAsia="zh-CN"/>
        </w:rPr>
        <w:t>5</w:t>
      </w:r>
      <w:r>
        <w:rPr>
          <w:rFonts w:hint="eastAsia"/>
          <w:szCs w:val="21"/>
          <w:lang w:eastAsia="zh-CN"/>
        </w:rPr>
        <w:t>）</w:t>
      </w:r>
      <w:r>
        <w:rPr>
          <w:szCs w:val="21"/>
        </w:rPr>
        <w:t>排烟口</w:t>
      </w:r>
    </w:p>
    <w:p>
      <w:pPr>
        <w:pStyle w:val="153"/>
        <w:tabs>
          <w:tab w:val="left" w:pos="970"/>
        </w:tabs>
        <w:spacing w:line="380" w:lineRule="exact"/>
        <w:ind w:firstLine="0"/>
        <w:rPr>
          <w:szCs w:val="21"/>
        </w:rPr>
      </w:pPr>
      <w:bookmarkStart w:id="201" w:name="bookmark94"/>
      <w:bookmarkEnd w:id="201"/>
      <w:r>
        <w:rPr>
          <w:szCs w:val="21"/>
        </w:rPr>
        <w:t>风机与排烟口连接部位的法兰有无损伤，螺栓是否松动；</w:t>
      </w:r>
    </w:p>
    <w:p>
      <w:pPr>
        <w:pStyle w:val="153"/>
        <w:tabs>
          <w:tab w:val="left" w:pos="914"/>
        </w:tabs>
        <w:spacing w:line="380" w:lineRule="exact"/>
        <w:ind w:firstLine="0"/>
        <w:rPr>
          <w:szCs w:val="21"/>
        </w:rPr>
      </w:pPr>
      <w:bookmarkStart w:id="202" w:name="bookmark95"/>
      <w:bookmarkEnd w:id="202"/>
      <w:r>
        <w:rPr>
          <w:szCs w:val="21"/>
        </w:rPr>
        <w:t>雨淋部分有无锈蚀、损伤；</w:t>
      </w:r>
    </w:p>
    <w:p>
      <w:pPr>
        <w:pStyle w:val="153"/>
        <w:tabs>
          <w:tab w:val="left" w:pos="919"/>
        </w:tabs>
        <w:spacing w:line="380" w:lineRule="exact"/>
        <w:ind w:firstLine="0"/>
        <w:rPr>
          <w:szCs w:val="21"/>
        </w:rPr>
      </w:pPr>
      <w:bookmarkStart w:id="203" w:name="bookmark96"/>
      <w:bookmarkEnd w:id="203"/>
      <w:r>
        <w:rPr>
          <w:szCs w:val="21"/>
        </w:rPr>
        <w:t>排烟口周围有无影响烟气排出的障碍。</w:t>
      </w:r>
    </w:p>
    <w:p>
      <w:pPr>
        <w:pStyle w:val="153"/>
        <w:spacing w:line="380" w:lineRule="exact"/>
        <w:rPr>
          <w:szCs w:val="21"/>
        </w:rPr>
      </w:pPr>
      <w:r>
        <w:rPr>
          <w:rFonts w:ascii="Times New Roman" w:hAnsi="Times New Roman" w:eastAsia="Times New Roman" w:cs="Times New Roman"/>
          <w:szCs w:val="21"/>
          <w:lang w:val="zh-CN" w:eastAsia="zh-CN" w:bidi="zh-CN"/>
        </w:rPr>
        <w:t>2</w:t>
      </w:r>
      <w:r>
        <w:rPr>
          <w:szCs w:val="21"/>
          <w:lang w:val="zh-CN" w:eastAsia="zh-CN" w:bidi="zh-CN"/>
        </w:rPr>
        <w:t>、</w:t>
      </w:r>
      <w:r>
        <w:rPr>
          <w:szCs w:val="21"/>
        </w:rPr>
        <w:t>性能检查</w:t>
      </w:r>
    </w:p>
    <w:p>
      <w:pPr>
        <w:pStyle w:val="153"/>
        <w:spacing w:line="380" w:lineRule="exact"/>
        <w:ind w:firstLine="880"/>
        <w:rPr>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吸烟口</w:t>
      </w:r>
    </w:p>
    <w:p>
      <w:pPr>
        <w:pStyle w:val="153"/>
        <w:tabs>
          <w:tab w:val="left" w:pos="1320"/>
        </w:tabs>
        <w:spacing w:line="380" w:lineRule="exact"/>
        <w:ind w:firstLine="0"/>
        <w:rPr>
          <w:szCs w:val="21"/>
        </w:rPr>
      </w:pPr>
      <w:bookmarkStart w:id="204" w:name="bookmark97"/>
      <w:bookmarkEnd w:id="204"/>
      <w:r>
        <w:rPr>
          <w:szCs w:val="21"/>
        </w:rPr>
        <w:t>进行手动启闭操作，检查是否可完全打开（与排烟风机联动时，应停止联动机构的动作）；</w:t>
      </w:r>
    </w:p>
    <w:p>
      <w:pPr>
        <w:pStyle w:val="153"/>
        <w:tabs>
          <w:tab w:val="left" w:pos="1320"/>
        </w:tabs>
        <w:spacing w:line="380" w:lineRule="exact"/>
        <w:ind w:firstLine="0"/>
        <w:rPr>
          <w:szCs w:val="21"/>
        </w:rPr>
      </w:pPr>
      <w:bookmarkStart w:id="205" w:name="bookmark98"/>
      <w:bookmarkEnd w:id="205"/>
      <w:r>
        <w:rPr>
          <w:szCs w:val="21"/>
        </w:rPr>
        <w:t>吸烟口架、操作盘、排烟阀及安装架是否锈蚀、有无杂物粘附；</w:t>
      </w:r>
    </w:p>
    <w:p>
      <w:pPr>
        <w:pStyle w:val="153"/>
        <w:tabs>
          <w:tab w:val="left" w:pos="1320"/>
        </w:tabs>
        <w:spacing w:line="380" w:lineRule="exact"/>
        <w:ind w:firstLine="0"/>
        <w:rPr>
          <w:szCs w:val="21"/>
        </w:rPr>
      </w:pPr>
      <w:bookmarkStart w:id="206" w:name="bookmark99"/>
      <w:bookmarkEnd w:id="206"/>
      <w:r>
        <w:rPr>
          <w:szCs w:val="21"/>
        </w:rPr>
        <w:t>旋转机构是否灵活，是否完全打开；</w:t>
      </w:r>
    </w:p>
    <w:p>
      <w:pPr>
        <w:pStyle w:val="153"/>
        <w:tabs>
          <w:tab w:val="left" w:pos="1320"/>
        </w:tabs>
        <w:spacing w:line="380" w:lineRule="exact"/>
        <w:ind w:firstLine="0"/>
        <w:rPr>
          <w:szCs w:val="21"/>
        </w:rPr>
      </w:pPr>
      <w:bookmarkStart w:id="207" w:name="bookmark100"/>
      <w:bookmarkEnd w:id="207"/>
      <w:r>
        <w:rPr>
          <w:szCs w:val="21"/>
        </w:rPr>
        <w:t>制动机构、限位器是否符合要求；</w:t>
      </w:r>
    </w:p>
    <w:p>
      <w:pPr>
        <w:pStyle w:val="153"/>
        <w:tabs>
          <w:tab w:val="left" w:pos="1325"/>
        </w:tabs>
        <w:spacing w:line="380" w:lineRule="exact"/>
        <w:ind w:firstLine="0"/>
        <w:rPr>
          <w:szCs w:val="21"/>
        </w:rPr>
      </w:pPr>
      <w:bookmarkStart w:id="208" w:name="bookmark101"/>
      <w:bookmarkEnd w:id="208"/>
      <w:r>
        <w:rPr>
          <w:szCs w:val="21"/>
        </w:rPr>
        <w:t>关闭部位是否生锈、粘附灰尘。</w:t>
      </w:r>
    </w:p>
    <w:p>
      <w:pPr>
        <w:pStyle w:val="122"/>
        <w:tabs>
          <w:tab w:val="left" w:pos="1234"/>
        </w:tabs>
        <w:spacing w:after="0" w:line="380" w:lineRule="exact"/>
        <w:ind w:firstLine="760"/>
        <w:rPr>
          <w:szCs w:val="21"/>
        </w:rPr>
      </w:pPr>
      <w:r>
        <w:rPr>
          <w:rFonts w:hint="eastAsia"/>
          <w:szCs w:val="21"/>
          <w:lang w:eastAsia="zh-CN"/>
        </w:rPr>
        <w:t>（</w:t>
      </w:r>
      <w:r>
        <w:rPr>
          <w:rFonts w:hint="eastAsia"/>
          <w:szCs w:val="21"/>
          <w:lang w:val="en-US" w:eastAsia="zh-CN"/>
        </w:rPr>
        <w:t>2</w:t>
      </w:r>
      <w:r>
        <w:rPr>
          <w:rFonts w:hint="eastAsia"/>
          <w:szCs w:val="21"/>
          <w:lang w:eastAsia="zh-CN"/>
        </w:rPr>
        <w:t>）</w:t>
      </w:r>
      <w:r>
        <w:rPr>
          <w:rFonts w:ascii="宋体" w:hAnsi="宋体" w:cs="宋体"/>
          <w:szCs w:val="21"/>
        </w:rPr>
        <w:t>风管</w:t>
      </w:r>
    </w:p>
    <w:p>
      <w:pPr>
        <w:pStyle w:val="153"/>
        <w:tabs>
          <w:tab w:val="left" w:pos="1325"/>
        </w:tabs>
        <w:spacing w:line="380" w:lineRule="exact"/>
        <w:ind w:firstLine="0"/>
        <w:rPr>
          <w:szCs w:val="21"/>
        </w:rPr>
      </w:pPr>
      <w:bookmarkStart w:id="209" w:name="bookmark103"/>
      <w:bookmarkEnd w:id="209"/>
      <w:r>
        <w:rPr>
          <w:szCs w:val="21"/>
        </w:rPr>
        <w:t>风管底部有无异物；</w:t>
      </w:r>
    </w:p>
    <w:p>
      <w:pPr>
        <w:pStyle w:val="153"/>
        <w:tabs>
          <w:tab w:val="left" w:pos="1325"/>
        </w:tabs>
        <w:spacing w:line="380" w:lineRule="exact"/>
        <w:ind w:firstLine="0"/>
        <w:rPr>
          <w:szCs w:val="21"/>
        </w:rPr>
      </w:pPr>
      <w:bookmarkStart w:id="210" w:name="bookmark104"/>
      <w:bookmarkEnd w:id="210"/>
      <w:r>
        <w:rPr>
          <w:szCs w:val="21"/>
        </w:rPr>
        <w:t>防火阀是否因涂漆、杂物粘附而影响启闭，安装部位是否松动；</w:t>
      </w:r>
    </w:p>
    <w:p>
      <w:pPr>
        <w:pStyle w:val="153"/>
        <w:tabs>
          <w:tab w:val="left" w:pos="1205"/>
        </w:tabs>
        <w:spacing w:line="380" w:lineRule="exact"/>
        <w:ind w:firstLine="0"/>
        <w:rPr>
          <w:szCs w:val="21"/>
        </w:rPr>
      </w:pPr>
      <w:bookmarkStart w:id="211" w:name="bookmark105"/>
      <w:bookmarkEnd w:id="211"/>
      <w:r>
        <w:rPr>
          <w:szCs w:val="21"/>
        </w:rPr>
        <w:t>连接部位是否漏烟。</w:t>
      </w:r>
    </w:p>
    <w:p>
      <w:pPr>
        <w:pStyle w:val="153"/>
        <w:tabs>
          <w:tab w:val="left" w:pos="1238"/>
        </w:tabs>
        <w:spacing w:line="380" w:lineRule="exact"/>
        <w:ind w:firstLine="760"/>
        <w:rPr>
          <w:szCs w:val="21"/>
        </w:rPr>
      </w:pPr>
      <w:r>
        <w:rPr>
          <w:rFonts w:hint="eastAsia"/>
          <w:szCs w:val="21"/>
          <w:lang w:eastAsia="zh-CN"/>
        </w:rPr>
        <w:t>（</w:t>
      </w:r>
      <w:r>
        <w:rPr>
          <w:rFonts w:hint="eastAsia"/>
          <w:szCs w:val="21"/>
          <w:lang w:val="en-US" w:eastAsia="zh-CN"/>
        </w:rPr>
        <w:t>3</w:t>
      </w:r>
      <w:r>
        <w:rPr>
          <w:rFonts w:hint="eastAsia"/>
          <w:szCs w:val="21"/>
          <w:lang w:eastAsia="zh-CN"/>
        </w:rPr>
        <w:t>）</w:t>
      </w:r>
      <w:r>
        <w:rPr>
          <w:szCs w:val="21"/>
        </w:rPr>
        <w:t>启动装置</w:t>
      </w:r>
    </w:p>
    <w:p>
      <w:pPr>
        <w:pStyle w:val="153"/>
        <w:tabs>
          <w:tab w:val="left" w:pos="1205"/>
        </w:tabs>
        <w:spacing w:line="380" w:lineRule="exact"/>
        <w:ind w:firstLine="0"/>
        <w:rPr>
          <w:szCs w:val="21"/>
        </w:rPr>
      </w:pPr>
      <w:bookmarkStart w:id="212" w:name="bookmark107"/>
      <w:bookmarkEnd w:id="212"/>
      <w:r>
        <w:rPr>
          <w:szCs w:val="21"/>
        </w:rPr>
        <w:t>打开启动盘，检查内部有无变形、损伤及动作异常，用万用表检查电源情况，是否有影响送风（排烟）风机启动的电压下降情况；</w:t>
      </w:r>
    </w:p>
    <w:p>
      <w:pPr>
        <w:pStyle w:val="153"/>
        <w:tabs>
          <w:tab w:val="left" w:pos="1205"/>
        </w:tabs>
        <w:spacing w:line="380" w:lineRule="exact"/>
        <w:ind w:firstLine="0"/>
        <w:rPr>
          <w:szCs w:val="21"/>
        </w:rPr>
      </w:pPr>
      <w:bookmarkStart w:id="213" w:name="bookmark108"/>
      <w:bookmarkEnd w:id="213"/>
      <w:r>
        <w:rPr>
          <w:szCs w:val="21"/>
        </w:rPr>
        <w:t>开关类有无变形、损伤、脱落，开关位置是否正常；接线端子是否松动、脱落；</w:t>
      </w:r>
    </w:p>
    <w:p>
      <w:pPr>
        <w:pStyle w:val="153"/>
        <w:tabs>
          <w:tab w:val="left" w:pos="1210"/>
        </w:tabs>
        <w:spacing w:line="380" w:lineRule="exact"/>
        <w:ind w:firstLine="0"/>
        <w:rPr>
          <w:szCs w:val="21"/>
        </w:rPr>
      </w:pPr>
      <w:bookmarkStart w:id="214" w:name="bookmark109"/>
      <w:bookmarkEnd w:id="214"/>
      <w:r>
        <w:rPr>
          <w:szCs w:val="21"/>
        </w:rPr>
        <w:t>保险丝的容量是否符合送风（排烟）风机的性能要求，是否损伤、脱落，有无备件；</w:t>
      </w:r>
    </w:p>
    <w:p>
      <w:pPr>
        <w:pStyle w:val="153"/>
        <w:tabs>
          <w:tab w:val="left" w:pos="1214"/>
        </w:tabs>
        <w:spacing w:line="380" w:lineRule="exact"/>
        <w:ind w:firstLine="0"/>
        <w:rPr>
          <w:szCs w:val="21"/>
        </w:rPr>
      </w:pPr>
      <w:bookmarkStart w:id="215" w:name="bookmark110"/>
      <w:bookmarkEnd w:id="215"/>
      <w:r>
        <w:rPr>
          <w:szCs w:val="21"/>
        </w:rPr>
        <w:t>继电器是否脱落、端子是否松动、接点是否烧损、有无灰尘粘附，动作是否正常；</w:t>
      </w:r>
    </w:p>
    <w:p>
      <w:pPr>
        <w:pStyle w:val="134"/>
        <w:tabs>
          <w:tab w:val="left" w:pos="1194"/>
        </w:tabs>
        <w:spacing w:after="0" w:line="380" w:lineRule="exact"/>
        <w:ind w:firstLine="0"/>
        <w:rPr>
          <w:sz w:val="21"/>
          <w:szCs w:val="21"/>
        </w:rPr>
      </w:pPr>
      <w:bookmarkStart w:id="216" w:name="bookmark111"/>
      <w:bookmarkEnd w:id="216"/>
      <w:r>
        <w:rPr>
          <w:sz w:val="21"/>
          <w:szCs w:val="21"/>
        </w:rPr>
        <w:t>导线连接是否牢固，有无脱落。</w:t>
      </w:r>
    </w:p>
    <w:p>
      <w:pPr>
        <w:pStyle w:val="134"/>
        <w:tabs>
          <w:tab w:val="left" w:pos="1093"/>
        </w:tabs>
        <w:spacing w:after="0" w:line="380" w:lineRule="exact"/>
        <w:ind w:firstLine="600"/>
        <w:rPr>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sz w:val="21"/>
          <w:szCs w:val="21"/>
        </w:rPr>
        <w:t>自动启动装置的火灾探测器端子、引线是否断线、松动。</w:t>
      </w:r>
    </w:p>
    <w:p>
      <w:pPr>
        <w:pStyle w:val="134"/>
        <w:tabs>
          <w:tab w:val="left" w:pos="1093"/>
        </w:tabs>
        <w:spacing w:after="0" w:line="380" w:lineRule="exact"/>
        <w:ind w:firstLine="600"/>
        <w:rPr>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sz w:val="21"/>
          <w:szCs w:val="21"/>
        </w:rPr>
        <w:t>手动启动装置</w:t>
      </w:r>
    </w:p>
    <w:p>
      <w:pPr>
        <w:pStyle w:val="134"/>
        <w:tabs>
          <w:tab w:val="left" w:pos="1059"/>
        </w:tabs>
        <w:spacing w:after="0" w:line="380" w:lineRule="exact"/>
        <w:ind w:firstLine="0"/>
        <w:rPr>
          <w:sz w:val="21"/>
          <w:szCs w:val="21"/>
        </w:rPr>
      </w:pPr>
      <w:bookmarkStart w:id="217" w:name="bookmark114"/>
      <w:bookmarkEnd w:id="217"/>
      <w:r>
        <w:rPr>
          <w:sz w:val="21"/>
          <w:szCs w:val="21"/>
        </w:rPr>
        <w:t>与送风（排烟）风机有联动装置时，应将联动机构脱开，用单手转动或拉动操作箱手柄，检查动作是否正常；</w:t>
      </w:r>
    </w:p>
    <w:p>
      <w:pPr>
        <w:pStyle w:val="134"/>
        <w:tabs>
          <w:tab w:val="left" w:pos="1064"/>
        </w:tabs>
        <w:spacing w:after="0" w:line="380" w:lineRule="exact"/>
        <w:ind w:firstLine="0"/>
        <w:rPr>
          <w:sz w:val="21"/>
          <w:szCs w:val="21"/>
        </w:rPr>
      </w:pPr>
      <w:bookmarkStart w:id="218" w:name="bookmark115"/>
      <w:bookmarkEnd w:id="218"/>
      <w:r>
        <w:rPr>
          <w:sz w:val="21"/>
          <w:szCs w:val="21"/>
        </w:rPr>
        <w:t>手柄是否破损、钢丝绳是否折断生锈。</w:t>
      </w:r>
    </w:p>
    <w:p>
      <w:pPr>
        <w:pStyle w:val="134"/>
        <w:tabs>
          <w:tab w:val="left" w:pos="1048"/>
        </w:tabs>
        <w:spacing w:after="0" w:line="380" w:lineRule="exact"/>
        <w:ind w:firstLine="520"/>
        <w:rPr>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sz w:val="21"/>
          <w:szCs w:val="21"/>
        </w:rPr>
        <w:t>送风（排烟）风机</w:t>
      </w:r>
    </w:p>
    <w:p>
      <w:pPr>
        <w:pStyle w:val="134"/>
        <w:spacing w:after="0" w:line="380" w:lineRule="exact"/>
        <w:ind w:firstLine="0"/>
        <w:rPr>
          <w:sz w:val="21"/>
          <w:szCs w:val="21"/>
        </w:rPr>
      </w:pPr>
      <w:r>
        <w:rPr>
          <w:sz w:val="21"/>
          <w:szCs w:val="21"/>
        </w:rPr>
        <w:t>检查轴承部分润滑油状态是否异常（脏污、混入泥沙、尘等）；</w:t>
      </w:r>
    </w:p>
    <w:p>
      <w:pPr>
        <w:pStyle w:val="153"/>
        <w:tabs>
          <w:tab w:val="left" w:pos="1120"/>
        </w:tabs>
        <w:spacing w:line="380" w:lineRule="exact"/>
        <w:ind w:firstLine="0"/>
        <w:rPr>
          <w:szCs w:val="21"/>
        </w:rPr>
      </w:pPr>
      <w:bookmarkStart w:id="219" w:name="bookmark117"/>
      <w:bookmarkEnd w:id="219"/>
      <w:r>
        <w:rPr>
          <w:szCs w:val="21"/>
        </w:rPr>
        <w:t>启动电动机，检查风机旋转是否正常(转向、振动、杂音等)：</w:t>
      </w:r>
    </w:p>
    <w:p>
      <w:pPr>
        <w:pStyle w:val="153"/>
        <w:tabs>
          <w:tab w:val="left" w:pos="1120"/>
        </w:tabs>
        <w:spacing w:line="380" w:lineRule="exact"/>
        <w:ind w:firstLine="0"/>
        <w:rPr>
          <w:szCs w:val="21"/>
        </w:rPr>
      </w:pPr>
      <w:bookmarkStart w:id="220" w:name="bookmark118"/>
      <w:bookmarkEnd w:id="220"/>
      <w:r>
        <w:rPr>
          <w:szCs w:val="21"/>
        </w:rPr>
        <w:t>检査电动机的轴承部位润滑油是否正常；</w:t>
      </w:r>
    </w:p>
    <w:p>
      <w:pPr>
        <w:pStyle w:val="153"/>
        <w:tabs>
          <w:tab w:val="left" w:pos="1120"/>
        </w:tabs>
        <w:spacing w:line="380" w:lineRule="exact"/>
        <w:ind w:firstLine="0"/>
        <w:rPr>
          <w:szCs w:val="21"/>
        </w:rPr>
      </w:pPr>
      <w:bookmarkStart w:id="221" w:name="bookmark119"/>
      <w:bookmarkEnd w:id="221"/>
      <w:r>
        <w:rPr>
          <w:szCs w:val="21"/>
        </w:rPr>
        <w:t>检查传动皮带是否松动(用手按时，轴距为</w:t>
      </w:r>
      <w:r>
        <w:rPr>
          <w:rFonts w:ascii="Times New Roman" w:hAnsi="Times New Roman" w:eastAsia="Times New Roman" w:cs="Times New Roman"/>
          <w:szCs w:val="21"/>
          <w:lang w:val="en-US" w:eastAsia="zh-CN" w:bidi="en-US"/>
        </w:rPr>
        <w:t>Im</w:t>
      </w:r>
      <w:r>
        <w:rPr>
          <w:szCs w:val="21"/>
        </w:rPr>
        <w:t>时，皮带下降小于一个皮带的厚度)；</w:t>
      </w:r>
    </w:p>
    <w:p>
      <w:pPr>
        <w:pStyle w:val="153"/>
        <w:tabs>
          <w:tab w:val="left" w:pos="1120"/>
        </w:tabs>
        <w:spacing w:line="380" w:lineRule="exact"/>
        <w:ind w:firstLine="0"/>
        <w:rPr>
          <w:szCs w:val="21"/>
        </w:rPr>
      </w:pPr>
      <w:bookmarkStart w:id="222" w:name="bookmark120"/>
      <w:bookmarkEnd w:id="222"/>
      <w:r>
        <w:rPr>
          <w:szCs w:val="21"/>
        </w:rPr>
        <w:t>启动电动机，旋转时有无异常振动、杂音。</w:t>
      </w:r>
    </w:p>
    <w:p>
      <w:pPr>
        <w:pStyle w:val="153"/>
        <w:spacing w:line="380" w:lineRule="exact"/>
        <w:ind w:firstLine="460"/>
        <w:rPr>
          <w:szCs w:val="21"/>
        </w:rPr>
      </w:pPr>
      <w:r>
        <w:rPr>
          <w:rFonts w:ascii="Times New Roman" w:hAnsi="Times New Roman" w:eastAsia="Times New Roman" w:cs="Times New Roman"/>
          <w:szCs w:val="21"/>
        </w:rPr>
        <w:t>3</w:t>
      </w:r>
      <w:r>
        <w:rPr>
          <w:szCs w:val="21"/>
        </w:rPr>
        <w:t>、综合检查</w:t>
      </w:r>
    </w:p>
    <w:p>
      <w:pPr>
        <w:pStyle w:val="153"/>
        <w:spacing w:line="380" w:lineRule="exact"/>
        <w:ind w:firstLine="460"/>
        <w:rPr>
          <w:szCs w:val="21"/>
        </w:rPr>
      </w:pPr>
      <w:r>
        <w:rPr>
          <w:szCs w:val="21"/>
        </w:rPr>
        <w:t>操作手动或自动启动装置，进行每个防烟分区(或正压送风)的动作试验，检</w:t>
      </w:r>
    </w:p>
    <w:p>
      <w:pPr>
        <w:pStyle w:val="153"/>
        <w:spacing w:line="380" w:lineRule="exact"/>
        <w:ind w:firstLine="0"/>
        <w:rPr>
          <w:szCs w:val="21"/>
        </w:rPr>
      </w:pPr>
      <w:r>
        <w:rPr>
          <w:szCs w:val="21"/>
        </w:rPr>
        <w:t>査下列事项：</w:t>
      </w:r>
    </w:p>
    <w:p>
      <w:pPr>
        <w:pStyle w:val="153"/>
        <w:tabs>
          <w:tab w:val="left" w:pos="1120"/>
        </w:tabs>
        <w:spacing w:line="380" w:lineRule="exact"/>
        <w:ind w:firstLine="0"/>
        <w:rPr>
          <w:szCs w:val="21"/>
        </w:rPr>
      </w:pPr>
      <w:bookmarkStart w:id="223" w:name="bookmark121"/>
      <w:bookmarkEnd w:id="223"/>
      <w:r>
        <w:rPr>
          <w:rFonts w:hint="eastAsia"/>
          <w:szCs w:val="21"/>
          <w:lang w:eastAsia="zh-CN"/>
        </w:rPr>
        <w:t>（</w:t>
      </w:r>
      <w:r>
        <w:rPr>
          <w:rFonts w:hint="eastAsia"/>
          <w:szCs w:val="21"/>
          <w:lang w:val="en-US" w:eastAsia="zh-CN"/>
        </w:rPr>
        <w:t>1</w:t>
      </w:r>
      <w:r>
        <w:rPr>
          <w:rFonts w:hint="eastAsia"/>
          <w:szCs w:val="21"/>
          <w:lang w:eastAsia="zh-CN"/>
        </w:rPr>
        <w:t>）</w:t>
      </w:r>
      <w:r>
        <w:rPr>
          <w:szCs w:val="21"/>
        </w:rPr>
        <w:t>手动或自动能否完成启动；</w:t>
      </w:r>
    </w:p>
    <w:p>
      <w:pPr>
        <w:pStyle w:val="153"/>
        <w:tabs>
          <w:tab w:val="left" w:pos="1120"/>
        </w:tabs>
        <w:spacing w:line="380" w:lineRule="exact"/>
        <w:ind w:firstLine="0"/>
        <w:rPr>
          <w:szCs w:val="21"/>
        </w:rPr>
      </w:pPr>
      <w:bookmarkStart w:id="224" w:name="bookmark122"/>
      <w:bookmarkEnd w:id="224"/>
      <w:r>
        <w:rPr>
          <w:rFonts w:hint="eastAsia"/>
          <w:szCs w:val="21"/>
          <w:lang w:eastAsia="zh-CN"/>
        </w:rPr>
        <w:t>（</w:t>
      </w:r>
      <w:r>
        <w:rPr>
          <w:rFonts w:hint="eastAsia"/>
          <w:szCs w:val="21"/>
          <w:lang w:val="en-US" w:eastAsia="zh-CN"/>
        </w:rPr>
        <w:t>2</w:t>
      </w:r>
      <w:r>
        <w:rPr>
          <w:rFonts w:hint="eastAsia"/>
          <w:szCs w:val="21"/>
          <w:lang w:eastAsia="zh-CN"/>
        </w:rPr>
        <w:t>）</w:t>
      </w:r>
      <w:r>
        <w:rPr>
          <w:szCs w:val="21"/>
        </w:rPr>
        <w:t>运转电流是否正常；</w:t>
      </w:r>
    </w:p>
    <w:p>
      <w:pPr>
        <w:pStyle w:val="153"/>
        <w:tabs>
          <w:tab w:val="left" w:pos="1120"/>
        </w:tabs>
        <w:spacing w:line="380" w:lineRule="exact"/>
        <w:ind w:firstLine="0"/>
        <w:rPr>
          <w:szCs w:val="21"/>
        </w:rPr>
      </w:pPr>
      <w:bookmarkStart w:id="225" w:name="bookmark123"/>
      <w:bookmarkEnd w:id="225"/>
      <w:r>
        <w:rPr>
          <w:rFonts w:hint="eastAsia"/>
          <w:szCs w:val="21"/>
          <w:lang w:eastAsia="zh-CN"/>
        </w:rPr>
        <w:t>（</w:t>
      </w:r>
      <w:r>
        <w:rPr>
          <w:rFonts w:hint="eastAsia"/>
          <w:szCs w:val="21"/>
          <w:lang w:val="en-US" w:eastAsia="zh-CN"/>
        </w:rPr>
        <w:t>3</w:t>
      </w:r>
      <w:r>
        <w:rPr>
          <w:rFonts w:hint="eastAsia"/>
          <w:szCs w:val="21"/>
          <w:lang w:eastAsia="zh-CN"/>
        </w:rPr>
        <w:t>）</w:t>
      </w:r>
      <w:r>
        <w:rPr>
          <w:szCs w:val="21"/>
        </w:rPr>
        <w:t>运转中是否有不规则或不连续杂音及异常振动；</w:t>
      </w:r>
    </w:p>
    <w:p>
      <w:pPr>
        <w:pStyle w:val="153"/>
        <w:tabs>
          <w:tab w:val="left" w:pos="1120"/>
        </w:tabs>
        <w:spacing w:line="380" w:lineRule="exact"/>
        <w:ind w:firstLine="0"/>
        <w:rPr>
          <w:szCs w:val="21"/>
        </w:rPr>
      </w:pPr>
      <w:bookmarkStart w:id="226" w:name="bookmark124"/>
      <w:bookmarkEnd w:id="226"/>
      <w:r>
        <w:rPr>
          <w:rFonts w:hint="eastAsia"/>
          <w:szCs w:val="21"/>
          <w:lang w:eastAsia="zh-CN"/>
        </w:rPr>
        <w:t>（</w:t>
      </w:r>
      <w:r>
        <w:rPr>
          <w:rFonts w:hint="eastAsia"/>
          <w:szCs w:val="21"/>
          <w:lang w:val="en-US" w:eastAsia="zh-CN"/>
        </w:rPr>
        <w:t>4</w:t>
      </w:r>
      <w:r>
        <w:rPr>
          <w:rFonts w:hint="eastAsia"/>
          <w:szCs w:val="21"/>
          <w:lang w:eastAsia="zh-CN"/>
        </w:rPr>
        <w:t>）</w:t>
      </w:r>
      <w:r>
        <w:rPr>
          <w:szCs w:val="21"/>
        </w:rPr>
        <w:t>叶轮旋转方向是否正确。</w:t>
      </w:r>
    </w:p>
    <w:p>
      <w:pPr>
        <w:pStyle w:val="153"/>
        <w:spacing w:line="380" w:lineRule="exact"/>
        <w:ind w:firstLine="300"/>
        <w:rPr>
          <w:szCs w:val="21"/>
        </w:rPr>
      </w:pPr>
      <w:r>
        <w:rPr>
          <w:szCs w:val="21"/>
        </w:rPr>
        <w:t>防火卷帘门维护保养</w:t>
      </w:r>
    </w:p>
    <w:p>
      <w:pPr>
        <w:pStyle w:val="153"/>
        <w:tabs>
          <w:tab w:val="left" w:pos="791"/>
        </w:tabs>
        <w:spacing w:line="380" w:lineRule="exact"/>
        <w:ind w:firstLine="300"/>
        <w:rPr>
          <w:szCs w:val="21"/>
        </w:rPr>
      </w:pPr>
      <w:bookmarkStart w:id="227" w:name="bookmark125"/>
      <w:r>
        <w:rPr>
          <w:rFonts w:ascii="Times New Roman" w:hAnsi="Times New Roman" w:eastAsia="Times New Roman" w:cs="Times New Roman"/>
          <w:szCs w:val="21"/>
        </w:rPr>
        <w:t>1</w:t>
      </w:r>
      <w:bookmarkEnd w:id="227"/>
      <w:r>
        <w:rPr>
          <w:szCs w:val="21"/>
        </w:rPr>
        <w:t>、</w:t>
      </w:r>
      <w:r>
        <w:rPr>
          <w:szCs w:val="21"/>
        </w:rPr>
        <w:tab/>
      </w:r>
      <w:r>
        <w:rPr>
          <w:szCs w:val="21"/>
        </w:rPr>
        <w:t>每月检查、测试内容</w:t>
      </w:r>
    </w:p>
    <w:p>
      <w:pPr>
        <w:pStyle w:val="153"/>
        <w:tabs>
          <w:tab w:val="left" w:pos="1120"/>
        </w:tabs>
        <w:spacing w:line="380" w:lineRule="exact"/>
        <w:ind w:firstLine="0"/>
        <w:rPr>
          <w:szCs w:val="21"/>
        </w:rPr>
      </w:pPr>
      <w:bookmarkStart w:id="228" w:name="bookmark126"/>
      <w:bookmarkEnd w:id="228"/>
      <w:r>
        <w:rPr>
          <w:rFonts w:hint="eastAsia"/>
          <w:szCs w:val="21"/>
          <w:lang w:eastAsia="zh-CN"/>
        </w:rPr>
        <w:t>（</w:t>
      </w:r>
      <w:r>
        <w:rPr>
          <w:rFonts w:hint="eastAsia"/>
          <w:szCs w:val="21"/>
          <w:lang w:val="en-US" w:eastAsia="zh-CN"/>
        </w:rPr>
        <w:t>1</w:t>
      </w:r>
      <w:r>
        <w:rPr>
          <w:rFonts w:hint="eastAsia"/>
          <w:szCs w:val="21"/>
          <w:lang w:eastAsia="zh-CN"/>
        </w:rPr>
        <w:t>）</w:t>
      </w:r>
      <w:r>
        <w:rPr>
          <w:szCs w:val="21"/>
        </w:rPr>
        <w:t>检查、测试防火卷帘门两侧手动按钮功能是否正常；</w:t>
      </w:r>
    </w:p>
    <w:p>
      <w:pPr>
        <w:pStyle w:val="153"/>
        <w:tabs>
          <w:tab w:val="left" w:pos="1120"/>
        </w:tabs>
        <w:spacing w:line="380" w:lineRule="exact"/>
        <w:ind w:firstLine="0"/>
        <w:rPr>
          <w:szCs w:val="21"/>
        </w:rPr>
      </w:pPr>
      <w:bookmarkStart w:id="229" w:name="bookmark127"/>
      <w:bookmarkEnd w:id="229"/>
      <w:r>
        <w:rPr>
          <w:rFonts w:hint="eastAsia"/>
          <w:szCs w:val="21"/>
          <w:lang w:eastAsia="zh-CN"/>
        </w:rPr>
        <w:t>（</w:t>
      </w:r>
      <w:r>
        <w:rPr>
          <w:rFonts w:hint="eastAsia"/>
          <w:szCs w:val="21"/>
          <w:lang w:val="en-US" w:eastAsia="zh-CN"/>
        </w:rPr>
        <w:t>2</w:t>
      </w:r>
      <w:r>
        <w:rPr>
          <w:rFonts w:hint="eastAsia"/>
          <w:szCs w:val="21"/>
          <w:lang w:eastAsia="zh-CN"/>
        </w:rPr>
        <w:t>）</w:t>
      </w:r>
      <w:r>
        <w:rPr>
          <w:szCs w:val="21"/>
        </w:rPr>
        <w:t>检查、测试声光报警工作是否正常；</w:t>
      </w:r>
    </w:p>
    <w:p>
      <w:pPr>
        <w:pStyle w:val="153"/>
        <w:tabs>
          <w:tab w:val="left" w:pos="1120"/>
        </w:tabs>
        <w:spacing w:line="380" w:lineRule="exact"/>
        <w:ind w:firstLine="0"/>
        <w:rPr>
          <w:szCs w:val="21"/>
        </w:rPr>
      </w:pPr>
      <w:bookmarkStart w:id="230" w:name="bookmark128"/>
      <w:bookmarkEnd w:id="230"/>
      <w:r>
        <w:rPr>
          <w:rFonts w:hint="eastAsia"/>
          <w:szCs w:val="21"/>
          <w:lang w:eastAsia="zh-CN"/>
        </w:rPr>
        <w:t>（</w:t>
      </w:r>
      <w:r>
        <w:rPr>
          <w:rFonts w:hint="eastAsia"/>
          <w:szCs w:val="21"/>
          <w:lang w:val="en-US" w:eastAsia="zh-CN"/>
        </w:rPr>
        <w:t>3</w:t>
      </w:r>
      <w:r>
        <w:rPr>
          <w:rFonts w:hint="eastAsia"/>
          <w:szCs w:val="21"/>
          <w:lang w:eastAsia="zh-CN"/>
        </w:rPr>
        <w:t>）</w:t>
      </w:r>
      <w:r>
        <w:rPr>
          <w:szCs w:val="21"/>
        </w:rPr>
        <w:t>检查、测试升降是否平稳，有无卡死、停顿等现象。</w:t>
      </w:r>
    </w:p>
    <w:p>
      <w:pPr>
        <w:pStyle w:val="153"/>
        <w:tabs>
          <w:tab w:val="left" w:pos="791"/>
        </w:tabs>
        <w:spacing w:line="380" w:lineRule="exact"/>
        <w:ind w:firstLine="300"/>
        <w:rPr>
          <w:szCs w:val="21"/>
        </w:rPr>
      </w:pPr>
      <w:bookmarkStart w:id="231" w:name="bookmark129"/>
      <w:r>
        <w:rPr>
          <w:rFonts w:ascii="Times New Roman" w:hAnsi="Times New Roman" w:eastAsia="Times New Roman" w:cs="Times New Roman"/>
          <w:szCs w:val="21"/>
        </w:rPr>
        <w:t>2</w:t>
      </w:r>
      <w:bookmarkEnd w:id="231"/>
      <w:r>
        <w:rPr>
          <w:szCs w:val="21"/>
        </w:rPr>
        <w:t>、</w:t>
      </w:r>
      <w:r>
        <w:rPr>
          <w:szCs w:val="21"/>
        </w:rPr>
        <w:tab/>
      </w:r>
      <w:r>
        <w:rPr>
          <w:szCs w:val="21"/>
        </w:rPr>
        <w:t>每季检査、测试内容</w:t>
      </w:r>
    </w:p>
    <w:p>
      <w:pPr>
        <w:pStyle w:val="153"/>
        <w:tabs>
          <w:tab w:val="left" w:pos="1120"/>
        </w:tabs>
        <w:spacing w:line="380" w:lineRule="exact"/>
        <w:ind w:firstLine="0"/>
        <w:rPr>
          <w:szCs w:val="21"/>
        </w:rPr>
      </w:pPr>
      <w:bookmarkStart w:id="232" w:name="bookmark130"/>
      <w:bookmarkEnd w:id="232"/>
      <w:r>
        <w:rPr>
          <w:rFonts w:hint="eastAsia"/>
          <w:szCs w:val="21"/>
          <w:lang w:eastAsia="zh-CN"/>
        </w:rPr>
        <w:t>（</w:t>
      </w:r>
      <w:r>
        <w:rPr>
          <w:rFonts w:hint="eastAsia"/>
          <w:szCs w:val="21"/>
          <w:lang w:val="en-US" w:eastAsia="zh-CN"/>
        </w:rPr>
        <w:t>1</w:t>
      </w:r>
      <w:r>
        <w:rPr>
          <w:rFonts w:hint="eastAsia"/>
          <w:szCs w:val="21"/>
          <w:lang w:eastAsia="zh-CN"/>
        </w:rPr>
        <w:t>）</w:t>
      </w:r>
      <w:r>
        <w:rPr>
          <w:szCs w:val="21"/>
        </w:rPr>
        <w:t>加烟、加温测试烟、温感报警并联动防火卷帘门动作是否正常；</w:t>
      </w:r>
    </w:p>
    <w:p>
      <w:pPr>
        <w:pStyle w:val="153"/>
        <w:tabs>
          <w:tab w:val="left" w:pos="1120"/>
        </w:tabs>
        <w:spacing w:line="380" w:lineRule="exact"/>
        <w:ind w:firstLine="0"/>
        <w:rPr>
          <w:szCs w:val="21"/>
        </w:rPr>
      </w:pPr>
      <w:bookmarkStart w:id="233" w:name="bookmark131"/>
      <w:bookmarkEnd w:id="233"/>
      <w:r>
        <w:rPr>
          <w:rFonts w:hint="eastAsia"/>
          <w:szCs w:val="21"/>
          <w:lang w:eastAsia="zh-CN"/>
        </w:rPr>
        <w:t>（</w:t>
      </w:r>
      <w:r>
        <w:rPr>
          <w:rFonts w:hint="eastAsia"/>
          <w:szCs w:val="21"/>
          <w:lang w:val="en-US" w:eastAsia="zh-CN"/>
        </w:rPr>
        <w:t>2</w:t>
      </w:r>
      <w:r>
        <w:rPr>
          <w:rFonts w:hint="eastAsia"/>
          <w:szCs w:val="21"/>
          <w:lang w:eastAsia="zh-CN"/>
        </w:rPr>
        <w:t>）</w:t>
      </w:r>
      <w:r>
        <w:rPr>
          <w:szCs w:val="21"/>
        </w:rPr>
        <w:t>检査、测试防火卷帘门两侧手动按钮功能是否正常；</w:t>
      </w:r>
    </w:p>
    <w:p>
      <w:pPr>
        <w:pStyle w:val="153"/>
        <w:tabs>
          <w:tab w:val="left" w:pos="1120"/>
        </w:tabs>
        <w:spacing w:line="380" w:lineRule="exact"/>
        <w:ind w:firstLine="0"/>
        <w:rPr>
          <w:szCs w:val="21"/>
        </w:rPr>
      </w:pPr>
      <w:bookmarkStart w:id="234" w:name="bookmark132"/>
      <w:bookmarkEnd w:id="234"/>
      <w:r>
        <w:rPr>
          <w:rFonts w:hint="eastAsia"/>
          <w:szCs w:val="21"/>
          <w:lang w:eastAsia="zh-CN"/>
        </w:rPr>
        <w:t>（</w:t>
      </w:r>
      <w:r>
        <w:rPr>
          <w:rFonts w:hint="eastAsia"/>
          <w:szCs w:val="21"/>
          <w:lang w:val="en-US" w:eastAsia="zh-CN"/>
        </w:rPr>
        <w:t>3</w:t>
      </w:r>
      <w:r>
        <w:rPr>
          <w:rFonts w:hint="eastAsia"/>
          <w:szCs w:val="21"/>
          <w:lang w:eastAsia="zh-CN"/>
        </w:rPr>
        <w:t>）</w:t>
      </w:r>
      <w:r>
        <w:rPr>
          <w:szCs w:val="21"/>
        </w:rPr>
        <w:t>检查、测试声光报警工作是否正常；</w:t>
      </w:r>
    </w:p>
    <w:p>
      <w:pPr>
        <w:pStyle w:val="153"/>
        <w:tabs>
          <w:tab w:val="left" w:pos="1120"/>
        </w:tabs>
        <w:spacing w:line="380" w:lineRule="exact"/>
        <w:ind w:firstLine="0"/>
        <w:rPr>
          <w:szCs w:val="21"/>
        </w:rPr>
      </w:pPr>
      <w:bookmarkStart w:id="235" w:name="bookmark133"/>
      <w:bookmarkEnd w:id="235"/>
      <w:r>
        <w:rPr>
          <w:rFonts w:hint="eastAsia"/>
          <w:szCs w:val="21"/>
          <w:lang w:eastAsia="zh-CN"/>
        </w:rPr>
        <w:t>（</w:t>
      </w:r>
      <w:r>
        <w:rPr>
          <w:rFonts w:hint="eastAsia"/>
          <w:szCs w:val="21"/>
          <w:lang w:val="en-US" w:eastAsia="zh-CN"/>
        </w:rPr>
        <w:t>4</w:t>
      </w:r>
      <w:r>
        <w:rPr>
          <w:rFonts w:hint="eastAsia"/>
          <w:szCs w:val="21"/>
          <w:lang w:eastAsia="zh-CN"/>
        </w:rPr>
        <w:t>）</w:t>
      </w:r>
      <w:r>
        <w:rPr>
          <w:szCs w:val="21"/>
        </w:rPr>
        <w:t>检查、测试升降是否平稳，有无卡死、停顿等现象。</w:t>
      </w:r>
    </w:p>
    <w:p>
      <w:pPr>
        <w:pStyle w:val="153"/>
        <w:tabs>
          <w:tab w:val="left" w:pos="561"/>
        </w:tabs>
        <w:spacing w:line="380" w:lineRule="exact"/>
        <w:ind w:firstLine="140"/>
        <w:rPr>
          <w:szCs w:val="21"/>
        </w:rPr>
      </w:pPr>
      <w:bookmarkStart w:id="236" w:name="bookmark134"/>
      <w:r>
        <w:rPr>
          <w:rFonts w:ascii="Times New Roman" w:hAnsi="Times New Roman" w:eastAsia="Times New Roman" w:cs="Times New Roman"/>
          <w:szCs w:val="21"/>
        </w:rPr>
        <w:t>3</w:t>
      </w:r>
      <w:bookmarkEnd w:id="236"/>
      <w:r>
        <w:rPr>
          <w:szCs w:val="21"/>
        </w:rPr>
        <w:t>、</w:t>
      </w:r>
      <w:r>
        <w:rPr>
          <w:szCs w:val="21"/>
        </w:rPr>
        <w:tab/>
      </w:r>
      <w:r>
        <w:rPr>
          <w:szCs w:val="21"/>
        </w:rPr>
        <w:t>每年检査、测试内容</w:t>
      </w:r>
    </w:p>
    <w:p>
      <w:pPr>
        <w:pStyle w:val="153"/>
        <w:tabs>
          <w:tab w:val="left" w:pos="1120"/>
        </w:tabs>
        <w:spacing w:line="380" w:lineRule="exact"/>
        <w:ind w:firstLine="0"/>
        <w:rPr>
          <w:szCs w:val="21"/>
        </w:rPr>
      </w:pPr>
      <w:bookmarkStart w:id="237" w:name="bookmark135"/>
      <w:bookmarkEnd w:id="237"/>
      <w:r>
        <w:rPr>
          <w:rFonts w:hint="eastAsia"/>
          <w:szCs w:val="21"/>
          <w:lang w:eastAsia="zh-CN"/>
        </w:rPr>
        <w:t>（</w:t>
      </w:r>
      <w:r>
        <w:rPr>
          <w:rFonts w:hint="eastAsia"/>
          <w:szCs w:val="21"/>
          <w:lang w:val="en-US" w:eastAsia="zh-CN"/>
        </w:rPr>
        <w:t>1</w:t>
      </w:r>
      <w:r>
        <w:rPr>
          <w:rFonts w:hint="eastAsia"/>
          <w:szCs w:val="21"/>
          <w:lang w:eastAsia="zh-CN"/>
        </w:rPr>
        <w:t>）</w:t>
      </w:r>
      <w:r>
        <w:rPr>
          <w:szCs w:val="21"/>
        </w:rPr>
        <w:t>加烟、加温测试烟、温感报警并联动防火卷帘门动作是否正常；</w:t>
      </w:r>
    </w:p>
    <w:p>
      <w:pPr>
        <w:pStyle w:val="153"/>
        <w:tabs>
          <w:tab w:val="left" w:pos="1120"/>
        </w:tabs>
        <w:spacing w:line="380" w:lineRule="exact"/>
        <w:ind w:firstLine="0"/>
        <w:rPr>
          <w:szCs w:val="21"/>
        </w:rPr>
      </w:pPr>
      <w:bookmarkStart w:id="238" w:name="bookmark136"/>
      <w:bookmarkEnd w:id="238"/>
      <w:r>
        <w:rPr>
          <w:rFonts w:hint="eastAsia"/>
          <w:szCs w:val="21"/>
          <w:lang w:eastAsia="zh-CN"/>
        </w:rPr>
        <w:t>（</w:t>
      </w:r>
      <w:r>
        <w:rPr>
          <w:rFonts w:hint="eastAsia"/>
          <w:szCs w:val="21"/>
          <w:lang w:val="en-US" w:eastAsia="zh-CN"/>
        </w:rPr>
        <w:t>2</w:t>
      </w:r>
      <w:r>
        <w:rPr>
          <w:rFonts w:hint="eastAsia"/>
          <w:szCs w:val="21"/>
          <w:lang w:eastAsia="zh-CN"/>
        </w:rPr>
        <w:t>）</w:t>
      </w:r>
      <w:r>
        <w:rPr>
          <w:szCs w:val="21"/>
        </w:rPr>
        <w:t>检查、测试声光报警工作是否正常；</w:t>
      </w:r>
    </w:p>
    <w:p>
      <w:pPr>
        <w:pStyle w:val="153"/>
        <w:tabs>
          <w:tab w:val="left" w:pos="1120"/>
        </w:tabs>
        <w:spacing w:line="380" w:lineRule="exact"/>
        <w:ind w:firstLine="0"/>
        <w:rPr>
          <w:szCs w:val="21"/>
        </w:rPr>
      </w:pPr>
      <w:bookmarkStart w:id="239" w:name="bookmark137"/>
      <w:bookmarkEnd w:id="239"/>
      <w:r>
        <w:rPr>
          <w:rFonts w:hint="eastAsia"/>
          <w:szCs w:val="21"/>
          <w:lang w:eastAsia="zh-CN"/>
        </w:rPr>
        <w:t>（</w:t>
      </w:r>
      <w:r>
        <w:rPr>
          <w:rFonts w:hint="eastAsia"/>
          <w:szCs w:val="21"/>
          <w:lang w:val="en-US" w:eastAsia="zh-CN"/>
        </w:rPr>
        <w:t>3</w:t>
      </w:r>
      <w:r>
        <w:rPr>
          <w:rFonts w:hint="eastAsia"/>
          <w:szCs w:val="21"/>
          <w:lang w:eastAsia="zh-CN"/>
        </w:rPr>
        <w:t>）</w:t>
      </w:r>
      <w:r>
        <w:rPr>
          <w:szCs w:val="21"/>
        </w:rPr>
        <w:t>检查、测试防火卷帘门两侧手动按钮功能是否正常；</w:t>
      </w:r>
    </w:p>
    <w:p>
      <w:pPr>
        <w:pStyle w:val="153"/>
        <w:tabs>
          <w:tab w:val="left" w:pos="1120"/>
        </w:tabs>
        <w:spacing w:line="380" w:lineRule="exact"/>
        <w:ind w:firstLine="0"/>
        <w:rPr>
          <w:szCs w:val="21"/>
        </w:rPr>
      </w:pPr>
      <w:bookmarkStart w:id="240" w:name="bookmark138"/>
      <w:bookmarkEnd w:id="240"/>
      <w:r>
        <w:rPr>
          <w:rFonts w:hint="eastAsia"/>
          <w:szCs w:val="21"/>
          <w:lang w:eastAsia="zh-CN"/>
        </w:rPr>
        <w:t>（</w:t>
      </w:r>
      <w:r>
        <w:rPr>
          <w:rFonts w:hint="eastAsia"/>
          <w:szCs w:val="21"/>
          <w:lang w:val="en-US" w:eastAsia="zh-CN"/>
        </w:rPr>
        <w:t>4</w:t>
      </w:r>
      <w:r>
        <w:rPr>
          <w:rFonts w:hint="eastAsia"/>
          <w:szCs w:val="21"/>
          <w:lang w:eastAsia="zh-CN"/>
        </w:rPr>
        <w:t>）</w:t>
      </w:r>
      <w:r>
        <w:rPr>
          <w:szCs w:val="21"/>
        </w:rPr>
        <w:t>检查、测试卷帘门升降是否平稳，有无卡死、停顿等现象；</w:t>
      </w:r>
    </w:p>
    <w:p>
      <w:pPr>
        <w:pStyle w:val="153"/>
        <w:tabs>
          <w:tab w:val="left" w:pos="1120"/>
        </w:tabs>
        <w:spacing w:line="380" w:lineRule="exact"/>
        <w:ind w:firstLine="0"/>
        <w:rPr>
          <w:szCs w:val="21"/>
        </w:rPr>
      </w:pPr>
      <w:bookmarkStart w:id="241" w:name="bookmark139"/>
      <w:bookmarkEnd w:id="241"/>
      <w:r>
        <w:rPr>
          <w:rFonts w:hint="eastAsia"/>
          <w:szCs w:val="21"/>
          <w:lang w:eastAsia="zh-CN"/>
        </w:rPr>
        <w:t>（</w:t>
      </w:r>
      <w:r>
        <w:rPr>
          <w:rFonts w:hint="eastAsia"/>
          <w:szCs w:val="21"/>
          <w:lang w:val="en-US" w:eastAsia="zh-CN"/>
        </w:rPr>
        <w:t>5</w:t>
      </w:r>
      <w:r>
        <w:rPr>
          <w:rFonts w:hint="eastAsia"/>
          <w:szCs w:val="21"/>
          <w:lang w:eastAsia="zh-CN"/>
        </w:rPr>
        <w:t>）</w:t>
      </w:r>
      <w:r>
        <w:rPr>
          <w:szCs w:val="21"/>
        </w:rPr>
        <w:t>检查控制箱显示是否正常。</w:t>
      </w:r>
    </w:p>
    <w:p>
      <w:pPr>
        <w:pStyle w:val="153"/>
        <w:spacing w:line="380" w:lineRule="exact"/>
        <w:jc w:val="center"/>
        <w:rPr>
          <w:b/>
          <w:bCs/>
          <w:szCs w:val="21"/>
        </w:rPr>
      </w:pPr>
      <w:r>
        <w:rPr>
          <w:b/>
          <w:bCs/>
          <w:szCs w:val="21"/>
        </w:rPr>
        <w:t>应急照明、疏散指示标志维护保养</w:t>
      </w:r>
    </w:p>
    <w:p>
      <w:pPr>
        <w:pStyle w:val="153"/>
        <w:spacing w:line="380" w:lineRule="exact"/>
        <w:rPr>
          <w:szCs w:val="21"/>
        </w:rPr>
      </w:pPr>
      <w:r>
        <w:rPr>
          <w:rFonts w:ascii="Times New Roman" w:hAnsi="Times New Roman" w:eastAsia="Times New Roman" w:cs="Times New Roman"/>
          <w:szCs w:val="21"/>
        </w:rPr>
        <w:t>1</w:t>
      </w:r>
      <w:r>
        <w:rPr>
          <w:szCs w:val="21"/>
        </w:rPr>
        <w:t>、每月检查、测试内容</w:t>
      </w:r>
    </w:p>
    <w:p>
      <w:pPr>
        <w:pStyle w:val="153"/>
        <w:tabs>
          <w:tab w:val="left" w:pos="1120"/>
        </w:tabs>
        <w:spacing w:line="380" w:lineRule="exact"/>
        <w:ind w:firstLine="0"/>
        <w:rPr>
          <w:szCs w:val="21"/>
        </w:rPr>
      </w:pPr>
      <w:bookmarkStart w:id="242" w:name="bookmark140"/>
      <w:bookmarkEnd w:id="242"/>
      <w:r>
        <w:rPr>
          <w:rFonts w:hint="eastAsia"/>
          <w:szCs w:val="21"/>
          <w:lang w:eastAsia="zh-CN"/>
        </w:rPr>
        <w:t>（</w:t>
      </w:r>
      <w:r>
        <w:rPr>
          <w:rFonts w:hint="eastAsia"/>
          <w:szCs w:val="21"/>
          <w:lang w:val="en-US" w:eastAsia="zh-CN"/>
        </w:rPr>
        <w:t>1</w:t>
      </w:r>
      <w:r>
        <w:rPr>
          <w:rFonts w:hint="eastAsia"/>
          <w:szCs w:val="21"/>
          <w:lang w:eastAsia="zh-CN"/>
        </w:rPr>
        <w:t>）</w:t>
      </w:r>
      <w:r>
        <w:rPr>
          <w:szCs w:val="21"/>
        </w:rPr>
        <w:t>检查安全出口、疏散通道、应急照明和疏散指示标志是否处于完好使用 状态，主电灯显示表示正常、故障灯显示表示故障、充电灯显示表示充电；</w:t>
      </w:r>
    </w:p>
    <w:p>
      <w:pPr>
        <w:pStyle w:val="153"/>
        <w:tabs>
          <w:tab w:val="left" w:pos="1120"/>
        </w:tabs>
        <w:spacing w:line="380" w:lineRule="exact"/>
        <w:ind w:firstLine="0"/>
        <w:rPr>
          <w:szCs w:val="21"/>
        </w:rPr>
      </w:pPr>
      <w:bookmarkStart w:id="243" w:name="bookmark141"/>
      <w:bookmarkEnd w:id="243"/>
      <w:r>
        <w:rPr>
          <w:rFonts w:hint="eastAsia"/>
          <w:szCs w:val="21"/>
          <w:lang w:eastAsia="zh-CN"/>
        </w:rPr>
        <w:t>（</w:t>
      </w:r>
      <w:r>
        <w:rPr>
          <w:rFonts w:hint="eastAsia"/>
          <w:szCs w:val="21"/>
          <w:lang w:val="en-US" w:eastAsia="zh-CN"/>
        </w:rPr>
        <w:t>2</w:t>
      </w:r>
      <w:r>
        <w:rPr>
          <w:rFonts w:hint="eastAsia"/>
          <w:szCs w:val="21"/>
          <w:lang w:eastAsia="zh-CN"/>
        </w:rPr>
        <w:t>）</w:t>
      </w:r>
      <w:r>
        <w:rPr>
          <w:szCs w:val="21"/>
        </w:rPr>
        <w:t>检査消防应急灯和标志灯在断电的情况下是否能正常启动应急灯具；</w:t>
      </w:r>
    </w:p>
    <w:p>
      <w:pPr>
        <w:pStyle w:val="153"/>
        <w:spacing w:line="380" w:lineRule="exact"/>
        <w:rPr>
          <w:szCs w:val="21"/>
        </w:rPr>
      </w:pPr>
      <w:r>
        <w:rPr>
          <w:rFonts w:ascii="Times New Roman" w:hAnsi="Times New Roman" w:eastAsia="Times New Roman" w:cs="Times New Roman"/>
          <w:szCs w:val="21"/>
        </w:rPr>
        <w:t>2</w:t>
      </w:r>
      <w:r>
        <w:rPr>
          <w:szCs w:val="21"/>
        </w:rPr>
        <w:t>、每季检查、测试内容</w:t>
      </w:r>
    </w:p>
    <w:p>
      <w:pPr>
        <w:pStyle w:val="153"/>
        <w:spacing w:line="380" w:lineRule="exact"/>
        <w:rPr>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每季度对应急照明、疏散指示进行充、放电。</w:t>
      </w:r>
    </w:p>
    <w:p>
      <w:pPr>
        <w:pStyle w:val="153"/>
        <w:spacing w:line="380" w:lineRule="exact"/>
        <w:ind w:firstLine="680"/>
        <w:rPr>
          <w:szCs w:val="21"/>
        </w:rPr>
      </w:pPr>
      <w:r>
        <w:rPr>
          <w:szCs w:val="21"/>
        </w:rPr>
        <w:t>灭火器维护保养</w:t>
      </w:r>
    </w:p>
    <w:p>
      <w:pPr>
        <w:pStyle w:val="153"/>
        <w:tabs>
          <w:tab w:val="left" w:pos="1077"/>
        </w:tabs>
        <w:spacing w:line="380" w:lineRule="exact"/>
        <w:ind w:firstLine="680"/>
        <w:rPr>
          <w:szCs w:val="21"/>
        </w:rPr>
      </w:pPr>
      <w:bookmarkStart w:id="244" w:name="bookmark142"/>
      <w:r>
        <w:rPr>
          <w:rFonts w:ascii="Times New Roman" w:hAnsi="Times New Roman" w:eastAsia="Times New Roman" w:cs="Times New Roman"/>
          <w:szCs w:val="21"/>
        </w:rPr>
        <w:t>1</w:t>
      </w:r>
      <w:bookmarkEnd w:id="244"/>
      <w:r>
        <w:rPr>
          <w:szCs w:val="21"/>
        </w:rPr>
        <w:t>、</w:t>
      </w:r>
      <w:r>
        <w:rPr>
          <w:szCs w:val="21"/>
        </w:rPr>
        <w:tab/>
      </w:r>
      <w:r>
        <w:rPr>
          <w:szCs w:val="21"/>
        </w:rPr>
        <w:t>每月检查、测试内容</w:t>
      </w:r>
    </w:p>
    <w:p>
      <w:pPr>
        <w:pStyle w:val="153"/>
        <w:tabs>
          <w:tab w:val="left" w:pos="1120"/>
        </w:tabs>
        <w:spacing w:line="380" w:lineRule="exact"/>
        <w:ind w:firstLine="0"/>
        <w:rPr>
          <w:szCs w:val="21"/>
        </w:rPr>
      </w:pPr>
      <w:bookmarkStart w:id="245" w:name="bookmark143"/>
      <w:bookmarkEnd w:id="245"/>
      <w:r>
        <w:rPr>
          <w:rFonts w:hint="eastAsia"/>
          <w:szCs w:val="21"/>
          <w:lang w:eastAsia="zh-CN"/>
        </w:rPr>
        <w:t>（</w:t>
      </w:r>
      <w:r>
        <w:rPr>
          <w:rFonts w:hint="eastAsia"/>
          <w:szCs w:val="21"/>
          <w:lang w:val="en-US" w:eastAsia="zh-CN"/>
        </w:rPr>
        <w:t>1</w:t>
      </w:r>
      <w:r>
        <w:rPr>
          <w:rFonts w:hint="eastAsia"/>
          <w:szCs w:val="21"/>
          <w:lang w:eastAsia="zh-CN"/>
        </w:rPr>
        <w:t>）</w:t>
      </w:r>
      <w:r>
        <w:rPr>
          <w:szCs w:val="21"/>
        </w:rPr>
        <w:t>检查灭火器是否在位。</w:t>
      </w:r>
    </w:p>
    <w:p>
      <w:pPr>
        <w:pStyle w:val="153"/>
        <w:tabs>
          <w:tab w:val="left" w:pos="1120"/>
        </w:tabs>
        <w:spacing w:line="380" w:lineRule="exact"/>
        <w:ind w:firstLine="0"/>
        <w:rPr>
          <w:szCs w:val="21"/>
        </w:rPr>
      </w:pPr>
      <w:bookmarkStart w:id="246" w:name="bookmark144"/>
      <w:bookmarkEnd w:id="246"/>
      <w:r>
        <w:rPr>
          <w:rFonts w:hint="eastAsia"/>
          <w:szCs w:val="21"/>
          <w:lang w:eastAsia="zh-CN"/>
        </w:rPr>
        <w:t>（</w:t>
      </w:r>
      <w:r>
        <w:rPr>
          <w:rFonts w:hint="eastAsia"/>
          <w:szCs w:val="21"/>
          <w:lang w:val="en-US" w:eastAsia="zh-CN"/>
        </w:rPr>
        <w:t>2</w:t>
      </w:r>
      <w:r>
        <w:rPr>
          <w:rFonts w:hint="eastAsia"/>
          <w:szCs w:val="21"/>
          <w:lang w:eastAsia="zh-CN"/>
        </w:rPr>
        <w:t>）</w:t>
      </w:r>
      <w:r>
        <w:rPr>
          <w:szCs w:val="21"/>
        </w:rPr>
        <w:t>检查灭火器压力表是否正常，压力表外观是否变形、损伤等缺陷。</w:t>
      </w:r>
    </w:p>
    <w:p>
      <w:pPr>
        <w:pStyle w:val="153"/>
        <w:tabs>
          <w:tab w:val="left" w:pos="1120"/>
        </w:tabs>
        <w:spacing w:line="380" w:lineRule="exact"/>
        <w:ind w:firstLine="0"/>
        <w:rPr>
          <w:szCs w:val="21"/>
        </w:rPr>
      </w:pPr>
      <w:bookmarkStart w:id="247" w:name="bookmark145"/>
      <w:bookmarkEnd w:id="247"/>
      <w:r>
        <w:rPr>
          <w:rFonts w:hint="eastAsia"/>
          <w:szCs w:val="21"/>
          <w:lang w:eastAsia="zh-CN"/>
        </w:rPr>
        <w:t>（</w:t>
      </w:r>
      <w:r>
        <w:rPr>
          <w:rFonts w:hint="eastAsia"/>
          <w:szCs w:val="21"/>
          <w:lang w:val="en-US" w:eastAsia="zh-CN"/>
        </w:rPr>
        <w:t>3</w:t>
      </w:r>
      <w:r>
        <w:rPr>
          <w:rFonts w:hint="eastAsia"/>
          <w:szCs w:val="21"/>
          <w:lang w:eastAsia="zh-CN"/>
        </w:rPr>
        <w:t>）</w:t>
      </w:r>
      <w:r>
        <w:rPr>
          <w:szCs w:val="21"/>
        </w:rPr>
        <w:t>检查保险销和铅封是否完好，灭火器筒体外观是否有损伤、变形、锈蚀， 喷嘴是否有变形、开裂、老化、喷射软管应畅通。</w:t>
      </w:r>
    </w:p>
    <w:p>
      <w:pPr>
        <w:pStyle w:val="153"/>
        <w:tabs>
          <w:tab w:val="left" w:pos="1096"/>
        </w:tabs>
        <w:spacing w:line="380" w:lineRule="exact"/>
        <w:ind w:firstLine="680"/>
        <w:rPr>
          <w:szCs w:val="21"/>
        </w:rPr>
      </w:pPr>
      <w:bookmarkStart w:id="248" w:name="bookmark146"/>
      <w:r>
        <w:rPr>
          <w:rFonts w:ascii="Times New Roman" w:hAnsi="Times New Roman" w:eastAsia="Times New Roman" w:cs="Times New Roman"/>
          <w:szCs w:val="21"/>
        </w:rPr>
        <w:t>2</w:t>
      </w:r>
      <w:bookmarkEnd w:id="248"/>
      <w:r>
        <w:rPr>
          <w:szCs w:val="21"/>
        </w:rPr>
        <w:t>、</w:t>
      </w:r>
      <w:r>
        <w:rPr>
          <w:szCs w:val="21"/>
        </w:rPr>
        <w:tab/>
      </w:r>
      <w:r>
        <w:rPr>
          <w:szCs w:val="21"/>
        </w:rPr>
        <w:t>每季检查、测试内容</w:t>
      </w:r>
    </w:p>
    <w:p>
      <w:pPr>
        <w:pStyle w:val="153"/>
        <w:tabs>
          <w:tab w:val="left" w:pos="1120"/>
        </w:tabs>
        <w:spacing w:line="380" w:lineRule="exact"/>
        <w:ind w:firstLine="0"/>
        <w:rPr>
          <w:szCs w:val="21"/>
        </w:rPr>
      </w:pPr>
      <w:bookmarkStart w:id="249" w:name="bookmark147"/>
      <w:bookmarkEnd w:id="249"/>
      <w:r>
        <w:rPr>
          <w:rFonts w:hint="eastAsia"/>
          <w:szCs w:val="21"/>
          <w:lang w:eastAsia="zh-CN"/>
        </w:rPr>
        <w:t>（</w:t>
      </w:r>
      <w:r>
        <w:rPr>
          <w:rFonts w:hint="eastAsia"/>
          <w:szCs w:val="21"/>
          <w:lang w:val="en-US" w:eastAsia="zh-CN"/>
        </w:rPr>
        <w:t>1</w:t>
      </w:r>
      <w:r>
        <w:rPr>
          <w:rFonts w:hint="eastAsia"/>
          <w:szCs w:val="21"/>
          <w:lang w:eastAsia="zh-CN"/>
        </w:rPr>
        <w:t>）</w:t>
      </w:r>
      <w:r>
        <w:rPr>
          <w:szCs w:val="21"/>
        </w:rPr>
        <w:t>检查灭火器瓶体有无过期失效。</w:t>
      </w:r>
    </w:p>
    <w:p>
      <w:pPr>
        <w:pStyle w:val="153"/>
        <w:tabs>
          <w:tab w:val="left" w:pos="1120"/>
        </w:tabs>
        <w:spacing w:line="380" w:lineRule="exact"/>
        <w:ind w:firstLine="0"/>
        <w:rPr>
          <w:szCs w:val="21"/>
        </w:rPr>
      </w:pPr>
      <w:bookmarkStart w:id="250" w:name="bookmark148"/>
      <w:bookmarkEnd w:id="250"/>
      <w:r>
        <w:rPr>
          <w:rFonts w:hint="eastAsia"/>
          <w:szCs w:val="21"/>
          <w:lang w:eastAsia="zh-CN"/>
        </w:rPr>
        <w:t>（</w:t>
      </w:r>
      <w:r>
        <w:rPr>
          <w:rFonts w:hint="eastAsia"/>
          <w:szCs w:val="21"/>
          <w:lang w:val="en-US" w:eastAsia="zh-CN"/>
        </w:rPr>
        <w:t>2</w:t>
      </w:r>
      <w:r>
        <w:rPr>
          <w:rFonts w:hint="eastAsia"/>
          <w:szCs w:val="21"/>
          <w:lang w:eastAsia="zh-CN"/>
        </w:rPr>
        <w:t>）</w:t>
      </w:r>
      <w:r>
        <w:rPr>
          <w:szCs w:val="21"/>
        </w:rPr>
        <w:t>检查灭火剂是否在有效期。</w:t>
      </w:r>
    </w:p>
    <w:p>
      <w:pPr>
        <w:pStyle w:val="153"/>
        <w:spacing w:line="380" w:lineRule="exact"/>
        <w:ind w:firstLine="580"/>
        <w:rPr>
          <w:szCs w:val="21"/>
        </w:rPr>
      </w:pPr>
      <w:r>
        <w:rPr>
          <w:szCs w:val="21"/>
        </w:rPr>
        <w:t>每月、季、年维修保养计划</w:t>
      </w:r>
    </w:p>
    <w:p>
      <w:pPr>
        <w:pStyle w:val="153"/>
        <w:tabs>
          <w:tab w:val="left" w:pos="1077"/>
        </w:tabs>
        <w:spacing w:line="380" w:lineRule="exact"/>
        <w:ind w:firstLine="640"/>
        <w:rPr>
          <w:szCs w:val="21"/>
        </w:rPr>
      </w:pPr>
      <w:bookmarkStart w:id="251" w:name="bookmark149"/>
      <w:r>
        <w:rPr>
          <w:rFonts w:ascii="Times New Roman" w:hAnsi="Times New Roman" w:eastAsia="Times New Roman" w:cs="Times New Roman"/>
          <w:szCs w:val="21"/>
        </w:rPr>
        <w:t>1</w:t>
      </w:r>
      <w:bookmarkEnd w:id="251"/>
      <w:r>
        <w:rPr>
          <w:szCs w:val="21"/>
        </w:rPr>
        <w:t>、</w:t>
      </w:r>
      <w:r>
        <w:rPr>
          <w:szCs w:val="21"/>
        </w:rPr>
        <w:tab/>
      </w:r>
      <w:r>
        <w:rPr>
          <w:szCs w:val="21"/>
        </w:rPr>
        <w:t>每月维修保养计划：在每月的第二个星期开始，按每月维修保养内容， 对火灾自动报警系统、消火栓系统、自动喷水灭火系统、消防广播通讯系统、防 排烟系统等其他系统及事项逐项进行检査、检测、测试、试验。</w:t>
      </w:r>
    </w:p>
    <w:p>
      <w:pPr>
        <w:tabs>
          <w:tab w:val="center" w:pos="4819"/>
        </w:tabs>
        <w:spacing w:line="380" w:lineRule="exact"/>
        <w:ind w:firstLine="630" w:firstLineChars="300"/>
        <w:outlineLvl w:val="0"/>
        <w:rPr>
          <w:szCs w:val="21"/>
        </w:rPr>
      </w:pPr>
      <w:bookmarkStart w:id="252" w:name="bookmark150"/>
      <w:r>
        <w:rPr>
          <w:rFonts w:eastAsia="Times New Roman"/>
          <w:szCs w:val="21"/>
        </w:rPr>
        <w:t>2</w:t>
      </w:r>
      <w:bookmarkEnd w:id="252"/>
      <w:r>
        <w:rPr>
          <w:szCs w:val="21"/>
        </w:rPr>
        <w:t>、</w:t>
      </w:r>
      <w:r>
        <w:rPr>
          <w:szCs w:val="21"/>
        </w:rPr>
        <w:tab/>
      </w:r>
      <w:r>
        <w:rPr>
          <w:szCs w:val="21"/>
        </w:rPr>
        <w:t>季度维修保养计划：每季度最后一个月的第二个星期，将该月的维修保 养项目与季度维修保养内容合在一起，按每月、季的维护保养内容，对火灾自动 报警系统、消火栓系统、自动喷水灭火系统、消防广播通讯系统、防排烟系统等 其他系统及事项逐项进行检査、检测、测试、试验。</w:t>
      </w:r>
    </w:p>
    <w:p>
      <w:pPr>
        <w:tabs>
          <w:tab w:val="center" w:pos="4819"/>
        </w:tabs>
        <w:spacing w:line="380" w:lineRule="exact"/>
        <w:outlineLvl w:val="0"/>
        <w:rPr>
          <w:szCs w:val="21"/>
        </w:rPr>
      </w:pPr>
      <w:r>
        <w:rPr>
          <w:rFonts w:hint="eastAsia"/>
          <w:szCs w:val="21"/>
        </w:rPr>
        <w:t>附表1：</w:t>
      </w:r>
      <w:r>
        <w:rPr>
          <w:szCs w:val="21"/>
        </w:rPr>
        <w:t>消防设备维护内容和维护频率</w:t>
      </w:r>
    </w:p>
    <w:tbl>
      <w:tblPr>
        <w:tblStyle w:val="4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355"/>
        <w:gridCol w:w="434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2" w:hRule="exact"/>
          <w:jc w:val="center"/>
        </w:trPr>
        <w:tc>
          <w:tcPr>
            <w:tcW w:w="2355" w:type="dxa"/>
            <w:shd w:val="clear" w:color="auto" w:fill="FFFFFF"/>
            <w:noWrap w:val="0"/>
            <w:vAlign w:val="bottom"/>
          </w:tcPr>
          <w:p>
            <w:pPr>
              <w:pStyle w:val="125"/>
              <w:spacing w:line="360" w:lineRule="exact"/>
              <w:ind w:left="1200" w:firstLine="0"/>
              <w:rPr>
                <w:szCs w:val="21"/>
              </w:rPr>
            </w:pPr>
            <w:r>
              <w:rPr>
                <w:szCs w:val="21"/>
              </w:rPr>
              <w:t>维护项目</w:t>
            </w:r>
          </w:p>
        </w:tc>
        <w:tc>
          <w:tcPr>
            <w:tcW w:w="4344" w:type="dxa"/>
            <w:shd w:val="clear" w:color="auto" w:fill="FFFFFF"/>
            <w:noWrap w:val="0"/>
            <w:vAlign w:val="bottom"/>
          </w:tcPr>
          <w:p>
            <w:pPr>
              <w:pStyle w:val="125"/>
              <w:tabs>
                <w:tab w:val="left" w:pos="4193"/>
              </w:tabs>
              <w:spacing w:line="360" w:lineRule="exact"/>
              <w:ind w:left="1980" w:firstLine="0"/>
              <w:rPr>
                <w:szCs w:val="21"/>
              </w:rPr>
            </w:pPr>
            <w:r>
              <w:rPr>
                <w:szCs w:val="21"/>
              </w:rPr>
              <w:t>内容</w:t>
            </w:r>
            <w:r>
              <w:rPr>
                <w:szCs w:val="21"/>
              </w:rPr>
              <w:tab/>
            </w:r>
          </w:p>
        </w:tc>
        <w:tc>
          <w:tcPr>
            <w:tcW w:w="2470" w:type="dxa"/>
            <w:shd w:val="clear" w:color="auto" w:fill="FFFFFF"/>
            <w:noWrap w:val="0"/>
            <w:vAlign w:val="bottom"/>
          </w:tcPr>
          <w:p>
            <w:pPr>
              <w:pStyle w:val="125"/>
              <w:spacing w:line="360" w:lineRule="exact"/>
              <w:ind w:firstLine="240"/>
              <w:rPr>
                <w:szCs w:val="21"/>
              </w:rPr>
            </w:pPr>
            <w:r>
              <w:rPr>
                <w:szCs w:val="21"/>
              </w:rPr>
              <w:t>维护频率（月）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jc w:val="center"/>
        </w:trPr>
        <w:tc>
          <w:tcPr>
            <w:tcW w:w="2355" w:type="dxa"/>
            <w:shd w:val="clear" w:color="auto" w:fill="FFFFFF"/>
            <w:noWrap w:val="0"/>
            <w:vAlign w:val="center"/>
          </w:tcPr>
          <w:p>
            <w:pPr>
              <w:pStyle w:val="125"/>
              <w:spacing w:line="360" w:lineRule="exact"/>
              <w:rPr>
                <w:szCs w:val="21"/>
              </w:rPr>
            </w:pPr>
            <w:r>
              <w:rPr>
                <w:szCs w:val="21"/>
              </w:rPr>
              <w:t>消防供配电系统</w:t>
            </w:r>
          </w:p>
        </w:tc>
        <w:tc>
          <w:tcPr>
            <w:tcW w:w="4344" w:type="dxa"/>
            <w:shd w:val="clear" w:color="auto" w:fill="FFFFFF"/>
            <w:noWrap w:val="0"/>
            <w:vAlign w:val="center"/>
          </w:tcPr>
          <w:p>
            <w:pPr>
              <w:pStyle w:val="125"/>
              <w:tabs>
                <w:tab w:val="left" w:pos="3974"/>
              </w:tabs>
              <w:spacing w:line="360" w:lineRule="exact"/>
              <w:ind w:firstLine="0"/>
              <w:rPr>
                <w:szCs w:val="21"/>
              </w:rPr>
            </w:pPr>
            <w:r>
              <w:rPr>
                <w:szCs w:val="21"/>
              </w:rPr>
              <w:t>手动调试，相关设备在保护的前提下，运行10分钟，切换双电源等；</w:t>
            </w:r>
          </w:p>
        </w:tc>
        <w:tc>
          <w:tcPr>
            <w:tcW w:w="2470" w:type="dxa"/>
            <w:shd w:val="clear" w:color="auto" w:fill="FFFFFF"/>
            <w:noWrap w:val="0"/>
            <w:vAlign w:val="center"/>
          </w:tcPr>
          <w:p>
            <w:pPr>
              <w:pStyle w:val="125"/>
              <w:spacing w:line="360" w:lineRule="exact"/>
              <w:ind w:firstLine="0"/>
              <w:rPr>
                <w:szCs w:val="21"/>
              </w:rPr>
            </w:pPr>
            <w:r>
              <w:rPr>
                <w:szCs w:val="21"/>
              </w:rPr>
              <w:t>100%全维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8" w:hRule="exact"/>
          <w:jc w:val="center"/>
        </w:trPr>
        <w:tc>
          <w:tcPr>
            <w:tcW w:w="2355" w:type="dxa"/>
            <w:shd w:val="clear" w:color="auto" w:fill="FFFFFF"/>
            <w:noWrap w:val="0"/>
            <w:vAlign w:val="center"/>
          </w:tcPr>
          <w:p>
            <w:pPr>
              <w:pStyle w:val="125"/>
              <w:spacing w:line="360" w:lineRule="exact"/>
              <w:ind w:firstLine="0"/>
              <w:rPr>
                <w:szCs w:val="21"/>
              </w:rPr>
            </w:pPr>
            <w:r>
              <w:rPr>
                <w:szCs w:val="21"/>
              </w:rPr>
              <w:t>火灾自动报警及联动 控制系统</w:t>
            </w:r>
          </w:p>
        </w:tc>
        <w:tc>
          <w:tcPr>
            <w:tcW w:w="4344" w:type="dxa"/>
            <w:shd w:val="clear" w:color="auto" w:fill="FFFFFF"/>
            <w:noWrap w:val="0"/>
            <w:vAlign w:val="center"/>
          </w:tcPr>
          <w:p>
            <w:pPr>
              <w:pStyle w:val="125"/>
              <w:spacing w:line="360" w:lineRule="exact"/>
              <w:ind w:firstLine="0"/>
              <w:rPr>
                <w:szCs w:val="21"/>
              </w:rPr>
            </w:pPr>
            <w:r>
              <w:rPr>
                <w:szCs w:val="21"/>
              </w:rPr>
              <w:t>主机自检功能，主备电源切换及电池检査， 故障信息査询，运程控制各类设备放火卷! 帘，防排烟风机，消防广播、消防电话等；</w:t>
            </w:r>
          </w:p>
        </w:tc>
        <w:tc>
          <w:tcPr>
            <w:tcW w:w="2470" w:type="dxa"/>
            <w:shd w:val="clear" w:color="auto" w:fill="FFFFFF"/>
            <w:noWrap w:val="0"/>
            <w:vAlign w:val="center"/>
          </w:tcPr>
          <w:p>
            <w:pPr>
              <w:pStyle w:val="125"/>
              <w:spacing w:line="360" w:lineRule="exact"/>
              <w:ind w:firstLine="0"/>
              <w:rPr>
                <w:szCs w:val="21"/>
              </w:rPr>
            </w:pPr>
            <w:r>
              <w:rPr>
                <w:szCs w:val="21"/>
              </w:rPr>
              <w:t>100%全维（探头20%, 至少半年内检测一次）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8" w:hRule="exact"/>
          <w:jc w:val="center"/>
        </w:trPr>
        <w:tc>
          <w:tcPr>
            <w:tcW w:w="2355" w:type="dxa"/>
            <w:shd w:val="clear" w:color="auto" w:fill="FFFFFF"/>
            <w:noWrap w:val="0"/>
            <w:vAlign w:val="center"/>
          </w:tcPr>
          <w:p>
            <w:pPr>
              <w:pStyle w:val="125"/>
              <w:spacing w:line="360" w:lineRule="exact"/>
              <w:rPr>
                <w:szCs w:val="21"/>
              </w:rPr>
            </w:pPr>
            <w:r>
              <w:rPr>
                <w:szCs w:val="21"/>
              </w:rPr>
              <w:t>自动喷淋灭火系统</w:t>
            </w:r>
          </w:p>
        </w:tc>
        <w:tc>
          <w:tcPr>
            <w:tcW w:w="4344" w:type="dxa"/>
            <w:shd w:val="clear" w:color="auto" w:fill="FFFFFF"/>
            <w:noWrap w:val="0"/>
            <w:vAlign w:val="center"/>
          </w:tcPr>
          <w:p>
            <w:pPr>
              <w:pStyle w:val="125"/>
              <w:tabs>
                <w:tab w:val="left" w:pos="4090"/>
              </w:tabs>
              <w:spacing w:line="360" w:lineRule="exact"/>
              <w:ind w:firstLine="0"/>
              <w:rPr>
                <w:szCs w:val="21"/>
              </w:rPr>
            </w:pPr>
            <w:r>
              <w:rPr>
                <w:szCs w:val="21"/>
              </w:rPr>
              <w:t>管道标志漆脱落，对湿度较高部位每年涂 防锈油漆2次，再刷消防标志漆，对一般场所每2年对整个消防管道、支架再刷一次油漆。每个水泵运行20分钟、每个</w:t>
            </w:r>
            <w:r>
              <w:rPr>
                <w:rFonts w:hint="eastAsia"/>
                <w:szCs w:val="21"/>
                <w:lang w:eastAsia="zh-CN"/>
              </w:rPr>
              <w:t>报</w:t>
            </w:r>
            <w:r>
              <w:rPr>
                <w:szCs w:val="21"/>
              </w:rPr>
              <w:t>警阀用末端防水试验一次，计算时间，接合器组件等；</w:t>
            </w:r>
            <w:r>
              <w:rPr>
                <w:szCs w:val="21"/>
              </w:rPr>
              <w:tab/>
            </w:r>
          </w:p>
        </w:tc>
        <w:tc>
          <w:tcPr>
            <w:tcW w:w="2470" w:type="dxa"/>
            <w:shd w:val="clear" w:color="auto" w:fill="FFFFFF"/>
            <w:noWrap w:val="0"/>
            <w:vAlign w:val="center"/>
          </w:tcPr>
          <w:p>
            <w:pPr>
              <w:pStyle w:val="125"/>
              <w:spacing w:after="60" w:line="360" w:lineRule="exact"/>
              <w:ind w:firstLine="0"/>
              <w:rPr>
                <w:szCs w:val="21"/>
              </w:rPr>
            </w:pPr>
            <w:r>
              <w:rPr>
                <w:szCs w:val="21"/>
              </w:rPr>
              <w:t>水泵、末端防水试验</w:t>
            </w:r>
          </w:p>
          <w:p>
            <w:pPr>
              <w:pStyle w:val="125"/>
              <w:spacing w:line="360" w:lineRule="exact"/>
              <w:ind w:firstLine="0"/>
              <w:rPr>
                <w:szCs w:val="21"/>
              </w:rPr>
            </w:pPr>
            <w:r>
              <w:rPr>
                <w:szCs w:val="21"/>
              </w:rPr>
              <w:t>100%全维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4" w:hRule="exact"/>
          <w:jc w:val="center"/>
        </w:trPr>
        <w:tc>
          <w:tcPr>
            <w:tcW w:w="2355" w:type="dxa"/>
            <w:shd w:val="clear" w:color="auto" w:fill="FFFFFF"/>
            <w:noWrap w:val="0"/>
            <w:vAlign w:val="center"/>
          </w:tcPr>
          <w:p>
            <w:pPr>
              <w:pStyle w:val="125"/>
              <w:spacing w:line="360" w:lineRule="exact"/>
              <w:rPr>
                <w:szCs w:val="21"/>
              </w:rPr>
            </w:pPr>
            <w:r>
              <w:rPr>
                <w:szCs w:val="21"/>
              </w:rPr>
              <w:t>消火栓给水系统</w:t>
            </w:r>
          </w:p>
        </w:tc>
        <w:tc>
          <w:tcPr>
            <w:tcW w:w="4344" w:type="dxa"/>
            <w:shd w:val="clear" w:color="auto" w:fill="FFFFFF"/>
            <w:noWrap w:val="0"/>
            <w:vAlign w:val="center"/>
          </w:tcPr>
          <w:p>
            <w:pPr>
              <w:pStyle w:val="125"/>
              <w:spacing w:line="360" w:lineRule="exact"/>
              <w:ind w:firstLine="0"/>
              <w:rPr>
                <w:szCs w:val="21"/>
              </w:rPr>
            </w:pPr>
            <w:r>
              <w:rPr>
                <w:szCs w:val="21"/>
              </w:rPr>
              <w:t>包括消防泵、各类消防管道、各类消防管 道阀门开关、稳压设备、消防栓箱子，玻璃，水带、水枪、软管、干粉灭火器，室外消防栓一年一次油漆、上润滑油、接合器组件等；</w:t>
            </w:r>
          </w:p>
        </w:tc>
        <w:tc>
          <w:tcPr>
            <w:tcW w:w="2470" w:type="dxa"/>
            <w:shd w:val="clear" w:color="auto" w:fill="FFFFFF"/>
            <w:noWrap w:val="0"/>
            <w:vAlign w:val="center"/>
          </w:tcPr>
          <w:p>
            <w:pPr>
              <w:pStyle w:val="125"/>
              <w:spacing w:line="360" w:lineRule="exact"/>
              <w:ind w:firstLine="0"/>
              <w:rPr>
                <w:szCs w:val="21"/>
              </w:rPr>
            </w:pPr>
            <w:r>
              <w:rPr>
                <w:szCs w:val="21"/>
              </w:rPr>
              <w:t>消防泵100%全维（消 防栓箱40%,至少一个 季度内检测一次，灭火 器半年一次）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2" w:hRule="exact"/>
          <w:jc w:val="center"/>
        </w:trPr>
        <w:tc>
          <w:tcPr>
            <w:tcW w:w="2355" w:type="dxa"/>
            <w:shd w:val="clear" w:color="auto" w:fill="FFFFFF"/>
            <w:noWrap w:val="0"/>
            <w:vAlign w:val="center"/>
          </w:tcPr>
          <w:p>
            <w:pPr>
              <w:pStyle w:val="125"/>
              <w:spacing w:line="360" w:lineRule="exact"/>
              <w:rPr>
                <w:szCs w:val="21"/>
              </w:rPr>
            </w:pPr>
            <w:r>
              <w:rPr>
                <w:szCs w:val="21"/>
              </w:rPr>
              <w:t>气体灭火系统</w:t>
            </w:r>
          </w:p>
        </w:tc>
        <w:tc>
          <w:tcPr>
            <w:tcW w:w="4344" w:type="dxa"/>
            <w:shd w:val="clear" w:color="auto" w:fill="FFFFFF"/>
            <w:noWrap w:val="0"/>
            <w:vAlign w:val="center"/>
          </w:tcPr>
          <w:p>
            <w:pPr>
              <w:pStyle w:val="125"/>
              <w:spacing w:line="360" w:lineRule="exact"/>
              <w:ind w:firstLine="0"/>
              <w:rPr>
                <w:szCs w:val="21"/>
              </w:rPr>
            </w:pPr>
            <w:r>
              <w:rPr>
                <w:szCs w:val="21"/>
              </w:rPr>
              <w:t>控制柜、控制阀门、泄压装置、各类检验 设备、容器瓶组、灭火剂重量或压力检查、 模拟试验；</w:t>
            </w:r>
          </w:p>
        </w:tc>
        <w:tc>
          <w:tcPr>
            <w:tcW w:w="2470" w:type="dxa"/>
            <w:shd w:val="clear" w:color="auto" w:fill="FFFFFF"/>
            <w:noWrap w:val="0"/>
            <w:vAlign w:val="center"/>
          </w:tcPr>
          <w:p>
            <w:pPr>
              <w:pStyle w:val="125"/>
              <w:spacing w:line="360" w:lineRule="exact"/>
              <w:ind w:firstLine="0"/>
              <w:rPr>
                <w:szCs w:val="21"/>
              </w:rPr>
            </w:pPr>
            <w:r>
              <w:rPr>
                <w:szCs w:val="21"/>
              </w:rPr>
              <w:t>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5" w:hRule="exact"/>
          <w:jc w:val="center"/>
        </w:trPr>
        <w:tc>
          <w:tcPr>
            <w:tcW w:w="2355" w:type="dxa"/>
            <w:shd w:val="clear" w:color="auto" w:fill="FFFFFF"/>
            <w:noWrap w:val="0"/>
            <w:vAlign w:val="center"/>
          </w:tcPr>
          <w:p>
            <w:pPr>
              <w:pStyle w:val="125"/>
              <w:spacing w:line="360" w:lineRule="exact"/>
              <w:rPr>
                <w:szCs w:val="21"/>
              </w:rPr>
            </w:pPr>
            <w:r>
              <w:rPr>
                <w:szCs w:val="21"/>
              </w:rPr>
              <w:t>防排烟系统</w:t>
            </w:r>
          </w:p>
        </w:tc>
        <w:tc>
          <w:tcPr>
            <w:tcW w:w="4344" w:type="dxa"/>
            <w:shd w:val="clear" w:color="auto" w:fill="FFFFFF"/>
            <w:noWrap w:val="0"/>
            <w:vAlign w:val="center"/>
          </w:tcPr>
          <w:p>
            <w:pPr>
              <w:pStyle w:val="125"/>
              <w:spacing w:line="360" w:lineRule="exact"/>
              <w:ind w:firstLine="0"/>
              <w:rPr>
                <w:szCs w:val="21"/>
              </w:rPr>
            </w:pPr>
            <w:r>
              <w:rPr>
                <w:szCs w:val="21"/>
              </w:rPr>
              <w:t>包括送风、排烟风机、控制柜、防火阀、 风管管道、固定支点、风口及保护罩等；</w:t>
            </w:r>
          </w:p>
        </w:tc>
        <w:tc>
          <w:tcPr>
            <w:tcW w:w="2470" w:type="dxa"/>
            <w:shd w:val="clear" w:color="auto" w:fill="FFFFFF"/>
            <w:noWrap w:val="0"/>
            <w:vAlign w:val="center"/>
          </w:tcPr>
          <w:p>
            <w:pPr>
              <w:pStyle w:val="125"/>
              <w:spacing w:line="360" w:lineRule="exact"/>
              <w:ind w:firstLine="0"/>
              <w:rPr>
                <w:szCs w:val="21"/>
              </w:rPr>
            </w:pPr>
            <w:r>
              <w:rPr>
                <w:szCs w:val="21"/>
              </w:rPr>
              <w:t>送风、排烟风机</w:t>
            </w:r>
            <w:r>
              <w:rPr>
                <w:rFonts w:ascii="Times New Roman" w:hAnsi="Times New Roman" w:eastAsia="Times New Roman" w:cs="Times New Roman"/>
                <w:szCs w:val="21"/>
              </w:rPr>
              <w:t xml:space="preserve">100% </w:t>
            </w:r>
            <w:r>
              <w:rPr>
                <w:szCs w:val="21"/>
              </w:rPr>
              <w:t xml:space="preserve">全维，防火阀风口及保 护罩一个季度内检测 </w:t>
            </w:r>
            <w:r>
              <w:rPr>
                <w:szCs w:val="21"/>
                <w:lang w:val="zh-CN" w:eastAsia="zh-CN" w:bidi="zh-CN"/>
              </w:rPr>
              <w:t>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jc w:val="center"/>
        </w:trPr>
        <w:tc>
          <w:tcPr>
            <w:tcW w:w="2355" w:type="dxa"/>
            <w:shd w:val="clear" w:color="auto" w:fill="FFFFFF"/>
            <w:noWrap w:val="0"/>
            <w:vAlign w:val="center"/>
          </w:tcPr>
          <w:p>
            <w:pPr>
              <w:pStyle w:val="125"/>
              <w:spacing w:line="360" w:lineRule="exact"/>
              <w:ind w:firstLine="0"/>
              <w:rPr>
                <w:szCs w:val="21"/>
              </w:rPr>
            </w:pPr>
            <w:r>
              <w:rPr>
                <w:szCs w:val="21"/>
              </w:rPr>
              <w:t>火灾应急照明及疏散指示</w:t>
            </w:r>
          </w:p>
        </w:tc>
        <w:tc>
          <w:tcPr>
            <w:tcW w:w="4344" w:type="dxa"/>
            <w:shd w:val="clear" w:color="auto" w:fill="FFFFFF"/>
            <w:noWrap w:val="0"/>
            <w:vAlign w:val="center"/>
          </w:tcPr>
          <w:p>
            <w:pPr>
              <w:pStyle w:val="125"/>
              <w:spacing w:line="360" w:lineRule="exact"/>
              <w:ind w:firstLine="0"/>
              <w:rPr>
                <w:szCs w:val="21"/>
              </w:rPr>
            </w:pPr>
            <w:r>
              <w:rPr>
                <w:szCs w:val="21"/>
              </w:rPr>
              <w:t xml:space="preserve">各种应急灯和疏散指示标志亮度及应急时 </w:t>
            </w:r>
            <w:r>
              <w:rPr>
                <w:i/>
                <w:iCs/>
                <w:szCs w:val="21"/>
              </w:rPr>
              <w:t>旬</w:t>
            </w:r>
          </w:p>
        </w:tc>
        <w:tc>
          <w:tcPr>
            <w:tcW w:w="2470" w:type="dxa"/>
            <w:shd w:val="clear" w:color="auto" w:fill="FFFFFF"/>
            <w:noWrap w:val="0"/>
            <w:vAlign w:val="center"/>
          </w:tcPr>
          <w:p>
            <w:pPr>
              <w:pStyle w:val="125"/>
              <w:spacing w:line="360" w:lineRule="exact"/>
              <w:ind w:firstLine="0"/>
              <w:rPr>
                <w:szCs w:val="21"/>
              </w:rPr>
            </w:pPr>
            <w:r>
              <w:rPr>
                <w:szCs w:val="21"/>
              </w:rPr>
              <w:t>每月</w:t>
            </w:r>
            <w:r>
              <w:rPr>
                <w:rFonts w:ascii="Times New Roman" w:hAnsi="Times New Roman" w:eastAsia="Times New Roman" w:cs="Times New Roman"/>
                <w:szCs w:val="21"/>
              </w:rPr>
              <w:t>40%</w:t>
            </w:r>
            <w:r>
              <w:rPr>
                <w:szCs w:val="21"/>
              </w:rPr>
              <w:t>至少一个度内</w:t>
            </w:r>
            <w:r>
              <w:rPr>
                <w:rFonts w:ascii="Times New Roman" w:hAnsi="Times New Roman" w:eastAsia="Times New Roman" w:cs="Times New Roman"/>
                <w:szCs w:val="21"/>
              </w:rPr>
              <w:t xml:space="preserve">1 </w:t>
            </w:r>
            <w:r>
              <w:rPr>
                <w:szCs w:val="21"/>
              </w:rPr>
              <w:t>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2" w:hRule="exact"/>
          <w:jc w:val="center"/>
        </w:trPr>
        <w:tc>
          <w:tcPr>
            <w:tcW w:w="2355" w:type="dxa"/>
            <w:shd w:val="clear" w:color="auto" w:fill="FFFFFF"/>
            <w:noWrap w:val="0"/>
            <w:vAlign w:val="center"/>
          </w:tcPr>
          <w:p>
            <w:pPr>
              <w:pStyle w:val="125"/>
              <w:spacing w:line="360" w:lineRule="exact"/>
              <w:ind w:firstLine="0"/>
              <w:rPr>
                <w:szCs w:val="21"/>
              </w:rPr>
            </w:pPr>
            <w:r>
              <w:rPr>
                <w:szCs w:val="21"/>
              </w:rPr>
              <w:t>火灾应急广播及警报装置</w:t>
            </w:r>
          </w:p>
        </w:tc>
        <w:tc>
          <w:tcPr>
            <w:tcW w:w="4344" w:type="dxa"/>
            <w:shd w:val="clear" w:color="auto" w:fill="FFFFFF"/>
            <w:noWrap w:val="0"/>
            <w:vAlign w:val="center"/>
          </w:tcPr>
          <w:p>
            <w:pPr>
              <w:pStyle w:val="125"/>
              <w:spacing w:line="360" w:lineRule="exact"/>
              <w:ind w:firstLine="0"/>
              <w:rPr>
                <w:szCs w:val="21"/>
              </w:rPr>
            </w:pPr>
            <w:r>
              <w:rPr>
                <w:szCs w:val="21"/>
              </w:rPr>
              <w:t>消防广播主机及消防扬声器。声光报警装置</w:t>
            </w:r>
          </w:p>
        </w:tc>
        <w:tc>
          <w:tcPr>
            <w:tcW w:w="2470" w:type="dxa"/>
            <w:shd w:val="clear" w:color="auto" w:fill="FFFFFF"/>
            <w:noWrap w:val="0"/>
            <w:vAlign w:val="center"/>
          </w:tcPr>
          <w:p>
            <w:pPr>
              <w:pStyle w:val="125"/>
              <w:spacing w:line="360" w:lineRule="exact"/>
              <w:ind w:firstLine="0"/>
              <w:rPr>
                <w:szCs w:val="21"/>
              </w:rPr>
            </w:pPr>
            <w:r>
              <w:rPr>
                <w:szCs w:val="21"/>
              </w:rPr>
              <w:t>广播主机全检，扬声器，声光报警装置</w:t>
            </w:r>
            <w:r>
              <w:rPr>
                <w:rFonts w:ascii="Times New Roman" w:hAnsi="Times New Roman" w:eastAsia="Times New Roman" w:cs="Times New Roman"/>
                <w:szCs w:val="21"/>
              </w:rPr>
              <w:t>20%</w:t>
            </w:r>
          </w:p>
          <w:p>
            <w:pPr>
              <w:pStyle w:val="125"/>
              <w:spacing w:line="360" w:lineRule="exact"/>
              <w:ind w:firstLine="0"/>
              <w:rPr>
                <w:szCs w:val="21"/>
              </w:rPr>
            </w:pPr>
            <w:r>
              <w:rPr>
                <w:szCs w:val="21"/>
              </w:rPr>
              <w:t>半年度检测一次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2355" w:type="dxa"/>
            <w:shd w:val="clear" w:color="auto" w:fill="FFFFFF"/>
            <w:noWrap w:val="0"/>
            <w:vAlign w:val="center"/>
          </w:tcPr>
          <w:p>
            <w:pPr>
              <w:pStyle w:val="125"/>
              <w:spacing w:line="360" w:lineRule="exact"/>
              <w:rPr>
                <w:szCs w:val="21"/>
              </w:rPr>
            </w:pPr>
            <w:r>
              <w:rPr>
                <w:szCs w:val="21"/>
              </w:rPr>
              <w:t>消防通讯</w:t>
            </w:r>
          </w:p>
        </w:tc>
        <w:tc>
          <w:tcPr>
            <w:tcW w:w="4344" w:type="dxa"/>
            <w:shd w:val="clear" w:color="auto" w:fill="FFFFFF"/>
            <w:noWrap w:val="0"/>
            <w:vAlign w:val="center"/>
          </w:tcPr>
          <w:p>
            <w:pPr>
              <w:pStyle w:val="125"/>
              <w:spacing w:line="360" w:lineRule="exact"/>
              <w:ind w:firstLine="0"/>
              <w:rPr>
                <w:szCs w:val="21"/>
              </w:rPr>
            </w:pPr>
            <w:r>
              <w:rPr>
                <w:szCs w:val="21"/>
              </w:rPr>
              <w:t>消防电话主机以及各设备间的消防电话机 等；</w:t>
            </w:r>
          </w:p>
        </w:tc>
        <w:tc>
          <w:tcPr>
            <w:tcW w:w="2470" w:type="dxa"/>
            <w:shd w:val="clear" w:color="auto" w:fill="FFFFFF"/>
            <w:noWrap w:val="0"/>
            <w:vAlign w:val="center"/>
          </w:tcPr>
          <w:p>
            <w:pPr>
              <w:pStyle w:val="125"/>
              <w:spacing w:line="360" w:lineRule="exact"/>
              <w:ind w:firstLine="0"/>
              <w:rPr>
                <w:szCs w:val="21"/>
              </w:rPr>
            </w:pPr>
            <w:r>
              <w:rPr>
                <w:rFonts w:ascii="Times New Roman" w:hAnsi="Times New Roman" w:eastAsia="Times New Roman" w:cs="Times New Roman"/>
                <w:szCs w:val="21"/>
              </w:rPr>
              <w:t>20%,</w:t>
            </w:r>
            <w:r>
              <w:rPr>
                <w:szCs w:val="21"/>
              </w:rPr>
              <w:t>半年内全检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exact"/>
          <w:jc w:val="center"/>
        </w:trPr>
        <w:tc>
          <w:tcPr>
            <w:tcW w:w="2355" w:type="dxa"/>
            <w:shd w:val="clear" w:color="auto" w:fill="FFFFFF"/>
            <w:noWrap w:val="0"/>
            <w:vAlign w:val="center"/>
          </w:tcPr>
          <w:p>
            <w:pPr>
              <w:pStyle w:val="125"/>
              <w:spacing w:line="360" w:lineRule="exact"/>
              <w:rPr>
                <w:szCs w:val="21"/>
              </w:rPr>
            </w:pPr>
            <w:r>
              <w:rPr>
                <w:szCs w:val="21"/>
              </w:rPr>
              <w:t>防火分隔</w:t>
            </w:r>
          </w:p>
        </w:tc>
        <w:tc>
          <w:tcPr>
            <w:tcW w:w="4344" w:type="dxa"/>
            <w:shd w:val="clear" w:color="auto" w:fill="FFFFFF"/>
            <w:noWrap w:val="0"/>
            <w:vAlign w:val="center"/>
          </w:tcPr>
          <w:p>
            <w:pPr>
              <w:pStyle w:val="125"/>
              <w:spacing w:line="360" w:lineRule="exact"/>
              <w:ind w:firstLine="0"/>
              <w:rPr>
                <w:szCs w:val="21"/>
              </w:rPr>
            </w:pPr>
            <w:r>
              <w:rPr>
                <w:szCs w:val="21"/>
              </w:rPr>
              <w:t>坊火门、闭门器、顺位器，防火卷帘手动、 自动开门，电机、轨道、帘体、金属部分 一年一次防锈漆等；</w:t>
            </w:r>
          </w:p>
        </w:tc>
        <w:tc>
          <w:tcPr>
            <w:tcW w:w="2470" w:type="dxa"/>
            <w:shd w:val="clear" w:color="auto" w:fill="FFFFFF"/>
            <w:noWrap w:val="0"/>
            <w:vAlign w:val="center"/>
          </w:tcPr>
          <w:p>
            <w:pPr>
              <w:pStyle w:val="125"/>
              <w:spacing w:line="360" w:lineRule="exact"/>
              <w:ind w:firstLine="0"/>
              <w:rPr>
                <w:szCs w:val="21"/>
              </w:rPr>
            </w:pPr>
            <w:r>
              <w:rPr>
                <w:szCs w:val="21"/>
              </w:rPr>
              <w:t>卷帘全维,防火门</w:t>
            </w:r>
            <w:r>
              <w:rPr>
                <w:rFonts w:ascii="Times New Roman" w:hAnsi="Times New Roman" w:eastAsia="Times New Roman" w:cs="Times New Roman"/>
                <w:szCs w:val="21"/>
              </w:rPr>
              <w:t xml:space="preserve">20% </w:t>
            </w:r>
            <w:r>
              <w:rPr>
                <w:szCs w:val="21"/>
              </w:rPr>
              <w:t>至少半年内检测一次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exact"/>
          <w:jc w:val="center"/>
        </w:trPr>
        <w:tc>
          <w:tcPr>
            <w:tcW w:w="2355" w:type="dxa"/>
            <w:shd w:val="clear" w:color="auto" w:fill="FFFFFF"/>
            <w:noWrap w:val="0"/>
            <w:vAlign w:val="center"/>
          </w:tcPr>
          <w:p>
            <w:pPr>
              <w:pStyle w:val="125"/>
              <w:spacing w:line="360" w:lineRule="exact"/>
              <w:rPr>
                <w:szCs w:val="21"/>
              </w:rPr>
            </w:pPr>
            <w:r>
              <w:rPr>
                <w:szCs w:val="21"/>
              </w:rPr>
              <w:t>其他设施</w:t>
            </w:r>
          </w:p>
        </w:tc>
        <w:tc>
          <w:tcPr>
            <w:tcW w:w="4344" w:type="dxa"/>
            <w:shd w:val="clear" w:color="auto" w:fill="FFFFFF"/>
            <w:noWrap w:val="0"/>
            <w:vAlign w:val="center"/>
          </w:tcPr>
          <w:p>
            <w:pPr>
              <w:pStyle w:val="125"/>
              <w:spacing w:line="360" w:lineRule="exact"/>
              <w:ind w:firstLine="0"/>
              <w:rPr>
                <w:szCs w:val="21"/>
              </w:rPr>
            </w:pPr>
            <w:r>
              <w:rPr>
                <w:szCs w:val="21"/>
              </w:rPr>
              <w:t>灭火器及药剂有效时间及压力，消防设备, 管道张贴各类标语等；</w:t>
            </w:r>
          </w:p>
        </w:tc>
        <w:tc>
          <w:tcPr>
            <w:tcW w:w="2470" w:type="dxa"/>
            <w:shd w:val="clear" w:color="auto" w:fill="FFFFFF"/>
            <w:noWrap w:val="0"/>
            <w:vAlign w:val="center"/>
          </w:tcPr>
          <w:p>
            <w:pPr>
              <w:pStyle w:val="125"/>
              <w:spacing w:line="360" w:lineRule="exact"/>
              <w:ind w:firstLine="0"/>
              <w:rPr>
                <w:szCs w:val="21"/>
              </w:rPr>
            </w:pPr>
            <w:r>
              <w:rPr>
                <w:szCs w:val="21"/>
              </w:rPr>
              <w:t>每月</w:t>
            </w:r>
            <w:r>
              <w:rPr>
                <w:rFonts w:ascii="Times New Roman" w:hAnsi="Times New Roman" w:eastAsia="Times New Roman" w:cs="Times New Roman"/>
                <w:szCs w:val="21"/>
              </w:rPr>
              <w:t>40%,</w:t>
            </w:r>
            <w:r>
              <w:rPr>
                <w:szCs w:val="21"/>
              </w:rPr>
              <w:t>每季度全检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7" w:hRule="exact"/>
          <w:jc w:val="center"/>
        </w:trPr>
        <w:tc>
          <w:tcPr>
            <w:tcW w:w="2355" w:type="dxa"/>
            <w:shd w:val="clear" w:color="auto" w:fill="FFFFFF"/>
            <w:noWrap w:val="0"/>
            <w:vAlign w:val="center"/>
          </w:tcPr>
          <w:p>
            <w:pPr>
              <w:pStyle w:val="125"/>
              <w:spacing w:line="360" w:lineRule="exact"/>
              <w:rPr>
                <w:szCs w:val="21"/>
              </w:rPr>
            </w:pPr>
            <w:r>
              <w:rPr>
                <w:szCs w:val="21"/>
              </w:rPr>
              <w:t>设备清洗</w:t>
            </w:r>
          </w:p>
        </w:tc>
        <w:tc>
          <w:tcPr>
            <w:tcW w:w="4344" w:type="dxa"/>
            <w:shd w:val="clear" w:color="auto" w:fill="FFFFFF"/>
            <w:noWrap w:val="0"/>
            <w:vAlign w:val="center"/>
          </w:tcPr>
          <w:p>
            <w:pPr>
              <w:pStyle w:val="125"/>
              <w:spacing w:line="360" w:lineRule="exact"/>
              <w:ind w:firstLine="0"/>
              <w:rPr>
                <w:szCs w:val="21"/>
              </w:rPr>
            </w:pPr>
            <w:r>
              <w:rPr>
                <w:rFonts w:ascii="Times New Roman" w:hAnsi="Times New Roman" w:eastAsia="Times New Roman" w:cs="Times New Roman"/>
                <w:szCs w:val="21"/>
              </w:rPr>
              <w:t>1</w:t>
            </w:r>
            <w:r>
              <w:rPr>
                <w:szCs w:val="21"/>
              </w:rPr>
              <w:t>年内对所有烟感、温感、手报进行</w:t>
            </w:r>
            <w:r>
              <w:rPr>
                <w:rFonts w:ascii="Times New Roman" w:hAnsi="Times New Roman" w:eastAsia="Times New Roman" w:cs="Times New Roman"/>
                <w:szCs w:val="21"/>
              </w:rPr>
              <w:t>1</w:t>
            </w:r>
            <w:r>
              <w:rPr>
                <w:szCs w:val="21"/>
              </w:rPr>
              <w:t>次清洗；</w:t>
            </w:r>
          </w:p>
        </w:tc>
        <w:tc>
          <w:tcPr>
            <w:tcW w:w="2470" w:type="dxa"/>
            <w:shd w:val="clear" w:color="auto" w:fill="FFFFFF"/>
            <w:noWrap w:val="0"/>
            <w:vAlign w:val="center"/>
          </w:tcPr>
          <w:p>
            <w:pPr>
              <w:pStyle w:val="125"/>
              <w:spacing w:line="360" w:lineRule="exact"/>
              <w:ind w:firstLine="0"/>
              <w:rPr>
                <w:szCs w:val="21"/>
              </w:rPr>
            </w:pPr>
            <w:r>
              <w:rPr>
                <w:rFonts w:ascii="Times New Roman" w:hAnsi="Times New Roman" w:eastAsia="Times New Roman" w:cs="Times New Roman"/>
                <w:szCs w:val="21"/>
              </w:rPr>
              <w:t>10%</w:t>
            </w:r>
          </w:p>
        </w:tc>
      </w:tr>
    </w:tbl>
    <w:p>
      <w:pPr>
        <w:tabs>
          <w:tab w:val="center" w:pos="4819"/>
        </w:tabs>
        <w:spacing w:before="200" w:after="200" w:line="360" w:lineRule="auto"/>
        <w:jc w:val="left"/>
        <w:outlineLvl w:val="0"/>
        <w:rPr>
          <w:rFonts w:hint="eastAsia" w:ascii="宋体" w:hAnsi="宋体" w:cs="宋体"/>
          <w:szCs w:val="21"/>
        </w:rPr>
      </w:pPr>
      <w:r>
        <w:rPr>
          <w:rFonts w:hint="eastAsia" w:ascii="宋体" w:hAnsi="宋体" w:cs="宋体"/>
          <w:szCs w:val="21"/>
        </w:rPr>
        <w:br w:type="page"/>
      </w:r>
      <w:r>
        <w:rPr>
          <w:rFonts w:hint="eastAsia" w:ascii="宋体" w:hAnsi="宋体" w:cs="宋体"/>
          <w:b/>
          <w:bCs/>
          <w:szCs w:val="21"/>
        </w:rPr>
        <w:t xml:space="preserve">附件6   </w:t>
      </w:r>
      <w:r>
        <w:rPr>
          <w:rFonts w:hint="eastAsia" w:ascii="宋体" w:hAnsi="宋体" w:cs="宋体"/>
          <w:szCs w:val="21"/>
        </w:rPr>
        <w:t xml:space="preserve">  </w:t>
      </w:r>
    </w:p>
    <w:p>
      <w:pPr>
        <w:tabs>
          <w:tab w:val="center" w:pos="4819"/>
        </w:tabs>
        <w:spacing w:before="200" w:after="200" w:line="360" w:lineRule="auto"/>
        <w:jc w:val="center"/>
        <w:outlineLvl w:val="0"/>
        <w:rPr>
          <w:rFonts w:hint="eastAsia" w:ascii="宋体" w:hAnsi="宋体" w:cs="宋体"/>
          <w:sz w:val="32"/>
          <w:szCs w:val="32"/>
        </w:rPr>
      </w:pPr>
      <w:r>
        <w:rPr>
          <w:rFonts w:hint="eastAsia" w:ascii="宋体" w:hAnsi="宋体" w:cs="宋体"/>
          <w:sz w:val="32"/>
          <w:szCs w:val="32"/>
        </w:rPr>
        <w:t>防腐木保养要求</w:t>
      </w:r>
    </w:p>
    <w:p>
      <w:pPr>
        <w:tabs>
          <w:tab w:val="center" w:pos="4819"/>
        </w:tabs>
        <w:spacing w:before="200" w:after="200" w:line="360" w:lineRule="auto"/>
        <w:jc w:val="left"/>
        <w:outlineLvl w:val="0"/>
        <w:rPr>
          <w:rFonts w:ascii="宋体" w:hAnsi="宋体" w:cs="宋体"/>
          <w:sz w:val="24"/>
          <w:szCs w:val="24"/>
        </w:rPr>
      </w:pPr>
      <w:r>
        <w:rPr>
          <w:rFonts w:hint="eastAsia" w:ascii="宋体" w:hAnsi="宋体" w:cs="宋体"/>
          <w:sz w:val="24"/>
          <w:szCs w:val="24"/>
        </w:rPr>
        <w:t>1、</w:t>
      </w:r>
      <w:r>
        <w:rPr>
          <w:rFonts w:ascii="宋体" w:hAnsi="宋体" w:cs="宋体"/>
          <w:sz w:val="24"/>
          <w:szCs w:val="24"/>
        </w:rPr>
        <w:t>用240目-320目砂纸打磨一遍，再用420目的砂纸细磨一遍，木蜡油漆二遍</w:t>
      </w:r>
      <w:r>
        <w:rPr>
          <w:rFonts w:hint="eastAsia" w:ascii="宋体" w:hAnsi="宋体" w:cs="宋体"/>
          <w:sz w:val="24"/>
          <w:szCs w:val="24"/>
        </w:rPr>
        <w:t>。</w:t>
      </w:r>
    </w:p>
    <w:p>
      <w:pPr>
        <w:tabs>
          <w:tab w:val="center" w:pos="4819"/>
        </w:tabs>
        <w:spacing w:before="200" w:after="200" w:line="360" w:lineRule="auto"/>
        <w:jc w:val="left"/>
        <w:outlineLvl w:val="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考虑到雨季室外刷油漆带来的不便，及需要人员对已完成的油漆进行管理，防止他人进入等因素的措施费</w:t>
      </w:r>
      <w:r>
        <w:rPr>
          <w:rFonts w:hint="eastAsia" w:ascii="宋体" w:hAnsi="宋体" w:cs="宋体"/>
          <w:sz w:val="24"/>
          <w:szCs w:val="24"/>
        </w:rPr>
        <w:t>。</w:t>
      </w:r>
    </w:p>
    <w:p>
      <w:pPr>
        <w:tabs>
          <w:tab w:val="center" w:pos="4819"/>
        </w:tabs>
        <w:spacing w:before="200" w:after="200" w:line="360" w:lineRule="auto"/>
        <w:jc w:val="left"/>
        <w:outlineLvl w:val="0"/>
        <w:rPr>
          <w:rFonts w:hint="eastAsia" w:ascii="宋体" w:hAnsi="宋体" w:cs="宋体"/>
          <w:szCs w:val="21"/>
        </w:rPr>
      </w:pPr>
      <w:r>
        <w:rPr>
          <w:rFonts w:hint="eastAsia" w:ascii="宋体" w:hAnsi="宋体" w:cs="宋体"/>
          <w:sz w:val="24"/>
          <w:szCs w:val="24"/>
        </w:rPr>
        <w:br w:type="page"/>
      </w:r>
      <w:r>
        <w:rPr>
          <w:rFonts w:hint="eastAsia" w:ascii="宋体" w:hAnsi="宋体" w:cs="宋体"/>
          <w:b/>
          <w:bCs/>
          <w:szCs w:val="21"/>
        </w:rPr>
        <w:t xml:space="preserve">附件7  </w:t>
      </w:r>
    </w:p>
    <w:p>
      <w:pPr>
        <w:tabs>
          <w:tab w:val="center" w:pos="4819"/>
        </w:tabs>
        <w:spacing w:before="200" w:after="200" w:line="360" w:lineRule="auto"/>
        <w:jc w:val="center"/>
        <w:outlineLvl w:val="0"/>
        <w:rPr>
          <w:rFonts w:hint="eastAsia" w:ascii="宋体" w:hAnsi="宋体" w:cs="宋体"/>
          <w:sz w:val="32"/>
          <w:szCs w:val="32"/>
        </w:rPr>
      </w:pPr>
      <w:r>
        <w:rPr>
          <w:rFonts w:hint="eastAsia" w:ascii="宋体" w:hAnsi="宋体" w:cs="宋体"/>
          <w:sz w:val="32"/>
          <w:szCs w:val="32"/>
        </w:rPr>
        <w:t>弱电智能化系统维护、保养要求要求</w:t>
      </w:r>
    </w:p>
    <w:p>
      <w:pPr>
        <w:spacing w:line="360" w:lineRule="auto"/>
        <w:ind w:firstLine="315" w:firstLineChars="150"/>
        <w:rPr>
          <w:rFonts w:hint="eastAsia" w:ascii="宋体" w:hAnsi="宋体" w:cs="宋体"/>
          <w:szCs w:val="21"/>
        </w:rPr>
      </w:pPr>
      <w:r>
        <w:rPr>
          <w:rFonts w:hint="eastAsia" w:ascii="宋体" w:hAnsi="宋体" w:cs="宋体"/>
          <w:szCs w:val="21"/>
        </w:rPr>
        <w:t>休闲广场总面积13448.63平方米，公共停车库79645.7平方米，人防工程总面积10752.9平方米。 以上项目合计地上建筑面积合计6015.33平方米，地下建筑面积合计97831.9平方米。</w:t>
      </w:r>
    </w:p>
    <w:p>
      <w:pPr>
        <w:spacing w:line="360" w:lineRule="auto"/>
        <w:ind w:firstLine="315" w:firstLineChars="150"/>
        <w:rPr>
          <w:rFonts w:hint="eastAsia" w:ascii="宋体" w:hAnsi="宋体" w:cs="宋体"/>
          <w:szCs w:val="21"/>
        </w:rPr>
      </w:pPr>
      <w:r>
        <w:rPr>
          <w:rFonts w:hint="eastAsia" w:ascii="宋体" w:hAnsi="宋体" w:cs="宋体"/>
          <w:szCs w:val="21"/>
        </w:rPr>
        <w:t>服务内容主要为维保合同签订前该项目智能化系统内已有设备的故障检修和维护保养两个部分。委派专业人员对系统定期检查，测试，保养，维修，确保设备正常运行。</w:t>
      </w:r>
    </w:p>
    <w:p>
      <w:pPr>
        <w:numPr>
          <w:ilvl w:val="0"/>
          <w:numId w:val="17"/>
        </w:numPr>
        <w:spacing w:line="360" w:lineRule="auto"/>
        <w:rPr>
          <w:rFonts w:hint="eastAsia" w:ascii="宋体" w:hAnsi="宋体" w:cs="宋体"/>
          <w:szCs w:val="21"/>
        </w:rPr>
      </w:pPr>
      <w:r>
        <w:rPr>
          <w:rFonts w:hint="eastAsia" w:ascii="宋体" w:hAnsi="宋体" w:cs="宋体"/>
          <w:szCs w:val="21"/>
        </w:rPr>
        <w:t>故障检修</w:t>
      </w:r>
    </w:p>
    <w:p>
      <w:pPr>
        <w:pStyle w:val="161"/>
        <w:spacing w:line="360" w:lineRule="auto"/>
        <w:ind w:left="420" w:firstLine="0" w:firstLineChars="0"/>
        <w:rPr>
          <w:rFonts w:hint="eastAsia" w:ascii="宋体" w:hAnsi="宋体" w:cs="宋体"/>
          <w:szCs w:val="21"/>
        </w:rPr>
      </w:pPr>
      <w:r>
        <w:rPr>
          <w:rFonts w:hint="eastAsia" w:ascii="宋体" w:hAnsi="宋体" w:cs="宋体"/>
          <w:szCs w:val="21"/>
        </w:rPr>
        <w:t xml:space="preserve">（1）  提供24小时维保热线，24*365天随时接受业主的服务请求；接到业主服务请求后，根据紧急程度不同划分。如：一级响应（系统瘫痪或故障对工作产生明显影响）派专业工程师4小时内到达现场，二级响应（局部故障）派专业工程师24小时内到达现场）等等。  </w:t>
      </w:r>
    </w:p>
    <w:p>
      <w:pPr>
        <w:spacing w:line="360" w:lineRule="auto"/>
        <w:ind w:left="420" w:leftChars="200"/>
        <w:rPr>
          <w:rFonts w:hint="eastAsia" w:ascii="宋体" w:hAnsi="宋体" w:cs="宋体"/>
          <w:szCs w:val="21"/>
        </w:rPr>
      </w:pPr>
      <w:r>
        <w:rPr>
          <w:rFonts w:hint="eastAsia" w:ascii="宋体" w:hAnsi="宋体" w:cs="宋体"/>
          <w:szCs w:val="21"/>
        </w:rPr>
        <w:t>（2） 维保技术人员到达现场后需持续工作直到设备正常运行，对故障进行诊断后，按紧急程度不同划分，现场提交解决方案，最迟在24小时内提交解决方案。一般故障应当在24小时内修复；如需等待购买配件或因设备本身等原因不能及时修复的，要立即向业主报告，并采取相应的应急措施，在此期间，系统中断运行不得超过24小时。</w:t>
      </w:r>
    </w:p>
    <w:p>
      <w:pPr>
        <w:pStyle w:val="161"/>
        <w:spacing w:line="360" w:lineRule="auto"/>
        <w:ind w:left="420" w:firstLine="0" w:firstLineChars="0"/>
        <w:rPr>
          <w:rFonts w:hint="eastAsia" w:ascii="宋体" w:hAnsi="宋体" w:cs="宋体"/>
          <w:szCs w:val="21"/>
        </w:rPr>
      </w:pPr>
      <w:r>
        <w:rPr>
          <w:rFonts w:hint="eastAsia" w:ascii="宋体" w:hAnsi="宋体" w:cs="宋体"/>
          <w:szCs w:val="21"/>
        </w:rPr>
        <w:t xml:space="preserve">（3）系统或设备修复后必须由甲方相关人员确认，并填写《维护/维修工作记录单》一式两份双方签字确认。 </w:t>
      </w:r>
    </w:p>
    <w:p>
      <w:pPr>
        <w:numPr>
          <w:ilvl w:val="0"/>
          <w:numId w:val="17"/>
        </w:numPr>
        <w:spacing w:line="360" w:lineRule="auto"/>
        <w:rPr>
          <w:rFonts w:hint="eastAsia" w:ascii="宋体" w:hAnsi="宋体" w:cs="宋体"/>
          <w:szCs w:val="21"/>
        </w:rPr>
      </w:pPr>
      <w:r>
        <w:rPr>
          <w:rFonts w:hint="eastAsia" w:ascii="宋体" w:hAnsi="宋体" w:cs="宋体"/>
          <w:szCs w:val="21"/>
        </w:rPr>
        <w:t>维护保养</w:t>
      </w:r>
    </w:p>
    <w:p>
      <w:pPr>
        <w:spacing w:line="360" w:lineRule="auto"/>
        <w:ind w:left="105" w:leftChars="50" w:firstLine="315" w:firstLineChars="150"/>
        <w:rPr>
          <w:rFonts w:hint="eastAsia" w:ascii="宋体" w:hAnsi="宋体" w:cs="宋体"/>
          <w:szCs w:val="21"/>
        </w:rPr>
      </w:pPr>
      <w:r>
        <w:rPr>
          <w:rFonts w:hint="eastAsia" w:ascii="宋体" w:hAnsi="宋体" w:cs="宋体"/>
          <w:szCs w:val="21"/>
        </w:rPr>
        <w:t xml:space="preserve">乙方必须向业主提交详细的运维服务方案。明确工作计划与工作安排，对每次检修、保养工作要认真做好记录(包括日常运作，服务咨询，巡检保养，主动监测，故障修复，更新升级等内容)，并交甲方相关人员签字；并每月向甲方提交《智能化系统维修情况及设备运行状态报告单》 。 </w:t>
      </w:r>
    </w:p>
    <w:p>
      <w:pPr>
        <w:numPr>
          <w:ilvl w:val="0"/>
          <w:numId w:val="17"/>
        </w:numPr>
        <w:spacing w:line="360" w:lineRule="auto"/>
        <w:rPr>
          <w:rFonts w:hint="eastAsia" w:ascii="宋体" w:hAnsi="宋体" w:cs="宋体"/>
          <w:szCs w:val="21"/>
        </w:rPr>
      </w:pPr>
      <w:r>
        <w:rPr>
          <w:rFonts w:hint="eastAsia" w:ascii="宋体" w:hAnsi="宋体" w:cs="宋体"/>
          <w:szCs w:val="21"/>
        </w:rPr>
        <w:t>设备更换</w:t>
      </w:r>
    </w:p>
    <w:p>
      <w:pPr>
        <w:spacing w:line="360" w:lineRule="auto"/>
        <w:ind w:left="105" w:leftChars="50" w:firstLine="315" w:firstLineChars="150"/>
        <w:rPr>
          <w:rFonts w:hint="eastAsia" w:ascii="宋体" w:hAnsi="宋体" w:cs="宋体"/>
          <w:szCs w:val="21"/>
        </w:rPr>
      </w:pPr>
      <w:r>
        <w:rPr>
          <w:rFonts w:hint="eastAsia" w:ascii="宋体" w:hAnsi="宋体" w:cs="宋体"/>
          <w:szCs w:val="21"/>
        </w:rPr>
        <w:t>（1）维护保养过程中需购买、更换设备或配件的，应事先向甲方报告，由甲方代表确认后，方可进行维修或更换。</w:t>
      </w:r>
    </w:p>
    <w:p>
      <w:pPr>
        <w:spacing w:line="360" w:lineRule="auto"/>
        <w:ind w:left="105" w:leftChars="50" w:firstLine="315" w:firstLineChars="150"/>
        <w:rPr>
          <w:rFonts w:hint="eastAsia" w:ascii="宋体" w:hAnsi="宋体" w:cs="宋体"/>
          <w:szCs w:val="21"/>
        </w:rPr>
      </w:pPr>
      <w:r>
        <w:rPr>
          <w:rFonts w:hint="eastAsia" w:ascii="宋体" w:hAnsi="宋体" w:cs="宋体"/>
          <w:szCs w:val="21"/>
        </w:rPr>
        <w:t xml:space="preserve">（2）若乙方为了确保系统或设备正常运行，应急修复需立既更换设备或配件的，必须在事后及时向业主报告，更换后的损坏件应交由甲方查验。更换的设备（或器件）的型号参数不得低于原设备（或器件）型号参数，并记入《维护/维修工作记录单》 。  </w:t>
      </w:r>
    </w:p>
    <w:p>
      <w:pPr>
        <w:numPr>
          <w:ilvl w:val="0"/>
          <w:numId w:val="17"/>
        </w:numPr>
        <w:spacing w:line="360" w:lineRule="auto"/>
        <w:rPr>
          <w:rFonts w:hint="eastAsia" w:ascii="宋体" w:hAnsi="宋体" w:cs="宋体"/>
          <w:szCs w:val="21"/>
        </w:rPr>
      </w:pPr>
      <w:r>
        <w:rPr>
          <w:rFonts w:hint="eastAsia" w:ascii="宋体" w:hAnsi="宋体" w:cs="宋体"/>
          <w:szCs w:val="21"/>
        </w:rPr>
        <w:t>其他情况</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  维护保养不包含意外事故、不可抗力等 。如火灾、水灾、人为破坏等造成的损坏。对发生此类的损坏，乙方负责修复，维修费另外计算。乙方配合甲方核算维修费用。</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维保费用方案</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（1）在正常维保时，智能化系统主要设备的返厂维修、设备购置费用由业主承担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（2）维保过程中200元以内的元器件更换、辅材购买费用由乙方承担，200元以上元件需甲方承担费用。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   智能化系统200元以内元器件清单如下：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1  电工胶带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2  接线端子排</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3  70米以内的网线、RVV2*1.0电源线以或线缆总截面积相同的弱电控制线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4  摄像机电源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5  摄像机支架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6  光电收发器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7  网络水晶头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8  网络跳线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9  光纤跳线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10  分支分配器</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11  光纤收发器</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 xml:space="preserve">12  扎带 </w:t>
      </w:r>
    </w:p>
    <w:p>
      <w:pPr>
        <w:spacing w:line="360" w:lineRule="auto"/>
        <w:ind w:left="105" w:leftChars="50" w:firstLine="210" w:firstLineChars="100"/>
        <w:rPr>
          <w:rFonts w:hint="eastAsia" w:ascii="宋体" w:hAnsi="宋体" w:cs="宋体"/>
          <w:szCs w:val="21"/>
        </w:rPr>
      </w:pPr>
      <w:r>
        <w:rPr>
          <w:rFonts w:hint="eastAsia" w:ascii="宋体" w:hAnsi="宋体" w:cs="宋体"/>
          <w:szCs w:val="21"/>
        </w:rPr>
        <w:t>13 网络模块及面板</w:t>
      </w:r>
    </w:p>
    <w:p>
      <w:pPr>
        <w:spacing w:line="360" w:lineRule="auto"/>
        <w:ind w:left="105" w:leftChars="50" w:firstLine="210" w:firstLineChars="100"/>
        <w:rPr>
          <w:sz w:val="24"/>
        </w:rPr>
      </w:pPr>
      <w:r>
        <w:rPr>
          <w:rFonts w:hint="eastAsia" w:ascii="宋体" w:hAnsi="宋体" w:cs="宋体"/>
          <w:szCs w:val="21"/>
        </w:rPr>
        <w:t xml:space="preserve">14  电视模块及面板 </w:t>
      </w:r>
      <w:r>
        <w:rPr>
          <w:rFonts w:hint="eastAsia"/>
          <w:sz w:val="24"/>
        </w:rPr>
        <w:t xml:space="preserve">  </w:t>
      </w:r>
      <w:r>
        <w:rPr>
          <w:rFonts w:hint="eastAsia"/>
          <w:szCs w:val="21"/>
        </w:rPr>
        <w:t xml:space="preserve"> </w:t>
      </w:r>
    </w:p>
    <w:p>
      <w:pPr>
        <w:ind w:firstLine="420" w:firstLineChars="200"/>
        <w:rPr>
          <w:rFonts w:hint="eastAsia"/>
          <w:szCs w:val="21"/>
        </w:rPr>
      </w:pPr>
    </w:p>
    <w:p>
      <w:pPr>
        <w:pStyle w:val="170"/>
        <w:rPr>
          <w:rFonts w:hint="eastAsia"/>
          <w:szCs w:val="21"/>
        </w:rPr>
      </w:pPr>
    </w:p>
    <w:p>
      <w:pPr>
        <w:pStyle w:val="18"/>
        <w:rPr>
          <w:rFonts w:hint="eastAsia"/>
          <w:szCs w:val="21"/>
        </w:rPr>
      </w:pPr>
    </w:p>
    <w:p>
      <w:pPr>
        <w:pStyle w:val="19"/>
        <w:tabs>
          <w:tab w:val="left" w:pos="0"/>
          <w:tab w:val="left" w:pos="993"/>
          <w:tab w:val="left" w:pos="1134"/>
          <w:tab w:val="left" w:pos="9360"/>
        </w:tabs>
        <w:ind w:firstLine="210"/>
        <w:rPr>
          <w:rFonts w:hint="eastAsia"/>
          <w:szCs w:val="21"/>
        </w:rPr>
      </w:pPr>
    </w:p>
    <w:p>
      <w:pPr>
        <w:pStyle w:val="20"/>
        <w:rPr>
          <w:rFonts w:hint="eastAsia"/>
          <w:szCs w:val="21"/>
        </w:rPr>
      </w:pPr>
    </w:p>
    <w:p>
      <w:pPr>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2"/>
        <w:ind w:firstLine="480"/>
        <w:rPr>
          <w:rFonts w:hint="eastAsia"/>
          <w:szCs w:val="21"/>
        </w:rPr>
      </w:pPr>
    </w:p>
    <w:p>
      <w:pPr>
        <w:pStyle w:val="170"/>
        <w:rPr>
          <w:rFonts w:hint="eastAsia"/>
        </w:rPr>
      </w:pPr>
    </w:p>
    <w:p>
      <w:pPr>
        <w:ind w:firstLine="315" w:firstLineChars="150"/>
        <w:rPr>
          <w:rFonts w:hint="eastAsia"/>
          <w:szCs w:val="21"/>
        </w:rPr>
      </w:pPr>
      <w:r>
        <w:rPr>
          <w:rFonts w:hint="eastAsia"/>
          <w:szCs w:val="21"/>
        </w:rPr>
        <w:t>表格图例：</w:t>
      </w:r>
    </w:p>
    <w:p>
      <w:pPr>
        <w:ind w:firstLine="3855" w:firstLineChars="1200"/>
        <w:rPr>
          <w:rFonts w:ascii="宋体" w:hAnsi="宋体"/>
          <w:b/>
          <w:sz w:val="32"/>
          <w:szCs w:val="32"/>
          <w:u w:val="double"/>
        </w:rPr>
      </w:pPr>
      <w:r>
        <w:rPr>
          <w:rFonts w:hint="eastAsia" w:ascii="宋体" w:hAnsi="宋体"/>
          <w:b/>
          <w:sz w:val="32"/>
          <w:szCs w:val="32"/>
          <w:u w:val="double"/>
        </w:rPr>
        <w:t>巡检记录表</w:t>
      </w:r>
    </w:p>
    <w:p>
      <w:pPr>
        <w:ind w:left="989" w:right="26" w:hanging="989"/>
        <w:rPr>
          <w:rFonts w:hint="eastAsia" w:ascii="宋体" w:hAnsi="宋体"/>
        </w:rPr>
      </w:pPr>
    </w:p>
    <w:p>
      <w:pPr>
        <w:ind w:left="1002" w:leftChars="283" w:right="26" w:hanging="408" w:hangingChars="170"/>
        <w:rPr>
          <w:rFonts w:ascii="宋体" w:hAnsi="宋体"/>
          <w:sz w:val="24"/>
        </w:rPr>
      </w:pPr>
      <w:r>
        <w:rPr>
          <w:rFonts w:hint="eastAsia" w:ascii="宋体" w:hAnsi="宋体"/>
          <w:sz w:val="24"/>
        </w:rPr>
        <w:t>编号：　　　　　　　　　　　　　　　　　　　　　 年      月      日</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196"/>
        <w:gridCol w:w="1489"/>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123" w:type="dxa"/>
            <w:noWrap w:val="0"/>
            <w:vAlign w:val="center"/>
          </w:tcPr>
          <w:p>
            <w:pPr>
              <w:ind w:left="989" w:hanging="989"/>
              <w:jc w:val="center"/>
              <w:rPr>
                <w:rFonts w:ascii="宋体" w:hAnsi="宋体"/>
                <w:sz w:val="24"/>
              </w:rPr>
            </w:pPr>
            <w:r>
              <w:rPr>
                <w:rFonts w:hint="eastAsia" w:ascii="宋体" w:hAnsi="宋体"/>
                <w:sz w:val="24"/>
              </w:rPr>
              <w:t>巡检人员（签字）</w:t>
            </w:r>
          </w:p>
        </w:tc>
        <w:tc>
          <w:tcPr>
            <w:tcW w:w="6180" w:type="dxa"/>
            <w:gridSpan w:val="3"/>
            <w:noWrap w:val="0"/>
            <w:vAlign w:val="center"/>
          </w:tcPr>
          <w:p>
            <w:pPr>
              <w:ind w:left="989" w:hanging="98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23" w:type="dxa"/>
            <w:noWrap w:val="0"/>
            <w:vAlign w:val="center"/>
          </w:tcPr>
          <w:p>
            <w:pPr>
              <w:ind w:left="989" w:hanging="989"/>
              <w:jc w:val="center"/>
              <w:rPr>
                <w:rFonts w:ascii="宋体" w:hAnsi="宋体"/>
                <w:sz w:val="24"/>
              </w:rPr>
            </w:pPr>
            <w:r>
              <w:rPr>
                <w:rFonts w:hint="eastAsia" w:ascii="宋体" w:hAnsi="宋体"/>
                <w:sz w:val="24"/>
              </w:rPr>
              <w:t>巡检时间</w:t>
            </w:r>
          </w:p>
        </w:tc>
        <w:tc>
          <w:tcPr>
            <w:tcW w:w="6180" w:type="dxa"/>
            <w:gridSpan w:val="3"/>
            <w:noWrap w:val="0"/>
            <w:vAlign w:val="center"/>
          </w:tcPr>
          <w:p>
            <w:pPr>
              <w:ind w:left="989" w:hanging="98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2123" w:type="dxa"/>
            <w:noWrap w:val="0"/>
            <w:vAlign w:val="center"/>
          </w:tcPr>
          <w:p>
            <w:pPr>
              <w:ind w:left="989" w:hanging="989"/>
              <w:jc w:val="center"/>
              <w:rPr>
                <w:rFonts w:hint="eastAsia" w:ascii="宋体" w:hAnsi="宋体"/>
                <w:sz w:val="24"/>
              </w:rPr>
            </w:pPr>
            <w:r>
              <w:rPr>
                <w:rFonts w:hint="eastAsia" w:ascii="宋体" w:hAnsi="宋体"/>
                <w:sz w:val="24"/>
              </w:rPr>
              <w:t>巡检位置、</w:t>
            </w:r>
          </w:p>
          <w:p>
            <w:pPr>
              <w:ind w:left="989" w:hanging="989"/>
              <w:jc w:val="center"/>
              <w:rPr>
                <w:rFonts w:ascii="宋体" w:hAnsi="宋体"/>
                <w:sz w:val="24"/>
              </w:rPr>
            </w:pPr>
            <w:r>
              <w:rPr>
                <w:rFonts w:hint="eastAsia" w:ascii="宋体" w:hAnsi="宋体"/>
                <w:sz w:val="24"/>
              </w:rPr>
              <w:t>范围、内容</w:t>
            </w:r>
          </w:p>
        </w:tc>
        <w:tc>
          <w:tcPr>
            <w:tcW w:w="6180" w:type="dxa"/>
            <w:gridSpan w:val="3"/>
            <w:noWrap w:val="0"/>
            <w:vAlign w:val="center"/>
          </w:tcPr>
          <w:p>
            <w:pPr>
              <w:ind w:left="989" w:hanging="989"/>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2123" w:type="dxa"/>
            <w:tcBorders>
              <w:bottom w:val="single" w:color="auto" w:sz="4" w:space="0"/>
            </w:tcBorders>
            <w:noWrap w:val="0"/>
            <w:vAlign w:val="center"/>
          </w:tcPr>
          <w:p>
            <w:pPr>
              <w:ind w:left="989" w:hanging="989"/>
              <w:jc w:val="center"/>
              <w:rPr>
                <w:rFonts w:ascii="宋体" w:hAnsi="宋体"/>
                <w:sz w:val="24"/>
              </w:rPr>
            </w:pPr>
            <w:r>
              <w:rPr>
                <w:rFonts w:hint="eastAsia" w:ascii="宋体" w:hAnsi="宋体"/>
                <w:sz w:val="24"/>
              </w:rPr>
              <w:t>设备运行情况</w:t>
            </w:r>
          </w:p>
        </w:tc>
        <w:tc>
          <w:tcPr>
            <w:tcW w:w="2196" w:type="dxa"/>
            <w:tcBorders>
              <w:bottom w:val="single" w:color="auto" w:sz="4" w:space="0"/>
            </w:tcBorders>
            <w:noWrap w:val="0"/>
            <w:vAlign w:val="center"/>
          </w:tcPr>
          <w:p>
            <w:pPr>
              <w:ind w:left="989" w:hanging="989"/>
              <w:jc w:val="center"/>
              <w:rPr>
                <w:rFonts w:ascii="宋体" w:hAnsi="宋体"/>
                <w:sz w:val="24"/>
              </w:rPr>
            </w:pPr>
          </w:p>
        </w:tc>
        <w:tc>
          <w:tcPr>
            <w:tcW w:w="1489" w:type="dxa"/>
            <w:tcBorders>
              <w:bottom w:val="single" w:color="auto" w:sz="4" w:space="0"/>
            </w:tcBorders>
            <w:noWrap w:val="0"/>
            <w:vAlign w:val="center"/>
          </w:tcPr>
          <w:p>
            <w:pPr>
              <w:ind w:left="989" w:hanging="989"/>
              <w:rPr>
                <w:rFonts w:ascii="宋体" w:hAnsi="宋体"/>
                <w:sz w:val="24"/>
              </w:rPr>
            </w:pPr>
            <w:r>
              <w:rPr>
                <w:rFonts w:hint="eastAsia" w:ascii="宋体" w:hAnsi="宋体"/>
                <w:sz w:val="24"/>
              </w:rPr>
              <w:t>巡检结论</w:t>
            </w:r>
          </w:p>
        </w:tc>
        <w:tc>
          <w:tcPr>
            <w:tcW w:w="2495" w:type="dxa"/>
            <w:tcBorders>
              <w:bottom w:val="single" w:color="auto" w:sz="4" w:space="0"/>
            </w:tcBorders>
            <w:noWrap w:val="0"/>
            <w:vAlign w:val="center"/>
          </w:tcPr>
          <w:p>
            <w:pPr>
              <w:ind w:left="989" w:hanging="98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123" w:type="dxa"/>
            <w:tcBorders>
              <w:bottom w:val="single" w:color="auto" w:sz="4" w:space="0"/>
            </w:tcBorders>
            <w:noWrap w:val="0"/>
            <w:vAlign w:val="center"/>
          </w:tcPr>
          <w:p>
            <w:pPr>
              <w:ind w:left="989" w:hanging="989"/>
              <w:jc w:val="center"/>
              <w:rPr>
                <w:rFonts w:ascii="宋体" w:hAnsi="宋体"/>
                <w:sz w:val="24"/>
              </w:rPr>
            </w:pPr>
            <w:r>
              <w:rPr>
                <w:rFonts w:hint="eastAsia" w:ascii="宋体" w:hAnsi="宋体"/>
                <w:sz w:val="24"/>
              </w:rPr>
              <w:t>用户确认</w:t>
            </w:r>
          </w:p>
          <w:p>
            <w:pPr>
              <w:ind w:left="989" w:hanging="989"/>
              <w:jc w:val="center"/>
              <w:rPr>
                <w:rFonts w:ascii="宋体" w:hAnsi="宋体"/>
                <w:sz w:val="24"/>
              </w:rPr>
            </w:pPr>
            <w:r>
              <w:rPr>
                <w:rFonts w:hint="eastAsia" w:ascii="宋体" w:hAnsi="宋体"/>
                <w:sz w:val="24"/>
              </w:rPr>
              <w:t>(签字)</w:t>
            </w:r>
          </w:p>
        </w:tc>
        <w:tc>
          <w:tcPr>
            <w:tcW w:w="2196" w:type="dxa"/>
            <w:tcBorders>
              <w:bottom w:val="single" w:color="auto" w:sz="4" w:space="0"/>
            </w:tcBorders>
            <w:noWrap w:val="0"/>
            <w:vAlign w:val="center"/>
          </w:tcPr>
          <w:p>
            <w:pPr>
              <w:ind w:left="989" w:hanging="989"/>
              <w:jc w:val="left"/>
              <w:rPr>
                <w:rFonts w:ascii="宋体" w:hAnsi="宋体"/>
                <w:sz w:val="24"/>
              </w:rPr>
            </w:pPr>
          </w:p>
          <w:p>
            <w:pPr>
              <w:ind w:left="989" w:hanging="989"/>
              <w:jc w:val="left"/>
              <w:rPr>
                <w:rFonts w:ascii="宋体" w:hAnsi="宋体"/>
                <w:sz w:val="24"/>
              </w:rPr>
            </w:pPr>
          </w:p>
          <w:p>
            <w:pPr>
              <w:ind w:left="989" w:right="240" w:hanging="989"/>
              <w:jc w:val="right"/>
              <w:rPr>
                <w:rFonts w:ascii="宋体" w:hAnsi="宋体"/>
                <w:sz w:val="24"/>
              </w:rPr>
            </w:pPr>
            <w:r>
              <w:rPr>
                <w:rFonts w:hint="eastAsia" w:ascii="宋体" w:hAnsi="宋体"/>
                <w:sz w:val="24"/>
              </w:rPr>
              <w:t>年   月   日</w:t>
            </w:r>
          </w:p>
        </w:tc>
        <w:tc>
          <w:tcPr>
            <w:tcW w:w="1489" w:type="dxa"/>
            <w:tcBorders>
              <w:bottom w:val="single" w:color="auto" w:sz="4" w:space="0"/>
            </w:tcBorders>
            <w:noWrap w:val="0"/>
            <w:vAlign w:val="center"/>
          </w:tcPr>
          <w:p>
            <w:pPr>
              <w:ind w:left="989" w:hanging="989"/>
              <w:jc w:val="center"/>
              <w:rPr>
                <w:rFonts w:ascii="宋体" w:hAnsi="宋体"/>
                <w:sz w:val="24"/>
              </w:rPr>
            </w:pPr>
            <w:r>
              <w:rPr>
                <w:rFonts w:hint="eastAsia" w:ascii="宋体" w:hAnsi="宋体"/>
                <w:sz w:val="24"/>
              </w:rPr>
              <w:t>领导确认</w:t>
            </w:r>
          </w:p>
          <w:p>
            <w:pPr>
              <w:ind w:left="989" w:hanging="989"/>
              <w:jc w:val="center"/>
              <w:rPr>
                <w:rFonts w:ascii="宋体" w:hAnsi="宋体"/>
                <w:sz w:val="24"/>
              </w:rPr>
            </w:pPr>
            <w:r>
              <w:rPr>
                <w:rFonts w:hint="eastAsia" w:ascii="宋体" w:hAnsi="宋体"/>
                <w:sz w:val="24"/>
              </w:rPr>
              <w:t>(签字)</w:t>
            </w:r>
          </w:p>
        </w:tc>
        <w:tc>
          <w:tcPr>
            <w:tcW w:w="2495" w:type="dxa"/>
            <w:tcBorders>
              <w:bottom w:val="single" w:color="auto" w:sz="4" w:space="0"/>
            </w:tcBorders>
            <w:noWrap w:val="0"/>
            <w:vAlign w:val="center"/>
          </w:tcPr>
          <w:p>
            <w:pPr>
              <w:ind w:left="989" w:hanging="989"/>
              <w:jc w:val="left"/>
              <w:rPr>
                <w:rFonts w:ascii="宋体" w:hAnsi="宋体"/>
                <w:sz w:val="24"/>
              </w:rPr>
            </w:pPr>
          </w:p>
          <w:p>
            <w:pPr>
              <w:ind w:left="989" w:hanging="989"/>
              <w:jc w:val="right"/>
              <w:rPr>
                <w:rFonts w:ascii="宋体" w:hAnsi="宋体"/>
                <w:sz w:val="24"/>
              </w:rPr>
            </w:pPr>
          </w:p>
          <w:p>
            <w:pPr>
              <w:ind w:left="989" w:hanging="989"/>
              <w:jc w:val="right"/>
              <w:rPr>
                <w:rFonts w:ascii="宋体" w:hAnsi="宋体"/>
                <w:sz w:val="24"/>
              </w:rPr>
            </w:pPr>
            <w:r>
              <w:rPr>
                <w:rFonts w:hint="eastAsia" w:ascii="宋体" w:hAnsi="宋体"/>
                <w:sz w:val="24"/>
              </w:rPr>
              <w:t>年      月      日</w:t>
            </w:r>
          </w:p>
        </w:tc>
      </w:tr>
    </w:tbl>
    <w:p>
      <w:pPr>
        <w:ind w:firstLine="440" w:firstLineChars="200"/>
        <w:rPr>
          <w:sz w:val="22"/>
          <w:szCs w:val="18"/>
        </w:rPr>
      </w:pPr>
      <w:r>
        <w:rPr>
          <w:rFonts w:hint="eastAsia"/>
          <w:sz w:val="22"/>
          <w:szCs w:val="18"/>
        </w:rPr>
        <w:t>注：每两周对工程敷设线路及前端安装点进行巡检，并填写巡检记录表，对可能影响线路及前端的情况要及时协调，防止因线路中断等情况造成系统中断。</w:t>
      </w: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pStyle w:val="170"/>
        <w:rPr>
          <w:rFonts w:hint="eastAsia"/>
          <w:szCs w:val="21"/>
        </w:rPr>
      </w:pPr>
    </w:p>
    <w:p>
      <w:pPr>
        <w:pStyle w:val="18"/>
        <w:rPr>
          <w:rFonts w:hint="eastAsia"/>
        </w:rPr>
      </w:pPr>
    </w:p>
    <w:p>
      <w:pPr>
        <w:ind w:firstLine="315" w:firstLineChars="150"/>
        <w:rPr>
          <w:rFonts w:hint="eastAsia"/>
          <w:szCs w:val="21"/>
        </w:rPr>
      </w:pPr>
    </w:p>
    <w:p>
      <w:pPr>
        <w:ind w:firstLine="315" w:firstLineChars="150"/>
        <w:rPr>
          <w:rFonts w:hint="eastAsia"/>
          <w:szCs w:val="21"/>
        </w:rPr>
      </w:pPr>
    </w:p>
    <w:p>
      <w:pPr>
        <w:ind w:left="1324" w:hanging="1324"/>
        <w:jc w:val="center"/>
        <w:rPr>
          <w:rFonts w:ascii="宋体" w:hAnsi="宋体"/>
          <w:b/>
          <w:sz w:val="32"/>
          <w:szCs w:val="32"/>
          <w:u w:val="double"/>
        </w:rPr>
      </w:pPr>
      <w:r>
        <w:rPr>
          <w:rFonts w:hint="eastAsia" w:ascii="宋体" w:hAnsi="宋体"/>
          <w:b/>
          <w:sz w:val="32"/>
          <w:szCs w:val="32"/>
          <w:u w:val="double"/>
        </w:rPr>
        <w:t>设备养护记录表</w:t>
      </w:r>
    </w:p>
    <w:p>
      <w:pPr>
        <w:ind w:left="989" w:right="26" w:hanging="989"/>
        <w:rPr>
          <w:rFonts w:hint="eastAsia" w:ascii="宋体" w:hAnsi="宋体"/>
        </w:rPr>
      </w:pPr>
    </w:p>
    <w:p>
      <w:pPr>
        <w:ind w:left="966" w:leftChars="290" w:right="26" w:hanging="357" w:hangingChars="170"/>
        <w:rPr>
          <w:rFonts w:ascii="宋体" w:hAnsi="宋体"/>
        </w:rPr>
      </w:pPr>
      <w:r>
        <w:rPr>
          <w:rFonts w:hint="eastAsia" w:ascii="宋体" w:hAnsi="宋体"/>
        </w:rPr>
        <w:t>编号：　　　　　　　　　　　　　　　　　　　　　年      月      日</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388"/>
        <w:gridCol w:w="190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766" w:type="dxa"/>
            <w:noWrap w:val="0"/>
            <w:vAlign w:val="center"/>
          </w:tcPr>
          <w:p>
            <w:pPr>
              <w:jc w:val="left"/>
              <w:rPr>
                <w:rFonts w:ascii="宋体" w:hAnsi="宋体"/>
              </w:rPr>
            </w:pPr>
            <w:r>
              <w:rPr>
                <w:rFonts w:hint="eastAsia" w:ascii="宋体" w:hAnsi="宋体"/>
              </w:rPr>
              <w:t>设备养护人员</w:t>
            </w:r>
          </w:p>
          <w:p>
            <w:pPr>
              <w:ind w:left="989" w:hanging="989"/>
              <w:jc w:val="center"/>
              <w:rPr>
                <w:rFonts w:ascii="宋体" w:hAnsi="宋体"/>
              </w:rPr>
            </w:pPr>
            <w:r>
              <w:rPr>
                <w:rFonts w:hint="eastAsia" w:ascii="宋体" w:hAnsi="宋体"/>
              </w:rPr>
              <w:t>（签字）</w:t>
            </w:r>
          </w:p>
        </w:tc>
        <w:tc>
          <w:tcPr>
            <w:tcW w:w="6566" w:type="dxa"/>
            <w:gridSpan w:val="3"/>
            <w:noWrap w:val="0"/>
            <w:vAlign w:val="center"/>
          </w:tcPr>
          <w:p>
            <w:pPr>
              <w:ind w:left="989" w:hanging="98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66" w:type="dxa"/>
            <w:noWrap w:val="0"/>
            <w:vAlign w:val="center"/>
          </w:tcPr>
          <w:p>
            <w:pPr>
              <w:ind w:left="-19" w:leftChars="-9" w:firstLine="18" w:firstLineChars="9"/>
              <w:jc w:val="center"/>
              <w:rPr>
                <w:rFonts w:ascii="宋体" w:hAnsi="宋体"/>
              </w:rPr>
            </w:pPr>
            <w:r>
              <w:rPr>
                <w:rFonts w:hint="eastAsia" w:ascii="宋体" w:hAnsi="宋体"/>
              </w:rPr>
              <w:t>设备养护时间</w:t>
            </w:r>
          </w:p>
        </w:tc>
        <w:tc>
          <w:tcPr>
            <w:tcW w:w="6566" w:type="dxa"/>
            <w:gridSpan w:val="3"/>
            <w:noWrap w:val="0"/>
            <w:vAlign w:val="center"/>
          </w:tcPr>
          <w:p>
            <w:pPr>
              <w:ind w:left="989" w:hanging="98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766" w:type="dxa"/>
            <w:noWrap w:val="0"/>
            <w:vAlign w:val="center"/>
          </w:tcPr>
          <w:p>
            <w:pPr>
              <w:ind w:left="-19" w:leftChars="-10" w:hanging="2"/>
              <w:jc w:val="center"/>
              <w:rPr>
                <w:rFonts w:ascii="宋体" w:hAnsi="宋体"/>
              </w:rPr>
            </w:pPr>
            <w:r>
              <w:rPr>
                <w:rFonts w:hint="eastAsia" w:ascii="宋体" w:hAnsi="宋体"/>
              </w:rPr>
              <w:t>设备养护位置、范围、内容</w:t>
            </w:r>
          </w:p>
        </w:tc>
        <w:tc>
          <w:tcPr>
            <w:tcW w:w="6566" w:type="dxa"/>
            <w:gridSpan w:val="3"/>
            <w:noWrap w:val="0"/>
            <w:vAlign w:val="center"/>
          </w:tcPr>
          <w:p>
            <w:pPr>
              <w:ind w:left="989" w:hanging="989"/>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66" w:type="dxa"/>
            <w:noWrap w:val="0"/>
            <w:vAlign w:val="center"/>
          </w:tcPr>
          <w:p>
            <w:pPr>
              <w:ind w:left="989" w:hanging="989"/>
              <w:jc w:val="center"/>
              <w:rPr>
                <w:rFonts w:ascii="宋体" w:hAnsi="宋体"/>
              </w:rPr>
            </w:pPr>
            <w:r>
              <w:rPr>
                <w:rFonts w:hint="eastAsia" w:ascii="宋体" w:hAnsi="宋体"/>
              </w:rPr>
              <w:t>设备编号：</w:t>
            </w:r>
          </w:p>
        </w:tc>
        <w:tc>
          <w:tcPr>
            <w:tcW w:w="2388" w:type="dxa"/>
            <w:noWrap w:val="0"/>
            <w:vAlign w:val="center"/>
          </w:tcPr>
          <w:p>
            <w:pPr>
              <w:ind w:left="989" w:hanging="989"/>
              <w:jc w:val="center"/>
              <w:rPr>
                <w:rFonts w:ascii="宋体" w:hAnsi="宋体"/>
              </w:rPr>
            </w:pPr>
          </w:p>
        </w:tc>
        <w:tc>
          <w:tcPr>
            <w:tcW w:w="1909" w:type="dxa"/>
            <w:vMerge w:val="restart"/>
            <w:noWrap w:val="0"/>
            <w:vAlign w:val="center"/>
          </w:tcPr>
          <w:p>
            <w:pPr>
              <w:ind w:left="989" w:hanging="989"/>
              <w:jc w:val="center"/>
              <w:rPr>
                <w:rFonts w:ascii="宋体" w:hAnsi="宋体"/>
              </w:rPr>
            </w:pPr>
            <w:r>
              <w:rPr>
                <w:rFonts w:hint="eastAsia" w:ascii="宋体" w:hAnsi="宋体"/>
              </w:rPr>
              <w:t>设备养护结论</w:t>
            </w:r>
          </w:p>
        </w:tc>
        <w:tc>
          <w:tcPr>
            <w:tcW w:w="2269" w:type="dxa"/>
            <w:vMerge w:val="restart"/>
            <w:noWrap w:val="0"/>
            <w:vAlign w:val="center"/>
          </w:tcPr>
          <w:p>
            <w:pPr>
              <w:ind w:left="989" w:hanging="98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766" w:type="dxa"/>
            <w:tcBorders>
              <w:bottom w:val="single" w:color="auto" w:sz="4" w:space="0"/>
            </w:tcBorders>
            <w:noWrap w:val="0"/>
            <w:vAlign w:val="center"/>
          </w:tcPr>
          <w:p>
            <w:pPr>
              <w:ind w:left="989" w:hanging="989"/>
              <w:jc w:val="center"/>
              <w:rPr>
                <w:rFonts w:ascii="宋体" w:hAnsi="宋体"/>
              </w:rPr>
            </w:pPr>
            <w:r>
              <w:rPr>
                <w:rFonts w:hint="eastAsia" w:ascii="宋体" w:hAnsi="宋体"/>
              </w:rPr>
              <w:t>设备现状</w:t>
            </w:r>
          </w:p>
        </w:tc>
        <w:tc>
          <w:tcPr>
            <w:tcW w:w="2388" w:type="dxa"/>
            <w:tcBorders>
              <w:bottom w:val="single" w:color="auto" w:sz="4" w:space="0"/>
            </w:tcBorders>
            <w:noWrap w:val="0"/>
            <w:vAlign w:val="center"/>
          </w:tcPr>
          <w:p>
            <w:pPr>
              <w:ind w:left="989" w:hanging="989"/>
              <w:jc w:val="center"/>
              <w:rPr>
                <w:rFonts w:ascii="宋体" w:hAnsi="宋体"/>
              </w:rPr>
            </w:pPr>
          </w:p>
        </w:tc>
        <w:tc>
          <w:tcPr>
            <w:tcW w:w="1909" w:type="dxa"/>
            <w:vMerge w:val="continue"/>
            <w:tcBorders>
              <w:bottom w:val="single" w:color="auto" w:sz="4" w:space="0"/>
            </w:tcBorders>
            <w:noWrap w:val="0"/>
            <w:vAlign w:val="center"/>
          </w:tcPr>
          <w:p>
            <w:pPr>
              <w:ind w:left="989" w:hanging="989"/>
              <w:rPr>
                <w:rFonts w:ascii="宋体" w:hAnsi="宋体"/>
              </w:rPr>
            </w:pPr>
          </w:p>
        </w:tc>
        <w:tc>
          <w:tcPr>
            <w:tcW w:w="2269" w:type="dxa"/>
            <w:vMerge w:val="continue"/>
            <w:tcBorders>
              <w:bottom w:val="single" w:color="auto" w:sz="4" w:space="0"/>
            </w:tcBorders>
            <w:noWrap w:val="0"/>
            <w:vAlign w:val="center"/>
          </w:tcPr>
          <w:p>
            <w:pPr>
              <w:ind w:left="989" w:hanging="98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766" w:type="dxa"/>
            <w:tcBorders>
              <w:bottom w:val="single" w:color="auto" w:sz="4" w:space="0"/>
            </w:tcBorders>
            <w:noWrap w:val="0"/>
            <w:vAlign w:val="center"/>
          </w:tcPr>
          <w:p>
            <w:pPr>
              <w:ind w:left="989" w:hanging="989"/>
              <w:jc w:val="center"/>
              <w:rPr>
                <w:rFonts w:ascii="宋体" w:hAnsi="宋体"/>
              </w:rPr>
            </w:pPr>
            <w:r>
              <w:rPr>
                <w:rFonts w:hint="eastAsia" w:ascii="宋体" w:hAnsi="宋体"/>
              </w:rPr>
              <w:t>用户确认</w:t>
            </w:r>
          </w:p>
          <w:p>
            <w:pPr>
              <w:ind w:left="989" w:hanging="989"/>
              <w:jc w:val="center"/>
              <w:rPr>
                <w:rFonts w:ascii="宋体" w:hAnsi="宋体"/>
              </w:rPr>
            </w:pPr>
            <w:r>
              <w:rPr>
                <w:rFonts w:hint="eastAsia" w:ascii="宋体" w:hAnsi="宋体"/>
              </w:rPr>
              <w:t>(签字)</w:t>
            </w:r>
          </w:p>
        </w:tc>
        <w:tc>
          <w:tcPr>
            <w:tcW w:w="2388" w:type="dxa"/>
            <w:tcBorders>
              <w:bottom w:val="single" w:color="auto" w:sz="4" w:space="0"/>
            </w:tcBorders>
            <w:noWrap w:val="0"/>
            <w:vAlign w:val="center"/>
          </w:tcPr>
          <w:p>
            <w:pPr>
              <w:ind w:left="989" w:hanging="989"/>
              <w:jc w:val="left"/>
              <w:rPr>
                <w:rFonts w:ascii="宋体" w:hAnsi="宋体"/>
              </w:rPr>
            </w:pPr>
          </w:p>
          <w:p>
            <w:pPr>
              <w:ind w:left="989" w:hanging="989"/>
              <w:jc w:val="left"/>
              <w:rPr>
                <w:rFonts w:ascii="宋体" w:hAnsi="宋体"/>
              </w:rPr>
            </w:pPr>
          </w:p>
          <w:p>
            <w:pPr>
              <w:ind w:left="989" w:hanging="989"/>
              <w:jc w:val="right"/>
              <w:rPr>
                <w:rFonts w:ascii="宋体" w:hAnsi="宋体"/>
              </w:rPr>
            </w:pPr>
            <w:r>
              <w:rPr>
                <w:rFonts w:hint="eastAsia" w:ascii="宋体" w:hAnsi="宋体"/>
              </w:rPr>
              <w:t>年      月      日</w:t>
            </w:r>
          </w:p>
        </w:tc>
        <w:tc>
          <w:tcPr>
            <w:tcW w:w="1909" w:type="dxa"/>
            <w:tcBorders>
              <w:bottom w:val="single" w:color="auto" w:sz="4" w:space="0"/>
            </w:tcBorders>
            <w:noWrap w:val="0"/>
            <w:vAlign w:val="center"/>
          </w:tcPr>
          <w:p>
            <w:pPr>
              <w:ind w:left="989" w:hanging="989"/>
              <w:jc w:val="center"/>
              <w:rPr>
                <w:rFonts w:ascii="宋体" w:hAnsi="宋体"/>
              </w:rPr>
            </w:pPr>
            <w:r>
              <w:rPr>
                <w:rFonts w:hint="eastAsia" w:ascii="宋体" w:hAnsi="宋体"/>
              </w:rPr>
              <w:t>领导确认</w:t>
            </w:r>
          </w:p>
          <w:p>
            <w:pPr>
              <w:ind w:left="989" w:hanging="989"/>
              <w:jc w:val="center"/>
              <w:rPr>
                <w:rFonts w:ascii="宋体" w:hAnsi="宋体"/>
              </w:rPr>
            </w:pPr>
            <w:r>
              <w:rPr>
                <w:rFonts w:hint="eastAsia" w:ascii="宋体" w:hAnsi="宋体"/>
              </w:rPr>
              <w:t>(签字)</w:t>
            </w:r>
          </w:p>
        </w:tc>
        <w:tc>
          <w:tcPr>
            <w:tcW w:w="2269" w:type="dxa"/>
            <w:tcBorders>
              <w:bottom w:val="single" w:color="auto" w:sz="4" w:space="0"/>
            </w:tcBorders>
            <w:noWrap w:val="0"/>
            <w:vAlign w:val="center"/>
          </w:tcPr>
          <w:p>
            <w:pPr>
              <w:ind w:left="989" w:hanging="989"/>
              <w:jc w:val="left"/>
              <w:rPr>
                <w:rFonts w:ascii="宋体" w:hAnsi="宋体"/>
              </w:rPr>
            </w:pPr>
          </w:p>
          <w:p>
            <w:pPr>
              <w:ind w:left="989" w:hanging="989"/>
              <w:jc w:val="right"/>
              <w:rPr>
                <w:rFonts w:ascii="宋体" w:hAnsi="宋体"/>
              </w:rPr>
            </w:pPr>
          </w:p>
          <w:p>
            <w:pPr>
              <w:ind w:left="989" w:hanging="989"/>
              <w:jc w:val="right"/>
              <w:rPr>
                <w:rFonts w:ascii="宋体" w:hAnsi="宋体"/>
              </w:rPr>
            </w:pPr>
            <w:r>
              <w:rPr>
                <w:rFonts w:hint="eastAsia" w:ascii="宋体" w:hAnsi="宋体"/>
              </w:rPr>
              <w:t>年      月     日</w:t>
            </w:r>
          </w:p>
        </w:tc>
      </w:tr>
    </w:tbl>
    <w:p>
      <w:pPr>
        <w:ind w:left="989" w:hanging="989"/>
        <w:rPr>
          <w:rFonts w:ascii="宋体" w:hAnsi="宋体"/>
        </w:rPr>
      </w:pPr>
      <w:r>
        <w:rPr>
          <w:rFonts w:hint="eastAsia" w:ascii="宋体" w:hAnsi="宋体"/>
        </w:rPr>
        <w:t>注：</w:t>
      </w:r>
    </w:p>
    <w:p>
      <w:pPr>
        <w:widowControl/>
        <w:numPr>
          <w:ilvl w:val="0"/>
          <w:numId w:val="18"/>
        </w:numPr>
        <w:tabs>
          <w:tab w:val="left" w:pos="284"/>
          <w:tab w:val="clear" w:pos="840"/>
        </w:tabs>
        <w:spacing w:line="360" w:lineRule="auto"/>
        <w:ind w:left="248" w:hanging="247" w:hangingChars="118"/>
        <w:rPr>
          <w:rFonts w:ascii="宋体" w:hAnsi="宋体"/>
        </w:rPr>
      </w:pPr>
      <w:r>
        <w:rPr>
          <w:rFonts w:hint="eastAsia" w:ascii="宋体" w:hAnsi="宋体"/>
        </w:rPr>
        <w:t>每季度对工程范围内的设备箱、设备及其供电系统进行一次保养性维护，包括设备除尘、排除故障隐患等，并填写设备养护记录表；以确认所有设备及系统工作正常；</w:t>
      </w:r>
    </w:p>
    <w:p>
      <w:pPr>
        <w:widowControl/>
        <w:numPr>
          <w:ilvl w:val="0"/>
          <w:numId w:val="18"/>
        </w:numPr>
        <w:tabs>
          <w:tab w:val="left" w:pos="284"/>
          <w:tab w:val="clear" w:pos="840"/>
        </w:tabs>
        <w:spacing w:line="360" w:lineRule="auto"/>
        <w:ind w:left="248" w:hanging="247" w:hangingChars="118"/>
        <w:rPr>
          <w:rFonts w:ascii="宋体" w:hAnsi="宋体"/>
        </w:rPr>
      </w:pPr>
      <w:r>
        <w:rPr>
          <w:rFonts w:hint="eastAsia" w:ascii="宋体" w:hAnsi="宋体"/>
        </w:rPr>
        <w:t>每季度对工程范围内的摄像机除尘清洁一次，并填写记录表；</w:t>
      </w:r>
    </w:p>
    <w:p>
      <w:pPr>
        <w:widowControl/>
        <w:numPr>
          <w:ilvl w:val="0"/>
          <w:numId w:val="18"/>
        </w:numPr>
        <w:tabs>
          <w:tab w:val="left" w:pos="284"/>
          <w:tab w:val="clear" w:pos="840"/>
        </w:tabs>
        <w:spacing w:line="360" w:lineRule="auto"/>
        <w:ind w:left="248" w:hanging="247" w:hangingChars="118"/>
        <w:rPr>
          <w:rFonts w:ascii="宋体" w:hAnsi="宋体"/>
        </w:rPr>
      </w:pPr>
      <w:r>
        <w:rPr>
          <w:rFonts w:hint="eastAsia" w:ascii="宋体" w:hAnsi="宋体"/>
        </w:rPr>
        <w:t>每半年对防雷系统进行一次检测，填写检测登记表，对不达标的防雷地极进行相应处理。</w:t>
      </w: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pStyle w:val="170"/>
        <w:rPr>
          <w:rFonts w:hint="eastAsia"/>
          <w:szCs w:val="21"/>
        </w:rPr>
      </w:pPr>
    </w:p>
    <w:p>
      <w:pPr>
        <w:pStyle w:val="18"/>
        <w:rPr>
          <w:rFonts w:hint="eastAsia"/>
          <w:szCs w:val="21"/>
        </w:rPr>
      </w:pPr>
    </w:p>
    <w:p>
      <w:pPr>
        <w:pStyle w:val="19"/>
        <w:tabs>
          <w:tab w:val="left" w:pos="0"/>
          <w:tab w:val="left" w:pos="993"/>
          <w:tab w:val="left" w:pos="1134"/>
          <w:tab w:val="left" w:pos="9360"/>
        </w:tabs>
        <w:ind w:firstLine="210"/>
        <w:rPr>
          <w:rFonts w:hint="eastAsia"/>
          <w:szCs w:val="21"/>
        </w:rPr>
      </w:pPr>
    </w:p>
    <w:p>
      <w:pPr>
        <w:pStyle w:val="20"/>
        <w:rPr>
          <w:rFonts w:hint="eastAsia"/>
        </w:rPr>
      </w:pPr>
    </w:p>
    <w:p>
      <w:pPr>
        <w:spacing w:line="300" w:lineRule="auto"/>
        <w:ind w:left="1207" w:hanging="1207"/>
        <w:jc w:val="center"/>
        <w:rPr>
          <w:rFonts w:ascii="宋体" w:hAnsi="宋体"/>
          <w:b/>
          <w:spacing w:val="26"/>
          <w:sz w:val="30"/>
          <w:szCs w:val="30"/>
        </w:rPr>
      </w:pPr>
      <w:r>
        <w:rPr>
          <w:rFonts w:hint="eastAsia" w:ascii="宋体" w:hAnsi="宋体"/>
          <w:b/>
          <w:spacing w:val="26"/>
          <w:sz w:val="30"/>
          <w:szCs w:val="30"/>
        </w:rPr>
        <w:t>重大故障维修报告</w:t>
      </w:r>
    </w:p>
    <w:p>
      <w:pPr>
        <w:spacing w:line="300" w:lineRule="auto"/>
        <w:ind w:left="-540" w:leftChars="-257" w:firstLine="537" w:firstLineChars="192"/>
        <w:jc w:val="left"/>
        <w:rPr>
          <w:rFonts w:ascii="宋体" w:hAnsi="宋体"/>
          <w:sz w:val="28"/>
          <w:szCs w:val="28"/>
        </w:rPr>
      </w:pPr>
      <w:r>
        <w:rPr>
          <w:rFonts w:hint="eastAsia" w:ascii="宋体" w:hAnsi="宋体"/>
          <w:sz w:val="28"/>
          <w:szCs w:val="28"/>
        </w:rPr>
        <w:t>编号：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3070"/>
        <w:gridCol w:w="1608"/>
        <w:gridCol w:w="3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639" w:type="dxa"/>
            <w:noWrap w:val="0"/>
            <w:vAlign w:val="center"/>
          </w:tcPr>
          <w:p>
            <w:pPr>
              <w:spacing w:line="300" w:lineRule="auto"/>
              <w:ind w:left="742" w:hanging="742"/>
              <w:jc w:val="center"/>
              <w:rPr>
                <w:rFonts w:ascii="宋体" w:hAnsi="宋体"/>
                <w:sz w:val="28"/>
                <w:szCs w:val="28"/>
              </w:rPr>
            </w:pPr>
            <w:r>
              <w:rPr>
                <w:rFonts w:hint="eastAsia" w:ascii="宋体" w:hAnsi="宋体"/>
                <w:sz w:val="28"/>
                <w:szCs w:val="28"/>
              </w:rPr>
              <w:t>时间</w:t>
            </w:r>
          </w:p>
        </w:tc>
        <w:tc>
          <w:tcPr>
            <w:tcW w:w="3070" w:type="dxa"/>
            <w:noWrap w:val="0"/>
            <w:vAlign w:val="center"/>
          </w:tcPr>
          <w:p>
            <w:pPr>
              <w:spacing w:line="300" w:lineRule="auto"/>
              <w:ind w:left="742" w:hanging="742"/>
              <w:rPr>
                <w:rFonts w:ascii="宋体" w:hAnsi="宋体"/>
                <w:sz w:val="28"/>
                <w:szCs w:val="28"/>
              </w:rPr>
            </w:pPr>
            <w:r>
              <w:rPr>
                <w:rFonts w:hint="eastAsia" w:ascii="宋体" w:hAnsi="宋体"/>
                <w:sz w:val="28"/>
                <w:szCs w:val="28"/>
              </w:rPr>
              <w:t xml:space="preserve">      年   月   日</w:t>
            </w:r>
          </w:p>
        </w:tc>
        <w:tc>
          <w:tcPr>
            <w:tcW w:w="1608" w:type="dxa"/>
            <w:noWrap w:val="0"/>
            <w:vAlign w:val="center"/>
          </w:tcPr>
          <w:p>
            <w:pPr>
              <w:spacing w:line="300" w:lineRule="auto"/>
              <w:ind w:left="742" w:hanging="742"/>
              <w:jc w:val="center"/>
              <w:rPr>
                <w:rFonts w:ascii="宋体" w:hAnsi="宋体"/>
                <w:sz w:val="28"/>
                <w:szCs w:val="28"/>
              </w:rPr>
            </w:pPr>
            <w:r>
              <w:rPr>
                <w:rFonts w:hint="eastAsia" w:ascii="宋体" w:hAnsi="宋体"/>
                <w:sz w:val="28"/>
                <w:szCs w:val="28"/>
              </w:rPr>
              <w:t>地点</w:t>
            </w:r>
          </w:p>
        </w:tc>
        <w:tc>
          <w:tcPr>
            <w:tcW w:w="3110" w:type="dxa"/>
            <w:noWrap w:val="0"/>
            <w:vAlign w:val="center"/>
          </w:tcPr>
          <w:p>
            <w:pPr>
              <w:spacing w:line="300" w:lineRule="auto"/>
              <w:ind w:left="742" w:hanging="742"/>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709" w:type="dxa"/>
            <w:gridSpan w:val="2"/>
            <w:noWrap w:val="0"/>
            <w:vAlign w:val="top"/>
          </w:tcPr>
          <w:p>
            <w:pPr>
              <w:spacing w:line="300" w:lineRule="auto"/>
              <w:ind w:left="742" w:hanging="742"/>
              <w:rPr>
                <w:rFonts w:ascii="宋体" w:hAnsi="宋体"/>
                <w:sz w:val="28"/>
                <w:szCs w:val="28"/>
              </w:rPr>
            </w:pPr>
            <w:r>
              <w:rPr>
                <w:rFonts w:hint="eastAsia" w:ascii="宋体" w:hAnsi="宋体"/>
                <w:sz w:val="28"/>
                <w:szCs w:val="28"/>
              </w:rPr>
              <w:t>故障维修人员：</w:t>
            </w:r>
          </w:p>
        </w:tc>
        <w:tc>
          <w:tcPr>
            <w:tcW w:w="1608" w:type="dxa"/>
            <w:noWrap w:val="0"/>
            <w:vAlign w:val="top"/>
          </w:tcPr>
          <w:p>
            <w:pPr>
              <w:spacing w:line="300" w:lineRule="auto"/>
              <w:ind w:left="742" w:hanging="742"/>
              <w:rPr>
                <w:rFonts w:ascii="宋体" w:hAnsi="宋体"/>
                <w:sz w:val="28"/>
                <w:szCs w:val="28"/>
              </w:rPr>
            </w:pPr>
            <w:r>
              <w:rPr>
                <w:rFonts w:hint="eastAsia" w:ascii="宋体" w:hAnsi="宋体"/>
                <w:sz w:val="28"/>
                <w:szCs w:val="28"/>
              </w:rPr>
              <w:t>修复时间</w:t>
            </w:r>
          </w:p>
        </w:tc>
        <w:tc>
          <w:tcPr>
            <w:tcW w:w="3110" w:type="dxa"/>
            <w:noWrap w:val="0"/>
            <w:vAlign w:val="top"/>
          </w:tcPr>
          <w:p>
            <w:pPr>
              <w:spacing w:line="300" w:lineRule="auto"/>
              <w:ind w:left="742" w:hanging="742"/>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427" w:type="dxa"/>
            <w:gridSpan w:val="4"/>
            <w:noWrap w:val="0"/>
            <w:vAlign w:val="top"/>
          </w:tcPr>
          <w:p>
            <w:pPr>
              <w:spacing w:line="300" w:lineRule="auto"/>
              <w:ind w:left="742" w:hanging="742"/>
              <w:rPr>
                <w:rFonts w:ascii="宋体" w:hAnsi="宋体"/>
                <w:sz w:val="28"/>
                <w:szCs w:val="28"/>
              </w:rPr>
            </w:pPr>
            <w:r>
              <w:rPr>
                <w:rFonts w:hint="eastAsia" w:ascii="宋体" w:hAnsi="宋体"/>
                <w:sz w:val="28"/>
                <w:szCs w:val="28"/>
              </w:rPr>
              <w:t>故障内容：</w:t>
            </w:r>
          </w:p>
          <w:p>
            <w:pPr>
              <w:spacing w:line="300" w:lineRule="auto"/>
              <w:ind w:left="742" w:hanging="742"/>
              <w:rPr>
                <w:rFonts w:hint="eastAsia" w:ascii="宋体" w:hAnsi="宋体"/>
                <w:sz w:val="28"/>
                <w:szCs w:val="28"/>
              </w:rPr>
            </w:pPr>
          </w:p>
          <w:p>
            <w:pPr>
              <w:spacing w:line="300" w:lineRule="auto"/>
              <w:ind w:left="742" w:hanging="742"/>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427" w:type="dxa"/>
            <w:gridSpan w:val="4"/>
            <w:noWrap w:val="0"/>
            <w:vAlign w:val="top"/>
          </w:tcPr>
          <w:p>
            <w:pPr>
              <w:spacing w:line="300" w:lineRule="auto"/>
              <w:ind w:left="742" w:hanging="742"/>
              <w:rPr>
                <w:rFonts w:ascii="宋体" w:hAnsi="宋体"/>
                <w:sz w:val="28"/>
                <w:szCs w:val="28"/>
              </w:rPr>
            </w:pPr>
            <w:r>
              <w:rPr>
                <w:rFonts w:hint="eastAsia" w:ascii="宋体" w:hAnsi="宋体"/>
                <w:sz w:val="28"/>
                <w:szCs w:val="28"/>
              </w:rPr>
              <w:t>故障原因、及总结：</w:t>
            </w:r>
          </w:p>
          <w:p>
            <w:pPr>
              <w:spacing w:line="300" w:lineRule="auto"/>
              <w:ind w:left="742" w:hanging="742"/>
              <w:rPr>
                <w:rFonts w:hint="eastAsia" w:ascii="宋体" w:hAnsi="宋体"/>
                <w:sz w:val="28"/>
                <w:szCs w:val="28"/>
              </w:rPr>
            </w:pPr>
          </w:p>
          <w:p>
            <w:pPr>
              <w:spacing w:line="300" w:lineRule="auto"/>
              <w:ind w:left="742" w:hanging="742"/>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9427" w:type="dxa"/>
            <w:gridSpan w:val="4"/>
            <w:noWrap w:val="0"/>
            <w:vAlign w:val="top"/>
          </w:tcPr>
          <w:p>
            <w:pPr>
              <w:spacing w:line="300" w:lineRule="auto"/>
              <w:ind w:left="742" w:hanging="742"/>
              <w:rPr>
                <w:rFonts w:ascii="宋体" w:hAnsi="宋体"/>
                <w:sz w:val="28"/>
                <w:szCs w:val="28"/>
              </w:rPr>
            </w:pPr>
            <w:r>
              <w:rPr>
                <w:rFonts w:hint="eastAsia" w:ascii="宋体" w:hAnsi="宋体"/>
                <w:sz w:val="28"/>
                <w:szCs w:val="28"/>
              </w:rPr>
              <w:t>甲方意见反馈：</w:t>
            </w:r>
          </w:p>
          <w:p>
            <w:pPr>
              <w:spacing w:line="300" w:lineRule="auto"/>
              <w:ind w:left="742" w:hanging="742"/>
              <w:rPr>
                <w:rFonts w:hint="eastAsia" w:ascii="宋体" w:hAnsi="宋体"/>
                <w:sz w:val="28"/>
                <w:szCs w:val="28"/>
              </w:rPr>
            </w:pPr>
          </w:p>
          <w:p>
            <w:pPr>
              <w:pStyle w:val="2"/>
              <w:ind w:firstLine="560"/>
              <w:rPr>
                <w:rFonts w:hint="eastAsia" w:ascii="宋体" w:hAnsi="宋体"/>
                <w:sz w:val="28"/>
                <w:szCs w:val="28"/>
              </w:rPr>
            </w:pPr>
          </w:p>
          <w:p>
            <w:pPr>
              <w:pStyle w:val="2"/>
              <w:ind w:firstLine="560"/>
              <w:rPr>
                <w:rFonts w:hint="eastAsia" w:ascii="宋体" w:hAnsi="宋体"/>
                <w:sz w:val="28"/>
                <w:szCs w:val="28"/>
              </w:rPr>
            </w:pPr>
          </w:p>
          <w:p>
            <w:pPr>
              <w:spacing w:line="300" w:lineRule="auto"/>
              <w:ind w:left="742" w:hanging="742"/>
              <w:rPr>
                <w:rFonts w:ascii="宋体" w:hAnsi="宋体"/>
                <w:sz w:val="28"/>
                <w:szCs w:val="28"/>
              </w:rPr>
            </w:pPr>
          </w:p>
          <w:p>
            <w:pPr>
              <w:spacing w:line="300" w:lineRule="auto"/>
              <w:ind w:left="742" w:right="1920" w:hanging="742"/>
              <w:jc w:val="right"/>
              <w:rPr>
                <w:rFonts w:ascii="宋体" w:hAnsi="宋体"/>
                <w:sz w:val="28"/>
                <w:szCs w:val="28"/>
              </w:rPr>
            </w:pPr>
            <w:r>
              <w:rPr>
                <w:rFonts w:hint="eastAsia" w:ascii="宋体" w:hAnsi="宋体"/>
                <w:sz w:val="28"/>
                <w:szCs w:val="28"/>
              </w:rPr>
              <w:t>甲方代表签字：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9427" w:type="dxa"/>
            <w:gridSpan w:val="4"/>
            <w:noWrap w:val="0"/>
            <w:vAlign w:val="top"/>
          </w:tcPr>
          <w:p>
            <w:pPr>
              <w:spacing w:line="300" w:lineRule="auto"/>
              <w:ind w:left="742" w:hanging="742"/>
              <w:rPr>
                <w:rFonts w:ascii="宋体" w:hAnsi="宋体"/>
                <w:sz w:val="28"/>
                <w:szCs w:val="28"/>
              </w:rPr>
            </w:pPr>
            <w:r>
              <w:rPr>
                <w:rFonts w:hint="eastAsia" w:ascii="宋体" w:hAnsi="宋体"/>
                <w:sz w:val="28"/>
                <w:szCs w:val="28"/>
              </w:rPr>
              <w:t>改进、纠正和预防措施摘要及责任部门：</w:t>
            </w:r>
          </w:p>
          <w:p>
            <w:pPr>
              <w:spacing w:line="300" w:lineRule="auto"/>
              <w:ind w:left="742" w:hanging="742"/>
              <w:rPr>
                <w:rFonts w:hint="eastAsia" w:ascii="宋体" w:hAnsi="宋体"/>
                <w:sz w:val="28"/>
                <w:szCs w:val="28"/>
              </w:rPr>
            </w:pPr>
          </w:p>
          <w:p>
            <w:pPr>
              <w:spacing w:line="300" w:lineRule="auto"/>
              <w:ind w:left="742" w:hanging="742"/>
              <w:rPr>
                <w:rFonts w:hint="eastAsia" w:ascii="宋体" w:hAnsi="宋体"/>
                <w:sz w:val="28"/>
                <w:szCs w:val="28"/>
              </w:rPr>
            </w:pPr>
          </w:p>
          <w:p>
            <w:pPr>
              <w:spacing w:line="300" w:lineRule="auto"/>
              <w:ind w:left="742" w:hanging="742"/>
              <w:rPr>
                <w:rFonts w:hint="eastAsia" w:ascii="宋体" w:hAnsi="宋体"/>
                <w:sz w:val="28"/>
                <w:szCs w:val="28"/>
              </w:rPr>
            </w:pPr>
          </w:p>
          <w:p>
            <w:pPr>
              <w:spacing w:line="300" w:lineRule="auto"/>
              <w:ind w:left="742" w:hanging="742"/>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427" w:type="dxa"/>
            <w:gridSpan w:val="4"/>
            <w:noWrap w:val="0"/>
            <w:vAlign w:val="center"/>
          </w:tcPr>
          <w:p>
            <w:pPr>
              <w:spacing w:line="300" w:lineRule="auto"/>
              <w:ind w:left="742" w:hanging="742"/>
              <w:rPr>
                <w:rFonts w:ascii="宋体" w:hAnsi="宋体"/>
                <w:sz w:val="28"/>
                <w:szCs w:val="28"/>
              </w:rPr>
            </w:pPr>
            <w:r>
              <w:rPr>
                <w:rFonts w:hint="eastAsia" w:ascii="宋体" w:hAnsi="宋体"/>
                <w:sz w:val="28"/>
                <w:szCs w:val="28"/>
              </w:rPr>
              <w:t xml:space="preserve">编制：           日期：          审核：          日期：      </w:t>
            </w:r>
          </w:p>
        </w:tc>
      </w:tr>
    </w:tbl>
    <w:p>
      <w:pPr>
        <w:ind w:firstLine="315" w:firstLineChars="150"/>
        <w:rPr>
          <w:rFonts w:hint="eastAsia"/>
          <w:szCs w:val="21"/>
        </w:rPr>
      </w:pPr>
    </w:p>
    <w:p>
      <w:pPr>
        <w:ind w:firstLine="315" w:firstLineChars="150"/>
        <w:rPr>
          <w:rFonts w:hint="eastAsia"/>
          <w:szCs w:val="21"/>
        </w:rPr>
      </w:pPr>
    </w:p>
    <w:p>
      <w:pPr>
        <w:pStyle w:val="170"/>
        <w:rPr>
          <w:rFonts w:hint="eastAsia"/>
          <w:szCs w:val="21"/>
        </w:rPr>
      </w:pPr>
    </w:p>
    <w:p>
      <w:pPr>
        <w:pStyle w:val="18"/>
        <w:rPr>
          <w:rFonts w:hint="eastAsia"/>
          <w:szCs w:val="21"/>
        </w:rPr>
      </w:pPr>
    </w:p>
    <w:p>
      <w:pPr>
        <w:pStyle w:val="19"/>
        <w:tabs>
          <w:tab w:val="left" w:pos="0"/>
          <w:tab w:val="left" w:pos="993"/>
          <w:tab w:val="left" w:pos="1134"/>
          <w:tab w:val="left" w:pos="9360"/>
        </w:tabs>
        <w:ind w:firstLine="210"/>
        <w:rPr>
          <w:rFonts w:hint="eastAsia"/>
          <w:szCs w:val="21"/>
        </w:rPr>
      </w:pPr>
    </w:p>
    <w:p>
      <w:pPr>
        <w:pStyle w:val="20"/>
        <w:rPr>
          <w:rFonts w:hint="eastAsia"/>
          <w:szCs w:val="21"/>
        </w:rPr>
      </w:pPr>
    </w:p>
    <w:p>
      <w:pPr>
        <w:rPr>
          <w:rFonts w:hint="eastAsia"/>
          <w:szCs w:val="21"/>
        </w:rPr>
      </w:pPr>
    </w:p>
    <w:p>
      <w:pPr>
        <w:pStyle w:val="2"/>
        <w:ind w:firstLine="480"/>
        <w:rPr>
          <w:rFonts w:hint="eastAsia"/>
        </w:rPr>
      </w:pPr>
    </w:p>
    <w:p>
      <w:pPr>
        <w:pStyle w:val="170"/>
        <w:rPr>
          <w:rFonts w:hint="eastAsia"/>
        </w:rPr>
      </w:pPr>
    </w:p>
    <w:p>
      <w:pPr>
        <w:spacing w:line="300" w:lineRule="auto"/>
        <w:ind w:left="1207" w:hanging="1207"/>
        <w:jc w:val="center"/>
        <w:rPr>
          <w:rFonts w:ascii="宋体" w:hAnsi="宋体"/>
          <w:b/>
          <w:spacing w:val="26"/>
          <w:sz w:val="28"/>
          <w:szCs w:val="28"/>
        </w:rPr>
      </w:pPr>
      <w:r>
        <w:rPr>
          <w:rFonts w:hint="eastAsia" w:ascii="宋体" w:hAnsi="宋体"/>
          <w:b/>
          <w:spacing w:val="26"/>
          <w:sz w:val="28"/>
          <w:szCs w:val="28"/>
        </w:rPr>
        <w:t>第</w:t>
      </w:r>
      <w:r>
        <w:rPr>
          <w:rFonts w:hint="eastAsia" w:ascii="宋体" w:hAnsi="宋体"/>
          <w:b/>
          <w:spacing w:val="26"/>
          <w:sz w:val="28"/>
          <w:szCs w:val="28"/>
          <w:u w:val="single"/>
        </w:rPr>
        <w:t xml:space="preserve">     </w:t>
      </w:r>
      <w:r>
        <w:rPr>
          <w:rFonts w:hint="eastAsia" w:ascii="宋体" w:hAnsi="宋体"/>
          <w:b/>
          <w:spacing w:val="26"/>
          <w:sz w:val="28"/>
          <w:szCs w:val="28"/>
        </w:rPr>
        <w:t>季度系统维护总结报告</w:t>
      </w:r>
    </w:p>
    <w:p>
      <w:pPr>
        <w:spacing w:line="300" w:lineRule="auto"/>
        <w:ind w:left="-540" w:leftChars="-257" w:firstLine="580" w:firstLineChars="242"/>
        <w:jc w:val="left"/>
        <w:rPr>
          <w:rFonts w:ascii="宋体" w:hAnsi="宋体"/>
          <w:sz w:val="24"/>
        </w:rPr>
      </w:pPr>
      <w:r>
        <w:rPr>
          <w:rFonts w:hint="eastAsia" w:ascii="宋体" w:hAnsi="宋体"/>
          <w:sz w:val="24"/>
        </w:rPr>
        <w:t xml:space="preserve">编号：                                      </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3072"/>
        <w:gridCol w:w="1608"/>
        <w:gridCol w:w="3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41" w:type="dxa"/>
            <w:noWrap w:val="0"/>
            <w:vAlign w:val="center"/>
          </w:tcPr>
          <w:p>
            <w:pPr>
              <w:spacing w:line="300" w:lineRule="auto"/>
              <w:ind w:left="742" w:hanging="742"/>
              <w:jc w:val="center"/>
              <w:rPr>
                <w:rFonts w:ascii="宋体" w:hAnsi="宋体"/>
                <w:sz w:val="24"/>
              </w:rPr>
            </w:pPr>
            <w:r>
              <w:rPr>
                <w:rFonts w:hint="eastAsia" w:ascii="宋体" w:hAnsi="宋体"/>
                <w:sz w:val="24"/>
              </w:rPr>
              <w:t>工程名称</w:t>
            </w:r>
          </w:p>
        </w:tc>
        <w:tc>
          <w:tcPr>
            <w:tcW w:w="3072" w:type="dxa"/>
            <w:noWrap w:val="0"/>
            <w:vAlign w:val="center"/>
          </w:tcPr>
          <w:p>
            <w:pPr>
              <w:spacing w:line="300" w:lineRule="auto"/>
              <w:ind w:left="742" w:hanging="742"/>
              <w:rPr>
                <w:rFonts w:ascii="宋体" w:hAnsi="宋体"/>
                <w:sz w:val="24"/>
              </w:rPr>
            </w:pPr>
          </w:p>
        </w:tc>
        <w:tc>
          <w:tcPr>
            <w:tcW w:w="1608" w:type="dxa"/>
            <w:noWrap w:val="0"/>
            <w:vAlign w:val="center"/>
          </w:tcPr>
          <w:p>
            <w:pPr>
              <w:spacing w:line="300" w:lineRule="auto"/>
              <w:ind w:left="742" w:hanging="742"/>
              <w:jc w:val="center"/>
              <w:rPr>
                <w:rFonts w:ascii="宋体" w:hAnsi="宋体"/>
                <w:sz w:val="24"/>
              </w:rPr>
            </w:pPr>
            <w:r>
              <w:rPr>
                <w:rFonts w:hint="eastAsia" w:ascii="宋体" w:hAnsi="宋体"/>
                <w:sz w:val="24"/>
              </w:rPr>
              <w:t>时间</w:t>
            </w:r>
          </w:p>
        </w:tc>
        <w:tc>
          <w:tcPr>
            <w:tcW w:w="3106" w:type="dxa"/>
            <w:noWrap w:val="0"/>
            <w:vAlign w:val="center"/>
          </w:tcPr>
          <w:p>
            <w:pPr>
              <w:spacing w:line="300" w:lineRule="auto"/>
              <w:ind w:left="742" w:hanging="742"/>
              <w:rPr>
                <w:rFonts w:ascii="宋体" w:hAnsi="宋体"/>
                <w:sz w:val="24"/>
              </w:rPr>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427" w:type="dxa"/>
            <w:gridSpan w:val="4"/>
            <w:noWrap w:val="0"/>
            <w:vAlign w:val="top"/>
          </w:tcPr>
          <w:p>
            <w:pPr>
              <w:spacing w:line="300" w:lineRule="auto"/>
              <w:ind w:left="742" w:hanging="742"/>
              <w:rPr>
                <w:rFonts w:ascii="宋体" w:hAnsi="宋体"/>
                <w:sz w:val="24"/>
              </w:rPr>
            </w:pPr>
            <w:r>
              <w:rPr>
                <w:rFonts w:hint="eastAsia" w:ascii="宋体" w:hAnsi="宋体"/>
                <w:sz w:val="24"/>
              </w:rPr>
              <w:t>维护内容：</w:t>
            </w:r>
          </w:p>
          <w:p>
            <w:pPr>
              <w:spacing w:line="300" w:lineRule="auto"/>
              <w:ind w:left="742" w:hanging="742"/>
              <w:rPr>
                <w:rFonts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9427" w:type="dxa"/>
            <w:gridSpan w:val="4"/>
            <w:noWrap w:val="0"/>
            <w:vAlign w:val="top"/>
          </w:tcPr>
          <w:p>
            <w:pPr>
              <w:spacing w:line="300" w:lineRule="auto"/>
              <w:ind w:left="742" w:hanging="742"/>
              <w:rPr>
                <w:rFonts w:ascii="宋体" w:hAnsi="宋体"/>
                <w:sz w:val="24"/>
              </w:rPr>
            </w:pPr>
            <w:r>
              <w:rPr>
                <w:rFonts w:hint="eastAsia" w:ascii="宋体" w:hAnsi="宋体"/>
                <w:sz w:val="24"/>
              </w:rPr>
              <w:t>存在主要问题：</w:t>
            </w:r>
          </w:p>
          <w:p>
            <w:pPr>
              <w:spacing w:line="300" w:lineRule="auto"/>
              <w:ind w:left="742" w:hanging="742"/>
              <w:rPr>
                <w:rFonts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9427" w:type="dxa"/>
            <w:gridSpan w:val="4"/>
            <w:noWrap w:val="0"/>
            <w:vAlign w:val="top"/>
          </w:tcPr>
          <w:p>
            <w:pPr>
              <w:spacing w:line="300" w:lineRule="auto"/>
              <w:ind w:left="742" w:hanging="742"/>
              <w:rPr>
                <w:rFonts w:ascii="宋体" w:hAnsi="宋体"/>
                <w:sz w:val="24"/>
              </w:rPr>
            </w:pPr>
            <w:r>
              <w:rPr>
                <w:rFonts w:hint="eastAsia" w:ascii="宋体" w:hAnsi="宋体"/>
                <w:sz w:val="24"/>
              </w:rPr>
              <w:t>维护总结</w:t>
            </w:r>
          </w:p>
          <w:p>
            <w:pPr>
              <w:spacing w:line="300" w:lineRule="auto"/>
              <w:ind w:left="742" w:hanging="742"/>
              <w:rPr>
                <w:rFonts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427" w:type="dxa"/>
            <w:gridSpan w:val="4"/>
            <w:noWrap w:val="0"/>
            <w:vAlign w:val="top"/>
          </w:tcPr>
          <w:p>
            <w:pPr>
              <w:spacing w:line="300" w:lineRule="auto"/>
              <w:ind w:left="742" w:hanging="742"/>
              <w:rPr>
                <w:rFonts w:ascii="宋体" w:hAnsi="宋体"/>
                <w:sz w:val="24"/>
              </w:rPr>
            </w:pPr>
            <w:r>
              <w:rPr>
                <w:rFonts w:hint="eastAsia" w:ascii="宋体" w:hAnsi="宋体"/>
                <w:sz w:val="24"/>
              </w:rPr>
              <w:t>合理化建议：</w:t>
            </w: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hint="eastAsia" w:ascii="宋体" w:hAnsi="宋体"/>
                <w:sz w:val="24"/>
              </w:rPr>
            </w:pPr>
          </w:p>
          <w:p>
            <w:pPr>
              <w:spacing w:line="300" w:lineRule="auto"/>
              <w:ind w:left="742" w:hanging="742"/>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27" w:type="dxa"/>
            <w:gridSpan w:val="4"/>
            <w:noWrap w:val="0"/>
            <w:vAlign w:val="center"/>
          </w:tcPr>
          <w:p>
            <w:pPr>
              <w:spacing w:line="300" w:lineRule="auto"/>
              <w:ind w:left="742" w:hanging="742"/>
              <w:rPr>
                <w:rFonts w:ascii="宋体" w:hAnsi="宋体"/>
                <w:sz w:val="24"/>
              </w:rPr>
            </w:pPr>
            <w:r>
              <w:rPr>
                <w:rFonts w:hint="eastAsia" w:ascii="宋体" w:hAnsi="宋体"/>
                <w:sz w:val="24"/>
              </w:rPr>
              <w:t xml:space="preserve">编制：           日期：          审核：          日期：      </w:t>
            </w:r>
          </w:p>
        </w:tc>
      </w:tr>
    </w:tbl>
    <w:p>
      <w:pPr>
        <w:spacing w:line="440" w:lineRule="exact"/>
        <w:ind w:firstLine="420" w:firstLineChars="200"/>
        <w:contextualSpacing/>
        <w:rPr>
          <w:rFonts w:hint="eastAsia"/>
          <w:szCs w:val="22"/>
        </w:rPr>
      </w:pPr>
    </w:p>
    <w:p>
      <w:pPr>
        <w:ind w:firstLine="420" w:firstLineChars="200"/>
        <w:rPr>
          <w:rFonts w:hint="eastAsia"/>
          <w:szCs w:val="16"/>
        </w:rPr>
      </w:pPr>
      <w:r>
        <w:rPr>
          <w:rFonts w:ascii="宋体" w:hAnsi="宋体" w:cs="宋体"/>
          <w:szCs w:val="21"/>
        </w:rPr>
        <w:br w:type="page"/>
      </w:r>
      <w:r>
        <w:rPr>
          <w:rFonts w:hint="eastAsia"/>
          <w:szCs w:val="16"/>
        </w:rPr>
        <w:t xml:space="preserve">附件8          </w:t>
      </w:r>
    </w:p>
    <w:p>
      <w:pPr>
        <w:ind w:firstLine="2880" w:firstLineChars="900"/>
        <w:rPr>
          <w:rFonts w:hint="eastAsia"/>
          <w:sz w:val="32"/>
          <w:szCs w:val="22"/>
        </w:rPr>
      </w:pPr>
      <w:r>
        <w:rPr>
          <w:rFonts w:hint="eastAsia"/>
          <w:sz w:val="32"/>
          <w:szCs w:val="22"/>
        </w:rPr>
        <w:t>人防工程维护保养要求</w:t>
      </w:r>
    </w:p>
    <w:p>
      <w:pPr>
        <w:snapToGrid w:val="0"/>
        <w:ind w:firstLine="663"/>
        <w:rPr>
          <w:rFonts w:hint="eastAsia" w:ascii="仿宋_GB2312" w:eastAsia="仿宋_GB2312"/>
          <w:b/>
          <w:sz w:val="44"/>
          <w:szCs w:val="44"/>
        </w:rPr>
      </w:pPr>
    </w:p>
    <w:p>
      <w:pPr>
        <w:spacing w:line="420" w:lineRule="exact"/>
        <w:rPr>
          <w:rFonts w:hint="eastAsia" w:ascii="仿宋_GB2312" w:eastAsia="仿宋_GB2312"/>
          <w:b/>
          <w:sz w:val="28"/>
          <w:szCs w:val="28"/>
        </w:rPr>
      </w:pPr>
      <w:r>
        <w:rPr>
          <w:rFonts w:hint="eastAsia" w:ascii="仿宋_GB2312" w:eastAsia="仿宋_GB2312"/>
          <w:b/>
          <w:sz w:val="28"/>
          <w:szCs w:val="28"/>
        </w:rPr>
        <w:t>一、防护设备维护保养方法</w:t>
      </w:r>
    </w:p>
    <w:p>
      <w:pPr>
        <w:spacing w:line="420" w:lineRule="exact"/>
        <w:rPr>
          <w:rFonts w:hint="eastAsia" w:ascii="仿宋_GB2312" w:eastAsia="仿宋_GB2312"/>
          <w:b/>
          <w:sz w:val="28"/>
          <w:szCs w:val="28"/>
        </w:rPr>
      </w:pPr>
    </w:p>
    <w:tbl>
      <w:tblPr>
        <w:tblStyle w:val="4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5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580"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top"/>
          </w:tcPr>
          <w:p>
            <w:pPr>
              <w:spacing w:line="420" w:lineRule="exact"/>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r>
              <w:rPr>
                <w:rFonts w:hint="eastAsia" w:ascii="仿宋_GB2312" w:hAnsi="宋体" w:eastAsia="仿宋_GB2312"/>
                <w:sz w:val="18"/>
                <w:szCs w:val="18"/>
              </w:rPr>
              <w:t>钢</w:t>
            </w:r>
          </w:p>
          <w:p>
            <w:pPr>
              <w:jc w:val="center"/>
              <w:rPr>
                <w:rFonts w:hint="eastAsia" w:ascii="仿宋_GB2312" w:hAnsi="宋体" w:eastAsia="仿宋_GB2312"/>
                <w:sz w:val="18"/>
                <w:szCs w:val="18"/>
              </w:rPr>
            </w:pPr>
            <w:r>
              <w:rPr>
                <w:rFonts w:hint="eastAsia" w:ascii="仿宋_GB2312" w:hAnsi="宋体" w:eastAsia="仿宋_GB2312"/>
                <w:sz w:val="18"/>
                <w:szCs w:val="18"/>
              </w:rPr>
              <w:t>结</w:t>
            </w:r>
          </w:p>
          <w:p>
            <w:pPr>
              <w:jc w:val="center"/>
              <w:rPr>
                <w:rFonts w:hint="eastAsia" w:ascii="仿宋_GB2312" w:hAnsi="宋体" w:eastAsia="仿宋_GB2312"/>
                <w:sz w:val="18"/>
                <w:szCs w:val="18"/>
              </w:rPr>
            </w:pPr>
            <w:r>
              <w:rPr>
                <w:rFonts w:hint="eastAsia" w:ascii="仿宋_GB2312" w:hAnsi="宋体" w:eastAsia="仿宋_GB2312"/>
                <w:sz w:val="18"/>
                <w:szCs w:val="18"/>
              </w:rPr>
              <w:t>构</w:t>
            </w:r>
          </w:p>
          <w:p>
            <w:pPr>
              <w:jc w:val="center"/>
              <w:rPr>
                <w:rFonts w:hint="eastAsia" w:ascii="仿宋_GB2312" w:hAnsi="宋体" w:eastAsia="仿宋_GB2312"/>
                <w:sz w:val="18"/>
                <w:szCs w:val="18"/>
              </w:rPr>
            </w:pPr>
            <w:r>
              <w:rPr>
                <w:rFonts w:hint="eastAsia" w:ascii="仿宋_GB2312" w:hAnsi="宋体" w:eastAsia="仿宋_GB2312"/>
                <w:sz w:val="20"/>
                <w:szCs w:val="28"/>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436245</wp:posOffset>
                      </wp:positionV>
                      <wp:extent cx="457200" cy="297180"/>
                      <wp:effectExtent l="0" t="0" r="0" b="7620"/>
                      <wp:wrapNone/>
                      <wp:docPr id="1" name="文本框 3"/>
                      <wp:cNvGraphicFramePr/>
                      <a:graphic xmlns:a="http://schemas.openxmlformats.org/drawingml/2006/main">
                        <a:graphicData uri="http://schemas.microsoft.com/office/word/2010/wordprocessingShape">
                          <wps:wsp>
                            <wps:cNvSpPr txBox="1"/>
                            <wps:spPr>
                              <a:xfrm>
                                <a:off x="0" y="0"/>
                                <a:ext cx="457200" cy="297180"/>
                              </a:xfrm>
                              <a:prstGeom prst="rect">
                                <a:avLst/>
                              </a:prstGeom>
                              <a:solidFill>
                                <a:srgbClr val="FFFFFF"/>
                              </a:solidFill>
                              <a:ln>
                                <a:noFill/>
                              </a:ln>
                            </wps:spPr>
                            <wps:txbx>
                              <w:txbxContent>
                                <w:p>
                                  <w:pPr>
                                    <w:spacing w:line="240" w:lineRule="exact"/>
                                    <w:ind w:firstLine="120"/>
                                    <w:rPr>
                                      <w:rFonts w:hint="eastAsia" w:ascii="宋体" w:hAnsi="宋体"/>
                                      <w:sz w:val="24"/>
                                    </w:rPr>
                                  </w:pPr>
                                  <w:r>
                                    <w:rPr>
                                      <w:rFonts w:hint="eastAsia" w:ascii="宋体" w:hAnsi="宋体"/>
                                      <w:sz w:val="24"/>
                                    </w:rPr>
                                    <w:t xml:space="preserve"> </w:t>
                                  </w:r>
                                </w:p>
                              </w:txbxContent>
                            </wps:txbx>
                            <wps:bodyPr wrap="square" upright="1"/>
                          </wps:wsp>
                        </a:graphicData>
                      </a:graphic>
                    </wp:anchor>
                  </w:drawing>
                </mc:Choice>
                <mc:Fallback>
                  <w:pict>
                    <v:shape id="文本框 3" o:spid="_x0000_s1026" o:spt="202" type="#_x0000_t202" style="position:absolute;left:0pt;margin-left:-57.6pt;margin-top:34.35pt;height:23.4pt;width:36pt;z-index:251659264;mso-width-relative:page;mso-height-relative:page;" fillcolor="#FFFFFF" filled="t" stroked="f" coordsize="21600,21600" o:gfxdata="UEsDBAoAAAAAAIdO4kAAAAAAAAAAAAAAAAAEAAAAZHJzL1BLAwQUAAAACACHTuJA13EkkdkAAAAL AQAADwAAAGRycy9kb3ducmV2LnhtbE2Py26DMBBF95X6D9ZU6qYihjRASjGRWilVt3l8wIAngIpt hJ2Q/H2mq3Y5M0d3zi03VzOIC02+d1ZBsohBkG2c7m2r4HjYRmsQPqDVODhLCm7kYVM9PpRYaDfb HV32oRUcYn2BCroQxkJK33Rk0C/cSJZvJzcZDDxOrdQTzhxuBrmM40wa7C1/6HCkz46an/3ZKDh9 zy/p21x/hWO+W2Uf2Oe1uyn1/JTE7yACXcMfDL/6rA4VO9XubLUXg4IoSdIlswqydQ6CiWj1youa 0SRNQVal/N+hugNQSwMEFAAAAAgAh07iQDxNkdTLAQAAhAMAAA4AAABkcnMvZTJvRG9jLnhtbK1T S27bMBDdF8gdCO5r2e4nqWA5QGu4m6ItkOYANEVJBPjLDG3JF2hv0FU33fdcPkeHlOK06SaLakGR 83kz7w25uh6sYQcFqL2r+GI250w56Wvt2orfftk+v+IMo3C1MN6pih8V8uv1xbNVH0q19J03tQJG IA7LPlS8izGURYGyU1bgzAflyNl4sCLSEdqiBtETujXFcj5/XfQe6gBeKkSybkYnnxDhKYC+abRU Gy/3Vrk4ooIyIhIl7HRAvs7dNo2S8VPToIrMVJyYxrxSEdrv0lqsV6JsQYROy6kF8ZQWHnGyQjsq eobaiCjYHvQ/UFZL8OibOJPeFiORrAixWMwfaXPTiaAyF5Iaw1l0/H+w8uPhMzBd003gzAlLAz99 /3b68ev08yt7keTpA5YUdRMoLg5v/ZBCJzuSMbEeGrDpT3wY+Unc41lcNUQmyfjy1SWNnzNJruWb y8VVFr94SA6A8b3ylqVNxYFmlyUVhw8YqSCF3oekWuiNrrfamHyAdvfOADsImvM2f6lHSvkrzLgU 7HxKG93JUiSKI5W0i8NumPjtfH0k2j3dj4rj3V6A4mwfQLcddZhlyMk0nFxsukhp+n+ec4mHx7P+ D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NdxJJHZAAAACwEAAA8AAAAAAAAAAQAgAAAAIgAAAGRy cy9kb3ducmV2LnhtbFBLAQIUABQAAAAIAIdO4kA8TZHUywEAAIQDAAAOAAAAAAAAAAEAIAAAACgB AABkcnMvZTJvRG9jLnhtbFBLBQYAAAAABgAGAFkBAABlBQAAAAA= ">
                      <v:fill on="t" focussize="0,0"/>
                      <v:stroke on="f"/>
                      <v:imagedata o:title=""/>
                      <o:lock v:ext="edit" aspectratio="f"/>
                      <v:textbox>
                        <w:txbxContent>
                          <w:p>
                            <w:pPr>
                              <w:spacing w:line="240" w:lineRule="exact"/>
                              <w:ind w:firstLine="120"/>
                              <w:rPr>
                                <w:rFonts w:hint="eastAsia" w:ascii="宋体" w:hAnsi="宋体"/>
                                <w:sz w:val="24"/>
                              </w:rPr>
                            </w:pPr>
                            <w:r>
                              <w:rPr>
                                <w:rFonts w:hint="eastAsia" w:ascii="宋体" w:hAnsi="宋体"/>
                                <w:sz w:val="24"/>
                              </w:rPr>
                              <w:t xml:space="preserve"> </w:t>
                            </w:r>
                          </w:p>
                        </w:txbxContent>
                      </v:textbox>
                    </v:shape>
                  </w:pict>
                </mc:Fallback>
              </mc:AlternateContent>
            </w:r>
            <w:r>
              <w:rPr>
                <w:rFonts w:hint="eastAsia" w:ascii="仿宋_GB2312" w:hAnsi="宋体" w:eastAsia="仿宋_GB2312"/>
                <w:sz w:val="18"/>
                <w:szCs w:val="18"/>
              </w:rPr>
              <w:t>门</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铰页</w:t>
            </w:r>
          </w:p>
        </w:tc>
        <w:tc>
          <w:tcPr>
            <w:tcW w:w="5580"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1、卸下上、下铰页注油孔螺丝，用黄油枪注入黄油。</w:t>
            </w:r>
          </w:p>
          <w:p>
            <w:pPr>
              <w:ind w:left="270" w:hanging="270"/>
              <w:rPr>
                <w:rFonts w:hint="eastAsia" w:ascii="仿宋_GB2312" w:hAnsi="宋体" w:eastAsia="仿宋_GB2312"/>
                <w:sz w:val="18"/>
                <w:szCs w:val="18"/>
              </w:rPr>
            </w:pPr>
            <w:r>
              <w:rPr>
                <w:rFonts w:hint="eastAsia" w:ascii="仿宋_GB2312" w:hAnsi="宋体" w:eastAsia="仿宋_GB2312"/>
                <w:sz w:val="18"/>
                <w:szCs w:val="18"/>
              </w:rPr>
              <w:t>2、其他紧固螺丝喷射防锈润滑剂，涂油防锈。</w:t>
            </w:r>
          </w:p>
          <w:p>
            <w:pPr>
              <w:rPr>
                <w:rFonts w:hint="eastAsia" w:ascii="仿宋_GB2312" w:hAnsi="宋体" w:eastAsia="仿宋_GB2312"/>
                <w:sz w:val="18"/>
                <w:szCs w:val="18"/>
              </w:rPr>
            </w:pPr>
            <w:r>
              <w:rPr>
                <w:rFonts w:hint="eastAsia" w:ascii="仿宋_GB2312" w:hAnsi="宋体" w:eastAsia="仿宋_GB2312"/>
                <w:sz w:val="18"/>
                <w:szCs w:val="18"/>
              </w:rPr>
              <w:t>3、正确安装，反复启闭使其开关灵活。</w:t>
            </w:r>
          </w:p>
          <w:p>
            <w:pPr>
              <w:rPr>
                <w:rFonts w:hint="eastAsia" w:ascii="仿宋_GB2312" w:hAnsi="宋体" w:eastAsia="仿宋_GB2312"/>
                <w:sz w:val="18"/>
                <w:szCs w:val="18"/>
              </w:rPr>
            </w:pPr>
            <w:r>
              <w:rPr>
                <w:rFonts w:hint="eastAsia" w:ascii="仿宋_GB2312" w:hAnsi="宋体" w:eastAsia="仿宋_GB2312"/>
                <w:sz w:val="18"/>
                <w:szCs w:val="18"/>
              </w:rPr>
              <w:t>4、拧紧上、下铰页轴油孔螺丝。</w:t>
            </w:r>
          </w:p>
        </w:tc>
        <w:tc>
          <w:tcPr>
            <w:tcW w:w="1080" w:type="dxa"/>
            <w:vMerge w:val="restart"/>
            <w:noWrap w:val="0"/>
            <w:vAlign w:val="top"/>
          </w:tcPr>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p>
          <w:p>
            <w:pPr>
              <w:ind w:firstLine="180"/>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闭锁</w:t>
            </w:r>
          </w:p>
        </w:tc>
        <w:tc>
          <w:tcPr>
            <w:tcW w:w="5580"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1、卸下蜗轮箱上部的注油孔固定螺丝，用油枪注入黄油，上紧螺丝。</w:t>
            </w:r>
          </w:p>
          <w:p>
            <w:pPr>
              <w:ind w:left="270" w:hanging="270"/>
              <w:rPr>
                <w:rFonts w:hint="eastAsia" w:ascii="仿宋_GB2312" w:hAnsi="宋体" w:eastAsia="仿宋_GB2312"/>
                <w:sz w:val="18"/>
                <w:szCs w:val="18"/>
              </w:rPr>
            </w:pPr>
            <w:r>
              <w:rPr>
                <w:rFonts w:hint="eastAsia" w:ascii="仿宋_GB2312" w:hAnsi="宋体" w:eastAsia="仿宋_GB2312"/>
                <w:sz w:val="18"/>
                <w:szCs w:val="18"/>
              </w:rPr>
              <w:t>2、闭锁轴销、手轮轴及其他紧固螺丝处喷射防锈润滑剂。</w:t>
            </w:r>
          </w:p>
          <w:p>
            <w:pPr>
              <w:ind w:left="270" w:hanging="270"/>
              <w:rPr>
                <w:rFonts w:hint="eastAsia" w:ascii="仿宋_GB2312" w:hAnsi="宋体" w:eastAsia="仿宋_GB2312"/>
                <w:sz w:val="18"/>
                <w:szCs w:val="18"/>
              </w:rPr>
            </w:pPr>
            <w:r>
              <w:rPr>
                <w:rFonts w:hint="eastAsia" w:ascii="仿宋_GB2312" w:hAnsi="宋体" w:eastAsia="仿宋_GB2312"/>
                <w:sz w:val="18"/>
                <w:szCs w:val="18"/>
              </w:rPr>
              <w:t>3、蜗轮、蜗杆啮合部位用黄油枪注入黄油。</w:t>
            </w:r>
          </w:p>
          <w:p>
            <w:pPr>
              <w:ind w:left="270" w:hanging="270"/>
              <w:rPr>
                <w:rFonts w:hint="eastAsia" w:ascii="仿宋_GB2312" w:hAnsi="宋体" w:eastAsia="仿宋_GB2312"/>
                <w:sz w:val="18"/>
                <w:szCs w:val="18"/>
              </w:rPr>
            </w:pPr>
            <w:r>
              <w:rPr>
                <w:rFonts w:hint="eastAsia" w:ascii="仿宋_GB2312" w:hAnsi="宋体" w:eastAsia="仿宋_GB2312"/>
                <w:sz w:val="18"/>
                <w:szCs w:val="18"/>
              </w:rPr>
              <w:t>4、正确安装，各处反复转动，使其开关灵活。</w:t>
            </w:r>
          </w:p>
          <w:p>
            <w:pPr>
              <w:rPr>
                <w:rFonts w:hint="eastAsia" w:ascii="仿宋_GB2312" w:hAnsi="宋体" w:eastAsia="仿宋_GB2312"/>
                <w:sz w:val="18"/>
                <w:szCs w:val="18"/>
              </w:rPr>
            </w:pPr>
            <w:r>
              <w:rPr>
                <w:rFonts w:hint="eastAsia" w:ascii="仿宋_GB2312" w:hAnsi="宋体" w:eastAsia="仿宋_GB2312"/>
                <w:sz w:val="18"/>
                <w:szCs w:val="18"/>
              </w:rPr>
              <w:t>5、关闭盖板紧固螺丝。</w:t>
            </w:r>
          </w:p>
        </w:tc>
        <w:tc>
          <w:tcPr>
            <w:tcW w:w="1080" w:type="dxa"/>
            <w:vMerge w:val="continue"/>
            <w:noWrap w:val="0"/>
            <w:vAlign w:val="top"/>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胶条</w:t>
            </w:r>
          </w:p>
        </w:tc>
        <w:tc>
          <w:tcPr>
            <w:tcW w:w="558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1、每半年定期涂抹一次滑石粉。</w:t>
            </w:r>
          </w:p>
          <w:p>
            <w:pPr>
              <w:ind w:left="270" w:hanging="270"/>
              <w:rPr>
                <w:rFonts w:hint="eastAsia" w:ascii="仿宋_GB2312" w:hAnsi="宋体" w:eastAsia="仿宋_GB2312"/>
                <w:sz w:val="18"/>
                <w:szCs w:val="18"/>
              </w:rPr>
            </w:pPr>
            <w:r>
              <w:rPr>
                <w:rFonts w:hint="eastAsia" w:ascii="仿宋_GB2312" w:hAnsi="宋体" w:eastAsia="仿宋_GB2312"/>
                <w:sz w:val="18"/>
                <w:szCs w:val="18"/>
              </w:rPr>
              <w:t>2、检查密封胶条表面，如有龟裂、老化现象立即更换。</w:t>
            </w:r>
          </w:p>
        </w:tc>
        <w:tc>
          <w:tcPr>
            <w:tcW w:w="1080" w:type="dxa"/>
            <w:vMerge w:val="continue"/>
            <w:noWrap w:val="0"/>
            <w:vAlign w:val="top"/>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580"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1、检查门框及门扇内外表面，生锈处应立即用钢丝刷清理干净后，重新刷漆。</w:t>
            </w:r>
          </w:p>
        </w:tc>
        <w:tc>
          <w:tcPr>
            <w:tcW w:w="1080" w:type="dxa"/>
            <w:vMerge w:val="continue"/>
            <w:noWrap w:val="0"/>
            <w:vAlign w:val="top"/>
          </w:tcPr>
          <w:p>
            <w:pP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51"/>
        <w:gridCol w:w="53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0"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251"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307"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top"/>
          </w:tcPr>
          <w:p>
            <w:pPr>
              <w:spacing w:line="340" w:lineRule="exact"/>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钢</w:t>
            </w:r>
          </w:p>
          <w:p>
            <w:pPr>
              <w:jc w:val="center"/>
              <w:rPr>
                <w:rFonts w:hint="eastAsia" w:ascii="仿宋_GB2312" w:hAnsi="宋体" w:eastAsia="仿宋_GB2312"/>
                <w:sz w:val="18"/>
                <w:szCs w:val="18"/>
              </w:rPr>
            </w:pPr>
            <w:r>
              <w:rPr>
                <w:rFonts w:hint="eastAsia" w:ascii="仿宋_GB2312" w:hAnsi="宋体" w:eastAsia="仿宋_GB2312"/>
                <w:sz w:val="18"/>
                <w:szCs w:val="18"/>
              </w:rPr>
              <w:t>筋</w:t>
            </w:r>
          </w:p>
          <w:p>
            <w:pPr>
              <w:jc w:val="center"/>
              <w:rPr>
                <w:rFonts w:hint="eastAsia" w:ascii="仿宋_GB2312" w:hAnsi="宋体" w:eastAsia="仿宋_GB2312"/>
                <w:sz w:val="18"/>
                <w:szCs w:val="18"/>
              </w:rPr>
            </w:pPr>
            <w:r>
              <w:rPr>
                <w:rFonts w:hint="eastAsia" w:ascii="仿宋_GB2312" w:hAnsi="宋体" w:eastAsia="仿宋_GB2312"/>
                <w:sz w:val="18"/>
                <w:szCs w:val="18"/>
              </w:rPr>
              <w:t>混</w:t>
            </w:r>
          </w:p>
          <w:p>
            <w:pPr>
              <w:jc w:val="center"/>
              <w:rPr>
                <w:rFonts w:hint="eastAsia" w:ascii="仿宋_GB2312" w:hAnsi="宋体" w:eastAsia="仿宋_GB2312"/>
                <w:sz w:val="18"/>
                <w:szCs w:val="18"/>
              </w:rPr>
            </w:pPr>
            <w:r>
              <w:rPr>
                <w:rFonts w:hint="eastAsia" w:ascii="仿宋_GB2312" w:hAnsi="宋体" w:eastAsia="仿宋_GB2312"/>
                <w:sz w:val="18"/>
                <w:szCs w:val="18"/>
              </w:rPr>
              <w:t>凝</w:t>
            </w:r>
          </w:p>
          <w:p>
            <w:pPr>
              <w:jc w:val="center"/>
              <w:rPr>
                <w:rFonts w:hint="eastAsia" w:ascii="仿宋_GB2312" w:hAnsi="宋体" w:eastAsia="仿宋_GB2312"/>
                <w:sz w:val="18"/>
                <w:szCs w:val="18"/>
              </w:rPr>
            </w:pPr>
            <w:r>
              <w:rPr>
                <w:rFonts w:hint="eastAsia" w:ascii="仿宋_GB2312" w:hAnsi="宋体" w:eastAsia="仿宋_GB2312"/>
                <w:sz w:val="18"/>
                <w:szCs w:val="18"/>
              </w:rPr>
              <w:t>土</w:t>
            </w:r>
          </w:p>
          <w:p>
            <w:pPr>
              <w:jc w:val="center"/>
              <w:rPr>
                <w:rFonts w:hint="eastAsia" w:ascii="仿宋_GB2312" w:hAnsi="宋体" w:eastAsia="仿宋_GB2312"/>
                <w:sz w:val="18"/>
                <w:szCs w:val="18"/>
              </w:rPr>
            </w:pPr>
            <w:r>
              <w:rPr>
                <w:rFonts w:hint="eastAsia" w:ascii="仿宋_GB2312" w:hAnsi="宋体" w:eastAsia="仿宋_GB2312"/>
                <w:sz w:val="18"/>
                <w:szCs w:val="18"/>
              </w:rPr>
              <w:t>门</w:t>
            </w: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铰页</w:t>
            </w:r>
          </w:p>
        </w:tc>
        <w:tc>
          <w:tcPr>
            <w:tcW w:w="5307"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1、用吊装设备和千斤顶。吊稳、顶紧门扇。</w:t>
            </w:r>
          </w:p>
          <w:p>
            <w:pPr>
              <w:ind w:left="270" w:hanging="270"/>
              <w:rPr>
                <w:rFonts w:hint="eastAsia" w:ascii="仿宋_GB2312" w:hAnsi="宋体" w:eastAsia="仿宋_GB2312"/>
                <w:sz w:val="18"/>
                <w:szCs w:val="18"/>
              </w:rPr>
            </w:pPr>
            <w:r>
              <w:rPr>
                <w:rFonts w:hint="eastAsia" w:ascii="仿宋_GB2312" w:hAnsi="宋体" w:eastAsia="仿宋_GB2312"/>
                <w:sz w:val="18"/>
                <w:szCs w:val="18"/>
              </w:rPr>
              <w:t>2、按顺序拆卸下铰轴，推力轴承及上铰轴，注黄油。</w:t>
            </w:r>
          </w:p>
          <w:p>
            <w:pPr>
              <w:rPr>
                <w:rFonts w:hint="eastAsia" w:ascii="仿宋_GB2312" w:hAnsi="宋体" w:eastAsia="仿宋_GB2312"/>
                <w:sz w:val="18"/>
                <w:szCs w:val="18"/>
              </w:rPr>
            </w:pPr>
            <w:r>
              <w:rPr>
                <w:rFonts w:hint="eastAsia" w:ascii="仿宋_GB2312" w:hAnsi="宋体" w:eastAsia="仿宋_GB2312"/>
                <w:sz w:val="18"/>
                <w:szCs w:val="18"/>
              </w:rPr>
              <w:t>3、其他紧固螺丝喷射防锈润滑剂。</w:t>
            </w:r>
          </w:p>
          <w:p>
            <w:pPr>
              <w:ind w:left="270" w:hanging="270"/>
              <w:rPr>
                <w:rFonts w:hint="eastAsia" w:ascii="仿宋_GB2312" w:hAnsi="宋体" w:eastAsia="仿宋_GB2312"/>
                <w:sz w:val="18"/>
                <w:szCs w:val="18"/>
              </w:rPr>
            </w:pPr>
            <w:r>
              <w:rPr>
                <w:rFonts w:hint="eastAsia" w:ascii="仿宋_GB2312" w:hAnsi="宋体" w:eastAsia="仿宋_GB2312"/>
                <w:sz w:val="18"/>
                <w:szCs w:val="18"/>
              </w:rPr>
              <w:t>4、正确安装，各处反复转动，使其开关灵活。</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continue"/>
            <w:noWrap w:val="0"/>
            <w:vAlign w:val="top"/>
          </w:tcPr>
          <w:p>
            <w:pPr>
              <w:jc w:val="center"/>
              <w:rPr>
                <w:rFonts w:hint="eastAsia" w:ascii="仿宋_GB2312" w:hAnsi="宋体" w:eastAsia="仿宋_GB2312"/>
                <w:sz w:val="18"/>
                <w:szCs w:val="18"/>
              </w:rPr>
            </w:pP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闭锁</w:t>
            </w:r>
          </w:p>
        </w:tc>
        <w:tc>
          <w:tcPr>
            <w:tcW w:w="5307"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1、松开闭锁头螺丝，卸下闭锁头，将固定轴涂上黄油。</w:t>
            </w:r>
          </w:p>
          <w:p>
            <w:pPr>
              <w:ind w:left="270" w:hanging="270"/>
              <w:rPr>
                <w:rFonts w:hint="eastAsia" w:ascii="仿宋_GB2312" w:hAnsi="宋体" w:eastAsia="仿宋_GB2312"/>
                <w:sz w:val="18"/>
                <w:szCs w:val="18"/>
              </w:rPr>
            </w:pPr>
            <w:r>
              <w:rPr>
                <w:rFonts w:hint="eastAsia" w:ascii="仿宋_GB2312" w:hAnsi="宋体" w:eastAsia="仿宋_GB2312"/>
                <w:sz w:val="18"/>
                <w:szCs w:val="18"/>
              </w:rPr>
              <w:t>2、松开内把手螺丝卸下闭锁轴，将轴套内涂黄油。</w:t>
            </w:r>
          </w:p>
          <w:p>
            <w:pPr>
              <w:rPr>
                <w:rFonts w:hint="eastAsia" w:ascii="仿宋_GB2312" w:hAnsi="宋体" w:eastAsia="仿宋_GB2312"/>
                <w:sz w:val="18"/>
                <w:szCs w:val="18"/>
              </w:rPr>
            </w:pPr>
            <w:r>
              <w:rPr>
                <w:rFonts w:hint="eastAsia" w:ascii="仿宋_GB2312" w:hAnsi="宋体" w:eastAsia="仿宋_GB2312"/>
                <w:sz w:val="18"/>
                <w:szCs w:val="18"/>
              </w:rPr>
              <w:t>3、正确安装后反复闭锁，使其开关灵活。</w:t>
            </w:r>
          </w:p>
          <w:p>
            <w:pPr>
              <w:rPr>
                <w:rFonts w:hint="eastAsia" w:ascii="仿宋_GB2312" w:hAnsi="宋体" w:eastAsia="仿宋_GB2312"/>
                <w:sz w:val="18"/>
                <w:szCs w:val="18"/>
              </w:rPr>
            </w:pPr>
            <w:r>
              <w:rPr>
                <w:rFonts w:hint="eastAsia" w:ascii="仿宋_GB2312" w:hAnsi="宋体" w:eastAsia="仿宋_GB2312"/>
                <w:sz w:val="18"/>
                <w:szCs w:val="18"/>
              </w:rPr>
              <w:t>4、其他紧固螺丝喷射防锈润滑剂。</w:t>
            </w:r>
          </w:p>
        </w:tc>
        <w:tc>
          <w:tcPr>
            <w:tcW w:w="1080" w:type="dxa"/>
            <w:noWrap w:val="0"/>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continue"/>
            <w:noWrap w:val="0"/>
            <w:vAlign w:val="top"/>
          </w:tcPr>
          <w:p>
            <w:pPr>
              <w:jc w:val="center"/>
              <w:rPr>
                <w:rFonts w:hint="eastAsia" w:ascii="仿宋_GB2312" w:hAnsi="宋体" w:eastAsia="仿宋_GB2312"/>
                <w:sz w:val="18"/>
                <w:szCs w:val="18"/>
              </w:rPr>
            </w:pP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307"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1、每半年定期涂抹一次滑石粉。</w:t>
            </w:r>
          </w:p>
          <w:p>
            <w:pPr>
              <w:rPr>
                <w:rFonts w:hint="eastAsia" w:ascii="仿宋_GB2312" w:hAnsi="宋体" w:eastAsia="仿宋_GB2312"/>
                <w:sz w:val="18"/>
                <w:szCs w:val="18"/>
              </w:rPr>
            </w:pPr>
            <w:r>
              <w:rPr>
                <w:rFonts w:hint="eastAsia" w:ascii="仿宋_GB2312" w:hAnsi="宋体" w:eastAsia="仿宋_GB2312"/>
                <w:sz w:val="18"/>
                <w:szCs w:val="18"/>
              </w:rPr>
              <w:t>2、检查密封条表面，如有龟裂、老化现象立即更换。</w:t>
            </w:r>
          </w:p>
        </w:tc>
        <w:tc>
          <w:tcPr>
            <w:tcW w:w="1080" w:type="dxa"/>
            <w:noWrap w:val="0"/>
            <w:vAlign w:val="center"/>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51"/>
        <w:gridCol w:w="53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50"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251"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307"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restart"/>
            <w:noWrap w:val="0"/>
            <w:vAlign w:val="center"/>
          </w:tcPr>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r>
              <w:rPr>
                <w:rFonts w:hint="eastAsia" w:ascii="仿宋_GB2312" w:hAnsi="宋体" w:eastAsia="仿宋_GB2312"/>
                <w:sz w:val="20"/>
                <w:szCs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1188720</wp:posOffset>
                      </wp:positionV>
                      <wp:extent cx="457200" cy="297180"/>
                      <wp:effectExtent l="0" t="0" r="0" b="7620"/>
                      <wp:wrapNone/>
                      <wp:docPr id="2" name="文本框 4"/>
                      <wp:cNvGraphicFramePr/>
                      <a:graphic xmlns:a="http://schemas.openxmlformats.org/drawingml/2006/main">
                        <a:graphicData uri="http://schemas.microsoft.com/office/word/2010/wordprocessingShape">
                          <wps:wsp>
                            <wps:cNvSpPr txBox="1"/>
                            <wps:spPr>
                              <a:xfrm>
                                <a:off x="0" y="0"/>
                                <a:ext cx="457200" cy="297180"/>
                              </a:xfrm>
                              <a:prstGeom prst="rect">
                                <a:avLst/>
                              </a:prstGeom>
                              <a:solidFill>
                                <a:srgbClr val="FFFFFF"/>
                              </a:solidFill>
                              <a:ln>
                                <a:noFill/>
                              </a:ln>
                            </wps:spPr>
                            <wps:txbx>
                              <w:txbxContent>
                                <w:p>
                                  <w:pPr>
                                    <w:rPr>
                                      <w:rFonts w:hint="eastAsia"/>
                                    </w:rPr>
                                  </w:pPr>
                                </w:p>
                              </w:txbxContent>
                            </wps:txbx>
                            <wps:bodyPr wrap="square" upright="1"/>
                          </wps:wsp>
                        </a:graphicData>
                      </a:graphic>
                    </wp:anchor>
                  </w:drawing>
                </mc:Choice>
                <mc:Fallback>
                  <w:pict>
                    <v:shape id="文本框 4" o:spid="_x0000_s1026" o:spt="202" type="#_x0000_t202" style="position:absolute;left:0pt;margin-left:-57.6pt;margin-top:93.6pt;height:23.4pt;width:36pt;z-index:251660288;mso-width-relative:page;mso-height-relative:page;" fillcolor="#FFFFFF" filled="t" stroked="f" coordsize="21600,21600" o:gfxdata="UEsDBAoAAAAAAIdO4kAAAAAAAAAAAAAAAAAEAAAAZHJzL1BLAwQUAAAACACHTuJA+PB/aNkAAAAM AQAADwAAAGRycy9kb3ducmV2LnhtbE2PwW6DMBBE75X6D9ZW6qUiBkJCSjCRWqlVr0nzAQveAAq2 EXZC8vfdntrbrOZpdqbc3cwgrjT53lkFySIGQbZxuretguP3R7QB4QNajYOzpOBOHnbV40OJhXaz 3dP1EFrBIdYXqKALYSyk9E1HBv3CjWTZO7nJYOBzaqWecOZwM8g0jtfSYG/5Q4cjvXfUnA8Xo+D0 Nb+sXuf6MxzzfbZ+wz6v3V2p56ck3oIIdAt/MPzW5+pQcafaXaz2YlAQJckqZZadTc6CkShbsqgV pMssBlmV8v+I6gdQSwMEFAAAAAgAh07iQCqwUC/LAQAAhAMAAA4AAABkcnMvZTJvRG9jLnhtbK1T S27bMBDdF+gdCO5j2UbaJILlAI3hboq2QNoD0BQlEeCvM7QlX6C9QVfddN9z+RwZUo7z22RRLShy Pm/mvSEX14M1bKcAtXcVn02mnCknfa1dW/Hv39Znl5xhFK4WxjtV8b1Cfr18+2bRh1LNfedNrYAR iMOyDxXvYgxlUaDslBU48UE5cjYerIh0hLaoQfSEbk0xn07fF72HOoCXCpGsq9HJj4jwGkDfNFqq lZdbq1wcUUEZEYkSdjogX+Zum0bJ+KVpUEVmKk5MY16pCO03aS2WC1G2IEKn5bEF8ZoWnnGyQjsq eoJaiSjYFvQLKKslePRNnEhvi5FIVoRYzKbPtLntRFCZC0mN4SQ6/j9Y+Xn3FZiuKz7nzAlLAz/8 /nX48+/w9yc7T/L0AUuKug0UF4cPfqBLc29HMibWQwM2/YkPIz+Juz+Jq4bIJBnP313Q+DmT5Jpf Xcwus/jFQ3IAjB+VtyxtKg40uyyp2H3CSI1Q6H1IqoXe6HqtjckHaDc3BthO0JzX+Us9UsqTMONS sPMpbXQnS5EojlTSLg6b4ch74+s90e7pflQcf2wFKM62AXTbUYdZhpxMw8nFjhcpTf/xOZd4eDzL O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Pjwf2jZAAAADAEAAA8AAAAAAAAAAQAgAAAAIgAAAGRy cy9kb3ducmV2LnhtbFBLAQIUABQAAAAIAIdO4kAqsFAvywEAAIQDAAAOAAAAAAAAAAEAIAAAACgB AABkcnMvZTJvRG9jLnhtbFBLBQYAAAAABgAGAFkBAABlBQAAAAA= ">
                      <v:fill on="t" focussize="0,0"/>
                      <v:stroke on="f"/>
                      <v:imagedata o:title=""/>
                      <o:lock v:ext="edit" aspectratio="f"/>
                      <v:textbox>
                        <w:txbxContent>
                          <w:p>
                            <w:pPr>
                              <w:rPr>
                                <w:rFonts w:hint="eastAsia"/>
                              </w:rPr>
                            </w:pPr>
                          </w:p>
                        </w:txbxContent>
                      </v:textbox>
                    </v:shape>
                  </w:pict>
                </mc:Fallback>
              </mc:AlternateContent>
            </w:r>
            <w:r>
              <w:rPr>
                <w:rFonts w:hint="eastAsia" w:ascii="仿宋_GB2312" w:hAnsi="宋体" w:eastAsia="仿宋_GB2312"/>
                <w:sz w:val="18"/>
                <w:szCs w:val="18"/>
              </w:rPr>
              <w:t>胶</w:t>
            </w:r>
          </w:p>
          <w:p>
            <w:pPr>
              <w:jc w:val="center"/>
              <w:rPr>
                <w:rFonts w:hint="eastAsia" w:ascii="仿宋_GB2312" w:hAnsi="宋体" w:eastAsia="仿宋_GB2312"/>
                <w:sz w:val="18"/>
                <w:szCs w:val="18"/>
              </w:rPr>
            </w:pPr>
            <w:r>
              <w:rPr>
                <w:rFonts w:hint="eastAsia" w:ascii="仿宋_GB2312" w:hAnsi="宋体" w:eastAsia="仿宋_GB2312"/>
                <w:sz w:val="18"/>
                <w:szCs w:val="18"/>
              </w:rPr>
              <w:t>管</w:t>
            </w:r>
          </w:p>
          <w:p>
            <w:pPr>
              <w:jc w:val="center"/>
              <w:rPr>
                <w:rFonts w:hint="eastAsia" w:ascii="仿宋_GB2312" w:hAnsi="宋体" w:eastAsia="仿宋_GB2312"/>
                <w:sz w:val="18"/>
                <w:szCs w:val="18"/>
              </w:rPr>
            </w:pPr>
            <w:r>
              <w:rPr>
                <w:rFonts w:hint="eastAsia" w:ascii="仿宋_GB2312" w:hAnsi="宋体" w:eastAsia="仿宋_GB2312"/>
                <w:sz w:val="18"/>
                <w:szCs w:val="18"/>
              </w:rPr>
              <w:t>活</w:t>
            </w:r>
          </w:p>
          <w:p>
            <w:pPr>
              <w:jc w:val="center"/>
              <w:rPr>
                <w:rFonts w:hint="eastAsia" w:ascii="仿宋_GB2312" w:hAnsi="宋体" w:eastAsia="仿宋_GB2312"/>
                <w:sz w:val="18"/>
                <w:szCs w:val="18"/>
              </w:rPr>
            </w:pPr>
            <w:r>
              <w:rPr>
                <w:rFonts w:hint="eastAsia" w:ascii="仿宋_GB2312" w:hAnsi="宋体" w:eastAsia="仿宋_GB2312"/>
                <w:sz w:val="18"/>
                <w:szCs w:val="18"/>
              </w:rPr>
              <w:t>门</w:t>
            </w: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铰页</w:t>
            </w:r>
          </w:p>
        </w:tc>
        <w:tc>
          <w:tcPr>
            <w:tcW w:w="5307"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1、卸下门扇上、下铰轴，涂黄油。</w:t>
            </w:r>
          </w:p>
          <w:p>
            <w:pPr>
              <w:rPr>
                <w:rFonts w:hint="eastAsia" w:ascii="仿宋_GB2312" w:hAnsi="宋体" w:eastAsia="仿宋_GB2312"/>
                <w:sz w:val="18"/>
                <w:szCs w:val="18"/>
              </w:rPr>
            </w:pPr>
            <w:r>
              <w:rPr>
                <w:rFonts w:hint="eastAsia" w:ascii="仿宋_GB2312" w:hAnsi="宋体" w:eastAsia="仿宋_GB2312"/>
                <w:sz w:val="18"/>
                <w:szCs w:val="18"/>
              </w:rPr>
              <w:t>2、正确安装，反复启闭，使其开关灵活；</w:t>
            </w:r>
          </w:p>
          <w:p>
            <w:pPr>
              <w:rPr>
                <w:rFonts w:hint="eastAsia" w:ascii="仿宋_GB2312" w:hAnsi="宋体" w:eastAsia="仿宋_GB2312"/>
                <w:sz w:val="18"/>
                <w:szCs w:val="18"/>
              </w:rPr>
            </w:pPr>
            <w:r>
              <w:rPr>
                <w:rFonts w:hint="eastAsia" w:ascii="仿宋_GB2312" w:hAnsi="宋体" w:eastAsia="仿宋_GB2312"/>
                <w:sz w:val="18"/>
                <w:szCs w:val="18"/>
              </w:rPr>
              <w:t>3、其他紧固螺丝喷射防锈润滑剂。</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continue"/>
            <w:noWrap w:val="0"/>
            <w:vAlign w:val="top"/>
          </w:tcPr>
          <w:p>
            <w:pPr>
              <w:jc w:val="center"/>
              <w:rPr>
                <w:rFonts w:hint="eastAsia" w:ascii="仿宋_GB2312" w:hAnsi="宋体" w:eastAsia="仿宋_GB2312"/>
                <w:sz w:val="18"/>
                <w:szCs w:val="18"/>
              </w:rPr>
            </w:pP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闭锁</w:t>
            </w:r>
          </w:p>
        </w:tc>
        <w:tc>
          <w:tcPr>
            <w:tcW w:w="5307"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1、松开闭锁轴螺丝，用黄油枪注入黄油。</w:t>
            </w:r>
          </w:p>
          <w:p>
            <w:pPr>
              <w:rPr>
                <w:rFonts w:hint="eastAsia" w:ascii="仿宋_GB2312" w:hAnsi="宋体" w:eastAsia="仿宋_GB2312"/>
                <w:sz w:val="18"/>
                <w:szCs w:val="18"/>
              </w:rPr>
            </w:pPr>
            <w:r>
              <w:rPr>
                <w:rFonts w:hint="eastAsia" w:ascii="仿宋_GB2312" w:hAnsi="宋体" w:eastAsia="仿宋_GB2312"/>
                <w:sz w:val="18"/>
                <w:szCs w:val="18"/>
              </w:rPr>
              <w:t>2、正确安装，反复启闭，使其开关灵活。</w:t>
            </w:r>
          </w:p>
        </w:tc>
        <w:tc>
          <w:tcPr>
            <w:tcW w:w="1080" w:type="dxa"/>
            <w:noWrap w:val="0"/>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continue"/>
            <w:noWrap w:val="0"/>
            <w:vAlign w:val="top"/>
          </w:tcPr>
          <w:p>
            <w:pPr>
              <w:jc w:val="center"/>
              <w:rPr>
                <w:rFonts w:hint="eastAsia" w:ascii="仿宋_GB2312" w:hAnsi="宋体" w:eastAsia="仿宋_GB2312"/>
                <w:sz w:val="18"/>
                <w:szCs w:val="18"/>
              </w:rPr>
            </w:pP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307"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1、每半年定期涂抹一次滑石粉，胶垫和胶管如有龟裂、老化现象立即更换。</w:t>
            </w:r>
          </w:p>
        </w:tc>
        <w:tc>
          <w:tcPr>
            <w:tcW w:w="1080" w:type="dxa"/>
            <w:noWrap w:val="0"/>
            <w:vAlign w:val="center"/>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 w:type="dxa"/>
            <w:vMerge w:val="continue"/>
            <w:noWrap w:val="0"/>
            <w:vAlign w:val="top"/>
          </w:tcPr>
          <w:p>
            <w:pPr>
              <w:jc w:val="center"/>
              <w:rPr>
                <w:rFonts w:hint="eastAsia" w:ascii="仿宋_GB2312" w:hAnsi="宋体" w:eastAsia="仿宋_GB2312"/>
                <w:sz w:val="18"/>
                <w:szCs w:val="18"/>
              </w:rPr>
            </w:pPr>
          </w:p>
        </w:tc>
        <w:tc>
          <w:tcPr>
            <w:tcW w:w="1251"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307"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1、检查金属件表面，生锈处应立即用钢丝刷清理干净后，重新刷漆。</w:t>
            </w:r>
          </w:p>
        </w:tc>
        <w:tc>
          <w:tcPr>
            <w:tcW w:w="1080" w:type="dxa"/>
            <w:noWrap w:val="0"/>
            <w:vAlign w:val="center"/>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悬</w:t>
            </w:r>
          </w:p>
          <w:p>
            <w:pPr>
              <w:jc w:val="center"/>
              <w:rPr>
                <w:rFonts w:hint="eastAsia" w:ascii="仿宋_GB2312" w:hAnsi="宋体" w:eastAsia="仿宋_GB2312"/>
                <w:sz w:val="18"/>
                <w:szCs w:val="18"/>
              </w:rPr>
            </w:pPr>
            <w:r>
              <w:rPr>
                <w:rFonts w:hint="eastAsia" w:ascii="仿宋_GB2312" w:hAnsi="宋体" w:eastAsia="仿宋_GB2312"/>
                <w:sz w:val="18"/>
                <w:szCs w:val="18"/>
              </w:rPr>
              <w:t>摆</w:t>
            </w:r>
          </w:p>
          <w:p>
            <w:pPr>
              <w:jc w:val="center"/>
              <w:rPr>
                <w:rFonts w:hint="eastAsia" w:ascii="仿宋_GB2312" w:hAnsi="宋体" w:eastAsia="仿宋_GB2312"/>
                <w:sz w:val="18"/>
                <w:szCs w:val="18"/>
              </w:rPr>
            </w:pPr>
            <w:r>
              <w:rPr>
                <w:rFonts w:hint="eastAsia" w:ascii="仿宋_GB2312" w:hAnsi="宋体" w:eastAsia="仿宋_GB2312"/>
                <w:sz w:val="18"/>
                <w:szCs w:val="18"/>
              </w:rPr>
              <w:t>式</w:t>
            </w:r>
          </w:p>
          <w:p>
            <w:pPr>
              <w:jc w:val="center"/>
              <w:rPr>
                <w:rFonts w:hint="eastAsia" w:ascii="仿宋_GB2312" w:hAnsi="宋体" w:eastAsia="仿宋_GB2312"/>
                <w:sz w:val="18"/>
                <w:szCs w:val="18"/>
              </w:rPr>
            </w:pPr>
            <w:r>
              <w:rPr>
                <w:rFonts w:hint="eastAsia" w:ascii="仿宋_GB2312" w:hAnsi="宋体" w:eastAsia="仿宋_GB2312"/>
                <w:sz w:val="18"/>
                <w:szCs w:val="18"/>
              </w:rPr>
              <w:t>防</w:t>
            </w:r>
          </w:p>
          <w:p>
            <w:pPr>
              <w:jc w:val="center"/>
              <w:rPr>
                <w:rFonts w:hint="eastAsia" w:ascii="仿宋_GB2312" w:hAnsi="宋体" w:eastAsia="仿宋_GB2312"/>
                <w:sz w:val="18"/>
                <w:szCs w:val="18"/>
              </w:rPr>
            </w:pPr>
            <w:r>
              <w:rPr>
                <w:rFonts w:hint="eastAsia" w:ascii="仿宋_GB2312" w:hAnsi="宋体" w:eastAsia="仿宋_GB2312"/>
                <w:sz w:val="18"/>
                <w:szCs w:val="18"/>
              </w:rPr>
              <w:t>爆</w:t>
            </w:r>
          </w:p>
          <w:p>
            <w:pPr>
              <w:jc w:val="center"/>
              <w:rPr>
                <w:rFonts w:hint="eastAsia" w:ascii="仿宋_GB2312" w:hAnsi="宋体" w:eastAsia="仿宋_GB2312"/>
                <w:sz w:val="18"/>
                <w:szCs w:val="18"/>
              </w:rPr>
            </w:pPr>
            <w:r>
              <w:rPr>
                <w:rFonts w:hint="eastAsia" w:ascii="仿宋_GB2312" w:hAnsi="宋体" w:eastAsia="仿宋_GB2312"/>
                <w:sz w:val="18"/>
                <w:szCs w:val="18"/>
              </w:rPr>
              <w:t>波</w:t>
            </w:r>
          </w:p>
          <w:p>
            <w:pPr>
              <w:jc w:val="center"/>
              <w:rPr>
                <w:rFonts w:hint="eastAsia" w:ascii="仿宋_GB2312" w:hAnsi="宋体" w:eastAsia="仿宋_GB2312"/>
                <w:sz w:val="18"/>
                <w:szCs w:val="18"/>
              </w:rPr>
            </w:pPr>
            <w:r>
              <w:rPr>
                <w:rFonts w:hint="eastAsia" w:ascii="仿宋_GB2312" w:hAnsi="宋体" w:eastAsia="仿宋_GB2312"/>
                <w:sz w:val="18"/>
                <w:szCs w:val="18"/>
              </w:rPr>
              <w:t>活</w:t>
            </w:r>
          </w:p>
          <w:p>
            <w:pPr>
              <w:jc w:val="center"/>
              <w:rPr>
                <w:rFonts w:hint="eastAsia" w:ascii="仿宋_GB2312" w:hAnsi="宋体" w:eastAsia="仿宋_GB2312"/>
                <w:sz w:val="18"/>
                <w:szCs w:val="18"/>
              </w:rPr>
            </w:pPr>
            <w:r>
              <w:rPr>
                <w:rFonts w:hint="eastAsia" w:ascii="仿宋_GB2312" w:hAnsi="宋体" w:eastAsia="仿宋_GB2312"/>
                <w:sz w:val="18"/>
                <w:szCs w:val="18"/>
              </w:rPr>
              <w:t>门</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铰页</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1、卸下门扇上、下铰轴和悬板铰轴，涂黄油。</w:t>
            </w:r>
          </w:p>
          <w:p>
            <w:pPr>
              <w:rPr>
                <w:rFonts w:hint="eastAsia" w:ascii="仿宋_GB2312" w:hAnsi="宋体" w:eastAsia="仿宋_GB2312"/>
                <w:sz w:val="18"/>
                <w:szCs w:val="18"/>
              </w:rPr>
            </w:pPr>
            <w:r>
              <w:rPr>
                <w:rFonts w:hint="eastAsia" w:ascii="仿宋_GB2312" w:hAnsi="宋体" w:eastAsia="仿宋_GB2312"/>
                <w:sz w:val="18"/>
                <w:szCs w:val="18"/>
              </w:rPr>
              <w:t>2、其他紧固螺丝喷射防锈润滑剂。</w:t>
            </w:r>
          </w:p>
          <w:p>
            <w:pPr>
              <w:rPr>
                <w:rFonts w:hint="eastAsia" w:ascii="仿宋_GB2312" w:hAnsi="宋体" w:eastAsia="仿宋_GB2312"/>
                <w:sz w:val="18"/>
                <w:szCs w:val="18"/>
              </w:rPr>
            </w:pPr>
            <w:r>
              <w:rPr>
                <w:rFonts w:hint="eastAsia" w:ascii="仿宋_GB2312" w:hAnsi="宋体" w:eastAsia="仿宋_GB2312"/>
                <w:sz w:val="18"/>
                <w:szCs w:val="18"/>
              </w:rPr>
              <w:t>3、正确安装，反复启闭使其开关灵活。</w:t>
            </w:r>
          </w:p>
        </w:tc>
        <w:tc>
          <w:tcPr>
            <w:tcW w:w="108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闭锁</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1、松开闭锁轴螺丝，用黄油枪注入黄油。</w:t>
            </w:r>
          </w:p>
          <w:p>
            <w:pPr>
              <w:rPr>
                <w:rFonts w:hint="eastAsia" w:ascii="仿宋_GB2312" w:hAnsi="宋体" w:eastAsia="仿宋_GB2312"/>
                <w:sz w:val="18"/>
                <w:szCs w:val="18"/>
              </w:rPr>
            </w:pPr>
            <w:r>
              <w:rPr>
                <w:rFonts w:hint="eastAsia" w:ascii="仿宋_GB2312" w:hAnsi="宋体" w:eastAsia="仿宋_GB2312"/>
                <w:sz w:val="18"/>
                <w:szCs w:val="18"/>
              </w:rPr>
              <w:t>2、正确安装，反复启闭，使其开关灵活。</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760"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1、每半年定期涂抹一次滑石粉，如有龟裂、老化现象立即更换。</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48" w:type="dxa"/>
            <w:vMerge w:val="continue"/>
            <w:noWrap w:val="0"/>
            <w:vAlign w:val="top"/>
          </w:tcPr>
          <w:p>
            <w:pP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1、检查金属件表面，生锈处应立即用钢丝刷清理干净后，重新刷漆。</w:t>
            </w:r>
          </w:p>
        </w:tc>
        <w:tc>
          <w:tcPr>
            <w:tcW w:w="1080" w:type="dxa"/>
            <w:vMerge w:val="continue"/>
            <w:noWrap w:val="0"/>
            <w:vAlign w:val="top"/>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w:t>
            </w:r>
          </w:p>
          <w:p>
            <w:pPr>
              <w:jc w:val="center"/>
              <w:rPr>
                <w:rFonts w:hint="eastAsia" w:ascii="仿宋_GB2312" w:hAnsi="宋体" w:eastAsia="仿宋_GB2312"/>
                <w:sz w:val="18"/>
                <w:szCs w:val="18"/>
              </w:rPr>
            </w:pPr>
            <w:r>
              <w:rPr>
                <w:rFonts w:hint="eastAsia" w:ascii="仿宋_GB2312" w:hAnsi="宋体" w:eastAsia="仿宋_GB2312"/>
                <w:sz w:val="18"/>
                <w:szCs w:val="18"/>
              </w:rPr>
              <w:t>爆</w:t>
            </w:r>
          </w:p>
          <w:p>
            <w:pPr>
              <w:jc w:val="center"/>
              <w:rPr>
                <w:rFonts w:hint="eastAsia" w:ascii="仿宋_GB2312" w:hAnsi="宋体" w:eastAsia="仿宋_GB2312"/>
                <w:sz w:val="18"/>
                <w:szCs w:val="18"/>
              </w:rPr>
            </w:pPr>
            <w:r>
              <w:rPr>
                <w:rFonts w:hint="eastAsia" w:ascii="仿宋_GB2312" w:hAnsi="宋体" w:eastAsia="仿宋_GB2312"/>
                <w:sz w:val="18"/>
                <w:szCs w:val="18"/>
              </w:rPr>
              <w:t>超</w:t>
            </w:r>
          </w:p>
          <w:p>
            <w:pPr>
              <w:jc w:val="center"/>
              <w:rPr>
                <w:rFonts w:hint="eastAsia" w:ascii="仿宋_GB2312" w:hAnsi="宋体" w:eastAsia="仿宋_GB2312"/>
                <w:sz w:val="18"/>
                <w:szCs w:val="18"/>
              </w:rPr>
            </w:pPr>
            <w:r>
              <w:rPr>
                <w:rFonts w:hint="eastAsia" w:ascii="仿宋_GB2312" w:hAnsi="宋体" w:eastAsia="仿宋_GB2312"/>
                <w:sz w:val="18"/>
                <w:szCs w:val="18"/>
              </w:rPr>
              <w:t>压</w:t>
            </w:r>
          </w:p>
          <w:p>
            <w:pPr>
              <w:jc w:val="center"/>
              <w:rPr>
                <w:rFonts w:hint="eastAsia" w:ascii="仿宋_GB2312" w:hAnsi="宋体" w:eastAsia="仿宋_GB2312"/>
                <w:sz w:val="18"/>
                <w:szCs w:val="18"/>
              </w:rPr>
            </w:pPr>
            <w:r>
              <w:rPr>
                <w:rFonts w:hint="eastAsia" w:ascii="仿宋_GB2312" w:hAnsi="宋体" w:eastAsia="仿宋_GB2312"/>
                <w:sz w:val="18"/>
                <w:szCs w:val="18"/>
              </w:rPr>
              <w:t>排</w:t>
            </w:r>
          </w:p>
          <w:p>
            <w:pPr>
              <w:jc w:val="center"/>
              <w:rPr>
                <w:rFonts w:hint="eastAsia" w:ascii="仿宋_GB2312" w:hAnsi="宋体" w:eastAsia="仿宋_GB2312"/>
                <w:sz w:val="18"/>
                <w:szCs w:val="18"/>
              </w:rPr>
            </w:pPr>
            <w:r>
              <w:rPr>
                <w:rFonts w:hint="eastAsia" w:ascii="仿宋_GB2312" w:hAnsi="宋体" w:eastAsia="仿宋_GB2312"/>
                <w:sz w:val="18"/>
                <w:szCs w:val="18"/>
              </w:rPr>
              <w:t>气</w:t>
            </w:r>
          </w:p>
          <w:p>
            <w:pPr>
              <w:jc w:val="center"/>
              <w:rPr>
                <w:rFonts w:hint="eastAsia" w:ascii="仿宋_GB2312" w:hAnsi="宋体" w:eastAsia="仿宋_GB2312"/>
                <w:sz w:val="18"/>
                <w:szCs w:val="18"/>
              </w:rPr>
            </w:pPr>
            <w:r>
              <w:rPr>
                <w:rFonts w:hint="eastAsia" w:ascii="仿宋_GB2312" w:hAnsi="宋体" w:eastAsia="仿宋_GB2312"/>
                <w:sz w:val="18"/>
                <w:szCs w:val="18"/>
              </w:rPr>
              <w:t>活</w:t>
            </w:r>
          </w:p>
          <w:p>
            <w:pPr>
              <w:jc w:val="center"/>
              <w:rPr>
                <w:rFonts w:hint="eastAsia" w:ascii="仿宋_GB2312" w:hAnsi="宋体" w:eastAsia="仿宋_GB2312"/>
                <w:sz w:val="18"/>
                <w:szCs w:val="18"/>
              </w:rPr>
            </w:pPr>
            <w:r>
              <w:rPr>
                <w:rFonts w:hint="eastAsia" w:ascii="仿宋_GB2312" w:hAnsi="宋体" w:eastAsia="仿宋_GB2312"/>
                <w:sz w:val="18"/>
                <w:szCs w:val="18"/>
              </w:rPr>
              <w:t>门</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加油</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1、松开调节锤，在调节槽上涂抹黄油；</w:t>
            </w:r>
          </w:p>
          <w:p>
            <w:pPr>
              <w:rPr>
                <w:rFonts w:hint="eastAsia" w:ascii="仿宋_GB2312" w:hAnsi="宋体" w:eastAsia="仿宋_GB2312"/>
                <w:sz w:val="18"/>
                <w:szCs w:val="18"/>
              </w:rPr>
            </w:pPr>
            <w:r>
              <w:rPr>
                <w:rFonts w:hint="eastAsia" w:ascii="仿宋_GB2312" w:hAnsi="宋体" w:eastAsia="仿宋_GB2312"/>
                <w:sz w:val="18"/>
                <w:szCs w:val="18"/>
              </w:rPr>
              <w:t>2、其他紧固螺丝喷射防锈润滑剂；</w:t>
            </w:r>
          </w:p>
          <w:p>
            <w:pPr>
              <w:rPr>
                <w:rFonts w:hint="eastAsia" w:ascii="仿宋_GB2312" w:hAnsi="宋体" w:eastAsia="仿宋_GB2312"/>
                <w:sz w:val="18"/>
                <w:szCs w:val="18"/>
              </w:rPr>
            </w:pPr>
            <w:r>
              <w:rPr>
                <w:rFonts w:hint="eastAsia" w:ascii="仿宋_GB2312" w:hAnsi="宋体" w:eastAsia="仿宋_GB2312"/>
                <w:sz w:val="18"/>
                <w:szCs w:val="18"/>
              </w:rPr>
              <w:t>3、正确安装，反复启闭使其开关灵活。</w:t>
            </w:r>
          </w:p>
        </w:tc>
        <w:tc>
          <w:tcPr>
            <w:tcW w:w="108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48" w:type="dxa"/>
            <w:vMerge w:val="continue"/>
            <w:noWrap w:val="0"/>
            <w:vAlign w:val="top"/>
          </w:tcPr>
          <w:p>
            <w:pP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ind w:left="270" w:hanging="270"/>
              <w:rPr>
                <w:rFonts w:hint="eastAsia" w:ascii="仿宋_GB2312" w:hAnsi="宋体" w:eastAsia="仿宋_GB2312"/>
                <w:sz w:val="18"/>
                <w:szCs w:val="18"/>
              </w:rPr>
            </w:pPr>
            <w:r>
              <w:rPr>
                <w:rFonts w:hint="eastAsia" w:ascii="仿宋_GB2312" w:hAnsi="宋体" w:eastAsia="仿宋_GB2312"/>
                <w:sz w:val="18"/>
                <w:szCs w:val="18"/>
              </w:rPr>
              <w:t>1、检查金属件表面，生锈处应立即用钢丝刷清理干净后，重新刷漆。</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760" w:type="dxa"/>
            <w:noWrap w:val="0"/>
            <w:vAlign w:val="top"/>
          </w:tcPr>
          <w:p>
            <w:pPr>
              <w:ind w:left="270" w:hanging="270"/>
              <w:rPr>
                <w:rFonts w:hint="eastAsia" w:ascii="仿宋_GB2312" w:hAnsi="宋体" w:eastAsia="仿宋_GB2312"/>
                <w:sz w:val="18"/>
                <w:szCs w:val="18"/>
              </w:rPr>
            </w:pPr>
          </w:p>
          <w:p>
            <w:pPr>
              <w:ind w:left="270" w:hanging="270"/>
              <w:rPr>
                <w:rFonts w:hint="eastAsia" w:ascii="仿宋_GB2312" w:hAnsi="宋体" w:eastAsia="仿宋_GB2312"/>
                <w:sz w:val="18"/>
                <w:szCs w:val="18"/>
              </w:rPr>
            </w:pPr>
            <w:r>
              <w:rPr>
                <w:rFonts w:hint="eastAsia" w:ascii="仿宋_GB2312" w:hAnsi="宋体" w:eastAsia="仿宋_GB2312"/>
                <w:sz w:val="18"/>
                <w:szCs w:val="18"/>
              </w:rPr>
              <w:t>1、检查密封胶垫表面，如有龟裂、老化现象立即更换。</w:t>
            </w:r>
          </w:p>
          <w:p>
            <w:pPr>
              <w:rPr>
                <w:rFonts w:hint="eastAsia" w:ascii="仿宋_GB2312" w:hAnsi="宋体" w:eastAsia="仿宋_GB2312"/>
                <w:sz w:val="18"/>
                <w:szCs w:val="18"/>
              </w:rPr>
            </w:pPr>
          </w:p>
        </w:tc>
        <w:tc>
          <w:tcPr>
            <w:tcW w:w="1080" w:type="dxa"/>
            <w:vMerge w:val="continue"/>
            <w:noWrap w:val="0"/>
            <w:vAlign w:val="top"/>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自</w:t>
            </w:r>
          </w:p>
          <w:p>
            <w:pPr>
              <w:jc w:val="center"/>
              <w:rPr>
                <w:rFonts w:hint="eastAsia" w:ascii="仿宋_GB2312" w:hAnsi="宋体" w:eastAsia="仿宋_GB2312"/>
                <w:sz w:val="18"/>
                <w:szCs w:val="18"/>
              </w:rPr>
            </w:pPr>
            <w:r>
              <w:rPr>
                <w:rFonts w:hint="eastAsia" w:ascii="仿宋_GB2312" w:hAnsi="宋体" w:eastAsia="仿宋_GB2312"/>
                <w:sz w:val="18"/>
                <w:szCs w:val="18"/>
              </w:rPr>
              <w:t>动</w:t>
            </w:r>
          </w:p>
          <w:p>
            <w:pPr>
              <w:jc w:val="center"/>
              <w:rPr>
                <w:rFonts w:hint="eastAsia" w:ascii="仿宋_GB2312" w:hAnsi="宋体" w:eastAsia="仿宋_GB2312"/>
                <w:sz w:val="18"/>
                <w:szCs w:val="18"/>
              </w:rPr>
            </w:pPr>
            <w:r>
              <w:rPr>
                <w:rFonts w:hint="eastAsia" w:ascii="仿宋_GB2312" w:hAnsi="宋体" w:eastAsia="仿宋_GB2312"/>
                <w:sz w:val="18"/>
                <w:szCs w:val="18"/>
              </w:rPr>
              <w:t>排</w:t>
            </w:r>
          </w:p>
          <w:p>
            <w:pPr>
              <w:jc w:val="center"/>
              <w:rPr>
                <w:rFonts w:hint="eastAsia" w:ascii="仿宋_GB2312" w:hAnsi="宋体" w:eastAsia="仿宋_GB2312"/>
                <w:sz w:val="18"/>
                <w:szCs w:val="18"/>
              </w:rPr>
            </w:pPr>
            <w:r>
              <w:rPr>
                <w:rFonts w:hint="eastAsia" w:ascii="仿宋_GB2312" w:hAnsi="宋体" w:eastAsia="仿宋_GB2312"/>
                <w:sz w:val="18"/>
                <w:szCs w:val="18"/>
              </w:rPr>
              <w:t>气</w:t>
            </w:r>
          </w:p>
          <w:p>
            <w:pPr>
              <w:jc w:val="center"/>
              <w:rPr>
                <w:rFonts w:hint="eastAsia" w:ascii="仿宋_GB2312" w:hAnsi="宋体" w:eastAsia="仿宋_GB2312"/>
                <w:sz w:val="18"/>
                <w:szCs w:val="18"/>
              </w:rPr>
            </w:pPr>
            <w:r>
              <w:rPr>
                <w:rFonts w:hint="eastAsia" w:ascii="仿宋_GB2312" w:hAnsi="宋体" w:eastAsia="仿宋_GB2312"/>
                <w:sz w:val="18"/>
                <w:szCs w:val="18"/>
              </w:rPr>
              <w:t>活</w:t>
            </w:r>
          </w:p>
          <w:p>
            <w:pPr>
              <w:jc w:val="center"/>
              <w:rPr>
                <w:rFonts w:hint="eastAsia" w:ascii="仿宋_GB2312" w:hAnsi="宋体" w:eastAsia="仿宋_GB2312"/>
                <w:sz w:val="18"/>
                <w:szCs w:val="18"/>
              </w:rPr>
            </w:pPr>
            <w:r>
              <w:rPr>
                <w:rFonts w:hint="eastAsia" w:ascii="仿宋_GB2312" w:hAnsi="宋体" w:eastAsia="仿宋_GB2312"/>
                <w:sz w:val="18"/>
                <w:szCs w:val="18"/>
              </w:rPr>
              <w:t>门</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加油</w:t>
            </w:r>
          </w:p>
        </w:tc>
        <w:tc>
          <w:tcPr>
            <w:tcW w:w="5760" w:type="dxa"/>
            <w:noWrap w:val="0"/>
            <w:vAlign w:val="top"/>
          </w:tcPr>
          <w:p>
            <w:pPr>
              <w:ind w:left="270" w:hanging="270"/>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1、松开调节锤，在调节槽上涂抹黄油；</w:t>
            </w:r>
          </w:p>
          <w:p>
            <w:pPr>
              <w:ind w:left="270" w:hanging="270"/>
              <w:rPr>
                <w:rFonts w:hint="eastAsia" w:ascii="仿宋_GB2312" w:hAnsi="宋体" w:eastAsia="仿宋_GB2312"/>
                <w:sz w:val="18"/>
                <w:szCs w:val="18"/>
              </w:rPr>
            </w:pPr>
            <w:r>
              <w:rPr>
                <w:rFonts w:hint="eastAsia" w:ascii="仿宋_GB2312" w:hAnsi="宋体" w:eastAsia="仿宋_GB2312"/>
                <w:sz w:val="18"/>
                <w:szCs w:val="18"/>
              </w:rPr>
              <w:t>2、其他紧固螺丝喷射防锈润滑剂；</w:t>
            </w:r>
          </w:p>
          <w:p>
            <w:pPr>
              <w:ind w:left="270" w:hanging="270"/>
              <w:rPr>
                <w:rFonts w:hint="eastAsia" w:ascii="仿宋_GB2312" w:hAnsi="宋体" w:eastAsia="仿宋_GB2312"/>
                <w:sz w:val="18"/>
                <w:szCs w:val="18"/>
              </w:rPr>
            </w:pPr>
            <w:r>
              <w:rPr>
                <w:rFonts w:hint="eastAsia" w:ascii="仿宋_GB2312" w:hAnsi="宋体" w:eastAsia="仿宋_GB2312"/>
                <w:sz w:val="18"/>
                <w:szCs w:val="18"/>
              </w:rPr>
              <w:t>3、正确安装，反复永闭使其开关灵活。</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4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过</w:t>
            </w:r>
          </w:p>
          <w:p>
            <w:pPr>
              <w:jc w:val="center"/>
              <w:rPr>
                <w:rFonts w:hint="eastAsia" w:ascii="仿宋_GB2312" w:hAnsi="宋体" w:eastAsia="仿宋_GB2312"/>
                <w:sz w:val="18"/>
                <w:szCs w:val="18"/>
              </w:rPr>
            </w:pPr>
            <w:r>
              <w:rPr>
                <w:rFonts w:hint="eastAsia" w:ascii="仿宋_GB2312" w:hAnsi="宋体" w:eastAsia="仿宋_GB2312"/>
                <w:sz w:val="18"/>
                <w:szCs w:val="18"/>
              </w:rPr>
              <w:t>滤</w:t>
            </w:r>
          </w:p>
          <w:p>
            <w:pPr>
              <w:jc w:val="center"/>
              <w:rPr>
                <w:rFonts w:hint="eastAsia" w:ascii="仿宋_GB2312" w:hAnsi="宋体" w:eastAsia="仿宋_GB2312"/>
                <w:sz w:val="18"/>
                <w:szCs w:val="18"/>
              </w:rPr>
            </w:pPr>
            <w:r>
              <w:rPr>
                <w:rFonts w:hint="eastAsia" w:ascii="仿宋_GB2312" w:hAnsi="宋体" w:eastAsia="仿宋_GB2312"/>
                <w:sz w:val="18"/>
                <w:szCs w:val="18"/>
              </w:rPr>
              <w:t>吸</w:t>
            </w:r>
          </w:p>
          <w:p>
            <w:pPr>
              <w:jc w:val="center"/>
              <w:rPr>
                <w:rFonts w:hint="eastAsia" w:ascii="仿宋_GB2312" w:hAnsi="宋体" w:eastAsia="仿宋_GB2312"/>
                <w:sz w:val="18"/>
                <w:szCs w:val="18"/>
              </w:rPr>
            </w:pPr>
            <w:r>
              <w:rPr>
                <w:rFonts w:hint="eastAsia" w:ascii="仿宋_GB2312" w:hAnsi="宋体" w:eastAsia="仿宋_GB2312"/>
                <w:sz w:val="18"/>
                <w:szCs w:val="18"/>
              </w:rPr>
              <w:t>收</w:t>
            </w:r>
          </w:p>
          <w:p>
            <w:pPr>
              <w:jc w:val="center"/>
              <w:rPr>
                <w:rFonts w:hint="eastAsia" w:ascii="仿宋_GB2312" w:hAnsi="宋体" w:eastAsia="仿宋_GB2312"/>
                <w:sz w:val="18"/>
                <w:szCs w:val="18"/>
              </w:rPr>
            </w:pPr>
            <w:r>
              <w:rPr>
                <w:rFonts w:hint="eastAsia" w:ascii="仿宋_GB2312" w:hAnsi="宋体" w:eastAsia="仿宋_GB2312"/>
                <w:sz w:val="18"/>
                <w:szCs w:val="18"/>
              </w:rPr>
              <w:t>器</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1、检查金属件表面，生锈处应立即用钢丝刷清理干净后，重新刷漆。</w:t>
            </w:r>
          </w:p>
        </w:tc>
        <w:tc>
          <w:tcPr>
            <w:tcW w:w="108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1、更换密封胶垫；检查密封胶垫表面，如有龟裂、老化现象立即更换。</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过滤器</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1、清洁各过滤网上的附着物。</w:t>
            </w:r>
          </w:p>
          <w:p>
            <w:pPr>
              <w:rPr>
                <w:rFonts w:hint="eastAsia" w:ascii="仿宋_GB2312" w:hAnsi="宋体" w:eastAsia="仿宋_GB2312"/>
                <w:sz w:val="18"/>
                <w:szCs w:val="18"/>
              </w:rPr>
            </w:pPr>
            <w:r>
              <w:rPr>
                <w:rFonts w:hint="eastAsia" w:ascii="仿宋_GB2312" w:hAnsi="宋体" w:eastAsia="仿宋_GB2312"/>
                <w:sz w:val="18"/>
                <w:szCs w:val="18"/>
              </w:rPr>
              <w:t>2、更换受潮失效的活性碳。</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1、检查金属件表面，生锈处应立即用钢丝刷清理干净后，重新刷漆。</w:t>
            </w:r>
          </w:p>
        </w:tc>
        <w:tc>
          <w:tcPr>
            <w:tcW w:w="1080"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w:t>
            </w:r>
          </w:p>
          <w:p>
            <w:pPr>
              <w:jc w:val="center"/>
              <w:rPr>
                <w:rFonts w:hint="eastAsia" w:ascii="仿宋_GB2312" w:hAnsi="宋体" w:eastAsia="仿宋_GB2312"/>
                <w:sz w:val="18"/>
                <w:szCs w:val="18"/>
              </w:rPr>
            </w:pPr>
            <w:r>
              <w:rPr>
                <w:rFonts w:hint="eastAsia" w:ascii="仿宋_GB2312" w:hAnsi="宋体" w:eastAsia="仿宋_GB2312"/>
                <w:sz w:val="18"/>
                <w:szCs w:val="18"/>
              </w:rPr>
              <w:t>闭</w:t>
            </w:r>
          </w:p>
          <w:p>
            <w:pPr>
              <w:jc w:val="center"/>
              <w:rPr>
                <w:rFonts w:hint="eastAsia" w:ascii="仿宋_GB2312" w:hAnsi="宋体" w:eastAsia="仿宋_GB2312"/>
                <w:sz w:val="18"/>
                <w:szCs w:val="18"/>
              </w:rPr>
            </w:pPr>
            <w:r>
              <w:rPr>
                <w:rFonts w:hint="eastAsia" w:ascii="仿宋_GB2312" w:hAnsi="宋体" w:eastAsia="仿宋_GB2312"/>
                <w:sz w:val="18"/>
                <w:szCs w:val="18"/>
              </w:rPr>
              <w:t>阀</w:t>
            </w:r>
          </w:p>
          <w:p>
            <w:pPr>
              <w:jc w:val="center"/>
              <w:rPr>
                <w:rFonts w:hint="eastAsia" w:ascii="仿宋_GB2312" w:hAnsi="宋体" w:eastAsia="仿宋_GB2312"/>
                <w:sz w:val="18"/>
                <w:szCs w:val="18"/>
              </w:rPr>
            </w:pPr>
            <w:r>
              <w:rPr>
                <w:rFonts w:hint="eastAsia" w:ascii="仿宋_GB2312" w:hAnsi="宋体" w:eastAsia="仿宋_GB2312"/>
                <w:sz w:val="18"/>
                <w:szCs w:val="18"/>
              </w:rPr>
              <w:t>门</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加油</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1、卸下密闭阀门，检查阀门与电机连接的齿轮有无损坏，加注黄油。</w:t>
            </w:r>
          </w:p>
        </w:tc>
        <w:tc>
          <w:tcPr>
            <w:tcW w:w="108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760" w:type="dxa"/>
            <w:noWrap w:val="0"/>
            <w:vAlign w:val="top"/>
          </w:tcPr>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1、检查、更换阀体上的密闭胶垫。</w:t>
            </w:r>
          </w:p>
          <w:p>
            <w:pPr>
              <w:rPr>
                <w:rFonts w:hint="eastAsia" w:ascii="仿宋_GB2312" w:hAnsi="宋体" w:eastAsia="仿宋_GB2312"/>
                <w:sz w:val="18"/>
                <w:szCs w:val="18"/>
              </w:rPr>
            </w:pP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1、检查斜插板有无锈蚀，拉动是否灵活，除锈刷漆。</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1080"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2、用钢丝刷将上盖及地漏座除锈后，重新刷漆。</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1080" w:type="dxa"/>
            <w:noWrap w:val="0"/>
            <w:vAlign w:val="top"/>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3、检查密封胶垫表面，如有龟裂、老化现象立即更换。</w:t>
            </w:r>
          </w:p>
        </w:tc>
        <w:tc>
          <w:tcPr>
            <w:tcW w:w="1080" w:type="dxa"/>
            <w:vMerge w:val="continue"/>
            <w:noWrap w:val="0"/>
            <w:vAlign w:val="top"/>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20"/>
                <w:szCs w:val="28"/>
              </w:rPr>
              <mc:AlternateContent>
                <mc:Choice Requires="wps">
                  <w:drawing>
                    <wp:anchor distT="0" distB="0" distL="114300" distR="114300" simplePos="0" relativeHeight="251661312" behindDoc="0" locked="0" layoutInCell="1" allowOverlap="1">
                      <wp:simplePos x="0" y="0"/>
                      <wp:positionH relativeFrom="column">
                        <wp:posOffset>-960120</wp:posOffset>
                      </wp:positionH>
                      <wp:positionV relativeFrom="paragraph">
                        <wp:posOffset>5715</wp:posOffset>
                      </wp:positionV>
                      <wp:extent cx="457835" cy="296545"/>
                      <wp:effectExtent l="0" t="0" r="18415" b="8255"/>
                      <wp:wrapNone/>
                      <wp:docPr id="3" name="文本框 5"/>
                      <wp:cNvGraphicFramePr/>
                      <a:graphic xmlns:a="http://schemas.openxmlformats.org/drawingml/2006/main">
                        <a:graphicData uri="http://schemas.microsoft.com/office/word/2010/wordprocessingShape">
                          <wps:wsp>
                            <wps:cNvSpPr txBox="1"/>
                            <wps:spPr>
                              <a:xfrm>
                                <a:off x="0" y="0"/>
                                <a:ext cx="457835" cy="296545"/>
                              </a:xfrm>
                              <a:prstGeom prst="rect">
                                <a:avLst/>
                              </a:prstGeom>
                              <a:solidFill>
                                <a:srgbClr val="FFFFFF"/>
                              </a:solidFill>
                              <a:ln>
                                <a:noFill/>
                              </a:ln>
                            </wps:spPr>
                            <wps:txbx>
                              <w:txbxContent>
                                <w:p>
                                  <w:pPr>
                                    <w:rPr>
                                      <w:rFonts w:hint="eastAsia"/>
                                    </w:rPr>
                                  </w:pPr>
                                </w:p>
                              </w:txbxContent>
                            </wps:txbx>
                            <wps:bodyPr wrap="square" upright="1"/>
                          </wps:wsp>
                        </a:graphicData>
                      </a:graphic>
                    </wp:anchor>
                  </w:drawing>
                </mc:Choice>
                <mc:Fallback>
                  <w:pict>
                    <v:shape id="文本框 5" o:spid="_x0000_s1026" o:spt="202" type="#_x0000_t202" style="position:absolute;left:0pt;margin-left:-75.6pt;margin-top:0.45pt;height:23.35pt;width:36.05pt;z-index:251661312;mso-width-relative:page;mso-height-relative:page;" fillcolor="#FFFFFF" filled="t" stroked="f" coordsize="21600,21600" o:gfxdata="UEsDBAoAAAAAAIdO4kAAAAAAAAAAAAAAAAAEAAAAZHJzL1BLAwQUAAAACACHTuJAXhFJg9cAAAAI AQAADwAAAGRycy9kb3ducmV2LnhtbE2PwU7DMBBE70j8g7VIXFDquGoTEuJUAgnEtaUfsIm3SUS8 jmK3af8ec4LjaEYzb6rd1Y7iQrMfHGtQqxQEcevMwJ2G49d78gzCB2SDo2PScCMPu/r+rsLSuIX3 dDmETsQS9iVq6EOYSil925NFv3ITcfRObrYYopw7aWZcYrkd5TpNM2lx4LjQ40RvPbXfh7PVcPpc nrbF0nyEY77fZK845I27af34oNIXEIGu4S8Mv/gRHerI1LgzGy9GDYnaqnXMaihARD/JCwWi0bDJ M5B1Jf8fqH8AUEsDBBQAAAAIAIdO4kAyHBSRzQEAAIQDAAAOAAAAZHJzL2Uyb0RvYy54bWytU0tu 2zAQ3RfIHQjuazlOnKaC5QCt4W6CtkDaA9AUJRHgLzO0JV8gvUFX3XTfc/kcHVKO06abLKoFRc7n zbw35OJmsIbtFKD2ruLnkylnyklfa9dW/OuX9etrzjAKVwvjnar4XiG/WZ69WvShVDPfeVMrYATi sOxDxbsYQ1kUKDtlBU58UI6cjQcrIh2hLWoQPaFbU8ym06ui91AH8FIhknU1OvkREV4C6JtGS7Xy cmuViyMqKCMiUcJOB+TL3G3TKBk/NQ2qyEzFiWnMKxWh/SatxXIhyhZE6LQ8tiBe0sIzTlZoR0VP UCsRBduC/gfKagkefRMn0ttiJJIVIRbn02fa3HUiqMyFpMZwEh3/H6z8uPsMTNcVv+DMCUsDP3z/ dvjx6/Dzgc2TPH3AkqLuAsXF4Z0f6NI82pGMifXQgE1/4sPIT+LuT+KqITJJxsv5m+uLOWeSXLO3 V/PLjF48JQfA+EF5y9Km4kCzy5KK3S1GaoRCH0NSLfRG12ttTD5Au3lvgO0EzXmdv9QjpfwVZlwK dj6lje5kKRLFkUraxWEzHHlvfL0n2j3dj4rj/VaA4mwbQLcddZhlyMk0nFzseJHS9P885xJPj2f5 G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F4RSYPXAAAACAEAAA8AAAAAAAAAAQAgAAAAIgAAAGRy cy9kb3ducmV2LnhtbFBLAQIUABQAAAAIAIdO4kAyHBSRzQEAAIQDAAAOAAAAAAAAAAEAIAAAACYB AABkcnMvZTJvRG9jLnhtbFBLBQYAAAAABgAGAFkBAABlBQAAAAA= ">
                      <v:fill on="t" focussize="0,0"/>
                      <v:stroke on="f"/>
                      <v:imagedata o:title=""/>
                      <o:lock v:ext="edit" aspectratio="f"/>
                      <v:textbox>
                        <w:txbxContent>
                          <w:p>
                            <w:pPr>
                              <w:rPr>
                                <w:rFonts w:hint="eastAsia"/>
                              </w:rPr>
                            </w:pPr>
                          </w:p>
                        </w:txbxContent>
                      </v:textbox>
                    </v:shape>
                  </w:pict>
                </mc:Fallback>
              </mc:AlternateContent>
            </w: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w:t>
            </w:r>
          </w:p>
          <w:p>
            <w:pPr>
              <w:jc w:val="center"/>
              <w:rPr>
                <w:rFonts w:hint="eastAsia" w:ascii="仿宋_GB2312" w:hAnsi="宋体" w:eastAsia="仿宋_GB2312"/>
                <w:sz w:val="18"/>
                <w:szCs w:val="18"/>
              </w:rPr>
            </w:pPr>
            <w:r>
              <w:rPr>
                <w:rFonts w:hint="eastAsia" w:ascii="仿宋_GB2312" w:hAnsi="宋体" w:eastAsia="仿宋_GB2312"/>
                <w:sz w:val="18"/>
                <w:szCs w:val="18"/>
              </w:rPr>
              <w:t>爆</w:t>
            </w:r>
          </w:p>
          <w:p>
            <w:pPr>
              <w:jc w:val="center"/>
              <w:rPr>
                <w:rFonts w:hint="eastAsia" w:ascii="仿宋_GB2312" w:hAnsi="宋体" w:eastAsia="仿宋_GB2312"/>
                <w:sz w:val="18"/>
                <w:szCs w:val="18"/>
              </w:rPr>
            </w:pPr>
            <w:r>
              <w:rPr>
                <w:rFonts w:hint="eastAsia" w:ascii="仿宋_GB2312" w:hAnsi="宋体" w:eastAsia="仿宋_GB2312"/>
                <w:sz w:val="18"/>
                <w:szCs w:val="18"/>
              </w:rPr>
              <w:t>波</w:t>
            </w:r>
          </w:p>
          <w:p>
            <w:pPr>
              <w:jc w:val="center"/>
              <w:rPr>
                <w:rFonts w:hint="eastAsia" w:ascii="仿宋_GB2312" w:hAnsi="宋体" w:eastAsia="仿宋_GB2312"/>
                <w:sz w:val="18"/>
                <w:szCs w:val="18"/>
              </w:rPr>
            </w:pPr>
            <w:r>
              <w:rPr>
                <w:rFonts w:hint="eastAsia" w:ascii="仿宋_GB2312" w:hAnsi="宋体" w:eastAsia="仿宋_GB2312"/>
                <w:sz w:val="18"/>
                <w:szCs w:val="18"/>
              </w:rPr>
              <w:t>闸</w:t>
            </w:r>
          </w:p>
          <w:p>
            <w:pPr>
              <w:jc w:val="center"/>
              <w:rPr>
                <w:rFonts w:hint="eastAsia" w:ascii="仿宋_GB2312" w:hAnsi="宋体" w:eastAsia="仿宋_GB2312"/>
                <w:sz w:val="18"/>
                <w:szCs w:val="18"/>
              </w:rPr>
            </w:pPr>
            <w:r>
              <w:rPr>
                <w:rFonts w:hint="eastAsia" w:ascii="仿宋_GB2312" w:hAnsi="宋体" w:eastAsia="仿宋_GB2312"/>
                <w:sz w:val="18"/>
                <w:szCs w:val="18"/>
              </w:rPr>
              <w:t>阀</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注意事项</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 xml:space="preserve">    应在出现下列状况时，按指导方法进行拆卸和维修，并在维修完毕组装后，由生产厂家经性能检测、密闭打压试验合格，方可重新安装。</w:t>
            </w:r>
          </w:p>
          <w:p>
            <w:pPr>
              <w:rPr>
                <w:rFonts w:hint="eastAsia" w:ascii="仿宋_GB2312" w:hAnsi="宋体" w:eastAsia="仿宋_GB2312"/>
                <w:sz w:val="18"/>
                <w:szCs w:val="18"/>
              </w:rPr>
            </w:pPr>
            <w:r>
              <w:rPr>
                <w:rFonts w:hint="eastAsia" w:ascii="仿宋_GB2312" w:hAnsi="宋体" w:eastAsia="仿宋_GB2312"/>
                <w:sz w:val="18"/>
                <w:szCs w:val="18"/>
              </w:rPr>
              <w:t xml:space="preserve">    ①出现渗、漏水或使用期超过三年；</w:t>
            </w:r>
          </w:p>
          <w:p>
            <w:pPr>
              <w:ind w:firstLine="360"/>
              <w:rPr>
                <w:rFonts w:hint="eastAsia" w:ascii="仿宋_GB2312" w:hAnsi="宋体" w:eastAsia="仿宋_GB2312"/>
                <w:sz w:val="18"/>
                <w:szCs w:val="18"/>
              </w:rPr>
            </w:pPr>
            <w:r>
              <w:rPr>
                <w:rFonts w:hint="eastAsia" w:ascii="仿宋_GB2312" w:hAnsi="宋体" w:eastAsia="仿宋_GB2312"/>
                <w:sz w:val="18"/>
                <w:szCs w:val="18"/>
              </w:rPr>
              <w:t>②无冲击波的正常情况下，开启消防栓时防爆波闸阀自动关闭。</w:t>
            </w:r>
          </w:p>
        </w:tc>
        <w:tc>
          <w:tcPr>
            <w:tcW w:w="108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②项应每年一次，进行试验性检查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防锈</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1、检查金属件表面，生锈处应立即用钢丝刷清理干净后，重新刷漆。</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清理水垢</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1、松开法兰盘螺丝，卸下防爆波闸阀清理水垢和污垢。</w:t>
            </w:r>
          </w:p>
          <w:p>
            <w:pPr>
              <w:rPr>
                <w:rFonts w:hint="eastAsia" w:ascii="仿宋_GB2312" w:hAnsi="宋体" w:eastAsia="仿宋_GB2312"/>
                <w:sz w:val="18"/>
                <w:szCs w:val="18"/>
              </w:rPr>
            </w:pPr>
            <w:r>
              <w:rPr>
                <w:rFonts w:hint="eastAsia" w:ascii="仿宋_GB2312" w:hAnsi="宋体" w:eastAsia="仿宋_GB2312"/>
                <w:sz w:val="18"/>
                <w:szCs w:val="18"/>
              </w:rPr>
              <w:t>2、更换密闭胶垫。</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扩散室</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1、松开安全装置螺丝，检查扩散室是否进水。</w:t>
            </w:r>
          </w:p>
          <w:p>
            <w:pPr>
              <w:rPr>
                <w:rFonts w:hint="eastAsia" w:ascii="仿宋_GB2312" w:hAnsi="宋体" w:eastAsia="仿宋_GB2312"/>
                <w:sz w:val="18"/>
                <w:szCs w:val="18"/>
              </w:rPr>
            </w:pPr>
            <w:r>
              <w:rPr>
                <w:rFonts w:hint="eastAsia" w:ascii="仿宋_GB2312" w:hAnsi="宋体" w:eastAsia="仿宋_GB2312"/>
                <w:sz w:val="18"/>
                <w:szCs w:val="18"/>
              </w:rPr>
              <w:t>2、如有积水，应立即更换锈蚀的钢珠及弹簧。</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密闭</w:t>
            </w:r>
          </w:p>
          <w:p>
            <w:pPr>
              <w:jc w:val="center"/>
              <w:rPr>
                <w:rFonts w:hint="eastAsia" w:ascii="仿宋_GB2312" w:hAnsi="宋体" w:eastAsia="仿宋_GB2312"/>
                <w:sz w:val="18"/>
                <w:szCs w:val="18"/>
              </w:rPr>
            </w:pPr>
            <w:r>
              <w:rPr>
                <w:rFonts w:hint="eastAsia" w:ascii="仿宋_GB2312" w:hAnsi="宋体" w:eastAsia="仿宋_GB2312"/>
                <w:sz w:val="18"/>
                <w:szCs w:val="18"/>
              </w:rPr>
              <w:t>胶垫</w:t>
            </w:r>
          </w:p>
        </w:tc>
        <w:tc>
          <w:tcPr>
            <w:tcW w:w="576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1、更换密封胶垫。</w:t>
            </w:r>
          </w:p>
        </w:tc>
        <w:tc>
          <w:tcPr>
            <w:tcW w:w="1080" w:type="dxa"/>
            <w:vMerge w:val="continue"/>
            <w:noWrap w:val="0"/>
            <w:vAlign w:val="top"/>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57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保养项目</w:t>
            </w:r>
          </w:p>
        </w:tc>
        <w:tc>
          <w:tcPr>
            <w:tcW w:w="576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防</w:t>
            </w:r>
          </w:p>
          <w:p>
            <w:pPr>
              <w:jc w:val="center"/>
              <w:rPr>
                <w:rFonts w:hint="eastAsia" w:ascii="仿宋_GB2312" w:hAnsi="宋体" w:eastAsia="仿宋_GB2312"/>
                <w:sz w:val="18"/>
                <w:szCs w:val="18"/>
              </w:rPr>
            </w:pPr>
            <w:r>
              <w:rPr>
                <w:rFonts w:hint="eastAsia" w:ascii="仿宋_GB2312" w:hAnsi="宋体" w:eastAsia="仿宋_GB2312"/>
                <w:sz w:val="18"/>
                <w:szCs w:val="18"/>
              </w:rPr>
              <w:t>爆</w:t>
            </w:r>
          </w:p>
          <w:p>
            <w:pPr>
              <w:jc w:val="center"/>
              <w:rPr>
                <w:rFonts w:hint="eastAsia" w:ascii="仿宋_GB2312" w:hAnsi="宋体" w:eastAsia="仿宋_GB2312"/>
                <w:sz w:val="18"/>
                <w:szCs w:val="18"/>
              </w:rPr>
            </w:pPr>
            <w:r>
              <w:rPr>
                <w:rFonts w:hint="eastAsia" w:ascii="仿宋_GB2312" w:hAnsi="宋体" w:eastAsia="仿宋_GB2312"/>
                <w:sz w:val="18"/>
                <w:szCs w:val="18"/>
              </w:rPr>
              <w:t>地</w:t>
            </w:r>
          </w:p>
          <w:p>
            <w:pPr>
              <w:jc w:val="center"/>
              <w:rPr>
                <w:rFonts w:hint="eastAsia" w:ascii="仿宋_GB2312" w:hAnsi="宋体" w:eastAsia="仿宋_GB2312"/>
                <w:sz w:val="18"/>
                <w:szCs w:val="18"/>
              </w:rPr>
            </w:pPr>
            <w:r>
              <w:rPr>
                <w:rFonts w:hint="eastAsia" w:ascii="仿宋_GB2312" w:hAnsi="宋体" w:eastAsia="仿宋_GB2312"/>
                <w:sz w:val="18"/>
                <w:szCs w:val="18"/>
              </w:rPr>
              <w:t>漏</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清理</w:t>
            </w:r>
          </w:p>
        </w:tc>
        <w:tc>
          <w:tcPr>
            <w:tcW w:w="5760" w:type="dxa"/>
            <w:noWrap w:val="0"/>
            <w:vAlign w:val="top"/>
          </w:tcPr>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1、将上盖打开，清理地漏中积存的灰尘及杂物。</w:t>
            </w:r>
          </w:p>
          <w:p>
            <w:pPr>
              <w:rPr>
                <w:rFonts w:hint="eastAsia" w:ascii="仿宋_GB2312" w:hAnsi="宋体" w:eastAsia="仿宋_GB2312"/>
                <w:sz w:val="18"/>
                <w:szCs w:val="18"/>
              </w:rPr>
            </w:pP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824"/>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66"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6824"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7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DJF-1电动脚踏两用风机</w:t>
            </w:r>
          </w:p>
        </w:tc>
        <w:tc>
          <w:tcPr>
            <w:tcW w:w="682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1.检查齿轮箱有无漏油，必要时更换密封垫圈。</w:t>
            </w:r>
          </w:p>
        </w:tc>
        <w:tc>
          <w:tcPr>
            <w:tcW w:w="107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noWrap w:val="0"/>
            <w:vAlign w:val="center"/>
          </w:tcPr>
          <w:p>
            <w:pPr>
              <w:jc w:val="center"/>
              <w:rPr>
                <w:rFonts w:hint="eastAsia" w:ascii="仿宋_GB2312" w:hAnsi="宋体" w:eastAsia="仿宋_GB2312"/>
                <w:sz w:val="18"/>
                <w:szCs w:val="18"/>
              </w:rPr>
            </w:pPr>
          </w:p>
        </w:tc>
        <w:tc>
          <w:tcPr>
            <w:tcW w:w="682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2.链条、牙盘、飞轮定期加润滑油，不使锈蚀。</w:t>
            </w:r>
          </w:p>
        </w:tc>
        <w:tc>
          <w:tcPr>
            <w:tcW w:w="1078"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noWrap w:val="0"/>
            <w:vAlign w:val="center"/>
          </w:tcPr>
          <w:p>
            <w:pPr>
              <w:jc w:val="center"/>
              <w:rPr>
                <w:rFonts w:hint="eastAsia" w:ascii="仿宋_GB2312" w:hAnsi="宋体" w:eastAsia="仿宋_GB2312"/>
                <w:sz w:val="18"/>
                <w:szCs w:val="18"/>
              </w:rPr>
            </w:pPr>
          </w:p>
        </w:tc>
        <w:tc>
          <w:tcPr>
            <w:tcW w:w="682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3.检查支架部分结构，是否有锈蚀或失落紧固件。</w:t>
            </w:r>
          </w:p>
        </w:tc>
        <w:tc>
          <w:tcPr>
            <w:tcW w:w="1078"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noWrap w:val="0"/>
            <w:vAlign w:val="top"/>
          </w:tcPr>
          <w:p>
            <w:pPr>
              <w:jc w:val="center"/>
              <w:rPr>
                <w:rFonts w:hint="eastAsia" w:ascii="仿宋_GB2312" w:hAnsi="宋体" w:eastAsia="仿宋_GB2312"/>
                <w:sz w:val="18"/>
                <w:szCs w:val="18"/>
              </w:rPr>
            </w:pPr>
          </w:p>
        </w:tc>
        <w:tc>
          <w:tcPr>
            <w:tcW w:w="6824"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4.齿轮箱维护：打开齿轮箱盖检查润滑油，若已变质，则倒尽后加新的120号机油；若油量不足，则加添到油平面与轴的下表面齐平。然后由一人慢速运转，检查有否卡阻或撞击声；若无故障，则四人同时运转5分钟；若有故障，进行修理或更换零件。</w:t>
            </w:r>
          </w:p>
        </w:tc>
        <w:tc>
          <w:tcPr>
            <w:tcW w:w="1078"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6" w:type="dxa"/>
            <w:vMerge w:val="continue"/>
            <w:noWrap w:val="0"/>
            <w:vAlign w:val="top"/>
          </w:tcPr>
          <w:p>
            <w:pPr>
              <w:jc w:val="center"/>
              <w:rPr>
                <w:rFonts w:hint="eastAsia" w:ascii="仿宋_GB2312" w:hAnsi="宋体" w:eastAsia="仿宋_GB2312"/>
                <w:sz w:val="18"/>
                <w:szCs w:val="18"/>
              </w:rPr>
            </w:pPr>
          </w:p>
        </w:tc>
        <w:tc>
          <w:tcPr>
            <w:tcW w:w="6824"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5.风机长期不用，将皮带卸下，或将电机底板调松，使皮带松弛。</w:t>
            </w:r>
          </w:p>
        </w:tc>
        <w:tc>
          <w:tcPr>
            <w:tcW w:w="1078" w:type="dxa"/>
            <w:vMerge w:val="continue"/>
            <w:noWrap w:val="0"/>
            <w:vAlign w:val="top"/>
          </w:tcPr>
          <w:p>
            <w:pPr>
              <w:jc w:val="center"/>
              <w:rPr>
                <w:rFonts w:hint="eastAsia" w:ascii="仿宋_GB2312" w:hAnsi="宋体" w:eastAsia="仿宋_GB2312"/>
                <w:sz w:val="18"/>
                <w:szCs w:val="18"/>
              </w:rPr>
            </w:pPr>
          </w:p>
        </w:tc>
      </w:tr>
    </w:tbl>
    <w:p>
      <w:pPr>
        <w:rPr>
          <w:rFonts w:hint="eastAsia" w:ascii="仿宋_GB2312" w:hAnsi="宋体" w:eastAsia="仿宋_GB2312"/>
          <w:sz w:val="28"/>
          <w:szCs w:val="28"/>
        </w:rPr>
      </w:pP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8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8"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名称</w:t>
            </w:r>
          </w:p>
        </w:tc>
        <w:tc>
          <w:tcPr>
            <w:tcW w:w="684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维护方法</w:t>
            </w:r>
          </w:p>
        </w:tc>
        <w:tc>
          <w:tcPr>
            <w:tcW w:w="108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油网除尘器</w:t>
            </w:r>
          </w:p>
        </w:tc>
        <w:tc>
          <w:tcPr>
            <w:tcW w:w="684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1.将金属网从铁壳内框拆下。</w:t>
            </w:r>
          </w:p>
        </w:tc>
        <w:tc>
          <w:tcPr>
            <w:tcW w:w="108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一次/年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684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2.用含碱10%，水温60~70°C的水溶液洗去油污。</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center"/>
          </w:tcPr>
          <w:p>
            <w:pPr>
              <w:jc w:val="center"/>
              <w:rPr>
                <w:rFonts w:hint="eastAsia" w:ascii="仿宋_GB2312" w:hAnsi="宋体" w:eastAsia="仿宋_GB2312"/>
                <w:sz w:val="18"/>
                <w:szCs w:val="18"/>
              </w:rPr>
            </w:pPr>
          </w:p>
        </w:tc>
        <w:tc>
          <w:tcPr>
            <w:tcW w:w="684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3.用清水冲净晾干，按顺序装入框内。</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684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4.浸上粘性油（20#或10#机油），浸淋3-5分钟。</w:t>
            </w:r>
          </w:p>
        </w:tc>
        <w:tc>
          <w:tcPr>
            <w:tcW w:w="1080" w:type="dxa"/>
            <w:vMerge w:val="continue"/>
            <w:noWrap w:val="0"/>
            <w:vAlign w:val="top"/>
          </w:tcPr>
          <w:p>
            <w:pPr>
              <w:jc w:val="cente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val="0"/>
            <w:vAlign w:val="top"/>
          </w:tcPr>
          <w:p>
            <w:pPr>
              <w:jc w:val="center"/>
              <w:rPr>
                <w:rFonts w:hint="eastAsia" w:ascii="仿宋_GB2312" w:hAnsi="宋体" w:eastAsia="仿宋_GB2312"/>
                <w:sz w:val="18"/>
                <w:szCs w:val="18"/>
              </w:rPr>
            </w:pPr>
          </w:p>
        </w:tc>
        <w:tc>
          <w:tcPr>
            <w:tcW w:w="6840" w:type="dxa"/>
            <w:noWrap w:val="0"/>
            <w:vAlign w:val="top"/>
          </w:tcPr>
          <w:p>
            <w:pPr>
              <w:rPr>
                <w:rFonts w:hint="eastAsia" w:ascii="仿宋_GB2312" w:hAnsi="宋体" w:eastAsia="仿宋_GB2312"/>
                <w:sz w:val="18"/>
                <w:szCs w:val="18"/>
              </w:rPr>
            </w:pPr>
            <w:r>
              <w:rPr>
                <w:rFonts w:hint="eastAsia" w:ascii="仿宋_GB2312" w:hAnsi="宋体" w:eastAsia="仿宋_GB2312"/>
                <w:sz w:val="18"/>
                <w:szCs w:val="18"/>
              </w:rPr>
              <w:t>5.按入滤尘器框架内。</w:t>
            </w:r>
          </w:p>
        </w:tc>
        <w:tc>
          <w:tcPr>
            <w:tcW w:w="1080" w:type="dxa"/>
            <w:vMerge w:val="continue"/>
            <w:noWrap w:val="0"/>
            <w:vAlign w:val="top"/>
          </w:tcPr>
          <w:p>
            <w:pPr>
              <w:jc w:val="center"/>
              <w:rPr>
                <w:rFonts w:hint="eastAsia" w:ascii="仿宋_GB2312" w:hAnsi="宋体" w:eastAsia="仿宋_GB2312"/>
                <w:sz w:val="18"/>
                <w:szCs w:val="18"/>
              </w:rPr>
            </w:pPr>
          </w:p>
        </w:tc>
      </w:tr>
    </w:tbl>
    <w:p>
      <w:pPr>
        <w:ind w:firstLine="420" w:firstLineChars="200"/>
        <w:rPr>
          <w:rFonts w:hint="eastAsia"/>
          <w:szCs w:val="16"/>
        </w:rPr>
      </w:pPr>
    </w:p>
    <w:p>
      <w:pPr>
        <w:ind w:firstLine="420" w:firstLineChars="200"/>
        <w:rPr>
          <w:rFonts w:hint="eastAsia"/>
          <w:szCs w:val="16"/>
        </w:rPr>
      </w:pPr>
    </w:p>
    <w:p>
      <w:pPr>
        <w:ind w:firstLine="420" w:firstLineChars="200"/>
        <w:rPr>
          <w:rFonts w:hint="eastAsia"/>
          <w:szCs w:val="16"/>
        </w:rPr>
      </w:pPr>
    </w:p>
    <w:p>
      <w:pPr>
        <w:ind w:firstLine="420" w:firstLineChars="200"/>
        <w:rPr>
          <w:rFonts w:hint="eastAsia" w:ascii="宋体" w:hAnsi="宋体" w:cs="宋体"/>
          <w:szCs w:val="21"/>
        </w:rPr>
      </w:pPr>
      <w:r>
        <w:rPr>
          <w:rFonts w:hint="eastAsia" w:ascii="宋体" w:hAnsi="宋体" w:cs="宋体"/>
          <w:szCs w:val="21"/>
        </w:rPr>
        <w:t xml:space="preserve">                    </w:t>
      </w:r>
    </w:p>
    <w:p>
      <w:pPr>
        <w:jc w:val="center"/>
        <w:rPr>
          <w:rFonts w:hint="eastAsia" w:ascii="宋体" w:hAnsi="宋体" w:cs="宋体"/>
          <w:sz w:val="36"/>
          <w:szCs w:val="36"/>
        </w:rPr>
      </w:pPr>
      <w:r>
        <w:rPr>
          <w:rFonts w:hint="eastAsia" w:ascii="宋体" w:hAnsi="宋体" w:cs="宋体"/>
          <w:szCs w:val="21"/>
        </w:rPr>
        <w:br w:type="page"/>
      </w:r>
      <w:r>
        <w:rPr>
          <w:rFonts w:hint="eastAsia" w:ascii="宋体" w:hAnsi="宋体" w:cs="宋体"/>
          <w:sz w:val="36"/>
          <w:szCs w:val="36"/>
        </w:rPr>
        <w:t>第六章 商务条款</w:t>
      </w:r>
    </w:p>
    <w:p>
      <w:pPr>
        <w:pStyle w:val="2"/>
        <w:ind w:firstLine="480"/>
      </w:pPr>
    </w:p>
    <w:p>
      <w:pPr>
        <w:tabs>
          <w:tab w:val="left" w:pos="840"/>
        </w:tabs>
        <w:spacing w:line="360" w:lineRule="exact"/>
        <w:ind w:firstLine="414" w:firstLineChars="200"/>
        <w:rPr>
          <w:rFonts w:hint="eastAsia" w:ascii="宋体" w:hAnsi="宋体" w:cs="仿宋_GB2312"/>
          <w:b/>
          <w:szCs w:val="21"/>
        </w:rPr>
      </w:pPr>
      <w:r>
        <w:rPr>
          <w:rFonts w:hint="eastAsia" w:ascii="宋体" w:hAnsi="宋体" w:cs="仿宋_GB2312"/>
          <w:b/>
          <w:spacing w:val="-2"/>
          <w:szCs w:val="21"/>
        </w:rPr>
        <w:t>★</w:t>
      </w:r>
      <w:r>
        <w:rPr>
          <w:rFonts w:hint="eastAsia" w:ascii="宋体" w:hAnsi="宋体" w:cs="仿宋_GB2312"/>
          <w:b/>
          <w:szCs w:val="21"/>
        </w:rPr>
        <w:t>一、付款方式：</w:t>
      </w:r>
      <w:bookmarkStart w:id="253" w:name="_Hlk10544900"/>
      <w:r>
        <w:rPr>
          <w:rFonts w:hint="eastAsia" w:ascii="宋体" w:hAnsi="宋体"/>
          <w:szCs w:val="21"/>
        </w:rPr>
        <w:t>合同签订后十个工作日内支付合同价10%的预付款，之后三个季度，每季度满后十个工作日内支付合同价的25%（合同价增减以合作备忘录的形式按实调整），第四季度满后十个工作日内结算剩余应付价款。</w:t>
      </w:r>
      <w:r>
        <w:rPr>
          <w:rFonts w:hint="eastAsia" w:ascii="宋体" w:hAnsi="宋体"/>
          <w:bCs/>
          <w:szCs w:val="21"/>
        </w:rPr>
        <w:t>费用支付前</w:t>
      </w:r>
      <w:r>
        <w:rPr>
          <w:rFonts w:hint="eastAsia" w:ascii="宋体" w:hAnsi="宋体"/>
          <w:szCs w:val="21"/>
        </w:rPr>
        <w:t>根据考核情况扣除应扣款，中标方提供税务发票。</w:t>
      </w:r>
    </w:p>
    <w:bookmarkEnd w:id="253"/>
    <w:p>
      <w:pPr>
        <w:ind w:firstLine="414"/>
        <w:rPr>
          <w:rFonts w:hint="eastAsia" w:ascii="宋体" w:hAnsi="宋体" w:cs="仿宋_GB2312"/>
          <w:b/>
          <w:szCs w:val="21"/>
        </w:rPr>
      </w:pPr>
      <w:r>
        <w:rPr>
          <w:rFonts w:hint="eastAsia" w:ascii="宋体" w:hAnsi="宋体" w:cs="仿宋_GB2312"/>
          <w:b/>
          <w:spacing w:val="-2"/>
          <w:szCs w:val="21"/>
        </w:rPr>
        <w:t>★</w:t>
      </w:r>
      <w:r>
        <w:rPr>
          <w:rFonts w:hint="eastAsia" w:ascii="宋体" w:hAnsi="宋体" w:cs="仿宋_GB2312"/>
          <w:b/>
          <w:szCs w:val="21"/>
        </w:rPr>
        <w:t>二、履约保证：</w:t>
      </w:r>
      <w:r>
        <w:rPr>
          <w:rFonts w:hint="eastAsia" w:ascii="宋体" w:hAnsi="宋体" w:cs="宋体"/>
          <w:szCs w:val="21"/>
        </w:rPr>
        <w:t>本合同履约保证金为合同总价的5%（可以采用银行保函、保险保单、担保公司担保等方式），其中服务质量为40%、安全为30%、人员到位为20%、廉政为10%，中标供应商在签订合同后3个工作日内提交。</w:t>
      </w:r>
    </w:p>
    <w:p>
      <w:pPr>
        <w:tabs>
          <w:tab w:val="left" w:pos="1243"/>
        </w:tabs>
        <w:autoSpaceDE w:val="0"/>
        <w:autoSpaceDN w:val="0"/>
        <w:adjustRightInd w:val="0"/>
        <w:snapToGrid w:val="0"/>
        <w:ind w:firstLine="420"/>
        <w:textAlignment w:val="bottom"/>
        <w:rPr>
          <w:rFonts w:hint="eastAsia" w:ascii="宋体" w:hAnsi="宋体" w:cs="仿宋_GB2312"/>
          <w:bCs/>
          <w:szCs w:val="21"/>
        </w:rPr>
      </w:pPr>
      <w:r>
        <w:rPr>
          <w:rFonts w:hint="eastAsia" w:ascii="宋体" w:hAnsi="宋体" w:cs="仿宋_GB2312"/>
          <w:b/>
          <w:spacing w:val="-2"/>
          <w:szCs w:val="21"/>
        </w:rPr>
        <w:t>★</w:t>
      </w:r>
      <w:r>
        <w:rPr>
          <w:rFonts w:hint="eastAsia" w:ascii="宋体" w:hAnsi="宋体" w:cs="仿宋_GB2312"/>
          <w:bCs/>
          <w:szCs w:val="21"/>
        </w:rPr>
        <w:t>三、服务期</w:t>
      </w:r>
    </w:p>
    <w:p>
      <w:pPr>
        <w:tabs>
          <w:tab w:val="left" w:pos="1243"/>
        </w:tabs>
        <w:autoSpaceDE w:val="0"/>
        <w:autoSpaceDN w:val="0"/>
        <w:adjustRightInd w:val="0"/>
        <w:snapToGrid w:val="0"/>
        <w:ind w:firstLine="420"/>
        <w:textAlignment w:val="bottom"/>
        <w:rPr>
          <w:rFonts w:hint="eastAsia" w:ascii="宋体" w:hAnsi="宋体" w:cs="仿宋_GB2312"/>
          <w:bCs/>
          <w:szCs w:val="21"/>
        </w:rPr>
      </w:pPr>
      <w:r>
        <w:rPr>
          <w:rFonts w:hint="eastAsia" w:ascii="宋体" w:hAnsi="宋体" w:cs="宋体"/>
          <w:kern w:val="0"/>
          <w:szCs w:val="21"/>
        </w:rPr>
        <w:t>本服务项目一年，经采购人考核合格并达到续签条件后，下一年度合同经费符合政府采购预算安排要求，申报政府采购计划并批准，双方同意后，方可续签下一年度的合同，最多续签2年</w:t>
      </w:r>
      <w:r>
        <w:rPr>
          <w:rFonts w:hint="eastAsia" w:ascii="宋体" w:hAnsi="宋体" w:cs="仿宋_GB2312"/>
          <w:bCs/>
          <w:szCs w:val="21"/>
        </w:rPr>
        <w:t>。</w:t>
      </w:r>
    </w:p>
    <w:p>
      <w:pPr>
        <w:tabs>
          <w:tab w:val="left" w:pos="1243"/>
        </w:tabs>
        <w:autoSpaceDE w:val="0"/>
        <w:autoSpaceDN w:val="0"/>
        <w:adjustRightInd w:val="0"/>
        <w:snapToGrid w:val="0"/>
        <w:ind w:firstLine="420"/>
        <w:textAlignment w:val="bottom"/>
        <w:rPr>
          <w:rFonts w:hint="eastAsia" w:ascii="宋体" w:hAnsi="宋体" w:cs="仿宋_GB2312"/>
          <w:bCs/>
          <w:szCs w:val="21"/>
        </w:rPr>
      </w:pPr>
      <w:r>
        <w:rPr>
          <w:rFonts w:hint="eastAsia" w:ascii="宋体" w:hAnsi="宋体" w:cs="仿宋_GB2312"/>
          <w:b/>
          <w:spacing w:val="-2"/>
          <w:szCs w:val="21"/>
        </w:rPr>
        <w:t>★</w:t>
      </w:r>
      <w:r>
        <w:rPr>
          <w:rFonts w:hint="eastAsia" w:ascii="宋体" w:hAnsi="宋体" w:cs="仿宋_GB2312"/>
          <w:bCs/>
          <w:szCs w:val="21"/>
        </w:rPr>
        <w:t>四、考核</w:t>
      </w:r>
    </w:p>
    <w:p>
      <w:pPr>
        <w:tabs>
          <w:tab w:val="left" w:pos="1243"/>
        </w:tabs>
        <w:autoSpaceDE w:val="0"/>
        <w:autoSpaceDN w:val="0"/>
        <w:adjustRightInd w:val="0"/>
        <w:snapToGrid w:val="0"/>
        <w:ind w:firstLine="420"/>
        <w:textAlignment w:val="bottom"/>
        <w:rPr>
          <w:rFonts w:hint="eastAsia" w:ascii="宋体" w:hAnsi="宋体" w:cs="仿宋_GB2312"/>
          <w:bCs/>
          <w:szCs w:val="21"/>
        </w:rPr>
      </w:pPr>
      <w:r>
        <w:rPr>
          <w:rFonts w:hint="eastAsia" w:ascii="宋体" w:hAnsi="宋体" w:cs="仿宋_GB2312"/>
          <w:bCs/>
          <w:szCs w:val="21"/>
        </w:rPr>
        <w:t>按采购第五章招标内容与服务要求中的“</w:t>
      </w:r>
      <w:r>
        <w:rPr>
          <w:rFonts w:hint="eastAsia" w:ascii="宋体" w:hAnsi="宋体"/>
          <w:b/>
          <w:bCs/>
          <w:szCs w:val="21"/>
        </w:rPr>
        <w:t>考核标准及办法</w:t>
      </w:r>
      <w:r>
        <w:rPr>
          <w:rFonts w:hint="eastAsia" w:ascii="宋体" w:hAnsi="宋体" w:cs="仿宋_GB2312"/>
          <w:bCs/>
          <w:szCs w:val="21"/>
        </w:rPr>
        <w:t>”执行。</w:t>
      </w:r>
    </w:p>
    <w:p>
      <w:pPr>
        <w:tabs>
          <w:tab w:val="left" w:pos="1243"/>
        </w:tabs>
        <w:autoSpaceDE w:val="0"/>
        <w:autoSpaceDN w:val="0"/>
        <w:adjustRightInd w:val="0"/>
        <w:snapToGrid w:val="0"/>
        <w:ind w:firstLine="422"/>
        <w:textAlignment w:val="bottom"/>
        <w:rPr>
          <w:rFonts w:hint="eastAsia" w:ascii="宋体" w:hAnsi="宋体" w:cs="仿宋_GB2312"/>
          <w:b/>
          <w:szCs w:val="21"/>
        </w:rPr>
      </w:pPr>
      <w:r>
        <w:rPr>
          <w:rFonts w:hint="eastAsia" w:ascii="宋体" w:hAnsi="宋体" w:cs="仿宋_GB2312"/>
          <w:b/>
          <w:szCs w:val="21"/>
        </w:rPr>
        <w:t>五、其他说明</w:t>
      </w:r>
    </w:p>
    <w:p>
      <w:pPr>
        <w:tabs>
          <w:tab w:val="left" w:pos="1243"/>
        </w:tabs>
        <w:autoSpaceDE w:val="0"/>
        <w:autoSpaceDN w:val="0"/>
        <w:adjustRightInd w:val="0"/>
        <w:snapToGrid w:val="0"/>
        <w:ind w:firstLine="211" w:firstLineChars="100"/>
        <w:textAlignment w:val="bottom"/>
        <w:rPr>
          <w:rFonts w:hint="eastAsia" w:ascii="宋体" w:hAnsi="宋体"/>
          <w:b/>
          <w:szCs w:val="21"/>
        </w:rPr>
      </w:pPr>
      <w:r>
        <w:rPr>
          <w:rFonts w:hint="eastAsia" w:ascii="宋体" w:hAnsi="宋体" w:cs="仿宋_GB2312"/>
          <w:b/>
          <w:szCs w:val="21"/>
        </w:rPr>
        <w:t>★</w:t>
      </w:r>
      <w:r>
        <w:rPr>
          <w:rFonts w:hint="eastAsia" w:ascii="宋体" w:hAnsi="宋体"/>
          <w:b/>
          <w:szCs w:val="21"/>
        </w:rPr>
        <w:t>1、在中标通知书发出后30日历天内，与采购人签订服务合同，否则招标方有权取消中标方的中标资格，推荐排序居次的中标候选人为中标方。</w:t>
      </w:r>
    </w:p>
    <w:p>
      <w:pPr>
        <w:tabs>
          <w:tab w:val="left" w:pos="1243"/>
        </w:tabs>
        <w:autoSpaceDE w:val="0"/>
        <w:autoSpaceDN w:val="0"/>
        <w:adjustRightInd w:val="0"/>
        <w:snapToGrid w:val="0"/>
        <w:ind w:firstLine="420"/>
        <w:textAlignment w:val="bottom"/>
        <w:rPr>
          <w:rFonts w:hint="eastAsia" w:ascii="宋体" w:hAnsi="宋体"/>
          <w:bCs/>
          <w:szCs w:val="21"/>
        </w:rPr>
      </w:pPr>
      <w:r>
        <w:rPr>
          <w:rFonts w:hint="eastAsia" w:ascii="宋体" w:hAnsi="宋体"/>
          <w:bCs/>
          <w:szCs w:val="21"/>
        </w:rPr>
        <w:t>2、投标方要制订用工计划并加强劳动用工管理，必须符合劳动法、劳动合同法等法律法规的要求，与员工签订正规的劳动合同，负责支付上岗人员的工资、津贴、社会保险及根据国家规定应支付的各项费用、承担体检、培训费用。</w:t>
      </w:r>
    </w:p>
    <w:p>
      <w:pPr>
        <w:tabs>
          <w:tab w:val="left" w:pos="1243"/>
        </w:tabs>
        <w:autoSpaceDE w:val="0"/>
        <w:autoSpaceDN w:val="0"/>
        <w:adjustRightInd w:val="0"/>
        <w:snapToGrid w:val="0"/>
        <w:ind w:firstLine="420"/>
        <w:textAlignment w:val="bottom"/>
        <w:rPr>
          <w:rFonts w:hint="eastAsia" w:ascii="宋体" w:hAnsi="宋体"/>
          <w:bCs/>
          <w:szCs w:val="21"/>
          <w:highlight w:val="yellow"/>
        </w:rPr>
      </w:pPr>
      <w:r>
        <w:rPr>
          <w:rFonts w:hint="eastAsia" w:ascii="宋体" w:hAnsi="宋体"/>
          <w:bCs/>
          <w:szCs w:val="21"/>
        </w:rPr>
        <w:t>3、如发生劳动纠纷，招标方不承担连带责任，用工调整须报招标方备案。</w:t>
      </w:r>
    </w:p>
    <w:p>
      <w:pPr>
        <w:tabs>
          <w:tab w:val="left" w:pos="1243"/>
        </w:tabs>
        <w:autoSpaceDE w:val="0"/>
        <w:autoSpaceDN w:val="0"/>
        <w:adjustRightInd w:val="0"/>
        <w:snapToGrid w:val="0"/>
        <w:ind w:firstLine="420"/>
        <w:textAlignment w:val="bottom"/>
        <w:rPr>
          <w:rFonts w:hint="eastAsia" w:ascii="宋体" w:hAnsi="宋体"/>
          <w:bCs/>
          <w:szCs w:val="21"/>
        </w:rPr>
      </w:pPr>
      <w:r>
        <w:rPr>
          <w:rFonts w:hint="eastAsia" w:ascii="宋体" w:hAnsi="宋体"/>
          <w:bCs/>
          <w:szCs w:val="21"/>
        </w:rPr>
        <w:t>4、中标方不得将本项目转包或分包，否则招标方视中标方单方面违约，招标方可单方面终止合同，中标方承担违约赔偿责任，并没收履约保证金。</w:t>
      </w:r>
    </w:p>
    <w:p>
      <w:pPr>
        <w:tabs>
          <w:tab w:val="left" w:pos="1243"/>
        </w:tabs>
        <w:autoSpaceDE w:val="0"/>
        <w:autoSpaceDN w:val="0"/>
        <w:adjustRightInd w:val="0"/>
        <w:snapToGrid w:val="0"/>
        <w:ind w:firstLine="210" w:firstLineChars="100"/>
        <w:textAlignment w:val="bottom"/>
        <w:rPr>
          <w:rFonts w:hint="eastAsia" w:ascii="宋体" w:hAnsi="宋体"/>
          <w:bCs/>
          <w:szCs w:val="21"/>
        </w:rPr>
      </w:pPr>
    </w:p>
    <w:p>
      <w:pPr>
        <w:pStyle w:val="2"/>
        <w:ind w:firstLine="480"/>
        <w:jc w:val="center"/>
        <w:rPr>
          <w:rStyle w:val="106"/>
          <w:rFonts w:hint="eastAsia" w:ascii="宋体" w:hAnsi="宋体" w:cs="宋体"/>
          <w:sz w:val="30"/>
          <w:szCs w:val="30"/>
        </w:rPr>
      </w:pPr>
      <w:r>
        <w:rPr>
          <w:rFonts w:hint="eastAsia" w:ascii="宋体" w:hAnsi="宋体" w:eastAsia="宋体" w:cs="宋体"/>
        </w:rPr>
        <w:br w:type="page"/>
      </w:r>
      <w:r>
        <w:rPr>
          <w:rFonts w:hint="eastAsia" w:ascii="宋体" w:hAnsi="宋体" w:eastAsia="宋体" w:cs="宋体"/>
          <w:sz w:val="36"/>
          <w:szCs w:val="36"/>
        </w:rPr>
        <w:t xml:space="preserve">第七章  </w:t>
      </w:r>
      <w:bookmarkEnd w:id="108"/>
      <w:r>
        <w:rPr>
          <w:rFonts w:hint="eastAsia" w:ascii="宋体" w:hAnsi="宋体" w:eastAsia="宋体" w:cs="宋体"/>
          <w:sz w:val="36"/>
          <w:szCs w:val="36"/>
        </w:rPr>
        <w:t>附件</w:t>
      </w:r>
      <w:bookmarkEnd w:id="109"/>
    </w:p>
    <w:p>
      <w:pPr>
        <w:rPr>
          <w:rStyle w:val="106"/>
          <w:rFonts w:hint="eastAsia" w:ascii="宋体" w:hAnsi="宋体" w:cs="宋体"/>
          <w:szCs w:val="24"/>
        </w:rPr>
      </w:pPr>
      <w:r>
        <w:rPr>
          <w:rStyle w:val="106"/>
          <w:rFonts w:hint="eastAsia" w:ascii="宋体" w:hAnsi="宋体" w:cs="宋体"/>
          <w:szCs w:val="24"/>
        </w:rPr>
        <w:t>附件</w:t>
      </w:r>
    </w:p>
    <w:p>
      <w:pPr>
        <w:jc w:val="center"/>
        <w:rPr>
          <w:rFonts w:hint="eastAsia" w:ascii="宋体" w:hAnsi="宋体" w:cs="宋体"/>
          <w:b/>
          <w:sz w:val="30"/>
          <w:szCs w:val="30"/>
        </w:rPr>
      </w:pPr>
      <w:r>
        <w:rPr>
          <w:rFonts w:hint="eastAsia" w:ascii="宋体" w:hAnsi="宋体" w:cs="宋体"/>
          <w:b/>
          <w:sz w:val="30"/>
          <w:szCs w:val="30"/>
        </w:rPr>
        <w:t>投 标 函</w:t>
      </w:r>
    </w:p>
    <w:p>
      <w:pPr>
        <w:ind w:left="540" w:leftChars="257" w:firstLine="1703" w:firstLineChars="808"/>
        <w:rPr>
          <w:rFonts w:hint="eastAsia" w:ascii="宋体" w:hAnsi="宋体" w:cs="宋体"/>
          <w:b/>
          <w:szCs w:val="21"/>
        </w:rPr>
      </w:pPr>
    </w:p>
    <w:p>
      <w:pPr>
        <w:spacing w:line="400" w:lineRule="exact"/>
        <w:ind w:firstLine="105" w:firstLineChars="50"/>
        <w:jc w:val="lef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(供应商全称)授权</w:t>
      </w:r>
      <w:r>
        <w:rPr>
          <w:rFonts w:hint="eastAsia" w:ascii="宋体" w:hAnsi="宋体" w:cs="宋体"/>
          <w:szCs w:val="21"/>
          <w:u w:val="single"/>
        </w:rPr>
        <w:t xml:space="preserve">       </w:t>
      </w:r>
      <w:r>
        <w:rPr>
          <w:rFonts w:hint="eastAsia" w:ascii="宋体" w:hAnsi="宋体" w:cs="宋体"/>
          <w:szCs w:val="21"/>
        </w:rPr>
        <w:t>（全名、职务）为全权代表，参加贵方组织的</w:t>
      </w:r>
      <w:r>
        <w:rPr>
          <w:rFonts w:hint="eastAsia" w:ascii="宋体" w:hAnsi="宋体" w:cs="宋体"/>
          <w:szCs w:val="21"/>
          <w:u w:val="single"/>
        </w:rPr>
        <w:t xml:space="preserve">               </w:t>
      </w:r>
      <w:r>
        <w:rPr>
          <w:rFonts w:hint="eastAsia" w:ascii="宋体" w:hAnsi="宋体" w:cs="宋体"/>
          <w:szCs w:val="21"/>
        </w:rPr>
        <w:t>（招标项目名称）（编号为</w:t>
      </w:r>
      <w:r>
        <w:rPr>
          <w:rFonts w:hint="eastAsia" w:ascii="宋体" w:hAnsi="宋体" w:cs="宋体"/>
          <w:szCs w:val="21"/>
          <w:u w:val="single"/>
        </w:rPr>
        <w:t xml:space="preserve">                </w:t>
      </w:r>
      <w:r>
        <w:rPr>
          <w:rFonts w:hint="eastAsia" w:ascii="宋体" w:hAnsi="宋体" w:cs="宋体"/>
          <w:szCs w:val="21"/>
        </w:rPr>
        <w:t>）招标活动并投标。为此：</w:t>
      </w:r>
    </w:p>
    <w:p>
      <w:pPr>
        <w:spacing w:line="400" w:lineRule="exact"/>
        <w:rPr>
          <w:rFonts w:hint="eastAsia" w:ascii="宋体" w:hAnsi="宋体" w:cs="宋体"/>
          <w:szCs w:val="21"/>
        </w:rPr>
      </w:pPr>
      <w:r>
        <w:rPr>
          <w:rFonts w:hint="eastAsia" w:ascii="宋体" w:hAnsi="宋体" w:cs="宋体"/>
          <w:szCs w:val="21"/>
        </w:rPr>
        <w:t>（1）、我方同意在供应商须知规定的开标日期起遵守本投标函中的承诺且在投标有效期满之前均具有约束力。</w:t>
      </w:r>
    </w:p>
    <w:p>
      <w:pPr>
        <w:spacing w:line="400" w:lineRule="exact"/>
        <w:rPr>
          <w:rFonts w:hint="eastAsia" w:ascii="宋体" w:hAnsi="宋体" w:cs="宋体"/>
          <w:szCs w:val="21"/>
        </w:rPr>
      </w:pPr>
      <w:r>
        <w:rPr>
          <w:rFonts w:hint="eastAsia" w:ascii="宋体" w:hAnsi="宋体" w:cs="宋体"/>
          <w:szCs w:val="21"/>
        </w:rPr>
        <w:t>（2）、提供供应商须知规定的全部投标文件。</w:t>
      </w:r>
    </w:p>
    <w:p>
      <w:pPr>
        <w:spacing w:line="400" w:lineRule="exact"/>
        <w:rPr>
          <w:rFonts w:hint="eastAsia" w:ascii="宋体" w:hAnsi="宋体" w:cs="宋体"/>
          <w:szCs w:val="21"/>
        </w:rPr>
      </w:pPr>
      <w:r>
        <w:rPr>
          <w:rFonts w:hint="eastAsia" w:ascii="宋体" w:hAnsi="宋体" w:cs="宋体"/>
          <w:szCs w:val="21"/>
        </w:rPr>
        <w:t>（3）、我方已详细阅读全部招标文件，包括招标文件修改书（如有的话）、参考资料及有关附件，确认无误。同意招标文件中的各项要求。</w:t>
      </w:r>
    </w:p>
    <w:p>
      <w:pPr>
        <w:spacing w:line="400" w:lineRule="exact"/>
        <w:rPr>
          <w:rFonts w:hint="eastAsia" w:ascii="宋体" w:hAnsi="宋体" w:cs="宋体"/>
          <w:szCs w:val="21"/>
        </w:rPr>
      </w:pPr>
      <w:bookmarkStart w:id="254" w:name="_Toc231780372"/>
      <w:bookmarkStart w:id="255" w:name="_Toc437251189"/>
      <w:bookmarkStart w:id="256" w:name="_Toc360457891"/>
      <w:r>
        <w:rPr>
          <w:rFonts w:hint="eastAsia" w:ascii="宋体" w:hAnsi="宋体" w:cs="宋体"/>
          <w:szCs w:val="21"/>
        </w:rPr>
        <w:t>（4）、保证忠实地执行双方所签订的合同，并承担合同规定的责任和义务。</w:t>
      </w:r>
      <w:bookmarkEnd w:id="254"/>
      <w:bookmarkEnd w:id="255"/>
      <w:bookmarkEnd w:id="256"/>
    </w:p>
    <w:p>
      <w:pPr>
        <w:spacing w:line="400" w:lineRule="exact"/>
        <w:rPr>
          <w:rFonts w:hint="eastAsia" w:ascii="宋体" w:hAnsi="宋体" w:cs="宋体"/>
          <w:szCs w:val="21"/>
        </w:rPr>
      </w:pPr>
      <w:r>
        <w:rPr>
          <w:rFonts w:hint="eastAsia" w:ascii="宋体" w:hAnsi="宋体" w:cs="宋体"/>
          <w:szCs w:val="21"/>
        </w:rPr>
        <w:t>（5）、保证遵守招标文件中的其他有关规定。</w:t>
      </w:r>
    </w:p>
    <w:p>
      <w:pPr>
        <w:spacing w:line="400" w:lineRule="exact"/>
        <w:rPr>
          <w:rFonts w:hint="eastAsia" w:ascii="宋体" w:hAnsi="宋体" w:cs="宋体"/>
          <w:szCs w:val="21"/>
        </w:rPr>
      </w:pPr>
      <w:r>
        <w:rPr>
          <w:rFonts w:hint="eastAsia" w:ascii="宋体" w:hAnsi="宋体" w:cs="宋体"/>
          <w:szCs w:val="21"/>
        </w:rPr>
        <w:t>（6）、如果在开标后的投标有效期内撤回投标，我方同意按采购人的规定进行处罚。</w:t>
      </w:r>
    </w:p>
    <w:p>
      <w:pPr>
        <w:spacing w:line="400" w:lineRule="exact"/>
        <w:rPr>
          <w:rFonts w:hint="eastAsia" w:ascii="宋体" w:hAnsi="宋体" w:cs="宋体"/>
          <w:szCs w:val="21"/>
        </w:rPr>
      </w:pPr>
      <w:r>
        <w:rPr>
          <w:rFonts w:hint="eastAsia" w:ascii="宋体" w:hAnsi="宋体" w:cs="宋体"/>
          <w:szCs w:val="21"/>
        </w:rPr>
        <w:t>（7）、我方完全理解贵方不一定要接受最低价的投标或收到的任何投标。</w:t>
      </w:r>
    </w:p>
    <w:p>
      <w:pPr>
        <w:spacing w:line="400" w:lineRule="exact"/>
        <w:rPr>
          <w:rFonts w:hint="eastAsia" w:ascii="宋体" w:hAnsi="宋体" w:cs="宋体"/>
          <w:szCs w:val="21"/>
        </w:rPr>
      </w:pPr>
      <w:r>
        <w:rPr>
          <w:rFonts w:hint="eastAsia" w:ascii="宋体" w:hAnsi="宋体" w:cs="宋体"/>
          <w:szCs w:val="21"/>
        </w:rPr>
        <w:t>（8）、我方同意提供按照贵方可能要求的与其投标有关的一切数据或资料，并保证其真实性、合法性。</w:t>
      </w:r>
    </w:p>
    <w:p>
      <w:pPr>
        <w:spacing w:line="400" w:lineRule="exact"/>
        <w:rPr>
          <w:rFonts w:hint="eastAsia" w:ascii="宋体" w:hAnsi="宋体" w:cs="宋体"/>
          <w:szCs w:val="21"/>
        </w:rPr>
      </w:pPr>
      <w:r>
        <w:rPr>
          <w:rFonts w:hint="eastAsia" w:ascii="宋体" w:hAnsi="宋体" w:cs="宋体"/>
          <w:szCs w:val="21"/>
        </w:rPr>
        <w:t>（9）、投标有效期为自开标日起</w:t>
      </w:r>
      <w:r>
        <w:rPr>
          <w:rFonts w:hint="eastAsia" w:ascii="宋体" w:hAnsi="宋体" w:cs="宋体"/>
          <w:szCs w:val="21"/>
          <w:u w:val="single"/>
        </w:rPr>
        <w:t xml:space="preserve"> 90 </w:t>
      </w:r>
      <w:r>
        <w:rPr>
          <w:rFonts w:hint="eastAsia" w:ascii="宋体" w:hAnsi="宋体" w:cs="宋体"/>
          <w:szCs w:val="21"/>
        </w:rPr>
        <w:t>日历天。</w:t>
      </w:r>
    </w:p>
    <w:p>
      <w:pPr>
        <w:spacing w:line="400" w:lineRule="exact"/>
        <w:rPr>
          <w:rFonts w:hint="eastAsia" w:ascii="宋体" w:hAnsi="宋体" w:cs="宋体"/>
          <w:szCs w:val="21"/>
        </w:rPr>
      </w:pPr>
      <w:r>
        <w:rPr>
          <w:rFonts w:hint="eastAsia" w:ascii="宋体" w:hAnsi="宋体" w:cs="宋体"/>
          <w:szCs w:val="21"/>
        </w:rPr>
        <w:t>（10）、我们郑重声明：</w:t>
      </w:r>
      <w:r>
        <w:rPr>
          <w:rFonts w:hint="eastAsia" w:ascii="宋体" w:hAnsi="宋体" w:cs="宋体"/>
          <w:bCs/>
          <w:szCs w:val="21"/>
        </w:rPr>
        <w:t>在同一合同项下的政府采购活动中，不存在单位负责人为同一人或者存在直接控股、管理关系。</w:t>
      </w:r>
    </w:p>
    <w:p>
      <w:pPr>
        <w:spacing w:line="400" w:lineRule="exact"/>
        <w:rPr>
          <w:rFonts w:hint="eastAsia" w:ascii="宋体" w:hAnsi="宋体" w:cs="宋体"/>
          <w:szCs w:val="21"/>
        </w:rPr>
      </w:pPr>
      <w:r>
        <w:rPr>
          <w:rFonts w:hint="eastAsia" w:ascii="宋体" w:hAnsi="宋体" w:cs="宋体"/>
          <w:szCs w:val="21"/>
        </w:rPr>
        <w:t>与本投标有关的一切往来通讯请寄：</w:t>
      </w:r>
    </w:p>
    <w:p>
      <w:pPr>
        <w:spacing w:line="400" w:lineRule="exact"/>
        <w:rPr>
          <w:rFonts w:hint="eastAsia" w:ascii="宋体" w:hAnsi="宋体" w:cs="宋体"/>
          <w:szCs w:val="21"/>
        </w:rPr>
      </w:pPr>
      <w:r>
        <w:rPr>
          <w:rFonts w:hint="eastAsia" w:ascii="宋体" w:hAnsi="宋体" w:cs="宋体"/>
          <w:szCs w:val="21"/>
        </w:rPr>
        <w:t xml:space="preserve">地址：_______________________    </w:t>
      </w:r>
    </w:p>
    <w:p>
      <w:pPr>
        <w:spacing w:line="400" w:lineRule="exact"/>
        <w:rPr>
          <w:rFonts w:hint="eastAsia" w:ascii="宋体" w:hAnsi="宋体" w:cs="宋体"/>
          <w:szCs w:val="21"/>
        </w:rPr>
      </w:pPr>
      <w:r>
        <w:rPr>
          <w:rFonts w:hint="eastAsia" w:ascii="宋体" w:hAnsi="宋体" w:cs="宋体"/>
          <w:szCs w:val="21"/>
        </w:rPr>
        <w:t>邮编：_______________________　</w:t>
      </w:r>
    </w:p>
    <w:p>
      <w:pPr>
        <w:spacing w:line="400" w:lineRule="exact"/>
        <w:rPr>
          <w:rFonts w:hint="eastAsia" w:ascii="宋体" w:hAnsi="宋体" w:cs="宋体"/>
          <w:szCs w:val="21"/>
        </w:rPr>
      </w:pPr>
      <w:r>
        <w:rPr>
          <w:rFonts w:hint="eastAsia" w:ascii="宋体" w:hAnsi="宋体" w:cs="宋体"/>
          <w:szCs w:val="21"/>
        </w:rPr>
        <w:t>电话：_______________________　</w:t>
      </w:r>
    </w:p>
    <w:p>
      <w:pPr>
        <w:spacing w:line="400" w:lineRule="exact"/>
        <w:rPr>
          <w:rFonts w:hint="eastAsia" w:ascii="宋体" w:hAnsi="宋体" w:cs="宋体"/>
          <w:szCs w:val="21"/>
        </w:rPr>
      </w:pPr>
      <w:r>
        <w:rPr>
          <w:rFonts w:hint="eastAsia" w:ascii="宋体" w:hAnsi="宋体" w:cs="宋体"/>
          <w:szCs w:val="21"/>
        </w:rPr>
        <w:t>传真：_______________________</w:t>
      </w:r>
    </w:p>
    <w:p>
      <w:pPr>
        <w:adjustRightInd w:val="0"/>
        <w:snapToGrid w:val="0"/>
        <w:spacing w:after="120" w:afterLines="50" w:line="400" w:lineRule="exact"/>
        <w:rPr>
          <w:rFonts w:hint="eastAsia" w:ascii="宋体" w:hAnsi="宋体" w:cs="宋体"/>
          <w:kern w:val="0"/>
          <w:szCs w:val="21"/>
        </w:rPr>
      </w:pPr>
      <w:r>
        <w:rPr>
          <w:rFonts w:hint="eastAsia" w:ascii="宋体" w:hAnsi="宋体" w:cs="宋体"/>
          <w:kern w:val="0"/>
          <w:szCs w:val="21"/>
        </w:rPr>
        <w:t xml:space="preserve">                                    </w:t>
      </w:r>
    </w:p>
    <w:p>
      <w:pPr>
        <w:spacing w:line="360" w:lineRule="auto"/>
        <w:ind w:left="170" w:firstLine="1680" w:firstLineChars="800"/>
        <w:rPr>
          <w:rFonts w:hint="eastAsia" w:ascii="宋体" w:hAnsi="宋体" w:cs="宋体"/>
          <w:szCs w:val="21"/>
        </w:rPr>
      </w:pPr>
      <w:r>
        <w:rPr>
          <w:rFonts w:hint="eastAsia" w:ascii="宋体" w:hAnsi="宋体" w:cs="宋体"/>
          <w:kern w:val="0"/>
          <w:szCs w:val="21"/>
        </w:rPr>
        <w:t xml:space="preserve">                 </w:t>
      </w: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ind w:firstLine="594"/>
        <w:rPr>
          <w:rStyle w:val="106"/>
          <w:rFonts w:hint="eastAsia" w:ascii="宋体" w:hAnsi="宋体" w:cs="宋体"/>
          <w:sz w:val="30"/>
          <w:szCs w:val="30"/>
        </w:rPr>
      </w:pPr>
    </w:p>
    <w:p>
      <w:pPr>
        <w:spacing w:line="480" w:lineRule="auto"/>
        <w:jc w:val="left"/>
        <w:rPr>
          <w:rStyle w:val="106"/>
          <w:rFonts w:hint="eastAsia" w:ascii="宋体" w:hAnsi="宋体" w:cs="宋体"/>
          <w:sz w:val="30"/>
          <w:szCs w:val="30"/>
        </w:rPr>
      </w:pPr>
      <w:r>
        <w:rPr>
          <w:rStyle w:val="106"/>
          <w:rFonts w:hint="eastAsia" w:ascii="宋体" w:hAnsi="宋体" w:cs="宋体"/>
          <w:szCs w:val="24"/>
        </w:rPr>
        <w:t>附件</w:t>
      </w:r>
      <w:r>
        <w:rPr>
          <w:rFonts w:hint="eastAsia" w:ascii="宋体" w:hAnsi="宋体" w:cs="宋体"/>
          <w:b/>
          <w:sz w:val="32"/>
        </w:rPr>
        <w:t xml:space="preserve">   </w:t>
      </w:r>
    </w:p>
    <w:p>
      <w:pPr>
        <w:jc w:val="center"/>
        <w:rPr>
          <w:rFonts w:hint="eastAsia" w:ascii="宋体" w:hAnsi="宋体" w:cs="宋体"/>
          <w:b/>
          <w:sz w:val="30"/>
          <w:szCs w:val="30"/>
        </w:rPr>
      </w:pPr>
      <w:bookmarkStart w:id="257" w:name="_Toc12376828"/>
      <w:bookmarkStart w:id="258" w:name="_Toc529781151"/>
      <w:bookmarkStart w:id="259" w:name="_Toc12428987"/>
      <w:bookmarkStart w:id="260" w:name="_Toc12374303"/>
      <w:r>
        <w:rPr>
          <w:rFonts w:hint="eastAsia" w:ascii="宋体" w:hAnsi="宋体" w:cs="宋体"/>
          <w:b/>
          <w:sz w:val="30"/>
          <w:szCs w:val="30"/>
        </w:rPr>
        <w:t>法定代表人身份证明</w:t>
      </w:r>
      <w:bookmarkEnd w:id="257"/>
      <w:bookmarkEnd w:id="258"/>
      <w:bookmarkEnd w:id="259"/>
      <w:bookmarkEnd w:id="260"/>
    </w:p>
    <w:p>
      <w:pPr>
        <w:spacing w:line="400" w:lineRule="exact"/>
        <w:jc w:val="center"/>
        <w:outlineLvl w:val="0"/>
        <w:rPr>
          <w:rFonts w:hint="eastAsia" w:ascii="宋体" w:hAnsi="宋体" w:cs="宋体"/>
          <w:bCs/>
          <w:szCs w:val="21"/>
        </w:rPr>
      </w:pPr>
      <w:r>
        <w:rPr>
          <w:rFonts w:hint="eastAsia" w:ascii="宋体" w:hAnsi="宋体" w:cs="宋体"/>
          <w:bCs/>
          <w:szCs w:val="21"/>
        </w:rPr>
        <w:t>（若法定代表人参加开标的，在开标身份确认时另提供一份原件）</w:t>
      </w:r>
    </w:p>
    <w:p>
      <w:pPr>
        <w:pStyle w:val="2"/>
        <w:ind w:firstLine="480"/>
        <w:rPr>
          <w:rFonts w:hint="eastAsia" w:ascii="宋体" w:hAnsi="宋体" w:eastAsia="宋体" w:cs="宋体"/>
        </w:rPr>
      </w:pPr>
    </w:p>
    <w:p>
      <w:pPr>
        <w:spacing w:after="120" w:afterLines="50" w:line="400" w:lineRule="exact"/>
        <w:rPr>
          <w:rFonts w:hint="eastAsia" w:ascii="宋体" w:hAnsi="宋体" w:cs="宋体"/>
          <w:szCs w:val="21"/>
          <w:u w:val="single"/>
        </w:rPr>
      </w:pPr>
      <w:r>
        <w:rPr>
          <w:rFonts w:hint="eastAsia" w:ascii="宋体" w:hAnsi="宋体" w:cs="宋体"/>
          <w:szCs w:val="21"/>
          <w:lang w:bidi="ar"/>
        </w:rPr>
        <w:t>供应商名称：</w:t>
      </w:r>
      <w:r>
        <w:rPr>
          <w:rFonts w:hint="eastAsia" w:ascii="宋体" w:hAnsi="宋体" w:cs="宋体"/>
          <w:szCs w:val="21"/>
          <w:u w:val="single"/>
          <w:lang w:bidi="ar"/>
        </w:rPr>
        <w:t xml:space="preserve">                                  </w:t>
      </w:r>
    </w:p>
    <w:p>
      <w:pPr>
        <w:spacing w:after="120" w:afterLines="50" w:line="400" w:lineRule="exact"/>
        <w:rPr>
          <w:rFonts w:hint="eastAsia" w:ascii="宋体" w:hAnsi="宋体" w:cs="宋体"/>
          <w:szCs w:val="21"/>
          <w:u w:val="single"/>
        </w:rPr>
      </w:pPr>
      <w:r>
        <w:rPr>
          <w:rFonts w:hint="eastAsia" w:ascii="宋体" w:hAnsi="宋体" w:cs="宋体"/>
          <w:szCs w:val="21"/>
          <w:lang w:bidi="ar"/>
        </w:rPr>
        <w:t>单位性质：</w:t>
      </w:r>
      <w:r>
        <w:rPr>
          <w:rFonts w:hint="eastAsia" w:ascii="宋体" w:hAnsi="宋体" w:cs="宋体"/>
          <w:szCs w:val="21"/>
          <w:u w:val="single"/>
          <w:lang w:bidi="ar"/>
        </w:rPr>
        <w:t xml:space="preserve">                                    </w:t>
      </w:r>
    </w:p>
    <w:p>
      <w:pPr>
        <w:spacing w:after="120" w:afterLines="50" w:line="400" w:lineRule="exact"/>
        <w:rPr>
          <w:rFonts w:hint="eastAsia" w:ascii="宋体" w:hAnsi="宋体" w:cs="宋体"/>
          <w:szCs w:val="21"/>
          <w:u w:val="single"/>
        </w:rPr>
      </w:pPr>
      <w:r>
        <w:rPr>
          <w:rFonts w:hint="eastAsia" w:ascii="宋体" w:hAnsi="宋体" w:cs="宋体"/>
          <w:szCs w:val="21"/>
          <w:lang w:bidi="ar"/>
        </w:rPr>
        <w:t>地址：</w:t>
      </w:r>
      <w:r>
        <w:rPr>
          <w:rFonts w:hint="eastAsia" w:ascii="宋体" w:hAnsi="宋体" w:cs="宋体"/>
          <w:szCs w:val="21"/>
          <w:u w:val="single"/>
          <w:lang w:bidi="ar"/>
        </w:rPr>
        <w:t xml:space="preserve">                                        </w:t>
      </w:r>
    </w:p>
    <w:p>
      <w:pPr>
        <w:spacing w:after="120" w:afterLines="50" w:line="400" w:lineRule="exact"/>
        <w:rPr>
          <w:rFonts w:hint="eastAsia" w:ascii="宋体" w:hAnsi="宋体" w:cs="宋体"/>
          <w:szCs w:val="21"/>
          <w:u w:val="single"/>
        </w:rPr>
      </w:pPr>
      <w:r>
        <w:rPr>
          <w:rFonts w:hint="eastAsia" w:ascii="宋体" w:hAnsi="宋体" w:cs="宋体"/>
          <w:szCs w:val="21"/>
          <w:lang w:bidi="ar"/>
        </w:rPr>
        <w:t>成立时间：</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pPr>
        <w:spacing w:after="120" w:afterLines="50" w:line="400" w:lineRule="exact"/>
        <w:rPr>
          <w:rFonts w:hint="eastAsia" w:ascii="宋体" w:hAnsi="宋体" w:cs="宋体"/>
          <w:szCs w:val="21"/>
          <w:u w:val="single"/>
        </w:rPr>
      </w:pPr>
      <w:r>
        <w:rPr>
          <w:rFonts w:hint="eastAsia" w:ascii="宋体" w:hAnsi="宋体" w:cs="宋体"/>
          <w:szCs w:val="21"/>
          <w:lang w:bidi="ar"/>
        </w:rPr>
        <w:t>经营期限：</w:t>
      </w:r>
      <w:r>
        <w:rPr>
          <w:rFonts w:hint="eastAsia" w:ascii="宋体" w:hAnsi="宋体" w:cs="宋体"/>
          <w:szCs w:val="21"/>
          <w:u w:val="single"/>
          <w:lang w:bidi="ar"/>
        </w:rPr>
        <w:t xml:space="preserve">                                     </w:t>
      </w:r>
    </w:p>
    <w:p>
      <w:pPr>
        <w:spacing w:after="120" w:afterLines="50" w:line="400" w:lineRule="exact"/>
        <w:rPr>
          <w:rFonts w:hint="eastAsia" w:ascii="宋体" w:hAnsi="宋体" w:cs="宋体"/>
          <w:szCs w:val="21"/>
          <w:u w:val="single"/>
        </w:rPr>
      </w:pPr>
      <w:r>
        <w:rPr>
          <w:rFonts w:hint="eastAsia" w:ascii="宋体" w:hAnsi="宋体" w:cs="宋体"/>
          <w:szCs w:val="21"/>
          <w:lang w:bidi="ar"/>
        </w:rPr>
        <w:t>姓名：</w:t>
      </w:r>
      <w:r>
        <w:rPr>
          <w:rFonts w:hint="eastAsia" w:ascii="宋体" w:hAnsi="宋体" w:cs="宋体"/>
          <w:szCs w:val="21"/>
          <w:u w:val="single"/>
          <w:lang w:bidi="ar"/>
        </w:rPr>
        <w:t xml:space="preserve">         </w:t>
      </w:r>
      <w:r>
        <w:rPr>
          <w:rFonts w:hint="eastAsia" w:ascii="宋体" w:hAnsi="宋体" w:cs="宋体"/>
          <w:szCs w:val="21"/>
          <w:lang w:bidi="ar"/>
        </w:rPr>
        <w:t xml:space="preserve">  性别：</w:t>
      </w:r>
      <w:r>
        <w:rPr>
          <w:rFonts w:hint="eastAsia" w:ascii="宋体" w:hAnsi="宋体" w:cs="宋体"/>
          <w:szCs w:val="21"/>
          <w:u w:val="single"/>
          <w:lang w:bidi="ar"/>
        </w:rPr>
        <w:t xml:space="preserve">         </w:t>
      </w:r>
      <w:r>
        <w:rPr>
          <w:rFonts w:hint="eastAsia" w:ascii="宋体" w:hAnsi="宋体" w:cs="宋体"/>
          <w:szCs w:val="21"/>
          <w:lang w:bidi="ar"/>
        </w:rPr>
        <w:t xml:space="preserve">  年龄：</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lang w:bidi="ar"/>
        </w:rPr>
        <w:t>职务：</w:t>
      </w:r>
      <w:r>
        <w:rPr>
          <w:rFonts w:hint="eastAsia" w:ascii="宋体" w:hAnsi="宋体" w:cs="宋体"/>
          <w:u w:val="single"/>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 xml:space="preserve">  </w:t>
      </w:r>
    </w:p>
    <w:p>
      <w:pPr>
        <w:spacing w:after="120" w:afterLines="50" w:line="400" w:lineRule="exact"/>
        <w:rPr>
          <w:rFonts w:hint="eastAsia" w:ascii="宋体" w:hAnsi="宋体" w:cs="宋体"/>
          <w:szCs w:val="21"/>
          <w:u w:val="single"/>
        </w:rPr>
      </w:pPr>
      <w:r>
        <w:rPr>
          <w:rFonts w:hint="eastAsia" w:ascii="宋体" w:hAnsi="宋体" w:cs="宋体"/>
          <w:szCs w:val="21"/>
          <w:lang w:bidi="ar"/>
        </w:rPr>
        <w:t>身份证号码：</w:t>
      </w:r>
      <w:r>
        <w:rPr>
          <w:rFonts w:hint="eastAsia" w:ascii="宋体" w:hAnsi="宋体" w:cs="宋体"/>
          <w:szCs w:val="21"/>
          <w:u w:val="single"/>
          <w:lang w:bidi="ar"/>
        </w:rPr>
        <w:t xml:space="preserve">                           </w:t>
      </w:r>
    </w:p>
    <w:p>
      <w:pPr>
        <w:spacing w:line="400" w:lineRule="exact"/>
        <w:ind w:firstLine="560"/>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lang w:bidi="ar"/>
        </w:rPr>
        <w:t xml:space="preserve">    系</w:t>
      </w:r>
      <w:r>
        <w:rPr>
          <w:rFonts w:hint="eastAsia" w:ascii="宋体" w:hAnsi="宋体" w:cs="宋体"/>
          <w:szCs w:val="21"/>
          <w:u w:val="single"/>
          <w:lang w:bidi="ar"/>
        </w:rPr>
        <w:t xml:space="preserve">                          </w:t>
      </w:r>
      <w:r>
        <w:rPr>
          <w:rFonts w:hint="eastAsia" w:ascii="宋体" w:hAnsi="宋体" w:cs="宋体"/>
          <w:szCs w:val="21"/>
          <w:lang w:bidi="ar"/>
        </w:rPr>
        <w:t>（供应商名称）的法定代表人。</w:t>
      </w:r>
    </w:p>
    <w:p>
      <w:pPr>
        <w:spacing w:line="400" w:lineRule="exact"/>
        <w:ind w:firstLine="560"/>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lang w:bidi="ar"/>
        </w:rPr>
        <w:t>特此证明。</w:t>
      </w:r>
    </w:p>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lang w:bidi="ar"/>
        </w:rPr>
        <w:t>供应商（盖章）：</w:t>
      </w:r>
    </w:p>
    <w:p>
      <w:pPr>
        <w:spacing w:line="400" w:lineRule="exact"/>
        <w:ind w:right="560"/>
        <w:rPr>
          <w:rFonts w:hint="eastAsia" w:ascii="宋体" w:hAnsi="宋体" w:cs="宋体"/>
          <w:szCs w:val="21"/>
        </w:rPr>
      </w:pPr>
      <w:r>
        <w:rPr>
          <w:rFonts w:hint="eastAsia" w:ascii="宋体" w:hAnsi="宋体" w:cs="宋体"/>
          <w:szCs w:val="21"/>
          <w:lang w:bidi="ar"/>
        </w:rPr>
        <w:t>日期：   年    月    日</w:t>
      </w:r>
    </w:p>
    <w:p>
      <w:pPr>
        <w:spacing w:line="400" w:lineRule="exact"/>
        <w:ind w:right="560"/>
        <w:rPr>
          <w:rFonts w:hint="eastAsia" w:ascii="宋体" w:hAnsi="宋体" w:cs="宋体"/>
          <w:szCs w:val="21"/>
        </w:rPr>
      </w:pPr>
    </w:p>
    <w:p>
      <w:pPr>
        <w:spacing w:line="400" w:lineRule="exact"/>
        <w:ind w:right="560"/>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lang w:bidi="ar"/>
        </w:rPr>
        <w:t>附：法定代表人身份证扫描件</w:t>
      </w:r>
    </w:p>
    <w:p>
      <w:pPr>
        <w:spacing w:line="400" w:lineRule="exact"/>
        <w:jc w:val="left"/>
        <w:rPr>
          <w:rFonts w:hint="eastAsia" w:ascii="宋体" w:hAnsi="宋体" w:cs="宋体"/>
          <w:sz w:val="24"/>
          <w:szCs w:val="21"/>
        </w:rPr>
      </w:pPr>
    </w:p>
    <w:p>
      <w:pPr>
        <w:spacing w:line="400" w:lineRule="exact"/>
        <w:jc w:val="left"/>
        <w:rPr>
          <w:rFonts w:hint="eastAsia" w:ascii="宋体" w:hAnsi="宋体" w:cs="宋体"/>
          <w:sz w:val="24"/>
          <w:szCs w:val="21"/>
        </w:rPr>
      </w:pPr>
    </w:p>
    <w:p>
      <w:pPr>
        <w:jc w:val="center"/>
        <w:rPr>
          <w:rFonts w:hint="eastAsia" w:ascii="宋体" w:hAnsi="宋体" w:cs="宋体"/>
          <w:b/>
          <w:spacing w:val="40"/>
          <w:sz w:val="28"/>
          <w:szCs w:val="28"/>
        </w:rPr>
      </w:pPr>
    </w:p>
    <w:p>
      <w:pPr>
        <w:jc w:val="center"/>
        <w:rPr>
          <w:rFonts w:hint="eastAsia" w:ascii="宋体" w:hAnsi="宋体" w:cs="宋体"/>
          <w:b/>
          <w:spacing w:val="40"/>
          <w:sz w:val="28"/>
          <w:szCs w:val="28"/>
        </w:rPr>
      </w:pPr>
    </w:p>
    <w:p>
      <w:pPr>
        <w:spacing w:line="400" w:lineRule="exact"/>
        <w:jc w:val="left"/>
        <w:outlineLvl w:val="0"/>
        <w:rPr>
          <w:rStyle w:val="106"/>
          <w:rFonts w:hint="eastAsia" w:ascii="宋体" w:hAnsi="宋体" w:cs="宋体"/>
          <w:sz w:val="30"/>
          <w:szCs w:val="30"/>
        </w:rPr>
      </w:pPr>
    </w:p>
    <w:p>
      <w:pPr>
        <w:spacing w:line="400" w:lineRule="exact"/>
        <w:jc w:val="left"/>
        <w:rPr>
          <w:rFonts w:hint="eastAsia" w:ascii="宋体" w:hAnsi="宋体" w:cs="宋体"/>
          <w:b/>
          <w:spacing w:val="-2"/>
          <w:kern w:val="0"/>
          <w:sz w:val="24"/>
          <w:szCs w:val="21"/>
          <w:lang w:bidi="ar"/>
        </w:rPr>
      </w:pPr>
    </w:p>
    <w:p>
      <w:pPr>
        <w:pStyle w:val="2"/>
        <w:ind w:firstLine="474"/>
        <w:rPr>
          <w:rFonts w:hint="eastAsia" w:ascii="宋体" w:hAnsi="宋体" w:eastAsia="宋体" w:cs="宋体"/>
          <w:b/>
          <w:spacing w:val="-2"/>
          <w:kern w:val="0"/>
          <w:szCs w:val="21"/>
          <w:lang w:bidi="ar"/>
        </w:rPr>
      </w:pPr>
    </w:p>
    <w:p>
      <w:pPr>
        <w:pStyle w:val="2"/>
        <w:ind w:firstLine="474"/>
        <w:rPr>
          <w:rFonts w:hint="eastAsia" w:ascii="宋体" w:hAnsi="宋体" w:eastAsia="宋体" w:cs="宋体"/>
          <w:b/>
          <w:spacing w:val="-2"/>
          <w:kern w:val="0"/>
          <w:szCs w:val="21"/>
          <w:lang w:bidi="ar"/>
        </w:rPr>
      </w:pPr>
    </w:p>
    <w:p>
      <w:pPr>
        <w:pStyle w:val="2"/>
        <w:ind w:firstLine="474"/>
        <w:rPr>
          <w:rFonts w:hint="eastAsia" w:ascii="宋体" w:hAnsi="宋体" w:eastAsia="宋体" w:cs="宋体"/>
          <w:b/>
          <w:spacing w:val="-2"/>
          <w:kern w:val="0"/>
          <w:szCs w:val="21"/>
          <w:lang w:bidi="ar"/>
        </w:rPr>
      </w:pPr>
    </w:p>
    <w:p>
      <w:pPr>
        <w:pStyle w:val="2"/>
        <w:ind w:firstLine="474"/>
        <w:rPr>
          <w:rFonts w:hint="eastAsia" w:ascii="宋体" w:hAnsi="宋体" w:eastAsia="宋体" w:cs="宋体"/>
          <w:b/>
          <w:spacing w:val="-2"/>
          <w:kern w:val="0"/>
          <w:szCs w:val="21"/>
          <w:lang w:bidi="ar"/>
        </w:rPr>
      </w:pPr>
    </w:p>
    <w:p>
      <w:pPr>
        <w:pStyle w:val="2"/>
        <w:ind w:firstLine="474"/>
        <w:rPr>
          <w:rFonts w:hint="eastAsia" w:ascii="宋体" w:hAnsi="宋体" w:eastAsia="宋体" w:cs="宋体"/>
          <w:b/>
          <w:spacing w:val="-2"/>
          <w:kern w:val="0"/>
          <w:szCs w:val="21"/>
          <w:lang w:bidi="ar"/>
        </w:rPr>
      </w:pPr>
    </w:p>
    <w:p>
      <w:pPr>
        <w:pStyle w:val="2"/>
        <w:ind w:firstLine="474"/>
        <w:rPr>
          <w:rFonts w:hint="eastAsia" w:ascii="宋体" w:hAnsi="宋体" w:eastAsia="宋体" w:cs="宋体"/>
          <w:b/>
          <w:spacing w:val="-2"/>
          <w:kern w:val="0"/>
          <w:szCs w:val="21"/>
          <w:lang w:bidi="ar"/>
        </w:rPr>
      </w:pPr>
    </w:p>
    <w:p>
      <w:pPr>
        <w:spacing w:line="400" w:lineRule="exact"/>
        <w:jc w:val="left"/>
        <w:rPr>
          <w:rFonts w:hint="eastAsia" w:ascii="宋体" w:hAnsi="宋体" w:cs="宋体"/>
          <w:b/>
          <w:szCs w:val="21"/>
        </w:rPr>
      </w:pPr>
      <w:r>
        <w:rPr>
          <w:rFonts w:hint="eastAsia" w:ascii="宋体" w:hAnsi="宋体" w:cs="宋体"/>
          <w:b/>
          <w:spacing w:val="-2"/>
          <w:kern w:val="0"/>
          <w:sz w:val="24"/>
          <w:szCs w:val="21"/>
          <w:lang w:bidi="ar"/>
        </w:rPr>
        <w:t>附件</w:t>
      </w:r>
    </w:p>
    <w:p>
      <w:pPr>
        <w:spacing w:line="400" w:lineRule="exact"/>
        <w:jc w:val="left"/>
        <w:rPr>
          <w:rFonts w:hint="eastAsia" w:ascii="宋体" w:hAnsi="宋体" w:cs="宋体"/>
          <w:b/>
          <w:szCs w:val="21"/>
        </w:rPr>
      </w:pPr>
    </w:p>
    <w:p>
      <w:pPr>
        <w:jc w:val="center"/>
        <w:rPr>
          <w:rFonts w:hint="eastAsia" w:ascii="宋体" w:hAnsi="宋体" w:cs="宋体"/>
          <w:b/>
          <w:sz w:val="30"/>
          <w:szCs w:val="30"/>
        </w:rPr>
      </w:pPr>
      <w:r>
        <w:rPr>
          <w:rFonts w:hint="eastAsia" w:ascii="宋体" w:hAnsi="宋体" w:cs="宋体"/>
          <w:b/>
          <w:sz w:val="30"/>
          <w:szCs w:val="30"/>
        </w:rPr>
        <w:t>关于资格的声明函</w:t>
      </w:r>
    </w:p>
    <w:p>
      <w:pPr>
        <w:spacing w:line="400" w:lineRule="exact"/>
        <w:ind w:left="540" w:firstLine="30"/>
        <w:jc w:val="center"/>
        <w:rPr>
          <w:rFonts w:hint="eastAsia" w:ascii="宋体" w:hAnsi="宋体" w:cs="宋体"/>
          <w:b/>
          <w:szCs w:val="21"/>
        </w:rPr>
      </w:pPr>
    </w:p>
    <w:p>
      <w:pPr>
        <w:spacing w:line="400" w:lineRule="exact"/>
        <w:rPr>
          <w:rFonts w:hint="eastAsia" w:ascii="宋体" w:hAnsi="宋体" w:cs="宋体"/>
          <w:szCs w:val="21"/>
        </w:rPr>
      </w:pPr>
      <w:r>
        <w:rPr>
          <w:rFonts w:hint="eastAsia" w:ascii="宋体" w:hAnsi="宋体" w:cs="宋体"/>
          <w:szCs w:val="21"/>
          <w:lang w:bidi="ar"/>
        </w:rPr>
        <w:t>致：采购人</w:t>
      </w:r>
    </w:p>
    <w:p>
      <w:pPr>
        <w:spacing w:line="400" w:lineRule="exact"/>
        <w:ind w:firstLine="420" w:firstLineChars="200"/>
        <w:rPr>
          <w:rFonts w:hint="eastAsia" w:ascii="宋体" w:hAnsi="宋体" w:cs="宋体"/>
          <w:szCs w:val="21"/>
        </w:rPr>
      </w:pPr>
      <w:r>
        <w:rPr>
          <w:rFonts w:hint="eastAsia" w:ascii="宋体" w:hAnsi="宋体" w:cs="宋体"/>
          <w:szCs w:val="21"/>
          <w:lang w:bidi="ar"/>
        </w:rPr>
        <w:t>关于贵方对采购编号为</w:t>
      </w:r>
      <w:r>
        <w:rPr>
          <w:rFonts w:hint="eastAsia" w:ascii="宋体" w:hAnsi="宋体" w:cs="宋体"/>
          <w:szCs w:val="21"/>
          <w:u w:val="single"/>
          <w:lang w:bidi="ar"/>
        </w:rPr>
        <w:t xml:space="preserve">                        </w:t>
      </w:r>
      <w:r>
        <w:rPr>
          <w:rFonts w:hint="eastAsia" w:ascii="宋体" w:hAnsi="宋体" w:cs="宋体"/>
          <w:szCs w:val="21"/>
          <w:lang w:bidi="ar"/>
        </w:rPr>
        <w:t>的</w:t>
      </w:r>
      <w:r>
        <w:rPr>
          <w:rFonts w:hint="eastAsia" w:ascii="宋体" w:hAnsi="宋体" w:cs="宋体"/>
          <w:szCs w:val="21"/>
          <w:u w:val="single"/>
          <w:lang w:bidi="ar"/>
        </w:rPr>
        <w:t xml:space="preserve"> </w:t>
      </w:r>
      <w:r>
        <w:rPr>
          <w:rFonts w:hint="eastAsia" w:ascii="宋体" w:hAnsi="宋体" w:cs="宋体"/>
          <w:kern w:val="0"/>
          <w:szCs w:val="21"/>
          <w:u w:val="single"/>
        </w:rPr>
        <w:t>慈溪市环杭州湾创新中心公共空间一体化管理服务采购项目</w:t>
      </w:r>
      <w:r>
        <w:rPr>
          <w:rFonts w:hint="eastAsia" w:ascii="宋体" w:hAnsi="宋体" w:cs="宋体"/>
          <w:szCs w:val="21"/>
          <w:lang w:bidi="ar"/>
        </w:rPr>
        <w:t xml:space="preserve">（项目名称），本单位申明如下： </w:t>
      </w:r>
    </w:p>
    <w:p>
      <w:pPr>
        <w:spacing w:line="400" w:lineRule="exact"/>
        <w:ind w:firstLine="420" w:firstLineChars="200"/>
        <w:rPr>
          <w:rFonts w:hint="eastAsia" w:ascii="宋体" w:hAnsi="宋体" w:cs="宋体"/>
          <w:szCs w:val="21"/>
        </w:rPr>
      </w:pPr>
      <w:r>
        <w:rPr>
          <w:rFonts w:hint="eastAsia" w:ascii="宋体" w:hAnsi="宋体" w:cs="宋体"/>
          <w:szCs w:val="21"/>
          <w:lang w:bidi="ar"/>
        </w:rPr>
        <w:t>我单位符合《中华人民共和国政府采购法》第22条的一般资格条件的规定：</w:t>
      </w:r>
    </w:p>
    <w:p>
      <w:pPr>
        <w:spacing w:line="400" w:lineRule="exact"/>
        <w:ind w:firstLine="420" w:firstLineChars="200"/>
        <w:rPr>
          <w:rFonts w:hint="eastAsia" w:ascii="宋体" w:hAnsi="宋体" w:cs="宋体"/>
          <w:szCs w:val="21"/>
        </w:rPr>
      </w:pPr>
      <w:r>
        <w:rPr>
          <w:rFonts w:hint="eastAsia" w:ascii="宋体" w:hAnsi="宋体" w:cs="宋体"/>
          <w:szCs w:val="21"/>
          <w:lang w:bidi="ar"/>
        </w:rPr>
        <w:t>1、具有独立承担民事责任的能力；</w:t>
      </w:r>
    </w:p>
    <w:p>
      <w:pPr>
        <w:spacing w:line="400" w:lineRule="exact"/>
        <w:ind w:firstLine="420" w:firstLineChars="200"/>
        <w:rPr>
          <w:rFonts w:hint="eastAsia" w:ascii="宋体" w:hAnsi="宋体" w:cs="宋体"/>
          <w:szCs w:val="21"/>
        </w:rPr>
      </w:pPr>
      <w:r>
        <w:rPr>
          <w:rFonts w:hint="eastAsia" w:ascii="宋体" w:hAnsi="宋体" w:cs="宋体"/>
          <w:szCs w:val="21"/>
          <w:lang w:bidi="ar"/>
        </w:rPr>
        <w:t>2、具有良好的商业信誉和健全的财务会计制度；</w:t>
      </w:r>
    </w:p>
    <w:p>
      <w:pPr>
        <w:spacing w:line="400" w:lineRule="exact"/>
        <w:ind w:firstLine="420" w:firstLineChars="200"/>
        <w:rPr>
          <w:rFonts w:hint="eastAsia" w:ascii="宋体" w:hAnsi="宋体" w:cs="宋体"/>
          <w:szCs w:val="21"/>
        </w:rPr>
      </w:pPr>
      <w:r>
        <w:rPr>
          <w:rFonts w:hint="eastAsia" w:ascii="宋体" w:hAnsi="宋体" w:cs="宋体"/>
          <w:szCs w:val="21"/>
          <w:lang w:bidi="ar"/>
        </w:rPr>
        <w:t>3、具有履行合同所必需的设备和专业技术能力；</w:t>
      </w:r>
    </w:p>
    <w:p>
      <w:pPr>
        <w:spacing w:line="400" w:lineRule="exact"/>
        <w:ind w:firstLine="420" w:firstLineChars="200"/>
        <w:rPr>
          <w:rFonts w:hint="eastAsia" w:ascii="宋体" w:hAnsi="宋体" w:cs="宋体"/>
          <w:szCs w:val="21"/>
        </w:rPr>
      </w:pPr>
      <w:r>
        <w:rPr>
          <w:rFonts w:hint="eastAsia" w:ascii="宋体" w:hAnsi="宋体" w:cs="宋体"/>
          <w:szCs w:val="21"/>
          <w:lang w:bidi="ar"/>
        </w:rPr>
        <w:t>4、有依法缴纳税收和社会保障资金的良好记录；</w:t>
      </w:r>
    </w:p>
    <w:p>
      <w:pPr>
        <w:spacing w:line="400" w:lineRule="exact"/>
        <w:ind w:firstLine="420" w:firstLineChars="200"/>
        <w:rPr>
          <w:rFonts w:hint="eastAsia" w:ascii="宋体" w:hAnsi="宋体" w:cs="宋体"/>
          <w:szCs w:val="21"/>
        </w:rPr>
      </w:pPr>
      <w:r>
        <w:rPr>
          <w:rFonts w:hint="eastAsia" w:ascii="宋体" w:hAnsi="宋体" w:cs="宋体"/>
          <w:szCs w:val="21"/>
          <w:lang w:bidi="ar"/>
        </w:rPr>
        <w:t>5、参加政府采购活动前三年内，在经营活动中没有重大违法记录；</w:t>
      </w:r>
    </w:p>
    <w:p>
      <w:pPr>
        <w:spacing w:line="400" w:lineRule="exact"/>
        <w:ind w:firstLine="420" w:firstLineChars="200"/>
        <w:rPr>
          <w:rFonts w:hint="eastAsia" w:ascii="宋体" w:hAnsi="宋体" w:cs="宋体"/>
          <w:szCs w:val="21"/>
        </w:rPr>
      </w:pPr>
      <w:r>
        <w:rPr>
          <w:rFonts w:hint="eastAsia" w:ascii="宋体" w:hAnsi="宋体" w:cs="宋体"/>
          <w:szCs w:val="21"/>
          <w:lang w:bidi="ar"/>
        </w:rPr>
        <w:t>6、法律、行政法规规定的其他条件。</w:t>
      </w:r>
    </w:p>
    <w:p>
      <w:pPr>
        <w:spacing w:line="400" w:lineRule="exact"/>
        <w:ind w:firstLine="420" w:firstLineChars="200"/>
        <w:rPr>
          <w:rFonts w:hint="eastAsia" w:ascii="宋体" w:hAnsi="宋体" w:cs="宋体"/>
          <w:szCs w:val="21"/>
        </w:rPr>
      </w:pPr>
    </w:p>
    <w:p>
      <w:pPr>
        <w:spacing w:line="400" w:lineRule="exact"/>
        <w:ind w:firstLine="420" w:firstLineChars="200"/>
        <w:rPr>
          <w:rFonts w:hint="eastAsia" w:ascii="宋体" w:hAnsi="宋体" w:cs="宋体"/>
          <w:szCs w:val="21"/>
        </w:rPr>
      </w:pPr>
    </w:p>
    <w:p>
      <w:pPr>
        <w:spacing w:line="400" w:lineRule="exact"/>
        <w:ind w:firstLine="420" w:firstLineChars="200"/>
        <w:rPr>
          <w:rFonts w:hint="eastAsia" w:ascii="宋体" w:hAnsi="宋体" w:cs="宋体"/>
          <w:szCs w:val="21"/>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jc w:val="left"/>
        <w:rPr>
          <w:rFonts w:hint="eastAsia" w:ascii="宋体" w:hAnsi="宋体" w:cs="宋体"/>
          <w:b/>
          <w:szCs w:val="21"/>
        </w:rPr>
      </w:pPr>
      <w:r>
        <w:rPr>
          <w:rFonts w:hint="eastAsia" w:ascii="宋体" w:hAnsi="宋体" w:cs="宋体"/>
          <w:b/>
          <w:spacing w:val="-2"/>
          <w:kern w:val="0"/>
          <w:sz w:val="24"/>
          <w:szCs w:val="21"/>
          <w:lang w:bidi="ar"/>
        </w:rPr>
        <w:t>附件</w:t>
      </w:r>
    </w:p>
    <w:p>
      <w:pPr>
        <w:jc w:val="center"/>
        <w:rPr>
          <w:rFonts w:hint="eastAsia" w:ascii="宋体" w:hAnsi="宋体" w:cs="宋体"/>
          <w:b/>
          <w:sz w:val="30"/>
          <w:szCs w:val="30"/>
        </w:rPr>
      </w:pPr>
      <w:bookmarkStart w:id="261" w:name="_Toc22508"/>
      <w:bookmarkStart w:id="262" w:name="_Toc2302"/>
      <w:bookmarkStart w:id="263" w:name="_Toc479590381"/>
    </w:p>
    <w:p>
      <w:pPr>
        <w:jc w:val="center"/>
        <w:rPr>
          <w:rFonts w:hint="eastAsia" w:ascii="宋体" w:hAnsi="宋体" w:cs="宋体"/>
          <w:b/>
          <w:sz w:val="30"/>
          <w:szCs w:val="30"/>
        </w:rPr>
      </w:pPr>
      <w:r>
        <w:rPr>
          <w:rFonts w:hint="eastAsia" w:ascii="宋体" w:hAnsi="宋体" w:cs="宋体"/>
          <w:b/>
          <w:sz w:val="30"/>
          <w:szCs w:val="30"/>
        </w:rPr>
        <w:t>具有良好的商业信誉和健全的财务会计制度声明函</w:t>
      </w:r>
      <w:bookmarkEnd w:id="261"/>
      <w:bookmarkEnd w:id="262"/>
      <w:bookmarkEnd w:id="263"/>
    </w:p>
    <w:p>
      <w:pPr>
        <w:pStyle w:val="2"/>
        <w:ind w:firstLine="480"/>
        <w:rPr>
          <w:rFonts w:hint="eastAsia" w:ascii="宋体" w:hAnsi="宋体" w:eastAsia="宋体" w:cs="宋体"/>
        </w:rPr>
      </w:pPr>
    </w:p>
    <w:p>
      <w:pPr>
        <w:spacing w:line="480" w:lineRule="auto"/>
        <w:rPr>
          <w:rFonts w:hint="eastAsia" w:ascii="宋体" w:hAnsi="宋体" w:cs="宋体"/>
          <w:szCs w:val="21"/>
        </w:rPr>
      </w:pPr>
      <w:r>
        <w:rPr>
          <w:rFonts w:hint="eastAsia" w:ascii="宋体" w:hAnsi="宋体" w:cs="宋体"/>
          <w:szCs w:val="21"/>
          <w:lang w:bidi="ar"/>
        </w:rPr>
        <w:t>致：采购人</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本公司在参加</w:t>
      </w:r>
      <w:r>
        <w:rPr>
          <w:rFonts w:hint="eastAsia" w:ascii="宋体" w:hAnsi="宋体" w:cs="宋体"/>
          <w:kern w:val="0"/>
          <w:szCs w:val="21"/>
        </w:rPr>
        <w:t>采购编号为</w:t>
      </w:r>
      <w:r>
        <w:rPr>
          <w:rFonts w:hint="eastAsia"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慈溪市环杭州湾创新中心公共空间一体化管理服务采购项目</w:t>
      </w:r>
      <w:r>
        <w:rPr>
          <w:rFonts w:hint="eastAsia" w:ascii="宋体" w:hAnsi="宋体" w:cs="宋体"/>
          <w:szCs w:val="21"/>
        </w:rPr>
        <w:t>政府采购活动以前，在生产经营活动中始终做到遵纪守法，诚实守信，并具有良好的履约业绩；严格执行现行的财务会计管理制度，财务管理制度健全，帐务清晰，能够按规定真实、全面地反映企业的生产经营活动。特此声明。</w:t>
      </w:r>
    </w:p>
    <w:p>
      <w:pPr>
        <w:adjustRightInd w:val="0"/>
        <w:snapToGrid w:val="0"/>
        <w:spacing w:line="480" w:lineRule="auto"/>
        <w:ind w:firstLine="420"/>
        <w:rPr>
          <w:rFonts w:hint="eastAsia" w:ascii="宋体" w:hAnsi="宋体" w:cs="宋体"/>
          <w:szCs w:val="21"/>
        </w:rPr>
      </w:pPr>
    </w:p>
    <w:p>
      <w:pPr>
        <w:spacing w:line="480" w:lineRule="auto"/>
        <w:ind w:left="170" w:firstLine="1680" w:firstLineChars="800"/>
        <w:jc w:val="center"/>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（公章）</w:t>
      </w:r>
    </w:p>
    <w:p>
      <w:pPr>
        <w:spacing w:line="480" w:lineRule="auto"/>
        <w:rPr>
          <w:rFonts w:hint="eastAsia" w:ascii="宋体" w:hAnsi="宋体" w:cs="宋体"/>
          <w:szCs w:val="21"/>
        </w:r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Style w:val="106"/>
          <w:rFonts w:ascii="宋体" w:hAnsi="宋体" w:cs="宋体"/>
          <w:sz w:val="21"/>
          <w:szCs w:val="21"/>
        </w:rPr>
      </w:pPr>
      <w:r>
        <w:rPr>
          <w:rFonts w:hint="eastAsia" w:ascii="宋体" w:hAnsi="宋体" w:cs="宋体"/>
          <w:szCs w:val="21"/>
        </w:rPr>
        <w:br w:type="page"/>
      </w:r>
      <w:bookmarkStart w:id="264" w:name="_Toc6210_WPSOffice_Level1"/>
      <w:bookmarkStart w:id="265" w:name="_Toc7879_WPSOffice_Level1"/>
      <w:bookmarkStart w:id="266" w:name="_Toc6361_WPSOffice_Level1"/>
      <w:bookmarkStart w:id="267" w:name="_Toc3755_WPSOffice_Level1"/>
      <w:r>
        <w:rPr>
          <w:rFonts w:hint="eastAsia" w:ascii="宋体" w:hAnsi="宋体" w:cs="宋体"/>
          <w:b/>
          <w:spacing w:val="-2"/>
          <w:kern w:val="0"/>
          <w:sz w:val="24"/>
          <w:szCs w:val="21"/>
          <w:lang w:bidi="ar"/>
        </w:rPr>
        <w:t>附件</w:t>
      </w:r>
      <w:bookmarkEnd w:id="264"/>
      <w:bookmarkEnd w:id="265"/>
      <w:bookmarkEnd w:id="266"/>
      <w:bookmarkEnd w:id="267"/>
    </w:p>
    <w:p>
      <w:pPr>
        <w:jc w:val="center"/>
        <w:rPr>
          <w:rFonts w:hint="eastAsia" w:ascii="宋体" w:hAnsi="宋体" w:cs="宋体"/>
          <w:b/>
          <w:sz w:val="30"/>
          <w:szCs w:val="30"/>
        </w:rPr>
      </w:pPr>
      <w:r>
        <w:rPr>
          <w:rFonts w:hint="eastAsia" w:ascii="宋体" w:hAnsi="宋体" w:cs="宋体"/>
          <w:b/>
          <w:sz w:val="30"/>
          <w:szCs w:val="30"/>
        </w:rPr>
        <w:t>具有履行合同所需的设备和专业技术能力的声明函</w:t>
      </w:r>
    </w:p>
    <w:p>
      <w:pPr>
        <w:rPr>
          <w:rFonts w:ascii="宋体" w:hAnsi="宋体" w:cs="宋体"/>
        </w:rPr>
      </w:pPr>
    </w:p>
    <w:p>
      <w:pPr>
        <w:adjustRightInd w:val="0"/>
        <w:snapToGrid w:val="0"/>
        <w:spacing w:line="360" w:lineRule="auto"/>
        <w:ind w:firstLine="420"/>
        <w:rPr>
          <w:rFonts w:hint="eastAsia" w:ascii="宋体" w:hAnsi="宋体" w:cs="宋体"/>
          <w:szCs w:val="21"/>
        </w:rPr>
      </w:pPr>
    </w:p>
    <w:p>
      <w:pPr>
        <w:adjustRightInd w:val="0"/>
        <w:snapToGrid w:val="0"/>
        <w:spacing w:line="360" w:lineRule="auto"/>
        <w:ind w:firstLine="420"/>
        <w:rPr>
          <w:rFonts w:hint="eastAsia" w:ascii="宋体" w:hAnsi="宋体" w:cs="宋体"/>
          <w:szCs w:val="21"/>
        </w:rPr>
      </w:pPr>
      <w:r>
        <w:rPr>
          <w:rFonts w:hint="eastAsia" w:ascii="宋体" w:hAnsi="宋体" w:cs="宋体"/>
          <w:szCs w:val="21"/>
        </w:rPr>
        <w:t>我公司（单位）具备履行合同所需的设备和专业技术能力，具体情况介绍如下：</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 xml:space="preserve">        （内容包括：主要设备、专业技术人员、公司资质等）                                          </w:t>
      </w:r>
    </w:p>
    <w:p>
      <w:pPr>
        <w:adjustRightInd w:val="0"/>
        <w:snapToGrid w:val="0"/>
        <w:spacing w:line="360" w:lineRule="auto"/>
        <w:ind w:firstLine="420"/>
        <w:rPr>
          <w:rFonts w:hint="eastAsia" w:ascii="宋体" w:hAnsi="宋体" w:cs="宋体"/>
          <w:szCs w:val="21"/>
        </w:rPr>
      </w:pPr>
    </w:p>
    <w:p>
      <w:pPr>
        <w:adjustRightInd w:val="0"/>
        <w:snapToGrid w:val="0"/>
        <w:spacing w:line="360" w:lineRule="auto"/>
        <w:ind w:firstLine="420"/>
        <w:rPr>
          <w:rFonts w:hint="eastAsia" w:ascii="宋体" w:hAnsi="宋体" w:cs="宋体"/>
          <w:szCs w:val="21"/>
        </w:rPr>
      </w:pPr>
      <w:r>
        <w:rPr>
          <w:rFonts w:hint="eastAsia" w:ascii="宋体" w:hAnsi="宋体" w:cs="宋体"/>
          <w:szCs w:val="21"/>
        </w:rPr>
        <w:t>……</w:t>
      </w:r>
    </w:p>
    <w:p>
      <w:pPr>
        <w:adjustRightInd w:val="0"/>
        <w:snapToGrid w:val="0"/>
        <w:spacing w:line="360" w:lineRule="auto"/>
        <w:ind w:firstLine="420"/>
        <w:rPr>
          <w:rFonts w:hint="eastAsia" w:ascii="宋体" w:hAnsi="宋体" w:cs="宋体"/>
          <w:szCs w:val="21"/>
        </w:rPr>
      </w:pPr>
      <w:r>
        <w:rPr>
          <w:rFonts w:hint="eastAsia" w:ascii="宋体" w:hAnsi="宋体" w:cs="宋体"/>
          <w:szCs w:val="21"/>
        </w:rPr>
        <w:t xml:space="preserve">     特此承诺。</w:t>
      </w:r>
    </w:p>
    <w:p>
      <w:pPr>
        <w:widowControl/>
        <w:jc w:val="left"/>
        <w:rPr>
          <w:rFonts w:ascii="宋体" w:hAnsi="宋体"/>
          <w:bCs/>
          <w:kern w:val="0"/>
          <w:szCs w:val="21"/>
        </w:rPr>
      </w:pPr>
    </w:p>
    <w:p>
      <w:pPr>
        <w:widowControl/>
        <w:jc w:val="left"/>
        <w:rPr>
          <w:rFonts w:ascii="宋体" w:hAnsi="宋体"/>
          <w:bCs/>
          <w:kern w:val="0"/>
          <w:szCs w:val="21"/>
        </w:rPr>
      </w:pPr>
    </w:p>
    <w:p>
      <w:pPr>
        <w:spacing w:line="480" w:lineRule="auto"/>
        <w:ind w:left="170" w:firstLine="1680" w:firstLineChars="800"/>
        <w:jc w:val="right"/>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480" w:lineRule="auto"/>
        <w:rPr>
          <w:rFonts w:hint="eastAsia" w:ascii="宋体" w:hAnsi="宋体" w:cs="宋体"/>
          <w:szCs w:val="21"/>
        </w:r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jc w:val="left"/>
        <w:rPr>
          <w:rFonts w:hint="eastAsia" w:ascii="宋体" w:hAnsi="宋体" w:cs="宋体"/>
          <w:szCs w:val="21"/>
        </w:rPr>
      </w:pPr>
      <w:r>
        <w:rPr>
          <w:rFonts w:hint="eastAsia" w:ascii="宋体" w:hAnsi="宋体" w:cs="宋体"/>
          <w:b/>
          <w:spacing w:val="-2"/>
          <w:kern w:val="0"/>
          <w:sz w:val="24"/>
          <w:szCs w:val="21"/>
          <w:lang w:bidi="ar"/>
        </w:rPr>
        <w:br w:type="page"/>
      </w:r>
    </w:p>
    <w:p>
      <w:pPr>
        <w:spacing w:line="400" w:lineRule="exact"/>
        <w:jc w:val="left"/>
        <w:rPr>
          <w:rFonts w:hint="eastAsia" w:ascii="宋体" w:hAnsi="宋体" w:cs="宋体"/>
          <w:b/>
          <w:szCs w:val="21"/>
        </w:rPr>
      </w:pPr>
      <w:r>
        <w:rPr>
          <w:rFonts w:hint="eastAsia" w:ascii="宋体" w:hAnsi="宋体" w:cs="宋体"/>
          <w:b/>
          <w:spacing w:val="-2"/>
          <w:kern w:val="0"/>
          <w:sz w:val="24"/>
          <w:szCs w:val="21"/>
          <w:lang w:bidi="ar"/>
        </w:rPr>
        <w:t>附件</w:t>
      </w:r>
    </w:p>
    <w:p>
      <w:pPr>
        <w:jc w:val="center"/>
        <w:rPr>
          <w:rFonts w:hint="eastAsia" w:ascii="宋体" w:hAnsi="宋体" w:cs="宋体"/>
          <w:b/>
          <w:sz w:val="30"/>
          <w:szCs w:val="30"/>
        </w:rPr>
      </w:pPr>
      <w:r>
        <w:rPr>
          <w:rFonts w:hint="eastAsia" w:ascii="宋体" w:hAnsi="宋体" w:cs="宋体"/>
          <w:b/>
          <w:sz w:val="30"/>
          <w:szCs w:val="30"/>
        </w:rPr>
        <w:t>无重大违法记录声明函</w:t>
      </w:r>
    </w:p>
    <w:p>
      <w:pPr>
        <w:spacing w:line="400" w:lineRule="exact"/>
        <w:rPr>
          <w:rFonts w:hint="eastAsia" w:ascii="宋体" w:hAnsi="宋体" w:cs="宋体"/>
          <w:szCs w:val="21"/>
        </w:rPr>
      </w:pPr>
    </w:p>
    <w:p>
      <w:pPr>
        <w:spacing w:line="400" w:lineRule="exact"/>
        <w:rPr>
          <w:rFonts w:hint="eastAsia" w:ascii="宋体" w:hAnsi="宋体" w:cs="宋体"/>
          <w:b/>
          <w:szCs w:val="21"/>
        </w:rPr>
      </w:pPr>
      <w:r>
        <w:rPr>
          <w:rFonts w:hint="eastAsia" w:ascii="宋体" w:hAnsi="宋体" w:cs="宋体"/>
          <w:szCs w:val="21"/>
          <w:lang w:bidi="ar"/>
        </w:rPr>
        <w:t>致：采购人</w:t>
      </w:r>
    </w:p>
    <w:p>
      <w:pPr>
        <w:spacing w:line="400" w:lineRule="exact"/>
        <w:ind w:firstLine="420" w:firstLineChars="200"/>
        <w:rPr>
          <w:rFonts w:hint="eastAsia" w:ascii="宋体" w:hAnsi="宋体" w:cs="宋体"/>
          <w:szCs w:val="21"/>
        </w:rPr>
      </w:pPr>
      <w:r>
        <w:rPr>
          <w:rFonts w:hint="eastAsia" w:ascii="宋体" w:hAnsi="宋体" w:cs="宋体"/>
          <w:bCs/>
          <w:szCs w:val="21"/>
          <w:lang w:bidi="ar"/>
        </w:rPr>
        <w:t>我单位承诺：</w:t>
      </w:r>
    </w:p>
    <w:p>
      <w:pPr>
        <w:spacing w:line="400" w:lineRule="exact"/>
        <w:ind w:firstLine="420" w:firstLineChars="200"/>
        <w:rPr>
          <w:rFonts w:hint="eastAsia" w:ascii="宋体" w:hAnsi="宋体" w:cs="宋体"/>
          <w:szCs w:val="21"/>
        </w:rPr>
      </w:pPr>
      <w:r>
        <w:rPr>
          <w:rFonts w:hint="eastAsia" w:ascii="宋体" w:hAnsi="宋体" w:cs="宋体"/>
          <w:szCs w:val="21"/>
          <w:lang w:bidi="ar"/>
        </w:rPr>
        <w:t>我单位参与本次采购活动前三年内，在经营活动中没有重大违法记录。</w:t>
      </w:r>
    </w:p>
    <w:p>
      <w:pPr>
        <w:spacing w:line="400" w:lineRule="exact"/>
        <w:ind w:firstLine="420" w:firstLineChars="200"/>
        <w:rPr>
          <w:rFonts w:hint="eastAsia" w:ascii="宋体" w:hAnsi="宋体" w:cs="宋体"/>
          <w:szCs w:val="21"/>
        </w:rPr>
      </w:pPr>
      <w:r>
        <w:rPr>
          <w:rFonts w:hint="eastAsia" w:ascii="宋体" w:hAnsi="宋体" w:cs="宋体"/>
          <w:szCs w:val="21"/>
          <w:lang w:bidi="ar"/>
        </w:rPr>
        <w:t>我单位对上述声明的真实性负责。如有虚假，将依法承担相应法律责任。</w:t>
      </w:r>
    </w:p>
    <w:p>
      <w:pPr>
        <w:spacing w:line="400" w:lineRule="exact"/>
        <w:ind w:firstLine="420" w:firstLineChars="200"/>
        <w:rPr>
          <w:rFonts w:hint="eastAsia" w:ascii="宋体" w:hAnsi="宋体" w:cs="宋体"/>
          <w:szCs w:val="21"/>
        </w:rPr>
      </w:pPr>
      <w:r>
        <w:rPr>
          <w:rFonts w:hint="eastAsia" w:ascii="宋体" w:hAnsi="宋体" w:cs="宋体"/>
          <w:szCs w:val="21"/>
          <w:lang w:bidi="ar"/>
        </w:rPr>
        <w:t>特此承诺。</w:t>
      </w:r>
    </w:p>
    <w:p>
      <w:pPr>
        <w:pStyle w:val="40"/>
        <w:spacing w:before="0" w:beforeAutospacing="0" w:after="0" w:afterAutospacing="0" w:line="400" w:lineRule="exact"/>
        <w:ind w:right="159" w:firstLine="660"/>
        <w:jc w:val="both"/>
        <w:rPr>
          <w:rFonts w:hint="eastAsia"/>
          <w:bCs/>
          <w:sz w:val="21"/>
          <w:szCs w:val="21"/>
        </w:rPr>
      </w:pPr>
    </w:p>
    <w:p>
      <w:pPr>
        <w:pStyle w:val="40"/>
        <w:spacing w:before="0" w:beforeAutospacing="0" w:after="0" w:afterAutospacing="0" w:line="400" w:lineRule="exact"/>
        <w:ind w:right="159" w:firstLine="660"/>
        <w:jc w:val="both"/>
        <w:rPr>
          <w:rFonts w:hint="eastAsia"/>
          <w:bCs/>
          <w:sz w:val="21"/>
          <w:szCs w:val="21"/>
        </w:rPr>
      </w:pPr>
    </w:p>
    <w:p>
      <w:pPr>
        <w:spacing w:line="400" w:lineRule="exact"/>
        <w:rPr>
          <w:rFonts w:hint="eastAsia" w:ascii="宋体" w:hAnsi="宋体" w:cs="宋体"/>
          <w:kern w:val="0"/>
          <w:szCs w:val="21"/>
        </w:rPr>
      </w:pPr>
    </w:p>
    <w:p>
      <w:pPr>
        <w:spacing w:line="400" w:lineRule="exact"/>
        <w:rPr>
          <w:rFonts w:hint="eastAsia" w:ascii="宋体" w:hAnsi="宋体" w:cs="宋体"/>
          <w:kern w:val="0"/>
          <w:szCs w:val="21"/>
        </w:rPr>
      </w:pPr>
    </w:p>
    <w:p>
      <w:pPr>
        <w:spacing w:line="400" w:lineRule="exact"/>
        <w:rPr>
          <w:rFonts w:hint="eastAsia" w:ascii="宋体" w:hAnsi="宋体" w:cs="宋体"/>
          <w:kern w:val="0"/>
          <w:szCs w:val="21"/>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0"/>
        <w:spacing w:before="0" w:beforeAutospacing="0" w:after="0" w:afterAutospacing="0" w:line="400" w:lineRule="exact"/>
        <w:ind w:right="159" w:firstLine="660"/>
        <w:jc w:val="both"/>
        <w:rPr>
          <w:rFonts w:hint="eastAsia"/>
          <w:bCs/>
          <w:sz w:val="21"/>
          <w:szCs w:val="21"/>
        </w:rPr>
      </w:pPr>
    </w:p>
    <w:p>
      <w:pPr>
        <w:spacing w:line="400" w:lineRule="exact"/>
        <w:rPr>
          <w:rFonts w:hint="eastAsia" w:ascii="宋体" w:hAnsi="宋体" w:cs="宋体"/>
          <w:bCs/>
          <w:szCs w:val="21"/>
        </w:rPr>
      </w:pPr>
      <w:r>
        <w:rPr>
          <w:rFonts w:hint="eastAsia" w:ascii="宋体" w:hAnsi="宋体" w:cs="宋体"/>
          <w:bCs/>
          <w:szCs w:val="21"/>
          <w:lang w:bidi="ar"/>
        </w:rPr>
        <w:t>注：1、供应商注册成立不足三年的，应就供应商单位成立至参加政府采购活动时段进行承诺。</w:t>
      </w:r>
    </w:p>
    <w:p>
      <w:pPr>
        <w:pStyle w:val="40"/>
        <w:spacing w:before="0" w:beforeAutospacing="0" w:after="0" w:afterAutospacing="0" w:line="400" w:lineRule="exact"/>
        <w:ind w:right="159" w:firstLine="420" w:firstLineChars="200"/>
        <w:jc w:val="both"/>
        <w:rPr>
          <w:rFonts w:hint="eastAsia"/>
          <w:bCs/>
          <w:sz w:val="21"/>
          <w:szCs w:val="21"/>
        </w:rPr>
      </w:pPr>
      <w:r>
        <w:rPr>
          <w:rFonts w:hint="eastAsia"/>
          <w:bCs/>
          <w:sz w:val="21"/>
          <w:szCs w:val="21"/>
        </w:rPr>
        <w:t>2、政府采购法所称重大违法记录：是指供应商因违法经营受到刑事处罚或者责令停产停业、吊销许可证或者执照、较大数额罚款等行政处罚。</w:t>
      </w:r>
    </w:p>
    <w:p>
      <w:pPr>
        <w:spacing w:line="440" w:lineRule="exact"/>
        <w:jc w:val="center"/>
        <w:rPr>
          <w:rFonts w:hint="eastAsia" w:ascii="宋体" w:hAnsi="宋体" w:cs="宋体"/>
          <w:sz w:val="24"/>
          <w:szCs w:val="21"/>
        </w:rPr>
      </w:pPr>
    </w:p>
    <w:p>
      <w:pPr>
        <w:spacing w:line="400" w:lineRule="exact"/>
        <w:jc w:val="left"/>
        <w:rPr>
          <w:rFonts w:hint="eastAsia" w:ascii="宋体" w:hAnsi="宋体" w:cs="宋体"/>
          <w:b/>
          <w:szCs w:val="21"/>
        </w:rPr>
      </w:pPr>
      <w:r>
        <w:rPr>
          <w:rFonts w:hint="eastAsia" w:ascii="宋体" w:hAnsi="宋体" w:cs="宋体"/>
          <w:b/>
          <w:spacing w:val="-2"/>
          <w:sz w:val="24"/>
          <w:szCs w:val="21"/>
          <w:lang w:bidi="ar"/>
        </w:rPr>
        <w:br w:type="page"/>
      </w:r>
      <w:r>
        <w:rPr>
          <w:rFonts w:hint="eastAsia" w:ascii="宋体" w:hAnsi="宋体" w:cs="宋体"/>
          <w:b/>
          <w:spacing w:val="-2"/>
          <w:kern w:val="0"/>
          <w:sz w:val="24"/>
          <w:szCs w:val="21"/>
          <w:lang w:bidi="ar"/>
        </w:rPr>
        <w:t>附件</w:t>
      </w:r>
    </w:p>
    <w:p>
      <w:pPr>
        <w:jc w:val="center"/>
        <w:rPr>
          <w:rFonts w:hint="eastAsia" w:ascii="宋体" w:hAnsi="宋体" w:cs="宋体"/>
          <w:b/>
          <w:sz w:val="30"/>
          <w:szCs w:val="30"/>
        </w:rPr>
      </w:pPr>
      <w:r>
        <w:rPr>
          <w:rFonts w:hint="eastAsia" w:ascii="宋体" w:hAnsi="宋体" w:cs="宋体"/>
          <w:b/>
          <w:sz w:val="30"/>
          <w:szCs w:val="30"/>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2</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3</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电  话：</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传  真：</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注册地：</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7</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公司的经营范围：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8</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从业人员数量</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营业收入</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其他需要说明的情况</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bl>
    <w:p>
      <w:pPr>
        <w:spacing w:line="400" w:lineRule="exact"/>
        <w:jc w:val="left"/>
        <w:rPr>
          <w:rFonts w:hint="eastAsia" w:ascii="宋体" w:hAnsi="宋体" w:cs="宋体"/>
          <w:szCs w:val="21"/>
        </w:rPr>
      </w:pPr>
    </w:p>
    <w:p>
      <w:pPr>
        <w:pStyle w:val="2"/>
        <w:ind w:firstLine="480"/>
        <w:rPr>
          <w:rFonts w:hint="eastAsia" w:ascii="宋体" w:hAnsi="宋体" w:eastAsia="宋体" w:cs="宋体"/>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80" w:lineRule="auto"/>
        <w:jc w:val="left"/>
        <w:rPr>
          <w:rFonts w:hint="eastAsia" w:ascii="宋体" w:hAnsi="宋体" w:cs="宋体"/>
          <w:b/>
          <w:spacing w:val="-2"/>
          <w:sz w:val="24"/>
          <w:szCs w:val="21"/>
          <w:lang w:bidi="ar"/>
        </w:rPr>
      </w:pPr>
    </w:p>
    <w:p>
      <w:pPr>
        <w:spacing w:line="480" w:lineRule="auto"/>
        <w:jc w:val="left"/>
        <w:rPr>
          <w:rStyle w:val="106"/>
          <w:rFonts w:hint="eastAsia" w:ascii="宋体" w:hAnsi="宋体" w:cs="宋体"/>
          <w:szCs w:val="24"/>
        </w:rPr>
      </w:pPr>
      <w:r>
        <w:rPr>
          <w:rStyle w:val="106"/>
          <w:rFonts w:hint="eastAsia" w:ascii="宋体" w:hAnsi="宋体" w:cs="宋体"/>
          <w:szCs w:val="24"/>
        </w:rPr>
        <w:t>附件</w:t>
      </w:r>
    </w:p>
    <w:p>
      <w:pPr>
        <w:jc w:val="center"/>
        <w:rPr>
          <w:rFonts w:hint="eastAsia" w:ascii="宋体" w:hAnsi="宋体" w:cs="宋体"/>
          <w:b/>
          <w:sz w:val="30"/>
          <w:szCs w:val="30"/>
        </w:rPr>
      </w:pPr>
      <w:r>
        <w:rPr>
          <w:rFonts w:hint="eastAsia" w:ascii="宋体" w:hAnsi="宋体" w:cs="宋体"/>
          <w:b/>
          <w:sz w:val="30"/>
          <w:szCs w:val="30"/>
        </w:rPr>
        <w:t>商务条款响应表</w:t>
      </w:r>
    </w:p>
    <w:p>
      <w:pPr>
        <w:spacing w:line="400" w:lineRule="exact"/>
        <w:ind w:left="540"/>
        <w:jc w:val="center"/>
        <w:rPr>
          <w:rFonts w:hint="eastAsia" w:ascii="宋体" w:hAnsi="宋体" w:cs="宋体"/>
          <w:b/>
          <w:szCs w:val="21"/>
        </w:rPr>
      </w:pPr>
    </w:p>
    <w:p>
      <w:pPr>
        <w:adjustRightInd w:val="0"/>
        <w:snapToGrid w:val="0"/>
        <w:spacing w:line="400" w:lineRule="exact"/>
        <w:rPr>
          <w:rFonts w:hint="eastAsia" w:ascii="宋体" w:hAnsi="宋体" w:cs="宋体"/>
          <w:szCs w:val="21"/>
          <w:u w:val="single"/>
        </w:rPr>
      </w:pPr>
      <w:r>
        <w:rPr>
          <w:rFonts w:hint="eastAsia" w:ascii="宋体" w:hAnsi="宋体" w:cs="宋体"/>
          <w:szCs w:val="21"/>
        </w:rPr>
        <w:t>采购编号：</w:t>
      </w:r>
      <w:r>
        <w:rPr>
          <w:rFonts w:hint="eastAsia" w:ascii="宋体" w:hAnsi="宋体" w:cs="宋体"/>
          <w:szCs w:val="21"/>
          <w:u w:val="single"/>
        </w:rPr>
        <w:t xml:space="preserve">          </w:t>
      </w:r>
    </w:p>
    <w:p>
      <w:pPr>
        <w:adjustRightInd w:val="0"/>
        <w:snapToGrid w:val="0"/>
        <w:spacing w:line="400" w:lineRule="exact"/>
        <w:rPr>
          <w:rFonts w:hint="eastAsia" w:ascii="宋体" w:hAnsi="宋体" w:cs="宋体"/>
          <w:spacing w:val="20"/>
          <w:szCs w:val="21"/>
        </w:rPr>
      </w:pPr>
      <w:r>
        <w:rPr>
          <w:rFonts w:hint="eastAsia" w:ascii="宋体" w:hAnsi="宋体" w:cs="宋体"/>
          <w:szCs w:val="21"/>
        </w:rPr>
        <w:t>项目名称：</w:t>
      </w:r>
      <w:r>
        <w:rPr>
          <w:rFonts w:hint="eastAsia" w:ascii="宋体" w:hAnsi="宋体" w:cs="宋体"/>
          <w:szCs w:val="21"/>
          <w:u w:val="single"/>
        </w:rPr>
        <w:t xml:space="preserve">         </w:t>
      </w:r>
    </w:p>
    <w:tbl>
      <w:tblPr>
        <w:tblStyle w:val="4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序号</w:t>
            </w:r>
          </w:p>
        </w:tc>
        <w:tc>
          <w:tcPr>
            <w:tcW w:w="1717"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招标要求</w:t>
            </w:r>
          </w:p>
        </w:tc>
        <w:tc>
          <w:tcPr>
            <w:tcW w:w="1794"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投标响应</w:t>
            </w:r>
          </w:p>
        </w:tc>
        <w:tc>
          <w:tcPr>
            <w:tcW w:w="4517"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bl>
    <w:p>
      <w:pPr>
        <w:adjustRightInd w:val="0"/>
        <w:snapToGrid w:val="0"/>
        <w:spacing w:line="400" w:lineRule="exact"/>
        <w:ind w:left="250" w:hanging="250" w:hangingChars="100"/>
        <w:rPr>
          <w:rFonts w:hint="eastAsia" w:ascii="宋体" w:hAnsi="宋体" w:cs="宋体"/>
          <w:szCs w:val="21"/>
        </w:rPr>
      </w:pPr>
      <w:r>
        <w:rPr>
          <w:rFonts w:hint="eastAsia" w:ascii="宋体" w:hAnsi="宋体" w:cs="宋体"/>
          <w:spacing w:val="20"/>
          <w:szCs w:val="21"/>
        </w:rPr>
        <w:t>注：1、须与相应标项的商务条款逐项比较填写。</w:t>
      </w: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footerReference r:id="rId13" w:type="first"/>
          <w:footerReference r:id="rId12" w:type="default"/>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iCs/>
          <w:spacing w:val="20"/>
          <w:sz w:val="24"/>
          <w:szCs w:val="24"/>
        </w:rPr>
      </w:pPr>
      <w:r>
        <w:rPr>
          <w:rStyle w:val="106"/>
          <w:rFonts w:hint="eastAsia" w:ascii="宋体" w:hAnsi="宋体" w:cs="宋体"/>
          <w:szCs w:val="24"/>
        </w:rPr>
        <w:t>附件</w:t>
      </w:r>
      <w:r>
        <w:rPr>
          <w:rFonts w:hint="eastAsia" w:ascii="宋体" w:hAnsi="宋体" w:cs="宋体"/>
          <w:spacing w:val="20"/>
          <w:sz w:val="24"/>
          <w:szCs w:val="24"/>
        </w:rPr>
        <w:t xml:space="preserve"> </w:t>
      </w:r>
    </w:p>
    <w:p>
      <w:pPr>
        <w:jc w:val="center"/>
        <w:rPr>
          <w:rFonts w:hint="eastAsia" w:ascii="宋体" w:hAnsi="宋体" w:cs="宋体"/>
          <w:b/>
          <w:sz w:val="30"/>
          <w:szCs w:val="30"/>
        </w:rPr>
      </w:pPr>
    </w:p>
    <w:p>
      <w:pPr>
        <w:jc w:val="center"/>
        <w:rPr>
          <w:rFonts w:hint="eastAsia" w:ascii="宋体" w:hAnsi="宋体" w:cs="宋体"/>
          <w:b/>
          <w:sz w:val="30"/>
          <w:szCs w:val="30"/>
        </w:rPr>
      </w:pPr>
      <w:r>
        <w:rPr>
          <w:rFonts w:hint="eastAsia" w:ascii="宋体" w:hAnsi="宋体" w:cs="宋体"/>
          <w:b/>
          <w:sz w:val="30"/>
          <w:szCs w:val="30"/>
        </w:rPr>
        <w:t>技术响应表</w:t>
      </w:r>
    </w:p>
    <w:p>
      <w:pPr>
        <w:adjustRightInd w:val="0"/>
        <w:snapToGrid w:val="0"/>
        <w:spacing w:line="400" w:lineRule="exact"/>
        <w:rPr>
          <w:rFonts w:hint="eastAsia" w:ascii="宋体" w:hAnsi="宋体" w:cs="宋体"/>
          <w:szCs w:val="21"/>
        </w:rPr>
      </w:pPr>
    </w:p>
    <w:p>
      <w:pPr>
        <w:adjustRightInd w:val="0"/>
        <w:snapToGrid w:val="0"/>
        <w:spacing w:line="400" w:lineRule="exact"/>
        <w:rPr>
          <w:rFonts w:hint="eastAsia" w:ascii="宋体" w:hAnsi="宋体" w:cs="宋体"/>
          <w:szCs w:val="21"/>
          <w:u w:val="single"/>
        </w:rPr>
      </w:pPr>
      <w:r>
        <w:rPr>
          <w:rFonts w:hint="eastAsia" w:ascii="宋体" w:hAnsi="宋体" w:cs="宋体"/>
          <w:szCs w:val="21"/>
        </w:rPr>
        <w:t>采购编号：</w:t>
      </w:r>
      <w:r>
        <w:rPr>
          <w:rFonts w:hint="eastAsia" w:ascii="宋体" w:hAnsi="宋体" w:cs="宋体"/>
          <w:szCs w:val="21"/>
          <w:u w:val="single"/>
        </w:rPr>
        <w:t xml:space="preserve">          </w:t>
      </w:r>
    </w:p>
    <w:p>
      <w:pPr>
        <w:adjustRightInd w:val="0"/>
        <w:snapToGrid w:val="0"/>
        <w:spacing w:line="400" w:lineRule="exact"/>
        <w:rPr>
          <w:rFonts w:hint="eastAsia" w:ascii="宋体" w:hAnsi="宋体" w:cs="宋体"/>
          <w:spacing w:val="20"/>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tbl>
      <w:tblPr>
        <w:tblStyle w:val="4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序号</w:t>
            </w:r>
          </w:p>
        </w:tc>
        <w:tc>
          <w:tcPr>
            <w:tcW w:w="1717"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招标要求</w:t>
            </w:r>
          </w:p>
        </w:tc>
        <w:tc>
          <w:tcPr>
            <w:tcW w:w="1794"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投标响应</w:t>
            </w:r>
          </w:p>
        </w:tc>
        <w:tc>
          <w:tcPr>
            <w:tcW w:w="4517"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r>
              <w:rPr>
                <w:rFonts w:hint="eastAsia" w:ascii="宋体" w:hAnsi="宋体" w:cs="宋体"/>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029" w:type="dxa"/>
            <w:noWrap w:val="0"/>
            <w:vAlign w:val="center"/>
          </w:tcPr>
          <w:p>
            <w:pPr>
              <w:adjustRightInd w:val="0"/>
              <w:snapToGrid w:val="0"/>
              <w:spacing w:line="400" w:lineRule="exact"/>
              <w:jc w:val="center"/>
              <w:rPr>
                <w:rFonts w:hint="eastAsia" w:ascii="宋体" w:hAnsi="宋体" w:cs="宋体"/>
                <w:spacing w:val="20"/>
                <w:szCs w:val="21"/>
              </w:rPr>
            </w:pPr>
          </w:p>
        </w:tc>
        <w:tc>
          <w:tcPr>
            <w:tcW w:w="1717" w:type="dxa"/>
            <w:noWrap w:val="0"/>
            <w:vAlign w:val="center"/>
          </w:tcPr>
          <w:p>
            <w:pPr>
              <w:adjustRightInd w:val="0"/>
              <w:snapToGrid w:val="0"/>
              <w:spacing w:line="400" w:lineRule="exact"/>
              <w:jc w:val="center"/>
              <w:rPr>
                <w:rFonts w:hint="eastAsia" w:ascii="宋体" w:hAnsi="宋体" w:cs="宋体"/>
                <w:spacing w:val="20"/>
                <w:szCs w:val="21"/>
              </w:rPr>
            </w:pPr>
          </w:p>
        </w:tc>
        <w:tc>
          <w:tcPr>
            <w:tcW w:w="1794" w:type="dxa"/>
            <w:noWrap w:val="0"/>
            <w:vAlign w:val="center"/>
          </w:tcPr>
          <w:p>
            <w:pPr>
              <w:adjustRightInd w:val="0"/>
              <w:snapToGrid w:val="0"/>
              <w:spacing w:line="400" w:lineRule="exact"/>
              <w:jc w:val="center"/>
              <w:rPr>
                <w:rFonts w:hint="eastAsia" w:ascii="宋体" w:hAnsi="宋体" w:cs="宋体"/>
                <w:spacing w:val="20"/>
                <w:szCs w:val="21"/>
              </w:rPr>
            </w:pPr>
          </w:p>
        </w:tc>
        <w:tc>
          <w:tcPr>
            <w:tcW w:w="4517" w:type="dxa"/>
            <w:noWrap w:val="0"/>
            <w:vAlign w:val="center"/>
          </w:tcPr>
          <w:p>
            <w:pPr>
              <w:adjustRightInd w:val="0"/>
              <w:snapToGrid w:val="0"/>
              <w:spacing w:line="400" w:lineRule="exact"/>
              <w:jc w:val="center"/>
              <w:rPr>
                <w:rFonts w:hint="eastAsia" w:ascii="宋体" w:hAnsi="宋体" w:cs="宋体"/>
                <w:spacing w:val="20"/>
                <w:szCs w:val="21"/>
              </w:rPr>
            </w:pPr>
          </w:p>
        </w:tc>
      </w:tr>
    </w:tbl>
    <w:p>
      <w:pPr>
        <w:adjustRightInd w:val="0"/>
        <w:snapToGrid w:val="0"/>
        <w:spacing w:line="400" w:lineRule="exact"/>
        <w:rPr>
          <w:rFonts w:hint="eastAsia" w:ascii="宋体" w:hAnsi="宋体" w:cs="宋体"/>
          <w:szCs w:val="21"/>
        </w:rPr>
      </w:pPr>
      <w:r>
        <w:rPr>
          <w:rFonts w:hint="eastAsia" w:ascii="宋体" w:hAnsi="宋体" w:cs="宋体"/>
          <w:spacing w:val="20"/>
          <w:szCs w:val="21"/>
        </w:rPr>
        <w:t>注：1、须与相应标项的所有技术需求逐项比较填写。</w:t>
      </w:r>
    </w:p>
    <w:p>
      <w:pPr>
        <w:adjustRightInd w:val="0"/>
        <w:snapToGrid w:val="0"/>
        <w:spacing w:line="400" w:lineRule="exact"/>
        <w:rPr>
          <w:rFonts w:hint="eastAsia" w:ascii="宋体" w:hAnsi="宋体" w:cs="宋体"/>
          <w:spacing w:val="20"/>
          <w:szCs w:val="21"/>
        </w:rPr>
      </w:pPr>
    </w:p>
    <w:p>
      <w:pPr>
        <w:adjustRightInd w:val="0"/>
        <w:snapToGrid w:val="0"/>
        <w:spacing w:line="400" w:lineRule="exact"/>
        <w:rPr>
          <w:rFonts w:hint="eastAsia" w:ascii="宋体" w:hAnsi="宋体" w:cs="宋体"/>
          <w:spacing w:val="20"/>
          <w:szCs w:val="21"/>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iCs/>
          <w:spacing w:val="20"/>
          <w:sz w:val="24"/>
          <w:szCs w:val="24"/>
        </w:rPr>
      </w:pPr>
      <w:r>
        <w:rPr>
          <w:rStyle w:val="106"/>
          <w:rFonts w:hint="eastAsia" w:ascii="宋体" w:hAnsi="宋体" w:cs="宋体"/>
          <w:szCs w:val="24"/>
        </w:rPr>
        <w:t>附件</w:t>
      </w:r>
      <w:r>
        <w:rPr>
          <w:rFonts w:hint="eastAsia" w:ascii="宋体" w:hAnsi="宋体" w:cs="宋体"/>
          <w:spacing w:val="20"/>
          <w:sz w:val="24"/>
          <w:szCs w:val="24"/>
        </w:rPr>
        <w:t xml:space="preserve"> </w:t>
      </w:r>
    </w:p>
    <w:p>
      <w:pPr>
        <w:spacing w:line="360" w:lineRule="auto"/>
        <w:rPr>
          <w:rFonts w:hint="eastAsia" w:ascii="宋体" w:hAnsi="宋体"/>
          <w:b/>
          <w:bCs/>
          <w:sz w:val="32"/>
          <w:szCs w:val="32"/>
        </w:rPr>
      </w:pPr>
    </w:p>
    <w:p>
      <w:pPr>
        <w:snapToGrid w:val="0"/>
        <w:spacing w:before="50" w:after="120" w:afterLines="50" w:line="360" w:lineRule="auto"/>
        <w:jc w:val="center"/>
        <w:rPr>
          <w:rFonts w:hint="eastAsia" w:ascii="宋体" w:hAnsi="宋体" w:cs="宋体"/>
          <w:b/>
          <w:bCs/>
          <w:szCs w:val="22"/>
        </w:rPr>
      </w:pPr>
      <w:r>
        <w:rPr>
          <w:rFonts w:hint="eastAsia" w:ascii="宋体" w:hAnsi="宋体" w:cs="宋体"/>
          <w:b/>
          <w:bCs/>
          <w:szCs w:val="22"/>
        </w:rPr>
        <w:t>拟派项目负责人情况表</w:t>
      </w:r>
    </w:p>
    <w:tbl>
      <w:tblPr>
        <w:tblStyle w:val="44"/>
        <w:tblW w:w="864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78"/>
        <w:gridCol w:w="2132"/>
        <w:gridCol w:w="37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姓名</w:t>
            </w:r>
          </w:p>
        </w:tc>
        <w:tc>
          <w:tcPr>
            <w:tcW w:w="2132" w:type="dxa"/>
            <w:noWrap w:val="0"/>
            <w:vAlign w:val="top"/>
          </w:tcPr>
          <w:p>
            <w:pPr>
              <w:spacing w:line="360" w:lineRule="auto"/>
              <w:rPr>
                <w:rFonts w:hint="eastAsia" w:ascii="宋体" w:hAnsi="宋体"/>
                <w:sz w:val="24"/>
                <w:szCs w:val="24"/>
              </w:rPr>
            </w:pPr>
          </w:p>
        </w:tc>
        <w:tc>
          <w:tcPr>
            <w:tcW w:w="3732" w:type="dxa"/>
            <w:noWrap w:val="0"/>
            <w:vAlign w:val="center"/>
          </w:tcPr>
          <w:p>
            <w:pPr>
              <w:spacing w:line="360" w:lineRule="auto"/>
              <w:jc w:val="center"/>
              <w:rPr>
                <w:rFonts w:hint="eastAsia" w:ascii="宋体" w:hAnsi="宋体"/>
                <w:sz w:val="24"/>
                <w:szCs w:val="24"/>
              </w:rPr>
            </w:pPr>
            <w:r>
              <w:rPr>
                <w:rFonts w:hint="eastAsia" w:ascii="宋体" w:hAnsi="宋体"/>
                <w:szCs w:val="16"/>
              </w:rPr>
              <w:t>近3年业绩及承担的主要工作情况（曾担任项目负责人的项目应列明细）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性别</w:t>
            </w:r>
          </w:p>
        </w:tc>
        <w:tc>
          <w:tcPr>
            <w:tcW w:w="2132" w:type="dxa"/>
            <w:noWrap w:val="0"/>
            <w:vAlign w:val="top"/>
          </w:tcPr>
          <w:p>
            <w:pPr>
              <w:spacing w:line="360" w:lineRule="auto"/>
              <w:rPr>
                <w:rFonts w:hint="eastAsia" w:ascii="宋体" w:hAnsi="宋体"/>
                <w:sz w:val="24"/>
                <w:szCs w:val="24"/>
              </w:rPr>
            </w:pPr>
          </w:p>
        </w:tc>
        <w:tc>
          <w:tcPr>
            <w:tcW w:w="3732" w:type="dxa"/>
            <w:vMerge w:val="restart"/>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年龄</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职称</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毕业时间</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所学专业</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学历</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从业年限</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证书编号</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其他资质情况</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7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联系电话</w:t>
            </w:r>
          </w:p>
        </w:tc>
        <w:tc>
          <w:tcPr>
            <w:tcW w:w="2132" w:type="dxa"/>
            <w:noWrap w:val="0"/>
            <w:vAlign w:val="top"/>
          </w:tcPr>
          <w:p>
            <w:pPr>
              <w:spacing w:line="360" w:lineRule="auto"/>
              <w:rPr>
                <w:rFonts w:hint="eastAsia" w:ascii="宋体" w:hAnsi="宋体"/>
                <w:sz w:val="24"/>
                <w:szCs w:val="24"/>
              </w:rPr>
            </w:pPr>
          </w:p>
        </w:tc>
        <w:tc>
          <w:tcPr>
            <w:tcW w:w="3732" w:type="dxa"/>
            <w:vMerge w:val="continue"/>
            <w:noWrap w:val="0"/>
            <w:vAlign w:val="top"/>
          </w:tcPr>
          <w:p>
            <w:pPr>
              <w:spacing w:line="360" w:lineRule="auto"/>
              <w:rPr>
                <w:rFonts w:hint="eastAsia" w:ascii="宋体" w:hAnsi="宋体"/>
                <w:sz w:val="24"/>
                <w:szCs w:val="24"/>
              </w:rPr>
            </w:pPr>
          </w:p>
        </w:tc>
      </w:tr>
    </w:tbl>
    <w:p>
      <w:pPr>
        <w:spacing w:line="360" w:lineRule="auto"/>
        <w:rPr>
          <w:rFonts w:hint="eastAsia" w:ascii="宋体" w:hAnsi="宋体"/>
          <w:b/>
          <w:bCs/>
          <w:szCs w:val="22"/>
        </w:rPr>
      </w:pPr>
      <w:r>
        <w:rPr>
          <w:rFonts w:hint="eastAsia" w:ascii="宋体" w:hAnsi="宋体"/>
          <w:b/>
          <w:bCs/>
          <w:szCs w:val="22"/>
        </w:rPr>
        <w:t>注：须随表提交相应的证书扫描件。</w:t>
      </w:r>
    </w:p>
    <w:p>
      <w:pPr>
        <w:spacing w:line="360" w:lineRule="auto"/>
        <w:rPr>
          <w:rFonts w:hint="eastAsia" w:ascii="宋体" w:hAnsi="宋体"/>
          <w:b/>
          <w:bCs/>
          <w:sz w:val="24"/>
          <w:szCs w:val="28"/>
          <w:u w:val="single"/>
        </w:rPr>
      </w:pPr>
    </w:p>
    <w:p>
      <w:pPr>
        <w:spacing w:line="360" w:lineRule="auto"/>
        <w:ind w:left="170" w:firstLine="3600" w:firstLineChars="1500"/>
        <w:rPr>
          <w:rFonts w:hint="eastAsia" w:ascii="宋体" w:hAnsi="宋体" w:cs="宋体"/>
          <w:szCs w:val="21"/>
        </w:rPr>
      </w:pPr>
      <w:r>
        <w:rPr>
          <w:rFonts w:hint="eastAsia" w:ascii="宋体" w:hAnsi="宋体"/>
          <w:sz w:val="24"/>
          <w:szCs w:val="28"/>
        </w:rPr>
        <w:t xml:space="preserve"> </w:t>
      </w: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headerReference r:id="rId14" w:type="default"/>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iCs/>
          <w:spacing w:val="20"/>
          <w:sz w:val="24"/>
          <w:szCs w:val="24"/>
        </w:rPr>
      </w:pPr>
      <w:r>
        <w:rPr>
          <w:rStyle w:val="106"/>
          <w:rFonts w:hint="eastAsia" w:ascii="宋体" w:hAnsi="宋体" w:cs="宋体"/>
          <w:szCs w:val="24"/>
        </w:rPr>
        <w:t>附件</w:t>
      </w:r>
      <w:r>
        <w:rPr>
          <w:rFonts w:hint="eastAsia" w:ascii="宋体" w:hAnsi="宋体" w:cs="宋体"/>
          <w:spacing w:val="20"/>
          <w:sz w:val="24"/>
          <w:szCs w:val="24"/>
        </w:rPr>
        <w:t xml:space="preserve"> </w:t>
      </w:r>
    </w:p>
    <w:p>
      <w:pPr>
        <w:spacing w:line="360" w:lineRule="auto"/>
        <w:rPr>
          <w:rFonts w:hint="eastAsia" w:ascii="宋体" w:hAnsi="宋体"/>
          <w:sz w:val="24"/>
          <w:szCs w:val="28"/>
        </w:rPr>
      </w:pPr>
    </w:p>
    <w:p>
      <w:pPr>
        <w:snapToGrid w:val="0"/>
        <w:spacing w:before="50" w:after="120" w:afterLines="50" w:line="360" w:lineRule="auto"/>
        <w:jc w:val="center"/>
        <w:rPr>
          <w:rFonts w:hint="eastAsia" w:ascii="宋体" w:hAnsi="宋体" w:cs="宋体"/>
          <w:b/>
          <w:bCs/>
          <w:sz w:val="22"/>
          <w:szCs w:val="24"/>
        </w:rPr>
      </w:pPr>
      <w:r>
        <w:rPr>
          <w:rFonts w:hint="eastAsia" w:ascii="宋体" w:hAnsi="宋体" w:cs="宋体"/>
          <w:b/>
          <w:bCs/>
          <w:sz w:val="22"/>
          <w:szCs w:val="24"/>
        </w:rPr>
        <w:t>项目小组人员情况表</w:t>
      </w:r>
    </w:p>
    <w:tbl>
      <w:tblPr>
        <w:tblStyle w:val="44"/>
        <w:tblW w:w="10474" w:type="dxa"/>
        <w:tblInd w:w="-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2"/>
        <w:gridCol w:w="883"/>
        <w:gridCol w:w="723"/>
        <w:gridCol w:w="750"/>
        <w:gridCol w:w="818"/>
        <w:gridCol w:w="646"/>
        <w:gridCol w:w="761"/>
        <w:gridCol w:w="1454"/>
        <w:gridCol w:w="1142"/>
        <w:gridCol w:w="912"/>
        <w:gridCol w:w="18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8" w:hRule="atLeast"/>
        </w:trPr>
        <w:tc>
          <w:tcPr>
            <w:tcW w:w="562" w:type="dxa"/>
            <w:noWrap w:val="0"/>
            <w:vAlign w:val="center"/>
          </w:tcPr>
          <w:p>
            <w:pPr>
              <w:spacing w:line="320" w:lineRule="exact"/>
              <w:jc w:val="center"/>
              <w:rPr>
                <w:rFonts w:hint="eastAsia" w:ascii="宋体" w:hAnsi="宋体"/>
                <w:sz w:val="20"/>
              </w:rPr>
            </w:pPr>
            <w:r>
              <w:rPr>
                <w:rFonts w:hint="eastAsia" w:ascii="宋体" w:hAnsi="宋体"/>
                <w:sz w:val="20"/>
              </w:rPr>
              <w:t>序号</w:t>
            </w:r>
          </w:p>
        </w:tc>
        <w:tc>
          <w:tcPr>
            <w:tcW w:w="883" w:type="dxa"/>
            <w:noWrap w:val="0"/>
            <w:vAlign w:val="center"/>
          </w:tcPr>
          <w:p>
            <w:pPr>
              <w:spacing w:line="320" w:lineRule="exact"/>
              <w:jc w:val="center"/>
              <w:rPr>
                <w:rFonts w:hint="eastAsia" w:ascii="宋体" w:hAnsi="宋体"/>
                <w:sz w:val="20"/>
              </w:rPr>
            </w:pPr>
            <w:r>
              <w:rPr>
                <w:rFonts w:hint="eastAsia" w:ascii="宋体" w:hAnsi="宋体"/>
                <w:sz w:val="20"/>
              </w:rPr>
              <w:t>姓名</w:t>
            </w:r>
          </w:p>
        </w:tc>
        <w:tc>
          <w:tcPr>
            <w:tcW w:w="723" w:type="dxa"/>
            <w:noWrap w:val="0"/>
            <w:vAlign w:val="center"/>
          </w:tcPr>
          <w:p>
            <w:pPr>
              <w:spacing w:line="320" w:lineRule="exact"/>
              <w:jc w:val="center"/>
              <w:rPr>
                <w:rFonts w:hint="eastAsia" w:ascii="宋体" w:hAnsi="宋体"/>
                <w:sz w:val="20"/>
              </w:rPr>
            </w:pPr>
            <w:r>
              <w:rPr>
                <w:rFonts w:hint="eastAsia" w:ascii="宋体" w:hAnsi="宋体"/>
                <w:sz w:val="20"/>
              </w:rPr>
              <w:t>性别</w:t>
            </w:r>
          </w:p>
        </w:tc>
        <w:tc>
          <w:tcPr>
            <w:tcW w:w="750" w:type="dxa"/>
            <w:noWrap w:val="0"/>
            <w:vAlign w:val="center"/>
          </w:tcPr>
          <w:p>
            <w:pPr>
              <w:spacing w:line="320" w:lineRule="exact"/>
              <w:jc w:val="center"/>
              <w:rPr>
                <w:rFonts w:hint="eastAsia" w:ascii="宋体" w:hAnsi="宋体"/>
                <w:sz w:val="20"/>
              </w:rPr>
            </w:pPr>
            <w:r>
              <w:rPr>
                <w:rFonts w:hint="eastAsia" w:ascii="宋体" w:hAnsi="宋体"/>
                <w:sz w:val="20"/>
              </w:rPr>
              <w:t>年龄</w:t>
            </w:r>
          </w:p>
        </w:tc>
        <w:tc>
          <w:tcPr>
            <w:tcW w:w="818" w:type="dxa"/>
            <w:noWrap w:val="0"/>
            <w:vAlign w:val="center"/>
          </w:tcPr>
          <w:p>
            <w:pPr>
              <w:spacing w:line="320" w:lineRule="exact"/>
              <w:jc w:val="center"/>
              <w:rPr>
                <w:rFonts w:hint="eastAsia" w:ascii="宋体" w:hAnsi="宋体"/>
                <w:sz w:val="20"/>
              </w:rPr>
            </w:pPr>
            <w:r>
              <w:rPr>
                <w:rFonts w:hint="eastAsia" w:ascii="宋体" w:hAnsi="宋体"/>
                <w:sz w:val="20"/>
              </w:rPr>
              <w:t>学历</w:t>
            </w:r>
          </w:p>
        </w:tc>
        <w:tc>
          <w:tcPr>
            <w:tcW w:w="646" w:type="dxa"/>
            <w:noWrap w:val="0"/>
            <w:vAlign w:val="center"/>
          </w:tcPr>
          <w:p>
            <w:pPr>
              <w:spacing w:line="320" w:lineRule="exact"/>
              <w:jc w:val="center"/>
              <w:rPr>
                <w:rFonts w:hint="eastAsia" w:ascii="宋体" w:hAnsi="宋体"/>
                <w:sz w:val="20"/>
              </w:rPr>
            </w:pPr>
            <w:r>
              <w:rPr>
                <w:rFonts w:hint="eastAsia" w:ascii="宋体" w:hAnsi="宋体"/>
                <w:sz w:val="20"/>
              </w:rPr>
              <w:t>专业</w:t>
            </w:r>
          </w:p>
        </w:tc>
        <w:tc>
          <w:tcPr>
            <w:tcW w:w="761" w:type="dxa"/>
            <w:noWrap w:val="0"/>
            <w:vAlign w:val="center"/>
          </w:tcPr>
          <w:p>
            <w:pPr>
              <w:spacing w:line="320" w:lineRule="exact"/>
              <w:jc w:val="center"/>
              <w:rPr>
                <w:rFonts w:hint="eastAsia" w:ascii="宋体" w:hAnsi="宋体"/>
                <w:sz w:val="20"/>
              </w:rPr>
            </w:pPr>
            <w:r>
              <w:rPr>
                <w:rFonts w:hint="eastAsia" w:ascii="宋体" w:hAnsi="宋体"/>
                <w:sz w:val="20"/>
              </w:rPr>
              <w:t>职称</w:t>
            </w:r>
          </w:p>
        </w:tc>
        <w:tc>
          <w:tcPr>
            <w:tcW w:w="1454" w:type="dxa"/>
            <w:noWrap w:val="0"/>
            <w:vAlign w:val="center"/>
          </w:tcPr>
          <w:p>
            <w:pPr>
              <w:spacing w:line="320" w:lineRule="exact"/>
              <w:jc w:val="center"/>
              <w:rPr>
                <w:rFonts w:hint="eastAsia" w:ascii="宋体" w:hAnsi="宋体"/>
                <w:sz w:val="20"/>
              </w:rPr>
            </w:pPr>
            <w:r>
              <w:rPr>
                <w:rFonts w:hint="eastAsia" w:ascii="宋体" w:hAnsi="宋体"/>
                <w:sz w:val="20"/>
              </w:rPr>
              <w:t>本项目中的职责</w:t>
            </w:r>
          </w:p>
        </w:tc>
        <w:tc>
          <w:tcPr>
            <w:tcW w:w="1142" w:type="dxa"/>
            <w:noWrap w:val="0"/>
            <w:vAlign w:val="center"/>
          </w:tcPr>
          <w:p>
            <w:pPr>
              <w:spacing w:line="320" w:lineRule="exact"/>
              <w:jc w:val="center"/>
              <w:rPr>
                <w:rFonts w:hint="eastAsia" w:ascii="宋体" w:hAnsi="宋体"/>
                <w:sz w:val="20"/>
              </w:rPr>
            </w:pPr>
            <w:r>
              <w:rPr>
                <w:rFonts w:hint="eastAsia" w:ascii="宋体" w:hAnsi="宋体"/>
                <w:b/>
                <w:sz w:val="20"/>
              </w:rPr>
              <w:t>安排上岗起止时间</w:t>
            </w:r>
          </w:p>
        </w:tc>
        <w:tc>
          <w:tcPr>
            <w:tcW w:w="912" w:type="dxa"/>
            <w:noWrap w:val="0"/>
            <w:vAlign w:val="center"/>
          </w:tcPr>
          <w:p>
            <w:pPr>
              <w:spacing w:line="320" w:lineRule="exact"/>
              <w:jc w:val="center"/>
              <w:rPr>
                <w:rFonts w:hint="eastAsia" w:ascii="宋体" w:hAnsi="宋体"/>
                <w:sz w:val="20"/>
              </w:rPr>
            </w:pPr>
            <w:r>
              <w:rPr>
                <w:rFonts w:hint="eastAsia" w:ascii="宋体" w:hAnsi="宋体"/>
                <w:sz w:val="20"/>
              </w:rPr>
              <w:t>从事专业年限</w:t>
            </w:r>
          </w:p>
        </w:tc>
        <w:tc>
          <w:tcPr>
            <w:tcW w:w="1823" w:type="dxa"/>
            <w:noWrap w:val="0"/>
            <w:vAlign w:val="center"/>
          </w:tcPr>
          <w:p>
            <w:pPr>
              <w:spacing w:line="320" w:lineRule="exact"/>
              <w:rPr>
                <w:rFonts w:hint="eastAsia" w:ascii="宋体" w:hAnsi="宋体"/>
                <w:sz w:val="20"/>
              </w:rPr>
            </w:pPr>
            <w:r>
              <w:rPr>
                <w:rFonts w:hint="eastAsia" w:ascii="宋体" w:hAnsi="宋体"/>
                <w:sz w:val="20"/>
              </w:rPr>
              <w:t>类似服务的经历、业绩、是否有上岗证等介绍（或另附简历）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62" w:type="dxa"/>
            <w:noWrap w:val="0"/>
            <w:vAlign w:val="top"/>
          </w:tcPr>
          <w:p>
            <w:pPr>
              <w:spacing w:line="360" w:lineRule="auto"/>
              <w:rPr>
                <w:rFonts w:hint="eastAsia" w:ascii="宋体" w:hAnsi="宋体"/>
                <w:b/>
                <w:bCs/>
                <w:sz w:val="24"/>
                <w:szCs w:val="24"/>
              </w:rPr>
            </w:pPr>
          </w:p>
        </w:tc>
        <w:tc>
          <w:tcPr>
            <w:tcW w:w="883" w:type="dxa"/>
            <w:noWrap w:val="0"/>
            <w:vAlign w:val="top"/>
          </w:tcPr>
          <w:p>
            <w:pPr>
              <w:spacing w:line="360" w:lineRule="auto"/>
              <w:rPr>
                <w:rFonts w:hint="eastAsia" w:ascii="宋体" w:hAnsi="宋体"/>
                <w:b/>
                <w:bCs/>
                <w:sz w:val="24"/>
                <w:szCs w:val="24"/>
              </w:rPr>
            </w:pPr>
          </w:p>
        </w:tc>
        <w:tc>
          <w:tcPr>
            <w:tcW w:w="723" w:type="dxa"/>
            <w:noWrap w:val="0"/>
            <w:vAlign w:val="top"/>
          </w:tcPr>
          <w:p>
            <w:pPr>
              <w:spacing w:line="360" w:lineRule="auto"/>
              <w:rPr>
                <w:rFonts w:hint="eastAsia" w:ascii="宋体" w:hAnsi="宋体"/>
                <w:b/>
                <w:bCs/>
                <w:sz w:val="24"/>
                <w:szCs w:val="24"/>
              </w:rPr>
            </w:pPr>
          </w:p>
        </w:tc>
        <w:tc>
          <w:tcPr>
            <w:tcW w:w="750" w:type="dxa"/>
            <w:noWrap w:val="0"/>
            <w:vAlign w:val="top"/>
          </w:tcPr>
          <w:p>
            <w:pPr>
              <w:spacing w:line="360" w:lineRule="auto"/>
              <w:rPr>
                <w:rFonts w:hint="eastAsia" w:ascii="宋体" w:hAnsi="宋体"/>
                <w:b/>
                <w:bCs/>
                <w:sz w:val="24"/>
                <w:szCs w:val="24"/>
              </w:rPr>
            </w:pPr>
          </w:p>
        </w:tc>
        <w:tc>
          <w:tcPr>
            <w:tcW w:w="818" w:type="dxa"/>
            <w:noWrap w:val="0"/>
            <w:vAlign w:val="top"/>
          </w:tcPr>
          <w:p>
            <w:pPr>
              <w:spacing w:line="360" w:lineRule="auto"/>
              <w:rPr>
                <w:rFonts w:hint="eastAsia" w:ascii="宋体" w:hAnsi="宋体"/>
                <w:b/>
                <w:bCs/>
                <w:sz w:val="24"/>
                <w:szCs w:val="24"/>
              </w:rPr>
            </w:pPr>
          </w:p>
        </w:tc>
        <w:tc>
          <w:tcPr>
            <w:tcW w:w="646" w:type="dxa"/>
            <w:noWrap w:val="0"/>
            <w:vAlign w:val="top"/>
          </w:tcPr>
          <w:p>
            <w:pPr>
              <w:spacing w:line="360" w:lineRule="auto"/>
              <w:rPr>
                <w:rFonts w:hint="eastAsia" w:ascii="宋体" w:hAnsi="宋体"/>
                <w:b/>
                <w:bCs/>
                <w:sz w:val="24"/>
                <w:szCs w:val="24"/>
              </w:rPr>
            </w:pPr>
          </w:p>
        </w:tc>
        <w:tc>
          <w:tcPr>
            <w:tcW w:w="761" w:type="dxa"/>
            <w:noWrap w:val="0"/>
            <w:vAlign w:val="top"/>
          </w:tcPr>
          <w:p>
            <w:pPr>
              <w:spacing w:line="360" w:lineRule="auto"/>
              <w:rPr>
                <w:rFonts w:hint="eastAsia" w:ascii="宋体" w:hAnsi="宋体"/>
                <w:b/>
                <w:bCs/>
                <w:sz w:val="24"/>
                <w:szCs w:val="24"/>
              </w:rPr>
            </w:pPr>
          </w:p>
        </w:tc>
        <w:tc>
          <w:tcPr>
            <w:tcW w:w="1454" w:type="dxa"/>
            <w:noWrap w:val="0"/>
            <w:vAlign w:val="top"/>
          </w:tcPr>
          <w:p>
            <w:pPr>
              <w:spacing w:line="360" w:lineRule="auto"/>
              <w:rPr>
                <w:rFonts w:hint="eastAsia" w:ascii="宋体" w:hAnsi="宋体"/>
                <w:b/>
                <w:bCs/>
                <w:sz w:val="24"/>
                <w:szCs w:val="24"/>
              </w:rPr>
            </w:pPr>
          </w:p>
        </w:tc>
        <w:tc>
          <w:tcPr>
            <w:tcW w:w="1142" w:type="dxa"/>
            <w:noWrap w:val="0"/>
            <w:vAlign w:val="top"/>
          </w:tcPr>
          <w:p>
            <w:pPr>
              <w:spacing w:line="360" w:lineRule="auto"/>
              <w:rPr>
                <w:rFonts w:hint="eastAsia" w:ascii="宋体" w:hAnsi="宋体"/>
                <w:b/>
                <w:bCs/>
                <w:sz w:val="24"/>
                <w:szCs w:val="24"/>
              </w:rPr>
            </w:pPr>
          </w:p>
        </w:tc>
        <w:tc>
          <w:tcPr>
            <w:tcW w:w="912" w:type="dxa"/>
            <w:noWrap w:val="0"/>
            <w:vAlign w:val="top"/>
          </w:tcPr>
          <w:p>
            <w:pPr>
              <w:spacing w:line="360" w:lineRule="auto"/>
              <w:rPr>
                <w:rFonts w:hint="eastAsia" w:ascii="宋体" w:hAnsi="宋体"/>
                <w:b/>
                <w:bCs/>
                <w:sz w:val="24"/>
                <w:szCs w:val="24"/>
              </w:rPr>
            </w:pPr>
          </w:p>
        </w:tc>
        <w:tc>
          <w:tcPr>
            <w:tcW w:w="1823" w:type="dxa"/>
            <w:noWrap w:val="0"/>
            <w:vAlign w:val="top"/>
          </w:tcPr>
          <w:p>
            <w:pPr>
              <w:spacing w:line="360" w:lineRule="auto"/>
              <w:rPr>
                <w:rFonts w:hint="eastAsia" w:ascii="宋体" w:hAnsi="宋体"/>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474" w:type="dxa"/>
            <w:gridSpan w:val="11"/>
            <w:noWrap w:val="0"/>
            <w:vAlign w:val="top"/>
          </w:tcPr>
          <w:p>
            <w:pPr>
              <w:spacing w:line="360" w:lineRule="auto"/>
              <w:rPr>
                <w:rFonts w:hint="eastAsia" w:ascii="宋体" w:hAnsi="宋体"/>
                <w:b/>
                <w:bCs/>
                <w:sz w:val="20"/>
              </w:rPr>
            </w:pPr>
            <w:r>
              <w:rPr>
                <w:rFonts w:hint="eastAsia" w:ascii="宋体" w:hAnsi="宋体"/>
                <w:sz w:val="20"/>
              </w:rPr>
              <w:t>一旦我单位中标，将实行项目负责人负责制，并配备上述项目机构人员。我方保证上述填报内容真实，若不真实，愿按有关规定接受处理。</w:t>
            </w:r>
          </w:p>
        </w:tc>
      </w:tr>
    </w:tbl>
    <w:p>
      <w:pPr>
        <w:pStyle w:val="18"/>
        <w:spacing w:line="320" w:lineRule="exact"/>
        <w:rPr>
          <w:rFonts w:hint="eastAsia" w:ascii="宋体" w:hAnsi="宋体"/>
          <w:b/>
          <w:szCs w:val="21"/>
        </w:rPr>
      </w:pPr>
      <w:r>
        <w:rPr>
          <w:rFonts w:hint="eastAsia" w:ascii="宋体" w:hAnsi="宋体"/>
          <w:b/>
          <w:szCs w:val="21"/>
        </w:rPr>
        <w:t>注：1、投标人可按上述的格式自行编制，须随表提交相应的证书扫描件；</w:t>
      </w:r>
    </w:p>
    <w:p>
      <w:pPr>
        <w:pStyle w:val="18"/>
        <w:spacing w:line="320" w:lineRule="exact"/>
        <w:ind w:firstLine="361" w:firstLineChars="200"/>
        <w:rPr>
          <w:rFonts w:hint="eastAsia" w:ascii="宋体" w:hAnsi="宋体"/>
          <w:b/>
          <w:szCs w:val="21"/>
        </w:rPr>
      </w:pPr>
      <w:r>
        <w:rPr>
          <w:rFonts w:hint="eastAsia" w:ascii="宋体" w:hAnsi="宋体"/>
          <w:b/>
          <w:szCs w:val="21"/>
        </w:rPr>
        <w:t>2、列入本表人员如要更换，需经采购单位同意；擅自更换或不到位属违约行为。</w:t>
      </w:r>
    </w:p>
    <w:p>
      <w:pPr>
        <w:pStyle w:val="18"/>
        <w:spacing w:line="320" w:lineRule="exact"/>
        <w:ind w:firstLine="361" w:firstLineChars="200"/>
        <w:rPr>
          <w:rFonts w:hint="eastAsia"/>
        </w:rPr>
      </w:pPr>
      <w:r>
        <w:rPr>
          <w:rFonts w:hint="eastAsia" w:ascii="宋体" w:hAnsi="宋体"/>
          <w:b/>
          <w:szCs w:val="21"/>
        </w:rPr>
        <w:t>3、项目小组人员可承诺在中标后配备，投标人自行承诺自收到中标通知书后15日内配齐相应人员并报采购人审核确认，承诺书格式自拟。</w:t>
      </w:r>
    </w:p>
    <w:p>
      <w:pPr>
        <w:spacing w:line="360" w:lineRule="auto"/>
        <w:rPr>
          <w:rFonts w:hint="eastAsia" w:ascii="宋体" w:hAnsi="宋体"/>
          <w:sz w:val="24"/>
          <w:szCs w:val="28"/>
        </w:rPr>
      </w:pPr>
      <w:r>
        <w:rPr>
          <w:rFonts w:hint="eastAsia" w:ascii="宋体" w:hAnsi="宋体"/>
          <w:sz w:val="24"/>
          <w:szCs w:val="28"/>
        </w:rPr>
        <w:t xml:space="preserve">                                       </w:t>
      </w: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hint="eastAsia"/>
        </w:rPr>
      </w:pPr>
    </w:p>
    <w:p>
      <w:pPr>
        <w:spacing w:line="400" w:lineRule="exact"/>
        <w:rPr>
          <w:rFonts w:hint="eastAsia" w:ascii="宋体" w:hAnsi="宋体" w:cs="宋体"/>
          <w:b/>
          <w:bCs/>
          <w:iCs/>
          <w:spacing w:val="20"/>
          <w:sz w:val="24"/>
          <w:szCs w:val="24"/>
        </w:rPr>
      </w:pPr>
      <w:r>
        <w:rPr>
          <w:rStyle w:val="106"/>
          <w:rFonts w:hint="eastAsia" w:ascii="宋体" w:hAnsi="宋体" w:cs="宋体"/>
          <w:szCs w:val="24"/>
        </w:rPr>
        <w:t>附件</w:t>
      </w:r>
      <w:r>
        <w:rPr>
          <w:rFonts w:hint="eastAsia" w:ascii="宋体" w:hAnsi="宋体" w:cs="宋体"/>
          <w:spacing w:val="20"/>
          <w:sz w:val="24"/>
          <w:szCs w:val="24"/>
        </w:rPr>
        <w:t xml:space="preserve"> </w:t>
      </w:r>
    </w:p>
    <w:p>
      <w:pPr>
        <w:spacing w:line="360" w:lineRule="auto"/>
        <w:ind w:right="-10"/>
        <w:jc w:val="center"/>
        <w:rPr>
          <w:rFonts w:hint="eastAsia" w:ascii="宋体" w:cs="Arial"/>
          <w:b/>
          <w:bCs/>
          <w:sz w:val="36"/>
          <w:szCs w:val="36"/>
        </w:rPr>
      </w:pPr>
    </w:p>
    <w:p>
      <w:pPr>
        <w:snapToGrid w:val="0"/>
        <w:spacing w:before="50" w:after="120" w:afterLines="50" w:line="360" w:lineRule="auto"/>
        <w:jc w:val="center"/>
        <w:rPr>
          <w:rFonts w:hint="eastAsia" w:ascii="宋体" w:hAnsi="宋体" w:cs="宋体"/>
          <w:b/>
          <w:bCs/>
          <w:sz w:val="22"/>
          <w:szCs w:val="24"/>
        </w:rPr>
      </w:pPr>
      <w:r>
        <w:rPr>
          <w:rFonts w:hint="eastAsia" w:ascii="宋体" w:hAnsi="宋体" w:cs="宋体"/>
          <w:b/>
          <w:bCs/>
          <w:sz w:val="22"/>
          <w:szCs w:val="24"/>
        </w:rPr>
        <w:t>拟投入的设备、器具、工具一览表</w:t>
      </w:r>
    </w:p>
    <w:p>
      <w:pPr>
        <w:pStyle w:val="170"/>
        <w:rPr>
          <w:rFonts w:hint="eastAsia"/>
        </w:rPr>
      </w:pPr>
    </w:p>
    <w:p>
      <w:pPr>
        <w:spacing w:after="120" w:afterLines="50" w:line="360" w:lineRule="auto"/>
        <w:rPr>
          <w:rFonts w:hint="eastAsia" w:ascii="宋体" w:cs="Arial"/>
        </w:rPr>
      </w:pPr>
      <w:r>
        <w:rPr>
          <w:rFonts w:hint="eastAsia" w:ascii="宋体" w:hAnsi="宋体"/>
          <w:szCs w:val="21"/>
        </w:rPr>
        <w:t xml:space="preserve">项目编号：                   项目名称：  </w:t>
      </w:r>
    </w:p>
    <w:tbl>
      <w:tblPr>
        <w:tblStyle w:val="44"/>
        <w:tblW w:w="9610" w:type="dxa"/>
        <w:tblInd w:w="-2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3245"/>
        <w:gridCol w:w="1540"/>
        <w:gridCol w:w="1403"/>
        <w:gridCol w:w="1338"/>
        <w:gridCol w:w="12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1" w:hRule="atLeast"/>
        </w:trPr>
        <w:tc>
          <w:tcPr>
            <w:tcW w:w="803" w:type="dxa"/>
            <w:noWrap w:val="0"/>
            <w:vAlign w:val="center"/>
          </w:tcPr>
          <w:p>
            <w:pPr>
              <w:spacing w:line="360" w:lineRule="auto"/>
              <w:jc w:val="center"/>
              <w:rPr>
                <w:rFonts w:ascii="宋体" w:cs="Arial"/>
                <w:b/>
                <w:bCs/>
                <w:sz w:val="24"/>
                <w:szCs w:val="24"/>
              </w:rPr>
            </w:pPr>
            <w:r>
              <w:rPr>
                <w:rFonts w:ascii="宋体" w:cs="Arial"/>
                <w:b/>
                <w:bCs/>
                <w:sz w:val="24"/>
                <w:szCs w:val="24"/>
              </w:rPr>
              <w:t>序号</w:t>
            </w:r>
          </w:p>
        </w:tc>
        <w:tc>
          <w:tcPr>
            <w:tcW w:w="3245" w:type="dxa"/>
            <w:noWrap w:val="0"/>
            <w:vAlign w:val="center"/>
          </w:tcPr>
          <w:p>
            <w:pPr>
              <w:spacing w:line="360" w:lineRule="auto"/>
              <w:jc w:val="center"/>
              <w:rPr>
                <w:rFonts w:ascii="宋体" w:cs="Arial"/>
                <w:b/>
                <w:bCs/>
                <w:sz w:val="24"/>
                <w:szCs w:val="24"/>
              </w:rPr>
            </w:pPr>
            <w:r>
              <w:rPr>
                <w:rFonts w:hint="eastAsia" w:ascii="宋体" w:cs="Arial"/>
                <w:b/>
                <w:bCs/>
                <w:sz w:val="24"/>
                <w:szCs w:val="24"/>
              </w:rPr>
              <w:t>车辆/机械</w:t>
            </w:r>
            <w:r>
              <w:rPr>
                <w:rFonts w:ascii="宋体" w:cs="Arial"/>
                <w:b/>
                <w:bCs/>
                <w:sz w:val="24"/>
                <w:szCs w:val="24"/>
              </w:rPr>
              <w:t>设备/</w:t>
            </w:r>
            <w:r>
              <w:rPr>
                <w:rFonts w:hint="eastAsia" w:ascii="宋体" w:cs="Arial"/>
                <w:b/>
                <w:bCs/>
                <w:sz w:val="24"/>
                <w:szCs w:val="24"/>
              </w:rPr>
              <w:t>工器具</w:t>
            </w:r>
            <w:r>
              <w:rPr>
                <w:rFonts w:ascii="宋体" w:cs="Arial"/>
                <w:b/>
                <w:bCs/>
                <w:sz w:val="24"/>
                <w:szCs w:val="24"/>
              </w:rPr>
              <w:t>名称</w:t>
            </w:r>
          </w:p>
        </w:tc>
        <w:tc>
          <w:tcPr>
            <w:tcW w:w="1540" w:type="dxa"/>
            <w:noWrap w:val="0"/>
            <w:vAlign w:val="center"/>
          </w:tcPr>
          <w:p>
            <w:pPr>
              <w:spacing w:line="360" w:lineRule="auto"/>
              <w:jc w:val="center"/>
              <w:rPr>
                <w:rFonts w:ascii="宋体" w:cs="Arial"/>
                <w:b/>
                <w:bCs/>
                <w:sz w:val="24"/>
                <w:szCs w:val="24"/>
              </w:rPr>
            </w:pPr>
            <w:r>
              <w:rPr>
                <w:rFonts w:ascii="宋体" w:cs="Arial"/>
                <w:b/>
                <w:bCs/>
                <w:sz w:val="24"/>
                <w:szCs w:val="24"/>
              </w:rPr>
              <w:t>型号规格</w:t>
            </w:r>
          </w:p>
        </w:tc>
        <w:tc>
          <w:tcPr>
            <w:tcW w:w="1403" w:type="dxa"/>
            <w:noWrap w:val="0"/>
            <w:vAlign w:val="center"/>
          </w:tcPr>
          <w:p>
            <w:pPr>
              <w:spacing w:line="360" w:lineRule="auto"/>
              <w:jc w:val="center"/>
              <w:rPr>
                <w:rFonts w:ascii="宋体" w:cs="Arial"/>
                <w:b/>
                <w:bCs/>
                <w:sz w:val="24"/>
                <w:szCs w:val="24"/>
              </w:rPr>
            </w:pPr>
            <w:r>
              <w:rPr>
                <w:rFonts w:ascii="宋体" w:cs="Arial"/>
                <w:b/>
                <w:bCs/>
                <w:sz w:val="24"/>
                <w:szCs w:val="24"/>
              </w:rPr>
              <w:t>品牌/产地</w:t>
            </w:r>
          </w:p>
        </w:tc>
        <w:tc>
          <w:tcPr>
            <w:tcW w:w="1338" w:type="dxa"/>
            <w:noWrap w:val="0"/>
            <w:vAlign w:val="center"/>
          </w:tcPr>
          <w:p>
            <w:pPr>
              <w:spacing w:line="360" w:lineRule="auto"/>
              <w:jc w:val="center"/>
              <w:rPr>
                <w:rFonts w:ascii="宋体" w:cs="Arial"/>
                <w:b/>
                <w:bCs/>
                <w:sz w:val="24"/>
                <w:szCs w:val="24"/>
              </w:rPr>
            </w:pPr>
            <w:r>
              <w:rPr>
                <w:rFonts w:ascii="宋体" w:cs="Arial"/>
                <w:b/>
                <w:bCs/>
                <w:sz w:val="24"/>
                <w:szCs w:val="24"/>
              </w:rPr>
              <w:t>数量</w:t>
            </w:r>
          </w:p>
        </w:tc>
        <w:tc>
          <w:tcPr>
            <w:tcW w:w="1281" w:type="dxa"/>
            <w:noWrap w:val="0"/>
            <w:vAlign w:val="center"/>
          </w:tcPr>
          <w:p>
            <w:pPr>
              <w:spacing w:line="360" w:lineRule="auto"/>
              <w:jc w:val="center"/>
              <w:rPr>
                <w:rFonts w:ascii="宋体" w:cs="Arial"/>
                <w:b/>
                <w:bCs/>
                <w:sz w:val="24"/>
                <w:szCs w:val="24"/>
              </w:rPr>
            </w:pPr>
            <w:r>
              <w:rPr>
                <w:rFonts w:ascii="宋体" w:cs="Arial"/>
                <w:b/>
                <w:bCs/>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 w:hRule="atLeast"/>
        </w:trPr>
        <w:tc>
          <w:tcPr>
            <w:tcW w:w="803" w:type="dxa"/>
            <w:noWrap w:val="0"/>
            <w:vAlign w:val="center"/>
          </w:tcPr>
          <w:p>
            <w:pPr>
              <w:spacing w:line="360" w:lineRule="auto"/>
              <w:ind w:firstLine="592"/>
              <w:jc w:val="center"/>
              <w:rPr>
                <w:rFonts w:ascii="宋体" w:cs="Arial"/>
                <w:sz w:val="24"/>
                <w:szCs w:val="24"/>
              </w:rPr>
            </w:pPr>
          </w:p>
        </w:tc>
        <w:tc>
          <w:tcPr>
            <w:tcW w:w="3245" w:type="dxa"/>
            <w:noWrap w:val="0"/>
            <w:vAlign w:val="center"/>
          </w:tcPr>
          <w:p>
            <w:pPr>
              <w:spacing w:line="360" w:lineRule="auto"/>
              <w:ind w:firstLine="592"/>
              <w:jc w:val="center"/>
              <w:rPr>
                <w:rFonts w:ascii="宋体" w:cs="Arial"/>
                <w:sz w:val="24"/>
                <w:szCs w:val="24"/>
              </w:rPr>
            </w:pPr>
          </w:p>
        </w:tc>
        <w:tc>
          <w:tcPr>
            <w:tcW w:w="1540" w:type="dxa"/>
            <w:noWrap w:val="0"/>
            <w:vAlign w:val="center"/>
          </w:tcPr>
          <w:p>
            <w:pPr>
              <w:spacing w:line="360" w:lineRule="auto"/>
              <w:ind w:firstLine="592"/>
              <w:jc w:val="center"/>
              <w:rPr>
                <w:rFonts w:ascii="宋体" w:cs="Arial"/>
                <w:sz w:val="24"/>
                <w:szCs w:val="24"/>
              </w:rPr>
            </w:pPr>
          </w:p>
        </w:tc>
        <w:tc>
          <w:tcPr>
            <w:tcW w:w="1403" w:type="dxa"/>
            <w:noWrap w:val="0"/>
            <w:vAlign w:val="center"/>
          </w:tcPr>
          <w:p>
            <w:pPr>
              <w:spacing w:line="360" w:lineRule="auto"/>
              <w:ind w:firstLine="592"/>
              <w:jc w:val="center"/>
              <w:rPr>
                <w:rFonts w:ascii="宋体" w:cs="Arial"/>
                <w:sz w:val="24"/>
                <w:szCs w:val="24"/>
              </w:rPr>
            </w:pPr>
          </w:p>
        </w:tc>
        <w:tc>
          <w:tcPr>
            <w:tcW w:w="1338" w:type="dxa"/>
            <w:noWrap w:val="0"/>
            <w:vAlign w:val="center"/>
          </w:tcPr>
          <w:p>
            <w:pPr>
              <w:spacing w:line="360" w:lineRule="auto"/>
              <w:ind w:firstLine="592"/>
              <w:jc w:val="center"/>
              <w:rPr>
                <w:rFonts w:ascii="宋体" w:cs="Arial"/>
                <w:sz w:val="24"/>
                <w:szCs w:val="24"/>
              </w:rPr>
            </w:pPr>
          </w:p>
        </w:tc>
        <w:tc>
          <w:tcPr>
            <w:tcW w:w="1281" w:type="dxa"/>
            <w:noWrap w:val="0"/>
            <w:vAlign w:val="center"/>
          </w:tcPr>
          <w:p>
            <w:pPr>
              <w:spacing w:line="360" w:lineRule="auto"/>
              <w:ind w:firstLine="592"/>
              <w:jc w:val="center"/>
              <w:rPr>
                <w:rFonts w:ascii="宋体" w:cs="Arial"/>
                <w:sz w:val="24"/>
                <w:szCs w:val="24"/>
              </w:rPr>
            </w:pPr>
          </w:p>
        </w:tc>
      </w:tr>
    </w:tbl>
    <w:p>
      <w:pPr>
        <w:tabs>
          <w:tab w:val="left" w:pos="425"/>
        </w:tabs>
        <w:autoSpaceDE w:val="0"/>
        <w:autoSpaceDN w:val="0"/>
        <w:adjustRightInd w:val="0"/>
        <w:spacing w:line="360" w:lineRule="atLeast"/>
        <w:ind w:firstLine="422" w:firstLineChars="200"/>
        <w:rPr>
          <w:rFonts w:hint="eastAsia" w:ascii="宋体" w:hAnsi="宋体"/>
          <w:b/>
          <w:bCs/>
          <w:i/>
          <w:szCs w:val="21"/>
        </w:rPr>
      </w:pPr>
      <w:r>
        <w:rPr>
          <w:rFonts w:hint="eastAsia" w:ascii="宋体" w:hAnsi="宋体"/>
          <w:b/>
          <w:bCs/>
          <w:szCs w:val="21"/>
        </w:rPr>
        <w:t>注：另提供扫地车、洒水车行驶证、保险证明扫描件，其余提供购置发票扫描件；如非自有车辆，另须提供车辆租赁合同（协议）扫描件，租赁合同（协议）的有效期不得少于本次招标服务期；如投标方既无现有自有车辆/机械设备/工器具，又不能租赁到全部车辆/机械设备/工器具的，另可提供车辆/机械设备/工器具购置承诺书（可部分购置），车辆/机械设备/工器具购置承诺书格式自拟，并注明车辆/机械设备/工器具购置费用预算和完成时间，车辆/设备购置完成时间不得超过合同履行开始之日。</w:t>
      </w:r>
    </w:p>
    <w:p>
      <w:pPr>
        <w:spacing w:line="360" w:lineRule="auto"/>
        <w:ind w:right="420" w:firstLine="3150" w:firstLineChars="1500"/>
        <w:rPr>
          <w:rFonts w:hint="eastAsia"/>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iCs/>
          <w:spacing w:val="20"/>
          <w:sz w:val="24"/>
          <w:szCs w:val="24"/>
        </w:rPr>
      </w:pPr>
      <w:r>
        <w:rPr>
          <w:rStyle w:val="106"/>
          <w:rFonts w:hint="eastAsia" w:ascii="宋体" w:hAnsi="宋体" w:cs="宋体"/>
          <w:szCs w:val="24"/>
        </w:rPr>
        <w:t>附件</w:t>
      </w:r>
      <w:r>
        <w:rPr>
          <w:rFonts w:hint="eastAsia" w:ascii="宋体" w:hAnsi="宋体" w:cs="宋体"/>
          <w:spacing w:val="20"/>
          <w:sz w:val="24"/>
          <w:szCs w:val="24"/>
        </w:rPr>
        <w:t xml:space="preserve"> </w:t>
      </w:r>
    </w:p>
    <w:p>
      <w:pPr>
        <w:jc w:val="center"/>
        <w:rPr>
          <w:rFonts w:hint="eastAsia" w:ascii="宋体" w:hAnsi="宋体"/>
          <w:szCs w:val="21"/>
        </w:rPr>
      </w:pPr>
    </w:p>
    <w:p>
      <w:pPr>
        <w:jc w:val="center"/>
        <w:rPr>
          <w:rFonts w:hint="eastAsia" w:ascii="宋体" w:hAnsi="宋体" w:cs="宋体"/>
          <w:b/>
          <w:bCs/>
          <w:sz w:val="24"/>
          <w:szCs w:val="22"/>
        </w:rPr>
      </w:pPr>
      <w:r>
        <w:rPr>
          <w:rFonts w:hint="eastAsia" w:ascii="宋体" w:hAnsi="宋体" w:cs="宋体"/>
          <w:b/>
          <w:bCs/>
          <w:sz w:val="24"/>
          <w:szCs w:val="22"/>
        </w:rPr>
        <w:t>企业业绩表</w:t>
      </w:r>
    </w:p>
    <w:p>
      <w:pPr>
        <w:pStyle w:val="18"/>
        <w:rPr>
          <w:rFonts w:hint="eastAsia"/>
        </w:rPr>
      </w:pPr>
    </w:p>
    <w:p>
      <w:pPr>
        <w:tabs>
          <w:tab w:val="left" w:pos="3165"/>
        </w:tabs>
        <w:rPr>
          <w:rFonts w:hint="eastAsia" w:hAnsi="宋体" w:cs="宋体"/>
          <w:szCs w:val="21"/>
        </w:rPr>
      </w:pPr>
      <w:r>
        <w:rPr>
          <w:rFonts w:hint="eastAsia" w:ascii="宋体" w:hAnsi="宋体"/>
          <w:szCs w:val="21"/>
        </w:rPr>
        <w:t xml:space="preserve">项目编号：                   项目名称：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pPr>
              <w:tabs>
                <w:tab w:val="left" w:pos="3165"/>
              </w:tabs>
              <w:rPr>
                <w:rFonts w:hint="eastAsia" w:hAnsi="宋体" w:cs="宋体"/>
                <w:szCs w:val="21"/>
              </w:rPr>
            </w:pPr>
            <w:r>
              <w:rPr>
                <w:rFonts w:hint="eastAsia" w:hAnsi="宋体" w:cs="宋体"/>
                <w:szCs w:val="21"/>
              </w:rPr>
              <w:t>序号</w:t>
            </w:r>
          </w:p>
        </w:tc>
        <w:tc>
          <w:tcPr>
            <w:tcW w:w="1895" w:type="dxa"/>
            <w:noWrap w:val="0"/>
            <w:vAlign w:val="center"/>
          </w:tcPr>
          <w:p>
            <w:pPr>
              <w:tabs>
                <w:tab w:val="left" w:pos="3165"/>
              </w:tabs>
              <w:jc w:val="center"/>
              <w:rPr>
                <w:rFonts w:hint="eastAsia" w:hAnsi="宋体" w:cs="宋体"/>
                <w:szCs w:val="21"/>
              </w:rPr>
            </w:pPr>
            <w:r>
              <w:rPr>
                <w:rFonts w:hint="eastAsia" w:hAnsi="宋体" w:cs="宋体"/>
                <w:szCs w:val="21"/>
              </w:rPr>
              <w:t>服务项目名称</w:t>
            </w:r>
          </w:p>
        </w:tc>
        <w:tc>
          <w:tcPr>
            <w:tcW w:w="1267" w:type="dxa"/>
            <w:noWrap w:val="0"/>
            <w:vAlign w:val="center"/>
          </w:tcPr>
          <w:p>
            <w:pPr>
              <w:tabs>
                <w:tab w:val="left" w:pos="3165"/>
              </w:tabs>
              <w:rPr>
                <w:rFonts w:hint="eastAsia" w:hAnsi="宋体" w:cs="宋体"/>
                <w:szCs w:val="21"/>
              </w:rPr>
            </w:pPr>
            <w:r>
              <w:rPr>
                <w:rFonts w:hint="eastAsia" w:hAnsi="宋体" w:cs="宋体"/>
                <w:szCs w:val="21"/>
              </w:rPr>
              <w:t>业主单位</w:t>
            </w:r>
          </w:p>
        </w:tc>
        <w:tc>
          <w:tcPr>
            <w:tcW w:w="1267" w:type="dxa"/>
            <w:noWrap w:val="0"/>
            <w:vAlign w:val="center"/>
          </w:tcPr>
          <w:p>
            <w:pPr>
              <w:tabs>
                <w:tab w:val="left" w:pos="3165"/>
              </w:tabs>
              <w:rPr>
                <w:rFonts w:hint="eastAsia" w:hAnsi="宋体" w:cs="宋体"/>
                <w:szCs w:val="21"/>
              </w:rPr>
            </w:pPr>
            <w:r>
              <w:rPr>
                <w:rFonts w:hint="eastAsia" w:hAnsi="宋体" w:cs="宋体"/>
                <w:szCs w:val="21"/>
              </w:rPr>
              <w:t>合同金额</w:t>
            </w:r>
          </w:p>
        </w:tc>
        <w:tc>
          <w:tcPr>
            <w:tcW w:w="1741" w:type="dxa"/>
            <w:noWrap w:val="0"/>
            <w:vAlign w:val="center"/>
          </w:tcPr>
          <w:p>
            <w:pPr>
              <w:tabs>
                <w:tab w:val="left" w:pos="3165"/>
              </w:tabs>
              <w:rPr>
                <w:rFonts w:hint="eastAsia" w:hAnsi="宋体" w:cs="宋体"/>
                <w:szCs w:val="21"/>
              </w:rPr>
            </w:pPr>
            <w:r>
              <w:rPr>
                <w:rFonts w:hint="eastAsia" w:hAnsi="宋体" w:cs="宋体"/>
                <w:szCs w:val="21"/>
              </w:rPr>
              <w:t>合同签订日期</w:t>
            </w:r>
          </w:p>
        </w:tc>
        <w:tc>
          <w:tcPr>
            <w:tcW w:w="1986" w:type="dxa"/>
            <w:noWrap w:val="0"/>
            <w:vAlign w:val="center"/>
          </w:tcPr>
          <w:p>
            <w:pPr>
              <w:tabs>
                <w:tab w:val="left" w:pos="3165"/>
              </w:tabs>
              <w:jc w:val="center"/>
              <w:rPr>
                <w:rFonts w:hint="eastAsia" w:hAnsi="宋体" w:cs="宋体"/>
                <w:szCs w:val="21"/>
              </w:rPr>
            </w:pPr>
            <w:r>
              <w:rPr>
                <w:rFonts w:hint="eastAsia" w:hAnsi="宋体" w:cs="宋体"/>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cs="宋体"/>
                <w:szCs w:val="21"/>
              </w:rPr>
            </w:pPr>
          </w:p>
        </w:tc>
        <w:tc>
          <w:tcPr>
            <w:tcW w:w="1895"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267" w:type="dxa"/>
            <w:noWrap w:val="0"/>
            <w:vAlign w:val="top"/>
          </w:tcPr>
          <w:p>
            <w:pPr>
              <w:tabs>
                <w:tab w:val="left" w:pos="3165"/>
              </w:tabs>
              <w:ind w:firstLine="420"/>
              <w:rPr>
                <w:rFonts w:hint="eastAsia" w:hAnsi="宋体" w:cs="宋体"/>
                <w:szCs w:val="21"/>
              </w:rPr>
            </w:pPr>
          </w:p>
        </w:tc>
        <w:tc>
          <w:tcPr>
            <w:tcW w:w="1741" w:type="dxa"/>
            <w:noWrap w:val="0"/>
            <w:vAlign w:val="top"/>
          </w:tcPr>
          <w:p>
            <w:pPr>
              <w:tabs>
                <w:tab w:val="left" w:pos="3165"/>
              </w:tabs>
              <w:ind w:firstLine="420"/>
              <w:rPr>
                <w:rFonts w:hint="eastAsia" w:hAnsi="宋体" w:cs="宋体"/>
                <w:szCs w:val="21"/>
              </w:rPr>
            </w:pPr>
          </w:p>
        </w:tc>
        <w:tc>
          <w:tcPr>
            <w:tcW w:w="1986" w:type="dxa"/>
            <w:noWrap w:val="0"/>
            <w:vAlign w:val="top"/>
          </w:tcPr>
          <w:p>
            <w:pPr>
              <w:tabs>
                <w:tab w:val="left" w:pos="3165"/>
              </w:tabs>
              <w:ind w:firstLine="420"/>
              <w:rPr>
                <w:rFonts w:hint="eastAsia" w:hAnsi="宋体" w:cs="宋体"/>
                <w:szCs w:val="21"/>
              </w:rPr>
            </w:pPr>
          </w:p>
        </w:tc>
      </w:tr>
    </w:tbl>
    <w:p>
      <w:pPr>
        <w:tabs>
          <w:tab w:val="left" w:pos="3165"/>
        </w:tabs>
        <w:rPr>
          <w:rFonts w:hint="eastAsia" w:hAnsi="宋体" w:cs="宋体"/>
          <w:szCs w:val="21"/>
        </w:rPr>
      </w:pPr>
      <w:r>
        <w:rPr>
          <w:rFonts w:hint="eastAsia" w:hAnsi="宋体" w:cs="宋体"/>
          <w:szCs w:val="21"/>
        </w:rPr>
        <w:t>注：</w:t>
      </w:r>
    </w:p>
    <w:p>
      <w:pPr>
        <w:autoSpaceDE w:val="0"/>
        <w:autoSpaceDN w:val="0"/>
        <w:spacing w:line="386" w:lineRule="exact"/>
        <w:ind w:left="420" w:hanging="420" w:hangingChars="200"/>
        <w:rPr>
          <w:rFonts w:hint="eastAsia" w:hAnsi="宋体" w:cs="宋体"/>
          <w:b/>
          <w:szCs w:val="21"/>
        </w:rPr>
      </w:pPr>
      <w:r>
        <w:rPr>
          <w:rFonts w:hint="eastAsia" w:hAnsi="宋体" w:cs="宋体"/>
          <w:szCs w:val="21"/>
        </w:rPr>
        <w:t>1．供应商所提供合同必须是真实有效的。在合同签订前，如采购人经核实后发现与实际情况不符，取消其中标资格，并按有关规定处理。</w:t>
      </w:r>
      <w:r>
        <w:rPr>
          <w:rFonts w:hint="eastAsia" w:hAnsi="宋体" w:cs="宋体"/>
          <w:b/>
          <w:szCs w:val="21"/>
        </w:rPr>
        <w:t>（投标文件中提供加盖公章合同扫描件）</w:t>
      </w:r>
    </w:p>
    <w:p>
      <w:pPr>
        <w:autoSpaceDE w:val="0"/>
        <w:autoSpaceDN w:val="0"/>
        <w:spacing w:line="386" w:lineRule="exact"/>
        <w:rPr>
          <w:rFonts w:hint="eastAsia" w:hAnsi="宋体" w:cs="宋体"/>
          <w:szCs w:val="21"/>
        </w:rPr>
      </w:pPr>
      <w:r>
        <w:rPr>
          <w:rFonts w:hint="eastAsia" w:hAnsi="宋体" w:cs="宋体"/>
          <w:szCs w:val="21"/>
        </w:rPr>
        <w:t>2．此表在不改变表式的情况下，可自行制作。</w:t>
      </w:r>
    </w:p>
    <w:p>
      <w:pPr>
        <w:pStyle w:val="18"/>
        <w:rPr>
          <w:rFonts w:hint="eastAsia"/>
        </w:rPr>
      </w:pPr>
    </w:p>
    <w:p>
      <w:pPr>
        <w:spacing w:line="360" w:lineRule="auto"/>
        <w:ind w:left="170" w:firstLine="3570" w:firstLineChars="170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2"/>
        <w:ind w:firstLine="400"/>
        <w:rPr>
          <w:rFonts w:hint="eastAsia" w:ascii="宋体" w:hAnsi="宋体" w:eastAsia="宋体" w:cs="宋体"/>
          <w:kern w:val="0"/>
          <w:sz w:val="20"/>
        </w:rPr>
      </w:pPr>
    </w:p>
    <w:p>
      <w:pPr>
        <w:rPr>
          <w:rStyle w:val="106"/>
          <w:rFonts w:hint="eastAsia" w:ascii="宋体" w:hAnsi="宋体" w:cs="宋体"/>
          <w:szCs w:val="24"/>
        </w:rPr>
      </w:pPr>
      <w:r>
        <w:rPr>
          <w:rStyle w:val="106"/>
          <w:rFonts w:hint="eastAsia" w:ascii="宋体" w:hAnsi="宋体" w:cs="宋体"/>
          <w:szCs w:val="24"/>
        </w:rPr>
        <w:t>附件</w:t>
      </w:r>
    </w:p>
    <w:p>
      <w:pPr>
        <w:jc w:val="center"/>
        <w:rPr>
          <w:rFonts w:hint="eastAsia" w:ascii="宋体" w:hAnsi="宋体" w:cs="宋体"/>
          <w:b/>
          <w:sz w:val="32"/>
          <w:szCs w:val="32"/>
        </w:rPr>
      </w:pPr>
    </w:p>
    <w:p>
      <w:pPr>
        <w:jc w:val="center"/>
        <w:rPr>
          <w:rFonts w:hint="eastAsia" w:ascii="宋体" w:hAnsi="宋体" w:cs="宋体"/>
          <w:b/>
          <w:sz w:val="30"/>
          <w:szCs w:val="30"/>
        </w:rPr>
      </w:pPr>
      <w:r>
        <w:rPr>
          <w:rFonts w:hint="eastAsia" w:ascii="宋体" w:hAnsi="宋体" w:cs="宋体"/>
          <w:b/>
          <w:sz w:val="30"/>
          <w:szCs w:val="30"/>
        </w:rPr>
        <w:t>开标一览表</w:t>
      </w:r>
    </w:p>
    <w:p>
      <w:pPr>
        <w:spacing w:line="460" w:lineRule="exact"/>
        <w:rPr>
          <w:rFonts w:hint="eastAsia" w:ascii="宋体" w:hAnsi="宋体" w:cs="宋体"/>
        </w:rPr>
      </w:pPr>
    </w:p>
    <w:p>
      <w:pPr>
        <w:adjustRightInd w:val="0"/>
        <w:snapToGrid w:val="0"/>
        <w:spacing w:after="120" w:afterLines="50"/>
        <w:rPr>
          <w:rFonts w:hint="eastAsia" w:ascii="宋体" w:hAnsi="宋体" w:cs="宋体"/>
          <w:szCs w:val="21"/>
          <w:u w:val="single"/>
        </w:rPr>
      </w:pPr>
      <w:r>
        <w:rPr>
          <w:rFonts w:hint="eastAsia" w:ascii="宋体" w:hAnsi="宋体" w:cs="宋体"/>
          <w:kern w:val="0"/>
          <w:szCs w:val="21"/>
        </w:rPr>
        <w:t>项目名称：</w:t>
      </w:r>
      <w:r>
        <w:rPr>
          <w:rFonts w:hint="eastAsia" w:ascii="宋体" w:hAnsi="宋体" w:cs="宋体"/>
          <w:szCs w:val="21"/>
          <w:u w:val="single"/>
        </w:rPr>
        <w:t>慈溪市环杭州湾创新中心公共空间一体化管理服务采购项目</w:t>
      </w:r>
    </w:p>
    <w:p>
      <w:pPr>
        <w:adjustRightInd w:val="0"/>
        <w:snapToGrid w:val="0"/>
        <w:spacing w:after="120" w:afterLines="50"/>
        <w:rPr>
          <w:rFonts w:hint="eastAsia" w:ascii="宋体" w:hAnsi="宋体" w:cs="宋体"/>
          <w:szCs w:val="21"/>
          <w:u w:val="single"/>
        </w:rPr>
      </w:pP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 xml:space="preserve"> </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2917"/>
        <w:gridCol w:w="24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783" w:type="dxa"/>
            <w:noWrap w:val="0"/>
            <w:vAlign w:val="center"/>
          </w:tcPr>
          <w:p>
            <w:pPr>
              <w:spacing w:line="540" w:lineRule="exact"/>
              <w:ind w:firstLine="420"/>
              <w:jc w:val="center"/>
              <w:rPr>
                <w:rFonts w:hint="eastAsia" w:ascii="宋体" w:hAnsi="宋体" w:cs="宋体"/>
                <w:szCs w:val="21"/>
              </w:rPr>
            </w:pPr>
            <w:r>
              <w:rPr>
                <w:rFonts w:hint="eastAsia" w:ascii="宋体" w:hAnsi="宋体" w:cs="宋体"/>
                <w:szCs w:val="21"/>
              </w:rPr>
              <w:t>项目名称</w:t>
            </w:r>
          </w:p>
        </w:tc>
        <w:tc>
          <w:tcPr>
            <w:tcW w:w="2917" w:type="dxa"/>
            <w:noWrap w:val="0"/>
            <w:vAlign w:val="center"/>
          </w:tcPr>
          <w:p>
            <w:pPr>
              <w:spacing w:line="540" w:lineRule="exact"/>
              <w:ind w:firstLine="420"/>
              <w:jc w:val="center"/>
              <w:rPr>
                <w:rFonts w:hint="eastAsia" w:ascii="宋体" w:hAnsi="宋体" w:cs="宋体"/>
                <w:szCs w:val="21"/>
              </w:rPr>
            </w:pPr>
            <w:r>
              <w:rPr>
                <w:rFonts w:hint="eastAsia" w:ascii="宋体" w:hAnsi="宋体" w:cs="宋体"/>
                <w:szCs w:val="21"/>
              </w:rPr>
              <w:t>一年服务费（元）</w:t>
            </w:r>
          </w:p>
        </w:tc>
        <w:tc>
          <w:tcPr>
            <w:tcW w:w="2410" w:type="dxa"/>
            <w:noWrap w:val="0"/>
            <w:vAlign w:val="center"/>
          </w:tcPr>
          <w:p>
            <w:pPr>
              <w:spacing w:line="540" w:lineRule="exact"/>
              <w:ind w:firstLine="420"/>
              <w:jc w:val="center"/>
              <w:rPr>
                <w:rFonts w:hint="eastAsia" w:ascii="宋体" w:hAnsi="宋体" w:cs="宋体"/>
                <w:szCs w:val="21"/>
              </w:rPr>
            </w:pPr>
            <w:r>
              <w:rPr>
                <w:rFonts w:hint="eastAsia" w:ascii="宋体" w:hAnsi="宋体" w:cs="宋体"/>
                <w:szCs w:val="21"/>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783" w:type="dxa"/>
            <w:noWrap w:val="0"/>
            <w:vAlign w:val="center"/>
          </w:tcPr>
          <w:p>
            <w:pPr>
              <w:rPr>
                <w:rFonts w:hint="eastAsia"/>
              </w:rPr>
            </w:pPr>
            <w:r>
              <w:rPr>
                <w:rFonts w:hint="eastAsia"/>
              </w:rPr>
              <w:t>慈溪市环杭州湾创新中心公共空间一体化管理服务</w:t>
            </w:r>
          </w:p>
        </w:tc>
        <w:tc>
          <w:tcPr>
            <w:tcW w:w="2917" w:type="dxa"/>
            <w:noWrap w:val="0"/>
            <w:vAlign w:val="top"/>
          </w:tcPr>
          <w:p>
            <w:pPr>
              <w:spacing w:line="540" w:lineRule="exact"/>
              <w:ind w:firstLine="420"/>
              <w:rPr>
                <w:rFonts w:hint="eastAsia"/>
              </w:rPr>
            </w:pPr>
            <w:r>
              <w:rPr>
                <w:rFonts w:hint="eastAsia"/>
              </w:rPr>
              <w:t>小写：</w:t>
            </w:r>
          </w:p>
          <w:p>
            <w:pPr>
              <w:pStyle w:val="2"/>
            </w:pPr>
            <w:r>
              <w:rPr>
                <w:rFonts w:hint="eastAsia"/>
                <w:sz w:val="21"/>
                <w:szCs w:val="22"/>
              </w:rPr>
              <w:t>大写：</w:t>
            </w:r>
          </w:p>
        </w:tc>
        <w:tc>
          <w:tcPr>
            <w:tcW w:w="2410" w:type="dxa"/>
            <w:noWrap w:val="0"/>
            <w:vAlign w:val="center"/>
          </w:tcPr>
          <w:p>
            <w:pPr>
              <w:ind w:firstLine="420"/>
              <w:jc w:val="center"/>
              <w:rPr>
                <w:rFonts w:hint="eastAsia" w:ascii="宋体" w:hAnsi="宋体" w:cs="宋体"/>
                <w:szCs w:val="21"/>
              </w:rPr>
            </w:pPr>
            <w:r>
              <w:rPr>
                <w:rFonts w:hint="eastAsia" w:ascii="宋体" w:hAnsi="宋体" w:cs="宋体"/>
                <w:szCs w:val="21"/>
              </w:rPr>
              <w:t xml:space="preserve"> </w:t>
            </w:r>
          </w:p>
        </w:tc>
      </w:tr>
    </w:tbl>
    <w:p>
      <w:pPr>
        <w:spacing w:line="540" w:lineRule="exact"/>
        <w:ind w:left="539" w:firstLine="420"/>
        <w:rPr>
          <w:rFonts w:hint="eastAsia" w:ascii="宋体" w:hAnsi="宋体" w:cs="宋体"/>
          <w:szCs w:val="21"/>
        </w:rPr>
      </w:pPr>
      <w:r>
        <w:rPr>
          <w:rFonts w:hint="eastAsia" w:ascii="宋体" w:hAnsi="宋体" w:cs="宋体"/>
          <w:szCs w:val="21"/>
        </w:rPr>
        <w:t>备注： 公开招标实行一次性报价，投标价即为最终有效价。</w:t>
      </w:r>
    </w:p>
    <w:p>
      <w:pPr>
        <w:ind w:firstLine="422"/>
        <w:rPr>
          <w:rFonts w:hint="eastAsia" w:ascii="宋体" w:hAnsi="宋体" w:cs="宋体"/>
          <w:b/>
          <w:bCs/>
          <w:szCs w:val="21"/>
        </w:rPr>
      </w:pPr>
    </w:p>
    <w:p>
      <w:pPr>
        <w:spacing w:line="400" w:lineRule="exact"/>
        <w:ind w:firstLine="3570" w:firstLineChars="1700"/>
        <w:rPr>
          <w:rFonts w:hint="eastAsia" w:ascii="宋体" w:hAnsi="宋体" w:cs="宋体"/>
          <w:szCs w:val="21"/>
        </w:rPr>
      </w:pPr>
    </w:p>
    <w:p>
      <w:pPr>
        <w:spacing w:line="360" w:lineRule="auto"/>
        <w:ind w:left="170" w:firstLine="1680" w:firstLineChars="800"/>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Style w:val="106"/>
          <w:rFonts w:hint="eastAsia" w:ascii="宋体" w:hAnsi="宋体" w:cs="宋体"/>
          <w:szCs w:val="24"/>
        </w:rPr>
      </w:pPr>
      <w:r>
        <w:rPr>
          <w:rStyle w:val="106"/>
          <w:rFonts w:hint="eastAsia" w:ascii="宋体" w:hAnsi="宋体" w:cs="宋体"/>
          <w:szCs w:val="24"/>
        </w:rPr>
        <w:t>附件</w:t>
      </w:r>
    </w:p>
    <w:p>
      <w:pPr>
        <w:pStyle w:val="2"/>
        <w:ind w:firstLine="480"/>
        <w:rPr>
          <w:rFonts w:hint="eastAsia"/>
        </w:rPr>
      </w:pPr>
    </w:p>
    <w:p>
      <w:pPr>
        <w:jc w:val="center"/>
        <w:rPr>
          <w:rFonts w:hint="eastAsia" w:ascii="宋体" w:hAnsi="宋体" w:cs="宋体"/>
          <w:b/>
          <w:sz w:val="30"/>
          <w:szCs w:val="30"/>
        </w:rPr>
      </w:pPr>
      <w:r>
        <w:rPr>
          <w:rFonts w:hint="eastAsia" w:ascii="宋体" w:hAnsi="宋体" w:cs="宋体"/>
          <w:b/>
          <w:sz w:val="30"/>
          <w:szCs w:val="30"/>
        </w:rPr>
        <w:t>报价明细表</w:t>
      </w:r>
    </w:p>
    <w:p>
      <w:pPr>
        <w:pStyle w:val="2"/>
        <w:ind w:firstLine="480"/>
        <w:rPr>
          <w:rFonts w:hint="eastAsia"/>
        </w:rPr>
      </w:pPr>
    </w:p>
    <w:p>
      <w:pPr>
        <w:adjustRightInd w:val="0"/>
        <w:snapToGrid w:val="0"/>
        <w:spacing w:after="120" w:afterLines="50"/>
        <w:rPr>
          <w:rFonts w:hint="eastAsia" w:ascii="宋体" w:hAnsi="宋体" w:cs="宋体"/>
          <w:szCs w:val="21"/>
          <w:u w:val="single"/>
        </w:rPr>
      </w:pPr>
      <w:r>
        <w:rPr>
          <w:rFonts w:hint="eastAsia" w:ascii="宋体" w:hAnsi="宋体" w:cs="宋体"/>
          <w:kern w:val="0"/>
          <w:szCs w:val="21"/>
        </w:rPr>
        <w:t>项目名称：</w:t>
      </w:r>
      <w:r>
        <w:rPr>
          <w:rFonts w:hint="eastAsia" w:ascii="宋体" w:hAnsi="宋体" w:cs="宋体"/>
          <w:szCs w:val="21"/>
          <w:u w:val="single"/>
        </w:rPr>
        <w:t>慈溪市环杭州湾创新中心公共空间一体化管理服务采购项目</w:t>
      </w:r>
    </w:p>
    <w:p>
      <w:pPr>
        <w:adjustRightInd w:val="0"/>
        <w:snapToGrid w:val="0"/>
        <w:spacing w:after="120" w:afterLines="50"/>
        <w:rPr>
          <w:rFonts w:hint="eastAsia" w:ascii="宋体" w:hAnsi="宋体" w:cs="宋体"/>
          <w:szCs w:val="21"/>
          <w:u w:val="single"/>
        </w:rPr>
      </w:pP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 xml:space="preserve"> </w:t>
      </w:r>
    </w:p>
    <w:p>
      <w:pPr>
        <w:adjustRightInd w:val="0"/>
        <w:snapToGrid w:val="0"/>
        <w:spacing w:after="120" w:afterLines="50"/>
        <w:ind w:firstLine="210" w:firstLineChars="100"/>
        <w:rPr>
          <w:rFonts w:hint="eastAsia" w:ascii="宋体" w:hAnsi="宋体" w:cs="宋体"/>
          <w:b/>
          <w:spacing w:val="20"/>
          <w:szCs w:val="21"/>
        </w:rPr>
      </w:pPr>
      <w:r>
        <w:rPr>
          <w:rFonts w:hint="eastAsia" w:ascii="宋体" w:hAnsi="宋体" w:cs="仿宋_GB2312"/>
          <w:kern w:val="0"/>
          <w:szCs w:val="21"/>
        </w:rPr>
        <w:t xml:space="preserve"> </w:t>
      </w:r>
    </w:p>
    <w:tbl>
      <w:tblPr>
        <w:tblStyle w:val="44"/>
        <w:tblW w:w="87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3605"/>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42" w:type="dxa"/>
            <w:noWrap w:val="0"/>
            <w:vAlign w:val="center"/>
          </w:tcPr>
          <w:p>
            <w:pPr>
              <w:spacing w:line="400" w:lineRule="exact"/>
              <w:jc w:val="center"/>
              <w:rPr>
                <w:rFonts w:hint="eastAsia" w:ascii="宋体" w:hAnsi="宋体"/>
                <w:b/>
                <w:bCs/>
                <w:szCs w:val="21"/>
              </w:rPr>
            </w:pPr>
            <w:r>
              <w:rPr>
                <w:rFonts w:hint="eastAsia" w:ascii="宋体" w:hAnsi="宋体"/>
                <w:b/>
                <w:bCs/>
                <w:szCs w:val="21"/>
              </w:rPr>
              <w:t>序号</w:t>
            </w:r>
          </w:p>
        </w:tc>
        <w:tc>
          <w:tcPr>
            <w:tcW w:w="3605" w:type="dxa"/>
            <w:noWrap w:val="0"/>
            <w:vAlign w:val="center"/>
          </w:tcPr>
          <w:p>
            <w:pPr>
              <w:spacing w:line="400" w:lineRule="exact"/>
              <w:jc w:val="center"/>
              <w:rPr>
                <w:rFonts w:hint="eastAsia" w:ascii="宋体" w:hAnsi="宋体"/>
                <w:b/>
                <w:bCs/>
                <w:szCs w:val="21"/>
              </w:rPr>
            </w:pPr>
            <w:r>
              <w:rPr>
                <w:rFonts w:hint="eastAsia" w:ascii="宋体" w:hAnsi="宋体"/>
                <w:b/>
                <w:bCs/>
                <w:szCs w:val="21"/>
              </w:rPr>
              <w:t>内容</w:t>
            </w:r>
          </w:p>
        </w:tc>
        <w:tc>
          <w:tcPr>
            <w:tcW w:w="3696" w:type="dxa"/>
            <w:noWrap w:val="0"/>
            <w:vAlign w:val="center"/>
          </w:tcPr>
          <w:p>
            <w:pPr>
              <w:spacing w:line="400" w:lineRule="exact"/>
              <w:jc w:val="center"/>
              <w:rPr>
                <w:rFonts w:hint="eastAsia" w:ascii="宋体" w:hAnsi="宋体"/>
                <w:b/>
                <w:bCs/>
                <w:szCs w:val="21"/>
              </w:rPr>
            </w:pPr>
            <w:r>
              <w:rPr>
                <w:rFonts w:hint="eastAsia" w:ascii="宋体" w:hAnsi="宋体"/>
                <w:b/>
                <w:bCs/>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caps/>
                <w:szCs w:val="21"/>
              </w:rPr>
            </w:pPr>
            <w:r>
              <w:rPr>
                <w:rFonts w:hint="eastAsia" w:ascii="宋体" w:hAnsi="宋体"/>
                <w:caps/>
                <w:szCs w:val="21"/>
              </w:rPr>
              <w:t>1</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人员工资</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保险福利费</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服装及装备费</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3605" w:type="dxa"/>
            <w:noWrap w:val="0"/>
            <w:vAlign w:val="center"/>
          </w:tcPr>
          <w:p>
            <w:pPr>
              <w:spacing w:line="400" w:lineRule="exact"/>
              <w:jc w:val="center"/>
              <w:rPr>
                <w:rFonts w:hint="eastAsia" w:ascii="宋体" w:hAnsi="宋体"/>
                <w:szCs w:val="21"/>
              </w:rPr>
            </w:pPr>
            <w:r>
              <w:rPr>
                <w:rFonts w:hint="eastAsia" w:ascii="宋体" w:hAnsi="宋体" w:cs="仿宋_GB2312"/>
                <w:szCs w:val="21"/>
              </w:rPr>
              <w:t>车辆及设备损耗（含油费、保险费等）</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42"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3605" w:type="dxa"/>
            <w:noWrap w:val="0"/>
            <w:vAlign w:val="center"/>
          </w:tcPr>
          <w:p>
            <w:pPr>
              <w:spacing w:line="400" w:lineRule="exact"/>
              <w:jc w:val="center"/>
              <w:rPr>
                <w:rFonts w:hint="eastAsia" w:ascii="宋体" w:hAnsi="宋体" w:cs="仿宋_GB2312"/>
                <w:szCs w:val="21"/>
              </w:rPr>
            </w:pPr>
            <w:r>
              <w:rPr>
                <w:rFonts w:hint="eastAsia" w:ascii="宋体" w:hAnsi="宋体" w:cs="仿宋_GB2312"/>
                <w:szCs w:val="21"/>
              </w:rPr>
              <w:t>垃圾直运及厕所吸粪</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3605" w:type="dxa"/>
            <w:noWrap w:val="0"/>
            <w:vAlign w:val="center"/>
          </w:tcPr>
          <w:p>
            <w:pPr>
              <w:spacing w:line="400" w:lineRule="exact"/>
              <w:jc w:val="center"/>
              <w:rPr>
                <w:rFonts w:hint="eastAsia" w:ascii="宋体" w:hAnsi="宋体" w:cs="仿宋_GB2312"/>
                <w:szCs w:val="21"/>
              </w:rPr>
            </w:pPr>
            <w:r>
              <w:rPr>
                <w:rFonts w:hint="eastAsia" w:ascii="宋体" w:hAnsi="宋体" w:cs="仿宋_GB2312"/>
                <w:szCs w:val="21"/>
              </w:rPr>
              <w:t>物业用房装修级办公设备购置</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szCs w:val="21"/>
              </w:rPr>
            </w:pPr>
            <w:r>
              <w:rPr>
                <w:rFonts w:hint="eastAsia" w:ascii="宋体" w:hAnsi="宋体"/>
                <w:szCs w:val="21"/>
              </w:rPr>
              <w:t>7</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各类工具及各类消耗品等</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hint="eastAsia" w:ascii="宋体" w:hAnsi="宋体"/>
                <w:szCs w:val="21"/>
              </w:rPr>
            </w:pPr>
            <w:r>
              <w:rPr>
                <w:rFonts w:hint="eastAsia" w:ascii="宋体" w:hAnsi="宋体"/>
                <w:szCs w:val="21"/>
              </w:rPr>
              <w:t>8</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绿化养护费</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42" w:type="dxa"/>
            <w:noWrap w:val="0"/>
            <w:vAlign w:val="center"/>
          </w:tcPr>
          <w:p>
            <w:pPr>
              <w:spacing w:line="400" w:lineRule="exact"/>
              <w:jc w:val="center"/>
              <w:rPr>
                <w:rFonts w:ascii="宋体" w:hAnsi="宋体"/>
                <w:szCs w:val="21"/>
              </w:rPr>
            </w:pPr>
            <w:r>
              <w:rPr>
                <w:rFonts w:hint="eastAsia" w:ascii="宋体" w:hAnsi="宋体"/>
                <w:szCs w:val="21"/>
              </w:rPr>
              <w:t>9</w:t>
            </w:r>
          </w:p>
        </w:tc>
        <w:tc>
          <w:tcPr>
            <w:tcW w:w="3605" w:type="dxa"/>
            <w:noWrap w:val="0"/>
            <w:vAlign w:val="center"/>
          </w:tcPr>
          <w:p>
            <w:pPr>
              <w:spacing w:line="400" w:lineRule="exact"/>
              <w:jc w:val="center"/>
              <w:rPr>
                <w:rFonts w:ascii="宋体" w:hAnsi="宋体"/>
                <w:szCs w:val="21"/>
              </w:rPr>
            </w:pPr>
            <w:r>
              <w:rPr>
                <w:rFonts w:hint="eastAsia" w:ascii="宋体" w:hAnsi="宋体"/>
                <w:szCs w:val="21"/>
              </w:rPr>
              <w:t>保洁服务费</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2" w:type="dxa"/>
            <w:noWrap w:val="0"/>
            <w:vAlign w:val="center"/>
          </w:tcPr>
          <w:p>
            <w:pPr>
              <w:spacing w:line="400" w:lineRule="exact"/>
              <w:jc w:val="center"/>
              <w:rPr>
                <w:rFonts w:ascii="宋体" w:hAnsi="宋体"/>
                <w:szCs w:val="21"/>
              </w:rPr>
            </w:pPr>
            <w:r>
              <w:rPr>
                <w:rFonts w:hint="eastAsia" w:ascii="宋体" w:hAnsi="宋体"/>
                <w:szCs w:val="21"/>
              </w:rPr>
              <w:t>10</w:t>
            </w:r>
          </w:p>
        </w:tc>
        <w:tc>
          <w:tcPr>
            <w:tcW w:w="3605" w:type="dxa"/>
            <w:noWrap w:val="0"/>
            <w:vAlign w:val="center"/>
          </w:tcPr>
          <w:p>
            <w:pPr>
              <w:spacing w:line="400" w:lineRule="exact"/>
              <w:jc w:val="center"/>
              <w:rPr>
                <w:rFonts w:ascii="宋体" w:hAnsi="宋体"/>
                <w:szCs w:val="21"/>
              </w:rPr>
            </w:pPr>
            <w:r>
              <w:rPr>
                <w:rFonts w:hint="eastAsia" w:ascii="宋体" w:hAnsi="宋体"/>
                <w:szCs w:val="21"/>
              </w:rPr>
              <w:t>设备设施的专业维护费</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ascii="宋体" w:hAnsi="宋体"/>
                <w:szCs w:val="21"/>
              </w:rPr>
            </w:pPr>
            <w:r>
              <w:rPr>
                <w:rFonts w:hint="eastAsia" w:ascii="宋体" w:hAnsi="宋体"/>
                <w:szCs w:val="21"/>
              </w:rPr>
              <w:t>11</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企业管理费及利润</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ascii="宋体" w:hAnsi="宋体"/>
                <w:szCs w:val="21"/>
              </w:rPr>
            </w:pPr>
            <w:r>
              <w:rPr>
                <w:rFonts w:hint="eastAsia" w:ascii="宋体" w:hAnsi="宋体"/>
                <w:szCs w:val="21"/>
              </w:rPr>
              <w:t>12</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税金</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ascii="宋体" w:hAnsi="宋体"/>
                <w:szCs w:val="21"/>
              </w:rPr>
            </w:pPr>
            <w:r>
              <w:rPr>
                <w:rFonts w:hint="eastAsia" w:ascii="宋体" w:hAnsi="宋体"/>
                <w:szCs w:val="21"/>
              </w:rPr>
              <w:t>13</w:t>
            </w:r>
          </w:p>
        </w:tc>
        <w:tc>
          <w:tcPr>
            <w:tcW w:w="3605" w:type="dxa"/>
            <w:noWrap w:val="0"/>
            <w:vAlign w:val="center"/>
          </w:tcPr>
          <w:p>
            <w:pPr>
              <w:spacing w:line="400" w:lineRule="exact"/>
              <w:jc w:val="center"/>
              <w:rPr>
                <w:rFonts w:ascii="宋体" w:hAnsi="宋体"/>
                <w:szCs w:val="21"/>
              </w:rPr>
            </w:pPr>
            <w:r>
              <w:rPr>
                <w:rFonts w:hint="eastAsia" w:ascii="宋体" w:hAnsi="宋体"/>
                <w:szCs w:val="21"/>
              </w:rPr>
              <w:t>绿化提升费（报价下浮率</w:t>
            </w:r>
            <w:r>
              <w:rPr>
                <w:rFonts w:hint="eastAsia" w:ascii="宋体" w:hAnsi="宋体"/>
                <w:szCs w:val="21"/>
                <w:u w:val="single"/>
              </w:rPr>
              <w:t xml:space="preserve">    </w:t>
            </w:r>
            <w:r>
              <w:rPr>
                <w:rFonts w:hint="eastAsia" w:ascii="宋体" w:hAnsi="宋体"/>
                <w:szCs w:val="21"/>
              </w:rPr>
              <w:t>%）</w:t>
            </w:r>
          </w:p>
        </w:tc>
        <w:tc>
          <w:tcPr>
            <w:tcW w:w="3696" w:type="dxa"/>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ascii="宋体" w:hAnsi="宋体"/>
                <w:szCs w:val="21"/>
              </w:rPr>
            </w:pPr>
            <w:r>
              <w:rPr>
                <w:rFonts w:hint="eastAsia" w:ascii="宋体" w:hAnsi="宋体"/>
                <w:szCs w:val="21"/>
              </w:rPr>
              <w:t>13</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其它费用</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noWrap w:val="0"/>
            <w:vAlign w:val="center"/>
          </w:tcPr>
          <w:p>
            <w:pPr>
              <w:spacing w:line="400" w:lineRule="exact"/>
              <w:jc w:val="center"/>
              <w:rPr>
                <w:rFonts w:ascii="宋体" w:hAnsi="宋体"/>
                <w:szCs w:val="21"/>
              </w:rPr>
            </w:pPr>
            <w:r>
              <w:rPr>
                <w:rFonts w:hint="eastAsia" w:ascii="宋体" w:hAnsi="宋体"/>
                <w:szCs w:val="21"/>
              </w:rPr>
              <w:t>14</w:t>
            </w:r>
          </w:p>
        </w:tc>
        <w:tc>
          <w:tcPr>
            <w:tcW w:w="3605" w:type="dxa"/>
            <w:noWrap w:val="0"/>
            <w:vAlign w:val="center"/>
          </w:tcPr>
          <w:p>
            <w:pPr>
              <w:spacing w:line="400" w:lineRule="exact"/>
              <w:jc w:val="center"/>
              <w:rPr>
                <w:rFonts w:hint="eastAsia" w:ascii="宋体" w:hAnsi="宋体"/>
                <w:szCs w:val="21"/>
              </w:rPr>
            </w:pPr>
            <w:r>
              <w:rPr>
                <w:rFonts w:hint="eastAsia" w:ascii="宋体" w:hAnsi="宋体"/>
                <w:szCs w:val="21"/>
              </w:rPr>
              <w:t>……</w:t>
            </w:r>
          </w:p>
        </w:tc>
        <w:tc>
          <w:tcPr>
            <w:tcW w:w="3696"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7" w:type="dxa"/>
            <w:gridSpan w:val="2"/>
            <w:noWrap w:val="0"/>
            <w:vAlign w:val="center"/>
          </w:tcPr>
          <w:p>
            <w:pPr>
              <w:spacing w:line="600" w:lineRule="exact"/>
              <w:jc w:val="center"/>
              <w:rPr>
                <w:rFonts w:ascii="宋体" w:hAnsi="宋体"/>
                <w:b/>
                <w:szCs w:val="21"/>
              </w:rPr>
            </w:pPr>
            <w:r>
              <w:rPr>
                <w:rFonts w:hint="eastAsia" w:ascii="宋体" w:hAnsi="宋体"/>
                <w:b/>
                <w:szCs w:val="21"/>
              </w:rPr>
              <w:t>合计报价</w:t>
            </w:r>
          </w:p>
        </w:tc>
        <w:tc>
          <w:tcPr>
            <w:tcW w:w="3696" w:type="dxa"/>
            <w:noWrap w:val="0"/>
            <w:vAlign w:val="center"/>
          </w:tcPr>
          <w:p>
            <w:pPr>
              <w:spacing w:line="600" w:lineRule="exact"/>
              <w:jc w:val="center"/>
              <w:rPr>
                <w:rFonts w:hint="eastAsia" w:ascii="宋体" w:hAnsi="宋体"/>
                <w:szCs w:val="21"/>
              </w:rPr>
            </w:pPr>
          </w:p>
        </w:tc>
      </w:tr>
    </w:tbl>
    <w:p>
      <w:pPr>
        <w:adjustRightInd w:val="0"/>
        <w:snapToGrid w:val="0"/>
        <w:ind w:firstLine="500"/>
        <w:jc w:val="center"/>
        <w:rPr>
          <w:rFonts w:hint="eastAsia" w:ascii="宋体" w:hAnsi="宋体" w:cs="宋体"/>
          <w:spacing w:val="20"/>
          <w:szCs w:val="21"/>
        </w:rPr>
      </w:pPr>
      <w:r>
        <w:rPr>
          <w:rFonts w:hint="eastAsia" w:ascii="宋体" w:hAnsi="宋体" w:cs="宋体"/>
          <w:spacing w:val="20"/>
          <w:szCs w:val="21"/>
        </w:rPr>
        <w:t xml:space="preserve">   </w:t>
      </w:r>
    </w:p>
    <w:p>
      <w:pPr>
        <w:pStyle w:val="3"/>
        <w:spacing w:line="360" w:lineRule="exact"/>
        <w:ind w:firstLine="0"/>
        <w:rPr>
          <w:rFonts w:hint="eastAsia" w:ascii="宋体" w:hAnsi="宋体"/>
          <w:sz w:val="22"/>
        </w:rPr>
      </w:pPr>
      <w:r>
        <w:rPr>
          <w:rFonts w:hint="eastAsia" w:ascii="宋体" w:hAnsi="宋体"/>
          <w:sz w:val="22"/>
        </w:rPr>
        <w:t>备注：1、所有费用都须附有具体的测算明细单。</w:t>
      </w:r>
    </w:p>
    <w:p>
      <w:pPr>
        <w:pStyle w:val="3"/>
        <w:spacing w:line="360" w:lineRule="exact"/>
        <w:ind w:firstLine="660" w:firstLineChars="300"/>
        <w:rPr>
          <w:rFonts w:hint="eastAsia" w:ascii="宋体" w:hAnsi="宋体"/>
          <w:sz w:val="22"/>
        </w:rPr>
      </w:pPr>
      <w:r>
        <w:rPr>
          <w:rFonts w:hint="eastAsia" w:ascii="宋体" w:hAnsi="宋体"/>
          <w:sz w:val="22"/>
        </w:rPr>
        <w:t>2、绿化提升费暂定20万元，序号13</w:t>
      </w:r>
      <w:r>
        <w:rPr>
          <w:rFonts w:hint="eastAsia" w:ascii="宋体" w:hAnsi="宋体"/>
          <w:szCs w:val="21"/>
        </w:rPr>
        <w:t>绿化提升费</w:t>
      </w:r>
      <w:r>
        <w:rPr>
          <w:rFonts w:hint="eastAsia" w:ascii="宋体" w:hAnsi="宋体"/>
          <w:sz w:val="22"/>
        </w:rPr>
        <w:t>报价=200000*（1-报价下浮率），结算按实调整，年度结算费不超过20万元。</w:t>
      </w:r>
    </w:p>
    <w:p>
      <w:pPr>
        <w:pStyle w:val="3"/>
        <w:spacing w:line="360" w:lineRule="exact"/>
        <w:ind w:firstLine="660" w:firstLineChars="300"/>
        <w:rPr>
          <w:rFonts w:hint="eastAsia" w:ascii="宋体" w:hAnsi="宋体"/>
          <w:sz w:val="22"/>
        </w:rPr>
      </w:pPr>
      <w:r>
        <w:rPr>
          <w:rFonts w:hint="eastAsia" w:ascii="宋体" w:hAnsi="宋体"/>
          <w:sz w:val="22"/>
        </w:rPr>
        <w:t>3、其它费用”投标供应商可根据实际情况自行填写，但必须注明具体的细目内容，栏目不够可自行添加。</w:t>
      </w:r>
    </w:p>
    <w:p>
      <w:pPr>
        <w:pStyle w:val="3"/>
        <w:spacing w:line="360" w:lineRule="exact"/>
        <w:ind w:firstLine="660" w:firstLineChars="300"/>
        <w:rPr>
          <w:rFonts w:hint="eastAsia" w:ascii="宋体" w:hAnsi="宋体"/>
          <w:sz w:val="22"/>
        </w:rPr>
      </w:pPr>
      <w:r>
        <w:rPr>
          <w:rFonts w:hint="eastAsia" w:ascii="宋体" w:hAnsi="宋体"/>
          <w:sz w:val="22"/>
        </w:rPr>
        <w:t>4、本表合计报价应与开标一览表的一年服务费一致。如不一致，以开标一览表为准。</w:t>
      </w:r>
    </w:p>
    <w:p>
      <w:pPr>
        <w:pStyle w:val="3"/>
        <w:spacing w:line="360" w:lineRule="exact"/>
        <w:ind w:firstLine="660" w:firstLineChars="300"/>
        <w:rPr>
          <w:rFonts w:hint="eastAsia" w:ascii="宋体" w:hAnsi="宋体"/>
          <w:sz w:val="22"/>
        </w:rPr>
      </w:pPr>
      <w:r>
        <w:rPr>
          <w:rFonts w:hint="eastAsia" w:ascii="宋体" w:hAnsi="宋体"/>
          <w:sz w:val="22"/>
        </w:rPr>
        <w:t>5、本表格式仅供参考，投标单位可根据自身情况自拟。</w:t>
      </w:r>
    </w:p>
    <w:p>
      <w:pPr>
        <w:spacing w:line="360" w:lineRule="auto"/>
        <w:ind w:left="170" w:firstLine="1680" w:firstLineChars="800"/>
        <w:rPr>
          <w:rFonts w:hint="eastAsia" w:ascii="宋体" w:hAnsi="宋体" w:cs="宋体"/>
          <w:szCs w:val="21"/>
        </w:rPr>
      </w:pPr>
    </w:p>
    <w:p>
      <w:pPr>
        <w:spacing w:line="360" w:lineRule="auto"/>
        <w:ind w:left="170" w:firstLine="4200" w:firstLineChars="2000"/>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szCs w:val="21"/>
        </w:rPr>
        <w:sectPr>
          <w:pgSz w:w="11906" w:h="16838"/>
          <w:pgMar w:top="1361" w:right="1247" w:bottom="1361" w:left="1361" w:header="851" w:footer="992" w:gutter="0"/>
          <w:cols w:space="720" w:num="1"/>
          <w:titlePg/>
          <w:docGrid w:linePitch="391" w:charSpace="0"/>
        </w:sect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jc w:val="left"/>
        <w:rPr>
          <w:rStyle w:val="106"/>
          <w:rFonts w:hint="eastAsia" w:ascii="宋体" w:hAnsi="宋体" w:cs="宋体"/>
          <w:sz w:val="30"/>
          <w:szCs w:val="30"/>
        </w:rPr>
      </w:pPr>
      <w:r>
        <w:rPr>
          <w:rStyle w:val="106"/>
          <w:rFonts w:hint="eastAsia" w:ascii="宋体" w:hAnsi="宋体" w:cs="宋体"/>
          <w:sz w:val="30"/>
          <w:szCs w:val="30"/>
        </w:rPr>
        <w:t>附件</w:t>
      </w:r>
    </w:p>
    <w:p>
      <w:pPr>
        <w:jc w:val="center"/>
        <w:rPr>
          <w:rStyle w:val="106"/>
          <w:rFonts w:hint="eastAsia" w:ascii="宋体" w:hAnsi="宋体" w:cs="宋体"/>
          <w:sz w:val="32"/>
          <w:szCs w:val="32"/>
        </w:rPr>
      </w:pPr>
    </w:p>
    <w:p>
      <w:pPr>
        <w:jc w:val="center"/>
        <w:rPr>
          <w:rFonts w:hint="eastAsia" w:ascii="宋体" w:hAnsi="宋体" w:cs="宋体"/>
          <w:b/>
          <w:sz w:val="30"/>
          <w:szCs w:val="30"/>
        </w:rPr>
      </w:pPr>
      <w:r>
        <w:rPr>
          <w:rFonts w:hint="eastAsia" w:ascii="宋体" w:hAnsi="宋体" w:cs="宋体"/>
          <w:b/>
          <w:sz w:val="30"/>
          <w:szCs w:val="30"/>
        </w:rPr>
        <w:t>中小企业声明函</w:t>
      </w:r>
    </w:p>
    <w:p>
      <w:pPr>
        <w:pStyle w:val="2"/>
        <w:ind w:firstLine="480"/>
        <w:rPr>
          <w:rFonts w:hint="eastAsia"/>
        </w:rPr>
      </w:pPr>
    </w:p>
    <w:p>
      <w:pPr>
        <w:pStyle w:val="40"/>
        <w:spacing w:before="0" w:beforeAutospacing="0" w:after="0" w:afterAutospacing="0"/>
        <w:ind w:firstLine="420"/>
        <w:jc w:val="both"/>
        <w:rPr>
          <w:rFonts w:hint="eastAsia"/>
          <w:kern w:val="2"/>
          <w:sz w:val="21"/>
          <w:szCs w:val="21"/>
        </w:rPr>
      </w:pPr>
    </w:p>
    <w:p>
      <w:pPr>
        <w:pStyle w:val="40"/>
        <w:spacing w:before="0" w:beforeAutospacing="0" w:after="0" w:afterAutospacing="0"/>
        <w:ind w:firstLine="420"/>
        <w:jc w:val="both"/>
        <w:rPr>
          <w:rFonts w:hint="eastAsia"/>
          <w:sz w:val="21"/>
          <w:szCs w:val="21"/>
        </w:rPr>
      </w:pPr>
      <w:r>
        <w:rPr>
          <w:rFonts w:hint="eastAsia"/>
          <w:kern w:val="2"/>
          <w:sz w:val="21"/>
          <w:szCs w:val="21"/>
        </w:rPr>
        <w:t>本公司郑重声明，根据《政府采购促进中小企业发展暂行办法》（财库[2011]181号）的规定，本公司为</w:t>
      </w:r>
      <w:bookmarkStart w:id="268" w:name="OLE_LINK5"/>
      <w:r>
        <w:rPr>
          <w:rFonts w:hint="eastAsia"/>
          <w:kern w:val="2"/>
          <w:sz w:val="21"/>
          <w:szCs w:val="21"/>
          <w:u w:val="single"/>
        </w:rPr>
        <w:t xml:space="preserve">     （请填写：中型、小型、微型）</w:t>
      </w:r>
      <w:r>
        <w:rPr>
          <w:rFonts w:hint="eastAsia"/>
          <w:kern w:val="2"/>
          <w:sz w:val="21"/>
          <w:szCs w:val="21"/>
        </w:rPr>
        <w:t>企业</w:t>
      </w:r>
      <w:bookmarkEnd w:id="268"/>
      <w:r>
        <w:rPr>
          <w:rFonts w:hint="eastAsia"/>
          <w:kern w:val="2"/>
          <w:sz w:val="21"/>
          <w:szCs w:val="21"/>
        </w:rPr>
        <w:t>。即，本公司同时满足以下条件：</w:t>
      </w:r>
    </w:p>
    <w:p>
      <w:pPr>
        <w:pStyle w:val="40"/>
        <w:spacing w:before="0" w:beforeAutospacing="0" w:after="0" w:afterAutospacing="0"/>
        <w:ind w:firstLine="420"/>
        <w:jc w:val="both"/>
        <w:rPr>
          <w:rFonts w:hint="eastAsia"/>
          <w:sz w:val="21"/>
          <w:szCs w:val="21"/>
        </w:rPr>
      </w:pPr>
      <w:r>
        <w:rPr>
          <w:rFonts w:hint="eastAsia"/>
          <w:kern w:val="2"/>
          <w:sz w:val="21"/>
          <w:szCs w:val="21"/>
        </w:rPr>
        <w:t>1、根据《工业和信息化部、国家统计局、国家发展和改革委员会、财政部《关于印发中小企业划型标准规定的通知》（工信部联企业[2011]300号）规定的划分标准，本公司为</w:t>
      </w:r>
      <w:r>
        <w:rPr>
          <w:rFonts w:hint="eastAsia"/>
          <w:kern w:val="2"/>
          <w:sz w:val="21"/>
          <w:szCs w:val="21"/>
          <w:u w:val="single"/>
        </w:rPr>
        <w:t>（请填写：中型、小型、微型）</w:t>
      </w:r>
      <w:r>
        <w:rPr>
          <w:rFonts w:hint="eastAsia"/>
          <w:kern w:val="2"/>
          <w:sz w:val="21"/>
          <w:szCs w:val="21"/>
        </w:rPr>
        <w:t>企业。</w:t>
      </w:r>
    </w:p>
    <w:p>
      <w:pPr>
        <w:pStyle w:val="40"/>
        <w:spacing w:before="0" w:beforeAutospacing="0" w:after="0" w:afterAutospacing="0"/>
        <w:ind w:firstLine="420"/>
        <w:jc w:val="both"/>
        <w:rPr>
          <w:rFonts w:hint="eastAsia"/>
          <w:kern w:val="2"/>
          <w:sz w:val="21"/>
          <w:szCs w:val="21"/>
        </w:rPr>
      </w:pPr>
      <w:r>
        <w:rPr>
          <w:rFonts w:hint="eastAsia"/>
          <w:kern w:val="2"/>
          <w:sz w:val="21"/>
          <w:szCs w:val="21"/>
        </w:rPr>
        <w:t>2、本公司参加</w:t>
      </w:r>
      <w:r>
        <w:rPr>
          <w:rFonts w:hint="eastAsia"/>
          <w:kern w:val="2"/>
          <w:sz w:val="21"/>
          <w:szCs w:val="21"/>
          <w:u w:val="single"/>
        </w:rPr>
        <w:t>（采购人名称）</w:t>
      </w:r>
      <w:r>
        <w:rPr>
          <w:rFonts w:hint="eastAsia"/>
          <w:kern w:val="2"/>
          <w:sz w:val="21"/>
          <w:szCs w:val="21"/>
        </w:rPr>
        <w:t>单位的</w:t>
      </w:r>
      <w:r>
        <w:rPr>
          <w:rFonts w:hint="eastAsia"/>
          <w:kern w:val="2"/>
          <w:sz w:val="21"/>
          <w:szCs w:val="21"/>
          <w:u w:val="single"/>
        </w:rPr>
        <w:t>（项目名称）</w:t>
      </w:r>
      <w:r>
        <w:rPr>
          <w:rFonts w:hint="eastAsia"/>
          <w:kern w:val="2"/>
          <w:sz w:val="21"/>
          <w:szCs w:val="21"/>
        </w:rPr>
        <w:t>项目采购活动提供本企业制造的货物，由本企业承担工程、提供服务，或者提供其他</w:t>
      </w:r>
      <w:r>
        <w:rPr>
          <w:rFonts w:hint="eastAsia"/>
          <w:kern w:val="2"/>
          <w:sz w:val="21"/>
          <w:szCs w:val="21"/>
          <w:u w:val="single"/>
        </w:rPr>
        <w:t>（请填写：中型、小型、微型）</w:t>
      </w:r>
      <w:r>
        <w:rPr>
          <w:rFonts w:hint="eastAsia"/>
          <w:kern w:val="2"/>
          <w:sz w:val="21"/>
          <w:szCs w:val="21"/>
        </w:rPr>
        <w:t>企业制造的货物。本条所称货物不包括使用大型企业注册商标的货物。</w:t>
      </w:r>
    </w:p>
    <w:p>
      <w:pPr>
        <w:pStyle w:val="40"/>
        <w:spacing w:before="0" w:beforeAutospacing="0" w:after="0" w:afterAutospacing="0"/>
        <w:ind w:firstLine="420"/>
        <w:jc w:val="both"/>
        <w:rPr>
          <w:rFonts w:hint="eastAsia"/>
          <w:sz w:val="21"/>
          <w:szCs w:val="21"/>
        </w:rPr>
      </w:pPr>
      <w:r>
        <w:rPr>
          <w:rFonts w:hint="eastAsia"/>
          <w:kern w:val="2"/>
          <w:sz w:val="21"/>
          <w:szCs w:val="21"/>
        </w:rPr>
        <w:t>本公司对上述声明的真实性负责。如有虚假，将依法承担相应责任。</w:t>
      </w:r>
    </w:p>
    <w:p>
      <w:pPr>
        <w:pStyle w:val="40"/>
        <w:spacing w:before="0" w:beforeAutospacing="0" w:after="120" w:afterAutospacing="0" w:line="480" w:lineRule="exact"/>
        <w:ind w:left="420" w:leftChars="200" w:firstLine="420"/>
        <w:jc w:val="both"/>
        <w:rPr>
          <w:rFonts w:hint="eastAsia"/>
          <w:sz w:val="21"/>
          <w:szCs w:val="21"/>
        </w:rPr>
      </w:pPr>
    </w:p>
    <w:p>
      <w:pPr>
        <w:pStyle w:val="40"/>
        <w:spacing w:before="0" w:beforeAutospacing="0" w:after="0" w:afterAutospacing="0" w:line="360" w:lineRule="auto"/>
        <w:ind w:firstLine="420"/>
        <w:jc w:val="right"/>
        <w:rPr>
          <w:rFonts w:hint="eastAsia"/>
          <w:kern w:val="2"/>
          <w:sz w:val="21"/>
          <w:szCs w:val="21"/>
        </w:rPr>
      </w:pPr>
      <w:r>
        <w:rPr>
          <w:rFonts w:hint="eastAsia"/>
          <w:kern w:val="2"/>
          <w:sz w:val="21"/>
          <w:szCs w:val="21"/>
        </w:rPr>
        <w:t>企业名称：</w:t>
      </w:r>
      <w:r>
        <w:rPr>
          <w:rFonts w:hint="eastAsia"/>
          <w:kern w:val="2"/>
          <w:sz w:val="21"/>
          <w:szCs w:val="21"/>
          <w:u w:val="single"/>
        </w:rPr>
        <w:t xml:space="preserve">                 </w:t>
      </w:r>
      <w:r>
        <w:rPr>
          <w:rFonts w:hint="eastAsia"/>
          <w:kern w:val="2"/>
          <w:sz w:val="21"/>
          <w:szCs w:val="21"/>
        </w:rPr>
        <w:t>（盖章）</w:t>
      </w:r>
    </w:p>
    <w:p>
      <w:pPr>
        <w:spacing w:line="360" w:lineRule="auto"/>
        <w:jc w:val="center"/>
        <w:rPr>
          <w:rFonts w:hint="eastAsia" w:ascii="宋体" w:hAnsi="宋体" w:cs="宋体"/>
          <w:szCs w:val="21"/>
        </w:r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jc w:val="left"/>
        <w:rPr>
          <w:rStyle w:val="106"/>
          <w:rFonts w:hint="eastAsia" w:ascii="宋体" w:hAnsi="宋体" w:cs="宋体"/>
          <w:sz w:val="30"/>
          <w:szCs w:val="30"/>
        </w:rPr>
      </w:pPr>
    </w:p>
    <w:p>
      <w:pPr>
        <w:spacing w:line="400" w:lineRule="exact"/>
        <w:jc w:val="left"/>
        <w:rPr>
          <w:rStyle w:val="106"/>
          <w:rFonts w:hint="eastAsia" w:ascii="宋体" w:hAnsi="宋体" w:cs="宋体"/>
          <w:sz w:val="30"/>
          <w:szCs w:val="30"/>
        </w:rPr>
      </w:pPr>
    </w:p>
    <w:p>
      <w:pPr>
        <w:spacing w:line="400" w:lineRule="exact"/>
        <w:rPr>
          <w:rFonts w:hint="eastAsia" w:ascii="宋体" w:hAnsi="宋体" w:cs="宋体"/>
        </w:rPr>
      </w:pPr>
      <w:r>
        <w:rPr>
          <w:rFonts w:hint="eastAsia" w:ascii="宋体" w:hAnsi="宋体" w:cs="宋体"/>
          <w:szCs w:val="24"/>
          <w:lang w:bidi="ar"/>
        </w:rPr>
        <w:t>填写说明：</w:t>
      </w:r>
    </w:p>
    <w:p>
      <w:pPr>
        <w:spacing w:line="400" w:lineRule="exact"/>
        <w:ind w:firstLine="420" w:firstLineChars="200"/>
        <w:rPr>
          <w:rFonts w:hint="eastAsia" w:ascii="宋体" w:hAnsi="宋体" w:cs="宋体"/>
        </w:rPr>
      </w:pPr>
      <w:r>
        <w:rPr>
          <w:rFonts w:hint="eastAsia" w:ascii="宋体" w:hAnsi="宋体" w:cs="宋体"/>
          <w:szCs w:val="24"/>
          <w:lang w:bidi="ar"/>
        </w:rPr>
        <w:t>1、本声明函为财库[2011]181号文附表的标准格式，必须按该格式填写；本声明函由供应商填写，请认真阅读相关政策文件；</w:t>
      </w:r>
    </w:p>
    <w:p>
      <w:pPr>
        <w:spacing w:line="400" w:lineRule="exact"/>
        <w:ind w:firstLine="420" w:firstLineChars="200"/>
        <w:rPr>
          <w:rFonts w:hint="eastAsia" w:ascii="宋体" w:hAnsi="宋体" w:cs="宋体"/>
        </w:rPr>
      </w:pPr>
      <w:r>
        <w:rPr>
          <w:rFonts w:hint="eastAsia" w:ascii="宋体" w:hAnsi="宋体" w:cs="宋体"/>
          <w:szCs w:val="24"/>
          <w:lang w:bidi="ar"/>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spacing w:line="400" w:lineRule="exact"/>
        <w:ind w:firstLine="420" w:firstLineChars="200"/>
        <w:rPr>
          <w:rFonts w:hint="eastAsia" w:ascii="宋体" w:hAnsi="宋体" w:cs="宋体"/>
        </w:rPr>
      </w:pPr>
      <w:r>
        <w:rPr>
          <w:rFonts w:hint="eastAsia" w:ascii="宋体" w:hAnsi="宋体" w:cs="宋体"/>
          <w:szCs w:val="24"/>
          <w:lang w:bidi="ar"/>
        </w:rPr>
        <w:t>3、小型、微型企业提供中型企业制造的货物时视同中型企业，因此，只有小微企业提供自己的货物或者小微企业提供其他小微企业的货物时，供应商才算小微企业，才能享受评标标准里的价格扣除优惠。</w:t>
      </w:r>
    </w:p>
    <w:p>
      <w:pPr>
        <w:spacing w:line="400" w:lineRule="exact"/>
        <w:jc w:val="left"/>
        <w:rPr>
          <w:rStyle w:val="106"/>
          <w:rFonts w:hint="eastAsia" w:ascii="宋体" w:hAnsi="宋体" w:cs="宋体"/>
          <w:sz w:val="30"/>
          <w:szCs w:val="30"/>
        </w:rPr>
      </w:pPr>
      <w:r>
        <w:rPr>
          <w:rStyle w:val="106"/>
          <w:rFonts w:hint="eastAsia" w:ascii="宋体" w:hAnsi="宋体" w:cs="宋体"/>
          <w:sz w:val="30"/>
          <w:szCs w:val="30"/>
        </w:rPr>
        <w:br w:type="page"/>
      </w:r>
      <w:r>
        <w:rPr>
          <w:rStyle w:val="106"/>
          <w:rFonts w:hint="eastAsia" w:ascii="宋体" w:hAnsi="宋体" w:cs="宋体"/>
          <w:sz w:val="30"/>
          <w:szCs w:val="30"/>
        </w:rPr>
        <w:t>附件</w:t>
      </w:r>
    </w:p>
    <w:p>
      <w:pPr>
        <w:jc w:val="center"/>
        <w:rPr>
          <w:rFonts w:hint="eastAsia" w:ascii="宋体" w:hAnsi="宋体" w:cs="宋体"/>
          <w:b/>
          <w:sz w:val="30"/>
          <w:szCs w:val="30"/>
        </w:rPr>
      </w:pPr>
      <w:r>
        <w:rPr>
          <w:rFonts w:hint="eastAsia" w:ascii="宋体" w:hAnsi="宋体" w:cs="宋体"/>
          <w:b/>
          <w:sz w:val="30"/>
          <w:szCs w:val="30"/>
        </w:rPr>
        <w:t>残疾人福利性单位声明函</w:t>
      </w:r>
    </w:p>
    <w:p>
      <w:pPr>
        <w:spacing w:line="588" w:lineRule="exact"/>
        <w:ind w:firstLine="446"/>
        <w:rPr>
          <w:rFonts w:hint="eastAsia" w:ascii="宋体" w:hAnsi="宋体" w:cs="宋体"/>
          <w:b/>
          <w:spacing w:val="6"/>
          <w:szCs w:val="21"/>
        </w:rPr>
      </w:pPr>
    </w:p>
    <w:p>
      <w:pPr>
        <w:spacing w:line="588" w:lineRule="exact"/>
        <w:ind w:firstLine="444"/>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rPr>
          <w:rFonts w:hint="eastAsia" w:ascii="宋体" w:hAnsi="宋体" w:cs="宋体"/>
          <w:spacing w:val="6"/>
          <w:szCs w:val="21"/>
        </w:rPr>
      </w:pPr>
    </w:p>
    <w:p>
      <w:pPr>
        <w:spacing w:line="588" w:lineRule="exact"/>
        <w:ind w:firstLine="444"/>
        <w:rPr>
          <w:rFonts w:hint="eastAsia" w:ascii="宋体" w:hAnsi="宋体" w:cs="宋体"/>
          <w:spacing w:val="6"/>
          <w:szCs w:val="21"/>
        </w:rPr>
      </w:pPr>
    </w:p>
    <w:p>
      <w:pPr>
        <w:tabs>
          <w:tab w:val="left" w:pos="4860"/>
        </w:tabs>
        <w:spacing w:line="588" w:lineRule="exact"/>
        <w:ind w:right="1560" w:firstLine="444"/>
        <w:jc w:val="center"/>
        <w:rPr>
          <w:rFonts w:hint="eastAsia" w:ascii="宋体" w:hAnsi="宋体" w:cs="宋体"/>
          <w:spacing w:val="6"/>
          <w:szCs w:val="21"/>
        </w:rPr>
      </w:pPr>
      <w:r>
        <w:rPr>
          <w:rFonts w:hint="eastAsia" w:ascii="宋体" w:hAnsi="宋体" w:cs="宋体"/>
          <w:spacing w:val="6"/>
          <w:szCs w:val="21"/>
        </w:rPr>
        <w:t xml:space="preserve">               供应商名称（盖章）：</w:t>
      </w:r>
    </w:p>
    <w:p>
      <w:pPr>
        <w:tabs>
          <w:tab w:val="left" w:pos="4860"/>
        </w:tabs>
        <w:spacing w:line="588" w:lineRule="exact"/>
        <w:ind w:right="1560" w:firstLine="444"/>
        <w:jc w:val="center"/>
        <w:rPr>
          <w:rFonts w:hint="eastAsia" w:ascii="宋体" w:hAnsi="宋体" w:cs="宋体"/>
          <w:spacing w:val="6"/>
          <w:szCs w:val="21"/>
        </w:rPr>
      </w:pPr>
      <w:r>
        <w:rPr>
          <w:rFonts w:hint="eastAsia" w:ascii="宋体" w:hAnsi="宋体" w:cs="宋体"/>
          <w:spacing w:val="6"/>
          <w:szCs w:val="21"/>
        </w:rPr>
        <w:t xml:space="preserve">       日  期：</w:t>
      </w:r>
    </w:p>
    <w:p>
      <w:pPr>
        <w:spacing w:line="400" w:lineRule="exact"/>
        <w:jc w:val="left"/>
        <w:rPr>
          <w:rStyle w:val="106"/>
          <w:rFonts w:hint="eastAsia" w:ascii="宋体" w:hAnsi="宋体" w:cs="仿宋_GB2312"/>
          <w:sz w:val="30"/>
          <w:szCs w:val="30"/>
        </w:rPr>
      </w:pPr>
      <w:r>
        <w:rPr>
          <w:rFonts w:hint="eastAsia" w:ascii="宋体" w:hAnsi="宋体" w:cs="宋体"/>
          <w:spacing w:val="6"/>
          <w:szCs w:val="21"/>
        </w:rPr>
        <w:br w:type="page"/>
      </w:r>
      <w:r>
        <w:rPr>
          <w:rStyle w:val="106"/>
          <w:rFonts w:hint="eastAsia" w:ascii="宋体" w:hAnsi="宋体" w:cs="仿宋_GB2312"/>
          <w:sz w:val="30"/>
          <w:szCs w:val="30"/>
        </w:rPr>
        <w:t>附件</w:t>
      </w:r>
    </w:p>
    <w:p>
      <w:pPr>
        <w:rPr>
          <w:rFonts w:hint="eastAsia" w:ascii="宋体" w:hAnsi="宋体" w:cs="仿宋_GB2312"/>
          <w:sz w:val="44"/>
          <w:szCs w:val="44"/>
        </w:rPr>
      </w:pPr>
      <w:r>
        <w:rPr>
          <w:rFonts w:hint="eastAsia" w:ascii="宋体" w:hAnsi="宋体" w:cs="仿宋_GB2312"/>
          <w:b/>
          <w:bCs/>
          <w:sz w:val="32"/>
          <w:szCs w:val="32"/>
        </w:rPr>
        <w:t xml:space="preserve"> </w:t>
      </w:r>
    </w:p>
    <w:p>
      <w:pPr>
        <w:spacing w:line="360" w:lineRule="auto"/>
        <w:jc w:val="center"/>
        <w:rPr>
          <w:rFonts w:ascii="宋体" w:hAnsi="宋体" w:cs="仿宋_GB2312"/>
          <w:sz w:val="52"/>
          <w:szCs w:val="52"/>
        </w:rPr>
      </w:pPr>
      <w:r>
        <w:rPr>
          <w:rFonts w:ascii="宋体" w:hAnsi="宋体" w:cs="仿宋_GB2312"/>
          <w:sz w:val="52"/>
          <w:szCs w:val="52"/>
        </w:rPr>
        <w:t>(项目名称)项目</w:t>
      </w:r>
    </w:p>
    <w:p>
      <w:pPr>
        <w:spacing w:line="360" w:lineRule="auto"/>
        <w:jc w:val="center"/>
        <w:rPr>
          <w:rFonts w:ascii="宋体" w:hAnsi="宋体" w:cs="仿宋_GB2312"/>
          <w:sz w:val="32"/>
          <w:szCs w:val="32"/>
        </w:rPr>
      </w:pPr>
      <w:r>
        <w:rPr>
          <w:rFonts w:hint="eastAsia" w:ascii="宋体" w:hAnsi="宋体" w:cs="仿宋_GB2312"/>
          <w:sz w:val="32"/>
          <w:szCs w:val="32"/>
        </w:rPr>
        <w:t>采购</w:t>
      </w:r>
      <w:r>
        <w:rPr>
          <w:rFonts w:ascii="宋体" w:hAnsi="宋体" w:cs="仿宋_GB2312"/>
          <w:sz w:val="32"/>
          <w:szCs w:val="32"/>
        </w:rPr>
        <w:t>编号：</w:t>
      </w:r>
    </w:p>
    <w:p>
      <w:pPr>
        <w:jc w:val="center"/>
        <w:rPr>
          <w:rFonts w:ascii="宋体" w:hAnsi="宋体" w:cs="仿宋_GB2312"/>
          <w:sz w:val="32"/>
          <w:szCs w:val="32"/>
        </w:rPr>
      </w:pPr>
      <w:r>
        <w:rPr>
          <w:rFonts w:ascii="宋体" w:hAnsi="宋体" w:cs="仿宋_GB2312"/>
          <w:sz w:val="32"/>
          <w:szCs w:val="32"/>
        </w:rPr>
        <w:t>（</w:t>
      </w:r>
      <w:r>
        <w:rPr>
          <w:rFonts w:hint="eastAsia" w:ascii="宋体" w:hAnsi="宋体" w:cs="仿宋_GB2312"/>
          <w:sz w:val="32"/>
          <w:szCs w:val="32"/>
        </w:rPr>
        <w:t>商务技术文件</w:t>
      </w:r>
      <w:r>
        <w:rPr>
          <w:rFonts w:ascii="宋体" w:hAnsi="宋体" w:cs="仿宋_GB2312"/>
          <w:sz w:val="32"/>
          <w:szCs w:val="32"/>
        </w:rPr>
        <w:t>或报价文件）</w:t>
      </w:r>
    </w:p>
    <w:p>
      <w:pPr>
        <w:jc w:val="center"/>
        <w:rPr>
          <w:rFonts w:ascii="宋体" w:hAnsi="宋体" w:cs="仿宋_GB2312"/>
          <w:sz w:val="84"/>
        </w:rPr>
      </w:pPr>
    </w:p>
    <w:p>
      <w:pPr>
        <w:jc w:val="center"/>
        <w:rPr>
          <w:rFonts w:ascii="宋体" w:hAnsi="宋体" w:cs="仿宋_GB2312"/>
          <w:sz w:val="84"/>
        </w:rPr>
      </w:pPr>
      <w:r>
        <w:rPr>
          <w:rFonts w:ascii="宋体" w:hAnsi="宋体" w:cs="仿宋_GB2312"/>
          <w:sz w:val="84"/>
        </w:rPr>
        <w:t>投</w:t>
      </w:r>
    </w:p>
    <w:p>
      <w:pPr>
        <w:jc w:val="center"/>
        <w:rPr>
          <w:rFonts w:ascii="宋体" w:hAnsi="宋体" w:cs="仿宋_GB2312"/>
          <w:sz w:val="84"/>
        </w:rPr>
      </w:pPr>
      <w:r>
        <w:rPr>
          <w:rFonts w:ascii="宋体" w:hAnsi="宋体" w:cs="仿宋_GB2312"/>
          <w:sz w:val="84"/>
        </w:rPr>
        <w:t>标</w:t>
      </w:r>
    </w:p>
    <w:p>
      <w:pPr>
        <w:jc w:val="center"/>
        <w:rPr>
          <w:rFonts w:ascii="宋体" w:hAnsi="宋体" w:cs="仿宋_GB2312"/>
          <w:sz w:val="84"/>
        </w:rPr>
      </w:pPr>
      <w:r>
        <w:rPr>
          <w:rFonts w:ascii="宋体" w:hAnsi="宋体" w:cs="仿宋_GB2312"/>
          <w:sz w:val="84"/>
        </w:rPr>
        <w:t>文</w:t>
      </w:r>
    </w:p>
    <w:p>
      <w:pPr>
        <w:jc w:val="center"/>
        <w:rPr>
          <w:rFonts w:ascii="宋体" w:hAnsi="宋体" w:cs="仿宋_GB2312"/>
          <w:sz w:val="84"/>
        </w:rPr>
      </w:pPr>
      <w:r>
        <w:rPr>
          <w:rFonts w:ascii="宋体" w:hAnsi="宋体" w:cs="仿宋_GB2312"/>
          <w:sz w:val="84"/>
        </w:rPr>
        <w:t>件</w:t>
      </w:r>
    </w:p>
    <w:p>
      <w:pPr>
        <w:jc w:val="center"/>
        <w:rPr>
          <w:rFonts w:ascii="宋体" w:hAnsi="宋体" w:cs="仿宋_GB2312"/>
          <w:sz w:val="24"/>
        </w:rPr>
      </w:pPr>
    </w:p>
    <w:p>
      <w:pPr>
        <w:jc w:val="center"/>
        <w:rPr>
          <w:rFonts w:ascii="宋体" w:hAnsi="宋体" w:cs="仿宋_GB2312"/>
          <w:sz w:val="24"/>
        </w:rPr>
      </w:pPr>
    </w:p>
    <w:p>
      <w:pPr>
        <w:pStyle w:val="2"/>
        <w:ind w:firstLine="480"/>
      </w:pPr>
    </w:p>
    <w:p>
      <w:pPr>
        <w:spacing w:line="480" w:lineRule="auto"/>
        <w:ind w:firstLine="1920" w:firstLineChars="600"/>
        <w:rPr>
          <w:rFonts w:ascii="宋体" w:hAnsi="宋体" w:cs="仿宋_GB2312"/>
          <w:sz w:val="32"/>
          <w:szCs w:val="32"/>
        </w:rPr>
      </w:pPr>
      <w:r>
        <w:rPr>
          <w:rFonts w:hint="eastAsia" w:ascii="宋体" w:hAnsi="宋体" w:cs="仿宋_GB2312"/>
          <w:sz w:val="32"/>
          <w:szCs w:val="32"/>
        </w:rPr>
        <w:t>供应商</w:t>
      </w:r>
      <w:r>
        <w:rPr>
          <w:rFonts w:ascii="宋体" w:hAnsi="宋体" w:cs="仿宋_GB2312"/>
          <w:sz w:val="32"/>
          <w:szCs w:val="32"/>
        </w:rPr>
        <w:t>全称：（加盖单位公章）</w:t>
      </w:r>
    </w:p>
    <w:p>
      <w:pPr>
        <w:spacing w:line="480" w:lineRule="auto"/>
        <w:ind w:firstLine="1920" w:firstLineChars="600"/>
        <w:rPr>
          <w:rFonts w:ascii="宋体" w:hAnsi="宋体" w:cs="仿宋_GB2312"/>
          <w:sz w:val="32"/>
          <w:szCs w:val="32"/>
        </w:rPr>
      </w:pPr>
      <w:r>
        <w:rPr>
          <w:rFonts w:ascii="宋体" w:hAnsi="宋体" w:cs="仿宋_GB2312"/>
          <w:sz w:val="32"/>
          <w:szCs w:val="32"/>
        </w:rPr>
        <w:t>地址：</w:t>
      </w: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pStyle w:val="2"/>
        <w:ind w:firstLine="640"/>
        <w:rPr>
          <w:rFonts w:ascii="宋体" w:hAnsi="宋体" w:cs="仿宋_GB2312"/>
          <w:sz w:val="32"/>
          <w:szCs w:val="32"/>
        </w:rPr>
      </w:pPr>
    </w:p>
    <w:p>
      <w:pPr>
        <w:spacing w:line="480" w:lineRule="auto"/>
        <w:jc w:val="left"/>
        <w:rPr>
          <w:rStyle w:val="106"/>
          <w:rFonts w:hint="eastAsia" w:ascii="宋体" w:hAnsi="宋体" w:cs="宋体"/>
          <w:szCs w:val="24"/>
        </w:rPr>
      </w:pPr>
      <w:r>
        <w:rPr>
          <w:rStyle w:val="106"/>
          <w:rFonts w:hint="eastAsia" w:ascii="宋体" w:hAnsi="宋体" w:cs="宋体"/>
          <w:szCs w:val="24"/>
        </w:rPr>
        <w:t>附件</w:t>
      </w:r>
    </w:p>
    <w:p>
      <w:pPr>
        <w:jc w:val="center"/>
        <w:rPr>
          <w:rFonts w:hint="eastAsia" w:ascii="宋体" w:hAnsi="宋体" w:cs="宋体"/>
          <w:b/>
          <w:sz w:val="30"/>
          <w:szCs w:val="30"/>
        </w:rPr>
      </w:pPr>
      <w:r>
        <w:rPr>
          <w:rFonts w:hint="eastAsia" w:ascii="宋体" w:hAnsi="宋体" w:cs="宋体"/>
          <w:b/>
          <w:sz w:val="30"/>
          <w:szCs w:val="30"/>
        </w:rPr>
        <w:t>法定代表人授权书</w:t>
      </w: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（若授权委托人参加开标的，在开标身份确认时提供一份原件）</w:t>
      </w:r>
    </w:p>
    <w:p>
      <w:pPr>
        <w:jc w:val="center"/>
        <w:rPr>
          <w:rFonts w:hint="eastAsia" w:ascii="宋体" w:hAnsi="宋体" w:cs="宋体"/>
          <w:bCs/>
          <w:szCs w:val="21"/>
        </w:rPr>
      </w:pPr>
    </w:p>
    <w:p>
      <w:pPr>
        <w:spacing w:line="6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pPr>
        <w:spacing w:line="600" w:lineRule="exact"/>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（供应商全称）法定代表人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（授权代表名称）为授权代表，参加贵单位组织的</w:t>
      </w:r>
      <w:r>
        <w:rPr>
          <w:rFonts w:hint="eastAsia" w:ascii="宋体" w:hAnsi="宋体" w:cs="宋体"/>
          <w:u w:val="single"/>
        </w:rPr>
        <w:t xml:space="preserve">                   </w:t>
      </w:r>
      <w:r>
        <w:rPr>
          <w:rFonts w:hint="eastAsia" w:ascii="宋体" w:hAnsi="宋体" w:cs="宋体"/>
        </w:rPr>
        <w:t>（项目名称）政府采购招标，采购编号为</w:t>
      </w:r>
      <w:r>
        <w:rPr>
          <w:rFonts w:hint="eastAsia" w:ascii="宋体" w:hAnsi="宋体" w:cs="宋体"/>
          <w:u w:val="single"/>
        </w:rPr>
        <w:t xml:space="preserve">            </w:t>
      </w:r>
      <w:r>
        <w:rPr>
          <w:rFonts w:hint="eastAsia" w:ascii="宋体" w:hAnsi="宋体" w:cs="宋体"/>
        </w:rPr>
        <w:t>，其在招投标活动中的一切活动本公司均予承认。</w:t>
      </w:r>
    </w:p>
    <w:p>
      <w:pPr>
        <w:spacing w:line="600" w:lineRule="exact"/>
        <w:rPr>
          <w:rFonts w:hint="eastAsia" w:ascii="宋体" w:hAnsi="宋体" w:cs="宋体"/>
        </w:rPr>
      </w:pPr>
    </w:p>
    <w:p>
      <w:pPr>
        <w:spacing w:line="600" w:lineRule="exact"/>
        <w:rPr>
          <w:rFonts w:hint="eastAsia" w:ascii="宋体" w:hAnsi="宋体" w:cs="宋体"/>
        </w:rPr>
      </w:pPr>
    </w:p>
    <w:p>
      <w:pPr>
        <w:adjustRightInd w:val="0"/>
        <w:snapToGrid w:val="0"/>
        <w:spacing w:after="120" w:afterLines="50" w:line="400" w:lineRule="exact"/>
        <w:rPr>
          <w:rFonts w:hint="eastAsia" w:ascii="宋体" w:hAnsi="宋体" w:cs="宋体"/>
          <w:kern w:val="0"/>
        </w:rPr>
      </w:pPr>
      <w:r>
        <w:rPr>
          <w:rFonts w:hint="eastAsia" w:ascii="宋体" w:hAnsi="宋体" w:cs="宋体"/>
          <w:kern w:val="0"/>
        </w:rPr>
        <w:t xml:space="preserve">                                     供应商名称（公章）：</w:t>
      </w:r>
      <w:r>
        <w:rPr>
          <w:rFonts w:hint="eastAsia" w:ascii="宋体" w:hAnsi="宋体" w:cs="宋体"/>
          <w:kern w:val="0"/>
          <w:u w:val="single"/>
        </w:rPr>
        <w:t xml:space="preserve">                           </w:t>
      </w:r>
      <w:r>
        <w:rPr>
          <w:rFonts w:hint="eastAsia" w:ascii="宋体" w:hAnsi="宋体" w:cs="宋体"/>
          <w:kern w:val="0"/>
        </w:rPr>
        <w:t xml:space="preserve">   </w:t>
      </w:r>
    </w:p>
    <w:p>
      <w:pPr>
        <w:spacing w:line="400" w:lineRule="exact"/>
        <w:rPr>
          <w:rFonts w:hint="eastAsia" w:ascii="宋体" w:hAnsi="宋体" w:cs="宋体"/>
          <w:spacing w:val="20"/>
        </w:rPr>
      </w:pPr>
      <w:r>
        <w:rPr>
          <w:rFonts w:hint="eastAsia" w:ascii="宋体" w:hAnsi="宋体" w:cs="宋体"/>
          <w:kern w:val="0"/>
        </w:rPr>
        <w:t xml:space="preserve">                                     </w:t>
      </w:r>
      <w:r>
        <w:rPr>
          <w:rFonts w:hint="eastAsia" w:ascii="宋体" w:hAnsi="宋体" w:cs="宋体"/>
        </w:rPr>
        <w:t>法定代表人签字：</w:t>
      </w:r>
      <w:r>
        <w:rPr>
          <w:rFonts w:hint="eastAsia" w:ascii="宋体" w:hAnsi="宋体" w:cs="宋体"/>
          <w:u w:val="single"/>
        </w:rPr>
        <w:t xml:space="preserve">                               </w:t>
      </w:r>
      <w:r>
        <w:rPr>
          <w:rFonts w:hint="eastAsia" w:ascii="宋体" w:hAnsi="宋体" w:cs="宋体"/>
          <w:spacing w:val="20"/>
        </w:rPr>
        <w:t xml:space="preserve">    </w:t>
      </w:r>
    </w:p>
    <w:p>
      <w:pPr>
        <w:spacing w:line="560" w:lineRule="exact"/>
        <w:rPr>
          <w:rFonts w:hint="eastAsia" w:ascii="宋体" w:hAnsi="宋体" w:cs="宋体"/>
        </w:rPr>
      </w:pPr>
      <w:r>
        <w:rPr>
          <w:rFonts w:hint="eastAsia" w:ascii="宋体" w:hAnsi="宋体" w:cs="宋体"/>
          <w:kern w:val="0"/>
        </w:rPr>
        <w:t xml:space="preserve">                                     </w:t>
      </w:r>
      <w:r>
        <w:rPr>
          <w:rFonts w:hint="eastAsia" w:ascii="宋体" w:hAnsi="宋体" w:cs="宋体"/>
        </w:rPr>
        <w:t>日 期：        年    月    日</w:t>
      </w:r>
    </w:p>
    <w:p>
      <w:pPr>
        <w:spacing w:line="400" w:lineRule="exact"/>
        <w:rPr>
          <w:rFonts w:hint="eastAsia" w:ascii="宋体" w:hAnsi="宋体" w:cs="宋体"/>
        </w:rPr>
      </w:pPr>
      <w:r>
        <w:rPr>
          <w:rFonts w:hint="eastAsia" w:ascii="宋体" w:hAnsi="宋体" w:cs="宋体"/>
        </w:rPr>
        <w:t xml:space="preserve"> </w:t>
      </w:r>
    </w:p>
    <w:p>
      <w:pPr>
        <w:spacing w:line="400" w:lineRule="exact"/>
        <w:rPr>
          <w:rFonts w:hint="eastAsia" w:ascii="宋体" w:hAnsi="宋体" w:cs="宋体"/>
        </w:rPr>
      </w:pPr>
    </w:p>
    <w:p>
      <w:pPr>
        <w:spacing w:line="480" w:lineRule="auto"/>
        <w:rPr>
          <w:rFonts w:hint="eastAsia" w:ascii="宋体" w:hAnsi="宋体" w:cs="宋体"/>
        </w:rPr>
      </w:pPr>
      <w:r>
        <w:rPr>
          <w:rFonts w:hint="eastAsia" w:ascii="宋体" w:hAnsi="宋体" w:cs="宋体"/>
        </w:rPr>
        <w:t>附：</w:t>
      </w:r>
    </w:p>
    <w:p>
      <w:pPr>
        <w:spacing w:line="480" w:lineRule="auto"/>
        <w:rPr>
          <w:rFonts w:hint="eastAsia" w:ascii="宋体" w:hAnsi="宋体" w:cs="宋体"/>
          <w:u w:val="single"/>
        </w:rPr>
      </w:pPr>
      <w:r>
        <w:rPr>
          <w:rFonts w:hint="eastAsia" w:ascii="宋体" w:hAnsi="宋体" w:cs="宋体"/>
        </w:rPr>
        <w:t xml:space="preserve">    授权代表姓名：</w:t>
      </w:r>
      <w:r>
        <w:rPr>
          <w:rFonts w:hint="eastAsia" w:ascii="宋体" w:hAnsi="宋体" w:cs="宋体"/>
          <w:u w:val="single"/>
        </w:rPr>
        <w:t xml:space="preserve">                 </w:t>
      </w:r>
    </w:p>
    <w:p>
      <w:pPr>
        <w:spacing w:line="480" w:lineRule="auto"/>
        <w:rPr>
          <w:rFonts w:hint="eastAsia" w:ascii="宋体" w:hAnsi="宋体" w:cs="宋体"/>
          <w:u w:val="single"/>
        </w:rPr>
      </w:pPr>
      <w:r>
        <w:rPr>
          <w:rFonts w:hint="eastAsia" w:ascii="宋体" w:hAnsi="宋体" w:cs="宋体"/>
        </w:rPr>
        <w:t xml:space="preserve">    职务：</w:t>
      </w:r>
      <w:r>
        <w:rPr>
          <w:rFonts w:hint="eastAsia" w:ascii="宋体" w:hAnsi="宋体" w:cs="宋体"/>
          <w:u w:val="single"/>
        </w:rPr>
        <w:t xml:space="preserve">                         </w:t>
      </w:r>
    </w:p>
    <w:p>
      <w:pPr>
        <w:spacing w:line="480" w:lineRule="auto"/>
        <w:rPr>
          <w:rFonts w:hint="eastAsia" w:ascii="宋体" w:hAnsi="宋体" w:cs="宋体"/>
          <w:u w:val="single"/>
        </w:rPr>
      </w:pPr>
      <w:r>
        <w:rPr>
          <w:rFonts w:hint="eastAsia" w:ascii="宋体" w:hAnsi="宋体" w:cs="宋体"/>
        </w:rPr>
        <w:t xml:space="preserve">    详细通讯地址：</w:t>
      </w:r>
      <w:r>
        <w:rPr>
          <w:rFonts w:hint="eastAsia" w:ascii="宋体" w:hAnsi="宋体" w:cs="宋体"/>
          <w:u w:val="single"/>
        </w:rPr>
        <w:t xml:space="preserve">                                  </w:t>
      </w:r>
    </w:p>
    <w:p>
      <w:pPr>
        <w:spacing w:line="480" w:lineRule="auto"/>
        <w:ind w:firstLine="420" w:firstLineChars="200"/>
        <w:rPr>
          <w:rFonts w:hint="eastAsia" w:ascii="宋体" w:hAnsi="宋体" w:cs="宋体"/>
          <w:u w:val="single"/>
        </w:rPr>
      </w:pPr>
      <w:r>
        <w:rPr>
          <w:rFonts w:hint="eastAsia" w:ascii="宋体" w:hAnsi="宋体" w:cs="宋体"/>
        </w:rPr>
        <w:t>传真：</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r>
        <w:rPr>
          <w:rFonts w:hint="eastAsia" w:ascii="宋体" w:hAnsi="宋体" w:cs="宋体"/>
        </w:rPr>
        <w:t xml:space="preserve"> 邮编：</w:t>
      </w:r>
      <w:r>
        <w:rPr>
          <w:rFonts w:hint="eastAsia" w:ascii="宋体" w:hAnsi="宋体" w:cs="宋体"/>
          <w:u w:val="single"/>
        </w:rPr>
        <w:t xml:space="preserve">          </w:t>
      </w:r>
    </w:p>
    <w:p>
      <w:pPr>
        <w:spacing w:line="400" w:lineRule="exact"/>
        <w:jc w:val="left"/>
        <w:rPr>
          <w:rFonts w:hint="eastAsia" w:ascii="宋体" w:hAnsi="宋体" w:cs="宋体"/>
          <w:szCs w:val="21"/>
        </w:rPr>
      </w:pPr>
      <w:r>
        <w:rPr>
          <w:rFonts w:hint="eastAsia" w:ascii="宋体" w:hAnsi="宋体" w:cs="宋体"/>
          <w:szCs w:val="21"/>
          <w:lang w:bidi="ar"/>
        </w:rPr>
        <w:t>后附：授权代表身份证复印件加盖供应商公章</w:t>
      </w:r>
    </w:p>
    <w:p>
      <w:pPr>
        <w:spacing w:line="480" w:lineRule="auto"/>
        <w:jc w:val="left"/>
        <w:rPr>
          <w:rFonts w:hint="eastAsia" w:ascii="宋体" w:hAnsi="宋体" w:cs="宋体"/>
          <w:b/>
          <w:bCs/>
        </w:rPr>
      </w:pPr>
    </w:p>
    <w:p>
      <w:pPr>
        <w:spacing w:line="480" w:lineRule="auto"/>
        <w:jc w:val="left"/>
        <w:rPr>
          <w:rStyle w:val="106"/>
          <w:rFonts w:hint="eastAsia" w:ascii="宋体" w:hAnsi="宋体" w:cs="宋体"/>
          <w:sz w:val="30"/>
          <w:szCs w:val="30"/>
        </w:rPr>
      </w:pPr>
    </w:p>
    <w:p>
      <w:pPr>
        <w:pStyle w:val="2"/>
        <w:ind w:firstLine="594"/>
        <w:rPr>
          <w:rStyle w:val="106"/>
          <w:rFonts w:hint="eastAsia" w:ascii="宋体" w:hAnsi="宋体" w:cs="宋体"/>
          <w:sz w:val="30"/>
          <w:szCs w:val="30"/>
        </w:rPr>
      </w:pPr>
    </w:p>
    <w:p>
      <w:pPr>
        <w:pStyle w:val="2"/>
        <w:ind w:firstLine="594"/>
        <w:rPr>
          <w:rStyle w:val="106"/>
          <w:rFonts w:hint="eastAsia" w:ascii="宋体" w:hAnsi="宋体" w:cs="宋体"/>
          <w:sz w:val="30"/>
          <w:szCs w:val="30"/>
        </w:rPr>
      </w:pPr>
    </w:p>
    <w:p>
      <w:pPr>
        <w:pStyle w:val="2"/>
        <w:ind w:firstLine="594"/>
        <w:rPr>
          <w:rStyle w:val="106"/>
          <w:rFonts w:hint="eastAsia" w:ascii="宋体" w:hAnsi="宋体" w:cs="宋体"/>
          <w:sz w:val="30"/>
          <w:szCs w:val="30"/>
        </w:rPr>
      </w:pPr>
    </w:p>
    <w:p>
      <w:pPr>
        <w:pStyle w:val="2"/>
        <w:ind w:firstLine="594"/>
        <w:rPr>
          <w:rStyle w:val="106"/>
          <w:rFonts w:hint="eastAsia" w:ascii="宋体" w:hAnsi="宋体" w:cs="宋体"/>
          <w:sz w:val="30"/>
          <w:szCs w:val="30"/>
        </w:rPr>
      </w:pPr>
    </w:p>
    <w:p>
      <w:pPr>
        <w:pStyle w:val="2"/>
        <w:ind w:firstLine="594"/>
        <w:rPr>
          <w:rStyle w:val="106"/>
          <w:rFonts w:hint="eastAsia" w:ascii="宋体" w:hAnsi="宋体" w:cs="宋体"/>
          <w:sz w:val="30"/>
          <w:szCs w:val="30"/>
        </w:rPr>
      </w:pPr>
    </w:p>
    <w:p>
      <w:pPr>
        <w:spacing w:line="480" w:lineRule="auto"/>
        <w:jc w:val="left"/>
        <w:rPr>
          <w:rStyle w:val="106"/>
          <w:rFonts w:hint="eastAsia" w:ascii="宋体" w:hAnsi="宋体" w:cs="宋体"/>
          <w:szCs w:val="24"/>
        </w:rPr>
      </w:pPr>
      <w:r>
        <w:rPr>
          <w:rStyle w:val="106"/>
          <w:rFonts w:hint="eastAsia" w:ascii="宋体" w:hAnsi="宋体" w:cs="宋体"/>
          <w:szCs w:val="24"/>
        </w:rPr>
        <w:t>附件</w:t>
      </w:r>
    </w:p>
    <w:p>
      <w:pPr>
        <w:pStyle w:val="164"/>
        <w:snapToGrid w:val="0"/>
        <w:spacing w:line="400" w:lineRule="exact"/>
        <w:jc w:val="center"/>
        <w:rPr>
          <w:rFonts w:hint="eastAsia" w:hAnsi="宋体" w:cs="宋体"/>
          <w:b/>
          <w:szCs w:val="21"/>
        </w:rPr>
      </w:pPr>
      <w:r>
        <w:rPr>
          <w:rFonts w:hint="eastAsia" w:hAnsi="宋体" w:cs="宋体"/>
          <w:b/>
          <w:szCs w:val="21"/>
        </w:rPr>
        <w:t>政府采购活动现场确认声明书</w:t>
      </w:r>
    </w:p>
    <w:p>
      <w:pPr>
        <w:adjustRightInd w:val="0"/>
        <w:snapToGrid w:val="0"/>
        <w:spacing w:line="700" w:lineRule="exact"/>
        <w:rPr>
          <w:rFonts w:hint="eastAsia" w:ascii="宋体" w:hAnsi="宋体" w:cs="宋体"/>
          <w:b/>
          <w:szCs w:val="21"/>
        </w:rPr>
      </w:pPr>
      <w:r>
        <w:rPr>
          <w:rFonts w:hint="eastAsia" w:ascii="宋体" w:hAnsi="宋体" w:cs="宋体"/>
          <w:spacing w:val="6"/>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pStyle w:val="164"/>
        <w:snapToGrid w:val="0"/>
        <w:spacing w:line="400" w:lineRule="exact"/>
        <w:ind w:firstLine="444" w:firstLineChars="200"/>
        <w:rPr>
          <w:rFonts w:hint="eastAsia"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w:t>
      </w:r>
      <w:r>
        <w:rPr>
          <w:rFonts w:hint="eastAsia" w:hAnsi="宋体" w:cs="宋体"/>
          <w:kern w:val="0"/>
          <w:szCs w:val="21"/>
          <w:u w:val="single"/>
        </w:rPr>
        <w:t xml:space="preserve">（供应商名称）  </w:t>
      </w:r>
      <w:r>
        <w:rPr>
          <w:rFonts w:hint="eastAsia" w:hAnsi="宋体" w:cs="宋体"/>
          <w:spacing w:val="6"/>
          <w:szCs w:val="21"/>
        </w:rPr>
        <w:t>法人代表（负责人）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rPr>
        <w:t xml:space="preserve">      </w:t>
      </w:r>
      <w:r>
        <w:rPr>
          <w:rFonts w:hint="eastAsia" w:hAnsi="宋体" w:cs="宋体"/>
          <w:spacing w:val="6"/>
          <w:szCs w:val="21"/>
        </w:rPr>
        <w:t>项目（采购编号：</w:t>
      </w:r>
      <w:r>
        <w:rPr>
          <w:rFonts w:hint="eastAsia" w:hAnsi="宋体" w:cs="宋体"/>
          <w:spacing w:val="6"/>
          <w:szCs w:val="21"/>
          <w:u w:val="single"/>
        </w:rPr>
        <w:t xml:space="preserve">       </w:t>
      </w:r>
      <w:r>
        <w:rPr>
          <w:rFonts w:hint="eastAsia" w:hAnsi="宋体" w:cs="宋体"/>
          <w:spacing w:val="6"/>
          <w:szCs w:val="21"/>
        </w:rPr>
        <w:t>）政府采购活动，经与本单位法人代表（负责人）联系确认，现就有关公平竞争事项郑重声明如下：</w:t>
      </w:r>
    </w:p>
    <w:p>
      <w:pPr>
        <w:pStyle w:val="160"/>
        <w:widowControl/>
        <w:numPr>
          <w:ilvl w:val="0"/>
          <w:numId w:val="19"/>
        </w:numPr>
        <w:snapToGrid w:val="0"/>
        <w:spacing w:line="400" w:lineRule="exact"/>
        <w:ind w:firstLine="396" w:firstLineChars="189"/>
        <w:rPr>
          <w:rFonts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160"/>
        <w:widowControl/>
        <w:snapToGrid w:val="0"/>
        <w:spacing w:line="400" w:lineRule="exact"/>
        <w:ind w:left="397"/>
        <w:rPr>
          <w:rFonts w:ascii="宋体" w:hAnsi="宋体" w:cs="宋体"/>
          <w:kern w:val="0"/>
          <w:szCs w:val="21"/>
        </w:rPr>
      </w:pPr>
      <w:r>
        <w:rPr>
          <w:rFonts w:ascii="宋体" w:hAnsi="宋体" w:cs="宋体"/>
          <w:kern w:val="0"/>
          <w:szCs w:val="21"/>
        </w:rPr>
        <w:t>A.投资关系    B.行政隶属关系    C.业务指导关系</w:t>
      </w:r>
    </w:p>
    <w:p>
      <w:pPr>
        <w:pStyle w:val="160"/>
        <w:widowControl/>
        <w:snapToGrid w:val="0"/>
        <w:spacing w:line="400" w:lineRule="exact"/>
        <w:ind w:left="397"/>
        <w:rPr>
          <w:rFonts w:ascii="宋体" w:hAnsi="宋体" w:cs="宋体"/>
          <w:kern w:val="0"/>
          <w:szCs w:val="21"/>
        </w:rPr>
      </w:pPr>
      <w:r>
        <w:rPr>
          <w:rFonts w:ascii="宋体" w:hAnsi="宋体" w:cs="宋体"/>
          <w:kern w:val="0"/>
          <w:szCs w:val="21"/>
        </w:rPr>
        <w:t>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160"/>
        <w:widowControl/>
        <w:snapToGrid w:val="0"/>
        <w:spacing w:line="400" w:lineRule="exact"/>
        <w:ind w:firstLine="444" w:firstLineChars="200"/>
        <w:rPr>
          <w:rFonts w:ascii="宋体" w:hAnsi="宋体" w:cs="宋体"/>
          <w:kern w:val="0"/>
          <w:szCs w:val="21"/>
        </w:rPr>
      </w:pPr>
      <w:r>
        <w:rPr>
          <w:rFonts w:ascii="宋体" w:hAnsi="宋体" w:cs="宋体"/>
          <w:spacing w:val="6"/>
          <w:szCs w:val="21"/>
        </w:rPr>
        <w:t>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A.法定代表人或负责人或实际控制人是同一人</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B.法定代表人或负责人或实际控制人是夫妻关系</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C.法定代表人或负责人或实际控制人是直系血亲关系</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D.法定代表人或负责人或实际控制人存在三代以内旁系血亲关系</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E.法定代表人或负责人或实际控制人存在近姻亲关系</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F.法定代表人或负责人或实际控制人存在股份控制或实际控制关系</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G.存在共同直接或间接投资设立子公司、联营企业和合营企业情况</w:t>
      </w:r>
    </w:p>
    <w:p>
      <w:pPr>
        <w:pStyle w:val="160"/>
        <w:widowControl/>
        <w:snapToGrid w:val="0"/>
        <w:spacing w:line="400" w:lineRule="exact"/>
        <w:ind w:firstLine="420" w:firstLineChars="200"/>
        <w:rPr>
          <w:rFonts w:ascii="宋体" w:hAnsi="宋体" w:cs="宋体"/>
          <w:kern w:val="0"/>
          <w:szCs w:val="21"/>
        </w:rPr>
      </w:pPr>
      <w:r>
        <w:rPr>
          <w:rFonts w:ascii="宋体" w:hAnsi="宋体" w:cs="宋体"/>
          <w:kern w:val="0"/>
          <w:szCs w:val="21"/>
        </w:rPr>
        <w:t>H.存在分级代理或代销关系、同一生产制造商关系、管理关系、重要业务（占主营业务收入50%以上）或重要财务往来关系（如融资）等其他实质性控制关系</w:t>
      </w:r>
    </w:p>
    <w:p>
      <w:pPr>
        <w:pStyle w:val="160"/>
        <w:widowControl/>
        <w:snapToGrid w:val="0"/>
        <w:spacing w:line="400" w:lineRule="exact"/>
        <w:ind w:firstLine="420" w:firstLineChars="200"/>
        <w:rPr>
          <w:rFonts w:ascii="宋体" w:hAnsi="宋体" w:cs="宋体"/>
          <w:spacing w:val="6"/>
          <w:szCs w:val="21"/>
        </w:rPr>
      </w:pPr>
      <w:r>
        <w:rPr>
          <w:rFonts w:ascii="宋体" w:hAnsi="宋体" w:cs="宋体"/>
          <w:szCs w:val="21"/>
        </w:rPr>
        <w:t>I</w:t>
      </w:r>
      <w:r>
        <w:rPr>
          <w:rFonts w:ascii="宋体" w:hAnsi="宋体" w:cs="宋体"/>
          <w:kern w:val="0"/>
          <w:szCs w:val="21"/>
        </w:rPr>
        <w:t>.</w:t>
      </w:r>
      <w:r>
        <w:rPr>
          <w:rFonts w:ascii="宋体" w:hAnsi="宋体" w:cs="宋体"/>
          <w:szCs w:val="21"/>
        </w:rPr>
        <w:t>其他利害关系情况</w:t>
      </w:r>
      <w:r>
        <w:rPr>
          <w:rFonts w:ascii="宋体" w:hAnsi="宋体" w:cs="宋体"/>
          <w:szCs w:val="21"/>
          <w:u w:val="single"/>
        </w:rPr>
        <w:t xml:space="preserve">                              </w:t>
      </w:r>
      <w:r>
        <w:rPr>
          <w:rFonts w:ascii="宋体" w:hAnsi="宋体" w:cs="宋体"/>
          <w:kern w:val="0"/>
          <w:szCs w:val="21"/>
        </w:rPr>
        <w:t>。</w:t>
      </w:r>
    </w:p>
    <w:p>
      <w:pPr>
        <w:pStyle w:val="160"/>
        <w:widowControl/>
        <w:numPr>
          <w:ilvl w:val="0"/>
          <w:numId w:val="20"/>
        </w:numPr>
        <w:snapToGrid w:val="0"/>
        <w:spacing w:line="400" w:lineRule="exact"/>
        <w:ind w:firstLine="396" w:firstLineChars="189"/>
        <w:rPr>
          <w:rFonts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160"/>
        <w:widowControl/>
        <w:numPr>
          <w:ilvl w:val="0"/>
          <w:numId w:val="20"/>
        </w:numPr>
        <w:snapToGrid w:val="0"/>
        <w:spacing w:line="400" w:lineRule="exact"/>
        <w:ind w:firstLine="396" w:firstLineChars="189"/>
        <w:rPr>
          <w:rFonts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164"/>
        <w:snapToGrid w:val="0"/>
        <w:spacing w:line="400" w:lineRule="exact"/>
        <w:ind w:firstLine="420" w:firstLineChars="200"/>
        <w:rPr>
          <w:rFonts w:hint="eastAsia" w:hAnsi="宋体" w:cs="宋体"/>
          <w:szCs w:val="21"/>
        </w:rPr>
      </w:pPr>
    </w:p>
    <w:p>
      <w:pPr>
        <w:pStyle w:val="164"/>
        <w:snapToGrid w:val="0"/>
        <w:spacing w:line="400" w:lineRule="exact"/>
        <w:ind w:firstLine="1365" w:firstLineChars="650"/>
        <w:rPr>
          <w:rFonts w:hint="eastAsia" w:hAnsi="宋体" w:cs="宋体"/>
          <w:szCs w:val="21"/>
        </w:rPr>
      </w:pPr>
      <w:r>
        <w:rPr>
          <w:rFonts w:hint="eastAsia" w:hAnsi="宋体" w:cs="宋体"/>
          <w:szCs w:val="21"/>
        </w:rPr>
        <w:t xml:space="preserve">                               （供应商代表签名）</w:t>
      </w:r>
    </w:p>
    <w:p>
      <w:pPr>
        <w:spacing w:line="400" w:lineRule="exact"/>
        <w:ind w:firstLine="1318" w:firstLineChars="628"/>
        <w:rPr>
          <w:rFonts w:hint="eastAsia" w:ascii="宋体" w:hAnsi="宋体" w:cs="宋体"/>
          <w:szCs w:val="21"/>
        </w:rPr>
      </w:pPr>
      <w:r>
        <w:rPr>
          <w:rFonts w:hint="eastAsia" w:ascii="宋体" w:hAnsi="宋体" w:cs="宋体"/>
          <w:szCs w:val="21"/>
        </w:rPr>
        <w:t xml:space="preserve">                                    年  月  日</w:t>
      </w: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500" w:lineRule="exact"/>
        <w:rPr>
          <w:rFonts w:hint="eastAsia" w:ascii="宋体" w:hAnsi="宋体" w:cs="宋体"/>
          <w:b/>
        </w:rPr>
      </w:pPr>
      <w:r>
        <w:rPr>
          <w:rFonts w:hint="eastAsia" w:ascii="宋体" w:hAnsi="宋体" w:cs="宋体"/>
          <w:b/>
        </w:rPr>
        <w:t>注：1、本表非投标文件的组成内容，不须在投标文件中提供。</w:t>
      </w:r>
    </w:p>
    <w:p>
      <w:pPr>
        <w:spacing w:line="500" w:lineRule="exact"/>
        <w:ind w:firstLine="422" w:firstLineChars="200"/>
        <w:jc w:val="left"/>
        <w:rPr>
          <w:rFonts w:hint="eastAsia" w:ascii="宋体" w:hAnsi="宋体" w:cs="宋体"/>
          <w:b/>
          <w:szCs w:val="22"/>
        </w:rPr>
      </w:pPr>
      <w:r>
        <w:rPr>
          <w:rFonts w:hint="eastAsia" w:ascii="宋体" w:hAnsi="宋体" w:cs="宋体"/>
          <w:b/>
          <w:szCs w:val="22"/>
        </w:rPr>
        <w:t>2、本表在开标现场由代理机构提供给各供应商，由各供应商签署。</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sectPr>
      <w:headerReference r:id="rId15" w:type="default"/>
      <w:footerReference r:id="rId16" w:type="default"/>
      <w:pgSz w:w="11907" w:h="16840"/>
      <w:pgMar w:top="1077" w:right="1134" w:bottom="1077" w:left="1134" w:header="284"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F7FFAFFF" w:usb1="E9DFFFFF"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1230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MOHHLVAQAApwMAAA4AAABkcnMvZTJvRG9jLnhtbK1TzY7TMBC+ I/EOlu80aWHZKGq6AlWLkBAgLTyA69iNJf/J4zbpC8AbcOLCnefqczB2ki7avexhL86MZ/zNfN9M 1jeD0eQoAihnG7pclJQIy12r7L6h37/dvqoogchsy7SzoqEnAfRm8/LFuve1WLnO6VYEgiAW6t43 tIvR10UBvBOGwcJ5YTEoXTAsohv2RRtYj+hGF6uyfFv0LrQ+OC4A8HY7BumEGJ4C6KRUXGwdPxhh 44gahGYRKUGnPNBN7lZKweMXKUFEohuKTGM+sQjau3QWmzWr94H5TvGpBfaUFh5wMkxZLHqB2rLI yCGoR1BG8eDAybjgzhQjkawIsliWD7S565gXmQtKDf4iOjwfLP98/BqIahv6hhLLDA78/Ovn+fff 858fZLl6XV4niXoPNWbeecyNw3s34OLM94CXifkgg0lf5EQwjgKfLgKLIRKeHlWrqioxxDE2O4hf 3D/3AeIH4QxJRkMDTjALy46fII6pc0qqZt2t0jpPUVvSI+pVdX2VX1xCiK4tFkksxm6TFYfdMFHb ufaEzHpcg4Za3HpK9EeLKqeNmY0wG7vZOPig9l1eqdQK+HeHiO3kLlOFEXYqjPPLPKddSwvyv5+z 7v+vzT9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ww4cctUBAACnAwAADgAAAAAAAAABACAA AAAiAQAAZHJzL2Uyb0RvYy54bWxQSwUGAAAAAAYABgBZAQAAaQ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1230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VZNeHUAQAApwMAAA4AAABkcnMvZTJvRG9jLnhtbK1TzY7TMBC+ I/EOlu80aVEhipquFlWLkBAgLTyA69iNJf/J4zbpC8AbcOLCnefqczB2ki5aLnvYizPjGX8z3zeT zc1gNDmJAMrZhi4XJSXCctcqe2jot693rypKIDLbMu2saOhZAL3Zvnyx6X0tVq5zuhWBIIiFuvcN 7WL0dVEA74RhsHBeWAxKFwyL6IZD0QbWI7rRxaos3xS9C60PjgsAvN2NQTohhqcAOikVFzvHj0bY OKIGoVlEStApD3Sbu5VS8PhZShCR6IYi05hPLIL2Pp3FdsPqQ2C+U3xqgT2lhUecDFMWi16hdiwy cgzqPyijeHDgZFxwZ4qRSFYEWSzLR9rcd8yLzAWlBn8VHZ4Pln86fQlEtQ1dU2KZwYFffv64/Ppz +f2dLFevyypJ1HuoMfPeY24c3rkBF2e+B7xMzAcZTPoiJ4JxFPh8FVgMkfD0qFpVVYkhjrHZQfzi 4bkPEN8LZ0gyGhpwgllYdvoIcUydU1I16+6U1nmK2pIeUdfV23V+cQ0hurZYJLEYu01WHPbDRG3v 2jMy63ENGmpx6ynRHyyqnDZmNsJs7Gfj6IM6dHmlUivgb48R28ldpgoj7FQY55d5TruWFuRfP2c9 /F/bv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AlWTXh1AEAAKcDAAAOAAAAAAAAAAEAIAAA ACIBAABkcnMvZTJvRG9jLnhtbFBLBQYAAAAABgAGAFkBAABo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27</w:t>
                          </w:r>
                          <w:r>
                            <w:rPr>
                              <w:rFonts w:hint="eastAsia"/>
                            </w:rPr>
                            <w:fldChar w:fldCharType="end"/>
                          </w:r>
                        </w:p>
                      </w:txbxContent>
                    </wps:txbx>
                    <wps:bodyPr wrap="none" lIns="0" tIns="0" rIns="0" bIns="0" upright="0">
                      <a:spAutoFit/>
                    </wps:bodyPr>
                  </wps:wsp>
                </a:graphicData>
              </a:graphic>
            </wp:anchor>
          </w:drawing>
        </mc:Choice>
        <mc:Fallback>
          <w:pict>
            <v:shape id="文本框 1230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WJVWLVAQAApwMAAA4AAABkcnMvZTJvRG9jLnhtbK1TzY7TMBC+ I/EOlu80adEuIWq6AlWLkBAgLTyA69iNJf/J4zbpC8AbcOLCnefqczB2ku5q97IHLs6MZ/zNfN9M 1jeD0eQoAihnG7pclJQIy12r7L6h37/dvqoogchsy7SzoqEnAfRm8/LFuve1WLnO6VYEgiAW6t43 tIvR10UBvBOGwcJ5YTEoXTAsohv2RRtYj+hGF6uyvC56F1ofHBcAeLsdg3RCDM8BdFIqLraOH4yw cUQNQrOIlKBTHugmdyul4PGLlCAi0Q1FpjGfWATtXTqLzZrV+8B8p/jUAntOC484GaYsFr1AbVlk 5BDUEyijeHDgZFxwZ4qRSFYEWSzLR9rcdcyLzAWlBn8RHf4fLP98/BqIaht6TYllBgd+/vXz/Pvv +c8Psly9Lt8miXoPNWbeecyNw3s34OLM94CXifkgg0lf5EQwjgKfLgKLIRKeHlWrqioxxDE2O4hf 3D/3AeIH4QxJRkMDTjALy46fII6pc0qqZt2t0jpPUVvSI+pV9eYqv7iEEF1bLJJYjN0mKw67YaK2 c+0JmfW4Bg21uPWU6I8WVU4bMxthNnazcfBB7bu8UqkV8O8OEdvJXaYKI+xUGOeXeU67lhbkoZ+z 7v+vzT9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9YlVYtUBAACnAwAADgAAAAAAAAABACAA AAAiAQAAZHJzL2Uyb0RvYy54bWxQSwUGAAAAAAYABgBZAQAAaQ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81</w:t>
                          </w:r>
                          <w:r>
                            <w:rPr>
                              <w:rFonts w:hint="eastAsia"/>
                            </w:rPr>
                            <w:fldChar w:fldCharType="end"/>
                          </w:r>
                        </w:p>
                      </w:txbxContent>
                    </wps:txbx>
                    <wps:bodyPr wrap="none" lIns="0" tIns="0" rIns="0" bIns="0" upright="0">
                      <a:spAutoFit/>
                    </wps:bodyPr>
                  </wps:wsp>
                </a:graphicData>
              </a:graphic>
            </wp:anchor>
          </w:drawing>
        </mc:Choice>
        <mc:Fallback>
          <w:pict>
            <v:shape id="文本框 123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jwTtLUAQAApwMAAA4AAABkcnMvZTJvRG9jLnhtbK1TzY7TMBC+ I/EOlu80adGyUdR0BaoWISFA2uUBXMduLPlPHrdJXwDegBMX7jxXn4Oxk7RoueyBizPjGX8z3zeT 9d1gNDmKAMrZhi4XJSXCctcqu2/o18f7VxUlEJltmXZWNPQkgN5tXr5Y974WK9c53YpAEMRC3fuG djH6uiiAd8IwWDgvLAalC4ZFdMO+aAPrEd3oYlWWb4rehdYHxwUA3m7HIJ0Qw3MAnZSKi63jByNs HFGD0CwiJeiUB7rJ3UopePwsJYhIdEORacwnFkF7l85is2b1PjDfKT61wJ7TwhNOhimLRS9QWxYZ OQT1D5RRPDhwMi64M8VIJCuCLJblE20eOuZF5oJSg7+IDv8Pln86fglEtQ29pcQygwM///h+/vn7 /OsbWa5eL7NEvYcaMx885sbhnRtwcZJ06R7wMjEfZDDpi5wIxlHg00VgMUTC06NqVVUlhjjGZgdx iutzHyC+F86QZDQ04ASzsOz4EeKYOqekatbdK63zFLUlPaLeVLc3+cUlhOjaYpFrt8mKw26YKOxc e0JmPa5BQy1uPSX6g0WV08bMRpiN3WwcfFD7Lq9UagX820PEdnKXqcIIOxXG+WWe066lBfnbz1nX /2vzB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Bo8E7S1AEAAKcDAAAOAAAAAAAAAAEAIAAA ACIBAABkcnMvZTJvRG9jLnhtbFBLBQYAAAAABgAGAFkBAABo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wps:txbx>
                    <wps:bodyPr wrap="none" lIns="0" tIns="0" rIns="0" bIns="0" upright="0">
                      <a:spAutoFit/>
                    </wps:bodyPr>
                  </wps:wsp>
                </a:graphicData>
              </a:graphic>
            </wp:anchor>
          </w:drawing>
        </mc:Choice>
        <mc:Fallback>
          <w:pict>
            <v:shape id="文本框 123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CqGjnWAQAApwMAAA4AAABkcnMvZTJvRG9jLnhtbK1TS27bMBDd B+gdCO5rySrSqoLloIWRokDRBkh7AJqiLAL8gUNb8gWaG2TVTfc9l8+RISU5RbLJIhtqhjN8M+/N aHU1aEUOwoO0pqbLRU6JMNw20uxq+uvn9duSEgjMNExZI2p6FECv1m8uVr2rRGE7qxrhCYIYqHpX 0y4EV2UZ8E5oBgvrhMFga71mAV2/yxrPekTXKivy/H3WW984b7kAwNvNGKQTon8JoG1bycXG8r0W JoyoXigWkBJ00gFdp27bVvDwo21BBKJqikxDOrEI2tt4ZusVq3aeuU7yqQX2khaecNJMGix6htqw wMjey2dQWnJvwbZhwa3ORiJJEWSxzJ9oc9sxJxIXlBrcWXR4PVj+/XDjiWxq+pESwzQO/HR/d/rz 7/T3N1kW75ZFlKh3UGHmrcPcMHy2Ay7OfA94GZkPrdfxi5wIxlHg41lgMQTC46OyKMscQxxjs4P4 2eNz5yF8EVaTaNTU4wSTsOzwDcKYOqfEasZeS6XSFJUhPaJelh8u04tzCNGVwSKRxdhttMKwHSZq W9sckVmPa1BTg1tPifpqUOW4MbPhZ2M7G3vn5a5LKxVbAfdpH7Cd1GWsMMJOhXF+iee0a3FB/vdT 1uP/tX4A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aGmCS9MAAAAFAQAADwAAAAAAAAABACAAAAAi AAAAZHJzL2Rvd25yZXYueG1sUEsBAhQAFAAAAAgAh07iQKCqGjnWAQAApwMAAA4AAAAAAAAAAQAg AAAAIgEAAGRycy9lMm9Eb2MueG1sUEsFBgAAAAAGAAYAWQEAAGoFA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89</w:t>
                          </w:r>
                          <w:r>
                            <w:rPr>
                              <w:rFonts w:hint="eastAsia"/>
                            </w:rPr>
                            <w:fldChar w:fldCharType="end"/>
                          </w:r>
                        </w:p>
                      </w:txbxContent>
                    </wps:txbx>
                    <wps:bodyPr wrap="none" lIns="0" tIns="0" rIns="0" bIns="0" upright="0">
                      <a:spAutoFit/>
                    </wps:bodyPr>
                  </wps:wsp>
                </a:graphicData>
              </a:graphic>
            </wp:anchor>
          </w:drawing>
        </mc:Choice>
        <mc:Fallback>
          <w:pict>
            <v:shape id="文本框 123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FRIMXVAQAAqAMAAA4AAABkcnMvZTJvRG9jLnhtbK1TS27bMBDd F+gdCO5ryQ7SCoLloIWRokDRFkh6AJoiLQL8gUNb8gXaG3TVTfc9l8/RISU5RbLJIhtqyBm+ee9x tL4ZjCZHEUA529DloqREWO5aZfcN/X5/+6aiBCKzLdPOioaeBNCbzetX697XYuU6p1sRCIJYqHvf 0C5GXxcF8E4YBgvnhcWkdMGwiNuwL9rAekQ3uliV5duid6H1wXEBgKfbMUknxPAcQCel4mLr+MEI G0fUIDSLKAk65YFuMlspBY9fpQQRiW4oKo15xSYY79JabNas3gfmO8UnCuw5FB5pMkxZbHqB2rLI yCGoJ1BG8eDAybjgzhSjkOwIqliWj7y565gXWQtaDf5iOrwcLP9y/BaIanES0BLLDL74+dfP8++/ 5z8/yHJ1tbxKHvUeaiy981gchw9uwPr5HPAwSR9kMOmLogjmEe50cVgMkfB0qVpVVYkpjrl5g/jF w3UfIH4UzpAUNDTgE2Zn2fEzxLF0LkndrLtVWudn1Jb0iHpdvbvONy4pRNcWmyQVI9sUxWE3TNJ2 rj2hsh7noKEWx54S/cmizcg0zkGYg90cHHxQ+y7PVKIC/v0hIp3MMnUYYafG+IBZ5zRsaUL+3+eq hx9s8w9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EVEgxdUBAACoAwAADgAAAAAAAAABACAA AAAiAQAAZHJzL2Uyb0RvYy54bWxQSwUGAAAAAAYABgBZAQAAaQ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94</w:t>
                          </w:r>
                          <w:r>
                            <w:rPr>
                              <w:rFonts w:hint="eastAsia"/>
                            </w:rPr>
                            <w:fldChar w:fldCharType="end"/>
                          </w:r>
                        </w:p>
                      </w:txbxContent>
                    </wps:txbx>
                    <wps:bodyPr wrap="none" lIns="0" tIns="0" rIns="0" bIns="0" upright="0">
                      <a:spAutoFit/>
                    </wps:bodyPr>
                  </wps:wsp>
                </a:graphicData>
              </a:graphic>
            </wp:anchor>
          </w:drawing>
        </mc:Choice>
        <mc:Fallback>
          <w:pict>
            <v:shape id="文本框 123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UgAJHUAQAApwMAAA4AAABkcnMvZTJvRG9jLnhtbK1TzY7TMBC+ I/EOlu80SdFCFDVdgapFSAiQFh7AdezGkv/kcZv0BeANOHHhznP1ORg7SRctlz1wcWY842/m+2ay uR2NJicRQDnb0mpVUiIsd52yh5Z+/XL3oqYEIrMd086Klp4F0Nvt82ebwTdi7XqnOxEIglhoBt/S PkbfFAXwXhgGK+eFxaB0wbCIbjgUXWADohtdrMvyVTG40PnguADA290UpDNieAqgk1JxsXP8aISN E2oQmkWkBL3yQLe5WykFj5+kBBGJbikyjfnEImjv01lsN6w5BOZ7xecW2FNaeMTJMGWx6BVqxyIj x6D+gTKKBwdOxhV3ppiIZEWQRVU+0ua+Z15kLig1+Kvo8P9g+cfT50BU11Icu2UGB3758f3y8/fl 1zdSrV9WVZJo8NBg5r3H3Di+dSMuznIPeJmYjzKY9EVOBOMo8PkqsBgj4elRva7rEkMcY4uD+MXD cx8gvhPOkGS0NOAEs7Ds9AHilLqkpGrW3Smt8xS1JQOi3tSvb/KLawjRtcUiicXUbbLiuB9nanvX nZHZgGvQUotbT4l+b1HltDGLERZjvxhHH9ShzyuVWgH/5hixndxlqjDBzoVxfpnnvGtpQf72c9bD /7X9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AlIACR1AEAAKcDAAAOAAAAAAAAAAEAIAAA ACIBAABkcnMvZTJvRG9jLnhtbFBLBQYAAAAABgAGAFkBAABo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94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ABC15"/>
    <w:multiLevelType w:val="singleLevel"/>
    <w:tmpl w:val="89AABC15"/>
    <w:lvl w:ilvl="0" w:tentative="0">
      <w:start w:val="1"/>
      <w:numFmt w:val="decimal"/>
      <w:suff w:val="nothing"/>
      <w:lvlText w:val="%1、"/>
      <w:lvlJc w:val="left"/>
    </w:lvl>
  </w:abstractNum>
  <w:abstractNum w:abstractNumId="1">
    <w:nsid w:val="8DFBBD2B"/>
    <w:multiLevelType w:val="singleLevel"/>
    <w:tmpl w:val="8DFBBD2B"/>
    <w:lvl w:ilvl="0" w:tentative="0">
      <w:start w:val="1"/>
      <w:numFmt w:val="decimal"/>
      <w:suff w:val="nothing"/>
      <w:lvlText w:val="%1、"/>
      <w:lvlJc w:val="left"/>
    </w:lvl>
  </w:abstractNum>
  <w:abstractNum w:abstractNumId="2">
    <w:nsid w:val="9D2D280D"/>
    <w:multiLevelType w:val="singleLevel"/>
    <w:tmpl w:val="9D2D280D"/>
    <w:lvl w:ilvl="0" w:tentative="0">
      <w:start w:val="3"/>
      <w:numFmt w:val="decimal"/>
      <w:suff w:val="nothing"/>
      <w:lvlText w:val="%1、"/>
      <w:lvlJc w:val="left"/>
    </w:lvl>
  </w:abstractNum>
  <w:abstractNum w:abstractNumId="3">
    <w:nsid w:val="D3FCD359"/>
    <w:multiLevelType w:val="singleLevel"/>
    <w:tmpl w:val="D3FCD359"/>
    <w:lvl w:ilvl="0" w:tentative="0">
      <w:start w:val="1"/>
      <w:numFmt w:val="chineseCounting"/>
      <w:suff w:val="nothing"/>
      <w:lvlText w:val="%1、"/>
      <w:lvlJc w:val="left"/>
      <w:rPr>
        <w:rFonts w:hint="eastAsia"/>
      </w:rPr>
    </w:lvl>
  </w:abstractNum>
  <w:abstractNum w:abstractNumId="4">
    <w:nsid w:val="D82CFE69"/>
    <w:multiLevelType w:val="singleLevel"/>
    <w:tmpl w:val="D82CFE69"/>
    <w:lvl w:ilvl="0" w:tentative="0">
      <w:start w:val="1"/>
      <w:numFmt w:val="chineseCounting"/>
      <w:suff w:val="nothing"/>
      <w:lvlText w:val="（%1）"/>
      <w:lvlJc w:val="left"/>
      <w:rPr>
        <w:rFonts w:hint="eastAsia" w:cs="Times New Roman"/>
      </w:rPr>
    </w:lvl>
  </w:abstractNum>
  <w:abstractNum w:abstractNumId="5">
    <w:nsid w:val="0000000A"/>
    <w:multiLevelType w:val="multilevel"/>
    <w:tmpl w:val="0000000A"/>
    <w:lvl w:ilvl="0" w:tentative="0">
      <w:start w:val="1"/>
      <w:numFmt w:val="decimal"/>
      <w:pStyle w:val="21"/>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6">
    <w:nsid w:val="0000000B"/>
    <w:multiLevelType w:val="singleLevel"/>
    <w:tmpl w:val="0000000B"/>
    <w:lvl w:ilvl="0" w:tentative="0">
      <w:start w:val="1"/>
      <w:numFmt w:val="decimal"/>
      <w:pStyle w:val="33"/>
      <w:lvlText w:val="%1、"/>
      <w:lvlJc w:val="left"/>
      <w:pPr>
        <w:tabs>
          <w:tab w:val="left" w:pos="840"/>
        </w:tabs>
        <w:ind w:left="840" w:hanging="360"/>
      </w:pPr>
      <w:rPr>
        <w:rFonts w:hint="eastAsia"/>
      </w:rPr>
    </w:lvl>
  </w:abstractNum>
  <w:abstractNum w:abstractNumId="7">
    <w:nsid w:val="0000000C"/>
    <w:multiLevelType w:val="singleLevel"/>
    <w:tmpl w:val="0000000C"/>
    <w:lvl w:ilvl="0" w:tentative="0">
      <w:start w:val="1"/>
      <w:numFmt w:val="decimal"/>
      <w:pStyle w:val="131"/>
      <w:lvlText w:val="(%1)"/>
      <w:lvlJc w:val="left"/>
      <w:pPr>
        <w:tabs>
          <w:tab w:val="left" w:pos="700"/>
        </w:tabs>
        <w:ind w:left="0" w:firstLine="340"/>
      </w:pPr>
      <w:rPr>
        <w:rFonts w:hint="eastAsia"/>
      </w:rPr>
    </w:lvl>
  </w:abstractNum>
  <w:abstractNum w:abstractNumId="8">
    <w:nsid w:val="0000000D"/>
    <w:multiLevelType w:val="multilevel"/>
    <w:tmpl w:val="0000000D"/>
    <w:lvl w:ilvl="0" w:tentative="0">
      <w:start w:val="5"/>
      <w:numFmt w:val="decimal"/>
      <w:pStyle w:val="171"/>
      <w:lvlText w:val="（%1）"/>
      <w:lvlJc w:val="left"/>
      <w:pPr>
        <w:tabs>
          <w:tab w:val="left" w:pos="1200"/>
        </w:tabs>
        <w:ind w:left="1200" w:hanging="720"/>
      </w:pPr>
      <w:rPr>
        <w:rFonts w:hint="default" w:ascii="宋体" w:eastAsia="宋体"/>
      </w:rPr>
    </w:lvl>
    <w:lvl w:ilvl="1" w:tentative="0">
      <w:start w:val="1"/>
      <w:numFmt w:val="lowerLetter"/>
      <w:pStyle w:val="169"/>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1"/>
    <w:multiLevelType w:val="singleLevel"/>
    <w:tmpl w:val="00000011"/>
    <w:lvl w:ilvl="0" w:tentative="0">
      <w:start w:val="1"/>
      <w:numFmt w:val="decimal"/>
      <w:suff w:val="nothing"/>
      <w:lvlText w:val="%1."/>
      <w:lvlJc w:val="left"/>
    </w:lvl>
  </w:abstractNum>
  <w:abstractNum w:abstractNumId="10">
    <w:nsid w:val="00000015"/>
    <w:multiLevelType w:val="multilevel"/>
    <w:tmpl w:val="00000015"/>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525"/>
        </w:tabs>
        <w:ind w:left="525" w:hanging="420"/>
      </w:pPr>
    </w:lvl>
    <w:lvl w:ilvl="2" w:tentative="0">
      <w:start w:val="1"/>
      <w:numFmt w:val="lowerRoman"/>
      <w:lvlText w:val="%3."/>
      <w:lvlJc w:val="right"/>
      <w:pPr>
        <w:tabs>
          <w:tab w:val="left" w:pos="945"/>
        </w:tabs>
        <w:ind w:left="945" w:hanging="420"/>
      </w:pPr>
    </w:lvl>
    <w:lvl w:ilvl="3" w:tentative="0">
      <w:start w:val="1"/>
      <w:numFmt w:val="decimal"/>
      <w:lvlText w:val="%4."/>
      <w:lvlJc w:val="left"/>
      <w:pPr>
        <w:tabs>
          <w:tab w:val="left" w:pos="1365"/>
        </w:tabs>
        <w:ind w:left="1365" w:hanging="420"/>
      </w:pPr>
    </w:lvl>
    <w:lvl w:ilvl="4" w:tentative="0">
      <w:start w:val="1"/>
      <w:numFmt w:val="lowerLetter"/>
      <w:lvlText w:val="%5)"/>
      <w:lvlJc w:val="left"/>
      <w:pPr>
        <w:tabs>
          <w:tab w:val="left" w:pos="1785"/>
        </w:tabs>
        <w:ind w:left="1785" w:hanging="420"/>
      </w:pPr>
    </w:lvl>
    <w:lvl w:ilvl="5" w:tentative="0">
      <w:start w:val="1"/>
      <w:numFmt w:val="lowerRoman"/>
      <w:lvlText w:val="%6."/>
      <w:lvlJc w:val="right"/>
      <w:pPr>
        <w:tabs>
          <w:tab w:val="left" w:pos="2205"/>
        </w:tabs>
        <w:ind w:left="2205" w:hanging="420"/>
      </w:pPr>
    </w:lvl>
    <w:lvl w:ilvl="6" w:tentative="0">
      <w:start w:val="1"/>
      <w:numFmt w:val="decimal"/>
      <w:lvlText w:val="%7."/>
      <w:lvlJc w:val="left"/>
      <w:pPr>
        <w:tabs>
          <w:tab w:val="left" w:pos="2625"/>
        </w:tabs>
        <w:ind w:left="2625" w:hanging="420"/>
      </w:pPr>
    </w:lvl>
    <w:lvl w:ilvl="7" w:tentative="0">
      <w:start w:val="1"/>
      <w:numFmt w:val="lowerLetter"/>
      <w:lvlText w:val="%8)"/>
      <w:lvlJc w:val="left"/>
      <w:pPr>
        <w:tabs>
          <w:tab w:val="left" w:pos="3045"/>
        </w:tabs>
        <w:ind w:left="3045" w:hanging="420"/>
      </w:pPr>
    </w:lvl>
    <w:lvl w:ilvl="8" w:tentative="0">
      <w:start w:val="1"/>
      <w:numFmt w:val="lowerRoman"/>
      <w:lvlText w:val="%9."/>
      <w:lvlJc w:val="right"/>
      <w:pPr>
        <w:tabs>
          <w:tab w:val="left" w:pos="3465"/>
        </w:tabs>
        <w:ind w:left="3465" w:hanging="420"/>
      </w:pPr>
    </w:lvl>
  </w:abstractNum>
  <w:abstractNum w:abstractNumId="11">
    <w:nsid w:val="0000001B"/>
    <w:multiLevelType w:val="singleLevel"/>
    <w:tmpl w:val="0000001B"/>
    <w:lvl w:ilvl="0" w:tentative="0">
      <w:start w:val="1"/>
      <w:numFmt w:val="decimal"/>
      <w:lvlText w:val="%1)"/>
      <w:lvlJc w:val="left"/>
      <w:pPr>
        <w:tabs>
          <w:tab w:val="left" w:pos="425"/>
        </w:tabs>
        <w:ind w:left="425" w:hanging="425"/>
      </w:pPr>
      <w:rPr>
        <w:rFonts w:hint="default"/>
      </w:rPr>
    </w:lvl>
  </w:abstractNum>
  <w:abstractNum w:abstractNumId="12">
    <w:nsid w:val="0000001D"/>
    <w:multiLevelType w:val="singleLevel"/>
    <w:tmpl w:val="0000001D"/>
    <w:lvl w:ilvl="0" w:tentative="0">
      <w:start w:val="1"/>
      <w:numFmt w:val="decimal"/>
      <w:lvlText w:val="%1)"/>
      <w:lvlJc w:val="left"/>
      <w:pPr>
        <w:tabs>
          <w:tab w:val="left" w:pos="425"/>
        </w:tabs>
        <w:ind w:left="425" w:hanging="425"/>
      </w:pPr>
      <w:rPr>
        <w:rFonts w:hint="default"/>
      </w:rPr>
    </w:lvl>
  </w:abstractNum>
  <w:abstractNum w:abstractNumId="13">
    <w:nsid w:val="00000022"/>
    <w:multiLevelType w:val="multilevel"/>
    <w:tmpl w:val="00000022"/>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5">
    <w:nsid w:val="0AC302B3"/>
    <w:multiLevelType w:val="singleLevel"/>
    <w:tmpl w:val="0AC302B3"/>
    <w:lvl w:ilvl="0" w:tentative="0">
      <w:start w:val="1"/>
      <w:numFmt w:val="decimal"/>
      <w:lvlText w:val="(%1)"/>
      <w:lvlJc w:val="left"/>
      <w:pPr>
        <w:ind w:left="425" w:hanging="425"/>
      </w:pPr>
      <w:rPr>
        <w:rFonts w:hint="default"/>
      </w:rPr>
    </w:lvl>
  </w:abstractNum>
  <w:abstractNum w:abstractNumId="16">
    <w:nsid w:val="20E01431"/>
    <w:multiLevelType w:val="singleLevel"/>
    <w:tmpl w:val="20E01431"/>
    <w:lvl w:ilvl="0" w:tentative="0">
      <w:start w:val="1"/>
      <w:numFmt w:val="decimalEnclosedCircleChinese"/>
      <w:suff w:val="nothing"/>
      <w:lvlText w:val="%1　"/>
      <w:lvlJc w:val="left"/>
      <w:pPr>
        <w:tabs>
          <w:tab w:val="left" w:pos="0"/>
        </w:tabs>
        <w:ind w:left="283" w:hanging="283"/>
      </w:pPr>
      <w:rPr>
        <w:rFonts w:hint="eastAsia"/>
      </w:rPr>
    </w:lvl>
  </w:abstractNum>
  <w:abstractNum w:abstractNumId="17">
    <w:nsid w:val="54F403B5"/>
    <w:multiLevelType w:val="singleLevel"/>
    <w:tmpl w:val="54F403B5"/>
    <w:lvl w:ilvl="0" w:tentative="0">
      <w:start w:val="1"/>
      <w:numFmt w:val="chineseCounting"/>
      <w:suff w:val="nothing"/>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num w:numId="1">
    <w:abstractNumId w:val="5"/>
  </w:num>
  <w:num w:numId="2">
    <w:abstractNumId w:val="6"/>
  </w:num>
  <w:num w:numId="3">
    <w:abstractNumId w:val="8"/>
  </w:num>
  <w:num w:numId="4">
    <w:abstractNumId w:val="7"/>
  </w:num>
  <w:num w:numId="5">
    <w:abstractNumId w:val="0"/>
  </w:num>
  <w:num w:numId="6">
    <w:abstractNumId w:val="2"/>
  </w:num>
  <w:num w:numId="7">
    <w:abstractNumId w:val="13"/>
  </w:num>
  <w:num w:numId="8">
    <w:abstractNumId w:val="9"/>
  </w:num>
  <w:num w:numId="9">
    <w:abstractNumId w:val="15"/>
  </w:num>
  <w:num w:numId="10">
    <w:abstractNumId w:val="16"/>
  </w:num>
  <w:num w:numId="11">
    <w:abstractNumId w:val="11"/>
  </w:num>
  <w:num w:numId="12">
    <w:abstractNumId w:val="12"/>
  </w:num>
  <w:num w:numId="13">
    <w:abstractNumId w:val="5"/>
    <w:lvlOverride w:ilvl="1">
      <w:startOverride w:val="1"/>
    </w:lvlOverride>
  </w:num>
  <w:num w:numId="14">
    <w:abstractNumId w:val="3"/>
  </w:num>
  <w:num w:numId="15">
    <w:abstractNumId w:val="1"/>
  </w:num>
  <w:num w:numId="16">
    <w:abstractNumId w:val="14"/>
  </w:num>
  <w:num w:numId="17">
    <w:abstractNumId w:val="4"/>
  </w:num>
  <w:num w:numId="18">
    <w:abstractNumId w:val="10"/>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03"/>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2,3,4,5,6,7,8,9,10,11,12,13,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41"/>
    <w:rsid w:val="0000281B"/>
    <w:rsid w:val="0001198E"/>
    <w:rsid w:val="00012282"/>
    <w:rsid w:val="00014306"/>
    <w:rsid w:val="00014B21"/>
    <w:rsid w:val="00015B4F"/>
    <w:rsid w:val="0002015D"/>
    <w:rsid w:val="000207B5"/>
    <w:rsid w:val="00020916"/>
    <w:rsid w:val="00021546"/>
    <w:rsid w:val="00021E9D"/>
    <w:rsid w:val="000221FC"/>
    <w:rsid w:val="000223B5"/>
    <w:rsid w:val="00022F17"/>
    <w:rsid w:val="000240E1"/>
    <w:rsid w:val="00030FEB"/>
    <w:rsid w:val="0003313E"/>
    <w:rsid w:val="000343D6"/>
    <w:rsid w:val="000351AC"/>
    <w:rsid w:val="00036A88"/>
    <w:rsid w:val="00036EF8"/>
    <w:rsid w:val="000521C2"/>
    <w:rsid w:val="0005449F"/>
    <w:rsid w:val="00054D4E"/>
    <w:rsid w:val="00056F8B"/>
    <w:rsid w:val="000621FF"/>
    <w:rsid w:val="00070BF5"/>
    <w:rsid w:val="00071B3E"/>
    <w:rsid w:val="0007519E"/>
    <w:rsid w:val="00075EEA"/>
    <w:rsid w:val="00077B60"/>
    <w:rsid w:val="00085000"/>
    <w:rsid w:val="0009056C"/>
    <w:rsid w:val="000915E5"/>
    <w:rsid w:val="0009208A"/>
    <w:rsid w:val="000928A1"/>
    <w:rsid w:val="00093D10"/>
    <w:rsid w:val="000954C9"/>
    <w:rsid w:val="000A0CB8"/>
    <w:rsid w:val="000A4267"/>
    <w:rsid w:val="000A5914"/>
    <w:rsid w:val="000B07FC"/>
    <w:rsid w:val="000B3B94"/>
    <w:rsid w:val="000B4E5A"/>
    <w:rsid w:val="000B7EBF"/>
    <w:rsid w:val="000C3934"/>
    <w:rsid w:val="000C7716"/>
    <w:rsid w:val="000D11F9"/>
    <w:rsid w:val="000D2B2D"/>
    <w:rsid w:val="000D3E6B"/>
    <w:rsid w:val="000D490F"/>
    <w:rsid w:val="000D7C36"/>
    <w:rsid w:val="000E0D98"/>
    <w:rsid w:val="000E1C53"/>
    <w:rsid w:val="000E2F35"/>
    <w:rsid w:val="000E3BCE"/>
    <w:rsid w:val="000E4792"/>
    <w:rsid w:val="000E53BB"/>
    <w:rsid w:val="000F0507"/>
    <w:rsid w:val="000F67AA"/>
    <w:rsid w:val="00101C62"/>
    <w:rsid w:val="001031A0"/>
    <w:rsid w:val="00110F5A"/>
    <w:rsid w:val="00111766"/>
    <w:rsid w:val="00111B68"/>
    <w:rsid w:val="00112F54"/>
    <w:rsid w:val="00116F92"/>
    <w:rsid w:val="00120543"/>
    <w:rsid w:val="00122B59"/>
    <w:rsid w:val="00122D43"/>
    <w:rsid w:val="00122E87"/>
    <w:rsid w:val="00126C91"/>
    <w:rsid w:val="00127DA0"/>
    <w:rsid w:val="00127E8B"/>
    <w:rsid w:val="00127EF6"/>
    <w:rsid w:val="00127FD4"/>
    <w:rsid w:val="0013004E"/>
    <w:rsid w:val="00130076"/>
    <w:rsid w:val="00131556"/>
    <w:rsid w:val="00132F22"/>
    <w:rsid w:val="00133302"/>
    <w:rsid w:val="001353CC"/>
    <w:rsid w:val="00135491"/>
    <w:rsid w:val="0013598F"/>
    <w:rsid w:val="00137D4C"/>
    <w:rsid w:val="00140618"/>
    <w:rsid w:val="00140665"/>
    <w:rsid w:val="00140E23"/>
    <w:rsid w:val="00142212"/>
    <w:rsid w:val="00142775"/>
    <w:rsid w:val="001464DA"/>
    <w:rsid w:val="001472AA"/>
    <w:rsid w:val="00147B6D"/>
    <w:rsid w:val="00150CE3"/>
    <w:rsid w:val="00150DDD"/>
    <w:rsid w:val="00151C2C"/>
    <w:rsid w:val="001556EB"/>
    <w:rsid w:val="00160F4C"/>
    <w:rsid w:val="00161947"/>
    <w:rsid w:val="00167371"/>
    <w:rsid w:val="001703B1"/>
    <w:rsid w:val="00171219"/>
    <w:rsid w:val="00171A2B"/>
    <w:rsid w:val="00173E91"/>
    <w:rsid w:val="001748D5"/>
    <w:rsid w:val="00175E7B"/>
    <w:rsid w:val="00176DD9"/>
    <w:rsid w:val="00183DD9"/>
    <w:rsid w:val="00185B4A"/>
    <w:rsid w:val="00190070"/>
    <w:rsid w:val="00191453"/>
    <w:rsid w:val="00194048"/>
    <w:rsid w:val="00194833"/>
    <w:rsid w:val="00195303"/>
    <w:rsid w:val="00195F27"/>
    <w:rsid w:val="001A106F"/>
    <w:rsid w:val="001A21BF"/>
    <w:rsid w:val="001A4DAA"/>
    <w:rsid w:val="001B0CDB"/>
    <w:rsid w:val="001B295B"/>
    <w:rsid w:val="001B2CC2"/>
    <w:rsid w:val="001B4951"/>
    <w:rsid w:val="001B6629"/>
    <w:rsid w:val="001B67C8"/>
    <w:rsid w:val="001B736B"/>
    <w:rsid w:val="001B7C36"/>
    <w:rsid w:val="001C08F2"/>
    <w:rsid w:val="001C0C0C"/>
    <w:rsid w:val="001C2752"/>
    <w:rsid w:val="001C3A1F"/>
    <w:rsid w:val="001D0DE3"/>
    <w:rsid w:val="001D51EC"/>
    <w:rsid w:val="001D533F"/>
    <w:rsid w:val="001D5A63"/>
    <w:rsid w:val="001D7C78"/>
    <w:rsid w:val="001E07A4"/>
    <w:rsid w:val="001E278F"/>
    <w:rsid w:val="001E29DC"/>
    <w:rsid w:val="001E3842"/>
    <w:rsid w:val="001E5140"/>
    <w:rsid w:val="001F1439"/>
    <w:rsid w:val="001F4ECD"/>
    <w:rsid w:val="00200897"/>
    <w:rsid w:val="002015C0"/>
    <w:rsid w:val="00202333"/>
    <w:rsid w:val="002051F3"/>
    <w:rsid w:val="00206A68"/>
    <w:rsid w:val="00210552"/>
    <w:rsid w:val="00210D57"/>
    <w:rsid w:val="00211CAF"/>
    <w:rsid w:val="0021263F"/>
    <w:rsid w:val="00215757"/>
    <w:rsid w:val="00216127"/>
    <w:rsid w:val="00222142"/>
    <w:rsid w:val="0022373A"/>
    <w:rsid w:val="002241AF"/>
    <w:rsid w:val="00226AF8"/>
    <w:rsid w:val="00226E47"/>
    <w:rsid w:val="002307EC"/>
    <w:rsid w:val="00232341"/>
    <w:rsid w:val="002360B1"/>
    <w:rsid w:val="002367F7"/>
    <w:rsid w:val="00242599"/>
    <w:rsid w:val="002428E7"/>
    <w:rsid w:val="00242AD7"/>
    <w:rsid w:val="0024708E"/>
    <w:rsid w:val="00250F06"/>
    <w:rsid w:val="00254A46"/>
    <w:rsid w:val="00256FC7"/>
    <w:rsid w:val="00266139"/>
    <w:rsid w:val="00267455"/>
    <w:rsid w:val="002720FE"/>
    <w:rsid w:val="00273B78"/>
    <w:rsid w:val="00274CD3"/>
    <w:rsid w:val="002760B7"/>
    <w:rsid w:val="00276B2A"/>
    <w:rsid w:val="00283DDE"/>
    <w:rsid w:val="002845EF"/>
    <w:rsid w:val="0028736D"/>
    <w:rsid w:val="0029012A"/>
    <w:rsid w:val="00292BA0"/>
    <w:rsid w:val="00296472"/>
    <w:rsid w:val="002967B4"/>
    <w:rsid w:val="002A1407"/>
    <w:rsid w:val="002A2136"/>
    <w:rsid w:val="002A27FA"/>
    <w:rsid w:val="002A4F69"/>
    <w:rsid w:val="002A52C8"/>
    <w:rsid w:val="002A74FF"/>
    <w:rsid w:val="002A7D29"/>
    <w:rsid w:val="002B0C0A"/>
    <w:rsid w:val="002B109F"/>
    <w:rsid w:val="002B195C"/>
    <w:rsid w:val="002B54EA"/>
    <w:rsid w:val="002B5B9F"/>
    <w:rsid w:val="002B6762"/>
    <w:rsid w:val="002C0AC6"/>
    <w:rsid w:val="002C1772"/>
    <w:rsid w:val="002C2C35"/>
    <w:rsid w:val="002C5EEF"/>
    <w:rsid w:val="002C6119"/>
    <w:rsid w:val="002D17A3"/>
    <w:rsid w:val="002D1956"/>
    <w:rsid w:val="002D1964"/>
    <w:rsid w:val="002D4BE1"/>
    <w:rsid w:val="002D523A"/>
    <w:rsid w:val="002D69A7"/>
    <w:rsid w:val="002D74C4"/>
    <w:rsid w:val="002E00FB"/>
    <w:rsid w:val="002F05C7"/>
    <w:rsid w:val="002F0AE3"/>
    <w:rsid w:val="002F0E06"/>
    <w:rsid w:val="002F18D6"/>
    <w:rsid w:val="002F1EBE"/>
    <w:rsid w:val="002F2EB5"/>
    <w:rsid w:val="002F4C4C"/>
    <w:rsid w:val="002F6C6B"/>
    <w:rsid w:val="002F7927"/>
    <w:rsid w:val="002F7DB3"/>
    <w:rsid w:val="00301C51"/>
    <w:rsid w:val="00304D83"/>
    <w:rsid w:val="003113F1"/>
    <w:rsid w:val="00311A4B"/>
    <w:rsid w:val="0031471A"/>
    <w:rsid w:val="00314F3C"/>
    <w:rsid w:val="00314F5E"/>
    <w:rsid w:val="00320AD7"/>
    <w:rsid w:val="00321865"/>
    <w:rsid w:val="0032261D"/>
    <w:rsid w:val="0032511D"/>
    <w:rsid w:val="00326F35"/>
    <w:rsid w:val="0032762A"/>
    <w:rsid w:val="003314CC"/>
    <w:rsid w:val="00334FD5"/>
    <w:rsid w:val="003369F6"/>
    <w:rsid w:val="003371D3"/>
    <w:rsid w:val="00337B11"/>
    <w:rsid w:val="00337F31"/>
    <w:rsid w:val="003519EF"/>
    <w:rsid w:val="00353BB9"/>
    <w:rsid w:val="00354D64"/>
    <w:rsid w:val="00354EED"/>
    <w:rsid w:val="00356A4C"/>
    <w:rsid w:val="00357FE3"/>
    <w:rsid w:val="0036012B"/>
    <w:rsid w:val="00361ABF"/>
    <w:rsid w:val="00362BEE"/>
    <w:rsid w:val="00363090"/>
    <w:rsid w:val="0036423F"/>
    <w:rsid w:val="00365893"/>
    <w:rsid w:val="0037065F"/>
    <w:rsid w:val="00375548"/>
    <w:rsid w:val="003759EE"/>
    <w:rsid w:val="00375B77"/>
    <w:rsid w:val="00375F51"/>
    <w:rsid w:val="0037630E"/>
    <w:rsid w:val="0038083E"/>
    <w:rsid w:val="00381359"/>
    <w:rsid w:val="003819FF"/>
    <w:rsid w:val="0038204D"/>
    <w:rsid w:val="00390BFF"/>
    <w:rsid w:val="00391F38"/>
    <w:rsid w:val="003939F9"/>
    <w:rsid w:val="0039477D"/>
    <w:rsid w:val="00394943"/>
    <w:rsid w:val="00397EDE"/>
    <w:rsid w:val="003A1300"/>
    <w:rsid w:val="003A3771"/>
    <w:rsid w:val="003A38B9"/>
    <w:rsid w:val="003A4C6A"/>
    <w:rsid w:val="003A707F"/>
    <w:rsid w:val="003A7507"/>
    <w:rsid w:val="003A77B8"/>
    <w:rsid w:val="003B1369"/>
    <w:rsid w:val="003B3D81"/>
    <w:rsid w:val="003B4701"/>
    <w:rsid w:val="003B5AE4"/>
    <w:rsid w:val="003B7D85"/>
    <w:rsid w:val="003C1F08"/>
    <w:rsid w:val="003C4C84"/>
    <w:rsid w:val="003C59F1"/>
    <w:rsid w:val="003C6793"/>
    <w:rsid w:val="003C7D18"/>
    <w:rsid w:val="003D1469"/>
    <w:rsid w:val="003D1CF1"/>
    <w:rsid w:val="003D391D"/>
    <w:rsid w:val="003E233F"/>
    <w:rsid w:val="003E55EB"/>
    <w:rsid w:val="003E626F"/>
    <w:rsid w:val="003F2CA7"/>
    <w:rsid w:val="003F3527"/>
    <w:rsid w:val="00400697"/>
    <w:rsid w:val="00402577"/>
    <w:rsid w:val="0040775D"/>
    <w:rsid w:val="004159F2"/>
    <w:rsid w:val="00416872"/>
    <w:rsid w:val="00417D17"/>
    <w:rsid w:val="00417E7B"/>
    <w:rsid w:val="004213AE"/>
    <w:rsid w:val="0042216A"/>
    <w:rsid w:val="00425D1A"/>
    <w:rsid w:val="00435E96"/>
    <w:rsid w:val="0044071E"/>
    <w:rsid w:val="004415A2"/>
    <w:rsid w:val="004466B1"/>
    <w:rsid w:val="0045000E"/>
    <w:rsid w:val="00456CFA"/>
    <w:rsid w:val="00463384"/>
    <w:rsid w:val="004710C3"/>
    <w:rsid w:val="00475EB6"/>
    <w:rsid w:val="00477CDE"/>
    <w:rsid w:val="00481B77"/>
    <w:rsid w:val="00481D95"/>
    <w:rsid w:val="004868E3"/>
    <w:rsid w:val="004868E4"/>
    <w:rsid w:val="00486D55"/>
    <w:rsid w:val="00491498"/>
    <w:rsid w:val="00491E83"/>
    <w:rsid w:val="0049342E"/>
    <w:rsid w:val="00496333"/>
    <w:rsid w:val="004977B9"/>
    <w:rsid w:val="004A462B"/>
    <w:rsid w:val="004A52FF"/>
    <w:rsid w:val="004B05C7"/>
    <w:rsid w:val="004B3886"/>
    <w:rsid w:val="004B4D89"/>
    <w:rsid w:val="004B4FBF"/>
    <w:rsid w:val="004B54FE"/>
    <w:rsid w:val="004C23C1"/>
    <w:rsid w:val="004C43CA"/>
    <w:rsid w:val="004C4D51"/>
    <w:rsid w:val="004D46D4"/>
    <w:rsid w:val="004D55E1"/>
    <w:rsid w:val="004D620E"/>
    <w:rsid w:val="004E1064"/>
    <w:rsid w:val="004E402F"/>
    <w:rsid w:val="004E62D3"/>
    <w:rsid w:val="004E7F4B"/>
    <w:rsid w:val="004F1086"/>
    <w:rsid w:val="004F1B44"/>
    <w:rsid w:val="004F2925"/>
    <w:rsid w:val="004F3A37"/>
    <w:rsid w:val="00501034"/>
    <w:rsid w:val="0050211B"/>
    <w:rsid w:val="00502B75"/>
    <w:rsid w:val="00503043"/>
    <w:rsid w:val="00504D9D"/>
    <w:rsid w:val="005058FB"/>
    <w:rsid w:val="00507712"/>
    <w:rsid w:val="00507728"/>
    <w:rsid w:val="00511996"/>
    <w:rsid w:val="00511BBC"/>
    <w:rsid w:val="0051391B"/>
    <w:rsid w:val="00520148"/>
    <w:rsid w:val="0052145E"/>
    <w:rsid w:val="00521944"/>
    <w:rsid w:val="005223C0"/>
    <w:rsid w:val="00522D0C"/>
    <w:rsid w:val="005305AA"/>
    <w:rsid w:val="00532157"/>
    <w:rsid w:val="00532403"/>
    <w:rsid w:val="00534DD9"/>
    <w:rsid w:val="005365D0"/>
    <w:rsid w:val="00537917"/>
    <w:rsid w:val="00537C5E"/>
    <w:rsid w:val="0054639C"/>
    <w:rsid w:val="00546723"/>
    <w:rsid w:val="00552EA0"/>
    <w:rsid w:val="005562E5"/>
    <w:rsid w:val="00560382"/>
    <w:rsid w:val="0056620C"/>
    <w:rsid w:val="00566843"/>
    <w:rsid w:val="005678DA"/>
    <w:rsid w:val="00570F11"/>
    <w:rsid w:val="00571226"/>
    <w:rsid w:val="005730CE"/>
    <w:rsid w:val="0057655B"/>
    <w:rsid w:val="00576FE4"/>
    <w:rsid w:val="00577842"/>
    <w:rsid w:val="00581341"/>
    <w:rsid w:val="00583780"/>
    <w:rsid w:val="00584EC7"/>
    <w:rsid w:val="00592CF4"/>
    <w:rsid w:val="005A0CCD"/>
    <w:rsid w:val="005A4B88"/>
    <w:rsid w:val="005B05F9"/>
    <w:rsid w:val="005B174B"/>
    <w:rsid w:val="005B21B4"/>
    <w:rsid w:val="005B2C5A"/>
    <w:rsid w:val="005B437F"/>
    <w:rsid w:val="005B4968"/>
    <w:rsid w:val="005B55BC"/>
    <w:rsid w:val="005B6077"/>
    <w:rsid w:val="005B6A48"/>
    <w:rsid w:val="005C3B02"/>
    <w:rsid w:val="005C3B65"/>
    <w:rsid w:val="005C43A5"/>
    <w:rsid w:val="005C6578"/>
    <w:rsid w:val="005D0146"/>
    <w:rsid w:val="005D180F"/>
    <w:rsid w:val="005D3D23"/>
    <w:rsid w:val="005D4971"/>
    <w:rsid w:val="005D597C"/>
    <w:rsid w:val="005D5E97"/>
    <w:rsid w:val="005D645B"/>
    <w:rsid w:val="005E1933"/>
    <w:rsid w:val="005E26CA"/>
    <w:rsid w:val="00600AA9"/>
    <w:rsid w:val="00601B32"/>
    <w:rsid w:val="00602E92"/>
    <w:rsid w:val="00604108"/>
    <w:rsid w:val="00604D8E"/>
    <w:rsid w:val="00606147"/>
    <w:rsid w:val="00606740"/>
    <w:rsid w:val="00612100"/>
    <w:rsid w:val="00614BCF"/>
    <w:rsid w:val="0061621E"/>
    <w:rsid w:val="0061748D"/>
    <w:rsid w:val="00620D4A"/>
    <w:rsid w:val="00621ED7"/>
    <w:rsid w:val="0062366D"/>
    <w:rsid w:val="00624FCB"/>
    <w:rsid w:val="006325C1"/>
    <w:rsid w:val="006346E9"/>
    <w:rsid w:val="00641BC4"/>
    <w:rsid w:val="006452C1"/>
    <w:rsid w:val="00645326"/>
    <w:rsid w:val="00654149"/>
    <w:rsid w:val="00657929"/>
    <w:rsid w:val="006610F1"/>
    <w:rsid w:val="0066264D"/>
    <w:rsid w:val="00665CD7"/>
    <w:rsid w:val="00666C9E"/>
    <w:rsid w:val="00666D7E"/>
    <w:rsid w:val="00670576"/>
    <w:rsid w:val="00671264"/>
    <w:rsid w:val="00671FB5"/>
    <w:rsid w:val="006758D3"/>
    <w:rsid w:val="00676C88"/>
    <w:rsid w:val="00680374"/>
    <w:rsid w:val="0068299E"/>
    <w:rsid w:val="0068377E"/>
    <w:rsid w:val="006839DB"/>
    <w:rsid w:val="006848B5"/>
    <w:rsid w:val="00684979"/>
    <w:rsid w:val="00684F61"/>
    <w:rsid w:val="0068682D"/>
    <w:rsid w:val="006868B0"/>
    <w:rsid w:val="00690497"/>
    <w:rsid w:val="006A0267"/>
    <w:rsid w:val="006B2201"/>
    <w:rsid w:val="006B7B97"/>
    <w:rsid w:val="006C0C5C"/>
    <w:rsid w:val="006C64B4"/>
    <w:rsid w:val="006C6695"/>
    <w:rsid w:val="006C717F"/>
    <w:rsid w:val="006D1624"/>
    <w:rsid w:val="006E1C1B"/>
    <w:rsid w:val="006E3AFD"/>
    <w:rsid w:val="006E4358"/>
    <w:rsid w:val="006E78E8"/>
    <w:rsid w:val="006E7FD6"/>
    <w:rsid w:val="006F186C"/>
    <w:rsid w:val="006F4218"/>
    <w:rsid w:val="0070518B"/>
    <w:rsid w:val="00710136"/>
    <w:rsid w:val="00710B01"/>
    <w:rsid w:val="007116A7"/>
    <w:rsid w:val="00712115"/>
    <w:rsid w:val="0071386D"/>
    <w:rsid w:val="00713A48"/>
    <w:rsid w:val="00713D0F"/>
    <w:rsid w:val="007207CC"/>
    <w:rsid w:val="00721BEA"/>
    <w:rsid w:val="007228E2"/>
    <w:rsid w:val="007240D5"/>
    <w:rsid w:val="007318EC"/>
    <w:rsid w:val="007328CD"/>
    <w:rsid w:val="00732900"/>
    <w:rsid w:val="0073448B"/>
    <w:rsid w:val="007359FA"/>
    <w:rsid w:val="007364BD"/>
    <w:rsid w:val="007412B0"/>
    <w:rsid w:val="0074513C"/>
    <w:rsid w:val="00750722"/>
    <w:rsid w:val="00753290"/>
    <w:rsid w:val="00754DB3"/>
    <w:rsid w:val="00761CB3"/>
    <w:rsid w:val="00765784"/>
    <w:rsid w:val="00766A24"/>
    <w:rsid w:val="00767C55"/>
    <w:rsid w:val="00771382"/>
    <w:rsid w:val="0077496A"/>
    <w:rsid w:val="0078427F"/>
    <w:rsid w:val="00784289"/>
    <w:rsid w:val="007842C3"/>
    <w:rsid w:val="007854CC"/>
    <w:rsid w:val="00785BE7"/>
    <w:rsid w:val="00790EE0"/>
    <w:rsid w:val="00796648"/>
    <w:rsid w:val="00796A5F"/>
    <w:rsid w:val="007A105F"/>
    <w:rsid w:val="007A3343"/>
    <w:rsid w:val="007A47DC"/>
    <w:rsid w:val="007A7567"/>
    <w:rsid w:val="007B2860"/>
    <w:rsid w:val="007B29FF"/>
    <w:rsid w:val="007B2C24"/>
    <w:rsid w:val="007B2CE4"/>
    <w:rsid w:val="007B594A"/>
    <w:rsid w:val="007B66E7"/>
    <w:rsid w:val="007B6CBE"/>
    <w:rsid w:val="007C038F"/>
    <w:rsid w:val="007C4893"/>
    <w:rsid w:val="007D173A"/>
    <w:rsid w:val="007D479B"/>
    <w:rsid w:val="007E0805"/>
    <w:rsid w:val="007E12E3"/>
    <w:rsid w:val="007E20CF"/>
    <w:rsid w:val="007E260E"/>
    <w:rsid w:val="007E290A"/>
    <w:rsid w:val="007E4F4D"/>
    <w:rsid w:val="007E6FB6"/>
    <w:rsid w:val="007E73EF"/>
    <w:rsid w:val="007E7BF9"/>
    <w:rsid w:val="007F0D3E"/>
    <w:rsid w:val="007F266B"/>
    <w:rsid w:val="007F7DFE"/>
    <w:rsid w:val="0080586B"/>
    <w:rsid w:val="00810DAB"/>
    <w:rsid w:val="00812938"/>
    <w:rsid w:val="00817080"/>
    <w:rsid w:val="00817712"/>
    <w:rsid w:val="00822709"/>
    <w:rsid w:val="00822729"/>
    <w:rsid w:val="00824019"/>
    <w:rsid w:val="008302B3"/>
    <w:rsid w:val="0083066D"/>
    <w:rsid w:val="0083069F"/>
    <w:rsid w:val="0083390B"/>
    <w:rsid w:val="00835932"/>
    <w:rsid w:val="00836A13"/>
    <w:rsid w:val="00841D5F"/>
    <w:rsid w:val="00843688"/>
    <w:rsid w:val="0084605D"/>
    <w:rsid w:val="0085251B"/>
    <w:rsid w:val="00852C61"/>
    <w:rsid w:val="00854002"/>
    <w:rsid w:val="00855FB8"/>
    <w:rsid w:val="00856130"/>
    <w:rsid w:val="00865787"/>
    <w:rsid w:val="00870D75"/>
    <w:rsid w:val="008733DA"/>
    <w:rsid w:val="00877CBE"/>
    <w:rsid w:val="00881CF0"/>
    <w:rsid w:val="00891077"/>
    <w:rsid w:val="00891DFD"/>
    <w:rsid w:val="008937D7"/>
    <w:rsid w:val="00893E12"/>
    <w:rsid w:val="00896D4A"/>
    <w:rsid w:val="008A41BC"/>
    <w:rsid w:val="008B0878"/>
    <w:rsid w:val="008B4B6B"/>
    <w:rsid w:val="008B6956"/>
    <w:rsid w:val="008C452F"/>
    <w:rsid w:val="008C7280"/>
    <w:rsid w:val="008D00D5"/>
    <w:rsid w:val="008D0BA0"/>
    <w:rsid w:val="008D1293"/>
    <w:rsid w:val="008D1A0A"/>
    <w:rsid w:val="008D28DA"/>
    <w:rsid w:val="008E28DF"/>
    <w:rsid w:val="008E29AC"/>
    <w:rsid w:val="008E30AC"/>
    <w:rsid w:val="008F30B7"/>
    <w:rsid w:val="008F6978"/>
    <w:rsid w:val="009005EF"/>
    <w:rsid w:val="0090072C"/>
    <w:rsid w:val="0090081E"/>
    <w:rsid w:val="00900858"/>
    <w:rsid w:val="0090572C"/>
    <w:rsid w:val="0090688B"/>
    <w:rsid w:val="009069FD"/>
    <w:rsid w:val="009075B0"/>
    <w:rsid w:val="0090773E"/>
    <w:rsid w:val="00907C35"/>
    <w:rsid w:val="009117D9"/>
    <w:rsid w:val="00912D67"/>
    <w:rsid w:val="00921297"/>
    <w:rsid w:val="00923D1D"/>
    <w:rsid w:val="00924DA3"/>
    <w:rsid w:val="0092525F"/>
    <w:rsid w:val="00930E0C"/>
    <w:rsid w:val="009321BA"/>
    <w:rsid w:val="00934EE1"/>
    <w:rsid w:val="009372C4"/>
    <w:rsid w:val="0093747F"/>
    <w:rsid w:val="00937912"/>
    <w:rsid w:val="009432AA"/>
    <w:rsid w:val="009503A5"/>
    <w:rsid w:val="009514BB"/>
    <w:rsid w:val="0095245C"/>
    <w:rsid w:val="00952AC1"/>
    <w:rsid w:val="00952C7E"/>
    <w:rsid w:val="00952EA8"/>
    <w:rsid w:val="00954B07"/>
    <w:rsid w:val="00960E0C"/>
    <w:rsid w:val="00960EC5"/>
    <w:rsid w:val="00961460"/>
    <w:rsid w:val="00963A3B"/>
    <w:rsid w:val="00966711"/>
    <w:rsid w:val="009671F5"/>
    <w:rsid w:val="00971898"/>
    <w:rsid w:val="009738CD"/>
    <w:rsid w:val="00974A1F"/>
    <w:rsid w:val="00980077"/>
    <w:rsid w:val="00982F7C"/>
    <w:rsid w:val="009836BC"/>
    <w:rsid w:val="00983995"/>
    <w:rsid w:val="009850F0"/>
    <w:rsid w:val="009854F9"/>
    <w:rsid w:val="00987A9B"/>
    <w:rsid w:val="00990482"/>
    <w:rsid w:val="00992F10"/>
    <w:rsid w:val="009A750E"/>
    <w:rsid w:val="009B1DB1"/>
    <w:rsid w:val="009B25E0"/>
    <w:rsid w:val="009B4E0B"/>
    <w:rsid w:val="009B5CCF"/>
    <w:rsid w:val="009B604F"/>
    <w:rsid w:val="009C0321"/>
    <w:rsid w:val="009C0A0E"/>
    <w:rsid w:val="009C2459"/>
    <w:rsid w:val="009C366C"/>
    <w:rsid w:val="009C463F"/>
    <w:rsid w:val="009C7480"/>
    <w:rsid w:val="009C7499"/>
    <w:rsid w:val="009D014B"/>
    <w:rsid w:val="009D2C96"/>
    <w:rsid w:val="009D4B6E"/>
    <w:rsid w:val="009D7466"/>
    <w:rsid w:val="009E047C"/>
    <w:rsid w:val="009E24A4"/>
    <w:rsid w:val="009E487E"/>
    <w:rsid w:val="009E4DE8"/>
    <w:rsid w:val="009F66D2"/>
    <w:rsid w:val="009F69A8"/>
    <w:rsid w:val="00A03ED5"/>
    <w:rsid w:val="00A06555"/>
    <w:rsid w:val="00A06649"/>
    <w:rsid w:val="00A10A2D"/>
    <w:rsid w:val="00A14F74"/>
    <w:rsid w:val="00A20CC2"/>
    <w:rsid w:val="00A25CF0"/>
    <w:rsid w:val="00A26EB8"/>
    <w:rsid w:val="00A30176"/>
    <w:rsid w:val="00A339DA"/>
    <w:rsid w:val="00A33FB5"/>
    <w:rsid w:val="00A35638"/>
    <w:rsid w:val="00A36EE2"/>
    <w:rsid w:val="00A4282C"/>
    <w:rsid w:val="00A53A8A"/>
    <w:rsid w:val="00A5419E"/>
    <w:rsid w:val="00A5505A"/>
    <w:rsid w:val="00A57A47"/>
    <w:rsid w:val="00A60450"/>
    <w:rsid w:val="00A61019"/>
    <w:rsid w:val="00A6173D"/>
    <w:rsid w:val="00A61C57"/>
    <w:rsid w:val="00A65390"/>
    <w:rsid w:val="00A710AF"/>
    <w:rsid w:val="00A77991"/>
    <w:rsid w:val="00A8025B"/>
    <w:rsid w:val="00A80856"/>
    <w:rsid w:val="00A82B67"/>
    <w:rsid w:val="00A853D2"/>
    <w:rsid w:val="00A9042E"/>
    <w:rsid w:val="00A9062C"/>
    <w:rsid w:val="00A91852"/>
    <w:rsid w:val="00A920A2"/>
    <w:rsid w:val="00A924D7"/>
    <w:rsid w:val="00A95295"/>
    <w:rsid w:val="00A9561D"/>
    <w:rsid w:val="00A95B7B"/>
    <w:rsid w:val="00A97A61"/>
    <w:rsid w:val="00A97AE9"/>
    <w:rsid w:val="00AA12E7"/>
    <w:rsid w:val="00AA2FC0"/>
    <w:rsid w:val="00AA37C9"/>
    <w:rsid w:val="00AA3A90"/>
    <w:rsid w:val="00AA4741"/>
    <w:rsid w:val="00AB01B6"/>
    <w:rsid w:val="00AB07A4"/>
    <w:rsid w:val="00AB1C58"/>
    <w:rsid w:val="00AB657E"/>
    <w:rsid w:val="00AC26E1"/>
    <w:rsid w:val="00AC6903"/>
    <w:rsid w:val="00AD2D41"/>
    <w:rsid w:val="00AD4F0F"/>
    <w:rsid w:val="00AE3456"/>
    <w:rsid w:val="00AE44C8"/>
    <w:rsid w:val="00AE4675"/>
    <w:rsid w:val="00AE4BE4"/>
    <w:rsid w:val="00AE53A9"/>
    <w:rsid w:val="00AF0B12"/>
    <w:rsid w:val="00AF0C95"/>
    <w:rsid w:val="00AF0D9D"/>
    <w:rsid w:val="00AF29CF"/>
    <w:rsid w:val="00AF6C2C"/>
    <w:rsid w:val="00AF6CD7"/>
    <w:rsid w:val="00B01ED9"/>
    <w:rsid w:val="00B0389D"/>
    <w:rsid w:val="00B04F8B"/>
    <w:rsid w:val="00B06820"/>
    <w:rsid w:val="00B07DE6"/>
    <w:rsid w:val="00B10770"/>
    <w:rsid w:val="00B15347"/>
    <w:rsid w:val="00B21D35"/>
    <w:rsid w:val="00B23699"/>
    <w:rsid w:val="00B31F42"/>
    <w:rsid w:val="00B371FA"/>
    <w:rsid w:val="00B40644"/>
    <w:rsid w:val="00B43B19"/>
    <w:rsid w:val="00B45F7F"/>
    <w:rsid w:val="00B46391"/>
    <w:rsid w:val="00B47F8B"/>
    <w:rsid w:val="00B522D8"/>
    <w:rsid w:val="00B53174"/>
    <w:rsid w:val="00B54E07"/>
    <w:rsid w:val="00B562B6"/>
    <w:rsid w:val="00B578B0"/>
    <w:rsid w:val="00B62968"/>
    <w:rsid w:val="00B70C44"/>
    <w:rsid w:val="00B72869"/>
    <w:rsid w:val="00B75BD6"/>
    <w:rsid w:val="00B762EA"/>
    <w:rsid w:val="00B76870"/>
    <w:rsid w:val="00B76C5F"/>
    <w:rsid w:val="00B774C1"/>
    <w:rsid w:val="00B77D0E"/>
    <w:rsid w:val="00B80495"/>
    <w:rsid w:val="00B81009"/>
    <w:rsid w:val="00B851C3"/>
    <w:rsid w:val="00B90793"/>
    <w:rsid w:val="00B90D95"/>
    <w:rsid w:val="00B97EBF"/>
    <w:rsid w:val="00BA5F6E"/>
    <w:rsid w:val="00BA6FC8"/>
    <w:rsid w:val="00BA7EC1"/>
    <w:rsid w:val="00BB3971"/>
    <w:rsid w:val="00BB628D"/>
    <w:rsid w:val="00BB6319"/>
    <w:rsid w:val="00BC740B"/>
    <w:rsid w:val="00BD04BB"/>
    <w:rsid w:val="00BD2B25"/>
    <w:rsid w:val="00BD30ED"/>
    <w:rsid w:val="00BD5B52"/>
    <w:rsid w:val="00BE0BEB"/>
    <w:rsid w:val="00BE0FF0"/>
    <w:rsid w:val="00BE3F99"/>
    <w:rsid w:val="00BE5E33"/>
    <w:rsid w:val="00BE6F36"/>
    <w:rsid w:val="00BE79A8"/>
    <w:rsid w:val="00BF1224"/>
    <w:rsid w:val="00BF1713"/>
    <w:rsid w:val="00BF2291"/>
    <w:rsid w:val="00BF3C11"/>
    <w:rsid w:val="00BF49B0"/>
    <w:rsid w:val="00BF7DDF"/>
    <w:rsid w:val="00C037EA"/>
    <w:rsid w:val="00C10599"/>
    <w:rsid w:val="00C109B6"/>
    <w:rsid w:val="00C1107D"/>
    <w:rsid w:val="00C11430"/>
    <w:rsid w:val="00C13DCC"/>
    <w:rsid w:val="00C2086E"/>
    <w:rsid w:val="00C2214C"/>
    <w:rsid w:val="00C25349"/>
    <w:rsid w:val="00C266A1"/>
    <w:rsid w:val="00C27ADA"/>
    <w:rsid w:val="00C30DD0"/>
    <w:rsid w:val="00C32DBC"/>
    <w:rsid w:val="00C3408E"/>
    <w:rsid w:val="00C35095"/>
    <w:rsid w:val="00C351E0"/>
    <w:rsid w:val="00C3757C"/>
    <w:rsid w:val="00C40530"/>
    <w:rsid w:val="00C40C67"/>
    <w:rsid w:val="00C43107"/>
    <w:rsid w:val="00C45C8D"/>
    <w:rsid w:val="00C46CB3"/>
    <w:rsid w:val="00C52883"/>
    <w:rsid w:val="00C61FC6"/>
    <w:rsid w:val="00C63720"/>
    <w:rsid w:val="00C66397"/>
    <w:rsid w:val="00C6668F"/>
    <w:rsid w:val="00C7475C"/>
    <w:rsid w:val="00C76674"/>
    <w:rsid w:val="00C804C7"/>
    <w:rsid w:val="00C82AA2"/>
    <w:rsid w:val="00C86D19"/>
    <w:rsid w:val="00C90B2A"/>
    <w:rsid w:val="00C92838"/>
    <w:rsid w:val="00C93B5B"/>
    <w:rsid w:val="00C9529D"/>
    <w:rsid w:val="00C95D04"/>
    <w:rsid w:val="00C97823"/>
    <w:rsid w:val="00CA2492"/>
    <w:rsid w:val="00CA7C0B"/>
    <w:rsid w:val="00CB05F3"/>
    <w:rsid w:val="00CB5336"/>
    <w:rsid w:val="00CB5B1F"/>
    <w:rsid w:val="00CC6438"/>
    <w:rsid w:val="00CD3880"/>
    <w:rsid w:val="00CD3968"/>
    <w:rsid w:val="00CD4A05"/>
    <w:rsid w:val="00CD4F4F"/>
    <w:rsid w:val="00CD5245"/>
    <w:rsid w:val="00CD566E"/>
    <w:rsid w:val="00CD6AF1"/>
    <w:rsid w:val="00CE0EA5"/>
    <w:rsid w:val="00CE2279"/>
    <w:rsid w:val="00CE2A12"/>
    <w:rsid w:val="00CE3464"/>
    <w:rsid w:val="00CE611C"/>
    <w:rsid w:val="00CE6A01"/>
    <w:rsid w:val="00CE7E7A"/>
    <w:rsid w:val="00CF51E9"/>
    <w:rsid w:val="00D03C88"/>
    <w:rsid w:val="00D0470E"/>
    <w:rsid w:val="00D04ABC"/>
    <w:rsid w:val="00D07CB9"/>
    <w:rsid w:val="00D1069F"/>
    <w:rsid w:val="00D117EB"/>
    <w:rsid w:val="00D14EF3"/>
    <w:rsid w:val="00D15F77"/>
    <w:rsid w:val="00D16160"/>
    <w:rsid w:val="00D17339"/>
    <w:rsid w:val="00D20297"/>
    <w:rsid w:val="00D2336B"/>
    <w:rsid w:val="00D2617C"/>
    <w:rsid w:val="00D2709B"/>
    <w:rsid w:val="00D3047B"/>
    <w:rsid w:val="00D31BF8"/>
    <w:rsid w:val="00D34EA5"/>
    <w:rsid w:val="00D401C1"/>
    <w:rsid w:val="00D4272A"/>
    <w:rsid w:val="00D432BC"/>
    <w:rsid w:val="00D439A8"/>
    <w:rsid w:val="00D4423D"/>
    <w:rsid w:val="00D44685"/>
    <w:rsid w:val="00D4574A"/>
    <w:rsid w:val="00D45D9E"/>
    <w:rsid w:val="00D54889"/>
    <w:rsid w:val="00D56421"/>
    <w:rsid w:val="00D57A3D"/>
    <w:rsid w:val="00D60185"/>
    <w:rsid w:val="00D6330C"/>
    <w:rsid w:val="00D647DB"/>
    <w:rsid w:val="00D6628F"/>
    <w:rsid w:val="00D7260B"/>
    <w:rsid w:val="00D73BB3"/>
    <w:rsid w:val="00D74333"/>
    <w:rsid w:val="00D74512"/>
    <w:rsid w:val="00D762CA"/>
    <w:rsid w:val="00D76A26"/>
    <w:rsid w:val="00D858E8"/>
    <w:rsid w:val="00D90224"/>
    <w:rsid w:val="00D91884"/>
    <w:rsid w:val="00D918C0"/>
    <w:rsid w:val="00D933B5"/>
    <w:rsid w:val="00D95887"/>
    <w:rsid w:val="00D96349"/>
    <w:rsid w:val="00D968E2"/>
    <w:rsid w:val="00DA6DE6"/>
    <w:rsid w:val="00DB0DBD"/>
    <w:rsid w:val="00DB5C11"/>
    <w:rsid w:val="00DB74DB"/>
    <w:rsid w:val="00DB7837"/>
    <w:rsid w:val="00DC0F46"/>
    <w:rsid w:val="00DC1313"/>
    <w:rsid w:val="00DC1A79"/>
    <w:rsid w:val="00DC4B82"/>
    <w:rsid w:val="00DD34D3"/>
    <w:rsid w:val="00DD5B4F"/>
    <w:rsid w:val="00DD64D7"/>
    <w:rsid w:val="00DD6F07"/>
    <w:rsid w:val="00DD77C3"/>
    <w:rsid w:val="00DE03BA"/>
    <w:rsid w:val="00DE0431"/>
    <w:rsid w:val="00DE17F9"/>
    <w:rsid w:val="00DE195E"/>
    <w:rsid w:val="00DE2813"/>
    <w:rsid w:val="00DE4B95"/>
    <w:rsid w:val="00DE6462"/>
    <w:rsid w:val="00DF2295"/>
    <w:rsid w:val="00DF2FAF"/>
    <w:rsid w:val="00DF3B3B"/>
    <w:rsid w:val="00DF71AB"/>
    <w:rsid w:val="00E0170D"/>
    <w:rsid w:val="00E01BDB"/>
    <w:rsid w:val="00E10946"/>
    <w:rsid w:val="00E112DF"/>
    <w:rsid w:val="00E12F34"/>
    <w:rsid w:val="00E1393D"/>
    <w:rsid w:val="00E2688F"/>
    <w:rsid w:val="00E2691D"/>
    <w:rsid w:val="00E2708A"/>
    <w:rsid w:val="00E31D03"/>
    <w:rsid w:val="00E32895"/>
    <w:rsid w:val="00E418D7"/>
    <w:rsid w:val="00E47CA9"/>
    <w:rsid w:val="00E5099E"/>
    <w:rsid w:val="00E50CCC"/>
    <w:rsid w:val="00E5503D"/>
    <w:rsid w:val="00E5559D"/>
    <w:rsid w:val="00E55670"/>
    <w:rsid w:val="00E6283A"/>
    <w:rsid w:val="00E702E5"/>
    <w:rsid w:val="00E716C8"/>
    <w:rsid w:val="00E751EE"/>
    <w:rsid w:val="00E76C31"/>
    <w:rsid w:val="00E81E8D"/>
    <w:rsid w:val="00E82EC6"/>
    <w:rsid w:val="00E9530C"/>
    <w:rsid w:val="00E956A7"/>
    <w:rsid w:val="00E9584A"/>
    <w:rsid w:val="00E95E5B"/>
    <w:rsid w:val="00EA1AD2"/>
    <w:rsid w:val="00EA44EB"/>
    <w:rsid w:val="00EA5087"/>
    <w:rsid w:val="00EA78FC"/>
    <w:rsid w:val="00EB30D8"/>
    <w:rsid w:val="00EB71C7"/>
    <w:rsid w:val="00EB7A22"/>
    <w:rsid w:val="00EC2EE1"/>
    <w:rsid w:val="00EC37DB"/>
    <w:rsid w:val="00EC503E"/>
    <w:rsid w:val="00EC5555"/>
    <w:rsid w:val="00EC5581"/>
    <w:rsid w:val="00EC766F"/>
    <w:rsid w:val="00ED18CF"/>
    <w:rsid w:val="00ED458D"/>
    <w:rsid w:val="00ED7A86"/>
    <w:rsid w:val="00ED7C00"/>
    <w:rsid w:val="00EE2BD8"/>
    <w:rsid w:val="00EF4BD9"/>
    <w:rsid w:val="00F02612"/>
    <w:rsid w:val="00F0535E"/>
    <w:rsid w:val="00F14C8A"/>
    <w:rsid w:val="00F17F47"/>
    <w:rsid w:val="00F24D06"/>
    <w:rsid w:val="00F24F14"/>
    <w:rsid w:val="00F2743D"/>
    <w:rsid w:val="00F27A9D"/>
    <w:rsid w:val="00F30063"/>
    <w:rsid w:val="00F30ADC"/>
    <w:rsid w:val="00F317DB"/>
    <w:rsid w:val="00F345A8"/>
    <w:rsid w:val="00F372F6"/>
    <w:rsid w:val="00F40767"/>
    <w:rsid w:val="00F4150B"/>
    <w:rsid w:val="00F42E55"/>
    <w:rsid w:val="00F42F62"/>
    <w:rsid w:val="00F43890"/>
    <w:rsid w:val="00F43E62"/>
    <w:rsid w:val="00F460A0"/>
    <w:rsid w:val="00F460D4"/>
    <w:rsid w:val="00F535E5"/>
    <w:rsid w:val="00F63F07"/>
    <w:rsid w:val="00F71A52"/>
    <w:rsid w:val="00F73046"/>
    <w:rsid w:val="00F7502C"/>
    <w:rsid w:val="00F76888"/>
    <w:rsid w:val="00F81859"/>
    <w:rsid w:val="00F83602"/>
    <w:rsid w:val="00F83FE6"/>
    <w:rsid w:val="00F84879"/>
    <w:rsid w:val="00F86131"/>
    <w:rsid w:val="00F8654D"/>
    <w:rsid w:val="00F869F7"/>
    <w:rsid w:val="00F92CA0"/>
    <w:rsid w:val="00F94364"/>
    <w:rsid w:val="00F95C18"/>
    <w:rsid w:val="00F9698F"/>
    <w:rsid w:val="00FA218E"/>
    <w:rsid w:val="00FA3E2F"/>
    <w:rsid w:val="00FA4BD7"/>
    <w:rsid w:val="00FB1885"/>
    <w:rsid w:val="00FB6B96"/>
    <w:rsid w:val="00FB6C52"/>
    <w:rsid w:val="00FB7F86"/>
    <w:rsid w:val="00FC32A5"/>
    <w:rsid w:val="00FD0CE6"/>
    <w:rsid w:val="00FD3588"/>
    <w:rsid w:val="00FE54A6"/>
    <w:rsid w:val="00FE6036"/>
    <w:rsid w:val="00FE7EC9"/>
    <w:rsid w:val="00FF00CB"/>
    <w:rsid w:val="00FF3EE9"/>
    <w:rsid w:val="00FF6CEF"/>
    <w:rsid w:val="00FF6D6F"/>
    <w:rsid w:val="01050D9B"/>
    <w:rsid w:val="0115308C"/>
    <w:rsid w:val="01186E24"/>
    <w:rsid w:val="014903A9"/>
    <w:rsid w:val="017B08B4"/>
    <w:rsid w:val="018248B5"/>
    <w:rsid w:val="01A412FE"/>
    <w:rsid w:val="01B20ABB"/>
    <w:rsid w:val="01B81081"/>
    <w:rsid w:val="01B81585"/>
    <w:rsid w:val="01C20277"/>
    <w:rsid w:val="01CB629E"/>
    <w:rsid w:val="01CC0983"/>
    <w:rsid w:val="01D86994"/>
    <w:rsid w:val="021153DC"/>
    <w:rsid w:val="021A0BFE"/>
    <w:rsid w:val="02486737"/>
    <w:rsid w:val="02677296"/>
    <w:rsid w:val="026929FF"/>
    <w:rsid w:val="02733BEB"/>
    <w:rsid w:val="0285763E"/>
    <w:rsid w:val="028F3A76"/>
    <w:rsid w:val="029A7A3D"/>
    <w:rsid w:val="02C064DC"/>
    <w:rsid w:val="02C15350"/>
    <w:rsid w:val="02D0085D"/>
    <w:rsid w:val="02D15B17"/>
    <w:rsid w:val="02D2242F"/>
    <w:rsid w:val="03041DF9"/>
    <w:rsid w:val="03094B07"/>
    <w:rsid w:val="0325754B"/>
    <w:rsid w:val="03285A20"/>
    <w:rsid w:val="03623366"/>
    <w:rsid w:val="036E6A20"/>
    <w:rsid w:val="03716AB5"/>
    <w:rsid w:val="03832252"/>
    <w:rsid w:val="03957F6E"/>
    <w:rsid w:val="03B37294"/>
    <w:rsid w:val="03B65F25"/>
    <w:rsid w:val="03F049A4"/>
    <w:rsid w:val="03F85E06"/>
    <w:rsid w:val="03FE1578"/>
    <w:rsid w:val="04034045"/>
    <w:rsid w:val="04074CDB"/>
    <w:rsid w:val="04190784"/>
    <w:rsid w:val="043C1935"/>
    <w:rsid w:val="043D08E2"/>
    <w:rsid w:val="044858F1"/>
    <w:rsid w:val="044C01DD"/>
    <w:rsid w:val="04672482"/>
    <w:rsid w:val="04AF26BC"/>
    <w:rsid w:val="04C43D85"/>
    <w:rsid w:val="04CF4DA3"/>
    <w:rsid w:val="04E4262B"/>
    <w:rsid w:val="04F56C7F"/>
    <w:rsid w:val="05165505"/>
    <w:rsid w:val="052E650D"/>
    <w:rsid w:val="05766CA8"/>
    <w:rsid w:val="057F0C42"/>
    <w:rsid w:val="05A64E7D"/>
    <w:rsid w:val="05AE3AF8"/>
    <w:rsid w:val="05C707DD"/>
    <w:rsid w:val="05D85241"/>
    <w:rsid w:val="05EA0443"/>
    <w:rsid w:val="05EA3A6E"/>
    <w:rsid w:val="061F7B22"/>
    <w:rsid w:val="06255E34"/>
    <w:rsid w:val="06264A24"/>
    <w:rsid w:val="062E2288"/>
    <w:rsid w:val="065F1C02"/>
    <w:rsid w:val="0660159E"/>
    <w:rsid w:val="06644565"/>
    <w:rsid w:val="06817DA0"/>
    <w:rsid w:val="06863B44"/>
    <w:rsid w:val="06872B81"/>
    <w:rsid w:val="068C4D3B"/>
    <w:rsid w:val="069E6A40"/>
    <w:rsid w:val="06C8202F"/>
    <w:rsid w:val="06D013F6"/>
    <w:rsid w:val="06D73539"/>
    <w:rsid w:val="06E10C33"/>
    <w:rsid w:val="06E31D2E"/>
    <w:rsid w:val="06E46126"/>
    <w:rsid w:val="06EB5A67"/>
    <w:rsid w:val="07005485"/>
    <w:rsid w:val="071567F8"/>
    <w:rsid w:val="07267612"/>
    <w:rsid w:val="07391585"/>
    <w:rsid w:val="07626AF0"/>
    <w:rsid w:val="076D4D3B"/>
    <w:rsid w:val="076E5D3B"/>
    <w:rsid w:val="07A22BA6"/>
    <w:rsid w:val="07B42D8D"/>
    <w:rsid w:val="07B57A7F"/>
    <w:rsid w:val="07B75D67"/>
    <w:rsid w:val="07D102E3"/>
    <w:rsid w:val="07D51342"/>
    <w:rsid w:val="07D85AF7"/>
    <w:rsid w:val="07DF007E"/>
    <w:rsid w:val="07E2277C"/>
    <w:rsid w:val="07ED0B7A"/>
    <w:rsid w:val="08082AE3"/>
    <w:rsid w:val="080877C0"/>
    <w:rsid w:val="080C2EE8"/>
    <w:rsid w:val="0815178F"/>
    <w:rsid w:val="081B53A8"/>
    <w:rsid w:val="086711F1"/>
    <w:rsid w:val="08687D5D"/>
    <w:rsid w:val="08806ED4"/>
    <w:rsid w:val="08822685"/>
    <w:rsid w:val="089303A1"/>
    <w:rsid w:val="089F2E02"/>
    <w:rsid w:val="08A60534"/>
    <w:rsid w:val="08A9680E"/>
    <w:rsid w:val="08AA78BB"/>
    <w:rsid w:val="08BE0D2A"/>
    <w:rsid w:val="08ED4204"/>
    <w:rsid w:val="08FF4A94"/>
    <w:rsid w:val="09277590"/>
    <w:rsid w:val="095D573A"/>
    <w:rsid w:val="097176E8"/>
    <w:rsid w:val="09731772"/>
    <w:rsid w:val="0974005E"/>
    <w:rsid w:val="09792264"/>
    <w:rsid w:val="09AF4FA1"/>
    <w:rsid w:val="09B174F4"/>
    <w:rsid w:val="09B96A96"/>
    <w:rsid w:val="09BA06BE"/>
    <w:rsid w:val="09C22A6B"/>
    <w:rsid w:val="09C35A5D"/>
    <w:rsid w:val="09CF2327"/>
    <w:rsid w:val="09D351DA"/>
    <w:rsid w:val="0A181D87"/>
    <w:rsid w:val="0A196A7C"/>
    <w:rsid w:val="0A1A3968"/>
    <w:rsid w:val="0A200E2D"/>
    <w:rsid w:val="0A4827C4"/>
    <w:rsid w:val="0A59385F"/>
    <w:rsid w:val="0A5F366C"/>
    <w:rsid w:val="0A645F7F"/>
    <w:rsid w:val="0A883CB2"/>
    <w:rsid w:val="0A8B04DC"/>
    <w:rsid w:val="0A954F47"/>
    <w:rsid w:val="0A96406B"/>
    <w:rsid w:val="0A9668F8"/>
    <w:rsid w:val="0A9D6070"/>
    <w:rsid w:val="0AA316A6"/>
    <w:rsid w:val="0AA93DA7"/>
    <w:rsid w:val="0AA97A8C"/>
    <w:rsid w:val="0AB04E98"/>
    <w:rsid w:val="0AC86CBC"/>
    <w:rsid w:val="0ACC6A1D"/>
    <w:rsid w:val="0AE13954"/>
    <w:rsid w:val="0AEC39F9"/>
    <w:rsid w:val="0B3430B8"/>
    <w:rsid w:val="0B6017B9"/>
    <w:rsid w:val="0B621DF5"/>
    <w:rsid w:val="0B6B55CC"/>
    <w:rsid w:val="0B8D1BD6"/>
    <w:rsid w:val="0B9E129E"/>
    <w:rsid w:val="0BB346A7"/>
    <w:rsid w:val="0BBD03F5"/>
    <w:rsid w:val="0BD60A60"/>
    <w:rsid w:val="0BDB0DA0"/>
    <w:rsid w:val="0BE17301"/>
    <w:rsid w:val="0BE3647D"/>
    <w:rsid w:val="0BEB041B"/>
    <w:rsid w:val="0C0301BA"/>
    <w:rsid w:val="0C033114"/>
    <w:rsid w:val="0C1D761B"/>
    <w:rsid w:val="0C2D2DB2"/>
    <w:rsid w:val="0C5A6DA7"/>
    <w:rsid w:val="0C5B538F"/>
    <w:rsid w:val="0C697E40"/>
    <w:rsid w:val="0C9476BE"/>
    <w:rsid w:val="0CAF3CFB"/>
    <w:rsid w:val="0CCD628F"/>
    <w:rsid w:val="0CD52CD6"/>
    <w:rsid w:val="0CDB5456"/>
    <w:rsid w:val="0CDF60B9"/>
    <w:rsid w:val="0CDF6A7D"/>
    <w:rsid w:val="0CF166CC"/>
    <w:rsid w:val="0D00181D"/>
    <w:rsid w:val="0D1A1D1D"/>
    <w:rsid w:val="0D343DF1"/>
    <w:rsid w:val="0D3D15E3"/>
    <w:rsid w:val="0D526228"/>
    <w:rsid w:val="0D8B7B3D"/>
    <w:rsid w:val="0D8D4EA0"/>
    <w:rsid w:val="0DB94E10"/>
    <w:rsid w:val="0DCC09DB"/>
    <w:rsid w:val="0DCF4774"/>
    <w:rsid w:val="0E023228"/>
    <w:rsid w:val="0E3D39D3"/>
    <w:rsid w:val="0E3E08BE"/>
    <w:rsid w:val="0E6E2C58"/>
    <w:rsid w:val="0E6E7D32"/>
    <w:rsid w:val="0E8A7C53"/>
    <w:rsid w:val="0E8B09EC"/>
    <w:rsid w:val="0ED93B9D"/>
    <w:rsid w:val="0EE15F8E"/>
    <w:rsid w:val="0EE30683"/>
    <w:rsid w:val="0F0604E0"/>
    <w:rsid w:val="0F095EC9"/>
    <w:rsid w:val="0F214C39"/>
    <w:rsid w:val="0F2E67B6"/>
    <w:rsid w:val="0F30117A"/>
    <w:rsid w:val="0F467E0F"/>
    <w:rsid w:val="0F6A005A"/>
    <w:rsid w:val="0FCE626C"/>
    <w:rsid w:val="0FDC531B"/>
    <w:rsid w:val="0FE5185A"/>
    <w:rsid w:val="0FED3DE9"/>
    <w:rsid w:val="0FF70C73"/>
    <w:rsid w:val="0FFD434A"/>
    <w:rsid w:val="10311C84"/>
    <w:rsid w:val="105307C8"/>
    <w:rsid w:val="1058198A"/>
    <w:rsid w:val="107C0574"/>
    <w:rsid w:val="10A32AF4"/>
    <w:rsid w:val="10A656DA"/>
    <w:rsid w:val="10AA2927"/>
    <w:rsid w:val="10D238D2"/>
    <w:rsid w:val="10EC71CD"/>
    <w:rsid w:val="110B3B27"/>
    <w:rsid w:val="111968AC"/>
    <w:rsid w:val="112701C2"/>
    <w:rsid w:val="11312D0E"/>
    <w:rsid w:val="11585503"/>
    <w:rsid w:val="117A670D"/>
    <w:rsid w:val="11A16A7F"/>
    <w:rsid w:val="11AA75C3"/>
    <w:rsid w:val="11BA2DA2"/>
    <w:rsid w:val="11D22F88"/>
    <w:rsid w:val="11E12C61"/>
    <w:rsid w:val="11EE1F77"/>
    <w:rsid w:val="11F347F3"/>
    <w:rsid w:val="11FB1EA3"/>
    <w:rsid w:val="121C30ED"/>
    <w:rsid w:val="122E2EBF"/>
    <w:rsid w:val="12330DF4"/>
    <w:rsid w:val="124455B9"/>
    <w:rsid w:val="12467464"/>
    <w:rsid w:val="12476AD8"/>
    <w:rsid w:val="12487B37"/>
    <w:rsid w:val="12515FE5"/>
    <w:rsid w:val="12523FBC"/>
    <w:rsid w:val="12951F09"/>
    <w:rsid w:val="129D2BB4"/>
    <w:rsid w:val="12A8130D"/>
    <w:rsid w:val="12AC36BB"/>
    <w:rsid w:val="12CC6240"/>
    <w:rsid w:val="12E01BD4"/>
    <w:rsid w:val="12E40AFD"/>
    <w:rsid w:val="12E63EDB"/>
    <w:rsid w:val="12ED63FC"/>
    <w:rsid w:val="12ED7C64"/>
    <w:rsid w:val="12F2494F"/>
    <w:rsid w:val="1300693C"/>
    <w:rsid w:val="130205D0"/>
    <w:rsid w:val="13210D28"/>
    <w:rsid w:val="13673996"/>
    <w:rsid w:val="13857459"/>
    <w:rsid w:val="139831FA"/>
    <w:rsid w:val="13A330D8"/>
    <w:rsid w:val="13BF2BB6"/>
    <w:rsid w:val="13C359E0"/>
    <w:rsid w:val="13CF7FAB"/>
    <w:rsid w:val="13E2777C"/>
    <w:rsid w:val="13EB653A"/>
    <w:rsid w:val="14236D92"/>
    <w:rsid w:val="14522A66"/>
    <w:rsid w:val="146B08C6"/>
    <w:rsid w:val="147B03A7"/>
    <w:rsid w:val="14926AEC"/>
    <w:rsid w:val="149802BA"/>
    <w:rsid w:val="149C6376"/>
    <w:rsid w:val="14A66C6D"/>
    <w:rsid w:val="14D65009"/>
    <w:rsid w:val="14D6663D"/>
    <w:rsid w:val="14E74988"/>
    <w:rsid w:val="14F4278B"/>
    <w:rsid w:val="15030825"/>
    <w:rsid w:val="15342454"/>
    <w:rsid w:val="15343F14"/>
    <w:rsid w:val="154E1A04"/>
    <w:rsid w:val="155A7A15"/>
    <w:rsid w:val="15832797"/>
    <w:rsid w:val="15AD5035"/>
    <w:rsid w:val="15BB45B7"/>
    <w:rsid w:val="15C61A8F"/>
    <w:rsid w:val="15C731EB"/>
    <w:rsid w:val="15D26814"/>
    <w:rsid w:val="15E302D1"/>
    <w:rsid w:val="15E56FF5"/>
    <w:rsid w:val="15EE5AA3"/>
    <w:rsid w:val="15F0262C"/>
    <w:rsid w:val="16064DC1"/>
    <w:rsid w:val="16521914"/>
    <w:rsid w:val="167B0575"/>
    <w:rsid w:val="16924448"/>
    <w:rsid w:val="16943135"/>
    <w:rsid w:val="16A94F58"/>
    <w:rsid w:val="16C5291F"/>
    <w:rsid w:val="16DC0950"/>
    <w:rsid w:val="16E704A1"/>
    <w:rsid w:val="16EC54CF"/>
    <w:rsid w:val="16EF768A"/>
    <w:rsid w:val="16F87B89"/>
    <w:rsid w:val="170C6758"/>
    <w:rsid w:val="17265F53"/>
    <w:rsid w:val="1739714A"/>
    <w:rsid w:val="174263A9"/>
    <w:rsid w:val="175D20B0"/>
    <w:rsid w:val="17835EC5"/>
    <w:rsid w:val="178A0AA7"/>
    <w:rsid w:val="17B346F1"/>
    <w:rsid w:val="17DE5C2C"/>
    <w:rsid w:val="180F14B1"/>
    <w:rsid w:val="18250E82"/>
    <w:rsid w:val="18280263"/>
    <w:rsid w:val="182E6082"/>
    <w:rsid w:val="183C1919"/>
    <w:rsid w:val="18451B22"/>
    <w:rsid w:val="18492C9F"/>
    <w:rsid w:val="185922CA"/>
    <w:rsid w:val="18684859"/>
    <w:rsid w:val="186A38D7"/>
    <w:rsid w:val="18746FB7"/>
    <w:rsid w:val="187D763D"/>
    <w:rsid w:val="188017FD"/>
    <w:rsid w:val="188D2958"/>
    <w:rsid w:val="18965615"/>
    <w:rsid w:val="189A50AD"/>
    <w:rsid w:val="18AB2587"/>
    <w:rsid w:val="18B22B90"/>
    <w:rsid w:val="18B41D16"/>
    <w:rsid w:val="19143034"/>
    <w:rsid w:val="192C3AF3"/>
    <w:rsid w:val="193F4A76"/>
    <w:rsid w:val="1943499F"/>
    <w:rsid w:val="1959612E"/>
    <w:rsid w:val="19693B77"/>
    <w:rsid w:val="19A768B6"/>
    <w:rsid w:val="19BB4AC7"/>
    <w:rsid w:val="19C56EB8"/>
    <w:rsid w:val="19D72A94"/>
    <w:rsid w:val="1A000666"/>
    <w:rsid w:val="1A0D22BB"/>
    <w:rsid w:val="1A210342"/>
    <w:rsid w:val="1A2C607F"/>
    <w:rsid w:val="1A95222B"/>
    <w:rsid w:val="1AAA2E06"/>
    <w:rsid w:val="1AC31A76"/>
    <w:rsid w:val="1AC74A03"/>
    <w:rsid w:val="1AD5073D"/>
    <w:rsid w:val="1ADA7AD6"/>
    <w:rsid w:val="1AE8420C"/>
    <w:rsid w:val="1AFC7914"/>
    <w:rsid w:val="1B012DFF"/>
    <w:rsid w:val="1B04108A"/>
    <w:rsid w:val="1B06076A"/>
    <w:rsid w:val="1B07255B"/>
    <w:rsid w:val="1B0D5AB9"/>
    <w:rsid w:val="1B210ADF"/>
    <w:rsid w:val="1B246F05"/>
    <w:rsid w:val="1B285A99"/>
    <w:rsid w:val="1B3563DD"/>
    <w:rsid w:val="1B4C4DC5"/>
    <w:rsid w:val="1B54650A"/>
    <w:rsid w:val="1B560317"/>
    <w:rsid w:val="1BB93830"/>
    <w:rsid w:val="1BCA4827"/>
    <w:rsid w:val="1BD52E34"/>
    <w:rsid w:val="1C137F0A"/>
    <w:rsid w:val="1C1A3B1D"/>
    <w:rsid w:val="1C2766EF"/>
    <w:rsid w:val="1C372854"/>
    <w:rsid w:val="1C5D1817"/>
    <w:rsid w:val="1C6646A5"/>
    <w:rsid w:val="1C677FF7"/>
    <w:rsid w:val="1C8A3B4C"/>
    <w:rsid w:val="1C8A62BF"/>
    <w:rsid w:val="1C96470C"/>
    <w:rsid w:val="1C975CFC"/>
    <w:rsid w:val="1CA87967"/>
    <w:rsid w:val="1CC03ABA"/>
    <w:rsid w:val="1CD23A1D"/>
    <w:rsid w:val="1CE91227"/>
    <w:rsid w:val="1D083E28"/>
    <w:rsid w:val="1D0C499E"/>
    <w:rsid w:val="1D201555"/>
    <w:rsid w:val="1D310042"/>
    <w:rsid w:val="1D3F4CBF"/>
    <w:rsid w:val="1D4D3677"/>
    <w:rsid w:val="1D6A6EED"/>
    <w:rsid w:val="1D6E35AD"/>
    <w:rsid w:val="1D8D1AF4"/>
    <w:rsid w:val="1DA03128"/>
    <w:rsid w:val="1DB70F8B"/>
    <w:rsid w:val="1DE37094"/>
    <w:rsid w:val="1DFA1472"/>
    <w:rsid w:val="1DFE4DB4"/>
    <w:rsid w:val="1E0C059A"/>
    <w:rsid w:val="1E230BDE"/>
    <w:rsid w:val="1E247634"/>
    <w:rsid w:val="1E302A17"/>
    <w:rsid w:val="1E436DB2"/>
    <w:rsid w:val="1E502CAB"/>
    <w:rsid w:val="1E731B28"/>
    <w:rsid w:val="1E746983"/>
    <w:rsid w:val="1E950147"/>
    <w:rsid w:val="1EA05A0C"/>
    <w:rsid w:val="1EAF485F"/>
    <w:rsid w:val="1EBB1E0D"/>
    <w:rsid w:val="1ECA5B8E"/>
    <w:rsid w:val="1EDB762C"/>
    <w:rsid w:val="1EDF18B6"/>
    <w:rsid w:val="1F271D28"/>
    <w:rsid w:val="1F332FFB"/>
    <w:rsid w:val="1F333476"/>
    <w:rsid w:val="1F546226"/>
    <w:rsid w:val="1F6138F9"/>
    <w:rsid w:val="1F63408D"/>
    <w:rsid w:val="1F65194D"/>
    <w:rsid w:val="1F6967B8"/>
    <w:rsid w:val="1F887D2E"/>
    <w:rsid w:val="1F897842"/>
    <w:rsid w:val="1F8E36CF"/>
    <w:rsid w:val="1FB6524A"/>
    <w:rsid w:val="1FE75612"/>
    <w:rsid w:val="1FE842E7"/>
    <w:rsid w:val="1FF83830"/>
    <w:rsid w:val="1FFD539C"/>
    <w:rsid w:val="2012512B"/>
    <w:rsid w:val="20136430"/>
    <w:rsid w:val="203B1A47"/>
    <w:rsid w:val="20406A9C"/>
    <w:rsid w:val="205212EA"/>
    <w:rsid w:val="206A35BB"/>
    <w:rsid w:val="206D1886"/>
    <w:rsid w:val="206D4753"/>
    <w:rsid w:val="208863EE"/>
    <w:rsid w:val="20936033"/>
    <w:rsid w:val="209D454A"/>
    <w:rsid w:val="20A71DBE"/>
    <w:rsid w:val="20B8621B"/>
    <w:rsid w:val="20CE13ED"/>
    <w:rsid w:val="20E23A13"/>
    <w:rsid w:val="20EC58DA"/>
    <w:rsid w:val="21021984"/>
    <w:rsid w:val="210B645A"/>
    <w:rsid w:val="21176AF6"/>
    <w:rsid w:val="211E5D7D"/>
    <w:rsid w:val="21242424"/>
    <w:rsid w:val="2139098A"/>
    <w:rsid w:val="21565A2C"/>
    <w:rsid w:val="21722AD1"/>
    <w:rsid w:val="217648CA"/>
    <w:rsid w:val="217C3A90"/>
    <w:rsid w:val="219A5304"/>
    <w:rsid w:val="21A32552"/>
    <w:rsid w:val="21AD32B9"/>
    <w:rsid w:val="21B1732D"/>
    <w:rsid w:val="21B26DD5"/>
    <w:rsid w:val="21B44156"/>
    <w:rsid w:val="21B67D2D"/>
    <w:rsid w:val="21C417EC"/>
    <w:rsid w:val="21CE57FD"/>
    <w:rsid w:val="21EF50E1"/>
    <w:rsid w:val="224778BE"/>
    <w:rsid w:val="22716DA9"/>
    <w:rsid w:val="228174F2"/>
    <w:rsid w:val="228F60A9"/>
    <w:rsid w:val="229024C6"/>
    <w:rsid w:val="2290412C"/>
    <w:rsid w:val="229B7004"/>
    <w:rsid w:val="22A20197"/>
    <w:rsid w:val="22B36277"/>
    <w:rsid w:val="22D5721F"/>
    <w:rsid w:val="22F60FDF"/>
    <w:rsid w:val="233D6FAB"/>
    <w:rsid w:val="2349430D"/>
    <w:rsid w:val="234F3CB0"/>
    <w:rsid w:val="235C3954"/>
    <w:rsid w:val="23630F44"/>
    <w:rsid w:val="23687AFD"/>
    <w:rsid w:val="236965E6"/>
    <w:rsid w:val="238207AD"/>
    <w:rsid w:val="239D4BD2"/>
    <w:rsid w:val="23A04402"/>
    <w:rsid w:val="23B1279A"/>
    <w:rsid w:val="23C859F8"/>
    <w:rsid w:val="23C9355E"/>
    <w:rsid w:val="23D97A5F"/>
    <w:rsid w:val="23F0072D"/>
    <w:rsid w:val="24057FC8"/>
    <w:rsid w:val="24141B72"/>
    <w:rsid w:val="244A225F"/>
    <w:rsid w:val="24610C3D"/>
    <w:rsid w:val="246D35EF"/>
    <w:rsid w:val="2473018F"/>
    <w:rsid w:val="24802137"/>
    <w:rsid w:val="24814D57"/>
    <w:rsid w:val="249A5EEB"/>
    <w:rsid w:val="249E7D5C"/>
    <w:rsid w:val="24A0419E"/>
    <w:rsid w:val="24A67669"/>
    <w:rsid w:val="24DB0A78"/>
    <w:rsid w:val="24F414B1"/>
    <w:rsid w:val="25062E55"/>
    <w:rsid w:val="251C1370"/>
    <w:rsid w:val="25396722"/>
    <w:rsid w:val="253B4951"/>
    <w:rsid w:val="25437AF9"/>
    <w:rsid w:val="254F24A2"/>
    <w:rsid w:val="256B3439"/>
    <w:rsid w:val="259730BA"/>
    <w:rsid w:val="25B13604"/>
    <w:rsid w:val="25B520C7"/>
    <w:rsid w:val="25B553B9"/>
    <w:rsid w:val="25BB4979"/>
    <w:rsid w:val="25C363F1"/>
    <w:rsid w:val="25C92AE1"/>
    <w:rsid w:val="25DA16DD"/>
    <w:rsid w:val="25E87891"/>
    <w:rsid w:val="25EC467B"/>
    <w:rsid w:val="25F03408"/>
    <w:rsid w:val="26013CBF"/>
    <w:rsid w:val="26036512"/>
    <w:rsid w:val="261372DA"/>
    <w:rsid w:val="261D2218"/>
    <w:rsid w:val="26333950"/>
    <w:rsid w:val="263758F0"/>
    <w:rsid w:val="263A7053"/>
    <w:rsid w:val="26450CB7"/>
    <w:rsid w:val="264777D9"/>
    <w:rsid w:val="264F0351"/>
    <w:rsid w:val="266D5535"/>
    <w:rsid w:val="267D744D"/>
    <w:rsid w:val="26967E82"/>
    <w:rsid w:val="269876D3"/>
    <w:rsid w:val="26BD420F"/>
    <w:rsid w:val="26C419CE"/>
    <w:rsid w:val="26C6392A"/>
    <w:rsid w:val="26E4040B"/>
    <w:rsid w:val="271414AB"/>
    <w:rsid w:val="27435E8B"/>
    <w:rsid w:val="27761D2B"/>
    <w:rsid w:val="27801CB5"/>
    <w:rsid w:val="27A44EC3"/>
    <w:rsid w:val="27F361B5"/>
    <w:rsid w:val="280C55A0"/>
    <w:rsid w:val="281201EF"/>
    <w:rsid w:val="281F2C62"/>
    <w:rsid w:val="282966B1"/>
    <w:rsid w:val="28316093"/>
    <w:rsid w:val="284A4177"/>
    <w:rsid w:val="28691DDD"/>
    <w:rsid w:val="28835A8C"/>
    <w:rsid w:val="288D75BC"/>
    <w:rsid w:val="28C15112"/>
    <w:rsid w:val="28C745E9"/>
    <w:rsid w:val="28D02A64"/>
    <w:rsid w:val="28D54B9F"/>
    <w:rsid w:val="28DD4269"/>
    <w:rsid w:val="28F7386B"/>
    <w:rsid w:val="29221026"/>
    <w:rsid w:val="292337E5"/>
    <w:rsid w:val="293556BF"/>
    <w:rsid w:val="29380A65"/>
    <w:rsid w:val="29407C18"/>
    <w:rsid w:val="2949068A"/>
    <w:rsid w:val="29796457"/>
    <w:rsid w:val="29955CC7"/>
    <w:rsid w:val="299A2E15"/>
    <w:rsid w:val="29BB0302"/>
    <w:rsid w:val="29CE1B76"/>
    <w:rsid w:val="29DB582C"/>
    <w:rsid w:val="2A1502C9"/>
    <w:rsid w:val="2A2040D2"/>
    <w:rsid w:val="2A2F10A6"/>
    <w:rsid w:val="2A2F2642"/>
    <w:rsid w:val="2A326FB3"/>
    <w:rsid w:val="2A357DCE"/>
    <w:rsid w:val="2A4C2C3D"/>
    <w:rsid w:val="2A863051"/>
    <w:rsid w:val="2A8A28FE"/>
    <w:rsid w:val="2A950D32"/>
    <w:rsid w:val="2A9C5B30"/>
    <w:rsid w:val="2AD82E5B"/>
    <w:rsid w:val="2AE76459"/>
    <w:rsid w:val="2AED3CFA"/>
    <w:rsid w:val="2AED757D"/>
    <w:rsid w:val="2AEE177B"/>
    <w:rsid w:val="2AFA7C6E"/>
    <w:rsid w:val="2AFD3F94"/>
    <w:rsid w:val="2B0425EF"/>
    <w:rsid w:val="2B180D77"/>
    <w:rsid w:val="2B2217ED"/>
    <w:rsid w:val="2B3876E5"/>
    <w:rsid w:val="2B79793F"/>
    <w:rsid w:val="2B7B67CF"/>
    <w:rsid w:val="2B9F159F"/>
    <w:rsid w:val="2BB01953"/>
    <w:rsid w:val="2BCC2C8F"/>
    <w:rsid w:val="2C0702A5"/>
    <w:rsid w:val="2C0A6A50"/>
    <w:rsid w:val="2C1F2C7D"/>
    <w:rsid w:val="2C4B05A4"/>
    <w:rsid w:val="2C6E0B15"/>
    <w:rsid w:val="2C745BD5"/>
    <w:rsid w:val="2C7C1B83"/>
    <w:rsid w:val="2C873C42"/>
    <w:rsid w:val="2C8A4679"/>
    <w:rsid w:val="2C952DB1"/>
    <w:rsid w:val="2C9C3418"/>
    <w:rsid w:val="2CAC29D6"/>
    <w:rsid w:val="2CB957BB"/>
    <w:rsid w:val="2D0136F6"/>
    <w:rsid w:val="2D2B45A9"/>
    <w:rsid w:val="2D3124F3"/>
    <w:rsid w:val="2D946260"/>
    <w:rsid w:val="2DB9365A"/>
    <w:rsid w:val="2E020E22"/>
    <w:rsid w:val="2E093F97"/>
    <w:rsid w:val="2E0F6725"/>
    <w:rsid w:val="2E4F2027"/>
    <w:rsid w:val="2E50181A"/>
    <w:rsid w:val="2E6B04F6"/>
    <w:rsid w:val="2E732727"/>
    <w:rsid w:val="2E8C5D75"/>
    <w:rsid w:val="2E965E1A"/>
    <w:rsid w:val="2E9E470A"/>
    <w:rsid w:val="2ED430F0"/>
    <w:rsid w:val="2EED0F1A"/>
    <w:rsid w:val="2F050AB9"/>
    <w:rsid w:val="2F12101B"/>
    <w:rsid w:val="2F2242D5"/>
    <w:rsid w:val="2F260A8B"/>
    <w:rsid w:val="2F27403D"/>
    <w:rsid w:val="2F345017"/>
    <w:rsid w:val="2F596B17"/>
    <w:rsid w:val="2F5E21F8"/>
    <w:rsid w:val="2F781BEF"/>
    <w:rsid w:val="2FBE147A"/>
    <w:rsid w:val="2FCC5607"/>
    <w:rsid w:val="2FD31004"/>
    <w:rsid w:val="2FD85DE3"/>
    <w:rsid w:val="2FE701DF"/>
    <w:rsid w:val="2FE7726A"/>
    <w:rsid w:val="2FEF38D2"/>
    <w:rsid w:val="2FF76F5B"/>
    <w:rsid w:val="30133FEC"/>
    <w:rsid w:val="303A6A53"/>
    <w:rsid w:val="305F6AB4"/>
    <w:rsid w:val="308E0730"/>
    <w:rsid w:val="3099322C"/>
    <w:rsid w:val="309B7CE6"/>
    <w:rsid w:val="30CF1847"/>
    <w:rsid w:val="30E63698"/>
    <w:rsid w:val="30FB6FB4"/>
    <w:rsid w:val="3124417F"/>
    <w:rsid w:val="313B34E4"/>
    <w:rsid w:val="314F6109"/>
    <w:rsid w:val="3151571C"/>
    <w:rsid w:val="316275B7"/>
    <w:rsid w:val="31667D21"/>
    <w:rsid w:val="31A50089"/>
    <w:rsid w:val="31AA2E09"/>
    <w:rsid w:val="31AE180F"/>
    <w:rsid w:val="31B1512E"/>
    <w:rsid w:val="31B6389F"/>
    <w:rsid w:val="31CA2CA7"/>
    <w:rsid w:val="31DE235E"/>
    <w:rsid w:val="31FB70AF"/>
    <w:rsid w:val="32140399"/>
    <w:rsid w:val="321E7FA0"/>
    <w:rsid w:val="32291C1E"/>
    <w:rsid w:val="323D6C3E"/>
    <w:rsid w:val="32410290"/>
    <w:rsid w:val="3259416D"/>
    <w:rsid w:val="328B38E5"/>
    <w:rsid w:val="329967D8"/>
    <w:rsid w:val="32F10947"/>
    <w:rsid w:val="32F26657"/>
    <w:rsid w:val="3304573D"/>
    <w:rsid w:val="33301D0B"/>
    <w:rsid w:val="33453BD9"/>
    <w:rsid w:val="33547F3B"/>
    <w:rsid w:val="33775020"/>
    <w:rsid w:val="337B0DB2"/>
    <w:rsid w:val="33800E19"/>
    <w:rsid w:val="33B81CF4"/>
    <w:rsid w:val="33C2127A"/>
    <w:rsid w:val="33D40B08"/>
    <w:rsid w:val="33D421CD"/>
    <w:rsid w:val="33EC2D9B"/>
    <w:rsid w:val="342C7029"/>
    <w:rsid w:val="344F39A6"/>
    <w:rsid w:val="34574045"/>
    <w:rsid w:val="34821B53"/>
    <w:rsid w:val="348670BC"/>
    <w:rsid w:val="34A14AE4"/>
    <w:rsid w:val="34D13489"/>
    <w:rsid w:val="34E41CFD"/>
    <w:rsid w:val="34E818A9"/>
    <w:rsid w:val="350D2E8F"/>
    <w:rsid w:val="35134ED1"/>
    <w:rsid w:val="352B27FB"/>
    <w:rsid w:val="3535115B"/>
    <w:rsid w:val="35615559"/>
    <w:rsid w:val="357A5D7D"/>
    <w:rsid w:val="358C41D7"/>
    <w:rsid w:val="359A307E"/>
    <w:rsid w:val="359F4304"/>
    <w:rsid w:val="35AB5616"/>
    <w:rsid w:val="35B00AA5"/>
    <w:rsid w:val="35C51944"/>
    <w:rsid w:val="35F061DD"/>
    <w:rsid w:val="35F21CBF"/>
    <w:rsid w:val="35FD7A5D"/>
    <w:rsid w:val="35FE0BA4"/>
    <w:rsid w:val="36044CAC"/>
    <w:rsid w:val="362B4B6B"/>
    <w:rsid w:val="36372AF3"/>
    <w:rsid w:val="363D7BCF"/>
    <w:rsid w:val="3640708F"/>
    <w:rsid w:val="365F40C1"/>
    <w:rsid w:val="366208C9"/>
    <w:rsid w:val="366702E8"/>
    <w:rsid w:val="3676742A"/>
    <w:rsid w:val="36822E1D"/>
    <w:rsid w:val="369C526F"/>
    <w:rsid w:val="36BC2CFF"/>
    <w:rsid w:val="36C572CB"/>
    <w:rsid w:val="36D56D85"/>
    <w:rsid w:val="37006263"/>
    <w:rsid w:val="37022D72"/>
    <w:rsid w:val="37195747"/>
    <w:rsid w:val="37307F67"/>
    <w:rsid w:val="373C2155"/>
    <w:rsid w:val="374E22D5"/>
    <w:rsid w:val="374E6BDB"/>
    <w:rsid w:val="377A61BA"/>
    <w:rsid w:val="377B3686"/>
    <w:rsid w:val="37A44758"/>
    <w:rsid w:val="37A778DB"/>
    <w:rsid w:val="37AB4D31"/>
    <w:rsid w:val="382D342C"/>
    <w:rsid w:val="384A2968"/>
    <w:rsid w:val="384E7769"/>
    <w:rsid w:val="385002DB"/>
    <w:rsid w:val="387138E4"/>
    <w:rsid w:val="387519F3"/>
    <w:rsid w:val="38AD1D36"/>
    <w:rsid w:val="38BB7C06"/>
    <w:rsid w:val="3908228E"/>
    <w:rsid w:val="3910424C"/>
    <w:rsid w:val="391B5050"/>
    <w:rsid w:val="39216B45"/>
    <w:rsid w:val="3928570A"/>
    <w:rsid w:val="393A2270"/>
    <w:rsid w:val="39460A3B"/>
    <w:rsid w:val="39485BCE"/>
    <w:rsid w:val="39636C68"/>
    <w:rsid w:val="396C570C"/>
    <w:rsid w:val="397024A5"/>
    <w:rsid w:val="39997BA6"/>
    <w:rsid w:val="399C0107"/>
    <w:rsid w:val="39AB69F6"/>
    <w:rsid w:val="39AE1224"/>
    <w:rsid w:val="39AE3277"/>
    <w:rsid w:val="39B91F2C"/>
    <w:rsid w:val="39F31751"/>
    <w:rsid w:val="39F434DB"/>
    <w:rsid w:val="39FD3633"/>
    <w:rsid w:val="3A032728"/>
    <w:rsid w:val="3A1A7EAA"/>
    <w:rsid w:val="3A210DEE"/>
    <w:rsid w:val="3A382CD3"/>
    <w:rsid w:val="3A3E03BF"/>
    <w:rsid w:val="3A5A260E"/>
    <w:rsid w:val="3A6B16E8"/>
    <w:rsid w:val="3A6E38CB"/>
    <w:rsid w:val="3A6F5D60"/>
    <w:rsid w:val="3AB66EE8"/>
    <w:rsid w:val="3ABC356A"/>
    <w:rsid w:val="3ABD0BC7"/>
    <w:rsid w:val="3AC0178A"/>
    <w:rsid w:val="3AC31B87"/>
    <w:rsid w:val="3AC468C8"/>
    <w:rsid w:val="3AC67791"/>
    <w:rsid w:val="3AE142C2"/>
    <w:rsid w:val="3AED6BD3"/>
    <w:rsid w:val="3B306C88"/>
    <w:rsid w:val="3B6416BF"/>
    <w:rsid w:val="3B716D4B"/>
    <w:rsid w:val="3B793D1A"/>
    <w:rsid w:val="3B9351BF"/>
    <w:rsid w:val="3BB63F97"/>
    <w:rsid w:val="3BB70AB9"/>
    <w:rsid w:val="3BBF75B0"/>
    <w:rsid w:val="3BC2055C"/>
    <w:rsid w:val="3BDC6425"/>
    <w:rsid w:val="3BEF2626"/>
    <w:rsid w:val="3C165EA1"/>
    <w:rsid w:val="3C2025E5"/>
    <w:rsid w:val="3C22457B"/>
    <w:rsid w:val="3C242FBF"/>
    <w:rsid w:val="3C2564BB"/>
    <w:rsid w:val="3C5B4265"/>
    <w:rsid w:val="3C76082F"/>
    <w:rsid w:val="3C7F3A5E"/>
    <w:rsid w:val="3C8F4478"/>
    <w:rsid w:val="3C987724"/>
    <w:rsid w:val="3CBF11F5"/>
    <w:rsid w:val="3CBF4AFF"/>
    <w:rsid w:val="3CEC7BD4"/>
    <w:rsid w:val="3CF65028"/>
    <w:rsid w:val="3CFB2C9B"/>
    <w:rsid w:val="3D005F6C"/>
    <w:rsid w:val="3D1E0EF0"/>
    <w:rsid w:val="3D381F88"/>
    <w:rsid w:val="3D493A44"/>
    <w:rsid w:val="3D764A9E"/>
    <w:rsid w:val="3D844A81"/>
    <w:rsid w:val="3D9306B3"/>
    <w:rsid w:val="3D94180F"/>
    <w:rsid w:val="3DA81BD2"/>
    <w:rsid w:val="3DD41223"/>
    <w:rsid w:val="3DF91ADF"/>
    <w:rsid w:val="3E1E276F"/>
    <w:rsid w:val="3E2F1D93"/>
    <w:rsid w:val="3E3E0D23"/>
    <w:rsid w:val="3E55075E"/>
    <w:rsid w:val="3E5C73DF"/>
    <w:rsid w:val="3E681345"/>
    <w:rsid w:val="3E952C4C"/>
    <w:rsid w:val="3E985119"/>
    <w:rsid w:val="3E9E2047"/>
    <w:rsid w:val="3ED04A77"/>
    <w:rsid w:val="3EE93E04"/>
    <w:rsid w:val="3EF278C0"/>
    <w:rsid w:val="3EFB3122"/>
    <w:rsid w:val="3F1A051E"/>
    <w:rsid w:val="3F1C0869"/>
    <w:rsid w:val="3F1C3119"/>
    <w:rsid w:val="3F233925"/>
    <w:rsid w:val="3F49778D"/>
    <w:rsid w:val="3F4C6CE8"/>
    <w:rsid w:val="3F503C1B"/>
    <w:rsid w:val="3F5328FD"/>
    <w:rsid w:val="3F5A2215"/>
    <w:rsid w:val="3F6B52EC"/>
    <w:rsid w:val="3F941F4C"/>
    <w:rsid w:val="3F94295F"/>
    <w:rsid w:val="3F9C755C"/>
    <w:rsid w:val="3FAB60B0"/>
    <w:rsid w:val="3FBD3A8A"/>
    <w:rsid w:val="3FC369A0"/>
    <w:rsid w:val="3FE146DD"/>
    <w:rsid w:val="3FE9325F"/>
    <w:rsid w:val="3FF250A7"/>
    <w:rsid w:val="40342E1F"/>
    <w:rsid w:val="403B3537"/>
    <w:rsid w:val="40434307"/>
    <w:rsid w:val="40795E02"/>
    <w:rsid w:val="40854466"/>
    <w:rsid w:val="40A05445"/>
    <w:rsid w:val="40AC7BA9"/>
    <w:rsid w:val="40D76677"/>
    <w:rsid w:val="40E1601C"/>
    <w:rsid w:val="40E43430"/>
    <w:rsid w:val="40F64FBA"/>
    <w:rsid w:val="41003DB0"/>
    <w:rsid w:val="41336B88"/>
    <w:rsid w:val="413B0D91"/>
    <w:rsid w:val="41952C29"/>
    <w:rsid w:val="41AA03F8"/>
    <w:rsid w:val="41CD3503"/>
    <w:rsid w:val="41DD5957"/>
    <w:rsid w:val="41F856DF"/>
    <w:rsid w:val="422E4822"/>
    <w:rsid w:val="4250145A"/>
    <w:rsid w:val="426A084C"/>
    <w:rsid w:val="42754789"/>
    <w:rsid w:val="428827CD"/>
    <w:rsid w:val="42967200"/>
    <w:rsid w:val="429B34DC"/>
    <w:rsid w:val="42BE69D7"/>
    <w:rsid w:val="42D55B65"/>
    <w:rsid w:val="42F25864"/>
    <w:rsid w:val="42F41924"/>
    <w:rsid w:val="430E4C3F"/>
    <w:rsid w:val="431622C1"/>
    <w:rsid w:val="4335365D"/>
    <w:rsid w:val="43395FD9"/>
    <w:rsid w:val="43404B34"/>
    <w:rsid w:val="435A76C6"/>
    <w:rsid w:val="435C1379"/>
    <w:rsid w:val="437F778B"/>
    <w:rsid w:val="438C142F"/>
    <w:rsid w:val="43946A9C"/>
    <w:rsid w:val="43A97E5E"/>
    <w:rsid w:val="43BB2531"/>
    <w:rsid w:val="43CB1371"/>
    <w:rsid w:val="43D7749F"/>
    <w:rsid w:val="43EE3D70"/>
    <w:rsid w:val="443963F9"/>
    <w:rsid w:val="444A0B38"/>
    <w:rsid w:val="445E033A"/>
    <w:rsid w:val="446F0254"/>
    <w:rsid w:val="448C7B84"/>
    <w:rsid w:val="44A37A63"/>
    <w:rsid w:val="44A52FE9"/>
    <w:rsid w:val="44A70903"/>
    <w:rsid w:val="44AB056A"/>
    <w:rsid w:val="44B14540"/>
    <w:rsid w:val="44B43A2E"/>
    <w:rsid w:val="44B93160"/>
    <w:rsid w:val="44D7561F"/>
    <w:rsid w:val="44F72820"/>
    <w:rsid w:val="45194177"/>
    <w:rsid w:val="456831BA"/>
    <w:rsid w:val="456D462C"/>
    <w:rsid w:val="45770BFD"/>
    <w:rsid w:val="45817197"/>
    <w:rsid w:val="458379D6"/>
    <w:rsid w:val="45897FC6"/>
    <w:rsid w:val="45D47866"/>
    <w:rsid w:val="45DA0529"/>
    <w:rsid w:val="45E226B4"/>
    <w:rsid w:val="45EF2C7D"/>
    <w:rsid w:val="45FE0A0E"/>
    <w:rsid w:val="46042173"/>
    <w:rsid w:val="46063208"/>
    <w:rsid w:val="46095DF7"/>
    <w:rsid w:val="46184904"/>
    <w:rsid w:val="462966C8"/>
    <w:rsid w:val="4670321D"/>
    <w:rsid w:val="46C9692D"/>
    <w:rsid w:val="46D17DBE"/>
    <w:rsid w:val="46F072EA"/>
    <w:rsid w:val="46F33A3A"/>
    <w:rsid w:val="4710222D"/>
    <w:rsid w:val="47105324"/>
    <w:rsid w:val="47135D7F"/>
    <w:rsid w:val="472D6E53"/>
    <w:rsid w:val="474712B5"/>
    <w:rsid w:val="475A136D"/>
    <w:rsid w:val="47637259"/>
    <w:rsid w:val="476D6D18"/>
    <w:rsid w:val="477D377B"/>
    <w:rsid w:val="4783151D"/>
    <w:rsid w:val="47912074"/>
    <w:rsid w:val="47973751"/>
    <w:rsid w:val="47BA38BA"/>
    <w:rsid w:val="47E210A8"/>
    <w:rsid w:val="481C0975"/>
    <w:rsid w:val="482C47F7"/>
    <w:rsid w:val="482D67AB"/>
    <w:rsid w:val="483C7010"/>
    <w:rsid w:val="4852631D"/>
    <w:rsid w:val="48632753"/>
    <w:rsid w:val="486B547F"/>
    <w:rsid w:val="48717B26"/>
    <w:rsid w:val="487C1B1D"/>
    <w:rsid w:val="487F3AB6"/>
    <w:rsid w:val="489A5B99"/>
    <w:rsid w:val="48A52D94"/>
    <w:rsid w:val="48A85F16"/>
    <w:rsid w:val="48B126EF"/>
    <w:rsid w:val="48C23D0D"/>
    <w:rsid w:val="48E20E54"/>
    <w:rsid w:val="48EB19BF"/>
    <w:rsid w:val="48F158E5"/>
    <w:rsid w:val="48F64539"/>
    <w:rsid w:val="48FC627F"/>
    <w:rsid w:val="49215706"/>
    <w:rsid w:val="494055BD"/>
    <w:rsid w:val="49414AE9"/>
    <w:rsid w:val="494E5DE3"/>
    <w:rsid w:val="49562FE0"/>
    <w:rsid w:val="495849AF"/>
    <w:rsid w:val="496069B4"/>
    <w:rsid w:val="497107F7"/>
    <w:rsid w:val="49711F77"/>
    <w:rsid w:val="49852CBE"/>
    <w:rsid w:val="49CB4087"/>
    <w:rsid w:val="49D617AF"/>
    <w:rsid w:val="4A0140DC"/>
    <w:rsid w:val="4A087DAF"/>
    <w:rsid w:val="4A1019AE"/>
    <w:rsid w:val="4A1D3AD3"/>
    <w:rsid w:val="4A2B453A"/>
    <w:rsid w:val="4A477C68"/>
    <w:rsid w:val="4A4D0920"/>
    <w:rsid w:val="4A5756F3"/>
    <w:rsid w:val="4A5B288E"/>
    <w:rsid w:val="4A623FA8"/>
    <w:rsid w:val="4A786D0F"/>
    <w:rsid w:val="4A7B31F9"/>
    <w:rsid w:val="4A9216E3"/>
    <w:rsid w:val="4A95601A"/>
    <w:rsid w:val="4A99460D"/>
    <w:rsid w:val="4A9B7DF4"/>
    <w:rsid w:val="4AA33A56"/>
    <w:rsid w:val="4AAB6A4B"/>
    <w:rsid w:val="4ACA372F"/>
    <w:rsid w:val="4AD3346E"/>
    <w:rsid w:val="4AF6514A"/>
    <w:rsid w:val="4AFC7E8E"/>
    <w:rsid w:val="4AFD7B6C"/>
    <w:rsid w:val="4B01301B"/>
    <w:rsid w:val="4B1D5DC5"/>
    <w:rsid w:val="4B2452BC"/>
    <w:rsid w:val="4B2C7BD5"/>
    <w:rsid w:val="4B492A00"/>
    <w:rsid w:val="4B71056A"/>
    <w:rsid w:val="4B736FEC"/>
    <w:rsid w:val="4B79341C"/>
    <w:rsid w:val="4B80697B"/>
    <w:rsid w:val="4B8D6A74"/>
    <w:rsid w:val="4B9545BC"/>
    <w:rsid w:val="4B9D44F4"/>
    <w:rsid w:val="4BD509F4"/>
    <w:rsid w:val="4BE26B5C"/>
    <w:rsid w:val="4BF316AA"/>
    <w:rsid w:val="4BFD1F8F"/>
    <w:rsid w:val="4C0B6D51"/>
    <w:rsid w:val="4C0F48B0"/>
    <w:rsid w:val="4C1E287B"/>
    <w:rsid w:val="4C3D187C"/>
    <w:rsid w:val="4C514546"/>
    <w:rsid w:val="4C6B501B"/>
    <w:rsid w:val="4C733602"/>
    <w:rsid w:val="4C7F32A8"/>
    <w:rsid w:val="4C87104A"/>
    <w:rsid w:val="4C972AB6"/>
    <w:rsid w:val="4CC364FF"/>
    <w:rsid w:val="4CC45121"/>
    <w:rsid w:val="4CD049E1"/>
    <w:rsid w:val="4CD71626"/>
    <w:rsid w:val="4CE37029"/>
    <w:rsid w:val="4D0F4B60"/>
    <w:rsid w:val="4D123444"/>
    <w:rsid w:val="4D1F0B2D"/>
    <w:rsid w:val="4D2346DA"/>
    <w:rsid w:val="4D3C337B"/>
    <w:rsid w:val="4D4B5A29"/>
    <w:rsid w:val="4D555A6E"/>
    <w:rsid w:val="4D623103"/>
    <w:rsid w:val="4D68094D"/>
    <w:rsid w:val="4D684F6E"/>
    <w:rsid w:val="4D7814A6"/>
    <w:rsid w:val="4D961C68"/>
    <w:rsid w:val="4DB87D11"/>
    <w:rsid w:val="4DC2330A"/>
    <w:rsid w:val="4DD3309B"/>
    <w:rsid w:val="4DD8347A"/>
    <w:rsid w:val="4DFB2D5D"/>
    <w:rsid w:val="4DFB7B78"/>
    <w:rsid w:val="4DFD3576"/>
    <w:rsid w:val="4E0E2C9E"/>
    <w:rsid w:val="4E166718"/>
    <w:rsid w:val="4E1C456A"/>
    <w:rsid w:val="4E2021D5"/>
    <w:rsid w:val="4E21506C"/>
    <w:rsid w:val="4E2355F3"/>
    <w:rsid w:val="4E4A7540"/>
    <w:rsid w:val="4E676BB0"/>
    <w:rsid w:val="4E6B55EC"/>
    <w:rsid w:val="4E7C381A"/>
    <w:rsid w:val="4EB432F8"/>
    <w:rsid w:val="4EC744EC"/>
    <w:rsid w:val="4EDE7C80"/>
    <w:rsid w:val="4EE63455"/>
    <w:rsid w:val="4EE8763A"/>
    <w:rsid w:val="4EE90491"/>
    <w:rsid w:val="4EEB5CB4"/>
    <w:rsid w:val="4EED01D5"/>
    <w:rsid w:val="4EED657E"/>
    <w:rsid w:val="4F0D6DE1"/>
    <w:rsid w:val="4F147580"/>
    <w:rsid w:val="4F250268"/>
    <w:rsid w:val="4F252B31"/>
    <w:rsid w:val="4F3E5E41"/>
    <w:rsid w:val="4F496D42"/>
    <w:rsid w:val="4F501631"/>
    <w:rsid w:val="4F5C52AF"/>
    <w:rsid w:val="4F61484A"/>
    <w:rsid w:val="4F6D2DFE"/>
    <w:rsid w:val="4F7F08EE"/>
    <w:rsid w:val="4F876C88"/>
    <w:rsid w:val="4FAC7EDB"/>
    <w:rsid w:val="4FB20B98"/>
    <w:rsid w:val="4FB52383"/>
    <w:rsid w:val="4FBA6F55"/>
    <w:rsid w:val="4FDC1578"/>
    <w:rsid w:val="4FE44E23"/>
    <w:rsid w:val="4FE55C0A"/>
    <w:rsid w:val="4FE912AB"/>
    <w:rsid w:val="4FFF4908"/>
    <w:rsid w:val="500D4E90"/>
    <w:rsid w:val="500E4A66"/>
    <w:rsid w:val="501511D4"/>
    <w:rsid w:val="50270705"/>
    <w:rsid w:val="50354E9C"/>
    <w:rsid w:val="503A6CC2"/>
    <w:rsid w:val="507B5930"/>
    <w:rsid w:val="50843D18"/>
    <w:rsid w:val="508624F3"/>
    <w:rsid w:val="5092553E"/>
    <w:rsid w:val="509437B7"/>
    <w:rsid w:val="50AB2007"/>
    <w:rsid w:val="50AD5F80"/>
    <w:rsid w:val="50B72BFD"/>
    <w:rsid w:val="50C0415F"/>
    <w:rsid w:val="50C83927"/>
    <w:rsid w:val="50DC0111"/>
    <w:rsid w:val="50E71087"/>
    <w:rsid w:val="50E90E4D"/>
    <w:rsid w:val="50E95877"/>
    <w:rsid w:val="50F2381B"/>
    <w:rsid w:val="51073612"/>
    <w:rsid w:val="511D4256"/>
    <w:rsid w:val="51206DA9"/>
    <w:rsid w:val="512F75B8"/>
    <w:rsid w:val="514A436A"/>
    <w:rsid w:val="516D4963"/>
    <w:rsid w:val="518B5123"/>
    <w:rsid w:val="51AA43DA"/>
    <w:rsid w:val="51E03964"/>
    <w:rsid w:val="51E51B83"/>
    <w:rsid w:val="51E57DEC"/>
    <w:rsid w:val="51FB1F8F"/>
    <w:rsid w:val="52056221"/>
    <w:rsid w:val="522259BD"/>
    <w:rsid w:val="522F3A85"/>
    <w:rsid w:val="524351EC"/>
    <w:rsid w:val="524A79AD"/>
    <w:rsid w:val="525548DD"/>
    <w:rsid w:val="5264613C"/>
    <w:rsid w:val="526A7A81"/>
    <w:rsid w:val="528817F3"/>
    <w:rsid w:val="528832AE"/>
    <w:rsid w:val="52892AF8"/>
    <w:rsid w:val="528C60BE"/>
    <w:rsid w:val="5292787C"/>
    <w:rsid w:val="52B934BF"/>
    <w:rsid w:val="52BE7ACF"/>
    <w:rsid w:val="52CD7EAF"/>
    <w:rsid w:val="52DD2DA5"/>
    <w:rsid w:val="52F21D5E"/>
    <w:rsid w:val="52F2525A"/>
    <w:rsid w:val="52F31277"/>
    <w:rsid w:val="53101AD7"/>
    <w:rsid w:val="531A54B7"/>
    <w:rsid w:val="53250E8E"/>
    <w:rsid w:val="53342F91"/>
    <w:rsid w:val="533C18EC"/>
    <w:rsid w:val="53547B65"/>
    <w:rsid w:val="53574DDD"/>
    <w:rsid w:val="535D6353"/>
    <w:rsid w:val="53766ABA"/>
    <w:rsid w:val="53783C70"/>
    <w:rsid w:val="53801D8B"/>
    <w:rsid w:val="53897E2C"/>
    <w:rsid w:val="53993D24"/>
    <w:rsid w:val="53B947CD"/>
    <w:rsid w:val="53E143AE"/>
    <w:rsid w:val="53EF0E0D"/>
    <w:rsid w:val="54027A7C"/>
    <w:rsid w:val="54247C4A"/>
    <w:rsid w:val="544C6C18"/>
    <w:rsid w:val="5458268D"/>
    <w:rsid w:val="54716A78"/>
    <w:rsid w:val="54740905"/>
    <w:rsid w:val="547C4D2C"/>
    <w:rsid w:val="54A8734F"/>
    <w:rsid w:val="54E6738C"/>
    <w:rsid w:val="54F208FE"/>
    <w:rsid w:val="550A1002"/>
    <w:rsid w:val="5534565B"/>
    <w:rsid w:val="554064E9"/>
    <w:rsid w:val="5558499C"/>
    <w:rsid w:val="555D1316"/>
    <w:rsid w:val="55641740"/>
    <w:rsid w:val="55853556"/>
    <w:rsid w:val="55854A5F"/>
    <w:rsid w:val="55A91391"/>
    <w:rsid w:val="55DF5EC3"/>
    <w:rsid w:val="55F54D13"/>
    <w:rsid w:val="56172444"/>
    <w:rsid w:val="561C32BA"/>
    <w:rsid w:val="562E4642"/>
    <w:rsid w:val="56412C14"/>
    <w:rsid w:val="56582839"/>
    <w:rsid w:val="56585F35"/>
    <w:rsid w:val="565F6940"/>
    <w:rsid w:val="566A004E"/>
    <w:rsid w:val="568770B1"/>
    <w:rsid w:val="56930ED2"/>
    <w:rsid w:val="56994D2A"/>
    <w:rsid w:val="56AA5ACE"/>
    <w:rsid w:val="5701736E"/>
    <w:rsid w:val="57256A9A"/>
    <w:rsid w:val="57316C99"/>
    <w:rsid w:val="57586D67"/>
    <w:rsid w:val="57634913"/>
    <w:rsid w:val="577D746C"/>
    <w:rsid w:val="57932BF7"/>
    <w:rsid w:val="57987F99"/>
    <w:rsid w:val="57A005D2"/>
    <w:rsid w:val="57A14F50"/>
    <w:rsid w:val="57A306A5"/>
    <w:rsid w:val="57A456AF"/>
    <w:rsid w:val="57AB202A"/>
    <w:rsid w:val="57BD5B0E"/>
    <w:rsid w:val="57F93FAA"/>
    <w:rsid w:val="580D7327"/>
    <w:rsid w:val="582537A0"/>
    <w:rsid w:val="582554A5"/>
    <w:rsid w:val="5825702F"/>
    <w:rsid w:val="58381411"/>
    <w:rsid w:val="585D16DF"/>
    <w:rsid w:val="58657C6A"/>
    <w:rsid w:val="58776152"/>
    <w:rsid w:val="58840844"/>
    <w:rsid w:val="588668DD"/>
    <w:rsid w:val="588E0674"/>
    <w:rsid w:val="58B53E81"/>
    <w:rsid w:val="58B56F89"/>
    <w:rsid w:val="58D81ECB"/>
    <w:rsid w:val="58FD4DB4"/>
    <w:rsid w:val="591C4295"/>
    <w:rsid w:val="591D6844"/>
    <w:rsid w:val="59235FA8"/>
    <w:rsid w:val="59251282"/>
    <w:rsid w:val="59260616"/>
    <w:rsid w:val="592F1E8B"/>
    <w:rsid w:val="594935EF"/>
    <w:rsid w:val="59496ECD"/>
    <w:rsid w:val="594A2445"/>
    <w:rsid w:val="595923B3"/>
    <w:rsid w:val="596802BA"/>
    <w:rsid w:val="596B247E"/>
    <w:rsid w:val="598474ED"/>
    <w:rsid w:val="599942E2"/>
    <w:rsid w:val="59A500BD"/>
    <w:rsid w:val="59A51311"/>
    <w:rsid w:val="59B5223B"/>
    <w:rsid w:val="59C80D33"/>
    <w:rsid w:val="59DA247B"/>
    <w:rsid w:val="59F141D8"/>
    <w:rsid w:val="59FC04FF"/>
    <w:rsid w:val="5A0A463B"/>
    <w:rsid w:val="5A267160"/>
    <w:rsid w:val="5A290D29"/>
    <w:rsid w:val="5A320F3D"/>
    <w:rsid w:val="5A400A14"/>
    <w:rsid w:val="5A417068"/>
    <w:rsid w:val="5A4C65D5"/>
    <w:rsid w:val="5A5C174F"/>
    <w:rsid w:val="5A7617CD"/>
    <w:rsid w:val="5A875E8A"/>
    <w:rsid w:val="5A877923"/>
    <w:rsid w:val="5A8B69F3"/>
    <w:rsid w:val="5A936EB9"/>
    <w:rsid w:val="5A9A617C"/>
    <w:rsid w:val="5AAB4F40"/>
    <w:rsid w:val="5AAB7DC4"/>
    <w:rsid w:val="5AC06316"/>
    <w:rsid w:val="5ACD0516"/>
    <w:rsid w:val="5AD23F97"/>
    <w:rsid w:val="5AEA0E5D"/>
    <w:rsid w:val="5B1967F0"/>
    <w:rsid w:val="5B240102"/>
    <w:rsid w:val="5B2C1F42"/>
    <w:rsid w:val="5B3375BD"/>
    <w:rsid w:val="5B4341CA"/>
    <w:rsid w:val="5B6470EF"/>
    <w:rsid w:val="5B867180"/>
    <w:rsid w:val="5B885C23"/>
    <w:rsid w:val="5B956ECD"/>
    <w:rsid w:val="5B9700F2"/>
    <w:rsid w:val="5BAF19D1"/>
    <w:rsid w:val="5BB03B66"/>
    <w:rsid w:val="5BB826E4"/>
    <w:rsid w:val="5BF23922"/>
    <w:rsid w:val="5C7D40B3"/>
    <w:rsid w:val="5C836B56"/>
    <w:rsid w:val="5C973198"/>
    <w:rsid w:val="5C976CBD"/>
    <w:rsid w:val="5CB567AA"/>
    <w:rsid w:val="5CEA473A"/>
    <w:rsid w:val="5D4300EB"/>
    <w:rsid w:val="5D494814"/>
    <w:rsid w:val="5D5557EE"/>
    <w:rsid w:val="5D5F5CD8"/>
    <w:rsid w:val="5D604BBF"/>
    <w:rsid w:val="5DBA54FC"/>
    <w:rsid w:val="5DCB727F"/>
    <w:rsid w:val="5DCE6EF9"/>
    <w:rsid w:val="5DEF1B01"/>
    <w:rsid w:val="5E2A0F36"/>
    <w:rsid w:val="5E32559D"/>
    <w:rsid w:val="5E3A43FE"/>
    <w:rsid w:val="5E450824"/>
    <w:rsid w:val="5E461336"/>
    <w:rsid w:val="5E4653A9"/>
    <w:rsid w:val="5E5931D0"/>
    <w:rsid w:val="5E6D1513"/>
    <w:rsid w:val="5E7A65C2"/>
    <w:rsid w:val="5E997F4D"/>
    <w:rsid w:val="5E9E6B0B"/>
    <w:rsid w:val="5EA24952"/>
    <w:rsid w:val="5EA43832"/>
    <w:rsid w:val="5EAA2B01"/>
    <w:rsid w:val="5EB24BEC"/>
    <w:rsid w:val="5EC05607"/>
    <w:rsid w:val="5EC9531D"/>
    <w:rsid w:val="5ECF1B1B"/>
    <w:rsid w:val="5EEF0FEC"/>
    <w:rsid w:val="5EF90594"/>
    <w:rsid w:val="5F130109"/>
    <w:rsid w:val="5F270E0F"/>
    <w:rsid w:val="5F2E1FB7"/>
    <w:rsid w:val="5F3664C2"/>
    <w:rsid w:val="5F654690"/>
    <w:rsid w:val="5FCA1E36"/>
    <w:rsid w:val="5FD4394E"/>
    <w:rsid w:val="5FDC124E"/>
    <w:rsid w:val="601F7341"/>
    <w:rsid w:val="603A4179"/>
    <w:rsid w:val="6040002B"/>
    <w:rsid w:val="604D2E01"/>
    <w:rsid w:val="605D2361"/>
    <w:rsid w:val="60671A91"/>
    <w:rsid w:val="6094352D"/>
    <w:rsid w:val="60950480"/>
    <w:rsid w:val="60BF1449"/>
    <w:rsid w:val="60E46D78"/>
    <w:rsid w:val="611637D9"/>
    <w:rsid w:val="611C3068"/>
    <w:rsid w:val="6120329E"/>
    <w:rsid w:val="613772F1"/>
    <w:rsid w:val="613D0845"/>
    <w:rsid w:val="6151138F"/>
    <w:rsid w:val="61622F34"/>
    <w:rsid w:val="616D4A65"/>
    <w:rsid w:val="616E19D7"/>
    <w:rsid w:val="616E3449"/>
    <w:rsid w:val="61742CCB"/>
    <w:rsid w:val="617F7613"/>
    <w:rsid w:val="61917D21"/>
    <w:rsid w:val="61CF577A"/>
    <w:rsid w:val="61F12AC0"/>
    <w:rsid w:val="61F21203"/>
    <w:rsid w:val="61F42ABC"/>
    <w:rsid w:val="62144922"/>
    <w:rsid w:val="62261C95"/>
    <w:rsid w:val="622B61D1"/>
    <w:rsid w:val="623C4D2F"/>
    <w:rsid w:val="624F3ADB"/>
    <w:rsid w:val="625F3C26"/>
    <w:rsid w:val="626243C2"/>
    <w:rsid w:val="62654264"/>
    <w:rsid w:val="62895B33"/>
    <w:rsid w:val="62993AFF"/>
    <w:rsid w:val="62BB6955"/>
    <w:rsid w:val="62EE7975"/>
    <w:rsid w:val="62FB4DCB"/>
    <w:rsid w:val="62FC79F2"/>
    <w:rsid w:val="63000D3C"/>
    <w:rsid w:val="6316159D"/>
    <w:rsid w:val="63284403"/>
    <w:rsid w:val="63296040"/>
    <w:rsid w:val="63402F56"/>
    <w:rsid w:val="634D466B"/>
    <w:rsid w:val="6351456C"/>
    <w:rsid w:val="63824FDA"/>
    <w:rsid w:val="639C0D9E"/>
    <w:rsid w:val="63AF18CE"/>
    <w:rsid w:val="63BE6A67"/>
    <w:rsid w:val="63C06B89"/>
    <w:rsid w:val="63CB4E5F"/>
    <w:rsid w:val="64210A5D"/>
    <w:rsid w:val="6426421A"/>
    <w:rsid w:val="64277020"/>
    <w:rsid w:val="64490213"/>
    <w:rsid w:val="64783763"/>
    <w:rsid w:val="64831D76"/>
    <w:rsid w:val="64C60DD7"/>
    <w:rsid w:val="64F539F2"/>
    <w:rsid w:val="650520CD"/>
    <w:rsid w:val="650C7CF4"/>
    <w:rsid w:val="650E1BF1"/>
    <w:rsid w:val="65167A44"/>
    <w:rsid w:val="653E4943"/>
    <w:rsid w:val="653E7901"/>
    <w:rsid w:val="657B51DF"/>
    <w:rsid w:val="659724FF"/>
    <w:rsid w:val="65AC0293"/>
    <w:rsid w:val="65B514C0"/>
    <w:rsid w:val="65B64DE3"/>
    <w:rsid w:val="65CB6927"/>
    <w:rsid w:val="65CE6293"/>
    <w:rsid w:val="65D3665A"/>
    <w:rsid w:val="660B5015"/>
    <w:rsid w:val="66123504"/>
    <w:rsid w:val="66444780"/>
    <w:rsid w:val="66491460"/>
    <w:rsid w:val="664A3B89"/>
    <w:rsid w:val="664E4F07"/>
    <w:rsid w:val="665737F6"/>
    <w:rsid w:val="665E49BF"/>
    <w:rsid w:val="665F4B08"/>
    <w:rsid w:val="667377C4"/>
    <w:rsid w:val="667F6F8D"/>
    <w:rsid w:val="66A3031A"/>
    <w:rsid w:val="66AD520C"/>
    <w:rsid w:val="66DB09CF"/>
    <w:rsid w:val="66E100B3"/>
    <w:rsid w:val="66F03598"/>
    <w:rsid w:val="66F648BF"/>
    <w:rsid w:val="67025FEC"/>
    <w:rsid w:val="671B0E29"/>
    <w:rsid w:val="671B11CF"/>
    <w:rsid w:val="671E7B24"/>
    <w:rsid w:val="6720607E"/>
    <w:rsid w:val="67290989"/>
    <w:rsid w:val="672B136B"/>
    <w:rsid w:val="676166A9"/>
    <w:rsid w:val="67777AE1"/>
    <w:rsid w:val="67974BB8"/>
    <w:rsid w:val="67A15655"/>
    <w:rsid w:val="67A916F8"/>
    <w:rsid w:val="67B1280F"/>
    <w:rsid w:val="67B5519C"/>
    <w:rsid w:val="67E56C2F"/>
    <w:rsid w:val="6814671F"/>
    <w:rsid w:val="68327A64"/>
    <w:rsid w:val="683C1890"/>
    <w:rsid w:val="68430F44"/>
    <w:rsid w:val="684C42AF"/>
    <w:rsid w:val="68654C52"/>
    <w:rsid w:val="6870195B"/>
    <w:rsid w:val="687142E8"/>
    <w:rsid w:val="68756FA4"/>
    <w:rsid w:val="687C5929"/>
    <w:rsid w:val="68961353"/>
    <w:rsid w:val="68982143"/>
    <w:rsid w:val="68A550E9"/>
    <w:rsid w:val="68DF3A1A"/>
    <w:rsid w:val="68E8522C"/>
    <w:rsid w:val="68EC21C9"/>
    <w:rsid w:val="69185D7B"/>
    <w:rsid w:val="69266A19"/>
    <w:rsid w:val="692F5EC2"/>
    <w:rsid w:val="69366CDB"/>
    <w:rsid w:val="693E01B9"/>
    <w:rsid w:val="6951621B"/>
    <w:rsid w:val="69696A7E"/>
    <w:rsid w:val="696A3077"/>
    <w:rsid w:val="698665FE"/>
    <w:rsid w:val="69C123FA"/>
    <w:rsid w:val="69CD24E0"/>
    <w:rsid w:val="69CE67A3"/>
    <w:rsid w:val="69E35307"/>
    <w:rsid w:val="69EF6B1E"/>
    <w:rsid w:val="6A00309E"/>
    <w:rsid w:val="6A017EF7"/>
    <w:rsid w:val="6A0258ED"/>
    <w:rsid w:val="6A5565F1"/>
    <w:rsid w:val="6A7A510F"/>
    <w:rsid w:val="6A837988"/>
    <w:rsid w:val="6A953FED"/>
    <w:rsid w:val="6A9763A2"/>
    <w:rsid w:val="6AA63099"/>
    <w:rsid w:val="6AC21BCC"/>
    <w:rsid w:val="6AC54984"/>
    <w:rsid w:val="6ADF5D08"/>
    <w:rsid w:val="6AE04751"/>
    <w:rsid w:val="6AE06868"/>
    <w:rsid w:val="6AF03003"/>
    <w:rsid w:val="6B072E96"/>
    <w:rsid w:val="6B13604D"/>
    <w:rsid w:val="6B347C68"/>
    <w:rsid w:val="6B396C50"/>
    <w:rsid w:val="6B7D67A0"/>
    <w:rsid w:val="6B880FF7"/>
    <w:rsid w:val="6B95717E"/>
    <w:rsid w:val="6BB6074A"/>
    <w:rsid w:val="6BBA2ACB"/>
    <w:rsid w:val="6BBC3E23"/>
    <w:rsid w:val="6BD93DEF"/>
    <w:rsid w:val="6BE671E7"/>
    <w:rsid w:val="6BEF550F"/>
    <w:rsid w:val="6BFE44B9"/>
    <w:rsid w:val="6C070F90"/>
    <w:rsid w:val="6C27504A"/>
    <w:rsid w:val="6C2A72B4"/>
    <w:rsid w:val="6C335509"/>
    <w:rsid w:val="6C544BCA"/>
    <w:rsid w:val="6C5979FA"/>
    <w:rsid w:val="6C8659DC"/>
    <w:rsid w:val="6C8978EB"/>
    <w:rsid w:val="6C8F55F0"/>
    <w:rsid w:val="6C9D4F10"/>
    <w:rsid w:val="6CBE6165"/>
    <w:rsid w:val="6CCA4C3E"/>
    <w:rsid w:val="6CCD4360"/>
    <w:rsid w:val="6CCE5EEC"/>
    <w:rsid w:val="6CDD539C"/>
    <w:rsid w:val="6CF0167D"/>
    <w:rsid w:val="6CF327DB"/>
    <w:rsid w:val="6D0D4C7F"/>
    <w:rsid w:val="6D0D7EFA"/>
    <w:rsid w:val="6D285940"/>
    <w:rsid w:val="6D2C16A8"/>
    <w:rsid w:val="6D336D2C"/>
    <w:rsid w:val="6D365A3E"/>
    <w:rsid w:val="6D6F7390"/>
    <w:rsid w:val="6D7A00B0"/>
    <w:rsid w:val="6DB15A92"/>
    <w:rsid w:val="6DD4443F"/>
    <w:rsid w:val="6E0B59D4"/>
    <w:rsid w:val="6E0D6852"/>
    <w:rsid w:val="6E123F24"/>
    <w:rsid w:val="6E414A73"/>
    <w:rsid w:val="6E524C34"/>
    <w:rsid w:val="6E7365D0"/>
    <w:rsid w:val="6E74389D"/>
    <w:rsid w:val="6EAA1120"/>
    <w:rsid w:val="6EAD6321"/>
    <w:rsid w:val="6EC01107"/>
    <w:rsid w:val="6EC64BDB"/>
    <w:rsid w:val="6EC83F75"/>
    <w:rsid w:val="6ECF7B5A"/>
    <w:rsid w:val="6ED31EE6"/>
    <w:rsid w:val="6EFE3613"/>
    <w:rsid w:val="6EFE6C21"/>
    <w:rsid w:val="6F0019EE"/>
    <w:rsid w:val="6F0F0944"/>
    <w:rsid w:val="6F13799E"/>
    <w:rsid w:val="6F216B26"/>
    <w:rsid w:val="6F3C51E1"/>
    <w:rsid w:val="6F7C535D"/>
    <w:rsid w:val="6F7E1F0A"/>
    <w:rsid w:val="6F873A86"/>
    <w:rsid w:val="6F8B32CA"/>
    <w:rsid w:val="6FA11181"/>
    <w:rsid w:val="6FB30FF1"/>
    <w:rsid w:val="6FDA1902"/>
    <w:rsid w:val="6FE12E9B"/>
    <w:rsid w:val="6FE667DA"/>
    <w:rsid w:val="6FF04A45"/>
    <w:rsid w:val="6FF31CA8"/>
    <w:rsid w:val="700734D1"/>
    <w:rsid w:val="701D4502"/>
    <w:rsid w:val="70300741"/>
    <w:rsid w:val="703B0373"/>
    <w:rsid w:val="7051439E"/>
    <w:rsid w:val="70730452"/>
    <w:rsid w:val="70953A95"/>
    <w:rsid w:val="70D67F96"/>
    <w:rsid w:val="70EF7BD0"/>
    <w:rsid w:val="70F24D0B"/>
    <w:rsid w:val="70FF7F40"/>
    <w:rsid w:val="710B168F"/>
    <w:rsid w:val="710E6738"/>
    <w:rsid w:val="711D2C22"/>
    <w:rsid w:val="712A1FAD"/>
    <w:rsid w:val="7180520E"/>
    <w:rsid w:val="71912B91"/>
    <w:rsid w:val="71AA5D09"/>
    <w:rsid w:val="71B71371"/>
    <w:rsid w:val="71C52685"/>
    <w:rsid w:val="71DF6823"/>
    <w:rsid w:val="71E504E1"/>
    <w:rsid w:val="71EB7866"/>
    <w:rsid w:val="71EF701F"/>
    <w:rsid w:val="721F5CC8"/>
    <w:rsid w:val="727347B6"/>
    <w:rsid w:val="727453D2"/>
    <w:rsid w:val="728E7512"/>
    <w:rsid w:val="7296707E"/>
    <w:rsid w:val="72971F0E"/>
    <w:rsid w:val="729B5298"/>
    <w:rsid w:val="72CC3862"/>
    <w:rsid w:val="72F76444"/>
    <w:rsid w:val="73166B5B"/>
    <w:rsid w:val="73192325"/>
    <w:rsid w:val="7322737A"/>
    <w:rsid w:val="732B4F74"/>
    <w:rsid w:val="73315694"/>
    <w:rsid w:val="733E7F13"/>
    <w:rsid w:val="735E4A35"/>
    <w:rsid w:val="73626904"/>
    <w:rsid w:val="73674D66"/>
    <w:rsid w:val="737E1C56"/>
    <w:rsid w:val="73944A57"/>
    <w:rsid w:val="73A12462"/>
    <w:rsid w:val="74064AA8"/>
    <w:rsid w:val="74105979"/>
    <w:rsid w:val="7430670E"/>
    <w:rsid w:val="74310D75"/>
    <w:rsid w:val="74317C0A"/>
    <w:rsid w:val="743B20E3"/>
    <w:rsid w:val="74630481"/>
    <w:rsid w:val="746E2977"/>
    <w:rsid w:val="74913FF1"/>
    <w:rsid w:val="74966E43"/>
    <w:rsid w:val="74AB40F8"/>
    <w:rsid w:val="74D00AB5"/>
    <w:rsid w:val="74E03BDA"/>
    <w:rsid w:val="75286F45"/>
    <w:rsid w:val="75300A33"/>
    <w:rsid w:val="755F3768"/>
    <w:rsid w:val="757537C1"/>
    <w:rsid w:val="757C2C12"/>
    <w:rsid w:val="75873D07"/>
    <w:rsid w:val="75907376"/>
    <w:rsid w:val="75956274"/>
    <w:rsid w:val="759F32FB"/>
    <w:rsid w:val="75A4026E"/>
    <w:rsid w:val="75BB2325"/>
    <w:rsid w:val="75C54845"/>
    <w:rsid w:val="75C77DF7"/>
    <w:rsid w:val="75CE2C22"/>
    <w:rsid w:val="75CE60BF"/>
    <w:rsid w:val="75DB100E"/>
    <w:rsid w:val="75DB69E8"/>
    <w:rsid w:val="75DD2F4D"/>
    <w:rsid w:val="75E0718C"/>
    <w:rsid w:val="75E33DF5"/>
    <w:rsid w:val="75F87F5A"/>
    <w:rsid w:val="75FA0854"/>
    <w:rsid w:val="75FA729D"/>
    <w:rsid w:val="76007611"/>
    <w:rsid w:val="76013866"/>
    <w:rsid w:val="76041DAB"/>
    <w:rsid w:val="761056EB"/>
    <w:rsid w:val="76194AEA"/>
    <w:rsid w:val="761C7333"/>
    <w:rsid w:val="7659106E"/>
    <w:rsid w:val="76A9033B"/>
    <w:rsid w:val="76B03756"/>
    <w:rsid w:val="76B26A4C"/>
    <w:rsid w:val="76C74875"/>
    <w:rsid w:val="76DD08B2"/>
    <w:rsid w:val="76DF1591"/>
    <w:rsid w:val="76F011C7"/>
    <w:rsid w:val="770167CB"/>
    <w:rsid w:val="7716138B"/>
    <w:rsid w:val="771B52BB"/>
    <w:rsid w:val="77571AFE"/>
    <w:rsid w:val="77651D73"/>
    <w:rsid w:val="77703DF1"/>
    <w:rsid w:val="777358EC"/>
    <w:rsid w:val="779E46B3"/>
    <w:rsid w:val="77BC5DCE"/>
    <w:rsid w:val="77C71381"/>
    <w:rsid w:val="77D8448B"/>
    <w:rsid w:val="77DB5CCD"/>
    <w:rsid w:val="77DB77B3"/>
    <w:rsid w:val="77DC2FAD"/>
    <w:rsid w:val="77DD4138"/>
    <w:rsid w:val="77E52E15"/>
    <w:rsid w:val="77EB0A03"/>
    <w:rsid w:val="77F54216"/>
    <w:rsid w:val="77FE3720"/>
    <w:rsid w:val="7821391D"/>
    <w:rsid w:val="782905E5"/>
    <w:rsid w:val="782A6046"/>
    <w:rsid w:val="786B1A9B"/>
    <w:rsid w:val="78A2499B"/>
    <w:rsid w:val="78AD6005"/>
    <w:rsid w:val="78AF37F7"/>
    <w:rsid w:val="78D96833"/>
    <w:rsid w:val="78E96530"/>
    <w:rsid w:val="79052140"/>
    <w:rsid w:val="791D6A03"/>
    <w:rsid w:val="794C6C16"/>
    <w:rsid w:val="795C2174"/>
    <w:rsid w:val="795E7D73"/>
    <w:rsid w:val="796826A3"/>
    <w:rsid w:val="79A92414"/>
    <w:rsid w:val="79B07635"/>
    <w:rsid w:val="79B96927"/>
    <w:rsid w:val="79BC010D"/>
    <w:rsid w:val="79E07A49"/>
    <w:rsid w:val="7A0127AB"/>
    <w:rsid w:val="7A0E5337"/>
    <w:rsid w:val="7A103BE6"/>
    <w:rsid w:val="7A17399D"/>
    <w:rsid w:val="7A27104E"/>
    <w:rsid w:val="7A3B6BC9"/>
    <w:rsid w:val="7A6659F0"/>
    <w:rsid w:val="7A720AA5"/>
    <w:rsid w:val="7A8A6CD2"/>
    <w:rsid w:val="7A9D283A"/>
    <w:rsid w:val="7AD73562"/>
    <w:rsid w:val="7AE451AC"/>
    <w:rsid w:val="7AE960EE"/>
    <w:rsid w:val="7AFC6555"/>
    <w:rsid w:val="7B001702"/>
    <w:rsid w:val="7B140BA1"/>
    <w:rsid w:val="7B170932"/>
    <w:rsid w:val="7B3C363D"/>
    <w:rsid w:val="7B3E05DD"/>
    <w:rsid w:val="7B427CE3"/>
    <w:rsid w:val="7B5A51BC"/>
    <w:rsid w:val="7B6C1A2D"/>
    <w:rsid w:val="7B82052E"/>
    <w:rsid w:val="7BBF06D2"/>
    <w:rsid w:val="7BBF1589"/>
    <w:rsid w:val="7BCE1C8E"/>
    <w:rsid w:val="7BE844BA"/>
    <w:rsid w:val="7BF558CD"/>
    <w:rsid w:val="7C1C6ADF"/>
    <w:rsid w:val="7C201231"/>
    <w:rsid w:val="7C225E6B"/>
    <w:rsid w:val="7C2858D3"/>
    <w:rsid w:val="7C2A2C41"/>
    <w:rsid w:val="7C3A6C56"/>
    <w:rsid w:val="7C3F39B2"/>
    <w:rsid w:val="7C482875"/>
    <w:rsid w:val="7C504F7B"/>
    <w:rsid w:val="7C5B0211"/>
    <w:rsid w:val="7C6514FC"/>
    <w:rsid w:val="7C7A0ECE"/>
    <w:rsid w:val="7C7B6746"/>
    <w:rsid w:val="7C7E12E1"/>
    <w:rsid w:val="7CAA0A9E"/>
    <w:rsid w:val="7CAB23AE"/>
    <w:rsid w:val="7CBF3358"/>
    <w:rsid w:val="7CC940C8"/>
    <w:rsid w:val="7CD67EEB"/>
    <w:rsid w:val="7CFE1D15"/>
    <w:rsid w:val="7D0D1339"/>
    <w:rsid w:val="7D382808"/>
    <w:rsid w:val="7D55794F"/>
    <w:rsid w:val="7D653F46"/>
    <w:rsid w:val="7DAA65F6"/>
    <w:rsid w:val="7DD84285"/>
    <w:rsid w:val="7DF12B16"/>
    <w:rsid w:val="7DF4187F"/>
    <w:rsid w:val="7E0B330A"/>
    <w:rsid w:val="7E2A080C"/>
    <w:rsid w:val="7E576027"/>
    <w:rsid w:val="7E666717"/>
    <w:rsid w:val="7E672989"/>
    <w:rsid w:val="7E750DA1"/>
    <w:rsid w:val="7E91306B"/>
    <w:rsid w:val="7EA51A87"/>
    <w:rsid w:val="7EA74017"/>
    <w:rsid w:val="7ECC2B2B"/>
    <w:rsid w:val="7ED85023"/>
    <w:rsid w:val="7EE03866"/>
    <w:rsid w:val="7EE90C02"/>
    <w:rsid w:val="7EEE50C1"/>
    <w:rsid w:val="7EFD4F92"/>
    <w:rsid w:val="7EFE212A"/>
    <w:rsid w:val="7F541762"/>
    <w:rsid w:val="7F5A576A"/>
    <w:rsid w:val="7F7F41D7"/>
    <w:rsid w:val="7FC62C4E"/>
    <w:rsid w:val="7FC97A74"/>
    <w:rsid w:val="7FCC75F7"/>
    <w:rsid w:val="7FCF2BF9"/>
    <w:rsid w:val="7FD75F49"/>
    <w:rsid w:val="7FDA53D6"/>
    <w:rsid w:val="7FDC27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8"/>
    <w:qFormat/>
    <w:uiPriority w:val="0"/>
    <w:pPr>
      <w:keepNext/>
      <w:spacing w:line="380" w:lineRule="exact"/>
      <w:jc w:val="center"/>
      <w:outlineLvl w:val="0"/>
    </w:pPr>
    <w:rPr>
      <w:b/>
      <w:bCs/>
      <w:kern w:val="44"/>
      <w:sz w:val="44"/>
      <w:szCs w:val="44"/>
    </w:rPr>
  </w:style>
  <w:style w:type="paragraph" w:styleId="5">
    <w:name w:val="heading 2"/>
    <w:basedOn w:val="1"/>
    <w:next w:val="1"/>
    <w:link w:val="60"/>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6">
    <w:name w:val="heading 3"/>
    <w:basedOn w:val="1"/>
    <w:next w:val="1"/>
    <w:link w:val="80"/>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7">
    <w:name w:val="heading 4"/>
    <w:basedOn w:val="1"/>
    <w:next w:val="1"/>
    <w:link w:val="104"/>
    <w:qFormat/>
    <w:uiPriority w:val="0"/>
    <w:pPr>
      <w:keepNext/>
      <w:keepLines/>
      <w:tabs>
        <w:tab w:val="left" w:pos="864"/>
      </w:tabs>
      <w:spacing w:before="280" w:beforeLines="0" w:after="290" w:afterLines="0" w:line="376" w:lineRule="auto"/>
      <w:ind w:left="864" w:hanging="864"/>
      <w:outlineLvl w:val="3"/>
    </w:pPr>
    <w:rPr>
      <w:rFonts w:ascii="Arial" w:hAnsi="Arial" w:eastAsia="黑体"/>
      <w:b/>
      <w:bCs/>
      <w:sz w:val="28"/>
      <w:szCs w:val="28"/>
    </w:rPr>
  </w:style>
  <w:style w:type="paragraph" w:styleId="8">
    <w:name w:val="heading 5"/>
    <w:basedOn w:val="1"/>
    <w:next w:val="1"/>
    <w:link w:val="105"/>
    <w:qFormat/>
    <w:uiPriority w:val="0"/>
    <w:pPr>
      <w:keepNext/>
      <w:keepLines/>
      <w:tabs>
        <w:tab w:val="left" w:pos="1548"/>
      </w:tabs>
      <w:spacing w:before="280" w:beforeLines="0" w:after="290" w:afterLines="0" w:line="376" w:lineRule="auto"/>
      <w:ind w:left="1548" w:hanging="1548"/>
      <w:outlineLvl w:val="4"/>
    </w:pPr>
    <w:rPr>
      <w:b/>
      <w:bCs/>
      <w:sz w:val="28"/>
      <w:szCs w:val="28"/>
    </w:rPr>
  </w:style>
  <w:style w:type="paragraph" w:styleId="9">
    <w:name w:val="heading 6"/>
    <w:basedOn w:val="1"/>
    <w:next w:val="1"/>
    <w:link w:val="62"/>
    <w:qFormat/>
    <w:uiPriority w:val="0"/>
    <w:pPr>
      <w:keepNext/>
      <w:keepLines/>
      <w:spacing w:before="240" w:beforeLines="0" w:after="64" w:afterLines="0" w:line="320" w:lineRule="auto"/>
      <w:outlineLvl w:val="5"/>
    </w:pPr>
    <w:rPr>
      <w:rFonts w:ascii="Cambria" w:hAnsi="Cambria"/>
      <w:b/>
      <w:bCs/>
      <w:sz w:val="24"/>
      <w:szCs w:val="24"/>
    </w:rPr>
  </w:style>
  <w:style w:type="paragraph" w:styleId="10">
    <w:name w:val="heading 7"/>
    <w:basedOn w:val="1"/>
    <w:next w:val="1"/>
    <w:link w:val="108"/>
    <w:qFormat/>
    <w:uiPriority w:val="0"/>
    <w:pPr>
      <w:keepNext/>
      <w:keepLines/>
      <w:numPr>
        <w:ilvl w:val="6"/>
        <w:numId w:val="1"/>
      </w:numPr>
      <w:tabs>
        <w:tab w:val="left" w:pos="1296"/>
        <w:tab w:val="clear" w:pos="2940"/>
      </w:tabs>
      <w:spacing w:before="240" w:beforeLines="0" w:after="64" w:afterLines="0" w:line="317" w:lineRule="auto"/>
      <w:outlineLvl w:val="6"/>
    </w:pPr>
    <w:rPr>
      <w:b/>
      <w:bCs/>
      <w:sz w:val="24"/>
      <w:szCs w:val="24"/>
    </w:rPr>
  </w:style>
  <w:style w:type="paragraph" w:styleId="11">
    <w:name w:val="heading 8"/>
    <w:basedOn w:val="1"/>
    <w:next w:val="1"/>
    <w:link w:val="63"/>
    <w:qFormat/>
    <w:uiPriority w:val="0"/>
    <w:pPr>
      <w:keepNext/>
      <w:keepLines/>
      <w:numPr>
        <w:ilvl w:val="7"/>
        <w:numId w:val="1"/>
      </w:numPr>
      <w:tabs>
        <w:tab w:val="left" w:pos="1440"/>
        <w:tab w:val="clear" w:pos="3360"/>
      </w:tabs>
      <w:spacing w:before="240" w:beforeLines="0" w:after="64" w:afterLines="0" w:line="317" w:lineRule="auto"/>
      <w:outlineLvl w:val="7"/>
    </w:pPr>
    <w:rPr>
      <w:rFonts w:ascii="Arial" w:hAnsi="Arial" w:eastAsia="黑体"/>
      <w:sz w:val="24"/>
      <w:szCs w:val="24"/>
    </w:rPr>
  </w:style>
  <w:style w:type="paragraph" w:styleId="12">
    <w:name w:val="heading 9"/>
    <w:basedOn w:val="1"/>
    <w:next w:val="1"/>
    <w:link w:val="56"/>
    <w:qFormat/>
    <w:uiPriority w:val="0"/>
    <w:pPr>
      <w:keepNext/>
      <w:keepLines/>
      <w:numPr>
        <w:ilvl w:val="8"/>
        <w:numId w:val="1"/>
      </w:numPr>
      <w:tabs>
        <w:tab w:val="left" w:pos="1584"/>
        <w:tab w:val="clear" w:pos="3780"/>
      </w:tabs>
      <w:spacing w:before="240" w:beforeLines="0" w:after="64" w:afterLines="0" w:line="317" w:lineRule="auto"/>
      <w:outlineLvl w:val="8"/>
    </w:pPr>
    <w:rPr>
      <w:rFonts w:ascii="Arial" w:hAnsi="Arial" w:eastAsia="黑体"/>
      <w:szCs w:val="21"/>
    </w:rPr>
  </w:style>
  <w:style w:type="character" w:default="1" w:styleId="46">
    <w:name w:val="Default Paragraph Font"/>
    <w:uiPriority w:val="0"/>
    <w:rPr>
      <w:rFonts w:hint="default" w:ascii="Verdana" w:hAnsi="Verdana"/>
      <w:kern w:val="0"/>
      <w:sz w:val="20"/>
      <w:szCs w:val="20"/>
      <w:lang w:eastAsia="en-US"/>
    </w:rPr>
  </w:style>
  <w:style w:type="table" w:default="1" w:styleId="4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4"/>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link w:val="97"/>
    <w:uiPriority w:val="0"/>
    <w:pPr>
      <w:spacing w:line="380" w:lineRule="exact"/>
      <w:ind w:firstLine="480"/>
    </w:pPr>
    <w:rPr>
      <w:rFonts w:eastAsia="方正书宋简体"/>
      <w:sz w:val="24"/>
    </w:rPr>
  </w:style>
  <w:style w:type="paragraph" w:styleId="13">
    <w:name w:val="toc 7"/>
    <w:basedOn w:val="1"/>
    <w:next w:val="1"/>
    <w:uiPriority w:val="0"/>
    <w:pPr>
      <w:ind w:left="1260"/>
      <w:jc w:val="left"/>
    </w:pPr>
    <w:rPr>
      <w:sz w:val="18"/>
      <w:szCs w:val="18"/>
    </w:rPr>
  </w:style>
  <w:style w:type="paragraph" w:styleId="14">
    <w:name w:val="Normal Indent"/>
    <w:basedOn w:val="1"/>
    <w:link w:val="74"/>
    <w:uiPriority w:val="0"/>
    <w:pPr>
      <w:ind w:firstLine="420" w:firstLineChars="200"/>
    </w:pPr>
    <w:rPr>
      <w:szCs w:val="24"/>
    </w:rPr>
  </w:style>
  <w:style w:type="paragraph" w:styleId="15">
    <w:name w:val="Document Map"/>
    <w:basedOn w:val="1"/>
    <w:link w:val="78"/>
    <w:uiPriority w:val="0"/>
    <w:pPr>
      <w:shd w:val="clear" w:color="auto" w:fill="000080"/>
    </w:pPr>
  </w:style>
  <w:style w:type="paragraph" w:styleId="16">
    <w:name w:val="annotation text"/>
    <w:basedOn w:val="1"/>
    <w:link w:val="61"/>
    <w:uiPriority w:val="0"/>
    <w:pPr>
      <w:jc w:val="left"/>
    </w:pPr>
  </w:style>
  <w:style w:type="paragraph" w:styleId="17">
    <w:name w:val="Body Text 3"/>
    <w:basedOn w:val="1"/>
    <w:link w:val="64"/>
    <w:uiPriority w:val="0"/>
    <w:pPr>
      <w:spacing w:after="120" w:afterLines="0" w:line="360" w:lineRule="auto"/>
    </w:pPr>
    <w:rPr>
      <w:kern w:val="0"/>
      <w:sz w:val="16"/>
      <w:szCs w:val="16"/>
    </w:rPr>
  </w:style>
  <w:style w:type="paragraph" w:styleId="18">
    <w:name w:val="Body Text"/>
    <w:basedOn w:val="1"/>
    <w:next w:val="19"/>
    <w:link w:val="57"/>
    <w:uiPriority w:val="0"/>
    <w:rPr>
      <w:i/>
      <w:sz w:val="18"/>
    </w:rPr>
  </w:style>
  <w:style w:type="paragraph" w:styleId="19">
    <w:name w:val="Body Text First Indent"/>
    <w:basedOn w:val="18"/>
    <w:next w:val="20"/>
    <w:link w:val="67"/>
    <w:uiPriority w:val="0"/>
    <w:pPr>
      <w:spacing w:after="120" w:afterLines="0"/>
      <w:ind w:firstLine="420" w:firstLineChars="100"/>
    </w:pPr>
    <w:rPr>
      <w:sz w:val="21"/>
      <w:szCs w:val="24"/>
    </w:rPr>
  </w:style>
  <w:style w:type="paragraph" w:styleId="20">
    <w:name w:val="toc 6"/>
    <w:basedOn w:val="1"/>
    <w:next w:val="1"/>
    <w:uiPriority w:val="0"/>
    <w:pPr>
      <w:ind w:left="1050"/>
      <w:jc w:val="left"/>
    </w:pPr>
    <w:rPr>
      <w:sz w:val="18"/>
      <w:szCs w:val="18"/>
    </w:rPr>
  </w:style>
  <w:style w:type="paragraph" w:styleId="21">
    <w:name w:val="List Number 3"/>
    <w:basedOn w:val="1"/>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2">
    <w:name w:val="toc 5"/>
    <w:basedOn w:val="1"/>
    <w:next w:val="1"/>
    <w:uiPriority w:val="0"/>
    <w:pPr>
      <w:ind w:left="840"/>
      <w:jc w:val="left"/>
    </w:pPr>
    <w:rPr>
      <w:sz w:val="18"/>
      <w:szCs w:val="18"/>
    </w:rPr>
  </w:style>
  <w:style w:type="paragraph" w:styleId="23">
    <w:name w:val="toc 3"/>
    <w:basedOn w:val="1"/>
    <w:uiPriority w:val="0"/>
    <w:pPr>
      <w:ind w:left="420"/>
      <w:jc w:val="left"/>
    </w:pPr>
    <w:rPr>
      <w:i/>
      <w:iCs/>
      <w:sz w:val="20"/>
    </w:rPr>
  </w:style>
  <w:style w:type="paragraph" w:styleId="24">
    <w:name w:val="Plain Text"/>
    <w:basedOn w:val="1"/>
    <w:link w:val="79"/>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25">
    <w:name w:val="toc 8"/>
    <w:basedOn w:val="1"/>
    <w:next w:val="1"/>
    <w:uiPriority w:val="0"/>
    <w:pPr>
      <w:ind w:left="1470"/>
      <w:jc w:val="left"/>
    </w:pPr>
    <w:rPr>
      <w:sz w:val="18"/>
      <w:szCs w:val="18"/>
    </w:rPr>
  </w:style>
  <w:style w:type="paragraph" w:styleId="26">
    <w:name w:val="Date"/>
    <w:basedOn w:val="1"/>
    <w:next w:val="1"/>
    <w:link w:val="81"/>
    <w:uiPriority w:val="0"/>
    <w:pPr>
      <w:adjustRightInd w:val="0"/>
      <w:spacing w:line="312" w:lineRule="atLeast"/>
      <w:jc w:val="right"/>
      <w:textAlignment w:val="baseline"/>
    </w:pPr>
    <w:rPr>
      <w:rFonts w:ascii="宋体"/>
      <w:kern w:val="0"/>
      <w:sz w:val="24"/>
    </w:rPr>
  </w:style>
  <w:style w:type="paragraph" w:styleId="27">
    <w:name w:val="Body Text Indent 2"/>
    <w:basedOn w:val="1"/>
    <w:link w:val="109"/>
    <w:uiPriority w:val="0"/>
    <w:pPr>
      <w:spacing w:line="380" w:lineRule="exact"/>
      <w:ind w:left="840" w:hanging="45"/>
    </w:pPr>
    <w:rPr>
      <w:rFonts w:ascii="宋体"/>
      <w:sz w:val="24"/>
    </w:rPr>
  </w:style>
  <w:style w:type="paragraph" w:styleId="28">
    <w:name w:val="Balloon Text"/>
    <w:basedOn w:val="1"/>
    <w:link w:val="66"/>
    <w:uiPriority w:val="0"/>
    <w:rPr>
      <w:sz w:val="18"/>
      <w:szCs w:val="18"/>
    </w:rPr>
  </w:style>
  <w:style w:type="paragraph" w:styleId="29">
    <w:name w:val="footer"/>
    <w:basedOn w:val="1"/>
    <w:link w:val="99"/>
    <w:uiPriority w:val="0"/>
    <w:pPr>
      <w:tabs>
        <w:tab w:val="center" w:pos="4153"/>
        <w:tab w:val="right" w:pos="8306"/>
      </w:tabs>
      <w:snapToGrid w:val="0"/>
      <w:jc w:val="left"/>
    </w:pPr>
    <w:rPr>
      <w:sz w:val="18"/>
    </w:rPr>
  </w:style>
  <w:style w:type="paragraph" w:styleId="30">
    <w:name w:val="header"/>
    <w:basedOn w:val="1"/>
    <w:link w:val="107"/>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uiPriority w:val="0"/>
    <w:pPr>
      <w:tabs>
        <w:tab w:val="right" w:leader="dot" w:pos="8721"/>
      </w:tabs>
      <w:spacing w:line="480" w:lineRule="auto"/>
    </w:pPr>
    <w:rPr>
      <w:rFonts w:ascii="宋体" w:hAnsi="宋体"/>
      <w:color w:val="000000"/>
      <w:sz w:val="32"/>
      <w:szCs w:val="32"/>
      <w:lang/>
    </w:rPr>
  </w:style>
  <w:style w:type="paragraph" w:styleId="32">
    <w:name w:val="toc 4"/>
    <w:basedOn w:val="1"/>
    <w:next w:val="1"/>
    <w:uiPriority w:val="0"/>
    <w:pPr>
      <w:ind w:left="630"/>
      <w:jc w:val="left"/>
    </w:pPr>
    <w:rPr>
      <w:sz w:val="18"/>
      <w:szCs w:val="18"/>
    </w:rPr>
  </w:style>
  <w:style w:type="paragraph" w:styleId="33">
    <w:name w:val="List Number 5"/>
    <w:basedOn w:val="1"/>
    <w:uiPriority w:val="0"/>
    <w:pPr>
      <w:numPr>
        <w:ilvl w:val="0"/>
        <w:numId w:val="2"/>
      </w:numPr>
      <w:tabs>
        <w:tab w:val="left" w:pos="2608"/>
        <w:tab w:val="clear" w:pos="840"/>
      </w:tabs>
      <w:spacing w:line="360" w:lineRule="auto"/>
    </w:pPr>
    <w:rPr>
      <w:sz w:val="24"/>
      <w:szCs w:val="24"/>
    </w:rPr>
  </w:style>
  <w:style w:type="paragraph" w:styleId="34">
    <w:name w:val="Body Text Indent 3"/>
    <w:basedOn w:val="1"/>
    <w:link w:val="83"/>
    <w:uiPriority w:val="0"/>
    <w:pPr>
      <w:spacing w:line="380" w:lineRule="exact"/>
      <w:ind w:left="525"/>
    </w:pPr>
    <w:rPr>
      <w:rFonts w:ascii="宋体"/>
      <w:sz w:val="24"/>
    </w:rPr>
  </w:style>
  <w:style w:type="paragraph" w:styleId="35">
    <w:name w:val="table of figures"/>
    <w:basedOn w:val="1"/>
    <w:next w:val="1"/>
    <w:uiPriority w:val="0"/>
    <w:pPr>
      <w:ind w:left="420" w:hanging="420"/>
      <w:jc w:val="left"/>
    </w:pPr>
    <w:rPr>
      <w:smallCaps/>
      <w:sz w:val="20"/>
    </w:rPr>
  </w:style>
  <w:style w:type="paragraph" w:styleId="36">
    <w:name w:val="toc 2"/>
    <w:basedOn w:val="1"/>
    <w:uiPriority w:val="0"/>
    <w:pPr>
      <w:ind w:left="210"/>
      <w:jc w:val="left"/>
    </w:pPr>
    <w:rPr>
      <w:smallCaps/>
      <w:sz w:val="20"/>
    </w:rPr>
  </w:style>
  <w:style w:type="paragraph" w:styleId="37">
    <w:name w:val="toc 9"/>
    <w:basedOn w:val="1"/>
    <w:next w:val="1"/>
    <w:uiPriority w:val="0"/>
    <w:pPr>
      <w:ind w:left="1680"/>
      <w:jc w:val="left"/>
    </w:pPr>
    <w:rPr>
      <w:sz w:val="18"/>
      <w:szCs w:val="18"/>
    </w:rPr>
  </w:style>
  <w:style w:type="paragraph" w:styleId="38">
    <w:name w:val="Body Text 2"/>
    <w:basedOn w:val="1"/>
    <w:link w:val="102"/>
    <w:uiPriority w:val="0"/>
    <w:pPr>
      <w:spacing w:after="120" w:afterLines="0" w:line="480" w:lineRule="auto"/>
    </w:pPr>
    <w:rPr>
      <w:kern w:val="0"/>
      <w:sz w:val="24"/>
      <w:szCs w:val="24"/>
    </w:rPr>
  </w:style>
  <w:style w:type="paragraph" w:styleId="39">
    <w:name w:val="HTML Preformatted"/>
    <w:basedOn w:val="1"/>
    <w:uiPriority w:val="0"/>
    <w:rPr>
      <w:rFonts w:ascii="Courier New" w:hAnsi="Courier New" w:cs="Courier New"/>
      <w:sz w:val="20"/>
    </w:rPr>
  </w:style>
  <w:style w:type="paragraph" w:styleId="40">
    <w:name w:val="Normal (Web)"/>
    <w:basedOn w:val="1"/>
    <w:uiPriority w:val="0"/>
    <w:pPr>
      <w:widowControl/>
      <w:spacing w:before="100" w:beforeLines="0" w:beforeAutospacing="1" w:after="100" w:afterLines="0" w:afterAutospacing="1" w:line="300" w:lineRule="atLeast"/>
      <w:jc w:val="left"/>
    </w:pPr>
    <w:rPr>
      <w:rFonts w:ascii="宋体" w:hAnsi="宋体" w:cs="宋体"/>
      <w:kern w:val="0"/>
      <w:sz w:val="24"/>
      <w:szCs w:val="24"/>
    </w:rPr>
  </w:style>
  <w:style w:type="paragraph" w:styleId="41">
    <w:name w:val="index 1"/>
    <w:basedOn w:val="1"/>
    <w:next w:val="1"/>
    <w:uiPriority w:val="0"/>
  </w:style>
  <w:style w:type="paragraph" w:styleId="42">
    <w:name w:val="Title"/>
    <w:basedOn w:val="1"/>
    <w:next w:val="1"/>
    <w:link w:val="110"/>
    <w:qFormat/>
    <w:uiPriority w:val="0"/>
    <w:pPr>
      <w:spacing w:before="240" w:after="60"/>
      <w:jc w:val="center"/>
      <w:outlineLvl w:val="0"/>
    </w:pPr>
    <w:rPr>
      <w:rFonts w:ascii="Cambria" w:hAnsi="Cambria"/>
      <w:b/>
      <w:bCs/>
      <w:sz w:val="32"/>
      <w:szCs w:val="32"/>
    </w:rPr>
  </w:style>
  <w:style w:type="paragraph" w:styleId="43">
    <w:name w:val="annotation subject"/>
    <w:basedOn w:val="16"/>
    <w:next w:val="16"/>
    <w:uiPriority w:val="0"/>
    <w:rPr>
      <w:b/>
      <w:bCs/>
    </w:rPr>
  </w:style>
  <w:style w:type="table" w:styleId="45">
    <w:name w:val="Table Grid"/>
    <w:basedOn w:val="44"/>
    <w:qFormat/>
    <w:uiPriority w:val="59"/>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none"/>
    </w:rPr>
  </w:style>
  <w:style w:type="character" w:styleId="50">
    <w:name w:val="HTML Typewriter"/>
    <w:uiPriority w:val="0"/>
    <w:rPr>
      <w:rFonts w:ascii="Courier New" w:hAnsi="Courier New" w:cs="Courier New"/>
      <w:sz w:val="20"/>
      <w:szCs w:val="20"/>
    </w:rPr>
  </w:style>
  <w:style w:type="character" w:styleId="51">
    <w:name w:val="Hyperlink"/>
    <w:basedOn w:val="46"/>
    <w:uiPriority w:val="0"/>
    <w:rPr>
      <w:color w:val="0000FF"/>
      <w:u w:val="none"/>
    </w:rPr>
  </w:style>
  <w:style w:type="character" w:styleId="52">
    <w:name w:val="annotation reference"/>
    <w:uiPriority w:val="0"/>
    <w:rPr>
      <w:sz w:val="21"/>
      <w:szCs w:val="21"/>
    </w:rPr>
  </w:style>
  <w:style w:type="character" w:customStyle="1" w:styleId="53">
    <w:name w:val="样式1 Char Char"/>
    <w:link w:val="54"/>
    <w:uiPriority w:val="0"/>
    <w:rPr>
      <w:rFonts w:ascii="黑体" w:hAnsi="黑体" w:eastAsia="黑体"/>
      <w:b/>
      <w:bCs/>
      <w:kern w:val="2"/>
      <w:sz w:val="32"/>
      <w:szCs w:val="32"/>
      <w:lang w:bidi="ar-SA"/>
    </w:rPr>
  </w:style>
  <w:style w:type="paragraph" w:customStyle="1" w:styleId="54">
    <w:name w:val="样式1"/>
    <w:basedOn w:val="5"/>
    <w:link w:val="53"/>
    <w:uiPriority w:val="0"/>
    <w:pPr>
      <w:tabs>
        <w:tab w:val="clear" w:pos="578"/>
      </w:tabs>
      <w:spacing w:before="0" w:beforeLines="0" w:after="0" w:afterLines="0"/>
      <w:ind w:left="0" w:firstLine="0"/>
    </w:pPr>
    <w:rPr>
      <w:rFonts w:ascii="黑体" w:hAnsi="黑体"/>
    </w:rPr>
  </w:style>
  <w:style w:type="character" w:customStyle="1" w:styleId="55">
    <w:name w:val=" Char Char4"/>
    <w:basedOn w:val="46"/>
    <w:uiPriority w:val="0"/>
    <w:rPr>
      <w:kern w:val="2"/>
      <w:sz w:val="18"/>
      <w:szCs w:val="18"/>
    </w:rPr>
  </w:style>
  <w:style w:type="character" w:customStyle="1" w:styleId="56">
    <w:name w:val="标题 9 Char"/>
    <w:link w:val="12"/>
    <w:uiPriority w:val="0"/>
    <w:rPr>
      <w:rFonts w:ascii="Arial" w:hAnsi="Arial" w:eastAsia="黑体"/>
      <w:kern w:val="2"/>
      <w:sz w:val="21"/>
      <w:szCs w:val="21"/>
      <w:lang w:val="en-US" w:eastAsia="zh-CN" w:bidi="ar-SA"/>
    </w:rPr>
  </w:style>
  <w:style w:type="character" w:customStyle="1" w:styleId="57">
    <w:name w:val="正文文本 Char"/>
    <w:link w:val="18"/>
    <w:uiPriority w:val="0"/>
    <w:rPr>
      <w:rFonts w:eastAsia="宋体"/>
      <w:i/>
      <w:kern w:val="2"/>
      <w:sz w:val="18"/>
      <w:lang w:val="en-US" w:eastAsia="zh-CN" w:bidi="ar-SA"/>
    </w:rPr>
  </w:style>
  <w:style w:type="character" w:customStyle="1" w:styleId="58">
    <w:name w:val=" Char Char12"/>
    <w:basedOn w:val="46"/>
    <w:uiPriority w:val="0"/>
    <w:rPr>
      <w:b/>
      <w:bCs/>
      <w:kern w:val="2"/>
      <w:sz w:val="32"/>
      <w:szCs w:val="32"/>
    </w:rPr>
  </w:style>
  <w:style w:type="character" w:customStyle="1" w:styleId="59">
    <w:name w:val="ca-8"/>
    <w:basedOn w:val="46"/>
    <w:uiPriority w:val="0"/>
  </w:style>
  <w:style w:type="character" w:customStyle="1" w:styleId="60">
    <w:name w:val="标题 2 Char"/>
    <w:link w:val="5"/>
    <w:uiPriority w:val="0"/>
    <w:rPr>
      <w:rFonts w:ascii="Arial" w:hAnsi="Arial" w:eastAsia="黑体"/>
      <w:b/>
      <w:bCs/>
      <w:kern w:val="2"/>
      <w:sz w:val="32"/>
      <w:szCs w:val="32"/>
      <w:lang w:val="en-US" w:eastAsia="zh-CN" w:bidi="ar-SA"/>
    </w:rPr>
  </w:style>
  <w:style w:type="character" w:customStyle="1" w:styleId="61">
    <w:name w:val="批注文字 Char"/>
    <w:link w:val="16"/>
    <w:uiPriority w:val="0"/>
    <w:rPr>
      <w:rFonts w:eastAsia="宋体"/>
      <w:kern w:val="2"/>
      <w:sz w:val="21"/>
      <w:lang w:val="en-US" w:eastAsia="zh-CN" w:bidi="ar-SA"/>
    </w:rPr>
  </w:style>
  <w:style w:type="character" w:customStyle="1" w:styleId="62">
    <w:name w:val="标题 6 Char"/>
    <w:link w:val="9"/>
    <w:uiPriority w:val="0"/>
    <w:rPr>
      <w:rFonts w:ascii="Cambria" w:hAnsi="Cambria" w:eastAsia="宋体"/>
      <w:b/>
      <w:bCs/>
      <w:kern w:val="2"/>
      <w:sz w:val="24"/>
      <w:szCs w:val="24"/>
      <w:lang w:val="en-US" w:eastAsia="zh-CN" w:bidi="ar-SA"/>
    </w:rPr>
  </w:style>
  <w:style w:type="character" w:customStyle="1" w:styleId="63">
    <w:name w:val="标题 8 Char"/>
    <w:link w:val="11"/>
    <w:uiPriority w:val="0"/>
    <w:rPr>
      <w:rFonts w:ascii="Arial" w:hAnsi="Arial" w:eastAsia="黑体"/>
      <w:kern w:val="2"/>
      <w:sz w:val="24"/>
      <w:szCs w:val="24"/>
      <w:lang w:val="en-US" w:eastAsia="zh-CN" w:bidi="ar-SA"/>
    </w:rPr>
  </w:style>
  <w:style w:type="character" w:customStyle="1" w:styleId="64">
    <w:name w:val="正文文本 3 Char"/>
    <w:link w:val="17"/>
    <w:uiPriority w:val="0"/>
    <w:rPr>
      <w:rFonts w:eastAsia="宋体"/>
      <w:sz w:val="16"/>
      <w:szCs w:val="16"/>
      <w:lang w:bidi="ar-SA"/>
    </w:rPr>
  </w:style>
  <w:style w:type="character" w:customStyle="1" w:styleId="65">
    <w:name w:val=" Char Char13"/>
    <w:basedOn w:val="46"/>
    <w:uiPriority w:val="0"/>
    <w:rPr>
      <w:rFonts w:ascii="Arial" w:hAnsi="Arial" w:eastAsia="黑体"/>
      <w:b/>
      <w:bCs/>
      <w:kern w:val="2"/>
      <w:sz w:val="32"/>
      <w:szCs w:val="32"/>
    </w:rPr>
  </w:style>
  <w:style w:type="character" w:customStyle="1" w:styleId="66">
    <w:name w:val="批注框文本 Char"/>
    <w:basedOn w:val="46"/>
    <w:link w:val="28"/>
    <w:qFormat/>
    <w:uiPriority w:val="0"/>
    <w:rPr>
      <w:rFonts w:eastAsia="宋体"/>
      <w:kern w:val="2"/>
      <w:sz w:val="18"/>
      <w:szCs w:val="18"/>
      <w:lang w:val="en-US" w:eastAsia="zh-CN" w:bidi="ar-SA"/>
    </w:rPr>
  </w:style>
  <w:style w:type="character" w:customStyle="1" w:styleId="67">
    <w:name w:val="正文首行缩进 Char"/>
    <w:link w:val="19"/>
    <w:uiPriority w:val="0"/>
    <w:rPr>
      <w:rFonts w:eastAsia="宋体"/>
      <w:i/>
      <w:kern w:val="2"/>
      <w:sz w:val="21"/>
      <w:szCs w:val="24"/>
      <w:lang w:val="en-US" w:eastAsia="zh-CN" w:bidi="ar-SA"/>
    </w:rPr>
  </w:style>
  <w:style w:type="character" w:customStyle="1" w:styleId="68">
    <w:name w:val="哈哈正文 Char Char"/>
    <w:link w:val="69"/>
    <w:uiPriority w:val="0"/>
    <w:rPr>
      <w:rFonts w:ascii="宋体" w:hAnsi="宋体" w:eastAsia="宋体" w:cs="宋体"/>
      <w:kern w:val="2"/>
      <w:sz w:val="24"/>
      <w:lang w:val="en-US" w:eastAsia="zh-CN" w:bidi="ar-SA"/>
    </w:rPr>
  </w:style>
  <w:style w:type="paragraph" w:customStyle="1" w:styleId="69">
    <w:name w:val="哈哈正文"/>
    <w:basedOn w:val="1"/>
    <w:link w:val="68"/>
    <w:uiPriority w:val="0"/>
    <w:pPr>
      <w:spacing w:line="360" w:lineRule="auto"/>
      <w:ind w:firstLine="200" w:firstLineChars="200"/>
    </w:pPr>
    <w:rPr>
      <w:rFonts w:ascii="宋体" w:hAnsi="宋体" w:cs="宋体"/>
      <w:sz w:val="24"/>
    </w:rPr>
  </w:style>
  <w:style w:type="character" w:customStyle="1" w:styleId="70">
    <w:name w:val="样式5 Char Char"/>
    <w:link w:val="71"/>
    <w:uiPriority w:val="0"/>
    <w:rPr>
      <w:rFonts w:eastAsia="宋体"/>
      <w:b/>
      <w:bCs/>
      <w:kern w:val="2"/>
      <w:sz w:val="28"/>
      <w:szCs w:val="28"/>
      <w:lang w:val="en-US" w:eastAsia="zh-CN" w:bidi="ar-SA"/>
    </w:rPr>
  </w:style>
  <w:style w:type="paragraph" w:customStyle="1" w:styleId="71">
    <w:name w:val="样式5"/>
    <w:basedOn w:val="1"/>
    <w:link w:val="70"/>
    <w:uiPriority w:val="0"/>
    <w:pPr>
      <w:keepNext/>
      <w:keepLines/>
      <w:spacing w:before="280" w:beforeLines="0" w:after="290" w:afterLines="0" w:line="376" w:lineRule="auto"/>
      <w:ind w:left="210" w:leftChars="100" w:right="210" w:rightChars="100"/>
      <w:outlineLvl w:val="4"/>
    </w:pPr>
    <w:rPr>
      <w:b/>
      <w:bCs/>
      <w:sz w:val="28"/>
      <w:szCs w:val="28"/>
    </w:rPr>
  </w:style>
  <w:style w:type="character" w:customStyle="1" w:styleId="72">
    <w:name w:val="纯文本 Char2"/>
    <w:uiPriority w:val="0"/>
    <w:rPr>
      <w:rFonts w:hint="eastAsia" w:ascii="宋体" w:hAnsi="Courier New" w:eastAsia="宋体" w:cs="Courier New"/>
      <w:kern w:val="2"/>
      <w:sz w:val="21"/>
      <w:szCs w:val="21"/>
      <w:lang w:eastAsia="en-US"/>
    </w:rPr>
  </w:style>
  <w:style w:type="character" w:customStyle="1" w:styleId="73">
    <w:name w:val=" Char Char10"/>
    <w:basedOn w:val="46"/>
    <w:uiPriority w:val="0"/>
    <w:rPr>
      <w:b/>
      <w:bCs/>
      <w:kern w:val="2"/>
      <w:sz w:val="28"/>
      <w:szCs w:val="28"/>
      <w:lang w:val="zh-CN"/>
    </w:rPr>
  </w:style>
  <w:style w:type="character" w:customStyle="1" w:styleId="74">
    <w:name w:val="正文缩进 Char"/>
    <w:link w:val="14"/>
    <w:uiPriority w:val="0"/>
    <w:rPr>
      <w:rFonts w:eastAsia="宋体"/>
      <w:kern w:val="2"/>
      <w:sz w:val="21"/>
      <w:szCs w:val="24"/>
      <w:lang w:val="en-US" w:eastAsia="zh-CN" w:bidi="ar-SA"/>
    </w:rPr>
  </w:style>
  <w:style w:type="character" w:customStyle="1" w:styleId="75">
    <w:name w:val="页脚 Char"/>
    <w:uiPriority w:val="0"/>
    <w:rPr>
      <w:rFonts w:eastAsia="宋体"/>
      <w:kern w:val="2"/>
      <w:sz w:val="18"/>
      <w:lang w:val="en-US" w:eastAsia="zh-CN" w:bidi="ar-SA"/>
    </w:rPr>
  </w:style>
  <w:style w:type="character" w:customStyle="1" w:styleId="76">
    <w:name w:val=" Char Char11"/>
    <w:basedOn w:val="46"/>
    <w:uiPriority w:val="0"/>
    <w:rPr>
      <w:rFonts w:ascii="Arial" w:hAnsi="Arial" w:eastAsia="黑体"/>
      <w:b/>
      <w:bCs/>
      <w:kern w:val="2"/>
      <w:sz w:val="28"/>
      <w:szCs w:val="28"/>
    </w:rPr>
  </w:style>
  <w:style w:type="character" w:customStyle="1" w:styleId="77">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78">
    <w:name w:val="文档结构图 Char"/>
    <w:link w:val="15"/>
    <w:uiPriority w:val="0"/>
    <w:rPr>
      <w:rFonts w:eastAsia="宋体"/>
      <w:kern w:val="2"/>
      <w:sz w:val="21"/>
      <w:lang w:val="en-US" w:eastAsia="zh-CN" w:bidi="ar-SA"/>
    </w:rPr>
  </w:style>
  <w:style w:type="character" w:customStyle="1" w:styleId="79">
    <w:name w:val="纯文本 Char"/>
    <w:link w:val="24"/>
    <w:uiPriority w:val="0"/>
    <w:rPr>
      <w:rFonts w:ascii="宋体" w:hAnsi="宋体" w:eastAsia="宋体" w:cs="宋体"/>
      <w:color w:val="000000"/>
      <w:sz w:val="24"/>
      <w:szCs w:val="24"/>
      <w:lang w:val="en-US" w:eastAsia="zh-CN" w:bidi="ar-SA"/>
    </w:rPr>
  </w:style>
  <w:style w:type="character" w:customStyle="1" w:styleId="80">
    <w:name w:val="标题 3 Char"/>
    <w:link w:val="6"/>
    <w:uiPriority w:val="0"/>
    <w:rPr>
      <w:rFonts w:ascii="Arial" w:hAnsi="Arial" w:eastAsia="黑体" w:cs="Arial"/>
      <w:b/>
      <w:bCs/>
      <w:kern w:val="2"/>
      <w:sz w:val="30"/>
      <w:szCs w:val="32"/>
      <w:lang w:val="en-US" w:eastAsia="zh-CN" w:bidi="ar-SA"/>
    </w:rPr>
  </w:style>
  <w:style w:type="character" w:customStyle="1" w:styleId="81">
    <w:name w:val="日期 Char"/>
    <w:basedOn w:val="46"/>
    <w:link w:val="26"/>
    <w:uiPriority w:val="0"/>
    <w:rPr>
      <w:rFonts w:ascii="宋体" w:eastAsia="宋体"/>
      <w:sz w:val="24"/>
      <w:lang w:val="en-US" w:eastAsia="zh-CN" w:bidi="ar-SA"/>
    </w:rPr>
  </w:style>
  <w:style w:type="character" w:customStyle="1" w:styleId="82">
    <w:name w:val=" Char Char14"/>
    <w:basedOn w:val="46"/>
    <w:uiPriority w:val="0"/>
    <w:rPr>
      <w:b/>
      <w:bCs/>
      <w:kern w:val="44"/>
      <w:sz w:val="44"/>
      <w:szCs w:val="44"/>
    </w:rPr>
  </w:style>
  <w:style w:type="character" w:customStyle="1" w:styleId="83">
    <w:name w:val="正文文本缩进 3 Char"/>
    <w:link w:val="34"/>
    <w:uiPriority w:val="0"/>
    <w:rPr>
      <w:rFonts w:ascii="宋体" w:eastAsia="宋体"/>
      <w:kern w:val="2"/>
      <w:sz w:val="24"/>
      <w:lang w:val="en-US" w:eastAsia="zh-CN" w:bidi="ar-SA"/>
    </w:rPr>
  </w:style>
  <w:style w:type="character" w:customStyle="1" w:styleId="84">
    <w:name w:val="hui3"/>
    <w:uiPriority w:val="0"/>
    <w:rPr>
      <w:color w:val="333333"/>
    </w:rPr>
  </w:style>
  <w:style w:type="character" w:customStyle="1" w:styleId="85">
    <w:name w:val=" Char Char8"/>
    <w:basedOn w:val="46"/>
    <w:uiPriority w:val="0"/>
    <w:rPr>
      <w:b/>
      <w:bCs/>
      <w:kern w:val="2"/>
      <w:sz w:val="24"/>
      <w:szCs w:val="24"/>
    </w:rPr>
  </w:style>
  <w:style w:type="character" w:customStyle="1" w:styleId="86">
    <w:name w:val="样式2 Char Char"/>
    <w:link w:val="87"/>
    <w:uiPriority w:val="0"/>
    <w:rPr>
      <w:rFonts w:ascii="黑体" w:hAnsi="黑体" w:eastAsia="黑体"/>
      <w:bCs/>
      <w:color w:val="FF0000"/>
      <w:kern w:val="2"/>
      <w:sz w:val="28"/>
      <w:szCs w:val="32"/>
      <w:lang w:val="en-US" w:eastAsia="zh-CN" w:bidi="ar-SA"/>
    </w:rPr>
  </w:style>
  <w:style w:type="paragraph" w:customStyle="1" w:styleId="87">
    <w:name w:val="样式2"/>
    <w:basedOn w:val="6"/>
    <w:link w:val="86"/>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88">
    <w:name w:val=" Char Char7"/>
    <w:basedOn w:val="46"/>
    <w:uiPriority w:val="0"/>
    <w:rPr>
      <w:rFonts w:ascii="Cambria" w:hAnsi="Cambria"/>
      <w:kern w:val="2"/>
      <w:sz w:val="24"/>
      <w:szCs w:val="24"/>
    </w:rPr>
  </w:style>
  <w:style w:type="character" w:customStyle="1" w:styleId="89">
    <w:name w:val="标题2正文 Char Char Char"/>
    <w:link w:val="90"/>
    <w:uiPriority w:val="0"/>
    <w:rPr>
      <w:rFonts w:eastAsia="宋体"/>
      <w:sz w:val="24"/>
      <w:szCs w:val="24"/>
      <w:lang w:bidi="ar-SA"/>
    </w:rPr>
  </w:style>
  <w:style w:type="paragraph" w:customStyle="1" w:styleId="90">
    <w:name w:val="标题2正文 Char"/>
    <w:basedOn w:val="1"/>
    <w:link w:val="89"/>
    <w:uiPriority w:val="0"/>
    <w:pPr>
      <w:spacing w:before="156" w:beforeLines="50" w:after="156" w:afterLines="50"/>
      <w:ind w:right="38" w:rightChars="18" w:firstLine="420"/>
    </w:pPr>
    <w:rPr>
      <w:kern w:val="0"/>
      <w:sz w:val="24"/>
      <w:szCs w:val="24"/>
    </w:rPr>
  </w:style>
  <w:style w:type="character" w:customStyle="1" w:styleId="91">
    <w:name w:val=" Char Char9"/>
    <w:basedOn w:val="46"/>
    <w:uiPriority w:val="0"/>
    <w:rPr>
      <w:rFonts w:ascii="Arial" w:hAnsi="Arial" w:eastAsia="黑体"/>
      <w:b/>
      <w:bCs/>
      <w:kern w:val="2"/>
      <w:sz w:val="24"/>
      <w:szCs w:val="24"/>
    </w:rPr>
  </w:style>
  <w:style w:type="character" w:customStyle="1" w:styleId="92">
    <w:name w:val=" Char Char6"/>
    <w:uiPriority w:val="0"/>
    <w:rPr>
      <w:rFonts w:eastAsia="方正书宋简体"/>
      <w:kern w:val="2"/>
      <w:sz w:val="24"/>
      <w:lang w:val="en-US" w:eastAsia="zh-CN" w:bidi="ar-SA"/>
    </w:rPr>
  </w:style>
  <w:style w:type="character" w:customStyle="1" w:styleId="93">
    <w:name w:val=" Char Char1"/>
    <w:uiPriority w:val="0"/>
    <w:rPr>
      <w:rFonts w:ascii="Arial" w:hAnsi="Arial" w:cs="Arial"/>
      <w:b/>
      <w:bCs/>
      <w:kern w:val="2"/>
      <w:sz w:val="32"/>
      <w:szCs w:val="32"/>
    </w:rPr>
  </w:style>
  <w:style w:type="character" w:customStyle="1" w:styleId="94">
    <w:name w:val="标题 Char1"/>
    <w:basedOn w:val="46"/>
    <w:uiPriority w:val="0"/>
    <w:rPr>
      <w:rFonts w:ascii="Cambria" w:hAnsi="Cambria" w:cs="Times New Roman"/>
      <w:b/>
      <w:bCs/>
      <w:kern w:val="2"/>
      <w:sz w:val="32"/>
      <w:szCs w:val="32"/>
    </w:rPr>
  </w:style>
  <w:style w:type="character" w:customStyle="1" w:styleId="95">
    <w:name w:val="方案－正文 Char Char"/>
    <w:link w:val="96"/>
    <w:uiPriority w:val="0"/>
    <w:rPr>
      <w:rFonts w:ascii="仿宋_GB2312" w:hAnsi="宋体"/>
      <w:sz w:val="24"/>
      <w:lang w:bidi="ar-SA"/>
    </w:rPr>
  </w:style>
  <w:style w:type="paragraph" w:customStyle="1" w:styleId="96">
    <w:name w:val="方案－正文"/>
    <w:basedOn w:val="1"/>
    <w:link w:val="95"/>
    <w:uiPriority w:val="0"/>
    <w:pPr>
      <w:spacing w:line="360" w:lineRule="auto"/>
      <w:ind w:firstLine="480" w:firstLineChars="200"/>
    </w:pPr>
    <w:rPr>
      <w:rFonts w:ascii="仿宋_GB2312" w:hAnsi="宋体"/>
      <w:kern w:val="0"/>
      <w:sz w:val="24"/>
    </w:rPr>
  </w:style>
  <w:style w:type="character" w:customStyle="1" w:styleId="97">
    <w:name w:val="正文文本缩进 Char1"/>
    <w:basedOn w:val="46"/>
    <w:link w:val="3"/>
    <w:uiPriority w:val="0"/>
    <w:rPr>
      <w:rFonts w:hint="eastAsia" w:ascii="方正书宋简体" w:hAnsi="方正书宋简体" w:eastAsia="方正书宋简体" w:cs="方正书宋简体"/>
      <w:kern w:val="2"/>
      <w:sz w:val="24"/>
      <w:lang w:val="en-US" w:eastAsia="zh-CN" w:bidi="ar"/>
    </w:rPr>
  </w:style>
  <w:style w:type="character" w:customStyle="1" w:styleId="98">
    <w:name w:val="标题 1 Char"/>
    <w:link w:val="4"/>
    <w:qFormat/>
    <w:uiPriority w:val="0"/>
    <w:rPr>
      <w:rFonts w:eastAsia="宋体"/>
      <w:b/>
      <w:bCs/>
      <w:kern w:val="44"/>
      <w:sz w:val="44"/>
      <w:szCs w:val="44"/>
      <w:lang w:val="en-US" w:eastAsia="zh-CN" w:bidi="ar-SA"/>
    </w:rPr>
  </w:style>
  <w:style w:type="character" w:customStyle="1" w:styleId="99">
    <w:name w:val="页脚 Char2"/>
    <w:basedOn w:val="46"/>
    <w:link w:val="29"/>
    <w:uiPriority w:val="0"/>
    <w:rPr>
      <w:rFonts w:hint="eastAsia" w:ascii="宋体" w:hAnsi="宋体" w:eastAsia="宋体" w:cs="宋体"/>
      <w:kern w:val="2"/>
      <w:sz w:val="18"/>
      <w:lang w:val="en-US" w:eastAsia="zh-CN" w:bidi="ar"/>
    </w:rPr>
  </w:style>
  <w:style w:type="character" w:customStyle="1" w:styleId="100">
    <w:name w:val="标题 2 Char1"/>
    <w:uiPriority w:val="0"/>
    <w:rPr>
      <w:rFonts w:ascii="Arial" w:hAnsi="Arial" w:eastAsia="黑体"/>
      <w:b/>
      <w:bCs/>
      <w:kern w:val="2"/>
      <w:sz w:val="32"/>
      <w:szCs w:val="32"/>
      <w:lang w:val="en-US" w:eastAsia="zh-CN" w:bidi="ar-SA"/>
    </w:rPr>
  </w:style>
  <w:style w:type="character" w:customStyle="1" w:styleId="101">
    <w:name w:val="页眉 Char"/>
    <w:uiPriority w:val="0"/>
    <w:rPr>
      <w:rFonts w:eastAsia="宋体"/>
      <w:kern w:val="2"/>
      <w:sz w:val="18"/>
      <w:lang w:val="en-US" w:eastAsia="zh-CN" w:bidi="ar-SA"/>
    </w:rPr>
  </w:style>
  <w:style w:type="character" w:customStyle="1" w:styleId="102">
    <w:name w:val="正文文本 2 Char"/>
    <w:link w:val="38"/>
    <w:uiPriority w:val="0"/>
    <w:rPr>
      <w:rFonts w:eastAsia="宋体"/>
      <w:sz w:val="24"/>
      <w:szCs w:val="24"/>
      <w:lang w:bidi="ar-SA"/>
    </w:rPr>
  </w:style>
  <w:style w:type="character" w:customStyle="1" w:styleId="103">
    <w:name w:val="正文文本缩进 Char"/>
    <w:basedOn w:val="46"/>
    <w:uiPriority w:val="0"/>
    <w:rPr>
      <w:rFonts w:hint="default" w:ascii="Verdana" w:hAnsi="Verdana" w:cs="Verdana"/>
      <w:kern w:val="2"/>
      <w:sz w:val="28"/>
      <w:lang w:eastAsia="en-US" w:bidi="ar"/>
    </w:rPr>
  </w:style>
  <w:style w:type="character" w:customStyle="1" w:styleId="104">
    <w:name w:val="标题 4 Char"/>
    <w:link w:val="7"/>
    <w:uiPriority w:val="0"/>
    <w:rPr>
      <w:rFonts w:ascii="Arial" w:hAnsi="Arial" w:eastAsia="黑体"/>
      <w:b/>
      <w:bCs/>
      <w:kern w:val="2"/>
      <w:sz w:val="28"/>
      <w:szCs w:val="28"/>
      <w:lang w:val="en-US" w:eastAsia="zh-CN" w:bidi="ar-SA"/>
    </w:rPr>
  </w:style>
  <w:style w:type="character" w:customStyle="1" w:styleId="105">
    <w:name w:val="标题 5 Char"/>
    <w:link w:val="8"/>
    <w:uiPriority w:val="0"/>
    <w:rPr>
      <w:rFonts w:eastAsia="宋体"/>
      <w:b/>
      <w:bCs/>
      <w:kern w:val="2"/>
      <w:sz w:val="28"/>
      <w:szCs w:val="28"/>
      <w:lang w:val="en-US" w:eastAsia="zh-CN" w:bidi="ar-SA"/>
    </w:rPr>
  </w:style>
  <w:style w:type="character" w:customStyle="1" w:styleId="106">
    <w:name w:val="标题 1 Char Char"/>
    <w:uiPriority w:val="0"/>
    <w:rPr>
      <w:rFonts w:eastAsia="宋体"/>
      <w:b/>
      <w:spacing w:val="-2"/>
      <w:sz w:val="24"/>
      <w:lang w:val="en-US" w:eastAsia="zh-CN" w:bidi="ar-SA"/>
    </w:rPr>
  </w:style>
  <w:style w:type="character" w:customStyle="1" w:styleId="107">
    <w:name w:val="页眉 Char1"/>
    <w:basedOn w:val="46"/>
    <w:link w:val="30"/>
    <w:uiPriority w:val="0"/>
    <w:rPr>
      <w:rFonts w:hint="eastAsia" w:ascii="宋体" w:hAnsi="宋体" w:eastAsia="宋体" w:cs="宋体"/>
      <w:kern w:val="2"/>
      <w:sz w:val="18"/>
      <w:lang w:val="en-US" w:eastAsia="zh-CN" w:bidi="ar"/>
    </w:rPr>
  </w:style>
  <w:style w:type="character" w:customStyle="1" w:styleId="108">
    <w:name w:val="标题 7 Char"/>
    <w:link w:val="10"/>
    <w:uiPriority w:val="0"/>
    <w:rPr>
      <w:rFonts w:eastAsia="宋体"/>
      <w:b/>
      <w:bCs/>
      <w:kern w:val="2"/>
      <w:sz w:val="24"/>
      <w:szCs w:val="24"/>
      <w:lang w:val="en-US" w:eastAsia="zh-CN" w:bidi="ar-SA"/>
    </w:rPr>
  </w:style>
  <w:style w:type="character" w:customStyle="1" w:styleId="109">
    <w:name w:val="正文文本缩进 2 Char"/>
    <w:link w:val="27"/>
    <w:uiPriority w:val="0"/>
    <w:rPr>
      <w:rFonts w:ascii="宋体" w:eastAsia="宋体"/>
      <w:kern w:val="2"/>
      <w:sz w:val="24"/>
      <w:lang w:val="en-US" w:eastAsia="zh-CN" w:bidi="ar-SA"/>
    </w:rPr>
  </w:style>
  <w:style w:type="character" w:customStyle="1" w:styleId="110">
    <w:name w:val="标题 Char"/>
    <w:link w:val="42"/>
    <w:uiPriority w:val="0"/>
    <w:rPr>
      <w:rFonts w:ascii="Cambria" w:hAnsi="Cambria" w:cs="Times New Roman"/>
      <w:b/>
      <w:bCs/>
      <w:kern w:val="2"/>
      <w:sz w:val="32"/>
      <w:szCs w:val="32"/>
    </w:rPr>
  </w:style>
  <w:style w:type="character" w:customStyle="1" w:styleId="111">
    <w:name w:val=" Char Char24"/>
    <w:qFormat/>
    <w:uiPriority w:val="0"/>
    <w:rPr>
      <w:rFonts w:eastAsia="宋体"/>
      <w:b/>
      <w:bCs/>
      <w:kern w:val="44"/>
      <w:sz w:val="44"/>
      <w:szCs w:val="44"/>
      <w:lang w:val="en-US" w:eastAsia="zh-CN" w:bidi="ar-SA"/>
    </w:rPr>
  </w:style>
  <w:style w:type="character" w:customStyle="1" w:styleId="112">
    <w:name w:val=" Char Char5"/>
    <w:basedOn w:val="46"/>
    <w:uiPriority w:val="0"/>
    <w:rPr>
      <w:kern w:val="2"/>
      <w:sz w:val="18"/>
      <w:szCs w:val="18"/>
    </w:rPr>
  </w:style>
  <w:style w:type="character" w:customStyle="1" w:styleId="113">
    <w:name w:val="页脚 Char1"/>
    <w:uiPriority w:val="0"/>
    <w:rPr>
      <w:rFonts w:eastAsia="宋体"/>
      <w:kern w:val="2"/>
      <w:sz w:val="18"/>
      <w:lang w:val="en-US" w:eastAsia="zh-CN" w:bidi="ar-SA"/>
    </w:rPr>
  </w:style>
  <w:style w:type="character" w:customStyle="1" w:styleId="114">
    <w:name w:val="样式4 Char Char"/>
    <w:link w:val="115"/>
    <w:uiPriority w:val="0"/>
    <w:rPr>
      <w:rFonts w:ascii="黑体" w:hAnsi="黑体" w:eastAsia="黑体"/>
      <w:bCs/>
      <w:kern w:val="44"/>
      <w:sz w:val="44"/>
      <w:szCs w:val="44"/>
      <w:lang w:val="en-US" w:eastAsia="zh-CN" w:bidi="ar-SA"/>
    </w:rPr>
  </w:style>
  <w:style w:type="paragraph" w:customStyle="1" w:styleId="115">
    <w:name w:val="样式4"/>
    <w:basedOn w:val="4"/>
    <w:link w:val="114"/>
    <w:uiPriority w:val="0"/>
    <w:pPr>
      <w:keepLines/>
      <w:spacing w:line="360" w:lineRule="auto"/>
    </w:pPr>
    <w:rPr>
      <w:rFonts w:ascii="黑体" w:hAnsi="黑体" w:eastAsia="黑体"/>
      <w:b w:val="0"/>
    </w:rPr>
  </w:style>
  <w:style w:type="character" w:customStyle="1" w:styleId="116">
    <w:name w:val=" Char Char3"/>
    <w:basedOn w:val="46"/>
    <w:uiPriority w:val="0"/>
    <w:rPr>
      <w:kern w:val="2"/>
      <w:sz w:val="21"/>
      <w:szCs w:val="22"/>
    </w:rPr>
  </w:style>
  <w:style w:type="character" w:customStyle="1" w:styleId="117">
    <w:name w:val=" Char Char21"/>
    <w:uiPriority w:val="0"/>
    <w:rPr>
      <w:rFonts w:ascii="宋体" w:eastAsia="宋体"/>
      <w:b/>
      <w:bCs/>
      <w:kern w:val="2"/>
      <w:sz w:val="28"/>
      <w:lang w:val="en-US" w:eastAsia="zh-CN" w:bidi="ar-SA"/>
    </w:rPr>
  </w:style>
  <w:style w:type="character" w:customStyle="1" w:styleId="118">
    <w:name w:val="apple-style-span"/>
    <w:basedOn w:val="46"/>
    <w:uiPriority w:val="0"/>
  </w:style>
  <w:style w:type="paragraph" w:customStyle="1" w:styleId="119">
    <w:name w:val="大标题"/>
    <w:basedOn w:val="1"/>
    <w:uiPriority w:val="0"/>
    <w:pPr>
      <w:autoSpaceDE w:val="0"/>
      <w:autoSpaceDN w:val="0"/>
      <w:adjustRightInd w:val="0"/>
      <w:spacing w:after="560" w:afterLines="0"/>
      <w:jc w:val="center"/>
    </w:pPr>
    <w:rPr>
      <w:rFonts w:ascii="Arial Black" w:hAnsi="Arial Black"/>
      <w:b/>
      <w:kern w:val="0"/>
      <w:sz w:val="56"/>
    </w:rPr>
  </w:style>
  <w:style w:type="paragraph" w:styleId="120">
    <w:name w:val="No Spacing"/>
    <w:qFormat/>
    <w:uiPriority w:val="0"/>
    <w:pPr>
      <w:widowControl w:val="0"/>
      <w:jc w:val="both"/>
    </w:pPr>
    <w:rPr>
      <w:rFonts w:ascii="Calibri" w:hAnsi="Calibri"/>
      <w:kern w:val="2"/>
      <w:sz w:val="21"/>
      <w:szCs w:val="22"/>
      <w:lang w:val="en-US" w:eastAsia="zh-CN" w:bidi="ar-SA"/>
    </w:rPr>
  </w:style>
  <w:style w:type="paragraph" w:customStyle="1" w:styleId="121">
    <w:name w:val="Char Char Char Char"/>
    <w:basedOn w:val="1"/>
    <w:qFormat/>
    <w:uiPriority w:val="0"/>
    <w:pPr>
      <w:widowControl/>
      <w:spacing w:after="160" w:line="240" w:lineRule="exact"/>
      <w:jc w:val="left"/>
    </w:pPr>
    <w:rPr>
      <w:rFonts w:hint="default" w:ascii="Verdana" w:hAnsi="Verdana"/>
      <w:kern w:val="0"/>
      <w:sz w:val="20"/>
      <w:szCs w:val="20"/>
      <w:lang w:eastAsia="en-US"/>
    </w:rPr>
  </w:style>
  <w:style w:type="paragraph" w:customStyle="1" w:styleId="122">
    <w:name w:val="Body text|3"/>
    <w:basedOn w:val="1"/>
    <w:qFormat/>
    <w:uiPriority w:val="0"/>
    <w:pPr>
      <w:widowControl w:val="0"/>
      <w:shd w:val="clear" w:color="auto" w:fill="auto"/>
      <w:spacing w:after="180"/>
      <w:ind w:firstLine="520"/>
    </w:pPr>
    <w:rPr>
      <w:u w:val="none"/>
      <w:shd w:val="clear" w:color="auto" w:fill="auto"/>
      <w:lang w:val="zh-TW" w:eastAsia="zh-TW" w:bidi="zh-TW"/>
    </w:rPr>
  </w:style>
  <w:style w:type="paragraph" w:customStyle="1" w:styleId="123">
    <w:name w:val="默认段落字体 Para Char Char Char Char Char Char Char Char Char Char"/>
    <w:basedOn w:val="1"/>
    <w:uiPriority w:val="0"/>
    <w:rPr>
      <w:rFonts w:ascii="Tahoma" w:hAnsi="Tahoma"/>
      <w:sz w:val="24"/>
    </w:rPr>
  </w:style>
  <w:style w:type="paragraph" w:customStyle="1" w:styleId="124">
    <w:name w:val="正文无缩进"/>
    <w:basedOn w:val="1"/>
    <w:uiPriority w:val="0"/>
    <w:pPr>
      <w:widowControl/>
      <w:autoSpaceDE w:val="0"/>
      <w:autoSpaceDN w:val="0"/>
      <w:spacing w:line="300" w:lineRule="auto"/>
      <w:textAlignment w:val="bottom"/>
    </w:pPr>
    <w:rPr>
      <w:rFonts w:eastAsia="楷体_GB2312"/>
    </w:rPr>
  </w:style>
  <w:style w:type="paragraph" w:customStyle="1" w:styleId="125">
    <w:name w:val="Other|1"/>
    <w:basedOn w:val="1"/>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paragraph" w:customStyle="1" w:styleId="126">
    <w:name w:val="符号 1"/>
    <w:basedOn w:val="3"/>
    <w:uiPriority w:val="0"/>
    <w:pPr>
      <w:numPr>
        <w:ilvl w:val="0"/>
        <w:numId w:val="3"/>
      </w:numPr>
      <w:tabs>
        <w:tab w:val="left" w:pos="900"/>
        <w:tab w:val="clear" w:pos="1200"/>
      </w:tabs>
      <w:spacing w:line="360" w:lineRule="auto"/>
    </w:pPr>
    <w:rPr>
      <w:rFonts w:eastAsia="宋体"/>
      <w:kern w:val="28"/>
      <w:szCs w:val="24"/>
    </w:rPr>
  </w:style>
  <w:style w:type="paragraph" w:customStyle="1" w:styleId="127">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28">
    <w:name w:val=" Char Char1 Char Char Char Char"/>
    <w:basedOn w:val="1"/>
    <w:uiPriority w:val="0"/>
    <w:rPr>
      <w:rFonts w:ascii="Tahoma" w:hAnsi="Tahoma"/>
      <w:sz w:val="24"/>
    </w:rPr>
  </w:style>
  <w:style w:type="paragraph" w:customStyle="1" w:styleId="129">
    <w:name w:val="正文文本缩进 + 四号"/>
    <w:basedOn w:val="3"/>
    <w:uiPriority w:val="0"/>
    <w:pPr>
      <w:spacing w:line="360" w:lineRule="auto"/>
      <w:ind w:firstLine="560" w:firstLineChars="200"/>
    </w:pPr>
    <w:rPr>
      <w:rFonts w:ascii="仿宋_GB2312" w:eastAsia="仿宋_GB2312"/>
      <w:color w:val="000000"/>
      <w:sz w:val="28"/>
      <w:szCs w:val="28"/>
    </w:rPr>
  </w:style>
  <w:style w:type="paragraph" w:styleId="130">
    <w:name w:val="List Paragraph"/>
    <w:basedOn w:val="1"/>
    <w:qFormat/>
    <w:uiPriority w:val="0"/>
    <w:pPr>
      <w:spacing w:line="360" w:lineRule="auto"/>
      <w:ind w:firstLine="420" w:firstLineChars="200"/>
    </w:pPr>
    <w:rPr>
      <w:sz w:val="24"/>
      <w:szCs w:val="24"/>
    </w:rPr>
  </w:style>
  <w:style w:type="paragraph" w:customStyle="1" w:styleId="131">
    <w:name w:val="标题1"/>
    <w:basedOn w:val="24"/>
    <w:uiPriority w:val="0"/>
    <w:pPr>
      <w:keepLines/>
      <w:numPr>
        <w:ilvl w:val="0"/>
        <w:numId w:val="4"/>
      </w:numPr>
      <w:tabs>
        <w:tab w:val="left" w:pos="397"/>
        <w:tab w:val="clear" w:pos="700"/>
      </w:tabs>
      <w:spacing w:before="120" w:beforeLines="0" w:after="120" w:afterLines="0" w:line="300" w:lineRule="auto"/>
    </w:pPr>
    <w:rPr>
      <w:rFonts w:ascii="黑体" w:hAnsi="宋体" w:eastAsia="黑体"/>
      <w:b/>
      <w:bCs/>
      <w:spacing w:val="6"/>
      <w:kern w:val="44"/>
      <w:sz w:val="36"/>
    </w:rPr>
  </w:style>
  <w:style w:type="paragraph" w:customStyle="1" w:styleId="132">
    <w:name w:val="标题3"/>
    <w:basedOn w:val="6"/>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33">
    <w:name w:val="xl33"/>
    <w:basedOn w:val="1"/>
    <w:uiPriority w:val="0"/>
    <w:pPr>
      <w:widowControl/>
      <w:spacing w:before="100" w:beforeLines="0" w:beforeAutospacing="1" w:after="100" w:afterLines="0" w:afterAutospacing="1"/>
      <w:jc w:val="center"/>
    </w:pPr>
    <w:rPr>
      <w:rFonts w:ascii="华文中宋" w:hAnsi="华文中宋" w:eastAsia="华文中宋"/>
      <w:b/>
      <w:bCs/>
      <w:kern w:val="0"/>
      <w:sz w:val="36"/>
      <w:szCs w:val="36"/>
    </w:rPr>
  </w:style>
  <w:style w:type="paragraph" w:customStyle="1" w:styleId="134">
    <w:name w:val="Body text|2"/>
    <w:basedOn w:val="1"/>
    <w:qFormat/>
    <w:uiPriority w:val="0"/>
    <w:pPr>
      <w:widowControl w:val="0"/>
      <w:shd w:val="clear" w:color="auto" w:fill="auto"/>
      <w:spacing w:after="240"/>
      <w:ind w:firstLine="330"/>
    </w:pPr>
    <w:rPr>
      <w:rFonts w:ascii="宋体" w:hAnsi="宋体" w:eastAsia="宋体" w:cs="宋体"/>
      <w:sz w:val="28"/>
      <w:szCs w:val="28"/>
      <w:u w:val="none"/>
      <w:shd w:val="clear" w:color="auto" w:fill="auto"/>
      <w:lang w:val="zh-TW" w:eastAsia="zh-TW" w:bidi="zh-TW"/>
    </w:rPr>
  </w:style>
  <w:style w:type="paragraph" w:customStyle="1" w:styleId="135">
    <w:name w:val="p0"/>
    <w:basedOn w:val="1"/>
    <w:uiPriority w:val="0"/>
    <w:pPr>
      <w:widowControl/>
    </w:pPr>
    <w:rPr>
      <w:kern w:val="0"/>
      <w:szCs w:val="21"/>
    </w:rPr>
  </w:style>
  <w:style w:type="paragraph" w:customStyle="1" w:styleId="136">
    <w:name w:val="Char Char Char Char1"/>
    <w:basedOn w:val="1"/>
    <w:uiPriority w:val="0"/>
    <w:rPr>
      <w:rFonts w:ascii="Tahoma" w:hAnsi="Tahoma"/>
      <w:sz w:val="24"/>
    </w:rPr>
  </w:style>
  <w:style w:type="paragraph" w:customStyle="1" w:styleId="137">
    <w:name w:val="Normal 2"/>
    <w:basedOn w:val="1"/>
    <w:uiPriority w:val="0"/>
    <w:pPr>
      <w:keepLines/>
      <w:widowControl/>
      <w:autoSpaceDE w:val="0"/>
      <w:autoSpaceDN w:val="0"/>
      <w:adjustRightInd w:val="0"/>
      <w:spacing w:before="240" w:beforeLines="0"/>
      <w:ind w:left="360" w:right="900"/>
      <w:jc w:val="left"/>
    </w:pPr>
    <w:rPr>
      <w:rFonts w:ascii="Arial" w:hAnsi="Arial"/>
      <w:kern w:val="0"/>
      <w:sz w:val="22"/>
      <w:lang w:eastAsia="en-US"/>
    </w:rPr>
  </w:style>
  <w:style w:type="paragraph" w:customStyle="1" w:styleId="138">
    <w:name w:val="xl25"/>
    <w:basedOn w:val="1"/>
    <w:uiPriority w:val="0"/>
    <w:pPr>
      <w:widowControl/>
      <w:spacing w:before="100" w:beforeLines="0" w:beforeAutospacing="1" w:after="100" w:afterLines="0" w:afterAutospacing="1"/>
      <w:jc w:val="center"/>
      <w:textAlignment w:val="center"/>
    </w:pPr>
    <w:rPr>
      <w:rFonts w:ascii="宋体" w:hAnsi="宋体"/>
      <w:kern w:val="0"/>
      <w:sz w:val="20"/>
    </w:rPr>
  </w:style>
  <w:style w:type="paragraph" w:customStyle="1" w:styleId="139">
    <w:name w:val="WPSOffice手动目录 1"/>
    <w:qFormat/>
    <w:uiPriority w:val="0"/>
    <w:rPr>
      <w:lang w:val="en-US" w:eastAsia="zh-CN" w:bidi="ar-SA"/>
    </w:rPr>
  </w:style>
  <w:style w:type="paragraph" w:customStyle="1" w:styleId="140">
    <w:name w:val=" 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41">
    <w:name w:val=" Char Char Char Char"/>
    <w:basedOn w:val="1"/>
    <w:uiPriority w:val="0"/>
    <w:pPr>
      <w:widowControl/>
      <w:spacing w:line="400" w:lineRule="exact"/>
      <w:jc w:val="center"/>
    </w:pPr>
    <w:rPr>
      <w:rFonts w:ascii="Verdana" w:hAnsi="Verdana"/>
      <w:kern w:val="0"/>
      <w:lang w:eastAsia="en-US"/>
    </w:rPr>
  </w:style>
  <w:style w:type="paragraph" w:customStyle="1" w:styleId="142">
    <w:name w:val="xl28"/>
    <w:basedOn w:val="1"/>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43">
    <w:name w:val=" Char Char Char1 Char"/>
    <w:basedOn w:val="1"/>
    <w:uiPriority w:val="0"/>
    <w:pPr>
      <w:spacing w:line="360" w:lineRule="auto"/>
      <w:ind w:firstLine="200" w:firstLineChars="200"/>
    </w:pPr>
  </w:style>
  <w:style w:type="paragraph" w:customStyle="1" w:styleId="144">
    <w:name w:val="2 标题2"/>
    <w:basedOn w:val="145"/>
    <w:next w:val="145"/>
    <w:qFormat/>
    <w:uiPriority w:val="0"/>
    <w:pPr>
      <w:ind w:firstLine="0" w:firstLineChars="0"/>
      <w:outlineLvl w:val="1"/>
    </w:pPr>
    <w:rPr>
      <w:b/>
      <w:sz w:val="30"/>
    </w:rPr>
  </w:style>
  <w:style w:type="paragraph" w:customStyle="1" w:styleId="145">
    <w:name w:val="1 正文"/>
    <w:basedOn w:val="1"/>
    <w:qFormat/>
    <w:uiPriority w:val="0"/>
    <w:pPr>
      <w:adjustRightInd w:val="0"/>
      <w:snapToGrid w:val="0"/>
      <w:spacing w:line="360" w:lineRule="auto"/>
      <w:ind w:firstLine="200" w:firstLineChars="200"/>
      <w:jc w:val="left"/>
    </w:pPr>
    <w:rPr>
      <w:sz w:val="24"/>
    </w:rPr>
  </w:style>
  <w:style w:type="paragraph" w:customStyle="1" w:styleId="146">
    <w:name w:val="标准小四"/>
    <w:basedOn w:val="1"/>
    <w:uiPriority w:val="0"/>
    <w:pPr>
      <w:spacing w:line="360" w:lineRule="auto"/>
      <w:ind w:firstLine="480" w:firstLineChars="200"/>
    </w:pPr>
    <w:rPr>
      <w:rFonts w:ascii="Arial" w:hAnsi="Arial"/>
      <w:sz w:val="24"/>
      <w:szCs w:val="21"/>
    </w:rPr>
  </w:style>
  <w:style w:type="paragraph" w:customStyle="1" w:styleId="147">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48">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0"/>
      <w:sz w:val="20"/>
      <w:szCs w:val="20"/>
      <w:lang w:val="en-US" w:eastAsia="zh-CN" w:bidi="ar"/>
    </w:rPr>
  </w:style>
  <w:style w:type="paragraph" w:customStyle="1" w:styleId="149">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0">
    <w:name w:val="Blockquote"/>
    <w:basedOn w:val="1"/>
    <w:uiPriority w:val="0"/>
    <w:pPr>
      <w:autoSpaceDE w:val="0"/>
      <w:autoSpaceDN w:val="0"/>
      <w:adjustRightInd w:val="0"/>
      <w:spacing w:before="100" w:after="100"/>
      <w:ind w:left="360" w:right="360"/>
      <w:jc w:val="left"/>
    </w:pPr>
    <w:rPr>
      <w:kern w:val="0"/>
      <w:sz w:val="24"/>
    </w:rPr>
  </w:style>
  <w:style w:type="paragraph" w:customStyle="1" w:styleId="151">
    <w:name w:val="*正文"/>
    <w:basedOn w:val="14"/>
    <w:qFormat/>
    <w:uiPriority w:val="0"/>
    <w:pPr>
      <w:ind w:firstLine="567" w:firstLineChars="0"/>
    </w:pPr>
    <w:rPr>
      <w:rFonts w:ascii="Calibri" w:hAnsi="Calibri"/>
      <w:kern w:val="0"/>
      <w:szCs w:val="22"/>
    </w:rPr>
  </w:style>
  <w:style w:type="paragraph" w:customStyle="1" w:styleId="152">
    <w:name w:val=" Char"/>
    <w:basedOn w:val="1"/>
    <w:uiPriority w:val="0"/>
    <w:pPr>
      <w:widowControl/>
      <w:spacing w:after="160" w:afterLines="0" w:line="240" w:lineRule="exact"/>
      <w:ind w:left="-62" w:right="36" w:rightChars="15"/>
      <w:jc w:val="left"/>
    </w:pPr>
    <w:rPr>
      <w:rFonts w:ascii="Arial" w:hAnsi="Arial" w:eastAsia="Times New Roman"/>
      <w:kern w:val="0"/>
      <w:sz w:val="20"/>
      <w:lang w:eastAsia="en-US"/>
    </w:rPr>
  </w:style>
  <w:style w:type="paragraph" w:customStyle="1" w:styleId="153">
    <w:name w:val="Body text|1"/>
    <w:basedOn w:val="1"/>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paragraph" w:customStyle="1" w:styleId="154">
    <w:name w:val="标准正文"/>
    <w:basedOn w:val="1"/>
    <w:uiPriority w:val="0"/>
    <w:pPr>
      <w:adjustRightInd w:val="0"/>
      <w:spacing w:line="360" w:lineRule="auto"/>
      <w:ind w:firstLine="480" w:firstLineChars="200"/>
    </w:pPr>
    <w:rPr>
      <w:kern w:val="0"/>
      <w:sz w:val="24"/>
    </w:rPr>
  </w:style>
  <w:style w:type="paragraph" w:customStyle="1" w:styleId="155">
    <w:name w:val="tabletextcha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6">
    <w:name w:val="xl24"/>
    <w:basedOn w:val="1"/>
    <w:uiPriority w:val="0"/>
    <w:pPr>
      <w:widowControl/>
      <w:spacing w:before="100" w:beforeLines="0" w:beforeAutospacing="1" w:after="100" w:afterLines="0" w:afterAutospacing="1"/>
      <w:jc w:val="center"/>
    </w:pPr>
    <w:rPr>
      <w:rFonts w:ascii="仿宋_GB2312" w:hAnsi="宋体" w:eastAsia="仿宋_GB2312"/>
      <w:kern w:val="0"/>
      <w:sz w:val="24"/>
      <w:szCs w:val="24"/>
    </w:rPr>
  </w:style>
  <w:style w:type="paragraph" w:customStyle="1" w:styleId="157">
    <w:name w:val="Char Char Char"/>
    <w:basedOn w:val="1"/>
    <w:uiPriority w:val="0"/>
    <w:pPr>
      <w:spacing w:before="120" w:beforeLines="0" w:after="120" w:afterLines="0" w:line="360" w:lineRule="auto"/>
      <w:ind w:firstLine="200" w:firstLineChars="200"/>
    </w:pPr>
    <w:rPr>
      <w:rFonts w:ascii="Tahoma" w:hAnsi="Tahoma"/>
      <w:sz w:val="24"/>
    </w:rPr>
  </w:style>
  <w:style w:type="paragraph" w:customStyle="1" w:styleId="158">
    <w:name w:val=" Char1"/>
    <w:basedOn w:val="1"/>
    <w:uiPriority w:val="0"/>
    <w:rPr>
      <w:rFonts w:ascii="仿宋_GB2312" w:eastAsia="仿宋_GB2312"/>
      <w:b/>
      <w:sz w:val="32"/>
      <w:szCs w:val="32"/>
    </w:rPr>
  </w:style>
  <w:style w:type="paragraph" w:customStyle="1" w:styleId="159">
    <w:name w:val="正文段"/>
    <w:basedOn w:val="1"/>
    <w:uiPriority w:val="0"/>
    <w:pPr>
      <w:widowControl/>
      <w:snapToGrid w:val="0"/>
      <w:spacing w:after="156" w:afterLines="50"/>
      <w:ind w:firstLine="200" w:firstLineChars="200"/>
    </w:pPr>
    <w:rPr>
      <w:kern w:val="0"/>
      <w:sz w:val="24"/>
    </w:rPr>
  </w:style>
  <w:style w:type="paragraph" w:customStyle="1" w:styleId="160">
    <w:name w:val="Normal"/>
    <w:qFormat/>
    <w:uiPriority w:val="0"/>
    <w:pPr>
      <w:widowControl w:val="0"/>
      <w:jc w:val="both"/>
    </w:pPr>
    <w:rPr>
      <w:rFonts w:hint="eastAsia"/>
      <w:kern w:val="2"/>
      <w:sz w:val="21"/>
      <w:szCs w:val="22"/>
      <w:lang w:val="en-US" w:eastAsia="zh-CN" w:bidi="ar-SA"/>
    </w:rPr>
  </w:style>
  <w:style w:type="paragraph" w:customStyle="1" w:styleId="161">
    <w:name w:val="列出段落1"/>
    <w:basedOn w:val="1"/>
    <w:qFormat/>
    <w:uiPriority w:val="0"/>
    <w:pPr>
      <w:widowControl w:val="0"/>
      <w:ind w:firstLine="420" w:firstLineChars="200"/>
      <w:jc w:val="both"/>
    </w:pPr>
    <w:rPr>
      <w:rFonts w:ascii="Calibri" w:hAnsi="Calibri"/>
      <w:kern w:val="2"/>
      <w:szCs w:val="22"/>
    </w:rPr>
  </w:style>
  <w:style w:type="paragraph" w:customStyle="1" w:styleId="162">
    <w:name w:val="正文编码"/>
    <w:basedOn w:val="19"/>
    <w:uiPriority w:val="0"/>
    <w:pPr>
      <w:numPr>
        <w:ilvl w:val="0"/>
        <w:numId w:val="3"/>
      </w:numPr>
      <w:tabs>
        <w:tab w:val="center" w:pos="2185"/>
        <w:tab w:val="clear" w:pos="1200"/>
      </w:tabs>
      <w:spacing w:after="0" w:afterLines="0" w:line="360" w:lineRule="auto"/>
      <w:ind w:firstLineChars="0"/>
    </w:pPr>
    <w:rPr>
      <w:rFonts w:ascii="仿宋_GB2312" w:hAnsi="宋体" w:eastAsia="仿宋_GB2312"/>
      <w:kern w:val="0"/>
      <w:sz w:val="24"/>
      <w:szCs w:val="20"/>
    </w:rPr>
  </w:style>
  <w:style w:type="paragraph" w:customStyle="1" w:styleId="163">
    <w:name w:val="正文 居中"/>
    <w:basedOn w:val="1"/>
    <w:uiPriority w:val="0"/>
    <w:pPr>
      <w:spacing w:line="360" w:lineRule="auto"/>
      <w:jc w:val="center"/>
    </w:pPr>
    <w:rPr>
      <w:rFonts w:cs="宋体"/>
      <w:sz w:val="24"/>
    </w:rPr>
  </w:style>
  <w:style w:type="paragraph" w:customStyle="1" w:styleId="164">
    <w:name w:val="Plain Text"/>
    <w:basedOn w:val="1"/>
    <w:qFormat/>
    <w:uiPriority w:val="0"/>
    <w:rPr>
      <w:rFonts w:ascii="宋体" w:hAnsi="Courier New"/>
      <w:szCs w:val="20"/>
    </w:rPr>
  </w:style>
  <w:style w:type="paragraph" w:customStyle="1" w:styleId="165">
    <w:name w:val="默认段落字体 Para Char Char Char Char Char Char Char Char Char1 Char Char Char Char"/>
    <w:basedOn w:val="1"/>
    <w:uiPriority w:val="0"/>
    <w:rPr>
      <w:rFonts w:ascii="Tahoma" w:hAnsi="Tahoma"/>
      <w:sz w:val="24"/>
    </w:rPr>
  </w:style>
  <w:style w:type="paragraph" w:customStyle="1" w:styleId="166">
    <w:name w:val="普通正文"/>
    <w:basedOn w:val="1"/>
    <w:uiPriority w:val="0"/>
    <w:pPr>
      <w:adjustRightInd w:val="0"/>
      <w:spacing w:before="120" w:beforeLines="0" w:after="120" w:afterLines="0" w:line="360" w:lineRule="auto"/>
      <w:ind w:firstLine="480"/>
      <w:jc w:val="left"/>
      <w:textAlignment w:val="baseline"/>
    </w:pPr>
    <w:rPr>
      <w:rFonts w:ascii="Arial" w:hAnsi="Arial"/>
      <w:kern w:val="0"/>
      <w:sz w:val="24"/>
      <w:szCs w:val="24"/>
    </w:rPr>
  </w:style>
  <w:style w:type="paragraph" w:customStyle="1" w:styleId="167">
    <w:name w:val="段"/>
    <w:uiPriority w:val="0"/>
    <w:pPr>
      <w:autoSpaceDE w:val="0"/>
      <w:autoSpaceDN w:val="0"/>
      <w:ind w:firstLine="200" w:firstLineChars="200"/>
      <w:jc w:val="both"/>
    </w:pPr>
    <w:rPr>
      <w:rFonts w:ascii="宋体"/>
      <w:sz w:val="21"/>
      <w:lang w:val="en-US" w:eastAsia="zh-CN" w:bidi="ar-SA"/>
    </w:rPr>
  </w:style>
  <w:style w:type="paragraph" w:customStyle="1" w:styleId="168">
    <w:name w:val=" Char Char Char Char Char Char Char"/>
    <w:basedOn w:val="1"/>
    <w:uiPriority w:val="0"/>
    <w:pPr>
      <w:tabs>
        <w:tab w:val="left" w:pos="432"/>
      </w:tabs>
      <w:ind w:left="432" w:hanging="432"/>
    </w:pPr>
    <w:rPr>
      <w:rFonts w:ascii="Tahoma" w:hAnsi="Tahoma"/>
      <w:sz w:val="24"/>
    </w:rPr>
  </w:style>
  <w:style w:type="paragraph" w:customStyle="1" w:styleId="169">
    <w:name w:val="符号 2"/>
    <w:basedOn w:val="126"/>
    <w:uiPriority w:val="0"/>
    <w:pPr>
      <w:numPr>
        <w:ilvl w:val="1"/>
        <w:numId w:val="3"/>
      </w:numPr>
      <w:tabs>
        <w:tab w:val="clear" w:pos="900"/>
      </w:tabs>
    </w:pPr>
  </w:style>
  <w:style w:type="paragraph" w:customStyle="1" w:styleId="170">
    <w:name w:val="表格文字"/>
    <w:basedOn w:val="1"/>
    <w:next w:val="18"/>
    <w:uiPriority w:val="0"/>
    <w:pPr>
      <w:widowControl w:val="0"/>
      <w:spacing w:before="25" w:beforeLines="0" w:after="25" w:afterLines="0"/>
    </w:pPr>
    <w:rPr>
      <w:bCs/>
      <w:spacing w:val="10"/>
      <w:sz w:val="24"/>
    </w:rPr>
  </w:style>
  <w:style w:type="paragraph" w:customStyle="1" w:styleId="171">
    <w:name w:val="Char"/>
    <w:basedOn w:val="1"/>
    <w:uiPriority w:val="0"/>
    <w:pPr>
      <w:numPr>
        <w:ilvl w:val="0"/>
        <w:numId w:val="3"/>
      </w:numPr>
    </w:pPr>
    <w:rPr>
      <w:sz w:val="24"/>
      <w:szCs w:val="24"/>
    </w:rPr>
  </w:style>
  <w:style w:type="paragraph" w:customStyle="1" w:styleId="172">
    <w:name w:val="itemlistintable"/>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3">
    <w:name w:val="tabletextcharcha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4">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75">
    <w:name w:val="1"/>
    <w:basedOn w:val="1"/>
    <w:next w:val="130"/>
    <w:qFormat/>
    <w:uiPriority w:val="0"/>
    <w:pPr>
      <w:ind w:firstLine="420" w:firstLineChars="200"/>
    </w:pPr>
    <w:rPr>
      <w:szCs w:val="24"/>
    </w:rPr>
  </w:style>
  <w:style w:type="paragraph" w:customStyle="1" w:styleId="176">
    <w:name w:val="表内文字"/>
    <w:basedOn w:val="1"/>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11043</Words>
  <Characters>62947</Characters>
  <Lines>524</Lines>
  <Paragraphs>147</Paragraphs>
  <TotalTime>0</TotalTime>
  <ScaleCrop>false</ScaleCrop>
  <LinksUpToDate>false</LinksUpToDate>
  <CharactersWithSpaces>73843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2018-10-30T02:41:00Z</dcterms:created>
  <dc:creator>dyp</dc:creator>
  <cp:lastModifiedBy>WPS_1701756769</cp:lastModifiedBy>
  <cp:lastPrinted>2020-04-23T10:54:00Z</cp:lastPrinted>
  <dcterms:modified xsi:type="dcterms:W3CDTF">2024-02-23T04:28:16Z</dcterms:modified>
  <cp:revision>2</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88F3D426AB4A4531AC1B44D28CB39130_13</vt:lpwstr>
  </property>
</Properties>
</file>