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cs="仿宋"/>
          <w:b/>
        </w:rPr>
      </w:pPr>
    </w:p>
    <w:p>
      <w:pPr>
        <w:jc w:val="center"/>
        <w:rPr>
          <w:rFonts w:ascii="仿宋" w:hAnsi="仿宋" w:cs="仿宋"/>
          <w:b/>
        </w:rPr>
      </w:pPr>
    </w:p>
    <w:p>
      <w:pPr>
        <w:adjustRightInd/>
        <w:ind w:firstLine="883"/>
        <w:jc w:val="center"/>
        <w:rPr>
          <w:rFonts w:ascii="仿宋" w:hAnsi="仿宋" w:cs="仿宋"/>
          <w:b/>
          <w:sz w:val="44"/>
          <w:szCs w:val="44"/>
        </w:rPr>
      </w:pPr>
    </w:p>
    <w:p>
      <w:pPr>
        <w:ind w:firstLine="883"/>
        <w:jc w:val="center"/>
        <w:rPr>
          <w:rFonts w:ascii="仿宋" w:hAnsi="仿宋" w:cs="仿宋"/>
          <w:b/>
          <w:sz w:val="44"/>
          <w:szCs w:val="44"/>
        </w:rPr>
      </w:pPr>
    </w:p>
    <w:p>
      <w:pPr>
        <w:adjustRightInd/>
        <w:ind w:firstLine="964"/>
        <w:jc w:val="center"/>
        <w:rPr>
          <w:rFonts w:ascii="仿宋" w:hAnsi="仿宋" w:cs="仿宋"/>
          <w:b/>
          <w:sz w:val="48"/>
          <w:szCs w:val="48"/>
        </w:rPr>
      </w:pPr>
    </w:p>
    <w:p>
      <w:pPr>
        <w:adjustRightInd/>
        <w:ind w:firstLine="0" w:firstLineChars="0"/>
        <w:jc w:val="center"/>
        <w:rPr>
          <w:rFonts w:ascii="仿宋" w:hAnsi="仿宋" w:cs="仿宋"/>
          <w:sz w:val="48"/>
          <w:szCs w:val="48"/>
        </w:rPr>
      </w:pPr>
      <w:r>
        <w:rPr>
          <w:rFonts w:hint="eastAsia" w:ascii="仿宋" w:hAnsi="仿宋" w:cs="仿宋"/>
          <w:sz w:val="48"/>
          <w:szCs w:val="48"/>
        </w:rPr>
        <w:t>慈溪市宗汉街道办事处综合信息指挥中心提升服务项目竞争性磋商文件</w:t>
      </w:r>
    </w:p>
    <w:p>
      <w:pPr>
        <w:adjustRightInd/>
        <w:ind w:firstLine="0" w:firstLineChars="0"/>
        <w:jc w:val="center"/>
        <w:rPr>
          <w:rFonts w:ascii="仿宋" w:hAnsi="仿宋" w:cs="仿宋"/>
          <w:b/>
          <w:sz w:val="44"/>
          <w:szCs w:val="44"/>
        </w:rPr>
      </w:pPr>
    </w:p>
    <w:p>
      <w:pPr>
        <w:snapToGrid w:val="0"/>
        <w:ind w:firstLine="0" w:firstLineChars="0"/>
        <w:jc w:val="center"/>
        <w:rPr>
          <w:rFonts w:ascii="仿宋" w:hAnsi="仿宋" w:cs="仿宋"/>
          <w:sz w:val="30"/>
          <w:szCs w:val="30"/>
        </w:rPr>
      </w:pPr>
      <w:r>
        <w:rPr>
          <w:rFonts w:hint="eastAsia" w:ascii="仿宋" w:hAnsi="仿宋" w:cs="仿宋"/>
          <w:sz w:val="30"/>
          <w:szCs w:val="30"/>
        </w:rPr>
        <w:t>编号：</w:t>
      </w:r>
      <w:r>
        <w:fldChar w:fldCharType="begin"/>
      </w:r>
      <w:r>
        <w:instrText xml:space="preserve"> HYPERLINK "https://pay.zcygov.cn/purchaseplan_front/" \l "/plan/list/detail?id=1000000000007609603&amp;encrypt=9e6e630dc60e9ecc575b5aef3ea0adce" \t "https://www.zcygov.cn/delegation-order/order/_blank" </w:instrText>
      </w:r>
      <w:r>
        <w:fldChar w:fldCharType="separate"/>
      </w:r>
      <w:r>
        <w:rPr>
          <w:rFonts w:hint="eastAsia" w:ascii="仿宋" w:hAnsi="仿宋" w:cs="仿宋"/>
          <w:sz w:val="30"/>
          <w:szCs w:val="30"/>
        </w:rPr>
        <w:t>CXZFCG[2022]</w:t>
      </w:r>
      <w:r>
        <w:rPr>
          <w:rFonts w:hint="eastAsia" w:ascii="仿宋" w:hAnsi="仿宋" w:cs="仿宋"/>
          <w:sz w:val="30"/>
          <w:szCs w:val="30"/>
          <w:lang w:eastAsia="zh-CN"/>
        </w:rPr>
        <w:t>3279号</w:t>
      </w:r>
      <w:r>
        <w:rPr>
          <w:rFonts w:hint="eastAsia" w:ascii="仿宋" w:hAnsi="仿宋" w:cs="仿宋"/>
          <w:sz w:val="30"/>
          <w:szCs w:val="30"/>
        </w:rPr>
        <w:fldChar w:fldCharType="end"/>
      </w:r>
    </w:p>
    <w:p>
      <w:pPr>
        <w:adjustRightInd/>
        <w:ind w:firstLine="560"/>
        <w:rPr>
          <w:rFonts w:ascii="仿宋" w:hAnsi="仿宋" w:cs="仿宋"/>
          <w:sz w:val="28"/>
          <w:szCs w:val="20"/>
        </w:rPr>
      </w:pPr>
    </w:p>
    <w:p>
      <w:pPr>
        <w:ind w:firstLine="883"/>
        <w:jc w:val="center"/>
        <w:rPr>
          <w:rFonts w:ascii="仿宋" w:hAnsi="仿宋" w:cs="仿宋"/>
          <w:b/>
          <w:sz w:val="44"/>
          <w:szCs w:val="44"/>
        </w:rPr>
      </w:pPr>
    </w:p>
    <w:p>
      <w:pPr>
        <w:ind w:firstLine="883"/>
        <w:jc w:val="center"/>
        <w:rPr>
          <w:rFonts w:ascii="仿宋" w:hAnsi="仿宋" w:cs="仿宋"/>
          <w:b/>
          <w:sz w:val="44"/>
          <w:szCs w:val="44"/>
        </w:rPr>
      </w:pPr>
    </w:p>
    <w:p>
      <w:pPr>
        <w:ind w:firstLine="480"/>
        <w:jc w:val="center"/>
        <w:rPr>
          <w:rFonts w:ascii="仿宋" w:hAnsi="仿宋" w:cs="仿宋"/>
        </w:rPr>
      </w:pPr>
    </w:p>
    <w:p>
      <w:pPr>
        <w:ind w:firstLine="480"/>
        <w:jc w:val="center"/>
        <w:rPr>
          <w:rFonts w:ascii="仿宋" w:hAnsi="仿宋" w:cs="仿宋"/>
        </w:rPr>
      </w:pPr>
    </w:p>
    <w:p>
      <w:pPr>
        <w:pStyle w:val="5"/>
      </w:pPr>
    </w:p>
    <w:p>
      <w:pPr>
        <w:ind w:firstLine="640"/>
        <w:rPr>
          <w:rFonts w:ascii="仿宋" w:hAnsi="仿宋" w:cs="仿宋"/>
          <w:sz w:val="32"/>
          <w:szCs w:val="32"/>
        </w:rPr>
      </w:pPr>
    </w:p>
    <w:p>
      <w:pPr>
        <w:pStyle w:val="28"/>
      </w:pPr>
    </w:p>
    <w:p>
      <w:pPr>
        <w:snapToGrid w:val="0"/>
        <w:ind w:firstLine="640"/>
        <w:jc w:val="center"/>
        <w:rPr>
          <w:rFonts w:ascii="仿宋" w:hAnsi="仿宋" w:cs="仿宋"/>
          <w:sz w:val="32"/>
          <w:szCs w:val="32"/>
        </w:rPr>
      </w:pPr>
      <w:r>
        <w:rPr>
          <w:rFonts w:hint="eastAsia" w:ascii="仿宋" w:hAnsi="仿宋" w:cs="仿宋"/>
          <w:sz w:val="32"/>
          <w:szCs w:val="32"/>
        </w:rPr>
        <w:t>采购人：慈溪市人民政府宗汉街道办事处</w:t>
      </w:r>
    </w:p>
    <w:p>
      <w:pPr>
        <w:ind w:firstLine="640"/>
        <w:jc w:val="center"/>
        <w:rPr>
          <w:rFonts w:ascii="仿宋" w:hAnsi="仿宋" w:cs="仿宋"/>
          <w:bCs/>
          <w:sz w:val="32"/>
          <w:szCs w:val="32"/>
        </w:rPr>
      </w:pPr>
      <w:r>
        <w:rPr>
          <w:rFonts w:hint="eastAsia" w:ascii="仿宋" w:hAnsi="仿宋" w:cs="仿宋"/>
          <w:bCs/>
          <w:sz w:val="32"/>
          <w:szCs w:val="32"/>
        </w:rPr>
        <w:t>采购机构：慈溪元达采购招标代理有限公司</w:t>
      </w:r>
    </w:p>
    <w:p>
      <w:pPr>
        <w:snapToGrid w:val="0"/>
        <w:ind w:firstLine="640"/>
        <w:jc w:val="center"/>
        <w:rPr>
          <w:rFonts w:ascii="仿宋" w:hAnsi="仿宋" w:cs="仿宋"/>
          <w:bCs/>
          <w:sz w:val="32"/>
          <w:szCs w:val="32"/>
        </w:rPr>
      </w:pPr>
      <w:r>
        <w:rPr>
          <w:rFonts w:hint="eastAsia" w:ascii="仿宋" w:hAnsi="仿宋" w:cs="仿宋"/>
          <w:bCs/>
          <w:sz w:val="32"/>
          <w:szCs w:val="32"/>
        </w:rPr>
        <w:t>202</w:t>
      </w:r>
      <w:r>
        <w:rPr>
          <w:rFonts w:hint="eastAsia" w:ascii="仿宋" w:hAnsi="仿宋" w:cs="仿宋"/>
          <w:bCs/>
          <w:sz w:val="32"/>
          <w:szCs w:val="32"/>
          <w:lang w:val="en-US" w:eastAsia="zh-CN"/>
        </w:rPr>
        <w:t>3</w:t>
      </w:r>
      <w:r>
        <w:rPr>
          <w:rFonts w:hint="eastAsia" w:ascii="仿宋" w:hAnsi="仿宋" w:cs="仿宋"/>
          <w:bCs/>
          <w:sz w:val="32"/>
          <w:szCs w:val="32"/>
        </w:rPr>
        <w:t>年</w:t>
      </w:r>
      <w:r>
        <w:rPr>
          <w:rFonts w:hint="eastAsia" w:ascii="仿宋" w:hAnsi="仿宋" w:cs="仿宋"/>
          <w:bCs/>
          <w:sz w:val="32"/>
          <w:szCs w:val="32"/>
          <w:lang w:val="en-US" w:eastAsia="zh-CN"/>
        </w:rPr>
        <w:t>01</w:t>
      </w:r>
      <w:r>
        <w:rPr>
          <w:rFonts w:hint="eastAsia" w:ascii="仿宋" w:hAnsi="仿宋" w:cs="仿宋"/>
          <w:bCs/>
          <w:sz w:val="32"/>
          <w:szCs w:val="32"/>
        </w:rPr>
        <w:t>月</w:t>
      </w:r>
    </w:p>
    <w:p>
      <w:pPr>
        <w:ind w:firstLine="480"/>
        <w:jc w:val="center"/>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417" w:right="1418" w:bottom="1417" w:left="1418" w:header="851" w:footer="992" w:gutter="0"/>
          <w:cols w:space="720" w:num="1"/>
          <w:titlePg/>
          <w:docGrid w:linePitch="312" w:charSpace="0"/>
        </w:sectPr>
      </w:pPr>
    </w:p>
    <w:p>
      <w:pPr>
        <w:spacing w:line="240" w:lineRule="auto"/>
        <w:ind w:firstLine="0" w:firstLineChars="0"/>
        <w:jc w:val="center"/>
        <w:rPr>
          <w:rFonts w:ascii="仿宋" w:hAnsi="仿宋" w:cs="仿宋"/>
          <w:sz w:val="32"/>
          <w:szCs w:val="32"/>
        </w:rPr>
      </w:pPr>
    </w:p>
    <w:sdt>
      <w:sdtPr>
        <w:rPr>
          <w:rFonts w:hint="eastAsia" w:ascii="仿宋" w:hAnsi="仿宋" w:cs="仿宋"/>
          <w:sz w:val="32"/>
          <w:szCs w:val="32"/>
        </w:rPr>
        <w:id w:val="147479071"/>
        <w15:color w:val="DBDBDB"/>
        <w:docPartObj>
          <w:docPartGallery w:val="Table of Contents"/>
          <w:docPartUnique/>
        </w:docPartObj>
      </w:sdtPr>
      <w:sdtEndPr>
        <w:rPr>
          <w:rFonts w:hint="eastAsia" w:ascii="仿宋" w:hAnsi="仿宋" w:cs="仿宋"/>
          <w:b/>
          <w:sz w:val="24"/>
          <w:szCs w:val="24"/>
        </w:rPr>
      </w:sdtEndPr>
      <w:sdtContent>
        <w:p>
          <w:pPr>
            <w:spacing w:line="240" w:lineRule="auto"/>
            <w:ind w:firstLine="0" w:firstLineChars="0"/>
            <w:jc w:val="center"/>
            <w:rPr>
              <w:rFonts w:ascii="仿宋" w:hAnsi="仿宋" w:cs="仿宋"/>
              <w:sz w:val="32"/>
              <w:szCs w:val="32"/>
            </w:rPr>
          </w:pPr>
          <w:r>
            <w:rPr>
              <w:rFonts w:hint="eastAsia" w:ascii="仿宋" w:hAnsi="仿宋" w:cs="仿宋"/>
              <w:sz w:val="32"/>
              <w:szCs w:val="32"/>
            </w:rPr>
            <w:t>目录</w:t>
          </w:r>
        </w:p>
        <w:p>
          <w:pPr>
            <w:pStyle w:val="5"/>
          </w:pPr>
        </w:p>
        <w:p>
          <w:pPr>
            <w:pStyle w:val="48"/>
            <w:tabs>
              <w:tab w:val="right" w:leader="dot" w:pos="9070"/>
            </w:tabs>
          </w:pPr>
          <w:r>
            <w:rPr>
              <w:rFonts w:hint="eastAsia" w:ascii="仿宋" w:hAnsi="仿宋" w:cs="仿宋"/>
            </w:rPr>
            <w:fldChar w:fldCharType="begin"/>
          </w:r>
          <w:r>
            <w:rPr>
              <w:rFonts w:hint="eastAsia" w:ascii="仿宋" w:hAnsi="仿宋" w:cs="仿宋"/>
            </w:rPr>
            <w:instrText xml:space="preserve">TOC \o "1-2" \h \u </w:instrText>
          </w:r>
          <w:r>
            <w:rPr>
              <w:rFonts w:hint="eastAsia" w:ascii="仿宋" w:hAnsi="仿宋" w:cs="仿宋"/>
            </w:rPr>
            <w:fldChar w:fldCharType="separate"/>
          </w:r>
          <w:r>
            <w:rPr>
              <w:rFonts w:hint="eastAsia" w:ascii="仿宋" w:hAnsi="仿宋" w:cs="仿宋"/>
            </w:rPr>
            <w:fldChar w:fldCharType="begin"/>
          </w:r>
          <w:r>
            <w:rPr>
              <w:rFonts w:hint="eastAsia" w:ascii="仿宋" w:hAnsi="仿宋" w:cs="仿宋"/>
            </w:rPr>
            <w:instrText xml:space="preserve"> HYPERLINK \l _Toc14503 </w:instrText>
          </w:r>
          <w:r>
            <w:rPr>
              <w:rFonts w:hint="eastAsia" w:ascii="仿宋" w:hAnsi="仿宋" w:cs="仿宋"/>
            </w:rPr>
            <w:fldChar w:fldCharType="separate"/>
          </w:r>
          <w:r>
            <w:rPr>
              <w:rFonts w:hint="eastAsia" w:ascii="仿宋" w:hAnsi="仿宋" w:cs="仿宋"/>
            </w:rPr>
            <w:t>第一部分</w:t>
          </w:r>
          <w:r>
            <w:rPr>
              <w:rFonts w:hint="eastAsia" w:ascii="仿宋" w:hAnsi="仿宋" w:cs="仿宋"/>
              <w:lang w:val="en-US"/>
            </w:rPr>
            <w:t>竞争性磋商</w:t>
          </w:r>
          <w:r>
            <w:rPr>
              <w:rFonts w:hint="eastAsia" w:ascii="仿宋" w:hAnsi="仿宋" w:cs="仿宋"/>
            </w:rPr>
            <w:t>公告</w:t>
          </w:r>
          <w:r>
            <w:tab/>
          </w:r>
          <w:r>
            <w:fldChar w:fldCharType="begin"/>
          </w:r>
          <w:r>
            <w:instrText xml:space="preserve"> PAGEREF _Toc14503 \h </w:instrText>
          </w:r>
          <w:r>
            <w:fldChar w:fldCharType="separate"/>
          </w:r>
          <w:r>
            <w:t>4</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_Toc13199 </w:instrText>
          </w:r>
          <w:r>
            <w:rPr>
              <w:rFonts w:hint="eastAsia" w:ascii="仿宋" w:hAnsi="仿宋" w:cs="仿宋"/>
            </w:rPr>
            <w:fldChar w:fldCharType="separate"/>
          </w:r>
          <w:r>
            <w:rPr>
              <w:rFonts w:hint="eastAsia" w:ascii="仿宋" w:hAnsi="仿宋" w:cs="仿宋"/>
            </w:rPr>
            <w:t>一、项目基本情况</w:t>
          </w:r>
          <w:r>
            <w:tab/>
          </w:r>
          <w:r>
            <w:fldChar w:fldCharType="begin"/>
          </w:r>
          <w:r>
            <w:instrText xml:space="preserve"> PAGEREF _Toc13199 \h </w:instrText>
          </w:r>
          <w:r>
            <w:fldChar w:fldCharType="separate"/>
          </w:r>
          <w:r>
            <w:t>4</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_Toc6203 </w:instrText>
          </w:r>
          <w:r>
            <w:rPr>
              <w:rFonts w:hint="eastAsia" w:ascii="仿宋" w:hAnsi="仿宋" w:cs="仿宋"/>
            </w:rPr>
            <w:fldChar w:fldCharType="separate"/>
          </w:r>
          <w:r>
            <w:rPr>
              <w:rFonts w:hint="eastAsia" w:ascii="仿宋" w:hAnsi="仿宋" w:cs="仿宋"/>
            </w:rPr>
            <w:t>二、申请人的资格要求</w:t>
          </w:r>
          <w:r>
            <w:tab/>
          </w:r>
          <w:r>
            <w:fldChar w:fldCharType="begin"/>
          </w:r>
          <w:r>
            <w:instrText xml:space="preserve"> PAGEREF _Toc6203 \h </w:instrText>
          </w:r>
          <w:r>
            <w:fldChar w:fldCharType="separate"/>
          </w:r>
          <w:r>
            <w:t>4</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_Toc25214 </w:instrText>
          </w:r>
          <w:r>
            <w:rPr>
              <w:rFonts w:hint="eastAsia" w:ascii="仿宋" w:hAnsi="仿宋" w:cs="仿宋"/>
            </w:rPr>
            <w:fldChar w:fldCharType="separate"/>
          </w:r>
          <w:r>
            <w:rPr>
              <w:rFonts w:hint="eastAsia" w:ascii="仿宋" w:hAnsi="仿宋" w:cs="仿宋"/>
            </w:rPr>
            <w:t>三、获取采购文件</w:t>
          </w:r>
          <w:r>
            <w:tab/>
          </w:r>
          <w:r>
            <w:fldChar w:fldCharType="begin"/>
          </w:r>
          <w:r>
            <w:instrText xml:space="preserve"> PAGEREF _Toc25214 \h </w:instrText>
          </w:r>
          <w:r>
            <w:fldChar w:fldCharType="separate"/>
          </w:r>
          <w:r>
            <w:t>4</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_Toc29075 </w:instrText>
          </w:r>
          <w:r>
            <w:rPr>
              <w:rFonts w:hint="eastAsia" w:ascii="仿宋" w:hAnsi="仿宋" w:cs="仿宋"/>
            </w:rPr>
            <w:fldChar w:fldCharType="separate"/>
          </w:r>
          <w:r>
            <w:rPr>
              <w:rFonts w:hint="eastAsia" w:ascii="仿宋" w:hAnsi="仿宋" w:cs="仿宋"/>
            </w:rPr>
            <w:t>四、响应文件提交</w:t>
          </w:r>
          <w:r>
            <w:tab/>
          </w:r>
          <w:r>
            <w:fldChar w:fldCharType="begin"/>
          </w:r>
          <w:r>
            <w:instrText xml:space="preserve"> PAGEREF _Toc29075 \h </w:instrText>
          </w:r>
          <w:r>
            <w:fldChar w:fldCharType="separate"/>
          </w:r>
          <w:r>
            <w:t>5</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_Toc13993 </w:instrText>
          </w:r>
          <w:r>
            <w:rPr>
              <w:rFonts w:hint="eastAsia" w:ascii="仿宋" w:hAnsi="仿宋" w:cs="仿宋"/>
            </w:rPr>
            <w:fldChar w:fldCharType="separate"/>
          </w:r>
          <w:r>
            <w:rPr>
              <w:rFonts w:hint="eastAsia" w:ascii="仿宋" w:hAnsi="仿宋" w:cs="仿宋"/>
            </w:rPr>
            <w:t>五、开启</w:t>
          </w:r>
          <w:r>
            <w:tab/>
          </w:r>
          <w:r>
            <w:fldChar w:fldCharType="begin"/>
          </w:r>
          <w:r>
            <w:instrText xml:space="preserve"> PAGEREF _Toc13993 \h </w:instrText>
          </w:r>
          <w:r>
            <w:fldChar w:fldCharType="separate"/>
          </w:r>
          <w:r>
            <w:t>5</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_Toc7319 </w:instrText>
          </w:r>
          <w:r>
            <w:rPr>
              <w:rFonts w:hint="eastAsia" w:ascii="仿宋" w:hAnsi="仿宋" w:cs="仿宋"/>
            </w:rPr>
            <w:fldChar w:fldCharType="separate"/>
          </w:r>
          <w:r>
            <w:rPr>
              <w:rFonts w:hint="eastAsia" w:ascii="仿宋" w:hAnsi="仿宋" w:cs="仿宋"/>
            </w:rPr>
            <w:t>六、公告期限</w:t>
          </w:r>
          <w:r>
            <w:tab/>
          </w:r>
          <w:r>
            <w:fldChar w:fldCharType="begin"/>
          </w:r>
          <w:r>
            <w:instrText xml:space="preserve"> PAGEREF _Toc7319 \h </w:instrText>
          </w:r>
          <w:r>
            <w:fldChar w:fldCharType="separate"/>
          </w:r>
          <w:r>
            <w:t>5</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_Toc26284 </w:instrText>
          </w:r>
          <w:r>
            <w:rPr>
              <w:rFonts w:hint="eastAsia" w:ascii="仿宋" w:hAnsi="仿宋" w:cs="仿宋"/>
            </w:rPr>
            <w:fldChar w:fldCharType="separate"/>
          </w:r>
          <w:r>
            <w:rPr>
              <w:rFonts w:hint="eastAsia" w:ascii="仿宋" w:hAnsi="仿宋" w:cs="仿宋"/>
            </w:rPr>
            <w:t>七、其他补充事宜</w:t>
          </w:r>
          <w:r>
            <w:tab/>
          </w:r>
          <w:r>
            <w:fldChar w:fldCharType="begin"/>
          </w:r>
          <w:r>
            <w:instrText xml:space="preserve"> PAGEREF _Toc26284 \h </w:instrText>
          </w:r>
          <w:r>
            <w:fldChar w:fldCharType="separate"/>
          </w:r>
          <w:r>
            <w:t>5</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_Toc638 </w:instrText>
          </w:r>
          <w:r>
            <w:rPr>
              <w:rFonts w:hint="eastAsia" w:ascii="仿宋" w:hAnsi="仿宋" w:cs="仿宋"/>
            </w:rPr>
            <w:fldChar w:fldCharType="separate"/>
          </w:r>
          <w:r>
            <w:rPr>
              <w:rFonts w:hint="eastAsia" w:ascii="仿宋" w:hAnsi="仿宋" w:cs="仿宋"/>
            </w:rPr>
            <w:t>八、对本次采购提出询问、质疑、投诉，请按以下方式联系</w:t>
          </w:r>
          <w:r>
            <w:tab/>
          </w:r>
          <w:r>
            <w:fldChar w:fldCharType="begin"/>
          </w:r>
          <w:r>
            <w:instrText xml:space="preserve"> PAGEREF _Toc638 \h </w:instrText>
          </w:r>
          <w:r>
            <w:fldChar w:fldCharType="separate"/>
          </w:r>
          <w:r>
            <w:t>6</w:t>
          </w:r>
          <w:r>
            <w:fldChar w:fldCharType="end"/>
          </w:r>
          <w:r>
            <w:rPr>
              <w:rFonts w:hint="eastAsia" w:ascii="仿宋" w:hAnsi="仿宋" w:cs="仿宋"/>
            </w:rPr>
            <w:fldChar w:fldCharType="end"/>
          </w:r>
        </w:p>
        <w:p>
          <w:pPr>
            <w:pStyle w:val="48"/>
            <w:tabs>
              <w:tab w:val="right" w:leader="dot" w:pos="9070"/>
            </w:tabs>
          </w:pPr>
          <w:r>
            <w:rPr>
              <w:rFonts w:hint="eastAsia" w:ascii="仿宋" w:hAnsi="仿宋" w:cs="仿宋"/>
            </w:rPr>
            <w:fldChar w:fldCharType="begin"/>
          </w:r>
          <w:r>
            <w:rPr>
              <w:rFonts w:hint="eastAsia" w:ascii="仿宋" w:hAnsi="仿宋" w:cs="仿宋"/>
            </w:rPr>
            <w:instrText xml:space="preserve"> HYPERLINK \l _Toc14277 </w:instrText>
          </w:r>
          <w:r>
            <w:rPr>
              <w:rFonts w:hint="eastAsia" w:ascii="仿宋" w:hAnsi="仿宋" w:cs="仿宋"/>
            </w:rPr>
            <w:fldChar w:fldCharType="separate"/>
          </w:r>
          <w:r>
            <w:rPr>
              <w:rFonts w:hint="eastAsia" w:ascii="仿宋" w:hAnsi="仿宋" w:cs="仿宋"/>
            </w:rPr>
            <w:t>第二部分供应商须知</w:t>
          </w:r>
          <w:r>
            <w:tab/>
          </w:r>
          <w:r>
            <w:fldChar w:fldCharType="begin"/>
          </w:r>
          <w:r>
            <w:instrText xml:space="preserve"> PAGEREF _Toc14277 \h </w:instrText>
          </w:r>
          <w:r>
            <w:fldChar w:fldCharType="separate"/>
          </w:r>
          <w:r>
            <w:t>8</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_Toc22761 </w:instrText>
          </w:r>
          <w:r>
            <w:rPr>
              <w:rFonts w:hint="eastAsia" w:ascii="仿宋" w:hAnsi="仿宋" w:cs="仿宋"/>
            </w:rPr>
            <w:fldChar w:fldCharType="separate"/>
          </w:r>
          <w:r>
            <w:rPr>
              <w:rFonts w:hint="eastAsia" w:ascii="仿宋" w:hAnsi="仿宋" w:cs="仿宋"/>
            </w:rPr>
            <w:t>前附表</w:t>
          </w:r>
          <w:r>
            <w:tab/>
          </w:r>
          <w:r>
            <w:fldChar w:fldCharType="begin"/>
          </w:r>
          <w:r>
            <w:instrText xml:space="preserve"> PAGEREF _Toc22761 \h </w:instrText>
          </w:r>
          <w:r>
            <w:fldChar w:fldCharType="separate"/>
          </w:r>
          <w:r>
            <w:t>8</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_Toc24834 </w:instrText>
          </w:r>
          <w:r>
            <w:rPr>
              <w:rFonts w:hint="eastAsia" w:ascii="仿宋" w:hAnsi="仿宋" w:cs="仿宋"/>
            </w:rPr>
            <w:fldChar w:fldCharType="separate"/>
          </w:r>
          <w:r>
            <w:rPr>
              <w:rFonts w:hint="eastAsia" w:ascii="仿宋" w:hAnsi="仿宋" w:cs="仿宋"/>
            </w:rPr>
            <w:t>一、总则</w:t>
          </w:r>
          <w:r>
            <w:tab/>
          </w:r>
          <w:r>
            <w:fldChar w:fldCharType="begin"/>
          </w:r>
          <w:r>
            <w:instrText xml:space="preserve"> PAGEREF _Toc24834 \h </w:instrText>
          </w:r>
          <w:r>
            <w:fldChar w:fldCharType="separate"/>
          </w:r>
          <w:r>
            <w:t>9</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_Toc15065 </w:instrText>
          </w:r>
          <w:r>
            <w:rPr>
              <w:rFonts w:hint="eastAsia" w:ascii="仿宋" w:hAnsi="仿宋" w:cs="仿宋"/>
            </w:rPr>
            <w:fldChar w:fldCharType="separate"/>
          </w:r>
          <w:r>
            <w:rPr>
              <w:rFonts w:hint="eastAsia" w:ascii="仿宋" w:hAnsi="仿宋" w:cs="仿宋"/>
            </w:rPr>
            <w:t>二、磋商文件的构成、澄清、修改</w:t>
          </w:r>
          <w:r>
            <w:tab/>
          </w:r>
          <w:r>
            <w:fldChar w:fldCharType="begin"/>
          </w:r>
          <w:r>
            <w:instrText xml:space="preserve"> PAGEREF _Toc15065 \h </w:instrText>
          </w:r>
          <w:r>
            <w:fldChar w:fldCharType="separate"/>
          </w:r>
          <w:r>
            <w:t>12</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_Toc30948 </w:instrText>
          </w:r>
          <w:r>
            <w:rPr>
              <w:rFonts w:hint="eastAsia" w:ascii="仿宋" w:hAnsi="仿宋" w:cs="仿宋"/>
            </w:rPr>
            <w:fldChar w:fldCharType="separate"/>
          </w:r>
          <w:r>
            <w:rPr>
              <w:rFonts w:hint="eastAsia" w:ascii="仿宋" w:hAnsi="仿宋" w:cs="仿宋"/>
            </w:rPr>
            <w:t>三、响应</w:t>
          </w:r>
          <w:r>
            <w:tab/>
          </w:r>
          <w:r>
            <w:fldChar w:fldCharType="begin"/>
          </w:r>
          <w:r>
            <w:instrText xml:space="preserve"> PAGEREF _Toc30948 \h </w:instrText>
          </w:r>
          <w:r>
            <w:fldChar w:fldCharType="separate"/>
          </w:r>
          <w:r>
            <w:t>13</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_Toc13888 </w:instrText>
          </w:r>
          <w:r>
            <w:rPr>
              <w:rFonts w:hint="eastAsia" w:ascii="仿宋" w:hAnsi="仿宋" w:cs="仿宋"/>
            </w:rPr>
            <w:fldChar w:fldCharType="separate"/>
          </w:r>
          <w:r>
            <w:rPr>
              <w:rFonts w:hint="eastAsia" w:ascii="仿宋" w:hAnsi="仿宋" w:cs="仿宋"/>
            </w:rPr>
            <w:t>四、开</w:t>
          </w:r>
          <w:r>
            <w:rPr>
              <w:rFonts w:hint="eastAsia" w:ascii="仿宋" w:hAnsi="仿宋" w:cs="仿宋"/>
              <w:lang w:val="en-US"/>
            </w:rPr>
            <w:t>启响应文件</w:t>
          </w:r>
          <w:r>
            <w:rPr>
              <w:rFonts w:hint="eastAsia" w:ascii="仿宋" w:hAnsi="仿宋" w:cs="仿宋"/>
            </w:rPr>
            <w:t>、资格审查与信用信息查询</w:t>
          </w:r>
          <w:r>
            <w:tab/>
          </w:r>
          <w:r>
            <w:fldChar w:fldCharType="begin"/>
          </w:r>
          <w:r>
            <w:instrText xml:space="preserve"> PAGEREF _Toc13888 \h </w:instrText>
          </w:r>
          <w:r>
            <w:fldChar w:fldCharType="separate"/>
          </w:r>
          <w:r>
            <w:t>15</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_Toc18723 </w:instrText>
          </w:r>
          <w:r>
            <w:rPr>
              <w:rFonts w:hint="eastAsia" w:ascii="仿宋" w:hAnsi="仿宋" w:cs="仿宋"/>
            </w:rPr>
            <w:fldChar w:fldCharType="separate"/>
          </w:r>
          <w:r>
            <w:rPr>
              <w:rFonts w:hint="eastAsia" w:ascii="仿宋" w:hAnsi="仿宋" w:cs="仿宋"/>
            </w:rPr>
            <w:t>五、</w:t>
          </w:r>
          <w:r>
            <w:rPr>
              <w:rFonts w:hint="eastAsia" w:ascii="仿宋" w:hAnsi="仿宋" w:cs="仿宋"/>
              <w:lang w:val="en-US"/>
            </w:rPr>
            <w:t>磋商</w:t>
          </w:r>
          <w:r>
            <w:tab/>
          </w:r>
          <w:r>
            <w:fldChar w:fldCharType="begin"/>
          </w:r>
          <w:r>
            <w:instrText xml:space="preserve"> PAGEREF _Toc18723 \h </w:instrText>
          </w:r>
          <w:r>
            <w:fldChar w:fldCharType="separate"/>
          </w:r>
          <w:r>
            <w:t>16</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_Toc23365 </w:instrText>
          </w:r>
          <w:r>
            <w:rPr>
              <w:rFonts w:hint="eastAsia" w:ascii="仿宋" w:hAnsi="仿宋" w:cs="仿宋"/>
            </w:rPr>
            <w:fldChar w:fldCharType="separate"/>
          </w:r>
          <w:r>
            <w:rPr>
              <w:rFonts w:hint="eastAsia" w:ascii="仿宋" w:hAnsi="仿宋" w:cs="仿宋"/>
            </w:rPr>
            <w:t>六、</w:t>
          </w:r>
          <w:r>
            <w:rPr>
              <w:rFonts w:hint="eastAsia" w:ascii="仿宋" w:hAnsi="仿宋" w:cs="仿宋"/>
              <w:lang w:val="en-US"/>
            </w:rPr>
            <w:t>成交</w:t>
          </w:r>
          <w:r>
            <w:tab/>
          </w:r>
          <w:r>
            <w:fldChar w:fldCharType="begin"/>
          </w:r>
          <w:r>
            <w:instrText xml:space="preserve"> PAGEREF _Toc23365 \h </w:instrText>
          </w:r>
          <w:r>
            <w:fldChar w:fldCharType="separate"/>
          </w:r>
          <w:r>
            <w:t>17</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_Toc368 </w:instrText>
          </w:r>
          <w:r>
            <w:rPr>
              <w:rFonts w:hint="eastAsia" w:ascii="仿宋" w:hAnsi="仿宋" w:cs="仿宋"/>
            </w:rPr>
            <w:fldChar w:fldCharType="separate"/>
          </w:r>
          <w:r>
            <w:rPr>
              <w:rFonts w:hint="eastAsia" w:ascii="仿宋" w:hAnsi="仿宋" w:cs="仿宋"/>
            </w:rPr>
            <w:t>七、合同授予</w:t>
          </w:r>
          <w:r>
            <w:tab/>
          </w:r>
          <w:r>
            <w:fldChar w:fldCharType="begin"/>
          </w:r>
          <w:r>
            <w:instrText xml:space="preserve"> PAGEREF _Toc368 \h </w:instrText>
          </w:r>
          <w:r>
            <w:fldChar w:fldCharType="separate"/>
          </w:r>
          <w:r>
            <w:t>17</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_Toc622 </w:instrText>
          </w:r>
          <w:r>
            <w:rPr>
              <w:rFonts w:hint="eastAsia" w:ascii="仿宋" w:hAnsi="仿宋" w:cs="仿宋"/>
            </w:rPr>
            <w:fldChar w:fldCharType="separate"/>
          </w:r>
          <w:r>
            <w:rPr>
              <w:rFonts w:hint="eastAsia" w:ascii="仿宋" w:hAnsi="仿宋" w:cs="仿宋"/>
            </w:rPr>
            <w:t>八、电子交易活动的中止</w:t>
          </w:r>
          <w:r>
            <w:tab/>
          </w:r>
          <w:r>
            <w:fldChar w:fldCharType="begin"/>
          </w:r>
          <w:r>
            <w:instrText xml:space="preserve"> PAGEREF _Toc622 \h </w:instrText>
          </w:r>
          <w:r>
            <w:fldChar w:fldCharType="separate"/>
          </w:r>
          <w:r>
            <w:t>18</w:t>
          </w:r>
          <w:r>
            <w:fldChar w:fldCharType="end"/>
          </w:r>
          <w:r>
            <w:rPr>
              <w:rFonts w:hint="eastAsia" w:ascii="仿宋" w:hAnsi="仿宋" w:cs="仿宋"/>
            </w:rPr>
            <w:fldChar w:fldCharType="end"/>
          </w:r>
        </w:p>
        <w:p>
          <w:pPr>
            <w:pStyle w:val="48"/>
            <w:tabs>
              <w:tab w:val="right" w:leader="dot" w:pos="9070"/>
            </w:tabs>
          </w:pPr>
          <w:r>
            <w:rPr>
              <w:rFonts w:hint="eastAsia" w:ascii="仿宋" w:hAnsi="仿宋" w:cs="仿宋"/>
            </w:rPr>
            <w:fldChar w:fldCharType="begin"/>
          </w:r>
          <w:r>
            <w:rPr>
              <w:rFonts w:hint="eastAsia" w:ascii="仿宋" w:hAnsi="仿宋" w:cs="仿宋"/>
            </w:rPr>
            <w:instrText xml:space="preserve"> HYPERLINK \l _Toc18792 </w:instrText>
          </w:r>
          <w:r>
            <w:rPr>
              <w:rFonts w:hint="eastAsia" w:ascii="仿宋" w:hAnsi="仿宋" w:cs="仿宋"/>
            </w:rPr>
            <w:fldChar w:fldCharType="separate"/>
          </w:r>
          <w:r>
            <w:rPr>
              <w:rFonts w:hint="eastAsia" w:ascii="仿宋" w:hAnsi="仿宋" w:cs="仿宋"/>
            </w:rPr>
            <w:t>第三部分采购需求</w:t>
          </w:r>
          <w:r>
            <w:tab/>
          </w:r>
          <w:r>
            <w:fldChar w:fldCharType="begin"/>
          </w:r>
          <w:r>
            <w:instrText xml:space="preserve"> PAGEREF _Toc18792 \h </w:instrText>
          </w:r>
          <w:r>
            <w:fldChar w:fldCharType="separate"/>
          </w:r>
          <w:r>
            <w:t>19</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_Toc26955 </w:instrText>
          </w:r>
          <w:r>
            <w:rPr>
              <w:rFonts w:hint="eastAsia" w:ascii="仿宋" w:hAnsi="仿宋" w:cs="仿宋"/>
            </w:rPr>
            <w:fldChar w:fldCharType="separate"/>
          </w:r>
          <w:r>
            <w:rPr>
              <w:rFonts w:hint="eastAsia" w:ascii="仿宋" w:hAnsi="仿宋" w:cs="仿宋"/>
              <w:lang w:val="en-US"/>
            </w:rPr>
            <w:t>一</w:t>
          </w:r>
          <w:r>
            <w:rPr>
              <w:rFonts w:hint="eastAsia" w:ascii="仿宋" w:hAnsi="仿宋" w:cs="仿宋"/>
            </w:rPr>
            <w:t>、</w:t>
          </w:r>
          <w:r>
            <w:rPr>
              <w:rFonts w:hint="eastAsia" w:ascii="仿宋" w:hAnsi="仿宋" w:cs="仿宋"/>
              <w:lang w:val="en-US"/>
            </w:rPr>
            <w:t>项目内容</w:t>
          </w:r>
          <w:r>
            <w:tab/>
          </w:r>
          <w:r>
            <w:fldChar w:fldCharType="begin"/>
          </w:r>
          <w:r>
            <w:instrText xml:space="preserve"> PAGEREF _Toc26955 \h </w:instrText>
          </w:r>
          <w:r>
            <w:fldChar w:fldCharType="separate"/>
          </w:r>
          <w:r>
            <w:t>19</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_Toc29471 </w:instrText>
          </w:r>
          <w:r>
            <w:rPr>
              <w:rFonts w:hint="eastAsia" w:ascii="仿宋" w:hAnsi="仿宋" w:cs="仿宋"/>
            </w:rPr>
            <w:fldChar w:fldCharType="separate"/>
          </w:r>
          <w:r>
            <w:rPr>
              <w:rFonts w:hint="eastAsia" w:ascii="仿宋" w:hAnsi="仿宋" w:cs="仿宋"/>
              <w:lang w:val="en-US"/>
            </w:rPr>
            <w:t>二、</w:t>
          </w:r>
          <w:r>
            <w:rPr>
              <w:rFonts w:hint="eastAsia"/>
              <w:lang w:val="en-US"/>
            </w:rPr>
            <w:t>项目要求</w:t>
          </w:r>
          <w:r>
            <w:tab/>
          </w:r>
          <w:r>
            <w:fldChar w:fldCharType="begin"/>
          </w:r>
          <w:r>
            <w:instrText xml:space="preserve"> PAGEREF _Toc29471 \h </w:instrText>
          </w:r>
          <w:r>
            <w:fldChar w:fldCharType="separate"/>
          </w:r>
          <w:r>
            <w:t>23</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_Toc350 </w:instrText>
          </w:r>
          <w:r>
            <w:rPr>
              <w:rFonts w:hint="eastAsia" w:ascii="仿宋" w:hAnsi="仿宋" w:cs="仿宋"/>
            </w:rPr>
            <w:fldChar w:fldCharType="separate"/>
          </w:r>
          <w:r>
            <w:rPr>
              <w:rFonts w:hint="eastAsia" w:ascii="仿宋" w:hAnsi="仿宋" w:cs="仿宋"/>
              <w:lang w:val="en-US"/>
            </w:rPr>
            <w:t>三</w:t>
          </w:r>
          <w:r>
            <w:rPr>
              <w:rFonts w:hint="eastAsia" w:ascii="仿宋" w:hAnsi="仿宋" w:cs="仿宋"/>
            </w:rPr>
            <w:t>、商务要求</w:t>
          </w:r>
          <w:r>
            <w:tab/>
          </w:r>
          <w:r>
            <w:fldChar w:fldCharType="begin"/>
          </w:r>
          <w:r>
            <w:instrText xml:space="preserve"> PAGEREF _Toc350 \h </w:instrText>
          </w:r>
          <w:r>
            <w:fldChar w:fldCharType="separate"/>
          </w:r>
          <w:r>
            <w:t>50</w:t>
          </w:r>
          <w:r>
            <w:fldChar w:fldCharType="end"/>
          </w:r>
          <w:r>
            <w:rPr>
              <w:rFonts w:hint="eastAsia" w:ascii="仿宋" w:hAnsi="仿宋" w:cs="仿宋"/>
            </w:rPr>
            <w:fldChar w:fldCharType="end"/>
          </w:r>
        </w:p>
        <w:p>
          <w:pPr>
            <w:pStyle w:val="48"/>
            <w:tabs>
              <w:tab w:val="right" w:leader="dot" w:pos="9070"/>
            </w:tabs>
          </w:pPr>
          <w:r>
            <w:rPr>
              <w:rFonts w:hint="eastAsia" w:ascii="仿宋" w:hAnsi="仿宋" w:cs="仿宋"/>
            </w:rPr>
            <w:fldChar w:fldCharType="begin"/>
          </w:r>
          <w:r>
            <w:rPr>
              <w:rFonts w:hint="eastAsia" w:ascii="仿宋" w:hAnsi="仿宋" w:cs="仿宋"/>
            </w:rPr>
            <w:instrText xml:space="preserve"> HYPERLINK \l _Toc23264 </w:instrText>
          </w:r>
          <w:r>
            <w:rPr>
              <w:rFonts w:hint="eastAsia" w:ascii="仿宋" w:hAnsi="仿宋" w:cs="仿宋"/>
            </w:rPr>
            <w:fldChar w:fldCharType="separate"/>
          </w:r>
          <w:r>
            <w:rPr>
              <w:rFonts w:hint="eastAsia" w:ascii="仿宋" w:hAnsi="仿宋" w:cs="仿宋"/>
              <w:szCs w:val="36"/>
            </w:rPr>
            <w:t>第四部分评审办法</w:t>
          </w:r>
          <w:r>
            <w:tab/>
          </w:r>
          <w:r>
            <w:fldChar w:fldCharType="begin"/>
          </w:r>
          <w:r>
            <w:instrText xml:space="preserve"> PAGEREF _Toc23264 \h </w:instrText>
          </w:r>
          <w:r>
            <w:fldChar w:fldCharType="separate"/>
          </w:r>
          <w:r>
            <w:t>52</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_Toc27469 </w:instrText>
          </w:r>
          <w:r>
            <w:rPr>
              <w:rFonts w:hint="eastAsia" w:ascii="仿宋" w:hAnsi="仿宋" w:cs="仿宋"/>
            </w:rPr>
            <w:fldChar w:fldCharType="separate"/>
          </w:r>
          <w:r>
            <w:rPr>
              <w:rFonts w:hint="eastAsia" w:ascii="仿宋" w:hAnsi="仿宋" w:cs="仿宋"/>
            </w:rPr>
            <w:t>评审办法前附表</w:t>
          </w:r>
          <w:r>
            <w:tab/>
          </w:r>
          <w:r>
            <w:fldChar w:fldCharType="begin"/>
          </w:r>
          <w:r>
            <w:instrText xml:space="preserve"> PAGEREF _Toc27469 \h </w:instrText>
          </w:r>
          <w:r>
            <w:fldChar w:fldCharType="separate"/>
          </w:r>
          <w:r>
            <w:t>52</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_Toc9754 </w:instrText>
          </w:r>
          <w:r>
            <w:rPr>
              <w:rFonts w:hint="eastAsia" w:ascii="仿宋" w:hAnsi="仿宋" w:cs="仿宋"/>
            </w:rPr>
            <w:fldChar w:fldCharType="separate"/>
          </w:r>
          <w:r>
            <w:rPr>
              <w:rFonts w:hint="eastAsia" w:ascii="仿宋" w:hAnsi="仿宋" w:cs="仿宋"/>
            </w:rPr>
            <w:t>一、评审方法</w:t>
          </w:r>
          <w:r>
            <w:tab/>
          </w:r>
          <w:r>
            <w:fldChar w:fldCharType="begin"/>
          </w:r>
          <w:r>
            <w:instrText xml:space="preserve"> PAGEREF _Toc9754 \h </w:instrText>
          </w:r>
          <w:r>
            <w:fldChar w:fldCharType="separate"/>
          </w:r>
          <w:r>
            <w:t>54</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_Toc10407 </w:instrText>
          </w:r>
          <w:r>
            <w:rPr>
              <w:rFonts w:hint="eastAsia" w:ascii="仿宋" w:hAnsi="仿宋" w:cs="仿宋"/>
            </w:rPr>
            <w:fldChar w:fldCharType="separate"/>
          </w:r>
          <w:r>
            <w:rPr>
              <w:rFonts w:hint="eastAsia" w:ascii="仿宋" w:hAnsi="仿宋" w:cs="仿宋"/>
            </w:rPr>
            <w:t>二、评审标准</w:t>
          </w:r>
          <w:r>
            <w:tab/>
          </w:r>
          <w:r>
            <w:fldChar w:fldCharType="begin"/>
          </w:r>
          <w:r>
            <w:instrText xml:space="preserve"> PAGEREF _Toc10407 \h </w:instrText>
          </w:r>
          <w:r>
            <w:fldChar w:fldCharType="separate"/>
          </w:r>
          <w:r>
            <w:t>54</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_Toc25237 </w:instrText>
          </w:r>
          <w:r>
            <w:rPr>
              <w:rFonts w:hint="eastAsia" w:ascii="仿宋" w:hAnsi="仿宋" w:cs="仿宋"/>
            </w:rPr>
            <w:fldChar w:fldCharType="separate"/>
          </w:r>
          <w:r>
            <w:rPr>
              <w:rFonts w:hint="eastAsia" w:ascii="仿宋" w:hAnsi="仿宋" w:cs="仿宋"/>
            </w:rPr>
            <w:t>三、评审程序</w:t>
          </w:r>
          <w:r>
            <w:tab/>
          </w:r>
          <w:r>
            <w:fldChar w:fldCharType="begin"/>
          </w:r>
          <w:r>
            <w:instrText xml:space="preserve"> PAGEREF _Toc25237 \h </w:instrText>
          </w:r>
          <w:r>
            <w:fldChar w:fldCharType="separate"/>
          </w:r>
          <w:r>
            <w:t>54</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_Toc8380 </w:instrText>
          </w:r>
          <w:r>
            <w:rPr>
              <w:rFonts w:hint="eastAsia" w:ascii="仿宋" w:hAnsi="仿宋" w:cs="仿宋"/>
            </w:rPr>
            <w:fldChar w:fldCharType="separate"/>
          </w:r>
          <w:r>
            <w:rPr>
              <w:rFonts w:hint="eastAsia" w:ascii="仿宋" w:hAnsi="仿宋" w:cs="仿宋"/>
            </w:rPr>
            <w:t>四、评审中的其他事项</w:t>
          </w:r>
          <w:r>
            <w:tab/>
          </w:r>
          <w:r>
            <w:fldChar w:fldCharType="begin"/>
          </w:r>
          <w:r>
            <w:instrText xml:space="preserve"> PAGEREF _Toc8380 \h </w:instrText>
          </w:r>
          <w:r>
            <w:fldChar w:fldCharType="separate"/>
          </w:r>
          <w:r>
            <w:t>55</w:t>
          </w:r>
          <w:r>
            <w:fldChar w:fldCharType="end"/>
          </w:r>
          <w:r>
            <w:rPr>
              <w:rFonts w:hint="eastAsia" w:ascii="仿宋" w:hAnsi="仿宋" w:cs="仿宋"/>
            </w:rPr>
            <w:fldChar w:fldCharType="end"/>
          </w:r>
        </w:p>
        <w:p>
          <w:pPr>
            <w:pStyle w:val="48"/>
            <w:tabs>
              <w:tab w:val="right" w:leader="dot" w:pos="9070"/>
            </w:tabs>
          </w:pPr>
          <w:r>
            <w:rPr>
              <w:rFonts w:hint="eastAsia" w:ascii="仿宋" w:hAnsi="仿宋" w:cs="仿宋"/>
            </w:rPr>
            <w:fldChar w:fldCharType="begin"/>
          </w:r>
          <w:r>
            <w:rPr>
              <w:rFonts w:hint="eastAsia" w:ascii="仿宋" w:hAnsi="仿宋" w:cs="仿宋"/>
            </w:rPr>
            <w:instrText xml:space="preserve"> HYPERLINK \l _Toc20575 </w:instrText>
          </w:r>
          <w:r>
            <w:rPr>
              <w:rFonts w:hint="eastAsia" w:ascii="仿宋" w:hAnsi="仿宋" w:cs="仿宋"/>
            </w:rPr>
            <w:fldChar w:fldCharType="separate"/>
          </w:r>
          <w:r>
            <w:rPr>
              <w:rFonts w:hint="eastAsia" w:ascii="仿宋" w:hAnsi="仿宋" w:cs="仿宋"/>
            </w:rPr>
            <w:t>第五部分拟签订的合同文本</w:t>
          </w:r>
          <w:r>
            <w:tab/>
          </w:r>
          <w:r>
            <w:fldChar w:fldCharType="begin"/>
          </w:r>
          <w:r>
            <w:instrText xml:space="preserve"> PAGEREF _Toc20575 \h </w:instrText>
          </w:r>
          <w:r>
            <w:fldChar w:fldCharType="separate"/>
          </w:r>
          <w:r>
            <w:t>57</w:t>
          </w:r>
          <w:r>
            <w:fldChar w:fldCharType="end"/>
          </w:r>
          <w:r>
            <w:rPr>
              <w:rFonts w:hint="eastAsia" w:ascii="仿宋" w:hAnsi="仿宋" w:cs="仿宋"/>
            </w:rPr>
            <w:fldChar w:fldCharType="end"/>
          </w:r>
        </w:p>
        <w:p>
          <w:pPr>
            <w:pStyle w:val="48"/>
            <w:tabs>
              <w:tab w:val="right" w:leader="dot" w:pos="9070"/>
            </w:tabs>
          </w:pPr>
          <w:r>
            <w:rPr>
              <w:rFonts w:hint="eastAsia" w:ascii="仿宋" w:hAnsi="仿宋" w:cs="仿宋"/>
            </w:rPr>
            <w:fldChar w:fldCharType="begin"/>
          </w:r>
          <w:r>
            <w:rPr>
              <w:rFonts w:hint="eastAsia" w:ascii="仿宋" w:hAnsi="仿宋" w:cs="仿宋"/>
            </w:rPr>
            <w:instrText xml:space="preserve"> HYPERLINK \l _Toc14688 </w:instrText>
          </w:r>
          <w:r>
            <w:rPr>
              <w:rFonts w:hint="eastAsia" w:ascii="仿宋" w:hAnsi="仿宋" w:cs="仿宋"/>
            </w:rPr>
            <w:fldChar w:fldCharType="separate"/>
          </w:r>
          <w:r>
            <w:rPr>
              <w:rFonts w:hint="eastAsia" w:ascii="仿宋" w:hAnsi="仿宋" w:cs="仿宋"/>
            </w:rPr>
            <w:t>第六部分应提交的有关格式范例</w:t>
          </w:r>
          <w:r>
            <w:tab/>
          </w:r>
          <w:r>
            <w:fldChar w:fldCharType="begin"/>
          </w:r>
          <w:r>
            <w:instrText xml:space="preserve"> PAGEREF _Toc14688 \h </w:instrText>
          </w:r>
          <w:r>
            <w:fldChar w:fldCharType="separate"/>
          </w:r>
          <w:r>
            <w:t>67</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_Toc13329 </w:instrText>
          </w:r>
          <w:r>
            <w:rPr>
              <w:rFonts w:hint="eastAsia" w:ascii="仿宋" w:hAnsi="仿宋" w:cs="仿宋"/>
            </w:rPr>
            <w:fldChar w:fldCharType="separate"/>
          </w:r>
          <w:r>
            <w:rPr>
              <w:rFonts w:hint="eastAsia"/>
            </w:rPr>
            <w:t>资格文件部分</w:t>
          </w:r>
          <w:r>
            <w:tab/>
          </w:r>
          <w:r>
            <w:fldChar w:fldCharType="begin"/>
          </w:r>
          <w:r>
            <w:instrText xml:space="preserve"> PAGEREF _Toc13329 \h </w:instrText>
          </w:r>
          <w:r>
            <w:fldChar w:fldCharType="separate"/>
          </w:r>
          <w:r>
            <w:t>67</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_Toc2700 </w:instrText>
          </w:r>
          <w:r>
            <w:rPr>
              <w:rFonts w:hint="eastAsia" w:ascii="仿宋" w:hAnsi="仿宋" w:cs="仿宋"/>
            </w:rPr>
            <w:fldChar w:fldCharType="separate"/>
          </w:r>
          <w:r>
            <w:rPr>
              <w:rFonts w:hint="eastAsia"/>
            </w:rPr>
            <w:t>商务技术文件部分</w:t>
          </w:r>
          <w:r>
            <w:tab/>
          </w:r>
          <w:r>
            <w:fldChar w:fldCharType="begin"/>
          </w:r>
          <w:r>
            <w:instrText xml:space="preserve"> PAGEREF _Toc2700 \h </w:instrText>
          </w:r>
          <w:r>
            <w:fldChar w:fldCharType="separate"/>
          </w:r>
          <w:r>
            <w:t>69</w:t>
          </w:r>
          <w:r>
            <w:fldChar w:fldCharType="end"/>
          </w:r>
          <w:r>
            <w:rPr>
              <w:rFonts w:hint="eastAsia" w:ascii="仿宋" w:hAnsi="仿宋" w:cs="仿宋"/>
            </w:rPr>
            <w:fldChar w:fldCharType="end"/>
          </w:r>
        </w:p>
        <w:p>
          <w:pPr>
            <w:pStyle w:val="59"/>
            <w:tabs>
              <w:tab w:val="right" w:leader="dot" w:pos="9070"/>
            </w:tabs>
          </w:pPr>
          <w:r>
            <w:rPr>
              <w:rFonts w:hint="eastAsia" w:ascii="仿宋" w:hAnsi="仿宋" w:cs="仿宋"/>
            </w:rPr>
            <w:fldChar w:fldCharType="begin"/>
          </w:r>
          <w:r>
            <w:rPr>
              <w:rFonts w:hint="eastAsia" w:ascii="仿宋" w:hAnsi="仿宋" w:cs="仿宋"/>
            </w:rPr>
            <w:instrText xml:space="preserve"> HYPERLINK \l _Toc15459 </w:instrText>
          </w:r>
          <w:r>
            <w:rPr>
              <w:rFonts w:hint="eastAsia" w:ascii="仿宋" w:hAnsi="仿宋" w:cs="仿宋"/>
            </w:rPr>
            <w:fldChar w:fldCharType="separate"/>
          </w:r>
          <w:r>
            <w:rPr>
              <w:rFonts w:hint="eastAsia"/>
            </w:rPr>
            <w:t>报价文件部分</w:t>
          </w:r>
          <w:r>
            <w:tab/>
          </w:r>
          <w:r>
            <w:fldChar w:fldCharType="begin"/>
          </w:r>
          <w:r>
            <w:instrText xml:space="preserve"> PAGEREF _Toc15459 \h </w:instrText>
          </w:r>
          <w:r>
            <w:fldChar w:fldCharType="separate"/>
          </w:r>
          <w:r>
            <w:t>110</w:t>
          </w:r>
          <w:r>
            <w:fldChar w:fldCharType="end"/>
          </w:r>
          <w:r>
            <w:rPr>
              <w:rFonts w:hint="eastAsia" w:ascii="仿宋" w:hAnsi="仿宋" w:cs="仿宋"/>
            </w:rPr>
            <w:fldChar w:fldCharType="end"/>
          </w:r>
        </w:p>
        <w:p>
          <w:pPr>
            <w:ind w:firstLine="549" w:firstLineChars="229"/>
            <w:rPr>
              <w:rFonts w:ascii="仿宋" w:hAnsi="仿宋" w:cs="仿宋"/>
            </w:rPr>
          </w:pPr>
          <w:r>
            <w:rPr>
              <w:rFonts w:hint="eastAsia" w:ascii="仿宋" w:hAnsi="仿宋" w:cs="仿宋"/>
            </w:rPr>
            <w:fldChar w:fldCharType="end"/>
          </w:r>
        </w:p>
      </w:sdtContent>
    </w:sdt>
    <w:p>
      <w:pPr>
        <w:ind w:firstLine="549" w:firstLineChars="229"/>
        <w:rPr>
          <w:rFonts w:ascii="仿宋" w:hAnsi="仿宋" w:cs="仿宋"/>
        </w:rPr>
      </w:pPr>
    </w:p>
    <w:p>
      <w:pPr>
        <w:ind w:firstLine="480"/>
        <w:rPr>
          <w:rFonts w:ascii="仿宋" w:hAnsi="仿宋" w:cs="仿宋"/>
        </w:rPr>
      </w:pPr>
    </w:p>
    <w:p>
      <w:pPr>
        <w:adjustRightInd/>
        <w:ind w:firstLine="723"/>
        <w:jc w:val="center"/>
        <w:rPr>
          <w:rFonts w:ascii="仿宋" w:hAnsi="仿宋" w:cs="仿宋"/>
          <w:b/>
          <w:sz w:val="36"/>
          <w:szCs w:val="20"/>
        </w:rPr>
        <w:sectPr>
          <w:footerReference r:id="rId11" w:type="first"/>
          <w:footerReference r:id="rId10" w:type="default"/>
          <w:pgSz w:w="11906" w:h="16838"/>
          <w:pgMar w:top="680" w:right="1418" w:bottom="468" w:left="1418" w:header="851" w:footer="992" w:gutter="0"/>
          <w:cols w:space="720" w:num="1"/>
          <w:docGrid w:linePitch="312" w:charSpace="0"/>
        </w:sectPr>
      </w:pPr>
      <w:bookmarkStart w:id="0" w:name="_Hlt74729822"/>
      <w:bookmarkEnd w:id="0"/>
      <w:bookmarkStart w:id="1" w:name="_Hlt74649545"/>
      <w:bookmarkEnd w:id="1"/>
      <w:bookmarkStart w:id="2" w:name="_Hlt74728647"/>
      <w:bookmarkEnd w:id="2"/>
      <w:bookmarkStart w:id="3" w:name="_Hlt74707423"/>
      <w:bookmarkEnd w:id="3"/>
      <w:bookmarkStart w:id="4" w:name="第二部分"/>
      <w:bookmarkStart w:id="5" w:name="_Toc91899870"/>
      <w:bookmarkStart w:id="6" w:name="_Toc91899871"/>
    </w:p>
    <w:p>
      <w:pPr>
        <w:pStyle w:val="3"/>
        <w:rPr>
          <w:rFonts w:ascii="仿宋" w:hAnsi="仿宋" w:cs="仿宋"/>
        </w:rPr>
      </w:pPr>
      <w:bookmarkStart w:id="7" w:name="_Toc14503"/>
      <w:r>
        <w:rPr>
          <w:rFonts w:hint="eastAsia" w:ascii="仿宋" w:hAnsi="仿宋" w:cs="仿宋"/>
        </w:rPr>
        <w:t>第一部分</w:t>
      </w:r>
      <w:r>
        <w:rPr>
          <w:rFonts w:hint="eastAsia" w:ascii="仿宋" w:hAnsi="仿宋" w:cs="仿宋"/>
          <w:lang w:val="en-US"/>
        </w:rPr>
        <w:t>竞争性磋商</w:t>
      </w:r>
      <w:r>
        <w:rPr>
          <w:rFonts w:hint="eastAsia" w:ascii="仿宋" w:hAnsi="仿宋" w:cs="仿宋"/>
        </w:rPr>
        <w:t>公告</w:t>
      </w:r>
      <w:bookmarkEnd w:id="7"/>
    </w:p>
    <w:p>
      <w:pPr>
        <w:pBdr>
          <w:top w:val="single" w:color="auto" w:sz="4" w:space="1"/>
          <w:left w:val="single" w:color="auto" w:sz="4" w:space="4"/>
          <w:bottom w:val="single" w:color="auto" w:sz="4" w:space="1"/>
          <w:right w:val="single" w:color="auto" w:sz="4" w:space="4"/>
        </w:pBdr>
        <w:ind w:firstLine="480"/>
        <w:rPr>
          <w:rFonts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ind w:firstLine="480"/>
        <w:rPr>
          <w:rFonts w:ascii="仿宋" w:hAnsi="仿宋" w:cs="仿宋"/>
          <w:u w:val="single"/>
        </w:rPr>
      </w:pPr>
      <w:r>
        <w:rPr>
          <w:rFonts w:hint="eastAsia" w:ascii="仿宋" w:hAnsi="仿宋" w:cs="仿宋"/>
          <w:u w:val="single"/>
        </w:rPr>
        <w:t>慈溪市宗汉街道办事处综合信息指挥中心提升服务</w:t>
      </w:r>
      <w:r>
        <w:rPr>
          <w:rFonts w:hint="eastAsia" w:ascii="仿宋" w:hAnsi="仿宋" w:cs="仿宋"/>
        </w:rPr>
        <w:t>采购项目的潜在供应商应在政采云平台（</w:t>
      </w:r>
      <w:r>
        <w:fldChar w:fldCharType="begin"/>
      </w:r>
      <w:r>
        <w:instrText xml:space="preserve"> HYPERLINK "https://www.zcygov.cn/）获取（下载）招标文件，并于2021年" </w:instrText>
      </w:r>
      <w:r>
        <w:fldChar w:fldCharType="separate"/>
      </w:r>
      <w:r>
        <w:rPr>
          <w:rStyle w:val="80"/>
          <w:rFonts w:hint="eastAsia" w:ascii="仿宋" w:hAnsi="仿宋" w:eastAsia="仿宋" w:cs="仿宋"/>
          <w:snapToGrid/>
          <w:color w:val="auto"/>
          <w:kern w:val="2"/>
          <w:sz w:val="24"/>
          <w:szCs w:val="24"/>
        </w:rPr>
        <w:t>https</w:t>
      </w:r>
      <w:r>
        <w:rPr>
          <w:rStyle w:val="80"/>
          <w:rFonts w:hint="eastAsia" w:ascii="仿宋" w:hAnsi="仿宋" w:cs="仿宋"/>
          <w:snapToGrid/>
          <w:color w:val="auto"/>
          <w:kern w:val="2"/>
          <w:sz w:val="24"/>
          <w:szCs w:val="24"/>
        </w:rPr>
        <w:t>：</w:t>
      </w:r>
      <w:r>
        <w:rPr>
          <w:rStyle w:val="80"/>
          <w:rFonts w:hint="eastAsia" w:ascii="仿宋" w:hAnsi="仿宋" w:eastAsia="仿宋" w:cs="仿宋"/>
          <w:snapToGrid/>
          <w:color w:val="auto"/>
          <w:kern w:val="2"/>
          <w:sz w:val="24"/>
          <w:szCs w:val="24"/>
        </w:rPr>
        <w:t>//www.zcygov.cn/）获取（下</w:t>
      </w:r>
      <w:r>
        <w:rPr>
          <w:rFonts w:hint="eastAsia" w:ascii="仿宋" w:hAnsi="仿宋" w:cs="仿宋"/>
        </w:rPr>
        <w:t>载）采购</w:t>
      </w:r>
      <w:r>
        <w:rPr>
          <w:rStyle w:val="80"/>
          <w:rFonts w:hint="eastAsia" w:ascii="仿宋" w:hAnsi="仿宋" w:eastAsia="仿宋" w:cs="仿宋"/>
          <w:snapToGrid/>
          <w:color w:val="auto"/>
          <w:kern w:val="2"/>
          <w:sz w:val="24"/>
          <w:szCs w:val="24"/>
        </w:rPr>
        <w:t>文件，并于</w:t>
      </w:r>
      <w:r>
        <w:rPr>
          <w:rFonts w:hint="eastAsia" w:ascii="仿宋" w:hAnsi="仿宋" w:cs="仿宋"/>
          <w:u w:val="single"/>
        </w:rPr>
        <w:t>202</w:t>
      </w:r>
      <w:r>
        <w:rPr>
          <w:rFonts w:hint="eastAsia" w:ascii="仿宋" w:hAnsi="仿宋" w:cs="仿宋"/>
          <w:u w:val="single"/>
          <w:lang w:val="en-US" w:eastAsia="zh-CN"/>
        </w:rPr>
        <w:t>3</w:t>
      </w:r>
      <w:r>
        <w:rPr>
          <w:rFonts w:hint="eastAsia" w:ascii="仿宋" w:hAnsi="仿宋" w:cs="仿宋"/>
          <w:u w:val="single"/>
        </w:rPr>
        <w:t>年</w:t>
      </w:r>
      <w:r>
        <w:rPr>
          <w:rFonts w:hint="eastAsia" w:ascii="仿宋" w:hAnsi="仿宋" w:cs="仿宋"/>
          <w:u w:val="single"/>
          <w:lang w:val="en-US" w:eastAsia="zh-CN"/>
        </w:rPr>
        <w:t>01</w:t>
      </w:r>
      <w:r>
        <w:rPr>
          <w:rFonts w:hint="eastAsia" w:ascii="仿宋" w:hAnsi="仿宋" w:cs="仿宋"/>
          <w:u w:val="single"/>
        </w:rPr>
        <w:t>月</w:t>
      </w:r>
      <w:r>
        <w:rPr>
          <w:rFonts w:hint="eastAsia" w:ascii="仿宋" w:hAnsi="仿宋" w:cs="仿宋"/>
          <w:u w:val="single"/>
          <w:lang w:val="en-US" w:eastAsia="zh-CN"/>
        </w:rPr>
        <w:t>18</w:t>
      </w:r>
      <w:r>
        <w:rPr>
          <w:rFonts w:hint="eastAsia" w:ascii="仿宋" w:hAnsi="仿宋" w:cs="仿宋"/>
          <w:u w:val="single"/>
        </w:rPr>
        <w:t>日09点30分</w:t>
      </w:r>
      <w:r>
        <w:rPr>
          <w:rFonts w:hint="eastAsia" w:ascii="仿宋" w:hAnsi="仿宋" w:cs="仿宋"/>
          <w:bCs/>
          <w:u w:val="single"/>
        </w:rPr>
        <w:t>00秒</w:t>
      </w:r>
      <w:r>
        <w:rPr>
          <w:rFonts w:hint="eastAsia" w:ascii="仿宋" w:hAnsi="仿宋" w:cs="仿宋"/>
          <w:bCs/>
          <w:u w:val="single"/>
        </w:rPr>
        <w:fldChar w:fldCharType="end"/>
      </w:r>
      <w:r>
        <w:rPr>
          <w:rFonts w:hint="eastAsia" w:ascii="仿宋" w:hAnsi="仿宋" w:cs="仿宋"/>
          <w:bCs/>
        </w:rPr>
        <w:t>（北京时间）前</w:t>
      </w:r>
      <w:r>
        <w:rPr>
          <w:rFonts w:hint="eastAsia" w:ascii="仿宋" w:hAnsi="仿宋" w:cs="仿宋"/>
        </w:rPr>
        <w:t>递交（上传）响应文件。</w:t>
      </w:r>
    </w:p>
    <w:p>
      <w:pPr>
        <w:outlineLvl w:val="1"/>
        <w:rPr>
          <w:rFonts w:ascii="仿宋" w:hAnsi="仿宋" w:cs="仿宋"/>
          <w:b/>
        </w:rPr>
      </w:pPr>
      <w:bookmarkStart w:id="8" w:name="_Toc13199"/>
      <w:r>
        <w:rPr>
          <w:rFonts w:hint="eastAsia" w:ascii="仿宋" w:hAnsi="仿宋" w:cs="仿宋"/>
          <w:b/>
        </w:rPr>
        <w:t>一、项目基本情况</w:t>
      </w:r>
      <w:bookmarkEnd w:id="8"/>
    </w:p>
    <w:p>
      <w:pPr>
        <w:rPr>
          <w:rFonts w:hint="eastAsia" w:ascii="仿宋" w:hAnsi="仿宋" w:eastAsia="仿宋" w:cs="仿宋"/>
          <w:lang w:eastAsia="zh-CN"/>
        </w:rPr>
      </w:pPr>
      <w:r>
        <w:rPr>
          <w:rFonts w:hint="eastAsia" w:ascii="仿宋" w:hAnsi="仿宋" w:cs="仿宋"/>
          <w:b/>
        </w:rPr>
        <w:t>项目编号：</w:t>
      </w:r>
      <w:r>
        <w:rPr>
          <w:rFonts w:hint="eastAsia" w:ascii="仿宋" w:hAnsi="仿宋" w:cs="仿宋"/>
        </w:rPr>
        <w:t>CXZFCG[2022]</w:t>
      </w:r>
      <w:r>
        <w:rPr>
          <w:rFonts w:hint="eastAsia" w:ascii="仿宋" w:hAnsi="仿宋" w:cs="仿宋"/>
          <w:lang w:eastAsia="zh-CN"/>
        </w:rPr>
        <w:t>3279号</w:t>
      </w:r>
    </w:p>
    <w:p>
      <w:pPr>
        <w:rPr>
          <w:rFonts w:ascii="仿宋" w:hAnsi="仿宋" w:cs="仿宋"/>
        </w:rPr>
      </w:pPr>
      <w:r>
        <w:rPr>
          <w:rFonts w:hint="eastAsia" w:ascii="仿宋" w:hAnsi="仿宋" w:cs="仿宋"/>
          <w:b/>
        </w:rPr>
        <w:t>项目名称：慈溪市宗汉街道办事处综合信息指挥中心提升服务项目</w:t>
      </w:r>
    </w:p>
    <w:p>
      <w:pPr>
        <w:rPr>
          <w:rFonts w:ascii="仿宋" w:hAnsi="仿宋" w:cs="仿宋"/>
          <w:b/>
        </w:rPr>
      </w:pPr>
      <w:r>
        <w:rPr>
          <w:rFonts w:hint="eastAsia" w:ascii="仿宋" w:hAnsi="仿宋" w:cs="仿宋"/>
          <w:b/>
        </w:rPr>
        <w:t>采购方式：竞争性磋商</w:t>
      </w:r>
      <w:bookmarkStart w:id="423" w:name="_GoBack"/>
      <w:bookmarkEnd w:id="423"/>
    </w:p>
    <w:p>
      <w:pPr>
        <w:rPr>
          <w:rFonts w:ascii="仿宋" w:hAnsi="仿宋" w:cs="仿宋"/>
        </w:rPr>
      </w:pPr>
      <w:r>
        <w:rPr>
          <w:rFonts w:hint="eastAsia" w:ascii="仿宋" w:hAnsi="仿宋" w:cs="仿宋"/>
          <w:b/>
        </w:rPr>
        <w:t>预算金额（元）：</w:t>
      </w:r>
      <w:r>
        <w:rPr>
          <w:rFonts w:hint="eastAsia" w:ascii="仿宋" w:hAnsi="仿宋" w:cs="仿宋"/>
          <w:b/>
          <w:lang w:eastAsia="zh-CN"/>
        </w:rPr>
        <w:t>150</w:t>
      </w:r>
      <w:r>
        <w:rPr>
          <w:rFonts w:hint="eastAsia" w:ascii="仿宋" w:hAnsi="仿宋" w:cs="仿宋"/>
          <w:b/>
        </w:rPr>
        <w:t>0000</w:t>
      </w:r>
    </w:p>
    <w:p>
      <w:pPr>
        <w:rPr>
          <w:rFonts w:ascii="仿宋" w:hAnsi="仿宋" w:cs="仿宋"/>
        </w:rPr>
      </w:pPr>
      <w:r>
        <w:rPr>
          <w:rFonts w:hint="eastAsia" w:ascii="仿宋" w:hAnsi="仿宋" w:cs="仿宋"/>
          <w:b/>
        </w:rPr>
        <w:t>最高限价（元）：</w:t>
      </w:r>
      <w:r>
        <w:rPr>
          <w:rFonts w:hint="eastAsia" w:ascii="仿宋" w:hAnsi="仿宋" w:cs="仿宋"/>
          <w:b/>
          <w:lang w:eastAsia="zh-CN"/>
        </w:rPr>
        <w:t>150</w:t>
      </w:r>
      <w:r>
        <w:rPr>
          <w:rFonts w:hint="eastAsia" w:ascii="仿宋" w:hAnsi="仿宋" w:cs="仿宋"/>
          <w:b/>
        </w:rPr>
        <w:t>0000</w:t>
      </w:r>
    </w:p>
    <w:p>
      <w:pPr>
        <w:pStyle w:val="20"/>
        <w:spacing w:line="360" w:lineRule="auto"/>
        <w:ind w:firstLine="482"/>
        <w:rPr>
          <w:rFonts w:ascii="仿宋" w:hAnsi="仿宋" w:cs="仿宋"/>
          <w:bCs/>
          <w:snapToGrid/>
          <w:color w:val="auto"/>
          <w:kern w:val="2"/>
          <w:sz w:val="24"/>
          <w:szCs w:val="24"/>
        </w:rPr>
      </w:pPr>
      <w:r>
        <w:rPr>
          <w:rFonts w:hint="eastAsia" w:ascii="仿宋" w:hAnsi="仿宋" w:cs="仿宋"/>
          <w:b/>
          <w:color w:val="auto"/>
          <w:sz w:val="24"/>
        </w:rPr>
        <w:t>采购需求：本项目位于宗汉街道办事处南楼2层，面积约480平方米，在保留现有布局的基础上，按照使用功能设置指挥中心、值班室、决策室三个区域，为跨部门、跨层级、跨区域的互联互通、信息共享和业务协同提供服务能力。详见磋商文件第三部分采购需求。</w:t>
      </w:r>
    </w:p>
    <w:p>
      <w:pPr>
        <w:pStyle w:val="20"/>
        <w:spacing w:line="360" w:lineRule="auto"/>
        <w:ind w:firstLine="482"/>
        <w:rPr>
          <w:rFonts w:ascii="仿宋" w:hAnsi="仿宋" w:cs="仿宋"/>
        </w:rPr>
      </w:pPr>
      <w:r>
        <w:rPr>
          <w:rFonts w:hint="eastAsia" w:ascii="仿宋" w:hAnsi="仿宋" w:cs="仿宋"/>
          <w:b/>
          <w:sz w:val="24"/>
          <w:szCs w:val="24"/>
        </w:rPr>
        <w:t>合同履约期限：自合同签订生效之日始至双方合同义务完全履行完成后截止</w:t>
      </w:r>
      <w:r>
        <w:rPr>
          <w:rFonts w:hint="eastAsia" w:ascii="仿宋" w:hAnsi="仿宋" w:cs="仿宋"/>
          <w:b/>
          <w:sz w:val="24"/>
        </w:rPr>
        <w:t>。</w:t>
      </w:r>
    </w:p>
    <w:p>
      <w:pPr>
        <w:pStyle w:val="20"/>
        <w:spacing w:line="360" w:lineRule="auto"/>
        <w:ind w:firstLine="482"/>
        <w:rPr>
          <w:rFonts w:ascii="仿宋" w:hAnsi="仿宋" w:cs="仿宋"/>
          <w:b/>
          <w:sz w:val="24"/>
        </w:rPr>
      </w:pPr>
      <w:r>
        <w:rPr>
          <w:rFonts w:hint="eastAsia" w:ascii="仿宋" w:hAnsi="仿宋" w:cs="仿宋"/>
          <w:b/>
          <w:color w:val="auto"/>
          <w:sz w:val="24"/>
        </w:rPr>
        <w:t>本项目接受联合体响应：</w:t>
      </w:r>
      <w:sdt>
        <w:sdtPr>
          <w:rPr>
            <w:rFonts w:hint="eastAsia" w:ascii="仿宋" w:hAnsi="仿宋" w:cs="仿宋"/>
            <w:color w:val="auto"/>
            <w:kern w:val="0"/>
            <w:sz w:val="24"/>
          </w:rPr>
          <w:id w:val="2035453831"/>
          <w14:checkbox>
            <w14:checked w14:val="0"/>
            <w14:checkedState w14:val="00FE" w14:font="Wingdings"/>
            <w14:uncheckedState w14:val="2610" w14:font="MS Gothic"/>
          </w14:checkbox>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765526721"/>
          <w14:checkbox>
            <w14:checked w14:val="1"/>
            <w14:checkedState w14:val="00FE" w14:font="Wingdings"/>
            <w14:uncheckedState w14:val="2610" w14:font="MS Gothic"/>
          </w14:checkbox>
        </w:sdtPr>
        <w:sdtEndPr>
          <w:rPr>
            <w:rFonts w:hint="eastAsia" w:ascii="仿宋" w:hAnsi="仿宋" w:cs="仿宋"/>
            <w:color w:val="auto"/>
            <w:kern w:val="0"/>
            <w:sz w:val="24"/>
          </w:rPr>
        </w:sdtEndPr>
        <w:sdtContent>
          <w:r>
            <w:rPr>
              <w:rFonts w:hint="eastAsia" w:ascii="Wingdings" w:hAnsi="Wingdings" w:cs="仿宋"/>
              <w:color w:val="auto"/>
              <w:kern w:val="0"/>
              <w:sz w:val="24"/>
            </w:rPr>
            <w:t>þ</w:t>
          </w:r>
        </w:sdtContent>
      </w:sdt>
      <w:r>
        <w:rPr>
          <w:rFonts w:hint="eastAsia" w:ascii="仿宋" w:hAnsi="仿宋" w:cs="仿宋"/>
          <w:b/>
          <w:color w:val="auto"/>
          <w:sz w:val="24"/>
        </w:rPr>
        <w:t>否</w:t>
      </w:r>
      <w:r>
        <w:rPr>
          <w:rFonts w:hint="eastAsia" w:ascii="仿宋" w:hAnsi="仿宋" w:cs="仿宋"/>
          <w:color w:val="auto"/>
          <w:kern w:val="0"/>
          <w:sz w:val="24"/>
        </w:rPr>
        <w:t>。</w:t>
      </w:r>
    </w:p>
    <w:p>
      <w:pPr>
        <w:outlineLvl w:val="1"/>
        <w:rPr>
          <w:rFonts w:ascii="仿宋" w:hAnsi="仿宋" w:cs="仿宋"/>
          <w:b/>
        </w:rPr>
      </w:pPr>
      <w:bookmarkStart w:id="9" w:name="_Toc6203"/>
      <w:r>
        <w:rPr>
          <w:rFonts w:hint="eastAsia" w:ascii="仿宋" w:hAnsi="仿宋" w:cs="仿宋"/>
          <w:b/>
        </w:rPr>
        <w:t>二、申请人的资格要求</w:t>
      </w:r>
      <w:bookmarkEnd w:id="9"/>
    </w:p>
    <w:p>
      <w:pPr>
        <w:ind w:firstLine="480"/>
        <w:rPr>
          <w:rFonts w:ascii="仿宋" w:hAnsi="仿宋" w:cs="仿宋"/>
          <w:snapToGrid w:val="0"/>
          <w:kern w:val="28"/>
          <w:szCs w:val="20"/>
        </w:rPr>
      </w:pPr>
      <w:r>
        <w:rPr>
          <w:rFonts w:hint="eastAsia" w:ascii="仿宋" w:hAnsi="仿宋" w:cs="仿宋"/>
          <w:snapToGrid w:val="0"/>
          <w:kern w:val="28"/>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ind w:firstLine="480"/>
        <w:rPr>
          <w:rFonts w:ascii="仿宋" w:hAnsi="仿宋" w:cs="仿宋"/>
          <w:snapToGrid w:val="0"/>
          <w:kern w:val="28"/>
          <w:szCs w:val="20"/>
        </w:rPr>
      </w:pPr>
      <w:r>
        <w:rPr>
          <w:rFonts w:hint="eastAsia" w:ascii="仿宋" w:hAnsi="仿宋" w:cs="仿宋"/>
          <w:snapToGrid w:val="0"/>
          <w:kern w:val="28"/>
          <w:szCs w:val="20"/>
        </w:rPr>
        <w:t>2.落实政府采购政策需满足的资格要求：无；</w:t>
      </w:r>
    </w:p>
    <w:p>
      <w:pPr>
        <w:snapToGrid w:val="0"/>
        <w:ind w:firstLine="480"/>
        <w:rPr>
          <w:rFonts w:ascii="仿宋" w:hAnsi="仿宋" w:cs="仿宋"/>
        </w:rPr>
      </w:pPr>
      <w:r>
        <w:rPr>
          <w:rFonts w:hint="eastAsia" w:ascii="仿宋" w:hAnsi="仿宋" w:cs="仿宋"/>
        </w:rPr>
        <w:t>3.本项目的特定资格要求：无。</w:t>
      </w:r>
    </w:p>
    <w:p>
      <w:pPr>
        <w:outlineLvl w:val="1"/>
        <w:rPr>
          <w:rFonts w:ascii="仿宋" w:hAnsi="仿宋" w:cs="仿宋"/>
          <w:b/>
        </w:rPr>
      </w:pPr>
      <w:bookmarkStart w:id="10" w:name="_Toc25214"/>
      <w:r>
        <w:rPr>
          <w:rFonts w:hint="eastAsia" w:ascii="仿宋" w:hAnsi="仿宋" w:cs="仿宋"/>
          <w:b/>
        </w:rPr>
        <w:t>三、获取采购文件</w:t>
      </w:r>
      <w:bookmarkEnd w:id="10"/>
    </w:p>
    <w:p>
      <w:pPr>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w:t>
      </w:r>
      <w:r>
        <w:rPr>
          <w:rFonts w:hint="eastAsia" w:ascii="仿宋" w:hAnsi="仿宋" w:cs="仿宋"/>
          <w:u w:val="single"/>
          <w:lang w:val="en-US" w:eastAsia="zh-CN"/>
        </w:rPr>
        <w:t>3</w:t>
      </w:r>
      <w:r>
        <w:rPr>
          <w:rFonts w:hint="eastAsia" w:ascii="仿宋" w:hAnsi="仿宋" w:cs="仿宋"/>
          <w:u w:val="single"/>
        </w:rPr>
        <w:t>年</w:t>
      </w:r>
      <w:r>
        <w:rPr>
          <w:rFonts w:hint="eastAsia" w:ascii="仿宋" w:hAnsi="仿宋" w:cs="仿宋"/>
          <w:u w:val="single"/>
          <w:lang w:val="en-US" w:eastAsia="zh-CN"/>
        </w:rPr>
        <w:t>01</w:t>
      </w:r>
      <w:r>
        <w:rPr>
          <w:rFonts w:hint="eastAsia" w:ascii="仿宋" w:hAnsi="仿宋" w:cs="仿宋"/>
          <w:u w:val="single"/>
        </w:rPr>
        <w:t>月</w:t>
      </w:r>
      <w:r>
        <w:rPr>
          <w:rFonts w:hint="eastAsia" w:ascii="仿宋" w:hAnsi="仿宋" w:cs="仿宋"/>
          <w:u w:val="single"/>
          <w:lang w:val="en-US" w:eastAsia="zh-CN"/>
        </w:rPr>
        <w:t>18</w:t>
      </w:r>
      <w:r>
        <w:rPr>
          <w:rFonts w:hint="eastAsia" w:ascii="仿宋" w:hAnsi="仿宋" w:cs="仿宋"/>
          <w:u w:val="single"/>
        </w:rPr>
        <w:t>日</w:t>
      </w:r>
      <w:r>
        <w:rPr>
          <w:rFonts w:hint="eastAsia" w:ascii="仿宋" w:hAnsi="仿宋" w:cs="仿宋"/>
        </w:rPr>
        <w:t>，每天上午00：00至12：00，下午12：00至23：59（北京时间，线上获取法定节假日均可，线下获取文件法定节假日除外）。</w:t>
      </w:r>
    </w:p>
    <w:p>
      <w:pPr>
        <w:rPr>
          <w:rFonts w:ascii="仿宋" w:hAnsi="仿宋" w:cs="仿宋"/>
        </w:rPr>
      </w:pPr>
      <w:r>
        <w:rPr>
          <w:rFonts w:hint="eastAsia" w:ascii="仿宋" w:hAnsi="仿宋" w:cs="仿宋"/>
          <w:b/>
        </w:rPr>
        <w:t>地点（网址）：</w:t>
      </w:r>
      <w:r>
        <w:rPr>
          <w:rFonts w:hint="eastAsia" w:ascii="仿宋" w:hAnsi="仿宋" w:cs="仿宋"/>
        </w:rPr>
        <w:t>政采云平台（https：//www.zcygov.cn/）。</w:t>
      </w:r>
    </w:p>
    <w:p>
      <w:pPr>
        <w:rPr>
          <w:rFonts w:ascii="仿宋" w:hAnsi="仿宋" w:cs="仿宋"/>
        </w:rPr>
      </w:pPr>
      <w:r>
        <w:rPr>
          <w:rFonts w:hint="eastAsia" w:ascii="仿宋" w:hAnsi="仿宋" w:cs="仿宋"/>
          <w:b/>
        </w:rPr>
        <w:t>方式：</w:t>
      </w:r>
      <w:r>
        <w:rPr>
          <w:rFonts w:hint="eastAsia" w:ascii="仿宋" w:hAnsi="仿宋" w:cs="仿宋"/>
          <w:bCs/>
        </w:rPr>
        <w:t>（1）线上获取（登录政府采购云平台→项目采购→获取采购文件→申请，审核通过后可下载磋商文件）。（2）磋商文件不提供纸质版本。（3）供应商获取磋商文件前应通过浙江政府采购网“浙江政府采购供应商信息登记管理系统”进行信息登记，获得线上政府采购活动操作权限。（4）磋商公告所附磋商文件仅供阅览使用，供应商只有在“政府采购云平台”完成获取磋商文件申请并下载了磋商文件后才被视为合法获取了磋商文件，否则其响应将被拒绝。</w:t>
      </w:r>
    </w:p>
    <w:p>
      <w:pPr>
        <w:rPr>
          <w:rFonts w:ascii="仿宋" w:hAnsi="仿宋" w:cs="仿宋"/>
        </w:rPr>
      </w:pPr>
      <w:r>
        <w:rPr>
          <w:rFonts w:hint="eastAsia" w:ascii="仿宋" w:hAnsi="仿宋" w:cs="仿宋"/>
          <w:b/>
        </w:rPr>
        <w:t>售价（元）：</w:t>
      </w:r>
      <w:r>
        <w:rPr>
          <w:rFonts w:hint="eastAsia" w:ascii="仿宋" w:hAnsi="仿宋" w:cs="仿宋"/>
        </w:rPr>
        <w:t>0</w:t>
      </w:r>
      <w:r>
        <w:rPr>
          <w:rFonts w:hint="eastAsia" w:ascii="仿宋" w:hAnsi="仿宋" w:cs="仿宋"/>
        </w:rPr>
        <w:tab/>
      </w:r>
      <w:r>
        <w:rPr>
          <w:rFonts w:hint="eastAsia" w:ascii="仿宋" w:hAnsi="仿宋" w:cs="仿宋"/>
        </w:rPr>
        <w:t>。</w:t>
      </w:r>
    </w:p>
    <w:p>
      <w:pPr>
        <w:outlineLvl w:val="1"/>
        <w:rPr>
          <w:rFonts w:ascii="仿宋" w:hAnsi="仿宋" w:cs="仿宋"/>
          <w:b/>
        </w:rPr>
      </w:pPr>
      <w:bookmarkStart w:id="11" w:name="_Toc29075"/>
      <w:r>
        <w:rPr>
          <w:rFonts w:hint="eastAsia" w:ascii="仿宋" w:hAnsi="仿宋" w:cs="仿宋"/>
          <w:b/>
        </w:rPr>
        <w:t>四、响应文件提交</w:t>
      </w:r>
      <w:bookmarkEnd w:id="11"/>
    </w:p>
    <w:p>
      <w:pPr>
        <w:rPr>
          <w:rFonts w:ascii="仿宋" w:hAnsi="仿宋" w:cs="仿宋"/>
        </w:rPr>
      </w:pPr>
      <w:r>
        <w:rPr>
          <w:rFonts w:hint="eastAsia" w:ascii="仿宋" w:hAnsi="仿宋" w:cs="仿宋"/>
          <w:b/>
        </w:rPr>
        <w:t>截止时间：</w:t>
      </w:r>
      <w:r>
        <w:rPr>
          <w:rFonts w:hint="eastAsia" w:ascii="仿宋" w:hAnsi="仿宋" w:cs="仿宋"/>
          <w:u w:val="single"/>
        </w:rPr>
        <w:t>202</w:t>
      </w:r>
      <w:r>
        <w:rPr>
          <w:rFonts w:hint="eastAsia" w:ascii="仿宋" w:hAnsi="仿宋" w:cs="仿宋"/>
          <w:u w:val="single"/>
          <w:lang w:val="en-US" w:eastAsia="zh-CN"/>
        </w:rPr>
        <w:t>3</w:t>
      </w:r>
      <w:r>
        <w:rPr>
          <w:rFonts w:hint="eastAsia" w:ascii="仿宋" w:hAnsi="仿宋" w:cs="仿宋"/>
          <w:u w:val="single"/>
        </w:rPr>
        <w:t>年</w:t>
      </w:r>
      <w:r>
        <w:rPr>
          <w:rFonts w:hint="eastAsia" w:ascii="仿宋" w:hAnsi="仿宋" w:cs="仿宋"/>
          <w:u w:val="single"/>
          <w:lang w:val="en-US" w:eastAsia="zh-CN"/>
        </w:rPr>
        <w:t>01</w:t>
      </w:r>
      <w:r>
        <w:rPr>
          <w:rFonts w:hint="eastAsia" w:ascii="仿宋" w:hAnsi="仿宋" w:cs="仿宋"/>
          <w:u w:val="single"/>
        </w:rPr>
        <w:t>月</w:t>
      </w:r>
      <w:r>
        <w:rPr>
          <w:rFonts w:hint="eastAsia" w:ascii="仿宋" w:hAnsi="仿宋" w:cs="仿宋"/>
          <w:u w:val="single"/>
          <w:lang w:val="en-US" w:eastAsia="zh-CN"/>
        </w:rPr>
        <w:t>18</w:t>
      </w:r>
      <w:r>
        <w:rPr>
          <w:rFonts w:hint="eastAsia" w:ascii="仿宋" w:hAnsi="仿宋" w:cs="仿宋"/>
          <w:u w:val="single"/>
        </w:rPr>
        <w:t>日09点30分</w:t>
      </w:r>
      <w:r>
        <w:rPr>
          <w:rFonts w:hint="eastAsia" w:ascii="仿宋" w:hAnsi="仿宋" w:cs="仿宋"/>
        </w:rPr>
        <w:t>（北京时间）。</w:t>
      </w:r>
    </w:p>
    <w:p>
      <w:pPr>
        <w:rPr>
          <w:rFonts w:ascii="仿宋" w:hAnsi="仿宋" w:cs="仿宋"/>
          <w:b/>
        </w:rPr>
      </w:pPr>
      <w:r>
        <w:rPr>
          <w:rFonts w:hint="eastAsia" w:ascii="仿宋" w:hAnsi="仿宋" w:cs="仿宋"/>
          <w:b/>
        </w:rPr>
        <w:t>地点（网址）：</w:t>
      </w:r>
      <w:r>
        <w:rPr>
          <w:rFonts w:hint="eastAsia" w:ascii="仿宋" w:hAnsi="仿宋" w:cs="仿宋"/>
        </w:rPr>
        <w:t>（（1）“投标文件”通过https：//www.zcygov.cn在线投标；（2）“备份投标文件”邮寄地址为慈溪市白沙路街道慈甬路405号东瑞大厦201室，孙玲朗，13858329410，</w:t>
      </w:r>
      <w:r>
        <w:rPr>
          <w:rFonts w:hint="eastAsia" w:ascii="仿宋" w:hAnsi="仿宋" w:cs="仿宋"/>
          <w:b/>
          <w:bCs/>
        </w:rPr>
        <w:t>采购人、采购机构不强制或变相强制投标人提交备份投标文件。</w:t>
      </w:r>
      <w:r>
        <w:rPr>
          <w:rFonts w:hint="eastAsia" w:ascii="仿宋" w:hAnsi="仿宋" w:cs="仿宋"/>
        </w:rPr>
        <w:t xml:space="preserve"> 如投标人现场送达备份投标文件的，应亮健康码、戴口罩，遵守慈溪市公共资源交易中心的防疫规定。</w:t>
      </w:r>
    </w:p>
    <w:p>
      <w:pPr>
        <w:outlineLvl w:val="1"/>
        <w:rPr>
          <w:rFonts w:ascii="仿宋" w:hAnsi="仿宋" w:cs="仿宋"/>
          <w:b/>
        </w:rPr>
      </w:pPr>
      <w:bookmarkStart w:id="12" w:name="_Toc13993"/>
      <w:r>
        <w:rPr>
          <w:rFonts w:hint="eastAsia" w:ascii="仿宋" w:hAnsi="仿宋" w:cs="仿宋"/>
          <w:b/>
        </w:rPr>
        <w:t>五、开启</w:t>
      </w:r>
      <w:bookmarkEnd w:id="12"/>
    </w:p>
    <w:p>
      <w:pPr>
        <w:ind w:firstLine="480"/>
      </w:pPr>
      <w:r>
        <w:rPr>
          <w:rFonts w:hint="eastAsia"/>
        </w:rPr>
        <w:t>时间：</w:t>
      </w:r>
      <w:r>
        <w:rPr>
          <w:rFonts w:hint="eastAsia" w:ascii="仿宋" w:hAnsi="仿宋" w:cs="仿宋"/>
          <w:u w:val="single"/>
        </w:rPr>
        <w:t>202</w:t>
      </w:r>
      <w:r>
        <w:rPr>
          <w:rFonts w:hint="eastAsia" w:ascii="仿宋" w:hAnsi="仿宋" w:cs="仿宋"/>
          <w:u w:val="single"/>
          <w:lang w:val="en-US" w:eastAsia="zh-CN"/>
        </w:rPr>
        <w:t>3</w:t>
      </w:r>
      <w:r>
        <w:rPr>
          <w:rFonts w:hint="eastAsia" w:ascii="仿宋" w:hAnsi="仿宋" w:cs="仿宋"/>
          <w:u w:val="single"/>
        </w:rPr>
        <w:t>年</w:t>
      </w:r>
      <w:r>
        <w:rPr>
          <w:rFonts w:hint="eastAsia" w:ascii="仿宋" w:hAnsi="仿宋" w:cs="仿宋"/>
          <w:u w:val="single"/>
          <w:lang w:val="en-US" w:eastAsia="zh-CN"/>
        </w:rPr>
        <w:t>01</w:t>
      </w:r>
      <w:r>
        <w:rPr>
          <w:rFonts w:hint="eastAsia" w:ascii="仿宋" w:hAnsi="仿宋" w:cs="仿宋"/>
          <w:u w:val="single"/>
        </w:rPr>
        <w:t>月</w:t>
      </w:r>
      <w:r>
        <w:rPr>
          <w:rFonts w:hint="eastAsia" w:ascii="仿宋" w:hAnsi="仿宋" w:cs="仿宋"/>
          <w:u w:val="single"/>
          <w:lang w:val="en-US" w:eastAsia="zh-CN"/>
        </w:rPr>
        <w:t>18</w:t>
      </w:r>
      <w:r>
        <w:rPr>
          <w:rFonts w:hint="eastAsia" w:ascii="仿宋" w:hAnsi="仿宋" w:cs="仿宋"/>
          <w:u w:val="single"/>
        </w:rPr>
        <w:t>日09点30分</w:t>
      </w:r>
      <w:r>
        <w:rPr>
          <w:rFonts w:hint="eastAsia" w:ascii="仿宋" w:hAnsi="仿宋" w:cs="仿宋"/>
        </w:rPr>
        <w:t>（北京时间）。</w:t>
      </w:r>
    </w:p>
    <w:p>
      <w:pPr>
        <w:ind w:firstLine="480"/>
      </w:pPr>
      <w:r>
        <w:rPr>
          <w:rFonts w:hint="eastAsia"/>
        </w:rPr>
        <w:t>地点</w:t>
      </w:r>
      <w:r>
        <w:rPr>
          <w:rFonts w:hint="eastAsia" w:ascii="仿宋" w:hAnsi="仿宋" w:cs="仿宋"/>
          <w:b/>
        </w:rPr>
        <w:t>（网址）</w:t>
      </w:r>
      <w:r>
        <w:rPr>
          <w:rFonts w:hint="eastAsia"/>
        </w:rPr>
        <w:t>：</w:t>
      </w:r>
      <w:r>
        <w:rPr>
          <w:rFonts w:hint="eastAsia" w:ascii="仿宋" w:hAnsi="仿宋" w:cs="仿宋"/>
        </w:rPr>
        <w:t>政采云平台（https：//www.zcygov.cn/）。</w:t>
      </w:r>
    </w:p>
    <w:p>
      <w:pPr>
        <w:outlineLvl w:val="1"/>
        <w:rPr>
          <w:rFonts w:ascii="仿宋" w:hAnsi="仿宋" w:cs="仿宋"/>
        </w:rPr>
      </w:pPr>
      <w:bookmarkStart w:id="13" w:name="_Toc7319"/>
      <w:r>
        <w:rPr>
          <w:rFonts w:hint="eastAsia" w:ascii="仿宋" w:hAnsi="仿宋" w:cs="仿宋"/>
          <w:b/>
        </w:rPr>
        <w:t>六、公告期限</w:t>
      </w:r>
      <w:bookmarkEnd w:id="13"/>
    </w:p>
    <w:p>
      <w:pPr>
        <w:ind w:firstLine="480"/>
        <w:rPr>
          <w:rFonts w:ascii="仿宋" w:hAnsi="仿宋" w:cs="仿宋"/>
        </w:rPr>
      </w:pPr>
      <w:r>
        <w:rPr>
          <w:rFonts w:hint="eastAsia" w:ascii="仿宋" w:hAnsi="仿宋" w:cs="仿宋"/>
        </w:rPr>
        <w:t>自本公告发布之日起3个工作日。</w:t>
      </w:r>
    </w:p>
    <w:p>
      <w:pPr>
        <w:outlineLvl w:val="1"/>
        <w:rPr>
          <w:rFonts w:ascii="仿宋" w:hAnsi="仿宋" w:cs="仿宋"/>
          <w:b/>
        </w:rPr>
      </w:pPr>
      <w:bookmarkStart w:id="14" w:name="_Toc26284"/>
      <w:r>
        <w:rPr>
          <w:rFonts w:hint="eastAsia" w:ascii="仿宋" w:hAnsi="仿宋" w:cs="仿宋"/>
          <w:b/>
        </w:rPr>
        <w:t>七、其他补充事宜</w:t>
      </w:r>
      <w:bookmarkEnd w:id="14"/>
    </w:p>
    <w:p>
      <w:pPr>
        <w:ind w:firstLine="480"/>
        <w:rPr>
          <w:rFonts w:ascii="仿宋" w:hAnsi="仿宋" w:cs="仿宋"/>
        </w:rPr>
      </w:pPr>
      <w:r>
        <w:rPr>
          <w:rFonts w:hint="eastAsia" w:ascii="仿宋" w:hAnsi="仿宋" w:cs="仿宋"/>
        </w:rPr>
        <w:t>1.供应商认为磋商文件使自己的权益受到损害的，可以自获取磋商文件之日或者磋商文件公告期限届满之日（公告期限届满后获取磋商文件的，以公告期限届满之日为准）起7个工作日内，以书面形式向采购人和采购机构提出质疑。质疑供应商对采购人、采购机构的答复不满意或者采购人、采购机构未在规定的时间内作出答复的，可以在答复期满后十五个工作日内向同级政府采购监督管理部门投诉。质疑函范本、投诉书范本请到浙江政府采购网下载专区下载。</w:t>
      </w:r>
    </w:p>
    <w:p>
      <w:pPr>
        <w:ind w:firstLine="480"/>
        <w:rPr>
          <w:rFonts w:ascii="仿宋" w:hAnsi="仿宋" w:cs="仿宋"/>
        </w:rPr>
      </w:pPr>
      <w:r>
        <w:rPr>
          <w:rFonts w:hint="eastAsia" w:ascii="仿宋" w:hAnsi="仿宋" w:cs="仿宋"/>
        </w:rPr>
        <w:t>2.其他事项：（1）需要落实的政府采购政策：包括节约资源、保护环境、支持创新、促进中小企业发展等。详见磋商文件的第二部分总则。（2）电子采购的说明：①电子采购：本项目以数据电文形式，依托“政府采购云平台（www.zcygov.cn）”进行采购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磋商文件的获取：使用账号登录或者使用CA登录政采云平台；进入“项目采购”应用，在获取采购文件菜单中选择项目，获取磋商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磋商文件的供应商进行响应活动；⑥对未按上述方式获取磋商文件的供应商对该文件提出的质疑，采购人或采购机构将不予处理；⑦磋商文件不提供纸质版；⑧响应文件的传输递交：供应商在响应截止时间前将加密的响应文件上传至政府采购云平台，还可以在响应截止时间前直接提交或者以邮政快递方式递交备份响应文件1份。备份响应文件的制作、存储、密封详见磋商文件第二部分第15点—“备份响应文件”；⑨响应文件的解密：供应商按照平台提示和磋商文件的规定在半小时内完成在线解密。通过“政府采购云平台”上传递交的响应文件无法按时解密，响应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⑩具体操作指南：详见政采云平台“服务中心-帮助文档-项目采购-操作流程-电子招投标-政府采购项目电子交易管理操作指南-供应商”。</w:t>
      </w:r>
    </w:p>
    <w:p>
      <w:pPr>
        <w:outlineLvl w:val="1"/>
        <w:rPr>
          <w:rFonts w:ascii="仿宋" w:hAnsi="仿宋" w:cs="仿宋"/>
          <w:b/>
        </w:rPr>
      </w:pPr>
      <w:bookmarkStart w:id="15" w:name="_Toc638"/>
      <w:r>
        <w:rPr>
          <w:rFonts w:hint="eastAsia" w:ascii="仿宋" w:hAnsi="仿宋" w:cs="仿宋"/>
          <w:b/>
        </w:rPr>
        <w:t>八、对本次采购提出询问、质疑、投诉，请按以下方式联系</w:t>
      </w:r>
      <w:bookmarkEnd w:id="15"/>
    </w:p>
    <w:p>
      <w:pPr>
        <w:ind w:firstLine="480"/>
      </w:pPr>
      <w:r>
        <w:rPr>
          <w:rFonts w:hint="eastAsia"/>
        </w:rPr>
        <w:t>1.采购人信息</w:t>
      </w:r>
    </w:p>
    <w:p>
      <w:pPr>
        <w:ind w:firstLine="480"/>
        <w:rPr>
          <w:rFonts w:ascii="仿宋" w:hAnsi="仿宋" w:cs="仿宋"/>
        </w:rPr>
      </w:pPr>
      <w:r>
        <w:rPr>
          <w:rFonts w:hint="eastAsia" w:ascii="仿宋" w:hAnsi="仿宋" w:cs="仿宋"/>
        </w:rPr>
        <w:t>名称：慈溪市人民政府宗汉街道办事处</w:t>
      </w:r>
    </w:p>
    <w:p>
      <w:pPr>
        <w:ind w:firstLine="480"/>
        <w:rPr>
          <w:rFonts w:ascii="仿宋" w:hAnsi="仿宋" w:cs="仿宋"/>
        </w:rPr>
      </w:pPr>
      <w:r>
        <w:rPr>
          <w:rFonts w:hint="eastAsia" w:ascii="仿宋" w:hAnsi="仿宋" w:cs="仿宋"/>
        </w:rPr>
        <w:t>地址：慈溪市宗汉街道西二环北路599号</w:t>
      </w:r>
    </w:p>
    <w:p>
      <w:pPr>
        <w:ind w:firstLine="480"/>
        <w:rPr>
          <w:rFonts w:ascii="仿宋" w:hAnsi="仿宋" w:cs="仿宋"/>
        </w:rPr>
      </w:pPr>
      <w:r>
        <w:rPr>
          <w:rFonts w:hint="eastAsia" w:ascii="仿宋" w:hAnsi="仿宋" w:cs="仿宋"/>
        </w:rPr>
        <w:t>传真：/</w:t>
      </w:r>
    </w:p>
    <w:p>
      <w:pPr>
        <w:ind w:firstLine="480"/>
        <w:rPr>
          <w:rFonts w:ascii="仿宋" w:hAnsi="仿宋" w:cs="仿宋"/>
        </w:rPr>
      </w:pPr>
      <w:r>
        <w:rPr>
          <w:rFonts w:hint="eastAsia" w:ascii="仿宋" w:hAnsi="仿宋" w:cs="仿宋"/>
        </w:rPr>
        <w:t>项目联系人（询问）：朱先生</w:t>
      </w:r>
    </w:p>
    <w:p>
      <w:pPr>
        <w:ind w:firstLine="480"/>
        <w:rPr>
          <w:rFonts w:hint="default" w:ascii="仿宋" w:hAnsi="仿宋" w:eastAsia="仿宋" w:cs="仿宋"/>
          <w:lang w:val="en-US" w:eastAsia="zh-CN"/>
        </w:rPr>
      </w:pPr>
      <w:r>
        <w:rPr>
          <w:rFonts w:hint="eastAsia" w:ascii="仿宋" w:hAnsi="仿宋" w:cs="仿宋"/>
        </w:rPr>
        <w:t>项目联系方式（询问）：0574-</w:t>
      </w:r>
      <w:r>
        <w:rPr>
          <w:rFonts w:hint="eastAsia" w:ascii="仿宋" w:hAnsi="仿宋" w:cs="仿宋"/>
          <w:lang w:val="en-US" w:eastAsia="zh-CN"/>
        </w:rPr>
        <w:t>63211936</w:t>
      </w:r>
    </w:p>
    <w:p>
      <w:pPr>
        <w:ind w:firstLine="480"/>
        <w:rPr>
          <w:rFonts w:ascii="仿宋" w:hAnsi="仿宋" w:cs="仿宋"/>
        </w:rPr>
      </w:pPr>
      <w:r>
        <w:rPr>
          <w:rFonts w:hint="eastAsia" w:ascii="仿宋" w:hAnsi="仿宋" w:cs="仿宋"/>
        </w:rPr>
        <w:t>质疑联系人：王先生</w:t>
      </w:r>
    </w:p>
    <w:p>
      <w:pPr>
        <w:ind w:firstLine="480"/>
        <w:rPr>
          <w:rFonts w:ascii="仿宋" w:hAnsi="仿宋" w:cs="仿宋"/>
        </w:rPr>
      </w:pPr>
      <w:r>
        <w:rPr>
          <w:rFonts w:hint="eastAsia" w:ascii="仿宋" w:hAnsi="仿宋" w:cs="仿宋"/>
        </w:rPr>
        <w:t>质疑联系方式：0574-63215310</w:t>
      </w:r>
    </w:p>
    <w:p>
      <w:pPr>
        <w:ind w:firstLine="480"/>
      </w:pPr>
      <w:r>
        <w:rPr>
          <w:rFonts w:hint="eastAsia"/>
        </w:rPr>
        <w:t>2.采购机构信息</w:t>
      </w:r>
    </w:p>
    <w:p>
      <w:pPr>
        <w:ind w:firstLine="480"/>
        <w:rPr>
          <w:rFonts w:ascii="仿宋" w:hAnsi="仿宋" w:cs="仿宋"/>
        </w:rPr>
      </w:pPr>
      <w:r>
        <w:rPr>
          <w:rFonts w:hint="eastAsia" w:ascii="仿宋" w:hAnsi="仿宋" w:cs="仿宋"/>
        </w:rPr>
        <w:t>名称：慈溪元达采购招标代理有限公司</w:t>
      </w:r>
    </w:p>
    <w:p>
      <w:pPr>
        <w:ind w:firstLine="480"/>
        <w:rPr>
          <w:rFonts w:ascii="仿宋" w:hAnsi="仿宋" w:cs="仿宋"/>
        </w:rPr>
      </w:pPr>
      <w:r>
        <w:rPr>
          <w:rFonts w:hint="eastAsia" w:ascii="仿宋" w:hAnsi="仿宋" w:cs="仿宋"/>
        </w:rPr>
        <w:t>地址：慈溪市白沙路街道慈甬路405号东瑞大厦201室</w:t>
      </w:r>
    </w:p>
    <w:p>
      <w:pPr>
        <w:ind w:firstLine="480"/>
        <w:rPr>
          <w:rFonts w:ascii="仿宋" w:hAnsi="仿宋" w:cs="仿宋"/>
        </w:rPr>
      </w:pPr>
      <w:r>
        <w:rPr>
          <w:rFonts w:hint="eastAsia" w:ascii="仿宋" w:hAnsi="仿宋" w:cs="仿宋"/>
        </w:rPr>
        <w:t>传真：/</w:t>
      </w:r>
    </w:p>
    <w:p>
      <w:pPr>
        <w:ind w:firstLine="480"/>
        <w:rPr>
          <w:rFonts w:ascii="仿宋" w:hAnsi="仿宋" w:cs="仿宋"/>
        </w:rPr>
      </w:pPr>
      <w:r>
        <w:rPr>
          <w:rFonts w:hint="eastAsia" w:ascii="仿宋" w:hAnsi="仿宋" w:cs="仿宋"/>
        </w:rPr>
        <w:t>项目联系人（询问）：孙玲朗</w:t>
      </w:r>
    </w:p>
    <w:p>
      <w:pPr>
        <w:ind w:firstLine="480"/>
        <w:rPr>
          <w:rFonts w:ascii="仿宋" w:hAnsi="仿宋" w:cs="仿宋"/>
        </w:rPr>
      </w:pPr>
      <w:r>
        <w:rPr>
          <w:rFonts w:hint="eastAsia" w:ascii="仿宋" w:hAnsi="仿宋" w:cs="仿宋"/>
        </w:rPr>
        <w:t>项目联系方式（询问）：13858329410 邮箱：63101267@qq.com</w:t>
      </w:r>
    </w:p>
    <w:p>
      <w:pPr>
        <w:ind w:firstLine="480"/>
        <w:rPr>
          <w:rFonts w:ascii="仿宋" w:hAnsi="仿宋" w:cs="仿宋"/>
        </w:rPr>
      </w:pPr>
      <w:r>
        <w:rPr>
          <w:rFonts w:hint="eastAsia" w:ascii="仿宋" w:hAnsi="仿宋" w:cs="仿宋"/>
        </w:rPr>
        <w:t>质疑联系人：徐益波</w:t>
      </w:r>
    </w:p>
    <w:p>
      <w:pPr>
        <w:ind w:firstLine="480"/>
        <w:rPr>
          <w:rFonts w:ascii="仿宋" w:hAnsi="仿宋" w:cs="仿宋"/>
        </w:rPr>
      </w:pPr>
      <w:r>
        <w:rPr>
          <w:rFonts w:hint="eastAsia" w:ascii="仿宋" w:hAnsi="仿宋" w:cs="仿宋"/>
        </w:rPr>
        <w:t>质疑联系方式：0574-56334315</w:t>
      </w:r>
    </w:p>
    <w:p>
      <w:pPr>
        <w:ind w:firstLine="480"/>
      </w:pPr>
      <w:r>
        <w:rPr>
          <w:rFonts w:hint="eastAsia"/>
        </w:rPr>
        <w:t>3.同级政府采购监督管理部门</w:t>
      </w:r>
    </w:p>
    <w:p>
      <w:pPr>
        <w:ind w:firstLine="480"/>
        <w:rPr>
          <w:rFonts w:ascii="仿宋" w:hAnsi="仿宋" w:cs="仿宋"/>
        </w:rPr>
      </w:pPr>
      <w:r>
        <w:rPr>
          <w:rFonts w:hint="eastAsia" w:ascii="仿宋" w:hAnsi="仿宋" w:cs="仿宋"/>
        </w:rPr>
        <w:t>名称：慈溪市公共资源交易管理办公室</w:t>
      </w:r>
    </w:p>
    <w:p>
      <w:pPr>
        <w:ind w:firstLine="480"/>
        <w:rPr>
          <w:rFonts w:ascii="仿宋" w:hAnsi="仿宋" w:cs="仿宋"/>
        </w:rPr>
      </w:pPr>
      <w:r>
        <w:rPr>
          <w:rFonts w:hint="eastAsia" w:ascii="仿宋" w:hAnsi="仿宋" w:cs="仿宋"/>
        </w:rPr>
        <w:t>地址：慈溪市南二环东路1355号</w:t>
      </w:r>
    </w:p>
    <w:p>
      <w:pPr>
        <w:ind w:firstLine="480"/>
        <w:rPr>
          <w:rFonts w:ascii="仿宋" w:hAnsi="仿宋" w:cs="仿宋"/>
        </w:rPr>
      </w:pPr>
      <w:r>
        <w:rPr>
          <w:rFonts w:hint="eastAsia" w:ascii="仿宋" w:hAnsi="仿宋" w:cs="仿宋"/>
        </w:rPr>
        <w:t>传真：0574-63032032 </w:t>
      </w:r>
    </w:p>
    <w:p>
      <w:pPr>
        <w:ind w:firstLine="480"/>
        <w:rPr>
          <w:rFonts w:ascii="仿宋" w:hAnsi="仿宋" w:cs="仿宋"/>
        </w:rPr>
      </w:pPr>
      <w:r>
        <w:rPr>
          <w:rFonts w:hint="eastAsia" w:ascii="仿宋" w:hAnsi="仿宋" w:cs="仿宋"/>
        </w:rPr>
        <w:t>联系人：赵先生</w:t>
      </w:r>
    </w:p>
    <w:p>
      <w:pPr>
        <w:ind w:firstLine="480"/>
        <w:rPr>
          <w:rFonts w:ascii="仿宋" w:hAnsi="仿宋" w:cs="仿宋"/>
        </w:rPr>
      </w:pPr>
      <w:r>
        <w:rPr>
          <w:rFonts w:hint="eastAsia" w:ascii="仿宋" w:hAnsi="仿宋" w:cs="仿宋"/>
        </w:rPr>
        <w:t>监督投诉电话：0574-63032032</w:t>
      </w:r>
    </w:p>
    <w:p>
      <w:pPr>
        <w:ind w:firstLine="480"/>
        <w:rPr>
          <w:rFonts w:ascii="仿宋" w:hAnsi="仿宋" w:cs="仿宋"/>
        </w:rPr>
      </w:pPr>
    </w:p>
    <w:p>
      <w:pPr>
        <w:ind w:firstLine="480"/>
        <w:rPr>
          <w:rFonts w:ascii="仿宋" w:hAnsi="仿宋" w:cs="仿宋"/>
        </w:rPr>
      </w:pPr>
    </w:p>
    <w:p>
      <w:pPr>
        <w:ind w:firstLine="480"/>
        <w:rPr>
          <w:rFonts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若对项目采购电子交易系统操作有疑问，可登录政采云（https：//www.zcygov.cn/），点击右侧咨询小采，获取采小蜜智能服务管家帮助，或拨打政采云服务热线400-881-7190获取热线服务帮助。</w:t>
      </w:r>
    </w:p>
    <w:p>
      <w:pPr>
        <w:ind w:firstLine="480"/>
        <w:rPr>
          <w:rFonts w:ascii="仿宋" w:hAnsi="仿宋" w:cs="仿宋"/>
        </w:rPr>
      </w:pPr>
      <w:r>
        <w:rPr>
          <w:rFonts w:hint="eastAsia" w:ascii="仿宋" w:hAnsi="仿宋" w:cs="仿宋"/>
        </w:rPr>
        <w:t>CA问题联系电话（人工）：汇信CA400-888-4636；天谷CA400-087-8198。</w:t>
      </w:r>
    </w:p>
    <w:p>
      <w:pPr>
        <w:pStyle w:val="38"/>
        <w:ind w:firstLine="480"/>
        <w:rPr>
          <w:rFonts w:ascii="仿宋" w:hAnsi="仿宋" w:cs="仿宋"/>
          <w:szCs w:val="24"/>
        </w:rPr>
      </w:pPr>
    </w:p>
    <w:p>
      <w:pPr>
        <w:adjustRightInd/>
        <w:ind w:firstLine="723"/>
        <w:jc w:val="center"/>
        <w:outlineLvl w:val="0"/>
        <w:rPr>
          <w:rStyle w:val="286"/>
          <w:rFonts w:ascii="仿宋" w:hAnsi="仿宋" w:cs="仿宋"/>
        </w:rPr>
      </w:pPr>
      <w:r>
        <w:rPr>
          <w:rFonts w:hint="eastAsia" w:ascii="仿宋" w:hAnsi="仿宋" w:cs="仿宋"/>
          <w:b/>
          <w:sz w:val="36"/>
          <w:szCs w:val="20"/>
        </w:rPr>
        <w:br w:type="page"/>
      </w:r>
      <w:bookmarkStart w:id="16" w:name="_Toc14277"/>
      <w:r>
        <w:rPr>
          <w:rStyle w:val="286"/>
          <w:rFonts w:hint="eastAsia" w:ascii="仿宋" w:hAnsi="仿宋" w:cs="仿宋"/>
        </w:rPr>
        <w:t>第二部分</w:t>
      </w:r>
      <w:bookmarkEnd w:id="4"/>
      <w:r>
        <w:rPr>
          <w:rStyle w:val="286"/>
          <w:rFonts w:hint="eastAsia" w:ascii="仿宋" w:hAnsi="仿宋" w:cs="仿宋"/>
        </w:rPr>
        <w:t>供应商须知</w:t>
      </w:r>
      <w:bookmarkEnd w:id="5"/>
      <w:bookmarkEnd w:id="16"/>
    </w:p>
    <w:p>
      <w:pPr>
        <w:pStyle w:val="5"/>
        <w:rPr>
          <w:rFonts w:ascii="仿宋" w:hAnsi="仿宋" w:cs="仿宋"/>
        </w:rPr>
      </w:pPr>
      <w:bookmarkStart w:id="17" w:name="_Toc22761"/>
      <w:r>
        <w:rPr>
          <w:rFonts w:hint="eastAsia" w:ascii="仿宋" w:hAnsi="仿宋" w:cs="仿宋"/>
        </w:rPr>
        <w:t>前附表</w:t>
      </w:r>
      <w:bookmarkEnd w:id="17"/>
    </w:p>
    <w:tbl>
      <w:tblPr>
        <w:tblStyle w:val="66"/>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66"/>
        <w:gridCol w:w="1646"/>
        <w:gridCol w:w="68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tcPr>
          <w:p>
            <w:pPr>
              <w:pStyle w:val="15"/>
              <w:spacing w:before="120" w:after="120"/>
              <w:rPr>
                <w:rFonts w:ascii="仿宋" w:hAnsi="仿宋" w:cs="仿宋"/>
                <w:b/>
                <w:bCs/>
              </w:rPr>
            </w:pPr>
            <w:r>
              <w:rPr>
                <w:rFonts w:hint="eastAsia" w:ascii="仿宋" w:hAnsi="仿宋" w:cs="仿宋"/>
                <w:b/>
                <w:bCs/>
              </w:rPr>
              <w:t>序号</w:t>
            </w:r>
          </w:p>
        </w:tc>
        <w:tc>
          <w:tcPr>
            <w:tcW w:w="902" w:type="pct"/>
            <w:tcBorders>
              <w:top w:val="single" w:color="000000" w:sz="8" w:space="0"/>
              <w:left w:val="single" w:color="auto" w:sz="4" w:space="0"/>
              <w:bottom w:val="single" w:color="000000" w:sz="8" w:space="0"/>
              <w:right w:val="single" w:color="000000" w:sz="8" w:space="0"/>
            </w:tcBorders>
            <w:vAlign w:val="center"/>
          </w:tcPr>
          <w:p>
            <w:pPr>
              <w:pStyle w:val="15"/>
              <w:spacing w:before="120" w:after="120"/>
              <w:rPr>
                <w:rFonts w:ascii="仿宋" w:hAnsi="仿宋" w:cs="仿宋"/>
                <w:b/>
                <w:bCs/>
              </w:rPr>
            </w:pPr>
            <w:r>
              <w:rPr>
                <w:rFonts w:hint="eastAsia" w:ascii="仿宋" w:hAnsi="仿宋" w:cs="仿宋"/>
                <w:b/>
                <w:bCs/>
              </w:rPr>
              <w:t>事项</w:t>
            </w:r>
          </w:p>
        </w:tc>
        <w:tc>
          <w:tcPr>
            <w:tcW w:w="3732" w:type="pct"/>
            <w:tcBorders>
              <w:top w:val="single" w:color="000000" w:sz="8" w:space="0"/>
              <w:left w:val="single" w:color="000000" w:sz="2" w:space="0"/>
              <w:bottom w:val="single" w:color="000000" w:sz="8" w:space="0"/>
              <w:right w:val="single" w:color="000000" w:sz="8" w:space="0"/>
            </w:tcBorders>
            <w:vAlign w:val="center"/>
          </w:tcPr>
          <w:p>
            <w:pPr>
              <w:pStyle w:val="15"/>
              <w:spacing w:before="120" w:after="120"/>
              <w:rPr>
                <w:rFonts w:ascii="仿宋" w:hAnsi="仿宋" w:cs="仿宋"/>
                <w:b/>
                <w:bCs/>
              </w:rPr>
            </w:pPr>
            <w:r>
              <w:rPr>
                <w:rFonts w:hint="eastAsia" w:ascii="仿宋" w:hAnsi="仿宋" w:cs="仿宋"/>
                <w:b/>
                <w:bCs/>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74" w:hRule="atLeast"/>
          <w:tblHeader/>
        </w:trPr>
        <w:tc>
          <w:tcPr>
            <w:tcW w:w="365" w:type="pct"/>
            <w:tcBorders>
              <w:top w:val="single" w:color="auto" w:sz="4" w:space="0"/>
              <w:left w:val="single" w:color="auto" w:sz="4" w:space="0"/>
              <w:bottom w:val="single" w:color="auto" w:sz="4" w:space="0"/>
              <w:right w:val="single" w:color="auto" w:sz="4" w:space="0"/>
            </w:tcBorders>
            <w:vAlign w:val="center"/>
          </w:tcPr>
          <w:p>
            <w:pPr>
              <w:pStyle w:val="15"/>
              <w:spacing w:before="120" w:after="120"/>
              <w:rPr>
                <w:rFonts w:ascii="仿宋" w:hAnsi="仿宋" w:cs="仿宋"/>
              </w:rPr>
            </w:pPr>
            <w:r>
              <w:rPr>
                <w:rFonts w:hint="eastAsia" w:ascii="仿宋" w:hAnsi="仿宋" w:cs="仿宋"/>
              </w:rPr>
              <w:t>1</w:t>
            </w:r>
          </w:p>
        </w:tc>
        <w:tc>
          <w:tcPr>
            <w:tcW w:w="902" w:type="pct"/>
            <w:tcBorders>
              <w:top w:val="single" w:color="000000" w:sz="8" w:space="0"/>
              <w:left w:val="single" w:color="auto" w:sz="4" w:space="0"/>
              <w:bottom w:val="single" w:color="000000" w:sz="8" w:space="0"/>
              <w:right w:val="single" w:color="000000" w:sz="8" w:space="0"/>
            </w:tcBorders>
            <w:vAlign w:val="center"/>
          </w:tcPr>
          <w:p>
            <w:pPr>
              <w:pStyle w:val="15"/>
              <w:spacing w:before="120" w:after="120"/>
              <w:rPr>
                <w:rFonts w:ascii="仿宋" w:hAnsi="仿宋" w:cs="仿宋"/>
                <w:b/>
                <w:bCs/>
              </w:rPr>
            </w:pPr>
            <w:r>
              <w:rPr>
                <w:rFonts w:hint="eastAsia" w:ascii="仿宋" w:hAnsi="仿宋" w:cs="仿宋"/>
                <w:b/>
                <w:bCs/>
              </w:rPr>
              <w:t>报价要求</w:t>
            </w:r>
          </w:p>
        </w:tc>
        <w:tc>
          <w:tcPr>
            <w:tcW w:w="3732" w:type="pct"/>
            <w:tcBorders>
              <w:top w:val="single" w:color="000000" w:sz="8" w:space="0"/>
              <w:left w:val="single" w:color="000000" w:sz="2" w:space="0"/>
              <w:bottom w:val="single" w:color="000000" w:sz="8" w:space="0"/>
              <w:right w:val="single" w:color="000000" w:sz="8" w:space="0"/>
            </w:tcBorders>
            <w:vAlign w:val="center"/>
          </w:tcPr>
          <w:p>
            <w:pPr>
              <w:snapToGrid w:val="0"/>
              <w:ind w:firstLine="480"/>
              <w:rPr>
                <w:rFonts w:ascii="仿宋" w:hAnsi="仿宋" w:cs="仿宋"/>
                <w:b/>
                <w:kern w:val="0"/>
                <w:lang w:val="zh-CN"/>
              </w:rPr>
            </w:pPr>
            <w:r>
              <w:rPr>
                <w:rFonts w:hint="eastAsia" w:ascii="仿宋" w:hAnsi="仿宋" w:cs="仿宋"/>
                <w:kern w:val="0"/>
                <w:lang w:val="zh-CN"/>
              </w:rPr>
              <w:t>有关本项目实施所需的所有费用（含税费）均计入报价。</w:t>
            </w:r>
            <w:r>
              <w:rPr>
                <w:rFonts w:hint="eastAsia" w:ascii="仿宋" w:hAnsi="仿宋" w:cs="仿宋"/>
              </w:rPr>
              <w:t>初次报价表是报价的唯一载体</w:t>
            </w:r>
            <w:r>
              <w:rPr>
                <w:rFonts w:hint="eastAsia" w:ascii="仿宋" w:hAnsi="仿宋" w:cs="仿宋"/>
                <w:kern w:val="0"/>
                <w:lang w:val="zh-CN"/>
              </w:rPr>
              <w:t>。响应文件中价格全部采用人民币报价。磋商文件未列明，而供应商认为必需的费用也需列入报价。</w:t>
            </w:r>
            <w:r>
              <w:rPr>
                <w:rFonts w:hint="eastAsia" w:ascii="仿宋" w:hAnsi="仿宋" w:cs="仿宋"/>
                <w:b/>
                <w:kern w:val="0"/>
                <w:lang w:val="zh-CN"/>
              </w:rPr>
              <w:t>提醒：验收费用由</w:t>
            </w:r>
            <w:r>
              <w:rPr>
                <w:rFonts w:hint="eastAsia" w:ascii="仿宋" w:hAnsi="仿宋" w:cs="仿宋"/>
                <w:b/>
                <w:kern w:val="0"/>
              </w:rPr>
              <w:t>成交</w:t>
            </w:r>
            <w:r>
              <w:rPr>
                <w:rFonts w:hint="eastAsia" w:ascii="仿宋" w:hAnsi="仿宋" w:cs="仿宋"/>
                <w:b/>
                <w:kern w:val="0"/>
                <w:lang w:val="zh-CN"/>
              </w:rPr>
              <w:t>人承担，包含在响应总价中。</w:t>
            </w:r>
          </w:p>
          <w:p>
            <w:pPr>
              <w:snapToGrid w:val="0"/>
              <w:rPr>
                <w:rFonts w:ascii="仿宋" w:hAnsi="仿宋" w:cs="仿宋"/>
                <w:b/>
                <w:kern w:val="0"/>
                <w:lang w:val="zh-CN"/>
              </w:rPr>
            </w:pPr>
            <w:r>
              <w:rPr>
                <w:rFonts w:hint="eastAsia" w:ascii="仿宋" w:hAnsi="仿宋" w:cs="仿宋"/>
                <w:b/>
                <w:kern w:val="0"/>
                <w:lang w:val="zh-CN"/>
              </w:rPr>
              <w:t>报价出现下列情形的，响应无效：</w:t>
            </w:r>
          </w:p>
          <w:p>
            <w:pPr>
              <w:snapToGrid w:val="0"/>
              <w:rPr>
                <w:rFonts w:ascii="仿宋" w:hAnsi="仿宋" w:cs="仿宋"/>
                <w:b/>
                <w:kern w:val="0"/>
                <w:lang w:val="zh-CN"/>
              </w:rPr>
            </w:pPr>
            <w:r>
              <w:rPr>
                <w:rFonts w:hint="eastAsia" w:ascii="仿宋" w:hAnsi="仿宋" w:cs="仿宋"/>
                <w:b/>
                <w:kern w:val="0"/>
                <w:lang w:val="en-US" w:eastAsia="zh-CN"/>
              </w:rPr>
              <w:t>最后报价</w:t>
            </w:r>
            <w:r>
              <w:rPr>
                <w:rFonts w:hint="eastAsia" w:ascii="仿宋" w:hAnsi="仿宋" w:cs="仿宋"/>
                <w:b/>
                <w:kern w:val="0"/>
                <w:lang w:val="zh-CN"/>
              </w:rPr>
              <w:t>出现不是唯一的、有选择性报价的；</w:t>
            </w:r>
          </w:p>
          <w:p>
            <w:pPr>
              <w:snapToGrid w:val="0"/>
              <w:rPr>
                <w:rFonts w:ascii="仿宋" w:hAnsi="仿宋" w:cs="仿宋"/>
                <w:b/>
                <w:kern w:val="0"/>
                <w:lang w:val="zh-CN"/>
              </w:rPr>
            </w:pPr>
            <w:r>
              <w:rPr>
                <w:rFonts w:hint="eastAsia" w:ascii="仿宋" w:hAnsi="仿宋" w:cs="仿宋"/>
                <w:b/>
                <w:kern w:val="0"/>
                <w:lang w:val="en-US" w:eastAsia="zh-CN"/>
              </w:rPr>
              <w:t>最后</w:t>
            </w:r>
            <w:r>
              <w:rPr>
                <w:rFonts w:hint="eastAsia" w:ascii="仿宋" w:hAnsi="仿宋" w:cs="仿宋"/>
                <w:b/>
                <w:kern w:val="0"/>
                <w:lang w:val="zh-CN"/>
              </w:rPr>
              <w:t>报价超过磋商文件中规定的预算金额或者最高限价的；</w:t>
            </w:r>
          </w:p>
          <w:p>
            <w:pPr>
              <w:snapToGrid w:val="0"/>
              <w:rPr>
                <w:rFonts w:ascii="仿宋" w:hAnsi="仿宋" w:cs="仿宋"/>
                <w:b/>
                <w:kern w:val="0"/>
                <w:lang w:val="zh-CN"/>
              </w:rPr>
            </w:pPr>
            <w:r>
              <w:rPr>
                <w:rFonts w:hint="eastAsia" w:ascii="仿宋" w:hAnsi="仿宋" w:cs="仿宋"/>
                <w:b/>
                <w:kern w:val="0"/>
                <w:lang w:val="en-US" w:eastAsia="zh-CN"/>
              </w:rPr>
              <w:t>最后</w:t>
            </w:r>
            <w:r>
              <w:rPr>
                <w:rFonts w:hint="eastAsia" w:ascii="仿宋" w:hAnsi="仿宋" w:cs="仿宋"/>
                <w:b/>
                <w:kern w:val="0"/>
                <w:lang w:val="zh-CN"/>
              </w:rPr>
              <w:t>报价明显低于其他通过符合性审查供应商的报价，有可能影响产品质量或者不能诚信履约的，未能按要求提供书面说明或者提交相关证明材料证明其报价合理性的；</w:t>
            </w:r>
          </w:p>
          <w:p>
            <w:pPr>
              <w:snapToGrid w:val="0"/>
              <w:rPr>
                <w:rFonts w:ascii="仿宋" w:hAnsi="仿宋" w:cs="仿宋"/>
              </w:rPr>
            </w:pPr>
            <w:r>
              <w:rPr>
                <w:rFonts w:hint="eastAsia" w:ascii="仿宋" w:hAnsi="仿宋" w:cs="仿宋"/>
                <w:b/>
                <w:kern w:val="0"/>
                <w:lang w:val="zh-CN"/>
              </w:rPr>
              <w:t>供应商对根</w:t>
            </w:r>
            <w:r>
              <w:rPr>
                <w:rFonts w:hint="eastAsia" w:ascii="仿宋" w:hAnsi="仿宋" w:cs="仿宋"/>
                <w:b/>
                <w:kern w:val="0"/>
              </w:rPr>
              <w:t>据修正原则修正后的报价不确认的</w:t>
            </w:r>
            <w:r>
              <w:rPr>
                <w:rFonts w:hint="eastAsia" w:ascii="仿宋" w:hAnsi="仿宋" w:cs="仿宋"/>
                <w:b/>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pPr>
              <w:pStyle w:val="15"/>
              <w:spacing w:before="120" w:after="120"/>
              <w:rPr>
                <w:rFonts w:ascii="仿宋" w:hAnsi="仿宋" w:cs="仿宋"/>
              </w:rPr>
            </w:pPr>
            <w:r>
              <w:rPr>
                <w:rFonts w:hint="eastAsia" w:ascii="仿宋" w:hAnsi="仿宋" w:cs="仿宋"/>
              </w:rPr>
              <w:t>2</w:t>
            </w:r>
          </w:p>
        </w:tc>
        <w:tc>
          <w:tcPr>
            <w:tcW w:w="902" w:type="pct"/>
            <w:tcBorders>
              <w:top w:val="single" w:color="000000" w:sz="8" w:space="0"/>
              <w:left w:val="single" w:color="auto" w:sz="4" w:space="0"/>
              <w:bottom w:val="single" w:color="000000" w:sz="8" w:space="0"/>
              <w:right w:val="single" w:color="000000" w:sz="8" w:space="0"/>
            </w:tcBorders>
            <w:vAlign w:val="center"/>
          </w:tcPr>
          <w:p>
            <w:pPr>
              <w:pStyle w:val="15"/>
              <w:spacing w:before="120" w:after="120"/>
              <w:rPr>
                <w:rFonts w:ascii="仿宋" w:hAnsi="仿宋" w:cs="仿宋"/>
                <w:b/>
                <w:bCs/>
              </w:rPr>
            </w:pPr>
            <w:r>
              <w:rPr>
                <w:rFonts w:hint="eastAsia" w:ascii="仿宋" w:hAnsi="仿宋" w:cs="仿宋"/>
                <w:b/>
                <w:bCs/>
              </w:rPr>
              <w:t>分包</w:t>
            </w:r>
          </w:p>
        </w:tc>
        <w:tc>
          <w:tcPr>
            <w:tcW w:w="3732" w:type="pct"/>
            <w:tcBorders>
              <w:top w:val="single" w:color="000000" w:sz="8" w:space="0"/>
              <w:left w:val="single" w:color="000000" w:sz="2" w:space="0"/>
              <w:bottom w:val="single" w:color="000000" w:sz="8" w:space="0"/>
              <w:right w:val="single" w:color="000000" w:sz="8" w:space="0"/>
            </w:tcBorders>
            <w:vAlign w:val="center"/>
          </w:tcPr>
          <w:p>
            <w:pPr>
              <w:ind w:firstLine="480"/>
              <w:rPr>
                <w:rFonts w:ascii="仿宋" w:hAnsi="仿宋" w:cs="仿宋"/>
              </w:rPr>
            </w:pPr>
            <w:sdt>
              <w:sdtPr>
                <w:rPr>
                  <w:rFonts w:hint="eastAsia" w:ascii="仿宋" w:hAnsi="仿宋" w:cs="仿宋"/>
                  <w:kern w:val="0"/>
                </w:rPr>
                <w:id w:val="-1477286927"/>
                <w14:checkbox>
                  <w14:checked w14:val="0"/>
                  <w14:checkedState w14:val="00FE" w14:font="Wingdings"/>
                  <w14:uncheckedState w14:val="2610" w14:font="MS Gothic"/>
                </w14:checkbox>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同意将非主体、非关键性的工作分包。</w:t>
            </w:r>
          </w:p>
          <w:p>
            <w:pPr>
              <w:ind w:firstLine="480"/>
              <w:rPr>
                <w:rFonts w:ascii="仿宋" w:hAnsi="仿宋" w:cs="仿宋"/>
              </w:rPr>
            </w:pPr>
            <w:sdt>
              <w:sdtPr>
                <w:rPr>
                  <w:rFonts w:hint="eastAsia" w:ascii="仿宋" w:hAnsi="仿宋" w:cs="仿宋"/>
                  <w:kern w:val="0"/>
                </w:rPr>
                <w:id w:val="-1276331357"/>
                <w14:checkbox>
                  <w14:checked w14:val="1"/>
                  <w14:checkedState w14:val="00FE" w14:font="Wingdings"/>
                  <w14:uncheckedState w14:val="2610" w14:font="MS Gothic"/>
                </w14:checkbox>
              </w:sdtPr>
              <w:sdtEndPr>
                <w:rPr>
                  <w:rFonts w:hint="eastAsia" w:ascii="仿宋" w:hAnsi="仿宋" w:cs="仿宋"/>
                  <w:kern w:val="0"/>
                </w:rPr>
              </w:sdtEndPr>
              <w:sdtContent>
                <w:r>
                  <w:rPr>
                    <w:rFonts w:hint="eastAsia" w:ascii="仿宋" w:hAnsi="仿宋" w:cs="仿宋"/>
                    <w:kern w:val="0"/>
                  </w:rPr>
                  <w:sym w:font="Wingdings" w:char="F0FE"/>
                </w:r>
              </w:sdtContent>
            </w:sdt>
            <w:r>
              <w:rPr>
                <w:rFonts w:hint="eastAsia" w:ascii="仿宋" w:hAnsi="仿宋" w:cs="仿宋"/>
                <w:kern w:val="0"/>
              </w:rPr>
              <w:t>B</w:t>
            </w:r>
            <w:r>
              <w:rPr>
                <w:rFonts w:hint="eastAsia" w:ascii="仿宋" w:hAnsi="仿宋" w:cs="仿宋"/>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365" w:type="pct"/>
            <w:vMerge w:val="restart"/>
            <w:tcBorders>
              <w:top w:val="single" w:color="auto" w:sz="4" w:space="0"/>
              <w:left w:val="single" w:color="auto" w:sz="4" w:space="0"/>
              <w:right w:val="single" w:color="auto" w:sz="4" w:space="0"/>
            </w:tcBorders>
            <w:vAlign w:val="center"/>
          </w:tcPr>
          <w:p>
            <w:pPr>
              <w:pStyle w:val="15"/>
              <w:spacing w:before="120" w:after="120"/>
              <w:rPr>
                <w:rFonts w:ascii="仿宋" w:hAnsi="仿宋" w:cs="仿宋"/>
              </w:rPr>
            </w:pPr>
            <w:r>
              <w:rPr>
                <w:rFonts w:hint="eastAsia" w:ascii="仿宋" w:hAnsi="仿宋" w:cs="仿宋"/>
              </w:rPr>
              <w:t>3</w:t>
            </w:r>
          </w:p>
        </w:tc>
        <w:tc>
          <w:tcPr>
            <w:tcW w:w="902" w:type="pct"/>
            <w:vMerge w:val="restart"/>
            <w:tcBorders>
              <w:top w:val="single" w:color="000000" w:sz="8" w:space="0"/>
              <w:left w:val="single" w:color="auto" w:sz="4" w:space="0"/>
              <w:right w:val="single" w:color="000000" w:sz="8" w:space="0"/>
            </w:tcBorders>
            <w:vAlign w:val="center"/>
          </w:tcPr>
          <w:p>
            <w:pPr>
              <w:pStyle w:val="15"/>
              <w:spacing w:before="120" w:after="120"/>
              <w:rPr>
                <w:rFonts w:ascii="仿宋" w:hAnsi="仿宋" w:cs="仿宋"/>
                <w:b/>
                <w:bCs/>
              </w:rPr>
            </w:pPr>
            <w:r>
              <w:rPr>
                <w:rFonts w:hint="eastAsia" w:ascii="仿宋" w:hAnsi="仿宋" w:cs="仿宋"/>
                <w:b/>
                <w:bCs/>
              </w:rPr>
              <w:t>供应商应当提供的</w:t>
            </w:r>
            <w:r>
              <w:rPr>
                <w:rFonts w:hint="eastAsia" w:ascii="仿宋" w:hAnsi="仿宋" w:cs="仿宋"/>
                <w:b/>
                <w:bCs/>
                <w:lang w:val="en-US"/>
              </w:rPr>
              <w:t>响应文件</w:t>
            </w:r>
          </w:p>
        </w:tc>
        <w:tc>
          <w:tcPr>
            <w:tcW w:w="3732" w:type="pct"/>
            <w:tcBorders>
              <w:top w:val="single" w:color="000000" w:sz="8" w:space="0"/>
              <w:left w:val="single" w:color="000000" w:sz="2" w:space="0"/>
              <w:bottom w:val="single" w:color="auto" w:sz="4" w:space="0"/>
              <w:right w:val="single" w:color="000000" w:sz="8" w:space="0"/>
            </w:tcBorders>
            <w:vAlign w:val="center"/>
          </w:tcPr>
          <w:p>
            <w:pPr>
              <w:ind w:firstLine="480"/>
              <w:rPr>
                <w:rFonts w:ascii="仿宋" w:hAnsi="仿宋" w:cs="仿宋"/>
              </w:rPr>
            </w:pPr>
            <w:r>
              <w:rPr>
                <w:rFonts w:hint="eastAsia" w:ascii="仿宋" w:hAnsi="仿宋" w:cs="仿宋"/>
              </w:rPr>
              <w:t>（1）资格证明文件：见磋商文件第二部分11.1。</w:t>
            </w:r>
          </w:p>
          <w:p>
            <w:pPr>
              <w:ind w:firstLine="480"/>
              <w:rPr>
                <w:rFonts w:ascii="仿宋" w:hAnsi="仿宋" w:cs="仿宋"/>
                <w:snapToGrid w:val="0"/>
                <w:kern w:val="0"/>
                <w:szCs w:val="21"/>
              </w:rPr>
            </w:pPr>
            <w:r>
              <w:rPr>
                <w:rFonts w:hint="eastAsia" w:ascii="仿宋" w:hAnsi="仿宋" w:cs="仿宋"/>
                <w:kern w:val="0"/>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3" w:hRule="atLeast"/>
          <w:tblHeader/>
        </w:trPr>
        <w:tc>
          <w:tcPr>
            <w:tcW w:w="365" w:type="pct"/>
            <w:vMerge w:val="continue"/>
            <w:tcBorders>
              <w:left w:val="single" w:color="auto" w:sz="4" w:space="0"/>
              <w:bottom w:val="single" w:color="auto" w:sz="4" w:space="0"/>
              <w:right w:val="single" w:color="auto" w:sz="4" w:space="0"/>
            </w:tcBorders>
            <w:vAlign w:val="center"/>
          </w:tcPr>
          <w:p>
            <w:pPr>
              <w:pStyle w:val="15"/>
              <w:spacing w:before="120" w:after="120"/>
              <w:rPr>
                <w:rFonts w:ascii="仿宋" w:hAnsi="仿宋" w:cs="仿宋"/>
              </w:rPr>
            </w:pPr>
          </w:p>
        </w:tc>
        <w:tc>
          <w:tcPr>
            <w:tcW w:w="902" w:type="pct"/>
            <w:vMerge w:val="continue"/>
            <w:tcBorders>
              <w:left w:val="single" w:color="auto" w:sz="4" w:space="0"/>
              <w:bottom w:val="single" w:color="000000" w:sz="8" w:space="0"/>
              <w:right w:val="single" w:color="000000" w:sz="8" w:space="0"/>
            </w:tcBorders>
            <w:vAlign w:val="center"/>
          </w:tcPr>
          <w:p>
            <w:pPr>
              <w:pStyle w:val="15"/>
              <w:spacing w:before="120" w:after="120"/>
              <w:rPr>
                <w:rFonts w:ascii="仿宋" w:hAnsi="仿宋" w:cs="仿宋"/>
                <w:b/>
                <w:bCs/>
              </w:rPr>
            </w:pPr>
          </w:p>
        </w:tc>
        <w:tc>
          <w:tcPr>
            <w:tcW w:w="3732" w:type="pct"/>
            <w:tcBorders>
              <w:top w:val="single" w:color="auto" w:sz="4" w:space="0"/>
              <w:left w:val="single" w:color="000000" w:sz="2" w:space="0"/>
              <w:bottom w:val="single" w:color="000000" w:sz="8" w:space="0"/>
              <w:right w:val="single" w:color="000000" w:sz="8" w:space="0"/>
            </w:tcBorders>
            <w:vAlign w:val="center"/>
          </w:tcPr>
          <w:p>
            <w:pPr>
              <w:ind w:firstLine="480"/>
              <w:rPr>
                <w:rFonts w:ascii="仿宋" w:hAnsi="仿宋" w:cs="仿宋"/>
              </w:rPr>
            </w:pPr>
            <w:r>
              <w:rPr>
                <w:rFonts w:hint="eastAsia" w:ascii="仿宋" w:hAnsi="仿宋" w:cs="仿宋"/>
              </w:rPr>
              <w:t>（2）商务技术文件：见磋商文件第二部分11.2。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3" w:hRule="atLeast"/>
          <w:tblHeader/>
        </w:trPr>
        <w:tc>
          <w:tcPr>
            <w:tcW w:w="365" w:type="pct"/>
            <w:vMerge w:val="continue"/>
            <w:tcBorders>
              <w:left w:val="single" w:color="auto" w:sz="4" w:space="0"/>
              <w:bottom w:val="single" w:color="auto" w:sz="4" w:space="0"/>
              <w:right w:val="single" w:color="auto" w:sz="4" w:space="0"/>
            </w:tcBorders>
            <w:vAlign w:val="center"/>
          </w:tcPr>
          <w:p>
            <w:pPr>
              <w:ind w:firstLine="480"/>
            </w:pPr>
          </w:p>
        </w:tc>
        <w:tc>
          <w:tcPr>
            <w:tcW w:w="902" w:type="pct"/>
            <w:vMerge w:val="continue"/>
            <w:tcBorders>
              <w:left w:val="single" w:color="auto" w:sz="4" w:space="0"/>
              <w:bottom w:val="single" w:color="000000" w:sz="8" w:space="0"/>
              <w:right w:val="single" w:color="000000" w:sz="8" w:space="0"/>
            </w:tcBorders>
            <w:vAlign w:val="center"/>
          </w:tcPr>
          <w:p>
            <w:pPr>
              <w:ind w:firstLine="480"/>
            </w:pPr>
          </w:p>
        </w:tc>
        <w:tc>
          <w:tcPr>
            <w:tcW w:w="3732" w:type="pct"/>
            <w:tcBorders>
              <w:top w:val="single" w:color="auto" w:sz="4" w:space="0"/>
              <w:left w:val="single" w:color="000000" w:sz="2" w:space="0"/>
              <w:bottom w:val="single" w:color="000000" w:sz="8" w:space="0"/>
              <w:right w:val="single" w:color="000000" w:sz="8" w:space="0"/>
            </w:tcBorders>
            <w:vAlign w:val="center"/>
          </w:tcPr>
          <w:p>
            <w:pPr>
              <w:ind w:firstLine="480"/>
              <w:rPr>
                <w:rFonts w:ascii="仿宋" w:hAnsi="仿宋" w:cs="仿宋"/>
              </w:rPr>
            </w:pPr>
            <w:r>
              <w:rPr>
                <w:rFonts w:hint="eastAsia" w:ascii="仿宋" w:hAnsi="仿宋" w:cs="仿宋"/>
              </w:rPr>
              <w:t>（3）报价文件：见磋商文件第二部分11.3。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7" w:hRule="atLeast"/>
          <w:tblHeader/>
        </w:trPr>
        <w:tc>
          <w:tcPr>
            <w:tcW w:w="365" w:type="pct"/>
            <w:tcBorders>
              <w:top w:val="single" w:color="auto" w:sz="4" w:space="0"/>
              <w:left w:val="single" w:color="auto" w:sz="4" w:space="0"/>
              <w:bottom w:val="single" w:color="auto" w:sz="4" w:space="0"/>
              <w:right w:val="single" w:color="auto" w:sz="4" w:space="0"/>
            </w:tcBorders>
            <w:vAlign w:val="center"/>
          </w:tcPr>
          <w:p>
            <w:pPr>
              <w:pStyle w:val="15"/>
              <w:spacing w:before="120" w:after="120"/>
              <w:rPr>
                <w:rFonts w:ascii="仿宋" w:hAnsi="仿宋" w:cs="仿宋"/>
              </w:rPr>
            </w:pPr>
            <w:r>
              <w:rPr>
                <w:rFonts w:hint="eastAsia" w:ascii="仿宋" w:hAnsi="仿宋" w:cs="仿宋"/>
              </w:rPr>
              <w:t>4</w:t>
            </w:r>
          </w:p>
        </w:tc>
        <w:tc>
          <w:tcPr>
            <w:tcW w:w="902" w:type="pct"/>
            <w:tcBorders>
              <w:top w:val="single" w:color="000000" w:sz="8" w:space="0"/>
              <w:left w:val="single" w:color="auto" w:sz="4" w:space="0"/>
              <w:bottom w:val="single" w:color="000000" w:sz="8" w:space="0"/>
              <w:right w:val="single" w:color="000000" w:sz="8" w:space="0"/>
            </w:tcBorders>
            <w:vAlign w:val="center"/>
          </w:tcPr>
          <w:p>
            <w:pPr>
              <w:pStyle w:val="15"/>
              <w:spacing w:before="120" w:after="120"/>
              <w:rPr>
                <w:rFonts w:ascii="仿宋" w:hAnsi="仿宋" w:cs="仿宋"/>
                <w:b/>
                <w:bCs/>
              </w:rPr>
            </w:pPr>
            <w:r>
              <w:rPr>
                <w:rFonts w:hint="eastAsia" w:ascii="仿宋_GB2312" w:hAnsi="仿宋" w:eastAsia="仿宋_GB2312" w:cs="仿宋_GB2312"/>
                <w:b/>
              </w:rPr>
              <w:t>开启响应文件前答疑会或现场考察</w:t>
            </w:r>
          </w:p>
        </w:tc>
        <w:tc>
          <w:tcPr>
            <w:tcW w:w="3732" w:type="pct"/>
            <w:tcBorders>
              <w:top w:val="single" w:color="000000" w:sz="8" w:space="0"/>
              <w:left w:val="single" w:color="000000" w:sz="2" w:space="0"/>
              <w:bottom w:val="single" w:color="000000" w:sz="8" w:space="0"/>
              <w:right w:val="single" w:color="000000" w:sz="8" w:space="0"/>
            </w:tcBorders>
            <w:vAlign w:val="center"/>
          </w:tcPr>
          <w:p>
            <w:pPr>
              <w:ind w:firstLine="480"/>
              <w:rPr>
                <w:rFonts w:ascii="仿宋_GB2312" w:hAnsi="仿宋" w:eastAsia="仿宋_GB2312"/>
              </w:rPr>
            </w:pPr>
            <w:sdt>
              <w:sdtPr>
                <w:rPr>
                  <w:rFonts w:hint="eastAsia" w:ascii="仿宋_GB2312" w:hAnsi="仿宋" w:eastAsia="仿宋_GB2312" w:cs="Arial"/>
                  <w:kern w:val="0"/>
                </w:rPr>
                <w:id w:val="-212966419"/>
                <w14:checkbox>
                  <w14:checked w14:val="1"/>
                  <w14:checkedState w14:val="00FE" w14:font="Wingdings"/>
                  <w14:uncheckedState w14:val="2610" w14:font="MS Gothic"/>
                </w14:checkbox>
              </w:sdtPr>
              <w:sdtEndPr>
                <w:rPr>
                  <w:rFonts w:hint="eastAsia" w:ascii="仿宋_GB2312" w:hAnsi="仿宋" w:eastAsia="仿宋_GB2312" w:cs="Arial"/>
                  <w:kern w:val="0"/>
                </w:rPr>
              </w:sdtEndPr>
              <w:sdtContent>
                <w:r>
                  <w:rPr>
                    <w:rFonts w:ascii="仿宋_GB2312" w:hAnsi="仿宋" w:eastAsia="仿宋_GB2312" w:cs="Arial"/>
                    <w:kern w:val="0"/>
                  </w:rPr>
                  <w:sym w:font="Wingdings" w:char="F0FE"/>
                </w:r>
              </w:sdtContent>
            </w:sdt>
            <w:r>
              <w:rPr>
                <w:rFonts w:ascii="仿宋_GB2312" w:hAnsi="仿宋" w:eastAsia="仿宋_GB2312" w:cs="Arial"/>
                <w:kern w:val="0"/>
              </w:rPr>
              <w:t>A</w:t>
            </w:r>
            <w:r>
              <w:rPr>
                <w:rFonts w:hint="eastAsia" w:ascii="仿宋_GB2312" w:hAnsi="仿宋" w:eastAsia="仿宋_GB2312"/>
              </w:rPr>
              <w:t>不组织。</w:t>
            </w:r>
          </w:p>
          <w:p>
            <w:pPr>
              <w:ind w:firstLine="480"/>
              <w:rPr>
                <w:rFonts w:ascii="仿宋" w:hAnsi="仿宋" w:cs="仿宋"/>
              </w:rPr>
            </w:pPr>
            <w:sdt>
              <w:sdtPr>
                <w:rPr>
                  <w:rFonts w:hint="eastAsia" w:ascii="仿宋_GB2312" w:hAnsi="仿宋" w:eastAsia="仿宋_GB2312" w:cs="Arial"/>
                  <w:kern w:val="0"/>
                </w:rPr>
                <w:id w:val="-999802974"/>
                <w14:checkbox>
                  <w14:checked w14:val="0"/>
                  <w14:checkedState w14:val="00FE" w14:font="Wingdings"/>
                  <w14:uncheckedState w14:val="2610" w14:font="MS Gothic"/>
                </w14:checkbox>
              </w:sdtPr>
              <w:sdtEndPr>
                <w:rPr>
                  <w:rFonts w:hint="eastAsia" w:ascii="仿宋_GB2312" w:hAnsi="仿宋" w:eastAsia="仿宋_GB2312" w:cs="Arial"/>
                  <w:kern w:val="0"/>
                </w:rPr>
              </w:sdtEndPr>
              <w:sdtContent>
                <w:r>
                  <w:rPr>
                    <w:rFonts w:ascii="MS Gothic" w:hAnsi="MS Gothic" w:eastAsia="MS Gothic" w:cs="Arial"/>
                    <w:kern w:val="0"/>
                  </w:rPr>
                  <w:t>☐</w:t>
                </w:r>
              </w:sdtContent>
            </w:sdt>
            <w:r>
              <w:rPr>
                <w:rFonts w:ascii="仿宋_GB2312" w:hAnsi="仿宋" w:eastAsia="仿宋_GB2312"/>
                <w:kern w:val="0"/>
              </w:rPr>
              <w:t>B组织，</w:t>
            </w:r>
            <w:r>
              <w:rPr>
                <w:rFonts w:hint="eastAsia" w:ascii="仿宋_GB2312" w:hAnsi="仿宋" w:eastAsia="仿宋_GB2312"/>
              </w:rPr>
              <w:t>时间：，</w:t>
            </w:r>
            <w:r>
              <w:rPr>
                <w:rFonts w:ascii="仿宋_GB2312" w:hAnsi="仿宋" w:eastAsia="仿宋_GB2312"/>
              </w:rPr>
              <w:t>地点：</w:t>
            </w:r>
            <w:r>
              <w:rPr>
                <w:rFonts w:hint="eastAsia" w:ascii="仿宋_GB2312" w:hAnsi="仿宋" w:eastAsia="仿宋_GB2312"/>
              </w:rPr>
              <w:t>，联系人：，联系方式：</w:t>
            </w:r>
            <w:r>
              <w:rPr>
                <w:rFonts w:hint="eastAsia" w:ascii="仿宋_GB2312" w:hAnsi="仿宋" w:eastAsia="仿宋_GB2312"/>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7" w:hRule="atLeast"/>
          <w:tblHeader/>
        </w:trPr>
        <w:tc>
          <w:tcPr>
            <w:tcW w:w="365" w:type="pct"/>
            <w:tcBorders>
              <w:top w:val="single" w:color="auto" w:sz="4" w:space="0"/>
              <w:left w:val="single" w:color="auto" w:sz="4" w:space="0"/>
              <w:bottom w:val="single" w:color="auto" w:sz="4" w:space="0"/>
              <w:right w:val="single" w:color="auto" w:sz="4" w:space="0"/>
            </w:tcBorders>
            <w:vAlign w:val="center"/>
          </w:tcPr>
          <w:p>
            <w:pPr>
              <w:pStyle w:val="15"/>
              <w:spacing w:before="120" w:after="120"/>
              <w:rPr>
                <w:rFonts w:ascii="仿宋" w:hAnsi="仿宋" w:cs="仿宋"/>
              </w:rPr>
            </w:pPr>
            <w:r>
              <w:rPr>
                <w:rFonts w:hint="eastAsia" w:ascii="仿宋" w:hAnsi="仿宋" w:cs="仿宋"/>
              </w:rPr>
              <w:t>5</w:t>
            </w:r>
          </w:p>
        </w:tc>
        <w:tc>
          <w:tcPr>
            <w:tcW w:w="902" w:type="pct"/>
            <w:tcBorders>
              <w:top w:val="single" w:color="000000" w:sz="8" w:space="0"/>
              <w:left w:val="single" w:color="auto" w:sz="4" w:space="0"/>
              <w:bottom w:val="single" w:color="000000" w:sz="8" w:space="0"/>
              <w:right w:val="single" w:color="000000" w:sz="8" w:space="0"/>
            </w:tcBorders>
            <w:vAlign w:val="center"/>
          </w:tcPr>
          <w:p>
            <w:pPr>
              <w:pStyle w:val="15"/>
              <w:spacing w:before="120" w:after="120"/>
              <w:rPr>
                <w:rFonts w:ascii="仿宋" w:hAnsi="仿宋" w:cs="仿宋"/>
                <w:b/>
                <w:bCs/>
              </w:rPr>
            </w:pPr>
            <w:r>
              <w:rPr>
                <w:rFonts w:hint="eastAsia" w:ascii="仿宋" w:hAnsi="仿宋" w:cs="仿宋"/>
                <w:b/>
                <w:bCs/>
              </w:rPr>
              <w:t>项目属性与核心产品</w:t>
            </w:r>
          </w:p>
        </w:tc>
        <w:tc>
          <w:tcPr>
            <w:tcW w:w="3732" w:type="pct"/>
            <w:tcBorders>
              <w:top w:val="single" w:color="000000" w:sz="8" w:space="0"/>
              <w:left w:val="single" w:color="000000" w:sz="2" w:space="0"/>
              <w:bottom w:val="single" w:color="000000" w:sz="8" w:space="0"/>
              <w:right w:val="single" w:color="000000" w:sz="8" w:space="0"/>
            </w:tcBorders>
            <w:vAlign w:val="center"/>
          </w:tcPr>
          <w:p>
            <w:pPr>
              <w:ind w:firstLine="480"/>
              <w:rPr>
                <w:rFonts w:ascii="仿宋" w:hAnsi="仿宋" w:cs="仿宋"/>
              </w:rPr>
            </w:pPr>
            <w:sdt>
              <w:sdtPr>
                <w:rPr>
                  <w:rFonts w:hint="eastAsia" w:ascii="仿宋" w:hAnsi="仿宋" w:cs="仿宋"/>
                  <w:kern w:val="0"/>
                </w:rPr>
                <w:id w:val="118727868"/>
                <w14:checkbox>
                  <w14:checked w14:val="0"/>
                  <w14:checkedState w14:val="00FE" w14:font="Wingdings"/>
                  <w14:uncheckedState w14:val="2610" w14:font="MS Gothic"/>
                </w14:checkbox>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货物类，单一产品或</w:t>
            </w:r>
            <w:r>
              <w:rPr>
                <w:rFonts w:hint="eastAsia" w:ascii="仿宋" w:hAnsi="仿宋" w:cs="仿宋"/>
                <w:kern w:val="0"/>
              </w:rPr>
              <w:t>核心产品为：</w:t>
            </w:r>
            <w:r>
              <w:rPr>
                <w:rFonts w:hint="eastAsia" w:ascii="仿宋" w:hAnsi="仿宋" w:cs="仿宋"/>
              </w:rPr>
              <w:t>。</w:t>
            </w:r>
          </w:p>
          <w:p>
            <w:pPr>
              <w:ind w:firstLine="480"/>
              <w:rPr>
                <w:rFonts w:ascii="仿宋" w:hAnsi="仿宋" w:cs="仿宋"/>
              </w:rPr>
            </w:pPr>
            <w:sdt>
              <w:sdtPr>
                <w:rPr>
                  <w:rFonts w:hint="eastAsia" w:ascii="仿宋" w:hAnsi="仿宋" w:cs="仿宋"/>
                  <w:kern w:val="0"/>
                </w:rPr>
                <w:id w:val="474885559"/>
                <w14:checkbox>
                  <w14:checked w14:val="1"/>
                  <w14:checkedState w14:val="00FE" w14:font="Wingdings"/>
                  <w14:uncheckedState w14:val="2610" w14:font="MS Gothic"/>
                </w14:checkbox>
              </w:sdtPr>
              <w:sdtEndPr>
                <w:rPr>
                  <w:rFonts w:hint="eastAsia" w:ascii="仿宋" w:hAnsi="仿宋" w:cs="仿宋"/>
                  <w:kern w:val="0"/>
                </w:rPr>
              </w:sdtEndPr>
              <w:sdtContent>
                <w:r>
                  <w:rPr>
                    <w:rFonts w:hint="eastAsia" w:ascii="Wingdings" w:hAnsi="Wingdings" w:cs="仿宋"/>
                    <w:kern w:val="0"/>
                  </w:rPr>
                  <w:t>þ</w:t>
                </w:r>
              </w:sdtContent>
            </w:sdt>
            <w:r>
              <w:rPr>
                <w:rFonts w:hint="eastAsia" w:ascii="仿宋" w:hAnsi="仿宋" w:cs="仿宋"/>
                <w:kern w:val="0"/>
              </w:rPr>
              <w:t>B</w:t>
            </w:r>
            <w:r>
              <w:rPr>
                <w:rFonts w:hint="eastAsia" w:ascii="仿宋" w:hAnsi="仿宋" w:cs="仿宋"/>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5" w:type="pct"/>
            <w:tcBorders>
              <w:top w:val="single" w:color="auto" w:sz="4" w:space="0"/>
              <w:left w:val="single" w:color="auto" w:sz="4" w:space="0"/>
              <w:bottom w:val="single" w:color="auto" w:sz="4" w:space="0"/>
              <w:right w:val="single" w:color="auto" w:sz="4" w:space="0"/>
            </w:tcBorders>
            <w:vAlign w:val="center"/>
          </w:tcPr>
          <w:p>
            <w:pPr>
              <w:pStyle w:val="15"/>
              <w:spacing w:before="120" w:after="120"/>
              <w:rPr>
                <w:rFonts w:ascii="仿宋" w:hAnsi="仿宋" w:cs="仿宋"/>
                <w:b/>
                <w:bCs/>
              </w:rPr>
            </w:pPr>
            <w:r>
              <w:rPr>
                <w:rFonts w:hint="eastAsia" w:ascii="仿宋" w:hAnsi="仿宋" w:cs="仿宋"/>
                <w:b/>
                <w:bCs/>
              </w:rPr>
              <w:t>6</w:t>
            </w:r>
          </w:p>
        </w:tc>
        <w:tc>
          <w:tcPr>
            <w:tcW w:w="902" w:type="pct"/>
            <w:tcBorders>
              <w:top w:val="single" w:color="000000" w:sz="8" w:space="0"/>
              <w:left w:val="single" w:color="auto" w:sz="4" w:space="0"/>
              <w:bottom w:val="single" w:color="000000" w:sz="8" w:space="0"/>
              <w:right w:val="single" w:color="000000" w:sz="8" w:space="0"/>
            </w:tcBorders>
            <w:vAlign w:val="center"/>
          </w:tcPr>
          <w:p>
            <w:pPr>
              <w:pStyle w:val="15"/>
              <w:spacing w:before="120" w:after="120"/>
              <w:rPr>
                <w:rFonts w:ascii="仿宋" w:hAnsi="仿宋" w:cs="仿宋"/>
                <w:b/>
                <w:bCs/>
              </w:rPr>
            </w:pPr>
            <w:r>
              <w:rPr>
                <w:rFonts w:hint="eastAsia" w:ascii="仿宋" w:hAnsi="仿宋" w:cs="仿宋"/>
                <w:b/>
                <w:bCs/>
              </w:rPr>
              <w:t>采购标的对应的中小企业划分标准所属行业</w:t>
            </w:r>
          </w:p>
        </w:tc>
        <w:tc>
          <w:tcPr>
            <w:tcW w:w="3732" w:type="pct"/>
            <w:tcBorders>
              <w:top w:val="single" w:color="000000" w:sz="8" w:space="0"/>
              <w:left w:val="single" w:color="000000" w:sz="2" w:space="0"/>
              <w:bottom w:val="single" w:color="000000" w:sz="8" w:space="0"/>
              <w:right w:val="single" w:color="000000" w:sz="8" w:space="0"/>
            </w:tcBorders>
            <w:vAlign w:val="center"/>
          </w:tcPr>
          <w:p>
            <w:pPr>
              <w:snapToGrid w:val="0"/>
              <w:ind w:firstLine="480"/>
              <w:rPr>
                <w:rFonts w:ascii="仿宋" w:hAnsi="仿宋" w:cs="仿宋"/>
              </w:rPr>
            </w:pPr>
            <w:r>
              <w:rPr>
                <w:rFonts w:hint="eastAsia" w:ascii="仿宋_GB2312" w:hAnsi="仿宋" w:eastAsia="仿宋_GB2312" w:cs="Arial"/>
                <w:kern w:val="0"/>
              </w:rPr>
              <w:t>采购标的属于</w:t>
            </w:r>
            <w:r>
              <w:rPr>
                <w:rFonts w:hint="eastAsia"/>
                <w:b/>
                <w:bCs/>
                <w:u w:val="single"/>
              </w:rPr>
              <w:t>软件和信息技术服务业</w:t>
            </w:r>
            <w:r>
              <w:rPr>
                <w:rFonts w:hint="eastAsia" w:ascii="仿宋_GB2312" w:hAnsi="仿宋" w:eastAsia="仿宋_GB2312" w:cs="Arial"/>
                <w:kern w:val="0"/>
              </w:rPr>
              <w:t>行业</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pPr>
              <w:pStyle w:val="15"/>
              <w:spacing w:before="120" w:after="120"/>
              <w:rPr>
                <w:rFonts w:ascii="仿宋" w:hAnsi="仿宋" w:cs="仿宋"/>
                <w:b/>
                <w:bCs/>
                <w:lang w:val="en-US"/>
              </w:rPr>
            </w:pPr>
            <w:r>
              <w:rPr>
                <w:rFonts w:hint="eastAsia" w:ascii="仿宋" w:hAnsi="仿宋" w:cs="仿宋"/>
                <w:b/>
                <w:bCs/>
                <w:lang w:val="en-US"/>
              </w:rPr>
              <w:t>7</w:t>
            </w:r>
          </w:p>
        </w:tc>
        <w:tc>
          <w:tcPr>
            <w:tcW w:w="902" w:type="pct"/>
            <w:tcBorders>
              <w:top w:val="single" w:color="000000" w:sz="8" w:space="0"/>
              <w:left w:val="single" w:color="000000" w:sz="2" w:space="0"/>
              <w:bottom w:val="single" w:color="000000" w:sz="8" w:space="0"/>
              <w:right w:val="single" w:color="000000" w:sz="8" w:space="0"/>
            </w:tcBorders>
            <w:vAlign w:val="center"/>
          </w:tcPr>
          <w:p>
            <w:pPr>
              <w:pStyle w:val="15"/>
              <w:spacing w:before="120" w:after="120"/>
              <w:rPr>
                <w:rFonts w:ascii="仿宋" w:hAnsi="仿宋" w:cs="仿宋"/>
                <w:b/>
                <w:bCs/>
              </w:rPr>
            </w:pPr>
            <w:r>
              <w:rPr>
                <w:rFonts w:hint="eastAsia" w:ascii="仿宋" w:hAnsi="仿宋" w:cs="仿宋"/>
                <w:b/>
                <w:bCs/>
                <w:lang w:val="en-US"/>
              </w:rPr>
              <w:t>代理服务费</w:t>
            </w:r>
          </w:p>
        </w:tc>
        <w:tc>
          <w:tcPr>
            <w:tcW w:w="3732" w:type="pct"/>
            <w:tcBorders>
              <w:top w:val="single" w:color="000000" w:sz="8" w:space="0"/>
              <w:left w:val="single" w:color="000000" w:sz="2" w:space="0"/>
              <w:bottom w:val="single" w:color="000000" w:sz="8" w:space="0"/>
              <w:right w:val="single" w:color="000000" w:sz="8" w:space="0"/>
            </w:tcBorders>
            <w:vAlign w:val="center"/>
          </w:tcPr>
          <w:p>
            <w:pPr>
              <w:ind w:firstLine="480"/>
              <w:rPr>
                <w:rFonts w:ascii="仿宋" w:hAnsi="仿宋" w:cs="仿宋"/>
                <w:snapToGrid w:val="0"/>
                <w:kern w:val="28"/>
              </w:rPr>
            </w:pPr>
            <w:r>
              <w:rPr>
                <w:rFonts w:hint="eastAsia" w:ascii="仿宋" w:hAnsi="仿宋" w:cs="仿宋"/>
                <w:snapToGrid w:val="0"/>
                <w:kern w:val="28"/>
              </w:rPr>
              <w:t>本项目代理服务费</w:t>
            </w:r>
            <w:r>
              <w:rPr>
                <w:rFonts w:hint="eastAsia" w:ascii="仿宋" w:hAnsi="仿宋" w:cs="仿宋"/>
                <w:snapToGrid w:val="0"/>
                <w:kern w:val="28"/>
                <w:u w:val="single"/>
              </w:rPr>
              <w:t>按预算价的1.5%</w:t>
            </w:r>
            <w:r>
              <w:rPr>
                <w:rFonts w:hint="eastAsia" w:ascii="仿宋" w:hAnsi="仿宋" w:cs="仿宋"/>
                <w:snapToGrid w:val="0"/>
                <w:kern w:val="28"/>
              </w:rPr>
              <w:t>由成交人支付。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pPr>
              <w:pStyle w:val="15"/>
              <w:spacing w:before="120" w:after="120"/>
              <w:rPr>
                <w:rFonts w:ascii="仿宋" w:hAnsi="仿宋" w:cs="仿宋"/>
                <w:b/>
                <w:bCs/>
                <w:lang w:val="en-US"/>
              </w:rPr>
            </w:pPr>
            <w:r>
              <w:rPr>
                <w:rFonts w:hint="eastAsia" w:ascii="仿宋" w:hAnsi="仿宋" w:cs="仿宋"/>
                <w:b/>
                <w:bCs/>
                <w:lang w:val="en-US"/>
              </w:rPr>
              <w:t>8</w:t>
            </w:r>
          </w:p>
        </w:tc>
        <w:tc>
          <w:tcPr>
            <w:tcW w:w="902" w:type="pct"/>
            <w:tcBorders>
              <w:top w:val="single" w:color="000000" w:sz="8" w:space="0"/>
              <w:left w:val="single" w:color="000000" w:sz="2" w:space="0"/>
              <w:bottom w:val="single" w:color="000000" w:sz="8" w:space="0"/>
              <w:right w:val="single" w:color="000000" w:sz="8" w:space="0"/>
            </w:tcBorders>
            <w:vAlign w:val="center"/>
          </w:tcPr>
          <w:p>
            <w:pPr>
              <w:pStyle w:val="15"/>
              <w:spacing w:before="120" w:after="120"/>
              <w:rPr>
                <w:rFonts w:ascii="仿宋" w:hAnsi="仿宋" w:cs="仿宋"/>
                <w:b/>
                <w:bCs/>
                <w:lang w:val="en-US"/>
              </w:rPr>
            </w:pPr>
            <w:r>
              <w:rPr>
                <w:rFonts w:hint="eastAsia" w:ascii="仿宋" w:hAnsi="仿宋" w:cs="仿宋"/>
                <w:b/>
                <w:bCs/>
              </w:rPr>
              <w:t>特别说明</w:t>
            </w:r>
          </w:p>
        </w:tc>
        <w:tc>
          <w:tcPr>
            <w:tcW w:w="3732" w:type="pct"/>
            <w:tcBorders>
              <w:top w:val="single" w:color="000000" w:sz="8" w:space="0"/>
              <w:left w:val="single" w:color="000000" w:sz="2" w:space="0"/>
              <w:bottom w:val="single" w:color="000000" w:sz="8" w:space="0"/>
              <w:right w:val="single" w:color="000000" w:sz="8" w:space="0"/>
            </w:tcBorders>
            <w:vAlign w:val="center"/>
          </w:tcPr>
          <w:p>
            <w:pPr>
              <w:ind w:firstLine="480"/>
              <w:rPr>
                <w:rFonts w:ascii="仿宋" w:hAnsi="仿宋" w:cs="仿宋"/>
                <w:snapToGrid w:val="0"/>
                <w:kern w:val="28"/>
              </w:rPr>
            </w:pPr>
            <w:r>
              <w:rPr>
                <w:rFonts w:hint="eastAsia" w:ascii="仿宋" w:hAnsi="仿宋" w:cs="仿宋"/>
                <w:snapToGrid w:val="0"/>
                <w:kern w:val="28"/>
              </w:rPr>
              <w:t>无</w:t>
            </w:r>
            <w:r>
              <w:rPr>
                <w:rFonts w:hint="eastAsia" w:ascii="仿宋" w:hAnsi="仿宋" w:cs="仿宋"/>
                <w:b/>
                <w:kern w:val="0"/>
              </w:rPr>
              <w:t>。</w:t>
            </w:r>
          </w:p>
        </w:tc>
      </w:tr>
      <w:bookmarkEnd w:id="6"/>
    </w:tbl>
    <w:p>
      <w:pPr>
        <w:pStyle w:val="5"/>
        <w:rPr>
          <w:rFonts w:ascii="仿宋" w:hAnsi="仿宋" w:cs="仿宋"/>
        </w:rPr>
      </w:pPr>
      <w:bookmarkStart w:id="18" w:name="_Toc24834"/>
      <w:bookmarkStart w:id="19" w:name="_Toc164416483"/>
      <w:bookmarkStart w:id="20" w:name="第三部分"/>
      <w:r>
        <w:rPr>
          <w:rFonts w:hint="eastAsia" w:ascii="仿宋" w:hAnsi="仿宋" w:cs="仿宋"/>
        </w:rPr>
        <w:t>一、总则</w:t>
      </w:r>
      <w:bookmarkEnd w:id="18"/>
    </w:p>
    <w:p>
      <w:pPr>
        <w:pStyle w:val="8"/>
        <w:rPr>
          <w:rFonts w:ascii="仿宋" w:hAnsi="仿宋" w:cs="仿宋"/>
        </w:rPr>
      </w:pPr>
      <w:r>
        <w:rPr>
          <w:rFonts w:hint="eastAsia" w:ascii="仿宋" w:hAnsi="仿宋" w:cs="仿宋"/>
        </w:rPr>
        <w:t>1.适用范围</w:t>
      </w:r>
    </w:p>
    <w:p>
      <w:pPr>
        <w:ind w:firstLine="480"/>
        <w:rPr>
          <w:rFonts w:ascii="仿宋" w:hAnsi="仿宋" w:cs="仿宋"/>
        </w:rPr>
      </w:pPr>
      <w:r>
        <w:rPr>
          <w:rFonts w:hint="eastAsia" w:ascii="仿宋" w:hAnsi="仿宋" w:cs="仿宋"/>
        </w:rPr>
        <w:t>本磋商文件适用于该项目的磋商、响应、开启响应文件、资格审查及信用信息查询、评审、成交、合同、验收等行为（法律、法规另有规定的，从其规定）。</w:t>
      </w:r>
    </w:p>
    <w:p>
      <w:pPr>
        <w:pStyle w:val="8"/>
        <w:rPr>
          <w:rFonts w:ascii="仿宋" w:hAnsi="仿宋" w:cs="仿宋"/>
        </w:rPr>
      </w:pPr>
      <w:r>
        <w:rPr>
          <w:rFonts w:hint="eastAsia" w:ascii="仿宋" w:hAnsi="仿宋" w:cs="仿宋"/>
          <w:lang w:val="en-US"/>
        </w:rPr>
        <w:t>2.</w:t>
      </w:r>
      <w:r>
        <w:rPr>
          <w:rFonts w:hint="eastAsia" w:ascii="仿宋" w:hAnsi="仿宋" w:cs="仿宋"/>
        </w:rPr>
        <w:t>定义</w:t>
      </w:r>
    </w:p>
    <w:p>
      <w:pPr>
        <w:ind w:firstLine="480"/>
      </w:pPr>
      <w:r>
        <w:rPr>
          <w:rFonts w:hint="eastAsia"/>
        </w:rPr>
        <w:t>2.1“采购人”系指慈溪市人民政府宗汉街道办事处。</w:t>
      </w:r>
    </w:p>
    <w:p>
      <w:pPr>
        <w:ind w:firstLine="480"/>
      </w:pPr>
      <w:r>
        <w:rPr>
          <w:rFonts w:hint="eastAsia"/>
        </w:rPr>
        <w:t>2.2“采购机构”系指慈溪元达采购招标代理有限公司。</w:t>
      </w:r>
    </w:p>
    <w:p>
      <w:pPr>
        <w:ind w:firstLine="480"/>
      </w:pPr>
      <w:r>
        <w:rPr>
          <w:rFonts w:hint="eastAsia"/>
        </w:rPr>
        <w:t>2.3“供应商”系指是指响应磋商、参加竞争的法人、其他组织或者自然人。</w:t>
      </w:r>
    </w:p>
    <w:p>
      <w:pPr>
        <w:ind w:firstLine="480"/>
      </w:pPr>
      <w:r>
        <w:rPr>
          <w:rFonts w:hint="eastAsia"/>
        </w:rPr>
        <w:t>关于分公司参加响应的规定：金融、保险、通讯等特定行业的全国性企业所设立的区域性分支机构，获得总公司授权后，可以允许其独立参加政府采购活动。</w:t>
      </w:r>
    </w:p>
    <w:p>
      <w:pPr>
        <w:ind w:firstLine="480"/>
      </w:pPr>
      <w:r>
        <w:rPr>
          <w:rFonts w:hint="eastAsia"/>
        </w:rPr>
        <w:t>2.4“负责人”系指法人企业的法定负责人，或其他组织为法律、行政法规规定代表单位行使职权的主要负责人，或自然人本人。</w:t>
      </w:r>
    </w:p>
    <w:p>
      <w:pPr>
        <w:ind w:firstLine="480"/>
      </w:pPr>
      <w:r>
        <w:rPr>
          <w:rFonts w:hint="eastAsia"/>
        </w:rPr>
        <w:t>2.5“电子签名”系指数据电文中以电子形式所含、所附用于识别签名人身份并表明签名人认可其中内容的数据；“公章”系指单位法定名称章。</w:t>
      </w:r>
    </w:p>
    <w:p>
      <w:pPr>
        <w:ind w:firstLine="480"/>
      </w:pPr>
      <w:r>
        <w:rPr>
          <w:rFonts w:hint="eastAsia"/>
        </w:rPr>
        <w:t>2.6“电子交易平台”是指本项目政府采购活动所依托的政府采购云平台（https：//www.zcygov.cn/）。</w:t>
      </w:r>
    </w:p>
    <w:p>
      <w:pPr>
        <w:ind w:firstLine="480"/>
        <w:rPr>
          <w:rFonts w:ascii="仿宋" w:hAnsi="仿宋" w:cs="仿宋"/>
        </w:rPr>
      </w:pPr>
      <w:r>
        <w:rPr>
          <w:rFonts w:hint="eastAsia"/>
        </w:rPr>
        <w:t>2.7“★”系指实质性要求条款，</w:t>
      </w:r>
      <w:r>
        <w:rPr>
          <w:rFonts w:hint="eastAsia" w:ascii="仿宋" w:hAnsi="仿宋" w:cs="仿宋"/>
        </w:rPr>
        <w:t>“</w:t>
      </w:r>
      <w:sdt>
        <w:sdtPr>
          <w:rPr>
            <w:rFonts w:hint="eastAsia" w:ascii="仿宋" w:hAnsi="仿宋" w:cs="仿宋"/>
          </w:rPr>
          <w:id w:val="512970236"/>
          <w14:checkbox>
            <w14:checked w14:val="1"/>
            <w14:checkedState w14:val="00FE" w14:font="Wingdings"/>
            <w14:uncheckedState w14:val="2610" w14:font="MS Gothic"/>
          </w14:checkbox>
        </w:sdtPr>
        <w:sdtEndPr>
          <w:rPr>
            <w:rFonts w:hint="eastAsia" w:ascii="仿宋" w:hAnsi="仿宋" w:cs="仿宋"/>
          </w:rPr>
        </w:sdtEndPr>
        <w:sdtContent>
          <w:r>
            <w:rPr>
              <w:rFonts w:hint="eastAsia" w:ascii="Wingdings" w:hAnsi="Wingdings" w:cs="仿宋"/>
            </w:rPr>
            <w:t>þ</w:t>
          </w:r>
        </w:sdtContent>
      </w:sdt>
      <w:r>
        <w:rPr>
          <w:rFonts w:hint="eastAsia" w:ascii="仿宋" w:hAnsi="仿宋" w:cs="仿宋"/>
        </w:rPr>
        <w:t>”系指适用本项目的要求，“</w:t>
      </w:r>
      <w:sdt>
        <w:sdtPr>
          <w:rPr>
            <w:rFonts w:hint="eastAsia" w:ascii="仿宋" w:hAnsi="仿宋" w:cs="仿宋"/>
          </w:rPr>
          <w:id w:val="404888855"/>
          <w14:checkbox>
            <w14:checked w14:val="0"/>
            <w14:checkedState w14:val="00FE" w14:font="Wingdings"/>
            <w14:uncheckedState w14:val="2610" w14:font="MS Gothic"/>
          </w14:checkbox>
        </w:sdtPr>
        <w:sdtEndPr>
          <w:rPr>
            <w:rFonts w:hint="eastAsia" w:ascii="仿宋" w:hAnsi="仿宋" w:cs="仿宋"/>
          </w:rPr>
        </w:sdtEndPr>
        <w:sdtContent>
          <w:r>
            <w:rPr>
              <w:rFonts w:hint="eastAsia" w:ascii="仿宋" w:hAnsi="仿宋" w:cs="仿宋"/>
            </w:rPr>
            <w:t>☐</w:t>
          </w:r>
        </w:sdtContent>
      </w:sdt>
      <w:r>
        <w:rPr>
          <w:rFonts w:hint="eastAsia" w:ascii="仿宋" w:hAnsi="仿宋" w:cs="仿宋"/>
        </w:rPr>
        <w:t>”系指不适用本项目的要求。</w:t>
      </w:r>
    </w:p>
    <w:p>
      <w:pPr>
        <w:pStyle w:val="8"/>
        <w:rPr>
          <w:rFonts w:ascii="仿宋" w:hAnsi="仿宋" w:cs="仿宋"/>
        </w:rPr>
      </w:pPr>
      <w:r>
        <w:rPr>
          <w:rFonts w:hint="eastAsia" w:ascii="仿宋" w:hAnsi="仿宋" w:cs="仿宋"/>
        </w:rPr>
        <w:t>3.采购项目需要落实的政府采购政策</w:t>
      </w:r>
    </w:p>
    <w:p>
      <w:pPr>
        <w:ind w:firstLine="480"/>
      </w:pPr>
      <w:r>
        <w:rPr>
          <w:rFonts w:hint="eastAsia"/>
        </w:rPr>
        <w:t>3.1本项目采购本国生产的货物、工程和服务。</w:t>
      </w:r>
    </w:p>
    <w:p>
      <w:pPr>
        <w:ind w:firstLine="480"/>
      </w:pPr>
      <w:r>
        <w:rPr>
          <w:rFonts w:hint="eastAsia"/>
        </w:rPr>
        <w:t>3.2支持中小企业发展</w:t>
      </w:r>
    </w:p>
    <w:p>
      <w:pPr>
        <w:ind w:firstLine="480"/>
      </w:pPr>
      <w:r>
        <w:t>3.</w:t>
      </w:r>
      <w:r>
        <w:rPr>
          <w:rFonts w:hint="eastAsia"/>
        </w:rPr>
        <w:t>2</w:t>
      </w:r>
      <w:r>
        <w:t>.1中小企业，是指在中华人民共和国境内依法设立，依据国务院批准的中小企业划分标准确定的中型企业、小型企业和微型企业，但与大企业的负责人为同一人，或者与大企业存在直接控股、管理关系的除外。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pPr>
      <w:r>
        <w:t>符合中小企业划分标准的个体工商户，在政府采购活动中视同中小企业。</w:t>
      </w:r>
    </w:p>
    <w:p>
      <w:pPr>
        <w:ind w:firstLine="480"/>
      </w:pPr>
      <w:r>
        <w:t>3.</w:t>
      </w:r>
      <w:r>
        <w:rPr>
          <w:rFonts w:hint="eastAsia"/>
        </w:rPr>
        <w:t>2</w:t>
      </w:r>
      <w:r>
        <w:t>.2</w:t>
      </w:r>
      <w:r>
        <w:rPr>
          <w:rFonts w:hint="eastAsia"/>
        </w:rPr>
        <w:t>在政府采购活动中，供应商提供的货物、工程或者服务符合下列情形的，享受中小企业扶持政策：</w:t>
      </w:r>
    </w:p>
    <w:p>
      <w:pPr>
        <w:ind w:firstLine="480"/>
      </w:pPr>
      <w:r>
        <w:t>3.</w:t>
      </w:r>
      <w:r>
        <w:rPr>
          <w:rFonts w:hint="eastAsia"/>
        </w:rPr>
        <w:t>2</w:t>
      </w:r>
      <w:r>
        <w:t>.2.1在货物采购项目中，货物由中小企业制造，即货物由中小企业生产且使用该中小企业商号或者注册商标；</w:t>
      </w:r>
    </w:p>
    <w:p>
      <w:pPr>
        <w:ind w:firstLine="480"/>
      </w:pPr>
      <w:r>
        <w:t>3.</w:t>
      </w:r>
      <w:r>
        <w:rPr>
          <w:rFonts w:hint="eastAsia"/>
        </w:rPr>
        <w:t>2</w:t>
      </w:r>
      <w:r>
        <w:t>.2.2在工程采购项目中，工程由中小企业承建，即工程施工单位为中小企业；</w:t>
      </w:r>
    </w:p>
    <w:p>
      <w:pPr>
        <w:ind w:firstLine="480"/>
      </w:pPr>
      <w:r>
        <w:t>3.</w:t>
      </w:r>
      <w:r>
        <w:rPr>
          <w:rFonts w:hint="eastAsia"/>
        </w:rPr>
        <w:t>2</w:t>
      </w:r>
      <w:r>
        <w:t>.2.3在服务采购项目中，服务由中小企业承接，即提供服务的人员为中小企业依照《中华人民共和国劳动合同法》订立劳动合同的从业人员。</w:t>
      </w:r>
    </w:p>
    <w:p>
      <w:pPr>
        <w:ind w:firstLine="480"/>
      </w:pPr>
      <w:r>
        <w:rPr>
          <w:rFonts w:hint="eastAsia"/>
        </w:rPr>
        <w:t>在货物采购项目中，供应商提供的货物既有中小企业制造货物，也有大型企业制造货物的，不享受中小企业扶持政策。</w:t>
      </w:r>
    </w:p>
    <w:p>
      <w:pPr>
        <w:ind w:firstLine="480"/>
      </w:pPr>
      <w:r>
        <w:rPr>
          <w:rFonts w:hint="eastAsia"/>
        </w:rPr>
        <w:t>以联合体形式参加政府采购活动，联合体各方均为中小企业的，联合体视同中小企业。其中，联合体各方均为小微企业的，联合体视同小微企业。</w:t>
      </w:r>
    </w:p>
    <w:p>
      <w:pPr>
        <w:ind w:firstLine="480"/>
      </w:pPr>
      <w:r>
        <w:t>3.3.3</w:t>
      </w:r>
      <w:r>
        <w:rPr>
          <w:rFonts w:hint="eastAsia"/>
        </w:rPr>
        <w:t>对于未预留份额专门面向中小企业的政府采购货物或服务项目，以及预留份额政府采购货物或服务项目中的非预留部分标项，对小型和微型企业的报价给予2</w:t>
      </w:r>
      <w:r>
        <w:t>0%的扣除，用扣除后的价格参与评审。</w:t>
      </w:r>
    </w:p>
    <w:p>
      <w:pPr>
        <w:ind w:firstLine="480"/>
      </w:pPr>
      <w:r>
        <w:t>3.</w:t>
      </w:r>
      <w:r>
        <w:rPr>
          <w:rFonts w:hint="eastAsia"/>
        </w:rPr>
        <w:t>2</w:t>
      </w:r>
      <w:r>
        <w:t>.4符合《关于促进残疾人就业政府采购政策的通知》（财库〔2017〕141号）规定的条件并提供《残疾人福利性单位声明函》（附件1）的残疾人福利性单位视同小型、微型企业；</w:t>
      </w:r>
    </w:p>
    <w:p>
      <w:pPr>
        <w:ind w:firstLine="480"/>
      </w:pPr>
      <w:r>
        <w:t>3.</w:t>
      </w:r>
      <w:r>
        <w:rPr>
          <w:rFonts w:hint="eastAsia"/>
        </w:rPr>
        <w:t>2</w:t>
      </w:r>
      <w:r>
        <w:t>.5符合《关于政府采购支持监狱企业发展有关问题的通知》（财库[2014]68号）规定的监狱企业并提供由省级以上监狱管理局、戒毒管理局（含新疆生产建设兵团）出具的属于监狱企业证明文件的，视同为小型、微型企业。</w:t>
      </w:r>
    </w:p>
    <w:p>
      <w:pPr>
        <w:ind w:firstLine="480"/>
      </w:pPr>
      <w:r>
        <w:t>3.</w:t>
      </w:r>
      <w:r>
        <w:rPr>
          <w:rFonts w:hint="eastAsia"/>
        </w:rPr>
        <w:t>2</w:t>
      </w:r>
      <w:r>
        <w:t>.6</w:t>
      </w:r>
      <w:r>
        <w:rPr>
          <w:rFonts w:hint="eastAsia"/>
        </w:rPr>
        <w:t>可享受中小企业扶持政策的供应商应按照磋商文件格式要求提供《中小企业声明函》，供应商提供的《中小企业声明函》与实际情况不符的，不享受中小企业扶持政策。声明内容不实的，属于提供虚假材料谋取成交的，依法承担法律责任。</w:t>
      </w:r>
    </w:p>
    <w:p>
      <w:pPr>
        <w:ind w:firstLine="480"/>
      </w:pPr>
      <w:r>
        <w:t>3.</w:t>
      </w:r>
      <w:r>
        <w:rPr>
          <w:rFonts w:hint="eastAsia"/>
        </w:rPr>
        <w:t>2</w:t>
      </w:r>
      <w:r>
        <w:t>.7中小企业享受扶持政策获得政府采购合同的，小微企业不得将合同分包给大中型企业，中型企业不得将合同分包给大型企业</w:t>
      </w:r>
      <w:r>
        <w:rPr>
          <w:rFonts w:hint="eastAsia"/>
        </w:rPr>
        <w:t>。</w:t>
      </w:r>
    </w:p>
    <w:p>
      <w:pPr>
        <w:pStyle w:val="8"/>
        <w:rPr>
          <w:rFonts w:ascii="仿宋" w:hAnsi="仿宋" w:cs="仿宋"/>
        </w:rPr>
      </w:pPr>
      <w:r>
        <w:rPr>
          <w:rFonts w:hint="eastAsia" w:ascii="仿宋" w:hAnsi="仿宋" w:cs="仿宋"/>
        </w:rPr>
        <w:t>4.询问、质疑、投诉</w:t>
      </w:r>
    </w:p>
    <w:p>
      <w:pPr>
        <w:ind w:firstLine="480"/>
        <w:rPr>
          <w:lang w:val="zh-CN"/>
        </w:rPr>
      </w:pPr>
      <w:r>
        <w:rPr>
          <w:rFonts w:hint="eastAsia"/>
          <w:lang w:val="zh-CN"/>
        </w:rPr>
        <w:t>4.1供应商询问</w:t>
      </w:r>
    </w:p>
    <w:p>
      <w:pPr>
        <w:ind w:firstLine="480"/>
        <w:rPr>
          <w:lang w:val="zh-CN"/>
        </w:rPr>
      </w:pPr>
      <w:r>
        <w:rPr>
          <w:rFonts w:hint="eastAsia"/>
          <w:lang w:val="zh-CN"/>
        </w:rPr>
        <w:t>供应商对政府采购活动事项有疑问的，可以提出询问，采购人或者采购机构应当在3个工作日内对供应商依法提出的询问作出答复，但答复的内容不得涉及商业秘密。供应商提出的询问超出采购人对采购机构委托授权范围的，采购机构应当告知供应商向采购人提出。</w:t>
      </w:r>
    </w:p>
    <w:p>
      <w:pPr>
        <w:ind w:firstLine="480"/>
        <w:rPr>
          <w:lang w:val="zh-CN"/>
        </w:rPr>
      </w:pPr>
      <w:r>
        <w:rPr>
          <w:rFonts w:hint="eastAsia"/>
          <w:lang w:val="zh-CN"/>
        </w:rPr>
        <w:t>4.2供应商质疑</w:t>
      </w:r>
    </w:p>
    <w:p>
      <w:pPr>
        <w:ind w:firstLine="480"/>
      </w:pPr>
      <w:r>
        <w:rPr>
          <w:rFonts w:hint="eastAsia"/>
          <w:lang w:val="zh-CN"/>
        </w:rPr>
        <w:t>4.2</w:t>
      </w:r>
      <w:r>
        <w:rPr>
          <w:rFonts w:hint="eastAsia"/>
        </w:rPr>
        <w:t>.1提出质疑的供应商应当是参与所质疑项目采购活动的供应商。潜在供应商已依法获取其可质疑的磋商文件的，可以对该文件提出质疑。</w:t>
      </w:r>
    </w:p>
    <w:p>
      <w:pPr>
        <w:ind w:firstLine="480"/>
      </w:pPr>
      <w:r>
        <w:rPr>
          <w:rFonts w:hint="eastAsia"/>
          <w:lang w:val="zh-CN"/>
        </w:rPr>
        <w:t>4.2</w:t>
      </w:r>
      <w:r>
        <w:rPr>
          <w:rFonts w:hint="eastAsia"/>
        </w:rPr>
        <w:t>.2供应商认为磋商文件、采购过程和成交结果使自己的权益受到损害的，可以在知道或者应知其权益受到损害之日起七个工作日内，以书面形式向采购人或者采购机构提出质疑，否则，采购人或者采购机构不予受理：</w:t>
      </w:r>
    </w:p>
    <w:p>
      <w:pPr>
        <w:ind w:firstLine="480"/>
      </w:pPr>
      <w:r>
        <w:rPr>
          <w:rFonts w:hint="eastAsia"/>
        </w:rPr>
        <w:t>4.2.2.1对磋商文件提出质疑的，质疑期限为供应商获得磋商文件之日或者磋商文件公告期限届满之日起计算。</w:t>
      </w:r>
    </w:p>
    <w:p>
      <w:pPr>
        <w:ind w:firstLine="480"/>
      </w:pPr>
      <w:r>
        <w:rPr>
          <w:rFonts w:hint="eastAsia"/>
        </w:rPr>
        <w:t>4.2.2.2对采购过程提出质疑的，质疑期限为各采购程序环节结束之日起计算。对同一采购程序环节的质疑，供应商须一次性提出。</w:t>
      </w:r>
    </w:p>
    <w:p>
      <w:pPr>
        <w:ind w:firstLine="480"/>
      </w:pPr>
      <w:r>
        <w:rPr>
          <w:rFonts w:hint="eastAsia"/>
        </w:rPr>
        <w:t>4.2.2.3对采购结果提出质疑的，质疑期限自采购结果公告期限届满之日起计算。</w:t>
      </w:r>
    </w:p>
    <w:p>
      <w:pPr>
        <w:ind w:firstLine="480"/>
        <w:rPr>
          <w:lang w:val="zh-CN"/>
        </w:rPr>
      </w:pPr>
      <w:r>
        <w:rPr>
          <w:rFonts w:hint="eastAsia"/>
          <w:lang w:val="zh-CN"/>
        </w:rPr>
        <w:t>4.2.3</w:t>
      </w:r>
      <w:r>
        <w:rPr>
          <w:rFonts w:hint="eastAsia"/>
        </w:rPr>
        <w:t>供应商提出质疑应当提交质疑函和必要的证明材料。质疑函应当包括下列内容：</w:t>
      </w:r>
    </w:p>
    <w:p>
      <w:pPr>
        <w:ind w:firstLine="480"/>
        <w:rPr>
          <w:lang w:val="zh-CN"/>
        </w:rPr>
      </w:pPr>
      <w:r>
        <w:rPr>
          <w:rFonts w:hint="eastAsia"/>
          <w:lang w:val="zh-CN"/>
        </w:rPr>
        <w:t>4.2.3.1供应商的姓名或者名称、地址、邮编、联系人及联系电话；</w:t>
      </w:r>
    </w:p>
    <w:p>
      <w:pPr>
        <w:ind w:firstLine="480"/>
        <w:rPr>
          <w:lang w:val="zh-CN"/>
        </w:rPr>
      </w:pPr>
      <w:r>
        <w:rPr>
          <w:rFonts w:hint="eastAsia"/>
          <w:lang w:val="zh-CN"/>
        </w:rPr>
        <w:t>4.2.3.2质疑项目的名称、编号；</w:t>
      </w:r>
    </w:p>
    <w:p>
      <w:pPr>
        <w:ind w:firstLine="480"/>
        <w:rPr>
          <w:lang w:val="zh-CN"/>
        </w:rPr>
      </w:pPr>
      <w:r>
        <w:rPr>
          <w:rFonts w:hint="eastAsia"/>
          <w:lang w:val="zh-CN"/>
        </w:rPr>
        <w:t>4.2.3.3具体、明确的质疑事项和与质疑事项相关的请求；</w:t>
      </w:r>
    </w:p>
    <w:p>
      <w:pPr>
        <w:ind w:firstLine="480"/>
        <w:rPr>
          <w:lang w:val="zh-CN"/>
        </w:rPr>
      </w:pPr>
      <w:r>
        <w:rPr>
          <w:rFonts w:hint="eastAsia"/>
          <w:lang w:val="zh-CN"/>
        </w:rPr>
        <w:t>4.2.3.4事实依据；</w:t>
      </w:r>
    </w:p>
    <w:p>
      <w:pPr>
        <w:ind w:firstLine="480"/>
        <w:rPr>
          <w:lang w:val="zh-CN"/>
        </w:rPr>
      </w:pPr>
      <w:r>
        <w:rPr>
          <w:rFonts w:hint="eastAsia"/>
          <w:lang w:val="zh-CN"/>
        </w:rPr>
        <w:t>4.2.3.5必要的法律依据；</w:t>
      </w:r>
    </w:p>
    <w:p>
      <w:pPr>
        <w:ind w:firstLine="480"/>
        <w:rPr>
          <w:lang w:val="zh-CN"/>
        </w:rPr>
      </w:pPr>
      <w:r>
        <w:rPr>
          <w:rFonts w:hint="eastAsia"/>
          <w:lang w:val="zh-CN"/>
        </w:rPr>
        <w:t>4.2.3.6提出质疑的日期。</w:t>
      </w:r>
    </w:p>
    <w:p>
      <w:pPr>
        <w:ind w:firstLine="480"/>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ind w:firstLine="480"/>
      </w:pPr>
      <w:r>
        <w:rPr>
          <w:rFonts w:hint="eastAsia"/>
        </w:rPr>
        <w:t>质疑函范本及制作可在“浙江政府采购网”上自行下载。</w:t>
      </w:r>
    </w:p>
    <w:p>
      <w:pPr>
        <w:ind w:firstLine="480"/>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文件关于“健全行政裁决机制”规定，鼓励供应商在线提起询问，路径为：政采云-项目采购-询问质疑投诉-询问列表：鼓励供应商在线提起质疑，路径为：政采云-项目采购-询问质疑投诉-质疑列表。</w:t>
      </w:r>
    </w:p>
    <w:p>
      <w:pPr>
        <w:ind w:firstLine="480"/>
      </w:pPr>
      <w:r>
        <w:rPr>
          <w:rFonts w:hint="eastAsia"/>
          <w:lang w:val="zh-CN"/>
        </w:rPr>
        <w:t>4.2</w:t>
      </w:r>
      <w:r>
        <w:rPr>
          <w:rFonts w:hint="eastAsia"/>
        </w:rPr>
        <w:t>.5询问或者质疑事项可能影响采购结果的，采购人应当暂停签订合同，已经签订合同的，应当中止履行合同。</w:t>
      </w:r>
    </w:p>
    <w:p>
      <w:pPr>
        <w:ind w:firstLine="480"/>
        <w:rPr>
          <w:lang w:val="zh-CN"/>
        </w:rPr>
      </w:pPr>
      <w:r>
        <w:rPr>
          <w:rFonts w:hint="eastAsia"/>
          <w:lang w:val="zh-CN"/>
        </w:rPr>
        <w:t>4.3供应商投诉</w:t>
      </w:r>
    </w:p>
    <w:p>
      <w:pPr>
        <w:ind w:firstLine="480"/>
        <w:rPr>
          <w:lang w:val="zh-CN"/>
        </w:rPr>
      </w:pPr>
      <w:r>
        <w:rPr>
          <w:rFonts w:hint="eastAsia"/>
          <w:lang w:val="zh-CN"/>
        </w:rPr>
        <w:t>4.3.1质疑供应商对采购人、采购机构的答复不满意或者采购人、采购机构未在规定的时间内作出答复的，可以在答复期满后十五个工作日内向同级政府采购监督管理部门提出投诉。</w:t>
      </w:r>
    </w:p>
    <w:p>
      <w:pPr>
        <w:ind w:firstLine="480"/>
        <w:rPr>
          <w:lang w:val="zh-CN"/>
        </w:rPr>
      </w:pPr>
      <w:r>
        <w:rPr>
          <w:rFonts w:hint="eastAsia"/>
          <w:lang w:val="zh-CN"/>
        </w:rPr>
        <w:t>根据《浙江省财政厅关于进一步促进政府采购公平竞争打造最优营商环境的通知》（浙财采监（2021）22号）文件关于“健全行政裁决机制”</w:t>
      </w:r>
      <w:r>
        <w:rPr>
          <w:rFonts w:hint="eastAsia"/>
        </w:rPr>
        <w:t>规定</w:t>
      </w:r>
      <w:r>
        <w:rPr>
          <w:rFonts w:hint="eastAsia"/>
          <w:lang w:val="zh-CN"/>
        </w:rPr>
        <w:t>，质疑供应商对在线质疑答复不满意的，可在线提起投诉，路径为：浙江政府服务网-政府采购投诉处理-在线办理。</w:t>
      </w:r>
    </w:p>
    <w:p>
      <w:pPr>
        <w:ind w:firstLine="480"/>
        <w:rPr>
          <w:lang w:val="zh-CN"/>
        </w:rPr>
      </w:pPr>
      <w:r>
        <w:rPr>
          <w:rFonts w:hint="eastAsia"/>
          <w:lang w:val="zh-CN"/>
        </w:rPr>
        <w:t>4.3.2供应商投诉的事项不得超出已质疑事项的范围，基于质疑答复内容提出的投诉事项除外。</w:t>
      </w:r>
    </w:p>
    <w:p>
      <w:pPr>
        <w:ind w:firstLine="480"/>
        <w:rPr>
          <w:lang w:val="zh-CN"/>
        </w:rPr>
      </w:pPr>
      <w:r>
        <w:rPr>
          <w:rFonts w:hint="eastAsia"/>
          <w:lang w:val="zh-CN"/>
        </w:rPr>
        <w:t>4.3.3供应商投诉应当有明确的请求和必要的证明材料。</w:t>
      </w:r>
    </w:p>
    <w:p>
      <w:pPr>
        <w:ind w:firstLine="480"/>
      </w:pPr>
      <w:r>
        <w:rPr>
          <w:rFonts w:hint="eastAsia"/>
        </w:rPr>
        <w:t>投诉书范本及制作说明可在“浙江政府采购网”上自行下载。</w:t>
      </w:r>
    </w:p>
    <w:p>
      <w:pPr>
        <w:pStyle w:val="5"/>
        <w:rPr>
          <w:rFonts w:ascii="仿宋" w:hAnsi="仿宋" w:cs="仿宋"/>
          <w:lang w:val="en-US"/>
        </w:rPr>
      </w:pPr>
      <w:bookmarkStart w:id="21" w:name="_Toc15065"/>
      <w:r>
        <w:rPr>
          <w:rFonts w:hint="eastAsia" w:ascii="仿宋" w:hAnsi="仿宋" w:cs="仿宋"/>
        </w:rPr>
        <w:t>二、磋商文件的构成、澄清、修改</w:t>
      </w:r>
      <w:bookmarkEnd w:id="21"/>
    </w:p>
    <w:p>
      <w:pPr>
        <w:pStyle w:val="8"/>
        <w:rPr>
          <w:rFonts w:ascii="仿宋" w:hAnsi="仿宋" w:cs="仿宋"/>
        </w:rPr>
      </w:pPr>
      <w:r>
        <w:rPr>
          <w:rFonts w:hint="eastAsia" w:ascii="仿宋" w:hAnsi="仿宋" w:cs="仿宋"/>
        </w:rPr>
        <w:t>5</w:t>
      </w:r>
      <w:r>
        <w:rPr>
          <w:rFonts w:hint="eastAsia" w:ascii="仿宋" w:hAnsi="仿宋" w:cs="仿宋"/>
          <w:lang w:val="en-US"/>
        </w:rPr>
        <w:t>.</w:t>
      </w:r>
      <w:r>
        <w:rPr>
          <w:rFonts w:hint="eastAsia" w:ascii="仿宋" w:hAnsi="仿宋" w:cs="仿宋"/>
        </w:rPr>
        <w:t>磋商文件的构成</w:t>
      </w:r>
    </w:p>
    <w:p>
      <w:pPr>
        <w:ind w:firstLine="480"/>
        <w:rPr>
          <w:rFonts w:ascii="仿宋" w:hAnsi="仿宋" w:cs="仿宋"/>
        </w:rPr>
      </w:pPr>
      <w:r>
        <w:rPr>
          <w:rFonts w:hint="eastAsia" w:ascii="仿宋" w:hAnsi="仿宋" w:cs="仿宋"/>
        </w:rPr>
        <w:t>5.1磋商文件包括下列文件及附件：</w:t>
      </w:r>
    </w:p>
    <w:p>
      <w:pPr>
        <w:pStyle w:val="38"/>
        <w:tabs>
          <w:tab w:val="left" w:pos="840"/>
        </w:tabs>
        <w:ind w:firstLine="960" w:firstLineChars="400"/>
        <w:rPr>
          <w:rFonts w:ascii="仿宋" w:hAnsi="仿宋" w:cs="仿宋"/>
          <w:szCs w:val="24"/>
        </w:rPr>
      </w:pPr>
      <w:r>
        <w:rPr>
          <w:rFonts w:hint="eastAsia" w:ascii="仿宋" w:hAnsi="仿宋" w:cs="仿宋"/>
          <w:szCs w:val="24"/>
        </w:rPr>
        <w:t>5.1.1竞争性磋商公告；</w:t>
      </w:r>
    </w:p>
    <w:p>
      <w:pPr>
        <w:pStyle w:val="38"/>
        <w:tabs>
          <w:tab w:val="left" w:pos="840"/>
        </w:tabs>
        <w:ind w:firstLine="960" w:firstLineChars="400"/>
        <w:rPr>
          <w:rFonts w:ascii="仿宋" w:hAnsi="仿宋" w:cs="仿宋"/>
          <w:szCs w:val="24"/>
        </w:rPr>
      </w:pPr>
      <w:r>
        <w:rPr>
          <w:rFonts w:hint="eastAsia" w:ascii="仿宋" w:hAnsi="仿宋" w:cs="仿宋"/>
          <w:szCs w:val="24"/>
        </w:rPr>
        <w:t>5.1.2供应商须知；</w:t>
      </w:r>
    </w:p>
    <w:p>
      <w:pPr>
        <w:pStyle w:val="38"/>
        <w:tabs>
          <w:tab w:val="left" w:pos="840"/>
        </w:tabs>
        <w:ind w:firstLine="960" w:firstLineChars="400"/>
        <w:rPr>
          <w:rFonts w:ascii="仿宋" w:hAnsi="仿宋" w:cs="仿宋"/>
          <w:szCs w:val="24"/>
        </w:rPr>
      </w:pPr>
      <w:r>
        <w:rPr>
          <w:rFonts w:hint="eastAsia" w:ascii="仿宋" w:hAnsi="仿宋" w:cs="仿宋"/>
          <w:szCs w:val="24"/>
        </w:rPr>
        <w:t>5.1.3采购需求；</w:t>
      </w:r>
    </w:p>
    <w:p>
      <w:pPr>
        <w:pStyle w:val="38"/>
        <w:tabs>
          <w:tab w:val="left" w:pos="840"/>
        </w:tabs>
        <w:ind w:firstLine="960" w:firstLineChars="400"/>
        <w:rPr>
          <w:rFonts w:ascii="仿宋" w:hAnsi="仿宋" w:cs="仿宋"/>
          <w:szCs w:val="24"/>
        </w:rPr>
      </w:pPr>
      <w:r>
        <w:rPr>
          <w:rFonts w:hint="eastAsia" w:ascii="仿宋" w:hAnsi="仿宋" w:cs="仿宋"/>
          <w:szCs w:val="24"/>
        </w:rPr>
        <w:t>5.1.4评审办法；</w:t>
      </w:r>
    </w:p>
    <w:p>
      <w:pPr>
        <w:pStyle w:val="38"/>
        <w:tabs>
          <w:tab w:val="left" w:pos="840"/>
        </w:tabs>
        <w:ind w:firstLine="960" w:firstLineChars="400"/>
        <w:rPr>
          <w:rFonts w:ascii="仿宋" w:hAnsi="仿宋" w:cs="仿宋"/>
          <w:szCs w:val="24"/>
        </w:rPr>
      </w:pPr>
      <w:r>
        <w:rPr>
          <w:rFonts w:hint="eastAsia" w:ascii="仿宋" w:hAnsi="仿宋" w:cs="仿宋"/>
          <w:szCs w:val="24"/>
        </w:rPr>
        <w:t>5.1.5拟签订的合同文本；</w:t>
      </w:r>
    </w:p>
    <w:p>
      <w:pPr>
        <w:pStyle w:val="38"/>
        <w:tabs>
          <w:tab w:val="left" w:pos="840"/>
        </w:tabs>
        <w:ind w:firstLine="960" w:firstLineChars="400"/>
        <w:rPr>
          <w:rFonts w:ascii="仿宋" w:hAnsi="仿宋" w:cs="仿宋"/>
          <w:szCs w:val="24"/>
        </w:rPr>
      </w:pPr>
      <w:r>
        <w:rPr>
          <w:rFonts w:hint="eastAsia" w:ascii="仿宋" w:hAnsi="仿宋" w:cs="仿宋"/>
        </w:rPr>
        <w:t>5.1.6</w:t>
      </w:r>
      <w:r>
        <w:rPr>
          <w:rFonts w:hint="eastAsia" w:ascii="仿宋" w:hAnsi="仿宋" w:cs="仿宋"/>
          <w:szCs w:val="24"/>
        </w:rPr>
        <w:t>应提交的有关格式范例；</w:t>
      </w:r>
    </w:p>
    <w:p>
      <w:pPr>
        <w:ind w:firstLine="480"/>
        <w:rPr>
          <w:rFonts w:ascii="仿宋" w:hAnsi="仿宋" w:cs="仿宋"/>
        </w:rPr>
      </w:pPr>
      <w:r>
        <w:rPr>
          <w:rFonts w:hint="eastAsia" w:ascii="仿宋" w:hAnsi="仿宋" w:cs="仿宋"/>
        </w:rPr>
        <w:t>5.2与本项目有关的澄清或者修改的内容为磋商文件的组成部分。</w:t>
      </w:r>
    </w:p>
    <w:p>
      <w:pPr>
        <w:pStyle w:val="8"/>
        <w:rPr>
          <w:rFonts w:ascii="仿宋" w:hAnsi="仿宋" w:cs="仿宋"/>
        </w:rPr>
      </w:pPr>
      <w:r>
        <w:rPr>
          <w:rFonts w:hint="eastAsia" w:ascii="仿宋" w:hAnsi="仿宋" w:cs="仿宋"/>
        </w:rPr>
        <w:t>6.磋商文件的澄清、修改</w:t>
      </w:r>
    </w:p>
    <w:p>
      <w:pPr>
        <w:ind w:firstLine="480"/>
        <w:rPr>
          <w:rFonts w:ascii="仿宋" w:hAnsi="仿宋" w:cs="仿宋"/>
        </w:rPr>
      </w:pPr>
      <w:r>
        <w:rPr>
          <w:rFonts w:hint="eastAsia" w:ascii="仿宋" w:hAnsi="仿宋" w:cs="仿宋"/>
        </w:rPr>
        <w:t>6.1已获取磋商文件的潜在供应商，若有问题需要澄清，应于响应截止时间前，以书面形式向采购机构提出。</w:t>
      </w:r>
    </w:p>
    <w:p>
      <w:pPr>
        <w:ind w:firstLine="480"/>
        <w:rPr>
          <w:rFonts w:ascii="仿宋" w:hAnsi="仿宋" w:cs="仿宋"/>
        </w:rPr>
      </w:pPr>
      <w:r>
        <w:rPr>
          <w:rFonts w:hint="eastAsia" w:ascii="仿宋" w:hAnsi="仿宋" w:cs="仿宋"/>
        </w:rPr>
        <w:t>6.2采购机构对磋商文件进行澄清或修改的，将同时通过电子交易平台通知已获取磋商文件的潜在供应商。依法应当公告的，将按规定公告，同时视情况延长响应截止时间和开启响应文件时间。该澄清或者修改的内容为磋商文件的组成部分。</w:t>
      </w:r>
    </w:p>
    <w:p>
      <w:pPr>
        <w:pStyle w:val="5"/>
        <w:rPr>
          <w:rFonts w:ascii="仿宋" w:hAnsi="仿宋" w:cs="仿宋"/>
        </w:rPr>
      </w:pPr>
      <w:bookmarkStart w:id="22" w:name="_Toc30948"/>
      <w:r>
        <w:rPr>
          <w:rFonts w:hint="eastAsia" w:ascii="仿宋" w:hAnsi="仿宋" w:cs="仿宋"/>
        </w:rPr>
        <w:t>三、响应</w:t>
      </w:r>
      <w:bookmarkEnd w:id="22"/>
    </w:p>
    <w:p>
      <w:pPr>
        <w:pStyle w:val="8"/>
        <w:rPr>
          <w:rFonts w:ascii="仿宋" w:hAnsi="仿宋" w:cs="仿宋"/>
        </w:rPr>
      </w:pPr>
      <w:r>
        <w:rPr>
          <w:rFonts w:hint="eastAsia" w:ascii="仿宋" w:hAnsi="仿宋" w:cs="仿宋"/>
        </w:rPr>
        <w:t>7.磋商文件的获取</w:t>
      </w:r>
    </w:p>
    <w:p>
      <w:pPr>
        <w:ind w:firstLine="480"/>
        <w:rPr>
          <w:rFonts w:ascii="仿宋" w:hAnsi="仿宋" w:cs="仿宋"/>
        </w:rPr>
      </w:pPr>
      <w:r>
        <w:rPr>
          <w:rFonts w:hint="eastAsia" w:ascii="仿宋" w:hAnsi="仿宋" w:cs="仿宋"/>
        </w:rPr>
        <w:t>详见竞争性磋商公告中获取采购文件。</w:t>
      </w:r>
    </w:p>
    <w:p>
      <w:pPr>
        <w:pStyle w:val="8"/>
        <w:rPr>
          <w:rFonts w:ascii="仿宋" w:hAnsi="仿宋" w:cs="仿宋"/>
          <w:szCs w:val="24"/>
        </w:rPr>
      </w:pPr>
      <w:r>
        <w:rPr>
          <w:rFonts w:hint="eastAsia" w:ascii="仿宋" w:hAnsi="仿宋" w:cs="仿宋"/>
          <w:szCs w:val="24"/>
          <w:lang w:val="en-US"/>
        </w:rPr>
        <w:t>8.</w:t>
      </w:r>
      <w:r>
        <w:rPr>
          <w:rFonts w:hint="eastAsia" w:ascii="仿宋" w:hAnsi="仿宋" w:cs="仿宋"/>
          <w:szCs w:val="24"/>
        </w:rPr>
        <w:t>开启响应文件前答疑会或现场考察</w:t>
      </w:r>
    </w:p>
    <w:p>
      <w:pPr>
        <w:ind w:firstLine="480"/>
        <w:rPr>
          <w:rFonts w:ascii="仿宋" w:hAnsi="仿宋" w:cs="仿宋"/>
        </w:rPr>
      </w:pPr>
      <w:r>
        <w:rPr>
          <w:rFonts w:hint="eastAsia" w:ascii="仿宋" w:hAnsi="仿宋" w:cs="仿宋"/>
        </w:rPr>
        <w:t>按第二部分供应商须知前附表的规定。</w:t>
      </w:r>
    </w:p>
    <w:p>
      <w:pPr>
        <w:pStyle w:val="8"/>
        <w:rPr>
          <w:rFonts w:ascii="仿宋" w:hAnsi="仿宋" w:cs="仿宋"/>
          <w:szCs w:val="24"/>
        </w:rPr>
      </w:pPr>
      <w:r>
        <w:rPr>
          <w:rFonts w:hint="eastAsia" w:ascii="仿宋" w:hAnsi="仿宋" w:cs="仿宋"/>
          <w:kern w:val="28"/>
          <w:szCs w:val="24"/>
          <w:lang w:val="en-US"/>
        </w:rPr>
        <w:t>9.磋商</w:t>
      </w:r>
      <w:r>
        <w:rPr>
          <w:rFonts w:hint="eastAsia" w:ascii="仿宋" w:hAnsi="仿宋" w:cs="仿宋"/>
          <w:kern w:val="28"/>
          <w:szCs w:val="24"/>
        </w:rPr>
        <w:t>保证金</w:t>
      </w:r>
    </w:p>
    <w:p>
      <w:pPr>
        <w:ind w:firstLine="480"/>
        <w:rPr>
          <w:rFonts w:ascii="仿宋" w:hAnsi="仿宋" w:cs="仿宋"/>
        </w:rPr>
      </w:pPr>
      <w:r>
        <w:rPr>
          <w:rFonts w:hint="eastAsia" w:ascii="仿宋" w:hAnsi="仿宋" w:cs="仿宋"/>
        </w:rPr>
        <w:t>本项目不需缴纳磋商保证金。</w:t>
      </w:r>
    </w:p>
    <w:p>
      <w:pPr>
        <w:pStyle w:val="8"/>
        <w:rPr>
          <w:rFonts w:ascii="仿宋" w:hAnsi="仿宋" w:cs="仿宋"/>
          <w:szCs w:val="24"/>
        </w:rPr>
      </w:pPr>
      <w:r>
        <w:rPr>
          <w:rFonts w:hint="eastAsia" w:ascii="仿宋" w:hAnsi="仿宋" w:cs="仿宋"/>
          <w:szCs w:val="24"/>
        </w:rPr>
        <w:t>10.响应文件的语言</w:t>
      </w:r>
    </w:p>
    <w:p>
      <w:pPr>
        <w:ind w:firstLine="480"/>
        <w:rPr>
          <w:rFonts w:ascii="仿宋" w:hAnsi="仿宋" w:cs="仿宋"/>
          <w:lang w:val="zh-CN"/>
        </w:rPr>
      </w:pPr>
      <w:r>
        <w:rPr>
          <w:rFonts w:hint="eastAsia" w:ascii="仿宋" w:hAnsi="仿宋" w:cs="仿宋"/>
        </w:rPr>
        <w:t>响应文件及供应商与采购有关的来往通知、函件和文件均应使用中文。</w:t>
      </w:r>
    </w:p>
    <w:p>
      <w:pPr>
        <w:pStyle w:val="8"/>
        <w:rPr>
          <w:rFonts w:ascii="仿宋" w:hAnsi="仿宋" w:cs="仿宋"/>
          <w:szCs w:val="24"/>
        </w:rPr>
      </w:pPr>
      <w:r>
        <w:rPr>
          <w:rFonts w:hint="eastAsia" w:ascii="仿宋" w:hAnsi="仿宋" w:cs="仿宋"/>
          <w:szCs w:val="24"/>
        </w:rPr>
        <w:t>11.响应文件的组成</w:t>
      </w:r>
    </w:p>
    <w:p>
      <w:pPr>
        <w:ind w:firstLine="480"/>
        <w:outlineLvl w:val="2"/>
        <w:rPr>
          <w:rFonts w:ascii="仿宋" w:hAnsi="仿宋" w:cs="仿宋"/>
        </w:rPr>
      </w:pPr>
      <w:r>
        <w:rPr>
          <w:rFonts w:hint="eastAsia" w:ascii="仿宋" w:hAnsi="仿宋" w:cs="仿宋"/>
        </w:rPr>
        <w:t>11.1资格文件：</w:t>
      </w:r>
    </w:p>
    <w:p>
      <w:pPr>
        <w:snapToGrid w:val="0"/>
        <w:ind w:firstLine="960" w:firstLineChars="400"/>
        <w:rPr>
          <w:rFonts w:ascii="仿宋" w:hAnsi="仿宋" w:cs="仿宋"/>
        </w:rPr>
      </w:pPr>
      <w:r>
        <w:rPr>
          <w:rFonts w:hint="eastAsia" w:ascii="仿宋" w:hAnsi="仿宋" w:cs="仿宋"/>
        </w:rPr>
        <w:t>11.1.1符合参加政府采购活动应当具备的一般条件的承诺函；</w:t>
      </w:r>
    </w:p>
    <w:p>
      <w:pPr>
        <w:ind w:firstLine="480"/>
        <w:outlineLvl w:val="2"/>
        <w:rPr>
          <w:rFonts w:ascii="仿宋" w:hAnsi="仿宋" w:cs="仿宋"/>
          <w:lang w:val="zh-CN"/>
        </w:rPr>
      </w:pPr>
      <w:r>
        <w:rPr>
          <w:rFonts w:hint="eastAsia" w:ascii="仿宋" w:hAnsi="仿宋" w:cs="仿宋"/>
          <w:lang w:val="zh-CN"/>
        </w:rPr>
        <w:t>11.</w:t>
      </w:r>
      <w:r>
        <w:rPr>
          <w:rFonts w:hint="eastAsia" w:ascii="仿宋" w:hAnsi="仿宋" w:cs="仿宋"/>
        </w:rPr>
        <w:t>2商务技术</w:t>
      </w:r>
      <w:r>
        <w:rPr>
          <w:rFonts w:hint="eastAsia" w:ascii="仿宋" w:hAnsi="仿宋" w:cs="仿宋"/>
          <w:lang w:val="zh-CN"/>
        </w:rPr>
        <w:t>文件：</w:t>
      </w:r>
    </w:p>
    <w:p>
      <w:pPr>
        <w:snapToGrid w:val="0"/>
        <w:ind w:firstLine="960" w:firstLineChars="400"/>
        <w:rPr>
          <w:rFonts w:ascii="仿宋" w:hAnsi="仿宋" w:cs="仿宋"/>
        </w:rPr>
      </w:pPr>
      <w:r>
        <w:rPr>
          <w:rFonts w:hint="eastAsia" w:ascii="仿宋" w:hAnsi="仿宋" w:cs="仿宋"/>
        </w:rPr>
        <w:t>11.2.1磋商响应函；</w:t>
      </w:r>
    </w:p>
    <w:p>
      <w:pPr>
        <w:snapToGrid w:val="0"/>
        <w:ind w:firstLine="960" w:firstLineChars="400"/>
        <w:rPr>
          <w:rFonts w:ascii="仿宋" w:hAnsi="仿宋" w:cs="仿宋"/>
        </w:rPr>
      </w:pPr>
      <w:r>
        <w:rPr>
          <w:rFonts w:hint="eastAsia" w:ascii="仿宋" w:hAnsi="仿宋" w:cs="仿宋"/>
        </w:rPr>
        <w:t>11.2.2授权委托书或法定代表人（单位负责人、自然人本人）身份证明；</w:t>
      </w:r>
    </w:p>
    <w:p>
      <w:pPr>
        <w:snapToGrid w:val="0"/>
        <w:ind w:firstLine="960" w:firstLineChars="400"/>
        <w:rPr>
          <w:rFonts w:ascii="仿宋" w:hAnsi="仿宋" w:cs="仿宋"/>
        </w:rPr>
      </w:pPr>
      <w:r>
        <w:rPr>
          <w:rFonts w:hint="eastAsia" w:ascii="仿宋" w:hAnsi="仿宋" w:cs="仿宋"/>
        </w:rPr>
        <w:t>11.2.3符合性审查资料；</w:t>
      </w:r>
    </w:p>
    <w:p>
      <w:pPr>
        <w:snapToGrid w:val="0"/>
        <w:ind w:firstLine="960" w:firstLineChars="400"/>
        <w:rPr>
          <w:rFonts w:ascii="仿宋" w:hAnsi="仿宋" w:cs="仿宋"/>
        </w:rPr>
      </w:pPr>
      <w:r>
        <w:rPr>
          <w:rFonts w:hint="eastAsia" w:ascii="仿宋" w:hAnsi="仿宋" w:cs="仿宋"/>
        </w:rPr>
        <w:t>11.2.4商务条款偏离表；</w:t>
      </w:r>
    </w:p>
    <w:p>
      <w:pPr>
        <w:snapToGrid w:val="0"/>
        <w:ind w:firstLine="960" w:firstLineChars="400"/>
        <w:rPr>
          <w:rFonts w:ascii="仿宋" w:hAnsi="仿宋" w:cs="仿宋"/>
        </w:rPr>
      </w:pPr>
      <w:r>
        <w:rPr>
          <w:rFonts w:hint="eastAsia" w:ascii="仿宋" w:hAnsi="仿宋" w:cs="仿宋"/>
        </w:rPr>
        <w:t>11.2.5技术条款偏离表；</w:t>
      </w:r>
    </w:p>
    <w:p>
      <w:pPr>
        <w:snapToGrid w:val="0"/>
        <w:ind w:firstLine="960" w:firstLineChars="400"/>
        <w:rPr>
          <w:rFonts w:ascii="仿宋" w:hAnsi="仿宋" w:cs="仿宋"/>
        </w:rPr>
      </w:pPr>
      <w:r>
        <w:rPr>
          <w:rFonts w:hint="eastAsia" w:ascii="仿宋" w:hAnsi="仿宋" w:cs="仿宋"/>
          <w:lang w:val="zh-CN"/>
        </w:rPr>
        <w:t>11.</w:t>
      </w:r>
      <w:r>
        <w:rPr>
          <w:rFonts w:hint="eastAsia" w:ascii="仿宋" w:hAnsi="仿宋" w:cs="仿宋"/>
        </w:rPr>
        <w:t>2</w:t>
      </w:r>
      <w:r>
        <w:rPr>
          <w:rFonts w:hint="eastAsia" w:ascii="仿宋" w:hAnsi="仿宋" w:cs="仿宋"/>
          <w:lang w:val="zh-CN"/>
        </w:rPr>
        <w:t>.</w:t>
      </w:r>
      <w:r>
        <w:rPr>
          <w:rFonts w:hint="eastAsia" w:ascii="仿宋" w:hAnsi="仿宋" w:cs="仿宋"/>
        </w:rPr>
        <w:t>6评审标准相应的商务技术资料；</w:t>
      </w:r>
    </w:p>
    <w:p>
      <w:pPr>
        <w:snapToGrid w:val="0"/>
        <w:ind w:firstLine="960" w:firstLineChars="400"/>
        <w:rPr>
          <w:rFonts w:ascii="仿宋" w:hAnsi="仿宋" w:cs="仿宋"/>
          <w:lang w:val="zh-CN"/>
        </w:rPr>
      </w:pPr>
      <w:r>
        <w:rPr>
          <w:rFonts w:hint="eastAsia" w:ascii="仿宋" w:hAnsi="仿宋" w:cs="仿宋"/>
        </w:rPr>
        <w:t>11.2.7</w:t>
      </w:r>
      <w:r>
        <w:rPr>
          <w:rFonts w:hint="eastAsia" w:ascii="仿宋" w:hAnsi="仿宋" w:cs="仿宋"/>
          <w:lang w:val="zh-CN"/>
        </w:rPr>
        <w:t>政府采购供应商廉洁自律承诺书；</w:t>
      </w:r>
    </w:p>
    <w:p>
      <w:pPr>
        <w:ind w:firstLine="480"/>
        <w:outlineLvl w:val="2"/>
        <w:rPr>
          <w:rFonts w:ascii="仿宋" w:hAnsi="仿宋" w:cs="仿宋"/>
          <w:lang w:val="zh-CN"/>
        </w:rPr>
      </w:pPr>
      <w:r>
        <w:rPr>
          <w:rFonts w:hint="eastAsia" w:ascii="仿宋" w:hAnsi="仿宋" w:cs="仿宋"/>
          <w:lang w:val="zh-CN"/>
        </w:rPr>
        <w:t>11.</w:t>
      </w:r>
      <w:r>
        <w:rPr>
          <w:rFonts w:hint="eastAsia" w:ascii="仿宋" w:hAnsi="仿宋" w:cs="仿宋"/>
        </w:rPr>
        <w:t>3报价文件：</w:t>
      </w:r>
    </w:p>
    <w:p>
      <w:pPr>
        <w:snapToGrid w:val="0"/>
        <w:ind w:firstLine="960" w:firstLineChars="400"/>
        <w:rPr>
          <w:rFonts w:ascii="仿宋" w:hAnsi="仿宋" w:cs="仿宋"/>
        </w:rPr>
      </w:pPr>
      <w:r>
        <w:rPr>
          <w:rFonts w:hint="eastAsia" w:ascii="仿宋" w:hAnsi="仿宋" w:cs="仿宋"/>
        </w:rPr>
        <w:t>11.3.1初次报价表；</w:t>
      </w:r>
    </w:p>
    <w:p>
      <w:pPr>
        <w:pStyle w:val="65"/>
        <w:ind w:left="480" w:firstLine="480"/>
      </w:pPr>
      <w:r>
        <w:rPr>
          <w:rFonts w:hint="eastAsia" w:ascii="仿宋" w:hAnsi="仿宋" w:cs="仿宋"/>
          <w:sz w:val="24"/>
        </w:rPr>
        <w:t>11.3.2中小企业声明函。</w:t>
      </w:r>
    </w:p>
    <w:p>
      <w:pPr>
        <w:ind w:firstLine="723" w:firstLineChars="300"/>
        <w:rPr>
          <w:rFonts w:ascii="仿宋" w:hAnsi="仿宋" w:cs="仿宋"/>
          <w:b/>
        </w:rPr>
      </w:pPr>
      <w:r>
        <w:rPr>
          <w:rFonts w:hint="eastAsia" w:ascii="仿宋" w:hAnsi="仿宋" w:cs="仿宋"/>
          <w:b/>
        </w:rPr>
        <w:t>★响应文件含有采购人不能接受的附加条件的，响应无效；</w:t>
      </w:r>
    </w:p>
    <w:p>
      <w:pPr>
        <w:ind w:firstLine="723" w:firstLineChars="300"/>
        <w:rPr>
          <w:rFonts w:ascii="仿宋" w:hAnsi="仿宋" w:cs="仿宋"/>
          <w:b/>
          <w:szCs w:val="21"/>
        </w:rPr>
      </w:pPr>
      <w:r>
        <w:rPr>
          <w:rFonts w:hint="eastAsia" w:ascii="仿宋" w:hAnsi="仿宋" w:cs="仿宋"/>
          <w:b/>
        </w:rPr>
        <w:t>★供应商提供虚假材料的，响应无效。</w:t>
      </w:r>
    </w:p>
    <w:p>
      <w:pPr>
        <w:pStyle w:val="8"/>
        <w:rPr>
          <w:rFonts w:ascii="仿宋" w:hAnsi="仿宋" w:cs="仿宋"/>
          <w:szCs w:val="24"/>
        </w:rPr>
      </w:pPr>
      <w:r>
        <w:rPr>
          <w:rFonts w:hint="eastAsia" w:ascii="仿宋" w:hAnsi="仿宋" w:cs="仿宋"/>
          <w:szCs w:val="24"/>
        </w:rPr>
        <w:t>12</w:t>
      </w:r>
      <w:r>
        <w:rPr>
          <w:rFonts w:hint="eastAsia" w:ascii="仿宋" w:hAnsi="仿宋" w:cs="仿宋"/>
          <w:szCs w:val="24"/>
          <w:lang w:val="zh-CN"/>
        </w:rPr>
        <w:t>.</w:t>
      </w:r>
      <w:r>
        <w:rPr>
          <w:rFonts w:hint="eastAsia" w:ascii="仿宋" w:hAnsi="仿宋" w:cs="仿宋"/>
          <w:szCs w:val="24"/>
        </w:rPr>
        <w:t>响应文件的编制</w:t>
      </w:r>
    </w:p>
    <w:p>
      <w:pPr>
        <w:ind w:firstLine="480"/>
      </w:pPr>
      <w:r>
        <w:rPr>
          <w:rFonts w:hint="eastAsia"/>
          <w:lang w:val="zh-CN"/>
        </w:rPr>
        <w:t>12.1响应文件分为资格文件、商务技术文件、报价文件三部分。各供应商在编制响应文件时请按照磋商文件第六部分规定的格式进行，混乱的编排导致响应文件被误读或磋商小组查找不到有效文件是供应商的风险。</w:t>
      </w:r>
    </w:p>
    <w:p>
      <w:pPr>
        <w:ind w:firstLine="480"/>
        <w:rPr>
          <w:lang w:val="zh-CN"/>
        </w:rPr>
      </w:pPr>
      <w:r>
        <w:rPr>
          <w:rFonts w:hint="eastAsia"/>
          <w:lang w:val="zh-CN"/>
        </w:rPr>
        <w:t>12.2供应商进行电子响应应安装客户端软件—“政采云电子交易客户端”，并按照磋商文件和电子交易平台的要求编制并加密响应文件。供应商未按规定加密的响应文件，电子交易平台将拒收并提示。</w:t>
      </w:r>
    </w:p>
    <w:p>
      <w:pPr>
        <w:ind w:firstLine="480"/>
        <w:rPr>
          <w:lang w:val="zh-CN"/>
        </w:rPr>
      </w:pPr>
      <w:r>
        <w:rPr>
          <w:rFonts w:hint="eastAsia"/>
          <w:lang w:val="zh-CN"/>
        </w:rPr>
        <w:t>12.3使用“政采云电子交易客户端”需要提前申领CA数字证书，申领流程请自行前往“浙江政府采购网-下载专区-电子交易客户端-CA驱动和申领流程”进行查阅。</w:t>
      </w:r>
    </w:p>
    <w:p>
      <w:pPr>
        <w:pStyle w:val="8"/>
        <w:ind w:left="480" w:leftChars="200" w:firstLine="0" w:firstLineChars="0"/>
        <w:rPr>
          <w:rFonts w:ascii="仿宋" w:hAnsi="仿宋" w:cs="仿宋"/>
        </w:rPr>
      </w:pPr>
      <w:r>
        <w:rPr>
          <w:rFonts w:hint="eastAsia" w:ascii="仿宋" w:hAnsi="仿宋" w:cs="仿宋"/>
          <w:lang w:val="en-US"/>
        </w:rPr>
        <w:t>13.</w:t>
      </w:r>
      <w:r>
        <w:rPr>
          <w:rFonts w:hint="eastAsia" w:ascii="仿宋" w:hAnsi="仿宋" w:cs="仿宋"/>
        </w:rPr>
        <w:t>响应文件的签署、盖章</w:t>
      </w:r>
    </w:p>
    <w:p>
      <w:pPr>
        <w:ind w:firstLine="480"/>
        <w:rPr>
          <w:rFonts w:ascii="仿宋" w:hAnsi="仿宋" w:cs="仿宋"/>
          <w:b/>
        </w:rPr>
      </w:pPr>
      <w:r>
        <w:rPr>
          <w:rFonts w:hint="eastAsia" w:ascii="仿宋" w:hAnsi="仿宋" w:cs="仿宋"/>
        </w:rPr>
        <w:t>13.1响应文件按照磋商文件第六部分格式要求进行签署、盖章。</w:t>
      </w:r>
      <w:r>
        <w:rPr>
          <w:rFonts w:hint="eastAsia" w:ascii="仿宋" w:hAnsi="仿宋" w:cs="仿宋"/>
          <w:b/>
        </w:rPr>
        <w:t>★供应商的响应文件未按照磋商文件要求签署、盖章的，其响应无效</w:t>
      </w:r>
      <w:r>
        <w:rPr>
          <w:rFonts w:hint="eastAsia" w:ascii="仿宋" w:hAnsi="仿宋" w:cs="仿宋"/>
        </w:rPr>
        <w:t>。</w:t>
      </w:r>
    </w:p>
    <w:p>
      <w:pPr>
        <w:ind w:firstLine="480"/>
        <w:rPr>
          <w:rFonts w:ascii="仿宋" w:hAnsi="仿宋" w:cs="仿宋"/>
        </w:rPr>
      </w:pPr>
      <w:r>
        <w:rPr>
          <w:rFonts w:hint="eastAsia" w:ascii="仿宋" w:hAnsi="仿宋" w:cs="仿宋"/>
        </w:rPr>
        <w:t>13.2为确保网上操作合法、有效和安全，供应商应当在响应截止时间前完成在“政府采购云平台”的身份认证，确保在电子响应过程中能够对相关数据电文进行加密和使用电子签名。</w:t>
      </w:r>
    </w:p>
    <w:p>
      <w:pPr>
        <w:ind w:firstLine="480"/>
        <w:rPr>
          <w:rFonts w:ascii="仿宋" w:hAnsi="仿宋" w:cs="仿宋"/>
        </w:rPr>
      </w:pPr>
      <w:r>
        <w:rPr>
          <w:rFonts w:hint="eastAsia" w:ascii="仿宋" w:hAnsi="仿宋" w:cs="仿宋"/>
        </w:rPr>
        <w:t>13.3磋商文件对响应文件签署、盖章的要求适用于电子签名。</w:t>
      </w:r>
    </w:p>
    <w:p>
      <w:pPr>
        <w:pStyle w:val="8"/>
        <w:rPr>
          <w:rFonts w:ascii="仿宋" w:hAnsi="仿宋" w:cs="仿宋"/>
          <w:szCs w:val="24"/>
        </w:rPr>
      </w:pPr>
      <w:r>
        <w:rPr>
          <w:rFonts w:hint="eastAsia" w:ascii="仿宋" w:hAnsi="仿宋" w:cs="仿宋"/>
          <w:szCs w:val="24"/>
        </w:rPr>
        <w:t>14.响应文件的提交、补充、修改、撤回</w:t>
      </w:r>
    </w:p>
    <w:p>
      <w:pPr>
        <w:pStyle w:val="135"/>
        <w:snapToGrid w:val="0"/>
        <w:spacing w:before="0"/>
        <w:ind w:firstLine="480"/>
        <w:rPr>
          <w:rFonts w:ascii="仿宋" w:hAnsi="仿宋" w:cs="仿宋"/>
        </w:rPr>
      </w:pPr>
      <w:r>
        <w:rPr>
          <w:rFonts w:hint="eastAsia" w:ascii="仿宋" w:hAnsi="仿宋" w:cs="仿宋"/>
        </w:rPr>
        <w:t>14.1供应商应当在响应截止时间前完成响应文件的传输递交，并可以补充、修改或者撤回响应文件。补充或者修改响应文件的，应当先行撤回原文件，补充、修改后重新传输递交。响应截止时间前未完成传输的，视为撤回响应文件。</w:t>
      </w:r>
      <w:r>
        <w:rPr>
          <w:rFonts w:hint="eastAsia" w:ascii="仿宋" w:hAnsi="仿宋" w:cs="仿宋"/>
          <w:b/>
          <w:bCs/>
        </w:rPr>
        <w:t>响应截止时间后递交的响应文件，电子交易平台将拒收。</w:t>
      </w:r>
    </w:p>
    <w:p>
      <w:pPr>
        <w:ind w:firstLine="480"/>
        <w:rPr>
          <w:rFonts w:ascii="仿宋" w:hAnsi="仿宋" w:cs="仿宋"/>
        </w:rPr>
      </w:pPr>
      <w:r>
        <w:rPr>
          <w:rFonts w:hint="eastAsia" w:ascii="仿宋" w:hAnsi="仿宋" w:cs="仿宋"/>
        </w:rPr>
        <w:t>14.2电子交易平台收到响应文件，将妥善保存并即时向供应商发出确认回执通知。在响应截止时间前，除供应商补充、修改或者撤回响应文件外，任何单位和个人不得解密或提取响应文件。</w:t>
      </w:r>
    </w:p>
    <w:p>
      <w:pPr>
        <w:ind w:firstLine="480"/>
        <w:rPr>
          <w:rFonts w:ascii="仿宋" w:hAnsi="仿宋" w:cs="仿宋"/>
        </w:rPr>
      </w:pPr>
      <w:r>
        <w:rPr>
          <w:rFonts w:hint="eastAsia" w:ascii="仿宋" w:hAnsi="仿宋" w:cs="仿宋"/>
        </w:rPr>
        <w:t>14.3采购人、采购机构可以视情况延长响应文件提交的截止时间。在上述情况下，采购机构与供应商以前在响应截止期方面的全部权利、责任和义务，将适用于延长至新的响应截止期。</w:t>
      </w:r>
    </w:p>
    <w:p>
      <w:pPr>
        <w:pStyle w:val="8"/>
        <w:rPr>
          <w:rFonts w:ascii="仿宋" w:hAnsi="仿宋" w:cs="仿宋"/>
        </w:rPr>
      </w:pPr>
      <w:r>
        <w:rPr>
          <w:rFonts w:hint="eastAsia" w:ascii="仿宋" w:hAnsi="仿宋" w:cs="仿宋"/>
        </w:rPr>
        <w:t>15.备份响应文件</w:t>
      </w:r>
    </w:p>
    <w:p>
      <w:pPr>
        <w:pStyle w:val="38"/>
        <w:ind w:firstLine="360" w:firstLineChars="150"/>
        <w:rPr>
          <w:rFonts w:ascii="仿宋" w:hAnsi="仿宋" w:cs="仿宋"/>
          <w:b/>
          <w:szCs w:val="24"/>
        </w:rPr>
      </w:pPr>
      <w:r>
        <w:rPr>
          <w:rFonts w:hint="eastAsia" w:ascii="仿宋" w:hAnsi="仿宋" w:cs="仿宋"/>
        </w:rPr>
        <w:t>15.1供应商在电子交易平台传输递交响应文件后，还可以在响应截止时间前直接提</w:t>
      </w:r>
      <w:r>
        <w:rPr>
          <w:rFonts w:hint="eastAsia" w:ascii="仿宋" w:hAnsi="仿宋" w:cs="仿宋"/>
          <w:szCs w:val="24"/>
        </w:rPr>
        <w:t>交或者以邮政快递方式递交备份响应文件1份，</w:t>
      </w:r>
      <w:r>
        <w:rPr>
          <w:rFonts w:hint="eastAsia" w:ascii="仿宋" w:hAnsi="仿宋" w:cs="仿宋"/>
          <w:b/>
          <w:szCs w:val="24"/>
        </w:rPr>
        <w:t>但采购人、采购机构不强制或变相强制供应商提交备份响应文件。</w:t>
      </w:r>
    </w:p>
    <w:p>
      <w:pPr>
        <w:pStyle w:val="38"/>
        <w:ind w:firstLine="480"/>
        <w:rPr>
          <w:rFonts w:ascii="仿宋" w:hAnsi="仿宋" w:cs="仿宋"/>
          <w:b/>
          <w:szCs w:val="24"/>
        </w:rPr>
      </w:pPr>
      <w:r>
        <w:rPr>
          <w:rFonts w:hint="eastAsia" w:ascii="仿宋" w:hAnsi="仿宋" w:cs="仿宋"/>
        </w:rPr>
        <w:t>15.2备份响应文件须在“政采云响应客户端”制作生成，并储存在DVD光盘</w:t>
      </w:r>
      <w:r>
        <w:rPr>
          <w:rFonts w:hint="eastAsia" w:ascii="仿宋" w:hAnsi="仿宋" w:cs="仿宋"/>
          <w:lang w:val="en-US" w:eastAsia="zh-CN"/>
        </w:rPr>
        <w:t>或U盘</w:t>
      </w:r>
      <w:r>
        <w:rPr>
          <w:rFonts w:hint="eastAsia" w:ascii="仿宋" w:hAnsi="仿宋" w:cs="仿宋"/>
        </w:rPr>
        <w:t>中。备</w:t>
      </w:r>
      <w:r>
        <w:rPr>
          <w:rFonts w:hint="eastAsia" w:ascii="仿宋" w:hAnsi="仿宋" w:cs="仿宋"/>
          <w:szCs w:val="24"/>
        </w:rPr>
        <w:t>份响应文件应当密封包装并在包装上加盖公章并注明响应项目名称，供应商名称。</w:t>
      </w:r>
      <w:r>
        <w:rPr>
          <w:rFonts w:hint="eastAsia" w:ascii="仿宋" w:hAnsi="仿宋" w:cs="仿宋"/>
          <w:b/>
        </w:rPr>
        <w:t>不符合上述制作、</w:t>
      </w:r>
      <w:r>
        <w:rPr>
          <w:rFonts w:hint="eastAsia" w:ascii="仿宋" w:hAnsi="仿宋" w:cs="仿宋"/>
          <w:b/>
          <w:szCs w:val="24"/>
        </w:rPr>
        <w:t>存储、密封规定的备份响应文件将被视为无效或者被拒绝接收。</w:t>
      </w:r>
    </w:p>
    <w:p>
      <w:pPr>
        <w:pStyle w:val="38"/>
        <w:ind w:firstLine="480"/>
        <w:rPr>
          <w:rFonts w:ascii="仿宋" w:hAnsi="仿宋" w:cs="仿宋"/>
          <w:szCs w:val="24"/>
        </w:rPr>
      </w:pPr>
      <w:r>
        <w:rPr>
          <w:rFonts w:hint="eastAsia" w:ascii="仿宋" w:hAnsi="仿宋" w:cs="仿宋"/>
        </w:rPr>
        <w:t>15.3直接提交备份响应文件的，供应商应于响应截止时间前在竞争性磋商公告中载明的开启响应文件</w:t>
      </w:r>
      <w:r>
        <w:rPr>
          <w:rFonts w:hint="eastAsia" w:ascii="仿宋" w:hAnsi="仿宋" w:cs="仿宋"/>
          <w:szCs w:val="24"/>
        </w:rPr>
        <w:t>地点将备份响应文件提交给采购机构，</w:t>
      </w:r>
      <w:r>
        <w:rPr>
          <w:rFonts w:hint="eastAsia" w:ascii="仿宋" w:hAnsi="仿宋" w:cs="仿宋"/>
          <w:b/>
          <w:bCs/>
          <w:szCs w:val="24"/>
        </w:rPr>
        <w:t>采购机构将拒绝接受逾期送达的备份响应文件</w:t>
      </w:r>
      <w:r>
        <w:rPr>
          <w:rFonts w:hint="eastAsia" w:ascii="仿宋" w:hAnsi="仿宋" w:cs="仿宋"/>
          <w:szCs w:val="24"/>
        </w:rPr>
        <w:t>。</w:t>
      </w:r>
    </w:p>
    <w:p>
      <w:pPr>
        <w:pStyle w:val="38"/>
        <w:ind w:firstLine="480"/>
        <w:rPr>
          <w:rFonts w:ascii="仿宋" w:hAnsi="仿宋" w:cs="仿宋"/>
          <w:szCs w:val="24"/>
        </w:rPr>
      </w:pPr>
      <w:r>
        <w:rPr>
          <w:rFonts w:hint="eastAsia" w:ascii="仿宋" w:hAnsi="仿宋" w:cs="仿宋"/>
        </w:rPr>
        <w:t>15.4以邮政快递方式递交备份响应文件的，供应商应先将备份响应文件按要求密封和标记，再进行邮政快递包装后邮寄。备份响应文件须在响应截止时间之前送达磋商文件</w:t>
      </w:r>
      <w:r>
        <w:rPr>
          <w:rFonts w:hint="eastAsia" w:ascii="仿宋" w:hAnsi="仿宋" w:cs="仿宋"/>
          <w:snapToGrid/>
          <w:szCs w:val="24"/>
        </w:rPr>
        <w:t>规定的备份响应文件送达地点；</w:t>
      </w:r>
      <w:r>
        <w:rPr>
          <w:rFonts w:hint="eastAsia" w:ascii="仿宋" w:hAnsi="仿宋" w:cs="仿宋"/>
          <w:szCs w:val="24"/>
        </w:rPr>
        <w:t>送达时间以签收人签收时间为准。</w:t>
      </w:r>
      <w:r>
        <w:rPr>
          <w:rFonts w:hint="eastAsia" w:ascii="仿宋" w:hAnsi="仿宋" w:cs="仿宋"/>
          <w:b/>
          <w:bCs/>
          <w:szCs w:val="24"/>
        </w:rPr>
        <w:t>采购机构将拒绝接受逾期送达的备份响应文件。</w:t>
      </w:r>
      <w:r>
        <w:rPr>
          <w:rFonts w:hint="eastAsia" w:ascii="仿宋" w:hAnsi="仿宋" w:cs="仿宋"/>
          <w:szCs w:val="24"/>
        </w:rPr>
        <w:t>邮寄过程中，电子备份响应文件发生泄露、遗失、损坏或延期送达等情况的，由供应商自行负责。</w:t>
      </w:r>
    </w:p>
    <w:p>
      <w:pPr>
        <w:pStyle w:val="38"/>
        <w:ind w:firstLine="479" w:firstLineChars="199"/>
        <w:rPr>
          <w:rFonts w:ascii="仿宋" w:hAnsi="仿宋" w:cs="仿宋"/>
          <w:b/>
          <w:szCs w:val="24"/>
        </w:rPr>
      </w:pPr>
      <w:r>
        <w:rPr>
          <w:rFonts w:hint="eastAsia" w:ascii="仿宋" w:hAnsi="仿宋" w:cs="仿宋"/>
          <w:b/>
          <w:szCs w:val="24"/>
        </w:rPr>
        <w:t>★15.5供应商仅提交备份响应文件，没有在电子交易平台传输递交响应文件的，响应无效。</w:t>
      </w:r>
    </w:p>
    <w:p>
      <w:pPr>
        <w:pStyle w:val="8"/>
        <w:rPr>
          <w:rFonts w:ascii="仿宋" w:hAnsi="仿宋" w:cs="仿宋"/>
        </w:rPr>
      </w:pPr>
      <w:r>
        <w:rPr>
          <w:rFonts w:hint="eastAsia" w:ascii="仿宋" w:hAnsi="仿宋" w:cs="仿宋"/>
        </w:rPr>
        <w:t>16.响应文件的无效处理</w:t>
      </w:r>
    </w:p>
    <w:p>
      <w:pPr>
        <w:pStyle w:val="30"/>
        <w:spacing w:line="360" w:lineRule="auto"/>
        <w:ind w:firstLine="360" w:firstLineChars="150"/>
        <w:rPr>
          <w:rFonts w:ascii="仿宋" w:hAnsi="仿宋" w:cs="仿宋"/>
          <w:szCs w:val="21"/>
        </w:rPr>
      </w:pPr>
      <w:r>
        <w:rPr>
          <w:rFonts w:hint="eastAsia" w:ascii="仿宋" w:hAnsi="仿宋" w:cs="仿宋"/>
          <w:szCs w:val="21"/>
        </w:rPr>
        <w:t>有磋商文件第四部分</w:t>
      </w:r>
      <w:r>
        <w:rPr>
          <w:rFonts w:hint="eastAsia" w:ascii="仿宋" w:hAnsi="仿宋" w:cs="仿宋"/>
        </w:rPr>
        <w:t>第4.2项规定</w:t>
      </w:r>
      <w:r>
        <w:rPr>
          <w:rFonts w:hint="eastAsia" w:ascii="仿宋" w:hAnsi="仿宋" w:cs="仿宋"/>
          <w:szCs w:val="21"/>
        </w:rPr>
        <w:t>的情形之一的，响应无效：</w:t>
      </w:r>
    </w:p>
    <w:p>
      <w:pPr>
        <w:pStyle w:val="8"/>
        <w:rPr>
          <w:rFonts w:ascii="仿宋" w:hAnsi="仿宋" w:cs="仿宋"/>
          <w:szCs w:val="24"/>
        </w:rPr>
      </w:pPr>
      <w:r>
        <w:rPr>
          <w:rFonts w:hint="eastAsia" w:ascii="仿宋" w:hAnsi="仿宋" w:cs="仿宋"/>
        </w:rPr>
        <w:t>17</w:t>
      </w:r>
      <w:r>
        <w:rPr>
          <w:rFonts w:hint="eastAsia" w:ascii="仿宋" w:hAnsi="仿宋" w:cs="仿宋"/>
          <w:szCs w:val="24"/>
        </w:rPr>
        <w:t>.响应有效期</w:t>
      </w:r>
    </w:p>
    <w:p>
      <w:pPr>
        <w:ind w:firstLine="480"/>
        <w:rPr>
          <w:rFonts w:ascii="仿宋" w:hAnsi="仿宋" w:cs="仿宋"/>
          <w:b/>
          <w:szCs w:val="21"/>
        </w:rPr>
      </w:pPr>
      <w:r>
        <w:rPr>
          <w:rFonts w:hint="eastAsia" w:ascii="仿宋" w:hAnsi="仿宋" w:cs="仿宋"/>
          <w:szCs w:val="20"/>
        </w:rPr>
        <w:t>17.1响应有效期为从提交响应文件的截止之日起90天。★</w:t>
      </w:r>
      <w:r>
        <w:rPr>
          <w:rFonts w:hint="eastAsia" w:ascii="仿宋" w:hAnsi="仿宋" w:cs="仿宋"/>
          <w:b/>
          <w:szCs w:val="20"/>
        </w:rPr>
        <w:t>供应商的响应文件中承</w:t>
      </w:r>
      <w:r>
        <w:rPr>
          <w:rFonts w:hint="eastAsia" w:ascii="仿宋" w:hAnsi="仿宋" w:cs="仿宋"/>
          <w:b/>
          <w:szCs w:val="21"/>
        </w:rPr>
        <w:t>诺的响应有效期少于磋商文件中载明的响应有效期的，响应无效。</w:t>
      </w:r>
    </w:p>
    <w:p>
      <w:pPr>
        <w:ind w:firstLine="480"/>
      </w:pPr>
      <w:r>
        <w:rPr>
          <w:rFonts w:hint="eastAsia"/>
        </w:rPr>
        <w:t>17.2响应文件合格投递后，自响应截止日期起，在响应有效期内有效。</w:t>
      </w:r>
    </w:p>
    <w:p>
      <w:pPr>
        <w:ind w:firstLine="480"/>
      </w:pPr>
      <w:r>
        <w:rPr>
          <w:rFonts w:hint="eastAsia"/>
        </w:rPr>
        <w:t>17.3在原定响应有效期满之前，如果出现特殊情况，采购机构可以以书面形式通知供应商延长响应有效期。供应商同意延长的，不得要求或被允许修改其响应文件，供应商拒绝延长的，其响应无效。</w:t>
      </w:r>
    </w:p>
    <w:p>
      <w:pPr>
        <w:pStyle w:val="5"/>
        <w:rPr>
          <w:rFonts w:ascii="仿宋" w:hAnsi="仿宋" w:cs="仿宋"/>
        </w:rPr>
      </w:pPr>
      <w:bookmarkStart w:id="23" w:name="_Toc13888"/>
      <w:r>
        <w:rPr>
          <w:rFonts w:hint="eastAsia" w:ascii="仿宋" w:hAnsi="仿宋" w:cs="仿宋"/>
        </w:rPr>
        <w:t>四、开</w:t>
      </w:r>
      <w:r>
        <w:rPr>
          <w:rFonts w:hint="eastAsia" w:ascii="仿宋" w:hAnsi="仿宋" w:cs="仿宋"/>
          <w:lang w:val="en-US"/>
        </w:rPr>
        <w:t>启响应文件</w:t>
      </w:r>
      <w:r>
        <w:rPr>
          <w:rFonts w:hint="eastAsia" w:ascii="仿宋" w:hAnsi="仿宋" w:cs="仿宋"/>
        </w:rPr>
        <w:t>、资格审查与信用信息查询</w:t>
      </w:r>
      <w:bookmarkEnd w:id="23"/>
    </w:p>
    <w:p>
      <w:pPr>
        <w:pStyle w:val="8"/>
        <w:rPr>
          <w:rFonts w:ascii="仿宋" w:hAnsi="仿宋" w:cs="仿宋"/>
          <w:lang w:val="en-US"/>
        </w:rPr>
      </w:pPr>
      <w:r>
        <w:rPr>
          <w:rFonts w:hint="eastAsia" w:ascii="仿宋" w:hAnsi="仿宋" w:cs="仿宋"/>
          <w:szCs w:val="24"/>
        </w:rPr>
        <w:t>18.开</w:t>
      </w:r>
      <w:r>
        <w:rPr>
          <w:rFonts w:hint="eastAsia" w:ascii="仿宋" w:hAnsi="仿宋" w:cs="仿宋"/>
          <w:szCs w:val="24"/>
          <w:lang w:val="en-US"/>
        </w:rPr>
        <w:t>启响应文件</w:t>
      </w:r>
    </w:p>
    <w:p>
      <w:pPr>
        <w:ind w:firstLine="480"/>
      </w:pPr>
      <w:r>
        <w:rPr>
          <w:rFonts w:hint="eastAsia"/>
        </w:rPr>
        <w:t>18.1采购机构按照磋商文件规定的时间通过电子交易平台组织开启响应文件，所有供应商均应当准时在线参加。供应商不足3家的，不再开启响应文件。</w:t>
      </w:r>
    </w:p>
    <w:p>
      <w:pPr>
        <w:ind w:firstLine="480"/>
      </w:pPr>
      <w:r>
        <w:rPr>
          <w:rFonts w:hint="eastAsia"/>
        </w:rPr>
        <w:t>18.2开启响应文件时，电子交易平台按开启响应文件时间自动提取所有响应文件。采购机构依托电子交易平台发起开始解密指令，供应商按照平台提示和磋商文件的规定在半小时内完成在线解密。</w:t>
      </w:r>
    </w:p>
    <w:p>
      <w:pPr>
        <w:pStyle w:val="560"/>
        <w:spacing w:before="0" w:line="360" w:lineRule="auto"/>
        <w:ind w:left="0" w:firstLine="240" w:firstLineChars="100"/>
        <w:contextualSpacing/>
        <w:rPr>
          <w:rFonts w:ascii="仿宋" w:hAnsi="仿宋" w:eastAsia="仿宋" w:cs="仿宋"/>
          <w:b/>
          <w:sz w:val="24"/>
          <w:szCs w:val="24"/>
        </w:rPr>
      </w:pPr>
      <w:r>
        <w:rPr>
          <w:rFonts w:hint="eastAsia" w:ascii="仿宋" w:hAnsi="仿宋" w:eastAsia="仿宋" w:cs="仿宋"/>
          <w:sz w:val="24"/>
        </w:rPr>
        <w:t>　18.3</w:t>
      </w:r>
      <w:r>
        <w:rPr>
          <w:rFonts w:hint="eastAsia" w:ascii="仿宋" w:hAnsi="仿宋" w:eastAsia="仿宋" w:cs="仿宋"/>
          <w:b/>
          <w:sz w:val="24"/>
        </w:rPr>
        <w:t>响应文件未按时解密，供应商提供了备份响应文件的，以备份响应文件作为依据，否则视为响应文件撤回。响应文件已按时解密的，备份响应文件自动失效。</w:t>
      </w:r>
    </w:p>
    <w:p>
      <w:pPr>
        <w:pStyle w:val="8"/>
        <w:rPr>
          <w:rFonts w:ascii="仿宋" w:hAnsi="仿宋" w:cs="仿宋"/>
          <w:szCs w:val="20"/>
        </w:rPr>
      </w:pPr>
      <w:r>
        <w:rPr>
          <w:rFonts w:hint="eastAsia" w:ascii="仿宋" w:hAnsi="仿宋" w:cs="仿宋"/>
          <w:szCs w:val="24"/>
        </w:rPr>
        <w:t>19</w:t>
      </w:r>
      <w:r>
        <w:rPr>
          <w:rFonts w:hint="eastAsia" w:ascii="仿宋" w:hAnsi="仿宋" w:cs="仿宋"/>
          <w:szCs w:val="20"/>
        </w:rPr>
        <w:t>、资格审查</w:t>
      </w:r>
    </w:p>
    <w:p>
      <w:pPr>
        <w:ind w:firstLine="480"/>
      </w:pPr>
      <w:r>
        <w:rPr>
          <w:rFonts w:hint="eastAsia"/>
        </w:rPr>
        <w:t>19.1开启响应文件后，采购人或采购机构将依法对供应商的资格进行审查。</w:t>
      </w:r>
    </w:p>
    <w:p>
      <w:pPr>
        <w:ind w:firstLine="480"/>
      </w:pPr>
      <w:r>
        <w:rPr>
          <w:rFonts w:hint="eastAsia"/>
        </w:rPr>
        <w:t>19.2采购人或采购机构依据法律法规和磋商文件的规定，对供应商的基本资格条件、</w:t>
      </w:r>
      <w:r>
        <w:rPr>
          <w:rFonts w:hint="eastAsia" w:ascii="仿宋" w:hAnsi="仿宋" w:cs="仿宋"/>
          <w:snapToGrid w:val="0"/>
          <w:kern w:val="28"/>
          <w:szCs w:val="20"/>
        </w:rPr>
        <w:t>落实政府采购政策需满足的资格要求</w:t>
      </w:r>
      <w:r>
        <w:rPr>
          <w:rFonts w:hint="eastAsia"/>
        </w:rPr>
        <w:t>、特定资格条件进行审查。</w:t>
      </w:r>
    </w:p>
    <w:p>
      <w:pPr>
        <w:ind w:firstLine="480"/>
      </w:pPr>
      <w:r>
        <w:rPr>
          <w:rFonts w:hint="eastAsia"/>
        </w:rPr>
        <w:t>19.3供应商未按照磋商文件要求提供与基本资格条件、</w:t>
      </w:r>
      <w:r>
        <w:rPr>
          <w:rFonts w:hint="eastAsia" w:ascii="仿宋" w:hAnsi="仿宋" w:cs="仿宋"/>
          <w:snapToGrid w:val="0"/>
          <w:kern w:val="28"/>
          <w:szCs w:val="20"/>
        </w:rPr>
        <w:t>落实政府采购政策需满足的资格要求</w:t>
      </w:r>
      <w:r>
        <w:rPr>
          <w:rFonts w:hint="eastAsia"/>
        </w:rPr>
        <w:t>、特定资格条件相应的有效资格证明材料的，视为供应商不具备磋商文件中规定的资格要求，其响应无效。</w:t>
      </w:r>
    </w:p>
    <w:p>
      <w:pPr>
        <w:ind w:firstLine="480"/>
      </w:pPr>
      <w:r>
        <w:rPr>
          <w:rFonts w:hint="eastAsia"/>
        </w:rPr>
        <w:t>19.4对未通过资格审查的供应商，采购人或采购机构告知其未通过的原因。</w:t>
      </w:r>
    </w:p>
    <w:p>
      <w:pPr>
        <w:pStyle w:val="8"/>
        <w:rPr>
          <w:rFonts w:ascii="仿宋" w:hAnsi="仿宋" w:cs="仿宋"/>
          <w:szCs w:val="24"/>
        </w:rPr>
      </w:pPr>
      <w:r>
        <w:rPr>
          <w:rFonts w:hint="eastAsia" w:ascii="仿宋" w:hAnsi="仿宋" w:cs="仿宋"/>
          <w:szCs w:val="24"/>
        </w:rPr>
        <w:t>20、信用信息查询</w:t>
      </w:r>
    </w:p>
    <w:p>
      <w:pPr>
        <w:ind w:firstLine="480"/>
      </w:pPr>
      <w:r>
        <w:rPr>
          <w:rFonts w:hint="eastAsia"/>
        </w:rPr>
        <w:t>20.1信用信息查询渠道及截止时间：采购机构将通过“信用中国”网站（www.creditchina.gov.cn）、中国政府采购网（www.ccgp.gov.cn）渠道查询供应商响应截止时间当天的信用记录。</w:t>
      </w:r>
    </w:p>
    <w:p>
      <w:pPr>
        <w:ind w:firstLine="480"/>
      </w:pPr>
      <w:r>
        <w:rPr>
          <w:rFonts w:hint="eastAsia"/>
        </w:rPr>
        <w:t>20.2信用信息查询记录和证据留存的具体方式：现场查询的供应商的信用记录、查询结果经确认后将与采购文件一起存档。</w:t>
      </w:r>
    </w:p>
    <w:p>
      <w:pPr>
        <w:ind w:firstLine="480"/>
      </w:pPr>
      <w:r>
        <w:rPr>
          <w:rFonts w:hint="eastAsia"/>
        </w:rPr>
        <w:t>20.3信用信息的使用规则：经查询列入失信被执行人名单、重大税收违法案件当事人名单、政府采购严重违法失信行为记录名单的供应商将被拒绝参与政府采购活动。</w:t>
      </w:r>
    </w:p>
    <w:p>
      <w:pPr>
        <w:pStyle w:val="5"/>
        <w:rPr>
          <w:rFonts w:ascii="仿宋" w:hAnsi="仿宋" w:cs="仿宋"/>
        </w:rPr>
      </w:pPr>
      <w:bookmarkStart w:id="24" w:name="_Toc18723"/>
      <w:r>
        <w:rPr>
          <w:rFonts w:hint="eastAsia" w:ascii="仿宋" w:hAnsi="仿宋" w:cs="仿宋"/>
        </w:rPr>
        <w:t>五、</w:t>
      </w:r>
      <w:r>
        <w:rPr>
          <w:rFonts w:hint="eastAsia" w:ascii="仿宋" w:hAnsi="仿宋" w:cs="仿宋"/>
          <w:lang w:val="en-US"/>
        </w:rPr>
        <w:t>磋商</w:t>
      </w:r>
      <w:bookmarkEnd w:id="24"/>
    </w:p>
    <w:p>
      <w:pPr>
        <w:ind w:firstLine="480"/>
      </w:pPr>
      <w:bookmarkStart w:id="25" w:name="_Toc91899903"/>
      <w:r>
        <w:rPr>
          <w:rFonts w:hint="eastAsia"/>
        </w:rPr>
        <w:t>21. 磋商小组可以根据磋商文件和磋商情况实质性变动采购需求中的技术、服务要求（即本磋商文件第三部分采购需求）以及合同草案条款（即本磋商文件第五部分拟签订的合同文本）；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字或加盖公章。递交的响应文件（或补充文件）具有相应的法律效力；磋商结束后，磋商小组要求所有实质性响应的供应商在规定时间内在线提交最后报价。最后报价是供应商响应文件的有效组成部分。</w:t>
      </w:r>
    </w:p>
    <w:p>
      <w:pPr>
        <w:ind w:firstLine="480"/>
      </w:pPr>
      <w:r>
        <w:rPr>
          <w:rFonts w:hint="eastAsia"/>
        </w:rPr>
        <w:t>经磋商确定最终采购需求和提交最后报价的供应商后，由磋商小组采用综合评分法对提交最后报价的供应商的响应文件和最后报价进行综合评分。已提交首次磋商响应文件的供应商，在提交最后报价之前，若因磋商文件实质性变动导致供应商无法满足采购需求的，允许供应商退出磋商。</w:t>
      </w:r>
    </w:p>
    <w:p>
      <w:pPr>
        <w:ind w:firstLine="480"/>
      </w:pPr>
      <w:r>
        <w:rPr>
          <w:rFonts w:hint="eastAsia"/>
        </w:rPr>
        <w:t>磋商小组根据综合评分情况，按照评审得分由高到低顺序推荐3名以上成交候选人，并编写评审报告。若评审得分相同，则最后报价低者排名在前；评审得分且最后报价相同的则由抽签决定。</w:t>
      </w:r>
    </w:p>
    <w:p>
      <w:pPr>
        <w:pStyle w:val="5"/>
        <w:rPr>
          <w:rFonts w:ascii="仿宋" w:hAnsi="仿宋" w:cs="仿宋"/>
        </w:rPr>
      </w:pPr>
      <w:bookmarkStart w:id="26" w:name="_Toc23365"/>
      <w:r>
        <w:rPr>
          <w:rFonts w:hint="eastAsia" w:ascii="仿宋" w:hAnsi="仿宋" w:cs="仿宋"/>
        </w:rPr>
        <w:t>六、</w:t>
      </w:r>
      <w:r>
        <w:rPr>
          <w:rFonts w:hint="eastAsia" w:ascii="仿宋" w:hAnsi="仿宋" w:cs="仿宋"/>
          <w:lang w:val="en-US"/>
        </w:rPr>
        <w:t>成交</w:t>
      </w:r>
      <w:bookmarkEnd w:id="26"/>
    </w:p>
    <w:p>
      <w:pPr>
        <w:pStyle w:val="8"/>
        <w:rPr>
          <w:rFonts w:ascii="仿宋" w:hAnsi="仿宋" w:cs="仿宋"/>
        </w:rPr>
      </w:pPr>
      <w:r>
        <w:rPr>
          <w:rFonts w:hint="eastAsia" w:ascii="仿宋" w:hAnsi="仿宋" w:cs="仿宋"/>
        </w:rPr>
        <w:t>22.确定成交人</w:t>
      </w:r>
    </w:p>
    <w:p>
      <w:pPr>
        <w:pStyle w:val="135"/>
        <w:snapToGrid w:val="0"/>
        <w:spacing w:before="0"/>
        <w:ind w:firstLine="480"/>
        <w:rPr>
          <w:rFonts w:ascii="仿宋" w:hAnsi="仿宋" w:cs="仿宋"/>
          <w:b/>
          <w:szCs w:val="24"/>
        </w:rPr>
      </w:pPr>
      <w:r>
        <w:rPr>
          <w:rFonts w:hint="eastAsia" w:ascii="仿宋" w:hAnsi="仿宋" w:cs="仿宋"/>
          <w:szCs w:val="24"/>
        </w:rPr>
        <w:t>采购人将自收到评审报告之日起5个工作日内通过电子交易平台在评审报告推荐的成交候选人中按顺序确定成交人。</w:t>
      </w:r>
    </w:p>
    <w:p>
      <w:pPr>
        <w:pStyle w:val="8"/>
        <w:rPr>
          <w:rFonts w:ascii="仿宋" w:hAnsi="仿宋" w:cs="仿宋"/>
          <w:szCs w:val="24"/>
        </w:rPr>
      </w:pPr>
      <w:r>
        <w:rPr>
          <w:rFonts w:hint="eastAsia" w:ascii="仿宋" w:hAnsi="仿宋" w:cs="仿宋"/>
          <w:szCs w:val="24"/>
        </w:rPr>
        <w:t>23.成交通知与成交结果公告</w:t>
      </w:r>
    </w:p>
    <w:p>
      <w:pPr>
        <w:ind w:firstLine="480"/>
      </w:pPr>
      <w:r>
        <w:rPr>
          <w:rFonts w:hint="eastAsia"/>
        </w:rPr>
        <w:t>23.1自成交人确定之日起2个工作日内，采购机构通过电子交易平台向成交人发出成交通知书，同时编制发布采购结果公告。采购机构也可以以纸质形式进行成交通知。</w:t>
      </w:r>
    </w:p>
    <w:p>
      <w:pPr>
        <w:ind w:firstLine="480"/>
      </w:pPr>
      <w:r>
        <w:rPr>
          <w:rFonts w:hint="eastAsia"/>
        </w:rPr>
        <w:t>23.2成交结果公告内容包括采购人及其委托的采购机构的名称、地址、联系方式，项目名称和项目编号，成交人名称、地址和成交金额，主要成交标的的名称、规格型号、数量、单价、服务要求，开启响应文件记录、未成交情况说明、成交公告期限以及评审专家名单、评分汇总及明细。</w:t>
      </w:r>
    </w:p>
    <w:p>
      <w:pPr>
        <w:ind w:firstLine="480"/>
      </w:pPr>
      <w:r>
        <w:rPr>
          <w:rFonts w:hint="eastAsia"/>
        </w:rPr>
        <w:t>23.3公告期限为1个工作日。</w:t>
      </w:r>
    </w:p>
    <w:p>
      <w:pPr>
        <w:pStyle w:val="5"/>
        <w:rPr>
          <w:rFonts w:ascii="仿宋" w:hAnsi="仿宋" w:cs="仿宋"/>
        </w:rPr>
      </w:pPr>
      <w:bookmarkStart w:id="27" w:name="_Toc368"/>
      <w:r>
        <w:rPr>
          <w:rFonts w:hint="eastAsia" w:ascii="仿宋" w:hAnsi="仿宋" w:cs="仿宋"/>
        </w:rPr>
        <w:t>七、合同授予</w:t>
      </w:r>
      <w:bookmarkEnd w:id="27"/>
    </w:p>
    <w:p>
      <w:pPr>
        <w:pStyle w:val="8"/>
        <w:rPr>
          <w:rFonts w:ascii="仿宋" w:hAnsi="仿宋" w:cs="仿宋"/>
          <w:szCs w:val="24"/>
        </w:rPr>
      </w:pPr>
      <w:r>
        <w:rPr>
          <w:rFonts w:hint="eastAsia" w:ascii="仿宋" w:hAnsi="仿宋" w:cs="仿宋"/>
          <w:szCs w:val="24"/>
        </w:rPr>
        <w:t>24.合同主要条款详见第五部分拟签订的合同文本。</w:t>
      </w:r>
    </w:p>
    <w:p>
      <w:pPr>
        <w:pStyle w:val="8"/>
        <w:rPr>
          <w:rFonts w:ascii="仿宋" w:hAnsi="仿宋" w:cs="仿宋"/>
        </w:rPr>
      </w:pPr>
      <w:r>
        <w:rPr>
          <w:rFonts w:hint="eastAsia" w:ascii="仿宋" w:hAnsi="仿宋" w:cs="仿宋"/>
          <w:szCs w:val="24"/>
        </w:rPr>
        <w:t>25</w:t>
      </w:r>
      <w:r>
        <w:rPr>
          <w:rFonts w:hint="eastAsia" w:ascii="仿宋" w:hAnsi="仿宋" w:cs="仿宋"/>
        </w:rPr>
        <w:t>.合同的签订</w:t>
      </w:r>
    </w:p>
    <w:p>
      <w:pPr>
        <w:ind w:firstLine="480"/>
        <w:rPr>
          <w:lang w:val="zh-CN"/>
        </w:rPr>
      </w:pPr>
      <w:r>
        <w:rPr>
          <w:rFonts w:hint="eastAsia"/>
        </w:rPr>
        <w:t>25.1</w:t>
      </w:r>
      <w:r>
        <w:rPr>
          <w:rFonts w:hint="eastAsia"/>
          <w:lang w:val="zh-CN"/>
        </w:rPr>
        <w:t>采购人与成交供应商应当在成交通知书发出之日起30日内，按照磋商文件确定的合同文本以及采购标的、规格型号、采购金额、采购数量、技术和服务要求等事项签订政府采购合同</w:t>
      </w:r>
      <w:r>
        <w:rPr>
          <w:rFonts w:hint="eastAsia"/>
        </w:rPr>
        <w:t>，并在合同签订之日起2个工作日内依法发布合同公告</w:t>
      </w:r>
      <w:r>
        <w:rPr>
          <w:rFonts w:hint="eastAsia"/>
          <w:lang w:val="zh-CN"/>
        </w:rPr>
        <w:t>。</w:t>
      </w:r>
    </w:p>
    <w:p>
      <w:pPr>
        <w:ind w:firstLine="480"/>
        <w:rPr>
          <w:lang w:val="zh-CN"/>
        </w:rPr>
      </w:pPr>
      <w:r>
        <w:rPr>
          <w:rFonts w:hint="eastAsia"/>
          <w:lang w:val="zh-CN"/>
        </w:rPr>
        <w:t>25.2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ind w:firstLine="480"/>
      </w:pPr>
      <w:r>
        <w:rPr>
          <w:rFonts w:hint="eastAsia"/>
        </w:rPr>
        <w:t>25.3如签订合同并生效后，供应商无故拒绝或延期，除按照合同条款处理外，列入不良行为记录一次，并给予通报。</w:t>
      </w:r>
    </w:p>
    <w:p>
      <w:pPr>
        <w:ind w:firstLine="480"/>
      </w:pPr>
      <w:r>
        <w:rPr>
          <w:rFonts w:hint="eastAsia"/>
        </w:rPr>
        <w:t>25.4成交人拒绝与采购人签订合同的，采购人可以按照评审报告推荐的成交候选人名单排序，确定下一候选人为成交人，也可以重新开展政府采购活动。拒绝签订政府采购合同的成交供应商不得参加对该项目重新开展的采购活动。</w:t>
      </w:r>
    </w:p>
    <w:p>
      <w:pPr>
        <w:pStyle w:val="8"/>
        <w:rPr>
          <w:rFonts w:ascii="仿宋" w:hAnsi="仿宋" w:cs="仿宋"/>
        </w:rPr>
      </w:pPr>
      <w:r>
        <w:rPr>
          <w:rFonts w:hint="eastAsia" w:ascii="仿宋" w:hAnsi="仿宋" w:cs="仿宋"/>
        </w:rPr>
        <w:t>26.履约保证金</w:t>
      </w:r>
    </w:p>
    <w:p>
      <w:pPr>
        <w:tabs>
          <w:tab w:val="left" w:pos="0"/>
        </w:tabs>
        <w:ind w:firstLine="480"/>
        <w:rPr>
          <w:rFonts w:ascii="仿宋" w:hAnsi="仿宋" w:cs="仿宋"/>
          <w:b/>
        </w:rPr>
      </w:pPr>
      <w:r>
        <w:rPr>
          <w:rFonts w:hint="eastAsia" w:ascii="仿宋" w:hAnsi="仿宋" w:cs="仿宋"/>
          <w:kern w:val="0"/>
        </w:rPr>
        <w:t>拟签订的合同文本要求成交人提交履约保证金的，供应商应当以支票、汇票、本票或者金融机构、担保机构出具的保函等非现金形式提交</w:t>
      </w:r>
      <w:r>
        <w:rPr>
          <w:rFonts w:hint="eastAsia" w:ascii="仿宋" w:hAnsi="仿宋" w:cs="仿宋"/>
        </w:rPr>
        <w:t>。履约保证金的数额不得超过政府采购合同金额的1%。鼓励和支持供应商以银行、保险公司出具的保函形式提供履约保证金。</w:t>
      </w:r>
      <w:r>
        <w:rPr>
          <w:rFonts w:hint="eastAsia" w:ascii="仿宋" w:hAnsi="仿宋" w:cs="仿宋"/>
          <w:b/>
        </w:rPr>
        <w:t>采购人不得拒收履约保函。</w:t>
      </w:r>
    </w:p>
    <w:p>
      <w:pPr>
        <w:pStyle w:val="5"/>
        <w:rPr>
          <w:rFonts w:ascii="仿宋" w:hAnsi="仿宋" w:cs="仿宋"/>
        </w:rPr>
      </w:pPr>
      <w:bookmarkStart w:id="28" w:name="_Toc622"/>
      <w:r>
        <w:rPr>
          <w:rFonts w:hint="eastAsia" w:ascii="仿宋" w:hAnsi="仿宋" w:cs="仿宋"/>
        </w:rPr>
        <w:t>八、电子交易活动的中止</w:t>
      </w:r>
      <w:bookmarkEnd w:id="28"/>
    </w:p>
    <w:p>
      <w:pPr>
        <w:pStyle w:val="8"/>
        <w:rPr>
          <w:rFonts w:ascii="仿宋" w:hAnsi="仿宋" w:cs="仿宋"/>
          <w:szCs w:val="24"/>
        </w:rPr>
      </w:pPr>
      <w:r>
        <w:rPr>
          <w:rFonts w:hint="eastAsia" w:ascii="仿宋" w:hAnsi="仿宋" w:cs="仿宋"/>
        </w:rPr>
        <w:t>2</w:t>
      </w:r>
      <w:r>
        <w:rPr>
          <w:rFonts w:hint="eastAsia" w:ascii="仿宋" w:hAnsi="仿宋" w:cs="仿宋"/>
          <w:szCs w:val="24"/>
        </w:rPr>
        <w:t>7.电子交易活动的中止。</w:t>
      </w:r>
    </w:p>
    <w:p>
      <w:pPr>
        <w:ind w:firstLine="480"/>
      </w:pPr>
      <w:r>
        <w:rPr>
          <w:rFonts w:hint="eastAsia"/>
        </w:rPr>
        <w:t>采购过程中出现以下情形，导致电子交易平台无法正常运行，或者无法保证电子交易的公平、公正和安全时，采购机构可中止电子交易活动：</w:t>
      </w:r>
    </w:p>
    <w:p>
      <w:pPr>
        <w:ind w:firstLine="480"/>
      </w:pPr>
      <w:r>
        <w:rPr>
          <w:rFonts w:hint="eastAsia"/>
        </w:rPr>
        <w:t>27.1电子交易平台发生故障而无法登录访问的；</w:t>
      </w:r>
    </w:p>
    <w:p>
      <w:pPr>
        <w:ind w:firstLine="480"/>
      </w:pPr>
      <w:r>
        <w:rPr>
          <w:rFonts w:hint="eastAsia"/>
        </w:rPr>
        <w:t>27.2电子交易平台应用或数据库出现错误，不能进行正常操作的；</w:t>
      </w:r>
    </w:p>
    <w:p>
      <w:pPr>
        <w:ind w:firstLine="480"/>
      </w:pPr>
      <w:r>
        <w:rPr>
          <w:rFonts w:hint="eastAsia"/>
        </w:rPr>
        <w:t>27.3电子交易平台发现严重安全漏洞，有潜在泄密危险的；</w:t>
      </w:r>
    </w:p>
    <w:p>
      <w:pPr>
        <w:ind w:firstLine="480"/>
      </w:pPr>
      <w:r>
        <w:rPr>
          <w:rFonts w:hint="eastAsia"/>
        </w:rPr>
        <w:t>27.4病毒发作导致不能进行正常操作的；</w:t>
      </w:r>
    </w:p>
    <w:p>
      <w:pPr>
        <w:ind w:firstLine="480"/>
      </w:pPr>
      <w:r>
        <w:rPr>
          <w:rFonts w:hint="eastAsia"/>
        </w:rPr>
        <w:t>27.5其他无法保证电子交易的公平、公正和安全的情况。</w:t>
      </w:r>
    </w:p>
    <w:p>
      <w:pPr>
        <w:pStyle w:val="8"/>
        <w:rPr>
          <w:rFonts w:ascii="仿宋" w:hAnsi="仿宋" w:cs="仿宋"/>
          <w:lang w:val="en-US"/>
        </w:rPr>
      </w:pPr>
      <w:r>
        <w:rPr>
          <w:rFonts w:hint="eastAsia" w:ascii="仿宋" w:hAnsi="仿宋" w:cs="仿宋"/>
        </w:rPr>
        <w:t>28.</w:t>
      </w:r>
      <w:r>
        <w:rPr>
          <w:rFonts w:hint="eastAsia" w:ascii="仿宋" w:hAnsi="仿宋" w:cs="仿宋"/>
          <w:lang w:val="en-US"/>
        </w:rPr>
        <w:t>后续处理</w:t>
      </w:r>
    </w:p>
    <w:p>
      <w:pPr>
        <w:ind w:firstLine="480"/>
        <w:rPr>
          <w:rFonts w:ascii="仿宋" w:hAnsi="仿宋" w:cs="仿宋"/>
        </w:rPr>
      </w:pPr>
      <w:r>
        <w:rPr>
          <w:rFonts w:hint="eastAsia" w:ascii="仿宋" w:hAnsi="仿宋" w:cs="仿宋"/>
        </w:rPr>
        <w:t>出现以上情形，不影响采购公平、公正性的，采购组织机构可以待上述情形消除后继续组织电子交易活动，也可以决定某些环节以纸质形式进行；影响或可能影响采购公平、公正性的，应当重新采购。</w:t>
      </w:r>
    </w:p>
    <w:bookmarkEnd w:id="19"/>
    <w:bookmarkEnd w:id="20"/>
    <w:bookmarkEnd w:id="25"/>
    <w:p>
      <w:pPr>
        <w:ind w:firstLine="480"/>
        <w:rPr>
          <w:rFonts w:ascii="仿宋" w:hAnsi="仿宋" w:cs="仿宋"/>
        </w:rPr>
      </w:pPr>
      <w:bookmarkStart w:id="29" w:name="第四部分"/>
      <w:r>
        <w:rPr>
          <w:rFonts w:hint="eastAsia" w:ascii="仿宋" w:hAnsi="仿宋" w:cs="仿宋"/>
        </w:rPr>
        <w:br w:type="page"/>
      </w:r>
    </w:p>
    <w:p>
      <w:pPr>
        <w:pStyle w:val="3"/>
        <w:rPr>
          <w:rFonts w:ascii="仿宋" w:hAnsi="仿宋" w:cs="仿宋"/>
        </w:rPr>
      </w:pPr>
      <w:bookmarkStart w:id="30" w:name="_Toc18792"/>
      <w:r>
        <w:rPr>
          <w:rFonts w:hint="eastAsia" w:ascii="仿宋" w:hAnsi="仿宋" w:cs="仿宋"/>
        </w:rPr>
        <w:t>第三部分采购需求</w:t>
      </w:r>
      <w:bookmarkEnd w:id="30"/>
    </w:p>
    <w:p>
      <w:pPr>
        <w:pStyle w:val="5"/>
        <w:rPr>
          <w:rFonts w:ascii="仿宋" w:hAnsi="仿宋" w:cs="仿宋"/>
          <w:lang w:val="en-US"/>
        </w:rPr>
      </w:pPr>
      <w:bookmarkStart w:id="31" w:name="_Toc26955"/>
      <w:r>
        <w:rPr>
          <w:rFonts w:hint="eastAsia" w:ascii="仿宋" w:hAnsi="仿宋" w:cs="仿宋"/>
          <w:lang w:val="en-US"/>
        </w:rPr>
        <w:t>一</w:t>
      </w:r>
      <w:r>
        <w:rPr>
          <w:rFonts w:hint="eastAsia" w:ascii="仿宋" w:hAnsi="仿宋" w:cs="仿宋"/>
        </w:rPr>
        <w:t>、</w:t>
      </w:r>
      <w:r>
        <w:rPr>
          <w:rFonts w:hint="eastAsia" w:ascii="仿宋" w:hAnsi="仿宋" w:cs="仿宋"/>
          <w:lang w:val="en-US"/>
        </w:rPr>
        <w:t>项目内容</w:t>
      </w:r>
      <w:bookmarkEnd w:id="31"/>
    </w:p>
    <w:p>
      <w:pPr>
        <w:ind w:firstLine="480"/>
        <w:rPr>
          <w:rFonts w:ascii="仿宋" w:hAnsi="仿宋" w:cs="仿宋"/>
        </w:rPr>
      </w:pPr>
      <w:bookmarkStart w:id="32" w:name="_Toc21617603"/>
      <w:r>
        <w:rPr>
          <w:rFonts w:hint="eastAsia" w:ascii="仿宋" w:hAnsi="仿宋" w:cs="仿宋"/>
        </w:rPr>
        <w:t>1.1</w:t>
      </w:r>
      <w:r>
        <w:rPr>
          <w:rFonts w:ascii="仿宋" w:hAnsi="仿宋" w:cs="仿宋"/>
        </w:rPr>
        <w:t>本项目建设地点在宗汉街道办事处南楼2层，面积约480平方米，在保留现有布局的基础上，按照使用功能</w:t>
      </w:r>
      <w:r>
        <w:rPr>
          <w:rFonts w:hint="eastAsia" w:ascii="仿宋" w:hAnsi="仿宋" w:cs="仿宋"/>
        </w:rPr>
        <w:t>设置</w:t>
      </w:r>
      <w:r>
        <w:rPr>
          <w:rFonts w:ascii="仿宋" w:hAnsi="仿宋" w:cs="仿宋"/>
        </w:rPr>
        <w:t>指挥中心、值班室、决策室三个区域</w:t>
      </w:r>
      <w:r>
        <w:rPr>
          <w:rFonts w:hint="eastAsia" w:ascii="仿宋" w:hAnsi="仿宋" w:cs="仿宋"/>
        </w:rPr>
        <w:t>，</w:t>
      </w:r>
      <w:r>
        <w:rPr>
          <w:rFonts w:ascii="仿宋" w:hAnsi="仿宋" w:cs="仿宋"/>
        </w:rPr>
        <w:t>为跨部门、跨层级、跨区域的互联互通、信息共享和业务协同提供服务能力。</w:t>
      </w:r>
    </w:p>
    <w:p>
      <w:pPr>
        <w:pStyle w:val="6"/>
        <w:ind w:firstLine="482"/>
      </w:pPr>
      <w:r>
        <w:rPr>
          <w:rFonts w:hint="eastAsia"/>
        </w:rPr>
        <w:t>1.2</w:t>
      </w:r>
      <w:r>
        <w:t>项目主要建设内容</w:t>
      </w:r>
    </w:p>
    <w:p>
      <w:pPr>
        <w:ind w:firstLine="480"/>
        <w:rPr>
          <w:rFonts w:ascii="仿宋" w:hAnsi="仿宋" w:cs="仿宋"/>
        </w:rPr>
      </w:pPr>
      <w:r>
        <w:rPr>
          <w:rFonts w:hint="eastAsia" w:ascii="仿宋" w:hAnsi="仿宋" w:cs="仿宋"/>
        </w:rPr>
        <w:t>1.2.1指挥中心</w:t>
      </w:r>
    </w:p>
    <w:p>
      <w:pPr>
        <w:ind w:firstLine="480"/>
        <w:rPr>
          <w:rFonts w:ascii="仿宋" w:hAnsi="仿宋" w:cs="仿宋"/>
        </w:rPr>
      </w:pPr>
      <w:r>
        <w:rPr>
          <w:rFonts w:ascii="仿宋" w:hAnsi="仿宋" w:cs="仿宋"/>
        </w:rPr>
        <w:t>在指挥中心建设1块COB倒装小间距LED显示大屏，尺寸为9000mm*2030mm,配置1套分布式控制系统，实现指挥中心、值班室、决策室间大屏显示的互通。在显示大屏前方设置电动幕布，通过控制幕布开关（幕布拉开时展示大屏幕，用于综合指挥，幕布拉上时展示党徽、党旗，用于召开大型会议），实现综合指挥与大型会议间的功能切换。在指挥中心后东面右侧与值班室相连的墙上进行开窗，尺寸为4500mm*2000mm,配置单面可视钢化玻璃，用于值班室控台的操作可视化；对原有会议发言系统进行改造，优化所有线路布线，配置2套</w:t>
      </w:r>
      <w:r>
        <w:rPr>
          <w:rFonts w:hint="eastAsia" w:ascii="仿宋" w:hAnsi="仿宋" w:cs="仿宋"/>
        </w:rPr>
        <w:t>共8台</w:t>
      </w:r>
      <w:r>
        <w:rPr>
          <w:rFonts w:ascii="仿宋" w:hAnsi="仿宋" w:cs="仿宋"/>
        </w:rPr>
        <w:t>信号稳定的无线话筒设备。</w:t>
      </w:r>
    </w:p>
    <w:p>
      <w:pPr>
        <w:ind w:firstLine="480"/>
        <w:rPr>
          <w:rFonts w:ascii="仿宋" w:hAnsi="仿宋" w:cs="仿宋"/>
        </w:rPr>
      </w:pPr>
      <w:r>
        <w:rPr>
          <w:rFonts w:hint="eastAsia" w:ascii="仿宋" w:hAnsi="仿宋" w:cs="仿宋"/>
        </w:rPr>
        <w:t>1.2.2值班室</w:t>
      </w:r>
    </w:p>
    <w:p>
      <w:pPr>
        <w:ind w:firstLine="480"/>
        <w:rPr>
          <w:rFonts w:ascii="仿宋" w:hAnsi="仿宋" w:cs="仿宋"/>
        </w:rPr>
      </w:pPr>
      <w:r>
        <w:rPr>
          <w:rFonts w:ascii="仿宋" w:hAnsi="仿宋" w:cs="仿宋"/>
        </w:rPr>
        <w:t>在值班室配置1块98寸液晶显示屏，配置2个分布式控制单元：1个控制单元用于指挥中心的会议操作控制，将指挥中心原有的视频、音频控制设备移位到此操控台上进行统一的控制，同时配置1台监听音响，用于指挥中心的拾音；1个控制单元用于值班室屏幕的显示控制；同时配置2套2000mm*800mm*750mm操作台及11600mm*600mm*750mm操作台。</w:t>
      </w:r>
    </w:p>
    <w:p>
      <w:pPr>
        <w:ind w:firstLine="480"/>
        <w:rPr>
          <w:rFonts w:ascii="仿宋" w:hAnsi="仿宋" w:cs="仿宋"/>
        </w:rPr>
      </w:pPr>
      <w:r>
        <w:rPr>
          <w:rFonts w:hint="eastAsia" w:ascii="仿宋" w:hAnsi="仿宋" w:cs="仿宋"/>
        </w:rPr>
        <w:t>1.2.3决策室</w:t>
      </w:r>
    </w:p>
    <w:p>
      <w:pPr>
        <w:ind w:firstLine="480"/>
        <w:rPr>
          <w:rFonts w:ascii="仿宋" w:hAnsi="仿宋" w:cs="仿宋"/>
        </w:rPr>
      </w:pPr>
      <w:r>
        <w:rPr>
          <w:rFonts w:ascii="仿宋" w:hAnsi="仿宋" w:cs="仿宋"/>
        </w:rPr>
        <w:t>在决策室配置</w:t>
      </w:r>
      <w:r>
        <w:rPr>
          <w:rFonts w:hint="eastAsia" w:ascii="仿宋" w:hAnsi="仿宋" w:cs="仿宋"/>
        </w:rPr>
        <w:t>1</w:t>
      </w:r>
      <w:r>
        <w:rPr>
          <w:rFonts w:ascii="仿宋" w:hAnsi="仿宋" w:cs="仿宋"/>
        </w:rPr>
        <w:t>台98寸会议触控一体机，配置1个分布式控制单元，可同步指挥中心LED大屏画面及日常会议的显示控制。配置一套无纸化会议系统（发言麦克风可电动升降一体化设计），用于日常会议。</w:t>
      </w:r>
    </w:p>
    <w:p>
      <w:pPr>
        <w:ind w:firstLine="480"/>
        <w:rPr>
          <w:rFonts w:ascii="仿宋" w:hAnsi="仿宋" w:cs="仿宋"/>
          <w:highlight w:val="none"/>
        </w:rPr>
      </w:pPr>
      <w:r>
        <w:rPr>
          <w:rFonts w:hint="eastAsia" w:ascii="仿宋" w:hAnsi="仿宋" w:cs="仿宋"/>
          <w:highlight w:val="none"/>
        </w:rPr>
        <w:t>1.2.4相关系统接入</w:t>
      </w:r>
    </w:p>
    <w:p>
      <w:pPr>
        <w:ind w:firstLine="480"/>
      </w:pPr>
      <w:r>
        <w:rPr>
          <w:rFonts w:hint="eastAsia" w:ascii="仿宋" w:hAnsi="仿宋" w:cs="仿宋"/>
          <w:highlight w:val="none"/>
        </w:rPr>
        <w:t>在</w:t>
      </w:r>
      <w:r>
        <w:rPr>
          <w:rFonts w:ascii="仿宋" w:hAnsi="仿宋" w:cs="仿宋"/>
          <w:highlight w:val="none"/>
        </w:rPr>
        <w:t>指挥中心、值班室、决策室</w:t>
      </w:r>
      <w:r>
        <w:rPr>
          <w:rFonts w:hint="eastAsia" w:ascii="仿宋" w:hAnsi="仿宋" w:cs="仿宋"/>
          <w:highlight w:val="none"/>
        </w:rPr>
        <w:t>的显示</w:t>
      </w:r>
      <w:r>
        <w:rPr>
          <w:rFonts w:ascii="仿宋" w:hAnsi="仿宋" w:cs="仿宋"/>
          <w:highlight w:val="none"/>
        </w:rPr>
        <w:t>系统</w:t>
      </w:r>
      <w:r>
        <w:rPr>
          <w:rFonts w:hint="eastAsia" w:ascii="仿宋" w:hAnsi="仿宋" w:cs="仿宋"/>
          <w:highlight w:val="none"/>
        </w:rPr>
        <w:t>上</w:t>
      </w:r>
      <w:r>
        <w:rPr>
          <w:rFonts w:ascii="仿宋" w:hAnsi="仿宋" w:cs="仿宋"/>
          <w:highlight w:val="none"/>
        </w:rPr>
        <w:t>接入</w:t>
      </w:r>
      <w:r>
        <w:rPr>
          <w:rFonts w:hint="eastAsia" w:ascii="仿宋" w:hAnsi="仿宋" w:cs="仿宋"/>
          <w:highlight w:val="none"/>
        </w:rPr>
        <w:t>以下内容：</w:t>
      </w:r>
      <w:r>
        <w:rPr>
          <w:rFonts w:ascii="仿宋" w:hAnsi="仿宋" w:cs="仿宋"/>
          <w:highlight w:val="none"/>
        </w:rPr>
        <w:t>上级单位及街道所属各村视联网视频会议系统的对接、网格化综合治理平台的接入、公安天网社会治安视频监控的接入、社会资源视频的接入等</w:t>
      </w:r>
      <w:r>
        <w:rPr>
          <w:rFonts w:hint="eastAsia" w:ascii="仿宋" w:hAnsi="仿宋" w:cs="仿宋"/>
          <w:highlight w:val="none"/>
        </w:rPr>
        <w:t>，包括原设备迁移接入和软件系统对接等所需全部工作</w:t>
      </w:r>
      <w:r>
        <w:rPr>
          <w:rFonts w:ascii="仿宋" w:hAnsi="仿宋" w:cs="仿宋"/>
          <w:highlight w:val="none"/>
        </w:rPr>
        <w:t>。</w:t>
      </w:r>
    </w:p>
    <w:p>
      <w:pPr>
        <w:ind w:firstLine="480"/>
      </w:pPr>
      <w:r>
        <w:rPr>
          <w:rFonts w:hint="eastAsia"/>
        </w:rPr>
        <w:t>1.2.5项目现状平面</w:t>
      </w:r>
    </w:p>
    <w:p>
      <w:pPr>
        <w:ind w:firstLine="0" w:firstLineChars="0"/>
      </w:pPr>
      <w:r>
        <w:drawing>
          <wp:inline distT="0" distB="0" distL="114300" distR="114300">
            <wp:extent cx="5758815" cy="8148955"/>
            <wp:effectExtent l="0" t="0" r="13335" b="4445"/>
            <wp:docPr id="1" name="图片 1" descr="宗汉街道二层平面布置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宗汉街道二层平面布置图_00"/>
                    <pic:cNvPicPr>
                      <a:picLocks noChangeAspect="1"/>
                    </pic:cNvPicPr>
                  </pic:nvPicPr>
                  <pic:blipFill>
                    <a:blip r:embed="rId26"/>
                    <a:stretch>
                      <a:fillRect/>
                    </a:stretch>
                  </pic:blipFill>
                  <pic:spPr>
                    <a:xfrm>
                      <a:off x="0" y="0"/>
                      <a:ext cx="5758815" cy="8148955"/>
                    </a:xfrm>
                    <a:prstGeom prst="rect">
                      <a:avLst/>
                    </a:prstGeom>
                  </pic:spPr>
                </pic:pic>
              </a:graphicData>
            </a:graphic>
          </wp:inline>
        </w:drawing>
      </w:r>
    </w:p>
    <w:p>
      <w:pPr>
        <w:ind w:firstLine="480"/>
      </w:pPr>
    </w:p>
    <w:p>
      <w:pPr>
        <w:pStyle w:val="6"/>
        <w:ind w:firstLine="482"/>
      </w:pPr>
      <w:r>
        <w:rPr>
          <w:rFonts w:hint="eastAsia"/>
        </w:rPr>
        <w:t>1.3分布式综合处理系统</w:t>
      </w:r>
    </w:p>
    <w:p>
      <w:pPr>
        <w:ind w:firstLine="480"/>
        <w:rPr>
          <w:rFonts w:ascii="仿宋" w:hAnsi="仿宋" w:cs="仿宋"/>
        </w:rPr>
      </w:pPr>
      <w:r>
        <w:rPr>
          <w:rFonts w:hint="eastAsia" w:ascii="仿宋" w:hAnsi="仿宋" w:cs="仿宋"/>
        </w:rPr>
        <w:t>1.3.1系统概述</w:t>
      </w:r>
    </w:p>
    <w:p>
      <w:pPr>
        <w:ind w:firstLine="480"/>
        <w:rPr>
          <w:rFonts w:ascii="仿宋" w:hAnsi="仿宋" w:cs="仿宋"/>
        </w:rPr>
      </w:pPr>
      <w:r>
        <w:rPr>
          <w:rFonts w:hint="eastAsia" w:ascii="仿宋" w:hAnsi="仿宋" w:cs="仿宋"/>
        </w:rPr>
        <w:t>分布式综合处理系统能够很好地与用户监控系统、指挥调度系统、网络信息系统、信息发布系统、视频会议系统、报警系统、中控系统等连结集成，并且可对不同类型的信号实现兼容采集，形成一套功能完善、技术先进、操作方便的交互式图形信息处理及管理平台。通过分布式综合处理系统各信息在大屏幕上可根据需要以单屏、组屏、全屏甚至以任意大小、任意位置和任意组合的方式进行显示，完全突破拼接视频墙物理拼缝的限制。</w:t>
      </w:r>
    </w:p>
    <w:p>
      <w:pPr>
        <w:ind w:firstLine="480"/>
        <w:rPr>
          <w:rFonts w:ascii="仿宋" w:hAnsi="仿宋" w:cs="仿宋"/>
        </w:rPr>
      </w:pPr>
      <w:r>
        <w:rPr>
          <w:rFonts w:hint="eastAsia" w:ascii="仿宋" w:hAnsi="仿宋" w:cs="仿宋"/>
        </w:rPr>
        <w:t>分布式综合处理系统可以对显示的各个信息进行智能化管理，通过自动或手动的方式实现任意切换，达到实时全面地观看和掌握各方面信息的目的，大大提高了指挥调度和决策的效率和准确性，各系统信息显示的直观性和可操作性。</w:t>
      </w:r>
    </w:p>
    <w:p>
      <w:pPr>
        <w:ind w:firstLine="480"/>
        <w:rPr>
          <w:rFonts w:ascii="仿宋" w:hAnsi="仿宋" w:cs="仿宋"/>
        </w:rPr>
      </w:pPr>
      <w:r>
        <w:rPr>
          <w:rFonts w:hint="eastAsia" w:ascii="仿宋" w:hAnsi="仿宋" w:cs="仿宋"/>
        </w:rPr>
        <w:t>1.3.2系统架构</w:t>
      </w:r>
    </w:p>
    <w:p>
      <w:pPr>
        <w:ind w:firstLine="480"/>
        <w:rPr>
          <w:rFonts w:ascii="仿宋" w:hAnsi="仿宋" w:cs="仿宋"/>
        </w:rPr>
      </w:pPr>
      <w:r>
        <w:rPr>
          <w:rFonts w:hint="eastAsia" w:ascii="仿宋" w:hAnsi="仿宋" w:cs="仿宋"/>
        </w:rPr>
        <w:t>（1）采用分布式综合处理系统计算机领域复杂的高带宽网络技术应用于视频数据交换，通过网络交换技术，可灵活的将大量的、多样化的视频源连接至同样大量的、多样化的输出设备上，实现视频的缩放、跨屏、漫游等功能。</w:t>
      </w:r>
    </w:p>
    <w:p>
      <w:pPr>
        <w:ind w:firstLine="480"/>
        <w:rPr>
          <w:rFonts w:ascii="仿宋" w:hAnsi="仿宋" w:cs="仿宋"/>
        </w:rPr>
      </w:pPr>
      <w:r>
        <w:rPr>
          <w:rFonts w:hint="eastAsia" w:ascii="仿宋" w:hAnsi="仿宋" w:cs="仿宋"/>
        </w:rPr>
        <w:t>（2）分布式综合处理系统把集中控制、信号切换、大屏拼接、传输、KVM等功能糅合在一起。</w:t>
      </w:r>
    </w:p>
    <w:p>
      <w:pPr>
        <w:ind w:firstLine="480"/>
        <w:rPr>
          <w:rFonts w:ascii="仿宋" w:hAnsi="仿宋" w:cs="仿宋"/>
        </w:rPr>
      </w:pPr>
      <w:r>
        <w:rPr>
          <w:rFonts w:hint="eastAsia" w:ascii="仿宋" w:hAnsi="仿宋" w:cs="仿宋"/>
        </w:rPr>
        <w:t>（3）互联互通，多会议室，多区域互联互通信号，统一管理。以交换机为中心，配置简单，仅需按输入节点、输出节点配置即可。</w:t>
      </w:r>
    </w:p>
    <w:p>
      <w:pPr>
        <w:ind w:firstLine="480"/>
        <w:rPr>
          <w:rFonts w:ascii="仿宋" w:hAnsi="仿宋" w:cs="仿宋"/>
        </w:rPr>
      </w:pPr>
      <w:r>
        <w:rPr>
          <w:rFonts w:hint="eastAsia" w:ascii="仿宋" w:hAnsi="仿宋" w:cs="仿宋"/>
        </w:rPr>
        <w:t>（4）音频、视频信号，通过分布式的音频、视频独立传输功能，可轻松实现音视频的信息资源的共享。</w:t>
      </w:r>
    </w:p>
    <w:p>
      <w:pPr>
        <w:ind w:firstLine="480"/>
        <w:rPr>
          <w:rFonts w:ascii="仿宋" w:hAnsi="仿宋" w:cs="仿宋"/>
        </w:rPr>
      </w:pPr>
      <w:r>
        <w:rPr>
          <w:rFonts w:hint="eastAsia" w:ascii="仿宋" w:hAnsi="仿宋" w:cs="仿宋"/>
        </w:rPr>
        <w:t>（5）系统可以任意扩展，基于交换机级联，添加或者删减输入/出节点对整个系统不影响，极大保障系统的稳定性。</w:t>
      </w:r>
    </w:p>
    <w:p>
      <w:pPr>
        <w:ind w:firstLine="480"/>
        <w:rPr>
          <w:rFonts w:ascii="仿宋" w:hAnsi="仿宋" w:cs="仿宋"/>
        </w:rPr>
      </w:pPr>
      <w:r>
        <w:rPr>
          <w:rFonts w:hint="eastAsia" w:ascii="仿宋" w:hAnsi="仿宋" w:cs="仿宋"/>
        </w:rPr>
        <w:t>（6）系统具备严格的权限控制能力：在可编程人机界面上，管理员可独立创建和删除用户，并对其控制行为进行严格区隔，对用户进行授权管理。</w:t>
      </w:r>
    </w:p>
    <w:p>
      <w:pPr>
        <w:ind w:firstLine="480"/>
        <w:rPr>
          <w:rFonts w:ascii="仿宋" w:hAnsi="仿宋" w:cs="仿宋"/>
        </w:rPr>
      </w:pPr>
      <w:r>
        <w:rPr>
          <w:rFonts w:hint="eastAsia" w:ascii="仿宋" w:hAnsi="仿宋" w:cs="仿宋"/>
        </w:rPr>
        <w:t>（7）系统可配备多个计算单元，并组成控制云。任意一个单元发生意外情况，其他计算单元能无缝接管控制权限，包括人机界面状态、历史动作等均可无缝衔接，用户完全无法感觉计算单元发生了改变。</w:t>
      </w:r>
    </w:p>
    <w:p>
      <w:pPr>
        <w:ind w:firstLine="480"/>
        <w:rPr>
          <w:rFonts w:ascii="仿宋" w:hAnsi="仿宋" w:cs="仿宋"/>
        </w:rPr>
      </w:pPr>
      <w:r>
        <w:rPr>
          <w:rFonts w:hint="eastAsia" w:ascii="仿宋" w:hAnsi="仿宋" w:cs="仿宋"/>
        </w:rPr>
        <w:t>（8）每个单元均有发现协议和对时协议，确保单个视频流在多个单元分割输出显示时帧同步。</w:t>
      </w:r>
    </w:p>
    <w:p>
      <w:pPr>
        <w:pStyle w:val="6"/>
        <w:ind w:firstLine="482"/>
      </w:pPr>
      <w:r>
        <w:rPr>
          <w:rFonts w:hint="eastAsia"/>
        </w:rPr>
        <w:t>1.4项目运维服务</w:t>
      </w:r>
    </w:p>
    <w:p>
      <w:pPr>
        <w:ind w:firstLine="480"/>
      </w:pPr>
      <w:r>
        <w:rPr>
          <w:rFonts w:hint="eastAsia"/>
        </w:rPr>
        <w:t>1.4.1运行维护周期</w:t>
      </w:r>
    </w:p>
    <w:p>
      <w:pPr>
        <w:ind w:firstLine="480"/>
      </w:pPr>
      <w:r>
        <w:rPr>
          <w:rFonts w:hint="eastAsia"/>
        </w:rPr>
        <w:t>服务期：成交单位为本项目整体(日常维护、投诉和问题咨询、现场异常事件处理等）提供3年运维服务，费用含入本项目报价。时间从系统竣工验收通过之日计。</w:t>
      </w:r>
    </w:p>
    <w:p>
      <w:pPr>
        <w:ind w:firstLine="480"/>
      </w:pPr>
      <w:r>
        <w:rPr>
          <w:rFonts w:hint="eastAsia"/>
        </w:rPr>
        <w:t>1.4.2要求</w:t>
      </w:r>
    </w:p>
    <w:p>
      <w:pPr>
        <w:ind w:firstLine="480"/>
      </w:pPr>
      <w:r>
        <w:rPr>
          <w:rFonts w:hint="eastAsia"/>
        </w:rPr>
        <w:t>派专业技术人员在项目3年运维服务期间，每周致少派1人提供1天现场系统运维服务，同时，重要会议时派人提供现场服务，确保系统安全稳定运行。</w:t>
      </w:r>
    </w:p>
    <w:p>
      <w:pPr>
        <w:ind w:firstLine="480"/>
      </w:pPr>
      <w:r>
        <w:rPr>
          <w:rFonts w:hint="eastAsia"/>
        </w:rPr>
        <w:t>1.4.3运维服务内容</w:t>
      </w:r>
    </w:p>
    <w:p>
      <w:pPr>
        <w:ind w:firstLine="480"/>
      </w:pPr>
      <w:r>
        <w:rPr>
          <w:rFonts w:hint="eastAsia"/>
        </w:rPr>
        <w:t>（1）接入服务</w:t>
      </w:r>
    </w:p>
    <w:p>
      <w:pPr>
        <w:ind w:firstLine="480"/>
      </w:pPr>
      <w:r>
        <w:rPr>
          <w:rFonts w:ascii="仿宋" w:hAnsi="仿宋" w:cs="仿宋"/>
        </w:rPr>
        <w:t>指挥中心、值班室、决策室设备的系统接入及上屏展示，包括但不限于与上级单位及街道所属各村视联网视频会议系统的对接、网格化综合治理平台的接入、公安天网社会治安视频监控的接入、社会资源视频的接入等。</w:t>
      </w:r>
    </w:p>
    <w:p>
      <w:pPr>
        <w:ind w:firstLine="480"/>
      </w:pPr>
      <w:bookmarkStart w:id="33" w:name="_bookmark57"/>
      <w:bookmarkEnd w:id="33"/>
      <w:bookmarkStart w:id="34" w:name="_bookmark58"/>
      <w:bookmarkEnd w:id="34"/>
      <w:bookmarkStart w:id="35" w:name="_bookmark59"/>
      <w:bookmarkEnd w:id="35"/>
      <w:bookmarkStart w:id="36" w:name="_bookmark56"/>
      <w:bookmarkEnd w:id="36"/>
      <w:bookmarkStart w:id="37" w:name="_bookmark55"/>
      <w:bookmarkEnd w:id="37"/>
      <w:r>
        <w:rPr>
          <w:rFonts w:hint="eastAsia"/>
        </w:rPr>
        <w:t>（2）事件管理</w:t>
      </w:r>
    </w:p>
    <w:p>
      <w:pPr>
        <w:ind w:firstLine="480"/>
      </w:pPr>
      <w:r>
        <w:rPr>
          <w:rFonts w:hint="eastAsia"/>
        </w:rPr>
        <w:t>事件是指发生的对某一环节运行造成影响的事件，包括设备故障、系统崩溃、软件故障等任何影响业务操作和系统正常运作的故障、以及影响业务流程的情况，做到对历史事件的可查阅。</w:t>
      </w:r>
    </w:p>
    <w:p>
      <w:pPr>
        <w:ind w:firstLine="480"/>
      </w:pPr>
      <w:r>
        <w:rPr>
          <w:rFonts w:hint="eastAsia"/>
        </w:rPr>
        <w:t>（3）监测与预警</w:t>
      </w:r>
    </w:p>
    <w:p>
      <w:pPr>
        <w:ind w:firstLine="480"/>
      </w:pPr>
      <w:r>
        <w:rPr>
          <w:rFonts w:hint="eastAsia"/>
        </w:rPr>
        <w:t>对运行维护服务对象的运行情况进行监测与预警，以跟踪和判别对象的容量、可用性和连续性。建立监测、预警的记录和报告制度，并按照约定的形式和时间间隔上报现场负责人。</w:t>
      </w:r>
    </w:p>
    <w:p>
      <w:pPr>
        <w:ind w:firstLine="480"/>
      </w:pPr>
      <w:r>
        <w:rPr>
          <w:rFonts w:hint="eastAsia"/>
        </w:rPr>
        <w:t>（4）故障处置</w:t>
      </w:r>
    </w:p>
    <w:p>
      <w:pPr>
        <w:ind w:firstLine="480"/>
      </w:pPr>
      <w:r>
        <w:rPr>
          <w:rFonts w:hint="eastAsia"/>
        </w:rPr>
        <w:t>紧急抢修：成交人应当承担合同期内系统发生任何故障的抢修任务。</w:t>
      </w:r>
    </w:p>
    <w:p>
      <w:pPr>
        <w:ind w:firstLine="480"/>
      </w:pPr>
      <w:r>
        <w:rPr>
          <w:rFonts w:hint="eastAsia"/>
        </w:rPr>
        <w:t>备用方案：如特殊原因造成系统无法正常使用(如光纤切断），成交人应协调采购人一起提供备用方案和措施确保系统运行正常。</w:t>
      </w:r>
    </w:p>
    <w:p>
      <w:pPr>
        <w:ind w:firstLine="480"/>
      </w:pPr>
      <w:r>
        <w:rPr>
          <w:rFonts w:hint="eastAsia"/>
        </w:rPr>
        <w:t>现场技术支持：对于通过电话支持服务和远程技术支持服务都不能解决的设备故障，成交人须迅速提供现场支持服务，安排经验丰富的维护工程师赴现场分析故障原因，制定故障解决方案，并最终排除故障。</w:t>
      </w:r>
    </w:p>
    <w:p>
      <w:pPr>
        <w:ind w:firstLine="480"/>
      </w:pPr>
      <w:r>
        <w:rPr>
          <w:rFonts w:hint="eastAsia"/>
        </w:rPr>
        <w:t>主动故障处理：针对日常维护性远程巡检结果和记录，主动制定设备排障计划、设备清洗计划和维护整改计划，确保设备高质量的运行。</w:t>
      </w:r>
    </w:p>
    <w:p>
      <w:pPr>
        <w:ind w:firstLine="480"/>
      </w:pPr>
      <w:r>
        <w:rPr>
          <w:rFonts w:hint="eastAsia"/>
        </w:rPr>
        <w:t>故障处理反馈：指针对影响客户业务正常使用的故障，从使用单位提出故障申告时起，按照相应的要求向用户反馈故障处理过程。</w:t>
      </w:r>
    </w:p>
    <w:p>
      <w:pPr>
        <w:ind w:firstLine="480"/>
      </w:pPr>
      <w:r>
        <w:rPr>
          <w:rFonts w:hint="eastAsia"/>
        </w:rPr>
        <w:t>（5）安全管理</w:t>
      </w:r>
    </w:p>
    <w:p>
      <w:pPr>
        <w:ind w:firstLine="480"/>
      </w:pPr>
      <w:r>
        <w:rPr>
          <w:rFonts w:hint="eastAsia"/>
        </w:rPr>
        <w:t>现场运维人员必须佩戴维保单位的标识，在现场运维时，需要做好安全警示标示。作业中应落实现场安全防护措施，保证作业安全、人身安全，运维作业中，现场作业人员不得少于2人。</w:t>
      </w:r>
    </w:p>
    <w:p>
      <w:pPr>
        <w:ind w:firstLine="480"/>
      </w:pPr>
      <w:r>
        <w:rPr>
          <w:rFonts w:hint="eastAsia"/>
        </w:rPr>
        <w:t>运维人员应遵守安全保密工作规定，在运维系统核心部位时，应有采购人人员在场情况下进行。</w:t>
      </w:r>
    </w:p>
    <w:p>
      <w:pPr>
        <w:ind w:firstLine="480"/>
      </w:pPr>
      <w:r>
        <w:rPr>
          <w:rFonts w:hint="eastAsia"/>
        </w:rPr>
        <w:t>在运维工作过程中应现场运维人员不遵守安全管理规定造成的损失由成交人负责。</w:t>
      </w:r>
    </w:p>
    <w:bookmarkEnd w:id="32"/>
    <w:p>
      <w:pPr>
        <w:pStyle w:val="5"/>
        <w:rPr>
          <w:rFonts w:ascii="仿宋" w:hAnsi="仿宋" w:cs="仿宋"/>
          <w:lang w:val="en-US"/>
        </w:rPr>
      </w:pPr>
      <w:bookmarkStart w:id="38" w:name="_Toc29471"/>
      <w:r>
        <w:rPr>
          <w:rFonts w:hint="eastAsia" w:ascii="仿宋" w:hAnsi="仿宋" w:cs="仿宋"/>
          <w:lang w:val="en-US"/>
        </w:rPr>
        <w:t>二、</w:t>
      </w:r>
      <w:r>
        <w:rPr>
          <w:rFonts w:hint="eastAsia"/>
          <w:lang w:val="en-US"/>
        </w:rPr>
        <w:t>项目要求</w:t>
      </w:r>
      <w:bookmarkEnd w:id="38"/>
    </w:p>
    <w:p>
      <w:pPr>
        <w:pStyle w:val="6"/>
        <w:bidi w:val="0"/>
        <w:rPr>
          <w:lang w:val="en-US"/>
        </w:rPr>
      </w:pPr>
      <w:r>
        <w:rPr>
          <w:rFonts w:hint="eastAsia"/>
          <w:lang w:val="en-US"/>
        </w:rPr>
        <w:t>2.1采购数量</w:t>
      </w:r>
    </w:p>
    <w:p>
      <w:pPr>
        <w:pStyle w:val="6"/>
        <w:ind w:firstLine="482"/>
      </w:pPr>
      <w:r>
        <w:rPr>
          <w:rFonts w:hint="eastAsia"/>
        </w:rPr>
        <w:t>2.1.1指挥中心</w:t>
      </w:r>
    </w:p>
    <w:p>
      <w:pPr>
        <w:spacing w:line="240" w:lineRule="auto"/>
        <w:ind w:firstLine="480"/>
        <w:rPr>
          <w:rFonts w:ascii="仿宋" w:hAnsi="仿宋" w:cs="仿宋"/>
        </w:rPr>
      </w:pPr>
      <w:r>
        <w:rPr>
          <w:rFonts w:hint="eastAsia" w:ascii="仿宋" w:hAnsi="仿宋" w:cs="仿宋"/>
        </w:rPr>
        <w:t>（1）大屏系统</w:t>
      </w:r>
    </w:p>
    <w:tbl>
      <w:tblPr>
        <w:tblStyle w:val="66"/>
        <w:tblW w:w="4996" w:type="pct"/>
        <w:tblInd w:w="0" w:type="dxa"/>
        <w:tblLayout w:type="fixed"/>
        <w:tblCellMar>
          <w:top w:w="0" w:type="dxa"/>
          <w:left w:w="108" w:type="dxa"/>
          <w:bottom w:w="0" w:type="dxa"/>
          <w:right w:w="108" w:type="dxa"/>
        </w:tblCellMar>
      </w:tblPr>
      <w:tblGrid>
        <w:gridCol w:w="3678"/>
        <w:gridCol w:w="3443"/>
        <w:gridCol w:w="1186"/>
        <w:gridCol w:w="972"/>
      </w:tblGrid>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名称</w:t>
            </w:r>
          </w:p>
        </w:tc>
        <w:tc>
          <w:tcPr>
            <w:tcW w:w="1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推荐品牌</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单位</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数量</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COB倒装小间距LED屏</w:t>
            </w:r>
          </w:p>
        </w:tc>
        <w:tc>
          <w:tcPr>
            <w:tcW w:w="1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宇视、COLEDER、齐普光</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平方米</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18.27</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发送卡</w:t>
            </w:r>
          </w:p>
        </w:tc>
        <w:tc>
          <w:tcPr>
            <w:tcW w:w="1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宇视、COLEDER、齐普光</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块</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8</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控制系统软件</w:t>
            </w:r>
          </w:p>
        </w:tc>
        <w:tc>
          <w:tcPr>
            <w:tcW w:w="1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套</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LED10KW配电箱</w:t>
            </w:r>
          </w:p>
        </w:tc>
        <w:tc>
          <w:tcPr>
            <w:tcW w:w="1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个</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定制支架</w:t>
            </w:r>
          </w:p>
        </w:tc>
        <w:tc>
          <w:tcPr>
            <w:tcW w:w="1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平方米</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21.23</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真空吸盘</w:t>
            </w:r>
          </w:p>
        </w:tc>
        <w:tc>
          <w:tcPr>
            <w:tcW w:w="1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个</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HDMI线缆</w:t>
            </w:r>
          </w:p>
        </w:tc>
        <w:tc>
          <w:tcPr>
            <w:tcW w:w="1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秋叶原、百通、金三湖</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条</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10</w:t>
            </w:r>
          </w:p>
        </w:tc>
      </w:tr>
    </w:tbl>
    <w:p>
      <w:pPr>
        <w:spacing w:line="240" w:lineRule="auto"/>
        <w:ind w:firstLine="480"/>
        <w:rPr>
          <w:rFonts w:ascii="仿宋" w:hAnsi="仿宋" w:cs="仿宋"/>
        </w:rPr>
      </w:pPr>
      <w:r>
        <w:rPr>
          <w:rFonts w:hint="eastAsia" w:ascii="仿宋" w:hAnsi="仿宋" w:cs="仿宋"/>
        </w:rPr>
        <w:t>（2）分布式系统</w:t>
      </w:r>
    </w:p>
    <w:tbl>
      <w:tblPr>
        <w:tblStyle w:val="66"/>
        <w:tblW w:w="4996" w:type="pct"/>
        <w:tblInd w:w="0" w:type="dxa"/>
        <w:tblLayout w:type="fixed"/>
        <w:tblCellMar>
          <w:top w:w="0" w:type="dxa"/>
          <w:left w:w="108" w:type="dxa"/>
          <w:bottom w:w="0" w:type="dxa"/>
          <w:right w:w="108" w:type="dxa"/>
        </w:tblCellMar>
      </w:tblPr>
      <w:tblGrid>
        <w:gridCol w:w="3664"/>
        <w:gridCol w:w="3457"/>
        <w:gridCol w:w="1200"/>
        <w:gridCol w:w="958"/>
      </w:tblGrid>
      <w:tr>
        <w:tblPrEx>
          <w:tblCellMar>
            <w:top w:w="0" w:type="dxa"/>
            <w:left w:w="108" w:type="dxa"/>
            <w:bottom w:w="0" w:type="dxa"/>
            <w:right w:w="108" w:type="dxa"/>
          </w:tblCellMar>
        </w:tblPrEx>
        <w:trPr>
          <w:trHeight w:val="30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名称</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推荐品牌</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单位</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数量</w:t>
            </w:r>
          </w:p>
        </w:tc>
      </w:tr>
      <w:tr>
        <w:tblPrEx>
          <w:tblCellMar>
            <w:top w:w="0" w:type="dxa"/>
            <w:left w:w="108" w:type="dxa"/>
            <w:bottom w:w="0" w:type="dxa"/>
            <w:right w:w="108" w:type="dxa"/>
          </w:tblCellMar>
        </w:tblPrEx>
        <w:trPr>
          <w:trHeight w:val="30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分布式KVM管理节点</w:t>
            </w:r>
          </w:p>
        </w:tc>
        <w:tc>
          <w:tcPr>
            <w:tcW w:w="1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宇视、COLEDER、齐普光</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个</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HDMI1.3输入节点</w:t>
            </w:r>
          </w:p>
        </w:tc>
        <w:tc>
          <w:tcPr>
            <w:tcW w:w="1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宇视、COLEDER、齐普光</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个</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3</w:t>
            </w:r>
          </w:p>
        </w:tc>
      </w:tr>
      <w:tr>
        <w:tblPrEx>
          <w:tblCellMar>
            <w:top w:w="0" w:type="dxa"/>
            <w:left w:w="108" w:type="dxa"/>
            <w:bottom w:w="0" w:type="dxa"/>
            <w:right w:w="108" w:type="dxa"/>
          </w:tblCellMar>
        </w:tblPrEx>
        <w:trPr>
          <w:trHeight w:val="30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HDMI1.3输出节点</w:t>
            </w:r>
          </w:p>
        </w:tc>
        <w:tc>
          <w:tcPr>
            <w:tcW w:w="1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宇视、COLEDER、齐普光</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个</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10</w:t>
            </w:r>
          </w:p>
        </w:tc>
      </w:tr>
      <w:tr>
        <w:tblPrEx>
          <w:tblCellMar>
            <w:top w:w="0" w:type="dxa"/>
            <w:left w:w="108" w:type="dxa"/>
            <w:bottom w:w="0" w:type="dxa"/>
            <w:right w:w="108" w:type="dxa"/>
          </w:tblCellMar>
        </w:tblPrEx>
        <w:trPr>
          <w:trHeight w:val="30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HDMI1.3坐席输出节点</w:t>
            </w:r>
          </w:p>
        </w:tc>
        <w:tc>
          <w:tcPr>
            <w:tcW w:w="1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宇视、COLEDER、齐普光</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个</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6</w:t>
            </w:r>
          </w:p>
        </w:tc>
      </w:tr>
      <w:tr>
        <w:tblPrEx>
          <w:tblCellMar>
            <w:top w:w="0" w:type="dxa"/>
            <w:left w:w="108" w:type="dxa"/>
            <w:bottom w:w="0" w:type="dxa"/>
            <w:right w:w="108" w:type="dxa"/>
          </w:tblCellMar>
        </w:tblPrEx>
        <w:trPr>
          <w:trHeight w:val="30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HDMI4K输入接口（驾驶舱用）</w:t>
            </w:r>
          </w:p>
        </w:tc>
        <w:tc>
          <w:tcPr>
            <w:tcW w:w="1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宇视、COLEDER、齐普光</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个</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3</w:t>
            </w:r>
          </w:p>
        </w:tc>
      </w:tr>
    </w:tbl>
    <w:p>
      <w:pPr>
        <w:pageBreakBefore w:val="0"/>
        <w:widowControl w:val="0"/>
        <w:kinsoku/>
        <w:wordWrap/>
        <w:overflowPunct/>
        <w:topLinePunct w:val="0"/>
        <w:autoSpaceDE/>
        <w:autoSpaceDN/>
        <w:bidi w:val="0"/>
        <w:snapToGrid/>
        <w:spacing w:line="240" w:lineRule="auto"/>
        <w:ind w:firstLine="480"/>
        <w:jc w:val="left"/>
        <w:textAlignment w:val="auto"/>
        <w:outlineLvl w:val="9"/>
        <w:rPr>
          <w:rFonts w:ascii="仿宋" w:hAnsi="仿宋" w:cs="仿宋"/>
        </w:rPr>
      </w:pPr>
      <w:r>
        <w:rPr>
          <w:rFonts w:hint="eastAsia" w:ascii="仿宋" w:hAnsi="仿宋" w:cs="仿宋"/>
        </w:rPr>
        <w:t>（3）机房</w:t>
      </w:r>
    </w:p>
    <w:tbl>
      <w:tblPr>
        <w:tblStyle w:val="66"/>
        <w:tblW w:w="4996" w:type="pct"/>
        <w:tblInd w:w="0" w:type="dxa"/>
        <w:tblLayout w:type="autofit"/>
        <w:tblCellMar>
          <w:top w:w="0" w:type="dxa"/>
          <w:left w:w="108" w:type="dxa"/>
          <w:bottom w:w="0" w:type="dxa"/>
          <w:right w:w="108" w:type="dxa"/>
        </w:tblCellMar>
      </w:tblPr>
      <w:tblGrid>
        <w:gridCol w:w="3664"/>
        <w:gridCol w:w="3471"/>
        <w:gridCol w:w="1201"/>
        <w:gridCol w:w="943"/>
      </w:tblGrid>
      <w:tr>
        <w:tblPrEx>
          <w:tblCellMar>
            <w:top w:w="0" w:type="dxa"/>
            <w:left w:w="108" w:type="dxa"/>
            <w:bottom w:w="0" w:type="dxa"/>
            <w:right w:w="108" w:type="dxa"/>
          </w:tblCellMar>
        </w:tblPrEx>
        <w:trPr>
          <w:trHeight w:val="30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名称</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推荐品牌</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单位</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数量</w:t>
            </w:r>
          </w:p>
        </w:tc>
      </w:tr>
      <w:tr>
        <w:tblPrEx>
          <w:tblCellMar>
            <w:top w:w="0" w:type="dxa"/>
            <w:left w:w="108" w:type="dxa"/>
            <w:bottom w:w="0" w:type="dxa"/>
            <w:right w:w="108" w:type="dxa"/>
          </w:tblCellMar>
        </w:tblPrEx>
        <w:trPr>
          <w:trHeight w:val="9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42U机柜</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2</w:t>
            </w:r>
          </w:p>
        </w:tc>
      </w:tr>
      <w:tr>
        <w:tblPrEx>
          <w:tblCellMar>
            <w:top w:w="0" w:type="dxa"/>
            <w:left w:w="108" w:type="dxa"/>
            <w:bottom w:w="0" w:type="dxa"/>
            <w:right w:w="108" w:type="dxa"/>
          </w:tblCellMar>
        </w:tblPrEx>
        <w:trPr>
          <w:trHeight w:val="30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安全接入设备</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宇视、COLEDER、齐普光</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16口交换机</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华为、华三、锐捷</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辅材</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批</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bl>
    <w:p>
      <w:pPr>
        <w:pageBreakBefore w:val="0"/>
        <w:widowControl w:val="0"/>
        <w:numPr>
          <w:ilvl w:val="0"/>
          <w:numId w:val="1"/>
        </w:numPr>
        <w:kinsoku/>
        <w:wordWrap/>
        <w:overflowPunct/>
        <w:topLinePunct w:val="0"/>
        <w:autoSpaceDE/>
        <w:autoSpaceDN/>
        <w:bidi w:val="0"/>
        <w:snapToGrid/>
        <w:spacing w:line="240" w:lineRule="auto"/>
        <w:ind w:firstLine="480"/>
        <w:jc w:val="left"/>
        <w:textAlignment w:val="auto"/>
        <w:outlineLvl w:val="9"/>
        <w:rPr>
          <w:rFonts w:ascii="仿宋" w:hAnsi="仿宋" w:cs="仿宋"/>
        </w:rPr>
      </w:pPr>
      <w:r>
        <w:rPr>
          <w:rFonts w:hint="eastAsia" w:ascii="仿宋" w:hAnsi="仿宋" w:cs="仿宋"/>
        </w:rPr>
        <w:t>发言系统</w:t>
      </w:r>
    </w:p>
    <w:tbl>
      <w:tblPr>
        <w:tblStyle w:val="66"/>
        <w:tblW w:w="4996" w:type="pct"/>
        <w:tblInd w:w="0" w:type="dxa"/>
        <w:tblLayout w:type="fixed"/>
        <w:tblCellMar>
          <w:top w:w="0" w:type="dxa"/>
          <w:left w:w="108" w:type="dxa"/>
          <w:bottom w:w="0" w:type="dxa"/>
          <w:right w:w="108" w:type="dxa"/>
        </w:tblCellMar>
      </w:tblPr>
      <w:tblGrid>
        <w:gridCol w:w="3649"/>
        <w:gridCol w:w="3486"/>
        <w:gridCol w:w="1229"/>
        <w:gridCol w:w="915"/>
      </w:tblGrid>
      <w:tr>
        <w:tblPrEx>
          <w:tblCellMar>
            <w:top w:w="0" w:type="dxa"/>
            <w:left w:w="108" w:type="dxa"/>
            <w:bottom w:w="0" w:type="dxa"/>
            <w:right w:w="108" w:type="dxa"/>
          </w:tblCellMar>
        </w:tblPrEx>
        <w:trPr>
          <w:trHeight w:val="300" w:hRule="atLeast"/>
        </w:trPr>
        <w:tc>
          <w:tcPr>
            <w:tcW w:w="1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名称</w:t>
            </w:r>
          </w:p>
        </w:tc>
        <w:tc>
          <w:tcPr>
            <w:tcW w:w="1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推荐品牌</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单位</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数量</w:t>
            </w:r>
          </w:p>
        </w:tc>
      </w:tr>
      <w:tr>
        <w:tblPrEx>
          <w:tblCellMar>
            <w:top w:w="0" w:type="dxa"/>
            <w:left w:w="108" w:type="dxa"/>
            <w:bottom w:w="0" w:type="dxa"/>
            <w:right w:w="108" w:type="dxa"/>
          </w:tblCellMar>
        </w:tblPrEx>
        <w:trPr>
          <w:trHeight w:val="90" w:hRule="atLeast"/>
        </w:trPr>
        <w:tc>
          <w:tcPr>
            <w:tcW w:w="1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一拖四U段无线麦克风：（台式）</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ITC、HAYU、迪士普</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套</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一拖四U段无线麦克风：（手持）</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ITC、HAYU、迪士普</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套</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天线放大器</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ITC、HAYU、迪士普</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套</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天线延长线</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条</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2</w:t>
            </w:r>
          </w:p>
        </w:tc>
      </w:tr>
      <w:tr>
        <w:tblPrEx>
          <w:tblCellMar>
            <w:top w:w="0" w:type="dxa"/>
            <w:left w:w="108" w:type="dxa"/>
            <w:bottom w:w="0" w:type="dxa"/>
            <w:right w:w="108" w:type="dxa"/>
          </w:tblCellMar>
        </w:tblPrEx>
        <w:trPr>
          <w:trHeight w:val="300" w:hRule="atLeast"/>
        </w:trPr>
        <w:tc>
          <w:tcPr>
            <w:tcW w:w="1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辅材</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批</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bl>
    <w:p>
      <w:pPr>
        <w:pageBreakBefore w:val="0"/>
        <w:widowControl w:val="0"/>
        <w:kinsoku/>
        <w:wordWrap/>
        <w:overflowPunct/>
        <w:topLinePunct w:val="0"/>
        <w:autoSpaceDE/>
        <w:autoSpaceDN/>
        <w:bidi w:val="0"/>
        <w:snapToGrid/>
        <w:spacing w:line="240" w:lineRule="auto"/>
        <w:ind w:firstLine="480"/>
        <w:jc w:val="left"/>
        <w:textAlignment w:val="auto"/>
        <w:outlineLvl w:val="9"/>
        <w:rPr>
          <w:rFonts w:ascii="仿宋" w:hAnsi="仿宋" w:cs="仿宋"/>
        </w:rPr>
      </w:pPr>
      <w:r>
        <w:rPr>
          <w:rFonts w:hint="eastAsia" w:ascii="仿宋" w:hAnsi="仿宋" w:cs="仿宋"/>
        </w:rPr>
        <w:t>（5）改造清单</w:t>
      </w:r>
    </w:p>
    <w:tbl>
      <w:tblPr>
        <w:tblStyle w:val="66"/>
        <w:tblW w:w="4996" w:type="pct"/>
        <w:tblInd w:w="0" w:type="dxa"/>
        <w:tblLayout w:type="fixed"/>
        <w:tblCellMar>
          <w:top w:w="0" w:type="dxa"/>
          <w:left w:w="108" w:type="dxa"/>
          <w:bottom w:w="0" w:type="dxa"/>
          <w:right w:w="108" w:type="dxa"/>
        </w:tblCellMar>
      </w:tblPr>
      <w:tblGrid>
        <w:gridCol w:w="3664"/>
        <w:gridCol w:w="3471"/>
        <w:gridCol w:w="1257"/>
        <w:gridCol w:w="887"/>
      </w:tblGrid>
      <w:tr>
        <w:tblPrEx>
          <w:tblCellMar>
            <w:top w:w="0" w:type="dxa"/>
            <w:left w:w="108" w:type="dxa"/>
            <w:bottom w:w="0" w:type="dxa"/>
            <w:right w:w="108" w:type="dxa"/>
          </w:tblCellMar>
        </w:tblPrEx>
        <w:trPr>
          <w:trHeight w:val="30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名称</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推荐品牌</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单位</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数量</w:t>
            </w:r>
          </w:p>
        </w:tc>
      </w:tr>
      <w:tr>
        <w:tblPrEx>
          <w:tblCellMar>
            <w:top w:w="0" w:type="dxa"/>
            <w:left w:w="108" w:type="dxa"/>
            <w:bottom w:w="0" w:type="dxa"/>
            <w:right w:w="108" w:type="dxa"/>
          </w:tblCellMar>
        </w:tblPrEx>
        <w:trPr>
          <w:trHeight w:val="30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原有墙面拆除</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24</w:t>
            </w:r>
          </w:p>
        </w:tc>
      </w:tr>
      <w:tr>
        <w:tblPrEx>
          <w:tblCellMar>
            <w:top w:w="0" w:type="dxa"/>
            <w:left w:w="108" w:type="dxa"/>
            <w:bottom w:w="0" w:type="dxa"/>
            <w:right w:w="108" w:type="dxa"/>
          </w:tblCellMar>
        </w:tblPrEx>
        <w:trPr>
          <w:trHeight w:val="30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原有墙体拆除后增加石膏板隔墙</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24</w:t>
            </w:r>
          </w:p>
        </w:tc>
      </w:tr>
      <w:tr>
        <w:tblPrEx>
          <w:tblCellMar>
            <w:top w:w="0" w:type="dxa"/>
            <w:left w:w="108" w:type="dxa"/>
            <w:bottom w:w="0" w:type="dxa"/>
            <w:right w:w="108" w:type="dxa"/>
          </w:tblCellMar>
        </w:tblPrEx>
        <w:trPr>
          <w:trHeight w:val="30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新增墙面</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24</w:t>
            </w:r>
          </w:p>
        </w:tc>
      </w:tr>
      <w:tr>
        <w:tblPrEx>
          <w:tblCellMar>
            <w:top w:w="0" w:type="dxa"/>
            <w:left w:w="108" w:type="dxa"/>
            <w:bottom w:w="0" w:type="dxa"/>
            <w:right w:w="108" w:type="dxa"/>
          </w:tblCellMar>
        </w:tblPrEx>
        <w:trPr>
          <w:trHeight w:val="30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大屏背景墙周面饰面</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8</w:t>
            </w:r>
          </w:p>
        </w:tc>
      </w:tr>
      <w:tr>
        <w:tblPrEx>
          <w:tblCellMar>
            <w:top w:w="0" w:type="dxa"/>
            <w:left w:w="108" w:type="dxa"/>
            <w:bottom w:w="0" w:type="dxa"/>
            <w:right w:w="108" w:type="dxa"/>
          </w:tblCellMar>
        </w:tblPrEx>
        <w:trPr>
          <w:trHeight w:val="30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线路布排及装修恢复</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项</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电动幕布轨道</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条</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2</w:t>
            </w:r>
          </w:p>
        </w:tc>
      </w:tr>
      <w:tr>
        <w:tblPrEx>
          <w:tblCellMar>
            <w:top w:w="0" w:type="dxa"/>
            <w:left w:w="108" w:type="dxa"/>
            <w:bottom w:w="0" w:type="dxa"/>
            <w:right w:w="108" w:type="dxa"/>
          </w:tblCellMar>
        </w:tblPrEx>
        <w:trPr>
          <w:trHeight w:val="30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电动幕布电机</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4</w:t>
            </w:r>
          </w:p>
        </w:tc>
      </w:tr>
      <w:tr>
        <w:tblPrEx>
          <w:tblCellMar>
            <w:top w:w="0" w:type="dxa"/>
            <w:left w:w="108" w:type="dxa"/>
            <w:bottom w:w="0" w:type="dxa"/>
            <w:right w:w="108" w:type="dxa"/>
          </w:tblCellMar>
        </w:tblPrEx>
        <w:trPr>
          <w:trHeight w:val="30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党旗背面幕布</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155</w:t>
            </w:r>
          </w:p>
        </w:tc>
      </w:tr>
      <w:tr>
        <w:tblPrEx>
          <w:tblCellMar>
            <w:top w:w="0" w:type="dxa"/>
            <w:left w:w="108" w:type="dxa"/>
            <w:bottom w:w="0" w:type="dxa"/>
            <w:right w:w="108" w:type="dxa"/>
          </w:tblCellMar>
        </w:tblPrEx>
        <w:trPr>
          <w:trHeight w:val="30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地面隐形地插</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套</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4</w:t>
            </w:r>
          </w:p>
        </w:tc>
      </w:tr>
      <w:tr>
        <w:tblPrEx>
          <w:tblCellMar>
            <w:top w:w="0" w:type="dxa"/>
            <w:left w:w="108" w:type="dxa"/>
            <w:bottom w:w="0" w:type="dxa"/>
            <w:right w:w="108" w:type="dxa"/>
          </w:tblCellMar>
        </w:tblPrEx>
        <w:trPr>
          <w:trHeight w:val="30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值班室原有墙面拆除</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18</w:t>
            </w:r>
          </w:p>
        </w:tc>
      </w:tr>
      <w:tr>
        <w:tblPrEx>
          <w:tblCellMar>
            <w:top w:w="0" w:type="dxa"/>
            <w:left w:w="108" w:type="dxa"/>
            <w:bottom w:w="0" w:type="dxa"/>
            <w:right w:w="108" w:type="dxa"/>
          </w:tblCellMar>
        </w:tblPrEx>
        <w:trPr>
          <w:trHeight w:val="30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原有墙体拆除后增加石膏板隔墙</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4</w:t>
            </w:r>
          </w:p>
        </w:tc>
      </w:tr>
      <w:tr>
        <w:tblPrEx>
          <w:tblCellMar>
            <w:top w:w="0" w:type="dxa"/>
            <w:left w:w="108" w:type="dxa"/>
            <w:bottom w:w="0" w:type="dxa"/>
            <w:right w:w="108" w:type="dxa"/>
          </w:tblCellMar>
        </w:tblPrEx>
        <w:trPr>
          <w:trHeight w:val="30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新增墙面</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8</w:t>
            </w:r>
          </w:p>
        </w:tc>
      </w:tr>
      <w:tr>
        <w:tblPrEx>
          <w:tblCellMar>
            <w:top w:w="0" w:type="dxa"/>
            <w:left w:w="108" w:type="dxa"/>
            <w:bottom w:w="0" w:type="dxa"/>
            <w:right w:w="108" w:type="dxa"/>
          </w:tblCellMar>
        </w:tblPrEx>
        <w:trPr>
          <w:trHeight w:val="30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墙面周面饰面</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8</w:t>
            </w:r>
          </w:p>
        </w:tc>
      </w:tr>
      <w:tr>
        <w:tblPrEx>
          <w:tblCellMar>
            <w:top w:w="0" w:type="dxa"/>
            <w:left w:w="108" w:type="dxa"/>
            <w:bottom w:w="0" w:type="dxa"/>
            <w:right w:w="108" w:type="dxa"/>
          </w:tblCellMar>
        </w:tblPrEx>
        <w:trPr>
          <w:trHeight w:val="30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单向透钢化玻璃</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9</w:t>
            </w:r>
          </w:p>
        </w:tc>
      </w:tr>
      <w:tr>
        <w:tblPrEx>
          <w:tblCellMar>
            <w:top w:w="0" w:type="dxa"/>
            <w:left w:w="108" w:type="dxa"/>
            <w:bottom w:w="0" w:type="dxa"/>
            <w:right w:w="108" w:type="dxa"/>
          </w:tblCellMar>
        </w:tblPrEx>
        <w:trPr>
          <w:trHeight w:val="300" w:hRule="atLeast"/>
        </w:trPr>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地面成品保护</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项</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bl>
    <w:p>
      <w:pPr>
        <w:pageBreakBefore w:val="0"/>
        <w:widowControl w:val="0"/>
        <w:tabs>
          <w:tab w:val="left" w:pos="900"/>
        </w:tabs>
        <w:kinsoku/>
        <w:wordWrap/>
        <w:overflowPunct/>
        <w:topLinePunct w:val="0"/>
        <w:autoSpaceDE/>
        <w:autoSpaceDN/>
        <w:bidi w:val="0"/>
        <w:snapToGrid/>
        <w:ind w:firstLine="482"/>
        <w:jc w:val="left"/>
        <w:textAlignment w:val="auto"/>
        <w:outlineLvl w:val="9"/>
      </w:pPr>
      <w:r>
        <w:rPr>
          <w:rFonts w:hint="eastAsia"/>
        </w:rPr>
        <w:t>2.1.2决策室</w:t>
      </w:r>
    </w:p>
    <w:tbl>
      <w:tblPr>
        <w:tblStyle w:val="66"/>
        <w:tblW w:w="4996" w:type="pct"/>
        <w:tblInd w:w="0" w:type="dxa"/>
        <w:tblLayout w:type="fixed"/>
        <w:tblCellMar>
          <w:top w:w="0" w:type="dxa"/>
          <w:left w:w="108" w:type="dxa"/>
          <w:bottom w:w="0" w:type="dxa"/>
          <w:right w:w="108" w:type="dxa"/>
        </w:tblCellMar>
      </w:tblPr>
      <w:tblGrid>
        <w:gridCol w:w="3678"/>
        <w:gridCol w:w="3471"/>
        <w:gridCol w:w="1229"/>
        <w:gridCol w:w="901"/>
      </w:tblGrid>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名称</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推荐品牌</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单位</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数量</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98寸会议一体机</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东方中原、MAXHUB、宇视</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HDMI线缆</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秋叶原、百通、金三湖</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条</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落地移动支架</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个</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智慧无纸化会议管理主机</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ITC、HAYU、迪士普</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无纸化服务器软件</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t>/</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套</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无纸化会议编解码器</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ITC、HAYU、迪士普</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会议主机</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ITC、HAYU、迪士普</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15.6寸单屏带话筒无纸化升降一体机</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ITC、HAYU、迪士普</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套</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13</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数字反馈抑制器</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ITC、HAYU、迪士普</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16口千兆交换机</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锐捷、华三、华为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会议桌开槽</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定制</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项</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13</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线阵音柱</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ITC、HAYU、迪士普</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只</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4</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智控功率放大器</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ITC、HAYU、迪士普</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2</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音频处理器</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ITC、HAYU、迪士普</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调音台</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ITC、HAYU、迪士普</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电源时序器</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ITC、HAYU、迪士普</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铺材</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批</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线路布排及装修恢复</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定制</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项</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bl>
    <w:p>
      <w:pPr>
        <w:pStyle w:val="6"/>
        <w:ind w:firstLine="482"/>
      </w:pPr>
      <w:r>
        <w:rPr>
          <w:rFonts w:hint="eastAsia"/>
        </w:rPr>
        <w:t>2.1.3值班室</w:t>
      </w:r>
    </w:p>
    <w:tbl>
      <w:tblPr>
        <w:tblStyle w:val="66"/>
        <w:tblW w:w="4996" w:type="pct"/>
        <w:tblInd w:w="0" w:type="dxa"/>
        <w:tblLayout w:type="autofit"/>
        <w:tblCellMar>
          <w:top w:w="0" w:type="dxa"/>
          <w:left w:w="108" w:type="dxa"/>
          <w:bottom w:w="0" w:type="dxa"/>
          <w:right w:w="108" w:type="dxa"/>
        </w:tblCellMar>
      </w:tblPr>
      <w:tblGrid>
        <w:gridCol w:w="3678"/>
        <w:gridCol w:w="3472"/>
        <w:gridCol w:w="1214"/>
        <w:gridCol w:w="915"/>
      </w:tblGrid>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名称</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推荐品牌</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单位</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数量</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98寸监视器</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东方中原、MAXHUB、宇视</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HDMI线缆</w:t>
            </w:r>
          </w:p>
        </w:tc>
        <w:tc>
          <w:tcPr>
            <w:tcW w:w="1870"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秋叶原、百通、金三湖</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条</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壁装支架</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人脸识别门禁主机</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宇视、大华、博观</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套</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出门按钮</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个</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单门磁力锁</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套</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闭门器</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个</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门禁电源</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个</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地面隐形地插</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套</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5</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高清网络摄像机</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宇视、海康、大华</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套</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摄像机电源</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宇视、大华、海康威视</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个</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硬盘录像机</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宇视、大华、海康威视</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4T硬盘</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块</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线路布排及装修恢复</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项</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地毯</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34</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操作台1</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张</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2</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操作台2</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张</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办公椅</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张</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5</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监听音响</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ITC、HAYU、OATEN SOUND</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42U机柜</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辅材</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国产</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批</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bl>
    <w:p>
      <w:pPr>
        <w:pStyle w:val="6"/>
        <w:ind w:firstLine="482"/>
        <w:rPr>
          <w:highlight w:val="yellow"/>
        </w:rPr>
      </w:pPr>
      <w:r>
        <w:rPr>
          <w:rFonts w:hint="eastAsia"/>
        </w:rPr>
        <w:t>2.1.4</w:t>
      </w:r>
      <w:r>
        <w:rPr>
          <w:rFonts w:hint="eastAsia"/>
          <w:highlight w:val="none"/>
        </w:rPr>
        <w:t>系统对接和接入链路</w:t>
      </w:r>
    </w:p>
    <w:tbl>
      <w:tblPr>
        <w:tblStyle w:val="66"/>
        <w:tblW w:w="4996" w:type="pct"/>
        <w:tblInd w:w="0" w:type="dxa"/>
        <w:tblLayout w:type="autofit"/>
        <w:tblCellMar>
          <w:top w:w="0" w:type="dxa"/>
          <w:left w:w="108" w:type="dxa"/>
          <w:bottom w:w="0" w:type="dxa"/>
          <w:right w:w="108" w:type="dxa"/>
        </w:tblCellMar>
      </w:tblPr>
      <w:tblGrid>
        <w:gridCol w:w="3678"/>
        <w:gridCol w:w="3472"/>
        <w:gridCol w:w="1214"/>
        <w:gridCol w:w="915"/>
      </w:tblGrid>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名称</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推荐品牌</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lang w:val="zh-CN"/>
              </w:rPr>
            </w:pPr>
            <w:r>
              <w:rPr>
                <w:rFonts w:hint="eastAsia"/>
              </w:rPr>
              <w:t>单位</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lang w:val="zh-CN"/>
              </w:rPr>
            </w:pPr>
            <w:r>
              <w:rPr>
                <w:rFonts w:hint="eastAsia"/>
              </w:rPr>
              <w:t>数量</w:t>
            </w:r>
          </w:p>
        </w:tc>
      </w:tr>
      <w:tr>
        <w:tblPrEx>
          <w:tblCellMar>
            <w:top w:w="0" w:type="dxa"/>
            <w:left w:w="108" w:type="dxa"/>
            <w:bottom w:w="0" w:type="dxa"/>
            <w:right w:w="108" w:type="dxa"/>
          </w:tblCellMar>
        </w:tblPrEx>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系统迁移和对接</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原有系统</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批</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r>
      <w:tr>
        <w:trPr>
          <w:trHeight w:val="300" w:hRule="atLeast"/>
        </w:trPr>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互联网链路</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电信、移动、联通</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年</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3</w:t>
            </w:r>
          </w:p>
        </w:tc>
      </w:tr>
    </w:tbl>
    <w:p>
      <w:pPr>
        <w:pStyle w:val="6"/>
        <w:bidi w:val="0"/>
        <w:rPr>
          <w:lang w:val="en-US"/>
        </w:rPr>
      </w:pPr>
      <w:r>
        <w:rPr>
          <w:rFonts w:hint="eastAsia"/>
          <w:lang w:val="en-US"/>
        </w:rPr>
        <w:t>2.2主要技术要求</w:t>
      </w:r>
    </w:p>
    <w:p>
      <w:pPr>
        <w:pStyle w:val="6"/>
        <w:ind w:firstLine="482"/>
      </w:pPr>
      <w:r>
        <w:rPr>
          <w:rFonts w:hint="eastAsia"/>
        </w:rPr>
        <w:t>2.2.1指挥中心</w:t>
      </w:r>
    </w:p>
    <w:p>
      <w:pPr>
        <w:spacing w:line="240" w:lineRule="auto"/>
        <w:ind w:firstLine="480"/>
        <w:rPr>
          <w:rFonts w:ascii="仿宋" w:hAnsi="仿宋" w:cs="仿宋"/>
        </w:rPr>
      </w:pPr>
      <w:r>
        <w:rPr>
          <w:rFonts w:hint="eastAsia" w:ascii="仿宋" w:hAnsi="仿宋" w:cs="仿宋"/>
        </w:rPr>
        <w:t>（1）大屏系统</w:t>
      </w:r>
    </w:p>
    <w:tbl>
      <w:tblPr>
        <w:tblStyle w:val="66"/>
        <w:tblW w:w="4998" w:type="pct"/>
        <w:tblInd w:w="0" w:type="dxa"/>
        <w:tblLayout w:type="fixed"/>
        <w:tblCellMar>
          <w:top w:w="0" w:type="dxa"/>
          <w:left w:w="108" w:type="dxa"/>
          <w:bottom w:w="0" w:type="dxa"/>
          <w:right w:w="108" w:type="dxa"/>
        </w:tblCellMar>
      </w:tblPr>
      <w:tblGrid>
        <w:gridCol w:w="1468"/>
        <w:gridCol w:w="7814"/>
      </w:tblGrid>
      <w:tr>
        <w:tblPrEx>
          <w:tblCellMar>
            <w:top w:w="0" w:type="dxa"/>
            <w:left w:w="108" w:type="dxa"/>
            <w:bottom w:w="0" w:type="dxa"/>
            <w:right w:w="108" w:type="dxa"/>
          </w:tblCellMar>
        </w:tblPrEx>
        <w:trPr>
          <w:trHeight w:val="3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名称</w:t>
            </w:r>
          </w:p>
        </w:tc>
        <w:tc>
          <w:tcPr>
            <w:tcW w:w="4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lang w:val="en-US"/>
              </w:rPr>
            </w:pPr>
            <w:r>
              <w:rPr>
                <w:rFonts w:hint="eastAsia"/>
                <w:lang w:val="en-US"/>
              </w:rPr>
              <w:t>参数</w:t>
            </w:r>
          </w:p>
        </w:tc>
      </w:tr>
      <w:tr>
        <w:tblPrEx>
          <w:tblCellMar>
            <w:top w:w="0" w:type="dxa"/>
            <w:left w:w="108" w:type="dxa"/>
            <w:bottom w:w="0" w:type="dxa"/>
            <w:right w:w="108" w:type="dxa"/>
          </w:tblCellMar>
        </w:tblPrEx>
        <w:trPr>
          <w:trHeight w:val="30" w:hRule="atLeast"/>
        </w:trPr>
        <w:tc>
          <w:tcPr>
            <w:tcW w:w="791" w:type="pct"/>
            <w:vMerge w:val="restart"/>
            <w:tcBorders>
              <w:top w:val="single" w:color="000000" w:sz="4" w:space="0"/>
              <w:left w:val="single" w:color="000000" w:sz="4" w:space="0"/>
              <w:right w:val="single" w:color="000000" w:sz="4" w:space="0"/>
            </w:tcBorders>
            <w:shd w:val="clear" w:color="auto" w:fill="auto"/>
            <w:noWrap/>
            <w:vAlign w:val="center"/>
          </w:tcPr>
          <w:p>
            <w:pPr>
              <w:ind w:firstLine="0" w:firstLineChars="0"/>
              <w:rPr>
                <w:rFonts w:ascii="仿宋" w:hAnsi="仿宋" w:cs="仿宋"/>
                <w:szCs w:val="21"/>
              </w:rPr>
            </w:pPr>
            <w:r>
              <w:rPr>
                <w:rFonts w:hint="eastAsia"/>
              </w:rPr>
              <w:t>COB倒装小间距LED屏</w:t>
            </w:r>
          </w:p>
        </w:tc>
        <w:tc>
          <w:tcPr>
            <w:tcW w:w="4208" w:type="pct"/>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ascii="仿宋" w:hAnsi="仿宋" w:cs="仿宋"/>
                <w:szCs w:val="21"/>
              </w:rPr>
            </w:pPr>
            <w:r>
              <w:rPr>
                <w:rFonts w:hint="eastAsia"/>
              </w:rPr>
              <w:t>★物理点间距：≤1.25mm，像素密度≥640000点/㎡。</w:t>
            </w:r>
          </w:p>
        </w:tc>
      </w:tr>
      <w:tr>
        <w:tblPrEx>
          <w:tblCellMar>
            <w:top w:w="0" w:type="dxa"/>
            <w:left w:w="108" w:type="dxa"/>
            <w:bottom w:w="0" w:type="dxa"/>
            <w:right w:w="108" w:type="dxa"/>
          </w:tblCellMar>
        </w:tblPrEx>
        <w:trPr>
          <w:trHeight w:val="454"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尺寸：长9m，高2.03m。</w:t>
            </w:r>
          </w:p>
        </w:tc>
      </w:tr>
      <w:tr>
        <w:tblPrEx>
          <w:tblCellMar>
            <w:top w:w="0" w:type="dxa"/>
            <w:left w:w="108" w:type="dxa"/>
            <w:bottom w:w="0" w:type="dxa"/>
            <w:right w:w="108" w:type="dxa"/>
          </w:tblCellMar>
        </w:tblPrEx>
        <w:trPr>
          <w:trHeight w:val="30"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★封装方式：采用纯倒装无引线COB封装方式（即板上芯片集成封装），封装表面平整光滑。</w:t>
            </w:r>
          </w:p>
        </w:tc>
      </w:tr>
      <w:tr>
        <w:tblPrEx>
          <w:tblCellMar>
            <w:top w:w="0" w:type="dxa"/>
            <w:left w:w="108" w:type="dxa"/>
            <w:bottom w:w="0" w:type="dxa"/>
            <w:right w:w="108" w:type="dxa"/>
          </w:tblCellMar>
        </w:tblPrEx>
        <w:trPr>
          <w:trHeight w:val="30"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箱体材质：采用全压铸铝箱体，箱体表面无明显的凹痕、划伤、裂缝、变形和污渍；表面色泽均匀，无起泡、龟裂、脱落和磨损现象；金属零部件无锈蚀；文字标识应清晰、完整。</w:t>
            </w:r>
          </w:p>
        </w:tc>
      </w:tr>
      <w:tr>
        <w:tblPrEx>
          <w:tblCellMar>
            <w:top w:w="0" w:type="dxa"/>
            <w:left w:w="108" w:type="dxa"/>
            <w:bottom w:w="0" w:type="dxa"/>
            <w:right w:w="108" w:type="dxa"/>
          </w:tblCellMar>
        </w:tblPrEx>
        <w:trPr>
          <w:trHeight w:val="30"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w:t>
            </w:r>
            <w:r>
              <w:t>支持全前维护，电源、转接板、接收卡、模组等元器件均采用镀金接插件实现硬连接，且都可从前方拆卸维护，可以无需预留维护通道，支持贴墙安装。</w:t>
            </w:r>
          </w:p>
        </w:tc>
      </w:tr>
      <w:tr>
        <w:tblPrEx>
          <w:tblCellMar>
            <w:top w:w="0" w:type="dxa"/>
            <w:left w:w="108" w:type="dxa"/>
            <w:bottom w:w="0" w:type="dxa"/>
            <w:right w:w="108" w:type="dxa"/>
          </w:tblCellMar>
        </w:tblPrEx>
        <w:trPr>
          <w:trHeight w:val="30"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显示单元亮度支持0-2000nits之间无极调节，软件示数与仪器测试值的偏差不超过20nits。</w:t>
            </w:r>
          </w:p>
        </w:tc>
      </w:tr>
      <w:tr>
        <w:tblPrEx>
          <w:tblCellMar>
            <w:top w:w="0" w:type="dxa"/>
            <w:left w:w="108" w:type="dxa"/>
            <w:bottom w:w="0" w:type="dxa"/>
            <w:right w:w="108" w:type="dxa"/>
          </w:tblCellMar>
        </w:tblPrEx>
        <w:trPr>
          <w:trHeight w:val="454"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lang w:eastAsia="zh-CN"/>
              </w:rPr>
              <w:t>■</w:t>
            </w:r>
            <w:r>
              <w:rPr>
                <w:rFonts w:hint="eastAsia"/>
              </w:rPr>
              <w:t>亮度均匀性:≥99.5%；色度均匀性:±0.001Cx,Cy。</w:t>
            </w:r>
          </w:p>
        </w:tc>
      </w:tr>
      <w:tr>
        <w:tblPrEx>
          <w:tblCellMar>
            <w:top w:w="0" w:type="dxa"/>
            <w:left w:w="108" w:type="dxa"/>
            <w:bottom w:w="0" w:type="dxa"/>
            <w:right w:w="108" w:type="dxa"/>
          </w:tblCellMar>
        </w:tblPrEx>
        <w:trPr>
          <w:trHeight w:val="30"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lang w:eastAsia="zh-CN"/>
              </w:rPr>
              <w:t>■</w:t>
            </w:r>
            <w:r>
              <w:rPr>
                <w:rFonts w:hint="eastAsia"/>
              </w:rPr>
              <w:t>对比度：≥25000:1；刷新率：≥3840Hz，换帧频率：≥60Hz。</w:t>
            </w:r>
          </w:p>
        </w:tc>
      </w:tr>
      <w:tr>
        <w:tblPrEx>
          <w:tblCellMar>
            <w:top w:w="0" w:type="dxa"/>
            <w:left w:w="108" w:type="dxa"/>
            <w:bottom w:w="0" w:type="dxa"/>
            <w:right w:w="108" w:type="dxa"/>
          </w:tblCellMar>
        </w:tblPrEx>
        <w:trPr>
          <w:trHeight w:val="30"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▲显示屏具备色彩诊断能力，并能对色彩进行自动修正。</w:t>
            </w:r>
            <w:r>
              <w:t>不同接收卡之间画面同步性在10ms以内。</w:t>
            </w:r>
          </w:p>
        </w:tc>
      </w:tr>
      <w:tr>
        <w:tblPrEx>
          <w:tblCellMar>
            <w:top w:w="0" w:type="dxa"/>
            <w:left w:w="108" w:type="dxa"/>
            <w:bottom w:w="0" w:type="dxa"/>
            <w:right w:w="108" w:type="dxa"/>
          </w:tblCellMar>
        </w:tblPrEx>
        <w:trPr>
          <w:trHeight w:val="30"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lang w:eastAsia="zh-CN"/>
              </w:rPr>
              <w:t>■</w:t>
            </w:r>
            <w:r>
              <w:rPr>
                <w:rFonts w:hint="eastAsia"/>
              </w:rPr>
              <w:t>显示屏采用自然散热，无风扇设计，噪音平均声压级≤1.4dB（球面半径1米处）。</w:t>
            </w:r>
          </w:p>
        </w:tc>
      </w:tr>
      <w:tr>
        <w:tblPrEx>
          <w:tblCellMar>
            <w:top w:w="0" w:type="dxa"/>
            <w:left w:w="108" w:type="dxa"/>
            <w:bottom w:w="0" w:type="dxa"/>
            <w:right w:w="108" w:type="dxa"/>
          </w:tblCellMar>
        </w:tblPrEx>
        <w:trPr>
          <w:trHeight w:val="30"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lang w:eastAsia="zh-CN"/>
              </w:rPr>
              <w:t>■</w:t>
            </w:r>
            <w:r>
              <w:rPr>
                <w:rFonts w:hint="eastAsia"/>
              </w:rPr>
              <w:t>供电电源采用无风扇设计，采用PFC高效率转换技术，功率因素≥99%，电源转换效率≥92%。</w:t>
            </w:r>
          </w:p>
        </w:tc>
      </w:tr>
      <w:tr>
        <w:tblPrEx>
          <w:tblCellMar>
            <w:top w:w="0" w:type="dxa"/>
            <w:left w:w="108" w:type="dxa"/>
            <w:bottom w:w="0" w:type="dxa"/>
            <w:right w:w="108" w:type="dxa"/>
          </w:tblCellMar>
        </w:tblPrEx>
        <w:trPr>
          <w:trHeight w:val="30"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lang w:eastAsia="zh-CN"/>
              </w:rPr>
              <w:t>■</w:t>
            </w:r>
            <w:r>
              <w:rPr>
                <w:rFonts w:hint="eastAsia"/>
              </w:rPr>
              <w:t>整屏平整度：&lt;=0.05mm,箱体间拼缝：&lt;=0.05mm，箱体间相对错位值≤0.5mm（光学拼缝≤0.1mm）。</w:t>
            </w:r>
          </w:p>
        </w:tc>
      </w:tr>
      <w:tr>
        <w:tblPrEx>
          <w:tblCellMar>
            <w:top w:w="0" w:type="dxa"/>
            <w:left w:w="108" w:type="dxa"/>
            <w:bottom w:w="0" w:type="dxa"/>
            <w:right w:w="108" w:type="dxa"/>
          </w:tblCellMar>
        </w:tblPrEx>
        <w:trPr>
          <w:trHeight w:val="30"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lang w:eastAsia="zh-CN"/>
              </w:rPr>
              <w:t>■</w:t>
            </w:r>
            <w:r>
              <w:rPr>
                <w:rFonts w:hint="eastAsia"/>
              </w:rPr>
              <w:t>电磁兼容性：在30-1000MHz辐射骚扰、150kHz-30MHz电源端子骚扰、1GHz以上辐射骚扰依据GB9254、GB/T17626.2检测要求满足B级标准。</w:t>
            </w:r>
          </w:p>
        </w:tc>
      </w:tr>
      <w:tr>
        <w:tblPrEx>
          <w:tblCellMar>
            <w:top w:w="0" w:type="dxa"/>
            <w:left w:w="108" w:type="dxa"/>
            <w:bottom w:w="0" w:type="dxa"/>
            <w:right w:w="108" w:type="dxa"/>
          </w:tblCellMar>
        </w:tblPrEx>
        <w:trPr>
          <w:trHeight w:val="30"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▲显示屏具备色彩诊断能力，并能对色彩进行自动修正。</w:t>
            </w:r>
          </w:p>
        </w:tc>
      </w:tr>
      <w:tr>
        <w:tblPrEx>
          <w:tblCellMar>
            <w:top w:w="0" w:type="dxa"/>
            <w:left w:w="108" w:type="dxa"/>
            <w:bottom w:w="0" w:type="dxa"/>
            <w:right w:w="108" w:type="dxa"/>
          </w:tblCellMar>
        </w:tblPrEx>
        <w:trPr>
          <w:trHeight w:val="30" w:hRule="atLeast"/>
        </w:trPr>
        <w:tc>
          <w:tcPr>
            <w:tcW w:w="791" w:type="pct"/>
            <w:vMerge w:val="continue"/>
            <w:tcBorders>
              <w:left w:val="single" w:color="000000" w:sz="4" w:space="0"/>
              <w:bottom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ascii="仿宋" w:hAnsi="仿宋" w:cs="仿宋"/>
                <w:szCs w:val="21"/>
              </w:rPr>
            </w:pPr>
            <w:r>
              <w:rPr>
                <w:rFonts w:hint="eastAsia"/>
              </w:rPr>
              <w:t>▲视网膜蓝光危害（蓝光加权辐射亮度LB）≤0.5W∙m</w:t>
            </w:r>
            <w:r>
              <w:rPr>
                <w:rFonts w:hint="eastAsia"/>
                <w:vertAlign w:val="superscript"/>
              </w:rPr>
              <w:t>-2</w:t>
            </w:r>
            <w:r>
              <w:rPr>
                <w:rFonts w:hint="eastAsia"/>
              </w:rPr>
              <w:t>∙sr</w:t>
            </w:r>
            <w:r>
              <w:rPr>
                <w:rFonts w:hint="eastAsia"/>
                <w:vertAlign w:val="superscript"/>
              </w:rPr>
              <w:t>-1</w:t>
            </w:r>
            <w:r>
              <w:rPr>
                <w:rFonts w:hint="eastAsia"/>
              </w:rPr>
              <w:t>。</w:t>
            </w:r>
          </w:p>
        </w:tc>
      </w:tr>
      <w:tr>
        <w:tblPrEx>
          <w:tblCellMar>
            <w:top w:w="0" w:type="dxa"/>
            <w:left w:w="108" w:type="dxa"/>
            <w:bottom w:w="0" w:type="dxa"/>
            <w:right w:w="108" w:type="dxa"/>
          </w:tblCellMar>
        </w:tblPrEx>
        <w:trPr>
          <w:trHeight w:val="454" w:hRule="atLeast"/>
        </w:trPr>
        <w:tc>
          <w:tcPr>
            <w:tcW w:w="791" w:type="pct"/>
            <w:vMerge w:val="restart"/>
            <w:tcBorders>
              <w:top w:val="single" w:color="000000" w:sz="4" w:space="0"/>
              <w:left w:val="single" w:color="000000" w:sz="4" w:space="0"/>
              <w:right w:val="single" w:color="000000" w:sz="4" w:space="0"/>
            </w:tcBorders>
            <w:shd w:val="clear" w:color="auto" w:fill="auto"/>
            <w:noWrap/>
            <w:vAlign w:val="center"/>
          </w:tcPr>
          <w:p>
            <w:pPr>
              <w:ind w:firstLine="0" w:firstLineChars="0"/>
            </w:pPr>
            <w:r>
              <w:rPr>
                <w:rFonts w:hint="eastAsia"/>
              </w:rPr>
              <w:t>发送卡</w:t>
            </w:r>
          </w:p>
        </w:tc>
        <w:tc>
          <w:tcPr>
            <w:tcW w:w="42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ascii="仿宋" w:hAnsi="仿宋" w:cs="仿宋"/>
                <w:szCs w:val="21"/>
              </w:rPr>
            </w:pPr>
            <w:r>
              <w:rPr>
                <w:rFonts w:hint="eastAsia"/>
              </w:rPr>
              <w:t>支持一路DVI、HDMI视频输入。</w:t>
            </w:r>
          </w:p>
        </w:tc>
      </w:tr>
      <w:tr>
        <w:tblPrEx>
          <w:tblCellMar>
            <w:top w:w="0" w:type="dxa"/>
            <w:left w:w="108" w:type="dxa"/>
            <w:bottom w:w="0" w:type="dxa"/>
            <w:right w:w="108" w:type="dxa"/>
          </w:tblCellMar>
        </w:tblPrEx>
        <w:trPr>
          <w:trHeight w:val="454"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支持高位阶视频输入，12bit/10bit/8bit/18bit灰阶处理与显示。</w:t>
            </w:r>
          </w:p>
        </w:tc>
      </w:tr>
      <w:tr>
        <w:tblPrEx>
          <w:tblCellMar>
            <w:top w:w="0" w:type="dxa"/>
            <w:left w:w="108" w:type="dxa"/>
            <w:bottom w:w="0" w:type="dxa"/>
            <w:right w:w="108" w:type="dxa"/>
          </w:tblCellMar>
        </w:tblPrEx>
        <w:trPr>
          <w:trHeight w:val="454"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支持USB接口控制，可级联多台进行统一控制。</w:t>
            </w:r>
          </w:p>
        </w:tc>
      </w:tr>
      <w:tr>
        <w:tblPrEx>
          <w:tblCellMar>
            <w:top w:w="0" w:type="dxa"/>
            <w:left w:w="108" w:type="dxa"/>
            <w:bottom w:w="0" w:type="dxa"/>
            <w:right w:w="108" w:type="dxa"/>
          </w:tblCellMar>
        </w:tblPrEx>
        <w:trPr>
          <w:trHeight w:val="454"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支持最大带载分辨率：1920×1200，支持分辨率任意设置。</w:t>
            </w:r>
          </w:p>
        </w:tc>
      </w:tr>
      <w:tr>
        <w:tblPrEx>
          <w:tblCellMar>
            <w:top w:w="0" w:type="dxa"/>
            <w:left w:w="108" w:type="dxa"/>
            <w:bottom w:w="0" w:type="dxa"/>
            <w:right w:w="108" w:type="dxa"/>
          </w:tblCellMar>
        </w:tblPrEx>
        <w:trPr>
          <w:trHeight w:val="454"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单卡最大带载面积：230万点，最宽可达4096，最高可达2560点。</w:t>
            </w:r>
          </w:p>
        </w:tc>
      </w:tr>
      <w:tr>
        <w:tblPrEx>
          <w:tblCellMar>
            <w:top w:w="0" w:type="dxa"/>
            <w:left w:w="108" w:type="dxa"/>
            <w:bottom w:w="0" w:type="dxa"/>
            <w:right w:w="108" w:type="dxa"/>
          </w:tblCellMar>
        </w:tblPrEx>
        <w:trPr>
          <w:trHeight w:val="454" w:hRule="atLeast"/>
        </w:trPr>
        <w:tc>
          <w:tcPr>
            <w:tcW w:w="791" w:type="pct"/>
            <w:vMerge w:val="continue"/>
            <w:tcBorders>
              <w:left w:val="single" w:color="000000" w:sz="4" w:space="0"/>
              <w:bottom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支持亮度和色温调节。</w:t>
            </w:r>
          </w:p>
        </w:tc>
      </w:tr>
      <w:tr>
        <w:tblPrEx>
          <w:tblCellMar>
            <w:top w:w="0" w:type="dxa"/>
            <w:left w:w="108" w:type="dxa"/>
            <w:bottom w:w="0" w:type="dxa"/>
            <w:right w:w="108" w:type="dxa"/>
          </w:tblCellMar>
        </w:tblPrEx>
        <w:trPr>
          <w:trHeight w:val="581" w:hRule="atLeast"/>
        </w:trPr>
        <w:tc>
          <w:tcPr>
            <w:tcW w:w="791" w:type="pct"/>
            <w:vMerge w:val="restart"/>
            <w:tcBorders>
              <w:top w:val="single" w:color="000000" w:sz="4" w:space="0"/>
              <w:left w:val="single" w:color="000000" w:sz="4" w:space="0"/>
              <w:right w:val="single" w:color="000000" w:sz="4" w:space="0"/>
            </w:tcBorders>
            <w:shd w:val="clear" w:color="auto" w:fill="auto"/>
            <w:noWrap/>
            <w:vAlign w:val="center"/>
          </w:tcPr>
          <w:p>
            <w:pPr>
              <w:ind w:firstLine="0" w:firstLineChars="0"/>
            </w:pPr>
            <w:r>
              <w:rPr>
                <w:rFonts w:hint="eastAsia"/>
              </w:rPr>
              <w:t>控制系统软件</w:t>
            </w:r>
          </w:p>
        </w:tc>
        <w:tc>
          <w:tcPr>
            <w:tcW w:w="42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ascii="仿宋" w:hAnsi="仿宋" w:cs="仿宋"/>
                <w:szCs w:val="21"/>
              </w:rPr>
            </w:pPr>
            <w:r>
              <w:rPr>
                <w:rFonts w:hint="eastAsia"/>
              </w:rPr>
              <w:t>支持视频、音频、图像、文字、Flash、Gif等形式的媒体文件播放。</w:t>
            </w:r>
          </w:p>
        </w:tc>
      </w:tr>
      <w:tr>
        <w:tblPrEx>
          <w:tblCellMar>
            <w:top w:w="0" w:type="dxa"/>
            <w:left w:w="108" w:type="dxa"/>
            <w:bottom w:w="0" w:type="dxa"/>
            <w:right w:w="108" w:type="dxa"/>
          </w:tblCellMar>
        </w:tblPrEx>
        <w:trPr>
          <w:trHeight w:val="454"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支持Microsoftoffice的Word、Excel、PPT显示。</w:t>
            </w:r>
          </w:p>
        </w:tc>
      </w:tr>
      <w:tr>
        <w:tblPrEx>
          <w:tblCellMar>
            <w:top w:w="0" w:type="dxa"/>
            <w:left w:w="108" w:type="dxa"/>
            <w:bottom w:w="0" w:type="dxa"/>
            <w:right w:w="108" w:type="dxa"/>
          </w:tblCellMar>
        </w:tblPrEx>
        <w:trPr>
          <w:trHeight w:val="454"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支持时钟、计时、天气预报显示。</w:t>
            </w:r>
          </w:p>
        </w:tc>
      </w:tr>
      <w:tr>
        <w:tblPrEx>
          <w:tblCellMar>
            <w:top w:w="0" w:type="dxa"/>
            <w:left w:w="108" w:type="dxa"/>
            <w:bottom w:w="0" w:type="dxa"/>
            <w:right w:w="108" w:type="dxa"/>
          </w:tblCellMar>
        </w:tblPrEx>
        <w:trPr>
          <w:trHeight w:val="454"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支持外部视频信号播放。</w:t>
            </w:r>
          </w:p>
        </w:tc>
      </w:tr>
      <w:tr>
        <w:tblPrEx>
          <w:tblCellMar>
            <w:top w:w="0" w:type="dxa"/>
            <w:left w:w="108" w:type="dxa"/>
            <w:bottom w:w="0" w:type="dxa"/>
            <w:right w:w="108" w:type="dxa"/>
          </w:tblCellMar>
        </w:tblPrEx>
        <w:trPr>
          <w:trHeight w:val="454" w:hRule="atLeast"/>
        </w:trPr>
        <w:tc>
          <w:tcPr>
            <w:tcW w:w="791" w:type="pct"/>
            <w:vMerge w:val="continue"/>
            <w:tcBorders>
              <w:left w:val="single" w:color="000000" w:sz="4" w:space="0"/>
              <w:bottom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支持多页面多分区节目编辑。</w:t>
            </w:r>
          </w:p>
        </w:tc>
      </w:tr>
      <w:tr>
        <w:tblPrEx>
          <w:tblCellMar>
            <w:top w:w="0" w:type="dxa"/>
            <w:left w:w="108" w:type="dxa"/>
            <w:bottom w:w="0" w:type="dxa"/>
            <w:right w:w="108" w:type="dxa"/>
          </w:tblCellMar>
        </w:tblPrEx>
        <w:trPr>
          <w:trHeight w:val="92" w:hRule="atLeast"/>
        </w:trPr>
        <w:tc>
          <w:tcPr>
            <w:tcW w:w="791" w:type="pct"/>
            <w:vMerge w:val="restart"/>
            <w:tcBorders>
              <w:top w:val="single" w:color="000000" w:sz="4" w:space="0"/>
              <w:left w:val="single" w:color="000000" w:sz="4" w:space="0"/>
              <w:right w:val="single" w:color="000000" w:sz="4" w:space="0"/>
            </w:tcBorders>
            <w:shd w:val="clear" w:color="auto" w:fill="auto"/>
            <w:noWrap/>
            <w:vAlign w:val="center"/>
          </w:tcPr>
          <w:p>
            <w:pPr>
              <w:ind w:firstLine="0" w:firstLineChars="0"/>
            </w:pPr>
            <w:r>
              <w:rPr>
                <w:rFonts w:hint="eastAsia"/>
              </w:rPr>
              <w:t>LED10KW配电箱</w:t>
            </w:r>
          </w:p>
        </w:tc>
        <w:tc>
          <w:tcPr>
            <w:tcW w:w="42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ascii="仿宋" w:hAnsi="仿宋" w:cs="仿宋"/>
                <w:szCs w:val="21"/>
              </w:rPr>
            </w:pPr>
            <w:r>
              <w:rPr>
                <w:rFonts w:hint="eastAsia"/>
              </w:rPr>
              <w:t>采用高质量，高可靠性的工业级控制器，全天候，全时段稳定可靠运行。</w:t>
            </w:r>
          </w:p>
        </w:tc>
      </w:tr>
      <w:tr>
        <w:tblPrEx>
          <w:tblCellMar>
            <w:top w:w="0" w:type="dxa"/>
            <w:left w:w="108" w:type="dxa"/>
            <w:bottom w:w="0" w:type="dxa"/>
            <w:right w:w="108" w:type="dxa"/>
          </w:tblCellMar>
        </w:tblPrEx>
        <w:trPr>
          <w:trHeight w:val="92"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配电系统包含PLC远程智能控制系统，可执行远程开关机操作，具备过压、过流、欠压、短路、断路及漏电保护措施。</w:t>
            </w:r>
          </w:p>
        </w:tc>
      </w:tr>
      <w:tr>
        <w:tblPrEx>
          <w:tblCellMar>
            <w:top w:w="0" w:type="dxa"/>
            <w:left w:w="108" w:type="dxa"/>
            <w:bottom w:w="0" w:type="dxa"/>
            <w:right w:w="108" w:type="dxa"/>
          </w:tblCellMar>
        </w:tblPrEx>
        <w:trPr>
          <w:trHeight w:val="92"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拥有LED显示屏全智能远程控制系统，可实现对LED智能配电箱的远程设定、控制。</w:t>
            </w:r>
          </w:p>
        </w:tc>
      </w:tr>
      <w:tr>
        <w:tblPrEx>
          <w:tblCellMar>
            <w:top w:w="0" w:type="dxa"/>
            <w:left w:w="108" w:type="dxa"/>
            <w:bottom w:w="0" w:type="dxa"/>
            <w:right w:w="108" w:type="dxa"/>
          </w:tblCellMar>
        </w:tblPrEx>
        <w:trPr>
          <w:trHeight w:val="92"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内部模块化设计，合理布局，用电安全。</w:t>
            </w:r>
          </w:p>
        </w:tc>
      </w:tr>
      <w:tr>
        <w:tblPrEx>
          <w:tblCellMar>
            <w:top w:w="0" w:type="dxa"/>
            <w:left w:w="108" w:type="dxa"/>
            <w:bottom w:w="0" w:type="dxa"/>
            <w:right w:w="108" w:type="dxa"/>
          </w:tblCellMar>
        </w:tblPrEx>
        <w:trPr>
          <w:trHeight w:val="92"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内设控制电路保险装置，对电路实施全方位监控、保护。</w:t>
            </w:r>
          </w:p>
        </w:tc>
      </w:tr>
      <w:tr>
        <w:tblPrEx>
          <w:tblCellMar>
            <w:top w:w="0" w:type="dxa"/>
            <w:left w:w="108" w:type="dxa"/>
            <w:bottom w:w="0" w:type="dxa"/>
            <w:right w:w="108" w:type="dxa"/>
          </w:tblCellMar>
        </w:tblPrEx>
        <w:trPr>
          <w:trHeight w:val="92"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内部设立具有三芯及两芯插座，方便调试设备及维修供电。</w:t>
            </w:r>
          </w:p>
        </w:tc>
      </w:tr>
      <w:tr>
        <w:tblPrEx>
          <w:tblCellMar>
            <w:top w:w="0" w:type="dxa"/>
            <w:left w:w="108" w:type="dxa"/>
            <w:bottom w:w="0" w:type="dxa"/>
            <w:right w:w="108" w:type="dxa"/>
          </w:tblCellMar>
        </w:tblPrEx>
        <w:trPr>
          <w:trHeight w:val="92"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具有A/B/C三相独立供电指示灯，方便外部判断设备工作状态。</w:t>
            </w:r>
          </w:p>
        </w:tc>
      </w:tr>
      <w:tr>
        <w:tblPrEx>
          <w:tblCellMar>
            <w:top w:w="0" w:type="dxa"/>
            <w:left w:w="108" w:type="dxa"/>
            <w:bottom w:w="0" w:type="dxa"/>
            <w:right w:w="108" w:type="dxa"/>
          </w:tblCellMar>
        </w:tblPrEx>
        <w:trPr>
          <w:trHeight w:val="92"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支持手动一键启动/停止和单点点动控制、远程一键启动/停止和单点点动控制。</w:t>
            </w:r>
          </w:p>
        </w:tc>
      </w:tr>
      <w:tr>
        <w:tblPrEx>
          <w:tblCellMar>
            <w:top w:w="0" w:type="dxa"/>
            <w:left w:w="108" w:type="dxa"/>
            <w:bottom w:w="0" w:type="dxa"/>
            <w:right w:w="108" w:type="dxa"/>
          </w:tblCellMar>
        </w:tblPrEx>
        <w:trPr>
          <w:trHeight w:val="92" w:hRule="atLeast"/>
        </w:trPr>
        <w:tc>
          <w:tcPr>
            <w:tcW w:w="791" w:type="pct"/>
            <w:vMerge w:val="continue"/>
            <w:tcBorders>
              <w:left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拥有启动、紧急制停按钮，方便异常状态紧急维护使用。</w:t>
            </w:r>
          </w:p>
        </w:tc>
      </w:tr>
      <w:tr>
        <w:tblPrEx>
          <w:tblCellMar>
            <w:top w:w="0" w:type="dxa"/>
            <w:left w:w="108" w:type="dxa"/>
            <w:bottom w:w="0" w:type="dxa"/>
            <w:right w:w="108" w:type="dxa"/>
          </w:tblCellMar>
        </w:tblPrEx>
        <w:trPr>
          <w:trHeight w:val="92" w:hRule="atLeast"/>
        </w:trPr>
        <w:tc>
          <w:tcPr>
            <w:tcW w:w="791" w:type="pct"/>
            <w:vMerge w:val="continue"/>
            <w:tcBorders>
              <w:left w:val="single" w:color="000000" w:sz="4" w:space="0"/>
              <w:bottom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机柜可采用壁装、挂装安装方式，具有防虫、防鼠功效。</w:t>
            </w:r>
          </w:p>
        </w:tc>
      </w:tr>
      <w:tr>
        <w:tblPrEx>
          <w:tblCellMar>
            <w:top w:w="0" w:type="dxa"/>
            <w:left w:w="108" w:type="dxa"/>
            <w:bottom w:w="0" w:type="dxa"/>
            <w:right w:w="108" w:type="dxa"/>
          </w:tblCellMar>
        </w:tblPrEx>
        <w:trPr>
          <w:trHeight w:val="619" w:hRule="atLeast"/>
        </w:trPr>
        <w:tc>
          <w:tcPr>
            <w:tcW w:w="791" w:type="pct"/>
            <w:vMerge w:val="restart"/>
            <w:tcBorders>
              <w:top w:val="single" w:color="000000" w:sz="4" w:space="0"/>
              <w:left w:val="single" w:color="000000" w:sz="4" w:space="0"/>
              <w:right w:val="single" w:color="000000" w:sz="4" w:space="0"/>
            </w:tcBorders>
            <w:shd w:val="clear" w:color="auto" w:fill="auto"/>
            <w:noWrap/>
            <w:vAlign w:val="center"/>
          </w:tcPr>
          <w:p>
            <w:pPr>
              <w:ind w:firstLine="0" w:firstLineChars="0"/>
            </w:pPr>
            <w:r>
              <w:rPr>
                <w:rFonts w:hint="eastAsia"/>
              </w:rPr>
              <w:t>定制支架</w:t>
            </w:r>
          </w:p>
        </w:tc>
        <w:tc>
          <w:tcPr>
            <w:tcW w:w="42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ascii="仿宋" w:hAnsi="仿宋" w:cs="仿宋"/>
                <w:szCs w:val="21"/>
              </w:rPr>
            </w:pPr>
            <w:r>
              <w:rPr>
                <w:rFonts w:hint="eastAsia"/>
              </w:rPr>
              <w:t>内部框架采用镀锌钢管焊接，材料厚度≥2mm，钢管焊点喷涂防锈漆。</w:t>
            </w:r>
          </w:p>
        </w:tc>
      </w:tr>
      <w:tr>
        <w:tblPrEx>
          <w:tblCellMar>
            <w:top w:w="0" w:type="dxa"/>
            <w:left w:w="108" w:type="dxa"/>
            <w:bottom w:w="0" w:type="dxa"/>
            <w:right w:w="108" w:type="dxa"/>
          </w:tblCellMar>
        </w:tblPrEx>
        <w:trPr>
          <w:trHeight w:val="189" w:hRule="atLeast"/>
        </w:trPr>
        <w:tc>
          <w:tcPr>
            <w:tcW w:w="791" w:type="pct"/>
            <w:vMerge w:val="continue"/>
            <w:tcBorders>
              <w:left w:val="single" w:color="000000" w:sz="4" w:space="0"/>
              <w:bottom w:val="single" w:color="000000" w:sz="4" w:space="0"/>
              <w:right w:val="single" w:color="000000" w:sz="4" w:space="0"/>
            </w:tcBorders>
            <w:shd w:val="clear" w:color="auto" w:fill="auto"/>
            <w:noWrap/>
            <w:vAlign w:val="center"/>
          </w:tcPr>
          <w:p>
            <w:pPr>
              <w:ind w:firstLine="480"/>
            </w:pPr>
          </w:p>
        </w:tc>
        <w:tc>
          <w:tcPr>
            <w:tcW w:w="42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底座封板，材质201不锈钢。</w:t>
            </w:r>
          </w:p>
        </w:tc>
      </w:tr>
      <w:tr>
        <w:tblPrEx>
          <w:tblCellMar>
            <w:top w:w="0" w:type="dxa"/>
            <w:left w:w="108" w:type="dxa"/>
            <w:bottom w:w="0" w:type="dxa"/>
            <w:right w:w="108" w:type="dxa"/>
          </w:tblCellMar>
        </w:tblPrEx>
        <w:trPr>
          <w:trHeight w:val="3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r>
              <w:rPr>
                <w:rFonts w:hint="eastAsia"/>
              </w:rPr>
              <w:t>真空吸盘</w:t>
            </w:r>
          </w:p>
        </w:tc>
        <w:tc>
          <w:tcPr>
            <w:tcW w:w="42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ascii="仿宋" w:hAnsi="仿宋" w:cs="仿宋"/>
                <w:szCs w:val="21"/>
              </w:rPr>
            </w:pPr>
            <w:r>
              <w:rPr>
                <w:rFonts w:hint="eastAsia"/>
              </w:rPr>
              <w:t>真空吸盘，用于后续维修。</w:t>
            </w:r>
          </w:p>
        </w:tc>
      </w:tr>
      <w:tr>
        <w:tblPrEx>
          <w:tblCellMar>
            <w:top w:w="0" w:type="dxa"/>
            <w:left w:w="108" w:type="dxa"/>
            <w:bottom w:w="0" w:type="dxa"/>
            <w:right w:w="108" w:type="dxa"/>
          </w:tblCellMar>
        </w:tblPrEx>
        <w:trPr>
          <w:trHeight w:val="3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r>
              <w:rPr>
                <w:rFonts w:hint="eastAsia"/>
              </w:rPr>
              <w:t>HDMI线缆</w:t>
            </w:r>
          </w:p>
        </w:tc>
        <w:tc>
          <w:tcPr>
            <w:tcW w:w="42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ascii="仿宋" w:hAnsi="仿宋" w:cs="仿宋"/>
                <w:szCs w:val="21"/>
              </w:rPr>
            </w:pPr>
            <w:r>
              <w:rPr>
                <w:rFonts w:hint="eastAsia"/>
              </w:rPr>
              <w:t>10米高纯度铜导体HDMI线缆，360°包铜箔工艺。</w:t>
            </w:r>
          </w:p>
        </w:tc>
      </w:tr>
    </w:tbl>
    <w:p>
      <w:pPr>
        <w:ind w:firstLine="480"/>
        <w:rPr>
          <w:rFonts w:ascii="仿宋" w:hAnsi="仿宋" w:cs="仿宋"/>
        </w:rPr>
      </w:pPr>
      <w:r>
        <w:rPr>
          <w:rFonts w:hint="eastAsia" w:ascii="仿宋" w:hAnsi="仿宋" w:cs="仿宋"/>
        </w:rPr>
        <w:t>（2）分布式系统</w:t>
      </w:r>
    </w:p>
    <w:tbl>
      <w:tblPr>
        <w:tblStyle w:val="66"/>
        <w:tblW w:w="5000" w:type="pct"/>
        <w:tblInd w:w="0" w:type="dxa"/>
        <w:tblLayout w:type="fixed"/>
        <w:tblCellMar>
          <w:top w:w="0" w:type="dxa"/>
          <w:left w:w="108" w:type="dxa"/>
          <w:bottom w:w="0" w:type="dxa"/>
          <w:right w:w="108" w:type="dxa"/>
        </w:tblCellMar>
      </w:tblPr>
      <w:tblGrid>
        <w:gridCol w:w="1454"/>
        <w:gridCol w:w="7832"/>
      </w:tblGrid>
      <w:tr>
        <w:tblPrEx>
          <w:tblCellMar>
            <w:top w:w="0" w:type="dxa"/>
            <w:left w:w="108" w:type="dxa"/>
            <w:bottom w:w="0" w:type="dxa"/>
            <w:right w:w="108" w:type="dxa"/>
          </w:tblCellMar>
        </w:tblPrEx>
        <w:trPr>
          <w:trHeight w:val="300" w:hRule="atLeast"/>
        </w:trPr>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名称</w:t>
            </w: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参数</w:t>
            </w:r>
          </w:p>
        </w:tc>
      </w:tr>
      <w:tr>
        <w:tblPrEx>
          <w:tblCellMar>
            <w:top w:w="0" w:type="dxa"/>
            <w:left w:w="108" w:type="dxa"/>
            <w:bottom w:w="0" w:type="dxa"/>
            <w:right w:w="108" w:type="dxa"/>
          </w:tblCellMar>
        </w:tblPrEx>
        <w:trPr>
          <w:trHeight w:val="403" w:hRule="atLeast"/>
        </w:trPr>
        <w:tc>
          <w:tcPr>
            <w:tcW w:w="783" w:type="pct"/>
            <w:vMerge w:val="restart"/>
            <w:tcBorders>
              <w:top w:val="single" w:color="000000" w:sz="4" w:space="0"/>
              <w:left w:val="single" w:color="000000" w:sz="4" w:space="0"/>
              <w:right w:val="single" w:color="000000" w:sz="4" w:space="0"/>
            </w:tcBorders>
            <w:shd w:val="clear" w:color="auto" w:fill="auto"/>
            <w:noWrap/>
            <w:vAlign w:val="center"/>
          </w:tcPr>
          <w:p>
            <w:pPr>
              <w:ind w:firstLine="0" w:firstLineChars="0"/>
            </w:pPr>
            <w:r>
              <w:rPr>
                <w:rFonts w:hint="eastAsia"/>
              </w:rPr>
              <w:t>分布式KVM管理节点</w:t>
            </w: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一人多机：仅靠一套键鼠即可访问多台不同主机，通过鼠标简单滑动即可实现不同计算机之间的自由切换，简化操作台桌面。</w:t>
            </w:r>
          </w:p>
        </w:tc>
      </w:tr>
      <w:tr>
        <w:tblPrEx>
          <w:tblCellMar>
            <w:top w:w="0" w:type="dxa"/>
            <w:left w:w="108" w:type="dxa"/>
            <w:bottom w:w="0" w:type="dxa"/>
            <w:right w:w="108" w:type="dxa"/>
          </w:tblCellMar>
        </w:tblPrEx>
        <w:trPr>
          <w:trHeight w:val="403"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鼠标滑屏：支持通过移动鼠标指针跨屏实现对控制主机的切换。</w:t>
            </w:r>
          </w:p>
        </w:tc>
      </w:tr>
      <w:tr>
        <w:tblPrEx>
          <w:tblCellMar>
            <w:top w:w="0" w:type="dxa"/>
            <w:left w:w="108" w:type="dxa"/>
            <w:bottom w:w="0" w:type="dxa"/>
            <w:right w:w="108" w:type="dxa"/>
          </w:tblCellMar>
        </w:tblPrEx>
        <w:trPr>
          <w:trHeight w:val="403"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一机多屏：多输出口电脑主机配合多个输入输出节点可实现一机多屏功能。</w:t>
            </w:r>
          </w:p>
        </w:tc>
      </w:tr>
      <w:tr>
        <w:tblPrEx>
          <w:tblCellMar>
            <w:top w:w="0" w:type="dxa"/>
            <w:left w:w="108" w:type="dxa"/>
            <w:bottom w:w="0" w:type="dxa"/>
            <w:right w:w="108" w:type="dxa"/>
          </w:tblCellMar>
        </w:tblPrEx>
        <w:trPr>
          <w:trHeight w:val="403"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多屏推送：支持组件信息共享、信息便捷推送，不仅可实现单屏推送，还能实现多连屏推送。</w:t>
            </w:r>
          </w:p>
        </w:tc>
      </w:tr>
      <w:tr>
        <w:tblPrEx>
          <w:tblCellMar>
            <w:top w:w="0" w:type="dxa"/>
            <w:left w:w="108" w:type="dxa"/>
            <w:bottom w:w="0" w:type="dxa"/>
            <w:right w:w="108" w:type="dxa"/>
          </w:tblCellMar>
        </w:tblPrEx>
        <w:trPr>
          <w:trHeight w:val="403"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多用户控制：支持多个不同用户可同时通过鼠标键盘实现对远程计算机的同步控制与管理。</w:t>
            </w:r>
          </w:p>
        </w:tc>
      </w:tr>
      <w:tr>
        <w:tblPrEx>
          <w:tblCellMar>
            <w:top w:w="0" w:type="dxa"/>
            <w:left w:w="108" w:type="dxa"/>
            <w:bottom w:w="0" w:type="dxa"/>
            <w:right w:w="108" w:type="dxa"/>
          </w:tblCellMar>
        </w:tblPrEx>
        <w:trPr>
          <w:trHeight w:val="403"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远程控制：支持远程KVM功能，可通过坐席鼠标键盘对远端信号源主机进行控制。</w:t>
            </w:r>
          </w:p>
        </w:tc>
      </w:tr>
      <w:tr>
        <w:tblPrEx>
          <w:tblCellMar>
            <w:top w:w="0" w:type="dxa"/>
            <w:left w:w="108" w:type="dxa"/>
            <w:bottom w:w="0" w:type="dxa"/>
            <w:right w:w="108" w:type="dxa"/>
          </w:tblCellMar>
        </w:tblPrEx>
        <w:trPr>
          <w:trHeight w:val="403"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支持OSD菜单、快捷键双重操作，可实现信号源切换、推送、抓取等多种功能。</w:t>
            </w:r>
          </w:p>
        </w:tc>
      </w:tr>
      <w:tr>
        <w:tblPrEx>
          <w:tblCellMar>
            <w:top w:w="0" w:type="dxa"/>
            <w:left w:w="108" w:type="dxa"/>
            <w:bottom w:w="0" w:type="dxa"/>
            <w:right w:w="108" w:type="dxa"/>
          </w:tblCellMar>
        </w:tblPrEx>
        <w:trPr>
          <w:trHeight w:val="403"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支持场景保存功能，可将场景布局保存至系统中，实现快速无缝切换、支持场景轮巡功能。</w:t>
            </w:r>
          </w:p>
        </w:tc>
      </w:tr>
      <w:tr>
        <w:tblPrEx>
          <w:tblCellMar>
            <w:top w:w="0" w:type="dxa"/>
            <w:left w:w="108" w:type="dxa"/>
            <w:bottom w:w="0" w:type="dxa"/>
            <w:right w:w="108" w:type="dxa"/>
          </w:tblCellMar>
        </w:tblPrEx>
        <w:trPr>
          <w:trHeight w:val="403"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大屏拼接管理功能，支持开窗，支持单屏16画面任意开窗显示，窗口漫游，“画中画”功能、每个窗口的画面大小可任意进行缩放，可单独或组合对高度、宽度进行放大或缩小，通过独有的视频处理算法保证画质不受损失。</w:t>
            </w:r>
          </w:p>
        </w:tc>
      </w:tr>
      <w:tr>
        <w:tblPrEx>
          <w:tblCellMar>
            <w:top w:w="0" w:type="dxa"/>
            <w:left w:w="108" w:type="dxa"/>
            <w:bottom w:w="0" w:type="dxa"/>
            <w:right w:w="108" w:type="dxa"/>
          </w:tblCellMar>
        </w:tblPrEx>
        <w:trPr>
          <w:trHeight w:val="403"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支持底图、滚动字幕功能、支持信号源实时预览功能、信号源预览功能，控制软件可对信号源画面进行实时预览。</w:t>
            </w:r>
          </w:p>
        </w:tc>
      </w:tr>
      <w:tr>
        <w:tblPrEx>
          <w:tblCellMar>
            <w:top w:w="0" w:type="dxa"/>
            <w:left w:w="108" w:type="dxa"/>
            <w:bottom w:w="0" w:type="dxa"/>
            <w:right w:w="108" w:type="dxa"/>
          </w:tblCellMar>
        </w:tblPrEx>
        <w:trPr>
          <w:trHeight w:val="403"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支持屏幕预操作功能，编辑好大屏画面后一键投屏，避免在大屏上实时显示操作方式。</w:t>
            </w:r>
          </w:p>
        </w:tc>
      </w:tr>
      <w:tr>
        <w:tblPrEx>
          <w:tblCellMar>
            <w:top w:w="0" w:type="dxa"/>
            <w:left w:w="108" w:type="dxa"/>
            <w:bottom w:w="0" w:type="dxa"/>
            <w:right w:w="108" w:type="dxa"/>
          </w:tblCellMar>
        </w:tblPrEx>
        <w:trPr>
          <w:trHeight w:val="403"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支持双向音频传输，支持输出端与输入端的音频互联。</w:t>
            </w:r>
          </w:p>
        </w:tc>
      </w:tr>
      <w:tr>
        <w:tblPrEx>
          <w:tblCellMar>
            <w:top w:w="0" w:type="dxa"/>
            <w:left w:w="108" w:type="dxa"/>
            <w:bottom w:w="0" w:type="dxa"/>
            <w:right w:w="108" w:type="dxa"/>
          </w:tblCellMar>
        </w:tblPrEx>
        <w:trPr>
          <w:trHeight w:val="403"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支持独立音频传输、切换，可传输无视频音频或随路音频。</w:t>
            </w:r>
          </w:p>
        </w:tc>
      </w:tr>
      <w:tr>
        <w:tblPrEx>
          <w:tblCellMar>
            <w:top w:w="0" w:type="dxa"/>
            <w:left w:w="108" w:type="dxa"/>
            <w:bottom w:w="0" w:type="dxa"/>
            <w:right w:w="108" w:type="dxa"/>
          </w:tblCellMar>
        </w:tblPrEx>
        <w:trPr>
          <w:trHeight w:val="403"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支持编码码率调节，可选变码率与定码率。</w:t>
            </w:r>
          </w:p>
        </w:tc>
      </w:tr>
      <w:tr>
        <w:tblPrEx>
          <w:tblCellMar>
            <w:top w:w="0" w:type="dxa"/>
            <w:left w:w="108" w:type="dxa"/>
            <w:bottom w:w="0" w:type="dxa"/>
            <w:right w:w="108" w:type="dxa"/>
          </w:tblCellMar>
        </w:tblPrEx>
        <w:trPr>
          <w:trHeight w:val="403"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支持TCP，UDP，组播等多种传输方式。</w:t>
            </w:r>
          </w:p>
        </w:tc>
      </w:tr>
      <w:tr>
        <w:tblPrEx>
          <w:tblCellMar>
            <w:top w:w="0" w:type="dxa"/>
            <w:left w:w="108" w:type="dxa"/>
            <w:bottom w:w="0" w:type="dxa"/>
            <w:right w:w="108" w:type="dxa"/>
          </w:tblCellMar>
        </w:tblPrEx>
        <w:trPr>
          <w:trHeight w:val="403"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支持RTSP、国标GB28181和ONVIF标准协议。</w:t>
            </w:r>
          </w:p>
        </w:tc>
      </w:tr>
      <w:tr>
        <w:tblPrEx>
          <w:tblCellMar>
            <w:top w:w="0" w:type="dxa"/>
            <w:left w:w="108" w:type="dxa"/>
            <w:bottom w:w="0" w:type="dxa"/>
            <w:right w:w="108" w:type="dxa"/>
          </w:tblCellMar>
        </w:tblPrEx>
        <w:trPr>
          <w:trHeight w:val="403"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支持USB透传、支持远程开关机、支持PS/2功能，用于传递键鼠信号，用于数据加密。</w:t>
            </w:r>
          </w:p>
        </w:tc>
      </w:tr>
      <w:tr>
        <w:tblPrEx>
          <w:tblCellMar>
            <w:top w:w="0" w:type="dxa"/>
            <w:left w:w="108" w:type="dxa"/>
            <w:bottom w:w="0" w:type="dxa"/>
            <w:right w:w="108" w:type="dxa"/>
          </w:tblCellMar>
        </w:tblPrEx>
        <w:trPr>
          <w:trHeight w:val="403" w:hRule="atLeast"/>
        </w:trPr>
        <w:tc>
          <w:tcPr>
            <w:tcW w:w="783" w:type="pct"/>
            <w:vMerge w:val="continue"/>
            <w:tcBorders>
              <w:left w:val="single" w:color="000000" w:sz="4" w:space="0"/>
              <w:bottom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支持批量添加，管理输入/输出节点，批量修改IP地址。</w:t>
            </w:r>
          </w:p>
        </w:tc>
      </w:tr>
      <w:tr>
        <w:tblPrEx>
          <w:tblCellMar>
            <w:top w:w="0" w:type="dxa"/>
            <w:left w:w="108" w:type="dxa"/>
            <w:bottom w:w="0" w:type="dxa"/>
            <w:right w:w="108" w:type="dxa"/>
          </w:tblCellMar>
        </w:tblPrEx>
        <w:trPr>
          <w:trHeight w:val="126" w:hRule="atLeast"/>
        </w:trPr>
        <w:tc>
          <w:tcPr>
            <w:tcW w:w="783" w:type="pct"/>
            <w:vMerge w:val="restart"/>
            <w:tcBorders>
              <w:top w:val="single" w:color="000000" w:sz="4" w:space="0"/>
              <w:left w:val="single" w:color="000000" w:sz="4" w:space="0"/>
              <w:right w:val="single" w:color="000000" w:sz="4" w:space="0"/>
            </w:tcBorders>
            <w:shd w:val="clear" w:color="auto" w:fill="auto"/>
            <w:noWrap/>
            <w:vAlign w:val="center"/>
          </w:tcPr>
          <w:p>
            <w:pPr>
              <w:ind w:firstLine="0" w:firstLineChars="0"/>
            </w:pPr>
            <w:r>
              <w:rPr>
                <w:rFonts w:hint="eastAsia"/>
              </w:rPr>
              <w:t>HDMI1.3输入节点</w:t>
            </w: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1.系统采用纯分布式架构，由独立的输入、输出模块集合构成，各模块之间通过标准以太网交换机CAT网线进行连接，任意一个节点故障，不影响系统继续运行。</w:t>
            </w:r>
          </w:p>
        </w:tc>
      </w:tr>
      <w:tr>
        <w:tblPrEx>
          <w:tblCellMar>
            <w:top w:w="0" w:type="dxa"/>
            <w:left w:w="108" w:type="dxa"/>
            <w:bottom w:w="0" w:type="dxa"/>
            <w:right w:w="108" w:type="dxa"/>
          </w:tblCellMar>
        </w:tblPrEx>
        <w:trPr>
          <w:trHeight w:val="126"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音视频接口：1路视频输入接口（支持HDMI（1080P），DVI，HDMI（4K）），1路视频环出接口，环出接口类型与输入接口类型为同类型，1路音频输入、1路音频输出，1路音频环出接口。</w:t>
            </w:r>
          </w:p>
        </w:tc>
      </w:tr>
      <w:tr>
        <w:tblPrEx>
          <w:tblCellMar>
            <w:top w:w="0" w:type="dxa"/>
            <w:left w:w="108" w:type="dxa"/>
            <w:bottom w:w="0" w:type="dxa"/>
            <w:right w:w="108" w:type="dxa"/>
          </w:tblCellMar>
        </w:tblPrEx>
        <w:trPr>
          <w:trHeight w:val="126"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1个USBTypeB数据传输接口，1个10M/100M/1000MbpsRJ45接口。</w:t>
            </w:r>
          </w:p>
        </w:tc>
      </w:tr>
      <w:tr>
        <w:tblPrEx>
          <w:tblCellMar>
            <w:top w:w="0" w:type="dxa"/>
            <w:left w:w="108" w:type="dxa"/>
            <w:bottom w:w="0" w:type="dxa"/>
            <w:right w:w="108" w:type="dxa"/>
          </w:tblCellMar>
        </w:tblPrEx>
        <w:trPr>
          <w:trHeight w:val="126"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编码方式：H.265/HEVC或H.264/AVC。</w:t>
            </w:r>
          </w:p>
        </w:tc>
      </w:tr>
      <w:tr>
        <w:tblPrEx>
          <w:tblCellMar>
            <w:top w:w="0" w:type="dxa"/>
            <w:left w:w="108" w:type="dxa"/>
            <w:bottom w:w="0" w:type="dxa"/>
            <w:right w:w="108" w:type="dxa"/>
          </w:tblCellMar>
        </w:tblPrEx>
        <w:trPr>
          <w:trHeight w:val="126"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控制接口：1个RS232/RS485、1个IR/IO、1个PS/2接口。</w:t>
            </w:r>
          </w:p>
        </w:tc>
      </w:tr>
      <w:tr>
        <w:tblPrEx>
          <w:tblCellMar>
            <w:top w:w="0" w:type="dxa"/>
            <w:left w:w="108" w:type="dxa"/>
            <w:bottom w:w="0" w:type="dxa"/>
            <w:right w:w="108" w:type="dxa"/>
          </w:tblCellMar>
        </w:tblPrEx>
        <w:trPr>
          <w:trHeight w:val="126"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▲编码端至解码端，图像输出延迟≤30ms。</w:t>
            </w:r>
          </w:p>
        </w:tc>
      </w:tr>
      <w:tr>
        <w:tblPrEx>
          <w:tblCellMar>
            <w:top w:w="0" w:type="dxa"/>
            <w:left w:w="108" w:type="dxa"/>
            <w:bottom w:w="0" w:type="dxa"/>
            <w:right w:w="108" w:type="dxa"/>
          </w:tblCellMar>
        </w:tblPrEx>
        <w:trPr>
          <w:trHeight w:val="126"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▲前面板应具有显示器，可用于显示设备的IP地址。</w:t>
            </w:r>
          </w:p>
        </w:tc>
      </w:tr>
      <w:tr>
        <w:tblPrEx>
          <w:tblCellMar>
            <w:top w:w="0" w:type="dxa"/>
            <w:left w:w="108" w:type="dxa"/>
            <w:bottom w:w="0" w:type="dxa"/>
            <w:right w:w="108" w:type="dxa"/>
          </w:tblCellMar>
        </w:tblPrEx>
        <w:trPr>
          <w:trHeight w:val="126"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可对编码视频画面的亮度，对比度，色彩饱和度进行调节。</w:t>
            </w:r>
          </w:p>
        </w:tc>
      </w:tr>
      <w:tr>
        <w:tblPrEx>
          <w:tblCellMar>
            <w:top w:w="0" w:type="dxa"/>
            <w:left w:w="108" w:type="dxa"/>
            <w:bottom w:w="0" w:type="dxa"/>
            <w:right w:w="108" w:type="dxa"/>
          </w:tblCellMar>
        </w:tblPrEx>
        <w:trPr>
          <w:trHeight w:val="126"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支持在输入通道上叠加任意字符，可自定义字体，颜色，大小，位置，背景色参数。</w:t>
            </w:r>
          </w:p>
        </w:tc>
      </w:tr>
      <w:tr>
        <w:tblPrEx>
          <w:tblCellMar>
            <w:top w:w="0" w:type="dxa"/>
            <w:left w:w="108" w:type="dxa"/>
            <w:bottom w:w="0" w:type="dxa"/>
            <w:right w:w="108" w:type="dxa"/>
          </w:tblCellMar>
        </w:tblPrEx>
        <w:trPr>
          <w:trHeight w:val="126"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支持EDID在线编辑，可支持非标准视频分辨率EDID导入，用于非标显示设备应用。</w:t>
            </w:r>
          </w:p>
        </w:tc>
      </w:tr>
      <w:tr>
        <w:tblPrEx>
          <w:tblCellMar>
            <w:top w:w="0" w:type="dxa"/>
            <w:left w:w="108" w:type="dxa"/>
            <w:bottom w:w="0" w:type="dxa"/>
            <w:right w:w="108" w:type="dxa"/>
          </w:tblCellMar>
        </w:tblPrEx>
        <w:trPr>
          <w:trHeight w:val="126" w:hRule="atLeast"/>
        </w:trPr>
        <w:tc>
          <w:tcPr>
            <w:tcW w:w="783" w:type="pct"/>
            <w:vMerge w:val="continue"/>
            <w:tcBorders>
              <w:left w:val="single" w:color="000000" w:sz="4" w:space="0"/>
              <w:bottom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设备支持对电脑主机的主屏幕和扩展屏幕同时进行绑定采集，用户可以通过切换单一主机完成主屏和扩展屏的同步切换。</w:t>
            </w:r>
          </w:p>
        </w:tc>
      </w:tr>
      <w:tr>
        <w:tblPrEx>
          <w:tblCellMar>
            <w:top w:w="0" w:type="dxa"/>
            <w:left w:w="108" w:type="dxa"/>
            <w:bottom w:w="0" w:type="dxa"/>
            <w:right w:w="108" w:type="dxa"/>
          </w:tblCellMar>
        </w:tblPrEx>
        <w:trPr>
          <w:trHeight w:val="861" w:hRule="atLeast"/>
        </w:trPr>
        <w:tc>
          <w:tcPr>
            <w:tcW w:w="783" w:type="pct"/>
            <w:vMerge w:val="restart"/>
            <w:tcBorders>
              <w:top w:val="single" w:color="000000" w:sz="4" w:space="0"/>
              <w:left w:val="single" w:color="000000" w:sz="4" w:space="0"/>
              <w:right w:val="single" w:color="000000" w:sz="4" w:space="0"/>
            </w:tcBorders>
            <w:shd w:val="clear" w:color="auto" w:fill="auto"/>
            <w:noWrap/>
            <w:vAlign w:val="center"/>
          </w:tcPr>
          <w:p>
            <w:pPr>
              <w:ind w:firstLine="0" w:firstLineChars="0"/>
            </w:pPr>
            <w:r>
              <w:rPr>
                <w:rFonts w:hint="eastAsia"/>
              </w:rPr>
              <w:t>HDMI1.3输出节点</w:t>
            </w: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系统采用纯分布式架构，由独立的输入、输出模块集合构成，各模块之间通过标准以太网交换机CAT网线进行连接，任意一个节点故障，不影响系统继续运行。</w:t>
            </w:r>
          </w:p>
        </w:tc>
      </w:tr>
      <w:tr>
        <w:tblPrEx>
          <w:tblCellMar>
            <w:top w:w="0" w:type="dxa"/>
            <w:left w:w="108" w:type="dxa"/>
            <w:bottom w:w="0" w:type="dxa"/>
            <w:right w:w="108" w:type="dxa"/>
          </w:tblCellMar>
        </w:tblPrEx>
        <w:trPr>
          <w:trHeight w:val="861"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音视频接口：1路视频输出接口（支持HDMI（1080P），DVI，HDMI（4K）），1路音频输入、1路音频输出。</w:t>
            </w:r>
          </w:p>
        </w:tc>
      </w:tr>
      <w:tr>
        <w:tblPrEx>
          <w:tblCellMar>
            <w:top w:w="0" w:type="dxa"/>
            <w:left w:w="108" w:type="dxa"/>
            <w:bottom w:w="0" w:type="dxa"/>
            <w:right w:w="108" w:type="dxa"/>
          </w:tblCellMar>
        </w:tblPrEx>
        <w:trPr>
          <w:trHeight w:val="90"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解码方式：H.265/HEVC或H.264/AVC。</w:t>
            </w:r>
          </w:p>
        </w:tc>
      </w:tr>
      <w:tr>
        <w:tblPrEx>
          <w:tblCellMar>
            <w:top w:w="0" w:type="dxa"/>
            <w:left w:w="108" w:type="dxa"/>
            <w:bottom w:w="0" w:type="dxa"/>
            <w:right w:w="108" w:type="dxa"/>
          </w:tblCellMar>
        </w:tblPrEx>
        <w:trPr>
          <w:trHeight w:val="427"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4个USBTypeA数据传输接口，1个10M/100M/1000MbpsRJ45接口。</w:t>
            </w:r>
          </w:p>
        </w:tc>
      </w:tr>
      <w:tr>
        <w:tblPrEx>
          <w:tblCellMar>
            <w:top w:w="0" w:type="dxa"/>
            <w:left w:w="108" w:type="dxa"/>
            <w:bottom w:w="0" w:type="dxa"/>
            <w:right w:w="108" w:type="dxa"/>
          </w:tblCellMar>
        </w:tblPrEx>
        <w:trPr>
          <w:trHeight w:val="399"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控制接口：1个RS232/RS485、1个IR/IO、2个USBTypeA接口。</w:t>
            </w:r>
          </w:p>
        </w:tc>
      </w:tr>
      <w:tr>
        <w:tblPrEx>
          <w:tblCellMar>
            <w:top w:w="0" w:type="dxa"/>
            <w:left w:w="108" w:type="dxa"/>
            <w:bottom w:w="0" w:type="dxa"/>
            <w:right w:w="108" w:type="dxa"/>
          </w:tblCellMar>
        </w:tblPrEx>
        <w:trPr>
          <w:trHeight w:val="90"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前面板应具有显示器。</w:t>
            </w:r>
          </w:p>
        </w:tc>
      </w:tr>
      <w:tr>
        <w:tblPrEx>
          <w:tblCellMar>
            <w:top w:w="0" w:type="dxa"/>
            <w:left w:w="108" w:type="dxa"/>
            <w:bottom w:w="0" w:type="dxa"/>
            <w:right w:w="108" w:type="dxa"/>
          </w:tblCellMar>
        </w:tblPrEx>
        <w:trPr>
          <w:trHeight w:val="861"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支持窗口任意调整大小，可以在多个显示器间任意移动，窗口可互相叠加实现画中画。</w:t>
            </w:r>
          </w:p>
        </w:tc>
      </w:tr>
      <w:tr>
        <w:tblPrEx>
          <w:tblCellMar>
            <w:top w:w="0" w:type="dxa"/>
            <w:left w:w="108" w:type="dxa"/>
            <w:bottom w:w="0" w:type="dxa"/>
            <w:right w:w="108" w:type="dxa"/>
          </w:tblCellMar>
        </w:tblPrEx>
        <w:trPr>
          <w:trHeight w:val="861"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单个输出通道支持打开一个或多个不同源窗口，单屏支持不少于16个高清信号窗口显示。</w:t>
            </w:r>
          </w:p>
        </w:tc>
      </w:tr>
      <w:tr>
        <w:tblPrEx>
          <w:tblCellMar>
            <w:top w:w="0" w:type="dxa"/>
            <w:left w:w="108" w:type="dxa"/>
            <w:bottom w:w="0" w:type="dxa"/>
            <w:right w:w="108" w:type="dxa"/>
          </w:tblCellMar>
        </w:tblPrEx>
        <w:trPr>
          <w:trHeight w:val="861"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支持将窗口布局，信号源，字符叠加信号保存至设备，保存场景数量不少于1280。</w:t>
            </w:r>
          </w:p>
        </w:tc>
      </w:tr>
      <w:tr>
        <w:tblPrEx>
          <w:tblCellMar>
            <w:top w:w="0" w:type="dxa"/>
            <w:left w:w="108" w:type="dxa"/>
            <w:bottom w:w="0" w:type="dxa"/>
            <w:right w:w="108" w:type="dxa"/>
          </w:tblCellMar>
        </w:tblPrEx>
        <w:trPr>
          <w:trHeight w:val="90"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▲画面静止状态，画面切换时间≤20ms，切换时无黑场，闪屏。</w:t>
            </w:r>
          </w:p>
        </w:tc>
      </w:tr>
      <w:tr>
        <w:tblPrEx>
          <w:tblCellMar>
            <w:top w:w="0" w:type="dxa"/>
            <w:left w:w="108" w:type="dxa"/>
            <w:bottom w:w="0" w:type="dxa"/>
            <w:right w:w="108" w:type="dxa"/>
          </w:tblCellMar>
        </w:tblPrEx>
        <w:trPr>
          <w:trHeight w:val="349"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不使用第三方设备的情况下，可显示高清点对点背景图片。</w:t>
            </w:r>
          </w:p>
        </w:tc>
      </w:tr>
      <w:tr>
        <w:tblPrEx>
          <w:tblCellMar>
            <w:top w:w="0" w:type="dxa"/>
            <w:left w:w="108" w:type="dxa"/>
            <w:bottom w:w="0" w:type="dxa"/>
            <w:right w:w="108" w:type="dxa"/>
          </w:tblCellMar>
        </w:tblPrEx>
        <w:trPr>
          <w:trHeight w:val="284"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▲支持拼缝补偿，可精确至1像素。</w:t>
            </w:r>
          </w:p>
        </w:tc>
      </w:tr>
      <w:tr>
        <w:tblPrEx>
          <w:tblCellMar>
            <w:top w:w="0" w:type="dxa"/>
            <w:left w:w="108" w:type="dxa"/>
            <w:bottom w:w="0" w:type="dxa"/>
            <w:right w:w="108" w:type="dxa"/>
          </w:tblCellMar>
        </w:tblPrEx>
        <w:trPr>
          <w:trHeight w:val="861" w:hRule="atLeast"/>
        </w:trPr>
        <w:tc>
          <w:tcPr>
            <w:tcW w:w="783" w:type="pct"/>
            <w:vMerge w:val="continue"/>
            <w:tcBorders>
              <w:left w:val="single" w:color="000000" w:sz="4" w:space="0"/>
              <w:bottom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▲滚动字幕OSD，具有文字滚动字幕显示功能，支持用户调整字幕的样式、动作、方向、速度、颜色、字体。</w:t>
            </w:r>
          </w:p>
        </w:tc>
      </w:tr>
      <w:tr>
        <w:tblPrEx>
          <w:tblCellMar>
            <w:top w:w="0" w:type="dxa"/>
            <w:left w:w="108" w:type="dxa"/>
            <w:bottom w:w="0" w:type="dxa"/>
            <w:right w:w="108" w:type="dxa"/>
          </w:tblCellMar>
        </w:tblPrEx>
        <w:trPr>
          <w:trHeight w:val="699" w:hRule="atLeast"/>
        </w:trPr>
        <w:tc>
          <w:tcPr>
            <w:tcW w:w="783" w:type="pct"/>
            <w:vMerge w:val="restart"/>
            <w:tcBorders>
              <w:top w:val="single" w:color="000000" w:sz="4" w:space="0"/>
              <w:left w:val="single" w:color="000000" w:sz="4" w:space="0"/>
              <w:right w:val="single" w:color="000000" w:sz="4" w:space="0"/>
            </w:tcBorders>
            <w:shd w:val="clear" w:color="auto" w:fill="auto"/>
            <w:noWrap/>
            <w:vAlign w:val="center"/>
          </w:tcPr>
          <w:p>
            <w:pPr>
              <w:ind w:firstLine="0" w:firstLineChars="0"/>
            </w:pPr>
            <w:r>
              <w:rPr>
                <w:rFonts w:hint="eastAsia"/>
              </w:rPr>
              <w:t>HDMI1.3坐席输出节点</w:t>
            </w: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系统采用纯分布式架构，由独立的输入、输出模块集合构成，各模块之间通过标准以太网交换机CAT网线进行连接，任意一个节点故障，不影响系统继续运行。</w:t>
            </w:r>
          </w:p>
        </w:tc>
      </w:tr>
      <w:tr>
        <w:tblPrEx>
          <w:tblCellMar>
            <w:top w:w="0" w:type="dxa"/>
            <w:left w:w="108" w:type="dxa"/>
            <w:bottom w:w="0" w:type="dxa"/>
            <w:right w:w="108" w:type="dxa"/>
          </w:tblCellMar>
        </w:tblPrEx>
        <w:trPr>
          <w:trHeight w:val="699"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音视频接口：1路视频输出接口（支持HDMI（1080P），DVI，HDMI（4K）），1路音频输入、1路音频输出。</w:t>
            </w:r>
          </w:p>
        </w:tc>
      </w:tr>
      <w:tr>
        <w:tblPrEx>
          <w:tblCellMar>
            <w:top w:w="0" w:type="dxa"/>
            <w:left w:w="108" w:type="dxa"/>
            <w:bottom w:w="0" w:type="dxa"/>
            <w:right w:w="108" w:type="dxa"/>
          </w:tblCellMar>
        </w:tblPrEx>
        <w:trPr>
          <w:trHeight w:val="162"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解码方式：H.265/HEVC或H.264/AVC。</w:t>
            </w:r>
          </w:p>
        </w:tc>
      </w:tr>
      <w:tr>
        <w:tblPrEx>
          <w:tblCellMar>
            <w:top w:w="0" w:type="dxa"/>
            <w:left w:w="108" w:type="dxa"/>
            <w:bottom w:w="0" w:type="dxa"/>
            <w:right w:w="108" w:type="dxa"/>
          </w:tblCellMar>
        </w:tblPrEx>
        <w:trPr>
          <w:trHeight w:val="357"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4个USBTypeA数据传输接口，1个10M/100M/1000MbpsRJ45接口。</w:t>
            </w:r>
          </w:p>
        </w:tc>
      </w:tr>
      <w:tr>
        <w:tblPrEx>
          <w:tblCellMar>
            <w:top w:w="0" w:type="dxa"/>
            <w:left w:w="108" w:type="dxa"/>
            <w:bottom w:w="0" w:type="dxa"/>
            <w:right w:w="108" w:type="dxa"/>
          </w:tblCellMar>
        </w:tblPrEx>
        <w:trPr>
          <w:trHeight w:val="452"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控制接口：1个RS232/RS485、1个IR/IO、2个USBTypeA接口。</w:t>
            </w:r>
          </w:p>
        </w:tc>
      </w:tr>
      <w:tr>
        <w:tblPrEx>
          <w:tblCellMar>
            <w:top w:w="0" w:type="dxa"/>
            <w:left w:w="108" w:type="dxa"/>
            <w:bottom w:w="0" w:type="dxa"/>
            <w:right w:w="108" w:type="dxa"/>
          </w:tblCellMar>
        </w:tblPrEx>
        <w:trPr>
          <w:trHeight w:val="396"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前面板应具有显示器。</w:t>
            </w:r>
          </w:p>
        </w:tc>
      </w:tr>
      <w:tr>
        <w:tblPrEx>
          <w:tblCellMar>
            <w:top w:w="0" w:type="dxa"/>
            <w:left w:w="108" w:type="dxa"/>
            <w:bottom w:w="0" w:type="dxa"/>
            <w:right w:w="108" w:type="dxa"/>
          </w:tblCellMar>
        </w:tblPrEx>
        <w:trPr>
          <w:trHeight w:val="699"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支持单个席位使用一套鼠键配合多个显示器访问多台不同的主机，可以通过移动鼠标指针跨屏实现对控制主机的切换。</w:t>
            </w:r>
          </w:p>
        </w:tc>
      </w:tr>
      <w:tr>
        <w:tblPrEx>
          <w:tblCellMar>
            <w:top w:w="0" w:type="dxa"/>
            <w:left w:w="108" w:type="dxa"/>
            <w:bottom w:w="0" w:type="dxa"/>
            <w:right w:w="108" w:type="dxa"/>
          </w:tblCellMar>
        </w:tblPrEx>
        <w:trPr>
          <w:trHeight w:val="699" w:hRule="atLeast"/>
        </w:trPr>
        <w:tc>
          <w:tcPr>
            <w:tcW w:w="783" w:type="pct"/>
            <w:vMerge w:val="continue"/>
            <w:tcBorders>
              <w:left w:val="single" w:color="000000" w:sz="4" w:space="0"/>
              <w:bottom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▲支持系统通过接收端的OSD菜单或接收端硬件按钮，实现对发送端相连接的计算机主机进行开关机管理。</w:t>
            </w:r>
          </w:p>
        </w:tc>
      </w:tr>
      <w:tr>
        <w:tblPrEx>
          <w:tblCellMar>
            <w:top w:w="0" w:type="dxa"/>
            <w:left w:w="108" w:type="dxa"/>
            <w:bottom w:w="0" w:type="dxa"/>
            <w:right w:w="108" w:type="dxa"/>
          </w:tblCellMar>
        </w:tblPrEx>
        <w:trPr>
          <w:trHeight w:val="763" w:hRule="atLeast"/>
        </w:trPr>
        <w:tc>
          <w:tcPr>
            <w:tcW w:w="783" w:type="pct"/>
            <w:vMerge w:val="restart"/>
            <w:tcBorders>
              <w:top w:val="single" w:color="000000" w:sz="4" w:space="0"/>
              <w:left w:val="single" w:color="000000" w:sz="4" w:space="0"/>
              <w:right w:val="single" w:color="000000" w:sz="4" w:space="0"/>
            </w:tcBorders>
            <w:shd w:val="clear" w:color="auto" w:fill="auto"/>
            <w:noWrap/>
            <w:vAlign w:val="center"/>
          </w:tcPr>
          <w:p>
            <w:pPr>
              <w:ind w:firstLine="0" w:firstLineChars="0"/>
            </w:pPr>
            <w:r>
              <w:rPr>
                <w:rFonts w:hint="eastAsia"/>
              </w:rPr>
              <w:t>HDMI4K输入接口（驾驶舱用）</w:t>
            </w: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系统采用纯分布式架构，由独立的输入、输出模块集合构成，各模块之间通过标准以太网交换机CAT网线进行连接，任意一个节点故障，不影响系统继续运行。</w:t>
            </w:r>
          </w:p>
        </w:tc>
      </w:tr>
      <w:tr>
        <w:tblPrEx>
          <w:tblCellMar>
            <w:top w:w="0" w:type="dxa"/>
            <w:left w:w="108" w:type="dxa"/>
            <w:bottom w:w="0" w:type="dxa"/>
            <w:right w:w="108" w:type="dxa"/>
          </w:tblCellMar>
        </w:tblPrEx>
        <w:trPr>
          <w:trHeight w:val="264"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视频接口：1路HDMI（4K）视频输入接口。</w:t>
            </w:r>
          </w:p>
        </w:tc>
      </w:tr>
      <w:tr>
        <w:tblPrEx>
          <w:tblCellMar>
            <w:top w:w="0" w:type="dxa"/>
            <w:left w:w="108" w:type="dxa"/>
            <w:bottom w:w="0" w:type="dxa"/>
            <w:right w:w="108" w:type="dxa"/>
          </w:tblCellMar>
        </w:tblPrEx>
        <w:trPr>
          <w:trHeight w:val="421"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1个USBTypeB数据传输接口，1个10M/100M/1000MbpsRJ45接口。</w:t>
            </w:r>
          </w:p>
        </w:tc>
      </w:tr>
      <w:tr>
        <w:tblPrEx>
          <w:tblCellMar>
            <w:top w:w="0" w:type="dxa"/>
            <w:left w:w="108" w:type="dxa"/>
            <w:bottom w:w="0" w:type="dxa"/>
            <w:right w:w="108" w:type="dxa"/>
          </w:tblCellMar>
        </w:tblPrEx>
        <w:trPr>
          <w:trHeight w:val="454"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编码方式：H.265/HEVC或H.264/AVC。</w:t>
            </w:r>
          </w:p>
        </w:tc>
      </w:tr>
      <w:tr>
        <w:tblPrEx>
          <w:tblCellMar>
            <w:top w:w="0" w:type="dxa"/>
            <w:left w:w="108" w:type="dxa"/>
            <w:bottom w:w="0" w:type="dxa"/>
            <w:right w:w="108" w:type="dxa"/>
          </w:tblCellMar>
        </w:tblPrEx>
        <w:trPr>
          <w:trHeight w:val="454"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控制接口：1个RS232/RS485、1个IR/IO、1个PS/2接口。</w:t>
            </w:r>
          </w:p>
        </w:tc>
      </w:tr>
      <w:tr>
        <w:tblPrEx>
          <w:tblCellMar>
            <w:top w:w="0" w:type="dxa"/>
            <w:left w:w="108" w:type="dxa"/>
            <w:bottom w:w="0" w:type="dxa"/>
            <w:right w:w="108" w:type="dxa"/>
          </w:tblCellMar>
        </w:tblPrEx>
        <w:trPr>
          <w:trHeight w:val="454"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编码端至解码端，图像输出延迟≤30ms。</w:t>
            </w:r>
          </w:p>
        </w:tc>
      </w:tr>
      <w:tr>
        <w:tblPrEx>
          <w:tblCellMar>
            <w:top w:w="0" w:type="dxa"/>
            <w:left w:w="108" w:type="dxa"/>
            <w:bottom w:w="0" w:type="dxa"/>
            <w:right w:w="108" w:type="dxa"/>
          </w:tblCellMar>
        </w:tblPrEx>
        <w:trPr>
          <w:trHeight w:val="454"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前面板应具有显示器。</w:t>
            </w:r>
          </w:p>
        </w:tc>
      </w:tr>
      <w:tr>
        <w:tblPrEx>
          <w:tblCellMar>
            <w:top w:w="0" w:type="dxa"/>
            <w:left w:w="108" w:type="dxa"/>
            <w:bottom w:w="0" w:type="dxa"/>
            <w:right w:w="108" w:type="dxa"/>
          </w:tblCellMar>
        </w:tblPrEx>
        <w:trPr>
          <w:trHeight w:val="454"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可对编码视频画面的亮度，对比度，色彩饱和度进行调节。</w:t>
            </w:r>
          </w:p>
        </w:tc>
      </w:tr>
      <w:tr>
        <w:tblPrEx>
          <w:tblCellMar>
            <w:top w:w="0" w:type="dxa"/>
            <w:left w:w="108" w:type="dxa"/>
            <w:bottom w:w="0" w:type="dxa"/>
            <w:right w:w="108" w:type="dxa"/>
          </w:tblCellMar>
        </w:tblPrEx>
        <w:trPr>
          <w:trHeight w:val="525"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支持在输入通道上叠加任意字符，可自定义字体，颜色，大小，位置，背景色参数。</w:t>
            </w:r>
          </w:p>
        </w:tc>
      </w:tr>
      <w:tr>
        <w:tblPrEx>
          <w:tblCellMar>
            <w:top w:w="0" w:type="dxa"/>
            <w:left w:w="108" w:type="dxa"/>
            <w:bottom w:w="0" w:type="dxa"/>
            <w:right w:w="108" w:type="dxa"/>
          </w:tblCellMar>
        </w:tblPrEx>
        <w:trPr>
          <w:trHeight w:val="473" w:hRule="atLeast"/>
        </w:trPr>
        <w:tc>
          <w:tcPr>
            <w:tcW w:w="783" w:type="pct"/>
            <w:vMerge w:val="continue"/>
            <w:tcBorders>
              <w:left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支持EDID在线编辑，可支持非标准视频分辨率EDID导入，用于非标显示设备应用。</w:t>
            </w:r>
          </w:p>
        </w:tc>
      </w:tr>
      <w:tr>
        <w:tblPrEx>
          <w:tblCellMar>
            <w:top w:w="0" w:type="dxa"/>
            <w:left w:w="108" w:type="dxa"/>
            <w:bottom w:w="0" w:type="dxa"/>
            <w:right w:w="108" w:type="dxa"/>
          </w:tblCellMar>
        </w:tblPrEx>
        <w:trPr>
          <w:trHeight w:val="763" w:hRule="atLeast"/>
        </w:trPr>
        <w:tc>
          <w:tcPr>
            <w:tcW w:w="783" w:type="pct"/>
            <w:vMerge w:val="continue"/>
            <w:tcBorders>
              <w:left w:val="single" w:color="000000" w:sz="4" w:space="0"/>
              <w:bottom w:val="single" w:color="000000" w:sz="4" w:space="0"/>
              <w:right w:val="single" w:color="000000" w:sz="4" w:space="0"/>
            </w:tcBorders>
            <w:shd w:val="clear" w:color="auto" w:fill="auto"/>
            <w:noWrap/>
            <w:vAlign w:val="center"/>
          </w:tcPr>
          <w:p>
            <w:pPr>
              <w:ind w:firstLine="480"/>
            </w:pPr>
          </w:p>
        </w:tc>
        <w:tc>
          <w:tcPr>
            <w:tcW w:w="421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设备支持对电脑主机的主屏幕和扩展屏幕同时进行绑定采集，用户可以通过切换单一主机完成主屏和扩展屏的同步切换。</w:t>
            </w:r>
          </w:p>
        </w:tc>
      </w:tr>
    </w:tbl>
    <w:p>
      <w:pPr>
        <w:ind w:firstLine="480"/>
        <w:rPr>
          <w:rFonts w:ascii="仿宋" w:hAnsi="仿宋" w:cs="仿宋"/>
        </w:rPr>
      </w:pPr>
      <w:r>
        <w:rPr>
          <w:rFonts w:hint="eastAsia" w:ascii="仿宋" w:hAnsi="仿宋" w:cs="仿宋"/>
        </w:rPr>
        <w:t>（3）机房</w:t>
      </w:r>
    </w:p>
    <w:tbl>
      <w:tblPr>
        <w:tblStyle w:val="66"/>
        <w:tblW w:w="5000" w:type="pct"/>
        <w:tblInd w:w="0" w:type="dxa"/>
        <w:tblLayout w:type="fixed"/>
        <w:tblCellMar>
          <w:top w:w="0" w:type="dxa"/>
          <w:left w:w="108" w:type="dxa"/>
          <w:bottom w:w="0" w:type="dxa"/>
          <w:right w:w="108" w:type="dxa"/>
        </w:tblCellMar>
      </w:tblPr>
      <w:tblGrid>
        <w:gridCol w:w="1419"/>
        <w:gridCol w:w="7867"/>
      </w:tblGrid>
      <w:tr>
        <w:tblPrEx>
          <w:tblCellMar>
            <w:top w:w="0" w:type="dxa"/>
            <w:left w:w="108" w:type="dxa"/>
            <w:bottom w:w="0" w:type="dxa"/>
            <w:right w:w="108" w:type="dxa"/>
          </w:tblCellMar>
        </w:tblPrEx>
        <w:trPr>
          <w:trHeight w:val="300"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名称</w:t>
            </w:r>
          </w:p>
        </w:tc>
        <w:tc>
          <w:tcPr>
            <w:tcW w:w="4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参数</w:t>
            </w:r>
          </w:p>
        </w:tc>
      </w:tr>
      <w:tr>
        <w:tblPrEx>
          <w:tblCellMar>
            <w:top w:w="0" w:type="dxa"/>
            <w:left w:w="108" w:type="dxa"/>
            <w:bottom w:w="0" w:type="dxa"/>
            <w:right w:w="108" w:type="dxa"/>
          </w:tblCellMar>
        </w:tblPrEx>
        <w:trPr>
          <w:trHeight w:val="300"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r>
              <w:rPr>
                <w:rFonts w:hint="eastAsia"/>
              </w:rPr>
              <w:t>42U机柜</w:t>
            </w:r>
          </w:p>
        </w:tc>
        <w:tc>
          <w:tcPr>
            <w:tcW w:w="42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600*600*2000mm</w:t>
            </w:r>
          </w:p>
        </w:tc>
      </w:tr>
      <w:tr>
        <w:tblPrEx>
          <w:tblCellMar>
            <w:top w:w="0" w:type="dxa"/>
            <w:left w:w="108" w:type="dxa"/>
            <w:bottom w:w="0" w:type="dxa"/>
            <w:right w:w="108" w:type="dxa"/>
          </w:tblCellMar>
        </w:tblPrEx>
        <w:trPr>
          <w:trHeight w:val="334" w:hRule="atLeast"/>
        </w:trPr>
        <w:tc>
          <w:tcPr>
            <w:tcW w:w="764" w:type="pct"/>
            <w:vMerge w:val="restart"/>
            <w:tcBorders>
              <w:top w:val="single" w:color="000000" w:sz="4" w:space="0"/>
              <w:left w:val="single" w:color="000000" w:sz="4" w:space="0"/>
              <w:right w:val="single" w:color="000000" w:sz="4" w:space="0"/>
            </w:tcBorders>
            <w:shd w:val="clear" w:color="auto" w:fill="auto"/>
            <w:noWrap/>
            <w:vAlign w:val="center"/>
          </w:tcPr>
          <w:p>
            <w:pPr>
              <w:ind w:firstLine="0" w:firstLineChars="0"/>
            </w:pPr>
            <w:r>
              <w:rPr>
                <w:rFonts w:hint="eastAsia"/>
              </w:rPr>
              <w:t>安全接入设备</w:t>
            </w:r>
          </w:p>
        </w:tc>
        <w:tc>
          <w:tcPr>
            <w:tcW w:w="4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具有4个千兆电口。</w:t>
            </w:r>
          </w:p>
        </w:tc>
      </w:tr>
      <w:tr>
        <w:tblPrEx>
          <w:tblCellMar>
            <w:top w:w="0" w:type="dxa"/>
            <w:left w:w="108" w:type="dxa"/>
            <w:bottom w:w="0" w:type="dxa"/>
            <w:right w:w="108" w:type="dxa"/>
          </w:tblCellMar>
        </w:tblPrEx>
        <w:trPr>
          <w:trHeight w:val="331" w:hRule="atLeast"/>
        </w:trPr>
        <w:tc>
          <w:tcPr>
            <w:tcW w:w="764" w:type="pct"/>
            <w:vMerge w:val="continue"/>
            <w:tcBorders>
              <w:left w:val="single" w:color="000000" w:sz="4" w:space="0"/>
              <w:right w:val="single" w:color="000000" w:sz="4" w:space="0"/>
            </w:tcBorders>
            <w:shd w:val="clear" w:color="auto" w:fill="auto"/>
            <w:noWrap/>
            <w:vAlign w:val="center"/>
          </w:tcPr>
          <w:p>
            <w:pPr>
              <w:ind w:firstLine="480"/>
            </w:pPr>
          </w:p>
        </w:tc>
        <w:tc>
          <w:tcPr>
            <w:tcW w:w="4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可支持接入互联网、专线网络等多种组网方式。</w:t>
            </w:r>
          </w:p>
        </w:tc>
      </w:tr>
      <w:tr>
        <w:tblPrEx>
          <w:tblCellMar>
            <w:top w:w="0" w:type="dxa"/>
            <w:left w:w="108" w:type="dxa"/>
            <w:bottom w:w="0" w:type="dxa"/>
            <w:right w:w="108" w:type="dxa"/>
          </w:tblCellMar>
        </w:tblPrEx>
        <w:trPr>
          <w:trHeight w:val="292" w:hRule="atLeast"/>
        </w:trPr>
        <w:tc>
          <w:tcPr>
            <w:tcW w:w="764" w:type="pct"/>
            <w:vMerge w:val="continue"/>
            <w:tcBorders>
              <w:left w:val="single" w:color="000000" w:sz="4" w:space="0"/>
              <w:right w:val="single" w:color="000000" w:sz="4" w:space="0"/>
            </w:tcBorders>
            <w:shd w:val="clear" w:color="auto" w:fill="auto"/>
            <w:noWrap/>
            <w:vAlign w:val="center"/>
          </w:tcPr>
          <w:p>
            <w:pPr>
              <w:ind w:firstLine="480"/>
            </w:pPr>
          </w:p>
        </w:tc>
        <w:tc>
          <w:tcPr>
            <w:tcW w:w="4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可支持在互联网、专网上建立虚拟专用通道。</w:t>
            </w:r>
          </w:p>
        </w:tc>
      </w:tr>
      <w:tr>
        <w:tblPrEx>
          <w:tblCellMar>
            <w:top w:w="0" w:type="dxa"/>
            <w:left w:w="108" w:type="dxa"/>
            <w:bottom w:w="0" w:type="dxa"/>
            <w:right w:w="108" w:type="dxa"/>
          </w:tblCellMar>
        </w:tblPrEx>
        <w:trPr>
          <w:trHeight w:val="239" w:hRule="atLeast"/>
        </w:trPr>
        <w:tc>
          <w:tcPr>
            <w:tcW w:w="764" w:type="pct"/>
            <w:vMerge w:val="continue"/>
            <w:tcBorders>
              <w:left w:val="single" w:color="000000" w:sz="4" w:space="0"/>
              <w:right w:val="single" w:color="000000" w:sz="4" w:space="0"/>
            </w:tcBorders>
            <w:shd w:val="clear" w:color="auto" w:fill="auto"/>
            <w:noWrap/>
            <w:vAlign w:val="center"/>
          </w:tcPr>
          <w:p>
            <w:pPr>
              <w:ind w:firstLine="480"/>
            </w:pPr>
          </w:p>
        </w:tc>
        <w:tc>
          <w:tcPr>
            <w:tcW w:w="4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可支持NAT地址转换。</w:t>
            </w:r>
          </w:p>
        </w:tc>
      </w:tr>
      <w:tr>
        <w:tblPrEx>
          <w:tblCellMar>
            <w:top w:w="0" w:type="dxa"/>
            <w:left w:w="108" w:type="dxa"/>
            <w:bottom w:w="0" w:type="dxa"/>
            <w:right w:w="108" w:type="dxa"/>
          </w:tblCellMar>
        </w:tblPrEx>
        <w:trPr>
          <w:trHeight w:val="699" w:hRule="atLeast"/>
        </w:trPr>
        <w:tc>
          <w:tcPr>
            <w:tcW w:w="764" w:type="pct"/>
            <w:vMerge w:val="continue"/>
            <w:tcBorders>
              <w:left w:val="single" w:color="000000" w:sz="4" w:space="0"/>
              <w:right w:val="single" w:color="000000" w:sz="4" w:space="0"/>
            </w:tcBorders>
            <w:shd w:val="clear" w:color="auto" w:fill="auto"/>
            <w:noWrap/>
            <w:vAlign w:val="center"/>
          </w:tcPr>
          <w:p>
            <w:pPr>
              <w:ind w:firstLine="480"/>
            </w:pPr>
          </w:p>
        </w:tc>
        <w:tc>
          <w:tcPr>
            <w:tcW w:w="4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可支持大多数主流的NVR\DVR\IPC产品通过本产品接入，能够实现实况、录像回放、录像下载、云台等视频业务功能。</w:t>
            </w:r>
          </w:p>
        </w:tc>
      </w:tr>
      <w:tr>
        <w:tblPrEx>
          <w:tblCellMar>
            <w:top w:w="0" w:type="dxa"/>
            <w:left w:w="108" w:type="dxa"/>
            <w:bottom w:w="0" w:type="dxa"/>
            <w:right w:w="108" w:type="dxa"/>
          </w:tblCellMar>
        </w:tblPrEx>
        <w:trPr>
          <w:trHeight w:val="699" w:hRule="atLeast"/>
        </w:trPr>
        <w:tc>
          <w:tcPr>
            <w:tcW w:w="764" w:type="pct"/>
            <w:vMerge w:val="continue"/>
            <w:tcBorders>
              <w:left w:val="single" w:color="000000" w:sz="4" w:space="0"/>
              <w:right w:val="single" w:color="000000" w:sz="4" w:space="0"/>
            </w:tcBorders>
            <w:shd w:val="clear" w:color="auto" w:fill="auto"/>
            <w:noWrap/>
            <w:vAlign w:val="center"/>
          </w:tcPr>
          <w:p>
            <w:pPr>
              <w:ind w:firstLine="480"/>
            </w:pPr>
          </w:p>
        </w:tc>
        <w:tc>
          <w:tcPr>
            <w:tcW w:w="4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可根据自动列表选择需要接入的资源，添加后自动推送至平台，屏蔽对无效资源的接入。</w:t>
            </w:r>
          </w:p>
        </w:tc>
      </w:tr>
      <w:tr>
        <w:tblPrEx>
          <w:tblCellMar>
            <w:top w:w="0" w:type="dxa"/>
            <w:left w:w="108" w:type="dxa"/>
            <w:bottom w:w="0" w:type="dxa"/>
            <w:right w:w="108" w:type="dxa"/>
          </w:tblCellMar>
        </w:tblPrEx>
        <w:trPr>
          <w:trHeight w:val="409" w:hRule="atLeast"/>
        </w:trPr>
        <w:tc>
          <w:tcPr>
            <w:tcW w:w="764" w:type="pct"/>
            <w:vMerge w:val="continue"/>
            <w:tcBorders>
              <w:left w:val="single" w:color="000000" w:sz="4" w:space="0"/>
              <w:right w:val="single" w:color="000000" w:sz="4" w:space="0"/>
            </w:tcBorders>
            <w:shd w:val="clear" w:color="auto" w:fill="auto"/>
            <w:noWrap/>
            <w:vAlign w:val="center"/>
          </w:tcPr>
          <w:p>
            <w:pPr>
              <w:ind w:firstLine="480"/>
            </w:pPr>
          </w:p>
        </w:tc>
        <w:tc>
          <w:tcPr>
            <w:tcW w:w="4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支持对重要视频及码流加密传输。</w:t>
            </w:r>
          </w:p>
        </w:tc>
      </w:tr>
      <w:tr>
        <w:tblPrEx>
          <w:tblCellMar>
            <w:top w:w="0" w:type="dxa"/>
            <w:left w:w="108" w:type="dxa"/>
            <w:bottom w:w="0" w:type="dxa"/>
            <w:right w:w="108" w:type="dxa"/>
          </w:tblCellMar>
        </w:tblPrEx>
        <w:trPr>
          <w:trHeight w:val="291" w:hRule="atLeast"/>
        </w:trPr>
        <w:tc>
          <w:tcPr>
            <w:tcW w:w="764" w:type="pct"/>
            <w:vMerge w:val="continue"/>
            <w:tcBorders>
              <w:left w:val="single" w:color="000000" w:sz="4" w:space="0"/>
              <w:right w:val="single" w:color="000000" w:sz="4" w:space="0"/>
            </w:tcBorders>
            <w:shd w:val="clear" w:color="auto" w:fill="auto"/>
            <w:noWrap/>
            <w:vAlign w:val="center"/>
          </w:tcPr>
          <w:p>
            <w:pPr>
              <w:ind w:firstLine="480"/>
            </w:pPr>
          </w:p>
        </w:tc>
        <w:tc>
          <w:tcPr>
            <w:tcW w:w="4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支持根据MAC地址进行黑白名单控制。</w:t>
            </w:r>
          </w:p>
        </w:tc>
      </w:tr>
      <w:tr>
        <w:tblPrEx>
          <w:tblCellMar>
            <w:top w:w="0" w:type="dxa"/>
            <w:left w:w="108" w:type="dxa"/>
            <w:bottom w:w="0" w:type="dxa"/>
            <w:right w:w="108" w:type="dxa"/>
          </w:tblCellMar>
        </w:tblPrEx>
        <w:trPr>
          <w:trHeight w:val="699" w:hRule="atLeast"/>
        </w:trPr>
        <w:tc>
          <w:tcPr>
            <w:tcW w:w="764" w:type="pct"/>
            <w:vMerge w:val="continue"/>
            <w:tcBorders>
              <w:left w:val="single" w:color="000000" w:sz="4" w:space="0"/>
              <w:right w:val="single" w:color="000000" w:sz="4" w:space="0"/>
            </w:tcBorders>
            <w:shd w:val="clear" w:color="auto" w:fill="auto"/>
            <w:noWrap/>
            <w:vAlign w:val="center"/>
          </w:tcPr>
          <w:p>
            <w:pPr>
              <w:ind w:firstLine="480"/>
            </w:pPr>
          </w:p>
        </w:tc>
        <w:tc>
          <w:tcPr>
            <w:tcW w:w="4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支持4路8Mbps，总计32Mbps流量转发。支持100Mbps流量转发。</w:t>
            </w:r>
          </w:p>
        </w:tc>
      </w:tr>
      <w:tr>
        <w:tblPrEx>
          <w:tblCellMar>
            <w:top w:w="0" w:type="dxa"/>
            <w:left w:w="108" w:type="dxa"/>
            <w:bottom w:w="0" w:type="dxa"/>
            <w:right w:w="108" w:type="dxa"/>
          </w:tblCellMar>
        </w:tblPrEx>
        <w:trPr>
          <w:trHeight w:val="699" w:hRule="atLeast"/>
        </w:trPr>
        <w:tc>
          <w:tcPr>
            <w:tcW w:w="764" w:type="pct"/>
            <w:vMerge w:val="continue"/>
            <w:tcBorders>
              <w:left w:val="single" w:color="000000" w:sz="4" w:space="0"/>
              <w:bottom w:val="single" w:color="000000" w:sz="4" w:space="0"/>
              <w:right w:val="single" w:color="000000" w:sz="4" w:space="0"/>
            </w:tcBorders>
            <w:shd w:val="clear" w:color="auto" w:fill="auto"/>
            <w:noWrap/>
            <w:vAlign w:val="center"/>
          </w:tcPr>
          <w:p>
            <w:pPr>
              <w:ind w:firstLine="480"/>
            </w:pPr>
          </w:p>
        </w:tc>
        <w:tc>
          <w:tcPr>
            <w:tcW w:w="4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▲产品设备制造商应具备完善的视频监控系统网络及安全解决方案的能力。</w:t>
            </w:r>
          </w:p>
        </w:tc>
      </w:tr>
      <w:tr>
        <w:tblPrEx>
          <w:tblCellMar>
            <w:top w:w="0" w:type="dxa"/>
            <w:left w:w="108" w:type="dxa"/>
            <w:bottom w:w="0" w:type="dxa"/>
            <w:right w:w="108" w:type="dxa"/>
          </w:tblCellMar>
        </w:tblPrEx>
        <w:trPr>
          <w:trHeight w:val="347" w:hRule="atLeast"/>
        </w:trPr>
        <w:tc>
          <w:tcPr>
            <w:tcW w:w="764" w:type="pct"/>
            <w:vMerge w:val="restart"/>
            <w:tcBorders>
              <w:top w:val="single" w:color="000000" w:sz="4" w:space="0"/>
              <w:left w:val="single" w:color="000000" w:sz="4" w:space="0"/>
              <w:right w:val="single" w:color="000000" w:sz="4" w:space="0"/>
            </w:tcBorders>
            <w:shd w:val="clear" w:color="auto" w:fill="auto"/>
            <w:noWrap/>
            <w:vAlign w:val="center"/>
          </w:tcPr>
          <w:p>
            <w:pPr>
              <w:ind w:firstLine="0" w:firstLineChars="0"/>
            </w:pPr>
            <w:r>
              <w:rPr>
                <w:rFonts w:hint="eastAsia"/>
              </w:rPr>
              <w:t>16口交换机</w:t>
            </w:r>
          </w:p>
        </w:tc>
        <w:tc>
          <w:tcPr>
            <w:tcW w:w="42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16个10/100/1000Mbps自适应电口+2个10/100/1000Mbps上联光口。</w:t>
            </w:r>
          </w:p>
        </w:tc>
      </w:tr>
      <w:tr>
        <w:tblPrEx>
          <w:tblCellMar>
            <w:top w:w="0" w:type="dxa"/>
            <w:left w:w="108" w:type="dxa"/>
            <w:bottom w:w="0" w:type="dxa"/>
            <w:right w:w="108" w:type="dxa"/>
          </w:tblCellMar>
        </w:tblPrEx>
        <w:trPr>
          <w:trHeight w:val="347" w:hRule="atLeast"/>
        </w:trPr>
        <w:tc>
          <w:tcPr>
            <w:tcW w:w="764" w:type="pct"/>
            <w:vMerge w:val="continue"/>
            <w:tcBorders>
              <w:left w:val="single" w:color="000000" w:sz="4" w:space="0"/>
              <w:right w:val="single" w:color="000000" w:sz="4" w:space="0"/>
            </w:tcBorders>
            <w:shd w:val="clear" w:color="auto" w:fill="auto"/>
            <w:noWrap/>
            <w:vAlign w:val="center"/>
          </w:tcPr>
          <w:p>
            <w:pPr>
              <w:ind w:firstLine="480"/>
            </w:pPr>
          </w:p>
        </w:tc>
        <w:tc>
          <w:tcPr>
            <w:tcW w:w="42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交换机容量≥36Gbps，包转发率≥26.78Mpps。</w:t>
            </w:r>
          </w:p>
        </w:tc>
      </w:tr>
      <w:tr>
        <w:tblPrEx>
          <w:tblCellMar>
            <w:top w:w="0" w:type="dxa"/>
            <w:left w:w="108" w:type="dxa"/>
            <w:bottom w:w="0" w:type="dxa"/>
            <w:right w:w="108" w:type="dxa"/>
          </w:tblCellMar>
        </w:tblPrEx>
        <w:trPr>
          <w:trHeight w:val="347" w:hRule="atLeast"/>
        </w:trPr>
        <w:tc>
          <w:tcPr>
            <w:tcW w:w="764" w:type="pct"/>
            <w:vMerge w:val="continue"/>
            <w:tcBorders>
              <w:left w:val="single" w:color="000000" w:sz="4" w:space="0"/>
              <w:bottom w:val="single" w:color="000000" w:sz="4" w:space="0"/>
              <w:right w:val="single" w:color="000000" w:sz="4" w:space="0"/>
            </w:tcBorders>
            <w:shd w:val="clear" w:color="auto" w:fill="auto"/>
            <w:noWrap/>
            <w:vAlign w:val="center"/>
          </w:tcPr>
          <w:p>
            <w:pPr>
              <w:ind w:firstLine="480"/>
            </w:pPr>
          </w:p>
        </w:tc>
        <w:tc>
          <w:tcPr>
            <w:tcW w:w="42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非网管型交换机，机架式。</w:t>
            </w:r>
          </w:p>
        </w:tc>
      </w:tr>
      <w:tr>
        <w:tblPrEx>
          <w:tblCellMar>
            <w:top w:w="0" w:type="dxa"/>
            <w:left w:w="108" w:type="dxa"/>
            <w:bottom w:w="0" w:type="dxa"/>
            <w:right w:w="108" w:type="dxa"/>
          </w:tblCellMar>
        </w:tblPrEx>
        <w:trPr>
          <w:trHeight w:val="300"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辅材</w:t>
            </w:r>
          </w:p>
        </w:tc>
        <w:tc>
          <w:tcPr>
            <w:tcW w:w="42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视频线、水晶头，网线，扎带，排插，电工胶布等</w:t>
            </w:r>
          </w:p>
        </w:tc>
      </w:tr>
    </w:tbl>
    <w:p>
      <w:pPr>
        <w:ind w:left="480" w:leftChars="200" w:firstLine="0" w:firstLineChars="0"/>
      </w:pPr>
      <w:r>
        <w:rPr>
          <w:rFonts w:hint="eastAsia" w:ascii="仿宋" w:hAnsi="仿宋" w:cs="仿宋"/>
        </w:rPr>
        <w:t>（4）发言部分</w:t>
      </w:r>
    </w:p>
    <w:tbl>
      <w:tblPr>
        <w:tblStyle w:val="66"/>
        <w:tblW w:w="9295" w:type="dxa"/>
        <w:jc w:val="center"/>
        <w:tblLayout w:type="fixed"/>
        <w:tblCellMar>
          <w:top w:w="0" w:type="dxa"/>
          <w:left w:w="108" w:type="dxa"/>
          <w:bottom w:w="0" w:type="dxa"/>
          <w:right w:w="108" w:type="dxa"/>
        </w:tblCellMar>
      </w:tblPr>
      <w:tblGrid>
        <w:gridCol w:w="1490"/>
        <w:gridCol w:w="7805"/>
      </w:tblGrid>
      <w:tr>
        <w:tblPrEx>
          <w:tblCellMar>
            <w:top w:w="0" w:type="dxa"/>
            <w:left w:w="108" w:type="dxa"/>
            <w:bottom w:w="0" w:type="dxa"/>
            <w:right w:w="108" w:type="dxa"/>
          </w:tblCellMar>
        </w:tblPrEx>
        <w:trPr>
          <w:trHeight w:val="23" w:hRule="atLeast"/>
          <w:jc w:val="center"/>
        </w:trPr>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名称</w:t>
            </w:r>
          </w:p>
        </w:tc>
        <w:tc>
          <w:tcPr>
            <w:tcW w:w="7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参数</w:t>
            </w:r>
          </w:p>
        </w:tc>
      </w:tr>
      <w:tr>
        <w:tblPrEx>
          <w:tblCellMar>
            <w:top w:w="0" w:type="dxa"/>
            <w:left w:w="108" w:type="dxa"/>
            <w:bottom w:w="0" w:type="dxa"/>
            <w:right w:w="108" w:type="dxa"/>
          </w:tblCellMar>
        </w:tblPrEx>
        <w:trPr>
          <w:trHeight w:val="23" w:hRule="atLeast"/>
          <w:jc w:val="center"/>
        </w:trPr>
        <w:tc>
          <w:tcPr>
            <w:tcW w:w="1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一拖四U段无线麦克风：（台式）</w:t>
            </w:r>
          </w:p>
        </w:tc>
        <w:tc>
          <w:tcPr>
            <w:tcW w:w="7805"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1、采用UHF超高频段，比传统的VHF频段干扰更少，传输更可靠；</w:t>
            </w:r>
          </w:p>
        </w:tc>
      </w:tr>
      <w:tr>
        <w:tblPrEx>
          <w:tblCellMar>
            <w:top w:w="0" w:type="dxa"/>
            <w:left w:w="108" w:type="dxa"/>
            <w:bottom w:w="0" w:type="dxa"/>
            <w:right w:w="108" w:type="dxa"/>
          </w:tblCellMar>
        </w:tblPrEx>
        <w:trPr>
          <w:trHeight w:val="23" w:hRule="atLeast"/>
          <w:jc w:val="center"/>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05"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2、DQPSK数字调制，在60MHZ频率范围内，以300KHZ信道间隔，提供多达200个信道选择。因为数字调制固有的对互调干扰的高免疫性，可以非常简单、方便地实现多套机器同时叠机使用，轻松避开各类干扰；</w:t>
            </w:r>
          </w:p>
        </w:tc>
      </w:tr>
      <w:tr>
        <w:tblPrEx>
          <w:tblCellMar>
            <w:top w:w="0" w:type="dxa"/>
            <w:left w:w="108" w:type="dxa"/>
            <w:bottom w:w="0" w:type="dxa"/>
            <w:right w:w="108" w:type="dxa"/>
          </w:tblCellMar>
        </w:tblPrEx>
        <w:trPr>
          <w:trHeight w:val="23" w:hRule="atLeast"/>
          <w:jc w:val="center"/>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05"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3、采用随机唯一ID的数字调制和传输技术，彻底避免采用FM调制的传统无线会议麦克风系统被场外窃听的风险，确保信号传输中的保密性；</w:t>
            </w:r>
          </w:p>
        </w:tc>
      </w:tr>
      <w:tr>
        <w:tblPrEx>
          <w:tblCellMar>
            <w:top w:w="0" w:type="dxa"/>
            <w:left w:w="108" w:type="dxa"/>
            <w:bottom w:w="0" w:type="dxa"/>
            <w:right w:w="108" w:type="dxa"/>
          </w:tblCellMar>
        </w:tblPrEx>
        <w:trPr>
          <w:trHeight w:val="23" w:hRule="atLeast"/>
          <w:jc w:val="center"/>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05"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4、接收机采用DQPSK真分集接收，在正常室内使用半径30-60米的环境内，彻底避免传统模拟FM调制的单天线接收模式下可能的断音、噪音问题；</w:t>
            </w:r>
          </w:p>
        </w:tc>
      </w:tr>
      <w:tr>
        <w:tblPrEx>
          <w:tblCellMar>
            <w:top w:w="0" w:type="dxa"/>
            <w:left w:w="108" w:type="dxa"/>
            <w:bottom w:w="0" w:type="dxa"/>
            <w:right w:w="108" w:type="dxa"/>
          </w:tblCellMar>
        </w:tblPrEx>
        <w:trPr>
          <w:trHeight w:val="23" w:hRule="atLeast"/>
          <w:jc w:val="center"/>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05"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5、数字调制和高保真接收，确保整机的音频指标始终如一，不会像传统FM调制的模式那样，随着发射距离的增加而劣化</w:t>
            </w:r>
          </w:p>
        </w:tc>
      </w:tr>
      <w:tr>
        <w:tblPrEx>
          <w:tblCellMar>
            <w:top w:w="0" w:type="dxa"/>
            <w:left w:w="108" w:type="dxa"/>
            <w:bottom w:w="0" w:type="dxa"/>
            <w:right w:w="108" w:type="dxa"/>
          </w:tblCellMar>
        </w:tblPrEx>
        <w:trPr>
          <w:trHeight w:val="23" w:hRule="atLeast"/>
          <w:jc w:val="center"/>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05"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6、无论是接收机，还是发射底座，都采用高清晰度彩色液晶TFT显示屏，使接收机及发射器的工作状态一目了然；</w:t>
            </w:r>
          </w:p>
        </w:tc>
      </w:tr>
      <w:tr>
        <w:tblPrEx>
          <w:tblCellMar>
            <w:top w:w="0" w:type="dxa"/>
            <w:left w:w="108" w:type="dxa"/>
            <w:bottom w:w="0" w:type="dxa"/>
            <w:right w:w="108" w:type="dxa"/>
          </w:tblCellMar>
        </w:tblPrEx>
        <w:trPr>
          <w:trHeight w:val="23" w:hRule="atLeast"/>
          <w:jc w:val="center"/>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05"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7、接收机前面板的TFT显示信息包括：正常工作状态下，两个通道(A/B/)实时工作时的各个通道的频道编号，RF工作频点，音量级数显示，实时的AF,RF信号强度显示，各个通道的发射端的电池电量实时显示等重要信息；在设置菜单下，各工作通道的选择、工作频点，通道音量等重要参数的设置都可以方便的切换和执行；</w:t>
            </w:r>
          </w:p>
        </w:tc>
      </w:tr>
      <w:tr>
        <w:tblPrEx>
          <w:tblCellMar>
            <w:top w:w="0" w:type="dxa"/>
            <w:left w:w="108" w:type="dxa"/>
            <w:bottom w:w="0" w:type="dxa"/>
            <w:right w:w="108" w:type="dxa"/>
          </w:tblCellMar>
        </w:tblPrEx>
        <w:trPr>
          <w:trHeight w:val="23" w:hRule="atLeast"/>
          <w:jc w:val="center"/>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05"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8、发射底座的TFT显示信息包括：红外对频后，发射底座所在的工作通道（A/B）的状态显示，RF频点、RF功率档位显示，发言时间、AF电平、电池电量等重要信息的实时显示。</w:t>
            </w:r>
          </w:p>
        </w:tc>
      </w:tr>
      <w:tr>
        <w:tblPrEx>
          <w:tblCellMar>
            <w:top w:w="0" w:type="dxa"/>
            <w:left w:w="108" w:type="dxa"/>
            <w:bottom w:w="0" w:type="dxa"/>
            <w:right w:w="108" w:type="dxa"/>
          </w:tblCellMar>
        </w:tblPrEx>
        <w:trPr>
          <w:trHeight w:val="23" w:hRule="atLeast"/>
          <w:jc w:val="center"/>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05"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9、配置4只台式带可充电锂电池无线麦克风。</w:t>
            </w:r>
          </w:p>
        </w:tc>
      </w:tr>
      <w:tr>
        <w:tblPrEx>
          <w:tblCellMar>
            <w:top w:w="0" w:type="dxa"/>
            <w:left w:w="108" w:type="dxa"/>
            <w:bottom w:w="0" w:type="dxa"/>
            <w:right w:w="108" w:type="dxa"/>
          </w:tblCellMar>
        </w:tblPrEx>
        <w:trPr>
          <w:trHeight w:val="23" w:hRule="atLeast"/>
          <w:jc w:val="center"/>
        </w:trPr>
        <w:tc>
          <w:tcPr>
            <w:tcW w:w="1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一拖四U段无线麦克风：（手持）</w:t>
            </w:r>
          </w:p>
        </w:tc>
        <w:tc>
          <w:tcPr>
            <w:tcW w:w="7805"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1、采用UHF超高频段，比传统的VHF频段干扰更少，传输更可靠；</w:t>
            </w:r>
          </w:p>
        </w:tc>
      </w:tr>
      <w:tr>
        <w:tblPrEx>
          <w:tblCellMar>
            <w:top w:w="0" w:type="dxa"/>
            <w:left w:w="108" w:type="dxa"/>
            <w:bottom w:w="0" w:type="dxa"/>
            <w:right w:w="108" w:type="dxa"/>
          </w:tblCellMar>
        </w:tblPrEx>
        <w:trPr>
          <w:trHeight w:val="23" w:hRule="atLeast"/>
          <w:jc w:val="center"/>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05"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2、DQPSK数字调制，在60MHZ频率范围内，以300KHZ信道间隔，提供多达200个信道选择。因为数字调制固有的对互调干扰的高免疫性，可以非常简单、方便地实现多套机器同时叠机使用，轻松避开各类干扰；</w:t>
            </w:r>
          </w:p>
        </w:tc>
      </w:tr>
      <w:tr>
        <w:tblPrEx>
          <w:tblCellMar>
            <w:top w:w="0" w:type="dxa"/>
            <w:left w:w="108" w:type="dxa"/>
            <w:bottom w:w="0" w:type="dxa"/>
            <w:right w:w="108" w:type="dxa"/>
          </w:tblCellMar>
        </w:tblPrEx>
        <w:trPr>
          <w:trHeight w:val="23" w:hRule="atLeast"/>
          <w:jc w:val="center"/>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05"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3、采用随机唯一ID的数字调制和传输技术，彻底避免采用FM调制的传统无线会议麦克风系统被场外窃听的风险，确保信号传输中的保密性；</w:t>
            </w:r>
          </w:p>
        </w:tc>
      </w:tr>
      <w:tr>
        <w:tblPrEx>
          <w:tblCellMar>
            <w:top w:w="0" w:type="dxa"/>
            <w:left w:w="108" w:type="dxa"/>
            <w:bottom w:w="0" w:type="dxa"/>
            <w:right w:w="108" w:type="dxa"/>
          </w:tblCellMar>
        </w:tblPrEx>
        <w:trPr>
          <w:trHeight w:val="23" w:hRule="atLeast"/>
          <w:jc w:val="center"/>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05"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4、接收机采用DQPSK真分集接收，在正常室内使用半径30-60米的环境内，彻底避免传统模拟FM调制的单天线接收模式下可能的断音、噪音问题；</w:t>
            </w:r>
          </w:p>
        </w:tc>
      </w:tr>
      <w:tr>
        <w:tblPrEx>
          <w:tblCellMar>
            <w:top w:w="0" w:type="dxa"/>
            <w:left w:w="108" w:type="dxa"/>
            <w:bottom w:w="0" w:type="dxa"/>
            <w:right w:w="108" w:type="dxa"/>
          </w:tblCellMar>
        </w:tblPrEx>
        <w:trPr>
          <w:trHeight w:val="23" w:hRule="atLeast"/>
          <w:jc w:val="center"/>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05"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5、数字调制和高保真接收，确保整机的音频指标始终如一，不会像传统FM调制的模式那样，随着发射距离的增加而劣化</w:t>
            </w:r>
          </w:p>
        </w:tc>
      </w:tr>
      <w:tr>
        <w:tblPrEx>
          <w:tblCellMar>
            <w:top w:w="0" w:type="dxa"/>
            <w:left w:w="108" w:type="dxa"/>
            <w:bottom w:w="0" w:type="dxa"/>
            <w:right w:w="108" w:type="dxa"/>
          </w:tblCellMar>
        </w:tblPrEx>
        <w:trPr>
          <w:trHeight w:val="23" w:hRule="atLeast"/>
          <w:jc w:val="center"/>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05"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6、无论是接收机，还是发射底座，都采用高清晰度彩色液晶TFT显示屏，使接收机及发射器的工作状态一目了然；</w:t>
            </w:r>
          </w:p>
        </w:tc>
      </w:tr>
      <w:tr>
        <w:tblPrEx>
          <w:tblCellMar>
            <w:top w:w="0" w:type="dxa"/>
            <w:left w:w="108" w:type="dxa"/>
            <w:bottom w:w="0" w:type="dxa"/>
            <w:right w:w="108" w:type="dxa"/>
          </w:tblCellMar>
        </w:tblPrEx>
        <w:trPr>
          <w:trHeight w:val="23" w:hRule="atLeast"/>
          <w:jc w:val="center"/>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05"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7、接收机前面板的TFT显示信息包括：正常工作状态下，两个通道(A/B/)实时工作时的各个通道的频道编号，RF工作频点，音量级数显示，实时的AF,RF信号强度显示，各个通道的发射端的电池电量实时显示等重要信息；在设置菜单下，各工作通道的选择、工作频点，通道音量等重要参数的设置都可以方便的切换和执行；</w:t>
            </w:r>
          </w:p>
        </w:tc>
      </w:tr>
      <w:tr>
        <w:tblPrEx>
          <w:tblCellMar>
            <w:top w:w="0" w:type="dxa"/>
            <w:left w:w="108" w:type="dxa"/>
            <w:bottom w:w="0" w:type="dxa"/>
            <w:right w:w="108" w:type="dxa"/>
          </w:tblCellMar>
        </w:tblPrEx>
        <w:trPr>
          <w:trHeight w:val="23" w:hRule="atLeast"/>
          <w:jc w:val="center"/>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05"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8、发射底座的TFT显示信息包括：红外对频后，发射底座所在的工作通道（A/B）的状态显示，RF频点、RF功率档位显示，发言时间、AF电平、电池电量等重要信息的实时显示。</w:t>
            </w:r>
          </w:p>
        </w:tc>
      </w:tr>
      <w:tr>
        <w:tblPrEx>
          <w:tblCellMar>
            <w:top w:w="0" w:type="dxa"/>
            <w:left w:w="108" w:type="dxa"/>
            <w:bottom w:w="0" w:type="dxa"/>
            <w:right w:w="108" w:type="dxa"/>
          </w:tblCellMar>
        </w:tblPrEx>
        <w:trPr>
          <w:trHeight w:val="23" w:hRule="atLeast"/>
          <w:jc w:val="center"/>
        </w:trPr>
        <w:tc>
          <w:tcPr>
            <w:tcW w:w="14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r>
              <w:rPr>
                <w:rFonts w:hint="eastAsia"/>
              </w:rPr>
              <w:t>天线放大器</w:t>
            </w:r>
          </w:p>
        </w:tc>
        <w:tc>
          <w:tcPr>
            <w:tcW w:w="7805"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1、天线分配系统由一台天线分配器，2个天线组成，可接多台接收机使用，让接收讯号获得较佳噪讯比，增加接收距离及稳定性；</w:t>
            </w:r>
          </w:p>
        </w:tc>
      </w:tr>
      <w:tr>
        <w:tblPrEx>
          <w:tblCellMar>
            <w:top w:w="0" w:type="dxa"/>
            <w:left w:w="108" w:type="dxa"/>
            <w:bottom w:w="0" w:type="dxa"/>
            <w:right w:w="108" w:type="dxa"/>
          </w:tblCellMar>
        </w:tblPrEx>
        <w:trPr>
          <w:trHeight w:val="23" w:hRule="atLeast"/>
          <w:jc w:val="center"/>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7805"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2、提供4组电源输出给接收机使用，方案安装工程。</w:t>
            </w:r>
          </w:p>
        </w:tc>
      </w:tr>
      <w:tr>
        <w:trPr>
          <w:trHeight w:val="23" w:hRule="atLeast"/>
          <w:jc w:val="center"/>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7805"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3、提供使用1-4台无线系列或其他系列各种自动选讯接收机的多频道系统，共用一对天线以简化天线装配工程，提升接收距离及效能；</w:t>
            </w:r>
          </w:p>
        </w:tc>
      </w:tr>
      <w:tr>
        <w:tblPrEx>
          <w:tblCellMar>
            <w:top w:w="0" w:type="dxa"/>
            <w:left w:w="108" w:type="dxa"/>
            <w:bottom w:w="0" w:type="dxa"/>
            <w:right w:w="108" w:type="dxa"/>
          </w:tblCellMar>
        </w:tblPrEx>
        <w:trPr>
          <w:trHeight w:val="23" w:hRule="atLeast"/>
          <w:jc w:val="center"/>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7805"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4、天线分配器采用高动能低杂讯之主动元件及主动回馈稳流行偏压的新电路设计，具有超低内调失真特性，能在多频道同时使用，排除混频干扰，分配器的输入增益约等于零，</w:t>
            </w:r>
          </w:p>
        </w:tc>
      </w:tr>
      <w:tr>
        <w:tblPrEx>
          <w:tblCellMar>
            <w:top w:w="0" w:type="dxa"/>
            <w:left w:w="108" w:type="dxa"/>
            <w:bottom w:w="0" w:type="dxa"/>
            <w:right w:w="108" w:type="dxa"/>
          </w:tblCellMar>
        </w:tblPrEx>
        <w:trPr>
          <w:trHeight w:val="23" w:hRule="atLeast"/>
          <w:jc w:val="center"/>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7805" w:type="dxa"/>
            <w:tcBorders>
              <w:top w:val="single" w:color="000000" w:sz="4" w:space="0"/>
              <w:left w:val="single" w:color="000000" w:sz="4" w:space="0"/>
              <w:bottom w:val="single" w:color="000000" w:sz="4" w:space="0"/>
              <w:right w:val="single" w:color="000000" w:sz="4" w:space="0"/>
            </w:tcBorders>
            <w:shd w:val="clear" w:color="auto" w:fill="auto"/>
          </w:tcPr>
          <w:p>
            <w:pPr>
              <w:ind w:firstLine="480"/>
              <w:rPr>
                <w:color w:val="FF0000"/>
              </w:rPr>
            </w:pPr>
            <w:r>
              <w:rPr>
                <w:rFonts w:hint="eastAsia"/>
              </w:rPr>
              <w:t>5、天线输入插座可以直接配置适用频带范围内的各种单竿天线、同轴天线、延长天线组及对数定向天线组；</w:t>
            </w:r>
          </w:p>
        </w:tc>
      </w:tr>
      <w:tr>
        <w:tblPrEx>
          <w:tblCellMar>
            <w:top w:w="0" w:type="dxa"/>
            <w:left w:w="108" w:type="dxa"/>
            <w:bottom w:w="0" w:type="dxa"/>
            <w:right w:w="108" w:type="dxa"/>
          </w:tblCellMar>
        </w:tblPrEx>
        <w:trPr>
          <w:trHeight w:val="23" w:hRule="atLeast"/>
          <w:jc w:val="center"/>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7805"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6、天线输入接座具有供应强波器的电源；</w:t>
            </w:r>
          </w:p>
        </w:tc>
      </w:tr>
      <w:tr>
        <w:tblPrEx>
          <w:tblCellMar>
            <w:top w:w="0" w:type="dxa"/>
            <w:left w:w="108" w:type="dxa"/>
            <w:bottom w:w="0" w:type="dxa"/>
            <w:right w:w="108" w:type="dxa"/>
          </w:tblCellMar>
        </w:tblPrEx>
        <w:trPr>
          <w:trHeight w:val="23" w:hRule="atLeast"/>
          <w:jc w:val="center"/>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7805"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7、可直接连接具有天线强波器的延长天线组及内建强波器的对数定抽天线组；</w:t>
            </w:r>
          </w:p>
        </w:tc>
      </w:tr>
      <w:tr>
        <w:tblPrEx>
          <w:tblCellMar>
            <w:top w:w="0" w:type="dxa"/>
            <w:left w:w="108" w:type="dxa"/>
            <w:bottom w:w="0" w:type="dxa"/>
            <w:right w:w="108" w:type="dxa"/>
          </w:tblCellMar>
        </w:tblPrEx>
        <w:trPr>
          <w:trHeight w:val="23" w:hRule="atLeast"/>
          <w:jc w:val="center"/>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7805"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8、外接天线具有增益的标准1/4波长指向性天线，天线出500-900MHz均相当平坦，对频宽外的讯号接收则像接上带通滤波器一样，可将频宽外的干扰信号过滤掉，天线阻抗为50欧姆，适合匹配一般的50欧姆同轴电缆线。</w:t>
            </w:r>
          </w:p>
        </w:tc>
      </w:tr>
      <w:tr>
        <w:tblPrEx>
          <w:tblCellMar>
            <w:top w:w="0" w:type="dxa"/>
            <w:left w:w="108" w:type="dxa"/>
            <w:bottom w:w="0" w:type="dxa"/>
            <w:right w:w="108" w:type="dxa"/>
          </w:tblCellMar>
        </w:tblPrEx>
        <w:trPr>
          <w:trHeight w:val="23" w:hRule="atLeast"/>
          <w:jc w:val="center"/>
        </w:trPr>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r>
              <w:rPr>
                <w:rFonts w:hint="eastAsia"/>
              </w:rPr>
              <w:t>天线延长线</w:t>
            </w:r>
          </w:p>
        </w:tc>
        <w:tc>
          <w:tcPr>
            <w:tcW w:w="7805"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50欧姆同轴线10米</w:t>
            </w:r>
          </w:p>
        </w:tc>
      </w:tr>
      <w:tr>
        <w:tblPrEx>
          <w:tblCellMar>
            <w:top w:w="0" w:type="dxa"/>
            <w:left w:w="108" w:type="dxa"/>
            <w:bottom w:w="0" w:type="dxa"/>
            <w:right w:w="108" w:type="dxa"/>
          </w:tblCellMar>
        </w:tblPrEx>
        <w:trPr>
          <w:trHeight w:val="23" w:hRule="atLeast"/>
          <w:jc w:val="center"/>
        </w:trPr>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辅材</w:t>
            </w:r>
          </w:p>
        </w:tc>
        <w:tc>
          <w:tcPr>
            <w:tcW w:w="78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音频线、音频线、音箱欧姆头、音箱支架、电工胶布、扎带等</w:t>
            </w:r>
          </w:p>
        </w:tc>
      </w:tr>
    </w:tbl>
    <w:p>
      <w:pPr>
        <w:ind w:firstLine="480"/>
        <w:rPr>
          <w:rFonts w:ascii="仿宋" w:hAnsi="仿宋" w:cs="仿宋"/>
        </w:rPr>
      </w:pPr>
      <w:r>
        <w:rPr>
          <w:rFonts w:hint="eastAsia" w:ascii="仿宋" w:hAnsi="仿宋" w:cs="仿宋"/>
        </w:rPr>
        <w:t>（5）改造部分</w:t>
      </w:r>
    </w:p>
    <w:tbl>
      <w:tblPr>
        <w:tblStyle w:val="66"/>
        <w:tblW w:w="5000" w:type="pct"/>
        <w:tblInd w:w="0" w:type="dxa"/>
        <w:tblLayout w:type="autofit"/>
        <w:tblCellMar>
          <w:top w:w="0" w:type="dxa"/>
          <w:left w:w="108" w:type="dxa"/>
          <w:bottom w:w="0" w:type="dxa"/>
          <w:right w:w="108" w:type="dxa"/>
        </w:tblCellMar>
      </w:tblPr>
      <w:tblGrid>
        <w:gridCol w:w="1913"/>
        <w:gridCol w:w="7373"/>
      </w:tblGrid>
      <w:tr>
        <w:tblPrEx>
          <w:tblCellMar>
            <w:top w:w="0" w:type="dxa"/>
            <w:left w:w="108" w:type="dxa"/>
            <w:bottom w:w="0" w:type="dxa"/>
            <w:right w:w="108" w:type="dxa"/>
          </w:tblCellMar>
        </w:tblPrEx>
        <w:trPr>
          <w:trHeight w:val="30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名称</w:t>
            </w: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参数</w:t>
            </w:r>
          </w:p>
        </w:tc>
      </w:tr>
      <w:tr>
        <w:tblPrEx>
          <w:tblCellMar>
            <w:top w:w="0" w:type="dxa"/>
            <w:left w:w="108" w:type="dxa"/>
            <w:bottom w:w="0" w:type="dxa"/>
            <w:right w:w="108" w:type="dxa"/>
          </w:tblCellMar>
        </w:tblPrEx>
        <w:trPr>
          <w:trHeight w:val="30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原有墙面拆除</w:t>
            </w: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指挥中心背景墙两边原有墙面拆除</w:t>
            </w:r>
          </w:p>
        </w:tc>
      </w:tr>
      <w:tr>
        <w:tblPrEx>
          <w:tblCellMar>
            <w:top w:w="0" w:type="dxa"/>
            <w:left w:w="108" w:type="dxa"/>
            <w:bottom w:w="0" w:type="dxa"/>
            <w:right w:w="108" w:type="dxa"/>
          </w:tblCellMar>
        </w:tblPrEx>
        <w:trPr>
          <w:trHeight w:val="30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原有墙体拆除后增加石膏板隔墙</w:t>
            </w: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轻钢龙骨石膏板隔墙</w:t>
            </w:r>
          </w:p>
        </w:tc>
      </w:tr>
      <w:tr>
        <w:tblPrEx>
          <w:tblCellMar>
            <w:top w:w="0" w:type="dxa"/>
            <w:left w:w="108" w:type="dxa"/>
            <w:bottom w:w="0" w:type="dxa"/>
            <w:right w:w="108" w:type="dxa"/>
          </w:tblCellMar>
        </w:tblPrEx>
        <w:trPr>
          <w:trHeight w:val="30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新增墙面</w:t>
            </w: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新增墙面刮腻子，乳胶漆</w:t>
            </w:r>
          </w:p>
        </w:tc>
      </w:tr>
      <w:tr>
        <w:tblPrEx>
          <w:tblCellMar>
            <w:top w:w="0" w:type="dxa"/>
            <w:left w:w="108" w:type="dxa"/>
            <w:bottom w:w="0" w:type="dxa"/>
            <w:right w:w="108" w:type="dxa"/>
          </w:tblCellMar>
        </w:tblPrEx>
        <w:trPr>
          <w:trHeight w:val="30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大屏背景墙周面饰面</w:t>
            </w: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大屏周面饰面</w:t>
            </w:r>
          </w:p>
        </w:tc>
      </w:tr>
      <w:tr>
        <w:tblPrEx>
          <w:tblCellMar>
            <w:top w:w="0" w:type="dxa"/>
            <w:left w:w="108" w:type="dxa"/>
            <w:bottom w:w="0" w:type="dxa"/>
            <w:right w:w="108" w:type="dxa"/>
          </w:tblCellMar>
        </w:tblPrEx>
        <w:trPr>
          <w:trHeight w:val="30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线路布排及装修恢复</w:t>
            </w: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1、原有音控设备需要迁移到新值班室，需要重新部署线路。2、新值班室需要部署线路。3、全部拆除后所需的装修恢复。</w:t>
            </w:r>
          </w:p>
        </w:tc>
      </w:tr>
      <w:tr>
        <w:tblPrEx>
          <w:tblCellMar>
            <w:top w:w="0" w:type="dxa"/>
            <w:left w:w="108" w:type="dxa"/>
            <w:bottom w:w="0" w:type="dxa"/>
            <w:right w:w="108" w:type="dxa"/>
          </w:tblCellMar>
        </w:tblPrEx>
        <w:trPr>
          <w:trHeight w:val="30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电动幕布轨道</w:t>
            </w: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电动幕布轨道安装</w:t>
            </w:r>
          </w:p>
        </w:tc>
      </w:tr>
      <w:tr>
        <w:tblPrEx>
          <w:tblCellMar>
            <w:top w:w="0" w:type="dxa"/>
            <w:left w:w="108" w:type="dxa"/>
            <w:bottom w:w="0" w:type="dxa"/>
            <w:right w:w="108" w:type="dxa"/>
          </w:tblCellMar>
        </w:tblPrEx>
        <w:trPr>
          <w:trHeight w:val="695" w:hRule="atLeast"/>
        </w:trPr>
        <w:tc>
          <w:tcPr>
            <w:tcW w:w="1030" w:type="pct"/>
            <w:vMerge w:val="restart"/>
            <w:tcBorders>
              <w:top w:val="single" w:color="000000" w:sz="4" w:space="0"/>
              <w:left w:val="single" w:color="000000" w:sz="4" w:space="0"/>
              <w:right w:val="single" w:color="000000" w:sz="4" w:space="0"/>
            </w:tcBorders>
            <w:shd w:val="clear" w:color="auto" w:fill="auto"/>
            <w:vAlign w:val="center"/>
          </w:tcPr>
          <w:p>
            <w:pPr>
              <w:ind w:firstLine="0" w:firstLineChars="0"/>
            </w:pPr>
            <w:r>
              <w:rPr>
                <w:rFonts w:hint="eastAsia"/>
              </w:rPr>
              <w:t>电动幕布电机</w:t>
            </w: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对开式电动舞台拉幕，含电机、遥控、传动箱、滑车、吊轮、安装组件等。</w:t>
            </w:r>
          </w:p>
        </w:tc>
      </w:tr>
      <w:tr>
        <w:tblPrEx>
          <w:tblCellMar>
            <w:top w:w="0" w:type="dxa"/>
            <w:left w:w="108" w:type="dxa"/>
            <w:bottom w:w="0" w:type="dxa"/>
            <w:right w:w="108" w:type="dxa"/>
          </w:tblCellMar>
        </w:tblPrEx>
        <w:trPr>
          <w:trHeight w:val="90" w:hRule="atLeast"/>
        </w:trPr>
        <w:tc>
          <w:tcPr>
            <w:tcW w:w="1030" w:type="pct"/>
            <w:vMerge w:val="continue"/>
            <w:tcBorders>
              <w:left w:val="single" w:color="000000" w:sz="4" w:space="0"/>
              <w:bottom w:val="single" w:color="000000" w:sz="4" w:space="0"/>
              <w:right w:val="single" w:color="000000" w:sz="4" w:space="0"/>
            </w:tcBorders>
            <w:shd w:val="clear" w:color="auto" w:fill="auto"/>
            <w:vAlign w:val="center"/>
          </w:tcPr>
          <w:p>
            <w:pPr>
              <w:ind w:firstLine="480"/>
            </w:pP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电机最大拉力≥100公斤。</w:t>
            </w:r>
          </w:p>
        </w:tc>
      </w:tr>
      <w:tr>
        <w:tblPrEx>
          <w:tblCellMar>
            <w:top w:w="0" w:type="dxa"/>
            <w:left w:w="108" w:type="dxa"/>
            <w:bottom w:w="0" w:type="dxa"/>
            <w:right w:w="108" w:type="dxa"/>
          </w:tblCellMar>
        </w:tblPrEx>
        <w:trPr>
          <w:trHeight w:val="30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党旗背面幕布</w:t>
            </w: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幕布材质：意大利绒、三层、红色、含幕帘</w:t>
            </w:r>
          </w:p>
        </w:tc>
      </w:tr>
      <w:tr>
        <w:tblPrEx>
          <w:tblCellMar>
            <w:top w:w="0" w:type="dxa"/>
            <w:left w:w="108" w:type="dxa"/>
            <w:bottom w:w="0" w:type="dxa"/>
            <w:right w:w="108" w:type="dxa"/>
          </w:tblCellMar>
        </w:tblPrEx>
        <w:trPr>
          <w:trHeight w:val="30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地面隐形地插</w:t>
            </w: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86型、五孔+高清+音频+网络</w:t>
            </w:r>
          </w:p>
        </w:tc>
      </w:tr>
      <w:tr>
        <w:tblPrEx>
          <w:tblCellMar>
            <w:top w:w="0" w:type="dxa"/>
            <w:left w:w="108" w:type="dxa"/>
            <w:bottom w:w="0" w:type="dxa"/>
            <w:right w:w="108" w:type="dxa"/>
          </w:tblCellMar>
        </w:tblPrEx>
        <w:trPr>
          <w:trHeight w:val="30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值班室原有墙面拆除</w:t>
            </w: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值班室原有墙面拆除</w:t>
            </w:r>
          </w:p>
        </w:tc>
      </w:tr>
      <w:tr>
        <w:tblPrEx>
          <w:tblCellMar>
            <w:top w:w="0" w:type="dxa"/>
            <w:left w:w="108" w:type="dxa"/>
            <w:bottom w:w="0" w:type="dxa"/>
            <w:right w:w="108" w:type="dxa"/>
          </w:tblCellMar>
        </w:tblPrEx>
        <w:trPr>
          <w:trHeight w:val="30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原有墙体拆除后增加石膏板隔墙</w:t>
            </w: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轻钢龙骨石膏板隔墙</w:t>
            </w:r>
          </w:p>
        </w:tc>
      </w:tr>
      <w:tr>
        <w:tblPrEx>
          <w:tblCellMar>
            <w:top w:w="0" w:type="dxa"/>
            <w:left w:w="108" w:type="dxa"/>
            <w:bottom w:w="0" w:type="dxa"/>
            <w:right w:w="108" w:type="dxa"/>
          </w:tblCellMar>
        </w:tblPrEx>
        <w:trPr>
          <w:trHeight w:val="30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新增墙面</w:t>
            </w: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新增墙面刮腻子，乳胶漆</w:t>
            </w:r>
          </w:p>
        </w:tc>
      </w:tr>
      <w:tr>
        <w:tblPrEx>
          <w:tblCellMar>
            <w:top w:w="0" w:type="dxa"/>
            <w:left w:w="108" w:type="dxa"/>
            <w:bottom w:w="0" w:type="dxa"/>
            <w:right w:w="108" w:type="dxa"/>
          </w:tblCellMar>
        </w:tblPrEx>
        <w:trPr>
          <w:trHeight w:val="30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墙面周面饰面</w:t>
            </w: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周面饰面</w:t>
            </w:r>
          </w:p>
        </w:tc>
      </w:tr>
      <w:tr>
        <w:tblPrEx>
          <w:tblCellMar>
            <w:top w:w="0" w:type="dxa"/>
            <w:left w:w="108" w:type="dxa"/>
            <w:bottom w:w="0" w:type="dxa"/>
            <w:right w:w="108" w:type="dxa"/>
          </w:tblCellMar>
        </w:tblPrEx>
        <w:trPr>
          <w:trHeight w:val="30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单向透钢化玻璃</w:t>
            </w: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单向透钢化玻璃4500*2000mm</w:t>
            </w:r>
          </w:p>
        </w:tc>
      </w:tr>
      <w:tr>
        <w:tblPrEx>
          <w:tblCellMar>
            <w:top w:w="0" w:type="dxa"/>
            <w:left w:w="108" w:type="dxa"/>
            <w:bottom w:w="0" w:type="dxa"/>
            <w:right w:w="108" w:type="dxa"/>
          </w:tblCellMar>
        </w:tblPrEx>
        <w:trPr>
          <w:trHeight w:val="30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地面成品保护</w:t>
            </w: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地面成品保护</w:t>
            </w:r>
          </w:p>
        </w:tc>
      </w:tr>
    </w:tbl>
    <w:p>
      <w:pPr>
        <w:pStyle w:val="6"/>
        <w:ind w:firstLine="482"/>
      </w:pPr>
      <w:r>
        <w:rPr>
          <w:rFonts w:hint="eastAsia"/>
        </w:rPr>
        <w:t>2.2.2决策室</w:t>
      </w:r>
    </w:p>
    <w:tbl>
      <w:tblPr>
        <w:tblStyle w:val="66"/>
        <w:tblW w:w="9337" w:type="dxa"/>
        <w:tblInd w:w="-17" w:type="dxa"/>
        <w:tblLayout w:type="fixed"/>
        <w:tblCellMar>
          <w:top w:w="0" w:type="dxa"/>
          <w:left w:w="108" w:type="dxa"/>
          <w:bottom w:w="0" w:type="dxa"/>
          <w:right w:w="108" w:type="dxa"/>
        </w:tblCellMar>
      </w:tblPr>
      <w:tblGrid>
        <w:gridCol w:w="1476"/>
        <w:gridCol w:w="7861"/>
      </w:tblGrid>
      <w:tr>
        <w:tblPrEx>
          <w:tblCellMar>
            <w:top w:w="0" w:type="dxa"/>
            <w:left w:w="108" w:type="dxa"/>
            <w:bottom w:w="0" w:type="dxa"/>
            <w:right w:w="108" w:type="dxa"/>
          </w:tblCellMar>
        </w:tblPrEx>
        <w:trPr>
          <w:trHeight w:val="23"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名称</w:t>
            </w: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参数</w:t>
            </w:r>
          </w:p>
        </w:tc>
      </w:tr>
      <w:tr>
        <w:tblPrEx>
          <w:tblCellMar>
            <w:top w:w="0" w:type="dxa"/>
            <w:left w:w="108" w:type="dxa"/>
            <w:bottom w:w="0" w:type="dxa"/>
            <w:right w:w="108" w:type="dxa"/>
          </w:tblCellMar>
        </w:tblPrEx>
        <w:trPr>
          <w:trHeight w:val="23" w:hRule="atLeast"/>
        </w:trPr>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r>
              <w:t>98</w:t>
            </w:r>
            <w:r>
              <w:rPr>
                <w:rFonts w:hint="eastAsia"/>
              </w:rPr>
              <w:t>寸会议一体机</w:t>
            </w: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整机屏占比：超薄窄边框设计，整机屏占比≥</w:t>
            </w:r>
            <w:r>
              <w:t>85%</w:t>
            </w:r>
            <w:r>
              <w:rPr>
                <w:rFonts w:hint="eastAsia"/>
              </w:rPr>
              <w:t>，整机厚度≤</w:t>
            </w:r>
            <w:r>
              <w:t>90mm</w:t>
            </w:r>
            <w:r>
              <w:rPr>
                <w:rFonts w:hint="eastAsia"/>
              </w:rPr>
              <w:t>。</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整机支持模块：支持</w:t>
            </w:r>
            <w:r>
              <w:t>80pinOPS</w:t>
            </w:r>
            <w:r>
              <w:rPr>
                <w:rFonts w:hint="eastAsia"/>
              </w:rPr>
              <w:t>模块。</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整机一体化设计，无外伸天线。</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整机无线模块化设计：实现</w:t>
            </w:r>
            <w:r>
              <w:t>wifi</w:t>
            </w:r>
            <w:r>
              <w:rPr>
                <w:rFonts w:hint="eastAsia"/>
              </w:rPr>
              <w:t>模块热插拔。</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扬声器：采用</w:t>
            </w:r>
            <w:r>
              <w:t>2*10W</w:t>
            </w:r>
            <w:r>
              <w:rPr>
                <w:rFonts w:hint="eastAsia"/>
              </w:rPr>
              <w:t>（中高音）</w:t>
            </w:r>
            <w:r>
              <w:t>+15W</w:t>
            </w:r>
            <w:r>
              <w:rPr>
                <w:rFonts w:hint="eastAsia"/>
              </w:rPr>
              <w:t>（低音）扬声器。</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内置超高清、超广角、低畸变</w:t>
            </w:r>
            <w:r>
              <w:t>1300</w:t>
            </w:r>
            <w:r>
              <w:rPr>
                <w:rFonts w:hint="eastAsia"/>
              </w:rPr>
              <w:t>万像素摄像头，摄像头支持</w:t>
            </w:r>
            <w:r>
              <w:t>D-FOV</w:t>
            </w:r>
            <w:r>
              <w:rPr>
                <w:rFonts w:hint="eastAsia"/>
              </w:rPr>
              <w:t>：</w:t>
            </w:r>
            <w:r>
              <w:t>100</w:t>
            </w:r>
            <w:r>
              <w:rPr>
                <w:rFonts w:hint="eastAsia"/>
              </w:rPr>
              <w:t>°广角，支持自动变焦，自动曝光，自动白平衡，自动背光补偿，支持</w:t>
            </w:r>
            <w:r>
              <w:t>3D</w:t>
            </w:r>
            <w:r>
              <w:rPr>
                <w:rFonts w:hint="eastAsia"/>
              </w:rPr>
              <w:t>降噪；内置</w:t>
            </w:r>
            <w:r>
              <w:t>6</w:t>
            </w:r>
            <w:r>
              <w:rPr>
                <w:rFonts w:hint="eastAsia"/>
              </w:rPr>
              <w:t>阵列麦克风，支持</w:t>
            </w:r>
            <w:r>
              <w:t>0-180</w:t>
            </w:r>
            <w:r>
              <w:rPr>
                <w:rFonts w:hint="eastAsia"/>
              </w:rPr>
              <w:t>°拾音角度，支持</w:t>
            </w:r>
            <w:r>
              <w:t>8</w:t>
            </w:r>
            <w:r>
              <w:rPr>
                <w:rFonts w:hint="eastAsia"/>
              </w:rPr>
              <w:t>米远场拾音，高性能音频算法，具备快速回声消除、环境噪声抑制、人声自动增益补偿功能，在安卓和</w:t>
            </w:r>
            <w:r>
              <w:t>Windows</w:t>
            </w:r>
            <w:r>
              <w:rPr>
                <w:rFonts w:hint="eastAsia"/>
              </w:rPr>
              <w:t>系统上使用视频会议软件可实现视频会议功能，支持</w:t>
            </w:r>
            <w:r>
              <w:t>Android</w:t>
            </w:r>
            <w:r>
              <w:rPr>
                <w:rFonts w:hint="eastAsia"/>
              </w:rPr>
              <w:t>和</w:t>
            </w:r>
            <w:r>
              <w:t>Windows</w:t>
            </w:r>
            <w:r>
              <w:rPr>
                <w:rFonts w:hint="eastAsia"/>
              </w:rPr>
              <w:t>双系统。</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节能模式：产品具备在不关闭整机电源的情况下可一键关闭和开启液晶屏背光，实现功耗降低超过</w:t>
            </w:r>
            <w:r>
              <w:t>80%</w:t>
            </w:r>
            <w:r>
              <w:rPr>
                <w:rFonts w:hint="eastAsia"/>
              </w:rPr>
              <w:t>。</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★屏幕显示：整机屏幕采用</w:t>
            </w:r>
            <w:r>
              <w:t>98</w:t>
            </w:r>
            <w:r>
              <w:rPr>
                <w:rFonts w:hint="eastAsia"/>
              </w:rPr>
              <w:t>英寸</w:t>
            </w:r>
            <w:r>
              <w:t>A</w:t>
            </w:r>
            <w:r>
              <w:rPr>
                <w:rFonts w:hint="eastAsia"/>
              </w:rPr>
              <w:t>规屏</w:t>
            </w:r>
            <w:r>
              <w:t>/A</w:t>
            </w:r>
            <w:r>
              <w:rPr>
                <w:rFonts w:hint="eastAsia"/>
              </w:rPr>
              <w:t>级屏，显示比例</w:t>
            </w:r>
            <w:r>
              <w:t>16:9</w:t>
            </w:r>
            <w:r>
              <w:rPr>
                <w:rFonts w:hint="eastAsia"/>
              </w:rPr>
              <w:t>，屏幕图像分辨率≥</w:t>
            </w:r>
            <w:r>
              <w:t>3840*2160</w:t>
            </w:r>
            <w:r>
              <w:rPr>
                <w:rFonts w:hint="eastAsia"/>
              </w:rPr>
              <w:t>。</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显示灰阶：</w:t>
            </w:r>
            <w:r>
              <w:t>128</w:t>
            </w:r>
            <w:r>
              <w:rPr>
                <w:rFonts w:hint="eastAsia"/>
              </w:rPr>
              <w:t>级，色彩度</w:t>
            </w:r>
            <w:r>
              <w:t>10bit,</w:t>
            </w:r>
            <w:r>
              <w:rPr>
                <w:rFonts w:hint="eastAsia"/>
              </w:rPr>
              <w:t>可视角度≥</w:t>
            </w:r>
            <w:r>
              <w:t>178</w:t>
            </w:r>
            <w:r>
              <w:rPr>
                <w:rFonts w:hint="eastAsia"/>
              </w:rPr>
              <w:t>°。</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屏幕硬度及透光率：整机书写面板采用</w:t>
            </w:r>
            <w:r>
              <w:t>4mm</w:t>
            </w:r>
            <w:r>
              <w:rPr>
                <w:rFonts w:hint="eastAsia"/>
              </w:rPr>
              <w:t>厚</w:t>
            </w:r>
            <w:r>
              <w:t>AG</w:t>
            </w:r>
            <w:r>
              <w:rPr>
                <w:rFonts w:hint="eastAsia"/>
              </w:rPr>
              <w:t>全钢化，防眩光面板，面板的碎片状态、抗冲击性、霰弹袋冲击性能、耐热冲击性能均通过国家强制玻璃标准，表面应力≥</w:t>
            </w:r>
            <w:r>
              <w:t>100Mpa,</w:t>
            </w:r>
            <w:r>
              <w:rPr>
                <w:rFonts w:hint="eastAsia"/>
              </w:rPr>
              <w:t>可见光透射比不低于</w:t>
            </w:r>
            <w:r>
              <w:t>88%</w:t>
            </w:r>
            <w:r>
              <w:rPr>
                <w:rFonts w:hint="eastAsia"/>
              </w:rPr>
              <w:t>，反射率小于</w:t>
            </w:r>
            <w:r>
              <w:t>1%</w:t>
            </w:r>
            <w:r>
              <w:rPr>
                <w:rFonts w:hint="eastAsia"/>
              </w:rPr>
              <w:t>。</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触控技术：采用高精度红外触控，支持高精度笔书写，书写精度可达±</w:t>
            </w:r>
            <w:r>
              <w:t>1m</w:t>
            </w:r>
            <w:r>
              <w:rPr>
                <w:rFonts w:hint="eastAsia"/>
              </w:rPr>
              <w:t>。</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抗强光干扰：触摸屏具有防光干扰功能，能在照度</w:t>
            </w:r>
            <w:r>
              <w:t>100KLUX</w:t>
            </w:r>
            <w:r>
              <w:rPr>
                <w:rFonts w:hint="eastAsia"/>
              </w:rPr>
              <w:t>环境下仍能正常工作。</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RAM4G</w:t>
            </w:r>
            <w:r>
              <w:rPr>
                <w:rFonts w:hint="eastAsia"/>
              </w:rPr>
              <w:t>，</w:t>
            </w:r>
            <w:r>
              <w:t>ROM32G</w:t>
            </w:r>
            <w:r>
              <w:rPr>
                <w:rFonts w:hint="eastAsia"/>
              </w:rPr>
              <w:t>，保障系统运行稳定性和流畅性，支持</w:t>
            </w:r>
            <w:r>
              <w:t>4KUI</w:t>
            </w:r>
            <w:r>
              <w:rPr>
                <w:rFonts w:hint="eastAsia"/>
              </w:rPr>
              <w:t>。</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支持操作系统：</w:t>
            </w:r>
            <w:r>
              <w:t>Win7/Win8/Win8.1/Win10/MacOS10.10</w:t>
            </w:r>
            <w:r>
              <w:rPr>
                <w:rFonts w:hint="eastAsia"/>
              </w:rPr>
              <w:t>及以上。</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整机自带无线</w:t>
            </w:r>
            <w:r>
              <w:t>WIFI5G</w:t>
            </w:r>
            <w:r>
              <w:rPr>
                <w:rFonts w:hint="eastAsia"/>
              </w:rPr>
              <w:t>局域网热点，无需外接设备或连接线。</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专用配件：</w:t>
            </w:r>
            <w:r>
              <w:t>HDMI</w:t>
            </w:r>
            <w:r>
              <w:rPr>
                <w:rFonts w:hint="eastAsia"/>
              </w:rPr>
              <w:t>线缆等。</w:t>
            </w:r>
          </w:p>
        </w:tc>
      </w:tr>
      <w:tr>
        <w:tblPrEx>
          <w:tblCellMar>
            <w:top w:w="0" w:type="dxa"/>
            <w:left w:w="108" w:type="dxa"/>
            <w:bottom w:w="0" w:type="dxa"/>
            <w:right w:w="108" w:type="dxa"/>
          </w:tblCellMar>
        </w:tblPrEx>
        <w:trPr>
          <w:trHeight w:val="23"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Pr>
          <w:p>
            <w:pPr>
              <w:ind w:firstLine="0" w:firstLineChars="0"/>
            </w:pPr>
            <w:r>
              <w:rPr>
                <w:rFonts w:hint="eastAsia"/>
              </w:rPr>
              <w:t>落地移动支架</w:t>
            </w:r>
          </w:p>
        </w:tc>
        <w:tc>
          <w:tcPr>
            <w:tcW w:w="7861"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落地移动支架</w:t>
            </w:r>
          </w:p>
        </w:tc>
      </w:tr>
      <w:tr>
        <w:tblPrEx>
          <w:tblCellMar>
            <w:top w:w="0" w:type="dxa"/>
            <w:left w:w="108" w:type="dxa"/>
            <w:bottom w:w="0" w:type="dxa"/>
            <w:right w:w="108" w:type="dxa"/>
          </w:tblCellMar>
        </w:tblPrEx>
        <w:trPr>
          <w:trHeight w:val="23" w:hRule="atLeast"/>
        </w:trPr>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智慧无纸化会议管理主机</w:t>
            </w: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标准机架式服务器机柜安装，标准机柜4U高度；</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硬件配置：工业级主板，CPU类型 Intel 处理器主频 3.1GHz或以上、内存容量 4GB或以上，硬盘容量 1TGB SATA3.5英寸硬盘（7200转）；</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支持会前准备（设置主席机与代表机、添加参会人员、设置欢迎词、设置会议主题、安排参会人员座位、上传会议资料并设置文件权限、添加投票并选择参与投票人员）；</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会中控制（支持签到、文件智能分发、会议同屏互动演示、外部信号到终端显示、终端任意画面上大屏幕、会议服务、会议投票、会议交流、交互式电子白板）、会后保存功能；</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支持客户端访问模式、WEB访问模式，支持管理员登陆、参会人登录，支持参会人会前预览会议资料，支持在线编辑批注会议资料并在线上传更新，支持历史会议资料检索归档；</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支持多管理员和超级管理员，不同管理员创建的会议互相保密。超级管理员有管理所有会议的权限。</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rPr>
                <w:color w:val="FF0000"/>
              </w:rPr>
            </w:pPr>
            <w:r>
              <w:rPr>
                <w:rFonts w:hint="eastAsia"/>
              </w:rPr>
              <w:t>多系统支持:支持Windows、Android、linux、Kylin、UOS等</w:t>
            </w:r>
          </w:p>
        </w:tc>
      </w:tr>
      <w:tr>
        <w:tblPrEx>
          <w:tblCellMar>
            <w:top w:w="0" w:type="dxa"/>
            <w:left w:w="108" w:type="dxa"/>
            <w:bottom w:w="0" w:type="dxa"/>
            <w:right w:w="108" w:type="dxa"/>
          </w:tblCellMar>
        </w:tblPrEx>
        <w:trPr>
          <w:trHeight w:val="23" w:hRule="atLeast"/>
        </w:trPr>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无纸化服务器软件</w:t>
            </w:r>
          </w:p>
        </w:tc>
        <w:tc>
          <w:tcPr>
            <w:tcW w:w="7861"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多会议室管理：支持添加多个会议室，并对应添加不同终端，支持对终端进行单个或多个同时升降机控制/开关机控制，可在同一个 web界面同时管理多个会议室；</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用户管理：添加、导入、修改、删除用户，支持对用户进行分组；</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权限管理：支持不同权限管理模式，含会议秘书、系统管理员、不同会议秘书创建的会议互相保密，系统管理员有管理所有会议的权限；</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会议模板：支持创建多个会议模板，会议管理人员可以编辑模板，进行快速会议的创建；</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集中控制：会中可以对终端进行欢迎页面、会议信息、显示人名、会议标语等画面的切换，同时支持统一升降机控制、统一开关机；</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签到管理：对会议签到情况进行监控管理；</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会议投票：对于已启用的投票，参会人员可以进行投票，也可以实时查看结果，支持会议投票列表，历史投票记录；</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发言申请：无纸化会议客户端支持对参会人员进行发言管理，主席单元同意后普通单元可以打开话筒进行发言；</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模拟排位：支持会前模拟会议室对参会人员进行排位；</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文件管理：上传、导入文件，支持文件设置查看权限；</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议题管理：添加、编辑会议议题，并对不同议题进行启用切换；</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会议服务：会中及时接收会议服务信息并进行处理；</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会议交流：可以进行系统单个或多个参会人员进行会议交流。</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文件按需分发，没有权限的参会人员无法查看相应文件；</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会议结束所有客户端文件自动清空；</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保密会议模式下支持打开文件需要二次密码鉴权；</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保密会议模式下打开会议文件不支持文件另存为，用户不能另存到其他地方只能在线编辑；</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保密会议模式下客户端文件传输通过 HT 加密算法只能在无纸化程序下打开，拷贝到启他设备无法正常开启；</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保密会议模式下支持阅后即焚，打开查看后就不能再重复打开已看文件；</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服务端和所有客户端采用加密通信传输，加入 SSL 协议加密及身份验证。保证数据内容传输过程不被第三方查看，以及能及时发现被第三方篡改能保证数据能完整的达到客户端；</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支持将无纸化终端采集的摄像头画面后台实时软件方式指定同屏到会议侧边大屏达到直播和会议导读功能</w:t>
            </w:r>
          </w:p>
        </w:tc>
      </w:tr>
      <w:tr>
        <w:tblPrEx>
          <w:tblCellMar>
            <w:top w:w="0" w:type="dxa"/>
            <w:left w:w="108" w:type="dxa"/>
            <w:bottom w:w="0" w:type="dxa"/>
            <w:right w:w="108" w:type="dxa"/>
          </w:tblCellMar>
        </w:tblPrEx>
        <w:trPr>
          <w:trHeight w:val="23" w:hRule="atLeast"/>
        </w:trPr>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无纸化会议编解码器</w:t>
            </w: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标准机架式服务器机柜安装，标准机柜2U高度；</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硬件配置：工业级主板，CPU主频 3.0GHz或以上，内存容量4GB 或以上；硬盘容量32G固态硬盘；</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支持与会场同步信号跟踪功能，当会场有同步信号时保持实时跟踪并同步输出到输出接口，当会场无同步信号时，输出接口无任何画面输出；</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支持HDMI、VGA信号输出，任何终端画面通过此接口输出至大屏幕或其他信号显示设备；</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支持HDMI、VGA信号输入，外部信号通过此接口实时广播画面到所有会议终端并同步显示；</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支持信号格式自动转换功能，网络数据信号转换成数字信号，数字信号自动转换成网络信号传输。</w:t>
            </w:r>
          </w:p>
        </w:tc>
      </w:tr>
      <w:tr>
        <w:tblPrEx>
          <w:tblCellMar>
            <w:top w:w="0" w:type="dxa"/>
            <w:left w:w="108" w:type="dxa"/>
            <w:bottom w:w="0" w:type="dxa"/>
            <w:right w:w="108" w:type="dxa"/>
          </w:tblCellMar>
        </w:tblPrEx>
        <w:trPr>
          <w:trHeight w:val="23" w:hRule="atLeast"/>
        </w:trPr>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会议主机</w:t>
            </w: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rPr>
                <w:rFonts w:ascii="Times New Roman" w:hAnsi="Times New Roman" w:eastAsia="仿宋" w:cs="Times New Roman"/>
                <w:kern w:val="2"/>
                <w:sz w:val="24"/>
                <w:szCs w:val="24"/>
                <w:lang w:val="en-US" w:eastAsia="zh-CN" w:bidi="ar-SA"/>
              </w:rPr>
            </w:pPr>
            <w:r>
              <w:rPr>
                <w:rFonts w:hint="eastAsia"/>
              </w:rPr>
              <w:t>会议控制主机最多可连接128台会议单元，通过会议扩展主机，一套会议系统最多可接入1000台会议单元；</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最多可连接36台翻译单元，实现11+1种语言同声传译功能，具有12通道译员音频输出；</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采用专用8芯航空插头连接，有译员机接口、扩展主机接口、会议单元接口；</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"手拉手"或者"T型"连接模式；</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具有音频输入接口，具有多组原音通道输出和输入；</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发言人数限制功能：发言单元数量1/2/4/6可调，主席单元不受限制；</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支持FIFO，NORMAL，FREE，APPLY多种会议模式；</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音频处理采用数字均衡模块降噪处理模块使声音清晰透彻，</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支持自动摄像跟踪功能；</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配合电话耦合器可以进行远程电话会议；</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支持签到、投票表决及数据管理功能；</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主机可安装在19英寸标准机柜上。</w:t>
            </w:r>
          </w:p>
        </w:tc>
      </w:tr>
      <w:tr>
        <w:tblPrEx>
          <w:tblCellMar>
            <w:top w:w="0" w:type="dxa"/>
            <w:left w:w="108" w:type="dxa"/>
            <w:bottom w:w="0" w:type="dxa"/>
            <w:right w:w="108" w:type="dxa"/>
          </w:tblCellMar>
        </w:tblPrEx>
        <w:trPr>
          <w:trHeight w:val="23" w:hRule="atLeast"/>
        </w:trPr>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15.6寸单屏带话筒无纸化升降一体机</w:t>
            </w: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升降器和屏转轴式连接一体呈现，无背板连接，无螺丝外露，升降器与屏幕独立设计与运输（屏幕与升降器可拆分，FPC软排线连接），保证运输，维护安全便捷，也可独立升级；</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材质工艺：屏幕及升降器面板采用全铝合金外壳，整体CNC设计，精雕细琢一体成型，喷砂阳极氧化处理，产品颜色：拉丝黑/银 喷砂黑/银（可定制其它颜色）；</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话筒升降方式为咪杆式升降，下降过程中具备自动矫正话筒杆功能；</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话筒与屏幕可一体升降使用、可独立升降使用，升降传动系统相互独立，系统稳定可靠，维护方便；</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屏幕尺寸采用15.6英寸液晶屏；分辨率：1920*1080；屏幕视角：IPS全视角屏 ；触摸屏类型：磁感电容屏，10点触控；显示比例：16:9 ；亮度：400流明；静态对比度：6000：1；</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屏幕接口：为了避免多接口的故障率和接触不良导致不能工作，屏幕与升降器需采用一个高融合的FPC软排线高清接口来实现“屏幕供电”、“图像”、“数据”和“触控”的整体传输；</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触控显示屏整体尺寸：长377毫米、高237毫米，屏幕最厚7.8MM 最薄处仅4.8MM；</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话筒参数：</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采用数字强抗干扰技术，确保会场内设备不受手机、蓝牙、无线电、WiFi等信号干扰；</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系统具备先入先出工作模式，发言人数可设1至6台，主席单元不受限制；</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系统具备自由讨论模式，所有会议单元可以全部自由开启发言不受限制；</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采用先进静电隔离技术设计，即使在干燥的环境和地区也可以避免产生静电；</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驻极体超心形指向性麦克风，确保拾音距离及声音质量，拾音距离可达50cm；</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升降器参数：</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升降器面板尺寸不大于：长553MM宽73MM厚5MM；</w:t>
            </w:r>
          </w:p>
        </w:tc>
      </w:tr>
      <w:tr>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双净音滑轨，配合齿轮咬合升降，多点平衡升降系统，系统稳定可靠；</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升降器控制软件支持PC机安装，兼容常用操作系统，可统一控制也可以任意分组控制升降器上升、暂停、下降等运动状态；</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升降器面板具备：上升、暂停、下降、多媒体会议终端开关、USB接口等；</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控制方式支持手拉手232控制、遥控控制、手动控制；</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升降器支持自动仰角15度，保证显示器人体工程学最佳观看视角与触控角度；</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终端主机参数：</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主机硬件配置：Inter双核处理器，CPU  I3 ；内存：4GB DDR3；硬盘：32G SSD固态；</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系统及架构：采用windows7系统，保证办公软件及其他软件的兼容性和扩展性；</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客户端软件采用C/S架构，充分发挥客户端PC的处理能力及稳定性。</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软件功能：</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铭牌显示功能：支持显示后台软件导入的人名、单位、职位及背景图片信息；</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会议标语功能：显示后台推送的会议标语内容及背景图片；</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会议信息功能：显示后台推送的会议信息（会议名称、会议时间、会议地点、主持人、与会者人名及职位信息）；</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会议议程功能：显示后台推送的会议议程安排信息；</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会议议题功能：按会议进程及权限显示后台推送的会议议题，议题内文件支持word\ppt\excel等办公文件；</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文件批注功能：参会人员在会议终端的触摸屏幕上对会议文件中的文档进行手写批注画圈或描线，方便在发言时讲解重点和对会议文件的修改提出自己的意见，支持手写、无线键盘、手写板书写多种形式，批注后文档可自动保存到服务器；</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会议基础功能：支持会议签到（后台可设置免签）、投票表决（后台可设置实名匿名）、交互式电子白板（个人使用及联机使用）、文件批注（原文件批注及快捷批注）、信息交流功能（即时消息，参会者可与其他与会人员进行一对一或者一对多进行对话交流，）、会议服务呼叫（茶水、纸笔等，与会者也可自定义输入需求信息，后台收到消息会根据需求安排服务）、接收后台软件推送的通知信息等会议功能；</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同屏广播功能：支持任何有同屏广播权限的会议终端一键同屏画面到其他会议终端与大屏幕；支持同屏广播状态PPT文件动态播放，保证PPT播放特效，支持同屏显示文档的放大缩小等显示特性，保证触控屏的触控功能；支持音视频文件同步到其他会议终端及大屏投影，声音同步到调音台，支持1080P的视频同屏广播不降低画质，接收端1080P原画质显示，帧率达到20帧，保证视频画面的流畅度，同屏延时小于300毫秒；</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异步浏览功能：支持任何有权限的会议终端一键切换远端主讲人同屏画面与本地终端画面，完成信号的自由交互，与会者可通过此功能查看操作、查看自己的文档等；</w:t>
            </w:r>
          </w:p>
        </w:tc>
      </w:tr>
      <w:tr>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跟踪主讲功能：处在异步浏览状态的会议终端支持一键同步到主讲此时的任何画面并保持实时一致；</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外接信号显示功能：支持外接信号实时同屏到所有与会者终端并同步显示（外接信号包括，矩阵切换的视频信号，计算机信号，笔记本信号，摄像头信号，DVD信号、多媒体插座等）；</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临时文件功能：支持与会者外置U盘内任何文件一键广播到其他会议终端与大屏幕，支持会议文件分享给其他与会者；</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PC电脑使用功能：支持无纸化软件界面和Windows界面切换，进行普通电脑操作，且画面可进行同屏广播（比如电脑使用培训、浏览器上网浏览、OA软件及其他操作皆可同屏演示）。</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主席控制功能：支持单主席或多主席功能；主席功能有控制会议进程的权限，可：“启用统一签到；切换所有终端功能显示：会议标语、欢迎页面、铭牌显示、会议主界面；启用会议议题；发起及结束投票；主席机可选择同屏广播信号源（外接信号或与会者终端）进行强制同屏给所有终端及大屏投影或只同屏广播到大屏投影；可结束同屏；结束会议；关闭会议系统等功能。</w:t>
            </w:r>
          </w:p>
        </w:tc>
      </w:tr>
      <w:tr>
        <w:tblPrEx>
          <w:tblCellMar>
            <w:top w:w="0" w:type="dxa"/>
            <w:left w:w="108" w:type="dxa"/>
            <w:bottom w:w="0" w:type="dxa"/>
            <w:right w:w="108" w:type="dxa"/>
          </w:tblCellMar>
        </w:tblPrEx>
        <w:trPr>
          <w:trHeight w:val="23" w:hRule="atLeast"/>
        </w:trPr>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数字反馈抑制器</w:t>
            </w: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输入通道数量：≥2通道(2通道平衡线路/话筒输入或者选择2通道6.35非平衡输入），全数字化最大程度消除回输；</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≥2路输入通道支持48V幻像电源供电；</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自动适应声学环境，无需调试，快速校正功能，最大程度上还原声音的保真度，高效增加话筒拾音距离 30-100CM以上；</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其自适应性过滤器能够以较慢的速度收敛，从而有效抑制更多的反射成分；</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在声学反馈发生之前，可以额外获得多达 12dB的增益，具体取决于声学环境和所选的操作模式。</w:t>
            </w:r>
          </w:p>
        </w:tc>
      </w:tr>
      <w:tr>
        <w:tblPrEx>
          <w:tblCellMar>
            <w:top w:w="0" w:type="dxa"/>
            <w:left w:w="108" w:type="dxa"/>
            <w:bottom w:w="0" w:type="dxa"/>
            <w:right w:w="108" w:type="dxa"/>
          </w:tblCellMar>
        </w:tblPrEx>
        <w:trPr>
          <w:trHeight w:val="23" w:hRule="atLeast"/>
        </w:trPr>
        <w:tc>
          <w:tcPr>
            <w:tcW w:w="1476" w:type="dxa"/>
            <w:vMerge w:val="restart"/>
            <w:tcBorders>
              <w:top w:val="single" w:color="000000" w:sz="4" w:space="0"/>
              <w:left w:val="single" w:color="000000" w:sz="4" w:space="0"/>
              <w:right w:val="single" w:color="000000" w:sz="4" w:space="0"/>
            </w:tcBorders>
            <w:shd w:val="clear" w:color="auto" w:fill="auto"/>
            <w:vAlign w:val="center"/>
          </w:tcPr>
          <w:p>
            <w:pPr>
              <w:ind w:firstLine="0" w:firstLineChars="0"/>
            </w:pPr>
            <w:r>
              <w:rPr>
                <w:rFonts w:hint="eastAsia"/>
              </w:rPr>
              <w:t>16口千兆交换机</w:t>
            </w:r>
          </w:p>
        </w:tc>
        <w:tc>
          <w:tcPr>
            <w:tcW w:w="7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16个10/100/1000Mbps自适应电口+2个10/100/1000Mbps上联光口。</w:t>
            </w:r>
          </w:p>
        </w:tc>
      </w:tr>
      <w:tr>
        <w:tblPrEx>
          <w:tblCellMar>
            <w:top w:w="0" w:type="dxa"/>
            <w:left w:w="108" w:type="dxa"/>
            <w:bottom w:w="0" w:type="dxa"/>
            <w:right w:w="108" w:type="dxa"/>
          </w:tblCellMar>
        </w:tblPrEx>
        <w:trPr>
          <w:trHeight w:val="23" w:hRule="atLeast"/>
        </w:trPr>
        <w:tc>
          <w:tcPr>
            <w:tcW w:w="1476" w:type="dxa"/>
            <w:vMerge w:val="continue"/>
            <w:tcBorders>
              <w:left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交换机容量≥36Gbps，包转发率≥26.78Mpps。</w:t>
            </w:r>
          </w:p>
        </w:tc>
      </w:tr>
      <w:tr>
        <w:tblPrEx>
          <w:tblCellMar>
            <w:top w:w="0" w:type="dxa"/>
            <w:left w:w="108" w:type="dxa"/>
            <w:bottom w:w="0" w:type="dxa"/>
            <w:right w:w="108" w:type="dxa"/>
          </w:tblCellMar>
        </w:tblPrEx>
        <w:trPr>
          <w:trHeight w:val="23" w:hRule="atLeast"/>
        </w:trPr>
        <w:tc>
          <w:tcPr>
            <w:tcW w:w="1476" w:type="dxa"/>
            <w:vMerge w:val="continue"/>
            <w:tcBorders>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非网管型交换机，机架式。</w:t>
            </w:r>
          </w:p>
        </w:tc>
      </w:tr>
      <w:tr>
        <w:tblPrEx>
          <w:tblCellMar>
            <w:top w:w="0" w:type="dxa"/>
            <w:left w:w="108" w:type="dxa"/>
            <w:bottom w:w="0" w:type="dxa"/>
            <w:right w:w="108" w:type="dxa"/>
          </w:tblCellMar>
        </w:tblPrEx>
        <w:trPr>
          <w:trHeight w:val="23"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会议桌开槽</w:t>
            </w:r>
          </w:p>
        </w:tc>
        <w:tc>
          <w:tcPr>
            <w:tcW w:w="7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原有会议桌桌面定制开槽</w:t>
            </w:r>
          </w:p>
        </w:tc>
      </w:tr>
      <w:tr>
        <w:tblPrEx>
          <w:tblCellMar>
            <w:top w:w="0" w:type="dxa"/>
            <w:left w:w="108" w:type="dxa"/>
            <w:bottom w:w="0" w:type="dxa"/>
            <w:right w:w="108" w:type="dxa"/>
          </w:tblCellMar>
        </w:tblPrEx>
        <w:trPr>
          <w:trHeight w:val="23" w:hRule="atLeast"/>
        </w:trPr>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线阵音柱</w:t>
            </w: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单元组成：≥4×4" 全频单元；</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额定功率：≥200W，最大功率：≥500W；</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 xml:space="preserve">频率响应：100Hz - 20KHz；  </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灵敏度：≥94dB；</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最大声压: ≥121dB；</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阻抗：8Ω；</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扩散角度：160°x 10°（H x V）；</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输入连接：4 x Euroblock。</w:t>
            </w:r>
          </w:p>
        </w:tc>
      </w:tr>
      <w:tr>
        <w:tblPrEx>
          <w:tblCellMar>
            <w:top w:w="0" w:type="dxa"/>
            <w:left w:w="108" w:type="dxa"/>
            <w:bottom w:w="0" w:type="dxa"/>
            <w:right w:w="108" w:type="dxa"/>
          </w:tblCellMar>
        </w:tblPrEx>
        <w:trPr>
          <w:trHeight w:val="23" w:hRule="atLeast"/>
        </w:trPr>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智控功率放大器</w:t>
            </w: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配有LCD显示屏，具有工作温度指示显示、立体声/桥接状态指示显示、左右声道电平指示显示；</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完善可靠的安全保护措施和工作状态指示（短路、断路、直流电压、过热、过压、射频、超低频保护）；</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具有五位DIP开关，可调节立体声/单声道/桥接工作模式和输入灵敏度0.77V/1.0V/1.4V选择；</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具有3个电源输出接口；</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具有红外控制功能，可学习红外指令，通过红外控制投影仪等红外设备；</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color w:val="FF0000"/>
                <w:highlight w:val="yellow"/>
              </w:rPr>
            </w:pPr>
            <w:r>
              <w:rPr>
                <w:rFonts w:hint="eastAsia"/>
              </w:rPr>
              <w:t>具有串口控制功能，支持RS232和RS485控制串口控制其他设备；</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具有网络控制功能，通过网络接口与局域网连接，可远程监控机房内的设备；</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具有备份还原功能，可将设置好的参数数据保存至电脑，随时调出还原；</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具有集中控制功能，可配合墙板、音频处理器、投影仪等设备实现集中管理；</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r>
              <w:rPr>
                <w:rFonts w:hint="eastAsia"/>
              </w:rPr>
              <w:t>备份还原：可将设置好的开关机时序数据轻松备份至电脑，复制、还原轻松搞定；</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前面板带5路RJ45接口，1路IR红外指示灯，1路总电源指示灯，3路分控电源指示灯</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支持墙面板控制；</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支持WiFi平板控制；</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支持级联,可进行集中管理。</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输出功率：8Ω立体声功率：≥2×300W；4Ω立体声功率：≥2×500W；桥接8Ω功率：≥1×700W；</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信噪比：&gt;103dB；</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阻尼系数：&gt; 600 @ 8Ω；</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总谐波失真：&lt;0.5%(20 Hz-20 kHz 1W)；</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频率响应：20Hz-34KHz(+0/-1dB,1W/8Ω)；</w:t>
            </w:r>
          </w:p>
        </w:tc>
      </w:tr>
      <w:tr>
        <w:tblPrEx>
          <w:tblCellMar>
            <w:top w:w="0" w:type="dxa"/>
            <w:left w:w="108" w:type="dxa"/>
            <w:bottom w:w="0" w:type="dxa"/>
            <w:right w:w="108" w:type="dxa"/>
          </w:tblCellMar>
        </w:tblPrEx>
        <w:trPr>
          <w:trHeight w:val="23" w:hRule="atLeast"/>
        </w:trPr>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音频处理器</w:t>
            </w: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rPr>
                <w:rFonts w:ascii="Times New Roman" w:hAnsi="Times New Roman" w:eastAsia="仿宋" w:cs="Times New Roman"/>
                <w:kern w:val="2"/>
                <w:sz w:val="24"/>
                <w:szCs w:val="24"/>
                <w:lang w:val="en-US" w:eastAsia="zh-CN" w:bidi="ar-SA"/>
              </w:rPr>
            </w:pPr>
            <w:r>
              <w:rPr>
                <w:rFonts w:hint="eastAsia"/>
              </w:rPr>
              <w:t>96KHz采样频率，32-bit DSP处理器，24-bit A/D及D/A转换；</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设备内每个功能支持单独锁定，可根据现场要求任意开放或锁定某一个单独的功能，防止误操作和数据保密；</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每个输入和输出处理均有6段独立的全参量均衡，调节增益范围可达±20dB，同时还可选择参量、高调、低调、1阶全通、2阶全通5种均衡模式；均有延时和相位控制及哑音设置，延时最长可达1000ms，延时单位可选择毫秒(ms)、米(m)、英尺(ft)三种，延时可通过粗调及细调模式进行调节；</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设备软件内置中控代码生成器、可实现一键中英文切换；</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可通过外置UTWR1盒与电脑进行连接,可实现互联网远程控制；</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3路平衡式信号输入，6路平衡式信号输出；可灵活组合多种分频模式，高、低通分频点均可达20Hz～20KHz；</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直接用面板的功能键和拔轮进行功能设置或是连接电脑通过PC控制软件来控制，均十分方便、直观和简洁；提供USB2.0、USB3.0和RS485连接电脑或中控设备，其中RS485接口可级连250台设备设ID进行控制；</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每个输入通道可调噪声门，并且每个输入通道有两段全参数可调的动态均衡（DEQ），自动增益控制；</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输出通道还可独立控制压缩、限幅及自由选择输入信号通道，并能将某通道的所有参数复制到另外一个通道同时进行联动控制；</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2×24 LCD蓝色背光显示功能设置，5段LED显示输入/输出的精确数字电平表、哑音及编辑状态；</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单机可存储30组用户程序数据；其它数据可通过PC软件存储于其它存储介质上。</w:t>
            </w:r>
          </w:p>
        </w:tc>
      </w:tr>
      <w:tr>
        <w:tblPrEx>
          <w:tblCellMar>
            <w:top w:w="0" w:type="dxa"/>
            <w:left w:w="108" w:type="dxa"/>
            <w:bottom w:w="0" w:type="dxa"/>
            <w:right w:w="108" w:type="dxa"/>
          </w:tblCellMar>
        </w:tblPrEx>
        <w:trPr>
          <w:trHeight w:val="23" w:hRule="atLeast"/>
        </w:trPr>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调音台</w:t>
            </w: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2编组、数码显示效果器调音台；</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≥8路MIC通道输入，每通道具有独立+48V幻象供电开关选择；</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内置式静噪开关电源器，使用方便灵活；</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两组左右声道主输出，两编组输出，60mm行程的推子（衰减器）；</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监听功能强大，能分别监听所有输入输出端；</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高品质24bit数字显示效果器；</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10段LED电平显示器；</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具有录音输出接口；</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≥2路AUX辅助输出，≥1组FX发送，≥1路立体声返回；</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具有MP3播放器功能，配备SD卡和USB接口，支持录音功能；</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具有数字USB数字声卡输入，可从电脑直接播放音频到调音台；</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支持蓝牙功能，可手机蓝牙连接播放音乐。</w:t>
            </w:r>
          </w:p>
        </w:tc>
      </w:tr>
      <w:tr>
        <w:tblPrEx>
          <w:tblCellMar>
            <w:top w:w="0" w:type="dxa"/>
            <w:left w:w="108" w:type="dxa"/>
            <w:bottom w:w="0" w:type="dxa"/>
            <w:right w:w="108" w:type="dxa"/>
          </w:tblCellMar>
        </w:tblPrEx>
        <w:trPr>
          <w:trHeight w:val="23" w:hRule="atLeast"/>
        </w:trPr>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电源时序器</w:t>
            </w: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标准机箱设计，铝合金面板，人性化的抽手设计，美观实用；</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前面板带有≥8路电源按键和总开关按键，通过面板一键开关，可时序关启通道，实现时序功能；</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前面板带有≥2路多功能电源插座输出，≥1路USB电源输出；</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≥8路通道开关状态可由面板显示，前面板电压实时显示功能；</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关机时则由后级到前级的顺序关闭系统设备，电源时序器能够按照系统由前级到后级的顺序逐个启动各类设备；</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后面板带RS232控制接口，可外接数字中控设备控制；</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电源时序器可配电脑控制软件，可以通过电脑软件对各路电源进行控制操作；</w:t>
            </w:r>
          </w:p>
        </w:tc>
      </w:tr>
      <w:tr>
        <w:tblPrEx>
          <w:tblCellMar>
            <w:top w:w="0" w:type="dxa"/>
            <w:left w:w="108" w:type="dxa"/>
            <w:bottom w:w="0" w:type="dxa"/>
            <w:right w:w="108" w:type="dxa"/>
          </w:tblCellMar>
        </w:tblPrEx>
        <w:trPr>
          <w:trHeight w:val="23"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≥10通道大功率电源输出，单路最大输出为≥13A，总输入电流容量≥30A。</w:t>
            </w:r>
          </w:p>
        </w:tc>
      </w:tr>
      <w:tr>
        <w:tblPrEx>
          <w:tblCellMar>
            <w:top w:w="0" w:type="dxa"/>
            <w:left w:w="108" w:type="dxa"/>
            <w:bottom w:w="0" w:type="dxa"/>
            <w:right w:w="108" w:type="dxa"/>
          </w:tblCellMar>
        </w:tblPrEx>
        <w:trPr>
          <w:trHeight w:val="23"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线路布排及装修恢复</w:t>
            </w: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包括决策室、控制节点、屏幕的线路布排及装修恢复</w:t>
            </w:r>
          </w:p>
        </w:tc>
      </w:tr>
      <w:tr>
        <w:tblPrEx>
          <w:tblCellMar>
            <w:top w:w="0" w:type="dxa"/>
            <w:left w:w="108" w:type="dxa"/>
            <w:bottom w:w="0" w:type="dxa"/>
            <w:right w:w="108" w:type="dxa"/>
          </w:tblCellMar>
        </w:tblPrEx>
        <w:trPr>
          <w:trHeight w:val="23"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辅材</w:t>
            </w: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视频线、水晶头，网线，扎带，排插，电工胶布等</w:t>
            </w:r>
          </w:p>
        </w:tc>
      </w:tr>
    </w:tbl>
    <w:p>
      <w:pPr>
        <w:pStyle w:val="6"/>
        <w:ind w:firstLine="482"/>
      </w:pPr>
      <w:r>
        <w:rPr>
          <w:rFonts w:hint="eastAsia"/>
        </w:rPr>
        <w:t>2.2.3值班室</w:t>
      </w:r>
    </w:p>
    <w:tbl>
      <w:tblPr>
        <w:tblStyle w:val="66"/>
        <w:tblW w:w="4996" w:type="pct"/>
        <w:tblInd w:w="0" w:type="dxa"/>
        <w:tblLayout w:type="autofit"/>
        <w:tblCellMar>
          <w:top w:w="0" w:type="dxa"/>
          <w:left w:w="108" w:type="dxa"/>
          <w:bottom w:w="0" w:type="dxa"/>
          <w:right w:w="108" w:type="dxa"/>
        </w:tblCellMar>
      </w:tblPr>
      <w:tblGrid>
        <w:gridCol w:w="1911"/>
        <w:gridCol w:w="7368"/>
      </w:tblGrid>
      <w:tr>
        <w:tblPrEx>
          <w:tblCellMar>
            <w:top w:w="0" w:type="dxa"/>
            <w:left w:w="108" w:type="dxa"/>
            <w:bottom w:w="0" w:type="dxa"/>
            <w:right w:w="108" w:type="dxa"/>
          </w:tblCellMar>
        </w:tblPrEx>
        <w:trPr>
          <w:trHeight w:val="30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lang w:val="en-US"/>
              </w:rPr>
            </w:pPr>
            <w:r>
              <w:rPr>
                <w:rFonts w:hint="eastAsia"/>
                <w:lang w:val="en-US"/>
              </w:rPr>
              <w:t>名称</w:t>
            </w: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lang w:val="en-US"/>
              </w:rPr>
            </w:pPr>
            <w:r>
              <w:rPr>
                <w:rFonts w:hint="eastAsia"/>
                <w:lang w:val="en-US"/>
              </w:rPr>
              <w:t>参数</w:t>
            </w:r>
          </w:p>
        </w:tc>
      </w:tr>
      <w:tr>
        <w:tblPrEx>
          <w:tblCellMar>
            <w:top w:w="0" w:type="dxa"/>
            <w:left w:w="108" w:type="dxa"/>
            <w:bottom w:w="0" w:type="dxa"/>
            <w:right w:w="108" w:type="dxa"/>
          </w:tblCellMar>
        </w:tblPrEx>
        <w:trPr>
          <w:trHeight w:val="454" w:hRule="atLeast"/>
        </w:trPr>
        <w:tc>
          <w:tcPr>
            <w:tcW w:w="1030" w:type="pct"/>
            <w:vMerge w:val="restart"/>
            <w:tcBorders>
              <w:top w:val="single" w:color="000000" w:sz="4" w:space="0"/>
              <w:left w:val="single" w:color="000000" w:sz="4" w:space="0"/>
              <w:right w:val="single" w:color="000000" w:sz="4" w:space="0"/>
            </w:tcBorders>
            <w:shd w:val="clear" w:color="auto" w:fill="auto"/>
            <w:noWrap/>
            <w:vAlign w:val="center"/>
          </w:tcPr>
          <w:p>
            <w:pPr>
              <w:ind w:firstLine="0" w:firstLineChars="0"/>
              <w:rPr>
                <w:highlight w:val="yellow"/>
              </w:rPr>
            </w:pPr>
            <w:r>
              <w:rPr>
                <w:rFonts w:hint="eastAsia"/>
              </w:rPr>
              <w:t>98寸监视器</w:t>
            </w: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highlight w:val="yellow"/>
              </w:rPr>
            </w:pPr>
            <w:r>
              <w:rPr>
                <w:rFonts w:hint="eastAsia"/>
              </w:rPr>
              <w:t>采用原装模组，支持7*24小时连续工作，性能稳定，在高温、强光下保证画面绚丽；</w:t>
            </w:r>
          </w:p>
        </w:tc>
      </w:tr>
      <w:tr>
        <w:tblPrEx>
          <w:tblCellMar>
            <w:top w:w="0" w:type="dxa"/>
            <w:left w:w="108" w:type="dxa"/>
            <w:bottom w:w="0" w:type="dxa"/>
            <w:right w:w="108" w:type="dxa"/>
          </w:tblCellMar>
        </w:tblPrEx>
        <w:trPr>
          <w:trHeight w:val="454" w:hRule="atLeast"/>
        </w:trPr>
        <w:tc>
          <w:tcPr>
            <w:tcW w:w="1030" w:type="pct"/>
            <w:vMerge w:val="continue"/>
            <w:tcBorders>
              <w:left w:val="single" w:color="000000" w:sz="4" w:space="0"/>
              <w:right w:val="single" w:color="000000" w:sz="4" w:space="0"/>
            </w:tcBorders>
            <w:shd w:val="clear" w:color="auto" w:fill="auto"/>
            <w:noWrap/>
            <w:vAlign w:val="center"/>
          </w:tcPr>
          <w:p>
            <w:pPr>
              <w:ind w:firstLine="480"/>
              <w:rPr>
                <w:highlight w:val="yellow"/>
              </w:rPr>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屏幕尺寸≥98英寸，16：9，具有自动消除残影功能，保护液晶屏的长期使用；</w:t>
            </w:r>
          </w:p>
        </w:tc>
      </w:tr>
      <w:tr>
        <w:tblPrEx>
          <w:tblCellMar>
            <w:top w:w="0" w:type="dxa"/>
            <w:left w:w="108" w:type="dxa"/>
            <w:bottom w:w="0" w:type="dxa"/>
            <w:right w:w="108" w:type="dxa"/>
          </w:tblCellMar>
        </w:tblPrEx>
        <w:trPr>
          <w:trHeight w:val="444" w:hRule="atLeast"/>
        </w:trPr>
        <w:tc>
          <w:tcPr>
            <w:tcW w:w="1030" w:type="pct"/>
            <w:vMerge w:val="continue"/>
            <w:tcBorders>
              <w:left w:val="single" w:color="000000" w:sz="4" w:space="0"/>
              <w:right w:val="single" w:color="000000" w:sz="4" w:space="0"/>
            </w:tcBorders>
            <w:shd w:val="clear" w:color="auto" w:fill="auto"/>
            <w:noWrap/>
            <w:vAlign w:val="center"/>
          </w:tcPr>
          <w:p>
            <w:pPr>
              <w:ind w:firstLine="480"/>
              <w:rPr>
                <w:highlight w:val="yellow"/>
              </w:rPr>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分辨率：</w:t>
            </w:r>
            <w:r>
              <w:t>3840×2160、亮度：350cd/m²、对比度：1400:1</w:t>
            </w:r>
          </w:p>
        </w:tc>
      </w:tr>
      <w:tr>
        <w:trPr>
          <w:trHeight w:val="122" w:hRule="atLeast"/>
        </w:trPr>
        <w:tc>
          <w:tcPr>
            <w:tcW w:w="1030" w:type="pct"/>
            <w:vMerge w:val="continue"/>
            <w:tcBorders>
              <w:left w:val="single" w:color="000000" w:sz="4" w:space="0"/>
              <w:right w:val="single" w:color="000000" w:sz="4" w:space="0"/>
            </w:tcBorders>
            <w:shd w:val="clear" w:color="auto" w:fill="auto"/>
            <w:noWrap/>
            <w:vAlign w:val="center"/>
          </w:tcPr>
          <w:p>
            <w:pPr>
              <w:ind w:firstLine="480"/>
              <w:rPr>
                <w:highlight w:val="yellow"/>
              </w:rPr>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采用最新3D数字解码和图像降噪技术；</w:t>
            </w:r>
          </w:p>
        </w:tc>
      </w:tr>
      <w:tr>
        <w:tblPrEx>
          <w:tblCellMar>
            <w:top w:w="0" w:type="dxa"/>
            <w:left w:w="108" w:type="dxa"/>
            <w:bottom w:w="0" w:type="dxa"/>
            <w:right w:w="108" w:type="dxa"/>
          </w:tblCellMar>
        </w:tblPrEx>
        <w:trPr>
          <w:trHeight w:val="454" w:hRule="atLeast"/>
        </w:trPr>
        <w:tc>
          <w:tcPr>
            <w:tcW w:w="1030" w:type="pct"/>
            <w:vMerge w:val="continue"/>
            <w:tcBorders>
              <w:left w:val="single" w:color="000000" w:sz="4" w:space="0"/>
              <w:right w:val="single" w:color="000000" w:sz="4" w:space="0"/>
            </w:tcBorders>
            <w:shd w:val="clear" w:color="auto" w:fill="auto"/>
            <w:noWrap/>
            <w:vAlign w:val="center"/>
          </w:tcPr>
          <w:p>
            <w:pPr>
              <w:ind w:firstLine="480"/>
              <w:rPr>
                <w:highlight w:val="yellow"/>
              </w:rPr>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信号接口：CVBS(BNC)×1、DVI×1、HDMI×2、VGA×1、USB×1、音频输入×1、音频输出×1、RS232输入×1</w:t>
            </w:r>
            <w:r>
              <w:rPr>
                <w:rFonts w:hint="eastAsia"/>
              </w:rPr>
              <w:t>、</w:t>
            </w:r>
            <w:r>
              <w:t>RS232输出×1</w:t>
            </w:r>
          </w:p>
        </w:tc>
      </w:tr>
      <w:tr>
        <w:tblPrEx>
          <w:tblCellMar>
            <w:top w:w="0" w:type="dxa"/>
            <w:left w:w="108" w:type="dxa"/>
            <w:bottom w:w="0" w:type="dxa"/>
            <w:right w:w="108" w:type="dxa"/>
          </w:tblCellMar>
        </w:tblPrEx>
        <w:trPr>
          <w:trHeight w:val="454" w:hRule="atLeast"/>
        </w:trPr>
        <w:tc>
          <w:tcPr>
            <w:tcW w:w="1030" w:type="pct"/>
            <w:vMerge w:val="continue"/>
            <w:tcBorders>
              <w:left w:val="single" w:color="000000" w:sz="4" w:space="0"/>
              <w:right w:val="single" w:color="000000" w:sz="4" w:space="0"/>
            </w:tcBorders>
            <w:shd w:val="clear" w:color="auto" w:fill="auto"/>
            <w:noWrap/>
            <w:vAlign w:val="center"/>
          </w:tcPr>
          <w:p>
            <w:pPr>
              <w:ind w:firstLine="480"/>
              <w:rPr>
                <w:highlight w:val="yellow"/>
              </w:rPr>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highlight w:val="yellow"/>
              </w:rPr>
            </w:pPr>
            <w:r>
              <w:rPr>
                <w:rFonts w:hint="eastAsia"/>
              </w:rPr>
              <w:t>5ms极速响应时间，画面真正无拖尾；</w:t>
            </w:r>
          </w:p>
        </w:tc>
      </w:tr>
      <w:tr>
        <w:tblPrEx>
          <w:tblCellMar>
            <w:top w:w="0" w:type="dxa"/>
            <w:left w:w="108" w:type="dxa"/>
            <w:bottom w:w="0" w:type="dxa"/>
            <w:right w:w="108" w:type="dxa"/>
          </w:tblCellMar>
        </w:tblPrEx>
        <w:trPr>
          <w:trHeight w:val="454" w:hRule="atLeast"/>
        </w:trPr>
        <w:tc>
          <w:tcPr>
            <w:tcW w:w="1030" w:type="pct"/>
            <w:vMerge w:val="continue"/>
            <w:tcBorders>
              <w:left w:val="single" w:color="000000" w:sz="4" w:space="0"/>
              <w:right w:val="single" w:color="000000" w:sz="4" w:space="0"/>
            </w:tcBorders>
            <w:shd w:val="clear" w:color="auto" w:fill="auto"/>
            <w:noWrap/>
            <w:vAlign w:val="center"/>
          </w:tcPr>
          <w:p>
            <w:pPr>
              <w:ind w:firstLine="480"/>
              <w:rPr>
                <w:highlight w:val="yellow"/>
              </w:rPr>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highlight w:val="yellow"/>
              </w:rPr>
            </w:pPr>
            <w:r>
              <w:rPr>
                <w:rFonts w:hint="eastAsia"/>
              </w:rPr>
              <w:t>I</w:t>
            </w:r>
            <w:r>
              <w:t>²</w:t>
            </w:r>
            <w:r>
              <w:rPr>
                <w:rFonts w:hint="eastAsia"/>
              </w:rPr>
              <w:t>C总线最新控制电路,整机可靠性高，扩展性好；</w:t>
            </w:r>
          </w:p>
        </w:tc>
      </w:tr>
      <w:tr>
        <w:tblPrEx>
          <w:tblCellMar>
            <w:top w:w="0" w:type="dxa"/>
            <w:left w:w="108" w:type="dxa"/>
            <w:bottom w:w="0" w:type="dxa"/>
            <w:right w:w="108" w:type="dxa"/>
          </w:tblCellMar>
        </w:tblPrEx>
        <w:trPr>
          <w:trHeight w:val="454" w:hRule="atLeast"/>
        </w:trPr>
        <w:tc>
          <w:tcPr>
            <w:tcW w:w="1030" w:type="pct"/>
            <w:vMerge w:val="continue"/>
            <w:tcBorders>
              <w:left w:val="single" w:color="000000" w:sz="4" w:space="0"/>
              <w:right w:val="single" w:color="000000" w:sz="4" w:space="0"/>
            </w:tcBorders>
            <w:shd w:val="clear" w:color="auto" w:fill="auto"/>
            <w:noWrap/>
            <w:vAlign w:val="center"/>
          </w:tcPr>
          <w:p>
            <w:pPr>
              <w:ind w:firstLine="480"/>
              <w:rPr>
                <w:highlight w:val="yellow"/>
              </w:rPr>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highlight w:val="yellow"/>
              </w:rPr>
            </w:pPr>
            <w:r>
              <w:rPr>
                <w:rFonts w:hint="eastAsia"/>
              </w:rPr>
              <w:t>内置电源，液晶屏使用寿命可达6万小时以上；</w:t>
            </w:r>
          </w:p>
        </w:tc>
      </w:tr>
      <w:tr>
        <w:tblPrEx>
          <w:tblCellMar>
            <w:top w:w="0" w:type="dxa"/>
            <w:left w:w="108" w:type="dxa"/>
            <w:bottom w:w="0" w:type="dxa"/>
            <w:right w:w="108" w:type="dxa"/>
          </w:tblCellMar>
        </w:tblPrEx>
        <w:trPr>
          <w:trHeight w:val="454" w:hRule="atLeast"/>
        </w:trPr>
        <w:tc>
          <w:tcPr>
            <w:tcW w:w="1030" w:type="pct"/>
            <w:vMerge w:val="continue"/>
            <w:tcBorders>
              <w:left w:val="single" w:color="000000" w:sz="4" w:space="0"/>
              <w:right w:val="single" w:color="000000" w:sz="4" w:space="0"/>
            </w:tcBorders>
            <w:shd w:val="clear" w:color="auto" w:fill="auto"/>
            <w:noWrap/>
            <w:vAlign w:val="center"/>
          </w:tcPr>
          <w:p>
            <w:pPr>
              <w:ind w:firstLine="480"/>
              <w:rPr>
                <w:highlight w:val="yellow"/>
              </w:rPr>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highlight w:val="yellow"/>
              </w:rPr>
            </w:pPr>
            <w:r>
              <w:rPr>
                <w:rFonts w:hint="eastAsia"/>
              </w:rPr>
              <w:t>装备有灵敏的红外接收装置，可遥控调节监视器的各项参数；</w:t>
            </w:r>
          </w:p>
        </w:tc>
      </w:tr>
      <w:tr>
        <w:trPr>
          <w:trHeight w:val="176" w:hRule="atLeast"/>
        </w:trPr>
        <w:tc>
          <w:tcPr>
            <w:tcW w:w="1030" w:type="pct"/>
            <w:vMerge w:val="continue"/>
            <w:tcBorders>
              <w:left w:val="single" w:color="000000" w:sz="4" w:space="0"/>
              <w:right w:val="single" w:color="000000" w:sz="4" w:space="0"/>
            </w:tcBorders>
            <w:shd w:val="clear" w:color="auto" w:fill="auto"/>
            <w:noWrap/>
            <w:vAlign w:val="center"/>
          </w:tcPr>
          <w:p>
            <w:pPr>
              <w:ind w:firstLine="480"/>
              <w:rPr>
                <w:highlight w:val="yellow"/>
              </w:rPr>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highlight w:val="yellow"/>
              </w:rPr>
            </w:pPr>
            <w:r>
              <w:rPr>
                <w:rFonts w:hint="eastAsia"/>
              </w:rPr>
              <w:t>全金属外壳结构设计，防电磁屏蔽性强，无辐射；</w:t>
            </w:r>
          </w:p>
        </w:tc>
      </w:tr>
      <w:tr>
        <w:tblPrEx>
          <w:tblCellMar>
            <w:top w:w="0" w:type="dxa"/>
            <w:left w:w="108" w:type="dxa"/>
            <w:bottom w:w="0" w:type="dxa"/>
            <w:right w:w="108" w:type="dxa"/>
          </w:tblCellMar>
        </w:tblPrEx>
        <w:trPr>
          <w:trHeight w:val="454" w:hRule="atLeast"/>
        </w:trPr>
        <w:tc>
          <w:tcPr>
            <w:tcW w:w="1030" w:type="pct"/>
            <w:vMerge w:val="continue"/>
            <w:tcBorders>
              <w:left w:val="single" w:color="000000" w:sz="4" w:space="0"/>
              <w:right w:val="single" w:color="000000" w:sz="4" w:space="0"/>
            </w:tcBorders>
            <w:shd w:val="clear" w:color="auto" w:fill="auto"/>
            <w:noWrap/>
            <w:vAlign w:val="center"/>
          </w:tcPr>
          <w:p>
            <w:pPr>
              <w:ind w:firstLine="480"/>
              <w:rPr>
                <w:highlight w:val="yellow"/>
              </w:rPr>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highlight w:val="yellow"/>
              </w:rPr>
            </w:pPr>
            <w:r>
              <w:rPr>
                <w:rFonts w:hint="eastAsia"/>
              </w:rPr>
              <w:t>采用直下式LED技术，可局部开启LED背光，即可降低功耗，有可增加显示对比度，增强显示效果；</w:t>
            </w:r>
          </w:p>
        </w:tc>
      </w:tr>
      <w:tr>
        <w:tblPrEx>
          <w:tblCellMar>
            <w:top w:w="0" w:type="dxa"/>
            <w:left w:w="108" w:type="dxa"/>
            <w:bottom w:w="0" w:type="dxa"/>
            <w:right w:w="108" w:type="dxa"/>
          </w:tblCellMar>
        </w:tblPrEx>
        <w:trPr>
          <w:trHeight w:val="454" w:hRule="atLeast"/>
        </w:trPr>
        <w:tc>
          <w:tcPr>
            <w:tcW w:w="1030" w:type="pct"/>
            <w:vMerge w:val="continue"/>
            <w:tcBorders>
              <w:left w:val="single" w:color="000000" w:sz="4" w:space="0"/>
              <w:right w:val="single" w:color="000000" w:sz="4" w:space="0"/>
            </w:tcBorders>
            <w:shd w:val="clear" w:color="auto" w:fill="auto"/>
            <w:noWrap/>
            <w:vAlign w:val="center"/>
          </w:tcPr>
          <w:p>
            <w:pPr>
              <w:ind w:firstLine="480"/>
              <w:rPr>
                <w:highlight w:val="yellow"/>
              </w:rPr>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highlight w:val="yellow"/>
              </w:rPr>
            </w:pPr>
            <w:r>
              <w:rPr>
                <w:rFonts w:hint="eastAsia"/>
              </w:rPr>
              <w:t xml:space="preserve">采用最新的信号补偿技术，当信号传输达到一定长度后，采用独有的信号补偿功能，保证传输效果； </w:t>
            </w:r>
            <w:r>
              <w:t xml:space="preserve"> </w:t>
            </w:r>
          </w:p>
        </w:tc>
      </w:tr>
      <w:tr>
        <w:tblPrEx>
          <w:tblCellMar>
            <w:top w:w="0" w:type="dxa"/>
            <w:left w:w="108" w:type="dxa"/>
            <w:bottom w:w="0" w:type="dxa"/>
            <w:right w:w="108" w:type="dxa"/>
          </w:tblCellMar>
        </w:tblPrEx>
        <w:trPr>
          <w:trHeight w:val="90" w:hRule="atLeast"/>
        </w:trPr>
        <w:tc>
          <w:tcPr>
            <w:tcW w:w="1030" w:type="pct"/>
            <w:vMerge w:val="continue"/>
            <w:tcBorders>
              <w:left w:val="single" w:color="000000" w:sz="4" w:space="0"/>
              <w:right w:val="single" w:color="000000" w:sz="4" w:space="0"/>
            </w:tcBorders>
            <w:shd w:val="clear" w:color="auto" w:fill="auto"/>
            <w:noWrap/>
            <w:vAlign w:val="center"/>
          </w:tcPr>
          <w:p>
            <w:pPr>
              <w:ind w:firstLine="480"/>
              <w:rPr>
                <w:highlight w:val="yellow"/>
              </w:rPr>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采用RJ45智能远程控制，单台计算机可对多台显示器进行控制操作。</w:t>
            </w:r>
          </w:p>
          <w:p>
            <w:pPr>
              <w:pStyle w:val="2"/>
              <w:ind w:firstLine="480" w:firstLineChars="200"/>
              <w:jc w:val="left"/>
              <w:rPr>
                <w:rFonts w:ascii="Times New Roman" w:hAnsi="Times New Roman"/>
                <w:b w:val="0"/>
                <w:kern w:val="2"/>
                <w:sz w:val="24"/>
                <w:szCs w:val="24"/>
                <w:highlight w:val="yellow"/>
              </w:rPr>
            </w:pPr>
            <w:r>
              <w:rPr>
                <w:rFonts w:hint="eastAsia" w:ascii="Times New Roman" w:hAnsi="Times New Roman"/>
                <w:b w:val="0"/>
                <w:kern w:val="2"/>
                <w:sz w:val="24"/>
                <w:szCs w:val="24"/>
              </w:rPr>
              <w:t>配置壁装支架</w:t>
            </w:r>
          </w:p>
        </w:tc>
      </w:tr>
      <w:tr>
        <w:tblPrEx>
          <w:tblCellMar>
            <w:top w:w="0" w:type="dxa"/>
            <w:left w:w="108" w:type="dxa"/>
            <w:bottom w:w="0" w:type="dxa"/>
            <w:right w:w="108" w:type="dxa"/>
          </w:tblCellMar>
        </w:tblPrEx>
        <w:trPr>
          <w:trHeight w:val="454" w:hRule="atLeast"/>
        </w:trPr>
        <w:tc>
          <w:tcPr>
            <w:tcW w:w="1030" w:type="pct"/>
            <w:vMerge w:val="restart"/>
            <w:tcBorders>
              <w:top w:val="single" w:color="000000" w:sz="4" w:space="0"/>
              <w:left w:val="single" w:color="000000" w:sz="4" w:space="0"/>
              <w:right w:val="single" w:color="000000" w:sz="4" w:space="0"/>
            </w:tcBorders>
            <w:shd w:val="clear" w:color="auto" w:fill="auto"/>
            <w:vAlign w:val="center"/>
          </w:tcPr>
          <w:p>
            <w:pPr>
              <w:ind w:firstLine="0" w:firstLineChars="0"/>
            </w:pPr>
            <w:r>
              <w:rPr>
                <w:rFonts w:hint="eastAsia"/>
              </w:rPr>
              <w:t>人脸识别门禁主机</w:t>
            </w: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配置</w:t>
            </w:r>
            <w:r>
              <w:t>7寸触摸屏，屏幕分辨率不低于600*1024</w:t>
            </w:r>
            <w:r>
              <w:rPr>
                <w:rFonts w:hint="eastAsia"/>
              </w:rPr>
              <w:t>。</w:t>
            </w:r>
          </w:p>
        </w:tc>
      </w:tr>
      <w:tr>
        <w:trPr>
          <w:trHeight w:val="870"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支持双目摄像头，一路可见光摄像头，一路红外摄像头，可见光摄像头分辨率</w:t>
            </w:r>
            <w:r>
              <w:rPr>
                <w:rFonts w:hint="eastAsia"/>
              </w:rPr>
              <w:t>≥</w:t>
            </w:r>
            <w:r>
              <w:t>1080×1920</w:t>
            </w:r>
            <w:r>
              <w:rPr>
                <w:rFonts w:hint="eastAsia"/>
              </w:rPr>
              <w:t>。</w:t>
            </w:r>
          </w:p>
        </w:tc>
      </w:tr>
      <w:tr>
        <w:trPr>
          <w:trHeight w:val="437"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支持嵌入式防拆报警按钮设计，受到外力异常拆卸可产生报警</w:t>
            </w:r>
            <w:r>
              <w:rPr>
                <w:rFonts w:hint="eastAsia"/>
              </w:rPr>
              <w:t>。</w:t>
            </w:r>
          </w:p>
        </w:tc>
      </w:tr>
      <w:tr>
        <w:tblPrEx>
          <w:tblCellMar>
            <w:top w:w="0" w:type="dxa"/>
            <w:left w:w="108" w:type="dxa"/>
            <w:bottom w:w="0" w:type="dxa"/>
            <w:right w:w="108" w:type="dxa"/>
          </w:tblCellMar>
        </w:tblPrEx>
        <w:trPr>
          <w:trHeight w:val="454"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支持韦根协议输入及输出</w:t>
            </w:r>
            <w:r>
              <w:rPr>
                <w:rFonts w:hint="eastAsia"/>
              </w:rPr>
              <w:t>。</w:t>
            </w:r>
          </w:p>
        </w:tc>
      </w:tr>
      <w:tr>
        <w:trPr>
          <w:trHeight w:val="323"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支持对IC卡、CPU卡序列号和手机4G卡物理序列号进行识读</w:t>
            </w:r>
            <w:r>
              <w:rPr>
                <w:rFonts w:hint="eastAsia"/>
              </w:rPr>
              <w:t>。</w:t>
            </w:r>
          </w:p>
        </w:tc>
      </w:tr>
      <w:tr>
        <w:trPr>
          <w:trHeight w:val="870"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具备人脸识别、人证比对识别、IC卡识别、数字密码、二维码等多种核验方式</w:t>
            </w:r>
            <w:r>
              <w:rPr>
                <w:rFonts w:hint="eastAsia"/>
              </w:rPr>
              <w:t>。</w:t>
            </w:r>
          </w:p>
        </w:tc>
      </w:tr>
      <w:tr>
        <w:trPr>
          <w:trHeight w:val="870"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支持人脸活体检测功能（防假体攻击功能），对照片、视频、3D模型中的人脸不能进行人脸识别开门</w:t>
            </w:r>
            <w:r>
              <w:rPr>
                <w:rFonts w:hint="eastAsia"/>
              </w:rPr>
              <w:t>。</w:t>
            </w:r>
          </w:p>
        </w:tc>
      </w:tr>
      <w:tr>
        <w:tblPrEx>
          <w:tblCellMar>
            <w:top w:w="0" w:type="dxa"/>
            <w:left w:w="108" w:type="dxa"/>
            <w:bottom w:w="0" w:type="dxa"/>
            <w:right w:w="108" w:type="dxa"/>
          </w:tblCellMar>
        </w:tblPrEx>
        <w:trPr>
          <w:trHeight w:val="870"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设备应支持H.265编码格式的视频输出，支持录像机抓拍图片导出。</w:t>
            </w:r>
          </w:p>
        </w:tc>
      </w:tr>
      <w:tr>
        <w:trPr>
          <w:trHeight w:val="454"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支持单个人员导入</w:t>
            </w:r>
            <w:r>
              <w:rPr>
                <w:rFonts w:hint="eastAsia"/>
              </w:rPr>
              <w:t>，</w:t>
            </w:r>
            <w:r>
              <w:t>底库照片不少于6张。</w:t>
            </w:r>
          </w:p>
        </w:tc>
      </w:tr>
      <w:tr>
        <w:trPr>
          <w:trHeight w:val="870"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设备具备低照度功能，支持在环境光为0.001lux下正常检测并识别人脸</w:t>
            </w:r>
            <w:r>
              <w:rPr>
                <w:rFonts w:hint="eastAsia"/>
              </w:rPr>
              <w:t>。</w:t>
            </w:r>
          </w:p>
        </w:tc>
      </w:tr>
      <w:tr>
        <w:tblPrEx>
          <w:tblCellMar>
            <w:top w:w="0" w:type="dxa"/>
            <w:left w:w="108" w:type="dxa"/>
            <w:bottom w:w="0" w:type="dxa"/>
            <w:right w:w="108" w:type="dxa"/>
          </w:tblCellMar>
        </w:tblPrEx>
        <w:trPr>
          <w:trHeight w:val="454"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人脸识别平均响应时间应不超过200ms。</w:t>
            </w:r>
          </w:p>
        </w:tc>
      </w:tr>
      <w:tr>
        <w:tblPrEx>
          <w:tblCellMar>
            <w:top w:w="0" w:type="dxa"/>
            <w:left w:w="108" w:type="dxa"/>
            <w:bottom w:w="0" w:type="dxa"/>
            <w:right w:w="108" w:type="dxa"/>
          </w:tblCellMar>
        </w:tblPrEx>
        <w:trPr>
          <w:trHeight w:val="454"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识别率不低于99.8%，误识率不高于0.001%。</w:t>
            </w:r>
          </w:p>
        </w:tc>
      </w:tr>
      <w:tr>
        <w:tblPrEx>
          <w:tblCellMar>
            <w:top w:w="0" w:type="dxa"/>
            <w:left w:w="108" w:type="dxa"/>
            <w:bottom w:w="0" w:type="dxa"/>
            <w:right w:w="108" w:type="dxa"/>
          </w:tblCellMar>
        </w:tblPrEx>
        <w:trPr>
          <w:trHeight w:val="454"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支持通过https协议进行数据传输。</w:t>
            </w:r>
          </w:p>
        </w:tc>
      </w:tr>
      <w:tr>
        <w:trPr>
          <w:trHeight w:val="454"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支持语音播报姓名，温度等，支持自定义语音提示。</w:t>
            </w:r>
          </w:p>
        </w:tc>
      </w:tr>
      <w:tr>
        <w:tblPrEx>
          <w:tblCellMar>
            <w:top w:w="0" w:type="dxa"/>
            <w:left w:w="108" w:type="dxa"/>
            <w:bottom w:w="0" w:type="dxa"/>
            <w:right w:w="108" w:type="dxa"/>
          </w:tblCellMar>
        </w:tblPrEx>
        <w:trPr>
          <w:trHeight w:val="454" w:hRule="atLeast"/>
        </w:trPr>
        <w:tc>
          <w:tcPr>
            <w:tcW w:w="1030" w:type="pct"/>
            <w:vMerge w:val="continue"/>
            <w:tcBorders>
              <w:left w:val="single" w:color="000000" w:sz="4" w:space="0"/>
              <w:bottom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IP65防护等级</w:t>
            </w:r>
            <w:r>
              <w:rPr>
                <w:rFonts w:hint="eastAsia"/>
              </w:rPr>
              <w:t>。</w:t>
            </w:r>
          </w:p>
        </w:tc>
      </w:tr>
      <w:tr>
        <w:tblPrEx>
          <w:tblCellMar>
            <w:top w:w="0" w:type="dxa"/>
            <w:left w:w="108" w:type="dxa"/>
            <w:bottom w:w="0" w:type="dxa"/>
            <w:right w:w="108" w:type="dxa"/>
          </w:tblCellMar>
        </w:tblPrEx>
        <w:trPr>
          <w:trHeight w:val="454"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出门按钮</w:t>
            </w: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86型。</w:t>
            </w:r>
          </w:p>
        </w:tc>
      </w:tr>
      <w:tr>
        <w:trPr>
          <w:trHeight w:val="454"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单门磁力锁</w:t>
            </w: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最大拉力≥280kg，门锁状态输出/延时0/3/6/9秒可调。</w:t>
            </w:r>
          </w:p>
        </w:tc>
      </w:tr>
      <w:tr>
        <w:tblPrEx>
          <w:tblCellMar>
            <w:top w:w="0" w:type="dxa"/>
            <w:left w:w="108" w:type="dxa"/>
            <w:bottom w:w="0" w:type="dxa"/>
            <w:right w:w="108" w:type="dxa"/>
          </w:tblCellMar>
        </w:tblPrEx>
        <w:trPr>
          <w:trHeight w:val="454"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闭门器</w:t>
            </w: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液压缓冲闭门器，承重≥45KG。</w:t>
            </w:r>
          </w:p>
        </w:tc>
      </w:tr>
      <w:tr>
        <w:tblPrEx>
          <w:tblCellMar>
            <w:top w:w="0" w:type="dxa"/>
            <w:left w:w="108" w:type="dxa"/>
            <w:bottom w:w="0" w:type="dxa"/>
            <w:right w:w="108" w:type="dxa"/>
          </w:tblCellMar>
        </w:tblPrEx>
        <w:trPr>
          <w:trHeight w:val="454"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20" w:leftChars="-50" w:right="-120" w:rightChars="-50" w:firstLine="0" w:firstLineChars="0"/>
              <w:jc w:val="center"/>
            </w:pPr>
            <w:r>
              <w:rPr>
                <w:rFonts w:hint="eastAsia"/>
              </w:rPr>
              <w:t>地面隐形地插</w:t>
            </w: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86型、五孔+网络。</w:t>
            </w:r>
          </w:p>
        </w:tc>
      </w:tr>
      <w:tr>
        <w:tblPrEx>
          <w:tblCellMar>
            <w:top w:w="0" w:type="dxa"/>
            <w:left w:w="108" w:type="dxa"/>
            <w:bottom w:w="0" w:type="dxa"/>
            <w:right w:w="108" w:type="dxa"/>
          </w:tblCellMar>
        </w:tblPrEx>
        <w:trPr>
          <w:trHeight w:val="232" w:hRule="atLeast"/>
        </w:trPr>
        <w:tc>
          <w:tcPr>
            <w:tcW w:w="1030" w:type="pct"/>
            <w:vMerge w:val="restart"/>
            <w:tcBorders>
              <w:top w:val="single" w:color="000000" w:sz="4" w:space="0"/>
              <w:left w:val="single" w:color="000000" w:sz="4" w:space="0"/>
              <w:right w:val="single" w:color="000000" w:sz="4" w:space="0"/>
            </w:tcBorders>
            <w:shd w:val="clear" w:color="auto" w:fill="auto"/>
            <w:vAlign w:val="center"/>
          </w:tcPr>
          <w:p>
            <w:pPr>
              <w:ind w:firstLine="0" w:firstLineChars="0"/>
            </w:pPr>
            <w:r>
              <w:rPr>
                <w:rFonts w:hint="eastAsia"/>
              </w:rPr>
              <w:t>高清网络摄像机</w:t>
            </w: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300万像素1/2.7"红外级海螺半球网络摄像机。</w:t>
            </w:r>
          </w:p>
        </w:tc>
      </w:tr>
      <w:tr>
        <w:tblPrEx>
          <w:tblCellMar>
            <w:top w:w="0" w:type="dxa"/>
            <w:left w:w="108" w:type="dxa"/>
            <w:bottom w:w="0" w:type="dxa"/>
            <w:right w:w="108" w:type="dxa"/>
          </w:tblCellMar>
        </w:tblPrEx>
        <w:trPr>
          <w:trHeight w:val="232"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3MP(2304×1296）@20FPS。</w:t>
            </w:r>
          </w:p>
        </w:tc>
      </w:tr>
      <w:tr>
        <w:tblPrEx>
          <w:tblCellMar>
            <w:top w:w="0" w:type="dxa"/>
            <w:left w:w="108" w:type="dxa"/>
            <w:bottom w:w="0" w:type="dxa"/>
            <w:right w:w="108" w:type="dxa"/>
          </w:tblCellMar>
        </w:tblPrEx>
        <w:trPr>
          <w:trHeight w:val="232"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0.01Lux(F2.0，AGCON，彩色），0lux(开启红外）。</w:t>
            </w:r>
          </w:p>
        </w:tc>
      </w:tr>
      <w:tr>
        <w:tblPrEx>
          <w:tblCellMar>
            <w:top w:w="0" w:type="dxa"/>
            <w:left w:w="108" w:type="dxa"/>
            <w:bottom w:w="0" w:type="dxa"/>
            <w:right w:w="108" w:type="dxa"/>
          </w:tblCellMar>
        </w:tblPrEx>
        <w:trPr>
          <w:trHeight w:val="232"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2.8/4.0/6.0mm定焦。</w:t>
            </w:r>
          </w:p>
        </w:tc>
      </w:tr>
      <w:tr>
        <w:tblPrEx>
          <w:tblCellMar>
            <w:top w:w="0" w:type="dxa"/>
            <w:left w:w="108" w:type="dxa"/>
            <w:bottom w:w="0" w:type="dxa"/>
            <w:right w:w="108" w:type="dxa"/>
          </w:tblCellMar>
        </w:tblPrEx>
        <w:trPr>
          <w:trHeight w:val="232"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10M/100M自适应网口。</w:t>
            </w:r>
          </w:p>
        </w:tc>
      </w:tr>
      <w:tr>
        <w:trPr>
          <w:trHeight w:val="232"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双码流，最大码流6路，内置Mic。</w:t>
            </w:r>
          </w:p>
        </w:tc>
      </w:tr>
      <w:tr>
        <w:tblPrEx>
          <w:tblCellMar>
            <w:top w:w="0" w:type="dxa"/>
            <w:left w:w="108" w:type="dxa"/>
            <w:bottom w:w="0" w:type="dxa"/>
            <w:right w:w="108" w:type="dxa"/>
          </w:tblCellMar>
        </w:tblPrEx>
        <w:trPr>
          <w:trHeight w:val="232"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红外灯补光30米，支持人形检测。</w:t>
            </w:r>
          </w:p>
        </w:tc>
      </w:tr>
      <w:tr>
        <w:tblPrEx>
          <w:tblCellMar>
            <w:top w:w="0" w:type="dxa"/>
            <w:left w:w="108" w:type="dxa"/>
            <w:bottom w:w="0" w:type="dxa"/>
            <w:right w:w="108" w:type="dxa"/>
          </w:tblCellMar>
        </w:tblPrEx>
        <w:trPr>
          <w:trHeight w:val="232"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支持POE和DC12V供电方式。</w:t>
            </w:r>
          </w:p>
        </w:tc>
      </w:tr>
      <w:tr>
        <w:tblPrEx>
          <w:tblCellMar>
            <w:top w:w="0" w:type="dxa"/>
            <w:left w:w="108" w:type="dxa"/>
            <w:bottom w:w="0" w:type="dxa"/>
            <w:right w:w="108" w:type="dxa"/>
          </w:tblCellMar>
        </w:tblPrEx>
        <w:trPr>
          <w:trHeight w:val="232" w:hRule="atLeast"/>
        </w:trPr>
        <w:tc>
          <w:tcPr>
            <w:tcW w:w="1030" w:type="pct"/>
            <w:vMerge w:val="continue"/>
            <w:tcBorders>
              <w:left w:val="single" w:color="000000" w:sz="4" w:space="0"/>
              <w:bottom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支持4KV防雷，防护等级IP67。</w:t>
            </w:r>
          </w:p>
        </w:tc>
      </w:tr>
      <w:tr>
        <w:tblPrEx>
          <w:tblCellMar>
            <w:top w:w="0" w:type="dxa"/>
            <w:left w:w="108" w:type="dxa"/>
            <w:bottom w:w="0" w:type="dxa"/>
            <w:right w:w="108" w:type="dxa"/>
          </w:tblCellMar>
        </w:tblPrEx>
        <w:trPr>
          <w:trHeight w:val="367" w:hRule="atLeast"/>
        </w:trPr>
        <w:tc>
          <w:tcPr>
            <w:tcW w:w="1030" w:type="pct"/>
            <w:vMerge w:val="restart"/>
            <w:tcBorders>
              <w:top w:val="single" w:color="000000" w:sz="4" w:space="0"/>
              <w:left w:val="single" w:color="000000" w:sz="4" w:space="0"/>
              <w:right w:val="single" w:color="000000" w:sz="4" w:space="0"/>
            </w:tcBorders>
            <w:shd w:val="clear" w:color="auto" w:fill="auto"/>
            <w:vAlign w:val="center"/>
          </w:tcPr>
          <w:p>
            <w:pPr>
              <w:ind w:firstLine="0" w:firstLineChars="0"/>
            </w:pPr>
            <w:r>
              <w:rPr>
                <w:rFonts w:hint="eastAsia"/>
              </w:rPr>
              <w:t>硬盘录像机</w:t>
            </w: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1盘位8路NVR；10路IPC接入，接入带宽64Mbps,最大支持满接6路/10路/16路800万摄像机。</w:t>
            </w:r>
          </w:p>
        </w:tc>
      </w:tr>
      <w:tr>
        <w:tblPrEx>
          <w:tblCellMar>
            <w:top w:w="0" w:type="dxa"/>
            <w:left w:w="108" w:type="dxa"/>
            <w:bottom w:w="0" w:type="dxa"/>
            <w:right w:w="108" w:type="dxa"/>
          </w:tblCellMar>
        </w:tblPrEx>
        <w:trPr>
          <w:trHeight w:val="367"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解码能力：1x8MP@30,1x5MP@30,2x4MP@30,4x3MP@25,4x1080p@30。</w:t>
            </w:r>
          </w:p>
        </w:tc>
      </w:tr>
      <w:tr>
        <w:tblPrEx>
          <w:tblCellMar>
            <w:top w:w="0" w:type="dxa"/>
            <w:left w:w="108" w:type="dxa"/>
            <w:bottom w:w="0" w:type="dxa"/>
            <w:right w:w="108" w:type="dxa"/>
          </w:tblCellMar>
        </w:tblPrEx>
        <w:trPr>
          <w:trHeight w:val="367"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支持4/8路网络摄像机接入一键扩展至6/10路接入。</w:t>
            </w:r>
          </w:p>
        </w:tc>
      </w:tr>
      <w:tr>
        <w:tblPrEx>
          <w:tblCellMar>
            <w:top w:w="0" w:type="dxa"/>
            <w:left w:w="108" w:type="dxa"/>
            <w:bottom w:w="0" w:type="dxa"/>
            <w:right w:w="108" w:type="dxa"/>
          </w:tblCellMar>
        </w:tblPrEx>
        <w:trPr>
          <w:trHeight w:val="367"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1个RJ45百兆以太网口，2个USB2.0接口。</w:t>
            </w:r>
          </w:p>
        </w:tc>
      </w:tr>
      <w:tr>
        <w:tblPrEx>
          <w:tblCellMar>
            <w:top w:w="0" w:type="dxa"/>
            <w:left w:w="108" w:type="dxa"/>
            <w:bottom w:w="0" w:type="dxa"/>
            <w:right w:w="108" w:type="dxa"/>
          </w:tblCellMar>
        </w:tblPrEx>
        <w:trPr>
          <w:trHeight w:val="367"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支持H.264、H.265编码、超级265智能编码技术。</w:t>
            </w:r>
          </w:p>
        </w:tc>
      </w:tr>
      <w:tr>
        <w:tblPrEx>
          <w:tblCellMar>
            <w:top w:w="0" w:type="dxa"/>
            <w:left w:w="108" w:type="dxa"/>
            <w:bottom w:w="0" w:type="dxa"/>
            <w:right w:w="108" w:type="dxa"/>
          </w:tblCellMar>
        </w:tblPrEx>
        <w:trPr>
          <w:trHeight w:val="367"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支持ONVIF、RTSP、国标(GB/T28181（2016））协议。</w:t>
            </w:r>
          </w:p>
        </w:tc>
      </w:tr>
      <w:tr>
        <w:tblPrEx>
          <w:tblCellMar>
            <w:top w:w="0" w:type="dxa"/>
            <w:left w:w="108" w:type="dxa"/>
            <w:bottom w:w="0" w:type="dxa"/>
            <w:right w:w="108" w:type="dxa"/>
          </w:tblCellMar>
        </w:tblPrEx>
        <w:trPr>
          <w:trHeight w:val="367" w:hRule="atLeast"/>
        </w:trPr>
        <w:tc>
          <w:tcPr>
            <w:tcW w:w="1030" w:type="pct"/>
            <w:vMerge w:val="continue"/>
            <w:tcBorders>
              <w:left w:val="single" w:color="000000" w:sz="4" w:space="0"/>
              <w:bottom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支持对重要录像的锁定、解锁，支持警前警后录像。</w:t>
            </w:r>
          </w:p>
        </w:tc>
      </w:tr>
      <w:tr>
        <w:trPr>
          <w:trHeight w:val="30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4T硬盘</w:t>
            </w: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3.5"英寸，4TB容量，SATA6Gb/S,缓存256M，5400转</w:t>
            </w:r>
          </w:p>
        </w:tc>
      </w:tr>
      <w:tr>
        <w:trPr>
          <w:trHeight w:val="30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线路布排及装修恢复</w:t>
            </w: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包括值班室、控制节点、原有机房音视频设备移位的线路布排及装修恢复。</w:t>
            </w:r>
          </w:p>
        </w:tc>
      </w:tr>
      <w:tr>
        <w:tblPrEx>
          <w:tblCellMar>
            <w:top w:w="0" w:type="dxa"/>
            <w:left w:w="108" w:type="dxa"/>
            <w:bottom w:w="0" w:type="dxa"/>
            <w:right w:w="108" w:type="dxa"/>
          </w:tblCellMar>
        </w:tblPrEx>
        <w:trPr>
          <w:trHeight w:val="30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地毯</w:t>
            </w: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深灰色高密地毯。</w:t>
            </w:r>
          </w:p>
        </w:tc>
      </w:tr>
      <w:tr>
        <w:tblPrEx>
          <w:tblCellMar>
            <w:top w:w="0" w:type="dxa"/>
            <w:left w:w="108" w:type="dxa"/>
            <w:bottom w:w="0" w:type="dxa"/>
            <w:right w:w="108" w:type="dxa"/>
          </w:tblCellMar>
        </w:tblPrEx>
        <w:trPr>
          <w:trHeight w:val="30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操作台1</w:t>
            </w: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highlight w:val="yellow"/>
              </w:rPr>
            </w:pPr>
            <w:r>
              <w:rPr>
                <w:rFonts w:hint="eastAsia"/>
              </w:rPr>
              <w:t>框架结构：优质冷轧钢板，内部主框架1.5mm，冷轧钢板，立柱1.5mm，激光切割成型，数控设备制作，做工精良，防静电喷塑处理；台面板：环保颗粒板，优于E1级环保标准。上下表面为知名高压耐磨耐火板，整体厚度为25mm，侧板采用25mm厚高密度板烤漆加工制作而成；抽屉面流线型设计，美观舒适；前后门板托盘：优质冷轧钢板，静电喷塑，1.2mm厚；后背板：铝合型材，防静电喷塑处；尺寸：</w:t>
            </w:r>
            <w:r>
              <w:t>2050*900*750</w:t>
            </w:r>
            <w:r>
              <w:rPr>
                <w:rFonts w:hint="eastAsia"/>
              </w:rPr>
              <w:t>；按照业主要求深化设计。</w:t>
            </w:r>
          </w:p>
        </w:tc>
      </w:tr>
      <w:tr>
        <w:tblPrEx>
          <w:tblCellMar>
            <w:top w:w="0" w:type="dxa"/>
            <w:left w:w="108" w:type="dxa"/>
            <w:bottom w:w="0" w:type="dxa"/>
            <w:right w:w="108" w:type="dxa"/>
          </w:tblCellMar>
        </w:tblPrEx>
        <w:trPr>
          <w:trHeight w:val="30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操作台2</w:t>
            </w: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三聚氰胺板材，1600*600*750（高），按照业主要求深化设计。</w:t>
            </w:r>
          </w:p>
        </w:tc>
      </w:tr>
      <w:tr>
        <w:trPr>
          <w:trHeight w:val="300"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办公椅</w:t>
            </w: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万向轮钢制脚，高强度PP+透气网格坐垫、靠背。</w:t>
            </w:r>
          </w:p>
        </w:tc>
      </w:tr>
      <w:tr>
        <w:trPr>
          <w:trHeight w:val="131" w:hRule="atLeast"/>
        </w:trPr>
        <w:tc>
          <w:tcPr>
            <w:tcW w:w="1030" w:type="pct"/>
            <w:vMerge w:val="restart"/>
            <w:tcBorders>
              <w:top w:val="single" w:color="000000" w:sz="4" w:space="0"/>
              <w:left w:val="single" w:color="000000" w:sz="4" w:space="0"/>
              <w:right w:val="single" w:color="000000" w:sz="4" w:space="0"/>
            </w:tcBorders>
            <w:shd w:val="clear" w:color="auto" w:fill="auto"/>
            <w:vAlign w:val="center"/>
          </w:tcPr>
          <w:p>
            <w:pPr>
              <w:ind w:firstLine="0" w:firstLineChars="0"/>
            </w:pPr>
            <w:r>
              <w:rPr>
                <w:rFonts w:hint="eastAsia"/>
              </w:rPr>
              <w:t>监听音响</w:t>
            </w: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话筒输入1路，1组RCA线路音频输入，1组辅音箱输出接口，有话筒音量和总音量调节功能。</w:t>
            </w:r>
          </w:p>
        </w:tc>
      </w:tr>
      <w:tr>
        <w:trPr>
          <w:trHeight w:val="454"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输出功率：2×50W。</w:t>
            </w:r>
          </w:p>
        </w:tc>
      </w:tr>
      <w:tr>
        <w:tblPrEx>
          <w:tblCellMar>
            <w:top w:w="0" w:type="dxa"/>
            <w:left w:w="108" w:type="dxa"/>
            <w:bottom w:w="0" w:type="dxa"/>
            <w:right w:w="108" w:type="dxa"/>
          </w:tblCellMar>
        </w:tblPrEx>
        <w:trPr>
          <w:trHeight w:val="454"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单元组合：5.5寸低音*1，3寸高音*1。</w:t>
            </w:r>
          </w:p>
        </w:tc>
      </w:tr>
      <w:tr>
        <w:trPr>
          <w:trHeight w:val="454"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灵敏度：75dB/1W/1M。</w:t>
            </w:r>
          </w:p>
        </w:tc>
      </w:tr>
      <w:tr>
        <w:tblPrEx>
          <w:tblCellMar>
            <w:top w:w="0" w:type="dxa"/>
            <w:left w:w="108" w:type="dxa"/>
            <w:bottom w:w="0" w:type="dxa"/>
            <w:right w:w="108" w:type="dxa"/>
          </w:tblCellMar>
        </w:tblPrEx>
        <w:trPr>
          <w:trHeight w:val="454"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最大声压级：93dB。</w:t>
            </w:r>
          </w:p>
        </w:tc>
      </w:tr>
      <w:tr>
        <w:tblPrEx>
          <w:tblCellMar>
            <w:top w:w="0" w:type="dxa"/>
            <w:left w:w="108" w:type="dxa"/>
            <w:bottom w:w="0" w:type="dxa"/>
            <w:right w:w="108" w:type="dxa"/>
          </w:tblCellMar>
        </w:tblPrEx>
        <w:trPr>
          <w:trHeight w:val="454" w:hRule="atLeast"/>
        </w:trPr>
        <w:tc>
          <w:tcPr>
            <w:tcW w:w="1030" w:type="pct"/>
            <w:vMerge w:val="continue"/>
            <w:tcBorders>
              <w:left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频率响应：20Hz-18KHz。</w:t>
            </w:r>
          </w:p>
        </w:tc>
      </w:tr>
      <w:tr>
        <w:tblPrEx>
          <w:tblCellMar>
            <w:top w:w="0" w:type="dxa"/>
            <w:left w:w="108" w:type="dxa"/>
            <w:bottom w:w="0" w:type="dxa"/>
            <w:right w:w="108" w:type="dxa"/>
          </w:tblCellMar>
        </w:tblPrEx>
        <w:trPr>
          <w:trHeight w:val="454" w:hRule="atLeast"/>
        </w:trPr>
        <w:tc>
          <w:tcPr>
            <w:tcW w:w="1030" w:type="pct"/>
            <w:vMerge w:val="continue"/>
            <w:tcBorders>
              <w:left w:val="single" w:color="000000" w:sz="4" w:space="0"/>
              <w:bottom w:val="single" w:color="000000" w:sz="4" w:space="0"/>
              <w:right w:val="single" w:color="000000" w:sz="4" w:space="0"/>
            </w:tcBorders>
            <w:shd w:val="clear" w:color="auto" w:fill="auto"/>
            <w:vAlign w:val="center"/>
          </w:tcPr>
          <w:p>
            <w:pPr>
              <w:ind w:firstLine="480"/>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信噪比：≥86dB。</w:t>
            </w:r>
          </w:p>
        </w:tc>
      </w:tr>
      <w:tr>
        <w:trPr>
          <w:trHeight w:val="454"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r>
              <w:rPr>
                <w:rFonts w:hint="eastAsia"/>
              </w:rPr>
              <w:t>42U机柜</w:t>
            </w: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600*600*2000mm</w:t>
            </w:r>
          </w:p>
        </w:tc>
      </w:tr>
      <w:tr>
        <w:tblPrEx>
          <w:tblCellMar>
            <w:top w:w="0" w:type="dxa"/>
            <w:left w:w="108" w:type="dxa"/>
            <w:bottom w:w="0" w:type="dxa"/>
            <w:right w:w="108" w:type="dxa"/>
          </w:tblCellMar>
        </w:tblPrEx>
        <w:trPr>
          <w:trHeight w:val="454" w:hRule="atLeast"/>
        </w:trPr>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辅材</w:t>
            </w: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视频线、水晶头，网线，扎带，排插，电工胶布等</w:t>
            </w:r>
          </w:p>
        </w:tc>
      </w:tr>
    </w:tbl>
    <w:p>
      <w:pPr>
        <w:pStyle w:val="6"/>
        <w:ind w:firstLine="482"/>
        <w:rPr>
          <w:highlight w:val="yellow"/>
        </w:rPr>
      </w:pPr>
      <w:r>
        <w:rPr>
          <w:rFonts w:hint="eastAsia"/>
          <w:highlight w:val="none"/>
        </w:rPr>
        <w:t>2.2.4系统对接和接入链路</w:t>
      </w:r>
    </w:p>
    <w:tbl>
      <w:tblPr>
        <w:tblStyle w:val="66"/>
        <w:tblW w:w="4999" w:type="pct"/>
        <w:tblInd w:w="0" w:type="dxa"/>
        <w:tblLayout w:type="autofit"/>
        <w:tblCellMar>
          <w:top w:w="0" w:type="dxa"/>
          <w:left w:w="108" w:type="dxa"/>
          <w:bottom w:w="0" w:type="dxa"/>
          <w:right w:w="108" w:type="dxa"/>
        </w:tblCellMar>
      </w:tblPr>
      <w:tblGrid>
        <w:gridCol w:w="2185"/>
        <w:gridCol w:w="7099"/>
      </w:tblGrid>
      <w:tr>
        <w:tblPrEx>
          <w:tblCellMar>
            <w:top w:w="0" w:type="dxa"/>
            <w:left w:w="108" w:type="dxa"/>
            <w:bottom w:w="0" w:type="dxa"/>
            <w:right w:w="108" w:type="dxa"/>
          </w:tblCellMar>
        </w:tblPrEx>
        <w:trPr>
          <w:trHeight w:val="300" w:hRule="atLeast"/>
        </w:trPr>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lang w:val="en-US"/>
              </w:rPr>
            </w:pPr>
            <w:r>
              <w:rPr>
                <w:rFonts w:hint="eastAsia"/>
                <w:lang w:val="en-US"/>
              </w:rPr>
              <w:t>名称</w:t>
            </w:r>
          </w:p>
        </w:tc>
        <w:tc>
          <w:tcPr>
            <w:tcW w:w="3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lang w:val="en-US"/>
              </w:rPr>
            </w:pPr>
            <w:r>
              <w:rPr>
                <w:rFonts w:hint="eastAsia"/>
                <w:lang w:val="en-US"/>
              </w:rPr>
              <w:t>参数</w:t>
            </w:r>
          </w:p>
        </w:tc>
      </w:tr>
      <w:tr>
        <w:tblPrEx>
          <w:tblCellMar>
            <w:top w:w="0" w:type="dxa"/>
            <w:left w:w="108" w:type="dxa"/>
            <w:bottom w:w="0" w:type="dxa"/>
            <w:right w:w="108" w:type="dxa"/>
          </w:tblCellMar>
        </w:tblPrEx>
        <w:trPr>
          <w:trHeight w:val="300" w:hRule="atLeast"/>
        </w:trPr>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系统迁移对接</w:t>
            </w:r>
          </w:p>
        </w:tc>
        <w:tc>
          <w:tcPr>
            <w:tcW w:w="382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highlight w:val="none"/>
              </w:rPr>
            </w:pPr>
            <w:r>
              <w:rPr>
                <w:rFonts w:hint="eastAsia"/>
                <w:highlight w:val="none"/>
              </w:rPr>
              <w:t>视频会议、网格化、天网等系统，</w:t>
            </w:r>
          </w:p>
        </w:tc>
      </w:tr>
      <w:tr>
        <w:trPr>
          <w:trHeight w:val="300" w:hRule="atLeast"/>
        </w:trPr>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互联网链路</w:t>
            </w:r>
          </w:p>
        </w:tc>
        <w:tc>
          <w:tcPr>
            <w:tcW w:w="382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highlight w:val="none"/>
              </w:rPr>
            </w:pPr>
            <w:r>
              <w:rPr>
                <w:rFonts w:hint="eastAsia"/>
                <w:highlight w:val="none"/>
              </w:rPr>
              <w:t>满足视联网接入要求，1条</w:t>
            </w:r>
          </w:p>
        </w:tc>
      </w:tr>
    </w:tbl>
    <w:p>
      <w:pPr>
        <w:pStyle w:val="6"/>
        <w:bidi w:val="0"/>
      </w:pPr>
      <w:r>
        <w:rPr>
          <w:rFonts w:hint="eastAsia"/>
          <w:lang w:val="en-US"/>
        </w:rPr>
        <w:t>2.3</w:t>
      </w:r>
      <w:r>
        <w:rPr>
          <w:rFonts w:hint="eastAsia"/>
        </w:rPr>
        <w:t>运维考核</w:t>
      </w:r>
    </w:p>
    <w:p>
      <w:pPr>
        <w:ind w:firstLine="480"/>
      </w:pPr>
      <w:r>
        <w:rPr>
          <w:rFonts w:hint="eastAsia"/>
        </w:rPr>
        <w:t>运维服务考核一年一次，考核详见下表：</w:t>
      </w:r>
    </w:p>
    <w:p>
      <w:pPr>
        <w:spacing w:line="240" w:lineRule="auto"/>
        <w:ind w:firstLine="0" w:firstLineChars="0"/>
        <w:jc w:val="center"/>
        <w:rPr>
          <w:rFonts w:ascii="宋体" w:hAnsi="宋体" w:cs="宋体"/>
          <w:bCs/>
          <w:kern w:val="0"/>
          <w:szCs w:val="21"/>
        </w:rPr>
      </w:pPr>
      <w:r>
        <w:rPr>
          <w:rFonts w:hint="eastAsia" w:ascii="宋体" w:hAnsi="宋体" w:cs="宋体"/>
          <w:bCs/>
          <w:kern w:val="0"/>
          <w:szCs w:val="21"/>
        </w:rPr>
        <w:t>运维服务考核表</w:t>
      </w:r>
    </w:p>
    <w:tbl>
      <w:tblPr>
        <w:tblStyle w:val="66"/>
        <w:tblW w:w="4947" w:type="pct"/>
        <w:jc w:val="center"/>
        <w:tblLayout w:type="autofit"/>
        <w:tblCellMar>
          <w:top w:w="0" w:type="dxa"/>
          <w:left w:w="0" w:type="dxa"/>
          <w:bottom w:w="0" w:type="dxa"/>
          <w:right w:w="0" w:type="dxa"/>
        </w:tblCellMar>
      </w:tblPr>
      <w:tblGrid>
        <w:gridCol w:w="747"/>
        <w:gridCol w:w="1524"/>
        <w:gridCol w:w="5868"/>
        <w:gridCol w:w="865"/>
      </w:tblGrid>
      <w:tr>
        <w:tblPrEx>
          <w:tblCellMar>
            <w:top w:w="0" w:type="dxa"/>
            <w:left w:w="0" w:type="dxa"/>
            <w:bottom w:w="0" w:type="dxa"/>
            <w:right w:w="0" w:type="dxa"/>
          </w:tblCellMar>
        </w:tblPrEx>
        <w:trPr>
          <w:trHeight w:val="345" w:hRule="atLeast"/>
          <w:jc w:val="center"/>
        </w:trPr>
        <w:tc>
          <w:tcPr>
            <w:tcW w:w="415"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序号</w:t>
            </w:r>
          </w:p>
        </w:tc>
        <w:tc>
          <w:tcPr>
            <w:tcW w:w="8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服务项目</w:t>
            </w:r>
          </w:p>
        </w:tc>
        <w:tc>
          <w:tcPr>
            <w:tcW w:w="32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考核标准</w:t>
            </w: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权重</w:t>
            </w:r>
          </w:p>
        </w:tc>
      </w:tr>
      <w:tr>
        <w:tblPrEx>
          <w:tblCellMar>
            <w:top w:w="0" w:type="dxa"/>
            <w:left w:w="0" w:type="dxa"/>
            <w:bottom w:w="0" w:type="dxa"/>
            <w:right w:w="0" w:type="dxa"/>
          </w:tblCellMar>
        </w:tblPrEx>
        <w:trPr>
          <w:trHeight w:val="981" w:hRule="atLeast"/>
          <w:jc w:val="center"/>
        </w:trPr>
        <w:tc>
          <w:tcPr>
            <w:tcW w:w="41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1</w:t>
            </w:r>
          </w:p>
        </w:tc>
        <w:tc>
          <w:tcPr>
            <w:tcW w:w="846"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接入服务</w:t>
            </w:r>
          </w:p>
        </w:tc>
        <w:tc>
          <w:tcPr>
            <w:tcW w:w="3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pPr>
            <w:r>
              <w:rPr>
                <w:rFonts w:hint="eastAsia"/>
              </w:rPr>
              <w:t>成交人应按采购人要求将需要接入的系统或平台接入到本系统</w:t>
            </w:r>
            <w:r>
              <w:t>。</w:t>
            </w:r>
            <w:r>
              <w:rPr>
                <w:rFonts w:hint="eastAsia"/>
              </w:rPr>
              <w:t>根据成交人提供的服务酌情打分。</w:t>
            </w:r>
          </w:p>
        </w:tc>
        <w:tc>
          <w:tcPr>
            <w:tcW w:w="48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10分</w:t>
            </w:r>
          </w:p>
        </w:tc>
      </w:tr>
      <w:tr>
        <w:tblPrEx>
          <w:tblCellMar>
            <w:top w:w="0" w:type="dxa"/>
            <w:left w:w="0" w:type="dxa"/>
            <w:bottom w:w="0" w:type="dxa"/>
            <w:right w:w="0" w:type="dxa"/>
          </w:tblCellMar>
        </w:tblPrEx>
        <w:trPr>
          <w:trHeight w:val="981" w:hRule="atLeast"/>
          <w:jc w:val="center"/>
        </w:trPr>
        <w:tc>
          <w:tcPr>
            <w:tcW w:w="41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2</w:t>
            </w:r>
          </w:p>
        </w:tc>
        <w:tc>
          <w:tcPr>
            <w:tcW w:w="846"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rPr>
              <w:t>事件管理</w:t>
            </w:r>
          </w:p>
        </w:tc>
        <w:tc>
          <w:tcPr>
            <w:tcW w:w="3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pPr>
            <w:r>
              <w:rPr>
                <w:rFonts w:hint="eastAsia"/>
              </w:rPr>
              <w:t>每发生一次不可查阅的历史事件，扣1分，扣完为止。</w:t>
            </w:r>
          </w:p>
        </w:tc>
        <w:tc>
          <w:tcPr>
            <w:tcW w:w="48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10分</w:t>
            </w:r>
          </w:p>
        </w:tc>
      </w:tr>
      <w:tr>
        <w:tblPrEx>
          <w:tblCellMar>
            <w:top w:w="0" w:type="dxa"/>
            <w:left w:w="0" w:type="dxa"/>
            <w:bottom w:w="0" w:type="dxa"/>
            <w:right w:w="0" w:type="dxa"/>
          </w:tblCellMar>
        </w:tblPrEx>
        <w:trPr>
          <w:trHeight w:val="981" w:hRule="atLeast"/>
          <w:jc w:val="center"/>
        </w:trPr>
        <w:tc>
          <w:tcPr>
            <w:tcW w:w="41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3</w:t>
            </w:r>
          </w:p>
        </w:tc>
        <w:tc>
          <w:tcPr>
            <w:tcW w:w="846"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0" w:firstLineChars="0"/>
              <w:jc w:val="center"/>
            </w:pPr>
            <w:r>
              <w:rPr>
                <w:rFonts w:hint="eastAsia"/>
              </w:rPr>
              <w:t>监测与预警</w:t>
            </w:r>
          </w:p>
        </w:tc>
        <w:tc>
          <w:tcPr>
            <w:tcW w:w="3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pPr>
            <w:r>
              <w:rPr>
                <w:rFonts w:hint="eastAsia"/>
              </w:rPr>
              <w:t>未按照约定的形式和时间间隔上报现场负责人的，每发生1次扣1分，扣完为止。</w:t>
            </w:r>
          </w:p>
        </w:tc>
        <w:tc>
          <w:tcPr>
            <w:tcW w:w="48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10分</w:t>
            </w:r>
          </w:p>
        </w:tc>
      </w:tr>
      <w:tr>
        <w:tblPrEx>
          <w:tblCellMar>
            <w:top w:w="0" w:type="dxa"/>
            <w:left w:w="0" w:type="dxa"/>
            <w:bottom w:w="0" w:type="dxa"/>
            <w:right w:w="0" w:type="dxa"/>
          </w:tblCellMar>
        </w:tblPrEx>
        <w:trPr>
          <w:trHeight w:val="981" w:hRule="atLeast"/>
          <w:jc w:val="center"/>
        </w:trPr>
        <w:tc>
          <w:tcPr>
            <w:tcW w:w="415"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4</w:t>
            </w:r>
          </w:p>
        </w:tc>
        <w:tc>
          <w:tcPr>
            <w:tcW w:w="846" w:type="pct"/>
            <w:vMerge w:val="restart"/>
            <w:tcBorders>
              <w:top w:val="single" w:color="000000" w:sz="4" w:space="0"/>
              <w:left w:val="single" w:color="auto" w:sz="4" w:space="0"/>
              <w:right w:val="single" w:color="000000" w:sz="4" w:space="0"/>
            </w:tcBorders>
            <w:tcMar>
              <w:top w:w="15" w:type="dxa"/>
              <w:left w:w="15" w:type="dxa"/>
              <w:right w:w="15" w:type="dxa"/>
            </w:tcMar>
            <w:vAlign w:val="center"/>
          </w:tcPr>
          <w:p>
            <w:pPr>
              <w:widowControl/>
              <w:spacing w:line="400" w:lineRule="exact"/>
              <w:ind w:firstLine="0" w:firstLineChars="0"/>
              <w:jc w:val="center"/>
            </w:pPr>
            <w:r>
              <w:rPr>
                <w:rFonts w:hint="eastAsia"/>
              </w:rPr>
              <w:t>故障处置</w:t>
            </w:r>
          </w:p>
        </w:tc>
        <w:tc>
          <w:tcPr>
            <w:tcW w:w="3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pPr>
            <w:r>
              <w:rPr>
                <w:rFonts w:hint="eastAsia"/>
              </w:rPr>
              <w:t>未提供7×24小时电话、网络技术服务的，每发生1次扣1分，扣完为止。</w:t>
            </w:r>
          </w:p>
          <w:p>
            <w:pPr>
              <w:ind w:firstLine="480"/>
            </w:pPr>
            <w:r>
              <w:rPr>
                <w:rFonts w:hint="eastAsia" w:ascii="宋体" w:hAnsi="宋体" w:cs="宋体"/>
                <w:kern w:val="0"/>
                <w:szCs w:val="21"/>
              </w:rPr>
              <w:t>电话不（拒）接或者网络不通视同未提供。</w:t>
            </w:r>
          </w:p>
        </w:tc>
        <w:tc>
          <w:tcPr>
            <w:tcW w:w="48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10分</w:t>
            </w:r>
          </w:p>
        </w:tc>
      </w:tr>
      <w:tr>
        <w:tblPrEx>
          <w:tblCellMar>
            <w:top w:w="0" w:type="dxa"/>
            <w:left w:w="0" w:type="dxa"/>
            <w:bottom w:w="0" w:type="dxa"/>
            <w:right w:w="0" w:type="dxa"/>
          </w:tblCellMar>
        </w:tblPrEx>
        <w:trPr>
          <w:trHeight w:val="944" w:hRule="atLeast"/>
          <w:jc w:val="center"/>
        </w:trPr>
        <w:tc>
          <w:tcPr>
            <w:tcW w:w="415"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p>
        </w:tc>
        <w:tc>
          <w:tcPr>
            <w:tcW w:w="846"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widowControl/>
              <w:spacing w:line="400" w:lineRule="exact"/>
              <w:ind w:firstLine="0" w:firstLineChars="0"/>
              <w:rPr>
                <w:rFonts w:ascii="宋体" w:hAnsi="宋体" w:cs="宋体"/>
                <w:kern w:val="0"/>
                <w:szCs w:val="21"/>
              </w:rPr>
            </w:pPr>
          </w:p>
        </w:tc>
        <w:tc>
          <w:tcPr>
            <w:tcW w:w="3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pPr>
            <w:r>
              <w:rPr>
                <w:rFonts w:hint="eastAsia"/>
              </w:rPr>
              <w:t>每次故障及时解决的不扣分。故障未及时解决的，待事后解决的，每发生一次扣5分，延续到下一次使用解决的，每发生一次扣10分。</w:t>
            </w:r>
          </w:p>
        </w:tc>
        <w:tc>
          <w:tcPr>
            <w:tcW w:w="48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50分</w:t>
            </w:r>
          </w:p>
        </w:tc>
      </w:tr>
      <w:tr>
        <w:tblPrEx>
          <w:tblCellMar>
            <w:top w:w="0" w:type="dxa"/>
            <w:left w:w="0" w:type="dxa"/>
            <w:bottom w:w="0" w:type="dxa"/>
            <w:right w:w="0" w:type="dxa"/>
          </w:tblCellMar>
        </w:tblPrEx>
        <w:trPr>
          <w:trHeight w:val="540" w:hRule="atLeast"/>
          <w:jc w:val="center"/>
        </w:trPr>
        <w:tc>
          <w:tcPr>
            <w:tcW w:w="41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5</w:t>
            </w:r>
          </w:p>
        </w:tc>
        <w:tc>
          <w:tcPr>
            <w:tcW w:w="846"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rPr>
              <w:t>安全管理</w:t>
            </w:r>
          </w:p>
        </w:tc>
        <w:tc>
          <w:tcPr>
            <w:tcW w:w="3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pPr>
            <w:r>
              <w:rPr>
                <w:rFonts w:hint="eastAsia"/>
              </w:rPr>
              <w:t>未规范作业的，每发生1次扣2分，扣完为止。</w:t>
            </w:r>
          </w:p>
        </w:tc>
        <w:tc>
          <w:tcPr>
            <w:tcW w:w="48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10分</w:t>
            </w:r>
          </w:p>
        </w:tc>
      </w:tr>
    </w:tbl>
    <w:p>
      <w:pPr>
        <w:ind w:firstLine="480"/>
      </w:pPr>
      <w:r>
        <w:rPr>
          <w:rFonts w:hint="eastAsia"/>
        </w:rPr>
        <w:t>采购人根据供应商的服务进行打分，评定优秀、一般、差三个等次。其中，</w:t>
      </w:r>
    </w:p>
    <w:p>
      <w:pPr>
        <w:ind w:firstLine="480"/>
      </w:pPr>
      <w:r>
        <w:rPr>
          <w:rFonts w:hint="eastAsia"/>
        </w:rPr>
        <w:t>考核分≥85分为优秀；</w:t>
      </w:r>
    </w:p>
    <w:p>
      <w:pPr>
        <w:ind w:firstLine="480"/>
      </w:pPr>
      <w:r>
        <w:rPr>
          <w:rFonts w:hint="eastAsia"/>
        </w:rPr>
        <w:t>85分＞考核分≥60分为一般；</w:t>
      </w:r>
    </w:p>
    <w:p>
      <w:pPr>
        <w:ind w:firstLine="480"/>
      </w:pPr>
      <w:r>
        <w:rPr>
          <w:rFonts w:hint="eastAsia"/>
        </w:rPr>
        <w:t>考核分＜60分为差。</w:t>
      </w:r>
    </w:p>
    <w:p>
      <w:pPr>
        <w:ind w:firstLine="480"/>
      </w:pPr>
      <w:r>
        <w:rPr>
          <w:rFonts w:hint="eastAsia"/>
        </w:rPr>
        <w:t>考核结果与服务费用挂钩，考核分达到优秀的，全额支付费用；考核分达到一般的，每扣1分相当服务费1000元在服务费中扣除；考核分为差的，每扣1分相当服务费2000元在服务费中扣除。</w:t>
      </w:r>
    </w:p>
    <w:p>
      <w:pPr>
        <w:pStyle w:val="5"/>
        <w:rPr>
          <w:rFonts w:ascii="仿宋" w:hAnsi="仿宋" w:cs="仿宋"/>
        </w:rPr>
      </w:pPr>
      <w:bookmarkStart w:id="39" w:name="_Toc87950484"/>
      <w:bookmarkStart w:id="40" w:name="_Toc350"/>
      <w:r>
        <w:rPr>
          <w:rFonts w:hint="eastAsia" w:ascii="仿宋" w:hAnsi="仿宋" w:cs="仿宋"/>
          <w:lang w:val="en-US"/>
        </w:rPr>
        <w:t>三</w:t>
      </w:r>
      <w:r>
        <w:rPr>
          <w:rFonts w:hint="eastAsia" w:ascii="仿宋" w:hAnsi="仿宋" w:cs="仿宋"/>
        </w:rPr>
        <w:t>、商务要求</w:t>
      </w:r>
      <w:bookmarkEnd w:id="39"/>
      <w:bookmarkEnd w:id="40"/>
    </w:p>
    <w:p>
      <w:pPr>
        <w:pStyle w:val="6"/>
        <w:ind w:firstLine="482"/>
      </w:pPr>
      <w:r>
        <w:rPr>
          <w:rFonts w:hint="eastAsia"/>
        </w:rPr>
        <w:t>3.1服务期限</w:t>
      </w:r>
    </w:p>
    <w:p>
      <w:pPr>
        <w:ind w:firstLine="480"/>
      </w:pPr>
      <w:r>
        <w:rPr>
          <w:rFonts w:hint="eastAsia"/>
        </w:rPr>
        <w:t>工期：30天建设完成并递交初验报告。</w:t>
      </w:r>
    </w:p>
    <w:p>
      <w:pPr>
        <w:ind w:firstLine="480"/>
        <w:rPr>
          <w:rFonts w:hint="eastAsia"/>
        </w:rPr>
      </w:pPr>
      <w:r>
        <w:rPr>
          <w:rFonts w:hint="eastAsia"/>
        </w:rPr>
        <w:t>试运行时间：</w:t>
      </w:r>
      <w:r>
        <w:rPr>
          <w:rFonts w:hint="eastAsia" w:ascii="宋体" w:hAnsi="宋体" w:cs="宋体"/>
        </w:rPr>
        <w:t>试运行一个月无质量问题后交付使用，如在试运行期间故障率较高，适当地再延长一个月的试运行时间，直至基本无故障运行</w:t>
      </w:r>
      <w:r>
        <w:rPr>
          <w:rFonts w:hint="eastAsia"/>
        </w:rPr>
        <w:t>。</w:t>
      </w:r>
    </w:p>
    <w:p>
      <w:pPr>
        <w:ind w:firstLine="480"/>
        <w:rPr>
          <w:rFonts w:hint="default" w:eastAsia="仿宋"/>
          <w:lang w:val="en-US" w:eastAsia="zh-CN"/>
        </w:rPr>
      </w:pPr>
      <w:r>
        <w:rPr>
          <w:rFonts w:hint="eastAsia"/>
          <w:lang w:val="en-US" w:eastAsia="zh-CN"/>
        </w:rPr>
        <w:t>系统维护期限：三年，自项目验收合格之日起计。</w:t>
      </w:r>
    </w:p>
    <w:p>
      <w:pPr>
        <w:pStyle w:val="6"/>
        <w:ind w:firstLine="482"/>
      </w:pPr>
      <w:r>
        <w:rPr>
          <w:rFonts w:hint="eastAsia" w:ascii="仿宋" w:hAnsi="仿宋" w:cs="仿宋"/>
        </w:rPr>
        <w:t>3.2</w:t>
      </w:r>
      <w:r>
        <w:rPr>
          <w:rFonts w:hint="eastAsia"/>
        </w:rPr>
        <w:t>质量要求</w:t>
      </w:r>
    </w:p>
    <w:p>
      <w:pPr>
        <w:ind w:firstLine="480"/>
      </w:pPr>
      <w:r>
        <w:rPr>
          <w:rFonts w:hint="eastAsia"/>
        </w:rPr>
        <w:t>无故障试运行一个月后，按国家验收标准一次性验收合格。</w:t>
      </w:r>
    </w:p>
    <w:p>
      <w:pPr>
        <w:pStyle w:val="6"/>
        <w:ind w:firstLine="482"/>
      </w:pPr>
      <w:r>
        <w:rPr>
          <w:rFonts w:hint="eastAsia"/>
        </w:rPr>
        <w:t>3.3知识产权</w:t>
      </w:r>
    </w:p>
    <w:p>
      <w:pPr>
        <w:ind w:firstLine="480"/>
      </w:pPr>
      <w:r>
        <w:rPr>
          <w:rFonts w:hint="eastAsia"/>
        </w:rPr>
        <w:t>供应商应保证采购人在使用或享受供应商提供的货物或服务时，免受第三方关于知识产权的起诉、控诉等，因侵犯专利权或其他知识产权所引起的责任，完全由供应商承担。</w:t>
      </w:r>
    </w:p>
    <w:p>
      <w:pPr>
        <w:pStyle w:val="6"/>
        <w:ind w:firstLine="482"/>
        <w:rPr>
          <w:rFonts w:ascii="仿宋" w:hAnsi="仿宋" w:cs="仿宋"/>
        </w:rPr>
      </w:pPr>
      <w:r>
        <w:rPr>
          <w:rFonts w:hint="eastAsia"/>
        </w:rPr>
        <w:t>3.4</w:t>
      </w:r>
      <w:r>
        <w:rPr>
          <w:rFonts w:hint="eastAsia" w:ascii="仿宋" w:hAnsi="仿宋" w:cs="仿宋"/>
        </w:rPr>
        <w:t>付款条件</w:t>
      </w:r>
    </w:p>
    <w:p>
      <w:pPr>
        <w:ind w:firstLine="480"/>
      </w:pPr>
      <w:r>
        <w:rPr>
          <w:rFonts w:hint="eastAsia"/>
        </w:rPr>
        <w:t>3.4.1付款方式：分批支付。</w:t>
      </w:r>
    </w:p>
    <w:p>
      <w:pPr>
        <w:ind w:firstLine="480"/>
      </w:pPr>
      <w:r>
        <w:rPr>
          <w:rFonts w:hint="eastAsia"/>
        </w:rPr>
        <w:t>3.4.2费用支付：合同签订并具备实施条件后支付合同金额的40%</w:t>
      </w:r>
      <w:r>
        <w:rPr>
          <w:rFonts w:hint="eastAsia" w:ascii="宋体" w:hAnsi="宋体"/>
          <w:color w:val="000000"/>
          <w:szCs w:val="21"/>
          <w:lang w:val="zh-CN"/>
        </w:rPr>
        <w:t>（供应商需提交银行、保险公司等金融机构出具的预付款保函。供应商在签订合同时，表示无需预付款或主动要求降低预付款比例的，可不适用本条款）</w:t>
      </w:r>
      <w:r>
        <w:rPr>
          <w:rFonts w:hint="eastAsia"/>
        </w:rPr>
        <w:t>，项目验收合格后支付合同金额的45%，项目维护期间，每年维护期满后支付5%，不计息。</w:t>
      </w:r>
    </w:p>
    <w:p>
      <w:pPr>
        <w:ind w:firstLine="480"/>
      </w:pPr>
      <w:r>
        <w:rPr>
          <w:rFonts w:hint="eastAsia"/>
        </w:rPr>
        <w:t>采购人凭成交人提供的税务发票支付费用，在维护期间，运维考核的扣款项在支付费用时直接扣除。</w:t>
      </w:r>
    </w:p>
    <w:p>
      <w:pPr>
        <w:ind w:firstLine="480"/>
      </w:pPr>
      <w:r>
        <w:rPr>
          <w:rFonts w:hint="eastAsia"/>
        </w:rPr>
        <w:t>3.4.3有以下情形的，采购人将拒付款项，并保留进一步向成交人追究赔偿和责任的权利：</w:t>
      </w:r>
    </w:p>
    <w:p>
      <w:pPr>
        <w:ind w:firstLine="480"/>
      </w:pPr>
      <w:r>
        <w:rPr>
          <w:rFonts w:hint="eastAsia"/>
        </w:rPr>
        <w:t>（1）成交人未履约的或者拒绝履约的；</w:t>
      </w:r>
    </w:p>
    <w:p>
      <w:pPr>
        <w:ind w:firstLine="480"/>
      </w:pPr>
      <w:r>
        <w:rPr>
          <w:rFonts w:hint="eastAsia"/>
        </w:rPr>
        <w:t>（2）验收不合格的。</w:t>
      </w:r>
    </w:p>
    <w:p>
      <w:pPr>
        <w:pStyle w:val="6"/>
        <w:ind w:firstLine="482"/>
      </w:pPr>
      <w:r>
        <w:rPr>
          <w:rFonts w:hint="eastAsia"/>
        </w:rPr>
        <w:t>3.5售后服务</w:t>
      </w:r>
    </w:p>
    <w:p>
      <w:pPr>
        <w:ind w:firstLine="480"/>
      </w:pPr>
      <w:r>
        <w:t>1、质保期。本项目系统硬件质保期为三年，质保期按正式验收之日起计。在质保期间，供应商免费负责系统维护和设备维修。</w:t>
      </w:r>
    </w:p>
    <w:p>
      <w:pPr>
        <w:ind w:firstLine="480"/>
      </w:pPr>
      <w:r>
        <w:t>2、培训。设备交付前，负责对相关人员进行培训。</w:t>
      </w:r>
    </w:p>
    <w:p>
      <w:pPr>
        <w:ind w:firstLine="480"/>
      </w:pPr>
      <w:r>
        <w:t>3、在线服务。提供7*24小时全天在线服务，随时解答项目的各类问题。</w:t>
      </w:r>
    </w:p>
    <w:p>
      <w:pPr>
        <w:ind w:firstLine="480"/>
      </w:pPr>
      <w:r>
        <w:t>4、维修、维护服务。每星期现场检查一次，系统遇到质量问题后，服务人员应在2小时内赶到现场，在4小时内解决问题。</w:t>
      </w:r>
    </w:p>
    <w:p>
      <w:pPr>
        <w:pStyle w:val="6"/>
        <w:ind w:firstLine="482"/>
      </w:pPr>
      <w:r>
        <w:rPr>
          <w:rFonts w:hint="eastAsia"/>
        </w:rPr>
        <w:t>3.6不可抗力</w:t>
      </w:r>
    </w:p>
    <w:p>
      <w:pPr>
        <w:ind w:firstLine="480"/>
      </w:pPr>
      <w:r>
        <w:rPr>
          <w:rFonts w:hint="eastAsia"/>
        </w:rPr>
        <w:t>3.6.1因不可抗力不能履行民事义务的，不承担民事责任。法律另有规定的，依照其规定。</w:t>
      </w:r>
    </w:p>
    <w:p>
      <w:pPr>
        <w:ind w:firstLine="480"/>
      </w:pPr>
      <w:r>
        <w:rPr>
          <w:rFonts w:hint="eastAsia"/>
        </w:rPr>
        <w:t>3.6.2不可抗力包括：</w:t>
      </w:r>
    </w:p>
    <w:p>
      <w:pPr>
        <w:ind w:firstLine="480"/>
      </w:pPr>
      <w:r>
        <w:rPr>
          <w:rFonts w:hint="eastAsia"/>
        </w:rPr>
        <w:t>（1）自然灾害：如台风、洪水、冰雹等；</w:t>
      </w:r>
    </w:p>
    <w:p>
      <w:pPr>
        <w:ind w:firstLine="480"/>
      </w:pPr>
      <w:r>
        <w:rPr>
          <w:rFonts w:hint="eastAsia"/>
        </w:rPr>
        <w:t>（2）政府行为（国家政策调整）：如征收、征用等；</w:t>
      </w:r>
    </w:p>
    <w:p>
      <w:pPr>
        <w:ind w:firstLine="480"/>
      </w:pPr>
      <w:r>
        <w:rPr>
          <w:rFonts w:hint="eastAsia"/>
        </w:rPr>
        <w:t>（3）社会异常事件：如罢工、骚乱等。</w:t>
      </w:r>
    </w:p>
    <w:p>
      <w:pPr>
        <w:ind w:firstLine="480"/>
      </w:pPr>
    </w:p>
    <w:p>
      <w:pPr>
        <w:pStyle w:val="3"/>
        <w:rPr>
          <w:rFonts w:ascii="仿宋" w:hAnsi="仿宋" w:cs="仿宋"/>
          <w:sz w:val="36"/>
          <w:szCs w:val="36"/>
        </w:rPr>
      </w:pPr>
      <w:r>
        <w:rPr>
          <w:rFonts w:hint="eastAsia" w:ascii="仿宋" w:hAnsi="仿宋" w:cs="仿宋"/>
          <w:sz w:val="24"/>
        </w:rPr>
        <w:br w:type="page"/>
      </w:r>
      <w:bookmarkStart w:id="41" w:name="_Toc23264"/>
      <w:r>
        <w:rPr>
          <w:rFonts w:hint="eastAsia" w:ascii="仿宋" w:hAnsi="仿宋" w:cs="仿宋"/>
          <w:sz w:val="36"/>
          <w:szCs w:val="36"/>
        </w:rPr>
        <w:t>第四部分</w:t>
      </w:r>
      <w:bookmarkStart w:id="42" w:name="_Toc184312111"/>
      <w:bookmarkEnd w:id="42"/>
      <w:bookmarkStart w:id="43" w:name="_Toc184310283"/>
      <w:bookmarkEnd w:id="43"/>
      <w:bookmarkStart w:id="44" w:name="_Toc184312067"/>
      <w:bookmarkEnd w:id="44"/>
      <w:bookmarkStart w:id="45" w:name="_Toc184312074"/>
      <w:bookmarkEnd w:id="45"/>
      <w:bookmarkStart w:id="46" w:name="_Toc184308044"/>
      <w:bookmarkEnd w:id="46"/>
      <w:bookmarkStart w:id="47" w:name="_Toc184314457"/>
      <w:bookmarkEnd w:id="47"/>
      <w:bookmarkStart w:id="48" w:name="_Toc184313254"/>
      <w:bookmarkEnd w:id="48"/>
      <w:bookmarkStart w:id="49" w:name="_Toc184314460"/>
      <w:bookmarkEnd w:id="49"/>
      <w:bookmarkStart w:id="50" w:name="_Toc184308062"/>
      <w:bookmarkEnd w:id="50"/>
      <w:bookmarkStart w:id="51" w:name="_Toc184314477"/>
      <w:bookmarkEnd w:id="51"/>
      <w:bookmarkStart w:id="52" w:name="_Toc184313280"/>
      <w:bookmarkEnd w:id="52"/>
      <w:bookmarkStart w:id="53" w:name="_Toc184314452"/>
      <w:bookmarkEnd w:id="53"/>
      <w:bookmarkStart w:id="54" w:name="_Toc184310285"/>
      <w:bookmarkEnd w:id="54"/>
      <w:bookmarkStart w:id="55" w:name="_Toc184314415"/>
      <w:bookmarkEnd w:id="55"/>
      <w:bookmarkStart w:id="56" w:name="_Toc184313257"/>
      <w:bookmarkEnd w:id="56"/>
      <w:bookmarkStart w:id="57" w:name="_Toc184312097"/>
      <w:bookmarkEnd w:id="57"/>
      <w:bookmarkStart w:id="58" w:name="_Toc184313302"/>
      <w:bookmarkEnd w:id="58"/>
      <w:bookmarkStart w:id="59" w:name="_Toc184308102"/>
      <w:bookmarkEnd w:id="59"/>
      <w:bookmarkStart w:id="60" w:name="_Toc184313296"/>
      <w:bookmarkEnd w:id="60"/>
      <w:bookmarkStart w:id="61" w:name="_Toc184314450"/>
      <w:bookmarkEnd w:id="61"/>
      <w:bookmarkStart w:id="62" w:name="_Toc184310290"/>
      <w:bookmarkEnd w:id="62"/>
      <w:bookmarkStart w:id="63" w:name="_Toc184313289"/>
      <w:bookmarkEnd w:id="63"/>
      <w:bookmarkStart w:id="64" w:name="_Toc184312109"/>
      <w:bookmarkEnd w:id="64"/>
      <w:bookmarkStart w:id="65" w:name="_Toc184312119"/>
      <w:bookmarkEnd w:id="65"/>
      <w:bookmarkStart w:id="66" w:name="_Toc184313256"/>
      <w:bookmarkEnd w:id="66"/>
      <w:bookmarkStart w:id="67" w:name="_Toc184314465"/>
      <w:bookmarkEnd w:id="67"/>
      <w:bookmarkStart w:id="68" w:name="_Toc184310280"/>
      <w:bookmarkEnd w:id="68"/>
      <w:bookmarkStart w:id="69" w:name="_Toc184314470"/>
      <w:bookmarkEnd w:id="69"/>
      <w:bookmarkStart w:id="70" w:name="_Toc184308106"/>
      <w:bookmarkEnd w:id="70"/>
      <w:bookmarkStart w:id="71" w:name="_Toc184314439"/>
      <w:bookmarkEnd w:id="71"/>
      <w:bookmarkStart w:id="72" w:name="_Toc184313275"/>
      <w:bookmarkEnd w:id="72"/>
      <w:bookmarkStart w:id="73" w:name="_Toc184314421"/>
      <w:bookmarkEnd w:id="73"/>
      <w:bookmarkStart w:id="74" w:name="_Toc184312134"/>
      <w:bookmarkEnd w:id="74"/>
      <w:bookmarkStart w:id="75" w:name="_Toc184312096"/>
      <w:bookmarkEnd w:id="75"/>
      <w:bookmarkStart w:id="76" w:name="_Toc184310319"/>
      <w:bookmarkEnd w:id="76"/>
      <w:bookmarkStart w:id="77" w:name="_Toc184308100"/>
      <w:bookmarkEnd w:id="77"/>
      <w:bookmarkStart w:id="78" w:name="_Toc184312118"/>
      <w:bookmarkEnd w:id="78"/>
      <w:bookmarkStart w:id="79" w:name="_Toc184312088"/>
      <w:bookmarkEnd w:id="79"/>
      <w:bookmarkStart w:id="80" w:name="_Toc184312076"/>
      <w:bookmarkEnd w:id="80"/>
      <w:bookmarkStart w:id="81" w:name="_Toc184308068"/>
      <w:bookmarkEnd w:id="81"/>
      <w:bookmarkStart w:id="82" w:name="_Toc184314424"/>
      <w:bookmarkEnd w:id="82"/>
      <w:bookmarkStart w:id="83" w:name="_Toc184308040"/>
      <w:bookmarkEnd w:id="83"/>
      <w:bookmarkStart w:id="84" w:name="_Toc184308047"/>
      <w:bookmarkEnd w:id="84"/>
      <w:bookmarkStart w:id="85" w:name="_Toc184314469"/>
      <w:bookmarkEnd w:id="85"/>
      <w:bookmarkStart w:id="86" w:name="_Toc184308038"/>
      <w:bookmarkEnd w:id="86"/>
      <w:bookmarkStart w:id="87" w:name="_Toc184308042"/>
      <w:bookmarkEnd w:id="87"/>
      <w:bookmarkStart w:id="88" w:name="_Toc184308065"/>
      <w:bookmarkEnd w:id="88"/>
      <w:bookmarkStart w:id="89" w:name="_Toc184314432"/>
      <w:bookmarkEnd w:id="89"/>
      <w:bookmarkStart w:id="90" w:name="_Toc184310277"/>
      <w:bookmarkEnd w:id="90"/>
      <w:bookmarkStart w:id="91" w:name="_Toc184314410"/>
      <w:bookmarkEnd w:id="91"/>
      <w:bookmarkStart w:id="92" w:name="_Toc184308058"/>
      <w:bookmarkEnd w:id="92"/>
      <w:bookmarkStart w:id="93" w:name="_Toc184312114"/>
      <w:bookmarkEnd w:id="93"/>
      <w:bookmarkStart w:id="94" w:name="_Toc184310337"/>
      <w:bookmarkEnd w:id="94"/>
      <w:bookmarkStart w:id="95" w:name="_Toc184310302"/>
      <w:bookmarkEnd w:id="95"/>
      <w:bookmarkStart w:id="96" w:name="_Toc184312093"/>
      <w:bookmarkEnd w:id="96"/>
      <w:bookmarkStart w:id="97" w:name="_Toc184310341"/>
      <w:bookmarkEnd w:id="97"/>
      <w:bookmarkStart w:id="98" w:name="_Toc184314449"/>
      <w:bookmarkEnd w:id="98"/>
      <w:bookmarkStart w:id="99" w:name="_Toc184312133"/>
      <w:bookmarkEnd w:id="99"/>
      <w:bookmarkStart w:id="100" w:name="_Toc184308097"/>
      <w:bookmarkEnd w:id="100"/>
      <w:bookmarkStart w:id="101" w:name="_Toc184308101"/>
      <w:bookmarkEnd w:id="101"/>
      <w:bookmarkStart w:id="102" w:name="_Toc184310343"/>
      <w:bookmarkEnd w:id="102"/>
      <w:bookmarkStart w:id="103" w:name="_Toc184312105"/>
      <w:bookmarkEnd w:id="103"/>
      <w:bookmarkStart w:id="104" w:name="_Toc184308057"/>
      <w:bookmarkEnd w:id="104"/>
      <w:bookmarkStart w:id="105" w:name="_Toc184312139"/>
      <w:bookmarkEnd w:id="105"/>
      <w:bookmarkStart w:id="106" w:name="_Toc184310329"/>
      <w:bookmarkEnd w:id="106"/>
      <w:bookmarkStart w:id="107" w:name="_Toc184312106"/>
      <w:bookmarkEnd w:id="107"/>
      <w:bookmarkStart w:id="108" w:name="_Toc184310335"/>
      <w:bookmarkEnd w:id="108"/>
      <w:bookmarkStart w:id="109" w:name="_Toc184308083"/>
      <w:bookmarkEnd w:id="109"/>
      <w:bookmarkStart w:id="110" w:name="_Toc184314442"/>
      <w:bookmarkEnd w:id="110"/>
      <w:bookmarkStart w:id="111" w:name="_Toc184310326"/>
      <w:bookmarkEnd w:id="111"/>
      <w:bookmarkStart w:id="112" w:name="_Toc184312127"/>
      <w:bookmarkEnd w:id="112"/>
      <w:bookmarkStart w:id="113" w:name="_Toc184312115"/>
      <w:bookmarkEnd w:id="113"/>
      <w:bookmarkStart w:id="114" w:name="_Toc184314472"/>
      <w:bookmarkEnd w:id="114"/>
      <w:bookmarkStart w:id="115" w:name="_Toc184312102"/>
      <w:bookmarkEnd w:id="115"/>
      <w:bookmarkStart w:id="116" w:name="_Toc184310317"/>
      <w:bookmarkEnd w:id="116"/>
      <w:bookmarkStart w:id="117" w:name="_Toc184312094"/>
      <w:bookmarkEnd w:id="117"/>
      <w:bookmarkStart w:id="118" w:name="_Toc184312073"/>
      <w:bookmarkEnd w:id="118"/>
      <w:bookmarkStart w:id="119" w:name="_Toc184310275"/>
      <w:bookmarkEnd w:id="119"/>
      <w:bookmarkStart w:id="120" w:name="_Toc184314440"/>
      <w:bookmarkEnd w:id="120"/>
      <w:bookmarkStart w:id="121" w:name="_Toc184313242"/>
      <w:bookmarkEnd w:id="121"/>
      <w:bookmarkStart w:id="122" w:name="_Toc184308039"/>
      <w:bookmarkEnd w:id="122"/>
      <w:bookmarkStart w:id="123" w:name="_Toc184312136"/>
      <w:bookmarkEnd w:id="123"/>
      <w:bookmarkStart w:id="124" w:name="_Toc184314416"/>
      <w:bookmarkEnd w:id="124"/>
      <w:bookmarkStart w:id="125" w:name="_Toc184308080"/>
      <w:bookmarkEnd w:id="125"/>
      <w:bookmarkStart w:id="126" w:name="_Toc184310314"/>
      <w:bookmarkEnd w:id="126"/>
      <w:bookmarkStart w:id="127" w:name="_Toc184312120"/>
      <w:bookmarkEnd w:id="127"/>
      <w:bookmarkStart w:id="128" w:name="_Toc184313240"/>
      <w:bookmarkEnd w:id="128"/>
      <w:bookmarkStart w:id="129" w:name="_Toc184313303"/>
      <w:bookmarkEnd w:id="129"/>
      <w:bookmarkStart w:id="130" w:name="_Toc184310339"/>
      <w:bookmarkEnd w:id="130"/>
      <w:bookmarkStart w:id="131" w:name="_Toc184308096"/>
      <w:bookmarkEnd w:id="131"/>
      <w:bookmarkStart w:id="132" w:name="_Toc184313253"/>
      <w:bookmarkEnd w:id="132"/>
      <w:bookmarkStart w:id="133" w:name="_Toc184313262"/>
      <w:bookmarkEnd w:id="133"/>
      <w:bookmarkStart w:id="134" w:name="_Toc184313238"/>
      <w:bookmarkEnd w:id="134"/>
      <w:bookmarkStart w:id="135" w:name="_Toc184312128"/>
      <w:bookmarkEnd w:id="135"/>
      <w:bookmarkStart w:id="136" w:name="_Toc184314430"/>
      <w:bookmarkEnd w:id="136"/>
      <w:bookmarkStart w:id="137" w:name="_Toc184314466"/>
      <w:bookmarkEnd w:id="137"/>
      <w:bookmarkStart w:id="138" w:name="_Toc184313288"/>
      <w:bookmarkEnd w:id="138"/>
      <w:bookmarkStart w:id="139" w:name="_Toc184313287"/>
      <w:bookmarkEnd w:id="139"/>
      <w:bookmarkStart w:id="140" w:name="_Toc184314447"/>
      <w:bookmarkEnd w:id="140"/>
      <w:bookmarkStart w:id="141" w:name="_Toc184313265"/>
      <w:bookmarkEnd w:id="141"/>
      <w:bookmarkStart w:id="142" w:name="_Toc184313307"/>
      <w:bookmarkEnd w:id="142"/>
      <w:bookmarkStart w:id="143" w:name="_Toc184310325"/>
      <w:bookmarkEnd w:id="143"/>
      <w:bookmarkStart w:id="144" w:name="_Toc184308107"/>
      <w:bookmarkEnd w:id="144"/>
      <w:bookmarkStart w:id="145" w:name="_Toc184313306"/>
      <w:bookmarkEnd w:id="145"/>
      <w:bookmarkStart w:id="146" w:name="_Toc184313252"/>
      <w:bookmarkEnd w:id="146"/>
      <w:bookmarkStart w:id="147" w:name="_Toc184312138"/>
      <w:bookmarkEnd w:id="147"/>
      <w:bookmarkStart w:id="148" w:name="_Toc184314436"/>
      <w:bookmarkEnd w:id="148"/>
      <w:bookmarkStart w:id="149" w:name="_Toc184313255"/>
      <w:bookmarkEnd w:id="149"/>
      <w:bookmarkStart w:id="150" w:name="_Toc184308074"/>
      <w:bookmarkEnd w:id="150"/>
      <w:bookmarkStart w:id="151" w:name="_Toc184312107"/>
      <w:bookmarkEnd w:id="151"/>
      <w:bookmarkStart w:id="152" w:name="_Toc184312078"/>
      <w:bookmarkEnd w:id="152"/>
      <w:bookmarkStart w:id="153" w:name="_Toc184313250"/>
      <w:bookmarkEnd w:id="153"/>
      <w:bookmarkStart w:id="154" w:name="_Toc184313263"/>
      <w:bookmarkEnd w:id="154"/>
      <w:bookmarkStart w:id="155" w:name="_Toc184310300"/>
      <w:bookmarkEnd w:id="155"/>
      <w:bookmarkStart w:id="156" w:name="_Toc184314481"/>
      <w:bookmarkEnd w:id="156"/>
      <w:bookmarkStart w:id="157" w:name="_Toc184312098"/>
      <w:bookmarkEnd w:id="157"/>
      <w:bookmarkStart w:id="158" w:name="_Toc184313277"/>
      <w:bookmarkEnd w:id="158"/>
      <w:bookmarkStart w:id="159" w:name="_Toc184308072"/>
      <w:bookmarkEnd w:id="159"/>
      <w:bookmarkStart w:id="160" w:name="_Toc184310342"/>
      <w:bookmarkEnd w:id="160"/>
      <w:bookmarkStart w:id="161" w:name="_Toc184312081"/>
      <w:bookmarkEnd w:id="161"/>
      <w:bookmarkStart w:id="162" w:name="_Toc184310293"/>
      <w:bookmarkEnd w:id="162"/>
      <w:bookmarkStart w:id="163" w:name="_Toc184308091"/>
      <w:bookmarkEnd w:id="163"/>
      <w:bookmarkStart w:id="164" w:name="_Toc184310332"/>
      <w:bookmarkEnd w:id="164"/>
      <w:bookmarkStart w:id="165" w:name="_Toc184312132"/>
      <w:bookmarkEnd w:id="165"/>
      <w:bookmarkStart w:id="166" w:name="_Toc184314438"/>
      <w:bookmarkEnd w:id="166"/>
      <w:bookmarkStart w:id="167" w:name="_Toc184312126"/>
      <w:bookmarkEnd w:id="167"/>
      <w:bookmarkStart w:id="168" w:name="_Toc184314443"/>
      <w:bookmarkEnd w:id="168"/>
      <w:bookmarkStart w:id="169" w:name="_Toc184314431"/>
      <w:bookmarkEnd w:id="169"/>
      <w:bookmarkStart w:id="170" w:name="_Toc184312079"/>
      <w:bookmarkEnd w:id="170"/>
      <w:bookmarkStart w:id="171" w:name="_Toc184312075"/>
      <w:bookmarkEnd w:id="171"/>
      <w:bookmarkStart w:id="172" w:name="_Toc184313292"/>
      <w:bookmarkEnd w:id="172"/>
      <w:bookmarkStart w:id="173" w:name="_Toc184313308"/>
      <w:bookmarkEnd w:id="173"/>
      <w:bookmarkStart w:id="174" w:name="_Toc184310303"/>
      <w:bookmarkEnd w:id="174"/>
      <w:bookmarkStart w:id="175" w:name="_Toc184314473"/>
      <w:bookmarkEnd w:id="175"/>
      <w:bookmarkStart w:id="176" w:name="_Toc184313264"/>
      <w:bookmarkEnd w:id="176"/>
      <w:bookmarkStart w:id="177" w:name="_Toc184308054"/>
      <w:bookmarkEnd w:id="177"/>
      <w:bookmarkStart w:id="178" w:name="_Toc184310305"/>
      <w:bookmarkEnd w:id="178"/>
      <w:bookmarkStart w:id="179" w:name="_Toc184312092"/>
      <w:bookmarkEnd w:id="179"/>
      <w:bookmarkStart w:id="180" w:name="_Toc184312122"/>
      <w:bookmarkEnd w:id="180"/>
      <w:bookmarkStart w:id="181" w:name="_Toc184313279"/>
      <w:bookmarkEnd w:id="181"/>
      <w:bookmarkStart w:id="182" w:name="_Toc184312087"/>
      <w:bookmarkEnd w:id="182"/>
      <w:bookmarkStart w:id="183" w:name="_Toc184314451"/>
      <w:bookmarkEnd w:id="183"/>
      <w:bookmarkStart w:id="184" w:name="_Toc184308086"/>
      <w:bookmarkEnd w:id="184"/>
      <w:bookmarkStart w:id="185" w:name="_Toc184310298"/>
      <w:bookmarkEnd w:id="185"/>
      <w:bookmarkStart w:id="186" w:name="_Toc184308075"/>
      <w:bookmarkEnd w:id="186"/>
      <w:bookmarkStart w:id="187" w:name="_Toc184312130"/>
      <w:bookmarkEnd w:id="187"/>
      <w:bookmarkStart w:id="188" w:name="_Toc184314423"/>
      <w:bookmarkEnd w:id="188"/>
      <w:bookmarkStart w:id="189" w:name="_Toc184314411"/>
      <w:bookmarkEnd w:id="189"/>
      <w:bookmarkStart w:id="190" w:name="_Toc184308108"/>
      <w:bookmarkEnd w:id="190"/>
      <w:bookmarkStart w:id="191" w:name="_Toc184308071"/>
      <w:bookmarkEnd w:id="191"/>
      <w:bookmarkStart w:id="192" w:name="_Toc184308036"/>
      <w:bookmarkEnd w:id="192"/>
      <w:bookmarkStart w:id="193" w:name="_Toc184314444"/>
      <w:bookmarkEnd w:id="193"/>
      <w:bookmarkStart w:id="194" w:name="_Toc184313247"/>
      <w:bookmarkEnd w:id="194"/>
      <w:bookmarkStart w:id="195" w:name="_Toc184308076"/>
      <w:bookmarkEnd w:id="195"/>
      <w:bookmarkStart w:id="196" w:name="_Toc184313283"/>
      <w:bookmarkEnd w:id="196"/>
      <w:bookmarkStart w:id="197" w:name="_Toc184308048"/>
      <w:bookmarkEnd w:id="197"/>
      <w:bookmarkStart w:id="198" w:name="_Toc184314459"/>
      <w:bookmarkEnd w:id="198"/>
      <w:bookmarkStart w:id="199" w:name="_Toc184314464"/>
      <w:bookmarkEnd w:id="199"/>
      <w:bookmarkStart w:id="200" w:name="_Toc184313274"/>
      <w:bookmarkEnd w:id="200"/>
      <w:bookmarkStart w:id="201" w:name="_Toc184308082"/>
      <w:bookmarkEnd w:id="201"/>
      <w:bookmarkStart w:id="202" w:name="_Toc184314453"/>
      <w:bookmarkEnd w:id="202"/>
      <w:bookmarkStart w:id="203" w:name="_Toc184310286"/>
      <w:bookmarkEnd w:id="203"/>
      <w:bookmarkStart w:id="204" w:name="_Toc184312080"/>
      <w:bookmarkEnd w:id="204"/>
      <w:bookmarkStart w:id="205" w:name="_Toc184308089"/>
      <w:bookmarkEnd w:id="205"/>
      <w:bookmarkStart w:id="206" w:name="_Toc184310323"/>
      <w:bookmarkEnd w:id="206"/>
      <w:bookmarkStart w:id="207" w:name="_Toc184314455"/>
      <w:bookmarkEnd w:id="207"/>
      <w:bookmarkStart w:id="208" w:name="_Toc184313272"/>
      <w:bookmarkEnd w:id="208"/>
      <w:bookmarkStart w:id="209" w:name="_Toc184313284"/>
      <w:bookmarkEnd w:id="209"/>
      <w:bookmarkStart w:id="210" w:name="_Toc184312085"/>
      <w:bookmarkEnd w:id="210"/>
      <w:bookmarkStart w:id="211" w:name="_Toc184310322"/>
      <w:bookmarkEnd w:id="211"/>
      <w:bookmarkStart w:id="212" w:name="_Toc184310318"/>
      <w:bookmarkEnd w:id="212"/>
      <w:bookmarkStart w:id="213" w:name="_Toc184312089"/>
      <w:bookmarkEnd w:id="213"/>
      <w:bookmarkStart w:id="214" w:name="_Toc184314417"/>
      <w:bookmarkEnd w:id="214"/>
      <w:bookmarkStart w:id="215" w:name="_Toc184313291"/>
      <w:bookmarkEnd w:id="215"/>
      <w:bookmarkStart w:id="216" w:name="_Toc184314461"/>
      <w:bookmarkEnd w:id="216"/>
      <w:bookmarkStart w:id="217" w:name="_Toc184312071"/>
      <w:bookmarkEnd w:id="217"/>
      <w:bookmarkStart w:id="218" w:name="_Toc184310296"/>
      <w:bookmarkEnd w:id="218"/>
      <w:bookmarkStart w:id="219" w:name="_Toc184314454"/>
      <w:bookmarkEnd w:id="219"/>
      <w:bookmarkStart w:id="220" w:name="_Toc184310327"/>
      <w:bookmarkEnd w:id="220"/>
      <w:bookmarkStart w:id="221" w:name="_Toc184308069"/>
      <w:bookmarkEnd w:id="221"/>
      <w:bookmarkStart w:id="222" w:name="_Toc184308084"/>
      <w:bookmarkEnd w:id="222"/>
      <w:bookmarkStart w:id="223" w:name="_Toc184313299"/>
      <w:bookmarkEnd w:id="223"/>
      <w:bookmarkStart w:id="224" w:name="_Toc184313301"/>
      <w:bookmarkEnd w:id="224"/>
      <w:bookmarkStart w:id="225" w:name="_Toc184312083"/>
      <w:bookmarkEnd w:id="225"/>
      <w:bookmarkStart w:id="226" w:name="_Toc184308079"/>
      <w:bookmarkEnd w:id="226"/>
      <w:bookmarkStart w:id="227" w:name="_Toc184312131"/>
      <w:bookmarkEnd w:id="227"/>
      <w:bookmarkStart w:id="228" w:name="_Toc184310278"/>
      <w:bookmarkEnd w:id="228"/>
      <w:bookmarkStart w:id="229" w:name="_Toc184313286"/>
      <w:bookmarkEnd w:id="229"/>
      <w:bookmarkStart w:id="230" w:name="_Toc184310304"/>
      <w:bookmarkEnd w:id="230"/>
      <w:bookmarkStart w:id="231" w:name="_Toc184314479"/>
      <w:bookmarkEnd w:id="231"/>
      <w:bookmarkStart w:id="232" w:name="_Toc184310336"/>
      <w:bookmarkEnd w:id="232"/>
      <w:bookmarkStart w:id="233" w:name="_Toc184308055"/>
      <w:bookmarkEnd w:id="233"/>
      <w:bookmarkStart w:id="234" w:name="_Toc184313282"/>
      <w:bookmarkEnd w:id="234"/>
      <w:bookmarkStart w:id="235" w:name="_Toc184313290"/>
      <w:bookmarkEnd w:id="235"/>
      <w:bookmarkStart w:id="236" w:name="_Toc184308098"/>
      <w:bookmarkEnd w:id="236"/>
      <w:bookmarkStart w:id="237" w:name="_Toc184310292"/>
      <w:bookmarkEnd w:id="237"/>
      <w:bookmarkStart w:id="238" w:name="_Toc184314426"/>
      <w:bookmarkEnd w:id="238"/>
      <w:bookmarkStart w:id="239" w:name="_Toc184314441"/>
      <w:bookmarkEnd w:id="239"/>
      <w:bookmarkStart w:id="240" w:name="_Toc184308051"/>
      <w:bookmarkEnd w:id="240"/>
      <w:bookmarkStart w:id="241" w:name="_Toc184310273"/>
      <w:bookmarkEnd w:id="241"/>
      <w:bookmarkStart w:id="242" w:name="_Toc184313259"/>
      <w:bookmarkEnd w:id="242"/>
      <w:bookmarkStart w:id="243" w:name="_Toc184314428"/>
      <w:bookmarkEnd w:id="243"/>
      <w:bookmarkStart w:id="244" w:name="_Toc184310276"/>
      <w:bookmarkEnd w:id="244"/>
      <w:bookmarkStart w:id="245" w:name="_Toc184314448"/>
      <w:bookmarkEnd w:id="245"/>
      <w:bookmarkStart w:id="246" w:name="_Toc184310311"/>
      <w:bookmarkEnd w:id="246"/>
      <w:bookmarkStart w:id="247" w:name="_Toc184312069"/>
      <w:bookmarkEnd w:id="247"/>
      <w:bookmarkStart w:id="248" w:name="_Toc184313297"/>
      <w:bookmarkEnd w:id="248"/>
      <w:bookmarkStart w:id="249" w:name="_Toc184314478"/>
      <w:bookmarkEnd w:id="249"/>
      <w:bookmarkStart w:id="250" w:name="_Toc184314418"/>
      <w:bookmarkEnd w:id="250"/>
      <w:bookmarkStart w:id="251" w:name="_Toc184314468"/>
      <w:bookmarkEnd w:id="251"/>
      <w:bookmarkStart w:id="252" w:name="_Toc184313293"/>
      <w:bookmarkEnd w:id="252"/>
      <w:bookmarkStart w:id="253" w:name="_Toc184313295"/>
      <w:bookmarkEnd w:id="253"/>
      <w:bookmarkStart w:id="254" w:name="_Toc184310282"/>
      <w:bookmarkEnd w:id="254"/>
      <w:bookmarkStart w:id="255" w:name="_Toc184313266"/>
      <w:bookmarkEnd w:id="255"/>
      <w:bookmarkStart w:id="256" w:name="_Toc184310306"/>
      <w:bookmarkEnd w:id="256"/>
      <w:bookmarkStart w:id="257" w:name="_Toc184310289"/>
      <w:bookmarkEnd w:id="257"/>
      <w:bookmarkStart w:id="258" w:name="_Toc184314422"/>
      <w:bookmarkEnd w:id="258"/>
      <w:bookmarkStart w:id="259" w:name="_Toc184310301"/>
      <w:bookmarkEnd w:id="259"/>
      <w:bookmarkStart w:id="260" w:name="_Toc184313245"/>
      <w:bookmarkEnd w:id="260"/>
      <w:bookmarkStart w:id="261" w:name="_Toc184314446"/>
      <w:bookmarkEnd w:id="261"/>
      <w:bookmarkStart w:id="262" w:name="_Toc184314476"/>
      <w:bookmarkEnd w:id="262"/>
      <w:bookmarkStart w:id="263" w:name="_Toc184314480"/>
      <w:bookmarkEnd w:id="263"/>
      <w:bookmarkStart w:id="264" w:name="_Toc184312108"/>
      <w:bookmarkEnd w:id="264"/>
      <w:bookmarkStart w:id="265" w:name="_Toc184313249"/>
      <w:bookmarkEnd w:id="265"/>
      <w:bookmarkStart w:id="266" w:name="_Toc184313239"/>
      <w:bookmarkEnd w:id="266"/>
      <w:bookmarkStart w:id="267" w:name="_Toc184308061"/>
      <w:bookmarkEnd w:id="267"/>
      <w:bookmarkStart w:id="268" w:name="_Toc184308070"/>
      <w:bookmarkEnd w:id="268"/>
      <w:bookmarkStart w:id="269" w:name="_Toc184312101"/>
      <w:bookmarkEnd w:id="269"/>
      <w:bookmarkStart w:id="270" w:name="_Toc184312123"/>
      <w:bookmarkEnd w:id="270"/>
      <w:bookmarkStart w:id="271" w:name="_Toc184314474"/>
      <w:bookmarkEnd w:id="271"/>
      <w:bookmarkStart w:id="272" w:name="_Toc184310291"/>
      <w:bookmarkEnd w:id="272"/>
      <w:bookmarkStart w:id="273" w:name="_Toc184310338"/>
      <w:bookmarkEnd w:id="273"/>
      <w:bookmarkStart w:id="274" w:name="_Toc184312117"/>
      <w:bookmarkEnd w:id="274"/>
      <w:bookmarkStart w:id="275" w:name="_Toc184312137"/>
      <w:bookmarkEnd w:id="275"/>
      <w:bookmarkStart w:id="276" w:name="_Toc184310274"/>
      <w:bookmarkEnd w:id="276"/>
      <w:bookmarkStart w:id="277" w:name="_Toc184310315"/>
      <w:bookmarkEnd w:id="277"/>
      <w:bookmarkStart w:id="278" w:name="_Toc184313268"/>
      <w:bookmarkEnd w:id="278"/>
      <w:bookmarkStart w:id="279" w:name="_Toc184312082"/>
      <w:bookmarkEnd w:id="279"/>
      <w:bookmarkStart w:id="280" w:name="_Toc184310309"/>
      <w:bookmarkEnd w:id="280"/>
      <w:bookmarkStart w:id="281" w:name="_Toc184308046"/>
      <w:bookmarkEnd w:id="281"/>
      <w:bookmarkStart w:id="282" w:name="_Toc184313251"/>
      <w:bookmarkEnd w:id="282"/>
      <w:bookmarkStart w:id="283" w:name="_Toc184310310"/>
      <w:bookmarkEnd w:id="283"/>
      <w:bookmarkStart w:id="284" w:name="_Toc184310320"/>
      <w:bookmarkEnd w:id="284"/>
      <w:bookmarkStart w:id="285" w:name="_Toc184314429"/>
      <w:bookmarkEnd w:id="285"/>
      <w:bookmarkStart w:id="286" w:name="_Toc184308085"/>
      <w:bookmarkEnd w:id="286"/>
      <w:bookmarkStart w:id="287" w:name="_Toc184312086"/>
      <w:bookmarkEnd w:id="287"/>
      <w:bookmarkStart w:id="288" w:name="_Toc184312077"/>
      <w:bookmarkEnd w:id="288"/>
      <w:bookmarkStart w:id="289" w:name="_Toc184312099"/>
      <w:bookmarkEnd w:id="289"/>
      <w:bookmarkStart w:id="290" w:name="_Toc184314434"/>
      <w:bookmarkEnd w:id="290"/>
      <w:bookmarkStart w:id="291" w:name="_Toc184314482"/>
      <w:bookmarkEnd w:id="291"/>
      <w:bookmarkStart w:id="292" w:name="_Toc184310295"/>
      <w:bookmarkEnd w:id="292"/>
      <w:bookmarkStart w:id="293" w:name="_Toc184313243"/>
      <w:bookmarkEnd w:id="293"/>
      <w:bookmarkStart w:id="294" w:name="_Toc184312135"/>
      <w:bookmarkEnd w:id="294"/>
      <w:bookmarkStart w:id="295" w:name="_Toc184314435"/>
      <w:bookmarkEnd w:id="295"/>
      <w:bookmarkStart w:id="296" w:name="_Toc184308043"/>
      <w:bookmarkEnd w:id="296"/>
      <w:bookmarkStart w:id="297" w:name="_Toc184310313"/>
      <w:bookmarkEnd w:id="297"/>
      <w:bookmarkStart w:id="298" w:name="_Toc184313285"/>
      <w:bookmarkEnd w:id="298"/>
      <w:bookmarkStart w:id="299" w:name="_Toc184312113"/>
      <w:bookmarkEnd w:id="299"/>
      <w:bookmarkStart w:id="300" w:name="_Toc184308088"/>
      <w:bookmarkEnd w:id="300"/>
      <w:bookmarkStart w:id="301" w:name="_Toc184310333"/>
      <w:bookmarkEnd w:id="301"/>
      <w:bookmarkStart w:id="302" w:name="_Toc184308078"/>
      <w:bookmarkEnd w:id="302"/>
      <w:bookmarkStart w:id="303" w:name="_Toc184313273"/>
      <w:bookmarkEnd w:id="303"/>
      <w:bookmarkStart w:id="304" w:name="_Toc184314467"/>
      <w:bookmarkEnd w:id="304"/>
      <w:bookmarkStart w:id="305" w:name="_Toc184308063"/>
      <w:bookmarkEnd w:id="305"/>
      <w:bookmarkStart w:id="306" w:name="_Toc184313271"/>
      <w:bookmarkEnd w:id="306"/>
      <w:bookmarkStart w:id="307" w:name="_Toc184313258"/>
      <w:bookmarkEnd w:id="307"/>
      <w:bookmarkStart w:id="308" w:name="_Toc184308099"/>
      <w:bookmarkEnd w:id="308"/>
      <w:bookmarkStart w:id="309" w:name="_Toc184313304"/>
      <w:bookmarkEnd w:id="309"/>
      <w:bookmarkStart w:id="310" w:name="_Toc184314445"/>
      <w:bookmarkEnd w:id="310"/>
      <w:bookmarkStart w:id="311" w:name="_Toc184310297"/>
      <w:bookmarkEnd w:id="311"/>
      <w:bookmarkStart w:id="312" w:name="_Toc184310334"/>
      <w:bookmarkEnd w:id="312"/>
      <w:bookmarkStart w:id="313" w:name="_Toc184312090"/>
      <w:bookmarkEnd w:id="313"/>
      <w:bookmarkStart w:id="314" w:name="_Toc184310294"/>
      <w:bookmarkEnd w:id="314"/>
      <w:bookmarkStart w:id="315" w:name="_Toc184310308"/>
      <w:bookmarkEnd w:id="315"/>
      <w:bookmarkStart w:id="316" w:name="_Toc184314471"/>
      <w:bookmarkEnd w:id="316"/>
      <w:bookmarkStart w:id="317" w:name="_Toc184312103"/>
      <w:bookmarkEnd w:id="317"/>
      <w:bookmarkStart w:id="318" w:name="_Toc184308093"/>
      <w:bookmarkEnd w:id="318"/>
      <w:bookmarkStart w:id="319" w:name="_Toc184314458"/>
      <w:bookmarkEnd w:id="319"/>
      <w:bookmarkStart w:id="320" w:name="_Toc184312100"/>
      <w:bookmarkEnd w:id="320"/>
      <w:bookmarkStart w:id="321" w:name="_Toc184308081"/>
      <w:bookmarkEnd w:id="321"/>
      <w:bookmarkStart w:id="322" w:name="_Toc184312095"/>
      <w:bookmarkEnd w:id="322"/>
      <w:bookmarkStart w:id="323" w:name="_Toc184310279"/>
      <w:bookmarkEnd w:id="323"/>
      <w:bookmarkStart w:id="324" w:name="_Toc184314463"/>
      <w:bookmarkEnd w:id="324"/>
      <w:bookmarkStart w:id="325" w:name="_Toc184313298"/>
      <w:bookmarkEnd w:id="325"/>
      <w:bookmarkStart w:id="326" w:name="_Toc184314427"/>
      <w:bookmarkEnd w:id="326"/>
      <w:bookmarkStart w:id="327" w:name="_Toc184308050"/>
      <w:bookmarkEnd w:id="327"/>
      <w:bookmarkStart w:id="328" w:name="_Toc184310340"/>
      <w:bookmarkEnd w:id="328"/>
      <w:bookmarkStart w:id="329" w:name="_Toc184314414"/>
      <w:bookmarkEnd w:id="329"/>
      <w:bookmarkStart w:id="330" w:name="_Toc184310331"/>
      <w:bookmarkEnd w:id="330"/>
      <w:bookmarkStart w:id="331" w:name="_Toc184308037"/>
      <w:bookmarkEnd w:id="331"/>
      <w:bookmarkStart w:id="332" w:name="_Toc184308066"/>
      <w:bookmarkEnd w:id="332"/>
      <w:bookmarkStart w:id="333" w:name="_Toc184313267"/>
      <w:bookmarkEnd w:id="333"/>
      <w:bookmarkStart w:id="334" w:name="_Toc184308094"/>
      <w:bookmarkEnd w:id="334"/>
      <w:bookmarkStart w:id="335" w:name="_Toc184313246"/>
      <w:bookmarkEnd w:id="335"/>
      <w:bookmarkStart w:id="336" w:name="_Toc184314433"/>
      <w:bookmarkEnd w:id="336"/>
      <w:bookmarkStart w:id="337" w:name="_Toc184314475"/>
      <w:bookmarkEnd w:id="337"/>
      <w:bookmarkStart w:id="338" w:name="_Toc184310284"/>
      <w:bookmarkEnd w:id="338"/>
      <w:bookmarkStart w:id="339" w:name="_Toc184310287"/>
      <w:bookmarkEnd w:id="339"/>
      <w:bookmarkStart w:id="340" w:name="_Toc184308064"/>
      <w:bookmarkEnd w:id="340"/>
      <w:bookmarkStart w:id="341" w:name="_Toc184310272"/>
      <w:bookmarkEnd w:id="341"/>
      <w:bookmarkStart w:id="342" w:name="_Toc184310307"/>
      <w:bookmarkEnd w:id="342"/>
      <w:bookmarkStart w:id="343" w:name="_Toc184310312"/>
      <w:bookmarkEnd w:id="343"/>
      <w:bookmarkStart w:id="344" w:name="_Toc184312116"/>
      <w:bookmarkEnd w:id="344"/>
      <w:bookmarkStart w:id="345" w:name="_Toc184313309"/>
      <w:bookmarkEnd w:id="345"/>
      <w:bookmarkStart w:id="346" w:name="_Toc184308105"/>
      <w:bookmarkEnd w:id="346"/>
      <w:bookmarkStart w:id="347" w:name="_Toc184314412"/>
      <w:bookmarkEnd w:id="347"/>
      <w:bookmarkStart w:id="348" w:name="_Toc184308077"/>
      <w:bookmarkEnd w:id="348"/>
      <w:bookmarkStart w:id="349" w:name="_Toc184312070"/>
      <w:bookmarkEnd w:id="349"/>
      <w:bookmarkStart w:id="350" w:name="_Toc184308060"/>
      <w:bookmarkEnd w:id="350"/>
      <w:bookmarkStart w:id="351" w:name="_Toc184312129"/>
      <w:bookmarkEnd w:id="351"/>
      <w:bookmarkStart w:id="352" w:name="_Toc184314456"/>
      <w:bookmarkEnd w:id="352"/>
      <w:bookmarkStart w:id="353" w:name="_Toc184312110"/>
      <w:bookmarkEnd w:id="353"/>
      <w:bookmarkStart w:id="354" w:name="_Toc184310330"/>
      <w:bookmarkEnd w:id="354"/>
      <w:bookmarkStart w:id="355" w:name="_Toc184313244"/>
      <w:bookmarkEnd w:id="355"/>
      <w:bookmarkStart w:id="356" w:name="_Toc184314437"/>
      <w:bookmarkEnd w:id="356"/>
      <w:bookmarkStart w:id="357" w:name="_Toc184308045"/>
      <w:bookmarkEnd w:id="357"/>
      <w:bookmarkStart w:id="358" w:name="_Toc184313281"/>
      <w:bookmarkEnd w:id="358"/>
      <w:bookmarkStart w:id="359" w:name="_Toc184308041"/>
      <w:bookmarkEnd w:id="359"/>
      <w:bookmarkStart w:id="360" w:name="_Toc184308090"/>
      <w:bookmarkEnd w:id="360"/>
      <w:bookmarkStart w:id="361" w:name="_Toc184312084"/>
      <w:bookmarkEnd w:id="361"/>
      <w:bookmarkStart w:id="362" w:name="_Toc184308053"/>
      <w:bookmarkEnd w:id="362"/>
      <w:bookmarkStart w:id="363" w:name="_Toc184312104"/>
      <w:bookmarkEnd w:id="363"/>
      <w:bookmarkStart w:id="364" w:name="_Toc184308052"/>
      <w:bookmarkEnd w:id="364"/>
      <w:bookmarkStart w:id="365" w:name="_Toc184313248"/>
      <w:bookmarkEnd w:id="365"/>
      <w:bookmarkStart w:id="366" w:name="_Toc184313276"/>
      <w:bookmarkEnd w:id="366"/>
      <w:bookmarkStart w:id="367" w:name="_Toc184308092"/>
      <w:bookmarkEnd w:id="367"/>
      <w:bookmarkStart w:id="368" w:name="_Toc184314420"/>
      <w:bookmarkEnd w:id="368"/>
      <w:bookmarkStart w:id="369" w:name="_Toc184308087"/>
      <w:bookmarkEnd w:id="369"/>
      <w:bookmarkStart w:id="370" w:name="_Toc184312072"/>
      <w:bookmarkEnd w:id="370"/>
      <w:bookmarkStart w:id="371" w:name="_Toc184310299"/>
      <w:bookmarkEnd w:id="371"/>
      <w:bookmarkStart w:id="372" w:name="_Toc184314419"/>
      <w:bookmarkEnd w:id="372"/>
      <w:bookmarkStart w:id="373" w:name="_Toc184310344"/>
      <w:bookmarkEnd w:id="373"/>
      <w:bookmarkStart w:id="374" w:name="_Toc184314462"/>
      <w:bookmarkEnd w:id="374"/>
      <w:bookmarkStart w:id="375" w:name="_Toc184310288"/>
      <w:bookmarkEnd w:id="375"/>
      <w:bookmarkStart w:id="376" w:name="_Toc184313305"/>
      <w:bookmarkEnd w:id="376"/>
      <w:bookmarkStart w:id="377" w:name="_Toc184312068"/>
      <w:bookmarkEnd w:id="377"/>
      <w:bookmarkStart w:id="378" w:name="_Toc184310281"/>
      <w:bookmarkEnd w:id="378"/>
      <w:bookmarkStart w:id="379" w:name="_Toc184312112"/>
      <w:bookmarkEnd w:id="379"/>
      <w:bookmarkStart w:id="380" w:name="_Toc184314413"/>
      <w:bookmarkEnd w:id="380"/>
      <w:bookmarkStart w:id="381" w:name="_Toc184313294"/>
      <w:bookmarkEnd w:id="381"/>
      <w:bookmarkStart w:id="382" w:name="_Toc184313260"/>
      <w:bookmarkEnd w:id="382"/>
      <w:bookmarkStart w:id="383" w:name="_Toc184308073"/>
      <w:bookmarkEnd w:id="383"/>
      <w:bookmarkStart w:id="384" w:name="_Toc184313269"/>
      <w:bookmarkEnd w:id="384"/>
      <w:bookmarkStart w:id="385" w:name="_Toc184313241"/>
      <w:bookmarkEnd w:id="385"/>
      <w:bookmarkStart w:id="386" w:name="_Toc184308095"/>
      <w:bookmarkEnd w:id="386"/>
      <w:bookmarkStart w:id="387" w:name="_Toc184312124"/>
      <w:bookmarkEnd w:id="387"/>
      <w:bookmarkStart w:id="388" w:name="_Toc184308049"/>
      <w:bookmarkEnd w:id="388"/>
      <w:bookmarkStart w:id="389" w:name="_Toc184313270"/>
      <w:bookmarkEnd w:id="389"/>
      <w:bookmarkStart w:id="390" w:name="_Toc184313300"/>
      <w:bookmarkEnd w:id="390"/>
      <w:bookmarkStart w:id="391" w:name="_Toc184313278"/>
      <w:bookmarkEnd w:id="391"/>
      <w:bookmarkStart w:id="392" w:name="_Toc184310316"/>
      <w:bookmarkEnd w:id="392"/>
      <w:bookmarkStart w:id="393" w:name="_Toc184308059"/>
      <w:bookmarkEnd w:id="393"/>
      <w:bookmarkStart w:id="394" w:name="_Toc184312121"/>
      <w:bookmarkEnd w:id="394"/>
      <w:bookmarkStart w:id="395" w:name="_Toc184308103"/>
      <w:bookmarkEnd w:id="395"/>
      <w:bookmarkStart w:id="396" w:name="_Toc184313310"/>
      <w:bookmarkEnd w:id="396"/>
      <w:bookmarkStart w:id="397" w:name="_Toc184310321"/>
      <w:bookmarkEnd w:id="397"/>
      <w:bookmarkStart w:id="398" w:name="_Toc184308056"/>
      <w:bookmarkEnd w:id="398"/>
      <w:bookmarkStart w:id="399" w:name="_Toc184308067"/>
      <w:bookmarkEnd w:id="399"/>
      <w:bookmarkStart w:id="400" w:name="_Toc184308104"/>
      <w:bookmarkEnd w:id="400"/>
      <w:bookmarkStart w:id="401" w:name="_Toc184314425"/>
      <w:bookmarkEnd w:id="401"/>
      <w:bookmarkStart w:id="402" w:name="_Toc184310328"/>
      <w:bookmarkEnd w:id="402"/>
      <w:bookmarkStart w:id="403" w:name="_Toc184312091"/>
      <w:bookmarkEnd w:id="403"/>
      <w:bookmarkStart w:id="404" w:name="_Toc184313261"/>
      <w:bookmarkEnd w:id="404"/>
      <w:bookmarkStart w:id="405" w:name="_Toc184312125"/>
      <w:bookmarkEnd w:id="405"/>
      <w:bookmarkStart w:id="406" w:name="_Toc184310324"/>
      <w:bookmarkEnd w:id="406"/>
      <w:r>
        <w:rPr>
          <w:rFonts w:hint="eastAsia" w:ascii="仿宋" w:hAnsi="仿宋" w:cs="仿宋"/>
          <w:sz w:val="36"/>
          <w:szCs w:val="36"/>
        </w:rPr>
        <w:t>评审办法</w:t>
      </w:r>
      <w:bookmarkEnd w:id="41"/>
    </w:p>
    <w:p>
      <w:pPr>
        <w:pStyle w:val="5"/>
        <w:rPr>
          <w:rFonts w:ascii="仿宋" w:hAnsi="仿宋" w:cs="仿宋"/>
        </w:rPr>
      </w:pPr>
      <w:bookmarkStart w:id="407" w:name="_Toc27469"/>
      <w:r>
        <w:rPr>
          <w:rFonts w:hint="eastAsia" w:ascii="仿宋" w:hAnsi="仿宋" w:cs="仿宋"/>
        </w:rPr>
        <w:t>评审办法前附表</w:t>
      </w:r>
      <w:bookmarkEnd w:id="407"/>
    </w:p>
    <w:tbl>
      <w:tblPr>
        <w:tblStyle w:val="66"/>
        <w:tblW w:w="4996" w:type="pct"/>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758"/>
        <w:gridCol w:w="3607"/>
        <w:gridCol w:w="698"/>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2" w:hRule="atLeast"/>
        </w:trPr>
        <w:tc>
          <w:tcPr>
            <w:tcW w:w="3806" w:type="pct"/>
            <w:gridSpan w:val="3"/>
            <w:tcBorders>
              <w:top w:val="single" w:color="auto" w:sz="4" w:space="0"/>
              <w:left w:val="single" w:color="auto" w:sz="4" w:space="0"/>
              <w:right w:val="single" w:color="auto" w:sz="4" w:space="0"/>
            </w:tcBorders>
            <w:vAlign w:val="center"/>
          </w:tcPr>
          <w:p>
            <w:pPr>
              <w:pStyle w:val="28"/>
              <w:spacing w:line="240" w:lineRule="auto"/>
              <w:jc w:val="center"/>
              <w:rPr>
                <w:rFonts w:ascii="仿宋" w:hAnsi="仿宋" w:cs="仿宋"/>
                <w:color w:val="000000"/>
                <w:szCs w:val="24"/>
                <w:lang w:val="en-US"/>
              </w:rPr>
            </w:pPr>
            <w:r>
              <w:rPr>
                <w:rFonts w:hint="eastAsia" w:ascii="仿宋" w:hAnsi="仿宋" w:cs="仿宋"/>
                <w:color w:val="000000"/>
                <w:szCs w:val="24"/>
                <w:lang w:val="en-US"/>
              </w:rPr>
              <w:t>评分内容</w:t>
            </w:r>
          </w:p>
        </w:tc>
        <w:tc>
          <w:tcPr>
            <w:tcW w:w="376" w:type="pct"/>
            <w:tcBorders>
              <w:top w:val="single" w:color="auto" w:sz="4" w:space="0"/>
              <w:left w:val="single" w:color="auto" w:sz="4" w:space="0"/>
              <w:bottom w:val="single" w:color="auto" w:sz="4" w:space="0"/>
              <w:right w:val="single" w:color="auto" w:sz="4" w:space="0"/>
            </w:tcBorders>
            <w:vAlign w:val="center"/>
          </w:tcPr>
          <w:p>
            <w:pPr>
              <w:pStyle w:val="28"/>
              <w:spacing w:line="240" w:lineRule="auto"/>
              <w:rPr>
                <w:rFonts w:ascii="仿宋" w:hAnsi="仿宋" w:cs="仿宋"/>
                <w:color w:val="000000"/>
                <w:szCs w:val="24"/>
                <w:lang w:val="en-US"/>
              </w:rPr>
            </w:pPr>
            <w:r>
              <w:rPr>
                <w:rFonts w:hint="eastAsia" w:ascii="仿宋" w:hAnsi="仿宋" w:cs="仿宋"/>
                <w:color w:val="000000"/>
                <w:szCs w:val="24"/>
                <w:lang w:val="en-US"/>
              </w:rPr>
              <w:t>权重</w:t>
            </w:r>
          </w:p>
        </w:tc>
        <w:tc>
          <w:tcPr>
            <w:tcW w:w="817" w:type="pct"/>
            <w:tcBorders>
              <w:top w:val="single" w:color="auto" w:sz="4" w:space="0"/>
              <w:left w:val="single" w:color="auto" w:sz="4" w:space="0"/>
              <w:bottom w:val="single" w:color="auto" w:sz="4" w:space="0"/>
              <w:right w:val="single" w:color="auto" w:sz="4" w:space="0"/>
            </w:tcBorders>
            <w:vAlign w:val="center"/>
          </w:tcPr>
          <w:p>
            <w:pPr>
              <w:pStyle w:val="28"/>
              <w:spacing w:line="240" w:lineRule="auto"/>
              <w:rPr>
                <w:rFonts w:ascii="仿宋" w:hAnsi="仿宋" w:cs="仿宋"/>
                <w:color w:val="000000"/>
                <w:szCs w:val="24"/>
                <w:lang w:val="en-US"/>
              </w:rPr>
            </w:pPr>
            <w:r>
              <w:rPr>
                <w:rFonts w:hint="eastAsia"/>
              </w:rPr>
              <w:t>响应文件中评审标准相应的商务技术资料目录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377" w:type="pct"/>
            <w:vMerge w:val="restart"/>
            <w:tcBorders>
              <w:top w:val="single" w:color="auto" w:sz="4" w:space="0"/>
              <w:left w:val="single" w:color="auto" w:sz="4" w:space="0"/>
              <w:right w:val="single" w:color="auto" w:sz="4" w:space="0"/>
            </w:tcBorders>
            <w:vAlign w:val="center"/>
          </w:tcPr>
          <w:p>
            <w:pPr>
              <w:pStyle w:val="28"/>
              <w:spacing w:line="240" w:lineRule="auto"/>
              <w:jc w:val="center"/>
              <w:rPr>
                <w:rFonts w:ascii="仿宋" w:hAnsi="仿宋" w:cs="仿宋"/>
                <w:szCs w:val="24"/>
                <w:lang w:val="en-US"/>
              </w:rPr>
            </w:pPr>
            <w:r>
              <w:rPr>
                <w:rFonts w:hint="eastAsia" w:ascii="仿宋" w:hAnsi="仿宋" w:cs="仿宋"/>
                <w:szCs w:val="24"/>
                <w:lang w:val="en-US"/>
              </w:rPr>
              <w:t>履约能力</w:t>
            </w:r>
          </w:p>
        </w:tc>
        <w:tc>
          <w:tcPr>
            <w:tcW w:w="3428" w:type="pct"/>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480" w:firstLineChars="200"/>
              <w:rPr>
                <w:rFonts w:ascii="仿宋" w:hAnsi="仿宋" w:cs="仿宋"/>
                <w:color w:val="000000"/>
                <w:szCs w:val="24"/>
              </w:rPr>
            </w:pPr>
            <w:r>
              <w:rPr>
                <w:rFonts w:hint="eastAsia" w:ascii="仿宋" w:hAnsi="仿宋" w:cs="仿宋"/>
                <w:szCs w:val="24"/>
              </w:rPr>
              <w:t>业绩：</w:t>
            </w:r>
            <w:r>
              <w:rPr>
                <w:rFonts w:hint="eastAsia" w:ascii="仿宋" w:hAnsi="仿宋" w:cs="仿宋"/>
                <w:color w:val="000000"/>
                <w:szCs w:val="24"/>
              </w:rPr>
              <w:t>自20</w:t>
            </w:r>
            <w:r>
              <w:rPr>
                <w:rFonts w:hint="eastAsia" w:ascii="仿宋" w:hAnsi="仿宋" w:cs="仿宋"/>
                <w:color w:val="000000"/>
                <w:szCs w:val="24"/>
                <w:lang w:val="en-US"/>
              </w:rPr>
              <w:t>20</w:t>
            </w:r>
            <w:r>
              <w:rPr>
                <w:rFonts w:hint="eastAsia" w:ascii="仿宋" w:hAnsi="仿宋" w:cs="仿宋"/>
                <w:color w:val="000000"/>
                <w:szCs w:val="24"/>
              </w:rPr>
              <w:t>年</w:t>
            </w:r>
            <w:r>
              <w:rPr>
                <w:rFonts w:hint="eastAsia" w:ascii="仿宋" w:hAnsi="仿宋" w:cs="仿宋"/>
                <w:color w:val="000000"/>
                <w:szCs w:val="24"/>
                <w:lang w:val="en-US"/>
              </w:rPr>
              <w:t>01</w:t>
            </w:r>
            <w:r>
              <w:rPr>
                <w:rFonts w:hint="eastAsia" w:ascii="仿宋" w:hAnsi="仿宋" w:cs="仿宋"/>
                <w:color w:val="000000"/>
                <w:szCs w:val="24"/>
              </w:rPr>
              <w:t>月</w:t>
            </w:r>
            <w:r>
              <w:rPr>
                <w:rFonts w:hint="eastAsia" w:ascii="仿宋" w:hAnsi="仿宋" w:cs="仿宋"/>
                <w:color w:val="000000"/>
                <w:szCs w:val="24"/>
                <w:lang w:val="en-US"/>
              </w:rPr>
              <w:t>0</w:t>
            </w:r>
            <w:r>
              <w:rPr>
                <w:rFonts w:hint="eastAsia" w:ascii="仿宋" w:hAnsi="仿宋" w:cs="仿宋"/>
                <w:color w:val="000000"/>
                <w:szCs w:val="24"/>
              </w:rPr>
              <w:t>1日至今（以合同签订日为准），供应商具有类似LED大屏项目</w:t>
            </w:r>
            <w:r>
              <w:rPr>
                <w:rFonts w:hint="eastAsia" w:ascii="仿宋" w:hAnsi="仿宋" w:cs="仿宋"/>
                <w:color w:val="000000"/>
                <w:szCs w:val="24"/>
                <w:lang w:val="en-US"/>
              </w:rPr>
              <w:t>或指挥中心系统集成项目</w:t>
            </w:r>
            <w:r>
              <w:rPr>
                <w:rFonts w:hint="eastAsia" w:ascii="仿宋" w:hAnsi="仿宋" w:cs="仿宋"/>
                <w:color w:val="000000"/>
                <w:szCs w:val="24"/>
              </w:rPr>
              <w:t>业绩的，每提供一份合同得1分，最多得3分。</w:t>
            </w:r>
          </w:p>
          <w:p>
            <w:pPr>
              <w:pStyle w:val="28"/>
              <w:spacing w:line="240" w:lineRule="auto"/>
              <w:ind w:firstLine="480" w:firstLineChars="200"/>
              <w:rPr>
                <w:rFonts w:ascii="仿宋" w:hAnsi="仿宋" w:cs="仿宋"/>
                <w:color w:val="000000"/>
                <w:szCs w:val="24"/>
                <w:lang w:val="en-US"/>
              </w:rPr>
            </w:pPr>
            <w:r>
              <w:rPr>
                <w:rFonts w:hint="eastAsia" w:ascii="仿宋" w:hAnsi="仿宋" w:cs="仿宋"/>
                <w:color w:val="000000"/>
                <w:szCs w:val="24"/>
              </w:rPr>
              <w:t>提供合同</w:t>
            </w:r>
            <w:r>
              <w:rPr>
                <w:rFonts w:hint="eastAsia" w:ascii="仿宋" w:hAnsi="仿宋" w:cs="仿宋"/>
                <w:color w:val="000000"/>
                <w:szCs w:val="24"/>
                <w:lang w:val="en-US"/>
              </w:rPr>
              <w:t>和费用税务发票</w:t>
            </w:r>
            <w:r>
              <w:rPr>
                <w:rFonts w:hint="eastAsia" w:ascii="仿宋" w:hAnsi="仿宋" w:cs="仿宋"/>
                <w:color w:val="000000"/>
                <w:szCs w:val="24"/>
              </w:rPr>
              <w:t>原件扫描件，合同有涂改或不完整的视同未提供。</w:t>
            </w:r>
          </w:p>
        </w:tc>
        <w:tc>
          <w:tcPr>
            <w:tcW w:w="376"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color w:val="000000"/>
                <w:szCs w:val="24"/>
                <w:lang w:val="en-US"/>
              </w:rPr>
            </w:pPr>
            <w:r>
              <w:rPr>
                <w:rFonts w:hint="eastAsia" w:ascii="仿宋" w:hAnsi="仿宋" w:cs="仿宋"/>
                <w:color w:val="000000"/>
                <w:szCs w:val="24"/>
                <w:lang w:val="en-US"/>
              </w:rPr>
              <w:t>3</w:t>
            </w:r>
          </w:p>
        </w:tc>
        <w:tc>
          <w:tcPr>
            <w:tcW w:w="817"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color w:val="000000"/>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7" w:type="pct"/>
            <w:vMerge w:val="continue"/>
            <w:tcBorders>
              <w:left w:val="single" w:color="auto" w:sz="4" w:space="0"/>
              <w:right w:val="single" w:color="auto" w:sz="4" w:space="0"/>
            </w:tcBorders>
            <w:vAlign w:val="center"/>
          </w:tcPr>
          <w:p>
            <w:pPr>
              <w:pStyle w:val="28"/>
              <w:spacing w:line="240" w:lineRule="auto"/>
              <w:rPr>
                <w:rFonts w:ascii="仿宋" w:hAnsi="仿宋" w:cs="仿宋"/>
                <w:szCs w:val="24"/>
              </w:rPr>
            </w:pPr>
          </w:p>
        </w:tc>
        <w:tc>
          <w:tcPr>
            <w:tcW w:w="1486" w:type="pct"/>
            <w:vMerge w:val="restart"/>
            <w:tcBorders>
              <w:top w:val="single" w:color="auto" w:sz="4" w:space="0"/>
              <w:left w:val="single" w:color="auto" w:sz="4" w:space="0"/>
              <w:right w:val="single" w:color="auto" w:sz="4" w:space="0"/>
            </w:tcBorders>
            <w:vAlign w:val="center"/>
          </w:tcPr>
          <w:p>
            <w:pPr>
              <w:pStyle w:val="28"/>
              <w:spacing w:line="240" w:lineRule="auto"/>
              <w:rPr>
                <w:rFonts w:ascii="仿宋" w:hAnsi="仿宋" w:cs="仿宋"/>
                <w:color w:val="000000"/>
                <w:szCs w:val="24"/>
              </w:rPr>
            </w:pPr>
            <w:r>
              <w:rPr>
                <w:rFonts w:hint="eastAsia" w:ascii="仿宋" w:hAnsi="仿宋" w:cs="仿宋"/>
                <w:szCs w:val="24"/>
              </w:rPr>
              <w:t>供应商认证证书：</w:t>
            </w:r>
            <w:r>
              <w:rPr>
                <w:rFonts w:hint="eastAsia" w:ascii="仿宋" w:hAnsi="仿宋" w:cs="仿宋"/>
                <w:bCs/>
                <w:color w:val="000000"/>
                <w:szCs w:val="24"/>
                <w:lang w:val="en-US"/>
              </w:rPr>
              <w:t>每提供一份有效期内的认证证书原件扫描件得1分，最多得5分</w:t>
            </w:r>
            <w:r>
              <w:rPr>
                <w:rFonts w:hint="eastAsia" w:ascii="仿宋" w:hAnsi="仿宋" w:cs="仿宋"/>
                <w:bCs/>
                <w:color w:val="000000"/>
                <w:szCs w:val="24"/>
              </w:rPr>
              <w:t>。</w:t>
            </w:r>
          </w:p>
        </w:tc>
        <w:tc>
          <w:tcPr>
            <w:tcW w:w="1942"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bCs/>
                <w:color w:val="000000"/>
                <w:szCs w:val="24"/>
              </w:rPr>
            </w:pPr>
            <w:r>
              <w:rPr>
                <w:rFonts w:hint="eastAsia" w:ascii="仿宋" w:hAnsi="仿宋" w:cs="仿宋"/>
                <w:bCs/>
                <w:color w:val="000000"/>
                <w:szCs w:val="24"/>
              </w:rPr>
              <w:t>质量管理体系认证证书</w:t>
            </w:r>
          </w:p>
        </w:tc>
        <w:tc>
          <w:tcPr>
            <w:tcW w:w="376"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bCs/>
                <w:color w:val="000000"/>
                <w:szCs w:val="24"/>
                <w:lang w:val="en-US"/>
              </w:rPr>
            </w:pPr>
            <w:r>
              <w:rPr>
                <w:rFonts w:hint="eastAsia" w:ascii="仿宋" w:hAnsi="仿宋" w:cs="仿宋"/>
                <w:bCs/>
                <w:color w:val="000000"/>
                <w:szCs w:val="24"/>
                <w:lang w:val="en-US"/>
              </w:rPr>
              <w:t>1</w:t>
            </w:r>
          </w:p>
        </w:tc>
        <w:tc>
          <w:tcPr>
            <w:tcW w:w="817"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bCs/>
                <w:color w:val="000000"/>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7" w:type="pct"/>
            <w:vMerge w:val="continue"/>
            <w:tcBorders>
              <w:left w:val="single" w:color="auto" w:sz="4" w:space="0"/>
              <w:right w:val="single" w:color="auto" w:sz="4" w:space="0"/>
            </w:tcBorders>
            <w:vAlign w:val="center"/>
          </w:tcPr>
          <w:p>
            <w:pPr>
              <w:pStyle w:val="28"/>
              <w:spacing w:line="240" w:lineRule="auto"/>
              <w:jc w:val="center"/>
              <w:rPr>
                <w:rFonts w:ascii="仿宋" w:hAnsi="仿宋" w:cs="仿宋"/>
                <w:szCs w:val="24"/>
              </w:rPr>
            </w:pPr>
          </w:p>
        </w:tc>
        <w:tc>
          <w:tcPr>
            <w:tcW w:w="1486" w:type="pct"/>
            <w:vMerge w:val="continue"/>
            <w:tcBorders>
              <w:left w:val="single" w:color="auto" w:sz="4" w:space="0"/>
              <w:right w:val="single" w:color="auto" w:sz="4" w:space="0"/>
            </w:tcBorders>
            <w:vAlign w:val="center"/>
          </w:tcPr>
          <w:p>
            <w:pPr>
              <w:pStyle w:val="28"/>
              <w:spacing w:line="240" w:lineRule="auto"/>
              <w:jc w:val="center"/>
              <w:rPr>
                <w:rFonts w:ascii="仿宋" w:hAnsi="仿宋" w:cs="仿宋"/>
                <w:szCs w:val="24"/>
              </w:rPr>
            </w:pPr>
          </w:p>
        </w:tc>
        <w:tc>
          <w:tcPr>
            <w:tcW w:w="1942"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bCs/>
                <w:color w:val="000000"/>
                <w:szCs w:val="24"/>
              </w:rPr>
            </w:pPr>
            <w:r>
              <w:rPr>
                <w:rFonts w:hint="eastAsia" w:ascii="仿宋" w:hAnsi="仿宋" w:cs="仿宋"/>
                <w:bCs/>
                <w:color w:val="000000"/>
                <w:szCs w:val="24"/>
              </w:rPr>
              <w:t>职业健康安全管理体系认证证书</w:t>
            </w:r>
          </w:p>
        </w:tc>
        <w:tc>
          <w:tcPr>
            <w:tcW w:w="376"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bCs/>
                <w:color w:val="000000"/>
                <w:szCs w:val="24"/>
                <w:lang w:val="en-US"/>
              </w:rPr>
            </w:pPr>
            <w:r>
              <w:rPr>
                <w:rFonts w:hint="eastAsia" w:ascii="仿宋" w:hAnsi="仿宋" w:cs="仿宋"/>
                <w:bCs/>
                <w:color w:val="000000"/>
                <w:szCs w:val="24"/>
                <w:lang w:val="en-US"/>
              </w:rPr>
              <w:t>1</w:t>
            </w:r>
          </w:p>
        </w:tc>
        <w:tc>
          <w:tcPr>
            <w:tcW w:w="817"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bCs/>
                <w:color w:val="000000"/>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7" w:type="pct"/>
            <w:vMerge w:val="continue"/>
            <w:tcBorders>
              <w:left w:val="single" w:color="auto" w:sz="4" w:space="0"/>
              <w:right w:val="single" w:color="auto" w:sz="4" w:space="0"/>
            </w:tcBorders>
            <w:vAlign w:val="center"/>
          </w:tcPr>
          <w:p>
            <w:pPr>
              <w:pStyle w:val="28"/>
              <w:spacing w:line="240" w:lineRule="auto"/>
              <w:jc w:val="center"/>
              <w:rPr>
                <w:rFonts w:ascii="仿宋" w:hAnsi="仿宋" w:cs="仿宋"/>
                <w:bCs/>
                <w:color w:val="000000"/>
                <w:szCs w:val="24"/>
              </w:rPr>
            </w:pPr>
          </w:p>
        </w:tc>
        <w:tc>
          <w:tcPr>
            <w:tcW w:w="1486" w:type="pct"/>
            <w:vMerge w:val="continue"/>
            <w:tcBorders>
              <w:left w:val="single" w:color="auto" w:sz="4" w:space="0"/>
              <w:right w:val="single" w:color="auto" w:sz="4" w:space="0"/>
            </w:tcBorders>
            <w:vAlign w:val="center"/>
          </w:tcPr>
          <w:p>
            <w:pPr>
              <w:pStyle w:val="28"/>
              <w:spacing w:line="240" w:lineRule="auto"/>
              <w:jc w:val="center"/>
              <w:rPr>
                <w:rFonts w:ascii="仿宋" w:hAnsi="仿宋" w:cs="仿宋"/>
                <w:bCs/>
                <w:color w:val="000000"/>
                <w:szCs w:val="24"/>
              </w:rPr>
            </w:pPr>
          </w:p>
        </w:tc>
        <w:tc>
          <w:tcPr>
            <w:tcW w:w="1942"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bCs/>
                <w:color w:val="000000"/>
                <w:szCs w:val="24"/>
              </w:rPr>
            </w:pPr>
            <w:r>
              <w:rPr>
                <w:rFonts w:hint="eastAsia" w:ascii="仿宋" w:hAnsi="仿宋" w:cs="仿宋"/>
                <w:bCs/>
                <w:color w:val="000000"/>
                <w:szCs w:val="24"/>
              </w:rPr>
              <w:t>环境管理体系认证证书</w:t>
            </w:r>
          </w:p>
        </w:tc>
        <w:tc>
          <w:tcPr>
            <w:tcW w:w="376"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bCs/>
                <w:color w:val="000000"/>
                <w:szCs w:val="24"/>
                <w:lang w:val="en-US"/>
              </w:rPr>
            </w:pPr>
            <w:r>
              <w:rPr>
                <w:rFonts w:hint="eastAsia" w:ascii="仿宋" w:hAnsi="仿宋" w:cs="仿宋"/>
                <w:bCs/>
                <w:color w:val="000000"/>
                <w:szCs w:val="24"/>
                <w:lang w:val="en-US"/>
              </w:rPr>
              <w:t>1</w:t>
            </w:r>
          </w:p>
        </w:tc>
        <w:tc>
          <w:tcPr>
            <w:tcW w:w="817"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bCs/>
                <w:color w:val="000000"/>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7" w:type="pct"/>
            <w:vMerge w:val="continue"/>
            <w:tcBorders>
              <w:left w:val="single" w:color="auto" w:sz="4" w:space="0"/>
              <w:right w:val="single" w:color="auto" w:sz="4" w:space="0"/>
            </w:tcBorders>
            <w:vAlign w:val="center"/>
          </w:tcPr>
          <w:p>
            <w:pPr>
              <w:pStyle w:val="28"/>
              <w:spacing w:line="240" w:lineRule="auto"/>
              <w:jc w:val="center"/>
              <w:rPr>
                <w:rFonts w:ascii="仿宋" w:hAnsi="仿宋" w:cs="仿宋"/>
                <w:bCs/>
                <w:color w:val="000000"/>
                <w:szCs w:val="24"/>
              </w:rPr>
            </w:pPr>
          </w:p>
        </w:tc>
        <w:tc>
          <w:tcPr>
            <w:tcW w:w="1486" w:type="pct"/>
            <w:vMerge w:val="continue"/>
            <w:tcBorders>
              <w:left w:val="single" w:color="auto" w:sz="4" w:space="0"/>
              <w:right w:val="single" w:color="auto" w:sz="4" w:space="0"/>
            </w:tcBorders>
            <w:vAlign w:val="center"/>
          </w:tcPr>
          <w:p>
            <w:pPr>
              <w:pStyle w:val="28"/>
              <w:spacing w:line="240" w:lineRule="auto"/>
              <w:jc w:val="center"/>
              <w:rPr>
                <w:rFonts w:ascii="仿宋" w:hAnsi="仿宋" w:cs="仿宋"/>
                <w:bCs/>
                <w:color w:val="000000"/>
                <w:szCs w:val="24"/>
              </w:rPr>
            </w:pPr>
          </w:p>
        </w:tc>
        <w:tc>
          <w:tcPr>
            <w:tcW w:w="1942"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bCs/>
                <w:color w:val="000000"/>
                <w:szCs w:val="24"/>
              </w:rPr>
            </w:pPr>
            <w:r>
              <w:rPr>
                <w:rFonts w:hint="eastAsia" w:ascii="仿宋" w:hAnsi="仿宋" w:cs="仿宋"/>
                <w:bCs/>
                <w:color w:val="000000"/>
                <w:szCs w:val="24"/>
              </w:rPr>
              <w:t>信息安全管理体系认证证书</w:t>
            </w:r>
          </w:p>
        </w:tc>
        <w:tc>
          <w:tcPr>
            <w:tcW w:w="376"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bCs/>
                <w:color w:val="000000"/>
                <w:szCs w:val="24"/>
                <w:lang w:val="en-US"/>
              </w:rPr>
            </w:pPr>
            <w:r>
              <w:rPr>
                <w:rFonts w:hint="eastAsia" w:ascii="仿宋" w:hAnsi="仿宋" w:cs="仿宋"/>
                <w:bCs/>
                <w:color w:val="000000"/>
                <w:szCs w:val="24"/>
                <w:lang w:val="en-US"/>
              </w:rPr>
              <w:t>1</w:t>
            </w:r>
          </w:p>
        </w:tc>
        <w:tc>
          <w:tcPr>
            <w:tcW w:w="817"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bCs/>
                <w:color w:val="000000"/>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7" w:type="pct"/>
            <w:vMerge w:val="continue"/>
            <w:tcBorders>
              <w:left w:val="single" w:color="auto" w:sz="4" w:space="0"/>
              <w:right w:val="single" w:color="auto" w:sz="4" w:space="0"/>
            </w:tcBorders>
            <w:vAlign w:val="center"/>
          </w:tcPr>
          <w:p>
            <w:pPr>
              <w:pStyle w:val="28"/>
              <w:spacing w:line="240" w:lineRule="auto"/>
              <w:jc w:val="center"/>
              <w:rPr>
                <w:rFonts w:ascii="仿宋" w:hAnsi="仿宋" w:cs="仿宋"/>
                <w:bCs/>
                <w:color w:val="000000"/>
                <w:szCs w:val="24"/>
              </w:rPr>
            </w:pPr>
          </w:p>
        </w:tc>
        <w:tc>
          <w:tcPr>
            <w:tcW w:w="1486" w:type="pct"/>
            <w:vMerge w:val="continue"/>
            <w:tcBorders>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bCs/>
                <w:color w:val="000000"/>
                <w:szCs w:val="24"/>
              </w:rPr>
            </w:pPr>
          </w:p>
        </w:tc>
        <w:tc>
          <w:tcPr>
            <w:tcW w:w="1942"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bCs/>
                <w:color w:val="000000"/>
                <w:szCs w:val="24"/>
                <w:lang w:val="en-US"/>
              </w:rPr>
            </w:pPr>
            <w:r>
              <w:rPr>
                <w:rFonts w:hint="eastAsia" w:ascii="仿宋" w:hAnsi="仿宋" w:cs="仿宋"/>
                <w:bCs/>
                <w:color w:val="000000"/>
                <w:szCs w:val="24"/>
              </w:rPr>
              <w:t>信息技术服务管理体系认证证书</w:t>
            </w:r>
          </w:p>
        </w:tc>
        <w:tc>
          <w:tcPr>
            <w:tcW w:w="376"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bCs/>
                <w:color w:val="000000"/>
                <w:szCs w:val="24"/>
                <w:lang w:val="en-US"/>
              </w:rPr>
            </w:pPr>
            <w:r>
              <w:rPr>
                <w:rFonts w:hint="eastAsia" w:ascii="仿宋" w:hAnsi="仿宋" w:cs="仿宋"/>
                <w:bCs/>
                <w:color w:val="000000"/>
                <w:szCs w:val="24"/>
                <w:lang w:val="en-US"/>
              </w:rPr>
              <w:t>1</w:t>
            </w:r>
          </w:p>
        </w:tc>
        <w:tc>
          <w:tcPr>
            <w:tcW w:w="817"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bCs/>
                <w:color w:val="000000"/>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377" w:type="pct"/>
            <w:vMerge w:val="restart"/>
            <w:tcBorders>
              <w:top w:val="single" w:color="auto" w:sz="4" w:space="0"/>
              <w:left w:val="single" w:color="auto" w:sz="4" w:space="0"/>
              <w:right w:val="single" w:color="auto" w:sz="4" w:space="0"/>
            </w:tcBorders>
            <w:vAlign w:val="center"/>
          </w:tcPr>
          <w:p>
            <w:pPr>
              <w:pStyle w:val="28"/>
              <w:spacing w:line="240" w:lineRule="auto"/>
              <w:jc w:val="center"/>
              <w:rPr>
                <w:rFonts w:ascii="仿宋" w:hAnsi="仿宋" w:cs="仿宋"/>
                <w:szCs w:val="24"/>
                <w:lang w:val="en-US"/>
              </w:rPr>
            </w:pPr>
            <w:r>
              <w:rPr>
                <w:rFonts w:hint="eastAsia" w:ascii="仿宋" w:hAnsi="仿宋" w:cs="仿宋"/>
                <w:szCs w:val="24"/>
                <w:lang w:val="en-US"/>
              </w:rPr>
              <w:t>技术水平</w:t>
            </w:r>
          </w:p>
        </w:tc>
        <w:tc>
          <w:tcPr>
            <w:tcW w:w="3428" w:type="pct"/>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480" w:firstLineChars="200"/>
            </w:pPr>
            <w:r>
              <w:rPr>
                <w:rFonts w:hint="eastAsia"/>
              </w:rPr>
              <w:t>技术参数</w:t>
            </w:r>
            <w:r>
              <w:rPr>
                <w:rFonts w:hint="eastAsia"/>
                <w:lang w:val="en-US"/>
              </w:rPr>
              <w:t>满足程度：</w:t>
            </w:r>
            <w:r>
              <w:rPr>
                <w:rFonts w:hint="eastAsia"/>
              </w:rPr>
              <w:t>技术参数完全满足磋商文件要求的得满分，</w:t>
            </w:r>
            <w:r>
              <w:rPr>
                <w:rFonts w:hint="eastAsia"/>
                <w:b/>
                <w:bCs/>
                <w:lang w:val="en-US"/>
              </w:rPr>
              <w:t>标</w:t>
            </w:r>
            <w:r>
              <w:rPr>
                <w:rFonts w:hint="eastAsia"/>
                <w:b/>
                <w:bCs/>
              </w:rPr>
              <w:t>“</w:t>
            </w:r>
            <w:r>
              <w:rPr>
                <w:rFonts w:hint="eastAsia" w:cs="宋体"/>
                <w:b/>
                <w:bCs/>
              </w:rPr>
              <w:t>★</w:t>
            </w:r>
            <w:r>
              <w:rPr>
                <w:rFonts w:hint="eastAsia"/>
                <w:b/>
                <w:bCs/>
              </w:rPr>
              <w:t>”技术参数</w:t>
            </w:r>
            <w:r>
              <w:rPr>
                <w:rFonts w:hint="eastAsia"/>
                <w:b/>
                <w:bCs/>
                <w:lang w:val="en-US"/>
              </w:rPr>
              <w:t>有负偏离的响应无效</w:t>
            </w:r>
            <w:r>
              <w:rPr>
                <w:rFonts w:hint="eastAsia"/>
                <w:lang w:val="en-US"/>
              </w:rPr>
              <w:t>，标</w:t>
            </w:r>
            <w:r>
              <w:rPr>
                <w:rFonts w:hint="eastAsia"/>
              </w:rPr>
              <w:t>“▲”</w:t>
            </w:r>
            <w:r>
              <w:rPr>
                <w:rFonts w:hint="eastAsia"/>
                <w:lang w:val="en-US" w:eastAsia="zh-CN"/>
              </w:rPr>
              <w:t>的</w:t>
            </w:r>
            <w:r>
              <w:rPr>
                <w:rFonts w:hint="eastAsia"/>
              </w:rPr>
              <w:t>技术参数有负偏离的每项扣2分，</w:t>
            </w:r>
            <w:r>
              <w:rPr>
                <w:rFonts w:hint="eastAsia"/>
                <w:lang w:val="en-US" w:eastAsia="zh-CN"/>
              </w:rPr>
              <w:t>标“</w:t>
            </w:r>
            <w:r>
              <w:rPr>
                <w:rFonts w:hint="eastAsia"/>
                <w:lang w:eastAsia="zh-CN"/>
              </w:rPr>
              <w:t>■</w:t>
            </w:r>
            <w:r>
              <w:rPr>
                <w:rFonts w:hint="eastAsia"/>
                <w:lang w:val="en-US" w:eastAsia="zh-CN"/>
              </w:rPr>
              <w:t>”的技术参数有负偏离的每项扣0.5分</w:t>
            </w:r>
            <w:r>
              <w:rPr>
                <w:rFonts w:hint="eastAsia"/>
              </w:rPr>
              <w:t>。</w:t>
            </w:r>
          </w:p>
          <w:p>
            <w:pPr>
              <w:pStyle w:val="28"/>
              <w:spacing w:line="240" w:lineRule="auto"/>
              <w:ind w:firstLine="480" w:firstLineChars="200"/>
              <w:rPr>
                <w:lang w:val="en-US"/>
              </w:rPr>
            </w:pPr>
            <w:r>
              <w:rPr>
                <w:rFonts w:hint="eastAsia"/>
                <w:lang w:val="en-US"/>
              </w:rPr>
              <w:t>标</w:t>
            </w:r>
            <w:r>
              <w:rPr>
                <w:rFonts w:hint="eastAsia"/>
              </w:rPr>
              <w:t>“▲”</w:t>
            </w:r>
            <w:r>
              <w:rPr>
                <w:rFonts w:hint="eastAsia"/>
                <w:lang w:eastAsia="zh-CN"/>
              </w:rPr>
              <w:t>、</w:t>
            </w:r>
            <w:r>
              <w:rPr>
                <w:rFonts w:hint="eastAsia"/>
                <w:lang w:val="en-US" w:eastAsia="zh-CN"/>
              </w:rPr>
              <w:t>“</w:t>
            </w:r>
            <w:r>
              <w:rPr>
                <w:rFonts w:hint="eastAsia"/>
                <w:lang w:eastAsia="zh-CN"/>
              </w:rPr>
              <w:t>■</w:t>
            </w:r>
            <w:r>
              <w:rPr>
                <w:rFonts w:hint="eastAsia"/>
                <w:lang w:val="en-US" w:eastAsia="zh-CN"/>
              </w:rPr>
              <w:t>”</w:t>
            </w:r>
            <w:r>
              <w:rPr>
                <w:rFonts w:hint="eastAsia"/>
              </w:rPr>
              <w:t>技术参数</w:t>
            </w:r>
            <w:r>
              <w:rPr>
                <w:rFonts w:hint="eastAsia"/>
                <w:lang w:val="en-US"/>
              </w:rPr>
              <w:t>应提供具有国家认可的相应资质的检测机构出具的检验报告为证。</w:t>
            </w:r>
          </w:p>
        </w:tc>
        <w:tc>
          <w:tcPr>
            <w:tcW w:w="376"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color w:val="000000"/>
                <w:szCs w:val="24"/>
                <w:lang w:val="en-US"/>
              </w:rPr>
            </w:pPr>
            <w:r>
              <w:rPr>
                <w:rFonts w:hint="eastAsia" w:ascii="仿宋" w:hAnsi="仿宋" w:cs="仿宋"/>
                <w:color w:val="000000"/>
                <w:szCs w:val="24"/>
                <w:lang w:val="en-US"/>
              </w:rPr>
              <w:t>25</w:t>
            </w:r>
          </w:p>
        </w:tc>
        <w:tc>
          <w:tcPr>
            <w:tcW w:w="817"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color w:val="000000"/>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377" w:type="pct"/>
            <w:vMerge w:val="continue"/>
            <w:tcBorders>
              <w:left w:val="single" w:color="auto" w:sz="4" w:space="0"/>
              <w:right w:val="single" w:color="auto" w:sz="4" w:space="0"/>
            </w:tcBorders>
            <w:vAlign w:val="center"/>
          </w:tcPr>
          <w:p>
            <w:pPr>
              <w:pStyle w:val="28"/>
              <w:spacing w:line="240" w:lineRule="auto"/>
              <w:jc w:val="center"/>
              <w:rPr>
                <w:rFonts w:ascii="仿宋" w:hAnsi="仿宋" w:cs="仿宋"/>
                <w:szCs w:val="24"/>
                <w:lang w:val="en-US"/>
              </w:rPr>
            </w:pPr>
          </w:p>
        </w:tc>
        <w:tc>
          <w:tcPr>
            <w:tcW w:w="3428" w:type="pct"/>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480" w:firstLineChars="200"/>
              <w:rPr>
                <w:rFonts w:ascii="仿宋" w:hAnsi="仿宋" w:cs="仿宋"/>
                <w:szCs w:val="24"/>
              </w:rPr>
            </w:pPr>
            <w:r>
              <w:rPr>
                <w:rFonts w:hint="eastAsia" w:ascii="仿宋" w:hAnsi="仿宋" w:cs="仿宋"/>
                <w:szCs w:val="24"/>
              </w:rPr>
              <w:t>磋商小组对供应商针对本项目提供的团队人员：</w:t>
            </w:r>
          </w:p>
          <w:p>
            <w:pPr>
              <w:pStyle w:val="28"/>
              <w:spacing w:line="240" w:lineRule="auto"/>
              <w:ind w:firstLine="480" w:firstLineChars="200"/>
              <w:rPr>
                <w:rFonts w:ascii="仿宋" w:hAnsi="仿宋" w:cs="仿宋"/>
                <w:szCs w:val="24"/>
              </w:rPr>
            </w:pPr>
            <w:r>
              <w:rPr>
                <w:rFonts w:hint="eastAsia" w:ascii="仿宋" w:hAnsi="仿宋" w:cs="仿宋"/>
                <w:szCs w:val="24"/>
              </w:rPr>
              <w:t>（1）项目负责人具</w:t>
            </w:r>
            <w:r>
              <w:rPr>
                <w:rFonts w:hint="eastAsia" w:ascii="仿宋" w:hAnsi="仿宋" w:cs="仿宋"/>
                <w:szCs w:val="24"/>
                <w:lang w:val="en-US"/>
              </w:rPr>
              <w:t>有</w:t>
            </w:r>
            <w:r>
              <w:rPr>
                <w:rFonts w:hint="eastAsia" w:ascii="仿宋" w:hAnsi="仿宋" w:cs="仿宋"/>
                <w:szCs w:val="24"/>
              </w:rPr>
              <w:t>信息系统项目管理师、高级工程师证书、注册信息安全工程师证书的</w:t>
            </w:r>
            <w:r>
              <w:rPr>
                <w:rFonts w:hint="eastAsia" w:ascii="仿宋" w:hAnsi="仿宋" w:cs="仿宋"/>
                <w:szCs w:val="24"/>
                <w:lang w:val="en-US"/>
              </w:rPr>
              <w:t>得3分</w:t>
            </w:r>
            <w:r>
              <w:rPr>
                <w:rFonts w:hint="eastAsia" w:ascii="仿宋" w:hAnsi="仿宋" w:cs="仿宋"/>
                <w:szCs w:val="24"/>
              </w:rPr>
              <w:t>，每缺少一项扣1分，扣完</w:t>
            </w:r>
            <w:r>
              <w:rPr>
                <w:rFonts w:hint="eastAsia" w:ascii="仿宋" w:hAnsi="仿宋" w:cs="仿宋"/>
                <w:szCs w:val="24"/>
                <w:lang w:val="en-US"/>
              </w:rPr>
              <w:t>本项得分</w:t>
            </w:r>
            <w:r>
              <w:rPr>
                <w:rFonts w:hint="eastAsia" w:ascii="仿宋" w:hAnsi="仿宋" w:cs="仿宋"/>
                <w:szCs w:val="24"/>
              </w:rPr>
              <w:t>为止。</w:t>
            </w:r>
          </w:p>
          <w:p>
            <w:pPr>
              <w:spacing w:line="240" w:lineRule="auto"/>
              <w:ind w:firstLine="480"/>
              <w:rPr>
                <w:rFonts w:ascii="仿宋" w:hAnsi="仿宋" w:cs="仿宋"/>
              </w:rPr>
            </w:pPr>
            <w:r>
              <w:rPr>
                <w:rFonts w:hint="eastAsia" w:ascii="仿宋" w:hAnsi="仿宋" w:cs="仿宋"/>
              </w:rPr>
              <w:t>（2）其他团队人员（项目负责人除外）中具有注册信息安全专业人员认证资格证书、系统集成项目管理工程师、系统架构设计师证书的，每提供1个得1分，最高得3分。同一人有多个证书的，不累计。</w:t>
            </w:r>
          </w:p>
          <w:p>
            <w:pPr>
              <w:pStyle w:val="28"/>
              <w:spacing w:line="240" w:lineRule="auto"/>
              <w:ind w:firstLine="480" w:firstLineChars="200"/>
              <w:rPr>
                <w:rFonts w:ascii="仿宋" w:hAnsi="仿宋" w:cs="仿宋"/>
                <w:szCs w:val="24"/>
              </w:rPr>
            </w:pPr>
            <w:r>
              <w:rPr>
                <w:rFonts w:hint="eastAsia" w:ascii="仿宋" w:hAnsi="仿宋" w:cs="仿宋"/>
                <w:szCs w:val="24"/>
                <w:lang w:val="en-US"/>
              </w:rPr>
              <w:t>注：以上人员</w:t>
            </w:r>
            <w:r>
              <w:rPr>
                <w:rFonts w:hint="eastAsia" w:ascii="仿宋" w:hAnsi="仿宋" w:cs="仿宋"/>
                <w:szCs w:val="24"/>
              </w:rPr>
              <w:t>提供</w:t>
            </w:r>
            <w:r>
              <w:rPr>
                <w:rFonts w:hint="eastAsia" w:ascii="仿宋" w:hAnsi="仿宋" w:cs="仿宋"/>
                <w:szCs w:val="24"/>
                <w:lang w:val="en-US"/>
              </w:rPr>
              <w:t>供应商</w:t>
            </w:r>
            <w:r>
              <w:rPr>
                <w:rFonts w:hint="eastAsia" w:ascii="仿宋" w:hAnsi="仿宋" w:cs="仿宋"/>
                <w:szCs w:val="24"/>
              </w:rPr>
              <w:t>为其缴纳</w:t>
            </w:r>
            <w:r>
              <w:rPr>
                <w:rFonts w:hint="eastAsia" w:ascii="仿宋" w:hAnsi="仿宋" w:cs="仿宋"/>
                <w:szCs w:val="24"/>
                <w:lang w:val="en-US"/>
              </w:rPr>
              <w:t>的</w:t>
            </w:r>
            <w:r>
              <w:rPr>
                <w:rFonts w:hint="eastAsia" w:ascii="仿宋" w:hAnsi="仿宋" w:cs="仿宋"/>
                <w:szCs w:val="24"/>
              </w:rPr>
              <w:t>2022年社保证明</w:t>
            </w:r>
            <w:r>
              <w:rPr>
                <w:rFonts w:hint="eastAsia" w:ascii="仿宋" w:hAnsi="仿宋" w:cs="仿宋"/>
                <w:szCs w:val="24"/>
                <w:lang w:val="en-US"/>
              </w:rPr>
              <w:t>和相关证书原件扫描件（或电子证书）</w:t>
            </w:r>
            <w:r>
              <w:rPr>
                <w:rFonts w:hint="eastAsia" w:ascii="仿宋" w:hAnsi="仿宋" w:cs="仿宋"/>
                <w:szCs w:val="24"/>
              </w:rPr>
              <w:t>，</w:t>
            </w:r>
            <w:r>
              <w:rPr>
                <w:rFonts w:hint="eastAsia" w:ascii="仿宋" w:hAnsi="仿宋" w:cs="仿宋"/>
                <w:szCs w:val="24"/>
                <w:lang w:val="en-US"/>
              </w:rPr>
              <w:t>未提供或者提供不齐全的服务人员不得分</w:t>
            </w:r>
            <w:r>
              <w:rPr>
                <w:rFonts w:hint="eastAsia" w:ascii="仿宋" w:hAnsi="仿宋" w:cs="仿宋"/>
                <w:szCs w:val="24"/>
              </w:rPr>
              <w:t>。</w:t>
            </w:r>
          </w:p>
        </w:tc>
        <w:tc>
          <w:tcPr>
            <w:tcW w:w="376"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color w:val="000000"/>
                <w:szCs w:val="24"/>
                <w:lang w:val="en-US"/>
              </w:rPr>
            </w:pPr>
            <w:r>
              <w:rPr>
                <w:rFonts w:hint="eastAsia" w:ascii="仿宋" w:hAnsi="仿宋" w:cs="仿宋"/>
                <w:color w:val="000000"/>
                <w:szCs w:val="24"/>
                <w:lang w:val="en-US"/>
              </w:rPr>
              <w:t>6</w:t>
            </w:r>
          </w:p>
        </w:tc>
        <w:tc>
          <w:tcPr>
            <w:tcW w:w="817"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color w:val="000000"/>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77" w:type="pct"/>
            <w:vMerge w:val="restart"/>
            <w:tcBorders>
              <w:top w:val="single" w:color="auto" w:sz="4" w:space="0"/>
              <w:left w:val="single" w:color="auto" w:sz="4" w:space="0"/>
              <w:right w:val="single" w:color="auto" w:sz="4" w:space="0"/>
            </w:tcBorders>
            <w:vAlign w:val="center"/>
          </w:tcPr>
          <w:p>
            <w:pPr>
              <w:pStyle w:val="28"/>
              <w:spacing w:line="240" w:lineRule="auto"/>
              <w:jc w:val="center"/>
              <w:rPr>
                <w:rFonts w:ascii="仿宋" w:hAnsi="仿宋" w:cs="仿宋"/>
                <w:szCs w:val="24"/>
                <w:lang w:val="en-US"/>
              </w:rPr>
            </w:pPr>
            <w:r>
              <w:rPr>
                <w:rFonts w:hint="eastAsia" w:ascii="仿宋" w:hAnsi="仿宋" w:cs="仿宋"/>
                <w:szCs w:val="24"/>
                <w:lang w:val="en-US"/>
              </w:rPr>
              <w:t>服务方案</w:t>
            </w:r>
          </w:p>
          <w:p>
            <w:pPr>
              <w:pStyle w:val="28"/>
              <w:spacing w:line="240" w:lineRule="auto"/>
              <w:rPr>
                <w:rFonts w:ascii="仿宋" w:hAnsi="仿宋" w:cs="仿宋"/>
                <w:szCs w:val="24"/>
                <w:lang w:val="en-US"/>
              </w:rPr>
            </w:pPr>
          </w:p>
          <w:p>
            <w:pPr>
              <w:pStyle w:val="28"/>
              <w:spacing w:line="240" w:lineRule="auto"/>
              <w:rPr>
                <w:rFonts w:ascii="仿宋" w:hAnsi="仿宋" w:cs="仿宋"/>
                <w:szCs w:val="24"/>
                <w:lang w:val="en-US"/>
              </w:rPr>
            </w:pPr>
          </w:p>
        </w:tc>
        <w:tc>
          <w:tcPr>
            <w:tcW w:w="3428" w:type="pct"/>
            <w:gridSpan w:val="2"/>
            <w:tcBorders>
              <w:top w:val="single" w:color="auto" w:sz="4" w:space="0"/>
              <w:left w:val="single" w:color="auto" w:sz="4" w:space="0"/>
              <w:right w:val="single" w:color="auto" w:sz="4" w:space="0"/>
            </w:tcBorders>
            <w:vAlign w:val="center"/>
          </w:tcPr>
          <w:p>
            <w:pPr>
              <w:spacing w:line="240" w:lineRule="auto"/>
              <w:ind w:firstLine="480"/>
              <w:rPr>
                <w:rFonts w:ascii="仿宋" w:hAnsi="仿宋" w:cs="仿宋"/>
              </w:rPr>
            </w:pPr>
            <w:r>
              <w:rPr>
                <w:rFonts w:hint="eastAsia" w:ascii="仿宋" w:hAnsi="仿宋" w:cs="仿宋"/>
              </w:rPr>
              <w:t>系统设计方案：评委会对供应商提供的整体系统设计方案、系统整体构架及部署、系统建设规范等进行综合评定。</w:t>
            </w:r>
          </w:p>
          <w:p>
            <w:pPr>
              <w:spacing w:line="240" w:lineRule="auto"/>
              <w:ind w:firstLine="480"/>
              <w:rPr>
                <w:rFonts w:ascii="仿宋" w:hAnsi="仿宋" w:cs="仿宋"/>
              </w:rPr>
            </w:pPr>
            <w:r>
              <w:rPr>
                <w:rFonts w:hint="eastAsia" w:ascii="仿宋" w:hAnsi="仿宋" w:cs="仿宋"/>
              </w:rPr>
              <w:t>方案科学、合理、完整、可行、满足磋商文件要求的得5分；</w:t>
            </w:r>
          </w:p>
          <w:p>
            <w:pPr>
              <w:spacing w:line="240" w:lineRule="auto"/>
              <w:ind w:firstLine="480"/>
              <w:rPr>
                <w:rFonts w:ascii="仿宋" w:hAnsi="仿宋" w:cs="仿宋"/>
              </w:rPr>
            </w:pPr>
            <w:r>
              <w:rPr>
                <w:rFonts w:hint="eastAsia" w:ascii="仿宋" w:hAnsi="仿宋" w:cs="仿宋"/>
              </w:rPr>
              <w:t>方案较为合理、完整、较为科学深入的得3分；</w:t>
            </w:r>
          </w:p>
          <w:p>
            <w:pPr>
              <w:spacing w:line="240" w:lineRule="auto"/>
              <w:ind w:firstLine="480"/>
              <w:rPr>
                <w:rFonts w:ascii="仿宋" w:hAnsi="仿宋" w:cs="仿宋"/>
              </w:rPr>
            </w:pPr>
            <w:r>
              <w:rPr>
                <w:rFonts w:hint="eastAsia" w:ascii="仿宋" w:hAnsi="仿宋" w:cs="仿宋"/>
              </w:rPr>
              <w:t>方案不够合理、不够完整、不够科学深入的得1分；</w:t>
            </w:r>
          </w:p>
          <w:p>
            <w:pPr>
              <w:spacing w:line="240" w:lineRule="auto"/>
              <w:ind w:firstLine="480"/>
              <w:rPr>
                <w:rFonts w:ascii="仿宋" w:hAnsi="仿宋" w:cs="仿宋"/>
              </w:rPr>
            </w:pPr>
            <w:r>
              <w:rPr>
                <w:rFonts w:hint="eastAsia" w:ascii="仿宋" w:hAnsi="仿宋" w:cs="仿宋"/>
              </w:rPr>
              <w:t>未提供方案的得0分。</w:t>
            </w:r>
          </w:p>
        </w:tc>
        <w:tc>
          <w:tcPr>
            <w:tcW w:w="376"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color w:val="000000"/>
                <w:szCs w:val="24"/>
                <w:lang w:val="en-US"/>
              </w:rPr>
            </w:pPr>
            <w:r>
              <w:rPr>
                <w:rFonts w:hint="eastAsia" w:ascii="仿宋" w:hAnsi="仿宋" w:cs="仿宋"/>
                <w:color w:val="000000"/>
                <w:szCs w:val="24"/>
                <w:lang w:val="en-US"/>
              </w:rPr>
              <w:t>5</w:t>
            </w:r>
          </w:p>
        </w:tc>
        <w:tc>
          <w:tcPr>
            <w:tcW w:w="817"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color w:val="000000"/>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77" w:type="pct"/>
            <w:vMerge w:val="continue"/>
            <w:tcBorders>
              <w:left w:val="single" w:color="auto" w:sz="4" w:space="0"/>
              <w:right w:val="single" w:color="auto" w:sz="4" w:space="0"/>
            </w:tcBorders>
            <w:vAlign w:val="center"/>
          </w:tcPr>
          <w:p>
            <w:pPr>
              <w:pStyle w:val="28"/>
              <w:spacing w:line="240" w:lineRule="auto"/>
              <w:rPr>
                <w:rFonts w:ascii="仿宋" w:hAnsi="仿宋" w:cs="仿宋"/>
                <w:szCs w:val="24"/>
              </w:rPr>
            </w:pPr>
          </w:p>
        </w:tc>
        <w:tc>
          <w:tcPr>
            <w:tcW w:w="3428" w:type="pct"/>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480"/>
              <w:rPr>
                <w:rFonts w:hint="eastAsia" w:ascii="仿宋" w:hAnsi="仿宋" w:eastAsia="仿宋" w:cs="仿宋"/>
                <w:lang w:eastAsia="zh-CN"/>
              </w:rPr>
            </w:pPr>
            <w:r>
              <w:rPr>
                <w:rFonts w:hint="eastAsia" w:ascii="仿宋" w:hAnsi="仿宋" w:cs="仿宋"/>
              </w:rPr>
              <w:t>现场情况分析：根据现场勘察的情况，设计合理的平面图、效果图、</w:t>
            </w:r>
            <w:r>
              <w:rPr>
                <w:rFonts w:hint="eastAsia" w:ascii="仿宋" w:hAnsi="仿宋" w:cs="仿宋"/>
                <w:lang w:val="en-US" w:eastAsia="zh-CN"/>
              </w:rPr>
              <w:t>系统</w:t>
            </w:r>
            <w:r>
              <w:rPr>
                <w:rFonts w:hint="eastAsia" w:ascii="仿宋" w:hAnsi="仿宋" w:cs="仿宋"/>
              </w:rPr>
              <w:t>图</w:t>
            </w:r>
            <w:r>
              <w:rPr>
                <w:rFonts w:hint="eastAsia" w:ascii="仿宋" w:hAnsi="仿宋" w:cs="仿宋"/>
                <w:lang w:val="en-US" w:eastAsia="zh-CN"/>
              </w:rPr>
              <w:t>等图纸</w:t>
            </w:r>
            <w:r>
              <w:rPr>
                <w:rFonts w:hint="eastAsia" w:ascii="仿宋" w:hAnsi="仿宋" w:cs="仿宋"/>
              </w:rPr>
              <w:t>进行综合评定（图纸由供应商自行勘察绘制）</w:t>
            </w:r>
            <w:r>
              <w:rPr>
                <w:rFonts w:hint="eastAsia" w:ascii="仿宋" w:hAnsi="仿宋" w:cs="仿宋"/>
                <w:lang w:eastAsia="zh-CN"/>
              </w:rPr>
              <w:t>。</w:t>
            </w:r>
          </w:p>
          <w:p>
            <w:pPr>
              <w:spacing w:line="240" w:lineRule="auto"/>
              <w:ind w:firstLine="480"/>
              <w:rPr>
                <w:rFonts w:ascii="仿宋" w:hAnsi="仿宋" w:cs="仿宋"/>
              </w:rPr>
            </w:pPr>
            <w:r>
              <w:rPr>
                <w:rFonts w:hint="eastAsia" w:ascii="仿宋" w:hAnsi="仿宋" w:cs="仿宋"/>
              </w:rPr>
              <w:t>图纸完善及设计风格好、规划合理的得5分；</w:t>
            </w:r>
          </w:p>
          <w:p>
            <w:pPr>
              <w:spacing w:line="240" w:lineRule="auto"/>
              <w:ind w:firstLine="480"/>
              <w:rPr>
                <w:rFonts w:ascii="仿宋" w:hAnsi="仿宋" w:cs="仿宋"/>
              </w:rPr>
            </w:pPr>
            <w:r>
              <w:rPr>
                <w:rFonts w:hint="eastAsia" w:ascii="仿宋" w:hAnsi="仿宋" w:cs="仿宋"/>
              </w:rPr>
              <w:t>图纸较完善且设计风格一般的得3分；</w:t>
            </w:r>
          </w:p>
          <w:p>
            <w:pPr>
              <w:spacing w:line="240" w:lineRule="auto"/>
              <w:ind w:firstLine="480"/>
              <w:rPr>
                <w:rFonts w:ascii="仿宋" w:hAnsi="仿宋" w:cs="仿宋"/>
              </w:rPr>
            </w:pPr>
            <w:r>
              <w:rPr>
                <w:rFonts w:hint="eastAsia" w:ascii="仿宋" w:hAnsi="仿宋" w:cs="仿宋"/>
              </w:rPr>
              <w:t>图纸有遗漏的得1分；</w:t>
            </w:r>
          </w:p>
          <w:p>
            <w:pPr>
              <w:spacing w:line="240" w:lineRule="auto"/>
              <w:ind w:firstLine="480"/>
              <w:rPr>
                <w:rFonts w:ascii="仿宋" w:hAnsi="仿宋" w:cs="仿宋"/>
              </w:rPr>
            </w:pPr>
            <w:r>
              <w:rPr>
                <w:rFonts w:hint="eastAsia" w:ascii="仿宋" w:hAnsi="仿宋" w:cs="仿宋"/>
              </w:rPr>
              <w:t>未提供的得0分。</w:t>
            </w:r>
          </w:p>
        </w:tc>
        <w:tc>
          <w:tcPr>
            <w:tcW w:w="376"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color w:val="000000"/>
                <w:szCs w:val="24"/>
                <w:lang w:val="en-US"/>
              </w:rPr>
            </w:pPr>
            <w:r>
              <w:rPr>
                <w:rFonts w:hint="eastAsia" w:ascii="仿宋" w:hAnsi="仿宋" w:cs="仿宋"/>
                <w:color w:val="000000"/>
                <w:szCs w:val="24"/>
                <w:lang w:val="en-US"/>
              </w:rPr>
              <w:t>5</w:t>
            </w:r>
          </w:p>
        </w:tc>
        <w:tc>
          <w:tcPr>
            <w:tcW w:w="817"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color w:val="000000"/>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377" w:type="pct"/>
            <w:vMerge w:val="continue"/>
            <w:tcBorders>
              <w:left w:val="single" w:color="auto" w:sz="4" w:space="0"/>
              <w:right w:val="single" w:color="auto" w:sz="4" w:space="0"/>
            </w:tcBorders>
            <w:vAlign w:val="center"/>
          </w:tcPr>
          <w:p>
            <w:pPr>
              <w:pStyle w:val="28"/>
              <w:spacing w:line="240" w:lineRule="auto"/>
              <w:rPr>
                <w:rFonts w:ascii="仿宋" w:hAnsi="仿宋" w:cs="仿宋"/>
                <w:szCs w:val="24"/>
              </w:rPr>
            </w:pPr>
          </w:p>
        </w:tc>
        <w:tc>
          <w:tcPr>
            <w:tcW w:w="3428" w:type="pct"/>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480" w:firstLineChars="200"/>
              <w:rPr>
                <w:rFonts w:hint="eastAsia" w:ascii="仿宋" w:hAnsi="仿宋" w:eastAsia="仿宋" w:cs="仿宋"/>
                <w:color w:val="000000"/>
                <w:szCs w:val="24"/>
                <w:lang w:eastAsia="zh-CN"/>
              </w:rPr>
            </w:pPr>
            <w:r>
              <w:rPr>
                <w:rFonts w:hint="eastAsia" w:ascii="仿宋" w:hAnsi="仿宋" w:cs="仿宋"/>
                <w:highlight w:val="none"/>
              </w:rPr>
              <w:t>原设备迁移接入和软件系统对接等</w:t>
            </w:r>
            <w:r>
              <w:rPr>
                <w:rFonts w:hint="eastAsia" w:ascii="仿宋" w:hAnsi="仿宋" w:cs="仿宋"/>
                <w:bCs/>
                <w:color w:val="000000"/>
                <w:szCs w:val="24"/>
                <w:lang w:val="en-US"/>
              </w:rPr>
              <w:t>方案：</w:t>
            </w:r>
            <w:r>
              <w:rPr>
                <w:rFonts w:hint="eastAsia" w:ascii="仿宋" w:hAnsi="仿宋" w:cs="仿宋"/>
                <w:bCs/>
                <w:color w:val="000000"/>
                <w:szCs w:val="24"/>
              </w:rPr>
              <w:t>根据</w:t>
            </w:r>
            <w:r>
              <w:rPr>
                <w:rFonts w:hint="eastAsia" w:ascii="仿宋" w:hAnsi="仿宋" w:cs="仿宋"/>
                <w:highlight w:val="none"/>
                <w:lang w:eastAsia="zh-CN"/>
              </w:rPr>
              <w:t>“</w:t>
            </w:r>
            <w:r>
              <w:rPr>
                <w:rFonts w:hint="eastAsia" w:ascii="仿宋" w:hAnsi="仿宋" w:cs="仿宋"/>
                <w:highlight w:val="none"/>
              </w:rPr>
              <w:t>在</w:t>
            </w:r>
            <w:r>
              <w:rPr>
                <w:rFonts w:ascii="仿宋" w:hAnsi="仿宋" w:cs="仿宋"/>
                <w:highlight w:val="none"/>
              </w:rPr>
              <w:t>指挥中心、值班室、决策室</w:t>
            </w:r>
            <w:r>
              <w:rPr>
                <w:rFonts w:hint="eastAsia" w:ascii="仿宋" w:hAnsi="仿宋" w:cs="仿宋"/>
                <w:highlight w:val="none"/>
              </w:rPr>
              <w:t>的显示</w:t>
            </w:r>
            <w:r>
              <w:rPr>
                <w:rFonts w:ascii="仿宋" w:hAnsi="仿宋" w:cs="仿宋"/>
                <w:highlight w:val="none"/>
              </w:rPr>
              <w:t>系统</w:t>
            </w:r>
            <w:r>
              <w:rPr>
                <w:rFonts w:hint="eastAsia" w:ascii="仿宋" w:hAnsi="仿宋" w:cs="仿宋"/>
                <w:highlight w:val="none"/>
              </w:rPr>
              <w:t>上</w:t>
            </w:r>
            <w:r>
              <w:rPr>
                <w:rFonts w:ascii="仿宋" w:hAnsi="仿宋" w:cs="仿宋"/>
                <w:highlight w:val="none"/>
              </w:rPr>
              <w:t>接入</w:t>
            </w:r>
            <w:r>
              <w:rPr>
                <w:rFonts w:hint="eastAsia" w:ascii="仿宋" w:hAnsi="仿宋" w:cs="仿宋"/>
                <w:highlight w:val="none"/>
              </w:rPr>
              <w:t>以下内容：</w:t>
            </w:r>
            <w:r>
              <w:rPr>
                <w:rFonts w:ascii="仿宋" w:hAnsi="仿宋" w:cs="仿宋"/>
                <w:highlight w:val="none"/>
              </w:rPr>
              <w:t>上级单位及街道所属各村视联网视频会议系统的对接、网格化综合治理平台的接入、公安天网社会治安视频监控的接入、社会资源视频的接入等</w:t>
            </w:r>
            <w:r>
              <w:rPr>
                <w:rFonts w:hint="eastAsia" w:ascii="仿宋" w:hAnsi="仿宋" w:cs="仿宋"/>
                <w:highlight w:val="none"/>
                <w:lang w:eastAsia="zh-CN"/>
              </w:rPr>
              <w:t>”</w:t>
            </w:r>
            <w:r>
              <w:rPr>
                <w:rFonts w:hint="eastAsia" w:ascii="仿宋" w:hAnsi="仿宋" w:cs="仿宋"/>
                <w:bCs/>
                <w:color w:val="000000"/>
                <w:szCs w:val="24"/>
              </w:rPr>
              <w:t>方案进行</w:t>
            </w:r>
            <w:r>
              <w:rPr>
                <w:rFonts w:hint="eastAsia" w:ascii="仿宋" w:hAnsi="仿宋" w:cs="仿宋"/>
                <w:bCs/>
                <w:color w:val="000000"/>
                <w:szCs w:val="24"/>
                <w:lang w:val="en-US" w:eastAsia="zh-CN"/>
              </w:rPr>
              <w:t>综合</w:t>
            </w:r>
            <w:r>
              <w:rPr>
                <w:rFonts w:hint="eastAsia" w:ascii="仿宋" w:hAnsi="仿宋" w:cs="仿宋"/>
                <w:bCs/>
                <w:color w:val="000000"/>
                <w:szCs w:val="24"/>
              </w:rPr>
              <w:t>评审</w:t>
            </w:r>
            <w:r>
              <w:rPr>
                <w:rFonts w:hint="eastAsia" w:ascii="仿宋" w:hAnsi="仿宋" w:cs="仿宋"/>
                <w:bCs/>
                <w:color w:val="000000"/>
                <w:szCs w:val="24"/>
                <w:lang w:eastAsia="zh-CN"/>
              </w:rPr>
              <w:t>。</w:t>
            </w:r>
          </w:p>
          <w:p>
            <w:pPr>
              <w:pStyle w:val="28"/>
              <w:spacing w:line="240" w:lineRule="auto"/>
              <w:ind w:firstLine="480" w:firstLineChars="200"/>
              <w:rPr>
                <w:rFonts w:ascii="仿宋" w:hAnsi="仿宋" w:cs="仿宋"/>
                <w:color w:val="000000"/>
                <w:szCs w:val="24"/>
              </w:rPr>
            </w:pPr>
            <w:r>
              <w:rPr>
                <w:rFonts w:hint="eastAsia" w:ascii="仿宋" w:hAnsi="仿宋" w:cs="仿宋"/>
                <w:color w:val="000000"/>
                <w:szCs w:val="24"/>
              </w:rPr>
              <w:t>方案科学、合理、切合实际、满足采购人需求的得5分；</w:t>
            </w:r>
          </w:p>
          <w:p>
            <w:pPr>
              <w:pStyle w:val="28"/>
              <w:spacing w:line="240" w:lineRule="auto"/>
              <w:ind w:firstLine="480" w:firstLineChars="200"/>
              <w:rPr>
                <w:rFonts w:ascii="仿宋" w:hAnsi="仿宋" w:cs="仿宋"/>
                <w:color w:val="000000"/>
                <w:szCs w:val="24"/>
                <w:lang w:val="en-US"/>
              </w:rPr>
            </w:pPr>
            <w:r>
              <w:rPr>
                <w:rFonts w:hint="eastAsia" w:ascii="仿宋" w:hAnsi="仿宋" w:cs="仿宋"/>
                <w:color w:val="000000"/>
                <w:szCs w:val="24"/>
              </w:rPr>
              <w:t>方案</w:t>
            </w:r>
            <w:r>
              <w:rPr>
                <w:rFonts w:hint="eastAsia" w:ascii="仿宋" w:hAnsi="仿宋" w:cs="仿宋"/>
                <w:color w:val="000000"/>
                <w:szCs w:val="24"/>
                <w:lang w:val="en-US"/>
              </w:rPr>
              <w:t>较为</w:t>
            </w:r>
            <w:r>
              <w:rPr>
                <w:rFonts w:hint="eastAsia" w:ascii="仿宋" w:hAnsi="仿宋" w:cs="仿宋"/>
                <w:color w:val="000000"/>
                <w:szCs w:val="24"/>
              </w:rPr>
              <w:t>科学、合理、</w:t>
            </w:r>
            <w:r>
              <w:rPr>
                <w:rFonts w:hint="eastAsia" w:ascii="仿宋" w:hAnsi="仿宋" w:cs="仿宋"/>
                <w:color w:val="000000"/>
                <w:szCs w:val="24"/>
                <w:lang w:val="en-US"/>
              </w:rPr>
              <w:t>完整</w:t>
            </w:r>
            <w:r>
              <w:rPr>
                <w:rFonts w:hint="eastAsia" w:ascii="仿宋" w:hAnsi="仿宋" w:cs="仿宋"/>
                <w:color w:val="000000"/>
                <w:szCs w:val="24"/>
              </w:rPr>
              <w:t>的</w:t>
            </w:r>
            <w:r>
              <w:rPr>
                <w:rFonts w:hint="eastAsia" w:ascii="仿宋" w:hAnsi="仿宋" w:cs="仿宋"/>
                <w:color w:val="000000"/>
                <w:szCs w:val="24"/>
                <w:lang w:val="en-US"/>
              </w:rPr>
              <w:t>得3</w:t>
            </w:r>
            <w:r>
              <w:rPr>
                <w:rFonts w:hint="eastAsia" w:ascii="仿宋" w:hAnsi="仿宋" w:cs="仿宋"/>
                <w:color w:val="000000"/>
                <w:szCs w:val="24"/>
              </w:rPr>
              <w:t>分</w:t>
            </w:r>
            <w:r>
              <w:rPr>
                <w:rFonts w:hint="eastAsia" w:ascii="仿宋" w:hAnsi="仿宋" w:cs="仿宋"/>
                <w:color w:val="000000"/>
                <w:szCs w:val="24"/>
                <w:lang w:val="en-US"/>
              </w:rPr>
              <w:t>；</w:t>
            </w:r>
          </w:p>
          <w:p>
            <w:pPr>
              <w:pStyle w:val="28"/>
              <w:spacing w:line="240" w:lineRule="auto"/>
              <w:ind w:firstLine="480" w:firstLineChars="200"/>
              <w:rPr>
                <w:rFonts w:ascii="仿宋" w:hAnsi="仿宋" w:cs="仿宋"/>
                <w:color w:val="000000"/>
                <w:szCs w:val="24"/>
                <w:lang w:val="en-US"/>
              </w:rPr>
            </w:pPr>
            <w:r>
              <w:rPr>
                <w:rFonts w:hint="eastAsia" w:ascii="仿宋" w:hAnsi="仿宋" w:cs="仿宋"/>
                <w:color w:val="000000"/>
                <w:szCs w:val="24"/>
                <w:lang w:val="en-US"/>
              </w:rPr>
              <w:t>方案不够科学、合理、完整的得</w:t>
            </w:r>
            <w:r>
              <w:rPr>
                <w:rFonts w:hint="eastAsia" w:ascii="仿宋" w:hAnsi="仿宋" w:cs="仿宋"/>
                <w:color w:val="000000"/>
                <w:szCs w:val="24"/>
              </w:rPr>
              <w:t>1分</w:t>
            </w:r>
            <w:r>
              <w:rPr>
                <w:rFonts w:hint="eastAsia" w:ascii="仿宋" w:hAnsi="仿宋" w:cs="仿宋"/>
                <w:color w:val="000000"/>
                <w:szCs w:val="24"/>
                <w:lang w:val="en-US"/>
              </w:rPr>
              <w:t>；</w:t>
            </w:r>
          </w:p>
          <w:p>
            <w:pPr>
              <w:pStyle w:val="28"/>
              <w:spacing w:line="240" w:lineRule="auto"/>
              <w:ind w:firstLine="480" w:firstLineChars="200"/>
              <w:rPr>
                <w:rFonts w:ascii="仿宋" w:hAnsi="仿宋" w:cs="仿宋"/>
                <w:szCs w:val="24"/>
              </w:rPr>
            </w:pPr>
            <w:r>
              <w:rPr>
                <w:rFonts w:hint="eastAsia" w:ascii="仿宋" w:hAnsi="仿宋" w:cs="仿宋"/>
                <w:color w:val="000000"/>
                <w:szCs w:val="24"/>
                <w:lang w:val="en-US"/>
              </w:rPr>
              <w:t>未提供的</w:t>
            </w:r>
            <w:r>
              <w:rPr>
                <w:rFonts w:hint="eastAsia" w:ascii="仿宋" w:hAnsi="仿宋" w:cs="仿宋"/>
                <w:color w:val="000000"/>
                <w:szCs w:val="24"/>
              </w:rPr>
              <w:t>本项不得分。</w:t>
            </w:r>
          </w:p>
        </w:tc>
        <w:tc>
          <w:tcPr>
            <w:tcW w:w="376"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bCs/>
                <w:color w:val="000000"/>
                <w:szCs w:val="24"/>
                <w:lang w:val="en-US"/>
              </w:rPr>
            </w:pPr>
            <w:r>
              <w:rPr>
                <w:rFonts w:hint="eastAsia" w:ascii="仿宋" w:hAnsi="仿宋" w:cs="仿宋"/>
                <w:bCs/>
                <w:color w:val="000000"/>
                <w:szCs w:val="24"/>
                <w:lang w:val="en-US"/>
              </w:rPr>
              <w:t>5</w:t>
            </w:r>
          </w:p>
        </w:tc>
        <w:tc>
          <w:tcPr>
            <w:tcW w:w="817"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bCs/>
                <w:color w:val="000000"/>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377" w:type="pct"/>
            <w:vMerge w:val="continue"/>
            <w:tcBorders>
              <w:left w:val="single" w:color="auto" w:sz="4" w:space="0"/>
              <w:right w:val="single" w:color="auto" w:sz="4" w:space="0"/>
            </w:tcBorders>
            <w:vAlign w:val="center"/>
          </w:tcPr>
          <w:p>
            <w:pPr>
              <w:pStyle w:val="28"/>
              <w:spacing w:line="240" w:lineRule="auto"/>
              <w:rPr>
                <w:rFonts w:ascii="仿宋" w:hAnsi="仿宋" w:cs="仿宋"/>
                <w:szCs w:val="24"/>
              </w:rPr>
            </w:pPr>
          </w:p>
        </w:tc>
        <w:tc>
          <w:tcPr>
            <w:tcW w:w="3428" w:type="pct"/>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480" w:firstLineChars="200"/>
              <w:rPr>
                <w:rFonts w:hint="eastAsia" w:ascii="仿宋" w:hAnsi="仿宋" w:eastAsia="仿宋" w:cs="仿宋"/>
                <w:szCs w:val="24"/>
                <w:lang w:val="en-US" w:eastAsia="zh-CN"/>
              </w:rPr>
            </w:pPr>
            <w:r>
              <w:rPr>
                <w:rFonts w:hint="eastAsia" w:ascii="仿宋" w:hAnsi="仿宋" w:cs="仿宋"/>
                <w:szCs w:val="24"/>
              </w:rPr>
              <w:t>安装、调试、验收的方案：评委根据供应商提供的</w:t>
            </w:r>
            <w:r>
              <w:rPr>
                <w:rFonts w:hint="eastAsia" w:ascii="仿宋" w:hAnsi="仿宋" w:cs="仿宋"/>
                <w:szCs w:val="24"/>
                <w:lang w:val="en-US"/>
              </w:rPr>
              <w:t>系统硬件安装、调试、验收方案进行</w:t>
            </w:r>
            <w:r>
              <w:rPr>
                <w:rFonts w:hint="eastAsia" w:ascii="仿宋" w:hAnsi="仿宋" w:cs="仿宋"/>
                <w:szCs w:val="24"/>
                <w:lang w:val="en-US" w:eastAsia="zh-CN"/>
              </w:rPr>
              <w:t>综合</w:t>
            </w:r>
            <w:r>
              <w:rPr>
                <w:rFonts w:hint="eastAsia" w:ascii="仿宋" w:hAnsi="仿宋" w:cs="仿宋"/>
                <w:szCs w:val="24"/>
                <w:lang w:val="en-US"/>
              </w:rPr>
              <w:t>评定</w:t>
            </w:r>
            <w:r>
              <w:rPr>
                <w:rFonts w:hint="eastAsia" w:ascii="仿宋" w:hAnsi="仿宋" w:cs="仿宋"/>
                <w:szCs w:val="24"/>
                <w:lang w:val="en-US" w:eastAsia="zh-CN"/>
              </w:rPr>
              <w:t>。</w:t>
            </w:r>
          </w:p>
          <w:p>
            <w:pPr>
              <w:pStyle w:val="28"/>
              <w:spacing w:line="240" w:lineRule="auto"/>
              <w:ind w:firstLine="480" w:firstLineChars="200"/>
              <w:rPr>
                <w:rFonts w:ascii="仿宋" w:hAnsi="仿宋" w:cs="仿宋"/>
                <w:color w:val="000000"/>
                <w:szCs w:val="24"/>
              </w:rPr>
            </w:pPr>
            <w:r>
              <w:rPr>
                <w:rFonts w:hint="eastAsia" w:ascii="仿宋" w:hAnsi="仿宋" w:cs="仿宋"/>
                <w:color w:val="000000"/>
                <w:szCs w:val="24"/>
              </w:rPr>
              <w:t>方案科学、合理、切合实际、满足采购人需求的得5分；</w:t>
            </w:r>
          </w:p>
          <w:p>
            <w:pPr>
              <w:pStyle w:val="28"/>
              <w:spacing w:line="240" w:lineRule="auto"/>
              <w:ind w:firstLine="480" w:firstLineChars="200"/>
              <w:rPr>
                <w:rFonts w:ascii="仿宋" w:hAnsi="仿宋" w:cs="仿宋"/>
                <w:color w:val="000000"/>
                <w:szCs w:val="24"/>
                <w:lang w:val="en-US"/>
              </w:rPr>
            </w:pPr>
            <w:r>
              <w:rPr>
                <w:rFonts w:hint="eastAsia" w:ascii="仿宋" w:hAnsi="仿宋" w:cs="仿宋"/>
                <w:color w:val="000000"/>
                <w:szCs w:val="24"/>
              </w:rPr>
              <w:t>方案</w:t>
            </w:r>
            <w:r>
              <w:rPr>
                <w:rFonts w:hint="eastAsia" w:ascii="仿宋" w:hAnsi="仿宋" w:cs="仿宋"/>
                <w:color w:val="000000"/>
                <w:szCs w:val="24"/>
                <w:lang w:val="en-US"/>
              </w:rPr>
              <w:t>较为</w:t>
            </w:r>
            <w:r>
              <w:rPr>
                <w:rFonts w:hint="eastAsia" w:ascii="仿宋" w:hAnsi="仿宋" w:cs="仿宋"/>
                <w:color w:val="000000"/>
                <w:szCs w:val="24"/>
              </w:rPr>
              <w:t>科学、合理、</w:t>
            </w:r>
            <w:r>
              <w:rPr>
                <w:rFonts w:hint="eastAsia" w:ascii="仿宋" w:hAnsi="仿宋" w:cs="仿宋"/>
                <w:color w:val="000000"/>
                <w:szCs w:val="24"/>
                <w:lang w:val="en-US"/>
              </w:rPr>
              <w:t>完整</w:t>
            </w:r>
            <w:r>
              <w:rPr>
                <w:rFonts w:hint="eastAsia" w:ascii="仿宋" w:hAnsi="仿宋" w:cs="仿宋"/>
                <w:color w:val="000000"/>
                <w:szCs w:val="24"/>
              </w:rPr>
              <w:t>的</w:t>
            </w:r>
            <w:r>
              <w:rPr>
                <w:rFonts w:hint="eastAsia" w:ascii="仿宋" w:hAnsi="仿宋" w:cs="仿宋"/>
                <w:color w:val="000000"/>
                <w:szCs w:val="24"/>
                <w:lang w:val="en-US"/>
              </w:rPr>
              <w:t>得3</w:t>
            </w:r>
            <w:r>
              <w:rPr>
                <w:rFonts w:hint="eastAsia" w:ascii="仿宋" w:hAnsi="仿宋" w:cs="仿宋"/>
                <w:color w:val="000000"/>
                <w:szCs w:val="24"/>
              </w:rPr>
              <w:t>分</w:t>
            </w:r>
            <w:r>
              <w:rPr>
                <w:rFonts w:hint="eastAsia" w:ascii="仿宋" w:hAnsi="仿宋" w:cs="仿宋"/>
                <w:color w:val="000000"/>
                <w:szCs w:val="24"/>
                <w:lang w:val="en-US"/>
              </w:rPr>
              <w:t>；</w:t>
            </w:r>
          </w:p>
          <w:p>
            <w:pPr>
              <w:pStyle w:val="28"/>
              <w:spacing w:line="240" w:lineRule="auto"/>
              <w:ind w:firstLine="480" w:firstLineChars="200"/>
              <w:rPr>
                <w:rFonts w:ascii="仿宋" w:hAnsi="仿宋" w:cs="仿宋"/>
                <w:color w:val="000000"/>
                <w:szCs w:val="24"/>
                <w:lang w:val="en-US"/>
              </w:rPr>
            </w:pPr>
            <w:r>
              <w:rPr>
                <w:rFonts w:hint="eastAsia" w:ascii="仿宋" w:hAnsi="仿宋" w:cs="仿宋"/>
                <w:color w:val="000000"/>
                <w:szCs w:val="24"/>
                <w:lang w:val="en-US"/>
              </w:rPr>
              <w:t>方案不够科学、合理、完整的得</w:t>
            </w:r>
            <w:r>
              <w:rPr>
                <w:rFonts w:hint="eastAsia" w:ascii="仿宋" w:hAnsi="仿宋" w:cs="仿宋"/>
                <w:color w:val="000000"/>
                <w:szCs w:val="24"/>
              </w:rPr>
              <w:t>1分</w:t>
            </w:r>
            <w:r>
              <w:rPr>
                <w:rFonts w:hint="eastAsia" w:ascii="仿宋" w:hAnsi="仿宋" w:cs="仿宋"/>
                <w:color w:val="000000"/>
                <w:szCs w:val="24"/>
                <w:lang w:val="en-US"/>
              </w:rPr>
              <w:t>；</w:t>
            </w:r>
          </w:p>
          <w:p>
            <w:pPr>
              <w:pStyle w:val="28"/>
              <w:spacing w:line="240" w:lineRule="auto"/>
              <w:ind w:firstLine="480" w:firstLineChars="200"/>
              <w:rPr>
                <w:rFonts w:ascii="仿宋" w:hAnsi="仿宋" w:cs="仿宋"/>
                <w:szCs w:val="24"/>
                <w:lang w:val="en-US"/>
              </w:rPr>
            </w:pPr>
            <w:r>
              <w:rPr>
                <w:rFonts w:hint="eastAsia" w:ascii="仿宋" w:hAnsi="仿宋" w:cs="仿宋"/>
                <w:color w:val="000000"/>
                <w:szCs w:val="24"/>
                <w:lang w:val="en-US"/>
              </w:rPr>
              <w:t>未提供的</w:t>
            </w:r>
            <w:r>
              <w:rPr>
                <w:rFonts w:hint="eastAsia" w:ascii="仿宋" w:hAnsi="仿宋" w:cs="仿宋"/>
                <w:color w:val="000000"/>
                <w:szCs w:val="24"/>
              </w:rPr>
              <w:t>本项不得分。</w:t>
            </w:r>
          </w:p>
        </w:tc>
        <w:tc>
          <w:tcPr>
            <w:tcW w:w="376"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szCs w:val="24"/>
                <w:lang w:val="en-US"/>
              </w:rPr>
            </w:pPr>
            <w:r>
              <w:rPr>
                <w:rFonts w:hint="eastAsia" w:ascii="仿宋" w:hAnsi="仿宋" w:cs="仿宋"/>
                <w:szCs w:val="24"/>
                <w:lang w:val="en-US"/>
              </w:rPr>
              <w:t>5</w:t>
            </w:r>
          </w:p>
        </w:tc>
        <w:tc>
          <w:tcPr>
            <w:tcW w:w="817"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77" w:type="pct"/>
            <w:vMerge w:val="continue"/>
            <w:tcBorders>
              <w:left w:val="single" w:color="auto" w:sz="4" w:space="0"/>
              <w:right w:val="single" w:color="auto" w:sz="4" w:space="0"/>
            </w:tcBorders>
            <w:vAlign w:val="center"/>
          </w:tcPr>
          <w:p>
            <w:pPr>
              <w:pStyle w:val="28"/>
              <w:spacing w:line="240" w:lineRule="auto"/>
              <w:rPr>
                <w:rFonts w:ascii="仿宋" w:hAnsi="仿宋" w:cs="仿宋"/>
                <w:szCs w:val="24"/>
                <w:lang w:val="en-US"/>
              </w:rPr>
            </w:pPr>
          </w:p>
        </w:tc>
        <w:tc>
          <w:tcPr>
            <w:tcW w:w="3428" w:type="pct"/>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480" w:firstLineChars="200"/>
              <w:rPr>
                <w:rFonts w:ascii="仿宋" w:hAnsi="仿宋" w:cs="仿宋"/>
                <w:szCs w:val="24"/>
              </w:rPr>
            </w:pPr>
            <w:r>
              <w:rPr>
                <w:rFonts w:hint="eastAsia" w:ascii="仿宋" w:hAnsi="仿宋" w:cs="仿宋"/>
                <w:szCs w:val="24"/>
                <w:lang w:val="en-US"/>
              </w:rPr>
              <w:t>项目安全保障方案：根据供应商提供关于本项目的安全保障方案进行评审：安全保障方案合理、完整、科学深入、可行的得3分；项目安全保障方案一般的得1分；未提供解决及建设方案的，得0分。</w:t>
            </w:r>
          </w:p>
        </w:tc>
        <w:tc>
          <w:tcPr>
            <w:tcW w:w="376"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szCs w:val="24"/>
                <w:lang w:val="en-US"/>
              </w:rPr>
            </w:pPr>
            <w:r>
              <w:rPr>
                <w:rFonts w:hint="eastAsia" w:ascii="仿宋" w:hAnsi="仿宋" w:cs="仿宋"/>
                <w:szCs w:val="24"/>
                <w:lang w:val="en-US"/>
              </w:rPr>
              <w:t>3</w:t>
            </w:r>
          </w:p>
        </w:tc>
        <w:tc>
          <w:tcPr>
            <w:tcW w:w="817"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77" w:type="pct"/>
            <w:vMerge w:val="restart"/>
            <w:tcBorders>
              <w:top w:val="single" w:color="auto" w:sz="4" w:space="0"/>
              <w:left w:val="single" w:color="auto" w:sz="4" w:space="0"/>
              <w:right w:val="single" w:color="auto" w:sz="4" w:space="0"/>
            </w:tcBorders>
            <w:vAlign w:val="center"/>
          </w:tcPr>
          <w:p>
            <w:pPr>
              <w:pStyle w:val="28"/>
              <w:spacing w:line="240" w:lineRule="auto"/>
              <w:rPr>
                <w:rFonts w:ascii="仿宋" w:hAnsi="仿宋" w:cs="仿宋"/>
                <w:szCs w:val="24"/>
                <w:lang w:val="en-US"/>
              </w:rPr>
            </w:pPr>
            <w:r>
              <w:rPr>
                <w:rFonts w:hint="eastAsia" w:ascii="仿宋" w:hAnsi="仿宋" w:cs="仿宋"/>
                <w:szCs w:val="24"/>
                <w:lang w:val="en-US"/>
              </w:rPr>
              <w:t>售后服务</w:t>
            </w:r>
          </w:p>
        </w:tc>
        <w:tc>
          <w:tcPr>
            <w:tcW w:w="3428" w:type="pct"/>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480" w:firstLineChars="200"/>
              <w:rPr>
                <w:rFonts w:ascii="仿宋" w:hAnsi="仿宋" w:cs="仿宋"/>
                <w:szCs w:val="24"/>
              </w:rPr>
            </w:pPr>
            <w:r>
              <w:rPr>
                <w:rFonts w:hint="eastAsia" w:ascii="仿宋" w:hAnsi="仿宋" w:cs="仿宋"/>
                <w:szCs w:val="24"/>
              </w:rPr>
              <w:t>售后服务方案，包括售后服务方案中售后服务能力、人员驻点情况、响应速度、到场承诺时间、质保期后的技术支持、用户故障及时响应程度</w:t>
            </w:r>
            <w:r>
              <w:rPr>
                <w:rFonts w:hint="eastAsia" w:ascii="仿宋" w:hAnsi="仿宋" w:cs="仿宋"/>
                <w:szCs w:val="24"/>
                <w:lang w:val="en-US"/>
              </w:rPr>
              <w:t>进行</w:t>
            </w:r>
            <w:r>
              <w:rPr>
                <w:rFonts w:hint="eastAsia" w:ascii="仿宋" w:hAnsi="仿宋" w:cs="仿宋"/>
                <w:szCs w:val="24"/>
                <w:lang w:val="en-US" w:eastAsia="zh-CN"/>
              </w:rPr>
              <w:t>综合</w:t>
            </w:r>
            <w:r>
              <w:rPr>
                <w:rFonts w:hint="eastAsia" w:ascii="仿宋" w:hAnsi="仿宋" w:cs="仿宋"/>
                <w:szCs w:val="24"/>
                <w:lang w:val="en-US"/>
              </w:rPr>
              <w:t>评定</w:t>
            </w:r>
            <w:r>
              <w:rPr>
                <w:rFonts w:hint="eastAsia" w:ascii="仿宋" w:hAnsi="仿宋" w:cs="仿宋"/>
                <w:szCs w:val="24"/>
                <w:lang w:val="en-US" w:eastAsia="zh-CN"/>
              </w:rPr>
              <w:t>。</w:t>
            </w:r>
          </w:p>
          <w:p>
            <w:pPr>
              <w:pStyle w:val="28"/>
              <w:spacing w:line="240" w:lineRule="auto"/>
              <w:ind w:firstLine="480" w:firstLineChars="200"/>
              <w:rPr>
                <w:rFonts w:ascii="仿宋" w:hAnsi="仿宋" w:cs="仿宋"/>
                <w:szCs w:val="24"/>
              </w:rPr>
            </w:pPr>
            <w:r>
              <w:rPr>
                <w:rFonts w:hint="eastAsia" w:ascii="仿宋" w:hAnsi="仿宋" w:cs="仿宋"/>
                <w:szCs w:val="24"/>
              </w:rPr>
              <w:t>售后服务方案完善、服务能力强、响应速度快、应急措施到位、有明确驻点人员描述的得</w:t>
            </w:r>
            <w:r>
              <w:rPr>
                <w:rFonts w:hint="eastAsia" w:ascii="仿宋" w:hAnsi="仿宋" w:cs="仿宋"/>
                <w:szCs w:val="24"/>
                <w:lang w:val="en-US"/>
              </w:rPr>
              <w:t>5</w:t>
            </w:r>
            <w:r>
              <w:rPr>
                <w:rFonts w:hint="eastAsia" w:ascii="仿宋" w:hAnsi="仿宋" w:cs="仿宋"/>
                <w:szCs w:val="24"/>
              </w:rPr>
              <w:t>分；</w:t>
            </w:r>
          </w:p>
          <w:p>
            <w:pPr>
              <w:pStyle w:val="28"/>
              <w:spacing w:line="240" w:lineRule="auto"/>
              <w:ind w:firstLine="480" w:firstLineChars="200"/>
              <w:rPr>
                <w:rFonts w:ascii="仿宋" w:hAnsi="仿宋" w:cs="仿宋"/>
                <w:szCs w:val="24"/>
              </w:rPr>
            </w:pPr>
            <w:r>
              <w:rPr>
                <w:rFonts w:hint="eastAsia" w:ascii="仿宋" w:hAnsi="仿宋" w:cs="仿宋"/>
                <w:szCs w:val="24"/>
              </w:rPr>
              <w:t>售后服务方案较完善、服务能力较强、人员驻点情况描述笼统、响应速度一般得</w:t>
            </w:r>
            <w:r>
              <w:rPr>
                <w:rFonts w:hint="eastAsia" w:ascii="仿宋" w:hAnsi="仿宋" w:cs="仿宋"/>
                <w:szCs w:val="24"/>
                <w:lang w:val="en-US"/>
              </w:rPr>
              <w:t>3</w:t>
            </w:r>
            <w:r>
              <w:rPr>
                <w:rFonts w:hint="eastAsia" w:ascii="仿宋" w:hAnsi="仿宋" w:cs="仿宋"/>
                <w:szCs w:val="24"/>
              </w:rPr>
              <w:t>分；</w:t>
            </w:r>
          </w:p>
          <w:p>
            <w:pPr>
              <w:pStyle w:val="28"/>
              <w:spacing w:line="240" w:lineRule="auto"/>
              <w:ind w:firstLine="480" w:firstLineChars="200"/>
              <w:rPr>
                <w:rFonts w:ascii="仿宋" w:hAnsi="仿宋" w:cs="仿宋"/>
                <w:szCs w:val="24"/>
              </w:rPr>
            </w:pPr>
            <w:r>
              <w:rPr>
                <w:rFonts w:hint="eastAsia" w:ascii="仿宋" w:hAnsi="仿宋" w:cs="仿宋"/>
                <w:szCs w:val="24"/>
              </w:rPr>
              <w:t>售后服务方案考虑不够充分、未提供驻点人员描述、响应速度慢的得1分；</w:t>
            </w:r>
          </w:p>
          <w:p>
            <w:pPr>
              <w:pStyle w:val="28"/>
              <w:spacing w:line="240" w:lineRule="auto"/>
              <w:ind w:firstLine="480" w:firstLineChars="200"/>
              <w:rPr>
                <w:rFonts w:ascii="仿宋" w:hAnsi="仿宋" w:cs="仿宋"/>
                <w:szCs w:val="24"/>
                <w:lang w:val="en-US"/>
              </w:rPr>
            </w:pPr>
            <w:r>
              <w:rPr>
                <w:rFonts w:hint="eastAsia" w:ascii="仿宋" w:hAnsi="仿宋" w:cs="仿宋"/>
                <w:szCs w:val="24"/>
              </w:rPr>
              <w:t>未提供售后服务方案的得0分。</w:t>
            </w:r>
          </w:p>
        </w:tc>
        <w:tc>
          <w:tcPr>
            <w:tcW w:w="376"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szCs w:val="24"/>
                <w:lang w:val="en-US"/>
              </w:rPr>
            </w:pPr>
            <w:r>
              <w:rPr>
                <w:rFonts w:hint="eastAsia" w:ascii="仿宋" w:hAnsi="仿宋" w:cs="仿宋"/>
                <w:szCs w:val="24"/>
                <w:lang w:val="en-US"/>
              </w:rPr>
              <w:t>5</w:t>
            </w:r>
          </w:p>
        </w:tc>
        <w:tc>
          <w:tcPr>
            <w:tcW w:w="817"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77" w:type="pct"/>
            <w:vMerge w:val="continue"/>
            <w:tcBorders>
              <w:left w:val="single" w:color="auto" w:sz="4" w:space="0"/>
              <w:bottom w:val="single" w:color="auto" w:sz="4" w:space="0"/>
              <w:right w:val="single" w:color="auto" w:sz="4" w:space="0"/>
            </w:tcBorders>
            <w:vAlign w:val="center"/>
          </w:tcPr>
          <w:p>
            <w:pPr>
              <w:pStyle w:val="28"/>
              <w:spacing w:line="240" w:lineRule="auto"/>
              <w:rPr>
                <w:rFonts w:ascii="仿宋" w:hAnsi="仿宋" w:cs="仿宋"/>
                <w:szCs w:val="24"/>
              </w:rPr>
            </w:pPr>
          </w:p>
        </w:tc>
        <w:tc>
          <w:tcPr>
            <w:tcW w:w="3428" w:type="pct"/>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480" w:firstLineChars="200"/>
              <w:rPr>
                <w:rFonts w:hint="eastAsia" w:ascii="仿宋" w:hAnsi="仿宋" w:eastAsia="仿宋" w:cs="仿宋"/>
                <w:color w:val="000000"/>
                <w:szCs w:val="24"/>
                <w:lang w:eastAsia="zh-CN"/>
              </w:rPr>
            </w:pPr>
            <w:r>
              <w:rPr>
                <w:rFonts w:hint="eastAsia" w:ascii="仿宋" w:hAnsi="仿宋" w:cs="仿宋"/>
                <w:color w:val="000000"/>
                <w:szCs w:val="24"/>
                <w:lang w:val="en-US"/>
              </w:rPr>
              <w:t>培训方案：</w:t>
            </w:r>
            <w:r>
              <w:rPr>
                <w:rFonts w:hint="eastAsia" w:ascii="仿宋" w:hAnsi="仿宋" w:cs="仿宋"/>
                <w:color w:val="000000"/>
                <w:szCs w:val="24"/>
              </w:rPr>
              <w:t>评委根据供应商提供的响应文件，对其针对本项目制定的培训方案（包括但不限于培训方案、培训内容、培训人员）进行综合评定</w:t>
            </w:r>
            <w:r>
              <w:rPr>
                <w:rFonts w:hint="eastAsia" w:ascii="仿宋" w:hAnsi="仿宋" w:cs="仿宋"/>
                <w:color w:val="000000"/>
                <w:szCs w:val="24"/>
                <w:lang w:eastAsia="zh-CN"/>
              </w:rPr>
              <w:t>。</w:t>
            </w:r>
          </w:p>
          <w:p>
            <w:pPr>
              <w:pStyle w:val="28"/>
              <w:spacing w:line="240" w:lineRule="auto"/>
              <w:ind w:firstLine="480" w:firstLineChars="200"/>
              <w:rPr>
                <w:rFonts w:ascii="仿宋" w:hAnsi="仿宋" w:cs="仿宋"/>
                <w:color w:val="000000"/>
                <w:szCs w:val="24"/>
              </w:rPr>
            </w:pPr>
            <w:r>
              <w:rPr>
                <w:rFonts w:hint="eastAsia" w:ascii="仿宋" w:hAnsi="仿宋" w:cs="仿宋"/>
                <w:color w:val="000000"/>
                <w:szCs w:val="24"/>
              </w:rPr>
              <w:t>方案合理、科学、全面的得</w:t>
            </w:r>
            <w:r>
              <w:rPr>
                <w:rFonts w:hint="eastAsia" w:ascii="仿宋" w:hAnsi="仿宋" w:cs="仿宋"/>
                <w:color w:val="000000"/>
                <w:szCs w:val="24"/>
                <w:lang w:val="en-US"/>
              </w:rPr>
              <w:t>2</w:t>
            </w:r>
            <w:r>
              <w:rPr>
                <w:rFonts w:hint="eastAsia" w:ascii="仿宋" w:hAnsi="仿宋" w:cs="仿宋"/>
                <w:color w:val="000000"/>
                <w:szCs w:val="24"/>
              </w:rPr>
              <w:t>分；</w:t>
            </w:r>
          </w:p>
          <w:p>
            <w:pPr>
              <w:pStyle w:val="28"/>
              <w:spacing w:line="240" w:lineRule="auto"/>
              <w:ind w:firstLine="480" w:firstLineChars="200"/>
              <w:rPr>
                <w:rFonts w:ascii="仿宋" w:hAnsi="仿宋" w:cs="仿宋"/>
                <w:color w:val="000000"/>
                <w:szCs w:val="24"/>
              </w:rPr>
            </w:pPr>
            <w:r>
              <w:rPr>
                <w:rFonts w:hint="eastAsia" w:ascii="仿宋" w:hAnsi="仿宋" w:cs="仿宋"/>
                <w:color w:val="000000"/>
                <w:szCs w:val="24"/>
              </w:rPr>
              <w:t>方案基本符合项目现状但科学性较一般得</w:t>
            </w:r>
            <w:r>
              <w:rPr>
                <w:rFonts w:hint="eastAsia" w:ascii="仿宋" w:hAnsi="仿宋" w:cs="仿宋"/>
                <w:color w:val="000000"/>
                <w:szCs w:val="24"/>
                <w:lang w:val="en-US"/>
              </w:rPr>
              <w:t>1</w:t>
            </w:r>
            <w:r>
              <w:rPr>
                <w:rFonts w:hint="eastAsia" w:ascii="仿宋" w:hAnsi="仿宋" w:cs="仿宋"/>
                <w:color w:val="000000"/>
                <w:szCs w:val="24"/>
              </w:rPr>
              <w:t>分；</w:t>
            </w:r>
          </w:p>
          <w:p>
            <w:pPr>
              <w:pStyle w:val="28"/>
              <w:spacing w:line="240" w:lineRule="auto"/>
              <w:ind w:firstLine="480" w:firstLineChars="200"/>
              <w:rPr>
                <w:rFonts w:ascii="仿宋" w:hAnsi="仿宋" w:cs="仿宋"/>
                <w:szCs w:val="24"/>
              </w:rPr>
            </w:pPr>
            <w:r>
              <w:rPr>
                <w:rFonts w:hint="eastAsia" w:ascii="仿宋" w:hAnsi="仿宋" w:cs="仿宋"/>
                <w:color w:val="000000"/>
                <w:szCs w:val="24"/>
              </w:rPr>
              <w:t>方案内容较简单，不够科学、合理、全面的得</w:t>
            </w:r>
            <w:r>
              <w:rPr>
                <w:rFonts w:hint="eastAsia" w:ascii="仿宋" w:hAnsi="仿宋" w:cs="仿宋"/>
                <w:color w:val="000000"/>
                <w:szCs w:val="24"/>
                <w:lang w:val="en-US"/>
              </w:rPr>
              <w:t>0.5</w:t>
            </w:r>
            <w:r>
              <w:rPr>
                <w:rFonts w:hint="eastAsia" w:ascii="仿宋" w:hAnsi="仿宋" w:cs="仿宋"/>
                <w:color w:val="000000"/>
                <w:szCs w:val="24"/>
              </w:rPr>
              <w:t>分</w:t>
            </w:r>
            <w:r>
              <w:rPr>
                <w:rFonts w:hint="eastAsia" w:ascii="仿宋" w:hAnsi="仿宋" w:cs="仿宋"/>
                <w:szCs w:val="24"/>
              </w:rPr>
              <w:t>；</w:t>
            </w:r>
          </w:p>
          <w:p>
            <w:pPr>
              <w:pStyle w:val="28"/>
              <w:spacing w:line="240" w:lineRule="auto"/>
              <w:ind w:firstLine="480" w:firstLineChars="200"/>
              <w:rPr>
                <w:rFonts w:ascii="仿宋" w:hAnsi="仿宋" w:cs="仿宋"/>
                <w:color w:val="000000"/>
                <w:szCs w:val="24"/>
                <w:lang w:val="en-US"/>
              </w:rPr>
            </w:pPr>
            <w:r>
              <w:rPr>
                <w:rFonts w:hint="eastAsia" w:ascii="仿宋" w:hAnsi="仿宋" w:cs="仿宋"/>
                <w:szCs w:val="24"/>
              </w:rPr>
              <w:t>未提供方案的得0分。</w:t>
            </w:r>
          </w:p>
        </w:tc>
        <w:tc>
          <w:tcPr>
            <w:tcW w:w="376"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color w:val="000000"/>
                <w:szCs w:val="24"/>
                <w:lang w:val="en-US"/>
              </w:rPr>
            </w:pPr>
            <w:r>
              <w:rPr>
                <w:rFonts w:hint="eastAsia" w:ascii="仿宋" w:hAnsi="仿宋" w:cs="仿宋"/>
                <w:color w:val="000000"/>
                <w:szCs w:val="24"/>
                <w:lang w:val="en-US"/>
              </w:rPr>
              <w:t>2</w:t>
            </w:r>
          </w:p>
        </w:tc>
        <w:tc>
          <w:tcPr>
            <w:tcW w:w="817"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color w:val="000000"/>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77" w:type="pct"/>
            <w:tcBorders>
              <w:top w:val="single" w:color="auto" w:sz="4" w:space="0"/>
              <w:left w:val="single" w:color="auto" w:sz="4" w:space="0"/>
              <w:bottom w:val="single" w:color="auto" w:sz="4" w:space="0"/>
              <w:right w:val="single" w:color="auto" w:sz="4" w:space="0"/>
            </w:tcBorders>
            <w:vAlign w:val="center"/>
          </w:tcPr>
          <w:p>
            <w:pPr>
              <w:pStyle w:val="28"/>
              <w:spacing w:line="240" w:lineRule="auto"/>
              <w:rPr>
                <w:rFonts w:ascii="仿宋" w:hAnsi="仿宋" w:cs="仿宋"/>
                <w:szCs w:val="24"/>
              </w:rPr>
            </w:pPr>
            <w:r>
              <w:rPr>
                <w:rFonts w:hint="eastAsia" w:ascii="仿宋" w:hAnsi="仿宋" w:cs="仿宋"/>
                <w:szCs w:val="24"/>
              </w:rPr>
              <w:t>政府采购政策</w:t>
            </w:r>
          </w:p>
        </w:tc>
        <w:tc>
          <w:tcPr>
            <w:tcW w:w="3428" w:type="pct"/>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480" w:firstLineChars="200"/>
              <w:rPr>
                <w:rFonts w:ascii="仿宋" w:hAnsi="仿宋" w:cs="仿宋"/>
                <w:szCs w:val="24"/>
              </w:rPr>
            </w:pPr>
            <w:r>
              <w:rPr>
                <w:rFonts w:hint="eastAsia" w:ascii="仿宋" w:hAnsi="仿宋" w:cs="仿宋"/>
                <w:szCs w:val="24"/>
              </w:rPr>
              <w:t>响应产品属于《节能产品政府采购品目清单》范围的且具有国家确定的认证机构出具的、处于有效期之内的节能产品认证证书的得0.5分；</w:t>
            </w:r>
          </w:p>
          <w:p>
            <w:pPr>
              <w:pStyle w:val="28"/>
              <w:spacing w:line="240" w:lineRule="auto"/>
              <w:ind w:firstLine="480" w:firstLineChars="200"/>
              <w:rPr>
                <w:rFonts w:ascii="仿宋" w:hAnsi="仿宋" w:cs="仿宋"/>
                <w:szCs w:val="24"/>
              </w:rPr>
            </w:pPr>
            <w:r>
              <w:rPr>
                <w:rFonts w:hint="eastAsia" w:ascii="仿宋" w:hAnsi="仿宋" w:cs="仿宋"/>
                <w:szCs w:val="24"/>
              </w:rPr>
              <w:t>响应产品属于《环境标志产品政府采购品目清单》范围的且具有国家确定的认证机构出具的、处于有效期之内的环境标志产品认证证书的得0.5分。</w:t>
            </w:r>
          </w:p>
          <w:p>
            <w:pPr>
              <w:pStyle w:val="28"/>
              <w:spacing w:line="240" w:lineRule="auto"/>
              <w:ind w:firstLine="480" w:firstLineChars="200"/>
              <w:rPr>
                <w:rFonts w:ascii="仿宋" w:hAnsi="仿宋" w:cs="仿宋"/>
                <w:szCs w:val="24"/>
              </w:rPr>
            </w:pPr>
            <w:r>
              <w:rPr>
                <w:rFonts w:hint="eastAsia" w:ascii="仿宋" w:hAnsi="仿宋" w:cs="仿宋"/>
                <w:szCs w:val="24"/>
              </w:rPr>
              <w:t>注：响应文件中必须同时提供以下资料：</w:t>
            </w:r>
          </w:p>
          <w:p>
            <w:pPr>
              <w:pStyle w:val="28"/>
              <w:spacing w:line="240" w:lineRule="auto"/>
              <w:ind w:firstLine="480" w:firstLineChars="200"/>
              <w:rPr>
                <w:rFonts w:ascii="仿宋" w:hAnsi="仿宋" w:cs="仿宋"/>
                <w:szCs w:val="24"/>
              </w:rPr>
            </w:pPr>
            <w:r>
              <w:rPr>
                <w:rFonts w:hint="eastAsia" w:ascii="仿宋" w:hAnsi="仿宋" w:cs="仿宋"/>
                <w:szCs w:val="24"/>
              </w:rPr>
              <w:t>（1）提供政府采购品目清单相关内容页（并对相关内容作圈记），采购品目清单详见《关于印发环境标志产品政府采购品目清单的通知》（财库〔2019〕18号）和《关于印发节能产品政府采购品目清单的通知》（财库〔2019〕19号）。</w:t>
            </w:r>
          </w:p>
          <w:p>
            <w:pPr>
              <w:pStyle w:val="28"/>
              <w:spacing w:line="240" w:lineRule="auto"/>
              <w:ind w:firstLine="480" w:firstLineChars="200"/>
              <w:rPr>
                <w:rFonts w:ascii="仿宋" w:hAnsi="仿宋" w:cs="仿宋"/>
                <w:szCs w:val="24"/>
              </w:rPr>
            </w:pPr>
            <w:r>
              <w:rPr>
                <w:rFonts w:hint="eastAsia" w:ascii="仿宋" w:hAnsi="仿宋" w:cs="仿宋"/>
                <w:szCs w:val="24"/>
              </w:rPr>
              <w:t>（2）《市场监管总局关于发布参与实施政府采购节能产品、环境标志产品认证机构名录的公告》中的认证机构出具的、处于有效期之内的节能产品/环境标志产品认证证书复印件并加盖公章。</w:t>
            </w:r>
          </w:p>
        </w:tc>
        <w:tc>
          <w:tcPr>
            <w:tcW w:w="376"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szCs w:val="24"/>
                <w:lang w:val="en-US"/>
              </w:rPr>
            </w:pPr>
            <w:r>
              <w:rPr>
                <w:rFonts w:hint="eastAsia" w:ascii="仿宋" w:hAnsi="仿宋" w:cs="仿宋"/>
                <w:szCs w:val="24"/>
                <w:lang w:val="en-US"/>
              </w:rPr>
              <w:t>1</w:t>
            </w:r>
          </w:p>
        </w:tc>
        <w:tc>
          <w:tcPr>
            <w:tcW w:w="817"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77" w:type="pct"/>
            <w:tcBorders>
              <w:top w:val="single" w:color="auto" w:sz="4" w:space="0"/>
              <w:left w:val="single" w:color="auto" w:sz="4" w:space="0"/>
              <w:bottom w:val="single" w:color="auto" w:sz="4" w:space="0"/>
              <w:right w:val="single" w:color="auto" w:sz="4" w:space="0"/>
            </w:tcBorders>
            <w:vAlign w:val="center"/>
          </w:tcPr>
          <w:p>
            <w:pPr>
              <w:pStyle w:val="28"/>
              <w:spacing w:line="240" w:lineRule="auto"/>
              <w:rPr>
                <w:rFonts w:ascii="仿宋" w:hAnsi="仿宋" w:cs="仿宋"/>
                <w:szCs w:val="24"/>
                <w:lang w:val="en-US"/>
              </w:rPr>
            </w:pPr>
            <w:r>
              <w:rPr>
                <w:rFonts w:hint="eastAsia" w:ascii="仿宋" w:hAnsi="仿宋" w:cs="仿宋"/>
                <w:szCs w:val="24"/>
                <w:lang w:val="en-US"/>
              </w:rPr>
              <w:t>报价</w:t>
            </w:r>
          </w:p>
        </w:tc>
        <w:tc>
          <w:tcPr>
            <w:tcW w:w="3428" w:type="pct"/>
            <w:gridSpan w:val="2"/>
            <w:tcBorders>
              <w:top w:val="single" w:color="auto" w:sz="4" w:space="0"/>
              <w:left w:val="single" w:color="auto" w:sz="4" w:space="0"/>
              <w:bottom w:val="single" w:color="auto" w:sz="4" w:space="0"/>
              <w:right w:val="single" w:color="auto" w:sz="4" w:space="0"/>
            </w:tcBorders>
          </w:tcPr>
          <w:p>
            <w:pPr>
              <w:pStyle w:val="28"/>
              <w:spacing w:line="240" w:lineRule="auto"/>
              <w:ind w:firstLine="480" w:firstLineChars="200"/>
              <w:rPr>
                <w:rFonts w:ascii="仿宋" w:hAnsi="仿宋" w:cs="仿宋"/>
                <w:color w:val="000000"/>
                <w:szCs w:val="24"/>
              </w:rPr>
            </w:pPr>
            <w:r>
              <w:rPr>
                <w:rFonts w:hint="eastAsia"/>
                <w:lang w:val="en-US"/>
              </w:rPr>
              <w:t>本项目非</w:t>
            </w:r>
            <w:r>
              <w:rPr>
                <w:rFonts w:hint="eastAsia"/>
              </w:rPr>
              <w:t>专门面向中小企业</w:t>
            </w:r>
            <w:r>
              <w:rPr>
                <w:rFonts w:hint="eastAsia"/>
                <w:lang w:val="en-US"/>
              </w:rPr>
              <w:t>采购</w:t>
            </w:r>
            <w:r>
              <w:rPr>
                <w:rFonts w:hint="eastAsia"/>
              </w:rPr>
              <w:t>，对小型和微型企业的报价给予</w:t>
            </w:r>
            <w:r>
              <w:rPr>
                <w:rFonts w:hint="eastAsia"/>
                <w:lang w:val="en-US"/>
              </w:rPr>
              <w:t>2</w:t>
            </w:r>
            <w:r>
              <w:t>0%的扣除，用扣除后的价格参与评审</w:t>
            </w:r>
            <w:r>
              <w:rPr>
                <w:rFonts w:hint="eastAsia"/>
              </w:rPr>
              <w:t>，</w:t>
            </w:r>
            <w:r>
              <w:rPr>
                <w:rFonts w:hint="eastAsia" w:ascii="仿宋" w:hAnsi="仿宋" w:cs="仿宋"/>
                <w:color w:val="000000"/>
                <w:szCs w:val="24"/>
              </w:rPr>
              <w:t>参与评审的价格=报价</w:t>
            </w:r>
            <w:r>
              <w:rPr>
                <w:rFonts w:hint="eastAsia" w:ascii="仿宋" w:hAnsi="仿宋" w:cs="仿宋"/>
                <w:color w:val="000000"/>
                <w:szCs w:val="24"/>
                <w:lang w:val="en-US"/>
              </w:rPr>
              <w:t>×（1-</w:t>
            </w:r>
            <w:r>
              <w:rPr>
                <w:rFonts w:hint="eastAsia" w:ascii="仿宋" w:hAnsi="仿宋" w:cs="仿宋"/>
                <w:color w:val="000000"/>
                <w:szCs w:val="24"/>
              </w:rPr>
              <w:t>小微企业价格扣除优惠</w:t>
            </w:r>
            <w:r>
              <w:rPr>
                <w:rFonts w:hint="eastAsia" w:ascii="仿宋" w:hAnsi="仿宋" w:cs="仿宋"/>
                <w:color w:val="000000"/>
                <w:szCs w:val="24"/>
                <w:lang w:val="en-US"/>
              </w:rPr>
              <w:t>20</w:t>
            </w:r>
            <w:r>
              <w:rPr>
                <w:rFonts w:hint="eastAsia" w:ascii="仿宋" w:hAnsi="仿宋" w:cs="仿宋"/>
                <w:color w:val="000000"/>
                <w:szCs w:val="24"/>
              </w:rPr>
              <w:t>%），满足磋商文件要求且最低的参与评审的价格为评审基准价，其价格分为满分。其他供应商的价格分统一按照下列公式计算：</w:t>
            </w:r>
          </w:p>
          <w:p>
            <w:pPr>
              <w:pStyle w:val="28"/>
              <w:spacing w:line="240" w:lineRule="auto"/>
              <w:ind w:firstLine="480" w:firstLineChars="200"/>
              <w:rPr>
                <w:rFonts w:ascii="仿宋" w:hAnsi="仿宋" w:cs="仿宋"/>
                <w:color w:val="000000"/>
                <w:szCs w:val="24"/>
              </w:rPr>
            </w:pPr>
            <w:r>
              <w:rPr>
                <w:rFonts w:hint="eastAsia" w:ascii="仿宋" w:hAnsi="仿宋" w:cs="仿宋"/>
                <w:color w:val="000000"/>
                <w:szCs w:val="24"/>
              </w:rPr>
              <w:t>报价得分=(评审基准价</w:t>
            </w:r>
            <w:r>
              <w:rPr>
                <w:rFonts w:hint="eastAsia" w:ascii="仿宋" w:hAnsi="仿宋" w:cs="仿宋"/>
                <w:color w:val="000000"/>
                <w:szCs w:val="24"/>
                <w:lang w:val="en-US"/>
              </w:rPr>
              <w:t>÷</w:t>
            </w:r>
            <w:r>
              <w:rPr>
                <w:rFonts w:hint="eastAsia" w:ascii="仿宋" w:hAnsi="仿宋" w:cs="仿宋"/>
                <w:color w:val="000000"/>
                <w:szCs w:val="24"/>
              </w:rPr>
              <w:t>参与评审的价格）×30。</w:t>
            </w:r>
          </w:p>
        </w:tc>
        <w:tc>
          <w:tcPr>
            <w:tcW w:w="376"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color w:val="000000"/>
                <w:szCs w:val="24"/>
                <w:lang w:val="en-US"/>
              </w:rPr>
            </w:pPr>
            <w:r>
              <w:rPr>
                <w:rFonts w:hint="eastAsia" w:ascii="仿宋" w:hAnsi="仿宋" w:cs="仿宋"/>
                <w:color w:val="000000"/>
                <w:szCs w:val="24"/>
                <w:lang w:val="en-US"/>
              </w:rPr>
              <w:t>30</w:t>
            </w:r>
          </w:p>
        </w:tc>
        <w:tc>
          <w:tcPr>
            <w:tcW w:w="817"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color w:val="000000"/>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806" w:type="pct"/>
            <w:gridSpan w:val="3"/>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color w:val="000000"/>
                <w:szCs w:val="24"/>
                <w:lang w:val="en-US"/>
              </w:rPr>
            </w:pPr>
            <w:r>
              <w:rPr>
                <w:rFonts w:hint="eastAsia" w:ascii="仿宋" w:hAnsi="仿宋" w:cs="仿宋"/>
                <w:color w:val="000000"/>
                <w:szCs w:val="24"/>
                <w:lang w:val="en-US"/>
              </w:rPr>
              <w:t>合计</w:t>
            </w:r>
          </w:p>
        </w:tc>
        <w:tc>
          <w:tcPr>
            <w:tcW w:w="376"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color w:val="000000"/>
                <w:szCs w:val="24"/>
              </w:rPr>
            </w:pPr>
            <w:r>
              <w:rPr>
                <w:rFonts w:hint="eastAsia" w:ascii="仿宋" w:hAnsi="仿宋" w:cs="仿宋"/>
                <w:color w:val="000000"/>
                <w:szCs w:val="24"/>
              </w:rPr>
              <w:fldChar w:fldCharType="begin"/>
            </w:r>
            <w:r>
              <w:rPr>
                <w:rFonts w:hint="eastAsia" w:ascii="仿宋" w:hAnsi="仿宋" w:cs="仿宋"/>
                <w:color w:val="000000"/>
                <w:szCs w:val="24"/>
              </w:rPr>
              <w:instrText xml:space="preserve"> =SUM(ABOVE) \* MERGEFORMAT </w:instrText>
            </w:r>
            <w:r>
              <w:rPr>
                <w:rFonts w:hint="eastAsia" w:ascii="仿宋" w:hAnsi="仿宋" w:cs="仿宋"/>
                <w:color w:val="000000"/>
                <w:szCs w:val="24"/>
              </w:rPr>
              <w:fldChar w:fldCharType="separate"/>
            </w:r>
            <w:r>
              <w:rPr>
                <w:rFonts w:hint="eastAsia" w:ascii="仿宋" w:hAnsi="仿宋" w:cs="仿宋"/>
                <w:color w:val="000000"/>
                <w:szCs w:val="24"/>
              </w:rPr>
              <w:t>100</w:t>
            </w:r>
            <w:r>
              <w:rPr>
                <w:rFonts w:hint="eastAsia" w:ascii="仿宋" w:hAnsi="仿宋" w:cs="仿宋"/>
                <w:color w:val="000000"/>
                <w:szCs w:val="24"/>
              </w:rPr>
              <w:fldChar w:fldCharType="end"/>
            </w:r>
          </w:p>
        </w:tc>
        <w:tc>
          <w:tcPr>
            <w:tcW w:w="817" w:type="pct"/>
            <w:tcBorders>
              <w:top w:val="single" w:color="auto" w:sz="4" w:space="0"/>
              <w:left w:val="single" w:color="auto" w:sz="4" w:space="0"/>
              <w:bottom w:val="single" w:color="auto" w:sz="4" w:space="0"/>
              <w:right w:val="single" w:color="auto" w:sz="4" w:space="0"/>
            </w:tcBorders>
            <w:vAlign w:val="center"/>
          </w:tcPr>
          <w:p>
            <w:pPr>
              <w:pStyle w:val="28"/>
              <w:spacing w:line="240" w:lineRule="auto"/>
              <w:jc w:val="center"/>
              <w:rPr>
                <w:rFonts w:ascii="仿宋" w:hAnsi="仿宋" w:cs="仿宋"/>
                <w:color w:val="000000"/>
                <w:szCs w:val="24"/>
              </w:rPr>
            </w:pPr>
          </w:p>
        </w:tc>
      </w:tr>
    </w:tbl>
    <w:p>
      <w:pPr>
        <w:snapToGrid w:val="0"/>
        <w:ind w:firstLine="400"/>
        <w:rPr>
          <w:rFonts w:ascii="仿宋" w:hAnsi="仿宋" w:cs="仿宋"/>
          <w:b/>
        </w:rPr>
      </w:pPr>
      <w:r>
        <w:rPr>
          <w:rFonts w:hint="eastAsia" w:ascii="仿宋" w:hAnsi="仿宋" w:cs="仿宋"/>
          <w:sz w:val="20"/>
          <w:szCs w:val="20"/>
          <w:shd w:val="clear" w:color="auto" w:fill="FFFFFF"/>
        </w:rPr>
        <w:t> *</w:t>
      </w:r>
      <w:r>
        <w:rPr>
          <w:rFonts w:hint="eastAsia" w:ascii="仿宋" w:hAnsi="仿宋" w:cs="仿宋"/>
          <w:b/>
        </w:rPr>
        <w:t>备注：</w:t>
      </w:r>
      <w:r>
        <w:rPr>
          <w:rFonts w:hint="eastAsia" w:ascii="仿宋" w:hAnsi="仿宋" w:cs="仿宋"/>
        </w:rPr>
        <w:t>供应商编制响应文件（商务技术文件部分）时，建议按此目录（序号和内容）提供评审标准相应的商务技术资料。 </w:t>
      </w:r>
    </w:p>
    <w:p>
      <w:pPr>
        <w:pStyle w:val="5"/>
        <w:rPr>
          <w:rFonts w:ascii="仿宋" w:hAnsi="仿宋" w:cs="仿宋"/>
        </w:rPr>
      </w:pPr>
      <w:bookmarkStart w:id="408" w:name="_Toc9754"/>
      <w:r>
        <w:rPr>
          <w:rFonts w:hint="eastAsia" w:ascii="仿宋" w:hAnsi="仿宋" w:cs="仿宋"/>
        </w:rPr>
        <w:t>一、评审方法</w:t>
      </w:r>
      <w:bookmarkEnd w:id="408"/>
    </w:p>
    <w:p>
      <w:pPr>
        <w:adjustRightInd/>
        <w:ind w:firstLine="472" w:firstLineChars="196"/>
        <w:rPr>
          <w:rFonts w:ascii="仿宋" w:hAnsi="仿宋" w:cs="仿宋"/>
          <w:kern w:val="0"/>
        </w:rPr>
      </w:pPr>
      <w:r>
        <w:rPr>
          <w:rFonts w:hint="eastAsia" w:ascii="仿宋" w:hAnsi="仿宋" w:cs="仿宋"/>
          <w:b/>
          <w:kern w:val="0"/>
        </w:rPr>
        <w:t>1.本项目采用综合评分法。</w:t>
      </w:r>
      <w:r>
        <w:rPr>
          <w:rFonts w:hint="eastAsia" w:ascii="仿宋" w:hAnsi="仿宋" w:cs="仿宋"/>
          <w:kern w:val="0"/>
        </w:rPr>
        <w:t>综合评分法，是指响应文件满足磋商文件全部实质性要求，且按照评审因素的量化指标评审得分最高的供应商为成交候选人的评审方法。</w:t>
      </w:r>
    </w:p>
    <w:p>
      <w:pPr>
        <w:pStyle w:val="5"/>
        <w:rPr>
          <w:rFonts w:ascii="仿宋" w:hAnsi="仿宋" w:cs="仿宋"/>
        </w:rPr>
      </w:pPr>
      <w:bookmarkStart w:id="409" w:name="_Toc10407"/>
      <w:r>
        <w:rPr>
          <w:rFonts w:hint="eastAsia" w:ascii="仿宋" w:hAnsi="仿宋" w:cs="仿宋"/>
        </w:rPr>
        <w:t>二、评审标准</w:t>
      </w:r>
      <w:bookmarkEnd w:id="409"/>
    </w:p>
    <w:p>
      <w:pPr>
        <w:ind w:firstLine="472" w:firstLineChars="196"/>
        <w:rPr>
          <w:rFonts w:ascii="仿宋" w:hAnsi="仿宋" w:cs="仿宋"/>
          <w:b/>
        </w:rPr>
      </w:pPr>
      <w:r>
        <w:rPr>
          <w:rFonts w:hint="eastAsia" w:ascii="仿宋" w:hAnsi="仿宋" w:cs="仿宋"/>
          <w:b/>
        </w:rPr>
        <w:t>2.评审标准：</w:t>
      </w:r>
      <w:r>
        <w:rPr>
          <w:rFonts w:hint="eastAsia" w:ascii="仿宋" w:hAnsi="仿宋" w:cs="仿宋"/>
          <w:kern w:val="0"/>
        </w:rPr>
        <w:t>见评审办法前附表。</w:t>
      </w:r>
    </w:p>
    <w:p>
      <w:pPr>
        <w:pStyle w:val="5"/>
        <w:rPr>
          <w:rFonts w:ascii="仿宋" w:hAnsi="仿宋" w:cs="仿宋"/>
        </w:rPr>
      </w:pPr>
      <w:bookmarkStart w:id="410" w:name="_Toc25237"/>
      <w:r>
        <w:rPr>
          <w:rFonts w:hint="eastAsia" w:ascii="仿宋" w:hAnsi="仿宋" w:cs="仿宋"/>
        </w:rPr>
        <w:t>三、评审程序</w:t>
      </w:r>
      <w:bookmarkEnd w:id="410"/>
    </w:p>
    <w:p>
      <w:pPr>
        <w:ind w:firstLine="472" w:firstLineChars="196"/>
        <w:rPr>
          <w:rFonts w:ascii="仿宋" w:hAnsi="仿宋" w:cs="仿宋"/>
          <w:kern w:val="0"/>
        </w:rPr>
      </w:pPr>
      <w:r>
        <w:rPr>
          <w:rFonts w:hint="eastAsia" w:ascii="仿宋" w:hAnsi="仿宋" w:cs="仿宋"/>
          <w:b/>
          <w:kern w:val="0"/>
        </w:rPr>
        <w:t>3.1符合性审查。</w:t>
      </w:r>
      <w:r>
        <w:rPr>
          <w:rFonts w:hint="eastAsia" w:ascii="仿宋" w:hAnsi="仿宋" w:cs="仿宋"/>
          <w:kern w:val="0"/>
        </w:rPr>
        <w:t>磋商小组应当对符合资格的供应商的响应文件进行符合性审查，以确定其是否满足磋商文件的实质性要求。不满足磋商文件的实质性要求的，响应无效。</w:t>
      </w:r>
    </w:p>
    <w:p>
      <w:pPr>
        <w:ind w:firstLine="472" w:firstLineChars="196"/>
      </w:pPr>
      <w:r>
        <w:rPr>
          <w:rFonts w:hint="eastAsia"/>
          <w:b/>
          <w:bCs/>
        </w:rPr>
        <w:t>3.2磋商和最后报价。</w:t>
      </w:r>
      <w:r>
        <w:rPr>
          <w:rFonts w:hint="eastAsia"/>
        </w:rPr>
        <w:t>磋商文件能够详细列明采购标的的技术、服务要求的，磋商结束后，磋商小组应当要求所有实质性响应的供应商在规定时间内提交最后报价，提交最后报价的供应商不得少于3家。</w:t>
      </w:r>
    </w:p>
    <w:p>
      <w:pPr>
        <w:ind w:firstLine="472" w:firstLineChars="196"/>
        <w:rPr>
          <w:rFonts w:ascii="仿宋" w:hAnsi="仿宋" w:cs="仿宋"/>
          <w:kern w:val="0"/>
        </w:rPr>
      </w:pPr>
      <w:r>
        <w:rPr>
          <w:rFonts w:hint="eastAsia" w:ascii="仿宋" w:hAnsi="仿宋" w:cs="仿宋"/>
          <w:b/>
          <w:kern w:val="0"/>
        </w:rPr>
        <w:t>3.3比较与评价。</w:t>
      </w:r>
      <w:r>
        <w:rPr>
          <w:rFonts w:hint="eastAsia" w:ascii="仿宋" w:hAnsi="仿宋" w:cs="仿宋"/>
          <w:kern w:val="0"/>
        </w:rPr>
        <w:t>磋商小组应当按照磋商文件中规定的评审方法和标准，对提交最后报价的供应商的响应文件进行商务和技术评估，综合比较与评价。</w:t>
      </w:r>
    </w:p>
    <w:p>
      <w:pPr>
        <w:ind w:firstLine="472" w:firstLineChars="196"/>
        <w:rPr>
          <w:rFonts w:ascii="仿宋" w:hAnsi="仿宋" w:cs="仿宋"/>
          <w:kern w:val="0"/>
        </w:rPr>
      </w:pPr>
      <w:r>
        <w:rPr>
          <w:rFonts w:hint="eastAsia" w:ascii="仿宋" w:hAnsi="仿宋" w:cs="仿宋"/>
          <w:b/>
          <w:kern w:val="0"/>
        </w:rPr>
        <w:t>3.4汇总商务技术得分。</w:t>
      </w:r>
      <w:r>
        <w:rPr>
          <w:rFonts w:hint="eastAsia" w:ascii="仿宋" w:hAnsi="仿宋" w:cs="仿宋"/>
          <w:kern w:val="0"/>
        </w:rPr>
        <w:t>磋商小组各成员应当独立对每个供应商的商务和技术文件进行评价，并汇总商务技术得分情况。</w:t>
      </w:r>
    </w:p>
    <w:p>
      <w:pPr>
        <w:ind w:firstLine="472" w:firstLineChars="196"/>
        <w:rPr>
          <w:rFonts w:ascii="仿宋" w:hAnsi="仿宋" w:cs="仿宋"/>
          <w:b/>
          <w:kern w:val="0"/>
        </w:rPr>
      </w:pPr>
      <w:r>
        <w:rPr>
          <w:rFonts w:hint="eastAsia" w:ascii="仿宋" w:hAnsi="仿宋" w:cs="仿宋"/>
          <w:b/>
          <w:kern w:val="0"/>
        </w:rPr>
        <w:t>3.5报价评审。</w:t>
      </w:r>
    </w:p>
    <w:p>
      <w:pPr>
        <w:ind w:firstLine="480"/>
      </w:pPr>
      <w:r>
        <w:rPr>
          <w:rFonts w:hint="eastAsia"/>
        </w:rPr>
        <w:t>3.5.1响应文件报价出现前后不一致的，按照下列规定修正：</w:t>
      </w:r>
    </w:p>
    <w:p>
      <w:pPr>
        <w:ind w:firstLine="480"/>
      </w:pPr>
      <w:r>
        <w:rPr>
          <w:rFonts w:hint="eastAsia"/>
        </w:rPr>
        <w:t>（1）最后报价表内容与响应文件中相应内容不一致的，以最后报价表为准；</w:t>
      </w:r>
    </w:p>
    <w:p>
      <w:pPr>
        <w:ind w:firstLine="480"/>
      </w:pPr>
      <w:r>
        <w:rPr>
          <w:rFonts w:hint="eastAsia"/>
        </w:rPr>
        <w:t>（2）大写金额和小写金额不一致的，以大写金额为准；</w:t>
      </w:r>
    </w:p>
    <w:p>
      <w:pPr>
        <w:ind w:firstLine="480"/>
      </w:pPr>
      <w:r>
        <w:rPr>
          <w:rFonts w:hint="eastAsia"/>
        </w:rPr>
        <w:t>（3）单价金额小数点或者百分比有明显错位的，以最后报价表中的总价为准，并修改单价；</w:t>
      </w:r>
    </w:p>
    <w:p>
      <w:pPr>
        <w:ind w:firstLine="480"/>
        <w:rPr>
          <w:rFonts w:hint="eastAsia" w:eastAsia="仿宋"/>
          <w:lang w:val="en-US" w:eastAsia="zh-CN"/>
        </w:rPr>
      </w:pPr>
      <w:r>
        <w:rPr>
          <w:rFonts w:hint="eastAsia"/>
          <w:lang w:eastAsia="zh-CN"/>
        </w:rPr>
        <w:t>（</w:t>
      </w:r>
      <w:r>
        <w:rPr>
          <w:rFonts w:hint="eastAsia"/>
          <w:lang w:val="en-US" w:eastAsia="zh-CN"/>
        </w:rPr>
        <w:t>4</w:t>
      </w:r>
      <w:r>
        <w:rPr>
          <w:rFonts w:hint="eastAsia"/>
          <w:lang w:eastAsia="zh-CN"/>
        </w:rPr>
        <w:t>）</w:t>
      </w:r>
      <w:r>
        <w:rPr>
          <w:rFonts w:hint="eastAsia"/>
        </w:rPr>
        <w:t>总价金额与按单价汇总金额不一致的，以单价金额计算结果为准</w:t>
      </w:r>
      <w:r>
        <w:rPr>
          <w:rFonts w:hint="eastAsia"/>
          <w:lang w:val="en-US" w:eastAsia="zh-CN"/>
        </w:rPr>
        <w:t>；</w:t>
      </w:r>
    </w:p>
    <w:p>
      <w:pPr>
        <w:ind w:firstLine="480"/>
      </w:pPr>
      <w:r>
        <w:rPr>
          <w:rFonts w:hint="eastAsia"/>
          <w:lang w:eastAsia="zh-CN"/>
        </w:rPr>
        <w:t>（</w:t>
      </w:r>
      <w:r>
        <w:rPr>
          <w:rFonts w:hint="eastAsia"/>
          <w:lang w:val="en-US" w:eastAsia="zh-CN"/>
        </w:rPr>
        <w:t>5</w:t>
      </w:r>
      <w:r>
        <w:rPr>
          <w:rFonts w:hint="eastAsia"/>
          <w:lang w:eastAsia="zh-CN"/>
        </w:rPr>
        <w:t>）</w:t>
      </w:r>
      <w:r>
        <w:rPr>
          <w:rFonts w:hint="eastAsia"/>
        </w:rPr>
        <w:t>同时出现两种以上不一致的，按照顺序修正。修正后的报价经供应商确认后产生约束力。</w:t>
      </w:r>
    </w:p>
    <w:p>
      <w:pPr>
        <w:rPr>
          <w:b/>
          <w:bCs/>
        </w:rPr>
      </w:pPr>
      <w:r>
        <w:rPr>
          <w:rFonts w:hint="eastAsia"/>
          <w:b/>
          <w:bCs/>
        </w:rPr>
        <w:t>3.5.2响应文件出现不是唯一的、有选择性报价的，响应无效。</w:t>
      </w:r>
    </w:p>
    <w:p>
      <w:pPr>
        <w:rPr>
          <w:b/>
          <w:bCs/>
        </w:rPr>
      </w:pPr>
      <w:r>
        <w:rPr>
          <w:rFonts w:hint="eastAsia"/>
          <w:b/>
          <w:bCs/>
        </w:rPr>
        <w:t>3.5.3报价超过磋商文件中规定的预算金额或者最高限价的，响应无效。</w:t>
      </w:r>
    </w:p>
    <w:p>
      <w:pPr>
        <w:rPr>
          <w:b/>
          <w:bCs/>
        </w:rPr>
      </w:pPr>
      <w:r>
        <w:rPr>
          <w:rFonts w:hint="eastAsia"/>
          <w:b/>
          <w:bCs/>
        </w:rPr>
        <w:t>3.5.4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pPr>
        <w:ind w:firstLine="480"/>
      </w:pPr>
      <w:r>
        <w:rPr>
          <w:rFonts w:hint="eastAsia"/>
        </w:rPr>
        <w:t>3.5.5对于未预留份额专门面向中小企业的政府采购货物或服务项目，以及预留份额政府采购货物或服务项目中的非预留部分标项，对小型和微型企业的报价给予20%的扣除，用扣除后的价格参与评审。</w:t>
      </w:r>
    </w:p>
    <w:p>
      <w:pPr>
        <w:ind w:firstLine="480"/>
      </w:pPr>
      <w:r>
        <w:rPr>
          <w:rFonts w:hint="eastAsia"/>
        </w:rPr>
        <w:t>3.6</w:t>
      </w:r>
      <w:r>
        <w:rPr>
          <w:rFonts w:hint="eastAsia"/>
          <w:b/>
          <w:bCs/>
        </w:rPr>
        <w:t>排序与推荐。</w:t>
      </w:r>
      <w:r>
        <w:rPr>
          <w:rFonts w:hint="eastAsia"/>
        </w:rPr>
        <w:t>评审结果按评审后得分由高到低顺序排列。评审得分相同的，按照最后报价由低到高的顺序推荐。评审得分且最后报价相同的，按照技术指标优劣顺序推荐。</w:t>
      </w:r>
    </w:p>
    <w:p>
      <w:pPr>
        <w:ind w:firstLine="480"/>
      </w:pPr>
      <w:r>
        <w:rPr>
          <w:rFonts w:hint="eastAsia"/>
        </w:rPr>
        <w:t>3.7</w:t>
      </w:r>
      <w:r>
        <w:rPr>
          <w:rFonts w:hint="eastAsia"/>
          <w:b/>
          <w:bCs/>
        </w:rPr>
        <w:t>编写评审报告。</w:t>
      </w:r>
      <w:r>
        <w:rPr>
          <w:rFonts w:hint="eastAsia"/>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pStyle w:val="5"/>
        <w:rPr>
          <w:rFonts w:ascii="仿宋" w:hAnsi="仿宋" w:cs="仿宋"/>
        </w:rPr>
      </w:pPr>
      <w:bookmarkStart w:id="411" w:name="_Toc8380"/>
      <w:r>
        <w:rPr>
          <w:rFonts w:hint="eastAsia" w:ascii="仿宋" w:hAnsi="仿宋" w:cs="仿宋"/>
        </w:rPr>
        <w:t>四、评审中的其他事项</w:t>
      </w:r>
      <w:bookmarkEnd w:id="411"/>
    </w:p>
    <w:p>
      <w:pPr>
        <w:rPr>
          <w:rFonts w:ascii="仿宋" w:hAnsi="仿宋" w:cs="仿宋"/>
          <w:kern w:val="0"/>
        </w:rPr>
      </w:pPr>
      <w:r>
        <w:rPr>
          <w:rFonts w:hint="eastAsia" w:ascii="仿宋" w:hAnsi="仿宋" w:cs="仿宋"/>
          <w:b/>
          <w:kern w:val="0"/>
        </w:rPr>
        <w:t>4.1供应商澄清、说明或者补正。</w:t>
      </w:r>
      <w:r>
        <w:rPr>
          <w:rFonts w:hint="eastAsia" w:ascii="仿宋" w:hAnsi="仿宋" w:cs="仿宋"/>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rPr>
          <w:b/>
          <w:bCs/>
        </w:rPr>
      </w:pPr>
      <w:r>
        <w:rPr>
          <w:rFonts w:hint="eastAsia"/>
          <w:b/>
          <w:bCs/>
        </w:rPr>
        <w:t>★4.2响应无效。有下列情况之一的，响应无效：</w:t>
      </w:r>
    </w:p>
    <w:p>
      <w:pPr>
        <w:rPr>
          <w:b/>
          <w:bCs/>
        </w:rPr>
      </w:pPr>
      <w:r>
        <w:rPr>
          <w:rFonts w:hint="eastAsia"/>
          <w:b/>
          <w:bCs/>
        </w:rPr>
        <w:t>4.2.1供应商不具备磋商文件中规定的资格要求的（供应商未提供有效的资格文件的，视为供应商不具备磋商文件中规定的资格要求）；</w:t>
      </w:r>
    </w:p>
    <w:p>
      <w:pPr>
        <w:rPr>
          <w:b/>
          <w:bCs/>
        </w:rPr>
      </w:pPr>
      <w:r>
        <w:rPr>
          <w:rFonts w:hint="eastAsia"/>
          <w:b/>
          <w:bCs/>
        </w:rPr>
        <w:t>4.2.2响应文件未按照磋商文件要求签署、盖章的；</w:t>
      </w:r>
    </w:p>
    <w:p>
      <w:pPr>
        <w:rPr>
          <w:b/>
          <w:bCs/>
        </w:rPr>
      </w:pPr>
      <w:r>
        <w:rPr>
          <w:rFonts w:hint="eastAsia"/>
          <w:b/>
          <w:bCs/>
        </w:rPr>
        <w:t>4.2.3响应文件含有采购人不能接受的附加条件的；</w:t>
      </w:r>
    </w:p>
    <w:p>
      <w:pPr>
        <w:rPr>
          <w:b/>
          <w:bCs/>
        </w:rPr>
      </w:pPr>
      <w:r>
        <w:rPr>
          <w:rFonts w:hint="eastAsia"/>
          <w:b/>
          <w:bCs/>
        </w:rPr>
        <w:t>4.2.4响应文件中承诺的响应有效期少于磋商文件中载明的响应有效期的；</w:t>
      </w:r>
    </w:p>
    <w:p>
      <w:pPr>
        <w:rPr>
          <w:b/>
          <w:bCs/>
        </w:rPr>
      </w:pPr>
      <w:r>
        <w:rPr>
          <w:rFonts w:hint="eastAsia"/>
          <w:b/>
          <w:bCs/>
        </w:rPr>
        <w:t>4.2.5响应文件出现不是唯一的、有选择性报价的；</w:t>
      </w:r>
    </w:p>
    <w:p>
      <w:pPr>
        <w:rPr>
          <w:b/>
          <w:bCs/>
        </w:rPr>
      </w:pPr>
      <w:r>
        <w:rPr>
          <w:rFonts w:hint="eastAsia"/>
          <w:b/>
          <w:bCs/>
        </w:rPr>
        <w:t>4.2.6报价超过磋商文件中规定的预算金额或者最高限价的；</w:t>
      </w:r>
    </w:p>
    <w:p>
      <w:pPr>
        <w:rPr>
          <w:b/>
          <w:bCs/>
        </w:rPr>
      </w:pPr>
      <w:r>
        <w:rPr>
          <w:rFonts w:hint="eastAsia"/>
          <w:b/>
          <w:bCs/>
        </w:rPr>
        <w:t>4.2.7报价明显低于其他通过符合性审查供应商的报价，有可能不能诚信履约的，未能按要求提供书面说明或者提交相关证明材料，不能证明其报价合理性的；</w:t>
      </w:r>
    </w:p>
    <w:p>
      <w:pPr>
        <w:rPr>
          <w:b/>
          <w:bCs/>
        </w:rPr>
      </w:pPr>
      <w:r>
        <w:rPr>
          <w:rFonts w:hint="eastAsia"/>
          <w:b/>
          <w:bCs/>
        </w:rPr>
        <w:t>4.2.8供应商对根据修正原则修正后的报价不确认的；</w:t>
      </w:r>
    </w:p>
    <w:p>
      <w:pPr>
        <w:rPr>
          <w:b/>
          <w:bCs/>
        </w:rPr>
      </w:pPr>
      <w:r>
        <w:rPr>
          <w:rFonts w:hint="eastAsia"/>
          <w:b/>
          <w:bCs/>
        </w:rPr>
        <w:t>4.2.9供应商提供虚假材料响应的；</w:t>
      </w:r>
    </w:p>
    <w:p>
      <w:pPr>
        <w:rPr>
          <w:b/>
          <w:bCs/>
        </w:rPr>
      </w:pPr>
      <w:r>
        <w:rPr>
          <w:rFonts w:hint="eastAsia"/>
          <w:b/>
          <w:bCs/>
        </w:rPr>
        <w:t>4.2.10供应商有恶意串通、妨碍其他供应商的竞争行为、损害采购人或者其他供应商的合法权益情形的；</w:t>
      </w:r>
    </w:p>
    <w:p>
      <w:pPr>
        <w:rPr>
          <w:b/>
          <w:bCs/>
        </w:rPr>
      </w:pPr>
      <w:r>
        <w:rPr>
          <w:rFonts w:hint="eastAsia"/>
          <w:b/>
          <w:bCs/>
        </w:rPr>
        <w:t>4.2.11供应商仅提交备份响应文件，没有在电子交易平台传输递交响应文件的，响应无效；</w:t>
      </w:r>
    </w:p>
    <w:p>
      <w:pPr>
        <w:rPr>
          <w:b/>
          <w:bCs/>
        </w:rPr>
      </w:pPr>
      <w:r>
        <w:rPr>
          <w:rFonts w:hint="eastAsia"/>
          <w:b/>
          <w:bCs/>
        </w:rPr>
        <w:t>4.2.12响应文件不满足磋商文件的其它实质性要求的；</w:t>
      </w:r>
    </w:p>
    <w:p>
      <w:pPr>
        <w:rPr>
          <w:b/>
          <w:bCs/>
        </w:rPr>
      </w:pPr>
      <w:r>
        <w:rPr>
          <w:rFonts w:hint="eastAsia"/>
          <w:b/>
          <w:bCs/>
        </w:rPr>
        <w:t>4.2.13法律、法规、规章及省级以上规范性文件规定的其他无效情形。</w:t>
      </w:r>
    </w:p>
    <w:p>
      <w:pPr>
        <w:rPr>
          <w:rFonts w:ascii="仿宋" w:hAnsi="仿宋" w:cs="仿宋"/>
        </w:rPr>
      </w:pPr>
      <w:r>
        <w:rPr>
          <w:rFonts w:hint="eastAsia" w:ascii="仿宋" w:hAnsi="仿宋" w:cs="仿宋"/>
          <w:b/>
        </w:rPr>
        <w:t>5.重新开展采购活动。</w:t>
      </w:r>
      <w:r>
        <w:rPr>
          <w:rFonts w:hint="eastAsia" w:ascii="仿宋" w:hAnsi="仿宋" w:cs="仿宋"/>
        </w:rPr>
        <w:t>根据《政府采购竞争性磋商采购方式管理暂行办法》第三十四条之规定，出现下列情形之一的，采购人或者采购代理机构应当终止竞争性磋商采购活动，发布项目终止公告并说明原因，重新开展采购活动：</w:t>
      </w:r>
    </w:p>
    <w:p>
      <w:pPr>
        <w:ind w:firstLine="480"/>
        <w:rPr>
          <w:rFonts w:ascii="仿宋" w:hAnsi="仿宋" w:cs="仿宋"/>
        </w:rPr>
      </w:pPr>
      <w:r>
        <w:rPr>
          <w:rFonts w:hint="eastAsia" w:ascii="仿宋" w:hAnsi="仿宋" w:cs="仿宋"/>
        </w:rPr>
        <w:t>（1）因情况变化，不再符合规定的竞争性磋商采购方式适用情形的；</w:t>
      </w:r>
    </w:p>
    <w:p>
      <w:pPr>
        <w:ind w:firstLine="480"/>
        <w:rPr>
          <w:rFonts w:ascii="仿宋" w:hAnsi="仿宋" w:cs="仿宋"/>
        </w:rPr>
      </w:pPr>
      <w:r>
        <w:rPr>
          <w:rFonts w:hint="eastAsia" w:ascii="仿宋" w:hAnsi="仿宋" w:cs="仿宋"/>
        </w:rPr>
        <w:t>（2）出现影响采购公正的违法、违规行为的；</w:t>
      </w:r>
    </w:p>
    <w:p>
      <w:pPr>
        <w:ind w:firstLine="480"/>
        <w:rPr>
          <w:rFonts w:ascii="仿宋" w:hAnsi="仿宋" w:cs="仿宋"/>
        </w:rPr>
      </w:pPr>
      <w:r>
        <w:rPr>
          <w:rFonts w:hint="eastAsia" w:ascii="仿宋" w:hAnsi="仿宋" w:cs="仿宋"/>
        </w:rPr>
        <w:t>（3）除本办法第二十一条第三款规定的情形外，在采购过程中符合要求的供应商或者报价未超过采购预算的供应商不足3家的。</w:t>
      </w:r>
      <w:bookmarkEnd w:id="29"/>
      <w:bookmarkStart w:id="412" w:name="_Toc86217003"/>
      <w:bookmarkStart w:id="413" w:name="第五部分"/>
    </w:p>
    <w:p>
      <w:pPr>
        <w:ind w:firstLine="480"/>
        <w:rPr>
          <w:rFonts w:ascii="仿宋" w:hAnsi="仿宋" w:cs="仿宋"/>
        </w:rPr>
      </w:pPr>
      <w:r>
        <w:rPr>
          <w:rFonts w:hint="eastAsia" w:ascii="仿宋" w:hAnsi="仿宋" w:cs="仿宋"/>
        </w:rPr>
        <w:br w:type="page"/>
      </w:r>
    </w:p>
    <w:p>
      <w:pPr>
        <w:pStyle w:val="3"/>
        <w:rPr>
          <w:rFonts w:ascii="仿宋" w:hAnsi="仿宋" w:cs="仿宋"/>
        </w:rPr>
      </w:pPr>
      <w:bookmarkStart w:id="414" w:name="_Toc20575"/>
      <w:r>
        <w:rPr>
          <w:rFonts w:hint="eastAsia" w:ascii="仿宋" w:hAnsi="仿宋" w:cs="仿宋"/>
        </w:rPr>
        <w:t>第五部分拟签订的合同文本</w:t>
      </w:r>
      <w:bookmarkEnd w:id="414"/>
    </w:p>
    <w:p>
      <w:pPr>
        <w:ind w:firstLine="480"/>
        <w:rPr>
          <w:rFonts w:ascii="仿宋" w:hAnsi="仿宋" w:cs="仿宋"/>
          <w:u w:val="single"/>
        </w:rPr>
      </w:pPr>
      <w:r>
        <w:rPr>
          <w:rFonts w:hint="eastAsia" w:ascii="仿宋" w:hAnsi="仿宋" w:cs="仿宋"/>
        </w:rPr>
        <w:t>合同编号：</w:t>
      </w:r>
    </w:p>
    <w:p>
      <w:pPr>
        <w:ind w:firstLine="480"/>
        <w:rPr>
          <w:rFonts w:ascii="仿宋" w:hAnsi="仿宋" w:cs="仿宋"/>
        </w:rPr>
      </w:pPr>
    </w:p>
    <w:p>
      <w:pPr>
        <w:spacing w:line="480" w:lineRule="auto"/>
        <w:jc w:val="center"/>
        <w:rPr>
          <w:rFonts w:ascii="仿宋" w:hAnsi="仿宋" w:cs="仿宋"/>
          <w:b/>
        </w:rPr>
      </w:pPr>
    </w:p>
    <w:p>
      <w:pPr>
        <w:spacing w:line="480" w:lineRule="auto"/>
        <w:ind w:firstLine="720"/>
        <w:jc w:val="center"/>
        <w:rPr>
          <w:sz w:val="36"/>
          <w:szCs w:val="36"/>
        </w:rPr>
      </w:pPr>
    </w:p>
    <w:p>
      <w:pPr>
        <w:spacing w:line="480" w:lineRule="auto"/>
        <w:ind w:firstLine="720"/>
        <w:jc w:val="center"/>
        <w:rPr>
          <w:rFonts w:ascii="仿宋" w:hAnsi="仿宋" w:cs="仿宋"/>
          <w:b/>
          <w:sz w:val="36"/>
          <w:szCs w:val="36"/>
        </w:rPr>
      </w:pPr>
      <w:r>
        <w:rPr>
          <w:rFonts w:hint="eastAsia"/>
          <w:sz w:val="36"/>
          <w:szCs w:val="36"/>
        </w:rPr>
        <w:t>政府采购合同参考范本</w:t>
      </w:r>
    </w:p>
    <w:p>
      <w:pPr>
        <w:spacing w:line="480" w:lineRule="auto"/>
        <w:ind w:firstLine="723"/>
        <w:jc w:val="center"/>
        <w:rPr>
          <w:rFonts w:ascii="仿宋" w:hAnsi="仿宋" w:cs="仿宋"/>
          <w:b/>
          <w:sz w:val="36"/>
          <w:szCs w:val="36"/>
        </w:rPr>
      </w:pPr>
    </w:p>
    <w:p>
      <w:pPr>
        <w:pStyle w:val="705"/>
        <w:ind w:left="480"/>
        <w:rPr>
          <w:rFonts w:ascii="仿宋" w:hAnsi="仿宋" w:cs="仿宋"/>
          <w:szCs w:val="24"/>
        </w:rPr>
      </w:pPr>
    </w:p>
    <w:p>
      <w:pPr>
        <w:pStyle w:val="705"/>
        <w:ind w:left="480"/>
        <w:rPr>
          <w:rFonts w:ascii="仿宋" w:hAnsi="仿宋" w:cs="仿宋"/>
          <w:szCs w:val="24"/>
        </w:rPr>
      </w:pPr>
    </w:p>
    <w:p>
      <w:pPr>
        <w:pStyle w:val="705"/>
        <w:ind w:left="480"/>
        <w:rPr>
          <w:rFonts w:ascii="仿宋" w:hAnsi="仿宋" w:cs="仿宋"/>
          <w:szCs w:val="24"/>
        </w:rPr>
      </w:pPr>
    </w:p>
    <w:p>
      <w:pPr>
        <w:spacing w:before="120" w:line="22" w:lineRule="atLeast"/>
        <w:ind w:firstLine="480"/>
        <w:rPr>
          <w:rFonts w:ascii="仿宋" w:hAnsi="仿宋" w:cs="仿宋"/>
        </w:rPr>
      </w:pPr>
    </w:p>
    <w:p>
      <w:pPr>
        <w:spacing w:before="120" w:line="22" w:lineRule="atLeast"/>
        <w:ind w:left="960" w:firstLine="480"/>
        <w:rPr>
          <w:rFonts w:ascii="仿宋" w:hAnsi="仿宋" w:cs="仿宋"/>
        </w:rPr>
      </w:pPr>
      <w:r>
        <w:rPr>
          <w:rFonts w:hint="eastAsia" w:ascii="仿宋" w:hAnsi="仿宋" w:cs="仿宋"/>
        </w:rPr>
        <w:t>项目名称：</w:t>
      </w:r>
    </w:p>
    <w:p>
      <w:pPr>
        <w:pStyle w:val="602"/>
        <w:spacing w:before="120" w:line="22" w:lineRule="atLeast"/>
        <w:ind w:firstLine="480"/>
        <w:rPr>
          <w:rFonts w:ascii="仿宋" w:hAnsi="仿宋" w:eastAsia="仿宋" w:cs="仿宋"/>
          <w:szCs w:val="24"/>
        </w:rPr>
      </w:pPr>
    </w:p>
    <w:p>
      <w:pPr>
        <w:pStyle w:val="602"/>
        <w:spacing w:before="120" w:line="22" w:lineRule="atLeast"/>
        <w:ind w:firstLine="480"/>
        <w:rPr>
          <w:rFonts w:ascii="仿宋" w:hAnsi="仿宋" w:eastAsia="仿宋" w:cs="仿宋"/>
          <w:szCs w:val="24"/>
        </w:rPr>
      </w:pPr>
    </w:p>
    <w:p>
      <w:pPr>
        <w:ind w:firstLine="480"/>
        <w:rPr>
          <w:rFonts w:ascii="仿宋" w:hAnsi="仿宋" w:cs="仿宋"/>
        </w:rPr>
      </w:pPr>
    </w:p>
    <w:p>
      <w:pPr>
        <w:ind w:firstLine="480"/>
        <w:rPr>
          <w:rFonts w:ascii="仿宋" w:hAnsi="仿宋" w:cs="仿宋"/>
        </w:rPr>
      </w:pPr>
    </w:p>
    <w:p>
      <w:pPr>
        <w:spacing w:before="120" w:line="22" w:lineRule="atLeast"/>
        <w:ind w:left="960" w:firstLine="480"/>
        <w:rPr>
          <w:rFonts w:ascii="仿宋" w:hAnsi="仿宋" w:cs="仿宋"/>
          <w:u w:val="single"/>
        </w:rPr>
      </w:pPr>
      <w:r>
        <w:rPr>
          <w:rFonts w:hint="eastAsia" w:ascii="仿宋" w:hAnsi="仿宋" w:cs="仿宋"/>
        </w:rPr>
        <w:t>甲方：</w:t>
      </w:r>
    </w:p>
    <w:p>
      <w:pPr>
        <w:spacing w:before="120" w:line="22" w:lineRule="atLeast"/>
        <w:ind w:firstLine="480"/>
        <w:rPr>
          <w:rFonts w:ascii="仿宋" w:hAnsi="仿宋" w:cs="仿宋"/>
        </w:rPr>
      </w:pPr>
    </w:p>
    <w:p>
      <w:pPr>
        <w:spacing w:before="120" w:line="22" w:lineRule="atLeast"/>
        <w:ind w:left="960" w:firstLine="480"/>
        <w:rPr>
          <w:rFonts w:ascii="仿宋" w:hAnsi="仿宋" w:cs="仿宋"/>
          <w:u w:val="single"/>
        </w:rPr>
      </w:pPr>
      <w:r>
        <w:rPr>
          <w:rFonts w:hint="eastAsia" w:ascii="仿宋" w:hAnsi="仿宋" w:cs="仿宋"/>
        </w:rPr>
        <w:t>乙方：</w:t>
      </w:r>
    </w:p>
    <w:p>
      <w:pPr>
        <w:spacing w:before="120" w:line="22" w:lineRule="atLeast"/>
        <w:ind w:firstLine="480"/>
        <w:rPr>
          <w:rFonts w:ascii="仿宋" w:hAnsi="仿宋" w:cs="仿宋"/>
        </w:rPr>
      </w:pPr>
    </w:p>
    <w:p>
      <w:pPr>
        <w:spacing w:before="120" w:line="22" w:lineRule="atLeast"/>
        <w:ind w:firstLine="960" w:firstLineChars="400"/>
        <w:rPr>
          <w:rFonts w:ascii="仿宋" w:hAnsi="仿宋" w:cs="仿宋"/>
          <w:u w:val="single"/>
        </w:rPr>
      </w:pPr>
      <w:r>
        <w:rPr>
          <w:rFonts w:hint="eastAsia" w:ascii="仿宋" w:hAnsi="仿宋" w:cs="仿宋"/>
        </w:rPr>
        <w:t>签订地：</w:t>
      </w:r>
    </w:p>
    <w:p>
      <w:pPr>
        <w:spacing w:before="120" w:line="22" w:lineRule="atLeast"/>
        <w:ind w:firstLine="480"/>
        <w:rPr>
          <w:rFonts w:ascii="仿宋" w:hAnsi="仿宋" w:cs="仿宋"/>
        </w:rPr>
      </w:pPr>
    </w:p>
    <w:p>
      <w:pPr>
        <w:spacing w:before="120" w:line="22" w:lineRule="atLeast"/>
        <w:ind w:firstLine="960" w:firstLineChars="400"/>
        <w:rPr>
          <w:rFonts w:ascii="仿宋" w:hAnsi="仿宋" w:cs="仿宋"/>
        </w:rPr>
      </w:pPr>
      <w:r>
        <w:rPr>
          <w:rFonts w:hint="eastAsia" w:ascii="仿宋" w:hAnsi="仿宋" w:cs="仿宋"/>
        </w:rPr>
        <w:t>签订日期：年月日</w:t>
      </w:r>
    </w:p>
    <w:p>
      <w:pPr>
        <w:spacing w:before="120" w:line="22" w:lineRule="atLeast"/>
        <w:ind w:firstLine="960" w:firstLineChars="400"/>
        <w:rPr>
          <w:rFonts w:ascii="仿宋" w:hAnsi="仿宋" w:cs="仿宋"/>
        </w:rPr>
      </w:pPr>
    </w:p>
    <w:p>
      <w:pPr>
        <w:ind w:firstLine="480"/>
        <w:rPr>
          <w:rFonts w:ascii="仿宋" w:hAnsi="仿宋" w:cs="仿宋"/>
        </w:rPr>
      </w:pPr>
      <w:r>
        <w:rPr>
          <w:rFonts w:hint="eastAsia" w:ascii="仿宋" w:hAnsi="仿宋" w:cs="仿宋"/>
        </w:rPr>
        <w:br w:type="page"/>
      </w:r>
    </w:p>
    <w:p>
      <w:pPr>
        <w:snapToGrid w:val="0"/>
        <w:ind w:firstLine="480"/>
        <w:rPr>
          <w:rFonts w:ascii="仿宋" w:hAnsi="仿宋" w:cs="仿宋"/>
          <w:color w:val="000000"/>
        </w:rPr>
      </w:pPr>
      <w:r>
        <w:rPr>
          <w:rFonts w:hint="eastAsia" w:ascii="仿宋" w:hAnsi="仿宋" w:cs="仿宋"/>
        </w:rPr>
        <w:t>根据《中华人民共和国政府采购法》、《中华人民共和国政府采购法实施条例》等法律法规，</w:t>
      </w:r>
      <w:r>
        <w:rPr>
          <w:rFonts w:hint="eastAsia" w:ascii="仿宋" w:hAnsi="仿宋" w:cs="仿宋"/>
          <w:u w:val="single"/>
        </w:rPr>
        <w:t>项目名称（项目编号：）</w:t>
      </w:r>
      <w:r>
        <w:rPr>
          <w:rFonts w:hint="eastAsia" w:ascii="仿宋" w:hAnsi="仿宋" w:cs="仿宋"/>
        </w:rPr>
        <w:t>于</w:t>
      </w:r>
      <w:r>
        <w:rPr>
          <w:rFonts w:hint="eastAsia" w:ascii="仿宋" w:hAnsi="仿宋" w:cs="仿宋"/>
          <w:u w:val="single"/>
        </w:rPr>
        <w:t xml:space="preserve">    </w:t>
      </w:r>
      <w:r>
        <w:rPr>
          <w:rFonts w:hint="eastAsia" w:ascii="仿宋" w:hAnsi="仿宋" w:cs="仿宋"/>
        </w:rPr>
        <w:t>年</w:t>
      </w:r>
      <w:r>
        <w:rPr>
          <w:rFonts w:hint="eastAsia" w:ascii="仿宋" w:hAnsi="仿宋" w:cs="仿宋"/>
          <w:u w:val="single"/>
        </w:rPr>
        <w:t xml:space="preserve">  </w:t>
      </w:r>
      <w:r>
        <w:rPr>
          <w:rFonts w:hint="eastAsia" w:ascii="仿宋" w:hAnsi="仿宋" w:cs="仿宋"/>
        </w:rPr>
        <w:t>月</w:t>
      </w:r>
      <w:r>
        <w:rPr>
          <w:rFonts w:hint="eastAsia" w:ascii="仿宋" w:hAnsi="仿宋" w:cs="仿宋"/>
          <w:u w:val="single"/>
        </w:rPr>
        <w:t xml:space="preserve">  </w:t>
      </w:r>
      <w:r>
        <w:rPr>
          <w:rFonts w:hint="eastAsia" w:ascii="仿宋" w:hAnsi="仿宋" w:cs="仿宋"/>
        </w:rPr>
        <w:t>日，在进行竞争性磋商采购，确定由乙方成交。按照《中华人民共和国民法典》的有关规定，在自愿、平等、诚信的基础上，经双方协商一致，签订本合同。</w:t>
      </w:r>
    </w:p>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ascii="仿宋" w:hAnsi="仿宋" w:cs="仿宋"/>
          <w:b/>
          <w:bCs/>
          <w:color w:val="000000"/>
        </w:rPr>
      </w:pPr>
      <w:r>
        <w:rPr>
          <w:rFonts w:hint="eastAsia" w:ascii="仿宋" w:hAnsi="仿宋" w:cs="仿宋"/>
          <w:b/>
          <w:bCs/>
          <w:color w:val="000000"/>
        </w:rPr>
        <w:t>1、合同组成部分</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仿宋" w:hAnsi="仿宋" w:cs="仿宋"/>
          <w:color w:val="000000"/>
        </w:rPr>
      </w:pPr>
      <w:r>
        <w:rPr>
          <w:rFonts w:hint="eastAsia" w:ascii="仿宋" w:hAnsi="仿宋" w:cs="仿宋"/>
          <w:color w:val="000000"/>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仿宋" w:hAnsi="仿宋" w:cs="仿宋"/>
          <w:color w:val="000000"/>
        </w:rPr>
      </w:pPr>
      <w:r>
        <w:rPr>
          <w:rFonts w:hint="eastAsia" w:ascii="仿宋" w:hAnsi="仿宋" w:cs="仿宋"/>
          <w:color w:val="000000"/>
        </w:rPr>
        <w:t>（1）本合同及其补充合同、变更协议；</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仿宋" w:hAnsi="仿宋" w:cs="仿宋"/>
          <w:color w:val="000000"/>
        </w:rPr>
      </w:pPr>
      <w:r>
        <w:rPr>
          <w:rFonts w:hint="eastAsia" w:ascii="仿宋" w:hAnsi="仿宋" w:cs="仿宋"/>
          <w:color w:val="000000"/>
        </w:rPr>
        <w:t>（2）成交通知书；</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仿宋" w:hAnsi="仿宋" w:cs="仿宋"/>
          <w:color w:val="000000"/>
        </w:rPr>
      </w:pPr>
      <w:r>
        <w:rPr>
          <w:rFonts w:hint="eastAsia" w:ascii="仿宋" w:hAnsi="仿宋" w:cs="仿宋"/>
          <w:color w:val="000000"/>
        </w:rPr>
        <w:t>（3）响应文件（含澄清或者说明文件）；</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仿宋" w:hAnsi="仿宋" w:cs="仿宋"/>
          <w:color w:val="000000"/>
        </w:rPr>
      </w:pPr>
      <w:r>
        <w:rPr>
          <w:rFonts w:hint="eastAsia" w:ascii="仿宋" w:hAnsi="仿宋" w:cs="仿宋"/>
          <w:color w:val="000000"/>
        </w:rPr>
        <w:t>（4）磋商文件（含澄清或者修改文件）；</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仿宋" w:hAnsi="仿宋" w:cs="仿宋"/>
          <w:color w:val="000000"/>
        </w:rPr>
      </w:pPr>
      <w:r>
        <w:rPr>
          <w:rFonts w:hint="eastAsia" w:ascii="仿宋" w:hAnsi="仿宋" w:cs="仿宋"/>
          <w:color w:val="000000"/>
        </w:rPr>
        <w:t>（5）其他相关采购文件。</w:t>
      </w:r>
    </w:p>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ascii="仿宋" w:hAnsi="仿宋" w:cs="仿宋"/>
          <w:b/>
          <w:bCs/>
          <w:color w:val="000000"/>
        </w:rPr>
      </w:pPr>
      <w:r>
        <w:rPr>
          <w:rFonts w:hint="eastAsia" w:ascii="仿宋" w:hAnsi="仿宋" w:cs="仿宋"/>
          <w:b/>
          <w:bCs/>
          <w:color w:val="000000"/>
        </w:rPr>
        <w:t>2、合同事项</w:t>
      </w:r>
    </w:p>
    <w:p>
      <w:pPr>
        <w:keepNext w:val="0"/>
        <w:keepLines w:val="0"/>
        <w:pageBreakBefore w:val="0"/>
        <w:widowControl w:val="0"/>
        <w:kinsoku/>
        <w:wordWrap/>
        <w:overflowPunct/>
        <w:topLinePunct w:val="0"/>
        <w:autoSpaceDE/>
        <w:autoSpaceDN/>
        <w:bidi w:val="0"/>
        <w:adjustRightInd w:val="0"/>
        <w:ind w:firstLine="480" w:firstLineChars="200"/>
        <w:textAlignment w:val="auto"/>
        <w:rPr>
          <w:lang w:val="en-US"/>
        </w:rPr>
      </w:pPr>
      <w:r>
        <w:rPr>
          <w:rFonts w:hint="eastAsia"/>
          <w:lang w:val="en-US"/>
        </w:rPr>
        <w:t>2.1项目内容</w:t>
      </w:r>
    </w:p>
    <w:p>
      <w:pPr>
        <w:keepNext w:val="0"/>
        <w:keepLines w:val="0"/>
        <w:pageBreakBefore w:val="0"/>
        <w:widowControl w:val="0"/>
        <w:kinsoku/>
        <w:wordWrap/>
        <w:overflowPunct/>
        <w:topLinePunct w:val="0"/>
        <w:autoSpaceDE/>
        <w:autoSpaceDN/>
        <w:bidi w:val="0"/>
        <w:adjustRightInd w:val="0"/>
        <w:ind w:firstLine="480" w:firstLineChars="200"/>
        <w:textAlignment w:val="auto"/>
        <w:rPr>
          <w:rFonts w:ascii="仿宋" w:hAnsi="仿宋" w:cs="仿宋"/>
        </w:rPr>
      </w:pPr>
      <w:r>
        <w:rPr>
          <w:rFonts w:ascii="仿宋" w:hAnsi="仿宋" w:cs="仿宋"/>
        </w:rPr>
        <w:t>本项目建设地点在宗汉街道办事处南楼2层，面积约480平方米，在保留现有布局的基础上，按照使用功能</w:t>
      </w:r>
      <w:r>
        <w:rPr>
          <w:rFonts w:hint="eastAsia" w:ascii="仿宋" w:hAnsi="仿宋" w:cs="仿宋"/>
        </w:rPr>
        <w:t>设置</w:t>
      </w:r>
      <w:r>
        <w:rPr>
          <w:rFonts w:ascii="仿宋" w:hAnsi="仿宋" w:cs="仿宋"/>
        </w:rPr>
        <w:t>指挥中心、值班室、决策室三个区域</w:t>
      </w:r>
      <w:r>
        <w:rPr>
          <w:rFonts w:hint="eastAsia" w:ascii="仿宋" w:hAnsi="仿宋" w:cs="仿宋"/>
        </w:rPr>
        <w:t>，</w:t>
      </w:r>
      <w:r>
        <w:rPr>
          <w:rFonts w:ascii="仿宋" w:hAnsi="仿宋" w:cs="仿宋"/>
        </w:rPr>
        <w:t>为跨部门、跨层级、跨区域的互联互通、信息共享和业务协同提供服务能力。</w:t>
      </w:r>
    </w:p>
    <w:p>
      <w:pPr>
        <w:bidi w:val="0"/>
      </w:pPr>
      <w:r>
        <w:rPr>
          <w:rFonts w:hint="eastAsia"/>
        </w:rPr>
        <w:t>2.1.1</w:t>
      </w:r>
      <w:r>
        <w:t>项目主要建设内容</w:t>
      </w:r>
    </w:p>
    <w:p>
      <w:pPr>
        <w:ind w:firstLine="480"/>
        <w:rPr>
          <w:rFonts w:ascii="仿宋" w:hAnsi="仿宋" w:cs="仿宋"/>
        </w:rPr>
      </w:pPr>
      <w:r>
        <w:rPr>
          <w:rFonts w:hint="eastAsia" w:ascii="仿宋" w:hAnsi="仿宋" w:cs="仿宋"/>
          <w:lang w:eastAsia="zh-CN"/>
        </w:rPr>
        <w:t>（</w:t>
      </w:r>
      <w:r>
        <w:rPr>
          <w:rFonts w:hint="eastAsia" w:ascii="仿宋" w:hAnsi="仿宋" w:cs="仿宋"/>
          <w:lang w:val="en-US" w:eastAsia="zh-CN"/>
        </w:rPr>
        <w:t>1</w:t>
      </w:r>
      <w:r>
        <w:rPr>
          <w:rFonts w:hint="eastAsia" w:ascii="仿宋" w:hAnsi="仿宋" w:cs="仿宋"/>
          <w:lang w:eastAsia="zh-CN"/>
        </w:rPr>
        <w:t>）</w:t>
      </w:r>
      <w:r>
        <w:rPr>
          <w:rFonts w:ascii="仿宋" w:hAnsi="仿宋" w:cs="仿宋"/>
        </w:rPr>
        <w:t>在指挥中心建设1块COB倒装小间距LED显示大屏，尺寸为9000mm*2030mm,配置1套分布式控制系统，实现指挥中心、值班室、决策室间大屏显示的互通。在显示大屏前方设置电动幕布，通过控制幕布开关（幕布拉开时展示大屏幕，用于综合指挥，幕布拉上时展示党徽、党旗，用于召开大型会议），实现综合指挥与大型会议间的功能切换。在指挥中心后东面右侧与值班室相连的墙上进行开窗，尺寸为4500mm*2000mm,配置单面可视钢化玻璃，用于值班室控台的操作可视化；对原有会议发言系统进行改造，优化所有线路布线，配置2套</w:t>
      </w:r>
      <w:r>
        <w:rPr>
          <w:rFonts w:hint="eastAsia" w:ascii="仿宋" w:hAnsi="仿宋" w:cs="仿宋"/>
        </w:rPr>
        <w:t>共8台</w:t>
      </w:r>
      <w:r>
        <w:rPr>
          <w:rFonts w:ascii="仿宋" w:hAnsi="仿宋" w:cs="仿宋"/>
        </w:rPr>
        <w:t>信号稳定的无线话筒设备。</w:t>
      </w:r>
    </w:p>
    <w:p>
      <w:pPr>
        <w:ind w:firstLine="480"/>
        <w:rPr>
          <w:rFonts w:ascii="仿宋" w:hAnsi="仿宋" w:cs="仿宋"/>
        </w:rPr>
      </w:pPr>
      <w:r>
        <w:rPr>
          <w:rFonts w:hint="eastAsia" w:ascii="仿宋" w:hAnsi="仿宋" w:cs="仿宋"/>
          <w:lang w:eastAsia="zh-CN"/>
        </w:rPr>
        <w:t>（</w:t>
      </w:r>
      <w:r>
        <w:rPr>
          <w:rFonts w:hint="eastAsia" w:ascii="仿宋" w:hAnsi="仿宋" w:cs="仿宋"/>
          <w:lang w:val="en-US" w:eastAsia="zh-CN"/>
        </w:rPr>
        <w:t>2</w:t>
      </w:r>
      <w:r>
        <w:rPr>
          <w:rFonts w:hint="eastAsia" w:ascii="仿宋" w:hAnsi="仿宋" w:cs="仿宋"/>
          <w:lang w:eastAsia="zh-CN"/>
        </w:rPr>
        <w:t>）</w:t>
      </w:r>
      <w:r>
        <w:rPr>
          <w:rFonts w:ascii="仿宋" w:hAnsi="仿宋" w:cs="仿宋"/>
        </w:rPr>
        <w:t>在值班室配置1块98寸液晶显示屏，配置2个分布式控制单元：1个控制单元用于指挥中心的会议操作控制，将指挥中心原有的视频、音频控制设备移位到此操控台上进行统一的控制，同时配置1台监听音响，用于指挥中心的拾音；1个控制单元用于值班室屏幕的显示控制；同时配置2套2000mm*800mm*750mm操作台及11600mm*600mm*750mm操作台。</w:t>
      </w:r>
    </w:p>
    <w:p>
      <w:pPr>
        <w:ind w:firstLine="480"/>
        <w:rPr>
          <w:rFonts w:ascii="仿宋" w:hAnsi="仿宋" w:cs="仿宋"/>
        </w:rPr>
      </w:pPr>
      <w:r>
        <w:rPr>
          <w:rFonts w:hint="eastAsia" w:ascii="仿宋" w:hAnsi="仿宋" w:cs="仿宋"/>
          <w:lang w:eastAsia="zh-CN"/>
        </w:rPr>
        <w:t>（</w:t>
      </w:r>
      <w:r>
        <w:rPr>
          <w:rFonts w:hint="eastAsia" w:ascii="仿宋" w:hAnsi="仿宋" w:cs="仿宋"/>
          <w:lang w:val="en-US" w:eastAsia="zh-CN"/>
        </w:rPr>
        <w:t>3</w:t>
      </w:r>
      <w:r>
        <w:rPr>
          <w:rFonts w:hint="eastAsia" w:ascii="仿宋" w:hAnsi="仿宋" w:cs="仿宋"/>
          <w:lang w:eastAsia="zh-CN"/>
        </w:rPr>
        <w:t>）</w:t>
      </w:r>
      <w:r>
        <w:rPr>
          <w:rFonts w:ascii="仿宋" w:hAnsi="仿宋" w:cs="仿宋"/>
        </w:rPr>
        <w:t>在决策室配置</w:t>
      </w:r>
      <w:r>
        <w:rPr>
          <w:rFonts w:hint="eastAsia" w:ascii="仿宋" w:hAnsi="仿宋" w:cs="仿宋"/>
        </w:rPr>
        <w:t>1</w:t>
      </w:r>
      <w:r>
        <w:rPr>
          <w:rFonts w:ascii="仿宋" w:hAnsi="仿宋" w:cs="仿宋"/>
        </w:rPr>
        <w:t>台98寸会议触控一体机，配置1个分布式控制单元，可同步指挥中心LED大屏画面及日常会议的显示控制。配置一套无纸化会议系统（发言麦克风可电动升降一体化设计），用于日常会议。</w:t>
      </w:r>
    </w:p>
    <w:p>
      <w:pPr>
        <w:ind w:firstLine="480"/>
      </w:pPr>
      <w:r>
        <w:rPr>
          <w:rFonts w:hint="eastAsia"/>
          <w:lang w:eastAsia="zh-CN"/>
        </w:rPr>
        <w:t>（</w:t>
      </w:r>
      <w:r>
        <w:rPr>
          <w:rFonts w:hint="eastAsia"/>
          <w:lang w:val="en-US" w:eastAsia="zh-CN"/>
        </w:rPr>
        <w:t>4</w:t>
      </w:r>
      <w:r>
        <w:rPr>
          <w:rFonts w:hint="eastAsia"/>
          <w:lang w:eastAsia="zh-CN"/>
        </w:rPr>
        <w:t>）</w:t>
      </w:r>
      <w:r>
        <w:rPr>
          <w:rFonts w:hint="eastAsia"/>
        </w:rPr>
        <w:t>相关系统接入</w:t>
      </w:r>
    </w:p>
    <w:p>
      <w:pPr>
        <w:ind w:firstLine="480"/>
      </w:pPr>
      <w:r>
        <w:rPr>
          <w:rFonts w:hint="eastAsia"/>
        </w:rPr>
        <w:t>在</w:t>
      </w:r>
      <w:r>
        <w:t>指挥中心、值班室、决策室</w:t>
      </w:r>
      <w:r>
        <w:rPr>
          <w:rFonts w:hint="eastAsia"/>
        </w:rPr>
        <w:t>的显示</w:t>
      </w:r>
      <w:r>
        <w:t>系统</w:t>
      </w:r>
      <w:r>
        <w:rPr>
          <w:rFonts w:hint="eastAsia"/>
        </w:rPr>
        <w:t>上</w:t>
      </w:r>
      <w:r>
        <w:t>接入</w:t>
      </w:r>
      <w:r>
        <w:rPr>
          <w:rFonts w:hint="eastAsia"/>
        </w:rPr>
        <w:t>以下内容：</w:t>
      </w:r>
      <w:r>
        <w:t>上级单位及街道所属各村视联网视频会议系统的对接、网格化综合治理平台的接入、公安天网社会治安视频监控的接入、社会资源视频的接入等</w:t>
      </w:r>
      <w:r>
        <w:rPr>
          <w:rFonts w:hint="eastAsia"/>
        </w:rPr>
        <w:t>，包括原设备迁移接入和软件系统对接等所需全部工作</w:t>
      </w:r>
      <w:r>
        <w:t>。</w:t>
      </w:r>
    </w:p>
    <w:p>
      <w:pPr>
        <w:ind w:firstLine="480"/>
        <w:rPr>
          <w:rFonts w:hint="eastAsia"/>
          <w:lang w:val="en-US" w:eastAsia="zh-CN"/>
        </w:rPr>
      </w:pPr>
      <w:r>
        <w:rPr>
          <w:rFonts w:hint="eastAsia"/>
          <w:lang w:eastAsia="zh-CN"/>
        </w:rPr>
        <w:t>（</w:t>
      </w:r>
      <w:r>
        <w:rPr>
          <w:rFonts w:hint="eastAsia"/>
          <w:lang w:val="en-US" w:eastAsia="zh-CN"/>
        </w:rPr>
        <w:t>5</w:t>
      </w:r>
      <w:r>
        <w:rPr>
          <w:rFonts w:hint="eastAsia"/>
          <w:lang w:eastAsia="zh-CN"/>
        </w:rPr>
        <w:t>）</w:t>
      </w:r>
      <w:r>
        <w:rPr>
          <w:rFonts w:hint="eastAsia"/>
          <w:lang w:val="en-US" w:eastAsia="zh-CN"/>
        </w:rPr>
        <w:t>现场布置图</w:t>
      </w:r>
    </w:p>
    <w:p>
      <w:pPr>
        <w:ind w:firstLine="480"/>
        <w:rPr>
          <w:rFonts w:hint="default"/>
          <w:lang w:val="en-US" w:eastAsia="zh-CN"/>
        </w:rPr>
      </w:pPr>
      <w:r>
        <w:rPr>
          <w:rFonts w:hint="eastAsia"/>
          <w:lang w:val="en-US" w:eastAsia="zh-CN"/>
        </w:rPr>
        <w:t>按乙方设计图纸。</w:t>
      </w:r>
    </w:p>
    <w:p>
      <w:pPr>
        <w:bidi w:val="0"/>
      </w:pPr>
      <w:r>
        <w:rPr>
          <w:rFonts w:hint="eastAsia"/>
        </w:rPr>
        <w:t>2.1.2分布式综合处理系统</w:t>
      </w:r>
    </w:p>
    <w:p>
      <w:pPr>
        <w:ind w:firstLine="480"/>
        <w:rPr>
          <w:rFonts w:ascii="仿宋" w:hAnsi="仿宋" w:cs="仿宋"/>
        </w:rPr>
      </w:pPr>
      <w:r>
        <w:rPr>
          <w:rFonts w:hint="eastAsia" w:ascii="仿宋" w:hAnsi="仿宋" w:cs="仿宋"/>
        </w:rPr>
        <w:t>2.1.2.1系统概述</w:t>
      </w:r>
    </w:p>
    <w:p>
      <w:pPr>
        <w:ind w:firstLine="480"/>
        <w:rPr>
          <w:rFonts w:ascii="仿宋" w:hAnsi="仿宋" w:cs="仿宋"/>
        </w:rPr>
      </w:pPr>
      <w:r>
        <w:rPr>
          <w:rFonts w:hint="eastAsia" w:ascii="仿宋" w:hAnsi="仿宋" w:cs="仿宋"/>
        </w:rPr>
        <w:t>分布式综合处理系统能够很好地与用户监控系统、指挥调度系统、网络信息系统、信息发布系统、视频会议系统、报警系统、中控系统等连结集成，并且可对不同类型的信号实现兼容采集，形成一套功能完善、技术先进、操作方便的交互式图形信息处理及管理平台。通过分布式综合处理系统各信息在大屏幕上可根据需要以单屏、组屏、全屏甚至以任意大小、任意位置和任意组合的方式进行显示，完全突破拼接视频墙物理拼缝的限制。</w:t>
      </w:r>
    </w:p>
    <w:p>
      <w:pPr>
        <w:ind w:firstLine="480"/>
        <w:rPr>
          <w:rFonts w:ascii="仿宋" w:hAnsi="仿宋" w:cs="仿宋"/>
        </w:rPr>
      </w:pPr>
      <w:r>
        <w:rPr>
          <w:rFonts w:hint="eastAsia" w:ascii="仿宋" w:hAnsi="仿宋" w:cs="仿宋"/>
        </w:rPr>
        <w:t>分布式综合处理系统可以对显示的各个信息进行智能化管理，通过自动或手动的方式实现任意切换，达到实时全面地观看和掌握各方面信息的目的，大大提高了指挥调度和决策的效率和准确性，各系统信息显示的直观性和可操作性。</w:t>
      </w:r>
    </w:p>
    <w:p>
      <w:pPr>
        <w:ind w:firstLine="480"/>
        <w:rPr>
          <w:rFonts w:ascii="仿宋" w:hAnsi="仿宋" w:cs="仿宋"/>
        </w:rPr>
      </w:pPr>
      <w:r>
        <w:rPr>
          <w:rFonts w:hint="eastAsia" w:ascii="仿宋" w:hAnsi="仿宋" w:cs="仿宋"/>
        </w:rPr>
        <w:t>2.1.2.2系统架构</w:t>
      </w:r>
    </w:p>
    <w:p>
      <w:pPr>
        <w:ind w:firstLine="480"/>
        <w:rPr>
          <w:rFonts w:ascii="仿宋" w:hAnsi="仿宋" w:cs="仿宋"/>
        </w:rPr>
      </w:pPr>
      <w:r>
        <w:rPr>
          <w:rFonts w:hint="eastAsia" w:ascii="仿宋" w:hAnsi="仿宋" w:cs="仿宋"/>
        </w:rPr>
        <w:t>（1）采用分布式综合处理系统计算机领域复杂的高带宽网络技术应用于视频数据交换，通过网络交换技术，可灵活的将大量的、多样化的视频源连接至同样大量的、多样化的输出设备上，实现视频的缩放、跨屏、漫游等功能。</w:t>
      </w:r>
    </w:p>
    <w:p>
      <w:pPr>
        <w:ind w:firstLine="480"/>
        <w:rPr>
          <w:rFonts w:ascii="仿宋" w:hAnsi="仿宋" w:cs="仿宋"/>
        </w:rPr>
      </w:pPr>
      <w:r>
        <w:rPr>
          <w:rFonts w:hint="eastAsia" w:ascii="仿宋" w:hAnsi="仿宋" w:cs="仿宋"/>
        </w:rPr>
        <w:t>（2）分布式综合处理系统把集中控制、信号切换、大屏拼接、传输、KVM等功能糅合在一起。</w:t>
      </w:r>
    </w:p>
    <w:p>
      <w:pPr>
        <w:ind w:firstLine="480"/>
        <w:rPr>
          <w:rFonts w:ascii="仿宋" w:hAnsi="仿宋" w:cs="仿宋"/>
        </w:rPr>
      </w:pPr>
      <w:r>
        <w:rPr>
          <w:rFonts w:hint="eastAsia" w:ascii="仿宋" w:hAnsi="仿宋" w:cs="仿宋"/>
        </w:rPr>
        <w:t>（3）互联互通，多会议室，多区域互联互通信号，统一管理。以交换机为中心，配置简单，仅需按输入节点、输出节点配置即可。</w:t>
      </w:r>
    </w:p>
    <w:p>
      <w:pPr>
        <w:ind w:firstLine="480"/>
        <w:rPr>
          <w:rFonts w:ascii="仿宋" w:hAnsi="仿宋" w:cs="仿宋"/>
        </w:rPr>
      </w:pPr>
      <w:r>
        <w:rPr>
          <w:rFonts w:hint="eastAsia" w:ascii="仿宋" w:hAnsi="仿宋" w:cs="仿宋"/>
        </w:rPr>
        <w:t>（4）音频、视频信号，通过分布式的音频、视频独立传输功能，可轻松实现音视频的信息资源的共享。</w:t>
      </w:r>
    </w:p>
    <w:p>
      <w:pPr>
        <w:ind w:firstLine="480"/>
        <w:rPr>
          <w:rFonts w:ascii="仿宋" w:hAnsi="仿宋" w:cs="仿宋"/>
        </w:rPr>
      </w:pPr>
      <w:r>
        <w:rPr>
          <w:rFonts w:hint="eastAsia" w:ascii="仿宋" w:hAnsi="仿宋" w:cs="仿宋"/>
        </w:rPr>
        <w:t>（5）系统可以任意扩展，基于交换机级联，添加或者删减输入/出节点对整个系统不影响，极大保障系统的稳定性。</w:t>
      </w:r>
    </w:p>
    <w:p>
      <w:pPr>
        <w:ind w:firstLine="480"/>
        <w:rPr>
          <w:rFonts w:ascii="仿宋" w:hAnsi="仿宋" w:cs="仿宋"/>
        </w:rPr>
      </w:pPr>
      <w:r>
        <w:rPr>
          <w:rFonts w:hint="eastAsia" w:ascii="仿宋" w:hAnsi="仿宋" w:cs="仿宋"/>
        </w:rPr>
        <w:t>（6）系统具备严格的权限控制能力：在可编程人机界面上，管理员可独立创建和删除用户，并对其控制行为进行严格区隔，对用户进行授权管理。</w:t>
      </w:r>
    </w:p>
    <w:p>
      <w:pPr>
        <w:ind w:firstLine="480"/>
        <w:rPr>
          <w:rFonts w:ascii="仿宋" w:hAnsi="仿宋" w:cs="仿宋"/>
        </w:rPr>
      </w:pPr>
      <w:r>
        <w:rPr>
          <w:rFonts w:hint="eastAsia" w:ascii="仿宋" w:hAnsi="仿宋" w:cs="仿宋"/>
        </w:rPr>
        <w:t>（7）系统可配备多个计算单元，并组成控制云。任意一个单元发生意外情况，其他计算单元能无缝接管控制权限，包括人机界面状态、历史动作等均可无缝衔接，用户完全无法感觉计算单元发生了改变。</w:t>
      </w:r>
    </w:p>
    <w:p>
      <w:pPr>
        <w:ind w:firstLine="480"/>
        <w:rPr>
          <w:rFonts w:ascii="仿宋" w:hAnsi="仿宋" w:cs="仿宋"/>
        </w:rPr>
      </w:pPr>
      <w:r>
        <w:rPr>
          <w:rFonts w:hint="eastAsia" w:ascii="仿宋" w:hAnsi="仿宋" w:cs="仿宋"/>
        </w:rPr>
        <w:t>（8）每个单元均有发现协议和对时协议，确保单个视频流在多个单元分割输出显示时帧同步。</w:t>
      </w:r>
    </w:p>
    <w:p>
      <w:pPr>
        <w:bidi w:val="0"/>
      </w:pPr>
      <w:r>
        <w:rPr>
          <w:rFonts w:hint="eastAsia"/>
        </w:rPr>
        <w:t>2.1.3项目运维服务</w:t>
      </w:r>
    </w:p>
    <w:p>
      <w:pPr>
        <w:ind w:firstLine="480"/>
      </w:pPr>
      <w:r>
        <w:rPr>
          <w:rFonts w:hint="eastAsia"/>
        </w:rPr>
        <w:t>2.1.3.1运行维护周期</w:t>
      </w:r>
    </w:p>
    <w:p>
      <w:pPr>
        <w:ind w:firstLine="480"/>
      </w:pPr>
      <w:r>
        <w:rPr>
          <w:rFonts w:hint="eastAsia"/>
        </w:rPr>
        <w:t>服务期：成交单位为本项目整体(日常维护、投诉和问题咨询、现场异常事件处理等）提供3年运维服务，费用含入本合同。时间从系统竣工验收通过之日计。</w:t>
      </w:r>
    </w:p>
    <w:p>
      <w:pPr>
        <w:ind w:firstLine="480"/>
      </w:pPr>
      <w:r>
        <w:rPr>
          <w:rFonts w:hint="eastAsia"/>
        </w:rPr>
        <w:t>2.1.3.2要求</w:t>
      </w:r>
    </w:p>
    <w:p>
      <w:pPr>
        <w:ind w:firstLine="480"/>
      </w:pPr>
      <w:r>
        <w:rPr>
          <w:rFonts w:hint="eastAsia"/>
        </w:rPr>
        <w:t>派专业技术人员在项目3年运维服务期间，每周致少派1人提供1天现场系统运维服务，同时，重要会议时派人提供现场服务，确保系统安全稳定运行。</w:t>
      </w:r>
    </w:p>
    <w:p>
      <w:pPr>
        <w:ind w:firstLine="480"/>
      </w:pPr>
      <w:r>
        <w:rPr>
          <w:rFonts w:hint="eastAsia"/>
        </w:rPr>
        <w:t>2.1.3.3运维服务内容</w:t>
      </w:r>
    </w:p>
    <w:p>
      <w:pPr>
        <w:ind w:firstLine="480"/>
      </w:pPr>
      <w:r>
        <w:rPr>
          <w:rFonts w:hint="eastAsia"/>
        </w:rPr>
        <w:t>（1）接入服务</w:t>
      </w:r>
    </w:p>
    <w:p>
      <w:pPr>
        <w:ind w:firstLine="480"/>
      </w:pPr>
      <w:r>
        <w:rPr>
          <w:rFonts w:ascii="仿宋" w:hAnsi="仿宋" w:cs="仿宋"/>
        </w:rPr>
        <w:t>指挥中心、值班室、决策室设备的系统接入及上屏展示，包括但不限于与上级单位及街道所属各村视联网视频会议系统的对接、网格化综合治理平台的接入、公安天网社会治安视频监控的接入、社会资源视频的接入等。</w:t>
      </w:r>
    </w:p>
    <w:p>
      <w:pPr>
        <w:ind w:firstLine="480"/>
      </w:pPr>
      <w:r>
        <w:rPr>
          <w:rFonts w:hint="eastAsia"/>
        </w:rPr>
        <w:t>（2）事件管理</w:t>
      </w:r>
    </w:p>
    <w:p>
      <w:pPr>
        <w:ind w:firstLine="480"/>
      </w:pPr>
      <w:r>
        <w:rPr>
          <w:rFonts w:hint="eastAsia"/>
        </w:rPr>
        <w:t>事件是指发生的对某一环节运行造成影响的事件，包括设备故障、系统崩溃、软件故障等任何影响业务操作和系统正常运作的故障、以及影响业务流程的情况，做到对历史事件的可查阅。</w:t>
      </w:r>
    </w:p>
    <w:p>
      <w:pPr>
        <w:ind w:firstLine="480"/>
      </w:pPr>
      <w:r>
        <w:rPr>
          <w:rFonts w:hint="eastAsia"/>
        </w:rPr>
        <w:t>（3）监测与预警</w:t>
      </w:r>
    </w:p>
    <w:p>
      <w:pPr>
        <w:ind w:firstLine="480"/>
      </w:pPr>
      <w:r>
        <w:rPr>
          <w:rFonts w:hint="eastAsia"/>
        </w:rPr>
        <w:t>对运行维护服务对象的运行情况进行监测与预警，以跟踪和判别对象的容量、可用性和连续性。建立监测、预警的记录和报告制度，并按照约定的形式和时间间隔上报现场负责人。</w:t>
      </w:r>
    </w:p>
    <w:p>
      <w:pPr>
        <w:ind w:firstLine="480"/>
      </w:pPr>
      <w:r>
        <w:rPr>
          <w:rFonts w:hint="eastAsia"/>
        </w:rPr>
        <w:t>（4）故障处置</w:t>
      </w:r>
    </w:p>
    <w:p>
      <w:pPr>
        <w:ind w:firstLine="480"/>
      </w:pPr>
      <w:r>
        <w:rPr>
          <w:rFonts w:hint="eastAsia"/>
        </w:rPr>
        <w:t>紧急抢修：乙方应当承担合同期内系统发生任何故障的抢修任务。</w:t>
      </w:r>
    </w:p>
    <w:p>
      <w:pPr>
        <w:ind w:firstLine="480"/>
      </w:pPr>
      <w:r>
        <w:rPr>
          <w:rFonts w:hint="eastAsia"/>
        </w:rPr>
        <w:t>备用方案：如特殊原因造成系统无法正常使用(如光纤切断），乙方应协调甲方一起提供备用方案和措施确保系统运行正常。</w:t>
      </w:r>
    </w:p>
    <w:p>
      <w:pPr>
        <w:ind w:firstLine="480"/>
      </w:pPr>
      <w:r>
        <w:rPr>
          <w:rFonts w:hint="eastAsia"/>
        </w:rPr>
        <w:t>现场技术支持：对于通过电话支持服务和远程技术支持服务都不能解决的设备故障，乙方须迅速提供现场支持服务，安排经验丰富的维护工程师赴现场分析故障原因，制定故障解决方案，并最终排除故障。</w:t>
      </w:r>
    </w:p>
    <w:p>
      <w:pPr>
        <w:ind w:firstLine="480"/>
      </w:pPr>
      <w:r>
        <w:rPr>
          <w:rFonts w:hint="eastAsia"/>
        </w:rPr>
        <w:t>主动故障处理：针对日常维护性远程巡检结果和记录，主动制定设备排障计划、设备清洗计划和维护整改计划，确保设备高质量的运行。</w:t>
      </w:r>
    </w:p>
    <w:p>
      <w:pPr>
        <w:ind w:firstLine="480"/>
      </w:pPr>
      <w:r>
        <w:rPr>
          <w:rFonts w:hint="eastAsia"/>
        </w:rPr>
        <w:t>故障处理反馈：指针对影响客户业务正常使用的故障，从使用单位提出故障申告时起，按照相应的要求向用户反馈故障处理过程。</w:t>
      </w:r>
    </w:p>
    <w:p>
      <w:pPr>
        <w:ind w:firstLine="480"/>
      </w:pPr>
      <w:r>
        <w:rPr>
          <w:rFonts w:hint="eastAsia"/>
        </w:rPr>
        <w:t>（5）安全管理</w:t>
      </w:r>
    </w:p>
    <w:p>
      <w:pPr>
        <w:ind w:firstLine="480"/>
      </w:pPr>
      <w:r>
        <w:rPr>
          <w:rFonts w:hint="eastAsia"/>
        </w:rPr>
        <w:t>现场运维人员必须佩戴维保单位的标识，在现场运维时，需要做好安全警示标示。作业中应落实现场安全防护措施，保证作业安全、人身安全，运维作业中，现场作业人员不得少于2人。</w:t>
      </w:r>
    </w:p>
    <w:p>
      <w:pPr>
        <w:ind w:firstLine="480"/>
      </w:pPr>
      <w:r>
        <w:rPr>
          <w:rFonts w:hint="eastAsia"/>
        </w:rPr>
        <w:t>运维人员应遵守安全保密工作规定，在运维系统核心部位时，应有甲方人员在场情况下进行。</w:t>
      </w:r>
    </w:p>
    <w:p>
      <w:pPr>
        <w:ind w:firstLine="480"/>
      </w:pPr>
      <w:r>
        <w:rPr>
          <w:rFonts w:hint="eastAsia"/>
        </w:rPr>
        <w:t>在运维工作过程中应现场运维人员不遵守安全管理规定造成的损失由乙方负责。</w:t>
      </w:r>
    </w:p>
    <w:p>
      <w:pPr>
        <w:bidi w:val="0"/>
        <w:rPr>
          <w:lang w:val="en-US"/>
        </w:rPr>
      </w:pPr>
      <w:r>
        <w:rPr>
          <w:rFonts w:hint="eastAsia"/>
          <w:lang w:val="en-US"/>
        </w:rPr>
        <w:t>2.2项目要求</w:t>
      </w:r>
    </w:p>
    <w:p>
      <w:pPr>
        <w:bidi w:val="0"/>
        <w:rPr>
          <w:lang w:val="en-US"/>
        </w:rPr>
      </w:pPr>
      <w:r>
        <w:rPr>
          <w:rFonts w:hint="eastAsia"/>
          <w:lang w:val="en-US"/>
        </w:rPr>
        <w:t>2.2.1主要技术要求</w:t>
      </w:r>
    </w:p>
    <w:p>
      <w:pPr>
        <w:bidi w:val="0"/>
      </w:pPr>
      <w:r>
        <w:rPr>
          <w:rFonts w:hint="eastAsia"/>
        </w:rPr>
        <w:t>按成交文件、招标文件。</w:t>
      </w:r>
    </w:p>
    <w:p>
      <w:pPr>
        <w:bidi w:val="0"/>
      </w:pPr>
      <w:r>
        <w:rPr>
          <w:rFonts w:hint="eastAsia"/>
          <w:lang w:val="en-US"/>
        </w:rPr>
        <w:t>2.2.2</w:t>
      </w:r>
      <w:r>
        <w:rPr>
          <w:rFonts w:hint="eastAsia"/>
        </w:rPr>
        <w:t>运维考核</w:t>
      </w:r>
    </w:p>
    <w:p>
      <w:pPr>
        <w:ind w:firstLine="480"/>
      </w:pPr>
      <w:r>
        <w:rPr>
          <w:rFonts w:hint="eastAsia"/>
        </w:rPr>
        <w:t>运维服务考核一年一次，考核详见下表：</w:t>
      </w:r>
    </w:p>
    <w:p>
      <w:pPr>
        <w:spacing w:line="240" w:lineRule="auto"/>
        <w:ind w:firstLine="0" w:firstLineChars="0"/>
        <w:jc w:val="center"/>
        <w:rPr>
          <w:rFonts w:ascii="宋体" w:hAnsi="宋体" w:cs="宋体"/>
          <w:bCs/>
          <w:kern w:val="0"/>
          <w:szCs w:val="21"/>
        </w:rPr>
      </w:pPr>
      <w:r>
        <w:rPr>
          <w:rFonts w:hint="eastAsia" w:ascii="宋体" w:hAnsi="宋体" w:cs="宋体"/>
          <w:bCs/>
          <w:kern w:val="0"/>
          <w:szCs w:val="21"/>
        </w:rPr>
        <w:t>运维服务考核表</w:t>
      </w:r>
    </w:p>
    <w:tbl>
      <w:tblPr>
        <w:tblStyle w:val="66"/>
        <w:tblW w:w="4947" w:type="pct"/>
        <w:jc w:val="center"/>
        <w:tblLayout w:type="autofit"/>
        <w:tblCellMar>
          <w:top w:w="0" w:type="dxa"/>
          <w:left w:w="0" w:type="dxa"/>
          <w:bottom w:w="0" w:type="dxa"/>
          <w:right w:w="0" w:type="dxa"/>
        </w:tblCellMar>
      </w:tblPr>
      <w:tblGrid>
        <w:gridCol w:w="747"/>
        <w:gridCol w:w="1524"/>
        <w:gridCol w:w="5868"/>
        <w:gridCol w:w="865"/>
      </w:tblGrid>
      <w:tr>
        <w:tblPrEx>
          <w:tblCellMar>
            <w:top w:w="0" w:type="dxa"/>
            <w:left w:w="0" w:type="dxa"/>
            <w:bottom w:w="0" w:type="dxa"/>
            <w:right w:w="0" w:type="dxa"/>
          </w:tblCellMar>
        </w:tblPrEx>
        <w:trPr>
          <w:trHeight w:val="345" w:hRule="atLeast"/>
          <w:jc w:val="center"/>
        </w:trPr>
        <w:tc>
          <w:tcPr>
            <w:tcW w:w="415"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序号</w:t>
            </w:r>
          </w:p>
        </w:tc>
        <w:tc>
          <w:tcPr>
            <w:tcW w:w="8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服务项目</w:t>
            </w:r>
          </w:p>
        </w:tc>
        <w:tc>
          <w:tcPr>
            <w:tcW w:w="32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考核标准</w:t>
            </w: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权重</w:t>
            </w:r>
          </w:p>
        </w:tc>
      </w:tr>
      <w:tr>
        <w:tblPrEx>
          <w:tblCellMar>
            <w:top w:w="0" w:type="dxa"/>
            <w:left w:w="0" w:type="dxa"/>
            <w:bottom w:w="0" w:type="dxa"/>
            <w:right w:w="0" w:type="dxa"/>
          </w:tblCellMar>
        </w:tblPrEx>
        <w:trPr>
          <w:trHeight w:val="981" w:hRule="atLeast"/>
          <w:jc w:val="center"/>
        </w:trPr>
        <w:tc>
          <w:tcPr>
            <w:tcW w:w="41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1</w:t>
            </w:r>
          </w:p>
        </w:tc>
        <w:tc>
          <w:tcPr>
            <w:tcW w:w="846"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接入服务</w:t>
            </w:r>
          </w:p>
        </w:tc>
        <w:tc>
          <w:tcPr>
            <w:tcW w:w="3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pPr>
            <w:r>
              <w:rPr>
                <w:rFonts w:hint="eastAsia"/>
              </w:rPr>
              <w:t>乙方应按甲方要求将需要接入的系统或平台接入到本系统</w:t>
            </w:r>
            <w:r>
              <w:t>。</w:t>
            </w:r>
            <w:r>
              <w:rPr>
                <w:rFonts w:hint="eastAsia"/>
              </w:rPr>
              <w:t>根据乙方提供的服务酌情打分。</w:t>
            </w:r>
          </w:p>
        </w:tc>
        <w:tc>
          <w:tcPr>
            <w:tcW w:w="48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10分</w:t>
            </w:r>
          </w:p>
        </w:tc>
      </w:tr>
      <w:tr>
        <w:tblPrEx>
          <w:tblCellMar>
            <w:top w:w="0" w:type="dxa"/>
            <w:left w:w="0" w:type="dxa"/>
            <w:bottom w:w="0" w:type="dxa"/>
            <w:right w:w="0" w:type="dxa"/>
          </w:tblCellMar>
        </w:tblPrEx>
        <w:trPr>
          <w:trHeight w:val="981" w:hRule="atLeast"/>
          <w:jc w:val="center"/>
        </w:trPr>
        <w:tc>
          <w:tcPr>
            <w:tcW w:w="41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2</w:t>
            </w:r>
          </w:p>
        </w:tc>
        <w:tc>
          <w:tcPr>
            <w:tcW w:w="846"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rPr>
              <w:t>事件管理</w:t>
            </w:r>
          </w:p>
        </w:tc>
        <w:tc>
          <w:tcPr>
            <w:tcW w:w="3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pPr>
            <w:r>
              <w:rPr>
                <w:rFonts w:hint="eastAsia"/>
              </w:rPr>
              <w:t>每发生一次不可查阅的历史事件，扣1分，扣完为止。</w:t>
            </w:r>
          </w:p>
        </w:tc>
        <w:tc>
          <w:tcPr>
            <w:tcW w:w="48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10分</w:t>
            </w:r>
          </w:p>
        </w:tc>
      </w:tr>
      <w:tr>
        <w:tblPrEx>
          <w:tblCellMar>
            <w:top w:w="0" w:type="dxa"/>
            <w:left w:w="0" w:type="dxa"/>
            <w:bottom w:w="0" w:type="dxa"/>
            <w:right w:w="0" w:type="dxa"/>
          </w:tblCellMar>
        </w:tblPrEx>
        <w:trPr>
          <w:trHeight w:val="981" w:hRule="atLeast"/>
          <w:jc w:val="center"/>
        </w:trPr>
        <w:tc>
          <w:tcPr>
            <w:tcW w:w="41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3</w:t>
            </w:r>
          </w:p>
        </w:tc>
        <w:tc>
          <w:tcPr>
            <w:tcW w:w="846"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0" w:firstLineChars="0"/>
              <w:jc w:val="center"/>
            </w:pPr>
            <w:r>
              <w:rPr>
                <w:rFonts w:hint="eastAsia"/>
              </w:rPr>
              <w:t>监测与预警</w:t>
            </w:r>
          </w:p>
        </w:tc>
        <w:tc>
          <w:tcPr>
            <w:tcW w:w="3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pPr>
            <w:r>
              <w:rPr>
                <w:rFonts w:hint="eastAsia"/>
              </w:rPr>
              <w:t>未按照约定的形式和时间间隔上报现场负责人的，每发生1次扣1分，扣完为止。</w:t>
            </w:r>
          </w:p>
        </w:tc>
        <w:tc>
          <w:tcPr>
            <w:tcW w:w="48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10分</w:t>
            </w:r>
          </w:p>
        </w:tc>
      </w:tr>
      <w:tr>
        <w:tblPrEx>
          <w:tblCellMar>
            <w:top w:w="0" w:type="dxa"/>
            <w:left w:w="0" w:type="dxa"/>
            <w:bottom w:w="0" w:type="dxa"/>
            <w:right w:w="0" w:type="dxa"/>
          </w:tblCellMar>
        </w:tblPrEx>
        <w:trPr>
          <w:trHeight w:val="981" w:hRule="atLeast"/>
          <w:jc w:val="center"/>
        </w:trPr>
        <w:tc>
          <w:tcPr>
            <w:tcW w:w="415"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4</w:t>
            </w:r>
          </w:p>
        </w:tc>
        <w:tc>
          <w:tcPr>
            <w:tcW w:w="846" w:type="pct"/>
            <w:vMerge w:val="restart"/>
            <w:tcBorders>
              <w:top w:val="single" w:color="000000" w:sz="4" w:space="0"/>
              <w:left w:val="single" w:color="auto" w:sz="4" w:space="0"/>
              <w:right w:val="single" w:color="000000" w:sz="4" w:space="0"/>
            </w:tcBorders>
            <w:tcMar>
              <w:top w:w="15" w:type="dxa"/>
              <w:left w:w="15" w:type="dxa"/>
              <w:right w:w="15" w:type="dxa"/>
            </w:tcMar>
            <w:vAlign w:val="center"/>
          </w:tcPr>
          <w:p>
            <w:pPr>
              <w:widowControl/>
              <w:spacing w:line="400" w:lineRule="exact"/>
              <w:ind w:firstLine="0" w:firstLineChars="0"/>
              <w:jc w:val="center"/>
            </w:pPr>
            <w:r>
              <w:rPr>
                <w:rFonts w:hint="eastAsia"/>
              </w:rPr>
              <w:t>故障处置</w:t>
            </w:r>
          </w:p>
        </w:tc>
        <w:tc>
          <w:tcPr>
            <w:tcW w:w="3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pPr>
            <w:r>
              <w:rPr>
                <w:rFonts w:hint="eastAsia"/>
              </w:rPr>
              <w:t>未提供7×24小时电话、网络技术服务的，每发生1次扣1分，扣完为止。</w:t>
            </w:r>
          </w:p>
          <w:p>
            <w:pPr>
              <w:ind w:firstLine="480"/>
            </w:pPr>
            <w:r>
              <w:rPr>
                <w:rFonts w:hint="eastAsia" w:ascii="宋体" w:hAnsi="宋体" w:cs="宋体"/>
                <w:kern w:val="0"/>
                <w:szCs w:val="21"/>
              </w:rPr>
              <w:t>电话不（拒）接或者网络不通视同未提供。</w:t>
            </w:r>
          </w:p>
        </w:tc>
        <w:tc>
          <w:tcPr>
            <w:tcW w:w="48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10分</w:t>
            </w:r>
          </w:p>
        </w:tc>
      </w:tr>
      <w:tr>
        <w:tblPrEx>
          <w:tblCellMar>
            <w:top w:w="0" w:type="dxa"/>
            <w:left w:w="0" w:type="dxa"/>
            <w:bottom w:w="0" w:type="dxa"/>
            <w:right w:w="0" w:type="dxa"/>
          </w:tblCellMar>
        </w:tblPrEx>
        <w:trPr>
          <w:trHeight w:val="944" w:hRule="atLeast"/>
          <w:jc w:val="center"/>
        </w:trPr>
        <w:tc>
          <w:tcPr>
            <w:tcW w:w="415"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p>
        </w:tc>
        <w:tc>
          <w:tcPr>
            <w:tcW w:w="846"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widowControl/>
              <w:spacing w:line="400" w:lineRule="exact"/>
              <w:ind w:firstLine="0" w:firstLineChars="0"/>
              <w:rPr>
                <w:rFonts w:ascii="宋体" w:hAnsi="宋体" w:cs="宋体"/>
                <w:kern w:val="0"/>
                <w:szCs w:val="21"/>
              </w:rPr>
            </w:pPr>
          </w:p>
        </w:tc>
        <w:tc>
          <w:tcPr>
            <w:tcW w:w="3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pPr>
            <w:r>
              <w:rPr>
                <w:rFonts w:hint="eastAsia"/>
              </w:rPr>
              <w:t>每次故障及时解决的不扣分。故障未及时解决的，待事后解决的，每发生一次扣5分，延续到下一次使用解决的，每发生一次扣10分。</w:t>
            </w:r>
          </w:p>
        </w:tc>
        <w:tc>
          <w:tcPr>
            <w:tcW w:w="48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50分</w:t>
            </w:r>
          </w:p>
        </w:tc>
      </w:tr>
      <w:tr>
        <w:tblPrEx>
          <w:tblCellMar>
            <w:top w:w="0" w:type="dxa"/>
            <w:left w:w="0" w:type="dxa"/>
            <w:bottom w:w="0" w:type="dxa"/>
            <w:right w:w="0" w:type="dxa"/>
          </w:tblCellMar>
        </w:tblPrEx>
        <w:trPr>
          <w:trHeight w:val="540" w:hRule="atLeast"/>
          <w:jc w:val="center"/>
        </w:trPr>
        <w:tc>
          <w:tcPr>
            <w:tcW w:w="41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5</w:t>
            </w:r>
          </w:p>
        </w:tc>
        <w:tc>
          <w:tcPr>
            <w:tcW w:w="846"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rPr>
              <w:t>安全管理</w:t>
            </w:r>
          </w:p>
        </w:tc>
        <w:tc>
          <w:tcPr>
            <w:tcW w:w="32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pPr>
            <w:r>
              <w:rPr>
                <w:rFonts w:hint="eastAsia"/>
              </w:rPr>
              <w:t>未规范作业的，每发生1次扣2分，扣完为止。</w:t>
            </w:r>
          </w:p>
        </w:tc>
        <w:tc>
          <w:tcPr>
            <w:tcW w:w="48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0" w:firstLineChars="0"/>
              <w:jc w:val="center"/>
              <w:rPr>
                <w:rFonts w:ascii="宋体" w:hAnsi="宋体" w:cs="宋体"/>
                <w:kern w:val="0"/>
                <w:szCs w:val="21"/>
              </w:rPr>
            </w:pPr>
            <w:r>
              <w:rPr>
                <w:rFonts w:hint="eastAsia" w:ascii="宋体" w:hAnsi="宋体" w:cs="宋体"/>
                <w:kern w:val="0"/>
                <w:szCs w:val="21"/>
              </w:rPr>
              <w:t>10分</w:t>
            </w:r>
          </w:p>
        </w:tc>
      </w:tr>
    </w:tbl>
    <w:p>
      <w:pPr>
        <w:ind w:firstLine="480"/>
      </w:pPr>
      <w:r>
        <w:rPr>
          <w:rFonts w:hint="eastAsia"/>
        </w:rPr>
        <w:t>甲方根据乙方的服务进行打分，评定优秀、一般、差三个等次。其中，</w:t>
      </w:r>
    </w:p>
    <w:p>
      <w:pPr>
        <w:ind w:firstLine="480"/>
      </w:pPr>
      <w:r>
        <w:rPr>
          <w:rFonts w:hint="eastAsia"/>
        </w:rPr>
        <w:t>考核分≥85分为优秀；</w:t>
      </w:r>
    </w:p>
    <w:p>
      <w:pPr>
        <w:ind w:firstLine="480"/>
      </w:pPr>
      <w:r>
        <w:rPr>
          <w:rFonts w:hint="eastAsia"/>
        </w:rPr>
        <w:t>85分＞考核分≥60分为一般；</w:t>
      </w:r>
    </w:p>
    <w:p>
      <w:pPr>
        <w:ind w:firstLine="480"/>
      </w:pPr>
      <w:r>
        <w:rPr>
          <w:rFonts w:hint="eastAsia"/>
        </w:rPr>
        <w:t>考核分＜60分为差。</w:t>
      </w:r>
    </w:p>
    <w:p>
      <w:pPr>
        <w:ind w:firstLine="480"/>
      </w:pPr>
      <w:r>
        <w:rPr>
          <w:rFonts w:hint="eastAsia"/>
        </w:rPr>
        <w:t>考核结果与服务费用挂钩，考核分达到优秀的，全额支付费用；考核分达到一般的，每扣1分相当服务费1000元在服务费中扣除；考核分为差的，每扣1分相当服务费2000元在服务费中扣除。</w:t>
      </w:r>
    </w:p>
    <w:p>
      <w:pPr>
        <w:bidi w:val="0"/>
      </w:pPr>
      <w:r>
        <w:rPr>
          <w:rFonts w:hint="eastAsia"/>
        </w:rPr>
        <w:t>2.3服务期限</w:t>
      </w:r>
    </w:p>
    <w:p>
      <w:pPr>
        <w:ind w:firstLine="480"/>
      </w:pPr>
      <w:r>
        <w:rPr>
          <w:rFonts w:hint="eastAsia"/>
        </w:rPr>
        <w:t>工期：30天建设完成并递交初验报告。</w:t>
      </w:r>
    </w:p>
    <w:p>
      <w:pPr>
        <w:ind w:firstLine="480"/>
      </w:pPr>
      <w:r>
        <w:rPr>
          <w:rFonts w:hint="eastAsia"/>
        </w:rPr>
        <w:t>试运行时间：</w:t>
      </w:r>
      <w:r>
        <w:rPr>
          <w:rFonts w:hint="eastAsia" w:ascii="宋体" w:hAnsi="宋体" w:cs="宋体"/>
        </w:rPr>
        <w:t>试运行一个月无质量问题后交付使用，如在试运行期间故障率较高，适当地再延长一个月的试运行时间，直至基本无故障运行</w:t>
      </w:r>
      <w:r>
        <w:rPr>
          <w:rFonts w:hint="eastAsia"/>
        </w:rPr>
        <w:t>。</w:t>
      </w:r>
    </w:p>
    <w:p>
      <w:pPr>
        <w:keepNext w:val="0"/>
        <w:keepLines w:val="0"/>
        <w:pageBreakBefore w:val="0"/>
        <w:widowControl w:val="0"/>
        <w:kinsoku/>
        <w:wordWrap/>
        <w:overflowPunct/>
        <w:topLinePunct w:val="0"/>
        <w:autoSpaceDE/>
        <w:autoSpaceDN/>
        <w:bidi w:val="0"/>
        <w:adjustRightInd w:val="0"/>
        <w:ind w:firstLine="480" w:firstLineChars="200"/>
        <w:textAlignment w:val="auto"/>
        <w:rPr>
          <w:rFonts w:hint="eastAsia"/>
        </w:rPr>
      </w:pPr>
      <w:r>
        <w:rPr>
          <w:rFonts w:hint="eastAsia"/>
          <w:lang w:val="en-US" w:eastAsia="zh-CN"/>
        </w:rPr>
        <w:t>系统维护期限：三年，自项目验收合格之日起计。</w:t>
      </w:r>
    </w:p>
    <w:p>
      <w:pPr>
        <w:keepNext w:val="0"/>
        <w:keepLines w:val="0"/>
        <w:pageBreakBefore w:val="0"/>
        <w:widowControl w:val="0"/>
        <w:kinsoku/>
        <w:wordWrap/>
        <w:overflowPunct/>
        <w:topLinePunct w:val="0"/>
        <w:autoSpaceDE/>
        <w:autoSpaceDN/>
        <w:bidi w:val="0"/>
        <w:adjustRightInd w:val="0"/>
        <w:ind w:firstLine="480" w:firstLineChars="200"/>
        <w:textAlignment w:val="auto"/>
      </w:pPr>
      <w:r>
        <w:rPr>
          <w:rFonts w:hint="eastAsia"/>
        </w:rPr>
        <w:t>2.4质量要求</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仿宋" w:hAnsi="仿宋" w:cs="仿宋"/>
        </w:rPr>
      </w:pPr>
      <w:r>
        <w:rPr>
          <w:rFonts w:hint="eastAsia"/>
        </w:rPr>
        <w:t>无故障试运行一个月后，按国家验收标准一次性验收合格。</w:t>
      </w:r>
    </w:p>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ascii="仿宋" w:hAnsi="仿宋" w:cs="仿宋"/>
          <w:b/>
          <w:bCs/>
          <w:color w:val="000000"/>
        </w:rPr>
      </w:pPr>
      <w:r>
        <w:rPr>
          <w:rFonts w:hint="eastAsia" w:ascii="仿宋" w:hAnsi="仿宋" w:cs="仿宋"/>
          <w:b/>
          <w:bCs/>
          <w:color w:val="000000"/>
        </w:rPr>
        <w:t>3、合同价款</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仿宋" w:hAnsi="仿宋" w:cs="仿宋"/>
        </w:rPr>
      </w:pPr>
      <w:r>
        <w:rPr>
          <w:rFonts w:hint="eastAsia" w:ascii="仿宋" w:hAnsi="仿宋" w:cs="仿宋"/>
          <w:color w:val="000000"/>
        </w:rPr>
        <w:t>本项目合同价款为（人民币大写）</w:t>
      </w:r>
      <w:r>
        <w:rPr>
          <w:rFonts w:hint="eastAsia" w:ascii="仿宋" w:hAnsi="仿宋" w:cs="仿宋"/>
        </w:rPr>
        <w:t>元（￥）。具体价款如下：</w:t>
      </w:r>
    </w:p>
    <w:tbl>
      <w:tblPr>
        <w:tblStyle w:val="6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4"/>
        <w:gridCol w:w="2923"/>
        <w:gridCol w:w="2600"/>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9" w:type="pct"/>
            <w:tcBorders>
              <w:top w:val="single" w:color="auto" w:sz="4" w:space="0"/>
              <w:left w:val="single" w:color="auto" w:sz="4" w:space="0"/>
              <w:bottom w:val="single" w:color="auto" w:sz="4" w:space="0"/>
              <w:right w:val="single" w:color="auto" w:sz="4" w:space="0"/>
            </w:tcBorders>
            <w:vAlign w:val="center"/>
          </w:tcPr>
          <w:p>
            <w:pPr>
              <w:adjustRightInd/>
              <w:snapToGrid w:val="0"/>
              <w:ind w:firstLine="0" w:firstLineChars="0"/>
              <w:jc w:val="center"/>
              <w:rPr>
                <w:rFonts w:ascii="仿宋" w:hAnsi="仿宋" w:cs="仿宋"/>
                <w:color w:val="000000"/>
              </w:rPr>
            </w:pPr>
            <w:r>
              <w:rPr>
                <w:rFonts w:hint="eastAsia" w:ascii="仿宋" w:hAnsi="仿宋" w:cs="仿宋"/>
                <w:color w:val="000000"/>
              </w:rPr>
              <w:t>服务项目名称</w:t>
            </w:r>
          </w:p>
        </w:tc>
        <w:tc>
          <w:tcPr>
            <w:tcW w:w="1574" w:type="pct"/>
            <w:tcBorders>
              <w:top w:val="single" w:color="auto" w:sz="4" w:space="0"/>
              <w:left w:val="single" w:color="auto" w:sz="4" w:space="0"/>
              <w:bottom w:val="single" w:color="auto" w:sz="4" w:space="0"/>
              <w:right w:val="single" w:color="auto" w:sz="4" w:space="0"/>
            </w:tcBorders>
            <w:vAlign w:val="center"/>
          </w:tcPr>
          <w:p>
            <w:pPr>
              <w:adjustRightInd/>
              <w:snapToGrid w:val="0"/>
              <w:ind w:firstLine="0" w:firstLineChars="0"/>
              <w:jc w:val="center"/>
              <w:rPr>
                <w:rFonts w:ascii="仿宋" w:hAnsi="仿宋" w:cs="仿宋"/>
                <w:color w:val="000000"/>
              </w:rPr>
            </w:pPr>
            <w:r>
              <w:rPr>
                <w:rFonts w:hint="eastAsia" w:ascii="仿宋" w:hAnsi="仿宋" w:cs="仿宋"/>
                <w:color w:val="000000"/>
              </w:rPr>
              <w:t>内容</w:t>
            </w:r>
          </w:p>
        </w:tc>
        <w:tc>
          <w:tcPr>
            <w:tcW w:w="1400" w:type="pct"/>
            <w:tcBorders>
              <w:top w:val="single" w:color="auto" w:sz="4" w:space="0"/>
              <w:left w:val="single" w:color="auto" w:sz="4" w:space="0"/>
              <w:bottom w:val="single" w:color="auto" w:sz="4" w:space="0"/>
              <w:right w:val="single" w:color="auto" w:sz="4" w:space="0"/>
            </w:tcBorders>
            <w:vAlign w:val="center"/>
          </w:tcPr>
          <w:p>
            <w:pPr>
              <w:adjustRightInd/>
              <w:snapToGrid w:val="0"/>
              <w:ind w:firstLine="0" w:firstLineChars="0"/>
              <w:jc w:val="center"/>
              <w:rPr>
                <w:rFonts w:ascii="仿宋" w:hAnsi="仿宋" w:cs="仿宋"/>
                <w:color w:val="000000"/>
              </w:rPr>
            </w:pPr>
            <w:r>
              <w:rPr>
                <w:rFonts w:hint="eastAsia" w:ascii="仿宋" w:hAnsi="仿宋" w:cs="仿宋"/>
                <w:color w:val="000000"/>
              </w:rPr>
              <w:t>数量/服务期限</w:t>
            </w:r>
          </w:p>
        </w:tc>
        <w:tc>
          <w:tcPr>
            <w:tcW w:w="886" w:type="pct"/>
            <w:tcBorders>
              <w:top w:val="single" w:color="auto" w:sz="4" w:space="0"/>
              <w:left w:val="single" w:color="auto" w:sz="4" w:space="0"/>
              <w:bottom w:val="single" w:color="auto" w:sz="4" w:space="0"/>
              <w:right w:val="single" w:color="auto" w:sz="4" w:space="0"/>
            </w:tcBorders>
            <w:vAlign w:val="center"/>
          </w:tcPr>
          <w:p>
            <w:pPr>
              <w:adjustRightInd/>
              <w:snapToGrid w:val="0"/>
              <w:ind w:firstLine="0" w:firstLineChars="0"/>
              <w:jc w:val="center"/>
              <w:rPr>
                <w:rFonts w:ascii="仿宋" w:hAnsi="仿宋" w:cs="仿宋"/>
                <w:color w:val="000000"/>
              </w:rPr>
            </w:pPr>
            <w:r>
              <w:rPr>
                <w:rFonts w:hint="eastAsia" w:ascii="仿宋" w:hAnsi="仿宋" w:cs="仿宋"/>
                <w:color w:val="000000"/>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9" w:type="pct"/>
            <w:tcBorders>
              <w:top w:val="single" w:color="auto" w:sz="4" w:space="0"/>
              <w:left w:val="single" w:color="auto" w:sz="4" w:space="0"/>
              <w:bottom w:val="single" w:color="auto" w:sz="4" w:space="0"/>
              <w:right w:val="single" w:color="auto" w:sz="4" w:space="0"/>
            </w:tcBorders>
          </w:tcPr>
          <w:p>
            <w:pPr>
              <w:adjustRightInd/>
              <w:snapToGrid w:val="0"/>
              <w:ind w:firstLine="0" w:firstLineChars="0"/>
              <w:rPr>
                <w:rFonts w:ascii="仿宋" w:hAnsi="仿宋" w:cs="仿宋"/>
                <w:color w:val="000000"/>
              </w:rPr>
            </w:pPr>
          </w:p>
        </w:tc>
        <w:tc>
          <w:tcPr>
            <w:tcW w:w="1574" w:type="pct"/>
            <w:tcBorders>
              <w:top w:val="single" w:color="auto" w:sz="4" w:space="0"/>
              <w:left w:val="single" w:color="auto" w:sz="4" w:space="0"/>
              <w:bottom w:val="single" w:color="auto" w:sz="4" w:space="0"/>
              <w:right w:val="single" w:color="auto" w:sz="4" w:space="0"/>
            </w:tcBorders>
          </w:tcPr>
          <w:p>
            <w:pPr>
              <w:adjustRightInd/>
              <w:snapToGrid w:val="0"/>
              <w:ind w:firstLine="0" w:firstLineChars="0"/>
              <w:rPr>
                <w:rFonts w:ascii="仿宋" w:hAnsi="仿宋" w:cs="仿宋"/>
                <w:color w:val="000000"/>
              </w:rPr>
            </w:pPr>
          </w:p>
        </w:tc>
        <w:tc>
          <w:tcPr>
            <w:tcW w:w="1400" w:type="pct"/>
            <w:tcBorders>
              <w:top w:val="single" w:color="auto" w:sz="4" w:space="0"/>
              <w:left w:val="single" w:color="auto" w:sz="4" w:space="0"/>
              <w:bottom w:val="single" w:color="auto" w:sz="4" w:space="0"/>
              <w:right w:val="single" w:color="auto" w:sz="4" w:space="0"/>
            </w:tcBorders>
          </w:tcPr>
          <w:p>
            <w:pPr>
              <w:adjustRightInd/>
              <w:snapToGrid w:val="0"/>
              <w:ind w:firstLine="0" w:firstLineChars="0"/>
              <w:rPr>
                <w:rFonts w:ascii="仿宋" w:hAnsi="仿宋" w:cs="仿宋"/>
                <w:color w:val="000000"/>
              </w:rPr>
            </w:pPr>
          </w:p>
        </w:tc>
        <w:tc>
          <w:tcPr>
            <w:tcW w:w="886" w:type="pct"/>
            <w:tcBorders>
              <w:top w:val="single" w:color="auto" w:sz="4" w:space="0"/>
              <w:left w:val="single" w:color="auto" w:sz="4" w:space="0"/>
              <w:bottom w:val="single" w:color="auto" w:sz="4" w:space="0"/>
              <w:right w:val="single" w:color="auto" w:sz="4" w:space="0"/>
            </w:tcBorders>
          </w:tcPr>
          <w:p>
            <w:pPr>
              <w:adjustRightInd/>
              <w:snapToGrid w:val="0"/>
              <w:ind w:firstLine="0" w:firstLineChars="0"/>
              <w:rPr>
                <w:rFonts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9" w:type="pct"/>
            <w:tcBorders>
              <w:top w:val="single" w:color="auto" w:sz="4" w:space="0"/>
              <w:left w:val="single" w:color="auto" w:sz="4" w:space="0"/>
              <w:bottom w:val="single" w:color="auto" w:sz="4" w:space="0"/>
              <w:right w:val="single" w:color="auto" w:sz="4" w:space="0"/>
            </w:tcBorders>
          </w:tcPr>
          <w:p>
            <w:pPr>
              <w:adjustRightInd/>
              <w:snapToGrid w:val="0"/>
              <w:ind w:firstLine="0" w:firstLineChars="0"/>
              <w:rPr>
                <w:rFonts w:ascii="仿宋" w:hAnsi="仿宋" w:cs="仿宋"/>
                <w:color w:val="000000"/>
              </w:rPr>
            </w:pPr>
          </w:p>
        </w:tc>
        <w:tc>
          <w:tcPr>
            <w:tcW w:w="1574" w:type="pct"/>
            <w:tcBorders>
              <w:top w:val="single" w:color="auto" w:sz="4" w:space="0"/>
              <w:left w:val="single" w:color="auto" w:sz="4" w:space="0"/>
              <w:bottom w:val="single" w:color="auto" w:sz="4" w:space="0"/>
              <w:right w:val="single" w:color="auto" w:sz="4" w:space="0"/>
            </w:tcBorders>
          </w:tcPr>
          <w:p>
            <w:pPr>
              <w:adjustRightInd/>
              <w:snapToGrid w:val="0"/>
              <w:ind w:firstLine="0" w:firstLineChars="0"/>
              <w:rPr>
                <w:rFonts w:ascii="仿宋" w:hAnsi="仿宋" w:cs="仿宋"/>
                <w:color w:val="000000"/>
              </w:rPr>
            </w:pPr>
          </w:p>
        </w:tc>
        <w:tc>
          <w:tcPr>
            <w:tcW w:w="1400" w:type="pct"/>
            <w:tcBorders>
              <w:top w:val="single" w:color="auto" w:sz="4" w:space="0"/>
              <w:left w:val="single" w:color="auto" w:sz="4" w:space="0"/>
              <w:bottom w:val="single" w:color="auto" w:sz="4" w:space="0"/>
              <w:right w:val="single" w:color="auto" w:sz="4" w:space="0"/>
            </w:tcBorders>
          </w:tcPr>
          <w:p>
            <w:pPr>
              <w:adjustRightInd/>
              <w:snapToGrid w:val="0"/>
              <w:ind w:firstLine="0" w:firstLineChars="0"/>
              <w:rPr>
                <w:rFonts w:ascii="仿宋" w:hAnsi="仿宋" w:cs="仿宋"/>
                <w:color w:val="000000"/>
              </w:rPr>
            </w:pPr>
          </w:p>
        </w:tc>
        <w:tc>
          <w:tcPr>
            <w:tcW w:w="886" w:type="pct"/>
            <w:tcBorders>
              <w:top w:val="single" w:color="auto" w:sz="4" w:space="0"/>
              <w:left w:val="single" w:color="auto" w:sz="4" w:space="0"/>
              <w:bottom w:val="single" w:color="auto" w:sz="4" w:space="0"/>
              <w:right w:val="single" w:color="auto" w:sz="4" w:space="0"/>
            </w:tcBorders>
          </w:tcPr>
          <w:p>
            <w:pPr>
              <w:adjustRightInd/>
              <w:snapToGrid w:val="0"/>
              <w:ind w:firstLine="0" w:firstLineChars="0"/>
              <w:rPr>
                <w:rFonts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9" w:type="pct"/>
            <w:tcBorders>
              <w:top w:val="single" w:color="auto" w:sz="4" w:space="0"/>
              <w:left w:val="single" w:color="auto" w:sz="4" w:space="0"/>
              <w:bottom w:val="single" w:color="auto" w:sz="4" w:space="0"/>
              <w:right w:val="single" w:color="auto" w:sz="4" w:space="0"/>
            </w:tcBorders>
          </w:tcPr>
          <w:p>
            <w:pPr>
              <w:adjustRightInd/>
              <w:snapToGrid w:val="0"/>
              <w:ind w:firstLine="0" w:firstLineChars="0"/>
              <w:rPr>
                <w:rFonts w:ascii="仿宋" w:hAnsi="仿宋" w:cs="仿宋"/>
                <w:color w:val="000000"/>
              </w:rPr>
            </w:pPr>
          </w:p>
        </w:tc>
        <w:tc>
          <w:tcPr>
            <w:tcW w:w="1574" w:type="pct"/>
            <w:tcBorders>
              <w:top w:val="single" w:color="auto" w:sz="4" w:space="0"/>
              <w:left w:val="single" w:color="auto" w:sz="4" w:space="0"/>
              <w:bottom w:val="single" w:color="auto" w:sz="4" w:space="0"/>
              <w:right w:val="single" w:color="auto" w:sz="4" w:space="0"/>
            </w:tcBorders>
          </w:tcPr>
          <w:p>
            <w:pPr>
              <w:adjustRightInd/>
              <w:snapToGrid w:val="0"/>
              <w:ind w:firstLine="0" w:firstLineChars="0"/>
              <w:rPr>
                <w:rFonts w:ascii="仿宋" w:hAnsi="仿宋" w:cs="仿宋"/>
                <w:color w:val="000000"/>
              </w:rPr>
            </w:pPr>
          </w:p>
        </w:tc>
        <w:tc>
          <w:tcPr>
            <w:tcW w:w="1400" w:type="pct"/>
            <w:tcBorders>
              <w:top w:val="single" w:color="auto" w:sz="4" w:space="0"/>
              <w:left w:val="single" w:color="auto" w:sz="4" w:space="0"/>
              <w:bottom w:val="single" w:color="auto" w:sz="4" w:space="0"/>
              <w:right w:val="single" w:color="auto" w:sz="4" w:space="0"/>
            </w:tcBorders>
          </w:tcPr>
          <w:p>
            <w:pPr>
              <w:adjustRightInd/>
              <w:snapToGrid w:val="0"/>
              <w:ind w:firstLine="0" w:firstLineChars="0"/>
              <w:rPr>
                <w:rFonts w:ascii="仿宋" w:hAnsi="仿宋" w:cs="仿宋"/>
                <w:color w:val="000000"/>
              </w:rPr>
            </w:pPr>
          </w:p>
        </w:tc>
        <w:tc>
          <w:tcPr>
            <w:tcW w:w="886" w:type="pct"/>
            <w:tcBorders>
              <w:top w:val="single" w:color="auto" w:sz="4" w:space="0"/>
              <w:left w:val="single" w:color="auto" w:sz="4" w:space="0"/>
              <w:bottom w:val="single" w:color="auto" w:sz="4" w:space="0"/>
              <w:right w:val="single" w:color="auto" w:sz="4" w:space="0"/>
            </w:tcBorders>
          </w:tcPr>
          <w:p>
            <w:pPr>
              <w:adjustRightInd/>
              <w:snapToGrid w:val="0"/>
              <w:ind w:firstLine="0" w:firstLineChars="0"/>
              <w:rPr>
                <w:rFonts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13" w:type="pct"/>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 w:hAnsi="仿宋" w:cs="仿宋"/>
                <w:color w:val="000000"/>
              </w:rPr>
            </w:pPr>
            <w:r>
              <w:rPr>
                <w:rFonts w:hint="eastAsia" w:ascii="仿宋" w:hAnsi="仿宋" w:cs="仿宋"/>
                <w:color w:val="000000"/>
              </w:rPr>
              <w:t>合同价（大写金额）</w:t>
            </w:r>
          </w:p>
        </w:tc>
        <w:tc>
          <w:tcPr>
            <w:tcW w:w="2286" w:type="pct"/>
            <w:gridSpan w:val="2"/>
            <w:tcBorders>
              <w:top w:val="single" w:color="auto" w:sz="4" w:space="0"/>
              <w:left w:val="single" w:color="auto" w:sz="4" w:space="0"/>
              <w:bottom w:val="single" w:color="auto" w:sz="4" w:space="0"/>
              <w:right w:val="single" w:color="auto" w:sz="4" w:space="0"/>
            </w:tcBorders>
          </w:tcPr>
          <w:p>
            <w:pPr>
              <w:snapToGrid w:val="0"/>
              <w:ind w:firstLine="300" w:firstLineChars="0"/>
              <w:rPr>
                <w:rFonts w:ascii="仿宋" w:hAnsi="仿宋" w:cs="仿宋"/>
                <w:color w:val="000000"/>
              </w:rPr>
            </w:pPr>
          </w:p>
        </w:tc>
      </w:tr>
    </w:tbl>
    <w:p>
      <w:pPr>
        <w:snapToGrid w:val="0"/>
        <w:ind w:firstLine="300" w:firstLineChars="0"/>
        <w:rPr>
          <w:rFonts w:ascii="仿宋" w:hAnsi="仿宋" w:cs="仿宋"/>
        </w:rPr>
      </w:pPr>
    </w:p>
    <w:p>
      <w:pPr>
        <w:adjustRightInd/>
        <w:snapToGrid w:val="0"/>
        <w:rPr>
          <w:rFonts w:ascii="仿宋" w:hAnsi="仿宋" w:cs="仿宋"/>
        </w:rPr>
      </w:pPr>
      <w:r>
        <w:rPr>
          <w:rFonts w:hint="eastAsia" w:ascii="仿宋" w:hAnsi="仿宋" w:cs="仿宋"/>
          <w:b/>
        </w:rPr>
        <w:t>4、付款方式及付款期</w:t>
      </w:r>
    </w:p>
    <w:p>
      <w:pPr>
        <w:adjustRightInd/>
        <w:snapToGrid w:val="0"/>
        <w:ind w:firstLine="480"/>
        <w:rPr>
          <w:rFonts w:ascii="仿宋" w:hAnsi="仿宋" w:cs="仿宋"/>
        </w:rPr>
      </w:pPr>
      <w:r>
        <w:rPr>
          <w:rFonts w:hint="eastAsia" w:ascii="仿宋" w:hAnsi="仿宋" w:cs="仿宋"/>
        </w:rPr>
        <w:t>4.1付款方式：分批支付。</w:t>
      </w:r>
    </w:p>
    <w:p>
      <w:pPr>
        <w:ind w:firstLine="480"/>
      </w:pPr>
      <w:r>
        <w:rPr>
          <w:rFonts w:hint="eastAsia" w:ascii="仿宋" w:hAnsi="仿宋" w:cs="仿宋"/>
        </w:rPr>
        <w:t>4.2费用支付：合同签订并具备实施条件后支付合同金额的40%，项目验收合格后支付合同金额的</w:t>
      </w:r>
      <w:r>
        <w:rPr>
          <w:rFonts w:hint="eastAsia"/>
        </w:rPr>
        <w:t>45%，项目维护期间，每年维护期满后支付5%，不计息。</w:t>
      </w:r>
    </w:p>
    <w:p>
      <w:pPr>
        <w:adjustRightInd/>
        <w:snapToGrid w:val="0"/>
        <w:ind w:firstLine="480"/>
        <w:rPr>
          <w:rFonts w:ascii="仿宋" w:hAnsi="仿宋" w:cs="仿宋"/>
        </w:rPr>
      </w:pPr>
      <w:r>
        <w:rPr>
          <w:rFonts w:hint="eastAsia"/>
        </w:rPr>
        <w:t>甲方凭乙方提供的税务发票支付费用，在维护期间，运维考核的扣款项在支付费用时直接扣除。</w:t>
      </w:r>
    </w:p>
    <w:p>
      <w:pPr>
        <w:adjustRightInd/>
        <w:snapToGrid w:val="0"/>
        <w:ind w:firstLine="480"/>
        <w:rPr>
          <w:rFonts w:ascii="仿宋" w:hAnsi="仿宋" w:cs="仿宋"/>
        </w:rPr>
      </w:pPr>
      <w:r>
        <w:rPr>
          <w:rFonts w:hint="eastAsia" w:ascii="仿宋" w:hAnsi="仿宋" w:cs="仿宋"/>
        </w:rPr>
        <w:t>4.3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pPr>
        <w:adjustRightInd/>
        <w:snapToGrid w:val="0"/>
        <w:ind w:firstLine="480"/>
        <w:rPr>
          <w:rFonts w:ascii="仿宋" w:hAnsi="仿宋" w:cs="仿宋"/>
        </w:rPr>
      </w:pPr>
      <w:r>
        <w:rPr>
          <w:rFonts w:hint="eastAsia" w:ascii="仿宋" w:hAnsi="仿宋" w:cs="仿宋"/>
        </w:rPr>
        <w:t>4.4甲方迟延支付乙方款项的，向乙方支付逾期利息。双方可以在合同专用条款中约定逾期利率，约定利率不得低于合同订立时1年期贷款市场报价利率；未作约定的，按照每日利率万分之五支付逾期利息。</w:t>
      </w:r>
    </w:p>
    <w:p>
      <w:pPr>
        <w:adjustRightInd/>
        <w:snapToGrid w:val="0"/>
        <w:rPr>
          <w:rFonts w:ascii="仿宋" w:hAnsi="仿宋" w:cs="仿宋"/>
          <w:color w:val="000000"/>
        </w:rPr>
      </w:pPr>
      <w:r>
        <w:rPr>
          <w:rFonts w:hint="eastAsia" w:ascii="仿宋" w:hAnsi="仿宋" w:cs="仿宋"/>
          <w:b/>
          <w:color w:val="000000"/>
        </w:rPr>
        <w:t>5、履约保证金</w:t>
      </w:r>
    </w:p>
    <w:p>
      <w:pPr>
        <w:adjustRightInd/>
        <w:snapToGrid w:val="0"/>
        <w:rPr>
          <w:rFonts w:ascii="仿宋" w:hAnsi="仿宋" w:cs="仿宋"/>
          <w:color w:val="000000"/>
          <w:u w:val="single"/>
        </w:rPr>
      </w:pPr>
      <w:r>
        <w:rPr>
          <w:rFonts w:hint="eastAsia" w:ascii="仿宋" w:hAnsi="仿宋" w:cs="仿宋"/>
          <w:b/>
          <w:color w:val="000000"/>
        </w:rPr>
        <w:t>5.1</w:t>
      </w:r>
      <w:r>
        <w:rPr>
          <w:rFonts w:hint="eastAsia" w:ascii="仿宋" w:hAnsi="仿宋" w:cs="仿宋"/>
          <w:color w:val="000000"/>
        </w:rPr>
        <w:t>履约保证金形式为</w:t>
      </w:r>
      <w:r>
        <w:rPr>
          <w:rFonts w:hint="eastAsia" w:ascii="仿宋" w:hAnsi="仿宋" w:cs="仿宋"/>
          <w:color w:val="000000"/>
          <w:u w:val="single"/>
        </w:rPr>
        <w:t>合同金额的1%</w:t>
      </w:r>
      <w:r>
        <w:rPr>
          <w:rFonts w:hint="eastAsia" w:ascii="仿宋" w:hAnsi="仿宋" w:cs="仿宋"/>
          <w:color w:val="000000"/>
        </w:rPr>
        <w:t>。</w:t>
      </w:r>
    </w:p>
    <w:p>
      <w:pPr>
        <w:adjustRightInd/>
        <w:snapToGrid w:val="0"/>
        <w:rPr>
          <w:rFonts w:ascii="仿宋" w:hAnsi="仿宋" w:cs="仿宋"/>
          <w:color w:val="000000"/>
        </w:rPr>
      </w:pPr>
      <w:r>
        <w:rPr>
          <w:rFonts w:hint="eastAsia" w:ascii="仿宋" w:hAnsi="仿宋" w:cs="仿宋"/>
          <w:b/>
          <w:color w:val="000000"/>
        </w:rPr>
        <w:t>5.2</w:t>
      </w:r>
      <w:r>
        <w:rPr>
          <w:rFonts w:hint="eastAsia" w:ascii="仿宋" w:hAnsi="仿宋" w:cs="仿宋"/>
          <w:color w:val="000000"/>
        </w:rPr>
        <w:t>乙方提供的履约保证金保函应按采购文件所附的格式提供，与此有关的费用由乙方负担。履约保证金保函的有效期至乙方完成合同规定的义务时止。</w:t>
      </w:r>
    </w:p>
    <w:p>
      <w:pPr>
        <w:adjustRightInd/>
        <w:snapToGrid w:val="0"/>
        <w:rPr>
          <w:rFonts w:ascii="仿宋" w:hAnsi="仿宋" w:cs="仿宋"/>
          <w:color w:val="000000"/>
        </w:rPr>
      </w:pPr>
      <w:r>
        <w:rPr>
          <w:rFonts w:hint="eastAsia" w:ascii="仿宋" w:hAnsi="仿宋" w:cs="仿宋"/>
          <w:b/>
          <w:color w:val="000000"/>
        </w:rPr>
        <w:t>5.3</w:t>
      </w:r>
      <w:r>
        <w:rPr>
          <w:rFonts w:hint="eastAsia" w:ascii="仿宋" w:hAnsi="仿宋" w:cs="仿宋"/>
          <w:color w:val="000000"/>
        </w:rPr>
        <w:t>如乙方未能履行合同规定的任何义务，甲方有权从履约保证金中得到补偿。</w:t>
      </w:r>
    </w:p>
    <w:p>
      <w:pPr>
        <w:adjustRightInd/>
        <w:snapToGrid w:val="0"/>
        <w:rPr>
          <w:rFonts w:ascii="仿宋" w:hAnsi="仿宋" w:cs="仿宋"/>
          <w:color w:val="000000"/>
        </w:rPr>
      </w:pPr>
      <w:r>
        <w:rPr>
          <w:rFonts w:hint="eastAsia" w:ascii="仿宋" w:hAnsi="仿宋" w:cs="仿宋"/>
          <w:b/>
          <w:bCs/>
          <w:color w:val="000000"/>
        </w:rPr>
        <w:t>6、知</w:t>
      </w:r>
      <w:r>
        <w:rPr>
          <w:rFonts w:hint="eastAsia" w:ascii="仿宋" w:hAnsi="仿宋" w:cs="仿宋"/>
          <w:b/>
          <w:color w:val="000000"/>
        </w:rPr>
        <w:t>识产权</w:t>
      </w:r>
    </w:p>
    <w:p>
      <w:pPr>
        <w:adjustRightInd/>
        <w:snapToGrid w:val="0"/>
        <w:ind w:firstLine="480"/>
        <w:rPr>
          <w:rFonts w:ascii="仿宋" w:hAnsi="仿宋" w:cs="仿宋"/>
          <w:color w:val="000000"/>
        </w:rPr>
      </w:pPr>
      <w:r>
        <w:rPr>
          <w:rFonts w:hint="eastAsia" w:ascii="仿宋" w:hAnsi="仿宋" w:cs="仿宋"/>
          <w:color w:val="000000"/>
        </w:rPr>
        <w:t>乙方应保证甲方在享受服务过程中不会侵犯任何第三方的知识产权，如果任何第三方提出侵权指控，乙方须与第三方交涉并承担可能发生的一切法律责任和费用。</w:t>
      </w:r>
    </w:p>
    <w:p>
      <w:pPr>
        <w:adjustRightInd/>
        <w:snapToGrid w:val="0"/>
        <w:rPr>
          <w:rFonts w:ascii="仿宋" w:hAnsi="仿宋" w:cs="仿宋"/>
          <w:color w:val="000000"/>
        </w:rPr>
      </w:pPr>
      <w:r>
        <w:rPr>
          <w:rFonts w:hint="eastAsia" w:ascii="仿宋" w:hAnsi="仿宋" w:cs="仿宋"/>
          <w:b/>
          <w:color w:val="000000"/>
        </w:rPr>
        <w:t>7、不可抗力</w:t>
      </w:r>
    </w:p>
    <w:p>
      <w:pPr>
        <w:adjustRightInd/>
        <w:snapToGrid w:val="0"/>
        <w:rPr>
          <w:rFonts w:ascii="仿宋" w:hAnsi="仿宋" w:cs="仿宋"/>
          <w:color w:val="000000"/>
        </w:rPr>
      </w:pPr>
      <w:r>
        <w:rPr>
          <w:rFonts w:hint="eastAsia" w:ascii="仿宋" w:hAnsi="仿宋" w:cs="仿宋"/>
          <w:b/>
          <w:color w:val="000000"/>
        </w:rPr>
        <w:t>7.1</w:t>
      </w:r>
      <w:r>
        <w:rPr>
          <w:rFonts w:hint="eastAsia" w:ascii="仿宋" w:hAnsi="仿宋" w:cs="仿宋"/>
          <w:color w:val="000000"/>
        </w:rPr>
        <w:t>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adjustRightInd/>
        <w:snapToGrid w:val="0"/>
        <w:rPr>
          <w:rFonts w:ascii="仿宋" w:hAnsi="仿宋" w:cs="仿宋"/>
          <w:color w:val="000000"/>
        </w:rPr>
      </w:pPr>
      <w:r>
        <w:rPr>
          <w:rFonts w:hint="eastAsia" w:ascii="仿宋" w:hAnsi="仿宋" w:cs="仿宋"/>
          <w:b/>
          <w:color w:val="000000"/>
        </w:rPr>
        <w:t>7.2</w:t>
      </w:r>
      <w:r>
        <w:rPr>
          <w:rFonts w:hint="eastAsia" w:ascii="仿宋" w:hAnsi="仿宋" w:cs="仿宋"/>
          <w:color w:val="000000"/>
        </w:rPr>
        <w:t>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pPr>
        <w:adjustRightInd/>
        <w:snapToGrid w:val="0"/>
        <w:rPr>
          <w:rFonts w:ascii="仿宋" w:hAnsi="仿宋" w:cs="仿宋"/>
          <w:color w:val="000000"/>
        </w:rPr>
      </w:pPr>
      <w:r>
        <w:rPr>
          <w:rFonts w:hint="eastAsia" w:ascii="仿宋" w:hAnsi="仿宋" w:cs="仿宋"/>
          <w:b/>
          <w:color w:val="000000"/>
        </w:rPr>
        <w:t>8.税费</w:t>
      </w:r>
    </w:p>
    <w:p>
      <w:pPr>
        <w:adjustRightInd/>
        <w:snapToGrid w:val="0"/>
        <w:ind w:firstLine="480"/>
        <w:rPr>
          <w:rFonts w:ascii="仿宋" w:hAnsi="仿宋" w:cs="仿宋"/>
          <w:bCs/>
          <w:color w:val="000000"/>
        </w:rPr>
      </w:pPr>
      <w:r>
        <w:rPr>
          <w:rFonts w:hint="eastAsia" w:ascii="仿宋" w:hAnsi="仿宋" w:cs="仿宋"/>
          <w:bCs/>
          <w:color w:val="000000"/>
        </w:rPr>
        <w:t>8.1根据国家现行税法对甲方征收的与合同有关的一切税费均由甲方负担。</w:t>
      </w:r>
    </w:p>
    <w:p>
      <w:pPr>
        <w:adjustRightInd/>
        <w:snapToGrid w:val="0"/>
        <w:ind w:firstLine="480"/>
        <w:rPr>
          <w:rFonts w:ascii="仿宋" w:hAnsi="仿宋" w:cs="仿宋"/>
          <w:color w:val="000000"/>
        </w:rPr>
      </w:pPr>
      <w:r>
        <w:rPr>
          <w:rFonts w:hint="eastAsia" w:ascii="仿宋" w:hAnsi="仿宋" w:cs="仿宋"/>
          <w:bCs/>
          <w:color w:val="000000"/>
        </w:rPr>
        <w:t>8.</w:t>
      </w:r>
      <w:r>
        <w:rPr>
          <w:rFonts w:hint="eastAsia" w:ascii="仿宋" w:hAnsi="仿宋" w:cs="仿宋"/>
          <w:b/>
          <w:color w:val="000000"/>
        </w:rPr>
        <w:t>2</w:t>
      </w:r>
      <w:r>
        <w:rPr>
          <w:rFonts w:hint="eastAsia" w:ascii="仿宋" w:hAnsi="仿宋" w:cs="仿宋"/>
          <w:color w:val="000000"/>
        </w:rPr>
        <w:t>根据国家现行税法对乙方征收的与合同有关的一切税费均由乙方负担。</w:t>
      </w:r>
    </w:p>
    <w:p>
      <w:pPr>
        <w:adjustRightInd/>
        <w:snapToGrid w:val="0"/>
        <w:rPr>
          <w:rFonts w:ascii="仿宋" w:hAnsi="仿宋" w:cs="仿宋"/>
          <w:color w:val="000000"/>
        </w:rPr>
      </w:pPr>
      <w:r>
        <w:rPr>
          <w:rFonts w:hint="eastAsia" w:ascii="仿宋" w:hAnsi="仿宋" w:cs="仿宋"/>
          <w:b/>
          <w:color w:val="000000"/>
        </w:rPr>
        <w:t>9.违约终止合同</w:t>
      </w:r>
    </w:p>
    <w:p>
      <w:pPr>
        <w:adjustRightInd/>
        <w:snapToGrid w:val="0"/>
        <w:rPr>
          <w:rFonts w:ascii="仿宋" w:hAnsi="仿宋" w:cs="仿宋"/>
          <w:color w:val="000000"/>
        </w:rPr>
      </w:pPr>
      <w:r>
        <w:rPr>
          <w:rFonts w:hint="eastAsia" w:ascii="仿宋" w:hAnsi="仿宋" w:cs="仿宋"/>
          <w:b/>
          <w:color w:val="000000"/>
        </w:rPr>
        <w:t>9.1</w:t>
      </w:r>
      <w:r>
        <w:rPr>
          <w:rFonts w:hint="eastAsia" w:ascii="仿宋" w:hAnsi="仿宋" w:cs="仿宋"/>
          <w:color w:val="000000"/>
        </w:rPr>
        <w:t>如果乙方有下述违约行为或采购文件中规定的其它违约行为的情况，甲方可以向乙方发出书面违约通知，全部或部分地终止合同，在这些情况下，并不影响甲方向乙方提出的索赔：</w:t>
      </w:r>
    </w:p>
    <w:p>
      <w:pPr>
        <w:adjustRightInd/>
        <w:snapToGrid w:val="0"/>
        <w:ind w:firstLine="480"/>
        <w:rPr>
          <w:rFonts w:ascii="仿宋" w:hAnsi="仿宋" w:cs="仿宋"/>
          <w:color w:val="000000"/>
        </w:rPr>
      </w:pPr>
      <w:r>
        <w:rPr>
          <w:rFonts w:hint="eastAsia" w:ascii="仿宋" w:hAnsi="仿宋" w:cs="仿宋"/>
          <w:color w:val="000000"/>
        </w:rPr>
        <w:t>（1）乙方未能在合同规定的限期或甲方同意延长的最终限期内提供全部或部分服务项目、技术文件；</w:t>
      </w:r>
    </w:p>
    <w:p>
      <w:pPr>
        <w:adjustRightInd/>
        <w:snapToGrid w:val="0"/>
        <w:ind w:firstLine="480"/>
        <w:rPr>
          <w:rFonts w:ascii="仿宋" w:hAnsi="仿宋" w:cs="仿宋"/>
          <w:color w:val="000000"/>
        </w:rPr>
      </w:pPr>
      <w:r>
        <w:rPr>
          <w:rFonts w:hint="eastAsia" w:ascii="仿宋" w:hAnsi="仿宋" w:cs="仿宋"/>
          <w:color w:val="000000"/>
        </w:rPr>
        <w:t>（2）乙方未能使合同的服务项目达到合同附件规定的最低技术要求；</w:t>
      </w:r>
    </w:p>
    <w:p>
      <w:pPr>
        <w:adjustRightInd/>
        <w:snapToGrid w:val="0"/>
        <w:ind w:firstLine="480"/>
        <w:rPr>
          <w:rFonts w:ascii="仿宋" w:hAnsi="仿宋" w:cs="仿宋"/>
          <w:color w:val="000000"/>
        </w:rPr>
      </w:pPr>
      <w:r>
        <w:rPr>
          <w:rFonts w:hint="eastAsia" w:ascii="仿宋" w:hAnsi="仿宋" w:cs="仿宋"/>
          <w:color w:val="000000"/>
        </w:rPr>
        <w:t>（3）乙方未能履行合同规定的其它义务（细微义务除外），且乙方在收到甲方发出的违约通知后30天内或经甲方书面认可延长的时间内未能纠正其违约行为。</w:t>
      </w:r>
    </w:p>
    <w:p>
      <w:pPr>
        <w:adjustRightInd/>
        <w:snapToGrid w:val="0"/>
        <w:rPr>
          <w:rFonts w:ascii="仿宋" w:hAnsi="仿宋" w:cs="仿宋"/>
          <w:color w:val="000000"/>
        </w:rPr>
      </w:pPr>
      <w:r>
        <w:rPr>
          <w:rFonts w:hint="eastAsia" w:ascii="仿宋" w:hAnsi="仿宋" w:cs="仿宋"/>
          <w:b/>
          <w:color w:val="000000"/>
        </w:rPr>
        <w:t>9.2</w:t>
      </w:r>
      <w:r>
        <w:rPr>
          <w:rFonts w:hint="eastAsia" w:ascii="仿宋" w:hAnsi="仿宋" w:cs="仿宋"/>
          <w:color w:val="000000"/>
        </w:rPr>
        <w:t>在甲方根据第</w:t>
      </w:r>
      <w:r>
        <w:rPr>
          <w:rFonts w:hint="eastAsia" w:ascii="仿宋" w:hAnsi="仿宋" w:cs="仿宋"/>
          <w:b/>
          <w:color w:val="000000"/>
        </w:rPr>
        <w:t>9.1</w:t>
      </w:r>
      <w:r>
        <w:rPr>
          <w:rFonts w:hint="eastAsia" w:ascii="仿宋" w:hAnsi="仿宋" w:cs="仿宋"/>
          <w:color w:val="000000"/>
        </w:rPr>
        <w:t>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pPr>
        <w:adjustRightInd/>
        <w:snapToGrid w:val="0"/>
        <w:rPr>
          <w:rFonts w:ascii="仿宋" w:hAnsi="仿宋" w:cs="仿宋"/>
          <w:b/>
          <w:color w:val="000000"/>
        </w:rPr>
      </w:pPr>
      <w:r>
        <w:rPr>
          <w:rFonts w:hint="eastAsia" w:ascii="仿宋" w:hAnsi="仿宋" w:cs="仿宋"/>
          <w:b/>
          <w:color w:val="000000"/>
        </w:rPr>
        <w:t>10、其他情况终止合同</w:t>
      </w:r>
    </w:p>
    <w:p>
      <w:pPr>
        <w:adjustRightInd/>
        <w:snapToGrid w:val="0"/>
        <w:ind w:firstLine="480"/>
        <w:rPr>
          <w:rFonts w:ascii="仿宋" w:hAnsi="仿宋" w:cs="仿宋"/>
          <w:color w:val="000000"/>
        </w:rPr>
      </w:pPr>
      <w:r>
        <w:rPr>
          <w:rFonts w:hint="eastAsia" w:ascii="仿宋" w:hAnsi="仿宋" w:cs="仿宋"/>
          <w:color w:val="000000"/>
        </w:rPr>
        <w:t>10.1如果乙方破产或发生资不抵债的情况，甲方可在任何时候以书面通知终止合同，而不给对方补偿。该终止合同将不损害或影响甲方已经采取或将要采取的补救措施的权利。</w:t>
      </w:r>
    </w:p>
    <w:p>
      <w:pPr>
        <w:adjustRightInd/>
        <w:snapToGrid w:val="0"/>
        <w:ind w:firstLine="480"/>
        <w:rPr>
          <w:rFonts w:ascii="仿宋" w:hAnsi="仿宋" w:cs="仿宋"/>
          <w:color w:val="000000"/>
        </w:rPr>
      </w:pPr>
      <w:r>
        <w:rPr>
          <w:rFonts w:hint="eastAsia" w:ascii="仿宋" w:hAnsi="仿宋" w:cs="仿宋"/>
          <w:color w:val="000000"/>
        </w:rPr>
        <w:t>10.2如果甲方认定乙方在竞标、采购和合同执行等过程中有腐败或欺诈行为，甲方有权在任何时候发出书面通知终止合同。</w:t>
      </w:r>
    </w:p>
    <w:p>
      <w:pPr>
        <w:adjustRightInd/>
        <w:snapToGrid w:val="0"/>
        <w:ind w:firstLine="480"/>
        <w:rPr>
          <w:rFonts w:ascii="仿宋" w:hAnsi="仿宋" w:cs="仿宋"/>
          <w:color w:val="000000"/>
        </w:rPr>
      </w:pPr>
      <w:r>
        <w:rPr>
          <w:rFonts w:hint="eastAsia" w:ascii="仿宋" w:hAnsi="仿宋" w:cs="仿宋"/>
          <w:color w:val="000000"/>
        </w:rPr>
        <w:t>10.3如果合同履行过程中出现危害国家利益和社会公众利益的，甲方有权在任何时候发出书面通知终止合同。</w:t>
      </w:r>
    </w:p>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ascii="仿宋" w:hAnsi="仿宋" w:cs="仿宋"/>
          <w:bCs/>
        </w:rPr>
      </w:pPr>
      <w:r>
        <w:rPr>
          <w:rFonts w:hint="eastAsia" w:ascii="仿宋" w:hAnsi="仿宋" w:cs="仿宋"/>
          <w:b/>
          <w:color w:val="000000"/>
        </w:rPr>
        <w:t>11、转包和分包</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仿宋" w:hAnsi="仿宋" w:cs="仿宋"/>
          <w:color w:val="000000"/>
        </w:rPr>
      </w:pPr>
      <w:r>
        <w:rPr>
          <w:rFonts w:hint="eastAsia" w:ascii="仿宋" w:hAnsi="仿宋" w:cs="仿宋"/>
          <w:color w:val="000000"/>
        </w:rPr>
        <w:t>10.1本项目不允许转包。</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仿宋" w:hAnsi="仿宋" w:cs="仿宋"/>
          <w:u w:val="single"/>
        </w:rPr>
      </w:pPr>
      <w:r>
        <w:rPr>
          <w:rFonts w:hint="eastAsia" w:ascii="仿宋" w:hAnsi="仿宋" w:cs="仿宋"/>
          <w:color w:val="000000"/>
        </w:rPr>
        <w:t>10.2分包。经甲方书面同意，本项目允许分包，分包范围为</w:t>
      </w:r>
    </w:p>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ascii="仿宋" w:hAnsi="仿宋" w:cs="仿宋"/>
          <w:b/>
          <w:color w:val="000000"/>
        </w:rPr>
      </w:pPr>
      <w:r>
        <w:rPr>
          <w:rFonts w:hint="eastAsia" w:ascii="仿宋" w:hAnsi="仿宋" w:cs="仿宋"/>
          <w:b/>
          <w:color w:val="000000"/>
        </w:rPr>
        <w:t>12、合同的协商变更与修改</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仿宋" w:hAnsi="仿宋" w:cs="仿宋"/>
          <w:color w:val="000000"/>
        </w:rPr>
      </w:pPr>
      <w:r>
        <w:rPr>
          <w:rFonts w:hint="eastAsia" w:ascii="仿宋" w:hAnsi="仿宋" w:cs="仿宋"/>
          <w:bCs/>
        </w:rPr>
        <w:t>合同双方不得擅自变更、中止或者终止合同。合同继续履行将损害国家利益和社会公共利益的，双方应当变更、中止或者终止合同。有过错的一方应当承担赔偿责任，双方都有过错的，各自承担相应的责任</w:t>
      </w:r>
      <w:r>
        <w:rPr>
          <w:rFonts w:hint="eastAsia" w:ascii="仿宋" w:hAnsi="仿宋" w:cs="仿宋"/>
          <w:color w:val="000000"/>
        </w:rPr>
        <w:t>。</w:t>
      </w:r>
    </w:p>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ascii="仿宋" w:hAnsi="仿宋" w:cs="仿宋"/>
          <w:color w:val="000000"/>
        </w:rPr>
      </w:pPr>
      <w:r>
        <w:rPr>
          <w:rFonts w:hint="eastAsia" w:ascii="仿宋" w:hAnsi="仿宋" w:cs="仿宋"/>
          <w:b/>
          <w:color w:val="000000"/>
        </w:rPr>
        <w:t>13、争端的解决</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仿宋" w:hAnsi="仿宋" w:cs="仿宋"/>
          <w:color w:val="000000"/>
        </w:rPr>
      </w:pPr>
      <w:r>
        <w:rPr>
          <w:rFonts w:hint="eastAsia" w:ascii="仿宋" w:hAnsi="仿宋" w:cs="仿宋"/>
          <w:color w:val="000000"/>
        </w:rPr>
        <w:t>13</w:t>
      </w:r>
      <w:r>
        <w:rPr>
          <w:rFonts w:hint="eastAsia" w:ascii="仿宋" w:hAnsi="仿宋" w:cs="仿宋"/>
          <w:b/>
          <w:color w:val="000000"/>
        </w:rPr>
        <w:t>.1</w:t>
      </w:r>
      <w:r>
        <w:rPr>
          <w:rFonts w:hint="eastAsia" w:ascii="仿宋" w:hAnsi="仿宋" w:cs="仿宋"/>
          <w:color w:val="000000"/>
        </w:rPr>
        <w:t>合同实施或与合同有关的一切争端应依据《中华人民共和国民法典》并通过双方协商解决。如果协商开始后六十天还不能解决，争端应提交</w:t>
      </w:r>
      <w:r>
        <w:rPr>
          <w:rFonts w:hint="eastAsia" w:ascii="仿宋" w:hAnsi="仿宋" w:cs="仿宋"/>
          <w:color w:val="000000"/>
          <w:u w:val="single"/>
        </w:rPr>
        <w:t>甲方所在地</w:t>
      </w:r>
      <w:r>
        <w:rPr>
          <w:rFonts w:hint="eastAsia" w:ascii="仿宋" w:hAnsi="仿宋" w:cs="仿宋"/>
          <w:color w:val="000000"/>
        </w:rPr>
        <w:t>人民法院诉讼解决。</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仿宋" w:hAnsi="仿宋" w:cs="仿宋"/>
          <w:color w:val="000000"/>
        </w:rPr>
      </w:pPr>
      <w:r>
        <w:rPr>
          <w:rFonts w:hint="eastAsia" w:ascii="仿宋" w:hAnsi="仿宋" w:cs="仿宋"/>
          <w:color w:val="000000"/>
        </w:rPr>
        <w:t>13</w:t>
      </w:r>
      <w:r>
        <w:rPr>
          <w:rFonts w:hint="eastAsia" w:ascii="仿宋" w:hAnsi="仿宋" w:cs="仿宋"/>
          <w:b/>
          <w:color w:val="000000"/>
        </w:rPr>
        <w:t>.2</w:t>
      </w:r>
      <w:r>
        <w:rPr>
          <w:rFonts w:hint="eastAsia" w:ascii="仿宋" w:hAnsi="仿宋" w:cs="仿宋"/>
          <w:color w:val="000000"/>
        </w:rPr>
        <w:t>诉讼裁决应为最终裁决，对双方均有约束力。除另有裁决外，诉讼费均应由败诉方负担。</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仿宋" w:hAnsi="仿宋" w:cs="仿宋"/>
          <w:color w:val="000000"/>
        </w:rPr>
      </w:pPr>
      <w:r>
        <w:rPr>
          <w:rFonts w:hint="eastAsia" w:ascii="仿宋" w:hAnsi="仿宋" w:cs="仿宋"/>
          <w:color w:val="000000"/>
        </w:rPr>
        <w:t>13</w:t>
      </w:r>
      <w:r>
        <w:rPr>
          <w:rFonts w:hint="eastAsia" w:ascii="仿宋" w:hAnsi="仿宋" w:cs="仿宋"/>
          <w:b/>
          <w:color w:val="000000"/>
        </w:rPr>
        <w:t>.3</w:t>
      </w:r>
      <w:r>
        <w:rPr>
          <w:rFonts w:hint="eastAsia" w:ascii="仿宋" w:hAnsi="仿宋" w:cs="仿宋"/>
          <w:color w:val="000000"/>
        </w:rPr>
        <w:t>在诉讼期间，除正在进行诉讼的部分外，合同其他部分应继续执行。</w:t>
      </w:r>
    </w:p>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ascii="仿宋" w:hAnsi="仿宋" w:cs="仿宋"/>
          <w:color w:val="000000"/>
        </w:rPr>
      </w:pPr>
      <w:r>
        <w:rPr>
          <w:rFonts w:hint="eastAsia" w:ascii="仿宋" w:hAnsi="仿宋" w:cs="仿宋"/>
          <w:b/>
          <w:color w:val="000000"/>
        </w:rPr>
        <w:t>14、通知</w:t>
      </w:r>
    </w:p>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ascii="仿宋" w:hAnsi="仿宋" w:cs="仿宋"/>
          <w:color w:val="000000"/>
        </w:rPr>
      </w:pPr>
      <w:r>
        <w:rPr>
          <w:rFonts w:hint="eastAsia" w:ascii="仿宋" w:hAnsi="仿宋" w:cs="仿宋"/>
          <w:b/>
          <w:color w:val="000000"/>
        </w:rPr>
        <w:t>14.1</w:t>
      </w:r>
      <w:r>
        <w:rPr>
          <w:rFonts w:hint="eastAsia" w:ascii="仿宋" w:hAnsi="仿宋" w:cs="仿宋"/>
          <w:color w:val="000000"/>
        </w:rPr>
        <w:t>本合同任何一方给另一方的通知，都应以书面的形式发送，而另一方应以书面形式确认，回复对方。</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仿宋" w:hAnsi="仿宋" w:cs="仿宋"/>
          <w:color w:val="000000"/>
        </w:rPr>
      </w:pPr>
      <w:r>
        <w:rPr>
          <w:rFonts w:hint="eastAsia" w:ascii="仿宋" w:hAnsi="仿宋" w:cs="仿宋"/>
          <w:color w:val="000000"/>
        </w:rPr>
        <w:t>14</w:t>
      </w:r>
      <w:r>
        <w:rPr>
          <w:rFonts w:hint="eastAsia" w:ascii="仿宋" w:hAnsi="仿宋" w:cs="仿宋"/>
          <w:b/>
          <w:color w:val="000000"/>
        </w:rPr>
        <w:t>.2</w:t>
      </w:r>
      <w:r>
        <w:rPr>
          <w:rFonts w:hint="eastAsia" w:ascii="仿宋" w:hAnsi="仿宋" w:cs="仿宋"/>
          <w:color w:val="000000"/>
        </w:rPr>
        <w:t>通知以送到日期或通知书的生效日起为生效日期，两者中以较晚的一个日期为准。</w:t>
      </w:r>
    </w:p>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ascii="仿宋" w:hAnsi="仿宋" w:cs="仿宋"/>
          <w:color w:val="000000"/>
        </w:rPr>
      </w:pPr>
      <w:r>
        <w:rPr>
          <w:rFonts w:hint="eastAsia" w:ascii="仿宋" w:hAnsi="仿宋" w:cs="仿宋"/>
          <w:b/>
          <w:color w:val="000000"/>
        </w:rPr>
        <w:t>14.3</w:t>
      </w:r>
      <w:r>
        <w:rPr>
          <w:rFonts w:hint="eastAsia" w:ascii="仿宋" w:hAnsi="仿宋" w:cs="仿宋"/>
          <w:color w:val="000000"/>
        </w:rPr>
        <w:t>鉴于甲方将按照本合同向乙方支付款项，乙方在此保证全部按照合同的规定向甲方提供服务并修补缺陷。</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仿宋" w:hAnsi="仿宋" w:cs="仿宋"/>
          <w:b/>
          <w:color w:val="000000"/>
        </w:rPr>
      </w:pPr>
      <w:r>
        <w:rPr>
          <w:rFonts w:hint="eastAsia" w:ascii="仿宋" w:hAnsi="仿宋" w:cs="仿宋"/>
          <w:color w:val="000000"/>
        </w:rPr>
        <w:t>鉴于乙方将按本合同规定提供服务并修补缺陷，甲方在此保证按照合同规定的时间和方式向乙方支付合同价或其它按合同应支付的金额。</w:t>
      </w:r>
    </w:p>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ascii="仿宋" w:hAnsi="仿宋" w:cs="仿宋"/>
          <w:b/>
          <w:color w:val="000000"/>
        </w:rPr>
      </w:pPr>
      <w:r>
        <w:rPr>
          <w:rFonts w:hint="eastAsia" w:ascii="仿宋" w:hAnsi="仿宋" w:cs="仿宋"/>
          <w:b/>
          <w:color w:val="000000"/>
        </w:rPr>
        <w:t>15、其他约定事项：</w:t>
      </w:r>
    </w:p>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ascii="仿宋" w:hAnsi="仿宋" w:cs="仿宋"/>
          <w:b/>
          <w:color w:val="000000"/>
        </w:rPr>
      </w:pPr>
    </w:p>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ascii="仿宋" w:hAnsi="仿宋" w:cs="仿宋"/>
          <w:b/>
          <w:color w:val="000000"/>
          <w:lang w:val="zh-CN"/>
        </w:rPr>
      </w:pPr>
      <w:r>
        <w:rPr>
          <w:rFonts w:hint="eastAsia" w:ascii="仿宋" w:hAnsi="仿宋" w:cs="仿宋"/>
          <w:b/>
          <w:color w:val="000000"/>
          <w:lang w:val="zh-CN"/>
        </w:rPr>
        <w:t>16、本合同未尽事宜，遵照《中华人民共和国民法典》有关条文执行。</w:t>
      </w:r>
    </w:p>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ascii="仿宋" w:hAnsi="仿宋" w:cs="仿宋"/>
          <w:color w:val="000000"/>
          <w:lang w:val="zh-CN"/>
        </w:rPr>
      </w:pPr>
      <w:r>
        <w:rPr>
          <w:rFonts w:hint="eastAsia" w:ascii="仿宋" w:hAnsi="仿宋" w:cs="仿宋"/>
          <w:b/>
          <w:color w:val="000000"/>
          <w:lang w:val="zh-CN"/>
        </w:rPr>
        <w:t>17、</w:t>
      </w:r>
      <w:r>
        <w:rPr>
          <w:rFonts w:hint="eastAsia" w:ascii="仿宋" w:hAnsi="仿宋" w:cs="仿宋"/>
          <w:color w:val="000000"/>
          <w:lang w:val="zh-CN"/>
        </w:rPr>
        <w:t>合同经双方授权代表签署，买卖双方加盖印章之后生效。</w:t>
      </w:r>
    </w:p>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ascii="仿宋" w:hAnsi="仿宋" w:cs="仿宋"/>
          <w:lang w:val="zh-CN"/>
        </w:rPr>
      </w:pPr>
      <w:r>
        <w:rPr>
          <w:rFonts w:hint="eastAsia" w:ascii="仿宋" w:hAnsi="仿宋" w:cs="仿宋"/>
          <w:b/>
          <w:color w:val="000000"/>
          <w:lang w:val="zh-CN"/>
        </w:rPr>
        <w:t>18、</w:t>
      </w:r>
      <w:r>
        <w:rPr>
          <w:rFonts w:hint="eastAsia" w:ascii="仿宋" w:hAnsi="仿宋" w:cs="仿宋"/>
          <w:color w:val="000000"/>
          <w:lang w:val="zh-CN"/>
        </w:rPr>
        <w:t>本合同一式份，双方各执份。</w:t>
      </w: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autoSpaceDE w:val="0"/>
              <w:autoSpaceDN w:val="0"/>
              <w:spacing w:line="560" w:lineRule="exact"/>
              <w:ind w:firstLine="0" w:firstLineChars="0"/>
              <w:jc w:val="both"/>
              <w:rPr>
                <w:rFonts w:ascii="仿宋" w:hAnsi="仿宋" w:cs="仿宋"/>
                <w:lang w:val="zh-CN"/>
              </w:rPr>
            </w:pPr>
            <w:r>
              <w:rPr>
                <w:rFonts w:hint="eastAsia" w:ascii="仿宋" w:hAnsi="仿宋" w:cs="仿宋"/>
                <w:b/>
                <w:lang w:val="zh-CN"/>
              </w:rPr>
              <w:t>甲方</w:t>
            </w:r>
            <w:r>
              <w:rPr>
                <w:rFonts w:hint="eastAsia" w:ascii="仿宋" w:hAnsi="仿宋" w:cs="仿宋"/>
                <w:lang w:val="zh-CN"/>
              </w:rPr>
              <w:t>：</w:t>
            </w:r>
          </w:p>
        </w:tc>
        <w:tc>
          <w:tcPr>
            <w:tcW w:w="4643" w:type="dxa"/>
          </w:tcPr>
          <w:p>
            <w:pPr>
              <w:autoSpaceDE w:val="0"/>
              <w:autoSpaceDN w:val="0"/>
              <w:spacing w:line="560" w:lineRule="exact"/>
              <w:ind w:firstLine="0" w:firstLineChars="0"/>
              <w:jc w:val="both"/>
              <w:rPr>
                <w:rFonts w:ascii="仿宋" w:hAnsi="仿宋" w:cs="仿宋"/>
                <w:b/>
                <w:lang w:val="zh-CN"/>
              </w:rPr>
            </w:pPr>
            <w:r>
              <w:rPr>
                <w:rFonts w:hint="eastAsia" w:ascii="仿宋" w:hAnsi="仿宋" w:cs="仿宋"/>
                <w:b/>
                <w:lang w:val="zh-CN"/>
              </w:rPr>
              <w:t>乙方</w:t>
            </w:r>
            <w:r>
              <w:rPr>
                <w:rFonts w:hint="eastAsia" w:ascii="仿宋" w:hAnsi="仿宋" w:cs="仿宋"/>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autoSpaceDE w:val="0"/>
              <w:autoSpaceDN w:val="0"/>
              <w:spacing w:line="560" w:lineRule="exact"/>
              <w:ind w:firstLine="0" w:firstLineChars="0"/>
              <w:jc w:val="both"/>
              <w:rPr>
                <w:rFonts w:ascii="仿宋" w:hAnsi="仿宋" w:cs="仿宋"/>
                <w:lang w:val="zh-CN"/>
              </w:rPr>
            </w:pPr>
            <w:r>
              <w:rPr>
                <w:rFonts w:hint="eastAsia" w:ascii="仿宋" w:hAnsi="仿宋" w:cs="仿宋"/>
                <w:lang w:val="zh-CN"/>
              </w:rPr>
              <w:t>统一社会信用代码：</w:t>
            </w:r>
          </w:p>
        </w:tc>
        <w:tc>
          <w:tcPr>
            <w:tcW w:w="4643" w:type="dxa"/>
          </w:tcPr>
          <w:p>
            <w:pPr>
              <w:autoSpaceDE w:val="0"/>
              <w:autoSpaceDN w:val="0"/>
              <w:spacing w:line="560" w:lineRule="exact"/>
              <w:ind w:firstLine="0" w:firstLineChars="0"/>
              <w:jc w:val="both"/>
              <w:rPr>
                <w:rFonts w:ascii="仿宋" w:hAnsi="仿宋" w:cs="仿宋"/>
                <w:lang w:val="zh-CN"/>
              </w:rPr>
            </w:pPr>
            <w:r>
              <w:rPr>
                <w:rFonts w:hint="eastAsia" w:ascii="仿宋" w:hAnsi="仿宋" w:cs="仿宋"/>
                <w:lang w:val="zh-CN"/>
              </w:rPr>
              <w:t>统一社会信用代码或身份证号码：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autoSpaceDE w:val="0"/>
              <w:autoSpaceDN w:val="0"/>
              <w:spacing w:line="560" w:lineRule="exact"/>
              <w:ind w:firstLine="0" w:firstLineChars="0"/>
              <w:jc w:val="both"/>
              <w:rPr>
                <w:rFonts w:ascii="仿宋" w:hAnsi="仿宋" w:cs="仿宋"/>
                <w:lang w:val="zh-CN"/>
              </w:rPr>
            </w:pPr>
            <w:r>
              <w:rPr>
                <w:rFonts w:hint="eastAsia" w:ascii="仿宋" w:hAnsi="仿宋" w:cs="仿宋"/>
                <w:lang w:val="zh-CN"/>
              </w:rPr>
              <w:t>住所：</w:t>
            </w:r>
          </w:p>
        </w:tc>
        <w:tc>
          <w:tcPr>
            <w:tcW w:w="4643" w:type="dxa"/>
          </w:tcPr>
          <w:p>
            <w:pPr>
              <w:autoSpaceDE w:val="0"/>
              <w:autoSpaceDN w:val="0"/>
              <w:spacing w:line="560" w:lineRule="exact"/>
              <w:ind w:firstLine="0" w:firstLineChars="0"/>
              <w:jc w:val="both"/>
              <w:rPr>
                <w:rFonts w:ascii="仿宋" w:hAnsi="仿宋" w:cs="仿宋"/>
                <w:lang w:val="zh-CN"/>
              </w:rPr>
            </w:pPr>
            <w:r>
              <w:rPr>
                <w:rFonts w:hint="eastAsia" w:ascii="仿宋" w:hAnsi="仿宋" w:cs="仿宋"/>
                <w:lang w:val="zh-CN"/>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autoSpaceDE w:val="0"/>
              <w:autoSpaceDN w:val="0"/>
              <w:spacing w:line="560" w:lineRule="exact"/>
              <w:ind w:firstLine="0" w:firstLineChars="0"/>
              <w:jc w:val="both"/>
              <w:rPr>
                <w:rFonts w:ascii="仿宋" w:hAnsi="仿宋" w:cs="仿宋"/>
                <w:lang w:val="zh-CN"/>
              </w:rPr>
            </w:pPr>
            <w:r>
              <w:rPr>
                <w:rFonts w:hint="eastAsia"/>
                <w:lang w:val="zh-CN"/>
              </w:rPr>
              <w:t>法定</w:t>
            </w:r>
            <w:r>
              <w:rPr>
                <w:rFonts w:hint="eastAsia" w:ascii="仿宋" w:hAnsi="仿宋" w:cs="仿宋"/>
                <w:lang w:val="zh-CN"/>
              </w:rPr>
              <w:t>代表人或</w:t>
            </w:r>
          </w:p>
          <w:p>
            <w:pPr>
              <w:pStyle w:val="28"/>
              <w:jc w:val="both"/>
              <w:rPr>
                <w:rFonts w:ascii="仿宋" w:hAnsi="仿宋" w:cs="仿宋"/>
              </w:rPr>
            </w:pPr>
            <w:r>
              <w:rPr>
                <w:rFonts w:hint="eastAsia" w:ascii="仿宋" w:hAnsi="仿宋" w:cs="仿宋"/>
              </w:rPr>
              <w:t>授权代表（签字）：</w:t>
            </w:r>
          </w:p>
        </w:tc>
        <w:tc>
          <w:tcPr>
            <w:tcW w:w="4643" w:type="dxa"/>
          </w:tcPr>
          <w:p>
            <w:pPr>
              <w:autoSpaceDE w:val="0"/>
              <w:autoSpaceDN w:val="0"/>
              <w:spacing w:line="560" w:lineRule="exact"/>
              <w:ind w:firstLine="0" w:firstLineChars="0"/>
              <w:jc w:val="both"/>
              <w:rPr>
                <w:lang w:val="zh-CN"/>
              </w:rPr>
            </w:pPr>
            <w:r>
              <w:rPr>
                <w:rFonts w:hint="eastAsia"/>
                <w:lang w:val="zh-CN"/>
              </w:rPr>
              <w:t>法定代表人或</w:t>
            </w:r>
          </w:p>
          <w:p>
            <w:pPr>
              <w:pStyle w:val="28"/>
              <w:jc w:val="both"/>
            </w:pPr>
            <w:r>
              <w:rPr>
                <w:rFonts w:hint="eastAsia" w:ascii="仿宋" w:hAnsi="仿宋" w:cs="仿宋"/>
              </w:rPr>
              <w:t>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autoSpaceDE w:val="0"/>
              <w:autoSpaceDN w:val="0"/>
              <w:spacing w:line="560" w:lineRule="exact"/>
              <w:ind w:firstLine="0" w:firstLineChars="0"/>
              <w:jc w:val="both"/>
              <w:rPr>
                <w:rFonts w:ascii="仿宋" w:hAnsi="仿宋" w:cs="仿宋"/>
                <w:lang w:val="zh-CN"/>
              </w:rPr>
            </w:pPr>
            <w:r>
              <w:rPr>
                <w:rFonts w:hint="eastAsia" w:ascii="仿宋" w:hAnsi="仿宋" w:cs="仿宋"/>
                <w:lang w:val="zh-CN"/>
              </w:rPr>
              <w:t>电话：</w:t>
            </w:r>
          </w:p>
        </w:tc>
        <w:tc>
          <w:tcPr>
            <w:tcW w:w="4643" w:type="dxa"/>
          </w:tcPr>
          <w:p>
            <w:pPr>
              <w:autoSpaceDE w:val="0"/>
              <w:autoSpaceDN w:val="0"/>
              <w:spacing w:line="560" w:lineRule="exact"/>
              <w:ind w:firstLine="0" w:firstLineChars="0"/>
              <w:jc w:val="both"/>
              <w:rPr>
                <w:rFonts w:ascii="仿宋" w:hAnsi="仿宋" w:cs="仿宋"/>
                <w:lang w:val="zh-CN"/>
              </w:rPr>
            </w:pPr>
            <w:r>
              <w:rPr>
                <w:rFonts w:hint="eastAsia" w:ascii="仿宋" w:hAnsi="仿宋" w:cs="仿宋"/>
                <w:lang w:val="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autoSpaceDE w:val="0"/>
              <w:autoSpaceDN w:val="0"/>
              <w:spacing w:line="560" w:lineRule="exact"/>
              <w:ind w:firstLine="0" w:firstLineChars="0"/>
              <w:jc w:val="both"/>
              <w:rPr>
                <w:rFonts w:ascii="仿宋" w:hAnsi="仿宋" w:cs="仿宋"/>
              </w:rPr>
            </w:pPr>
            <w:r>
              <w:rPr>
                <w:rFonts w:hint="eastAsia" w:ascii="仿宋" w:hAnsi="仿宋" w:cs="仿宋"/>
              </w:rPr>
              <w:t>开户银行：</w:t>
            </w:r>
          </w:p>
        </w:tc>
        <w:tc>
          <w:tcPr>
            <w:tcW w:w="4643" w:type="dxa"/>
          </w:tcPr>
          <w:p>
            <w:pPr>
              <w:autoSpaceDE w:val="0"/>
              <w:autoSpaceDN w:val="0"/>
              <w:spacing w:line="560" w:lineRule="exact"/>
              <w:ind w:firstLine="0" w:firstLineChars="0"/>
              <w:jc w:val="both"/>
              <w:rPr>
                <w:rFonts w:ascii="仿宋" w:hAnsi="仿宋" w:cs="仿宋"/>
              </w:rPr>
            </w:pPr>
            <w:r>
              <w:rPr>
                <w:rFonts w:hint="eastAsia" w:ascii="仿宋" w:hAnsi="仿宋" w:cs="仿宋"/>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autoSpaceDE w:val="0"/>
              <w:autoSpaceDN w:val="0"/>
              <w:spacing w:line="560" w:lineRule="exact"/>
              <w:ind w:firstLine="0" w:firstLineChars="0"/>
              <w:jc w:val="both"/>
              <w:rPr>
                <w:rFonts w:ascii="仿宋" w:hAnsi="仿宋" w:cs="仿宋"/>
              </w:rPr>
            </w:pPr>
            <w:r>
              <w:rPr>
                <w:rFonts w:hint="eastAsia" w:ascii="仿宋" w:hAnsi="仿宋" w:cs="仿宋"/>
              </w:rPr>
              <w:t>开户名称：</w:t>
            </w:r>
          </w:p>
        </w:tc>
        <w:tc>
          <w:tcPr>
            <w:tcW w:w="4643" w:type="dxa"/>
          </w:tcPr>
          <w:p>
            <w:pPr>
              <w:autoSpaceDE w:val="0"/>
              <w:autoSpaceDN w:val="0"/>
              <w:spacing w:line="560" w:lineRule="exact"/>
              <w:ind w:firstLine="0" w:firstLineChars="0"/>
              <w:jc w:val="both"/>
              <w:rPr>
                <w:rFonts w:ascii="仿宋" w:hAnsi="仿宋" w:cs="仿宋"/>
              </w:rPr>
            </w:pPr>
            <w:r>
              <w:rPr>
                <w:rFonts w:hint="eastAsia" w:ascii="仿宋" w:hAnsi="仿宋" w:cs="仿宋"/>
              </w:rPr>
              <w:t>开户名称：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autoSpaceDE w:val="0"/>
              <w:autoSpaceDN w:val="0"/>
              <w:spacing w:line="560" w:lineRule="exact"/>
              <w:ind w:firstLine="0" w:firstLineChars="0"/>
              <w:jc w:val="both"/>
              <w:rPr>
                <w:rFonts w:ascii="仿宋" w:hAnsi="仿宋" w:cs="仿宋"/>
              </w:rPr>
            </w:pPr>
            <w:r>
              <w:rPr>
                <w:rFonts w:hint="eastAsia" w:ascii="仿宋" w:hAnsi="仿宋" w:cs="仿宋"/>
              </w:rPr>
              <w:t>开户账号：</w:t>
            </w:r>
          </w:p>
        </w:tc>
        <w:tc>
          <w:tcPr>
            <w:tcW w:w="4643" w:type="dxa"/>
          </w:tcPr>
          <w:p>
            <w:pPr>
              <w:autoSpaceDE w:val="0"/>
              <w:autoSpaceDN w:val="0"/>
              <w:spacing w:line="560" w:lineRule="exact"/>
              <w:ind w:firstLine="0" w:firstLineChars="0"/>
              <w:jc w:val="both"/>
              <w:rPr>
                <w:rFonts w:ascii="仿宋" w:hAnsi="仿宋" w:cs="仿宋"/>
              </w:rPr>
            </w:pPr>
            <w:r>
              <w:rPr>
                <w:rFonts w:hint="eastAsia" w:ascii="仿宋" w:hAnsi="仿宋" w:cs="仿宋"/>
              </w:rPr>
              <w:t>开户账号：</w:t>
            </w:r>
          </w:p>
        </w:tc>
        <w:bookmarkStart w:id="415" w:name="_Toc331685783"/>
      </w:tr>
    </w:tbl>
    <w:p>
      <w:pPr>
        <w:widowControl/>
        <w:spacing w:line="560" w:lineRule="exact"/>
        <w:rPr>
          <w:rFonts w:ascii="仿宋" w:hAnsi="仿宋" w:cs="仿宋"/>
          <w:b/>
        </w:rPr>
      </w:pPr>
    </w:p>
    <w:p>
      <w:pPr>
        <w:rPr>
          <w:rFonts w:ascii="仿宋" w:hAnsi="仿宋" w:cs="仿宋"/>
          <w:b/>
        </w:rPr>
      </w:pPr>
      <w:r>
        <w:rPr>
          <w:rFonts w:hint="eastAsia" w:ascii="仿宋" w:hAnsi="仿宋" w:cs="仿宋"/>
          <w:b/>
        </w:rPr>
        <w:br w:type="page"/>
      </w:r>
    </w:p>
    <w:bookmarkEnd w:id="415"/>
    <w:p>
      <w:pPr>
        <w:pStyle w:val="3"/>
        <w:rPr>
          <w:rFonts w:ascii="仿宋" w:hAnsi="仿宋" w:cs="仿宋"/>
        </w:rPr>
      </w:pPr>
      <w:bookmarkStart w:id="416" w:name="_Toc14688"/>
      <w:r>
        <w:rPr>
          <w:rFonts w:hint="eastAsia" w:ascii="仿宋" w:hAnsi="仿宋" w:cs="仿宋"/>
        </w:rPr>
        <w:t>第六部分</w:t>
      </w:r>
      <w:bookmarkEnd w:id="412"/>
      <w:bookmarkEnd w:id="413"/>
      <w:r>
        <w:rPr>
          <w:rFonts w:hint="eastAsia" w:ascii="仿宋" w:hAnsi="仿宋" w:cs="仿宋"/>
        </w:rPr>
        <w:t>应提交的有关格式范例</w:t>
      </w:r>
      <w:bookmarkEnd w:id="416"/>
    </w:p>
    <w:p>
      <w:pPr>
        <w:ind w:firstLine="480"/>
        <w:rPr>
          <w:rFonts w:ascii="仿宋" w:hAnsi="仿宋" w:cs="仿宋"/>
        </w:rPr>
      </w:pPr>
    </w:p>
    <w:p>
      <w:pPr>
        <w:pStyle w:val="5"/>
      </w:pPr>
      <w:bookmarkStart w:id="417" w:name="_Toc13329"/>
      <w:r>
        <w:rPr>
          <w:rFonts w:hint="eastAsia"/>
        </w:rPr>
        <w:t>资格文件部分</w:t>
      </w:r>
      <w:bookmarkEnd w:id="417"/>
    </w:p>
    <w:p>
      <w:pPr>
        <w:pStyle w:val="9"/>
        <w:spacing w:before="120" w:after="240"/>
        <w:rPr>
          <w:rFonts w:ascii="仿宋" w:hAnsi="仿宋" w:cs="仿宋"/>
        </w:rPr>
      </w:pPr>
      <w:r>
        <w:rPr>
          <w:rFonts w:hint="eastAsia" w:ascii="仿宋" w:hAnsi="仿宋" w:cs="仿宋"/>
        </w:rPr>
        <w:t>目录</w:t>
      </w:r>
    </w:p>
    <w:p>
      <w:pPr>
        <w:ind w:firstLine="480"/>
        <w:rPr>
          <w:rFonts w:ascii="仿宋" w:hAnsi="仿宋" w:cs="仿宋"/>
        </w:rPr>
      </w:pPr>
    </w:p>
    <w:p>
      <w:pPr>
        <w:ind w:firstLine="480"/>
        <w:rPr>
          <w:rFonts w:ascii="仿宋" w:hAnsi="仿宋" w:cs="仿宋"/>
        </w:rPr>
      </w:pPr>
      <w:r>
        <w:rPr>
          <w:rFonts w:hint="eastAsia" w:ascii="仿宋" w:hAnsi="仿宋" w:cs="仿宋"/>
        </w:rPr>
        <w:t>（1）符合参加政府采购活动应当具备的一般条件的承诺函……………（页码）</w:t>
      </w:r>
    </w:p>
    <w:p>
      <w:pPr>
        <w:snapToGrid w:val="0"/>
        <w:ind w:firstLine="480"/>
        <w:rPr>
          <w:rFonts w:ascii="仿宋" w:hAnsi="仿宋" w:cs="仿宋"/>
        </w:rPr>
      </w:pPr>
    </w:p>
    <w:p>
      <w:pPr>
        <w:ind w:firstLine="480"/>
        <w:rPr>
          <w:rFonts w:ascii="仿宋" w:hAnsi="仿宋" w:cs="仿宋"/>
        </w:rPr>
      </w:pPr>
    </w:p>
    <w:p>
      <w:pPr>
        <w:pStyle w:val="9"/>
        <w:spacing w:before="120" w:after="240"/>
        <w:ind w:left="1151" w:hanging="1151"/>
        <w:rPr>
          <w:rFonts w:ascii="仿宋" w:hAnsi="仿宋" w:cs="仿宋"/>
          <w:kern w:val="0"/>
          <w:szCs w:val="32"/>
        </w:rPr>
      </w:pPr>
      <w:r>
        <w:rPr>
          <w:rFonts w:hint="eastAsia" w:ascii="仿宋" w:hAnsi="仿宋" w:cs="仿宋"/>
          <w:kern w:val="0"/>
          <w:sz w:val="24"/>
        </w:rPr>
        <w:br w:type="page"/>
      </w:r>
      <w:r>
        <w:rPr>
          <w:rFonts w:hint="eastAsia" w:ascii="仿宋" w:hAnsi="仿宋" w:cs="仿宋"/>
          <w:kern w:val="0"/>
          <w:szCs w:val="32"/>
        </w:rPr>
        <w:t>一、符合参加政府采购活动应当具备的一般条件的承诺函</w:t>
      </w:r>
    </w:p>
    <w:p>
      <w:pPr>
        <w:pStyle w:val="28"/>
        <w:rPr>
          <w:rFonts w:ascii="仿宋" w:hAnsi="仿宋" w:cs="仿宋"/>
        </w:rPr>
      </w:pPr>
      <w:r>
        <w:rPr>
          <w:rFonts w:hint="eastAsia" w:ascii="仿宋" w:hAnsi="仿宋" w:cs="仿宋"/>
          <w:u w:val="single"/>
        </w:rPr>
        <w:t>（采购人）、（采购机构）</w:t>
      </w:r>
      <w:r>
        <w:rPr>
          <w:rFonts w:hint="eastAsia" w:ascii="仿宋" w:hAnsi="仿宋" w:cs="仿宋"/>
        </w:rPr>
        <w:t>：</w:t>
      </w:r>
    </w:p>
    <w:p>
      <w:pPr>
        <w:snapToGrid w:val="0"/>
        <w:ind w:firstLine="48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【项目编号：</w:t>
      </w:r>
      <w:r>
        <w:rPr>
          <w:rFonts w:hint="eastAsia" w:ascii="仿宋" w:hAnsi="仿宋" w:cs="仿宋"/>
          <w:u w:val="single"/>
        </w:rPr>
        <w:t>CXZFCG[2022]</w:t>
      </w:r>
      <w:r>
        <w:rPr>
          <w:rFonts w:hint="eastAsia" w:ascii="仿宋" w:hAnsi="仿宋" w:cs="仿宋"/>
          <w:u w:val="single"/>
          <w:lang w:eastAsia="zh-CN"/>
        </w:rPr>
        <w:t>3279号</w:t>
      </w:r>
      <w:r>
        <w:rPr>
          <w:rFonts w:hint="eastAsia" w:ascii="仿宋" w:hAnsi="仿宋" w:cs="仿宋"/>
        </w:rPr>
        <w:t>】政府采购活动，郑重承诺：</w:t>
      </w:r>
    </w:p>
    <w:p>
      <w:pPr>
        <w:snapToGrid w:val="0"/>
        <w:ind w:firstLine="360" w:firstLineChars="150"/>
        <w:rPr>
          <w:rFonts w:ascii="仿宋" w:hAnsi="仿宋" w:cs="仿宋"/>
        </w:rPr>
      </w:pPr>
      <w:r>
        <w:rPr>
          <w:rFonts w:hint="eastAsia" w:ascii="仿宋" w:hAnsi="仿宋" w:cs="仿宋"/>
        </w:rPr>
        <w:t>（一）具备《中华人民共和国政府采购法》第二十二条第一款规定的条件：</w:t>
      </w:r>
    </w:p>
    <w:p>
      <w:pPr>
        <w:snapToGrid w:val="0"/>
        <w:ind w:firstLine="480"/>
        <w:rPr>
          <w:rFonts w:ascii="仿宋" w:hAnsi="仿宋" w:cs="仿宋"/>
        </w:rPr>
      </w:pPr>
      <w:r>
        <w:rPr>
          <w:rFonts w:hint="eastAsia" w:ascii="仿宋" w:hAnsi="仿宋" w:cs="仿宋"/>
        </w:rPr>
        <w:t>1、具有独立承担民事责任的能力；</w:t>
      </w:r>
    </w:p>
    <w:p>
      <w:pPr>
        <w:snapToGrid w:val="0"/>
        <w:ind w:firstLine="480"/>
        <w:rPr>
          <w:rFonts w:ascii="仿宋" w:hAnsi="仿宋" w:cs="仿宋"/>
        </w:rPr>
      </w:pPr>
      <w:r>
        <w:rPr>
          <w:rFonts w:hint="eastAsia" w:ascii="仿宋" w:hAnsi="仿宋" w:cs="仿宋"/>
        </w:rPr>
        <w:t>2、具有良好的商业信誉和健全的财务会计制度；</w:t>
      </w:r>
    </w:p>
    <w:p>
      <w:pPr>
        <w:snapToGrid w:val="0"/>
        <w:ind w:firstLine="480"/>
        <w:rPr>
          <w:rFonts w:ascii="仿宋" w:hAnsi="仿宋" w:cs="仿宋"/>
        </w:rPr>
      </w:pPr>
      <w:r>
        <w:rPr>
          <w:rFonts w:hint="eastAsia" w:ascii="仿宋" w:hAnsi="仿宋" w:cs="仿宋"/>
        </w:rPr>
        <w:t>3、具有履行合同所必需的设备和专业技术能力；</w:t>
      </w:r>
    </w:p>
    <w:p>
      <w:pPr>
        <w:snapToGrid w:val="0"/>
        <w:ind w:firstLine="480"/>
        <w:rPr>
          <w:rFonts w:ascii="仿宋" w:hAnsi="仿宋" w:cs="仿宋"/>
        </w:rPr>
      </w:pPr>
      <w:r>
        <w:rPr>
          <w:rFonts w:hint="eastAsia" w:ascii="仿宋" w:hAnsi="仿宋" w:cs="仿宋"/>
        </w:rPr>
        <w:t>4、有依法缴纳税收和社会保障资金的良好记录；</w:t>
      </w:r>
    </w:p>
    <w:p>
      <w:pPr>
        <w:snapToGrid w:val="0"/>
        <w:ind w:firstLine="480"/>
        <w:rPr>
          <w:rFonts w:ascii="仿宋" w:hAnsi="仿宋" w:cs="仿宋"/>
        </w:rPr>
      </w:pPr>
      <w:r>
        <w:rPr>
          <w:rFonts w:hint="eastAsia" w:ascii="仿宋" w:hAnsi="仿宋" w:cs="仿宋"/>
        </w:rPr>
        <w:t>5、参加政府采购活动前三年内，在经营活动中没有重大违法记录；</w:t>
      </w:r>
    </w:p>
    <w:p>
      <w:pPr>
        <w:snapToGrid w:val="0"/>
        <w:ind w:firstLine="480"/>
        <w:rPr>
          <w:rFonts w:ascii="仿宋" w:hAnsi="仿宋" w:cs="仿宋"/>
        </w:rPr>
      </w:pPr>
      <w:r>
        <w:rPr>
          <w:rFonts w:hint="eastAsia" w:ascii="仿宋" w:hAnsi="仿宋" w:cs="仿宋"/>
        </w:rPr>
        <w:t>6、具有法律、行政法规规定的其他条件。</w:t>
      </w:r>
    </w:p>
    <w:p>
      <w:pPr>
        <w:snapToGrid w:val="0"/>
        <w:ind w:firstLine="480"/>
        <w:rPr>
          <w:rFonts w:ascii="仿宋" w:hAnsi="仿宋" w:cs="仿宋"/>
        </w:rPr>
      </w:pPr>
      <w:r>
        <w:rPr>
          <w:rFonts w:hint="eastAsia" w:ascii="仿宋" w:hAnsi="仿宋" w:cs="仿宋"/>
        </w:rPr>
        <w:t>（二）未被信用中国（www.creditchina.gov.cn）、中国政府采购网（www.ccgp.gov.cn）列入失信被执行人、重大税收违法案件当事人名单、政府采购严重违法失信行为记录名单。</w:t>
      </w:r>
    </w:p>
    <w:p>
      <w:pPr>
        <w:snapToGrid w:val="0"/>
        <w:ind w:firstLine="480"/>
        <w:rPr>
          <w:rFonts w:ascii="仿宋" w:hAnsi="仿宋" w:cs="仿宋"/>
        </w:rPr>
      </w:pPr>
      <w:r>
        <w:rPr>
          <w:rFonts w:hint="eastAsia" w:ascii="仿宋" w:hAnsi="仿宋" w:cs="仿宋"/>
        </w:rPr>
        <w:t>（三）不存在以下情况：</w:t>
      </w:r>
    </w:p>
    <w:p>
      <w:pPr>
        <w:snapToGrid w:val="0"/>
        <w:ind w:firstLine="480"/>
        <w:rPr>
          <w:rFonts w:ascii="仿宋" w:hAnsi="仿宋" w:cs="仿宋"/>
        </w:rPr>
      </w:pPr>
      <w:r>
        <w:rPr>
          <w:rFonts w:hint="eastAsia" w:ascii="仿宋" w:hAnsi="仿宋" w:cs="仿宋"/>
        </w:rPr>
        <w:t>1、单位负责人为同一人或者存在直接控股、管理关系的不同供应商参加同一合同项下的政府采购活动的；</w:t>
      </w:r>
    </w:p>
    <w:p>
      <w:pPr>
        <w:snapToGrid w:val="0"/>
        <w:ind w:firstLine="480"/>
        <w:rPr>
          <w:rFonts w:ascii="仿宋" w:hAnsi="仿宋" w:cs="仿宋"/>
        </w:rPr>
      </w:pPr>
      <w:r>
        <w:rPr>
          <w:rFonts w:hint="eastAsia" w:ascii="仿宋" w:hAnsi="仿宋" w:cs="仿宋"/>
        </w:rPr>
        <w:t>2、为采购项目提供整体设计、规范编制或者项目管理、监理、检测等服务后再参加该采购项目的其他采购活动的。</w:t>
      </w:r>
    </w:p>
    <w:p>
      <w:pPr>
        <w:snapToGrid w:val="0"/>
        <w:ind w:firstLine="5520" w:firstLineChars="2300"/>
        <w:rPr>
          <w:rFonts w:ascii="仿宋" w:hAnsi="仿宋" w:cs="仿宋"/>
          <w:kern w:val="0"/>
        </w:rPr>
      </w:pPr>
      <w:r>
        <w:rPr>
          <w:rFonts w:hint="eastAsia" w:ascii="仿宋" w:hAnsi="仿宋" w:cs="仿宋"/>
          <w:kern w:val="0"/>
          <w:lang w:val="zh-CN"/>
        </w:rPr>
        <w:t>供应商名称（电子签名）：</w:t>
      </w:r>
    </w:p>
    <w:p>
      <w:pPr>
        <w:snapToGrid w:val="0"/>
        <w:ind w:firstLine="480"/>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pPr>
        <w:snapToGrid w:val="0"/>
        <w:ind w:right="480" w:firstLine="643"/>
        <w:jc w:val="center"/>
        <w:rPr>
          <w:rFonts w:ascii="仿宋" w:hAnsi="仿宋" w:cs="仿宋"/>
          <w:b/>
          <w:kern w:val="0"/>
          <w:sz w:val="32"/>
          <w:szCs w:val="32"/>
        </w:rPr>
      </w:pPr>
    </w:p>
    <w:p>
      <w:pPr>
        <w:ind w:firstLine="667"/>
        <w:rPr>
          <w:rFonts w:ascii="仿宋" w:hAnsi="仿宋" w:cs="仿宋"/>
          <w:b/>
          <w:spacing w:val="6"/>
          <w:sz w:val="32"/>
          <w:szCs w:val="32"/>
        </w:rPr>
      </w:pPr>
      <w:r>
        <w:rPr>
          <w:rFonts w:hint="eastAsia" w:ascii="仿宋" w:hAnsi="仿宋" w:cs="仿宋"/>
          <w:b/>
          <w:spacing w:val="6"/>
          <w:sz w:val="32"/>
          <w:szCs w:val="32"/>
        </w:rPr>
        <w:br w:type="page"/>
      </w:r>
    </w:p>
    <w:p>
      <w:pPr>
        <w:pStyle w:val="5"/>
      </w:pPr>
      <w:bookmarkStart w:id="418" w:name="_Toc2700"/>
      <w:r>
        <w:rPr>
          <w:rFonts w:hint="eastAsia"/>
        </w:rPr>
        <w:t>商务技术文件部分</w:t>
      </w:r>
      <w:bookmarkEnd w:id="418"/>
    </w:p>
    <w:p>
      <w:pPr>
        <w:pStyle w:val="9"/>
        <w:spacing w:before="120" w:after="240"/>
        <w:rPr>
          <w:rFonts w:ascii="仿宋" w:hAnsi="仿宋" w:cs="仿宋"/>
        </w:rPr>
      </w:pPr>
      <w:r>
        <w:rPr>
          <w:rFonts w:hint="eastAsia" w:ascii="仿宋" w:hAnsi="仿宋" w:cs="仿宋"/>
        </w:rPr>
        <w:t>目录</w:t>
      </w:r>
    </w:p>
    <w:p>
      <w:pPr>
        <w:ind w:firstLine="480"/>
        <w:rPr>
          <w:rFonts w:ascii="仿宋" w:hAnsi="仿宋" w:cs="仿宋"/>
        </w:rPr>
      </w:pPr>
      <w:r>
        <w:rPr>
          <w:rFonts w:hint="eastAsia" w:ascii="仿宋" w:hAnsi="仿宋" w:cs="仿宋"/>
        </w:rPr>
        <w:t>（1）磋商响应函…………………………………………………………………（页码）</w:t>
      </w:r>
    </w:p>
    <w:p>
      <w:pPr>
        <w:ind w:firstLine="480"/>
        <w:rPr>
          <w:rFonts w:ascii="仿宋" w:hAnsi="仿宋" w:cs="仿宋"/>
        </w:rPr>
      </w:pPr>
      <w:r>
        <w:rPr>
          <w:rFonts w:hint="eastAsia" w:ascii="仿宋" w:hAnsi="仿宋" w:cs="仿宋"/>
        </w:rPr>
        <w:t>（2）授权委托书或法定代表人（单位负责人、自然人本人）身份证明……（页码）</w:t>
      </w:r>
    </w:p>
    <w:p>
      <w:pPr>
        <w:ind w:firstLine="480"/>
        <w:rPr>
          <w:rFonts w:ascii="仿宋" w:hAnsi="仿宋" w:cs="仿宋"/>
        </w:rPr>
      </w:pPr>
      <w:r>
        <w:rPr>
          <w:rFonts w:hint="eastAsia" w:ascii="仿宋" w:hAnsi="仿宋" w:cs="仿宋"/>
        </w:rPr>
        <w:t>（3）符合性审查资料……………………………………………………………（页码）</w:t>
      </w:r>
    </w:p>
    <w:p>
      <w:pPr>
        <w:ind w:firstLine="480"/>
        <w:rPr>
          <w:rFonts w:ascii="仿宋" w:hAnsi="仿宋" w:cs="仿宋"/>
        </w:rPr>
      </w:pPr>
      <w:r>
        <w:rPr>
          <w:rFonts w:hint="eastAsia" w:ascii="仿宋" w:hAnsi="仿宋" w:cs="仿宋"/>
        </w:rPr>
        <w:t>（4）商务条款偏离表……………………………………………………………（页码）</w:t>
      </w:r>
    </w:p>
    <w:p>
      <w:pPr>
        <w:ind w:firstLine="480"/>
        <w:rPr>
          <w:rFonts w:ascii="仿宋" w:hAnsi="仿宋" w:cs="仿宋"/>
        </w:rPr>
      </w:pPr>
      <w:r>
        <w:rPr>
          <w:rFonts w:hint="eastAsia" w:ascii="仿宋" w:hAnsi="仿宋" w:cs="仿宋"/>
        </w:rPr>
        <w:t>（5）技术条款偏离表……………………………………………………………（页码）</w:t>
      </w:r>
    </w:p>
    <w:p>
      <w:pPr>
        <w:ind w:firstLine="480"/>
        <w:rPr>
          <w:rFonts w:ascii="仿宋" w:hAnsi="仿宋" w:cs="仿宋"/>
        </w:rPr>
      </w:pPr>
      <w:r>
        <w:rPr>
          <w:rFonts w:hint="eastAsia" w:ascii="仿宋" w:hAnsi="仿宋" w:cs="仿宋"/>
          <w:lang w:val="zh-CN"/>
        </w:rPr>
        <w:t>（</w:t>
      </w:r>
      <w:r>
        <w:rPr>
          <w:rFonts w:hint="eastAsia" w:ascii="仿宋" w:hAnsi="仿宋" w:cs="仿宋"/>
        </w:rPr>
        <w:t>6</w:t>
      </w:r>
      <w:r>
        <w:rPr>
          <w:rFonts w:hint="eastAsia" w:ascii="仿宋" w:hAnsi="仿宋" w:cs="仿宋"/>
          <w:lang w:val="zh-CN"/>
        </w:rPr>
        <w:t>）</w:t>
      </w:r>
      <w:r>
        <w:rPr>
          <w:rFonts w:hint="eastAsia" w:ascii="仿宋" w:hAnsi="仿宋" w:cs="仿宋"/>
        </w:rPr>
        <w:t>评审标准相应的商务技术资料……………………………………………（页码）</w:t>
      </w:r>
    </w:p>
    <w:p>
      <w:pPr>
        <w:ind w:firstLine="480"/>
        <w:rPr>
          <w:rFonts w:ascii="仿宋" w:hAnsi="仿宋" w:cs="仿宋"/>
        </w:rPr>
      </w:pPr>
      <w:r>
        <w:rPr>
          <w:rFonts w:hint="eastAsia" w:ascii="仿宋" w:hAnsi="仿宋" w:cs="仿宋"/>
          <w:lang w:val="zh-CN"/>
        </w:rPr>
        <w:t>（</w:t>
      </w:r>
      <w:r>
        <w:rPr>
          <w:rFonts w:hint="eastAsia" w:ascii="仿宋" w:hAnsi="仿宋" w:cs="仿宋"/>
        </w:rPr>
        <w:t>7</w:t>
      </w:r>
      <w:r>
        <w:rPr>
          <w:rFonts w:hint="eastAsia" w:ascii="仿宋" w:hAnsi="仿宋" w:cs="仿宋"/>
          <w:lang w:val="zh-CN"/>
        </w:rPr>
        <w:t>）政府采购供应商廉洁自律承诺书</w:t>
      </w:r>
      <w:r>
        <w:rPr>
          <w:rFonts w:hint="eastAsia" w:ascii="仿宋" w:hAnsi="仿宋" w:cs="仿宋"/>
        </w:rPr>
        <w:t>…………………………………………（页码）</w:t>
      </w:r>
    </w:p>
    <w:p>
      <w:pPr>
        <w:ind w:firstLine="480"/>
        <w:rPr>
          <w:rFonts w:ascii="仿宋" w:hAnsi="仿宋" w:cs="仿宋"/>
          <w:lang w:val="zh-CN"/>
        </w:rPr>
      </w:pPr>
    </w:p>
    <w:p>
      <w:pPr>
        <w:ind w:firstLine="480"/>
        <w:rPr>
          <w:rFonts w:ascii="仿宋" w:hAnsi="仿宋" w:cs="仿宋"/>
          <w:lang w:val="zh-CN"/>
        </w:rPr>
      </w:pPr>
    </w:p>
    <w:p>
      <w:pPr>
        <w:ind w:firstLine="480"/>
        <w:rPr>
          <w:rFonts w:ascii="仿宋" w:hAnsi="仿宋" w:cs="仿宋"/>
          <w:lang w:val="zh-CN"/>
        </w:rPr>
      </w:pPr>
    </w:p>
    <w:p>
      <w:pPr>
        <w:ind w:firstLine="480"/>
        <w:rPr>
          <w:rFonts w:ascii="仿宋" w:hAnsi="仿宋" w:cs="仿宋"/>
          <w:lang w:val="zh-CN"/>
        </w:rPr>
      </w:pPr>
    </w:p>
    <w:p>
      <w:pPr>
        <w:ind w:firstLine="480"/>
        <w:rPr>
          <w:rFonts w:ascii="仿宋" w:hAnsi="仿宋" w:cs="仿宋"/>
          <w:lang w:val="zh-CN"/>
        </w:rPr>
      </w:pPr>
    </w:p>
    <w:p>
      <w:pPr>
        <w:ind w:firstLine="480"/>
        <w:rPr>
          <w:rFonts w:ascii="仿宋" w:hAnsi="仿宋" w:cs="仿宋"/>
        </w:rPr>
      </w:pPr>
    </w:p>
    <w:p>
      <w:pPr>
        <w:ind w:firstLine="480"/>
        <w:rPr>
          <w:rFonts w:ascii="仿宋" w:hAnsi="仿宋" w:cs="仿宋"/>
        </w:rPr>
      </w:pPr>
    </w:p>
    <w:p>
      <w:pPr>
        <w:ind w:firstLine="480"/>
        <w:rPr>
          <w:rFonts w:ascii="仿宋" w:hAnsi="仿宋" w:cs="仿宋"/>
        </w:rPr>
      </w:pPr>
    </w:p>
    <w:p>
      <w:pPr>
        <w:ind w:firstLine="480"/>
        <w:rPr>
          <w:rFonts w:ascii="仿宋" w:hAnsi="仿宋" w:cs="仿宋"/>
        </w:rPr>
      </w:pPr>
    </w:p>
    <w:p>
      <w:pPr>
        <w:ind w:firstLine="480"/>
        <w:rPr>
          <w:rFonts w:ascii="仿宋" w:hAnsi="仿宋" w:cs="仿宋"/>
        </w:rPr>
      </w:pPr>
    </w:p>
    <w:p>
      <w:pPr>
        <w:ind w:firstLine="480"/>
        <w:rPr>
          <w:rFonts w:ascii="仿宋" w:hAnsi="仿宋" w:cs="仿宋"/>
        </w:rPr>
      </w:pPr>
    </w:p>
    <w:p>
      <w:pPr>
        <w:ind w:firstLine="480"/>
        <w:rPr>
          <w:rFonts w:ascii="仿宋" w:hAnsi="仿宋" w:cs="仿宋"/>
        </w:rPr>
      </w:pPr>
    </w:p>
    <w:p>
      <w:pPr>
        <w:ind w:firstLine="480"/>
        <w:rPr>
          <w:rFonts w:ascii="仿宋" w:hAnsi="仿宋" w:cs="仿宋"/>
        </w:rPr>
      </w:pPr>
    </w:p>
    <w:p>
      <w:pPr>
        <w:ind w:firstLine="480"/>
        <w:rPr>
          <w:rFonts w:ascii="仿宋" w:hAnsi="仿宋" w:cs="仿宋"/>
        </w:rPr>
      </w:pPr>
    </w:p>
    <w:p>
      <w:pPr>
        <w:ind w:firstLine="643"/>
        <w:rPr>
          <w:rFonts w:ascii="仿宋" w:hAnsi="仿宋" w:cs="仿宋"/>
          <w:b/>
          <w:kern w:val="0"/>
          <w:sz w:val="32"/>
          <w:szCs w:val="32"/>
        </w:rPr>
      </w:pPr>
      <w:r>
        <w:rPr>
          <w:rFonts w:hint="eastAsia" w:ascii="仿宋" w:hAnsi="仿宋" w:cs="仿宋"/>
          <w:b/>
          <w:kern w:val="0"/>
          <w:sz w:val="32"/>
          <w:szCs w:val="32"/>
        </w:rPr>
        <w:br w:type="page"/>
      </w:r>
    </w:p>
    <w:p>
      <w:pPr>
        <w:pStyle w:val="9"/>
        <w:spacing w:before="120" w:after="240"/>
      </w:pPr>
      <w:r>
        <w:rPr>
          <w:rFonts w:hint="eastAsia"/>
        </w:rPr>
        <w:t>一、磋商响应函</w:t>
      </w:r>
    </w:p>
    <w:p>
      <w:pPr>
        <w:pStyle w:val="28"/>
        <w:keepNext w:val="0"/>
        <w:keepLines w:val="0"/>
        <w:pageBreakBefore w:val="0"/>
        <w:widowControl w:val="0"/>
        <w:kinsoku/>
        <w:wordWrap/>
        <w:overflowPunct/>
        <w:topLinePunct w:val="0"/>
        <w:bidi w:val="0"/>
        <w:adjustRightInd w:val="0"/>
        <w:spacing w:line="336" w:lineRule="auto"/>
        <w:textAlignment w:val="auto"/>
        <w:rPr>
          <w:rFonts w:ascii="仿宋" w:hAnsi="仿宋" w:cs="仿宋"/>
        </w:rPr>
      </w:pPr>
      <w:r>
        <w:rPr>
          <w:rStyle w:val="433"/>
          <w:rFonts w:hint="eastAsia" w:ascii="仿宋" w:hAnsi="仿宋" w:cs="仿宋"/>
          <w:u w:val="single"/>
        </w:rPr>
        <w:t>（采购人）、（采购机构）</w:t>
      </w:r>
      <w:r>
        <w:rPr>
          <w:rFonts w:hint="eastAsia" w:ascii="仿宋" w:hAnsi="仿宋" w:cs="仿宋"/>
        </w:rPr>
        <w:t>：</w:t>
      </w:r>
    </w:p>
    <w:p>
      <w:pPr>
        <w:keepNext w:val="0"/>
        <w:keepLines w:val="0"/>
        <w:pageBreakBefore w:val="0"/>
        <w:widowControl w:val="0"/>
        <w:kinsoku/>
        <w:wordWrap/>
        <w:overflowPunct/>
        <w:topLinePunct w:val="0"/>
        <w:bidi w:val="0"/>
        <w:adjustRightInd w:val="0"/>
        <w:snapToGrid w:val="0"/>
        <w:spacing w:line="336" w:lineRule="auto"/>
        <w:ind w:firstLine="480"/>
        <w:textAlignment w:val="auto"/>
        <w:rPr>
          <w:rFonts w:ascii="仿宋" w:hAnsi="仿宋" w:cs="仿宋"/>
        </w:rPr>
      </w:pPr>
      <w:r>
        <w:rPr>
          <w:rFonts w:hint="eastAsia" w:ascii="仿宋" w:hAnsi="仿宋" w:cs="仿宋"/>
        </w:rPr>
        <w:t>我方参加你方组织的</w:t>
      </w:r>
      <w:r>
        <w:rPr>
          <w:rFonts w:hint="eastAsia" w:ascii="仿宋" w:hAnsi="仿宋" w:cs="仿宋"/>
          <w:u w:val="single"/>
        </w:rPr>
        <w:t>（项目名称）</w:t>
      </w:r>
      <w:r>
        <w:rPr>
          <w:rFonts w:hint="eastAsia" w:ascii="仿宋" w:hAnsi="仿宋" w:cs="仿宋"/>
        </w:rPr>
        <w:t>【项目编号：</w:t>
      </w:r>
      <w:r>
        <w:rPr>
          <w:rFonts w:hint="eastAsia" w:ascii="仿宋" w:hAnsi="仿宋" w:cs="仿宋"/>
          <w:u w:val="single"/>
        </w:rPr>
        <w:t>CXZFCG[2022]</w:t>
      </w:r>
      <w:r>
        <w:rPr>
          <w:rFonts w:hint="eastAsia" w:ascii="仿宋" w:hAnsi="仿宋" w:cs="仿宋"/>
          <w:u w:val="single"/>
          <w:lang w:eastAsia="zh-CN"/>
        </w:rPr>
        <w:t>3279号</w:t>
      </w:r>
      <w:r>
        <w:rPr>
          <w:rFonts w:hint="eastAsia" w:ascii="仿宋" w:hAnsi="仿宋" w:cs="仿宋"/>
        </w:rPr>
        <w:t>】采购的有关活动，并对此项目进行响应。为此：</w:t>
      </w:r>
    </w:p>
    <w:p>
      <w:pPr>
        <w:keepNext w:val="0"/>
        <w:keepLines w:val="0"/>
        <w:pageBreakBefore w:val="0"/>
        <w:widowControl w:val="0"/>
        <w:kinsoku/>
        <w:wordWrap/>
        <w:overflowPunct/>
        <w:topLinePunct w:val="0"/>
        <w:bidi w:val="0"/>
        <w:adjustRightInd w:val="0"/>
        <w:spacing w:line="336" w:lineRule="auto"/>
        <w:ind w:firstLine="480"/>
        <w:textAlignment w:val="auto"/>
      </w:pPr>
      <w:r>
        <w:rPr>
          <w:rFonts w:hint="eastAsia"/>
        </w:rPr>
        <w:t>1、我方承诺响应有效期从提交响应文件的截止之日起</w:t>
      </w:r>
      <w:r>
        <w:rPr>
          <w:rFonts w:hint="eastAsia"/>
          <w:u w:val="single"/>
        </w:rPr>
        <w:t xml:space="preserve">   </w:t>
      </w:r>
      <w:r>
        <w:rPr>
          <w:rFonts w:hint="eastAsia"/>
        </w:rPr>
        <w:t>天（不少于90天），本响应文件在响应有效期满之前均具有约束力。</w:t>
      </w:r>
    </w:p>
    <w:p>
      <w:pPr>
        <w:keepNext w:val="0"/>
        <w:keepLines w:val="0"/>
        <w:pageBreakBefore w:val="0"/>
        <w:widowControl w:val="0"/>
        <w:kinsoku/>
        <w:wordWrap/>
        <w:overflowPunct/>
        <w:topLinePunct w:val="0"/>
        <w:bidi w:val="0"/>
        <w:adjustRightInd w:val="0"/>
        <w:spacing w:line="336" w:lineRule="auto"/>
        <w:ind w:firstLine="480"/>
        <w:textAlignment w:val="auto"/>
      </w:pPr>
      <w:r>
        <w:rPr>
          <w:rFonts w:hint="eastAsia"/>
        </w:rPr>
        <w:t>2、我方的响应文件包括以下内容：</w:t>
      </w:r>
    </w:p>
    <w:p>
      <w:pPr>
        <w:keepNext w:val="0"/>
        <w:keepLines w:val="0"/>
        <w:pageBreakBefore w:val="0"/>
        <w:widowControl w:val="0"/>
        <w:kinsoku/>
        <w:wordWrap/>
        <w:overflowPunct/>
        <w:topLinePunct w:val="0"/>
        <w:bidi w:val="0"/>
        <w:adjustRightInd w:val="0"/>
        <w:spacing w:line="336" w:lineRule="auto"/>
        <w:ind w:firstLine="480"/>
        <w:textAlignment w:val="auto"/>
      </w:pPr>
      <w:r>
        <w:rPr>
          <w:rFonts w:hint="eastAsia"/>
        </w:rPr>
        <w:t>2.1资格文件：</w:t>
      </w:r>
    </w:p>
    <w:p>
      <w:pPr>
        <w:keepNext w:val="0"/>
        <w:keepLines w:val="0"/>
        <w:pageBreakBefore w:val="0"/>
        <w:widowControl w:val="0"/>
        <w:kinsoku/>
        <w:wordWrap/>
        <w:overflowPunct/>
        <w:topLinePunct w:val="0"/>
        <w:bidi w:val="0"/>
        <w:adjustRightInd w:val="0"/>
        <w:snapToGrid w:val="0"/>
        <w:spacing w:line="336" w:lineRule="auto"/>
        <w:ind w:left="480" w:leftChars="200" w:firstLine="480"/>
        <w:textAlignment w:val="auto"/>
        <w:rPr>
          <w:rFonts w:ascii="仿宋" w:hAnsi="仿宋" w:cs="仿宋"/>
        </w:rPr>
      </w:pPr>
      <w:r>
        <w:rPr>
          <w:rFonts w:hint="eastAsia" w:ascii="仿宋" w:hAnsi="仿宋" w:cs="仿宋"/>
        </w:rPr>
        <w:t>2.1.1符合参加政府采购活动应当具备的一般条件的承诺函；</w:t>
      </w:r>
    </w:p>
    <w:p>
      <w:pPr>
        <w:keepNext w:val="0"/>
        <w:keepLines w:val="0"/>
        <w:pageBreakBefore w:val="0"/>
        <w:widowControl w:val="0"/>
        <w:kinsoku/>
        <w:wordWrap/>
        <w:overflowPunct/>
        <w:topLinePunct w:val="0"/>
        <w:bidi w:val="0"/>
        <w:adjustRightInd w:val="0"/>
        <w:spacing w:line="336" w:lineRule="auto"/>
        <w:ind w:firstLine="480"/>
        <w:textAlignment w:val="auto"/>
        <w:rPr>
          <w:lang w:val="zh-CN"/>
        </w:rPr>
      </w:pPr>
      <w:r>
        <w:rPr>
          <w:rFonts w:hint="eastAsia"/>
        </w:rPr>
        <w:t>2</w:t>
      </w:r>
      <w:r>
        <w:rPr>
          <w:rFonts w:hint="eastAsia"/>
          <w:lang w:val="zh-CN"/>
        </w:rPr>
        <w:t>.</w:t>
      </w:r>
      <w:r>
        <w:rPr>
          <w:rFonts w:hint="eastAsia"/>
        </w:rPr>
        <w:t>2商务技术</w:t>
      </w:r>
      <w:r>
        <w:rPr>
          <w:rFonts w:hint="eastAsia"/>
          <w:lang w:val="zh-CN"/>
        </w:rPr>
        <w:t>文件：</w:t>
      </w:r>
    </w:p>
    <w:p>
      <w:pPr>
        <w:keepNext w:val="0"/>
        <w:keepLines w:val="0"/>
        <w:pageBreakBefore w:val="0"/>
        <w:widowControl w:val="0"/>
        <w:kinsoku/>
        <w:wordWrap/>
        <w:overflowPunct/>
        <w:topLinePunct w:val="0"/>
        <w:bidi w:val="0"/>
        <w:adjustRightInd w:val="0"/>
        <w:snapToGrid w:val="0"/>
        <w:spacing w:line="336" w:lineRule="auto"/>
        <w:ind w:left="480" w:leftChars="200" w:firstLine="480"/>
        <w:textAlignment w:val="auto"/>
        <w:rPr>
          <w:rFonts w:ascii="仿宋" w:hAnsi="仿宋" w:cs="仿宋"/>
        </w:rPr>
      </w:pPr>
      <w:r>
        <w:rPr>
          <w:rFonts w:hint="eastAsia" w:ascii="仿宋" w:hAnsi="仿宋" w:cs="仿宋"/>
        </w:rPr>
        <w:t>2.2.1磋商响应函；</w:t>
      </w:r>
    </w:p>
    <w:p>
      <w:pPr>
        <w:keepNext w:val="0"/>
        <w:keepLines w:val="0"/>
        <w:pageBreakBefore w:val="0"/>
        <w:widowControl w:val="0"/>
        <w:kinsoku/>
        <w:wordWrap/>
        <w:overflowPunct/>
        <w:topLinePunct w:val="0"/>
        <w:bidi w:val="0"/>
        <w:adjustRightInd w:val="0"/>
        <w:snapToGrid w:val="0"/>
        <w:spacing w:line="336" w:lineRule="auto"/>
        <w:ind w:left="480" w:leftChars="200" w:firstLine="480"/>
        <w:textAlignment w:val="auto"/>
        <w:rPr>
          <w:rFonts w:ascii="仿宋" w:hAnsi="仿宋" w:cs="仿宋"/>
        </w:rPr>
      </w:pPr>
      <w:r>
        <w:rPr>
          <w:rFonts w:hint="eastAsia" w:ascii="仿宋" w:hAnsi="仿宋" w:cs="仿宋"/>
        </w:rPr>
        <w:t>2.2.2授权委托书或法定代表人（单位负责人）身份证明；</w:t>
      </w:r>
    </w:p>
    <w:p>
      <w:pPr>
        <w:keepNext w:val="0"/>
        <w:keepLines w:val="0"/>
        <w:pageBreakBefore w:val="0"/>
        <w:widowControl w:val="0"/>
        <w:kinsoku/>
        <w:wordWrap/>
        <w:overflowPunct/>
        <w:topLinePunct w:val="0"/>
        <w:bidi w:val="0"/>
        <w:adjustRightInd w:val="0"/>
        <w:snapToGrid w:val="0"/>
        <w:spacing w:line="336" w:lineRule="auto"/>
        <w:ind w:left="480" w:leftChars="200" w:firstLine="480"/>
        <w:textAlignment w:val="auto"/>
        <w:rPr>
          <w:rFonts w:ascii="仿宋" w:hAnsi="仿宋" w:cs="仿宋"/>
        </w:rPr>
      </w:pPr>
      <w:r>
        <w:rPr>
          <w:rFonts w:hint="eastAsia" w:ascii="仿宋" w:hAnsi="仿宋" w:cs="仿宋"/>
        </w:rPr>
        <w:t>2.2.3符合性审查资料；</w:t>
      </w:r>
    </w:p>
    <w:p>
      <w:pPr>
        <w:keepNext w:val="0"/>
        <w:keepLines w:val="0"/>
        <w:pageBreakBefore w:val="0"/>
        <w:widowControl w:val="0"/>
        <w:kinsoku/>
        <w:wordWrap/>
        <w:overflowPunct/>
        <w:topLinePunct w:val="0"/>
        <w:bidi w:val="0"/>
        <w:adjustRightInd w:val="0"/>
        <w:snapToGrid w:val="0"/>
        <w:spacing w:line="336" w:lineRule="auto"/>
        <w:ind w:left="480" w:leftChars="200" w:firstLine="480"/>
        <w:textAlignment w:val="auto"/>
        <w:rPr>
          <w:rFonts w:hint="eastAsia" w:ascii="仿宋" w:hAnsi="仿宋" w:cs="仿宋"/>
        </w:rPr>
      </w:pPr>
      <w:r>
        <w:rPr>
          <w:rFonts w:hint="eastAsia" w:ascii="仿宋" w:hAnsi="仿宋" w:cs="仿宋"/>
        </w:rPr>
        <w:t>2.2.4商务条款偏离表；</w:t>
      </w:r>
    </w:p>
    <w:p>
      <w:pPr>
        <w:keepNext w:val="0"/>
        <w:keepLines w:val="0"/>
        <w:pageBreakBefore w:val="0"/>
        <w:widowControl w:val="0"/>
        <w:kinsoku/>
        <w:wordWrap/>
        <w:overflowPunct/>
        <w:topLinePunct w:val="0"/>
        <w:bidi w:val="0"/>
        <w:adjustRightInd w:val="0"/>
        <w:snapToGrid w:val="0"/>
        <w:spacing w:line="336" w:lineRule="auto"/>
        <w:ind w:left="480" w:leftChars="200" w:firstLine="480"/>
        <w:textAlignment w:val="auto"/>
        <w:rPr>
          <w:rFonts w:ascii="仿宋" w:hAnsi="仿宋" w:cs="仿宋"/>
        </w:rPr>
      </w:pPr>
      <w:r>
        <w:rPr>
          <w:rFonts w:hint="eastAsia" w:ascii="仿宋" w:hAnsi="仿宋" w:cs="仿宋"/>
        </w:rPr>
        <w:t>2.2.5</w:t>
      </w:r>
      <w:r>
        <w:rPr>
          <w:rFonts w:hint="eastAsia" w:ascii="仿宋" w:hAnsi="仿宋" w:cs="仿宋"/>
          <w:lang w:val="en-US" w:eastAsia="zh-CN"/>
        </w:rPr>
        <w:t>技术</w:t>
      </w:r>
      <w:r>
        <w:rPr>
          <w:rFonts w:hint="eastAsia" w:ascii="仿宋" w:hAnsi="仿宋" w:cs="仿宋"/>
        </w:rPr>
        <w:t>条款偏离表；</w:t>
      </w:r>
    </w:p>
    <w:p>
      <w:pPr>
        <w:keepNext w:val="0"/>
        <w:keepLines w:val="0"/>
        <w:pageBreakBefore w:val="0"/>
        <w:widowControl w:val="0"/>
        <w:kinsoku/>
        <w:wordWrap/>
        <w:overflowPunct/>
        <w:topLinePunct w:val="0"/>
        <w:bidi w:val="0"/>
        <w:adjustRightInd w:val="0"/>
        <w:snapToGrid w:val="0"/>
        <w:spacing w:line="336" w:lineRule="auto"/>
        <w:ind w:left="480" w:leftChars="200" w:firstLine="480"/>
        <w:textAlignment w:val="auto"/>
        <w:rPr>
          <w:rFonts w:hint="eastAsia" w:ascii="仿宋" w:hAnsi="仿宋" w:cs="仿宋"/>
        </w:rPr>
      </w:pPr>
      <w:r>
        <w:rPr>
          <w:rFonts w:hint="eastAsia" w:ascii="仿宋" w:hAnsi="仿宋" w:cs="仿宋"/>
        </w:rPr>
        <w:t>2.2.6评审标准相应的商务技术资料；</w:t>
      </w:r>
    </w:p>
    <w:p>
      <w:pPr>
        <w:keepNext w:val="0"/>
        <w:keepLines w:val="0"/>
        <w:pageBreakBefore w:val="0"/>
        <w:widowControl w:val="0"/>
        <w:kinsoku/>
        <w:wordWrap/>
        <w:overflowPunct/>
        <w:topLinePunct w:val="0"/>
        <w:bidi w:val="0"/>
        <w:adjustRightInd w:val="0"/>
        <w:snapToGrid w:val="0"/>
        <w:spacing w:line="336" w:lineRule="auto"/>
        <w:ind w:left="480" w:leftChars="200" w:firstLine="480"/>
        <w:textAlignment w:val="auto"/>
        <w:rPr>
          <w:rFonts w:ascii="仿宋" w:hAnsi="仿宋" w:cs="仿宋"/>
        </w:rPr>
      </w:pPr>
      <w:r>
        <w:rPr>
          <w:rFonts w:hint="eastAsia" w:ascii="仿宋" w:hAnsi="仿宋" w:cs="仿宋"/>
          <w:lang w:val="en-US" w:eastAsia="zh-CN"/>
        </w:rPr>
        <w:t>2.2.7</w:t>
      </w:r>
      <w:r>
        <w:rPr>
          <w:rFonts w:hint="eastAsia" w:ascii="仿宋" w:hAnsi="仿宋" w:cs="仿宋"/>
          <w:lang w:val="zh-CN"/>
        </w:rPr>
        <w:t>政府采购供应商廉洁自律承诺书；</w:t>
      </w:r>
    </w:p>
    <w:p>
      <w:pPr>
        <w:keepNext w:val="0"/>
        <w:keepLines w:val="0"/>
        <w:pageBreakBefore w:val="0"/>
        <w:widowControl w:val="0"/>
        <w:kinsoku/>
        <w:wordWrap/>
        <w:overflowPunct/>
        <w:topLinePunct w:val="0"/>
        <w:bidi w:val="0"/>
        <w:adjustRightInd w:val="0"/>
        <w:spacing w:line="336" w:lineRule="auto"/>
        <w:ind w:firstLine="480"/>
        <w:textAlignment w:val="auto"/>
      </w:pPr>
      <w:r>
        <w:rPr>
          <w:rFonts w:hint="eastAsia"/>
        </w:rPr>
        <w:t>2</w:t>
      </w:r>
      <w:r>
        <w:rPr>
          <w:rFonts w:hint="eastAsia"/>
          <w:lang w:val="zh-CN"/>
        </w:rPr>
        <w:t>.</w:t>
      </w:r>
      <w:r>
        <w:rPr>
          <w:rFonts w:hint="eastAsia"/>
        </w:rPr>
        <w:t>3报价文件</w:t>
      </w:r>
    </w:p>
    <w:p>
      <w:pPr>
        <w:keepNext w:val="0"/>
        <w:keepLines w:val="0"/>
        <w:pageBreakBefore w:val="0"/>
        <w:widowControl w:val="0"/>
        <w:kinsoku/>
        <w:wordWrap/>
        <w:overflowPunct/>
        <w:topLinePunct w:val="0"/>
        <w:bidi w:val="0"/>
        <w:adjustRightInd w:val="0"/>
        <w:snapToGrid w:val="0"/>
        <w:spacing w:line="336" w:lineRule="auto"/>
        <w:ind w:left="480" w:leftChars="200" w:firstLine="480"/>
        <w:textAlignment w:val="auto"/>
        <w:rPr>
          <w:rFonts w:ascii="仿宋" w:hAnsi="仿宋" w:cs="仿宋"/>
        </w:rPr>
      </w:pPr>
      <w:r>
        <w:rPr>
          <w:rFonts w:hint="eastAsia" w:ascii="仿宋" w:hAnsi="仿宋" w:cs="仿宋"/>
        </w:rPr>
        <w:t>2.3.1初次报价表；</w:t>
      </w:r>
    </w:p>
    <w:p>
      <w:pPr>
        <w:keepNext w:val="0"/>
        <w:keepLines w:val="0"/>
        <w:pageBreakBefore w:val="0"/>
        <w:widowControl w:val="0"/>
        <w:kinsoku/>
        <w:wordWrap/>
        <w:overflowPunct/>
        <w:topLinePunct w:val="0"/>
        <w:bidi w:val="0"/>
        <w:adjustRightInd w:val="0"/>
        <w:snapToGrid w:val="0"/>
        <w:spacing w:line="336" w:lineRule="auto"/>
        <w:ind w:left="480" w:leftChars="200" w:firstLine="480"/>
        <w:textAlignment w:val="auto"/>
        <w:rPr>
          <w:rFonts w:ascii="仿宋" w:hAnsi="仿宋" w:cs="仿宋"/>
        </w:rPr>
      </w:pPr>
      <w:r>
        <w:rPr>
          <w:rFonts w:hint="eastAsia" w:ascii="仿宋" w:hAnsi="仿宋" w:cs="仿宋"/>
        </w:rPr>
        <w:t>2.3.2中小企业声明函（如果有）。</w:t>
      </w:r>
    </w:p>
    <w:p>
      <w:pPr>
        <w:keepNext w:val="0"/>
        <w:keepLines w:val="0"/>
        <w:pageBreakBefore w:val="0"/>
        <w:widowControl w:val="0"/>
        <w:kinsoku/>
        <w:wordWrap/>
        <w:overflowPunct/>
        <w:topLinePunct w:val="0"/>
        <w:bidi w:val="0"/>
        <w:adjustRightInd w:val="0"/>
        <w:snapToGrid w:val="0"/>
        <w:spacing w:line="336" w:lineRule="auto"/>
        <w:ind w:firstLine="480"/>
        <w:textAlignment w:val="auto"/>
        <w:rPr>
          <w:rFonts w:ascii="仿宋" w:hAnsi="仿宋" w:cs="仿宋"/>
        </w:rPr>
      </w:pPr>
      <w:r>
        <w:rPr>
          <w:rFonts w:hint="eastAsia" w:ascii="仿宋" w:hAnsi="仿宋" w:cs="仿宋"/>
        </w:rPr>
        <w:t>3、我方承诺除商务条款偏离表、服务条款偏离表列出的偏离外，我方响应磋商文件的全部要求。</w:t>
      </w:r>
    </w:p>
    <w:p>
      <w:pPr>
        <w:keepNext w:val="0"/>
        <w:keepLines w:val="0"/>
        <w:pageBreakBefore w:val="0"/>
        <w:widowControl w:val="0"/>
        <w:kinsoku/>
        <w:wordWrap/>
        <w:overflowPunct/>
        <w:topLinePunct w:val="0"/>
        <w:bidi w:val="0"/>
        <w:adjustRightInd w:val="0"/>
        <w:snapToGrid w:val="0"/>
        <w:spacing w:line="336" w:lineRule="auto"/>
        <w:ind w:firstLine="480"/>
        <w:textAlignment w:val="auto"/>
        <w:rPr>
          <w:rFonts w:ascii="仿宋" w:hAnsi="仿宋" w:cs="仿宋"/>
        </w:rPr>
      </w:pPr>
      <w:r>
        <w:rPr>
          <w:rFonts w:hint="eastAsia" w:ascii="仿宋" w:hAnsi="仿宋" w:cs="仿宋"/>
        </w:rPr>
        <w:t>4、如我方成交，我方承诺：</w:t>
      </w:r>
    </w:p>
    <w:p>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ascii="仿宋" w:hAnsi="仿宋" w:cs="仿宋"/>
        </w:rPr>
      </w:pPr>
      <w:r>
        <w:rPr>
          <w:rFonts w:hint="eastAsia" w:ascii="仿宋" w:hAnsi="仿宋" w:cs="仿宋"/>
        </w:rPr>
        <w:t>4.1在收到成交通知书后，在成交通知书规定的期限内与你方签订合同；</w:t>
      </w:r>
    </w:p>
    <w:p>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ascii="仿宋" w:hAnsi="仿宋" w:cs="仿宋"/>
        </w:rPr>
      </w:pPr>
      <w:r>
        <w:rPr>
          <w:rFonts w:hint="eastAsia" w:ascii="仿宋" w:hAnsi="仿宋" w:cs="仿宋"/>
        </w:rPr>
        <w:t>4.2在签订合同时不向你方提出附加条件；</w:t>
      </w:r>
    </w:p>
    <w:p>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ascii="仿宋" w:hAnsi="仿宋" w:cs="仿宋"/>
        </w:rPr>
      </w:pPr>
      <w:r>
        <w:rPr>
          <w:rFonts w:hint="eastAsia" w:ascii="仿宋" w:hAnsi="仿宋" w:cs="仿宋"/>
        </w:rPr>
        <w:t>4.3按照磋商文件要求提交履约保证金；</w:t>
      </w:r>
    </w:p>
    <w:p>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ascii="仿宋" w:hAnsi="仿宋" w:cs="仿宋"/>
        </w:rPr>
      </w:pPr>
      <w:r>
        <w:rPr>
          <w:rFonts w:hint="eastAsia" w:ascii="仿宋" w:hAnsi="仿宋" w:cs="仿宋"/>
        </w:rPr>
        <w:t>4.4在合同约定的期限内完成合同规定的全部义务。</w:t>
      </w:r>
    </w:p>
    <w:p>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ascii="仿宋" w:hAnsi="仿宋" w:cs="仿宋"/>
        </w:rPr>
      </w:pPr>
      <w:r>
        <w:rPr>
          <w:rFonts w:hint="eastAsia" w:ascii="仿宋" w:hAnsi="仿宋" w:cs="仿宋"/>
        </w:rPr>
        <w:t>5、其他补充说明：</w:t>
      </w:r>
      <w:r>
        <w:rPr>
          <w:rFonts w:hint="eastAsia" w:ascii="仿宋" w:hAnsi="仿宋" w:cs="仿宋"/>
          <w:u w:val="single"/>
        </w:rPr>
        <w:t xml:space="preserve">               </w:t>
      </w:r>
      <w:r>
        <w:rPr>
          <w:rFonts w:hint="eastAsia" w:ascii="仿宋" w:hAnsi="仿宋" w:cs="仿宋"/>
        </w:rPr>
        <w:t>。</w:t>
      </w:r>
    </w:p>
    <w:p>
      <w:pPr>
        <w:keepNext w:val="0"/>
        <w:keepLines w:val="0"/>
        <w:pageBreakBefore w:val="0"/>
        <w:widowControl w:val="0"/>
        <w:kinsoku/>
        <w:wordWrap/>
        <w:overflowPunct/>
        <w:topLinePunct w:val="0"/>
        <w:bidi w:val="0"/>
        <w:adjustRightInd w:val="0"/>
        <w:spacing w:line="336" w:lineRule="auto"/>
        <w:ind w:firstLine="3600" w:firstLineChars="1500"/>
        <w:textAlignment w:val="auto"/>
        <w:rPr>
          <w:rFonts w:ascii="仿宋" w:hAnsi="仿宋" w:cs="仿宋"/>
        </w:rPr>
      </w:pPr>
      <w:r>
        <w:rPr>
          <w:rFonts w:hint="eastAsia" w:ascii="仿宋" w:hAnsi="仿宋" w:cs="仿宋"/>
        </w:rPr>
        <w:t>供应商名称（电子签名）：</w:t>
      </w:r>
    </w:p>
    <w:p>
      <w:pPr>
        <w:ind w:firstLine="480"/>
        <w:jc w:val="right"/>
        <w:rPr>
          <w:rFonts w:ascii="仿宋" w:hAnsi="仿宋" w:cs="仿宋"/>
          <w:lang w:val="zh-CN"/>
        </w:rPr>
      </w:pPr>
      <w:r>
        <w:rPr>
          <w:rFonts w:hint="eastAsia" w:ascii="仿宋" w:hAnsi="仿宋" w:cs="仿宋"/>
        </w:rPr>
        <w:t>日期：   年  月  日</w:t>
      </w:r>
      <w:r>
        <w:rPr>
          <w:rFonts w:hint="eastAsia" w:ascii="仿宋" w:hAnsi="仿宋" w:cs="仿宋"/>
          <w:lang w:val="zh-CN"/>
        </w:rPr>
        <w:br w:type="page"/>
      </w:r>
    </w:p>
    <w:p>
      <w:pPr>
        <w:pStyle w:val="9"/>
        <w:spacing w:before="120" w:after="240"/>
        <w:ind w:left="1151" w:hanging="1151"/>
        <w:rPr>
          <w:lang w:val="zh-CN"/>
        </w:rPr>
      </w:pPr>
      <w:r>
        <w:rPr>
          <w:rFonts w:hint="eastAsia"/>
          <w:lang w:val="zh-CN"/>
        </w:rPr>
        <w:t>二、授权委托书或法定代表人（单位负责人、自然人本人）身份证明</w:t>
      </w:r>
    </w:p>
    <w:p>
      <w:pPr>
        <w:pStyle w:val="9"/>
        <w:spacing w:before="120" w:after="240"/>
        <w:rPr>
          <w:rFonts w:ascii="仿宋" w:hAnsi="仿宋" w:cs="仿宋"/>
        </w:rPr>
      </w:pPr>
      <w:r>
        <w:rPr>
          <w:rFonts w:hint="eastAsia" w:ascii="仿宋" w:hAnsi="仿宋" w:cs="仿宋"/>
          <w:kern w:val="0"/>
          <w:szCs w:val="32"/>
          <w:lang w:val="zh-CN"/>
        </w:rPr>
        <w:t>授权委托书</w:t>
      </w:r>
    </w:p>
    <w:p>
      <w:pPr>
        <w:pStyle w:val="28"/>
        <w:rPr>
          <w:rFonts w:ascii="仿宋" w:hAnsi="仿宋" w:cs="仿宋"/>
          <w:kern w:val="0"/>
        </w:rPr>
      </w:pPr>
      <w:r>
        <w:rPr>
          <w:rFonts w:hint="eastAsia" w:ascii="仿宋" w:hAnsi="仿宋" w:cs="仿宋"/>
          <w:u w:val="single"/>
        </w:rPr>
        <w:t>（采购人）、（采购机构）</w:t>
      </w:r>
      <w:r>
        <w:rPr>
          <w:rFonts w:hint="eastAsia" w:ascii="仿宋" w:hAnsi="仿宋" w:cs="仿宋"/>
          <w:kern w:val="0"/>
        </w:rPr>
        <w:t>：</w:t>
      </w:r>
    </w:p>
    <w:p>
      <w:pPr>
        <w:snapToGrid w:val="0"/>
        <w:ind w:firstLine="480"/>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u w:val="single"/>
        </w:rPr>
        <w:t>（项目名称）</w:t>
      </w:r>
      <w:r>
        <w:rPr>
          <w:rFonts w:hint="eastAsia" w:ascii="仿宋" w:hAnsi="仿宋" w:cs="仿宋"/>
        </w:rPr>
        <w:t>【项目编号：</w:t>
      </w:r>
      <w:r>
        <w:rPr>
          <w:rFonts w:hint="eastAsia" w:ascii="仿宋" w:hAnsi="仿宋" w:cs="仿宋"/>
          <w:u w:val="single"/>
        </w:rPr>
        <w:t>CXZFCG[2022]</w:t>
      </w:r>
      <w:r>
        <w:rPr>
          <w:rFonts w:hint="eastAsia" w:ascii="仿宋" w:hAnsi="仿宋" w:cs="仿宋"/>
          <w:u w:val="single"/>
          <w:lang w:eastAsia="zh-CN"/>
        </w:rPr>
        <w:t>3279号</w:t>
      </w:r>
      <w:r>
        <w:rPr>
          <w:rFonts w:hint="eastAsia" w:ascii="仿宋" w:hAnsi="仿宋" w:cs="仿宋"/>
        </w:rPr>
        <w:t>】</w:t>
      </w:r>
      <w:r>
        <w:rPr>
          <w:rFonts w:hint="eastAsia" w:ascii="仿宋" w:hAnsi="仿宋" w:cs="仿宋"/>
          <w:kern w:val="0"/>
          <w:lang w:val="zh-CN"/>
        </w:rPr>
        <w:t>政府采购响应的一切事项，其法律后果由我方承担。</w:t>
      </w:r>
    </w:p>
    <w:p>
      <w:pPr>
        <w:snapToGrid w:val="0"/>
        <w:ind w:firstLine="480"/>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napToGrid w:val="0"/>
        <w:ind w:firstLine="480"/>
        <w:rPr>
          <w:rFonts w:ascii="仿宋" w:hAnsi="仿宋" w:cs="仿宋"/>
          <w:kern w:val="0"/>
        </w:rPr>
      </w:pPr>
      <w:r>
        <w:rPr>
          <w:rFonts w:hint="eastAsia" w:ascii="仿宋" w:hAnsi="仿宋" w:cs="仿宋"/>
          <w:kern w:val="0"/>
          <w:lang w:val="zh-CN"/>
        </w:rPr>
        <w:t>特此告知。</w:t>
      </w:r>
    </w:p>
    <w:p>
      <w:pPr>
        <w:snapToGrid w:val="0"/>
        <w:ind w:firstLine="480"/>
        <w:rPr>
          <w:rFonts w:ascii="仿宋" w:hAnsi="仿宋" w:cs="仿宋"/>
          <w:kern w:val="0"/>
        </w:rPr>
      </w:pPr>
      <w:r>
        <w:rPr>
          <w:rFonts w:hint="eastAsia" w:ascii="仿宋" w:hAnsi="仿宋" w:cs="仿宋"/>
          <w:kern w:val="0"/>
          <w:lang w:val="zh-CN"/>
        </w:rPr>
        <w:t>供应商名称（电子签名）：</w:t>
      </w:r>
    </w:p>
    <w:p>
      <w:pPr>
        <w:snapToGrid w:val="0"/>
        <w:ind w:firstLine="480"/>
        <w:rPr>
          <w:rFonts w:ascii="仿宋" w:hAnsi="仿宋" w:cs="仿宋"/>
          <w:kern w:val="0"/>
          <w:lang w:val="zh-CN"/>
        </w:rPr>
      </w:pPr>
      <w:r>
        <w:rPr>
          <w:rFonts w:hint="eastAsia" w:ascii="仿宋" w:hAnsi="仿宋" w:cs="仿宋"/>
          <w:kern w:val="0"/>
          <w:lang w:val="zh-CN"/>
        </w:rPr>
        <w:t>签发日期：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pPr>
        <w:snapToGrid w:val="0"/>
        <w:ind w:firstLine="480"/>
        <w:rPr>
          <w:rFonts w:ascii="仿宋" w:hAnsi="仿宋" w:cs="仿宋"/>
        </w:rPr>
      </w:pPr>
    </w:p>
    <w:p>
      <w:pPr>
        <w:pStyle w:val="9"/>
        <w:spacing w:before="120" w:after="240"/>
        <w:rPr>
          <w:rFonts w:ascii="仿宋" w:hAnsi="仿宋" w:cs="仿宋"/>
          <w:sz w:val="24"/>
        </w:rPr>
      </w:pPr>
      <w:r>
        <w:rPr>
          <w:rFonts w:hint="eastAsia" w:ascii="仿宋" w:hAnsi="仿宋" w:cs="仿宋"/>
          <w:kern w:val="0"/>
          <w:szCs w:val="32"/>
          <w:lang w:val="zh-CN"/>
        </w:rPr>
        <w:t>法定代表人、单位负责人或自然人本人</w:t>
      </w:r>
      <w:r>
        <w:rPr>
          <w:rFonts w:hint="eastAsia" w:ascii="仿宋" w:hAnsi="仿宋" w:cs="仿宋"/>
          <w:sz w:val="30"/>
          <w:szCs w:val="30"/>
        </w:rPr>
        <w:t>的身份证明（适用于法定代表人、单位负责人或者自然人本人代表供应商参加响应）</w:t>
      </w:r>
    </w:p>
    <w:p>
      <w:pPr>
        <w:pStyle w:val="153"/>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jc w:val="center"/>
        </w:trPr>
        <w:tc>
          <w:tcPr>
            <w:tcW w:w="9060" w:type="dxa"/>
          </w:tcPr>
          <w:p>
            <w:pPr>
              <w:pStyle w:val="153"/>
              <w:adjustRightInd w:val="0"/>
              <w:spacing w:line="360" w:lineRule="auto"/>
              <w:rPr>
                <w:rFonts w:ascii="仿宋" w:hAnsi="仿宋" w:eastAsia="仿宋" w:cs="仿宋"/>
                <w:bCs/>
                <w:sz w:val="24"/>
              </w:rPr>
            </w:pPr>
            <w:r>
              <w:rPr>
                <w:rFonts w:hint="eastAsia" w:ascii="仿宋" w:hAnsi="仿宋" w:eastAsia="仿宋" w:cs="仿宋"/>
                <w:bCs/>
                <w:sz w:val="24"/>
              </w:rPr>
              <w:t>正面：反面：</w:t>
            </w:r>
          </w:p>
          <w:p>
            <w:pPr>
              <w:pStyle w:val="153"/>
              <w:adjustRightInd w:val="0"/>
              <w:spacing w:line="360" w:lineRule="auto"/>
              <w:rPr>
                <w:rFonts w:ascii="仿宋" w:hAnsi="仿宋" w:eastAsia="仿宋" w:cs="仿宋"/>
                <w:bCs/>
                <w:sz w:val="24"/>
              </w:rPr>
            </w:pPr>
          </w:p>
        </w:tc>
      </w:tr>
    </w:tbl>
    <w:p>
      <w:pPr>
        <w:snapToGrid w:val="0"/>
        <w:ind w:firstLine="480"/>
        <w:jc w:val="center"/>
        <w:rPr>
          <w:rFonts w:ascii="仿宋" w:hAnsi="仿宋" w:cs="仿宋"/>
          <w:kern w:val="0"/>
          <w:lang w:val="zh-CN"/>
        </w:rPr>
      </w:pPr>
    </w:p>
    <w:p>
      <w:pPr>
        <w:snapToGrid w:val="0"/>
        <w:ind w:firstLine="480"/>
        <w:jc w:val="center"/>
        <w:rPr>
          <w:rFonts w:ascii="仿宋" w:hAnsi="仿宋" w:cs="仿宋"/>
          <w:kern w:val="0"/>
          <w:lang w:val="zh-CN"/>
        </w:rPr>
      </w:pPr>
      <w:r>
        <w:rPr>
          <w:rFonts w:hint="eastAsia" w:ascii="仿宋" w:hAnsi="仿宋" w:cs="仿宋"/>
          <w:kern w:val="0"/>
          <w:lang w:val="zh-CN"/>
        </w:rPr>
        <w:t>供应商名称（电子签名）：</w:t>
      </w:r>
    </w:p>
    <w:p>
      <w:pPr>
        <w:ind w:firstLine="480"/>
        <w:jc w:val="right"/>
        <w:rPr>
          <w:rFonts w:ascii="仿宋" w:hAnsi="仿宋" w:cs="仿宋"/>
          <w:kern w:val="0"/>
          <w:lang w:val="zh-CN"/>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pPr>
        <w:ind w:firstLine="480"/>
        <w:rPr>
          <w:rFonts w:ascii="仿宋" w:hAnsi="仿宋" w:cs="仿宋"/>
          <w:kern w:val="0"/>
          <w:lang w:val="zh-CN"/>
        </w:rPr>
      </w:pPr>
      <w:r>
        <w:rPr>
          <w:rFonts w:hint="eastAsia" w:ascii="仿宋" w:hAnsi="仿宋" w:cs="仿宋"/>
          <w:kern w:val="0"/>
          <w:lang w:val="zh-CN"/>
        </w:rPr>
        <w:br w:type="page"/>
      </w:r>
    </w:p>
    <w:p>
      <w:pPr>
        <w:pStyle w:val="9"/>
        <w:spacing w:before="120" w:after="240"/>
        <w:ind w:left="1151" w:hanging="1151"/>
        <w:rPr>
          <w:rFonts w:ascii="仿宋" w:hAnsi="仿宋" w:cs="仿宋"/>
        </w:rPr>
      </w:pPr>
      <w:r>
        <w:rPr>
          <w:rFonts w:hint="eastAsia" w:ascii="仿宋" w:hAnsi="仿宋" w:cs="仿宋"/>
        </w:rPr>
        <w:t>三、符合性审查资料</w:t>
      </w:r>
    </w:p>
    <w:tbl>
      <w:tblPr>
        <w:tblStyle w:val="6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4825"/>
        <w:gridCol w:w="2466"/>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5" w:type="pct"/>
            <w:vAlign w:val="center"/>
          </w:tcPr>
          <w:p>
            <w:pPr>
              <w:pStyle w:val="15"/>
              <w:spacing w:before="120" w:after="120"/>
              <w:rPr>
                <w:rFonts w:ascii="仿宋" w:hAnsi="仿宋" w:cs="仿宋"/>
              </w:rPr>
            </w:pPr>
            <w:r>
              <w:rPr>
                <w:rFonts w:hint="eastAsia" w:ascii="仿宋" w:hAnsi="仿宋" w:cs="仿宋"/>
              </w:rPr>
              <w:t>序号</w:t>
            </w:r>
          </w:p>
        </w:tc>
        <w:tc>
          <w:tcPr>
            <w:tcW w:w="2599" w:type="pct"/>
            <w:vAlign w:val="center"/>
          </w:tcPr>
          <w:p>
            <w:pPr>
              <w:pStyle w:val="15"/>
              <w:spacing w:before="120" w:after="120"/>
              <w:rPr>
                <w:rFonts w:ascii="仿宋" w:hAnsi="仿宋" w:cs="仿宋"/>
              </w:rPr>
            </w:pPr>
            <w:r>
              <w:rPr>
                <w:rFonts w:hint="eastAsia" w:ascii="仿宋" w:hAnsi="仿宋" w:cs="仿宋"/>
              </w:rPr>
              <w:t>实质性要求</w:t>
            </w:r>
          </w:p>
        </w:tc>
        <w:tc>
          <w:tcPr>
            <w:tcW w:w="1328" w:type="pct"/>
            <w:vAlign w:val="center"/>
          </w:tcPr>
          <w:p>
            <w:pPr>
              <w:pStyle w:val="15"/>
              <w:spacing w:before="120" w:after="120"/>
              <w:rPr>
                <w:rFonts w:ascii="仿宋" w:hAnsi="仿宋" w:cs="仿宋"/>
              </w:rPr>
            </w:pPr>
            <w:r>
              <w:rPr>
                <w:rFonts w:hint="eastAsia" w:ascii="仿宋" w:hAnsi="仿宋" w:cs="仿宋"/>
              </w:rPr>
              <w:t>需要提供的符合性审查资料</w:t>
            </w:r>
          </w:p>
        </w:tc>
        <w:tc>
          <w:tcPr>
            <w:tcW w:w="736" w:type="pct"/>
            <w:vAlign w:val="center"/>
          </w:tcPr>
          <w:p>
            <w:pPr>
              <w:pStyle w:val="15"/>
              <w:spacing w:before="120" w:after="120"/>
              <w:rPr>
                <w:rFonts w:ascii="仿宋" w:hAnsi="仿宋" w:cs="仿宋"/>
              </w:rPr>
            </w:pPr>
            <w:r>
              <w:rPr>
                <w:rFonts w:hint="eastAsia" w:ascii="仿宋" w:hAnsi="仿宋" w:cs="仿宋"/>
              </w:rPr>
              <w:t>响应文件中的</w:t>
            </w:r>
          </w:p>
          <w:p>
            <w:pPr>
              <w:pStyle w:val="15"/>
              <w:spacing w:before="120" w:after="120"/>
              <w:rPr>
                <w:rFonts w:ascii="仿宋" w:hAnsi="仿宋" w:cs="仿宋"/>
              </w:rPr>
            </w:pPr>
            <w:r>
              <w:rPr>
                <w:rFonts w:hint="eastAsia" w:ascii="仿宋" w:hAnsi="仿宋" w:cs="仿宋"/>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pPr>
              <w:pStyle w:val="15"/>
              <w:spacing w:before="120" w:after="120"/>
              <w:rPr>
                <w:rFonts w:ascii="仿宋" w:hAnsi="仿宋" w:cs="仿宋"/>
              </w:rPr>
            </w:pPr>
            <w:r>
              <w:rPr>
                <w:rFonts w:hint="eastAsia" w:ascii="仿宋" w:hAnsi="仿宋" w:cs="仿宋"/>
              </w:rPr>
              <w:t>1</w:t>
            </w:r>
          </w:p>
        </w:tc>
        <w:tc>
          <w:tcPr>
            <w:tcW w:w="2599" w:type="pct"/>
            <w:vAlign w:val="center"/>
          </w:tcPr>
          <w:p>
            <w:pPr>
              <w:pStyle w:val="15"/>
              <w:spacing w:before="120" w:after="120"/>
              <w:jc w:val="both"/>
              <w:rPr>
                <w:rFonts w:ascii="仿宋" w:hAnsi="仿宋" w:cs="仿宋"/>
              </w:rPr>
            </w:pPr>
            <w:r>
              <w:rPr>
                <w:rFonts w:hint="eastAsia" w:ascii="仿宋" w:hAnsi="仿宋" w:cs="仿宋"/>
              </w:rPr>
              <w:t>响应文件按照磋商文件要求签署、盖章。</w:t>
            </w:r>
          </w:p>
        </w:tc>
        <w:tc>
          <w:tcPr>
            <w:tcW w:w="1328" w:type="pct"/>
            <w:vAlign w:val="center"/>
          </w:tcPr>
          <w:p>
            <w:pPr>
              <w:pStyle w:val="15"/>
              <w:spacing w:before="120" w:after="120"/>
              <w:jc w:val="both"/>
              <w:rPr>
                <w:rFonts w:ascii="仿宋" w:hAnsi="仿宋" w:cs="仿宋"/>
              </w:rPr>
            </w:pPr>
            <w:r>
              <w:rPr>
                <w:rFonts w:hint="eastAsia" w:ascii="仿宋" w:hAnsi="仿宋" w:cs="仿宋"/>
              </w:rPr>
              <w:t>需要使用电子签名或者签字盖章的响应文件的组成部分</w:t>
            </w:r>
          </w:p>
        </w:tc>
        <w:tc>
          <w:tcPr>
            <w:tcW w:w="736" w:type="pct"/>
            <w:vAlign w:val="center"/>
          </w:tcPr>
          <w:p>
            <w:pPr>
              <w:pStyle w:val="15"/>
              <w:spacing w:before="120" w:after="120"/>
              <w:rPr>
                <w:rFonts w:ascii="仿宋" w:hAnsi="仿宋" w:cs="仿宋"/>
              </w:rPr>
            </w:pPr>
            <w:r>
              <w:rPr>
                <w:rFonts w:hint="eastAsia" w:ascii="仿宋" w:hAnsi="仿宋" w:cs="仿宋"/>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pPr>
              <w:pStyle w:val="15"/>
              <w:spacing w:before="120" w:after="120"/>
              <w:rPr>
                <w:rFonts w:ascii="仿宋" w:hAnsi="仿宋" w:cs="仿宋"/>
              </w:rPr>
            </w:pPr>
            <w:r>
              <w:rPr>
                <w:rFonts w:hint="eastAsia" w:ascii="仿宋" w:hAnsi="仿宋" w:cs="仿宋"/>
              </w:rPr>
              <w:t>2</w:t>
            </w:r>
          </w:p>
        </w:tc>
        <w:tc>
          <w:tcPr>
            <w:tcW w:w="2599" w:type="pct"/>
            <w:vAlign w:val="center"/>
          </w:tcPr>
          <w:p>
            <w:pPr>
              <w:pStyle w:val="15"/>
              <w:spacing w:before="120" w:after="120"/>
              <w:jc w:val="both"/>
              <w:rPr>
                <w:rFonts w:ascii="仿宋" w:hAnsi="仿宋" w:cs="仿宋"/>
              </w:rPr>
            </w:pPr>
            <w:r>
              <w:rPr>
                <w:rFonts w:hint="eastAsia" w:ascii="仿宋" w:hAnsi="仿宋" w:cs="仿宋"/>
              </w:rPr>
              <w:t>响应文件中承诺的响应有效期不少于磋商文件中载明的响应有效期。</w:t>
            </w:r>
          </w:p>
        </w:tc>
        <w:tc>
          <w:tcPr>
            <w:tcW w:w="1328" w:type="pct"/>
            <w:vAlign w:val="center"/>
          </w:tcPr>
          <w:p>
            <w:pPr>
              <w:pStyle w:val="15"/>
              <w:spacing w:before="120" w:after="120"/>
              <w:jc w:val="both"/>
              <w:rPr>
                <w:rFonts w:ascii="仿宋" w:hAnsi="仿宋" w:cs="仿宋"/>
              </w:rPr>
            </w:pPr>
            <w:r>
              <w:rPr>
                <w:rFonts w:hint="eastAsia" w:ascii="仿宋" w:hAnsi="仿宋" w:cs="仿宋"/>
              </w:rPr>
              <w:t>磋商响应函</w:t>
            </w:r>
          </w:p>
        </w:tc>
        <w:tc>
          <w:tcPr>
            <w:tcW w:w="736" w:type="pct"/>
          </w:tcPr>
          <w:p>
            <w:pPr>
              <w:pStyle w:val="15"/>
              <w:spacing w:before="120" w:after="120"/>
              <w:rPr>
                <w:rFonts w:ascii="仿宋" w:hAnsi="仿宋" w:cs="仿宋"/>
                <w:lang w:val="en-US"/>
              </w:rPr>
            </w:pPr>
            <w:r>
              <w:rPr>
                <w:rFonts w:hint="eastAsia" w:ascii="仿宋" w:hAnsi="仿宋" w:cs="仿宋"/>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pPr>
              <w:pStyle w:val="15"/>
              <w:spacing w:before="120" w:after="120"/>
              <w:rPr>
                <w:rFonts w:ascii="仿宋" w:hAnsi="仿宋" w:cs="仿宋"/>
              </w:rPr>
            </w:pPr>
            <w:r>
              <w:rPr>
                <w:rFonts w:hint="eastAsia" w:ascii="仿宋" w:hAnsi="仿宋" w:cs="仿宋"/>
              </w:rPr>
              <w:t>3</w:t>
            </w:r>
          </w:p>
        </w:tc>
        <w:tc>
          <w:tcPr>
            <w:tcW w:w="2599" w:type="pct"/>
            <w:vAlign w:val="center"/>
          </w:tcPr>
          <w:p>
            <w:pPr>
              <w:pStyle w:val="15"/>
              <w:spacing w:before="120" w:after="120"/>
              <w:jc w:val="both"/>
              <w:rPr>
                <w:rFonts w:ascii="仿宋" w:hAnsi="仿宋" w:cs="仿宋"/>
              </w:rPr>
            </w:pPr>
            <w:r>
              <w:rPr>
                <w:rFonts w:hint="eastAsia" w:ascii="仿宋" w:hAnsi="仿宋" w:cs="仿宋"/>
              </w:rPr>
              <w:t>响应文件满足磋商文件的其它实质性要求。</w:t>
            </w:r>
          </w:p>
        </w:tc>
        <w:tc>
          <w:tcPr>
            <w:tcW w:w="1328" w:type="pct"/>
            <w:vAlign w:val="center"/>
          </w:tcPr>
          <w:p>
            <w:pPr>
              <w:pStyle w:val="15"/>
              <w:spacing w:before="120" w:after="120"/>
              <w:jc w:val="both"/>
              <w:rPr>
                <w:rFonts w:ascii="仿宋" w:hAnsi="仿宋" w:cs="仿宋"/>
              </w:rPr>
            </w:pPr>
            <w:r>
              <w:rPr>
                <w:rFonts w:hint="eastAsia" w:ascii="仿宋" w:hAnsi="仿宋" w:cs="仿宋"/>
              </w:rPr>
              <w:t>磋商文件其它实质性要求相应的材料（“★”系指实质性要求条款，磋商文件无其它实质性要求的，无需提供）</w:t>
            </w:r>
          </w:p>
        </w:tc>
        <w:tc>
          <w:tcPr>
            <w:tcW w:w="736" w:type="pct"/>
            <w:vAlign w:val="center"/>
          </w:tcPr>
          <w:p>
            <w:pPr>
              <w:pStyle w:val="15"/>
              <w:spacing w:before="120" w:after="120"/>
              <w:rPr>
                <w:rFonts w:ascii="仿宋" w:hAnsi="仿宋" w:cs="仿宋"/>
              </w:rPr>
            </w:pPr>
            <w:r>
              <w:rPr>
                <w:rFonts w:hint="eastAsia" w:ascii="仿宋" w:hAnsi="仿宋" w:cs="仿宋"/>
              </w:rPr>
              <w:t>见响应文件第页</w:t>
            </w:r>
          </w:p>
        </w:tc>
      </w:tr>
    </w:tbl>
    <w:p>
      <w:pPr>
        <w:ind w:firstLine="643"/>
        <w:jc w:val="center"/>
        <w:rPr>
          <w:rFonts w:ascii="仿宋" w:hAnsi="仿宋" w:cs="仿宋"/>
          <w:b/>
          <w:kern w:val="0"/>
          <w:sz w:val="32"/>
          <w:szCs w:val="32"/>
        </w:rPr>
      </w:pPr>
    </w:p>
    <w:p>
      <w:pPr>
        <w:ind w:firstLine="643"/>
        <w:jc w:val="center"/>
        <w:rPr>
          <w:rFonts w:ascii="仿宋" w:hAnsi="仿宋" w:cs="仿宋"/>
          <w:b/>
          <w:kern w:val="0"/>
          <w:sz w:val="32"/>
          <w:szCs w:val="32"/>
        </w:rPr>
      </w:pPr>
    </w:p>
    <w:p>
      <w:pPr>
        <w:ind w:firstLine="643"/>
        <w:jc w:val="center"/>
        <w:rPr>
          <w:rFonts w:ascii="仿宋" w:hAnsi="仿宋" w:cs="仿宋"/>
          <w:b/>
          <w:kern w:val="0"/>
          <w:sz w:val="32"/>
          <w:szCs w:val="32"/>
        </w:rPr>
      </w:pPr>
    </w:p>
    <w:p>
      <w:pPr>
        <w:ind w:firstLine="643"/>
        <w:jc w:val="center"/>
        <w:rPr>
          <w:rFonts w:ascii="仿宋" w:hAnsi="仿宋" w:cs="仿宋"/>
          <w:b/>
          <w:kern w:val="0"/>
          <w:sz w:val="32"/>
          <w:szCs w:val="32"/>
        </w:rPr>
      </w:pPr>
    </w:p>
    <w:p>
      <w:pPr>
        <w:ind w:firstLine="643"/>
        <w:jc w:val="center"/>
        <w:rPr>
          <w:rFonts w:ascii="仿宋" w:hAnsi="仿宋" w:cs="仿宋"/>
          <w:b/>
          <w:kern w:val="0"/>
          <w:sz w:val="32"/>
          <w:szCs w:val="32"/>
        </w:rPr>
      </w:pPr>
    </w:p>
    <w:p>
      <w:pPr>
        <w:ind w:firstLine="480"/>
        <w:rPr>
          <w:rFonts w:ascii="仿宋" w:hAnsi="仿宋" w:cs="仿宋"/>
        </w:rPr>
      </w:pPr>
      <w:r>
        <w:rPr>
          <w:rFonts w:hint="eastAsia" w:ascii="仿宋" w:hAnsi="仿宋" w:cs="仿宋"/>
        </w:rPr>
        <w:br w:type="page"/>
      </w:r>
    </w:p>
    <w:p>
      <w:pPr>
        <w:pStyle w:val="9"/>
        <w:spacing w:before="120" w:after="240"/>
        <w:ind w:left="1151" w:hanging="1151"/>
        <w:rPr>
          <w:rFonts w:ascii="仿宋" w:hAnsi="仿宋" w:cs="仿宋"/>
        </w:rPr>
      </w:pPr>
      <w:r>
        <w:rPr>
          <w:rFonts w:hint="eastAsia" w:ascii="仿宋" w:hAnsi="仿宋" w:cs="仿宋"/>
        </w:rPr>
        <w:t>四、商务条款偏离表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5"/>
              <w:spacing w:before="120" w:after="120"/>
              <w:rPr>
                <w:rFonts w:ascii="仿宋" w:hAnsi="仿宋" w:cs="仿宋"/>
              </w:rPr>
            </w:pPr>
            <w:r>
              <w:rPr>
                <w:rFonts w:hint="eastAsia" w:ascii="仿宋" w:hAnsi="仿宋" w:cs="仿宋"/>
              </w:rPr>
              <w:t>序号</w:t>
            </w:r>
          </w:p>
        </w:tc>
        <w:tc>
          <w:tcPr>
            <w:tcW w:w="3683" w:type="dxa"/>
          </w:tcPr>
          <w:p>
            <w:pPr>
              <w:pStyle w:val="15"/>
              <w:spacing w:before="120" w:after="120"/>
              <w:rPr>
                <w:rFonts w:ascii="仿宋" w:hAnsi="仿宋" w:cs="仿宋"/>
              </w:rPr>
            </w:pPr>
            <w:r>
              <w:rPr>
                <w:rFonts w:hint="eastAsia" w:ascii="仿宋" w:hAnsi="仿宋" w:cs="仿宋"/>
              </w:rPr>
              <w:t>磋商文件章节及具体内容</w:t>
            </w:r>
          </w:p>
        </w:tc>
        <w:tc>
          <w:tcPr>
            <w:tcW w:w="3546" w:type="dxa"/>
          </w:tcPr>
          <w:p>
            <w:pPr>
              <w:pStyle w:val="15"/>
              <w:spacing w:before="120" w:after="120"/>
              <w:rPr>
                <w:rFonts w:ascii="仿宋" w:hAnsi="仿宋" w:cs="仿宋"/>
              </w:rPr>
            </w:pPr>
            <w:r>
              <w:rPr>
                <w:rFonts w:hint="eastAsia" w:ascii="仿宋" w:hAnsi="仿宋" w:cs="仿宋"/>
              </w:rPr>
              <w:t>响应文件章节及具体内容</w:t>
            </w:r>
          </w:p>
        </w:tc>
        <w:tc>
          <w:tcPr>
            <w:tcW w:w="1276" w:type="dxa"/>
          </w:tcPr>
          <w:p>
            <w:pPr>
              <w:pStyle w:val="15"/>
              <w:spacing w:before="120" w:after="120"/>
              <w:rPr>
                <w:rFonts w:ascii="仿宋" w:hAnsi="仿宋" w:cs="仿宋"/>
              </w:rPr>
            </w:pPr>
            <w:r>
              <w:rPr>
                <w:rFonts w:hint="eastAsia" w:ascii="仿宋" w:hAnsi="仿宋" w:cs="仿宋"/>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5"/>
              <w:spacing w:before="120" w:after="120"/>
              <w:rPr>
                <w:rFonts w:ascii="仿宋" w:hAnsi="仿宋" w:cs="仿宋"/>
              </w:rPr>
            </w:pPr>
            <w:r>
              <w:rPr>
                <w:rFonts w:hint="eastAsia" w:ascii="仿宋" w:hAnsi="仿宋" w:cs="仿宋"/>
              </w:rPr>
              <w:t>1</w:t>
            </w:r>
          </w:p>
        </w:tc>
        <w:tc>
          <w:tcPr>
            <w:tcW w:w="3683" w:type="dxa"/>
          </w:tcPr>
          <w:p>
            <w:pPr>
              <w:pStyle w:val="15"/>
              <w:spacing w:before="120" w:after="120"/>
              <w:rPr>
                <w:rFonts w:ascii="仿宋" w:hAnsi="仿宋" w:cs="仿宋"/>
              </w:rPr>
            </w:pPr>
          </w:p>
        </w:tc>
        <w:tc>
          <w:tcPr>
            <w:tcW w:w="3546" w:type="dxa"/>
          </w:tcPr>
          <w:p>
            <w:pPr>
              <w:pStyle w:val="15"/>
              <w:spacing w:before="120" w:after="120"/>
              <w:rPr>
                <w:rFonts w:ascii="仿宋" w:hAnsi="仿宋" w:cs="仿宋"/>
              </w:rPr>
            </w:pPr>
          </w:p>
        </w:tc>
        <w:tc>
          <w:tcPr>
            <w:tcW w:w="1276" w:type="dxa"/>
          </w:tcPr>
          <w:p>
            <w:pPr>
              <w:pStyle w:val="15"/>
              <w:spacing w:before="120" w:after="12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5"/>
              <w:spacing w:before="120" w:after="120"/>
              <w:rPr>
                <w:rFonts w:ascii="仿宋" w:hAnsi="仿宋" w:cs="仿宋"/>
              </w:rPr>
            </w:pPr>
            <w:r>
              <w:rPr>
                <w:rFonts w:hint="eastAsia" w:ascii="仿宋" w:hAnsi="仿宋" w:cs="仿宋"/>
              </w:rPr>
              <w:t>2</w:t>
            </w:r>
          </w:p>
        </w:tc>
        <w:tc>
          <w:tcPr>
            <w:tcW w:w="3683" w:type="dxa"/>
          </w:tcPr>
          <w:p>
            <w:pPr>
              <w:pStyle w:val="15"/>
              <w:spacing w:before="120" w:after="120"/>
              <w:rPr>
                <w:rFonts w:ascii="仿宋" w:hAnsi="仿宋" w:cs="仿宋"/>
              </w:rPr>
            </w:pPr>
          </w:p>
        </w:tc>
        <w:tc>
          <w:tcPr>
            <w:tcW w:w="3546" w:type="dxa"/>
          </w:tcPr>
          <w:p>
            <w:pPr>
              <w:pStyle w:val="15"/>
              <w:spacing w:before="120" w:after="120"/>
              <w:rPr>
                <w:rFonts w:ascii="仿宋" w:hAnsi="仿宋" w:cs="仿宋"/>
              </w:rPr>
            </w:pPr>
          </w:p>
        </w:tc>
        <w:tc>
          <w:tcPr>
            <w:tcW w:w="1276" w:type="dxa"/>
          </w:tcPr>
          <w:p>
            <w:pPr>
              <w:pStyle w:val="15"/>
              <w:spacing w:before="120" w:after="12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5"/>
              <w:spacing w:before="120" w:after="120"/>
              <w:rPr>
                <w:rFonts w:ascii="仿宋" w:hAnsi="仿宋" w:cs="仿宋"/>
              </w:rPr>
            </w:pPr>
            <w:r>
              <w:rPr>
                <w:rFonts w:hint="eastAsia" w:ascii="仿宋" w:hAnsi="仿宋" w:cs="仿宋"/>
              </w:rPr>
              <w:t>……</w:t>
            </w:r>
          </w:p>
        </w:tc>
        <w:tc>
          <w:tcPr>
            <w:tcW w:w="3683" w:type="dxa"/>
          </w:tcPr>
          <w:p>
            <w:pPr>
              <w:pStyle w:val="15"/>
              <w:spacing w:before="120" w:after="120"/>
              <w:rPr>
                <w:rFonts w:ascii="仿宋" w:hAnsi="仿宋" w:cs="仿宋"/>
              </w:rPr>
            </w:pPr>
          </w:p>
        </w:tc>
        <w:tc>
          <w:tcPr>
            <w:tcW w:w="3546" w:type="dxa"/>
          </w:tcPr>
          <w:p>
            <w:pPr>
              <w:pStyle w:val="15"/>
              <w:spacing w:before="120" w:after="120"/>
              <w:rPr>
                <w:rFonts w:ascii="仿宋" w:hAnsi="仿宋" w:cs="仿宋"/>
              </w:rPr>
            </w:pPr>
          </w:p>
        </w:tc>
        <w:tc>
          <w:tcPr>
            <w:tcW w:w="1276" w:type="dxa"/>
          </w:tcPr>
          <w:p>
            <w:pPr>
              <w:pStyle w:val="15"/>
              <w:spacing w:before="120" w:after="120"/>
              <w:rPr>
                <w:rFonts w:ascii="仿宋" w:hAnsi="仿宋" w:cs="仿宋"/>
              </w:rPr>
            </w:pPr>
          </w:p>
        </w:tc>
      </w:tr>
    </w:tbl>
    <w:p>
      <w:pPr>
        <w:rPr>
          <w:b/>
          <w:bCs/>
        </w:rPr>
      </w:pPr>
      <w:r>
        <w:rPr>
          <w:rFonts w:hint="eastAsia"/>
          <w:b/>
          <w:bCs/>
        </w:rPr>
        <w:t>★商务条款允许正偏离（优于磋商文件要求）和无偏离（与磋商文件一致），有负偏离（完全与磋商文件不一致或达不到磋商文件要求的）响应无效。</w:t>
      </w:r>
    </w:p>
    <w:p>
      <w:pPr>
        <w:snapToGrid w:val="0"/>
        <w:ind w:firstLine="480"/>
        <w:jc w:val="center"/>
        <w:rPr>
          <w:rFonts w:ascii="仿宋" w:hAnsi="仿宋" w:cs="仿宋"/>
          <w:kern w:val="0"/>
          <w:lang w:val="zh-CN"/>
        </w:rPr>
      </w:pPr>
      <w:r>
        <w:rPr>
          <w:rFonts w:hint="eastAsia" w:ascii="仿宋" w:hAnsi="仿宋" w:cs="仿宋"/>
          <w:kern w:val="0"/>
          <w:lang w:val="zh-CN"/>
        </w:rPr>
        <w:t>供应商名称（电子签名）：</w:t>
      </w:r>
    </w:p>
    <w:p>
      <w:pPr>
        <w:ind w:firstLine="480"/>
        <w:jc w:val="right"/>
        <w:rPr>
          <w:rFonts w:ascii="仿宋" w:hAnsi="仿宋" w:cs="仿宋"/>
          <w:kern w:val="0"/>
          <w:lang w:val="zh-CN"/>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pPr>
        <w:ind w:firstLine="480"/>
      </w:pPr>
      <w:r>
        <w:rPr>
          <w:rFonts w:hint="eastAsia"/>
        </w:rPr>
        <w:br w:type="page"/>
      </w:r>
    </w:p>
    <w:p>
      <w:pPr>
        <w:pStyle w:val="9"/>
        <w:spacing w:before="120" w:after="240"/>
        <w:ind w:left="1151" w:hanging="1151"/>
        <w:rPr>
          <w:rFonts w:ascii="仿宋" w:hAnsi="仿宋" w:cs="仿宋"/>
        </w:rPr>
      </w:pPr>
      <w:r>
        <w:rPr>
          <w:rFonts w:hint="eastAsia" w:ascii="仿宋" w:hAnsi="仿宋" w:cs="仿宋"/>
        </w:rPr>
        <w:t>五、技术条款偏离表</w:t>
      </w:r>
    </w:p>
    <w:tbl>
      <w:tblPr>
        <w:tblStyle w:val="66"/>
        <w:tblW w:w="5000" w:type="pct"/>
        <w:tblInd w:w="0" w:type="dxa"/>
        <w:tblLayout w:type="fixed"/>
        <w:tblCellMar>
          <w:top w:w="0" w:type="dxa"/>
          <w:left w:w="108" w:type="dxa"/>
          <w:bottom w:w="0" w:type="dxa"/>
          <w:right w:w="108" w:type="dxa"/>
        </w:tblCellMar>
      </w:tblPr>
      <w:tblGrid>
        <w:gridCol w:w="3"/>
        <w:gridCol w:w="946"/>
        <w:gridCol w:w="38"/>
        <w:gridCol w:w="19"/>
        <w:gridCol w:w="14"/>
        <w:gridCol w:w="5"/>
        <w:gridCol w:w="4282"/>
        <w:gridCol w:w="271"/>
        <w:gridCol w:w="229"/>
        <w:gridCol w:w="28"/>
        <w:gridCol w:w="1729"/>
        <w:gridCol w:w="229"/>
        <w:gridCol w:w="285"/>
        <w:gridCol w:w="29"/>
        <w:gridCol w:w="1173"/>
        <w:gridCol w:w="1"/>
        <w:gridCol w:w="2"/>
        <w:gridCol w:w="1"/>
        <w:gridCol w:w="3"/>
      </w:tblGrid>
      <w:tr>
        <w:tblPrEx>
          <w:tblCellMar>
            <w:top w:w="0" w:type="dxa"/>
            <w:left w:w="108" w:type="dxa"/>
            <w:bottom w:w="0" w:type="dxa"/>
            <w:right w:w="108" w:type="dxa"/>
          </w:tblCellMar>
        </w:tblPrEx>
        <w:trPr>
          <w:gridAfter w:val="3"/>
          <w:wAfter w:w="3" w:type="pct"/>
          <w:trHeight w:val="300" w:hRule="atLeast"/>
        </w:trPr>
        <w:tc>
          <w:tcPr>
            <w:tcW w:w="3126" w:type="pct"/>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Times New Roman" w:hAnsi="Times New Roman" w:eastAsia="仿宋" w:cs="Times New Roman"/>
                <w:kern w:val="2"/>
                <w:sz w:val="24"/>
                <w:szCs w:val="24"/>
                <w:lang w:val="en-US" w:eastAsia="zh-CN" w:bidi="ar-SA"/>
              </w:rPr>
            </w:pPr>
            <w:r>
              <w:rPr>
                <w:rFonts w:hint="eastAsia"/>
              </w:rPr>
              <w:t>磋商文件</w:t>
            </w:r>
            <w:r>
              <w:rPr>
                <w:rFonts w:hint="eastAsia"/>
                <w:lang w:val="en-US"/>
              </w:rPr>
              <w:t>要求</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仿宋" w:cs="Times New Roman"/>
                <w:kern w:val="2"/>
                <w:sz w:val="24"/>
                <w:szCs w:val="24"/>
                <w:lang w:val="en-US" w:eastAsia="zh-CN" w:bidi="ar-SA"/>
              </w:rPr>
            </w:pPr>
            <w:r>
              <w:rPr>
                <w:rFonts w:hint="eastAsia"/>
              </w:rPr>
              <w:t>响应</w:t>
            </w:r>
            <w:r>
              <w:rPr>
                <w:rFonts w:hint="eastAsia"/>
                <w:lang w:val="en-US"/>
              </w:rPr>
              <w:t>响应</w:t>
            </w: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仿宋" w:cs="Times New Roman"/>
                <w:kern w:val="2"/>
                <w:sz w:val="24"/>
                <w:szCs w:val="24"/>
                <w:lang w:val="en-US" w:eastAsia="zh-CN" w:bidi="ar-SA"/>
              </w:rPr>
            </w:pPr>
            <w:r>
              <w:rPr>
                <w:rFonts w:hint="eastAsia"/>
              </w:rPr>
              <w:t>偏离说明</w:t>
            </w:r>
          </w:p>
        </w:tc>
      </w:tr>
      <w:tr>
        <w:tblPrEx>
          <w:tblCellMar>
            <w:top w:w="0" w:type="dxa"/>
            <w:left w:w="108" w:type="dxa"/>
            <w:bottom w:w="0" w:type="dxa"/>
            <w:right w:w="108" w:type="dxa"/>
          </w:tblCellMar>
        </w:tblPrEx>
        <w:trPr>
          <w:gridAfter w:val="3"/>
          <w:wAfter w:w="3" w:type="pct"/>
          <w:trHeight w:val="300" w:hRule="atLeast"/>
        </w:trPr>
        <w:tc>
          <w:tcPr>
            <w:tcW w:w="4996" w:type="pct"/>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rPr>
            </w:pPr>
            <w:r>
              <w:rPr>
                <w:rFonts w:hint="eastAsia"/>
              </w:rPr>
              <w:t>指挥中心</w:t>
            </w:r>
            <w:r>
              <w:rPr>
                <w:rFonts w:hint="eastAsia"/>
                <w:lang w:val="en-US" w:eastAsia="zh-CN"/>
              </w:rPr>
              <w:t>-</w:t>
            </w:r>
            <w:r>
              <w:rPr>
                <w:rFonts w:hint="eastAsia" w:ascii="仿宋" w:hAnsi="仿宋" w:cs="仿宋"/>
              </w:rPr>
              <w:t>大屏系统</w:t>
            </w:r>
          </w:p>
        </w:tc>
      </w:tr>
      <w:tr>
        <w:tblPrEx>
          <w:tblCellMar>
            <w:top w:w="0" w:type="dxa"/>
            <w:left w:w="108" w:type="dxa"/>
            <w:bottom w:w="0" w:type="dxa"/>
            <w:right w:w="108" w:type="dxa"/>
          </w:tblCellMar>
        </w:tblPrEx>
        <w:trPr>
          <w:gridAfter w:val="3"/>
          <w:wAfter w:w="3" w:type="pct"/>
          <w:trHeight w:val="30" w:hRule="atLeast"/>
        </w:trPr>
        <w:tc>
          <w:tcPr>
            <w:tcW w:w="551" w:type="pct"/>
            <w:gridSpan w:val="6"/>
            <w:vMerge w:val="restart"/>
            <w:tcBorders>
              <w:top w:val="single" w:color="000000" w:sz="4" w:space="0"/>
              <w:left w:val="single" w:color="000000" w:sz="4" w:space="0"/>
              <w:right w:val="single" w:color="000000" w:sz="4" w:space="0"/>
            </w:tcBorders>
            <w:shd w:val="clear" w:color="auto" w:fill="auto"/>
            <w:noWrap/>
            <w:vAlign w:val="center"/>
          </w:tcPr>
          <w:p>
            <w:pPr>
              <w:ind w:firstLine="0" w:firstLineChars="0"/>
              <w:rPr>
                <w:rFonts w:ascii="仿宋" w:hAnsi="仿宋" w:cs="仿宋"/>
                <w:szCs w:val="21"/>
              </w:rPr>
            </w:pPr>
            <w:r>
              <w:rPr>
                <w:rFonts w:hint="eastAsia"/>
              </w:rPr>
              <w:t>COB倒装小间距LED屏</w:t>
            </w: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ascii="仿宋" w:hAnsi="仿宋" w:cs="仿宋"/>
                <w:szCs w:val="21"/>
              </w:rPr>
            </w:pPr>
            <w:r>
              <w:rPr>
                <w:rFonts w:hint="eastAsia"/>
              </w:rPr>
              <w:t>★物理点间距：≤1.25mm，像素密度≥640000点/㎡。</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尺寸：长9m，高2.03m。</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After w:val="3"/>
          <w:wAfter w:w="3" w:type="pct"/>
          <w:trHeight w:val="30"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★封装方式：采用纯倒装无引线COB封装方式（即板上芯片集成封装），封装表面平整光滑。</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After w:val="3"/>
          <w:wAfter w:w="3" w:type="pct"/>
          <w:trHeight w:val="30"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箱体材质：采用全压铸铝箱体，箱体表面无明显的凹痕、划伤、裂缝、变形和污渍；表面色泽均匀，无起泡、龟裂、脱落和磨损现象；金属零部件无锈蚀；文字标识应清晰、完整。</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After w:val="3"/>
          <w:wAfter w:w="3" w:type="pct"/>
          <w:trHeight w:val="30"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w:t>
            </w:r>
            <w:r>
              <w:t>支持全前维护，电源、转接板、接收卡、模组等元器件均采用镀金接插件实现硬连接，且都可从前方拆卸维护，可以无需预留维护通道，支持贴墙安装。</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After w:val="3"/>
          <w:wAfter w:w="3" w:type="pct"/>
          <w:trHeight w:val="30"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显示单元亮度支持0-2000nits之间无极调节，软件示数与仪器测试值的偏差不超过20nits。</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亮度均匀性:≥99.5%；色度均匀性:±0.001Cx,Cy。</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After w:val="3"/>
          <w:wAfter w:w="3" w:type="pct"/>
          <w:trHeight w:val="30"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对比度：≥25000:1；刷新率：≥3840Hz，换帧频率：≥60Hz，播放时曲而流畅，无水波纹现象，在专业相机拍摄情况下，画面无频闪线及晃动。</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After w:val="3"/>
          <w:wAfter w:w="3" w:type="pct"/>
          <w:trHeight w:val="30"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▲显示屏具备色彩诊断能力，并能对色彩进行自动修正。</w:t>
            </w:r>
            <w:r>
              <w:t>不同接收卡之间画面同步性在10ms以内。</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After w:val="3"/>
          <w:wAfter w:w="3" w:type="pct"/>
          <w:trHeight w:val="30"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显示屏采用自然散热，无风扇设计，噪音平均声压级≤1.4dB（球面半径1米处）。</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After w:val="3"/>
          <w:wAfter w:w="3" w:type="pct"/>
          <w:trHeight w:val="30"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供电电源采用无风扇设计，采用PFC高效率转换技术，功率因素≥99%，电源转换效率≥92%。</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After w:val="3"/>
          <w:wAfter w:w="3" w:type="pct"/>
          <w:trHeight w:val="30"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具备6轴拼缝微调节机构，整屏平整度：&lt;=0.05mm,箱体间拼缝：&lt;=0.05mm，箱体间相对错位值≤0.5mm（光学拼缝≤0.1mm）。</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After w:val="3"/>
          <w:wAfter w:w="3" w:type="pct"/>
          <w:trHeight w:val="30"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电磁兼容性：在30-1000MHz辐射骚扰、150kHz-30MHz电源端子骚扰、1GHz以上辐射骚扰依据GB9254、GB/T17626.2检测要求满足B级标准。</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After w:val="3"/>
          <w:wAfter w:w="3" w:type="pct"/>
          <w:trHeight w:val="30"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▲显示屏具备色彩诊断能力，并能对色彩进行自动修正。</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After w:val="3"/>
          <w:wAfter w:w="3" w:type="pct"/>
          <w:trHeight w:val="30" w:hRule="atLeast"/>
        </w:trPr>
        <w:tc>
          <w:tcPr>
            <w:tcW w:w="551" w:type="pct"/>
            <w:gridSpan w:val="6"/>
            <w:vMerge w:val="continue"/>
            <w:tcBorders>
              <w:left w:val="single" w:color="000000" w:sz="4" w:space="0"/>
              <w:bottom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ascii="仿宋" w:hAnsi="仿宋" w:cs="仿宋"/>
                <w:szCs w:val="21"/>
              </w:rPr>
            </w:pPr>
            <w:r>
              <w:rPr>
                <w:rFonts w:hint="eastAsia"/>
              </w:rPr>
              <w:t>▲视网膜蓝光危害（蓝光加权辐射亮度LB）≤0.5W∙m</w:t>
            </w:r>
            <w:r>
              <w:rPr>
                <w:rFonts w:hint="eastAsia"/>
                <w:vertAlign w:val="superscript"/>
              </w:rPr>
              <w:t>-2</w:t>
            </w:r>
            <w:r>
              <w:rPr>
                <w:rFonts w:hint="eastAsia"/>
              </w:rPr>
              <w:t>∙sr</w:t>
            </w:r>
            <w:r>
              <w:rPr>
                <w:rFonts w:hint="eastAsia"/>
                <w:vertAlign w:val="superscript"/>
              </w:rPr>
              <w:t>-1</w:t>
            </w:r>
            <w:r>
              <w:rPr>
                <w:rFonts w:hint="eastAsia"/>
              </w:rPr>
              <w:t>。</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51" w:type="pct"/>
            <w:gridSpan w:val="6"/>
            <w:vMerge w:val="restart"/>
            <w:tcBorders>
              <w:top w:val="single" w:color="000000" w:sz="4" w:space="0"/>
              <w:left w:val="single" w:color="000000" w:sz="4" w:space="0"/>
              <w:right w:val="single" w:color="000000" w:sz="4" w:space="0"/>
            </w:tcBorders>
            <w:shd w:val="clear" w:color="auto" w:fill="auto"/>
            <w:noWrap/>
            <w:vAlign w:val="center"/>
          </w:tcPr>
          <w:p>
            <w:pPr>
              <w:ind w:firstLine="0" w:firstLineChars="0"/>
            </w:pPr>
            <w:r>
              <w:rPr>
                <w:rFonts w:hint="eastAsia"/>
              </w:rPr>
              <w:t>发送卡</w:t>
            </w: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ascii="仿宋" w:hAnsi="仿宋" w:cs="仿宋"/>
                <w:szCs w:val="21"/>
              </w:rPr>
            </w:pPr>
            <w:r>
              <w:rPr>
                <w:rFonts w:hint="eastAsia"/>
              </w:rPr>
              <w:t>支持一路DVI、HDMI视频输入。</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支持高位阶视频输入，12bit/10bit/8bit/18bit灰阶处理与显示。</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支持USB接口控制，可级联多台进行统一控制。</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支持最大带载分辨率：1920×1200，支持分辨率任意设置。</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单卡最大带载面积：230万点，最宽可达4096，最高可达2560点。</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51" w:type="pct"/>
            <w:gridSpan w:val="6"/>
            <w:vMerge w:val="continue"/>
            <w:tcBorders>
              <w:left w:val="single" w:color="000000" w:sz="4" w:space="0"/>
              <w:bottom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支持亮度和色温调节。</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581" w:hRule="atLeast"/>
        </w:trPr>
        <w:tc>
          <w:tcPr>
            <w:tcW w:w="551" w:type="pct"/>
            <w:gridSpan w:val="6"/>
            <w:vMerge w:val="restart"/>
            <w:tcBorders>
              <w:top w:val="single" w:color="000000" w:sz="4" w:space="0"/>
              <w:left w:val="single" w:color="000000" w:sz="4" w:space="0"/>
              <w:right w:val="single" w:color="000000" w:sz="4" w:space="0"/>
            </w:tcBorders>
            <w:shd w:val="clear" w:color="auto" w:fill="auto"/>
            <w:noWrap/>
            <w:vAlign w:val="center"/>
          </w:tcPr>
          <w:p>
            <w:pPr>
              <w:ind w:firstLine="0" w:firstLineChars="0"/>
            </w:pPr>
            <w:r>
              <w:rPr>
                <w:rFonts w:hint="eastAsia"/>
              </w:rPr>
              <w:t>控制系统软件</w:t>
            </w: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ascii="仿宋" w:hAnsi="仿宋" w:cs="仿宋"/>
                <w:szCs w:val="21"/>
              </w:rPr>
            </w:pPr>
            <w:r>
              <w:rPr>
                <w:rFonts w:hint="eastAsia"/>
              </w:rPr>
              <w:t>支持视频、音频、图像、文字、Flash、Gif等形式的媒体文件播放。</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支持Microsoftoffice的Word、Excel、PPT显示。</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支持时钟、计时、天气预报显示。</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支持外部视频信号播放。</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51" w:type="pct"/>
            <w:gridSpan w:val="6"/>
            <w:vMerge w:val="continue"/>
            <w:tcBorders>
              <w:left w:val="single" w:color="000000" w:sz="4" w:space="0"/>
              <w:bottom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支持多页面多分区节目编辑。</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92" w:hRule="atLeast"/>
        </w:trPr>
        <w:tc>
          <w:tcPr>
            <w:tcW w:w="551" w:type="pct"/>
            <w:gridSpan w:val="6"/>
            <w:vMerge w:val="restart"/>
            <w:tcBorders>
              <w:top w:val="single" w:color="000000" w:sz="4" w:space="0"/>
              <w:left w:val="single" w:color="000000" w:sz="4" w:space="0"/>
              <w:right w:val="single" w:color="000000" w:sz="4" w:space="0"/>
            </w:tcBorders>
            <w:shd w:val="clear" w:color="auto" w:fill="auto"/>
            <w:noWrap/>
            <w:vAlign w:val="center"/>
          </w:tcPr>
          <w:p>
            <w:pPr>
              <w:ind w:firstLine="0" w:firstLineChars="0"/>
            </w:pPr>
            <w:r>
              <w:rPr>
                <w:rFonts w:hint="eastAsia"/>
              </w:rPr>
              <w:t>LED10KW配电箱</w:t>
            </w: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ascii="仿宋" w:hAnsi="仿宋" w:cs="仿宋"/>
                <w:szCs w:val="21"/>
              </w:rPr>
            </w:pPr>
            <w:r>
              <w:rPr>
                <w:rFonts w:hint="eastAsia"/>
              </w:rPr>
              <w:t>采用高质量，高可靠性的工业级控制器，全天候，全时段稳定可靠运行。</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92"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配电系统包含PLC远程智能控制系统，可执行远程开关机操作，具备过压、过流、欠压、短路、断路及漏电保护措施。</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92"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拥有LED显示屏全智能远程控制系统，可实现对LED智能配电箱的远程设定、控制。</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92"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内部模块化设计，合理布局，用电安全。</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92"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内设控制电路保险装置，对电路实施全方位监控、保护。</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92"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内部设立具有三芯及两芯插座，方便调试设备及维修供电。</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92"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具有A/B/C三相独立供电指示灯，方便外部判断设备工作状态。</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92"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支持手动一键启动/停止和单点点动控制、远程一键启动/停止和单点点动控制。</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92"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拥有启动、紧急制停按钮，方便异常状态紧急维护使用。</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92" w:hRule="atLeast"/>
        </w:trPr>
        <w:tc>
          <w:tcPr>
            <w:tcW w:w="551" w:type="pct"/>
            <w:gridSpan w:val="6"/>
            <w:vMerge w:val="continue"/>
            <w:tcBorders>
              <w:left w:val="single" w:color="000000" w:sz="4" w:space="0"/>
              <w:bottom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机柜可采用壁装、挂装安装方式，具有防虫、防鼠功效。</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619" w:hRule="atLeast"/>
        </w:trPr>
        <w:tc>
          <w:tcPr>
            <w:tcW w:w="551" w:type="pct"/>
            <w:gridSpan w:val="6"/>
            <w:vMerge w:val="restart"/>
            <w:tcBorders>
              <w:top w:val="single" w:color="000000" w:sz="4" w:space="0"/>
              <w:left w:val="single" w:color="000000" w:sz="4" w:space="0"/>
              <w:right w:val="single" w:color="000000" w:sz="4" w:space="0"/>
            </w:tcBorders>
            <w:shd w:val="clear" w:color="auto" w:fill="auto"/>
            <w:noWrap/>
            <w:vAlign w:val="center"/>
          </w:tcPr>
          <w:p>
            <w:pPr>
              <w:ind w:firstLine="0" w:firstLineChars="0"/>
            </w:pPr>
            <w:r>
              <w:rPr>
                <w:rFonts w:hint="eastAsia"/>
              </w:rPr>
              <w:t>定制支架</w:t>
            </w: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ascii="仿宋" w:hAnsi="仿宋" w:cs="仿宋"/>
                <w:szCs w:val="21"/>
              </w:rPr>
            </w:pPr>
            <w:r>
              <w:rPr>
                <w:rFonts w:hint="eastAsia"/>
              </w:rPr>
              <w:t>内部框架采用镀锌钢管焊接，材料厚度≥2mm，钢管焊点喷涂防锈漆。</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189" w:hRule="atLeast"/>
        </w:trPr>
        <w:tc>
          <w:tcPr>
            <w:tcW w:w="551" w:type="pct"/>
            <w:gridSpan w:val="6"/>
            <w:vMerge w:val="continue"/>
            <w:tcBorders>
              <w:left w:val="single" w:color="000000" w:sz="4" w:space="0"/>
              <w:bottom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底座封板，材质201不锈钢。</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300" w:hRule="atLeast"/>
        </w:trPr>
        <w:tc>
          <w:tcPr>
            <w:tcW w:w="55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r>
              <w:rPr>
                <w:rFonts w:hint="eastAsia"/>
              </w:rPr>
              <w:t>真空吸盘</w:t>
            </w: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ascii="仿宋" w:hAnsi="仿宋" w:cs="仿宋"/>
                <w:szCs w:val="21"/>
              </w:rPr>
            </w:pPr>
            <w:r>
              <w:rPr>
                <w:rFonts w:hint="eastAsia"/>
              </w:rPr>
              <w:t>真空吸盘，用于后续维修。</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300" w:hRule="atLeast"/>
        </w:trPr>
        <w:tc>
          <w:tcPr>
            <w:tcW w:w="55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r>
              <w:rPr>
                <w:rFonts w:hint="eastAsia"/>
              </w:rPr>
              <w:t>HDMI线缆</w:t>
            </w: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ascii="仿宋" w:hAnsi="仿宋" w:cs="仿宋"/>
                <w:szCs w:val="21"/>
              </w:rPr>
            </w:pPr>
            <w:r>
              <w:rPr>
                <w:rFonts w:hint="eastAsia"/>
              </w:rPr>
              <w:t>10米高纯度铜导体HDMI线缆，360°包铜箔工艺。</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300" w:hRule="atLeast"/>
        </w:trPr>
        <w:tc>
          <w:tcPr>
            <w:tcW w:w="499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仿宋"/>
                <w:lang w:val="en-US" w:eastAsia="zh-CN"/>
              </w:rPr>
            </w:pPr>
            <w:r>
              <w:rPr>
                <w:rFonts w:hint="eastAsia"/>
                <w:lang w:val="en-US" w:eastAsia="zh-CN"/>
              </w:rPr>
              <w:t>指挥中心-</w:t>
            </w:r>
            <w:r>
              <w:rPr>
                <w:rFonts w:hint="eastAsia" w:ascii="仿宋" w:hAnsi="仿宋" w:cs="仿宋"/>
              </w:rPr>
              <w:t>分布式系统</w:t>
            </w:r>
          </w:p>
        </w:tc>
      </w:tr>
      <w:tr>
        <w:tblPrEx>
          <w:tblCellMar>
            <w:top w:w="0" w:type="dxa"/>
            <w:left w:w="108" w:type="dxa"/>
            <w:bottom w:w="0" w:type="dxa"/>
            <w:right w:w="108" w:type="dxa"/>
          </w:tblCellMar>
        </w:tblPrEx>
        <w:trPr>
          <w:gridAfter w:val="3"/>
          <w:wAfter w:w="3" w:type="pct"/>
          <w:trHeight w:val="403" w:hRule="atLeast"/>
        </w:trPr>
        <w:tc>
          <w:tcPr>
            <w:tcW w:w="510" w:type="pct"/>
            <w:gridSpan w:val="2"/>
            <w:vMerge w:val="restart"/>
            <w:tcBorders>
              <w:top w:val="single" w:color="000000" w:sz="4" w:space="0"/>
              <w:left w:val="single" w:color="000000" w:sz="4" w:space="0"/>
              <w:right w:val="single" w:color="000000" w:sz="4" w:space="0"/>
            </w:tcBorders>
            <w:shd w:val="clear" w:color="auto" w:fill="auto"/>
            <w:noWrap/>
            <w:vAlign w:val="center"/>
          </w:tcPr>
          <w:p>
            <w:pPr>
              <w:ind w:firstLine="0" w:firstLineChars="0"/>
            </w:pPr>
            <w:r>
              <w:rPr>
                <w:rFonts w:hint="eastAsia"/>
              </w:rPr>
              <w:t>分布式KVM管理节点</w:t>
            </w: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一人多机：仅靠一套键鼠即可访问多台不同主机，通过鼠标简单滑动即可实现不同计算机之间的自由切换，简化操作台桌面。</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03"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鼠标滑屏：支持通过移动鼠标指针跨屏实现对控制主机的切换。</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03"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一机多屏：多输出口电脑主机配合多个输入输出节点可实现一机多屏功能。</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03"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多屏推送：支持组件信息共享、信息便捷推送，不仅可实现单屏推送，还能实现多连屏推送。</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03"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多用户控制：支持多个不同用户可同时通过鼠标键盘实现对远程计算机的同步控制与管理。</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03"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远程控制：支持远程KVM功能，可通过坐席鼠标键盘对远端信号源主机进行控制。</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03"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支持OSD菜单、快捷键双重操作，可实现信号源切换、推送、抓取等多种功能。</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03"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支持场景保存功能，可将场景布局保存至系统中，实现快速无缝切换、支持场景轮巡功能。</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03"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大屏拼接管理功能，支持开窗，支持单屏16画面任意开窗显示，窗口漫游，“画中画”功能、每个窗口的画面大小可任意进行缩放，可单独或组合对高度、宽度进行放大或缩小，通过独有的视频处理算法保证画质不受损失。</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03"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支持底图、滚动字幕功能、支持信号源实时预览功能、信号源预览功能，控制软件可对信号源画面进行实时预览。</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03"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支持屏幕预操作功能，编辑好大屏画面后一键投屏，避免在大屏上实时显示操作方式。</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03"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支持双向音频传输，支持输出端与输入端的音频互联。</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03"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支持独立音频传输、切换，可传输无视频音频或随路音频。</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03"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支持编码码率调节，可选变码率与定码率。</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03"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支持TCP，UDP，组播等多种传输方式。</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03"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支持RTSP、国标GB28181和ONVIF标准协议。</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03"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支持USB透传、支持远程开关机、支持PS/2功能，用于传递键鼠信号，用于数据加密。</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03" w:hRule="atLeast"/>
        </w:trPr>
        <w:tc>
          <w:tcPr>
            <w:tcW w:w="510" w:type="pct"/>
            <w:gridSpan w:val="2"/>
            <w:vMerge w:val="continue"/>
            <w:tcBorders>
              <w:left w:val="single" w:color="000000" w:sz="4" w:space="0"/>
              <w:bottom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支持批量添加，管理输入/输出节点，批量修改IP地址。</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126" w:hRule="atLeast"/>
        </w:trPr>
        <w:tc>
          <w:tcPr>
            <w:tcW w:w="510" w:type="pct"/>
            <w:gridSpan w:val="2"/>
            <w:vMerge w:val="restart"/>
            <w:tcBorders>
              <w:top w:val="single" w:color="000000" w:sz="4" w:space="0"/>
              <w:left w:val="single" w:color="000000" w:sz="4" w:space="0"/>
              <w:right w:val="single" w:color="000000" w:sz="4" w:space="0"/>
            </w:tcBorders>
            <w:shd w:val="clear" w:color="auto" w:fill="auto"/>
            <w:noWrap/>
            <w:vAlign w:val="center"/>
          </w:tcPr>
          <w:p>
            <w:pPr>
              <w:ind w:firstLine="0" w:firstLineChars="0"/>
            </w:pPr>
            <w:r>
              <w:rPr>
                <w:rFonts w:hint="eastAsia"/>
              </w:rPr>
              <w:t>HDMI1.3输入节点</w:t>
            </w: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1.系统采用纯分布式架构，由独立的输入、输出模块集合构成，各模块之间通过标准以太网交换机CAT网线进行连接，任意一个节点故障，不影响系统继续运行。</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126"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音视频接口：1路视频输入接口（支持HDMI（1080P），DVI，HDMI（4K）），1路视频环出接口，环出接口类型与输入接口类型为同类型，1路音频输入、1路音频输出，1路音频环出接口。</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126"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1个USBTypeB数据传输接口，1个10M/100M/1000MbpsRJ45接口。</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126"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编码方式：H.265/HEVC或H.264/AVC。</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126"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控制接口：1个RS232/RS485、1个IR/IO、1个PS/2接口。</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126"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▲编码端至解码端，图像输出延迟≤30ms。</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126"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▲前面板应具有显示器，可用于显示设备的IP地址。</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126"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可对编码视频画面的亮度，对比度，色彩饱和度进行调节。</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126"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支持在输入通道上叠加任意字符，可自定义字体，颜色，大小，位置，背景色参数。</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126"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支持EDID在线编辑，可支持非标准视频分辨率EDID导入，用于非标显示设备应用。</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126" w:hRule="atLeast"/>
        </w:trPr>
        <w:tc>
          <w:tcPr>
            <w:tcW w:w="510" w:type="pct"/>
            <w:gridSpan w:val="2"/>
            <w:vMerge w:val="continue"/>
            <w:tcBorders>
              <w:left w:val="single" w:color="000000" w:sz="4" w:space="0"/>
              <w:bottom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设备支持对电脑主机的主屏幕和扩展屏幕同时进行绑定采集，用户可以通过切换单一主机完成主屏和扩展屏的同步切换。</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861" w:hRule="atLeast"/>
        </w:trPr>
        <w:tc>
          <w:tcPr>
            <w:tcW w:w="510" w:type="pct"/>
            <w:gridSpan w:val="2"/>
            <w:vMerge w:val="restart"/>
            <w:tcBorders>
              <w:top w:val="single" w:color="000000" w:sz="4" w:space="0"/>
              <w:left w:val="single" w:color="000000" w:sz="4" w:space="0"/>
              <w:right w:val="single" w:color="000000" w:sz="4" w:space="0"/>
            </w:tcBorders>
            <w:shd w:val="clear" w:color="auto" w:fill="auto"/>
            <w:noWrap/>
            <w:vAlign w:val="center"/>
          </w:tcPr>
          <w:p>
            <w:pPr>
              <w:ind w:firstLine="0" w:firstLineChars="0"/>
            </w:pPr>
            <w:r>
              <w:rPr>
                <w:rFonts w:hint="eastAsia"/>
              </w:rPr>
              <w:t>HDMI1.3输出节点</w:t>
            </w: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系统采用纯分布式架构，由独立的输入、输出模块集合构成，各模块之间通过标准以太网交换机CAT网线进行连接，任意一个节点故障，不影响系统继续运行。</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861"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音视频接口：1路视频输出接口（支持HDMI（1080P），DVI，HDMI（4K）），1路音频输入、1路音频输出。</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90"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解码方式：H.265/HEVC或H.264/AVC。</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27"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4个USBTypeA数据传输接口，1个10M/100M/1000MbpsRJ45接口。</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399"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控制接口：1个RS232/RS485、1个IR/IO、2个USBTypeA接口。</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90"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前面板应具有显示器。</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861"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支持窗口任意调整大小，可以在多个显示器间任意移动，窗口可互相叠加实现画中画。</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861"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单个输出通道支持打开一个或多个不同源窗口，单屏支持不少于16个高清信号窗口显示。</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861"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支持将窗口布局，信号源，字符叠加信号保存至设备，保存场景数量不少于1280。</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90"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▲画面静止状态，画面切换时间≤20ms，切换时无黑场，闪屏。</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349"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不使用第三方设备的情况下，可显示高清点对点背景图片。</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284"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▲支持拼缝补偿，可精确至1像素。</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861" w:hRule="atLeast"/>
        </w:trPr>
        <w:tc>
          <w:tcPr>
            <w:tcW w:w="510" w:type="pct"/>
            <w:gridSpan w:val="2"/>
            <w:vMerge w:val="continue"/>
            <w:tcBorders>
              <w:left w:val="single" w:color="000000" w:sz="4" w:space="0"/>
              <w:bottom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▲滚动字幕OSD，具有文字滚动字幕显示功能，支持用户调整字幕的样式、动作、方向、速度、颜色、字体。</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699" w:hRule="atLeast"/>
        </w:trPr>
        <w:tc>
          <w:tcPr>
            <w:tcW w:w="510" w:type="pct"/>
            <w:gridSpan w:val="2"/>
            <w:vMerge w:val="restart"/>
            <w:tcBorders>
              <w:top w:val="single" w:color="000000" w:sz="4" w:space="0"/>
              <w:left w:val="single" w:color="000000" w:sz="4" w:space="0"/>
              <w:right w:val="single" w:color="000000" w:sz="4" w:space="0"/>
            </w:tcBorders>
            <w:shd w:val="clear" w:color="auto" w:fill="auto"/>
            <w:noWrap/>
            <w:vAlign w:val="center"/>
          </w:tcPr>
          <w:p>
            <w:pPr>
              <w:ind w:firstLine="0" w:firstLineChars="0"/>
            </w:pPr>
            <w:r>
              <w:rPr>
                <w:rFonts w:hint="eastAsia"/>
              </w:rPr>
              <w:t>HDMI1.3坐席输出节点</w:t>
            </w: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系统采用纯分布式架构，由独立的输入、输出模块集合构成，各模块之间通过标准以太网交换机CAT网线进行连接，任意一个节点故障，不影响系统继续运行。</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699"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音视频接口：1路视频输出接口（支持HDMI（1080P），DVI，HDMI（4K）），1路音频输入、1路音频输出。</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162"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解码方式：H.265/HEVC或H.264/AVC。</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357"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4个USBTypeA数据传输接口，1个10M/100M/1000MbpsRJ45接口。</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2"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控制接口：1个RS232/RS485、1个IR/IO、2个USBTypeA接口。</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396"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前面板应具有显示器。</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699"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支持单个席位使用一套鼠键配合多个显示器访问多台不同的主机，可以通过移动鼠标指针跨屏实现对控制主机的切换。</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699" w:hRule="atLeast"/>
        </w:trPr>
        <w:tc>
          <w:tcPr>
            <w:tcW w:w="510" w:type="pct"/>
            <w:gridSpan w:val="2"/>
            <w:vMerge w:val="continue"/>
            <w:tcBorders>
              <w:left w:val="single" w:color="000000" w:sz="4" w:space="0"/>
              <w:bottom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▲支持系统通过接收端的OSD菜单或接收端硬件按钮，实现对发送端相连接的计算机主机进行开关机管理。</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763" w:hRule="atLeast"/>
        </w:trPr>
        <w:tc>
          <w:tcPr>
            <w:tcW w:w="510" w:type="pct"/>
            <w:gridSpan w:val="2"/>
            <w:vMerge w:val="restart"/>
            <w:tcBorders>
              <w:top w:val="single" w:color="000000" w:sz="4" w:space="0"/>
              <w:left w:val="single" w:color="000000" w:sz="4" w:space="0"/>
              <w:right w:val="single" w:color="000000" w:sz="4" w:space="0"/>
            </w:tcBorders>
            <w:shd w:val="clear" w:color="auto" w:fill="auto"/>
            <w:noWrap/>
            <w:vAlign w:val="center"/>
          </w:tcPr>
          <w:p>
            <w:pPr>
              <w:ind w:firstLine="0" w:firstLineChars="0"/>
            </w:pPr>
            <w:r>
              <w:rPr>
                <w:rFonts w:hint="eastAsia"/>
              </w:rPr>
              <w:t>HDMI4K输入接口（驾驶舱用）</w:t>
            </w: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系统采用纯分布式架构，由独立的输入、输出模块集合构成，各模块之间通过标准以太网交换机CAT网线进行连接，任意一个节点故障，不影响系统继续运行。</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264"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视频接口：1路HDMI（4K）视频输入接口。</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21"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1个USBTypeB数据传输接口，1个10M/100M/1000MbpsRJ45接口。</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编码方式：H.265/HEVC或H.264/AVC。</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控制接口：1个RS232/RS485、1个IR/IO、1个PS/2接口。</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编码端至解码端，图像输出延迟≤30ms。</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前面板应具有显示器。</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可对编码视频画面的亮度，对比度，色彩饱和度进行调节。</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525"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支持在输入通道上叠加任意字符，可自定义字体，颜色，大小，位置，背景色参数。</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73" w:hRule="atLeast"/>
        </w:trPr>
        <w:tc>
          <w:tcPr>
            <w:tcW w:w="510" w:type="pct"/>
            <w:gridSpan w:val="2"/>
            <w:vMerge w:val="continue"/>
            <w:tcBorders>
              <w:left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支持EDID在线编辑，可支持非标准视频分辨率EDID导入，用于非标显示设备应用。</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763" w:hRule="atLeast"/>
        </w:trPr>
        <w:tc>
          <w:tcPr>
            <w:tcW w:w="510" w:type="pct"/>
            <w:gridSpan w:val="2"/>
            <w:vMerge w:val="continue"/>
            <w:tcBorders>
              <w:left w:val="single" w:color="000000" w:sz="4" w:space="0"/>
              <w:bottom w:val="single" w:color="000000" w:sz="4" w:space="0"/>
              <w:right w:val="single" w:color="000000" w:sz="4" w:space="0"/>
            </w:tcBorders>
            <w:shd w:val="clear" w:color="auto" w:fill="auto"/>
            <w:noWrap/>
            <w:vAlign w:val="center"/>
          </w:tcPr>
          <w:p>
            <w:pPr>
              <w:ind w:firstLine="480"/>
            </w:pPr>
          </w:p>
        </w:tc>
        <w:tc>
          <w:tcPr>
            <w:tcW w:w="26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设备支持对电脑主机的主屏幕和扩展屏幕同时进行绑定采集，用户可以通过切换单一主机完成主屏和扩展屏的同步切换。</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300" w:hRule="atLeast"/>
        </w:trPr>
        <w:tc>
          <w:tcPr>
            <w:tcW w:w="5000"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仿宋"/>
                <w:lang w:val="en-US" w:eastAsia="zh-CN"/>
              </w:rPr>
            </w:pPr>
            <w:r>
              <w:rPr>
                <w:rFonts w:hint="eastAsia"/>
                <w:lang w:val="en-US" w:eastAsia="zh-CN"/>
              </w:rPr>
              <w:t>指挥中心-</w:t>
            </w:r>
            <w:r>
              <w:rPr>
                <w:rFonts w:hint="eastAsia" w:ascii="仿宋" w:hAnsi="仿宋" w:cs="仿宋"/>
              </w:rPr>
              <w:t>机房</w:t>
            </w:r>
          </w:p>
        </w:tc>
      </w:tr>
      <w:tr>
        <w:tblPrEx>
          <w:tblCellMar>
            <w:top w:w="0" w:type="dxa"/>
            <w:left w:w="108" w:type="dxa"/>
            <w:bottom w:w="0" w:type="dxa"/>
            <w:right w:w="108" w:type="dxa"/>
          </w:tblCellMar>
        </w:tblPrEx>
        <w:trPr>
          <w:trHeight w:val="300" w:hRule="atLeast"/>
        </w:trPr>
        <w:tc>
          <w:tcPr>
            <w:tcW w:w="55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r>
              <w:rPr>
                <w:rFonts w:hint="eastAsia"/>
              </w:rPr>
              <w:t>42U机柜</w:t>
            </w:r>
          </w:p>
        </w:tc>
        <w:tc>
          <w:tcPr>
            <w:tcW w:w="25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600*600*2000mm</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92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334" w:hRule="atLeast"/>
        </w:trPr>
        <w:tc>
          <w:tcPr>
            <w:tcW w:w="551" w:type="pct"/>
            <w:gridSpan w:val="6"/>
            <w:vMerge w:val="restart"/>
            <w:tcBorders>
              <w:top w:val="single" w:color="000000" w:sz="4" w:space="0"/>
              <w:left w:val="single" w:color="000000" w:sz="4" w:space="0"/>
              <w:right w:val="single" w:color="000000" w:sz="4" w:space="0"/>
            </w:tcBorders>
            <w:shd w:val="clear" w:color="auto" w:fill="auto"/>
            <w:noWrap/>
            <w:vAlign w:val="center"/>
          </w:tcPr>
          <w:p>
            <w:pPr>
              <w:ind w:firstLine="0" w:firstLineChars="0"/>
            </w:pPr>
            <w:r>
              <w:rPr>
                <w:rFonts w:hint="eastAsia"/>
              </w:rPr>
              <w:t>安全接入设备</w:t>
            </w:r>
          </w:p>
        </w:tc>
        <w:tc>
          <w:tcPr>
            <w:tcW w:w="25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具有4个千兆电口。</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c>
          <w:tcPr>
            <w:tcW w:w="92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r>
      <w:tr>
        <w:tblPrEx>
          <w:tblCellMar>
            <w:top w:w="0" w:type="dxa"/>
            <w:left w:w="108" w:type="dxa"/>
            <w:bottom w:w="0" w:type="dxa"/>
            <w:right w:w="108" w:type="dxa"/>
          </w:tblCellMar>
        </w:tblPrEx>
        <w:trPr>
          <w:trHeight w:val="931"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可支持接入互联网、专线网络等多种组网方式。</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c>
          <w:tcPr>
            <w:tcW w:w="92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r>
      <w:tr>
        <w:tblPrEx>
          <w:tblCellMar>
            <w:top w:w="0" w:type="dxa"/>
            <w:left w:w="108" w:type="dxa"/>
            <w:bottom w:w="0" w:type="dxa"/>
            <w:right w:w="108" w:type="dxa"/>
          </w:tblCellMar>
        </w:tblPrEx>
        <w:trPr>
          <w:trHeight w:val="292"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可支持在互联网、专网上建立虚拟专用通道。</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c>
          <w:tcPr>
            <w:tcW w:w="92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r>
      <w:tr>
        <w:tblPrEx>
          <w:tblCellMar>
            <w:top w:w="0" w:type="dxa"/>
            <w:left w:w="108" w:type="dxa"/>
            <w:bottom w:w="0" w:type="dxa"/>
            <w:right w:w="108" w:type="dxa"/>
          </w:tblCellMar>
        </w:tblPrEx>
        <w:trPr>
          <w:trHeight w:val="239"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可支持NAT地址转换。</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c>
          <w:tcPr>
            <w:tcW w:w="92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r>
      <w:tr>
        <w:tblPrEx>
          <w:tblCellMar>
            <w:top w:w="0" w:type="dxa"/>
            <w:left w:w="108" w:type="dxa"/>
            <w:bottom w:w="0" w:type="dxa"/>
            <w:right w:w="108" w:type="dxa"/>
          </w:tblCellMar>
        </w:tblPrEx>
        <w:trPr>
          <w:trHeight w:val="699"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可支持大多数主流的NVR\DVR\IPC产品通过本产品接入，能够实现实况、录像回放、录像下载、云台等视频业务功能。</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c>
          <w:tcPr>
            <w:tcW w:w="92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r>
      <w:tr>
        <w:tblPrEx>
          <w:tblCellMar>
            <w:top w:w="0" w:type="dxa"/>
            <w:left w:w="108" w:type="dxa"/>
            <w:bottom w:w="0" w:type="dxa"/>
            <w:right w:w="108" w:type="dxa"/>
          </w:tblCellMar>
        </w:tblPrEx>
        <w:trPr>
          <w:trHeight w:val="699"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可根据自动列表选择需要接入的资源，添加后自动推送至平台，屏蔽对无效资源的接入。</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c>
          <w:tcPr>
            <w:tcW w:w="92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r>
      <w:tr>
        <w:tblPrEx>
          <w:tblCellMar>
            <w:top w:w="0" w:type="dxa"/>
            <w:left w:w="108" w:type="dxa"/>
            <w:bottom w:w="0" w:type="dxa"/>
            <w:right w:w="108" w:type="dxa"/>
          </w:tblCellMar>
        </w:tblPrEx>
        <w:trPr>
          <w:trHeight w:val="409"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支持对重要视频及码流加密传输。</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c>
          <w:tcPr>
            <w:tcW w:w="92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r>
      <w:tr>
        <w:tblPrEx>
          <w:tblCellMar>
            <w:top w:w="0" w:type="dxa"/>
            <w:left w:w="108" w:type="dxa"/>
            <w:bottom w:w="0" w:type="dxa"/>
            <w:right w:w="108" w:type="dxa"/>
          </w:tblCellMar>
        </w:tblPrEx>
        <w:trPr>
          <w:trHeight w:val="291"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支持根据MAC地址进行黑白名单控制。</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c>
          <w:tcPr>
            <w:tcW w:w="92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r>
      <w:tr>
        <w:tblPrEx>
          <w:tblCellMar>
            <w:top w:w="0" w:type="dxa"/>
            <w:left w:w="108" w:type="dxa"/>
            <w:bottom w:w="0" w:type="dxa"/>
            <w:right w:w="108" w:type="dxa"/>
          </w:tblCellMar>
        </w:tblPrEx>
        <w:trPr>
          <w:trHeight w:val="699"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支持4路8Mbps，总计32Mbps流量转发。支持100Mbps流量转发。</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c>
          <w:tcPr>
            <w:tcW w:w="92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r>
      <w:tr>
        <w:tblPrEx>
          <w:tblCellMar>
            <w:top w:w="0" w:type="dxa"/>
            <w:left w:w="108" w:type="dxa"/>
            <w:bottom w:w="0" w:type="dxa"/>
            <w:right w:w="108" w:type="dxa"/>
          </w:tblCellMar>
        </w:tblPrEx>
        <w:trPr>
          <w:trHeight w:val="699" w:hRule="atLeast"/>
        </w:trPr>
        <w:tc>
          <w:tcPr>
            <w:tcW w:w="551" w:type="pct"/>
            <w:gridSpan w:val="6"/>
            <w:vMerge w:val="continue"/>
            <w:tcBorders>
              <w:left w:val="single" w:color="000000" w:sz="4" w:space="0"/>
              <w:bottom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▲产品设备制造商应具备完善的视频监控系统网络及安全解决方案的能力。</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c>
          <w:tcPr>
            <w:tcW w:w="92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r>
      <w:tr>
        <w:tblPrEx>
          <w:tblCellMar>
            <w:top w:w="0" w:type="dxa"/>
            <w:left w:w="108" w:type="dxa"/>
            <w:bottom w:w="0" w:type="dxa"/>
            <w:right w:w="108" w:type="dxa"/>
          </w:tblCellMar>
        </w:tblPrEx>
        <w:trPr>
          <w:trHeight w:val="347" w:hRule="atLeast"/>
        </w:trPr>
        <w:tc>
          <w:tcPr>
            <w:tcW w:w="551" w:type="pct"/>
            <w:gridSpan w:val="6"/>
            <w:vMerge w:val="restart"/>
            <w:tcBorders>
              <w:top w:val="single" w:color="000000" w:sz="4" w:space="0"/>
              <w:left w:val="single" w:color="000000" w:sz="4" w:space="0"/>
              <w:right w:val="single" w:color="000000" w:sz="4" w:space="0"/>
            </w:tcBorders>
            <w:shd w:val="clear" w:color="auto" w:fill="auto"/>
            <w:noWrap/>
            <w:vAlign w:val="center"/>
          </w:tcPr>
          <w:p>
            <w:pPr>
              <w:ind w:firstLine="0" w:firstLineChars="0"/>
            </w:pPr>
            <w:r>
              <w:rPr>
                <w:rFonts w:hint="eastAsia"/>
              </w:rPr>
              <w:t>16口交换机</w:t>
            </w: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16个10/100/1000Mbps自适应电口+2个10/100/1000Mbps上联光口。</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92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347" w:hRule="atLeast"/>
        </w:trPr>
        <w:tc>
          <w:tcPr>
            <w:tcW w:w="551" w:type="pct"/>
            <w:gridSpan w:val="6"/>
            <w:vMerge w:val="continue"/>
            <w:tcBorders>
              <w:left w:val="single" w:color="000000" w:sz="4" w:space="0"/>
              <w:right w:val="single" w:color="000000" w:sz="4" w:space="0"/>
            </w:tcBorders>
            <w:shd w:val="clear" w:color="auto" w:fill="auto"/>
            <w:noWrap/>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交换机容量≥36Gbps，包转发率≥26.78Mpps。</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347" w:hRule="atLeast"/>
        </w:trPr>
        <w:tc>
          <w:tcPr>
            <w:tcW w:w="551" w:type="pct"/>
            <w:gridSpan w:val="6"/>
            <w:vMerge w:val="continue"/>
            <w:tcBorders>
              <w:left w:val="single" w:color="000000" w:sz="4" w:space="0"/>
              <w:bottom w:val="single" w:color="000000" w:sz="4" w:space="0"/>
              <w:right w:val="single" w:color="000000" w:sz="4" w:space="0"/>
            </w:tcBorders>
            <w:shd w:val="clear" w:color="auto" w:fill="auto"/>
            <w:noWrap/>
            <w:vAlign w:val="center"/>
          </w:tcPr>
          <w:p>
            <w:pPr>
              <w:ind w:firstLine="480"/>
            </w:pPr>
          </w:p>
        </w:tc>
        <w:tc>
          <w:tcPr>
            <w:tcW w:w="24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非网管型交换机，机架式。</w:t>
            </w:r>
          </w:p>
        </w:tc>
        <w:tc>
          <w:tcPr>
            <w:tcW w:w="136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3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300" w:hRule="atLeast"/>
        </w:trPr>
        <w:tc>
          <w:tcPr>
            <w:tcW w:w="5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辅材</w:t>
            </w:r>
          </w:p>
        </w:tc>
        <w:tc>
          <w:tcPr>
            <w:tcW w:w="24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视频线、水晶头，网线，扎带，排插，电工胶布等</w:t>
            </w:r>
          </w:p>
        </w:tc>
        <w:tc>
          <w:tcPr>
            <w:tcW w:w="136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3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499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仿宋"/>
                <w:lang w:val="en-US" w:eastAsia="zh-CN"/>
              </w:rPr>
            </w:pPr>
            <w:r>
              <w:rPr>
                <w:rFonts w:hint="eastAsia"/>
                <w:lang w:val="en-US" w:eastAsia="zh-CN"/>
              </w:rPr>
              <w:t>指挥中心-</w:t>
            </w:r>
            <w:r>
              <w:rPr>
                <w:rFonts w:hint="eastAsia" w:ascii="仿宋" w:hAnsi="仿宋" w:cs="仿宋"/>
              </w:rPr>
              <w:t>发言部分</w:t>
            </w: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一拖四U段无线麦克风：（台式）</w:t>
            </w:r>
          </w:p>
        </w:tc>
        <w:tc>
          <w:tcPr>
            <w:tcW w:w="2451" w:type="pct"/>
            <w:gridSpan w:val="2"/>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采用UHF超高频段，比传统的VHF频段干扰更少，传输更可靠；</w:t>
            </w:r>
          </w:p>
        </w:tc>
        <w:tc>
          <w:tcPr>
            <w:tcW w:w="119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802"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DQPSK数字调制，在60MHZ频率范围内，以300KHZ信道间隔，提供多达200个信道选择。因为数字调制固有的对互调干扰的高免疫性，可以非常简单、方便地实现多套机器同时叠机使用，轻松避开各类干扰；</w:t>
            </w:r>
          </w:p>
        </w:tc>
        <w:tc>
          <w:tcPr>
            <w:tcW w:w="1069"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802"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采用随机唯一ID的数字调制和传输技术，彻底避免采用FM调制的传统无线会议麦克风系统被场外窃听的风险，确保信号传输中的保密性；</w:t>
            </w:r>
          </w:p>
        </w:tc>
        <w:tc>
          <w:tcPr>
            <w:tcW w:w="1069"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802"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接收机采用DQPSK真分集接收，在正常室内使用半径30-60米的环境内，彻底避免传统模拟FM调制的单天线接收模式下可能的断音、噪音问题；</w:t>
            </w:r>
          </w:p>
        </w:tc>
        <w:tc>
          <w:tcPr>
            <w:tcW w:w="1069"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802"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数字调制和高保真接收，确保整机的音频指标始终如一，不会像传统FM调制的模式那样，随着发射距离的增加而劣化</w:t>
            </w:r>
          </w:p>
        </w:tc>
        <w:tc>
          <w:tcPr>
            <w:tcW w:w="1069"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802"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305" w:type="pct"/>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无论是接收机，还是发射底座，都采用高清晰度彩色液晶TFT显示屏，使接收机及发射器的工作状态一目了然；</w:t>
            </w:r>
          </w:p>
        </w:tc>
        <w:tc>
          <w:tcPr>
            <w:tcW w:w="1338" w:type="pct"/>
            <w:gridSpan w:val="5"/>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802"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接收机前面板的TFT显示信息包括：正常工作状态下，两个通道(A/B/)实时工作时的各个通道的频道编号，RF工作频点，音量级数显示，实时的AF,RF信号强度显示，各个通道的发射端的电池电量实时显示等重要信息；在设置菜单下，各工作通道的选择、工作频点，通道音量等重要参数的设置都可以方便的切换和执行；</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9" w:type="pct"/>
            <w:gridSpan w:val="5"/>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发射底座的TFT显示信息包括：红外对频后，发射底座所在的工作通道（A/B）的状态显示，RF频点、RF功率档位显示，发言时间、AF电平、电池电量等重要信息的实时显示。</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9" w:type="pct"/>
            <w:gridSpan w:val="5"/>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配置4只台式带可充电锂电池无线麦克风。</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9" w:type="pct"/>
            <w:gridSpan w:val="5"/>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一拖四U段无线麦克风：（手持）</w:t>
            </w: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采用UHF超高频段，比传统的VHF频段干扰更少，传输更可靠；</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9" w:type="pct"/>
            <w:gridSpan w:val="5"/>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DQPSK数字调制，在60MHZ频率范围内，以300KHZ信道间隔，提供多达200个信道选择。因为数字调制固有的对互调干扰的高免疫性，可以非常简单、方便地实现多套机器同时叠机使用，轻松避开各类干扰；</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9" w:type="pct"/>
            <w:gridSpan w:val="5"/>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采用随机唯一ID的数字调制和传输技术，彻底避免采用FM调制的传统无线会议麦克风系统被场外窃听的风险，确保信号传输中的保密性；</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9" w:type="pct"/>
            <w:gridSpan w:val="5"/>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接收机采用DQPSK真分集接收，在正常室内使用半径30-60米的环境内，彻底避免传统模拟FM调制的单天线接收模式下可能的断音、噪音问题；</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9" w:type="pct"/>
            <w:gridSpan w:val="5"/>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数字调制和高保真接收，确保整机的音频指标始终如一，不会像传统FM调制的模式那样，随着发射距离的增加而劣化</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9" w:type="pct"/>
            <w:gridSpan w:val="5"/>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无论是接收机，还是发射底座，都采用高清晰度彩色液晶TFT显示屏，使接收机及发射器的工作状态一目了然；</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9" w:type="pct"/>
            <w:gridSpan w:val="5"/>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接收机前面板的TFT显示信息包括：正常工作状态下，两个通道(A/B/)实时工作时的各个通道的频道编号，RF工作频点，音量级数显示，实时的AF,RF信号强度显示，各个通道的发射端的电池电量实时显示等重要信息；在设置菜单下，各工作通道的选择、工作频点，通道音量等重要参数的设置都可以方便的切换和执行；</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9" w:type="pct"/>
            <w:gridSpan w:val="5"/>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发射底座的TFT显示信息包括：红外对频后，发射底座所在的工作通道（A/B）的状态显示，RF频点、RF功率档位显示，发言时间、AF电平、电池电量等重要信息的实时显示。</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9" w:type="pct"/>
            <w:gridSpan w:val="5"/>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r>
              <w:rPr>
                <w:rFonts w:hint="eastAsia"/>
              </w:rPr>
              <w:t>天线放大器</w:t>
            </w: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天线分配系统由一台天线分配器，2个天线组成，可接多台接收机使用，让接收讯号获得较佳噪讯比，增加接收距离及稳定性；</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9" w:type="pct"/>
            <w:gridSpan w:val="5"/>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提供4组电源输出给接收机使用，方案安装工程。</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9" w:type="pct"/>
            <w:gridSpan w:val="5"/>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提供使用1-4台无线系列或其他系列各种自动选讯接收机的多频道系统，共用一对天线以简化天线装配工程，提升接收距离及效能；</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9" w:type="pct"/>
            <w:gridSpan w:val="5"/>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天线分配器采用高动能低杂讯之主动元件及主动回馈稳流行偏压的新电路设计，具有超低内调失真特性，能在多频道同时使用，排除混频干扰，分配器的输入增益约等于零，</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9" w:type="pct"/>
            <w:gridSpan w:val="5"/>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rPr>
                <w:color w:val="FF0000"/>
              </w:rPr>
            </w:pPr>
            <w:r>
              <w:rPr>
                <w:rFonts w:hint="eastAsia"/>
              </w:rPr>
              <w:t>天线输入插座可以直接配置适用频带范围内的各种单竿天线、同轴天线、延长天线组及对数定向天线组；</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9" w:type="pct"/>
            <w:gridSpan w:val="5"/>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天线输入接座具有供应强波器的电源；</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9" w:type="pct"/>
            <w:gridSpan w:val="5"/>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可直接连接具有天线强波器的延长天线组及内建强波器的对数定抽天线组；</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9" w:type="pct"/>
            <w:gridSpan w:val="5"/>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外接天线具有增益的标准1/4波长指向性天线，天线出500-900MHz均相当平坦，对频宽外的讯号接收则像接上带通滤波器一样，可将频宽外的干扰信号过滤掉，天线阻抗为50欧姆，适合匹配一般的50欧姆同轴电缆线。</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9" w:type="pct"/>
            <w:gridSpan w:val="5"/>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r>
              <w:rPr>
                <w:rFonts w:hint="eastAsia"/>
              </w:rPr>
              <w:t>天线延长线</w:t>
            </w: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50欧姆同轴线10米</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49" w:type="pct"/>
            <w:gridSpan w:val="5"/>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gridBefore w:val="1"/>
          <w:gridAfter w:val="1"/>
          <w:wBefore w:w="1" w:type="pct"/>
          <w:wAfter w:w="1" w:type="pct"/>
          <w:trHeight w:val="23" w:hRule="atLeast"/>
          <w:jc w:val="center"/>
        </w:trPr>
        <w:tc>
          <w:tcPr>
            <w:tcW w:w="55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辅材</w:t>
            </w: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音频线、音频线、音箱欧姆头、音箱支架、电工胶布、扎带等</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2"/>
          <w:wAfter w:w="2" w:type="pct"/>
          <w:trHeight w:val="300" w:hRule="atLeast"/>
        </w:trPr>
        <w:tc>
          <w:tcPr>
            <w:tcW w:w="4997"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仿宋"/>
                <w:lang w:val="en-US" w:eastAsia="zh-CN"/>
              </w:rPr>
            </w:pPr>
            <w:r>
              <w:rPr>
                <w:rFonts w:hint="eastAsia"/>
                <w:lang w:val="en-US" w:eastAsia="zh-CN"/>
              </w:rPr>
              <w:t>指挥中心-</w:t>
            </w:r>
            <w:r>
              <w:rPr>
                <w:rFonts w:hint="eastAsia" w:ascii="仿宋" w:hAnsi="仿宋" w:cs="仿宋"/>
              </w:rPr>
              <w:t>改造部分</w:t>
            </w:r>
          </w:p>
        </w:tc>
      </w:tr>
      <w:tr>
        <w:tblPrEx>
          <w:tblCellMar>
            <w:top w:w="0" w:type="dxa"/>
            <w:left w:w="108" w:type="dxa"/>
            <w:bottom w:w="0" w:type="dxa"/>
            <w:right w:w="108" w:type="dxa"/>
          </w:tblCellMar>
        </w:tblPrEx>
        <w:trPr>
          <w:gridAfter w:val="2"/>
          <w:wAfter w:w="2" w:type="pct"/>
          <w:trHeight w:val="300" w:hRule="atLeast"/>
        </w:trPr>
        <w:tc>
          <w:tcPr>
            <w:tcW w:w="5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原有墙面拆除</w:t>
            </w: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指挥中心背景墙两边原有墙面拆除</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2"/>
          <w:wAfter w:w="2" w:type="pct"/>
          <w:trHeight w:val="300" w:hRule="atLeast"/>
        </w:trPr>
        <w:tc>
          <w:tcPr>
            <w:tcW w:w="5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原有墙体拆除后增加石膏板隔墙</w:t>
            </w: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轻钢龙骨石膏板隔墙</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2"/>
          <w:wAfter w:w="2" w:type="pct"/>
          <w:trHeight w:val="300" w:hRule="atLeast"/>
        </w:trPr>
        <w:tc>
          <w:tcPr>
            <w:tcW w:w="5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新增墙面</w:t>
            </w: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新增墙面刮腻子，乳胶漆</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2"/>
          <w:wAfter w:w="2" w:type="pct"/>
          <w:trHeight w:val="300" w:hRule="atLeast"/>
        </w:trPr>
        <w:tc>
          <w:tcPr>
            <w:tcW w:w="5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大屏背景墙周面饰面</w:t>
            </w: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大屏周面饰面</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2"/>
          <w:wAfter w:w="2" w:type="pct"/>
          <w:trHeight w:val="300" w:hRule="atLeast"/>
        </w:trPr>
        <w:tc>
          <w:tcPr>
            <w:tcW w:w="5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线路布排及装修恢复</w:t>
            </w: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r>
              <w:rPr>
                <w:rFonts w:hint="eastAsia"/>
              </w:rPr>
              <w:t>原有音控设备需要迁移到新值班室，需要重新部署线路。</w:t>
            </w:r>
          </w:p>
          <w:p>
            <w:pPr>
              <w:ind w:firstLine="480"/>
              <w:rPr>
                <w:rFonts w:hint="eastAsia"/>
              </w:rPr>
            </w:pPr>
            <w:r>
              <w:rPr>
                <w:rFonts w:hint="eastAsia"/>
              </w:rPr>
              <w:t>新值班室需要部署线路。</w:t>
            </w:r>
          </w:p>
          <w:p>
            <w:pPr>
              <w:ind w:firstLine="480"/>
            </w:pPr>
            <w:r>
              <w:rPr>
                <w:rFonts w:hint="eastAsia"/>
              </w:rPr>
              <w:t>全部拆除后所需的装修恢复。</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2"/>
          <w:wAfter w:w="2" w:type="pct"/>
          <w:trHeight w:val="300" w:hRule="atLeast"/>
        </w:trPr>
        <w:tc>
          <w:tcPr>
            <w:tcW w:w="5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电动幕布轨道</w:t>
            </w: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电动幕布轨道安装</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2"/>
          <w:wAfter w:w="2" w:type="pct"/>
          <w:trHeight w:val="695" w:hRule="atLeast"/>
        </w:trPr>
        <w:tc>
          <w:tcPr>
            <w:tcW w:w="551" w:type="pct"/>
            <w:gridSpan w:val="6"/>
            <w:vMerge w:val="restart"/>
            <w:tcBorders>
              <w:top w:val="single" w:color="000000" w:sz="4" w:space="0"/>
              <w:left w:val="single" w:color="000000" w:sz="4" w:space="0"/>
              <w:right w:val="single" w:color="000000" w:sz="4" w:space="0"/>
            </w:tcBorders>
            <w:shd w:val="clear" w:color="auto" w:fill="auto"/>
            <w:vAlign w:val="center"/>
          </w:tcPr>
          <w:p>
            <w:pPr>
              <w:ind w:firstLine="0" w:firstLineChars="0"/>
            </w:pPr>
            <w:r>
              <w:rPr>
                <w:rFonts w:hint="eastAsia"/>
              </w:rPr>
              <w:t>电动幕布电机</w:t>
            </w: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对开式电动舞台拉幕，含电机、遥控、传动箱、滑车、吊轮、安装组件等。</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2"/>
          <w:wAfter w:w="2" w:type="pct"/>
          <w:trHeight w:val="90" w:hRule="atLeast"/>
        </w:trPr>
        <w:tc>
          <w:tcPr>
            <w:tcW w:w="551" w:type="pct"/>
            <w:gridSpan w:val="6"/>
            <w:vMerge w:val="continue"/>
            <w:tcBorders>
              <w:left w:val="single" w:color="000000" w:sz="4" w:space="0"/>
              <w:bottom w:val="single" w:color="000000" w:sz="4" w:space="0"/>
              <w:right w:val="single" w:color="000000" w:sz="4" w:space="0"/>
            </w:tcBorders>
            <w:shd w:val="clear" w:color="auto" w:fill="auto"/>
            <w:vAlign w:val="center"/>
          </w:tcPr>
          <w:p>
            <w:pPr>
              <w:ind w:firstLine="480"/>
            </w:pP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电机最大拉力≥100公斤。</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2"/>
          <w:wAfter w:w="2" w:type="pct"/>
          <w:trHeight w:val="300" w:hRule="atLeast"/>
        </w:trPr>
        <w:tc>
          <w:tcPr>
            <w:tcW w:w="5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党旗背面幕布</w:t>
            </w: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幕布材质：意大利绒、三层、红色、含幕帘</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2"/>
          <w:wAfter w:w="2" w:type="pct"/>
          <w:trHeight w:val="300" w:hRule="atLeast"/>
        </w:trPr>
        <w:tc>
          <w:tcPr>
            <w:tcW w:w="5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地面隐形地插</w:t>
            </w: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86型、五孔+高清+音频+网络</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2"/>
          <w:wAfter w:w="2" w:type="pct"/>
          <w:trHeight w:val="300" w:hRule="atLeast"/>
        </w:trPr>
        <w:tc>
          <w:tcPr>
            <w:tcW w:w="5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值班室原有墙面拆除</w:t>
            </w:r>
          </w:p>
        </w:tc>
        <w:tc>
          <w:tcPr>
            <w:tcW w:w="25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值班室原有墙面拆除</w:t>
            </w:r>
          </w:p>
        </w:tc>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2"/>
          <w:wAfter w:w="2" w:type="pct"/>
          <w:trHeight w:val="300" w:hRule="atLeast"/>
        </w:trPr>
        <w:tc>
          <w:tcPr>
            <w:tcW w:w="5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原有墙体拆除后增加石膏板隔墙</w:t>
            </w:r>
          </w:p>
        </w:tc>
        <w:tc>
          <w:tcPr>
            <w:tcW w:w="25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轻钢龙骨石膏板隔墙</w:t>
            </w:r>
          </w:p>
        </w:tc>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2"/>
          <w:wAfter w:w="2" w:type="pct"/>
          <w:trHeight w:val="300" w:hRule="atLeast"/>
        </w:trPr>
        <w:tc>
          <w:tcPr>
            <w:tcW w:w="5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新增墙面</w:t>
            </w: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新增墙面刮腻子，乳胶漆</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2"/>
          <w:wAfter w:w="2" w:type="pct"/>
          <w:trHeight w:val="300" w:hRule="atLeast"/>
        </w:trPr>
        <w:tc>
          <w:tcPr>
            <w:tcW w:w="5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墙面周面饰面</w:t>
            </w: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周面饰面</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2"/>
          <w:wAfter w:w="2" w:type="pct"/>
          <w:trHeight w:val="300" w:hRule="atLeast"/>
        </w:trPr>
        <w:tc>
          <w:tcPr>
            <w:tcW w:w="5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单向透钢化玻璃</w:t>
            </w: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单向透钢化玻璃4500*2000mm</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2"/>
          <w:wAfter w:w="2" w:type="pct"/>
          <w:trHeight w:val="300" w:hRule="atLeast"/>
        </w:trPr>
        <w:tc>
          <w:tcPr>
            <w:tcW w:w="5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地面成品保护</w:t>
            </w:r>
          </w:p>
        </w:tc>
        <w:tc>
          <w:tcPr>
            <w:tcW w:w="25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地面成品保护</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000"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仿宋"/>
                <w:lang w:val="en-US" w:eastAsia="zh-CN"/>
              </w:rPr>
            </w:pPr>
            <w:r>
              <w:rPr>
                <w:rFonts w:hint="eastAsia"/>
                <w:lang w:val="en-US" w:eastAsia="zh-CN"/>
              </w:rPr>
              <w:t>决策室</w:t>
            </w:r>
          </w:p>
        </w:tc>
      </w:tr>
      <w:tr>
        <w:tblPrEx>
          <w:tblCellMar>
            <w:top w:w="0" w:type="dxa"/>
            <w:left w:w="108" w:type="dxa"/>
            <w:bottom w:w="0" w:type="dxa"/>
            <w:right w:w="108" w:type="dxa"/>
          </w:tblCellMar>
        </w:tblPrEx>
        <w:trPr>
          <w:trHeight w:val="23" w:hRule="atLeast"/>
        </w:trPr>
        <w:tc>
          <w:tcPr>
            <w:tcW w:w="549" w:type="pct"/>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r>
              <w:t>98</w:t>
            </w:r>
            <w:r>
              <w:rPr>
                <w:rFonts w:hint="eastAsia"/>
              </w:rPr>
              <w:t>寸会议一体机</w:t>
            </w: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整机屏占比：超薄窄边框设计，整机屏占比≥</w:t>
            </w:r>
            <w:r>
              <w:t>85%</w:t>
            </w:r>
            <w:r>
              <w:rPr>
                <w:rFonts w:hint="eastAsia"/>
              </w:rPr>
              <w:t>，整机厚度≤</w:t>
            </w:r>
            <w:r>
              <w:t>90mm</w:t>
            </w:r>
            <w:r>
              <w:rPr>
                <w:rFonts w:hint="eastAsia"/>
              </w:rPr>
              <w:t>。</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整机支持模块：支持</w:t>
            </w:r>
            <w:r>
              <w:t>80pinOPS</w:t>
            </w:r>
            <w:r>
              <w:rPr>
                <w:rFonts w:hint="eastAsia"/>
              </w:rPr>
              <w:t>模块。</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整机一体化设计，无外伸天线。</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整机无线模块化设计：实现</w:t>
            </w:r>
            <w:r>
              <w:t>wifi</w:t>
            </w:r>
            <w:r>
              <w:rPr>
                <w:rFonts w:hint="eastAsia"/>
              </w:rPr>
              <w:t>模块热插拔。</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扬声器：采用</w:t>
            </w:r>
            <w:r>
              <w:t>2*10W</w:t>
            </w:r>
            <w:r>
              <w:rPr>
                <w:rFonts w:hint="eastAsia"/>
              </w:rPr>
              <w:t>（中高音）</w:t>
            </w:r>
            <w:r>
              <w:t>+15W</w:t>
            </w:r>
            <w:r>
              <w:rPr>
                <w:rFonts w:hint="eastAsia"/>
              </w:rPr>
              <w:t>（低音）扬声器。</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内置超高清、超广角、低畸变</w:t>
            </w:r>
            <w:r>
              <w:t>1300</w:t>
            </w:r>
            <w:r>
              <w:rPr>
                <w:rFonts w:hint="eastAsia"/>
              </w:rPr>
              <w:t>万像素摄像头，摄像头支持</w:t>
            </w:r>
            <w:r>
              <w:t>D-FOV</w:t>
            </w:r>
            <w:r>
              <w:rPr>
                <w:rFonts w:hint="eastAsia"/>
              </w:rPr>
              <w:t>：</w:t>
            </w:r>
            <w:r>
              <w:t>100</w:t>
            </w:r>
            <w:r>
              <w:rPr>
                <w:rFonts w:hint="eastAsia"/>
              </w:rPr>
              <w:t>°广角，支持自动变焦，自动曝光，自动白平衡，自动背光补偿，支持</w:t>
            </w:r>
            <w:r>
              <w:t>3D</w:t>
            </w:r>
            <w:r>
              <w:rPr>
                <w:rFonts w:hint="eastAsia"/>
              </w:rPr>
              <w:t>降噪；内置</w:t>
            </w:r>
            <w:r>
              <w:t>6</w:t>
            </w:r>
            <w:r>
              <w:rPr>
                <w:rFonts w:hint="eastAsia"/>
              </w:rPr>
              <w:t>阵列麦克风，支持</w:t>
            </w:r>
            <w:r>
              <w:t>0-180</w:t>
            </w:r>
            <w:r>
              <w:rPr>
                <w:rFonts w:hint="eastAsia"/>
              </w:rPr>
              <w:t>°拾音角度，支持</w:t>
            </w:r>
            <w:r>
              <w:t>8</w:t>
            </w:r>
            <w:r>
              <w:rPr>
                <w:rFonts w:hint="eastAsia"/>
              </w:rPr>
              <w:t>米远场拾音，高性能音频算法，具备快速回声消除、环境噪声抑制、人声自动增益补偿功能，在安卓和</w:t>
            </w:r>
            <w:r>
              <w:t>Windows</w:t>
            </w:r>
            <w:r>
              <w:rPr>
                <w:rFonts w:hint="eastAsia"/>
              </w:rPr>
              <w:t>系统上使用视频会议软件可实现视频会议功能，支持</w:t>
            </w:r>
            <w:r>
              <w:t>Android</w:t>
            </w:r>
            <w:r>
              <w:rPr>
                <w:rFonts w:hint="eastAsia"/>
              </w:rPr>
              <w:t>和</w:t>
            </w:r>
            <w:r>
              <w:t>Windows</w:t>
            </w:r>
            <w:r>
              <w:rPr>
                <w:rFonts w:hint="eastAsia"/>
              </w:rPr>
              <w:t>双系统。</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节能模式：产品具备在不关闭整机电源的情况下可一键关闭和开启液晶屏背光，实现功耗降低超过</w:t>
            </w:r>
            <w:r>
              <w:t>80%</w:t>
            </w:r>
            <w:r>
              <w:rPr>
                <w:rFonts w:hint="eastAsia"/>
              </w:rPr>
              <w:t>。</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★屏幕显示：整机屏幕采用</w:t>
            </w:r>
            <w:r>
              <w:t>98</w:t>
            </w:r>
            <w:r>
              <w:rPr>
                <w:rFonts w:hint="eastAsia"/>
              </w:rPr>
              <w:t>英寸</w:t>
            </w:r>
            <w:r>
              <w:t>A</w:t>
            </w:r>
            <w:r>
              <w:rPr>
                <w:rFonts w:hint="eastAsia"/>
              </w:rPr>
              <w:t>规屏</w:t>
            </w:r>
            <w:r>
              <w:t>/A</w:t>
            </w:r>
            <w:r>
              <w:rPr>
                <w:rFonts w:hint="eastAsia"/>
              </w:rPr>
              <w:t>级屏，显示比例</w:t>
            </w:r>
            <w:r>
              <w:t>16:9</w:t>
            </w:r>
            <w:r>
              <w:rPr>
                <w:rFonts w:hint="eastAsia"/>
              </w:rPr>
              <w:t>，屏幕图像分辨率≥</w:t>
            </w:r>
            <w:r>
              <w:t>3840*2160</w:t>
            </w:r>
            <w:r>
              <w:rPr>
                <w:rFonts w:hint="eastAsia"/>
              </w:rPr>
              <w:t>。</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显示灰阶：</w:t>
            </w:r>
            <w:r>
              <w:t>128</w:t>
            </w:r>
            <w:r>
              <w:rPr>
                <w:rFonts w:hint="eastAsia"/>
              </w:rPr>
              <w:t>级，色彩度</w:t>
            </w:r>
            <w:r>
              <w:t>10bit,</w:t>
            </w:r>
            <w:r>
              <w:rPr>
                <w:rFonts w:hint="eastAsia"/>
              </w:rPr>
              <w:t>可视角度≥</w:t>
            </w:r>
            <w:r>
              <w:t>178</w:t>
            </w:r>
            <w:r>
              <w:rPr>
                <w:rFonts w:hint="eastAsia"/>
              </w:rPr>
              <w:t>°。</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屏幕硬度及透光率：整机书写面板采用</w:t>
            </w:r>
            <w:r>
              <w:t>4mm</w:t>
            </w:r>
            <w:r>
              <w:rPr>
                <w:rFonts w:hint="eastAsia"/>
              </w:rPr>
              <w:t>厚</w:t>
            </w:r>
            <w:r>
              <w:t>AG</w:t>
            </w:r>
            <w:r>
              <w:rPr>
                <w:rFonts w:hint="eastAsia"/>
              </w:rPr>
              <w:t>全钢化，防眩光面板，面板的碎片状态、抗冲击性、霰弹袋冲击性能、耐热冲击性能均通过国家强制玻璃标准，表面应力≥</w:t>
            </w:r>
            <w:r>
              <w:t>100Mpa,</w:t>
            </w:r>
            <w:r>
              <w:rPr>
                <w:rFonts w:hint="eastAsia"/>
              </w:rPr>
              <w:t>可见光透射比不低于</w:t>
            </w:r>
            <w:r>
              <w:t>88%</w:t>
            </w:r>
            <w:r>
              <w:rPr>
                <w:rFonts w:hint="eastAsia"/>
              </w:rPr>
              <w:t>，反射率小于</w:t>
            </w:r>
            <w:r>
              <w:t>1%</w:t>
            </w:r>
            <w:r>
              <w:rPr>
                <w:rFonts w:hint="eastAsia"/>
              </w:rPr>
              <w:t>。</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触控技术：采用高精度红外触控，支持高精度笔书写，书写精度可达±</w:t>
            </w:r>
            <w:r>
              <w:t>1m</w:t>
            </w:r>
            <w:r>
              <w:rPr>
                <w:rFonts w:hint="eastAsia"/>
              </w:rPr>
              <w:t>。</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抗强光干扰：触摸屏具有防光干扰功能，能在照度</w:t>
            </w:r>
            <w:r>
              <w:t>100KLUX</w:t>
            </w:r>
            <w:r>
              <w:rPr>
                <w:rFonts w:hint="eastAsia"/>
              </w:rPr>
              <w:t>环境下仍能正常工作。</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RAM4G</w:t>
            </w:r>
            <w:r>
              <w:rPr>
                <w:rFonts w:hint="eastAsia"/>
              </w:rPr>
              <w:t>，</w:t>
            </w:r>
            <w:r>
              <w:t>ROM32G</w:t>
            </w:r>
            <w:r>
              <w:rPr>
                <w:rFonts w:hint="eastAsia"/>
              </w:rPr>
              <w:t>，保障系统运行稳定性和流畅性，支持</w:t>
            </w:r>
            <w:r>
              <w:t>4KUI</w:t>
            </w:r>
            <w:r>
              <w:rPr>
                <w:rFonts w:hint="eastAsia"/>
              </w:rPr>
              <w:t>。</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支持操作系统：</w:t>
            </w:r>
            <w:r>
              <w:t>Win7/Win8/Win8.1/Win10/MacOS10.10</w:t>
            </w:r>
            <w:r>
              <w:rPr>
                <w:rFonts w:hint="eastAsia"/>
              </w:rPr>
              <w:t>及以上。</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整机自带无线</w:t>
            </w:r>
            <w:r>
              <w:t>WIFI5G</w:t>
            </w:r>
            <w:r>
              <w:rPr>
                <w:rFonts w:hint="eastAsia"/>
              </w:rPr>
              <w:t>局域网热点，无需外接设备或连接线。</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专用配件：</w:t>
            </w:r>
            <w:r>
              <w:t>HDMI</w:t>
            </w:r>
            <w:r>
              <w:rPr>
                <w:rFonts w:hint="eastAsia"/>
              </w:rPr>
              <w:t>线缆等。</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tcBorders>
              <w:top w:val="single" w:color="000000" w:sz="4" w:space="0"/>
              <w:left w:val="single" w:color="000000" w:sz="4" w:space="0"/>
              <w:bottom w:val="single" w:color="000000" w:sz="4" w:space="0"/>
              <w:right w:val="single" w:color="000000" w:sz="4" w:space="0"/>
            </w:tcBorders>
            <w:shd w:val="clear" w:color="auto" w:fill="auto"/>
          </w:tcPr>
          <w:p>
            <w:pPr>
              <w:ind w:firstLine="0" w:firstLineChars="0"/>
            </w:pPr>
            <w:r>
              <w:rPr>
                <w:rFonts w:hint="eastAsia"/>
              </w:rPr>
              <w:t>落地移动支架</w:t>
            </w: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落地移动支架</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智慧无纸化会议管理主机</w:t>
            </w: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标准机架式服务器机柜安装，标准机柜4U高度；</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硬件配置：工业级主板，CPU类型 Intel 处理器主频 3.1GHz或以上、内存容量 4GB或以上，硬盘容量 1TGB SATA3.5英寸硬盘（7200转）；</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支持会前准备（设置主席机与代表机、添加参会人员、设置欢迎词、设置会议主题、安排参会人员座位、上传会议资料并设置文件权限、添加投票并选择参与投票人员）；</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会中控制（支持签到、文件智能分发、会议同屏互动演示、外部信号到终端显示、终端任意画面上大屏幕、会议服务、会议投票、会议交流、交互式电子白板）、会后保存功能；</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支持客户端访问模式、WEB访问模式，支持管理员登陆、参会人登录，支持参会人会前预览会议资料，支持在线编辑批注会议资料并在线上传更新，支持历史会议资料检索归档；</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支持多管理员和超级管理员，不同管理员创建的会议互相保密。超级管理员有管理所有会议的权限。</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color w:val="FF0000"/>
              </w:rPr>
            </w:pPr>
            <w:r>
              <w:rPr>
                <w:rFonts w:hint="eastAsia"/>
              </w:rPr>
              <w:t>多系统支持:支持Windows、Android、linux、Kylin、UOS等</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无纸化服务器软件</w:t>
            </w: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多会议室管理：支持添加多个会议室，并对应添加不同终端，支持对终端进行单个或多个同时升降机控制/开关机控制，可在同一个 web界面同时管理多个会议室；</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用户管理：添加、导入、修改、删除用户，支持对用户进行分组；</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权限管理：支持不同权限管理模式，含会议秘书、系统管理员、不同会议秘书创建的会议互相保密，系统管理员有管理所有会议的权限；</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会议模板：支持创建多个会议模板，会议管理人员可以编辑模板，进行快速会议的创建；</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集中控制：会中可以对终端进行欢迎页面、会议信息、显示人名、会议标语等画面的切换，同时支持统一升降机控制、统一开关机；</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签到管理：对会议签到情况进行监控管理；</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会议投票：对于已启用的投票，参会人员可以进行投票，也可以实时查看结果，支持会议投票列表，历史投票记录；</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发言申请：无纸化会议客户端支持对参会人员进行发言管理，主席单元同意后普通单元可以打开话筒进行发言；</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模拟排位：支持会前模拟会议室对参会人员进行排位；</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文件管理：上传、导入文件，支持文件设置查看权限；</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议题管理：添加、编辑会议议题，并对不同议题进行启用切换；</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会议服务：会中及时接收会议服务信息并进行处理；</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会议交流：可以进行系统单个或多个参会人员进行会议交流。</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文件按需分发，没有权限的参会人员无法查看相应文件；</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会议结束所有客户端文件自动清空；</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保密会议模式下支持打开文件需要二次密码鉴权；</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保密会议模式下打开会议文件不支持文件另存为，用户不能另存到其他地方只能在线编辑；</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保密会议模式下客户端文件传输通过 HT 加密算法只能在无纸化程序下打开，拷贝到启他设备无法正常开启；</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保密会议模式下支持阅后即焚，打开查看后就不能再重复打开已看文件；</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服务端和所有客户端采用加密通信传输，加入 SSL 协议加密及身份验证。保证数据内容传输过程不被第三方查看，以及能及时发现被第三方篡改能保证数据能完整的达到客户端；</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pPr>
            <w:r>
              <w:rPr>
                <w:rFonts w:hint="eastAsia"/>
              </w:rPr>
              <w:t>支持将无纸化终端采集的摄像头画面后台实时软件方式指定同屏到会议侧边大屏达到直播和会议导读功能</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无纸化会议编解码器</w:t>
            </w: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标准机架式服务器机柜安装，标准机柜2U高度；</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硬件配置：工业级主板，CPU主频 3.0GHz或以上，内存容量4GB 或以上；硬盘容量32G固态硬盘；</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支持与会场同步信号跟踪功能，当会场有同步信号时保持实时跟踪并同步输出到输出接口，当会场无同步信号时，输出接口无任何画面输出；</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支持HDMI、VGA信号输出，任何终端画面通过此接口输出至大屏幕或其他信号显示设备；</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支持HDMI、VGA信号输入，外部信号通过此接口实时广播画面到所有会议终端并同步显示；</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支持信号格式自动转换功能，网络数据信号转换成数字信号，数字信号自动转换成网络信号传输。</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会议主机</w:t>
            </w: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200"/>
              <w:rPr>
                <w:rFonts w:ascii="Times New Roman" w:hAnsi="Times New Roman" w:eastAsia="仿宋" w:cs="Times New Roman"/>
                <w:kern w:val="2"/>
                <w:sz w:val="24"/>
                <w:szCs w:val="24"/>
                <w:lang w:val="en-US" w:eastAsia="zh-CN" w:bidi="ar-SA"/>
              </w:rPr>
            </w:pPr>
            <w:r>
              <w:rPr>
                <w:rFonts w:hint="eastAsia"/>
              </w:rPr>
              <w:t>会议控制主机最多可连接128台会议单元，通过会议扩展主机，一套会议系统最多可接入1000台会议单元；</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最多可连接36台翻译单元，实现11+1种语言同声传译功能，具有12通道译员音频输出；</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采用专用8芯航空插头连接，有译员机接口、扩展主机接口、会议单元接口；</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"手拉手"或者"T型"连接模式；</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具有音频输入接口，具有多组原音通道输出和输入；</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发言人数限制功能：发言单元数量1/2/4/6可调，主席单元不受限制；</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支持FIFO，NORMAL，FREE，APPLY多种会议模式；</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音频处理采用数字均衡模块降噪处理模块使声音清晰透彻，</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支持自动摄像跟踪功能；</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配合电话耦合器可以进行远程电话会议；</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支持签到、投票表决及数据管理功能；</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pPr>
            <w:r>
              <w:rPr>
                <w:rFonts w:hint="eastAsia"/>
              </w:rPr>
              <w:t>主机可安装在19英寸标准机柜上。</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15.6寸单屏带话筒无纸化升降一体机</w:t>
            </w: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升降器和屏转轴式连接一体呈现，无背板连接，无螺丝外露，升降器与屏幕独立设计与运输（屏幕与升降器可拆分，FPC软排线连接），保证运输，维护安全便捷，也可独立升级；</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材质工艺：屏幕及升降器面板采用全铝合金外壳，整体CNC设计，精雕细琢一体成型，喷砂阳极氧化处理，产品颜色：拉丝黑/银 喷砂黑/银（可定制其它颜色）；</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话筒升降方式为咪杆式升降，下降过程中具备自动矫正话筒杆功能；</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话筒与屏幕可一体升降使用、可独立升降使用，升降传动系统相互独立，系统稳定可靠，维护方便；</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屏幕尺寸采用15.6英寸液晶屏；分辨率：1920*1080；屏幕视角：IPS全视角屏 ；触摸屏类型：磁感电容屏，10点触控；显示比例：16:9 ；亮度：400流明；静态对比度：6000：1；</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屏幕接口：为了避免多接口的故障率和接触不良导致不能工作，屏幕与升降器需采用一个高融合的FPC软排线高清接口来实现“屏幕供电”、“图像”、“数据”和“触控”的整体传输；</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触控显示屏整体尺寸：长377毫米、高237毫米，屏幕最厚7.8MM 最薄处仅4.8MM；</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话筒参数：</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采用数字强抗干扰技术，确保会场内设备不受手机、蓝牙、无线电、WiFi等信号干扰；</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系统具备先入先出工作模式，发言人数可设1至6台，主席单元不受限制；</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系统具备自由讨论模式，所有会议单元可以全部自由开启发言不受限制；</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采用先进静电隔离技术设计，即使在干燥的环境和地区也可以避免产生静电；</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驻极体超心形指向性麦克风，确保拾音距离及声音质量，拾音距离可达50cm；</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升降器参数：</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升降器面板尺寸不大于：长553MM宽73MM厚5MM；</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双净音滑轨，配合齿轮咬合升降，多点平衡升降系统，系统稳定可靠；</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升降器控制软件支持PC机安装，兼容常用操作系统，可统一控制也可以任意分组控制升降器上升、暂停、下降等运动状态；</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升降器面板具备：上升、暂停、下降、多媒体会议终端开关、USB接口等；</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控制方式支持手拉手232控制、遥控控制、手动控制；</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升降器支持自动仰角15度，保证显示器人体工程学最佳观看视角与触控角度；</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终端主机参数：</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主机硬件配置：Inter双核处理器，CPU  I3 ；内存：4GB DDR3；硬盘：32G SSD固态；</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系统及架构：采用windows7系统，保证办公软件及其他软件的兼容性和扩展性；</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客户端软件采用C/S架构，充分发挥客户端PC的处理能力及稳定性。</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软件功能：</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铭牌显示功能：支持显示后台软件导入的人名、单位、职位及背景图片信息；</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会议标语功能：显示后台推送的会议标语内容及背景图片；</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会议信息功能：显示后台推送的会议信息（会议名称、会议时间、会议地点、主持人、与会者人名及职位信息）；</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会议议程功能：显示后台推送的会议议程安排信息；</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会议议题功能：按会议进程及权限显示后台推送的会议议题，议题内文件支持word\ppt\excel等办公文件；</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文件批注功能：参会人员在会议终端的触摸屏幕上对会议文件中的文档进行手写批注画圈或描线，方便在发言时讲解重点和对会议文件的修改提出自己的意见，支持手写、无线键盘、手写板书写多种形式，批注后文档可自动保存到服务器；</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会议基础功能：支持会议签到（后台可设置免签）、投票表决（后台可设置实名匿名）、交互式电子白板（个人使用及联机使用）、文件批注（原文件批注及快捷批注）、信息交流功能（即时消息，参会者可与其他与会人员进行一对一或者一对多进行对话交流，）、会议服务呼叫（茶水、纸笔等，与会者也可自定义输入需求信息，后台收到消息会根据需求安排服务）、接收后台软件推送的通知信息等会议功能；</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同屏广播功能：支持任何有同屏广播权限的会议终端一键同屏画面到其他会议终端与大屏幕；支持同屏广播状态PPT文件动态播放，保证PPT播放特效，支持同屏显示文档的放大缩小等显示特性，保证触控屏的触控功能；支持音视频文件同步到其他会议终端及大屏投影，声音同步到调音台，支持1080P的视频同屏广播不降低画质，接收端1080P原画质显示，帧率达到20帧，保证视频画面的流畅度，同屏延时小于300毫秒；</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异步浏览功能：支持任何有权限的会议终端一键切换远端主讲人同屏画面与本地终端画面，完成信号的自由交互，与会者可通过此功能查看操作、查看自己的文档等；</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跟踪主讲功能：处在异步浏览状态的会议终端支持一键同步到主讲此时的任何画面并保持实时一致；</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外接信号显示功能：支持外接信号实时同屏到所有与会者终端并同步显示（外接信号包括，矩阵切换的视频信号，计算机信号，笔记本信号，摄像头信号，DVD信号、多媒体插座等）；</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临时文件功能：支持与会者外置U盘内任何文件一键广播到其他会议终端与大屏幕，支持会议文件分享给其他与会者；</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PC电脑使用功能：支持无纸化软件界面和Windows界面切换，进行普通电脑操作，且画面可进行同屏广播（比如电脑使用培训、浏览器上网浏览、OA软件及其他操作皆可同屏演示）。</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主席控制功能：支持单主席或多主席功能；主席功能有控制会议进程的权限，可：“启用统一签到；切换所有终端功能显示：会议标语、欢迎页面、铭牌显示、会议主界面；启用会议议题；发起及结束投票；主席机可选择同屏广播信号源（外接信号或与会者终端）进行强制同屏给所有终端及大屏投影或只同屏广播到大屏投影；可结束同屏；结束会议；关闭会议系统等功能。</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数字反馈抑制器</w:t>
            </w: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输入通道数量：≥2通道(2通道平衡线路/话筒输入或者选择2通道6.35非平衡输入），全数字化最大程度消除回输；</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≥2路输入通道支持48V幻像电源供电；</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自动适应声学环境，无需调试，快速校正功能，最大程度上还原声音的保真度，高效增加话筒拾音距离 30-100CM以上；</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其自适应性过滤器能够以较慢的速度收敛，从而有效抑制更多的反射成分；</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在声学反馈发生之前，可以额外获得多达 12dB的增益，具体取决于声学环境和所选的操作模式。</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restart"/>
            <w:tcBorders>
              <w:top w:val="single" w:color="000000" w:sz="4" w:space="0"/>
              <w:left w:val="single" w:color="000000" w:sz="4" w:space="0"/>
              <w:right w:val="single" w:color="000000" w:sz="4" w:space="0"/>
            </w:tcBorders>
            <w:shd w:val="clear" w:color="auto" w:fill="auto"/>
            <w:vAlign w:val="center"/>
          </w:tcPr>
          <w:p>
            <w:pPr>
              <w:ind w:firstLine="0" w:firstLineChars="0"/>
            </w:pPr>
            <w:r>
              <w:rPr>
                <w:rFonts w:hint="eastAsia"/>
              </w:rPr>
              <w:t>16口千兆交换机</w:t>
            </w: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16个10/100/1000Mbps自适应电口+2个10/100/1000Mbps上联光口。</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left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交换机容量≥36Gbps，包转发率≥26.78Mpps。</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非网管型交换机，机架式。</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会议桌开槽</w:t>
            </w: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pPr>
            <w:r>
              <w:rPr>
                <w:rFonts w:hint="eastAsia"/>
              </w:rPr>
              <w:t>原有会议桌桌面定制开槽</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线阵音柱</w:t>
            </w: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单元组成：≥4×4" 全频单元；</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额定功率：≥200W，最大功率：≥500W；</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 xml:space="preserve">频率响应：100Hz - 20KHz；  </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灵敏度：≥94dB；</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最大声压: ≥121dB；</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阻抗：8Ω；</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扩散角度：160°x 10°（H x V）；</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输入连接：4 x Euroblock。</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智控功率放大器</w:t>
            </w: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配有LCD显示屏，具有工作温度指示显示、立体声/桥接状态指示显示、左右声道电平指示显示；</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完善可靠的安全保护措施和工作状态指示（短路、断路、直流电压、过热、过压、射频、超低频保护）；</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具有五位DIP开关，可调节立体声/单声道/桥接工作模式和输入灵敏度0.77V/1.0V/1.4V选择；</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具有3个电源输出接口；</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具有红外控制功能，可学习红外指令，通过红外控制投影仪等红外设备；</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rPr>
                <w:color w:val="FF0000"/>
                <w:highlight w:val="yellow"/>
              </w:rPr>
            </w:pPr>
            <w:r>
              <w:rPr>
                <w:rFonts w:hint="eastAsia"/>
              </w:rPr>
              <w:t>具有串口控制功能，支持RS232和RS485控制串口控制其他设备；</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具有网络控制功能，通过网络接口与局域网连接，可远程监控机房内的设备；</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具有备份还原功能，可将设置好的参数数据保存至电脑，随时调出还原；</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具有集中控制功能，可配合墙板、音频处理器、投影仪等设备实现集中管理；</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备份还原：可将设置好的开关机时序数据轻松备份至电脑，复制、还原轻松搞定；</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前面板带5路RJ45接口，1路IR红外指示灯，1路总电源指示灯，3路分控电源指示灯</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支持墙面板控制；</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支持WiFi平板控制；</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支持级联,可进行集中管理。</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输出功率：8Ω立体声功率：≥2×300W；4Ω立体声功率：≥2×500W；桥接8Ω功率：≥1×700W；</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信噪比：&gt;103dB；</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rPr>
                <w:rFonts w:hint="eastAsia"/>
              </w:rPr>
            </w:pPr>
            <w:r>
              <w:rPr>
                <w:rFonts w:hint="eastAsia"/>
              </w:rPr>
              <w:t>阻尼系数：&gt; 600 @ 8Ω；</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总谐波失真：&lt;0.5%(20 Hz-20 kHz 1W)；</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频率响应：20Hz-34KHz(+0/-1dB,1W/8Ω)；</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音频处理器</w:t>
            </w: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rPr>
                <w:rFonts w:ascii="Times New Roman" w:hAnsi="Times New Roman" w:eastAsia="仿宋" w:cs="Times New Roman"/>
                <w:kern w:val="2"/>
                <w:sz w:val="24"/>
                <w:szCs w:val="24"/>
                <w:lang w:val="en-US" w:eastAsia="zh-CN" w:bidi="ar-SA"/>
              </w:rPr>
            </w:pPr>
            <w:r>
              <w:rPr>
                <w:rFonts w:hint="eastAsia"/>
              </w:rPr>
              <w:t>96KHz采样频率，32-bit DSP处理器，24-bit A/D及D/A转换；</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设备内每个功能支持单独锁定，可根据现场要求任意开放或锁定某一个单独的功能，防止误操作和数据保密；</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每个输入和输出处理均有6段独立的全参量均衡，调节增益范围可达±20dB，同时还可选择参量、高调、低调、1阶全通、2阶全通5种均衡模式；均有延时和相位控制及哑音设置，延时最长可达1000ms，延时单位可选择毫秒(ms)、米(m)、英尺(ft)三种，延时可通过粗调及细调模式进行调节；</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设备软件内置中控代码生成器、可实现一键中英文切换；</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可通过外置UTWR1盒与电脑进行连接,可实现互联网远程控制；</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3路平衡式信号输入，6路平衡式信号输出；可灵活组合多种分频模式，高、低通分频点均可达20Hz～20KHz；</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直接用面板的功能键和拔轮进行功能设置或是连接电脑通过PC控制软件来控制，均十分方便、直观和简洁；提供USB2.0、USB3.0和RS485连接电脑或中控设备，其中RS485接口可级连250台设备设ID进行控制；</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每个输入通道可调噪声门，并且每个输入通道有两段全参数可调的动态均衡（DEQ），自动增益控制；</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输出通道还可独立控制压缩、限幅及自由选择输入信号通道，并能将某通道的所有参数复制到另外一个通道同时进行联动控制；</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2×24 LCD蓝色背光显示功能设置，5段LED显示输入/输出的精确数字电平表、哑音及编辑状态；</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单机可存储30组用户程序数据；其它数据可通过PC软件存储于其它存储介质上。</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调音台</w:t>
            </w: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2编组、数码显示效果器调音台；</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≥8路MIC通道输入，每通道具有独立+48V幻象供电开关选择；</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内置式静噪开关电源器，使用方便灵活；</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两组左右声道主输出，两编组输出，60mm行程的推子（衰减器）；</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监听功能强大，能分别监听所有输入输出端；</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高品质24bit数字显示效果器；</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10段LED电平显示器；</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具有录音输出接口；</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≥2路AUX辅助输出，≥1组FX发送，≥1路立体声返回；</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具有MP3播放器功能，配备SD卡和USB接口，支持录音功能；</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具有数字USB数字声卡输入，可从电脑直接播放音频到调音台；</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pPr>
            <w:r>
              <w:rPr>
                <w:rFonts w:hint="eastAsia"/>
              </w:rPr>
              <w:t>支持蓝牙功能，可手机蓝牙连接播放音乐。</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电源时序器</w:t>
            </w: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标准机箱设计，铝合金面板，人性化的抽手设计，美观实用；</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前面板带有≥8路电源按键和总开关按键，通过面板一键开关，可时序关启通道，实现时序功能；</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前面板带有≥2路多功能电源插座输出，≥1路USB电源输出；</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≥8路通道开关状态可由面板显示，前面板电压实时显示功能；</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关机时则由后级到前级的顺序关闭系统设备，电源时序器能够按照系统由前级到后级的顺序逐个启动各类设备；</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后面板带RS232控制接口，可外接数字中控设备控制；</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电源时序器可配电脑控制软件，可以通过电脑软件对各路电源进行控制操作；</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≥10通道大功率电源输出，单路最大输出为≥13A，总输入电流容量≥30A。</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线路布排及装修恢复</w:t>
            </w: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包括决策室、控制节点、屏幕的线路布排及装修恢复</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trHeight w:val="23" w:hRule="atLeast"/>
        </w:trPr>
        <w:tc>
          <w:tcPr>
            <w:tcW w:w="54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辅材</w:t>
            </w:r>
          </w:p>
        </w:tc>
        <w:tc>
          <w:tcPr>
            <w:tcW w:w="2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视频线、水晶头，网线，扎带，排插，电工胶布等</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300" w:hRule="atLeast"/>
        </w:trPr>
        <w:tc>
          <w:tcPr>
            <w:tcW w:w="499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仿宋"/>
                <w:lang w:val="en-US" w:eastAsia="zh-CN"/>
              </w:rPr>
            </w:pPr>
            <w:r>
              <w:rPr>
                <w:rFonts w:hint="eastAsia"/>
                <w:lang w:val="en-US" w:eastAsia="zh-CN"/>
              </w:rPr>
              <w:t>值班室</w:t>
            </w:r>
          </w:p>
        </w:tc>
      </w:tr>
      <w:tr>
        <w:tblPrEx>
          <w:tblCellMar>
            <w:top w:w="0" w:type="dxa"/>
            <w:left w:w="108" w:type="dxa"/>
            <w:bottom w:w="0" w:type="dxa"/>
            <w:right w:w="108" w:type="dxa"/>
          </w:tblCellMar>
        </w:tblPrEx>
        <w:trPr>
          <w:gridAfter w:val="3"/>
          <w:wAfter w:w="3" w:type="pct"/>
          <w:trHeight w:val="454" w:hRule="atLeast"/>
        </w:trPr>
        <w:tc>
          <w:tcPr>
            <w:tcW w:w="541" w:type="pct"/>
            <w:gridSpan w:val="4"/>
            <w:vMerge w:val="restart"/>
            <w:tcBorders>
              <w:top w:val="single" w:color="000000" w:sz="4" w:space="0"/>
              <w:left w:val="single" w:color="000000" w:sz="4" w:space="0"/>
              <w:right w:val="single" w:color="000000" w:sz="4" w:space="0"/>
            </w:tcBorders>
            <w:shd w:val="clear" w:color="auto" w:fill="auto"/>
            <w:noWrap/>
            <w:vAlign w:val="center"/>
          </w:tcPr>
          <w:p>
            <w:pPr>
              <w:ind w:firstLine="0" w:firstLineChars="0"/>
              <w:rPr>
                <w:highlight w:val="yellow"/>
              </w:rPr>
            </w:pPr>
            <w:r>
              <w:rPr>
                <w:rFonts w:hint="eastAsia"/>
              </w:rPr>
              <w:t>98寸监视器</w:t>
            </w: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highlight w:val="yellow"/>
              </w:rPr>
            </w:pPr>
            <w:r>
              <w:rPr>
                <w:rFonts w:hint="eastAsia"/>
              </w:rPr>
              <w:t>采用原装模组，支持7*24小时连续工作，性能稳定，在高温、强光下保证画面绚丽；</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41" w:type="pct"/>
            <w:gridSpan w:val="4"/>
            <w:vMerge w:val="continue"/>
            <w:tcBorders>
              <w:left w:val="single" w:color="000000" w:sz="4" w:space="0"/>
              <w:right w:val="single" w:color="000000" w:sz="4" w:space="0"/>
            </w:tcBorders>
            <w:shd w:val="clear" w:color="auto" w:fill="auto"/>
            <w:noWrap/>
            <w:vAlign w:val="center"/>
          </w:tcPr>
          <w:p>
            <w:pPr>
              <w:ind w:firstLine="480"/>
              <w:rPr>
                <w:highlight w:val="yellow"/>
              </w:rPr>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屏幕尺寸≥98英寸，16：9，具有自动消除残影功能，保护液晶屏的长期使用；</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44" w:hRule="atLeast"/>
        </w:trPr>
        <w:tc>
          <w:tcPr>
            <w:tcW w:w="541" w:type="pct"/>
            <w:gridSpan w:val="4"/>
            <w:vMerge w:val="continue"/>
            <w:tcBorders>
              <w:left w:val="single" w:color="000000" w:sz="4" w:space="0"/>
              <w:right w:val="single" w:color="000000" w:sz="4" w:space="0"/>
            </w:tcBorders>
            <w:shd w:val="clear" w:color="auto" w:fill="auto"/>
            <w:noWrap/>
            <w:vAlign w:val="center"/>
          </w:tcPr>
          <w:p>
            <w:pPr>
              <w:ind w:firstLine="480"/>
              <w:rPr>
                <w:highlight w:val="yellow"/>
              </w:rPr>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分辨率：</w:t>
            </w:r>
            <w:r>
              <w:t>3840×2160、亮度：350cd/m²、对比度：1400:1</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122" w:hRule="atLeast"/>
        </w:trPr>
        <w:tc>
          <w:tcPr>
            <w:tcW w:w="541" w:type="pct"/>
            <w:gridSpan w:val="4"/>
            <w:vMerge w:val="continue"/>
            <w:tcBorders>
              <w:left w:val="single" w:color="000000" w:sz="4" w:space="0"/>
              <w:right w:val="single" w:color="000000" w:sz="4" w:space="0"/>
            </w:tcBorders>
            <w:shd w:val="clear" w:color="auto" w:fill="auto"/>
            <w:noWrap/>
            <w:vAlign w:val="center"/>
          </w:tcPr>
          <w:p>
            <w:pPr>
              <w:ind w:firstLine="480"/>
              <w:rPr>
                <w:highlight w:val="yellow"/>
              </w:rPr>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采用最新3D数字解码和图像降噪技术；</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41" w:type="pct"/>
            <w:gridSpan w:val="4"/>
            <w:vMerge w:val="continue"/>
            <w:tcBorders>
              <w:left w:val="single" w:color="000000" w:sz="4" w:space="0"/>
              <w:right w:val="single" w:color="000000" w:sz="4" w:space="0"/>
            </w:tcBorders>
            <w:shd w:val="clear" w:color="auto" w:fill="auto"/>
            <w:noWrap/>
            <w:vAlign w:val="center"/>
          </w:tcPr>
          <w:p>
            <w:pPr>
              <w:ind w:firstLine="480"/>
              <w:rPr>
                <w:highlight w:val="yellow"/>
              </w:rPr>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信号接口：CVBS(BNC)×1、DVI×1、HDMI×2、VGA×1、USB×1、音频输入×1、音频输出×1、RS232输入×1</w:t>
            </w:r>
            <w:r>
              <w:rPr>
                <w:rFonts w:hint="eastAsia"/>
              </w:rPr>
              <w:t>、</w:t>
            </w:r>
            <w:r>
              <w:t>RS232输出×1</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r>
      <w:tr>
        <w:tblPrEx>
          <w:tblCellMar>
            <w:top w:w="0" w:type="dxa"/>
            <w:left w:w="108" w:type="dxa"/>
            <w:bottom w:w="0" w:type="dxa"/>
            <w:right w:w="108" w:type="dxa"/>
          </w:tblCellMar>
        </w:tblPrEx>
        <w:trPr>
          <w:gridAfter w:val="3"/>
          <w:wAfter w:w="3" w:type="pct"/>
          <w:trHeight w:val="454" w:hRule="atLeast"/>
        </w:trPr>
        <w:tc>
          <w:tcPr>
            <w:tcW w:w="541" w:type="pct"/>
            <w:gridSpan w:val="4"/>
            <w:vMerge w:val="continue"/>
            <w:tcBorders>
              <w:left w:val="single" w:color="000000" w:sz="4" w:space="0"/>
              <w:right w:val="single" w:color="000000" w:sz="4" w:space="0"/>
            </w:tcBorders>
            <w:shd w:val="clear" w:color="auto" w:fill="auto"/>
            <w:noWrap/>
            <w:vAlign w:val="center"/>
          </w:tcPr>
          <w:p>
            <w:pPr>
              <w:ind w:firstLine="480"/>
              <w:rPr>
                <w:highlight w:val="yellow"/>
              </w:rPr>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highlight w:val="yellow"/>
              </w:rPr>
            </w:pPr>
            <w:r>
              <w:rPr>
                <w:rFonts w:hint="eastAsia"/>
              </w:rPr>
              <w:t>5ms极速响应时间，画面真正无拖尾；</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41" w:type="pct"/>
            <w:gridSpan w:val="4"/>
            <w:vMerge w:val="continue"/>
            <w:tcBorders>
              <w:left w:val="single" w:color="000000" w:sz="4" w:space="0"/>
              <w:right w:val="single" w:color="000000" w:sz="4" w:space="0"/>
            </w:tcBorders>
            <w:shd w:val="clear" w:color="auto" w:fill="auto"/>
            <w:noWrap/>
            <w:vAlign w:val="center"/>
          </w:tcPr>
          <w:p>
            <w:pPr>
              <w:ind w:firstLine="480"/>
              <w:rPr>
                <w:highlight w:val="yellow"/>
              </w:rPr>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highlight w:val="yellow"/>
              </w:rPr>
            </w:pPr>
            <w:r>
              <w:rPr>
                <w:rFonts w:hint="eastAsia"/>
              </w:rPr>
              <w:t>I</w:t>
            </w:r>
            <w:r>
              <w:t>²</w:t>
            </w:r>
            <w:r>
              <w:rPr>
                <w:rFonts w:hint="eastAsia"/>
              </w:rPr>
              <w:t>C总线最新控制电路,整机可靠性高，扩展性好；</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41" w:type="pct"/>
            <w:gridSpan w:val="4"/>
            <w:vMerge w:val="continue"/>
            <w:tcBorders>
              <w:left w:val="single" w:color="000000" w:sz="4" w:space="0"/>
              <w:right w:val="single" w:color="000000" w:sz="4" w:space="0"/>
            </w:tcBorders>
            <w:shd w:val="clear" w:color="auto" w:fill="auto"/>
            <w:noWrap/>
            <w:vAlign w:val="center"/>
          </w:tcPr>
          <w:p>
            <w:pPr>
              <w:ind w:firstLine="480"/>
              <w:rPr>
                <w:highlight w:val="yellow"/>
              </w:rPr>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highlight w:val="yellow"/>
              </w:rPr>
            </w:pPr>
            <w:r>
              <w:rPr>
                <w:rFonts w:hint="eastAsia"/>
              </w:rPr>
              <w:t>内置电源，液晶屏使用寿命可达6万小时以上；</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41" w:type="pct"/>
            <w:gridSpan w:val="4"/>
            <w:vMerge w:val="continue"/>
            <w:tcBorders>
              <w:left w:val="single" w:color="000000" w:sz="4" w:space="0"/>
              <w:right w:val="single" w:color="000000" w:sz="4" w:space="0"/>
            </w:tcBorders>
            <w:shd w:val="clear" w:color="auto" w:fill="auto"/>
            <w:noWrap/>
            <w:vAlign w:val="center"/>
          </w:tcPr>
          <w:p>
            <w:pPr>
              <w:ind w:firstLine="480"/>
              <w:rPr>
                <w:highlight w:val="yellow"/>
              </w:rPr>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highlight w:val="yellow"/>
              </w:rPr>
            </w:pPr>
            <w:r>
              <w:rPr>
                <w:rFonts w:hint="eastAsia"/>
              </w:rPr>
              <w:t>装备有灵敏的红外接收装置，可遥控调节监视器的各项参数；</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176" w:hRule="atLeast"/>
        </w:trPr>
        <w:tc>
          <w:tcPr>
            <w:tcW w:w="541" w:type="pct"/>
            <w:gridSpan w:val="4"/>
            <w:vMerge w:val="continue"/>
            <w:tcBorders>
              <w:left w:val="single" w:color="000000" w:sz="4" w:space="0"/>
              <w:right w:val="single" w:color="000000" w:sz="4" w:space="0"/>
            </w:tcBorders>
            <w:shd w:val="clear" w:color="auto" w:fill="auto"/>
            <w:noWrap/>
            <w:vAlign w:val="center"/>
          </w:tcPr>
          <w:p>
            <w:pPr>
              <w:ind w:firstLine="480"/>
              <w:rPr>
                <w:highlight w:val="yellow"/>
              </w:rPr>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highlight w:val="yellow"/>
              </w:rPr>
            </w:pPr>
            <w:r>
              <w:rPr>
                <w:rFonts w:hint="eastAsia"/>
              </w:rPr>
              <w:t>全金属外壳结构设计，防电磁屏蔽性强，无辐射；</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41" w:type="pct"/>
            <w:gridSpan w:val="4"/>
            <w:vMerge w:val="continue"/>
            <w:tcBorders>
              <w:left w:val="single" w:color="000000" w:sz="4" w:space="0"/>
              <w:right w:val="single" w:color="000000" w:sz="4" w:space="0"/>
            </w:tcBorders>
            <w:shd w:val="clear" w:color="auto" w:fill="auto"/>
            <w:noWrap/>
            <w:vAlign w:val="center"/>
          </w:tcPr>
          <w:p>
            <w:pPr>
              <w:ind w:firstLine="480"/>
              <w:rPr>
                <w:highlight w:val="yellow"/>
              </w:rPr>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highlight w:val="yellow"/>
              </w:rPr>
            </w:pPr>
            <w:r>
              <w:rPr>
                <w:rFonts w:hint="eastAsia"/>
              </w:rPr>
              <w:t>采用直下式LED技术，可局部开启LED背光，即可降低功耗，有可增加显示对比度，增强显示效果；</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41" w:type="pct"/>
            <w:gridSpan w:val="4"/>
            <w:vMerge w:val="continue"/>
            <w:tcBorders>
              <w:left w:val="single" w:color="000000" w:sz="4" w:space="0"/>
              <w:right w:val="single" w:color="000000" w:sz="4" w:space="0"/>
            </w:tcBorders>
            <w:shd w:val="clear" w:color="auto" w:fill="auto"/>
            <w:noWrap/>
            <w:vAlign w:val="center"/>
          </w:tcPr>
          <w:p>
            <w:pPr>
              <w:ind w:firstLine="480"/>
              <w:rPr>
                <w:highlight w:val="yellow"/>
              </w:rPr>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highlight w:val="yellow"/>
              </w:rPr>
            </w:pPr>
            <w:r>
              <w:rPr>
                <w:rFonts w:hint="eastAsia"/>
              </w:rPr>
              <w:t xml:space="preserve">采用最新的信号补偿技术，当信号传输达到一定长度后，采用独有的信号补偿功能，保证传输效果； </w:t>
            </w:r>
            <w:r>
              <w:t xml:space="preserve"> </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90" w:hRule="atLeast"/>
        </w:trPr>
        <w:tc>
          <w:tcPr>
            <w:tcW w:w="541" w:type="pct"/>
            <w:gridSpan w:val="4"/>
            <w:vMerge w:val="continue"/>
            <w:tcBorders>
              <w:left w:val="single" w:color="000000" w:sz="4" w:space="0"/>
              <w:right w:val="single" w:color="000000" w:sz="4" w:space="0"/>
            </w:tcBorders>
            <w:shd w:val="clear" w:color="auto" w:fill="auto"/>
            <w:noWrap/>
            <w:vAlign w:val="center"/>
          </w:tcPr>
          <w:p>
            <w:pPr>
              <w:ind w:firstLine="480"/>
              <w:rPr>
                <w:highlight w:val="yellow"/>
              </w:rPr>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采用RJ45智能远程控制，单台计算机可对多台显示器进行控制操作。</w:t>
            </w:r>
          </w:p>
          <w:p>
            <w:pPr>
              <w:pStyle w:val="2"/>
              <w:ind w:firstLine="480" w:firstLineChars="200"/>
              <w:jc w:val="left"/>
              <w:rPr>
                <w:rFonts w:ascii="Times New Roman" w:hAnsi="Times New Roman"/>
                <w:b w:val="0"/>
                <w:kern w:val="2"/>
                <w:sz w:val="24"/>
                <w:szCs w:val="24"/>
                <w:highlight w:val="yellow"/>
              </w:rPr>
            </w:pPr>
            <w:r>
              <w:rPr>
                <w:rFonts w:hint="eastAsia" w:ascii="Times New Roman" w:hAnsi="Times New Roman"/>
                <w:b w:val="0"/>
                <w:kern w:val="2"/>
                <w:sz w:val="24"/>
                <w:szCs w:val="24"/>
              </w:rPr>
              <w:t>配置壁装支架</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firstLine="480" w:firstLineChars="200"/>
              <w:jc w:val="left"/>
              <w:rPr>
                <w:rFonts w:hint="eastAsia" w:ascii="Times New Roman" w:hAnsi="Times New Roman"/>
                <w:b w:val="0"/>
                <w:kern w:val="2"/>
                <w:sz w:val="24"/>
                <w:szCs w:val="24"/>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firstLine="480" w:firstLineChars="200"/>
              <w:jc w:val="left"/>
              <w:rPr>
                <w:rFonts w:hint="eastAsia" w:ascii="Times New Roman" w:hAnsi="Times New Roman"/>
                <w:b w:val="0"/>
                <w:kern w:val="2"/>
                <w:sz w:val="24"/>
                <w:szCs w:val="24"/>
              </w:rPr>
            </w:pPr>
          </w:p>
        </w:tc>
      </w:tr>
      <w:tr>
        <w:tblPrEx>
          <w:tblCellMar>
            <w:top w:w="0" w:type="dxa"/>
            <w:left w:w="108" w:type="dxa"/>
            <w:bottom w:w="0" w:type="dxa"/>
            <w:right w:w="108" w:type="dxa"/>
          </w:tblCellMar>
        </w:tblPrEx>
        <w:trPr>
          <w:gridAfter w:val="3"/>
          <w:wAfter w:w="3" w:type="pct"/>
          <w:trHeight w:val="454" w:hRule="atLeast"/>
        </w:trPr>
        <w:tc>
          <w:tcPr>
            <w:tcW w:w="541" w:type="pct"/>
            <w:gridSpan w:val="4"/>
            <w:vMerge w:val="restart"/>
            <w:tcBorders>
              <w:top w:val="single" w:color="000000" w:sz="4" w:space="0"/>
              <w:left w:val="single" w:color="000000" w:sz="4" w:space="0"/>
              <w:right w:val="single" w:color="000000" w:sz="4" w:space="0"/>
            </w:tcBorders>
            <w:shd w:val="clear" w:color="auto" w:fill="auto"/>
            <w:vAlign w:val="center"/>
          </w:tcPr>
          <w:p>
            <w:pPr>
              <w:ind w:firstLine="0" w:firstLineChars="0"/>
            </w:pPr>
            <w:r>
              <w:rPr>
                <w:rFonts w:hint="eastAsia"/>
              </w:rPr>
              <w:t>人脸识别门禁主机</w:t>
            </w: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配置</w:t>
            </w:r>
            <w:r>
              <w:t>7寸触摸屏，屏幕分辨率不低于600*1024</w:t>
            </w:r>
            <w:r>
              <w:rPr>
                <w:rFonts w:hint="eastAsia"/>
              </w:rPr>
              <w:t>。</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870"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支持双目摄像头，一路可见光摄像头，一路红外摄像头，可见光摄像头分辨率</w:t>
            </w:r>
            <w:r>
              <w:rPr>
                <w:rFonts w:hint="eastAsia"/>
              </w:rPr>
              <w:t>≥</w:t>
            </w:r>
            <w:r>
              <w:t>1080×1920</w:t>
            </w:r>
            <w:r>
              <w:rPr>
                <w:rFonts w:hint="eastAsia"/>
              </w:rPr>
              <w:t>。</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r>
      <w:tr>
        <w:tblPrEx>
          <w:tblCellMar>
            <w:top w:w="0" w:type="dxa"/>
            <w:left w:w="108" w:type="dxa"/>
            <w:bottom w:w="0" w:type="dxa"/>
            <w:right w:w="108" w:type="dxa"/>
          </w:tblCellMar>
        </w:tblPrEx>
        <w:trPr>
          <w:gridAfter w:val="3"/>
          <w:wAfter w:w="3" w:type="pct"/>
          <w:trHeight w:val="437"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支持嵌入式防拆报警按钮设计，受到外力异常拆卸可产生报警</w:t>
            </w:r>
            <w:r>
              <w:rPr>
                <w:rFonts w:hint="eastAsia"/>
              </w:rPr>
              <w:t>。</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r>
      <w:tr>
        <w:tblPrEx>
          <w:tblCellMar>
            <w:top w:w="0" w:type="dxa"/>
            <w:left w:w="108" w:type="dxa"/>
            <w:bottom w:w="0" w:type="dxa"/>
            <w:right w:w="108" w:type="dxa"/>
          </w:tblCellMar>
        </w:tblPrEx>
        <w:trPr>
          <w:gridAfter w:val="3"/>
          <w:wAfter w:w="3" w:type="pct"/>
          <w:trHeight w:val="454"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支持韦根协议输入及输出</w:t>
            </w:r>
            <w:r>
              <w:rPr>
                <w:rFonts w:hint="eastAsia"/>
              </w:rPr>
              <w:t>。</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r>
      <w:tr>
        <w:tblPrEx>
          <w:tblCellMar>
            <w:top w:w="0" w:type="dxa"/>
            <w:left w:w="108" w:type="dxa"/>
            <w:bottom w:w="0" w:type="dxa"/>
            <w:right w:w="108" w:type="dxa"/>
          </w:tblCellMar>
        </w:tblPrEx>
        <w:trPr>
          <w:gridAfter w:val="3"/>
          <w:wAfter w:w="3" w:type="pct"/>
          <w:trHeight w:val="323"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支持对IC卡、CPU卡序列号和手机4G卡物理序列号进行识读</w:t>
            </w:r>
            <w:r>
              <w:rPr>
                <w:rFonts w:hint="eastAsia"/>
              </w:rPr>
              <w:t>。</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r>
      <w:tr>
        <w:tblPrEx>
          <w:tblCellMar>
            <w:top w:w="0" w:type="dxa"/>
            <w:left w:w="108" w:type="dxa"/>
            <w:bottom w:w="0" w:type="dxa"/>
            <w:right w:w="108" w:type="dxa"/>
          </w:tblCellMar>
        </w:tblPrEx>
        <w:trPr>
          <w:gridAfter w:val="3"/>
          <w:wAfter w:w="3" w:type="pct"/>
          <w:trHeight w:val="870"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具备人脸识别、人证比对识别、IC卡识别、数字密码、二维码等多种核验方式</w:t>
            </w:r>
            <w:r>
              <w:rPr>
                <w:rFonts w:hint="eastAsia"/>
              </w:rPr>
              <w:t>。</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r>
      <w:tr>
        <w:tblPrEx>
          <w:tblCellMar>
            <w:top w:w="0" w:type="dxa"/>
            <w:left w:w="108" w:type="dxa"/>
            <w:bottom w:w="0" w:type="dxa"/>
            <w:right w:w="108" w:type="dxa"/>
          </w:tblCellMar>
        </w:tblPrEx>
        <w:trPr>
          <w:gridAfter w:val="3"/>
          <w:wAfter w:w="3" w:type="pct"/>
          <w:trHeight w:val="870"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支持人脸活体检测功能（防假体攻击功能），对照片、视频、3D模型中的人脸不能进行人脸识别开门</w:t>
            </w:r>
            <w:r>
              <w:rPr>
                <w:rFonts w:hint="eastAsia"/>
              </w:rPr>
              <w:t>。</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r>
      <w:tr>
        <w:tblPrEx>
          <w:tblCellMar>
            <w:top w:w="0" w:type="dxa"/>
            <w:left w:w="108" w:type="dxa"/>
            <w:bottom w:w="0" w:type="dxa"/>
            <w:right w:w="108" w:type="dxa"/>
          </w:tblCellMar>
        </w:tblPrEx>
        <w:trPr>
          <w:gridAfter w:val="3"/>
          <w:wAfter w:w="3" w:type="pct"/>
          <w:trHeight w:val="870"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设备应支持H.265编码格式的视频输出，支持录像机抓拍图片导出。</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r>
      <w:tr>
        <w:tblPrEx>
          <w:tblCellMar>
            <w:top w:w="0" w:type="dxa"/>
            <w:left w:w="108" w:type="dxa"/>
            <w:bottom w:w="0" w:type="dxa"/>
            <w:right w:w="108" w:type="dxa"/>
          </w:tblCellMar>
        </w:tblPrEx>
        <w:trPr>
          <w:gridAfter w:val="3"/>
          <w:wAfter w:w="3" w:type="pct"/>
          <w:trHeight w:val="454"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支持单个人员导入</w:t>
            </w:r>
            <w:r>
              <w:rPr>
                <w:rFonts w:hint="eastAsia"/>
              </w:rPr>
              <w:t>，</w:t>
            </w:r>
            <w:r>
              <w:t>底库照片不少于6张。</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r>
      <w:tr>
        <w:tblPrEx>
          <w:tblCellMar>
            <w:top w:w="0" w:type="dxa"/>
            <w:left w:w="108" w:type="dxa"/>
            <w:bottom w:w="0" w:type="dxa"/>
            <w:right w:w="108" w:type="dxa"/>
          </w:tblCellMar>
        </w:tblPrEx>
        <w:trPr>
          <w:gridAfter w:val="3"/>
          <w:wAfter w:w="3" w:type="pct"/>
          <w:trHeight w:val="870"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设备具备低照度功能，支持在环境光为0.001lux下正常检测并识别人脸</w:t>
            </w:r>
            <w:r>
              <w:rPr>
                <w:rFonts w:hint="eastAsia"/>
              </w:rPr>
              <w:t>。</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r>
      <w:tr>
        <w:tblPrEx>
          <w:tblCellMar>
            <w:top w:w="0" w:type="dxa"/>
            <w:left w:w="108" w:type="dxa"/>
            <w:bottom w:w="0" w:type="dxa"/>
            <w:right w:w="108" w:type="dxa"/>
          </w:tblCellMar>
        </w:tblPrEx>
        <w:trPr>
          <w:gridAfter w:val="3"/>
          <w:wAfter w:w="3" w:type="pct"/>
          <w:trHeight w:val="454"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人脸识别平均响应时间应不超过200ms。</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r>
      <w:tr>
        <w:tblPrEx>
          <w:tblCellMar>
            <w:top w:w="0" w:type="dxa"/>
            <w:left w:w="108" w:type="dxa"/>
            <w:bottom w:w="0" w:type="dxa"/>
            <w:right w:w="108" w:type="dxa"/>
          </w:tblCellMar>
        </w:tblPrEx>
        <w:trPr>
          <w:gridAfter w:val="3"/>
          <w:wAfter w:w="3" w:type="pct"/>
          <w:trHeight w:val="454"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识别率不低于99.8%，误识率不高于0.001%。</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r>
      <w:tr>
        <w:tblPrEx>
          <w:tblCellMar>
            <w:top w:w="0" w:type="dxa"/>
            <w:left w:w="108" w:type="dxa"/>
            <w:bottom w:w="0" w:type="dxa"/>
            <w:right w:w="108" w:type="dxa"/>
          </w:tblCellMar>
        </w:tblPrEx>
        <w:trPr>
          <w:gridAfter w:val="3"/>
          <w:wAfter w:w="3" w:type="pct"/>
          <w:trHeight w:val="454"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支持通过https协议进行数据传输。</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r>
      <w:tr>
        <w:tblPrEx>
          <w:tblCellMar>
            <w:top w:w="0" w:type="dxa"/>
            <w:left w:w="108" w:type="dxa"/>
            <w:bottom w:w="0" w:type="dxa"/>
            <w:right w:w="108" w:type="dxa"/>
          </w:tblCellMar>
        </w:tblPrEx>
        <w:trPr>
          <w:gridAfter w:val="3"/>
          <w:wAfter w:w="3" w:type="pct"/>
          <w:trHeight w:val="454"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支持语音播报姓名，温度等，支持自定义语音提示。</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r>
      <w:tr>
        <w:tblPrEx>
          <w:tblCellMar>
            <w:top w:w="0" w:type="dxa"/>
            <w:left w:w="108" w:type="dxa"/>
            <w:bottom w:w="0" w:type="dxa"/>
            <w:right w:w="108" w:type="dxa"/>
          </w:tblCellMar>
        </w:tblPrEx>
        <w:trPr>
          <w:gridAfter w:val="3"/>
          <w:wAfter w:w="3" w:type="pct"/>
          <w:trHeight w:val="454" w:hRule="atLeast"/>
        </w:trPr>
        <w:tc>
          <w:tcPr>
            <w:tcW w:w="541" w:type="pct"/>
            <w:gridSpan w:val="4"/>
            <w:vMerge w:val="continue"/>
            <w:tcBorders>
              <w:left w:val="single" w:color="000000" w:sz="4" w:space="0"/>
              <w:bottom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t>IP65防护等级</w:t>
            </w:r>
            <w:r>
              <w:rPr>
                <w:rFonts w:hint="eastAsia"/>
              </w:rPr>
              <w:t>。</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p>
        </w:tc>
      </w:tr>
      <w:tr>
        <w:tblPrEx>
          <w:tblCellMar>
            <w:top w:w="0" w:type="dxa"/>
            <w:left w:w="108" w:type="dxa"/>
            <w:bottom w:w="0" w:type="dxa"/>
            <w:right w:w="108" w:type="dxa"/>
          </w:tblCellMar>
        </w:tblPrEx>
        <w:trPr>
          <w:gridAfter w:val="3"/>
          <w:wAfter w:w="3" w:type="pct"/>
          <w:trHeight w:val="454" w:hRule="atLeast"/>
        </w:trPr>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出门按钮</w:t>
            </w: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86型。</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单门磁力锁</w:t>
            </w: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最大拉力≥280kg，门锁状态输出/延时0/3/6/9秒可调。</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闭门器</w:t>
            </w: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液压缓冲闭门器，承重≥45KG。</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left="-120" w:leftChars="-50" w:right="-120" w:rightChars="-50" w:firstLine="0" w:firstLineChars="0"/>
              <w:jc w:val="center"/>
            </w:pPr>
            <w:r>
              <w:rPr>
                <w:rFonts w:hint="eastAsia"/>
              </w:rPr>
              <w:t>地面隐形地插</w:t>
            </w: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86型、五孔+网络。</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232" w:hRule="atLeast"/>
        </w:trPr>
        <w:tc>
          <w:tcPr>
            <w:tcW w:w="541" w:type="pct"/>
            <w:gridSpan w:val="4"/>
            <w:vMerge w:val="restart"/>
            <w:tcBorders>
              <w:top w:val="single" w:color="000000" w:sz="4" w:space="0"/>
              <w:left w:val="single" w:color="000000" w:sz="4" w:space="0"/>
              <w:right w:val="single" w:color="000000" w:sz="4" w:space="0"/>
            </w:tcBorders>
            <w:shd w:val="clear" w:color="auto" w:fill="auto"/>
            <w:vAlign w:val="center"/>
          </w:tcPr>
          <w:p>
            <w:pPr>
              <w:ind w:firstLine="0" w:firstLineChars="0"/>
            </w:pPr>
            <w:r>
              <w:rPr>
                <w:rFonts w:hint="eastAsia"/>
              </w:rPr>
              <w:t>高清网络摄像机</w:t>
            </w: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300万像素1/2.7"红外级海螺半球网络摄像机。</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232"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3MP(2304×1296）@20FPS。</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232"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0.01Lux(F2.0，AGCON，彩色），0lux(开启红外）。</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232"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2.8/4.0/6.0mm定焦。</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232"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10M/100M自适应网口。</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232"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双码流，最大码流6路，内置Mic。</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232"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红外灯补光30米，支持人形检测。</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232"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支持POE和DC12V供电方式。</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232" w:hRule="atLeast"/>
        </w:trPr>
        <w:tc>
          <w:tcPr>
            <w:tcW w:w="541" w:type="pct"/>
            <w:gridSpan w:val="4"/>
            <w:vMerge w:val="continue"/>
            <w:tcBorders>
              <w:left w:val="single" w:color="000000" w:sz="4" w:space="0"/>
              <w:bottom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支持4KV防雷，防护等级IP67。</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367" w:hRule="atLeast"/>
        </w:trPr>
        <w:tc>
          <w:tcPr>
            <w:tcW w:w="541" w:type="pct"/>
            <w:gridSpan w:val="4"/>
            <w:vMerge w:val="restart"/>
            <w:tcBorders>
              <w:top w:val="single" w:color="000000" w:sz="4" w:space="0"/>
              <w:left w:val="single" w:color="000000" w:sz="4" w:space="0"/>
              <w:right w:val="single" w:color="000000" w:sz="4" w:space="0"/>
            </w:tcBorders>
            <w:shd w:val="clear" w:color="auto" w:fill="auto"/>
            <w:vAlign w:val="center"/>
          </w:tcPr>
          <w:p>
            <w:pPr>
              <w:ind w:firstLine="0" w:firstLineChars="0"/>
            </w:pPr>
            <w:r>
              <w:rPr>
                <w:rFonts w:hint="eastAsia"/>
              </w:rPr>
              <w:t>硬盘录像机</w:t>
            </w: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1盘位8路NVR；10路IPC接入，接入带宽64Mbps,最大支持满接6路/10路/16路800万摄像机。</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367"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解码能力：1x8MP@30,1x5MP@30,2x4MP@30,4x3MP@25,4x1080p@30。</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367"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支持4/8路网络摄像机接入一键扩展至6/10路接入。</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367"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1个RJ45百兆以太网口，2个USB2.0接口。</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367"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支持H.264、H.265编码、超级265智能编码技术。</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367"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支持ONVIF、RTSP、国标(GB/T28181（2016））协议。</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367" w:hRule="atLeast"/>
        </w:trPr>
        <w:tc>
          <w:tcPr>
            <w:tcW w:w="541" w:type="pct"/>
            <w:gridSpan w:val="4"/>
            <w:vMerge w:val="continue"/>
            <w:tcBorders>
              <w:left w:val="single" w:color="000000" w:sz="4" w:space="0"/>
              <w:bottom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支持对重要录像的锁定、解锁，支持警前警后录像。</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300" w:hRule="atLeast"/>
        </w:trPr>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4T硬盘</w:t>
            </w: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3.5"英寸，4TB容量，SATA6Gb/S,缓存256M，5400转</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300" w:hRule="atLeast"/>
        </w:trPr>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线路布排及装修恢复</w:t>
            </w: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包括值班室、控制节点、原有机房音视频设备移位的线路布排及装修恢复。</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300" w:hRule="atLeast"/>
        </w:trPr>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地毯</w:t>
            </w: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深灰色高密地毯。</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300" w:hRule="atLeast"/>
        </w:trPr>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操作台1</w:t>
            </w: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highlight w:val="yellow"/>
              </w:rPr>
            </w:pPr>
            <w:r>
              <w:rPr>
                <w:rFonts w:hint="eastAsia"/>
              </w:rPr>
              <w:t>框架结构：优质冷轧钢板，内部主框架1.5mm，冷轧钢板，立柱1.5mm，激光切割成型，数控设备制作，做工精良，防静电喷塑处理；台面板：环保颗粒板，优于E1级环保标准。上下表面为知名高压耐磨耐火板，整体厚度为25mm，侧板采用25mm厚高密度板烤漆加工制作而成；抽屉面流线型设计，美观舒适；前后门板托盘：优质冷轧钢板，静电喷塑，1.2mm厚；后背板：铝合型材，防静电喷塑处；尺寸：</w:t>
            </w:r>
            <w:r>
              <w:t>2050*900*750</w:t>
            </w:r>
            <w:r>
              <w:rPr>
                <w:rFonts w:hint="eastAsia"/>
              </w:rPr>
              <w:t>；按照业主要求深化设计。</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300" w:hRule="atLeast"/>
        </w:trPr>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操作台2</w:t>
            </w: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三聚氰胺板材，1600*600*750（高），按照业主要求深化设计。</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300" w:hRule="atLeast"/>
        </w:trPr>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办公椅</w:t>
            </w: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万向轮钢制脚，高强度PP+透气网格坐垫、靠背。</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131" w:hRule="atLeast"/>
        </w:trPr>
        <w:tc>
          <w:tcPr>
            <w:tcW w:w="541" w:type="pct"/>
            <w:gridSpan w:val="4"/>
            <w:vMerge w:val="restart"/>
            <w:tcBorders>
              <w:top w:val="single" w:color="000000" w:sz="4" w:space="0"/>
              <w:left w:val="single" w:color="000000" w:sz="4" w:space="0"/>
              <w:right w:val="single" w:color="000000" w:sz="4" w:space="0"/>
            </w:tcBorders>
            <w:shd w:val="clear" w:color="auto" w:fill="auto"/>
            <w:vAlign w:val="center"/>
          </w:tcPr>
          <w:p>
            <w:pPr>
              <w:ind w:firstLine="0" w:firstLineChars="0"/>
            </w:pPr>
            <w:r>
              <w:rPr>
                <w:rFonts w:hint="eastAsia"/>
              </w:rPr>
              <w:t>监听音响</w:t>
            </w: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话筒输入1路，1组RCA线路音频输入，1组辅音箱输出接口，有话筒音量和总音量调节功能。</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输出功率：2×50W。</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单元组合：5.5寸低音*1，3寸高音*1。</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灵敏度：75dB/1W/1M。</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最大声压级：93dB。</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41" w:type="pct"/>
            <w:gridSpan w:val="4"/>
            <w:vMerge w:val="continue"/>
            <w:tcBorders>
              <w:left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频率响应：20Hz-18KHz。</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41" w:type="pct"/>
            <w:gridSpan w:val="4"/>
            <w:vMerge w:val="continue"/>
            <w:tcBorders>
              <w:left w:val="single" w:color="000000" w:sz="4" w:space="0"/>
              <w:bottom w:val="single" w:color="000000" w:sz="4" w:space="0"/>
              <w:right w:val="single" w:color="000000" w:sz="4" w:space="0"/>
            </w:tcBorders>
            <w:shd w:val="clear" w:color="auto" w:fill="auto"/>
            <w:vAlign w:val="center"/>
          </w:tcPr>
          <w:p>
            <w:pPr>
              <w:ind w:firstLine="480"/>
            </w:pP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信噪比：≥86dB。</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pPr>
            <w:r>
              <w:rPr>
                <w:rFonts w:hint="eastAsia"/>
              </w:rPr>
              <w:t>42U机柜</w:t>
            </w: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600*600*2000mm</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3"/>
          <w:wAfter w:w="3" w:type="pct"/>
          <w:trHeight w:val="454" w:hRule="atLeast"/>
        </w:trPr>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pPr>
            <w:r>
              <w:rPr>
                <w:rFonts w:hint="eastAsia"/>
              </w:rPr>
              <w:t>辅材</w:t>
            </w:r>
          </w:p>
        </w:tc>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pPr>
            <w:r>
              <w:rPr>
                <w:rFonts w:hint="eastAsia"/>
              </w:rPr>
              <w:t>视频线、水晶头，网线，扎带，排插，电工胶布等</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c>
          <w:tcPr>
            <w:tcW w:w="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rPr>
            </w:pPr>
          </w:p>
        </w:tc>
      </w:tr>
      <w:tr>
        <w:tblPrEx>
          <w:tblCellMar>
            <w:top w:w="0" w:type="dxa"/>
            <w:left w:w="108" w:type="dxa"/>
            <w:bottom w:w="0" w:type="dxa"/>
            <w:right w:w="108" w:type="dxa"/>
          </w:tblCellMar>
        </w:tblPrEx>
        <w:trPr>
          <w:gridAfter w:val="4"/>
          <w:wAfter w:w="3" w:type="pct"/>
          <w:trHeight w:val="300" w:hRule="atLeast"/>
        </w:trPr>
        <w:tc>
          <w:tcPr>
            <w:tcW w:w="4996"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lang w:val="en-US"/>
              </w:rPr>
            </w:pPr>
            <w:r>
              <w:rPr>
                <w:rFonts w:hint="eastAsia"/>
                <w:highlight w:val="none"/>
              </w:rPr>
              <w:t>系统对接和接入链路</w:t>
            </w:r>
          </w:p>
        </w:tc>
      </w:tr>
      <w:tr>
        <w:tblPrEx>
          <w:tblCellMar>
            <w:top w:w="0" w:type="dxa"/>
            <w:left w:w="108" w:type="dxa"/>
            <w:bottom w:w="0" w:type="dxa"/>
            <w:right w:w="108" w:type="dxa"/>
          </w:tblCellMar>
        </w:tblPrEx>
        <w:trPr>
          <w:gridAfter w:val="4"/>
          <w:wAfter w:w="3" w:type="pct"/>
          <w:trHeight w:val="300" w:hRule="atLeast"/>
        </w:trPr>
        <w:tc>
          <w:tcPr>
            <w:tcW w:w="5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lang w:val="en-US"/>
              </w:rPr>
            </w:pPr>
            <w:r>
              <w:rPr>
                <w:rFonts w:hint="eastAsia"/>
                <w:lang w:val="en-US"/>
              </w:rPr>
              <w:t>系统迁移对接</w:t>
            </w:r>
          </w:p>
        </w:tc>
        <w:tc>
          <w:tcPr>
            <w:tcW w:w="259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highlight w:val="none"/>
              </w:rPr>
            </w:pPr>
            <w:r>
              <w:rPr>
                <w:rFonts w:hint="eastAsia"/>
                <w:highlight w:val="none"/>
              </w:rPr>
              <w:t>视频会议、网格化、天网等系统，</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highlight w:val="none"/>
              </w:rPr>
            </w:pP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highlight w:val="none"/>
              </w:rPr>
            </w:pPr>
          </w:p>
        </w:tc>
      </w:tr>
      <w:tr>
        <w:tblPrEx>
          <w:tblCellMar>
            <w:top w:w="0" w:type="dxa"/>
            <w:left w:w="108" w:type="dxa"/>
            <w:bottom w:w="0" w:type="dxa"/>
            <w:right w:w="108" w:type="dxa"/>
          </w:tblCellMar>
        </w:tblPrEx>
        <w:trPr>
          <w:gridAfter w:val="4"/>
          <w:wAfter w:w="3" w:type="pct"/>
          <w:trHeight w:val="300" w:hRule="atLeast"/>
        </w:trPr>
        <w:tc>
          <w:tcPr>
            <w:tcW w:w="5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lang w:val="en-US"/>
              </w:rPr>
            </w:pPr>
            <w:r>
              <w:rPr>
                <w:rFonts w:hint="eastAsia"/>
                <w:lang w:val="en-US"/>
              </w:rPr>
              <w:t>互联网链路</w:t>
            </w:r>
          </w:p>
        </w:tc>
        <w:tc>
          <w:tcPr>
            <w:tcW w:w="259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highlight w:val="none"/>
              </w:rPr>
            </w:pPr>
            <w:r>
              <w:rPr>
                <w:rFonts w:hint="eastAsia"/>
                <w:highlight w:val="none"/>
              </w:rPr>
              <w:t>满足视联网接入要求，1条</w:t>
            </w:r>
          </w:p>
        </w:tc>
        <w:tc>
          <w:tcPr>
            <w:tcW w:w="12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highlight w:val="none"/>
              </w:rPr>
            </w:pP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eastAsia"/>
                <w:highlight w:val="none"/>
              </w:rPr>
            </w:pPr>
          </w:p>
        </w:tc>
      </w:tr>
    </w:tbl>
    <w:p>
      <w:pPr>
        <w:ind w:firstLine="480"/>
      </w:pPr>
    </w:p>
    <w:p>
      <w:pPr>
        <w:snapToGrid w:val="0"/>
        <w:ind w:firstLine="480"/>
        <w:jc w:val="center"/>
        <w:rPr>
          <w:rFonts w:ascii="仿宋" w:hAnsi="仿宋" w:cs="仿宋"/>
          <w:kern w:val="0"/>
          <w:lang w:val="zh-CN"/>
        </w:rPr>
      </w:pPr>
      <w:r>
        <w:rPr>
          <w:rFonts w:hint="eastAsia" w:ascii="仿宋" w:hAnsi="仿宋" w:cs="仿宋"/>
          <w:kern w:val="0"/>
          <w:lang w:val="zh-CN"/>
        </w:rPr>
        <w:t>供应商名称（电子签名）：</w:t>
      </w:r>
    </w:p>
    <w:p>
      <w:pPr>
        <w:ind w:firstLine="480"/>
        <w:jc w:val="right"/>
        <w:rPr>
          <w:rFonts w:ascii="仿宋" w:hAnsi="仿宋" w:cs="仿宋"/>
          <w:kern w:val="0"/>
          <w:lang w:val="zh-CN"/>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pPr>
        <w:pStyle w:val="2"/>
      </w:pPr>
    </w:p>
    <w:p>
      <w:pPr>
        <w:ind w:firstLine="480"/>
        <w:rPr>
          <w:rFonts w:ascii="仿宋" w:hAnsi="仿宋" w:cs="仿宋"/>
        </w:rPr>
      </w:pPr>
      <w:r>
        <w:rPr>
          <w:rFonts w:hint="eastAsia" w:ascii="仿宋" w:hAnsi="仿宋" w:cs="仿宋"/>
        </w:rPr>
        <w:br w:type="page"/>
      </w:r>
    </w:p>
    <w:p>
      <w:pPr>
        <w:pStyle w:val="9"/>
        <w:spacing w:before="120" w:after="240"/>
        <w:ind w:left="1151" w:hanging="1151"/>
        <w:rPr>
          <w:rFonts w:ascii="仿宋" w:hAnsi="仿宋" w:cs="仿宋"/>
        </w:rPr>
      </w:pPr>
      <w:r>
        <w:rPr>
          <w:rFonts w:hint="eastAsia" w:ascii="仿宋" w:hAnsi="仿宋" w:cs="仿宋"/>
        </w:rPr>
        <w:t>六、评审标准相应的商务技术资料</w:t>
      </w:r>
    </w:p>
    <w:p>
      <w:pPr>
        <w:snapToGrid w:val="0"/>
        <w:rPr>
          <w:rFonts w:ascii="仿宋" w:hAnsi="仿宋" w:cs="仿宋"/>
          <w:b/>
        </w:rPr>
      </w:pPr>
      <w:r>
        <w:rPr>
          <w:rFonts w:hint="eastAsia" w:ascii="仿宋" w:hAnsi="仿宋" w:cs="仿宋"/>
          <w:b/>
        </w:rPr>
        <w:t>（按磋商文件第四部分评审办法前附表中“响应文件中评审标准相应的商务技术资料目录”提供资料）</w:t>
      </w:r>
    </w:p>
    <w:p>
      <w:pPr>
        <w:ind w:firstLine="643"/>
        <w:jc w:val="center"/>
        <w:rPr>
          <w:rFonts w:ascii="仿宋" w:hAnsi="仿宋" w:cs="仿宋"/>
          <w:b/>
          <w:kern w:val="0"/>
          <w:sz w:val="32"/>
          <w:szCs w:val="32"/>
        </w:rPr>
      </w:pPr>
    </w:p>
    <w:p>
      <w:pPr>
        <w:ind w:firstLine="643"/>
        <w:jc w:val="center"/>
        <w:rPr>
          <w:rFonts w:ascii="仿宋" w:hAnsi="仿宋" w:cs="仿宋"/>
          <w:b/>
          <w:kern w:val="0"/>
          <w:sz w:val="32"/>
          <w:szCs w:val="32"/>
        </w:rPr>
      </w:pPr>
    </w:p>
    <w:p>
      <w:pPr>
        <w:ind w:firstLine="643"/>
        <w:jc w:val="center"/>
        <w:rPr>
          <w:rFonts w:ascii="仿宋" w:hAnsi="仿宋" w:cs="仿宋"/>
          <w:b/>
          <w:kern w:val="0"/>
          <w:sz w:val="32"/>
          <w:szCs w:val="32"/>
        </w:rPr>
      </w:pPr>
    </w:p>
    <w:p>
      <w:pPr>
        <w:ind w:firstLine="643"/>
        <w:jc w:val="center"/>
        <w:rPr>
          <w:rFonts w:ascii="仿宋" w:hAnsi="仿宋" w:cs="仿宋"/>
          <w:b/>
          <w:kern w:val="0"/>
          <w:sz w:val="32"/>
          <w:szCs w:val="32"/>
        </w:rPr>
      </w:pPr>
    </w:p>
    <w:p>
      <w:pPr>
        <w:ind w:firstLine="643"/>
        <w:jc w:val="center"/>
        <w:rPr>
          <w:rFonts w:ascii="仿宋" w:hAnsi="仿宋" w:cs="仿宋"/>
          <w:b/>
          <w:kern w:val="0"/>
          <w:sz w:val="32"/>
          <w:szCs w:val="32"/>
        </w:rPr>
      </w:pPr>
    </w:p>
    <w:p>
      <w:pPr>
        <w:ind w:firstLine="643"/>
        <w:jc w:val="center"/>
        <w:rPr>
          <w:rFonts w:ascii="仿宋" w:hAnsi="仿宋" w:cs="仿宋"/>
          <w:b/>
          <w:kern w:val="0"/>
          <w:sz w:val="32"/>
          <w:szCs w:val="32"/>
        </w:rPr>
      </w:pPr>
    </w:p>
    <w:p>
      <w:pPr>
        <w:ind w:firstLine="643"/>
        <w:jc w:val="center"/>
        <w:rPr>
          <w:rFonts w:ascii="仿宋" w:hAnsi="仿宋" w:cs="仿宋"/>
          <w:b/>
          <w:kern w:val="0"/>
          <w:sz w:val="32"/>
          <w:szCs w:val="32"/>
        </w:rPr>
      </w:pPr>
    </w:p>
    <w:p>
      <w:pPr>
        <w:ind w:firstLine="643"/>
        <w:jc w:val="center"/>
        <w:rPr>
          <w:rFonts w:ascii="仿宋" w:hAnsi="仿宋" w:cs="仿宋"/>
          <w:b/>
          <w:kern w:val="0"/>
          <w:sz w:val="32"/>
          <w:szCs w:val="32"/>
        </w:rPr>
      </w:pPr>
    </w:p>
    <w:p>
      <w:pPr>
        <w:ind w:firstLine="643"/>
        <w:jc w:val="center"/>
        <w:rPr>
          <w:rFonts w:ascii="仿宋" w:hAnsi="仿宋" w:cs="仿宋"/>
          <w:b/>
          <w:kern w:val="0"/>
          <w:sz w:val="32"/>
          <w:szCs w:val="32"/>
        </w:rPr>
      </w:pPr>
    </w:p>
    <w:p>
      <w:pPr>
        <w:ind w:firstLine="643"/>
        <w:jc w:val="center"/>
        <w:rPr>
          <w:rFonts w:ascii="仿宋" w:hAnsi="仿宋" w:cs="仿宋"/>
          <w:b/>
          <w:kern w:val="0"/>
          <w:sz w:val="32"/>
          <w:szCs w:val="32"/>
        </w:rPr>
      </w:pPr>
    </w:p>
    <w:p>
      <w:pPr>
        <w:ind w:firstLine="643"/>
        <w:jc w:val="center"/>
        <w:rPr>
          <w:rFonts w:ascii="仿宋" w:hAnsi="仿宋" w:cs="仿宋"/>
          <w:b/>
          <w:kern w:val="0"/>
          <w:sz w:val="32"/>
          <w:szCs w:val="32"/>
        </w:rPr>
      </w:pPr>
    </w:p>
    <w:p>
      <w:pPr>
        <w:ind w:firstLine="643"/>
        <w:jc w:val="center"/>
        <w:rPr>
          <w:rFonts w:ascii="仿宋" w:hAnsi="仿宋" w:cs="仿宋"/>
          <w:b/>
          <w:kern w:val="0"/>
          <w:sz w:val="32"/>
          <w:szCs w:val="32"/>
        </w:rPr>
      </w:pPr>
    </w:p>
    <w:p>
      <w:pPr>
        <w:ind w:firstLine="643"/>
        <w:jc w:val="center"/>
        <w:rPr>
          <w:rFonts w:ascii="仿宋" w:hAnsi="仿宋" w:cs="仿宋"/>
          <w:b/>
          <w:kern w:val="0"/>
          <w:sz w:val="32"/>
          <w:szCs w:val="32"/>
        </w:rPr>
      </w:pPr>
    </w:p>
    <w:p>
      <w:pPr>
        <w:ind w:firstLine="480"/>
        <w:rPr>
          <w:rFonts w:ascii="仿宋" w:hAnsi="仿宋" w:cs="仿宋"/>
        </w:rPr>
      </w:pPr>
      <w:r>
        <w:rPr>
          <w:rFonts w:hint="eastAsia" w:ascii="仿宋" w:hAnsi="仿宋" w:cs="仿宋"/>
        </w:rPr>
        <w:br w:type="page"/>
      </w:r>
    </w:p>
    <w:p>
      <w:pPr>
        <w:pStyle w:val="9"/>
        <w:spacing w:before="120" w:after="240"/>
        <w:ind w:left="1151" w:hanging="1151"/>
        <w:rPr>
          <w:rFonts w:ascii="仿宋" w:hAnsi="仿宋" w:cs="仿宋"/>
          <w:kern w:val="0"/>
          <w:szCs w:val="32"/>
        </w:rPr>
      </w:pPr>
      <w:r>
        <w:rPr>
          <w:rFonts w:hint="eastAsia" w:ascii="仿宋" w:hAnsi="仿宋" w:cs="仿宋"/>
          <w:kern w:val="0"/>
          <w:szCs w:val="32"/>
        </w:rPr>
        <w:t>七、</w:t>
      </w:r>
      <w:r>
        <w:rPr>
          <w:rFonts w:hint="eastAsia" w:ascii="仿宋" w:hAnsi="仿宋" w:cs="仿宋"/>
          <w:kern w:val="0"/>
          <w:szCs w:val="32"/>
          <w:lang w:val="zh-CN"/>
        </w:rPr>
        <w:t>政府采购供应商廉洁自律承诺书</w:t>
      </w:r>
    </w:p>
    <w:p>
      <w:pPr>
        <w:pStyle w:val="28"/>
        <w:rPr>
          <w:rFonts w:ascii="仿宋" w:hAnsi="仿宋" w:cs="仿宋"/>
          <w:kern w:val="0"/>
        </w:rPr>
      </w:pPr>
      <w:r>
        <w:rPr>
          <w:rFonts w:hint="eastAsia" w:ascii="仿宋" w:hAnsi="仿宋" w:cs="仿宋"/>
          <w:u w:val="single"/>
        </w:rPr>
        <w:t>（采购人）、（采购机构）</w:t>
      </w:r>
      <w:r>
        <w:rPr>
          <w:rFonts w:hint="eastAsia" w:ascii="仿宋" w:hAnsi="仿宋" w:cs="仿宋"/>
          <w:kern w:val="0"/>
        </w:rPr>
        <w:t>：</w:t>
      </w:r>
    </w:p>
    <w:p>
      <w:pPr>
        <w:autoSpaceDE w:val="0"/>
        <w:autoSpaceDN w:val="0"/>
        <w:ind w:left="2" w:leftChars="1" w:firstLine="480"/>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u w:val="single"/>
        </w:rPr>
        <w:t xml:space="preserve">      </w:t>
      </w:r>
      <w:r>
        <w:rPr>
          <w:rFonts w:hint="eastAsia" w:ascii="仿宋" w:hAnsi="仿宋" w:cs="仿宋"/>
          <w:kern w:val="0"/>
          <w:lang w:val="zh-CN"/>
        </w:rPr>
        <w:t>项目</w:t>
      </w:r>
      <w:r>
        <w:rPr>
          <w:rFonts w:hint="eastAsia" w:ascii="仿宋" w:hAnsi="仿宋" w:cs="仿宋"/>
          <w:kern w:val="0"/>
        </w:rPr>
        <w:t>采购</w:t>
      </w:r>
      <w:r>
        <w:rPr>
          <w:rFonts w:hint="eastAsia" w:ascii="仿宋" w:hAnsi="仿宋" w:cs="仿宋"/>
          <w:kern w:val="0"/>
          <w:lang w:val="zh-CN"/>
        </w:rPr>
        <w:t>要求参加响应。在这次响应过程中和成交后，我们将严格遵守国家法律法规要求，并郑重承诺：</w:t>
      </w:r>
    </w:p>
    <w:p>
      <w:pPr>
        <w:autoSpaceDE w:val="0"/>
        <w:autoSpaceDN w:val="0"/>
        <w:ind w:left="2" w:leftChars="1" w:firstLine="480"/>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ind w:left="2" w:leftChars="1" w:firstLine="480"/>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ind w:left="2" w:leftChars="1" w:firstLine="480"/>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autoSpaceDE w:val="0"/>
        <w:autoSpaceDN w:val="0"/>
        <w:ind w:left="2" w:leftChars="1" w:firstLine="480"/>
        <w:rPr>
          <w:rFonts w:ascii="仿宋" w:hAnsi="仿宋" w:cs="仿宋"/>
          <w:kern w:val="0"/>
          <w:lang w:val="zh-CN"/>
        </w:rPr>
      </w:pPr>
      <w:r>
        <w:rPr>
          <w:rFonts w:hint="eastAsia" w:ascii="仿宋" w:hAnsi="仿宋" w:cs="仿宋"/>
          <w:kern w:val="0"/>
          <w:lang w:val="zh-CN"/>
        </w:rPr>
        <w:t>四、不为项目有关人员及部门出国（境）、旅游等提供方便；</w:t>
      </w:r>
    </w:p>
    <w:p>
      <w:pPr>
        <w:ind w:firstLine="480"/>
        <w:rPr>
          <w:rFonts w:ascii="仿宋" w:hAnsi="仿宋" w:cs="仿宋"/>
          <w:kern w:val="0"/>
          <w:lang w:val="zh-CN"/>
        </w:rPr>
      </w:pPr>
      <w:r>
        <w:rPr>
          <w:rFonts w:hint="eastAsia" w:ascii="仿宋" w:hAnsi="仿宋" w:cs="仿宋"/>
          <w:lang w:val="zh-CN"/>
        </w:rPr>
        <w:t>五、不为项目有关人员个人装修住房、婚丧嫁娶、配偶子女工作安排等提供</w:t>
      </w:r>
      <w:r>
        <w:rPr>
          <w:rFonts w:hint="eastAsia" w:ascii="仿宋" w:hAnsi="仿宋" w:cs="仿宋"/>
          <w:kern w:val="0"/>
          <w:lang w:val="zh-CN"/>
        </w:rPr>
        <w:t>好处；</w:t>
      </w:r>
    </w:p>
    <w:p>
      <w:pPr>
        <w:ind w:firstLine="480"/>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kern w:val="0"/>
        </w:rPr>
        <w:t>实施条例</w:t>
      </w:r>
      <w:r>
        <w:rPr>
          <w:rFonts w:hint="eastAsia" w:ascii="仿宋" w:hAnsi="仿宋" w:cs="仿宋"/>
          <w:kern w:val="0"/>
          <w:lang w:val="zh-CN"/>
        </w:rPr>
        <w:t>》</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autoSpaceDE w:val="0"/>
        <w:autoSpaceDN w:val="0"/>
        <w:ind w:firstLine="480"/>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有权立即取消我单位响应、成交或在建项目的建设资格，有权拒绝我单位在一定时期内进入你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进行项目建设或其他经营活动，并通报市财政局。由此引起的相应损失均由我单位承担。</w:t>
      </w:r>
    </w:p>
    <w:p>
      <w:pPr>
        <w:autoSpaceDE w:val="0"/>
        <w:autoSpaceDN w:val="0"/>
        <w:ind w:left="2" w:firstLine="480"/>
        <w:rPr>
          <w:rFonts w:ascii="仿宋" w:hAnsi="仿宋" w:cs="仿宋"/>
          <w:kern w:val="0"/>
          <w:lang w:val="zh-CN"/>
        </w:rPr>
      </w:pPr>
    </w:p>
    <w:p>
      <w:pPr>
        <w:autoSpaceDE w:val="0"/>
        <w:autoSpaceDN w:val="0"/>
        <w:ind w:left="2" w:firstLine="480"/>
        <w:rPr>
          <w:rFonts w:ascii="仿宋" w:hAnsi="仿宋" w:cs="仿宋"/>
          <w:kern w:val="0"/>
          <w:lang w:val="zh-CN"/>
        </w:rPr>
      </w:pPr>
    </w:p>
    <w:p>
      <w:pPr>
        <w:autoSpaceDE w:val="0"/>
        <w:autoSpaceDN w:val="0"/>
        <w:ind w:left="2" w:firstLine="480"/>
        <w:rPr>
          <w:rFonts w:ascii="仿宋" w:hAnsi="仿宋" w:cs="仿宋"/>
          <w:kern w:val="0"/>
          <w:lang w:val="zh-CN"/>
        </w:rPr>
      </w:pPr>
    </w:p>
    <w:p>
      <w:pPr>
        <w:autoSpaceDE w:val="0"/>
        <w:autoSpaceDN w:val="0"/>
        <w:ind w:left="2" w:leftChars="1" w:right="1120" w:firstLine="4560" w:firstLineChars="1900"/>
        <w:rPr>
          <w:rFonts w:ascii="仿宋" w:hAnsi="仿宋" w:cs="仿宋"/>
          <w:kern w:val="0"/>
          <w:lang w:val="zh-CN"/>
        </w:rPr>
      </w:pPr>
      <w:r>
        <w:rPr>
          <w:rFonts w:hint="eastAsia" w:ascii="仿宋" w:hAnsi="仿宋" w:cs="仿宋"/>
          <w:kern w:val="0"/>
          <w:lang w:val="zh-CN"/>
        </w:rPr>
        <w:t>供应商名称（</w:t>
      </w:r>
      <w:r>
        <w:rPr>
          <w:rFonts w:hint="eastAsia" w:ascii="仿宋" w:hAnsi="仿宋" w:cs="仿宋"/>
        </w:rPr>
        <w:t>电子签名</w:t>
      </w:r>
      <w:r>
        <w:rPr>
          <w:rFonts w:hint="eastAsia" w:ascii="仿宋" w:hAnsi="仿宋" w:cs="仿宋"/>
          <w:kern w:val="0"/>
          <w:lang w:val="zh-CN"/>
        </w:rPr>
        <w:t>）：</w:t>
      </w:r>
    </w:p>
    <w:p>
      <w:pPr>
        <w:ind w:left="5280" w:leftChars="2200" w:firstLine="480"/>
        <w:jc w:val="right"/>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pPr>
        <w:jc w:val="center"/>
        <w:rPr>
          <w:rFonts w:ascii="仿宋" w:hAnsi="仿宋" w:cs="仿宋"/>
          <w:b/>
          <w:bCs/>
        </w:rPr>
      </w:pPr>
    </w:p>
    <w:p>
      <w:pPr>
        <w:jc w:val="center"/>
        <w:rPr>
          <w:rFonts w:ascii="仿宋" w:hAnsi="仿宋" w:cs="仿宋"/>
          <w:b/>
          <w:bCs/>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5"/>
      </w:pPr>
      <w:bookmarkStart w:id="419" w:name="_Toc15459"/>
      <w:r>
        <w:rPr>
          <w:rFonts w:hint="eastAsia"/>
        </w:rPr>
        <w:t>报价文件部分</w:t>
      </w:r>
      <w:bookmarkEnd w:id="419"/>
    </w:p>
    <w:p>
      <w:pPr>
        <w:pStyle w:val="9"/>
        <w:spacing w:before="120" w:after="240"/>
        <w:rPr>
          <w:rFonts w:ascii="仿宋" w:hAnsi="仿宋" w:cs="仿宋"/>
        </w:rPr>
      </w:pPr>
      <w:r>
        <w:rPr>
          <w:rFonts w:hint="eastAsia" w:ascii="仿宋" w:hAnsi="仿宋" w:cs="仿宋"/>
        </w:rPr>
        <w:t>目录</w:t>
      </w:r>
    </w:p>
    <w:p>
      <w:pPr>
        <w:ind w:firstLine="480"/>
        <w:rPr>
          <w:rFonts w:ascii="仿宋" w:hAnsi="仿宋" w:cs="仿宋"/>
        </w:rPr>
      </w:pPr>
    </w:p>
    <w:p>
      <w:pPr>
        <w:ind w:firstLine="480"/>
        <w:rPr>
          <w:rFonts w:ascii="仿宋" w:hAnsi="仿宋" w:cs="仿宋"/>
        </w:rPr>
      </w:pPr>
      <w:r>
        <w:rPr>
          <w:rFonts w:hint="eastAsia" w:ascii="仿宋" w:hAnsi="仿宋" w:cs="仿宋"/>
        </w:rPr>
        <w:t>（1）初次报价表…………………………………………………………………（页码）</w:t>
      </w:r>
    </w:p>
    <w:p>
      <w:pPr>
        <w:ind w:firstLine="480"/>
        <w:rPr>
          <w:rFonts w:ascii="仿宋" w:hAnsi="仿宋" w:cs="仿宋"/>
        </w:rPr>
      </w:pPr>
      <w:r>
        <w:rPr>
          <w:rFonts w:hint="eastAsia" w:ascii="仿宋" w:hAnsi="仿宋" w:cs="仿宋"/>
        </w:rPr>
        <w:t>（2）中小企业声明函……………………………………………………………（页码）</w:t>
      </w:r>
    </w:p>
    <w:p>
      <w:pPr>
        <w:ind w:firstLine="480"/>
        <w:rPr>
          <w:rFonts w:ascii="仿宋" w:hAnsi="仿宋" w:cs="仿宋"/>
        </w:rPr>
      </w:pPr>
    </w:p>
    <w:p>
      <w:pPr>
        <w:snapToGrid w:val="0"/>
        <w:ind w:right="480" w:firstLine="643"/>
        <w:jc w:val="center"/>
        <w:rPr>
          <w:rFonts w:ascii="仿宋" w:hAnsi="仿宋" w:cs="仿宋"/>
          <w:b/>
          <w:kern w:val="0"/>
          <w:sz w:val="32"/>
          <w:szCs w:val="32"/>
        </w:rPr>
      </w:pPr>
    </w:p>
    <w:p>
      <w:pPr>
        <w:snapToGrid w:val="0"/>
        <w:ind w:right="480" w:firstLine="643"/>
        <w:jc w:val="center"/>
        <w:rPr>
          <w:rFonts w:ascii="仿宋" w:hAnsi="仿宋" w:cs="仿宋"/>
          <w:b/>
          <w:kern w:val="0"/>
          <w:sz w:val="32"/>
          <w:szCs w:val="32"/>
        </w:rPr>
      </w:pPr>
    </w:p>
    <w:p>
      <w:pPr>
        <w:snapToGrid w:val="0"/>
        <w:ind w:right="480" w:firstLine="643"/>
        <w:jc w:val="center"/>
        <w:rPr>
          <w:rFonts w:ascii="仿宋" w:hAnsi="仿宋" w:cs="仿宋"/>
          <w:b/>
          <w:kern w:val="0"/>
          <w:sz w:val="32"/>
          <w:szCs w:val="32"/>
        </w:rPr>
      </w:pPr>
    </w:p>
    <w:p>
      <w:pPr>
        <w:snapToGrid w:val="0"/>
        <w:ind w:right="480" w:firstLine="643"/>
        <w:jc w:val="center"/>
        <w:rPr>
          <w:rFonts w:ascii="仿宋" w:hAnsi="仿宋" w:cs="仿宋"/>
          <w:b/>
          <w:kern w:val="0"/>
          <w:sz w:val="32"/>
          <w:szCs w:val="32"/>
        </w:rPr>
      </w:pPr>
    </w:p>
    <w:p>
      <w:pPr>
        <w:snapToGrid w:val="0"/>
        <w:ind w:right="480" w:firstLine="643"/>
        <w:jc w:val="center"/>
        <w:rPr>
          <w:rFonts w:ascii="仿宋" w:hAnsi="仿宋" w:cs="仿宋"/>
          <w:b/>
          <w:kern w:val="0"/>
          <w:sz w:val="32"/>
          <w:szCs w:val="32"/>
        </w:rPr>
      </w:pPr>
    </w:p>
    <w:p>
      <w:pPr>
        <w:snapToGrid w:val="0"/>
        <w:ind w:right="480" w:firstLine="643"/>
        <w:jc w:val="center"/>
        <w:rPr>
          <w:rFonts w:ascii="仿宋" w:hAnsi="仿宋" w:cs="仿宋"/>
          <w:b/>
          <w:kern w:val="0"/>
          <w:sz w:val="32"/>
          <w:szCs w:val="32"/>
        </w:rPr>
      </w:pPr>
    </w:p>
    <w:p>
      <w:pPr>
        <w:snapToGrid w:val="0"/>
        <w:ind w:right="480" w:firstLine="643"/>
        <w:jc w:val="center"/>
        <w:rPr>
          <w:rFonts w:ascii="仿宋" w:hAnsi="仿宋" w:cs="仿宋"/>
          <w:b/>
          <w:kern w:val="0"/>
          <w:sz w:val="32"/>
          <w:szCs w:val="32"/>
        </w:rPr>
      </w:pPr>
    </w:p>
    <w:p>
      <w:pPr>
        <w:snapToGrid w:val="0"/>
        <w:ind w:right="480" w:firstLine="643"/>
        <w:jc w:val="center"/>
        <w:rPr>
          <w:rFonts w:ascii="仿宋" w:hAnsi="仿宋" w:cs="仿宋"/>
          <w:b/>
          <w:kern w:val="0"/>
          <w:sz w:val="32"/>
          <w:szCs w:val="32"/>
        </w:rPr>
      </w:pPr>
    </w:p>
    <w:p>
      <w:pPr>
        <w:snapToGrid w:val="0"/>
        <w:ind w:right="480" w:firstLine="643"/>
        <w:jc w:val="center"/>
        <w:rPr>
          <w:rFonts w:ascii="仿宋" w:hAnsi="仿宋" w:cs="仿宋"/>
          <w:b/>
          <w:kern w:val="0"/>
          <w:sz w:val="32"/>
          <w:szCs w:val="32"/>
        </w:rPr>
      </w:pPr>
    </w:p>
    <w:p>
      <w:pPr>
        <w:snapToGrid w:val="0"/>
        <w:ind w:right="480" w:firstLine="643"/>
        <w:jc w:val="center"/>
        <w:rPr>
          <w:rFonts w:ascii="仿宋" w:hAnsi="仿宋" w:cs="仿宋"/>
          <w:b/>
          <w:kern w:val="0"/>
          <w:sz w:val="32"/>
          <w:szCs w:val="32"/>
        </w:rPr>
      </w:pPr>
    </w:p>
    <w:p>
      <w:pPr>
        <w:snapToGrid w:val="0"/>
        <w:ind w:right="480" w:firstLine="643"/>
        <w:jc w:val="center"/>
        <w:rPr>
          <w:rFonts w:ascii="仿宋" w:hAnsi="仿宋" w:cs="仿宋"/>
          <w:b/>
          <w:kern w:val="0"/>
          <w:sz w:val="32"/>
          <w:szCs w:val="32"/>
        </w:rPr>
      </w:pPr>
    </w:p>
    <w:p>
      <w:pPr>
        <w:snapToGrid w:val="0"/>
        <w:ind w:right="480" w:firstLine="643"/>
        <w:jc w:val="center"/>
        <w:rPr>
          <w:rFonts w:ascii="仿宋" w:hAnsi="仿宋" w:cs="仿宋"/>
          <w:b/>
          <w:kern w:val="0"/>
          <w:sz w:val="32"/>
          <w:szCs w:val="32"/>
        </w:rPr>
      </w:pPr>
    </w:p>
    <w:p>
      <w:pPr>
        <w:snapToGrid w:val="0"/>
        <w:ind w:right="480" w:firstLine="643"/>
        <w:jc w:val="center"/>
        <w:rPr>
          <w:rFonts w:ascii="仿宋" w:hAnsi="仿宋" w:cs="仿宋"/>
          <w:b/>
          <w:kern w:val="0"/>
          <w:sz w:val="32"/>
          <w:szCs w:val="32"/>
        </w:rPr>
      </w:pPr>
    </w:p>
    <w:p>
      <w:pPr>
        <w:snapToGrid w:val="0"/>
        <w:ind w:right="480" w:firstLine="643"/>
        <w:jc w:val="center"/>
        <w:rPr>
          <w:rFonts w:ascii="仿宋" w:hAnsi="仿宋" w:cs="仿宋"/>
          <w:b/>
          <w:kern w:val="0"/>
          <w:sz w:val="32"/>
          <w:szCs w:val="32"/>
        </w:rPr>
      </w:pPr>
    </w:p>
    <w:p>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9"/>
        <w:spacing w:before="120" w:after="240"/>
        <w:ind w:left="1151" w:hanging="1151"/>
      </w:pPr>
      <w:r>
        <w:rPr>
          <w:rFonts w:hint="eastAsia"/>
        </w:rPr>
        <w:t>一、初次报价表</w:t>
      </w:r>
    </w:p>
    <w:p>
      <w:pPr>
        <w:snapToGrid w:val="0"/>
        <w:spacing w:before="50" w:after="50"/>
        <w:ind w:firstLine="240" w:firstLineChars="100"/>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pPr>
        <w:snapToGrid w:val="0"/>
        <w:spacing w:before="50" w:after="50"/>
        <w:ind w:firstLine="240" w:firstLineChars="100"/>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p>
    <w:tbl>
      <w:tblPr>
        <w:tblStyle w:val="66"/>
        <w:tblW w:w="4998" w:type="pct"/>
        <w:tblInd w:w="0" w:type="dxa"/>
        <w:tblLayout w:type="fixed"/>
        <w:tblCellMar>
          <w:top w:w="0" w:type="dxa"/>
          <w:left w:w="108" w:type="dxa"/>
          <w:bottom w:w="0" w:type="dxa"/>
          <w:right w:w="108" w:type="dxa"/>
        </w:tblCellMar>
      </w:tblPr>
      <w:tblGrid>
        <w:gridCol w:w="3607"/>
        <w:gridCol w:w="1664"/>
        <w:gridCol w:w="1041"/>
        <w:gridCol w:w="846"/>
        <w:gridCol w:w="839"/>
        <w:gridCol w:w="4"/>
        <w:gridCol w:w="1277"/>
        <w:gridCol w:w="2"/>
        <w:gridCol w:w="2"/>
        <w:gridCol w:w="1"/>
      </w:tblGrid>
      <w:tr>
        <w:tblPrEx>
          <w:tblCellMar>
            <w:top w:w="0" w:type="dxa"/>
            <w:left w:w="108" w:type="dxa"/>
            <w:bottom w:w="0" w:type="dxa"/>
            <w:right w:w="108" w:type="dxa"/>
          </w:tblCellMar>
        </w:tblPrEx>
        <w:trPr>
          <w:gridAfter w:val="3"/>
          <w:wAfter w:w="2" w:type="pct"/>
          <w:trHeight w:val="283"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名称</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lang w:val="en-US" w:eastAsia="zh-CN"/>
              </w:rPr>
              <w:t>产地/</w:t>
            </w:r>
            <w:r>
              <w:rPr>
                <w:rFonts w:hint="eastAsia"/>
              </w:rPr>
              <w:t>品牌</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单位</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数量</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仿宋"/>
                <w:lang w:val="en-US" w:eastAsia="zh-CN"/>
              </w:rPr>
            </w:pPr>
            <w:r>
              <w:rPr>
                <w:rFonts w:hint="eastAsia"/>
                <w:lang w:val="en-US" w:eastAsia="zh-CN"/>
              </w:rPr>
              <w:t>单价</w:t>
            </w:r>
          </w:p>
        </w:tc>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仿宋"/>
                <w:lang w:val="en-US" w:eastAsia="zh-CN"/>
              </w:rPr>
            </w:pPr>
            <w:r>
              <w:rPr>
                <w:rFonts w:hint="eastAsia"/>
                <w:lang w:val="en-US" w:eastAsia="zh-CN"/>
              </w:rPr>
              <w:t>金额</w:t>
            </w:r>
          </w:p>
        </w:tc>
      </w:tr>
      <w:tr>
        <w:tblPrEx>
          <w:tblCellMar>
            <w:top w:w="0" w:type="dxa"/>
            <w:left w:w="108" w:type="dxa"/>
            <w:bottom w:w="0" w:type="dxa"/>
            <w:right w:w="108" w:type="dxa"/>
          </w:tblCellMar>
        </w:tblPrEx>
        <w:trPr>
          <w:gridAfter w:val="3"/>
          <w:wAfter w:w="2" w:type="pct"/>
          <w:trHeight w:val="300" w:hRule="atLeast"/>
        </w:trPr>
        <w:tc>
          <w:tcPr>
            <w:tcW w:w="43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rPr>
            </w:pPr>
            <w:r>
              <w:rPr>
                <w:rFonts w:hint="eastAsia"/>
              </w:rPr>
              <w:t>指挥中心</w:t>
            </w:r>
            <w:r>
              <w:rPr>
                <w:rFonts w:hint="eastAsia"/>
                <w:lang w:val="en-US" w:eastAsia="zh-CN"/>
              </w:rPr>
              <w:t>-</w:t>
            </w:r>
            <w:r>
              <w:rPr>
                <w:rFonts w:hint="eastAsia" w:ascii="仿宋" w:hAnsi="仿宋" w:cs="仿宋"/>
              </w:rPr>
              <w:t>大屏系统</w:t>
            </w:r>
          </w:p>
        </w:tc>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rPr>
            </w:pPr>
          </w:p>
        </w:tc>
      </w:tr>
      <w:tr>
        <w:tblPrEx>
          <w:tblCellMar>
            <w:top w:w="0" w:type="dxa"/>
            <w:left w:w="108" w:type="dxa"/>
            <w:bottom w:w="0" w:type="dxa"/>
            <w:right w:w="108" w:type="dxa"/>
          </w:tblCellMar>
        </w:tblPrEx>
        <w:trPr>
          <w:gridAfter w:val="3"/>
          <w:wAfter w:w="2"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COB倒装小间距LED屏</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平方米</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18.27</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default" w:eastAsia="仿宋"/>
                <w:lang w:val="en-US" w:eastAsia="zh-CN"/>
              </w:rPr>
            </w:pPr>
          </w:p>
        </w:tc>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default" w:eastAsia="仿宋"/>
                <w:lang w:val="en-US" w:eastAsia="zh-CN"/>
              </w:rPr>
            </w:pPr>
          </w:p>
        </w:tc>
      </w:tr>
      <w:tr>
        <w:tblPrEx>
          <w:tblCellMar>
            <w:top w:w="0" w:type="dxa"/>
            <w:left w:w="108" w:type="dxa"/>
            <w:bottom w:w="0" w:type="dxa"/>
            <w:right w:w="108" w:type="dxa"/>
          </w:tblCellMar>
        </w:tblPrEx>
        <w:trPr>
          <w:gridAfter w:val="3"/>
          <w:wAfter w:w="2"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发送卡</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8</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3"/>
          <w:wAfter w:w="2"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控制系统软件</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3"/>
          <w:wAfter w:w="2"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LED10KW配电箱</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3"/>
          <w:wAfter w:w="2"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定制支架</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平方米</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21.23</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3"/>
          <w:wAfter w:w="2"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真空吸盘</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3"/>
          <w:wAfter w:w="2"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HDMI线缆</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3"/>
          <w:wAfter w:w="2" w:type="pct"/>
          <w:trHeight w:val="300" w:hRule="atLeast"/>
        </w:trPr>
        <w:tc>
          <w:tcPr>
            <w:tcW w:w="430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rPr>
            </w:pPr>
            <w:r>
              <w:rPr>
                <w:rFonts w:hint="eastAsia"/>
              </w:rPr>
              <w:t>指挥中心</w:t>
            </w:r>
            <w:r>
              <w:rPr>
                <w:rFonts w:hint="eastAsia"/>
                <w:lang w:val="en-US" w:eastAsia="zh-CN"/>
              </w:rPr>
              <w:t>-</w:t>
            </w:r>
            <w:r>
              <w:rPr>
                <w:rFonts w:hint="eastAsia" w:ascii="仿宋" w:hAnsi="仿宋" w:cs="仿宋"/>
              </w:rPr>
              <w:t>分布式系统</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rPr>
            </w:pPr>
          </w:p>
        </w:tc>
      </w:tr>
      <w:tr>
        <w:tblPrEx>
          <w:tblCellMar>
            <w:top w:w="0" w:type="dxa"/>
            <w:left w:w="108" w:type="dxa"/>
            <w:bottom w:w="0" w:type="dxa"/>
            <w:right w:w="108" w:type="dxa"/>
          </w:tblCellMar>
        </w:tblPrEx>
        <w:trPr>
          <w:gridAfter w:val="3"/>
          <w:wAfter w:w="2"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分布式KVM管理节点</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3"/>
          <w:wAfter w:w="2"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HDMI1.3输入节点</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3</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3"/>
          <w:wAfter w:w="2"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HDMI1.3输出节点</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10</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3"/>
          <w:wAfter w:w="2"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HDMI1.3坐席输出节点</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6</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3"/>
          <w:wAfter w:w="2"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HDMI4K输入接口（驾驶舱用）</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3</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3"/>
          <w:wAfter w:w="2" w:type="pct"/>
          <w:trHeight w:val="300" w:hRule="atLeast"/>
        </w:trPr>
        <w:tc>
          <w:tcPr>
            <w:tcW w:w="430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rPr>
            </w:pPr>
            <w:r>
              <w:rPr>
                <w:rFonts w:hint="eastAsia"/>
              </w:rPr>
              <w:t>指挥中心</w:t>
            </w:r>
            <w:r>
              <w:rPr>
                <w:rFonts w:hint="eastAsia"/>
                <w:lang w:val="en-US" w:eastAsia="zh-CN"/>
              </w:rPr>
              <w:t>-</w:t>
            </w:r>
            <w:r>
              <w:rPr>
                <w:rFonts w:hint="eastAsia" w:ascii="仿宋" w:hAnsi="仿宋" w:cs="仿宋"/>
              </w:rPr>
              <w:t>机房</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rPr>
            </w:pPr>
          </w:p>
        </w:tc>
      </w:tr>
      <w:tr>
        <w:tblPrEx>
          <w:tblCellMar>
            <w:top w:w="0" w:type="dxa"/>
            <w:left w:w="108" w:type="dxa"/>
            <w:bottom w:w="0" w:type="dxa"/>
            <w:right w:w="108" w:type="dxa"/>
          </w:tblCellMar>
        </w:tblPrEx>
        <w:trPr>
          <w:gridAfter w:val="3"/>
          <w:wAfter w:w="2" w:type="pct"/>
          <w:trHeight w:val="9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42U机柜</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2</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3"/>
          <w:wAfter w:w="2"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安全接入设备</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3"/>
          <w:wAfter w:w="2"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16口交换机</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3"/>
          <w:wAfter w:w="2"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辅材</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批</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3"/>
          <w:wAfter w:w="2" w:type="pct"/>
          <w:trHeight w:val="300" w:hRule="atLeast"/>
        </w:trPr>
        <w:tc>
          <w:tcPr>
            <w:tcW w:w="430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rPr>
            </w:pPr>
            <w:r>
              <w:rPr>
                <w:rFonts w:hint="eastAsia"/>
              </w:rPr>
              <w:t>指挥中心</w:t>
            </w:r>
            <w:r>
              <w:rPr>
                <w:rFonts w:hint="eastAsia"/>
                <w:lang w:val="en-US" w:eastAsia="zh-CN"/>
              </w:rPr>
              <w:t>-</w:t>
            </w:r>
            <w:r>
              <w:rPr>
                <w:rFonts w:hint="eastAsia" w:ascii="仿宋" w:hAnsi="仿宋" w:cs="仿宋"/>
              </w:rPr>
              <w:t>发言系统</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rPr>
            </w:pPr>
          </w:p>
        </w:tc>
      </w:tr>
      <w:tr>
        <w:tblPrEx>
          <w:tblCellMar>
            <w:top w:w="0" w:type="dxa"/>
            <w:left w:w="108" w:type="dxa"/>
            <w:bottom w:w="0" w:type="dxa"/>
            <w:right w:w="108" w:type="dxa"/>
          </w:tblCellMar>
        </w:tblPrEx>
        <w:trPr>
          <w:gridAfter w:val="3"/>
          <w:wAfter w:w="2" w:type="pct"/>
          <w:trHeight w:val="9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一拖四U段无线麦克风：（台式）</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3"/>
          <w:wAfter w:w="2"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一拖四U段无线麦克风：（手持）</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3"/>
          <w:wAfter w:w="2"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天线放大器</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3"/>
          <w:wAfter w:w="2"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天线延长线</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2</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3"/>
          <w:wAfter w:w="2"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辅材</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批</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trHeight w:val="300" w:hRule="atLeast"/>
        </w:trPr>
        <w:tc>
          <w:tcPr>
            <w:tcW w:w="430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指挥中心</w:t>
            </w:r>
            <w:r>
              <w:rPr>
                <w:rFonts w:hint="eastAsia"/>
                <w:lang w:val="en-US" w:eastAsia="zh-CN"/>
              </w:rPr>
              <w:t>-</w:t>
            </w:r>
            <w:r>
              <w:rPr>
                <w:rFonts w:hint="eastAsia" w:ascii="仿宋" w:hAnsi="仿宋" w:cs="仿宋"/>
              </w:rPr>
              <w:t>改造清单</w:t>
            </w:r>
          </w:p>
        </w:tc>
        <w:tc>
          <w:tcPr>
            <w:tcW w:w="6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p>
        </w:tc>
      </w:tr>
      <w:tr>
        <w:tblPrEx>
          <w:tblCellMar>
            <w:top w:w="0" w:type="dxa"/>
            <w:left w:w="108" w:type="dxa"/>
            <w:bottom w:w="0" w:type="dxa"/>
            <w:right w:w="108" w:type="dxa"/>
          </w:tblCellMar>
        </w:tblPrEx>
        <w:trPr>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原有墙面拆除</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24</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原有墙体拆除后增加石膏板隔墙</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24</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新增墙面</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24</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大屏背景墙周面饰面</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8</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线路布排及装修恢复</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项</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电动幕布轨道</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2</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电动幕布电机</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4</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党旗背面幕布</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155</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地面隐形地插</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4</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值班室原有墙面拆除</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18</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原有墙体拆除后增加石膏板隔墙</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4</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新增墙面</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8</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墙面周面饰面</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8</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单向透钢化玻璃</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9</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地面成品保护</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项</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1"/>
          <w:wAfter w:w="0" w:type="pct"/>
          <w:trHeight w:val="300" w:hRule="atLeast"/>
        </w:trPr>
        <w:tc>
          <w:tcPr>
            <w:tcW w:w="430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决策室</w:t>
            </w:r>
          </w:p>
        </w:tc>
        <w:tc>
          <w:tcPr>
            <w:tcW w:w="6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p>
        </w:tc>
      </w:tr>
      <w:tr>
        <w:tblPrEx>
          <w:tblCellMar>
            <w:top w:w="0" w:type="dxa"/>
            <w:left w:w="108" w:type="dxa"/>
            <w:bottom w:w="0" w:type="dxa"/>
            <w:right w:w="108" w:type="dxa"/>
          </w:tblCellMar>
        </w:tblPrEx>
        <w:trPr>
          <w:gridAfter w:val="1"/>
          <w:wAfter w:w="0"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98寸会议一体机</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1"/>
          <w:wAfter w:w="0"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HDMI线缆</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1"/>
          <w:wAfter w:w="0"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落地移动支架</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1"/>
          <w:wAfter w:w="0"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智慧无纸化会议管理主机</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1"/>
          <w:wAfter w:w="0"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无纸化服务器软件</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1"/>
          <w:wAfter w:w="0"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无纸化会议编解码器</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1"/>
          <w:wAfter w:w="0"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会议主机</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1"/>
          <w:wAfter w:w="0"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15.6寸单屏带话筒无纸化升降一体机</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13</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1"/>
          <w:wAfter w:w="0"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数字反馈抑制器</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1"/>
          <w:wAfter w:w="0"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16口千兆交换机</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1"/>
          <w:wAfter w:w="0"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会议桌开槽</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项</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13</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1"/>
          <w:wAfter w:w="0"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线阵音柱</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只</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4</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1"/>
          <w:wAfter w:w="0"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智控功率放大器</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2</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1"/>
          <w:wAfter w:w="0"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音频处理器</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1"/>
          <w:wAfter w:w="0"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调音台</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1"/>
          <w:wAfter w:w="0"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电源时序器</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1"/>
          <w:wAfter w:w="0"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铺材</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批</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1"/>
          <w:wAfter w:w="0"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线路布排及装修恢复</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项</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2"/>
          <w:wAfter w:w="1" w:type="pct"/>
          <w:trHeight w:val="300" w:hRule="atLeast"/>
        </w:trPr>
        <w:tc>
          <w:tcPr>
            <w:tcW w:w="430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r>
              <w:rPr>
                <w:rFonts w:hint="eastAsia"/>
              </w:rPr>
              <w:t>值班室</w:t>
            </w: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pPr>
          </w:p>
        </w:tc>
      </w:tr>
      <w:tr>
        <w:tblPrEx>
          <w:tblCellMar>
            <w:top w:w="0" w:type="dxa"/>
            <w:left w:w="108" w:type="dxa"/>
            <w:bottom w:w="0" w:type="dxa"/>
            <w:right w:w="108" w:type="dxa"/>
          </w:tblCellMar>
        </w:tblPrEx>
        <w:trPr>
          <w:gridAfter w:val="2"/>
          <w:wAfter w:w="1"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98寸监视器</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2"/>
          <w:wAfter w:w="1"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HDMI线缆</w:t>
            </w:r>
          </w:p>
        </w:tc>
        <w:tc>
          <w:tcPr>
            <w:tcW w:w="896"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2"/>
          <w:wAfter w:w="1"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壁装支架</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2"/>
          <w:wAfter w:w="1"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人脸识别门禁主机</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2"/>
          <w:wAfter w:w="1"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出门按钮</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2"/>
          <w:wAfter w:w="1"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单门磁力锁</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2"/>
          <w:wAfter w:w="1"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闭门器</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2"/>
          <w:wAfter w:w="1"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门禁电源</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2"/>
          <w:wAfter w:w="1"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地面隐形地插</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5</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2"/>
          <w:wAfter w:w="1"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高清网络摄像机</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2"/>
          <w:wAfter w:w="1"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摄像机电源</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2"/>
          <w:wAfter w:w="1"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硬盘录像机</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2"/>
          <w:wAfter w:w="1"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4T硬盘</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2"/>
          <w:wAfter w:w="1"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线路布排及装修恢复</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项</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2"/>
          <w:wAfter w:w="1"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地毯</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34</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2"/>
          <w:wAfter w:w="1"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操作台1</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张</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2</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2"/>
          <w:wAfter w:w="1"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操作台2</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张</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2"/>
          <w:wAfter w:w="1"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办公椅</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张</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5</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2"/>
          <w:wAfter w:w="1"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监听音响</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2"/>
          <w:wAfter w:w="1"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42U机柜</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2"/>
          <w:wAfter w:w="1"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辅材</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批</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1"/>
          <w:wAfter w:w="0" w:type="pct"/>
          <w:trHeight w:val="300" w:hRule="atLeast"/>
        </w:trPr>
        <w:tc>
          <w:tcPr>
            <w:tcW w:w="430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lang w:val="zh-CN"/>
              </w:rPr>
            </w:pPr>
            <w:r>
              <w:rPr>
                <w:rFonts w:hint="eastAsia"/>
                <w:highlight w:val="none"/>
              </w:rPr>
              <w:t>系统对接和接入链路</w:t>
            </w:r>
          </w:p>
        </w:tc>
        <w:tc>
          <w:tcPr>
            <w:tcW w:w="6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lang w:val="zh-CN"/>
              </w:rPr>
            </w:pPr>
          </w:p>
        </w:tc>
      </w:tr>
      <w:tr>
        <w:tblPrEx>
          <w:tblCellMar>
            <w:top w:w="0" w:type="dxa"/>
            <w:left w:w="108" w:type="dxa"/>
            <w:bottom w:w="0" w:type="dxa"/>
            <w:right w:w="108" w:type="dxa"/>
          </w:tblCellMar>
        </w:tblPrEx>
        <w:trPr>
          <w:gridAfter w:val="1"/>
          <w:wAfter w:w="0"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系统迁移和对接</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批</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1"/>
          <w:wAfter w:w="0" w:type="pct"/>
          <w:trHeight w:val="300" w:hRule="atLeast"/>
        </w:trPr>
        <w:tc>
          <w:tcPr>
            <w:tcW w:w="1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互联网链路</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年</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pPr>
            <w:r>
              <w:rPr>
                <w:rFonts w:hint="eastAsia"/>
              </w:rPr>
              <w:t>3</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c>
          <w:tcPr>
            <w:tcW w:w="6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r>
        <w:tblPrEx>
          <w:tblCellMar>
            <w:top w:w="0" w:type="dxa"/>
            <w:left w:w="108" w:type="dxa"/>
            <w:bottom w:w="0" w:type="dxa"/>
            <w:right w:w="108" w:type="dxa"/>
          </w:tblCellMar>
        </w:tblPrEx>
        <w:trPr>
          <w:gridAfter w:val="1"/>
          <w:wAfter w:w="0" w:type="pct"/>
          <w:trHeight w:val="300" w:hRule="atLeast"/>
        </w:trPr>
        <w:tc>
          <w:tcPr>
            <w:tcW w:w="430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仿宋"/>
                <w:lang w:val="en-US" w:eastAsia="zh-CN"/>
              </w:rPr>
            </w:pPr>
            <w:r>
              <w:rPr>
                <w:rFonts w:hint="eastAsia"/>
                <w:lang w:val="en-US" w:eastAsia="zh-CN"/>
              </w:rPr>
              <w:t>初次报价合计</w:t>
            </w:r>
          </w:p>
        </w:tc>
        <w:tc>
          <w:tcPr>
            <w:tcW w:w="6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rPr>
            </w:pPr>
          </w:p>
        </w:tc>
      </w:tr>
    </w:tbl>
    <w:p>
      <w:pPr>
        <w:snapToGrid w:val="0"/>
        <w:spacing w:before="50" w:after="50"/>
        <w:ind w:firstLine="480"/>
        <w:rPr>
          <w:rFonts w:ascii="宋体" w:hAnsi="宋体" w:cs="宋体"/>
          <w:szCs w:val="21"/>
        </w:rPr>
      </w:pPr>
      <w:r>
        <w:rPr>
          <w:rFonts w:hint="eastAsia" w:ascii="宋体" w:hAnsi="宋体" w:cs="宋体"/>
          <w:szCs w:val="21"/>
        </w:rPr>
        <w:t>注: 报价一经涂改，应在涂改处加盖单位公章或者由法定代表人或授权委托人签字或盖章，否则其报作无效处理。</w:t>
      </w:r>
    </w:p>
    <w:p>
      <w:pPr>
        <w:autoSpaceDE w:val="0"/>
        <w:autoSpaceDN w:val="0"/>
        <w:ind w:left="2" w:leftChars="1" w:right="1120" w:firstLine="4560" w:firstLineChars="1900"/>
        <w:rPr>
          <w:rFonts w:ascii="仿宋" w:hAnsi="仿宋" w:cs="仿宋"/>
          <w:kern w:val="0"/>
          <w:lang w:val="zh-CN"/>
        </w:rPr>
      </w:pPr>
      <w:r>
        <w:rPr>
          <w:rFonts w:hint="eastAsia" w:ascii="仿宋" w:hAnsi="仿宋" w:cs="仿宋"/>
          <w:kern w:val="0"/>
          <w:lang w:val="zh-CN"/>
        </w:rPr>
        <w:t>供应商名称（</w:t>
      </w:r>
      <w:r>
        <w:rPr>
          <w:rFonts w:hint="eastAsia" w:ascii="仿宋" w:hAnsi="仿宋" w:cs="仿宋"/>
        </w:rPr>
        <w:t>电子签名</w:t>
      </w:r>
      <w:r>
        <w:rPr>
          <w:rFonts w:hint="eastAsia" w:ascii="仿宋" w:hAnsi="仿宋" w:cs="仿宋"/>
          <w:kern w:val="0"/>
          <w:lang w:val="zh-CN"/>
        </w:rPr>
        <w:t>）：</w:t>
      </w:r>
    </w:p>
    <w:p>
      <w:pPr>
        <w:ind w:left="5280" w:leftChars="2200" w:firstLine="480"/>
        <w:jc w:val="right"/>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pPr>
        <w:ind w:firstLine="667"/>
        <w:rPr>
          <w:rFonts w:ascii="仿宋" w:hAnsi="仿宋" w:cs="仿宋"/>
          <w:b/>
          <w:spacing w:val="6"/>
          <w:sz w:val="32"/>
          <w:szCs w:val="32"/>
        </w:rPr>
      </w:pPr>
    </w:p>
    <w:p>
      <w:pPr>
        <w:ind w:firstLine="640"/>
        <w:rPr>
          <w:sz w:val="32"/>
          <w:szCs w:val="32"/>
        </w:rPr>
      </w:pPr>
      <w:r>
        <w:rPr>
          <w:rFonts w:hint="eastAsia"/>
          <w:sz w:val="32"/>
          <w:szCs w:val="32"/>
        </w:rPr>
        <w:br w:type="page"/>
      </w:r>
    </w:p>
    <w:p>
      <w:pPr>
        <w:pStyle w:val="9"/>
        <w:spacing w:before="120" w:after="240"/>
      </w:pPr>
      <w:r>
        <w:rPr>
          <w:rFonts w:hint="eastAsia"/>
          <w:szCs w:val="32"/>
        </w:rPr>
        <w:t>二、</w:t>
      </w:r>
      <w:r>
        <w:rPr>
          <w:rFonts w:hint="eastAsia"/>
        </w:rPr>
        <w:t>中小企业声明函</w:t>
      </w:r>
    </w:p>
    <w:p>
      <w:pPr>
        <w:pStyle w:val="9"/>
        <w:spacing w:before="120" w:after="240"/>
        <w:ind w:left="1151" w:hanging="1151"/>
      </w:pPr>
      <w:r>
        <w:rPr>
          <w:rFonts w:hint="eastAsia"/>
        </w:rPr>
        <w:t>中小企业声明函</w:t>
      </w:r>
    </w:p>
    <w:p>
      <w:pPr>
        <w:ind w:firstLine="360" w:firstLineChars="150"/>
        <w:rPr>
          <w:rFonts w:ascii="仿宋" w:hAnsi="仿宋" w:cs="仿宋"/>
        </w:rPr>
      </w:pPr>
      <w:r>
        <w:rPr>
          <w:rFonts w:hint="eastAsia" w:ascii="仿宋" w:hAnsi="仿宋" w:cs="仿宋"/>
        </w:rPr>
        <w:t>本公司郑重声明，根据《政府采购促进中小企业发展管理办法》（财库﹝2020﹞46号）的规定，本公司参加</w:t>
      </w:r>
      <w:r>
        <w:rPr>
          <w:rFonts w:hint="eastAsia" w:ascii="仿宋" w:hAnsi="仿宋" w:cs="仿宋"/>
          <w:u w:val="single"/>
        </w:rPr>
        <w:t>（单位名称）</w:t>
      </w:r>
      <w:r>
        <w:rPr>
          <w:rFonts w:hint="eastAsia" w:ascii="仿宋" w:hAnsi="仿宋" w:cs="仿宋"/>
        </w:rPr>
        <w:t>的</w:t>
      </w:r>
      <w:r>
        <w:rPr>
          <w:rFonts w:hint="eastAsia" w:ascii="仿宋" w:hAnsi="仿宋" w:cs="仿宋"/>
          <w:u w:val="single"/>
        </w:rPr>
        <w:t>（项目名称）</w:t>
      </w:r>
      <w:r>
        <w:rPr>
          <w:rFonts w:hint="eastAsia" w:ascii="仿宋" w:hAnsi="仿宋" w:cs="仿宋"/>
        </w:rPr>
        <w:t>采购活动，服务全部由符合政策要求的中小企业承接。相关企业的具体情况如下：</w:t>
      </w:r>
    </w:p>
    <w:p>
      <w:pPr>
        <w:ind w:firstLine="480"/>
        <w:rPr>
          <w:rFonts w:ascii="仿宋" w:hAnsi="仿宋" w:cs="仿宋"/>
        </w:rPr>
      </w:pPr>
      <w:r>
        <w:rPr>
          <w:rFonts w:hint="eastAsia" w:ascii="仿宋" w:hAnsi="仿宋" w:cs="仿宋"/>
        </w:rPr>
        <w:t>1.</w:t>
      </w:r>
      <w:r>
        <w:rPr>
          <w:rFonts w:hint="eastAsia" w:ascii="仿宋" w:hAnsi="仿宋" w:cs="仿宋"/>
          <w:u w:val="single"/>
        </w:rPr>
        <w:t>（标的名称）</w:t>
      </w:r>
      <w:r>
        <w:rPr>
          <w:rFonts w:hint="eastAsia" w:ascii="仿宋" w:hAnsi="仿宋" w:cs="仿宋"/>
        </w:rPr>
        <w:t>，属于</w:t>
      </w:r>
      <w:r>
        <w:rPr>
          <w:rFonts w:hint="eastAsia" w:ascii="仿宋" w:hAnsi="仿宋" w:cs="仿宋"/>
          <w:u w:val="single"/>
        </w:rPr>
        <w:t>（采购文件中明确的所属行业）</w:t>
      </w:r>
      <w:r>
        <w:rPr>
          <w:rFonts w:hint="eastAsia" w:ascii="仿宋" w:hAnsi="仿宋" w:cs="仿宋"/>
        </w:rPr>
        <w:t>；承建（承接）企业为</w:t>
      </w:r>
      <w:r>
        <w:rPr>
          <w:rFonts w:hint="eastAsia" w:ascii="仿宋" w:hAnsi="仿宋" w:cs="仿宋"/>
          <w:u w:val="single"/>
        </w:rPr>
        <w:t>（企业名称）</w:t>
      </w:r>
      <w:r>
        <w:rPr>
          <w:rFonts w:hint="eastAsia" w:ascii="仿宋" w:hAnsi="仿宋" w:cs="仿宋"/>
        </w:rPr>
        <w:t>，从业人员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u w:val="single"/>
        </w:rPr>
        <w:t>（中型企业、小型企业、微型企业）</w:t>
      </w:r>
      <w:r>
        <w:rPr>
          <w:rFonts w:hint="eastAsia" w:ascii="仿宋" w:hAnsi="仿宋" w:cs="仿宋"/>
        </w:rPr>
        <w:t>；</w:t>
      </w:r>
    </w:p>
    <w:p>
      <w:pPr>
        <w:ind w:firstLine="48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ind w:firstLine="480"/>
        <w:rPr>
          <w:rFonts w:ascii="仿宋" w:hAnsi="仿宋" w:cs="仿宋"/>
        </w:rPr>
      </w:pPr>
      <w:r>
        <w:rPr>
          <w:rFonts w:hint="eastAsia" w:ascii="仿宋" w:hAnsi="仿宋" w:cs="仿宋"/>
        </w:rPr>
        <w:t>本企业对上述声明内容的真实性负责。如有虚假，将依法承担相应责任。</w:t>
      </w:r>
    </w:p>
    <w:p>
      <w:pPr>
        <w:ind w:right="1760" w:firstLine="480"/>
        <w:jc w:val="right"/>
        <w:rPr>
          <w:rFonts w:ascii="仿宋" w:hAnsi="仿宋" w:cs="仿宋"/>
        </w:rPr>
      </w:pPr>
      <w:r>
        <w:rPr>
          <w:rFonts w:hint="eastAsia" w:ascii="仿宋" w:hAnsi="仿宋" w:cs="仿宋"/>
        </w:rPr>
        <w:t>供应商名称（电子签名）：</w:t>
      </w:r>
    </w:p>
    <w:p>
      <w:pPr>
        <w:ind w:right="1120" w:firstLine="4680" w:firstLineChars="1950"/>
        <w:rPr>
          <w:rFonts w:ascii="仿宋" w:hAnsi="仿宋" w:cs="仿宋"/>
        </w:rPr>
      </w:pPr>
      <w:r>
        <w:rPr>
          <w:rFonts w:hint="eastAsia" w:ascii="仿宋" w:hAnsi="仿宋" w:cs="仿宋"/>
        </w:rPr>
        <w:t>日期：</w:t>
      </w:r>
    </w:p>
    <w:p>
      <w:pPr>
        <w:ind w:firstLine="354" w:firstLineChars="147"/>
        <w:rPr>
          <w:rFonts w:ascii="仿宋" w:hAnsi="仿宋" w:cs="仿宋"/>
          <w:b/>
          <w:szCs w:val="21"/>
        </w:rPr>
      </w:pPr>
    </w:p>
    <w:p>
      <w:pPr>
        <w:ind w:firstLine="354" w:firstLineChars="147"/>
        <w:rPr>
          <w:rFonts w:ascii="仿宋" w:hAnsi="仿宋" w:cs="仿宋"/>
          <w:b/>
          <w:szCs w:val="21"/>
        </w:rPr>
      </w:pPr>
      <w:r>
        <w:rPr>
          <w:rFonts w:hint="eastAsia" w:ascii="仿宋" w:hAnsi="仿宋" w:cs="仿宋"/>
          <w:b/>
          <w:szCs w:val="21"/>
        </w:rPr>
        <w:t>从业人员、营业收入、资产总额填报上一年度数据，无上一年度数据的新成立企业可不填报。</w:t>
      </w:r>
    </w:p>
    <w:p>
      <w:pPr>
        <w:ind w:right="420" w:firstLine="480"/>
        <w:rPr>
          <w:rFonts w:ascii="仿宋" w:hAnsi="仿宋" w:cs="仿宋"/>
        </w:rPr>
      </w:pPr>
    </w:p>
    <w:p>
      <w:pPr>
        <w:widowControl/>
        <w:ind w:firstLine="480"/>
        <w:rPr>
          <w:rFonts w:ascii="仿宋" w:hAnsi="仿宋" w:cs="仿宋"/>
          <w:kern w:val="0"/>
        </w:rPr>
      </w:pPr>
      <w:r>
        <w:rPr>
          <w:rFonts w:hint="eastAsia" w:ascii="仿宋" w:hAnsi="仿宋" w:cs="仿宋"/>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ind w:right="420" w:firstLine="3614" w:firstLineChars="1000"/>
        <w:rPr>
          <w:rFonts w:ascii="仿宋" w:hAnsi="仿宋" w:cs="仿宋"/>
          <w:b/>
          <w:kern w:val="0"/>
          <w:sz w:val="36"/>
          <w:szCs w:val="36"/>
        </w:rPr>
      </w:pPr>
    </w:p>
    <w:p>
      <w:pPr>
        <w:ind w:firstLine="480"/>
      </w:pPr>
      <w:bookmarkStart w:id="420" w:name="_Toc465665161"/>
      <w:r>
        <w:rPr>
          <w:rFonts w:hint="eastAsia"/>
        </w:rPr>
        <w:br w:type="page"/>
      </w:r>
    </w:p>
    <w:bookmarkEnd w:id="420"/>
    <w:p>
      <w:pPr>
        <w:pStyle w:val="9"/>
        <w:spacing w:before="120" w:after="240"/>
        <w:rPr>
          <w:bCs/>
        </w:rPr>
      </w:pPr>
      <w:bookmarkStart w:id="421" w:name="OLE_LINK13"/>
      <w:bookmarkStart w:id="422" w:name="OLE_LINK14"/>
      <w:r>
        <w:rPr>
          <w:rFonts w:hint="eastAsia"/>
          <w:bCs/>
        </w:rPr>
        <w:t>残疾人福利性单位声明函</w:t>
      </w:r>
    </w:p>
    <w:bookmarkEnd w:id="421"/>
    <w:bookmarkEnd w:id="422"/>
    <w:p>
      <w:pPr>
        <w:ind w:firstLine="626"/>
        <w:rPr>
          <w:rFonts w:ascii="仿宋" w:hAnsi="仿宋" w:cs="仿宋"/>
          <w:b/>
          <w:spacing w:val="6"/>
          <w:sz w:val="30"/>
          <w:szCs w:val="30"/>
        </w:rPr>
      </w:pPr>
    </w:p>
    <w:p>
      <w:pPr>
        <w:ind w:firstLine="480"/>
        <w:rPr>
          <w:rFonts w:ascii="仿宋" w:hAnsi="仿宋" w:cs="仿宋"/>
        </w:rPr>
      </w:pPr>
      <w:r>
        <w:rPr>
          <w:rFonts w:hint="eastAsia" w:ascii="仿宋" w:hAnsi="仿宋" w:cs="仿宋"/>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rPr>
          <w:rFonts w:ascii="仿宋" w:hAnsi="仿宋" w:cs="仿宋"/>
        </w:rPr>
      </w:pPr>
      <w:r>
        <w:rPr>
          <w:rFonts w:hint="eastAsia" w:ascii="仿宋" w:hAnsi="仿宋" w:cs="仿宋"/>
        </w:rPr>
        <w:t>本单位对上述声明的真实性负责。如有虚假，将依法承担相应责任。</w:t>
      </w:r>
    </w:p>
    <w:p>
      <w:pPr>
        <w:ind w:firstLine="480"/>
        <w:rPr>
          <w:rFonts w:ascii="仿宋" w:hAnsi="仿宋" w:cs="仿宋"/>
        </w:rPr>
      </w:pPr>
    </w:p>
    <w:p>
      <w:pPr>
        <w:ind w:firstLine="480"/>
        <w:rPr>
          <w:rFonts w:ascii="仿宋" w:hAnsi="仿宋" w:cs="仿宋"/>
        </w:rPr>
      </w:pPr>
    </w:p>
    <w:p>
      <w:pPr>
        <w:tabs>
          <w:tab w:val="left" w:pos="4860"/>
        </w:tabs>
        <w:ind w:right="1560" w:firstLine="480"/>
        <w:jc w:val="center"/>
        <w:rPr>
          <w:rFonts w:ascii="仿宋" w:hAnsi="仿宋" w:cs="仿宋"/>
        </w:rPr>
      </w:pPr>
      <w:r>
        <w:rPr>
          <w:rFonts w:hint="eastAsia" w:ascii="仿宋" w:hAnsi="仿宋" w:cs="仿宋"/>
          <w:kern w:val="0"/>
          <w:lang w:val="zh-CN"/>
        </w:rPr>
        <w:t>供应商名称（电子签名）</w:t>
      </w:r>
      <w:r>
        <w:rPr>
          <w:rFonts w:hint="eastAsia" w:ascii="仿宋" w:hAnsi="仿宋" w:cs="仿宋"/>
        </w:rPr>
        <w:t>：</w:t>
      </w:r>
    </w:p>
    <w:p>
      <w:pPr>
        <w:tabs>
          <w:tab w:val="left" w:pos="4860"/>
        </w:tabs>
        <w:ind w:right="1560" w:firstLine="480"/>
        <w:jc w:val="center"/>
        <w:rPr>
          <w:rFonts w:ascii="仿宋" w:hAnsi="仿宋" w:cs="仿宋"/>
        </w:rPr>
      </w:pPr>
      <w:r>
        <w:rPr>
          <w:rFonts w:hint="eastAsia" w:ascii="仿宋" w:hAnsi="仿宋" w:cs="仿宋"/>
        </w:rPr>
        <w:t>日期：</w:t>
      </w:r>
    </w:p>
    <w:p>
      <w:pPr>
        <w:ind w:firstLine="480"/>
        <w:rPr>
          <w:rFonts w:ascii="仿宋" w:hAnsi="仿宋" w:cs="仿宋"/>
        </w:rPr>
      </w:pPr>
    </w:p>
    <w:p>
      <w:pPr>
        <w:ind w:firstLine="480"/>
        <w:rPr>
          <w:rFonts w:ascii="仿宋" w:hAnsi="仿宋" w:cs="仿宋"/>
        </w:rPr>
      </w:pPr>
    </w:p>
    <w:p>
      <w:pPr>
        <w:ind w:firstLine="480"/>
        <w:rPr>
          <w:rFonts w:ascii="仿宋" w:hAnsi="仿宋" w:cs="仿宋"/>
        </w:rPr>
      </w:pPr>
    </w:p>
    <w:p>
      <w:pPr>
        <w:ind w:firstLine="480"/>
      </w:pPr>
    </w:p>
    <w:p>
      <w:pPr>
        <w:pStyle w:val="9"/>
        <w:spacing w:before="120" w:after="240"/>
      </w:pPr>
      <w:r>
        <w:rPr>
          <w:rFonts w:hint="eastAsia"/>
        </w:rPr>
        <w:t>省级以上监狱管理局、戒毒管理局（含新疆生产建设兵团）出具的属于监狱企业证明文件</w:t>
      </w:r>
    </w:p>
    <w:p>
      <w:pPr>
        <w:ind w:firstLine="480"/>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mdtSymbols"/>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00"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ind w:firstLine="36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88</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4"/>
                      <w:ind w:firstLine="36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88</w:t>
                    </w:r>
                    <w:r>
                      <w:fldChar w:fldCharType="end"/>
                    </w:r>
                    <w:r>
                      <w:t>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ind w:firstLine="360"/>
                          </w:pPr>
                          <w:r>
                            <w:t>第</w:t>
                          </w:r>
                          <w:r>
                            <w:fldChar w:fldCharType="begin"/>
                          </w:r>
                          <w:r>
                            <w:instrText xml:space="preserve"> PAGE  \* MERGEFORMAT </w:instrText>
                          </w:r>
                          <w:r>
                            <w:fldChar w:fldCharType="separate"/>
                          </w:r>
                          <w:r>
                            <w:t>83</w:t>
                          </w:r>
                          <w:r>
                            <w:fldChar w:fldCharType="end"/>
                          </w:r>
                          <w:r>
                            <w:t>页共</w:t>
                          </w:r>
                          <w:r>
                            <w:fldChar w:fldCharType="begin"/>
                          </w:r>
                          <w:r>
                            <w:instrText xml:space="preserve"> NUMPAGES  \* MERGEFORMAT </w:instrText>
                          </w:r>
                          <w:r>
                            <w:fldChar w:fldCharType="separate"/>
                          </w:r>
                          <w:r>
                            <w:t>88</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4"/>
                      <w:ind w:firstLine="360"/>
                    </w:pPr>
                    <w:r>
                      <w:t>第</w:t>
                    </w:r>
                    <w:r>
                      <w:fldChar w:fldCharType="begin"/>
                    </w:r>
                    <w:r>
                      <w:instrText xml:space="preserve"> PAGE  \* MERGEFORMAT </w:instrText>
                    </w:r>
                    <w:r>
                      <w:fldChar w:fldCharType="separate"/>
                    </w:r>
                    <w:r>
                      <w:t>83</w:t>
                    </w:r>
                    <w:r>
                      <w:fldChar w:fldCharType="end"/>
                    </w:r>
                    <w:r>
                      <w:t>页共</w:t>
                    </w:r>
                    <w:r>
                      <w:fldChar w:fldCharType="begin"/>
                    </w:r>
                    <w:r>
                      <w:instrText xml:space="preserve"> NUMPAGES  \* MERGEFORMAT </w:instrText>
                    </w:r>
                    <w:r>
                      <w:fldChar w:fldCharType="separate"/>
                    </w:r>
                    <w:r>
                      <w:t>88</w:t>
                    </w:r>
                    <w:r>
                      <w:fldChar w:fldCharType="end"/>
                    </w:r>
                    <w:r>
                      <w:t>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ind w:firstLine="360"/>
      <w:rPr>
        <w:rStyle w:val="76"/>
      </w:rPr>
    </w:pPr>
    <w:r>
      <w:fldChar w:fldCharType="begin"/>
    </w:r>
    <w:r>
      <w:rPr>
        <w:rStyle w:val="76"/>
      </w:rPr>
      <w:instrText xml:space="preserve">PAGE  </w:instrText>
    </w:r>
    <w:r>
      <w:fldChar w:fldCharType="end"/>
    </w:r>
  </w:p>
  <w:p>
    <w:pPr>
      <w:pStyle w:val="44"/>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ind w:firstLine="360"/>
                          </w:pPr>
                          <w:r>
                            <w:t>第</w:t>
                          </w:r>
                          <w:r>
                            <w:fldChar w:fldCharType="begin"/>
                          </w:r>
                          <w:r>
                            <w:instrText xml:space="preserve"> PAGE  \* MERGEFORMAT </w:instrText>
                          </w:r>
                          <w:r>
                            <w:fldChar w:fldCharType="separate"/>
                          </w:r>
                          <w:r>
                            <w:t>82</w:t>
                          </w:r>
                          <w:r>
                            <w:fldChar w:fldCharType="end"/>
                          </w:r>
                          <w:r>
                            <w:t>页共</w:t>
                          </w:r>
                          <w:r>
                            <w:fldChar w:fldCharType="begin"/>
                          </w:r>
                          <w:r>
                            <w:instrText xml:space="preserve"> NUMPAGES  \* MERGEFORMAT </w:instrText>
                          </w:r>
                          <w:r>
                            <w:fldChar w:fldCharType="separate"/>
                          </w:r>
                          <w:r>
                            <w:t>88</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4"/>
                      <w:ind w:firstLine="360"/>
                    </w:pPr>
                    <w:r>
                      <w:t>第</w:t>
                    </w:r>
                    <w:r>
                      <w:fldChar w:fldCharType="begin"/>
                    </w:r>
                    <w:r>
                      <w:instrText xml:space="preserve"> PAGE  \* MERGEFORMAT </w:instrText>
                    </w:r>
                    <w:r>
                      <w:fldChar w:fldCharType="separate"/>
                    </w:r>
                    <w:r>
                      <w:t>82</w:t>
                    </w:r>
                    <w:r>
                      <w:fldChar w:fldCharType="end"/>
                    </w:r>
                    <w:r>
                      <w:t>页共</w:t>
                    </w:r>
                    <w:r>
                      <w:fldChar w:fldCharType="begin"/>
                    </w:r>
                    <w:r>
                      <w:instrText xml:space="preserve"> NUMPAGES  \* MERGEFORMAT </w:instrText>
                    </w:r>
                    <w:r>
                      <w:fldChar w:fldCharType="separate"/>
                    </w:r>
                    <w:r>
                      <w:t>88</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ind w:firstLine="360"/>
      <w:rPr>
        <w:rStyle w:val="76"/>
      </w:rPr>
    </w:pPr>
    <w:r>
      <w:fldChar w:fldCharType="begin"/>
    </w:r>
    <w:r>
      <w:rPr>
        <w:rStyle w:val="76"/>
      </w:rPr>
      <w:instrText xml:space="preserve">PAGE  </w:instrText>
    </w:r>
    <w:r>
      <w:fldChar w:fldCharType="end"/>
    </w:r>
  </w:p>
  <w:p>
    <w:pPr>
      <w:pStyle w:val="4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ind w:firstLine="36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88</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4"/>
                      <w:ind w:firstLine="36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88</w:t>
                    </w:r>
                    <w:r>
                      <w:fldChar w:fldCharType="end"/>
                    </w:r>
                    <w: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ind w:firstLine="36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88</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4"/>
                      <w:ind w:firstLine="36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88</w:t>
                    </w:r>
                    <w:r>
                      <w:fldChar w:fldCharType="end"/>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ind w:firstLine="360"/>
                          </w:pPr>
                          <w:r>
                            <w:t>第</w:t>
                          </w:r>
                          <w:r>
                            <w:fldChar w:fldCharType="begin"/>
                          </w:r>
                          <w:r>
                            <w:instrText xml:space="preserve"> PAGE  \* MERGEFORMAT </w:instrText>
                          </w:r>
                          <w:r>
                            <w:fldChar w:fldCharType="separate"/>
                          </w:r>
                          <w:r>
                            <w:t>29</w:t>
                          </w:r>
                          <w:r>
                            <w:fldChar w:fldCharType="end"/>
                          </w:r>
                          <w:r>
                            <w:t>页共</w:t>
                          </w:r>
                          <w:r>
                            <w:fldChar w:fldCharType="begin"/>
                          </w:r>
                          <w:r>
                            <w:instrText xml:space="preserve"> NUMPAGES  \* MERGEFORMAT </w:instrText>
                          </w:r>
                          <w:r>
                            <w:fldChar w:fldCharType="separate"/>
                          </w:r>
                          <w:r>
                            <w:t>88</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4"/>
                      <w:ind w:firstLine="360"/>
                    </w:pPr>
                    <w:r>
                      <w:t>第</w:t>
                    </w:r>
                    <w:r>
                      <w:fldChar w:fldCharType="begin"/>
                    </w:r>
                    <w:r>
                      <w:instrText xml:space="preserve"> PAGE  \* MERGEFORMAT </w:instrText>
                    </w:r>
                    <w:r>
                      <w:fldChar w:fldCharType="separate"/>
                    </w:r>
                    <w:r>
                      <w:t>29</w:t>
                    </w:r>
                    <w:r>
                      <w:fldChar w:fldCharType="end"/>
                    </w:r>
                    <w:r>
                      <w:t>页共</w:t>
                    </w:r>
                    <w:r>
                      <w:fldChar w:fldCharType="begin"/>
                    </w:r>
                    <w:r>
                      <w:instrText xml:space="preserve"> NUMPAGES  \* MERGEFORMAT </w:instrText>
                    </w:r>
                    <w:r>
                      <w:fldChar w:fldCharType="separate"/>
                    </w:r>
                    <w:r>
                      <w:t>88</w:t>
                    </w:r>
                    <w:r>
                      <w:fldChar w:fldCharType="end"/>
                    </w:r>
                    <w: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ind w:firstLine="360"/>
                          </w:pPr>
                          <w:r>
                            <w:t>第</w:t>
                          </w:r>
                          <w:r>
                            <w:fldChar w:fldCharType="begin"/>
                          </w:r>
                          <w:r>
                            <w:instrText xml:space="preserve"> PAGE  \* MERGEFORMAT </w:instrText>
                          </w:r>
                          <w:r>
                            <w:fldChar w:fldCharType="separate"/>
                          </w:r>
                          <w:r>
                            <w:t>28</w:t>
                          </w:r>
                          <w:r>
                            <w:fldChar w:fldCharType="end"/>
                          </w:r>
                          <w:r>
                            <w:t>页共</w:t>
                          </w:r>
                          <w:r>
                            <w:fldChar w:fldCharType="begin"/>
                          </w:r>
                          <w:r>
                            <w:instrText xml:space="preserve"> NUMPAGES  \* MERGEFORMAT </w:instrText>
                          </w:r>
                          <w:r>
                            <w:fldChar w:fldCharType="separate"/>
                          </w:r>
                          <w:r>
                            <w:t>88</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4"/>
                      <w:ind w:firstLine="360"/>
                    </w:pPr>
                    <w:r>
                      <w:t>第</w:t>
                    </w:r>
                    <w:r>
                      <w:fldChar w:fldCharType="begin"/>
                    </w:r>
                    <w:r>
                      <w:instrText xml:space="preserve"> PAGE  \* MERGEFORMAT </w:instrText>
                    </w:r>
                    <w:r>
                      <w:fldChar w:fldCharType="separate"/>
                    </w:r>
                    <w:r>
                      <w:t>28</w:t>
                    </w:r>
                    <w:r>
                      <w:fldChar w:fldCharType="end"/>
                    </w:r>
                    <w:r>
                      <w:t>页共</w:t>
                    </w:r>
                    <w:r>
                      <w:fldChar w:fldCharType="begin"/>
                    </w:r>
                    <w:r>
                      <w:instrText xml:space="preserve"> NUMPAGES  \* MERGEFORMAT </w:instrText>
                    </w:r>
                    <w:r>
                      <w:fldChar w:fldCharType="separate"/>
                    </w:r>
                    <w:r>
                      <w:t>88</w:t>
                    </w:r>
                    <w:r>
                      <w:fldChar w:fldCharType="end"/>
                    </w:r>
                    <w: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ind w:firstLine="360"/>
                          </w:pPr>
                          <w:r>
                            <w:t>第</w:t>
                          </w:r>
                          <w:r>
                            <w:fldChar w:fldCharType="begin"/>
                          </w:r>
                          <w:r>
                            <w:instrText xml:space="preserve"> PAGE  \* MERGEFORMAT </w:instrText>
                          </w:r>
                          <w:r>
                            <w:fldChar w:fldCharType="separate"/>
                          </w:r>
                          <w:r>
                            <w:t>81</w:t>
                          </w:r>
                          <w:r>
                            <w:fldChar w:fldCharType="end"/>
                          </w:r>
                          <w:r>
                            <w:t>页共</w:t>
                          </w:r>
                          <w:r>
                            <w:fldChar w:fldCharType="begin"/>
                          </w:r>
                          <w:r>
                            <w:instrText xml:space="preserve"> NUMPAGES  \* MERGEFORMAT </w:instrText>
                          </w:r>
                          <w:r>
                            <w:fldChar w:fldCharType="separate"/>
                          </w:r>
                          <w:r>
                            <w:t>88</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4"/>
                      <w:ind w:firstLine="360"/>
                    </w:pPr>
                    <w:r>
                      <w:t>第</w:t>
                    </w:r>
                    <w:r>
                      <w:fldChar w:fldCharType="begin"/>
                    </w:r>
                    <w:r>
                      <w:instrText xml:space="preserve"> PAGE  \* MERGEFORMAT </w:instrText>
                    </w:r>
                    <w:r>
                      <w:fldChar w:fldCharType="separate"/>
                    </w:r>
                    <w:r>
                      <w:t>81</w:t>
                    </w:r>
                    <w:r>
                      <w:fldChar w:fldCharType="end"/>
                    </w:r>
                    <w:r>
                      <w:t>页共</w:t>
                    </w:r>
                    <w:r>
                      <w:fldChar w:fldCharType="begin"/>
                    </w:r>
                    <w:r>
                      <w:instrText xml:space="preserve"> NUMPAGES  \* MERGEFORMAT </w:instrText>
                    </w:r>
                    <w:r>
                      <w:fldChar w:fldCharType="separate"/>
                    </w:r>
                    <w:r>
                      <w:t>88</w:t>
                    </w:r>
                    <w:r>
                      <w:fldChar w:fldCharType="end"/>
                    </w:r>
                    <w:r>
                      <w:t>页</w:t>
                    </w:r>
                  </w:p>
                </w:txbxContent>
              </v:textbox>
            </v:shape>
          </w:pict>
        </mc:Fallback>
      </mc:AlternateContent>
    </w:r>
  </w:p>
  <w:p>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ind w:firstLine="360"/>
                          </w:pPr>
                          <w:r>
                            <w:t>第</w:t>
                          </w:r>
                          <w:r>
                            <w:fldChar w:fldCharType="begin"/>
                          </w:r>
                          <w:r>
                            <w:instrText xml:space="preserve"> PAGE  \* MERGEFORMAT </w:instrText>
                          </w:r>
                          <w:r>
                            <w:fldChar w:fldCharType="separate"/>
                          </w:r>
                          <w:r>
                            <w:t>79</w:t>
                          </w:r>
                          <w:r>
                            <w:fldChar w:fldCharType="end"/>
                          </w:r>
                          <w:r>
                            <w:t>页共</w:t>
                          </w:r>
                          <w:r>
                            <w:fldChar w:fldCharType="begin"/>
                          </w:r>
                          <w:r>
                            <w:instrText xml:space="preserve"> NUMPAGES  \* MERGEFORMAT </w:instrText>
                          </w:r>
                          <w:r>
                            <w:fldChar w:fldCharType="separate"/>
                          </w:r>
                          <w:r>
                            <w:t>88</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44"/>
                      <w:ind w:firstLine="360"/>
                    </w:pPr>
                    <w:r>
                      <w:t>第</w:t>
                    </w:r>
                    <w:r>
                      <w:fldChar w:fldCharType="begin"/>
                    </w:r>
                    <w:r>
                      <w:instrText xml:space="preserve"> PAGE  \* MERGEFORMAT </w:instrText>
                    </w:r>
                    <w:r>
                      <w:fldChar w:fldCharType="separate"/>
                    </w:r>
                    <w:r>
                      <w:t>79</w:t>
                    </w:r>
                    <w:r>
                      <w:fldChar w:fldCharType="end"/>
                    </w:r>
                    <w:r>
                      <w:t>页共</w:t>
                    </w:r>
                    <w:r>
                      <w:fldChar w:fldCharType="begin"/>
                    </w:r>
                    <w:r>
                      <w:instrText xml:space="preserve"> NUMPAGES  \* MERGEFORMAT </w:instrText>
                    </w:r>
                    <w:r>
                      <w:fldChar w:fldCharType="separate"/>
                    </w:r>
                    <w:r>
                      <w:t>88</w:t>
                    </w:r>
                    <w:r>
                      <w:fldChar w:fldCharType="end"/>
                    </w:r>
                    <w: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rPr>
        <w:rFonts w:ascii="仿宋_GB2312" w:eastAsia="仿宋_GB2312"/>
        <w:i/>
        <w:u w:val="single"/>
      </w:rPr>
    </w:pPr>
    <w:r>
      <w:rPr>
        <w:rFonts w:hint="eastAsia" w:ascii="仿宋" w:hAnsi="仿宋" w:cs="仿宋"/>
      </w:rPr>
      <w:t>慈溪元达采购招标代理有限公司政府采购竞争性磋商文件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rPr>
        <w:rFonts w:ascii="仿宋" w:hAnsi="仿宋" w:cs="仿宋"/>
      </w:rPr>
    </w:pPr>
    <w:r>
      <w:rPr>
        <w:rFonts w:hint="eastAsia" w:ascii="仿宋" w:hAnsi="仿宋" w:cs="仿宋"/>
      </w:rPr>
      <w:t>慈溪元达采购招标代理有限公司政府采购竞争性磋商文件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rPr>
        <w:rFonts w:hint="eastAsia" w:ascii="仿宋" w:hAnsi="仿宋" w:cs="仿宋"/>
      </w:rPr>
      <w:t>慈溪元达采购招标代理有限公司政府采购竞争性磋商文件</w:t>
    </w:r>
  </w:p>
  <w:p>
    <w:pPr>
      <w:ind w:firstLine="361"/>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ascii="仿宋" w:hAnsi="仿宋" w:cs="仿宋"/>
      </w:rPr>
      <w:t>慈溪元达采购招标代理有限公司政府采购竞争性磋商文件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rPr>
        <w:rFonts w:hint="eastAsia" w:ascii="仿宋" w:hAnsi="仿宋" w:cs="仿宋"/>
      </w:rPr>
      <w:t>慈溪元达采购招标代理有限公司政府采购竞争性磋商文件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ascii="仿宋" w:hAnsi="仿宋" w:cs="仿宋"/>
      </w:rPr>
      <w:t>慈溪元达采购招标代理有限公司政府采购竞争性磋商文件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ascii="仿宋" w:hAnsi="仿宋" w:cs="仿宋"/>
      </w:rPr>
      <w:t>慈溪元达采购招标代理有限公司政府采购竞争性磋商文件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ascii="仿宋" w:hAnsi="仿宋" w:cs="仿宋"/>
      </w:rPr>
      <w:t>慈溪元达采购招标代理有限公司政府采购竞争性磋商文件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3FB5E0"/>
    <w:multiLevelType w:val="singleLevel"/>
    <w:tmpl w:val="ED3FB5E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NTUwMzU0ZDhiZDk2ZTQwNTNmNmZkZjA2YjJiZ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415"/>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7FB"/>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3C8"/>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0F4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770"/>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EB0"/>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B39"/>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42D"/>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0C3"/>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3948"/>
    <w:rsid w:val="05A7762D"/>
    <w:rsid w:val="060E5941"/>
    <w:rsid w:val="06110FAF"/>
    <w:rsid w:val="06412AF6"/>
    <w:rsid w:val="06493CA7"/>
    <w:rsid w:val="065A6178"/>
    <w:rsid w:val="066F1CF3"/>
    <w:rsid w:val="06873080"/>
    <w:rsid w:val="06930BB8"/>
    <w:rsid w:val="06D66B7C"/>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D77B5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208CA"/>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4147AE"/>
    <w:rsid w:val="166C1FBB"/>
    <w:rsid w:val="16A8729C"/>
    <w:rsid w:val="16B33777"/>
    <w:rsid w:val="16BC70A7"/>
    <w:rsid w:val="16C6339E"/>
    <w:rsid w:val="172F2D79"/>
    <w:rsid w:val="17557BEF"/>
    <w:rsid w:val="17D349C1"/>
    <w:rsid w:val="1830729E"/>
    <w:rsid w:val="1870062C"/>
    <w:rsid w:val="187260F9"/>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9140B6"/>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1FF6699B"/>
    <w:rsid w:val="20034907"/>
    <w:rsid w:val="20173E4B"/>
    <w:rsid w:val="204E48BC"/>
    <w:rsid w:val="208921B3"/>
    <w:rsid w:val="20973DEB"/>
    <w:rsid w:val="20B26522"/>
    <w:rsid w:val="20B44310"/>
    <w:rsid w:val="211116EB"/>
    <w:rsid w:val="216133FC"/>
    <w:rsid w:val="21D56769"/>
    <w:rsid w:val="21E52EF3"/>
    <w:rsid w:val="21FB5D7B"/>
    <w:rsid w:val="21FD3C72"/>
    <w:rsid w:val="2203156E"/>
    <w:rsid w:val="220B1C3D"/>
    <w:rsid w:val="221D1D20"/>
    <w:rsid w:val="22334A87"/>
    <w:rsid w:val="22BE6801"/>
    <w:rsid w:val="233500BF"/>
    <w:rsid w:val="23377FF7"/>
    <w:rsid w:val="23511E57"/>
    <w:rsid w:val="236B425F"/>
    <w:rsid w:val="237750A7"/>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00F16"/>
    <w:rsid w:val="2A15033F"/>
    <w:rsid w:val="2A1662C1"/>
    <w:rsid w:val="2A1C7367"/>
    <w:rsid w:val="2A2815FA"/>
    <w:rsid w:val="2A6D6092"/>
    <w:rsid w:val="2A7D76B4"/>
    <w:rsid w:val="2ACB397F"/>
    <w:rsid w:val="2B437463"/>
    <w:rsid w:val="2B5102D4"/>
    <w:rsid w:val="2B5E2627"/>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3C72DE"/>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441CD4"/>
    <w:rsid w:val="34547172"/>
    <w:rsid w:val="34950E68"/>
    <w:rsid w:val="34986E94"/>
    <w:rsid w:val="34AF62C9"/>
    <w:rsid w:val="34CB4388"/>
    <w:rsid w:val="34FA6E12"/>
    <w:rsid w:val="358D5588"/>
    <w:rsid w:val="363A3B40"/>
    <w:rsid w:val="36521EF8"/>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7040E"/>
    <w:rsid w:val="38D87D1C"/>
    <w:rsid w:val="38E56AE8"/>
    <w:rsid w:val="39636459"/>
    <w:rsid w:val="396B7F6C"/>
    <w:rsid w:val="39B417A9"/>
    <w:rsid w:val="39FC5695"/>
    <w:rsid w:val="3A006D8E"/>
    <w:rsid w:val="3A04577A"/>
    <w:rsid w:val="3A3651E5"/>
    <w:rsid w:val="3A744481"/>
    <w:rsid w:val="3A8C7BEF"/>
    <w:rsid w:val="3A906246"/>
    <w:rsid w:val="3B2349B7"/>
    <w:rsid w:val="3B616CFF"/>
    <w:rsid w:val="3B6259F6"/>
    <w:rsid w:val="3B976654"/>
    <w:rsid w:val="3BC01EFC"/>
    <w:rsid w:val="3BCA786A"/>
    <w:rsid w:val="3BD31E2F"/>
    <w:rsid w:val="3BD56098"/>
    <w:rsid w:val="3BF15831"/>
    <w:rsid w:val="3C105946"/>
    <w:rsid w:val="3C2D50AF"/>
    <w:rsid w:val="3C471448"/>
    <w:rsid w:val="3C5F759A"/>
    <w:rsid w:val="3C6C525A"/>
    <w:rsid w:val="3CCE23CB"/>
    <w:rsid w:val="3CD17D17"/>
    <w:rsid w:val="3CD27C94"/>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86D36"/>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5419E"/>
    <w:rsid w:val="449101DD"/>
    <w:rsid w:val="44DE1391"/>
    <w:rsid w:val="451B225C"/>
    <w:rsid w:val="452410C9"/>
    <w:rsid w:val="452A4BF1"/>
    <w:rsid w:val="45317DFB"/>
    <w:rsid w:val="456D3CE4"/>
    <w:rsid w:val="4579042C"/>
    <w:rsid w:val="457F0571"/>
    <w:rsid w:val="45851176"/>
    <w:rsid w:val="45C63B94"/>
    <w:rsid w:val="460E7DA5"/>
    <w:rsid w:val="46422483"/>
    <w:rsid w:val="464265D3"/>
    <w:rsid w:val="4659254A"/>
    <w:rsid w:val="465B0637"/>
    <w:rsid w:val="465E3F0D"/>
    <w:rsid w:val="466A16E6"/>
    <w:rsid w:val="46893F2B"/>
    <w:rsid w:val="46C4686E"/>
    <w:rsid w:val="477B778F"/>
    <w:rsid w:val="478203EC"/>
    <w:rsid w:val="47B025FA"/>
    <w:rsid w:val="47FC165C"/>
    <w:rsid w:val="4809698F"/>
    <w:rsid w:val="4811697D"/>
    <w:rsid w:val="487A3E25"/>
    <w:rsid w:val="488B5503"/>
    <w:rsid w:val="48937E21"/>
    <w:rsid w:val="489A0361"/>
    <w:rsid w:val="48B94FF3"/>
    <w:rsid w:val="48E37AAB"/>
    <w:rsid w:val="48FD4B4C"/>
    <w:rsid w:val="490A68E0"/>
    <w:rsid w:val="491055FE"/>
    <w:rsid w:val="49187D7C"/>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A0611E"/>
    <w:rsid w:val="4FE625E0"/>
    <w:rsid w:val="5021480F"/>
    <w:rsid w:val="50962ECB"/>
    <w:rsid w:val="50A42E38"/>
    <w:rsid w:val="50A4577F"/>
    <w:rsid w:val="50B73D1F"/>
    <w:rsid w:val="50BD5BC9"/>
    <w:rsid w:val="50C11EEE"/>
    <w:rsid w:val="50E97CFC"/>
    <w:rsid w:val="50FA4028"/>
    <w:rsid w:val="510D65B7"/>
    <w:rsid w:val="511157AB"/>
    <w:rsid w:val="511F24A1"/>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5F1FBC"/>
    <w:rsid w:val="5397158E"/>
    <w:rsid w:val="53A63603"/>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B127D5"/>
    <w:rsid w:val="57032A2C"/>
    <w:rsid w:val="570F5219"/>
    <w:rsid w:val="57294441"/>
    <w:rsid w:val="575D12B5"/>
    <w:rsid w:val="57610A87"/>
    <w:rsid w:val="577B1140"/>
    <w:rsid w:val="577B7F21"/>
    <w:rsid w:val="577F181B"/>
    <w:rsid w:val="57921984"/>
    <w:rsid w:val="579737F0"/>
    <w:rsid w:val="57A56117"/>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A72D0E"/>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CED62A1"/>
    <w:rsid w:val="5D0C4701"/>
    <w:rsid w:val="5D0F0395"/>
    <w:rsid w:val="5D221076"/>
    <w:rsid w:val="5D397964"/>
    <w:rsid w:val="5D5A391C"/>
    <w:rsid w:val="5D5F10C0"/>
    <w:rsid w:val="5D891B7B"/>
    <w:rsid w:val="5DAD38EE"/>
    <w:rsid w:val="5E006862"/>
    <w:rsid w:val="5E0207B9"/>
    <w:rsid w:val="5E1834A1"/>
    <w:rsid w:val="5E261785"/>
    <w:rsid w:val="5E3C2450"/>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1C36AA"/>
    <w:rsid w:val="64240056"/>
    <w:rsid w:val="643E143A"/>
    <w:rsid w:val="64702024"/>
    <w:rsid w:val="648B6EEF"/>
    <w:rsid w:val="64C158BF"/>
    <w:rsid w:val="64CE2EAA"/>
    <w:rsid w:val="653C3090"/>
    <w:rsid w:val="655E6B60"/>
    <w:rsid w:val="65854376"/>
    <w:rsid w:val="658767BE"/>
    <w:rsid w:val="65892531"/>
    <w:rsid w:val="66195831"/>
    <w:rsid w:val="662E75B1"/>
    <w:rsid w:val="66342C2E"/>
    <w:rsid w:val="663E784C"/>
    <w:rsid w:val="6687158B"/>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0E7CD9"/>
    <w:rsid w:val="693E15D3"/>
    <w:rsid w:val="69627681"/>
    <w:rsid w:val="6977531D"/>
    <w:rsid w:val="69803744"/>
    <w:rsid w:val="69CC2BFF"/>
    <w:rsid w:val="69FD55B8"/>
    <w:rsid w:val="6A0B1C62"/>
    <w:rsid w:val="6A2406C8"/>
    <w:rsid w:val="6ADE0BD1"/>
    <w:rsid w:val="6AE96859"/>
    <w:rsid w:val="6B147746"/>
    <w:rsid w:val="6B24787C"/>
    <w:rsid w:val="6B573233"/>
    <w:rsid w:val="6B5B6274"/>
    <w:rsid w:val="6B935D53"/>
    <w:rsid w:val="6BB53AE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6301BA"/>
    <w:rsid w:val="6E8335BD"/>
    <w:rsid w:val="6E8E12EF"/>
    <w:rsid w:val="6E972936"/>
    <w:rsid w:val="6ED446C5"/>
    <w:rsid w:val="6F2A7D94"/>
    <w:rsid w:val="6F8331F1"/>
    <w:rsid w:val="6FAE1A09"/>
    <w:rsid w:val="6FBB6CD2"/>
    <w:rsid w:val="6FD75BF8"/>
    <w:rsid w:val="707723D0"/>
    <w:rsid w:val="70F5661B"/>
    <w:rsid w:val="71360107"/>
    <w:rsid w:val="713B688E"/>
    <w:rsid w:val="716139D5"/>
    <w:rsid w:val="71D43752"/>
    <w:rsid w:val="71F1796A"/>
    <w:rsid w:val="72154626"/>
    <w:rsid w:val="72262B5D"/>
    <w:rsid w:val="72283FF7"/>
    <w:rsid w:val="722E7212"/>
    <w:rsid w:val="723A0474"/>
    <w:rsid w:val="725923E4"/>
    <w:rsid w:val="72864BF7"/>
    <w:rsid w:val="729023FC"/>
    <w:rsid w:val="73C0646E"/>
    <w:rsid w:val="73C26380"/>
    <w:rsid w:val="742222F5"/>
    <w:rsid w:val="74476126"/>
    <w:rsid w:val="74706664"/>
    <w:rsid w:val="747F3682"/>
    <w:rsid w:val="749C4185"/>
    <w:rsid w:val="75067759"/>
    <w:rsid w:val="752E6DCD"/>
    <w:rsid w:val="7551380D"/>
    <w:rsid w:val="75600BE5"/>
    <w:rsid w:val="7564475C"/>
    <w:rsid w:val="7583797F"/>
    <w:rsid w:val="75AD3D8E"/>
    <w:rsid w:val="75D20F1D"/>
    <w:rsid w:val="75DA2C18"/>
    <w:rsid w:val="75F54412"/>
    <w:rsid w:val="761D08E0"/>
    <w:rsid w:val="765D347C"/>
    <w:rsid w:val="767E3D7E"/>
    <w:rsid w:val="76801DC1"/>
    <w:rsid w:val="76826699"/>
    <w:rsid w:val="76C87133"/>
    <w:rsid w:val="76CD08D5"/>
    <w:rsid w:val="76DB4B92"/>
    <w:rsid w:val="77052AA4"/>
    <w:rsid w:val="7707213F"/>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AF21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36482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C3D8A"/>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uto"/>
      <w:ind w:firstLine="482" w:firstLineChars="200"/>
    </w:pPr>
    <w:rPr>
      <w:rFonts w:ascii="Times New Roman" w:hAnsi="Times New Roman" w:eastAsia="仿宋" w:cs="Times New Roman"/>
      <w:kern w:val="2"/>
      <w:sz w:val="24"/>
      <w:szCs w:val="24"/>
      <w:lang w:val="en-US" w:eastAsia="zh-CN" w:bidi="ar-SA"/>
    </w:rPr>
  </w:style>
  <w:style w:type="paragraph" w:styleId="3">
    <w:name w:val="heading 1"/>
    <w:basedOn w:val="4"/>
    <w:next w:val="1"/>
    <w:link w:val="286"/>
    <w:qFormat/>
    <w:uiPriority w:val="9"/>
    <w:pPr>
      <w:keepNext/>
      <w:keepLines/>
      <w:tabs>
        <w:tab w:val="left" w:pos="432"/>
      </w:tabs>
      <w:spacing w:before="340" w:after="330"/>
      <w:ind w:firstLine="0" w:firstLineChars="0"/>
      <w:outlineLvl w:val="0"/>
    </w:pPr>
    <w:rPr>
      <w:bCs/>
      <w:kern w:val="44"/>
      <w:sz w:val="32"/>
      <w:szCs w:val="44"/>
    </w:rPr>
  </w:style>
  <w:style w:type="paragraph" w:styleId="5">
    <w:name w:val="heading 2"/>
    <w:basedOn w:val="1"/>
    <w:next w:val="1"/>
    <w:link w:val="963"/>
    <w:qFormat/>
    <w:uiPriority w:val="0"/>
    <w:pPr>
      <w:keepNext/>
      <w:keepLines/>
      <w:tabs>
        <w:tab w:val="left" w:pos="432"/>
      </w:tabs>
      <w:adjustRightInd/>
      <w:outlineLvl w:val="1"/>
    </w:pPr>
    <w:rPr>
      <w:rFonts w:ascii="仿宋_GB2312" w:hAnsi="仿宋_GB2312"/>
      <w:b/>
      <w:bCs/>
      <w:szCs w:val="32"/>
      <w:lang w:val="zh-CN"/>
    </w:rPr>
  </w:style>
  <w:style w:type="paragraph" w:styleId="6">
    <w:name w:val="heading 3"/>
    <w:basedOn w:val="1"/>
    <w:next w:val="1"/>
    <w:link w:val="968"/>
    <w:qFormat/>
    <w:uiPriority w:val="0"/>
    <w:pPr>
      <w:keepNext/>
      <w:keepLines/>
      <w:tabs>
        <w:tab w:val="left" w:pos="900"/>
      </w:tabs>
      <w:ind w:hanging="720"/>
      <w:outlineLvl w:val="2"/>
    </w:pPr>
    <w:rPr>
      <w:b/>
      <w:bCs/>
      <w:szCs w:val="32"/>
    </w:rPr>
  </w:style>
  <w:style w:type="paragraph" w:styleId="7">
    <w:name w:val="heading 4"/>
    <w:basedOn w:val="1"/>
    <w:next w:val="1"/>
    <w:link w:val="330"/>
    <w:qFormat/>
    <w:uiPriority w:val="0"/>
    <w:pPr>
      <w:keepNext/>
      <w:keepLines/>
      <w:tabs>
        <w:tab w:val="left" w:pos="864"/>
      </w:tabs>
      <w:outlineLvl w:val="3"/>
    </w:pPr>
    <w:rPr>
      <w:rFonts w:ascii="Arial" w:hAnsi="Arial"/>
      <w:bCs/>
      <w:szCs w:val="28"/>
      <w:lang w:val="zh-CN"/>
    </w:rPr>
  </w:style>
  <w:style w:type="paragraph" w:styleId="8">
    <w:name w:val="heading 5"/>
    <w:basedOn w:val="4"/>
    <w:next w:val="1"/>
    <w:link w:val="296"/>
    <w:qFormat/>
    <w:uiPriority w:val="0"/>
    <w:pPr>
      <w:keepNext/>
      <w:keepLines/>
      <w:tabs>
        <w:tab w:val="left" w:pos="1008"/>
      </w:tabs>
      <w:jc w:val="left"/>
      <w:outlineLvl w:val="4"/>
    </w:pPr>
    <w:rPr>
      <w:bCs/>
      <w:szCs w:val="28"/>
    </w:rPr>
  </w:style>
  <w:style w:type="paragraph" w:styleId="9">
    <w:name w:val="heading 6"/>
    <w:basedOn w:val="1"/>
    <w:next w:val="1"/>
    <w:link w:val="151"/>
    <w:qFormat/>
    <w:uiPriority w:val="0"/>
    <w:pPr>
      <w:keepNext/>
      <w:keepLines/>
      <w:tabs>
        <w:tab w:val="left" w:pos="1152"/>
      </w:tabs>
      <w:spacing w:before="50" w:beforeLines="50" w:after="100" w:afterLines="100"/>
      <w:ind w:firstLine="0" w:firstLineChars="0"/>
      <w:jc w:val="center"/>
      <w:outlineLvl w:val="5"/>
    </w:pPr>
    <w:rPr>
      <w:rFonts w:ascii="Arial" w:hAnsi="Arial"/>
      <w:b/>
      <w:sz w:val="32"/>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311"/>
    <w:qFormat/>
    <w:uiPriority w:val="0"/>
    <w:pPr>
      <w:ind w:firstLine="0" w:firstLineChars="0"/>
      <w:jc w:val="center"/>
      <w:textAlignment w:val="baseline"/>
    </w:pPr>
    <w:rPr>
      <w:rFonts w:ascii="宋体" w:hAnsi="宋体"/>
      <w:b/>
      <w:kern w:val="0"/>
      <w:sz w:val="36"/>
      <w:szCs w:val="20"/>
    </w:rPr>
  </w:style>
  <w:style w:type="paragraph" w:styleId="4">
    <w:name w:val="Title"/>
    <w:basedOn w:val="1"/>
    <w:link w:val="289"/>
    <w:qFormat/>
    <w:uiPriority w:val="10"/>
    <w:pPr>
      <w:widowControl/>
      <w:overflowPunct w:val="0"/>
      <w:autoSpaceDE w:val="0"/>
      <w:autoSpaceDN w:val="0"/>
      <w:jc w:val="center"/>
      <w:textAlignment w:val="baseline"/>
    </w:pPr>
    <w:rPr>
      <w:b/>
      <w:kern w:val="0"/>
      <w:szCs w:val="20"/>
      <w:lang w:val="en-GB"/>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pPr>
    <w:rPr>
      <w:kern w:val="0"/>
      <w:szCs w:val="20"/>
    </w:rPr>
  </w:style>
  <w:style w:type="paragraph" w:styleId="15">
    <w:name w:val="List Bullet 4"/>
    <w:basedOn w:val="16"/>
    <w:next w:val="18"/>
    <w:unhideWhenUsed/>
    <w:qFormat/>
    <w:uiPriority w:val="99"/>
    <w:pPr>
      <w:widowControl/>
      <w:tabs>
        <w:tab w:val="left" w:pos="432"/>
      </w:tabs>
      <w:ind w:firstLine="0" w:firstLineChars="0"/>
      <w:contextualSpacing/>
    </w:pPr>
    <w:rPr>
      <w:rFonts w:ascii="Cambria" w:hAnsi="Cambria" w:eastAsia="仿宋"/>
      <w:color w:val="595959"/>
      <w:kern w:val="20"/>
      <w:sz w:val="24"/>
      <w:lang w:val="zh-CN"/>
    </w:rPr>
  </w:style>
  <w:style w:type="paragraph" w:customStyle="1" w:styleId="16">
    <w:name w:val="表格 内容"/>
    <w:basedOn w:val="17"/>
    <w:qFormat/>
    <w:uiPriority w:val="0"/>
    <w:rPr>
      <w:b w:val="0"/>
      <w:sz w:val="20"/>
    </w:rPr>
  </w:style>
  <w:style w:type="paragraph" w:customStyle="1" w:styleId="17">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18">
    <w:name w:val="表内文字"/>
    <w:basedOn w:val="1"/>
    <w:qFormat/>
    <w:uiPriority w:val="0"/>
    <w:pPr>
      <w:tabs>
        <w:tab w:val="left" w:pos="1418"/>
      </w:tabs>
      <w:adjustRightInd/>
      <w:ind w:firstLine="420"/>
      <w:jc w:val="center"/>
    </w:pPr>
    <w:rPr>
      <w:rFonts w:ascii="仿宋_GB2312" w:eastAsia="仿宋_GB2312"/>
      <w:spacing w:val="-20"/>
      <w:kern w:val="0"/>
    </w:rPr>
  </w:style>
  <w:style w:type="paragraph" w:styleId="19">
    <w:name w:val="List Number"/>
    <w:basedOn w:val="1"/>
    <w:qFormat/>
    <w:uiPriority w:val="0"/>
    <w:pPr>
      <w:widowControl/>
      <w:tabs>
        <w:tab w:val="left" w:pos="390"/>
        <w:tab w:val="left" w:pos="454"/>
      </w:tabs>
      <w:adjustRightInd/>
      <w:spacing w:after="156" w:afterLines="50"/>
      <w:ind w:left="454" w:hanging="284"/>
    </w:pPr>
    <w:rPr>
      <w:kern w:val="0"/>
      <w:szCs w:val="20"/>
    </w:rPr>
  </w:style>
  <w:style w:type="paragraph" w:styleId="20">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233"/>
    <w:qFormat/>
    <w:uiPriority w:val="0"/>
    <w:rPr>
      <w:b/>
      <w:sz w:val="28"/>
      <w:szCs w:val="20"/>
    </w:rPr>
  </w:style>
  <w:style w:type="paragraph" w:styleId="22">
    <w:name w:val="index 5"/>
    <w:basedOn w:val="1"/>
    <w:next w:val="1"/>
    <w:qFormat/>
    <w:uiPriority w:val="0"/>
    <w:pPr>
      <w:adjustRightInd/>
      <w:ind w:left="800" w:leftChars="800" w:firstLine="200"/>
    </w:pPr>
  </w:style>
  <w:style w:type="paragraph" w:styleId="23">
    <w:name w:val="Document Map"/>
    <w:basedOn w:val="1"/>
    <w:link w:val="206"/>
    <w:qFormat/>
    <w:uiPriority w:val="0"/>
    <w:pPr>
      <w:shd w:val="clear" w:color="auto" w:fill="000080"/>
    </w:pPr>
  </w:style>
  <w:style w:type="paragraph" w:styleId="24">
    <w:name w:val="annotation text"/>
    <w:basedOn w:val="1"/>
    <w:link w:val="347"/>
    <w:qFormat/>
    <w:uiPriority w:val="99"/>
  </w:style>
  <w:style w:type="paragraph" w:styleId="25">
    <w:name w:val="Salutation"/>
    <w:basedOn w:val="1"/>
    <w:next w:val="1"/>
    <w:link w:val="301"/>
    <w:qFormat/>
    <w:uiPriority w:val="0"/>
    <w:rPr>
      <w:rFonts w:ascii="仿宋_GB2312" w:eastAsia="仿宋_GB2312"/>
      <w:sz w:val="28"/>
      <w:szCs w:val="20"/>
    </w:rPr>
  </w:style>
  <w:style w:type="paragraph" w:styleId="26">
    <w:name w:val="Body Text 3"/>
    <w:basedOn w:val="1"/>
    <w:link w:val="333"/>
    <w:qFormat/>
    <w:uiPriority w:val="0"/>
    <w:pPr>
      <w:jc w:val="center"/>
    </w:pPr>
    <w:rPr>
      <w:szCs w:val="20"/>
    </w:rPr>
  </w:style>
  <w:style w:type="paragraph" w:styleId="27">
    <w:name w:val="List Bullet 3"/>
    <w:basedOn w:val="1"/>
    <w:unhideWhenUsed/>
    <w:qFormat/>
    <w:uiPriority w:val="0"/>
    <w:pPr>
      <w:snapToGrid w:val="0"/>
      <w:ind w:left="360" w:right="238" w:hanging="360"/>
      <w:contextualSpacing/>
    </w:pPr>
  </w:style>
  <w:style w:type="paragraph" w:styleId="28">
    <w:name w:val="Body Text"/>
    <w:basedOn w:val="1"/>
    <w:next w:val="29"/>
    <w:link w:val="433"/>
    <w:qFormat/>
    <w:uiPriority w:val="0"/>
    <w:pPr>
      <w:autoSpaceDE w:val="0"/>
      <w:autoSpaceDN w:val="0"/>
      <w:ind w:firstLine="0" w:firstLineChars="0"/>
    </w:pPr>
    <w:rPr>
      <w:rFonts w:ascii="宋体" w:hAnsi="宋体" w:cs="Arial"/>
      <w:snapToGrid w:val="0"/>
      <w:szCs w:val="21"/>
      <w:lang w:val="zh-CN"/>
    </w:rPr>
  </w:style>
  <w:style w:type="paragraph" w:styleId="29">
    <w:name w:val="Body Text 2"/>
    <w:basedOn w:val="1"/>
    <w:link w:val="305"/>
    <w:qFormat/>
    <w:uiPriority w:val="0"/>
    <w:pPr>
      <w:spacing w:after="120" w:line="480" w:lineRule="auto"/>
    </w:pPr>
  </w:style>
  <w:style w:type="paragraph" w:styleId="30">
    <w:name w:val="Body Text Indent"/>
    <w:basedOn w:val="1"/>
    <w:next w:val="1"/>
    <w:link w:val="268"/>
    <w:qFormat/>
    <w:uiPriority w:val="0"/>
    <w:pPr>
      <w:spacing w:line="480" w:lineRule="exact"/>
      <w:ind w:firstLine="480"/>
    </w:pPr>
    <w:rPr>
      <w:rFonts w:ascii="宋体" w:hAnsi="宋体"/>
    </w:rPr>
  </w:style>
  <w:style w:type="paragraph" w:styleId="31">
    <w:name w:val="List Number 3"/>
    <w:basedOn w:val="1"/>
    <w:qFormat/>
    <w:uiPriority w:val="0"/>
    <w:pPr>
      <w:widowControl/>
      <w:tabs>
        <w:tab w:val="left" w:pos="360"/>
        <w:tab w:val="left" w:pos="482"/>
      </w:tabs>
      <w:adjustRightInd/>
      <w:spacing w:after="156" w:afterLines="50"/>
      <w:ind w:left="482" w:hanging="340"/>
    </w:pPr>
    <w:rPr>
      <w:kern w:val="0"/>
      <w:szCs w:val="20"/>
    </w:rPr>
  </w:style>
  <w:style w:type="paragraph" w:styleId="32">
    <w:name w:val="List 2"/>
    <w:basedOn w:val="1"/>
    <w:qFormat/>
    <w:uiPriority w:val="0"/>
    <w:pPr>
      <w:adjustRightInd/>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pPr>
    <w:rPr>
      <w:rFonts w:ascii="宋体" w:hAnsi="宋体"/>
      <w:color w:val="000000"/>
      <w:kern w:val="0"/>
      <w:szCs w:val="20"/>
    </w:rPr>
  </w:style>
  <w:style w:type="paragraph" w:styleId="35">
    <w:name w:val="HTML Address"/>
    <w:basedOn w:val="1"/>
    <w:link w:val="223"/>
    <w:qFormat/>
    <w:uiPriority w:val="0"/>
    <w:pPr>
      <w:widowControl/>
      <w:adjustRightInd/>
      <w:ind w:firstLine="200"/>
    </w:pPr>
    <w:rPr>
      <w:rFonts w:ascii="宋体" w:hAnsi="宋体"/>
      <w:i/>
      <w:iCs/>
      <w:kern w:val="0"/>
    </w:rPr>
  </w:style>
  <w:style w:type="paragraph" w:styleId="36">
    <w:name w:val="toc 5"/>
    <w:basedOn w:val="1"/>
    <w:next w:val="1"/>
    <w:qFormat/>
    <w:uiPriority w:val="0"/>
    <w:pPr>
      <w:ind w:left="1680" w:leftChars="800"/>
    </w:pPr>
  </w:style>
  <w:style w:type="paragraph" w:styleId="37">
    <w:name w:val="toc 3"/>
    <w:basedOn w:val="1"/>
    <w:next w:val="1"/>
    <w:qFormat/>
    <w:uiPriority w:val="0"/>
    <w:pPr>
      <w:tabs>
        <w:tab w:val="right" w:leader="dot" w:pos="8268"/>
      </w:tabs>
      <w:spacing w:line="460" w:lineRule="exact"/>
      <w:ind w:left="840" w:leftChars="400"/>
    </w:pPr>
    <w:rPr>
      <w:rFonts w:ascii="宋体" w:hAnsi="宋体"/>
    </w:rPr>
  </w:style>
  <w:style w:type="paragraph" w:styleId="38">
    <w:name w:val="Plain Text"/>
    <w:basedOn w:val="1"/>
    <w:next w:val="1"/>
    <w:link w:val="129"/>
    <w:qFormat/>
    <w:uiPriority w:val="0"/>
    <w:rPr>
      <w:rFonts w:ascii="宋体" w:hAnsi="Courier New" w:cs="Arial"/>
      <w:snapToGrid w:val="0"/>
      <w:szCs w:val="21"/>
    </w:rPr>
  </w:style>
  <w:style w:type="paragraph" w:styleId="39">
    <w:name w:val="List Number 4"/>
    <w:basedOn w:val="1"/>
    <w:qFormat/>
    <w:uiPriority w:val="0"/>
    <w:pPr>
      <w:tabs>
        <w:tab w:val="left" w:pos="840"/>
      </w:tabs>
      <w:autoSpaceDE w:val="0"/>
      <w:autoSpaceDN w:val="0"/>
      <w:spacing w:line="360" w:lineRule="atLeast"/>
      <w:ind w:left="840" w:hanging="420"/>
    </w:pPr>
    <w:rPr>
      <w:kern w:val="0"/>
    </w:rPr>
  </w:style>
  <w:style w:type="paragraph" w:styleId="40">
    <w:name w:val="toc 8"/>
    <w:basedOn w:val="1"/>
    <w:next w:val="1"/>
    <w:qFormat/>
    <w:uiPriority w:val="0"/>
    <w:pPr>
      <w:ind w:left="2940" w:leftChars="1400"/>
    </w:pPr>
  </w:style>
  <w:style w:type="paragraph" w:styleId="41">
    <w:name w:val="Date"/>
    <w:basedOn w:val="1"/>
    <w:next w:val="1"/>
    <w:link w:val="185"/>
    <w:qFormat/>
    <w:uiPriority w:val="0"/>
    <w:pPr>
      <w:ind w:left="100" w:leftChars="2500"/>
    </w:pPr>
    <w:rPr>
      <w:rFonts w:ascii="宋体"/>
      <w:szCs w:val="21"/>
      <w:lang w:val="zh-CN"/>
    </w:rPr>
  </w:style>
  <w:style w:type="paragraph" w:styleId="42">
    <w:name w:val="endnote text"/>
    <w:basedOn w:val="1"/>
    <w:link w:val="931"/>
    <w:qFormat/>
    <w:uiPriority w:val="0"/>
    <w:rPr>
      <w:lang w:val="zh-CN"/>
    </w:rPr>
  </w:style>
  <w:style w:type="paragraph" w:styleId="43">
    <w:name w:val="Balloon Text"/>
    <w:basedOn w:val="1"/>
    <w:link w:val="192"/>
    <w:qFormat/>
    <w:uiPriority w:val="0"/>
    <w:rPr>
      <w:sz w:val="18"/>
      <w:szCs w:val="18"/>
    </w:rPr>
  </w:style>
  <w:style w:type="paragraph" w:styleId="44">
    <w:name w:val="footer"/>
    <w:basedOn w:val="1"/>
    <w:link w:val="386"/>
    <w:qFormat/>
    <w:uiPriority w:val="99"/>
    <w:pPr>
      <w:tabs>
        <w:tab w:val="center" w:pos="4153"/>
        <w:tab w:val="right" w:pos="8306"/>
      </w:tabs>
      <w:snapToGrid w:val="0"/>
    </w:pPr>
    <w:rPr>
      <w:sz w:val="18"/>
      <w:szCs w:val="18"/>
    </w:rPr>
  </w:style>
  <w:style w:type="paragraph" w:styleId="45">
    <w:name w:val="header"/>
    <w:basedOn w:val="46"/>
    <w:link w:val="395"/>
    <w:qFormat/>
    <w:uiPriority w:val="99"/>
    <w:pPr>
      <w:pBdr>
        <w:bottom w:val="single" w:color="auto" w:sz="6" w:space="1"/>
      </w:pBdr>
      <w:tabs>
        <w:tab w:val="center" w:pos="4153"/>
        <w:tab w:val="right" w:pos="8306"/>
      </w:tabs>
      <w:snapToGrid w:val="0"/>
      <w:spacing w:line="240" w:lineRule="auto"/>
      <w:ind w:firstLine="0" w:firstLineChars="0"/>
      <w:jc w:val="right"/>
    </w:pPr>
    <w:rPr>
      <w:sz w:val="18"/>
      <w:szCs w:val="18"/>
    </w:rPr>
  </w:style>
  <w:style w:type="paragraph" w:customStyle="1" w:styleId="46">
    <w:name w:val="本文正文"/>
    <w:basedOn w:val="1"/>
    <w:qFormat/>
    <w:uiPriority w:val="0"/>
    <w:pPr>
      <w:ind w:firstLine="1040"/>
    </w:pPr>
    <w:rPr>
      <w:rFonts w:ascii="Calibri" w:hAnsi="Calibri"/>
      <w:sz w:val="28"/>
    </w:rPr>
  </w:style>
  <w:style w:type="paragraph" w:styleId="47">
    <w:name w:val="Signature"/>
    <w:basedOn w:val="1"/>
    <w:link w:val="348"/>
    <w:qFormat/>
    <w:uiPriority w:val="0"/>
    <w:pPr>
      <w:spacing w:after="600" w:line="312" w:lineRule="atLeast"/>
      <w:jc w:val="center"/>
      <w:textAlignment w:val="baseline"/>
    </w:pPr>
    <w:rPr>
      <w:rFonts w:eastAsia="仿宋_GB2312"/>
      <w:kern w:val="0"/>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pPr>
  </w:style>
  <w:style w:type="paragraph" w:styleId="51">
    <w:name w:val="index 1"/>
    <w:basedOn w:val="1"/>
    <w:next w:val="1"/>
    <w:qFormat/>
    <w:uiPriority w:val="0"/>
    <w:pPr>
      <w:adjustRightInd/>
      <w:ind w:firstLine="200"/>
      <w:jc w:val="center"/>
    </w:pPr>
    <w:rPr>
      <w:szCs w:val="20"/>
    </w:rPr>
  </w:style>
  <w:style w:type="paragraph" w:styleId="52">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Cs w:val="20"/>
    </w:rPr>
  </w:style>
  <w:style w:type="paragraph" w:styleId="54">
    <w:name w:val="List"/>
    <w:basedOn w:val="1"/>
    <w:qFormat/>
    <w:uiPriority w:val="0"/>
    <w:pPr>
      <w:ind w:left="200" w:hanging="200" w:hangingChars="200"/>
    </w:pPr>
  </w:style>
  <w:style w:type="paragraph" w:styleId="55">
    <w:name w:val="footnote text"/>
    <w:basedOn w:val="20"/>
    <w:link w:val="313"/>
    <w:qFormat/>
    <w:uiPriority w:val="0"/>
    <w:pPr>
      <w:adjustRightInd/>
      <w:snapToGrid/>
      <w:spacing w:before="60" w:after="60" w:line="300" w:lineRule="exact"/>
      <w:ind w:firstLine="0"/>
    </w:pPr>
    <w:rPr>
      <w:rFonts w:ascii="Calibri"/>
      <w:snapToGrid/>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78"/>
    <w:qFormat/>
    <w:uiPriority w:val="0"/>
    <w:pPr>
      <w:ind w:firstLine="420"/>
    </w:pPr>
    <w:rPr>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pPr>
    <w:rPr>
      <w:rFonts w:ascii="宋体" w:hAnsi="宋体"/>
      <w:kern w:val="0"/>
    </w:rPr>
  </w:style>
  <w:style w:type="paragraph" w:styleId="63">
    <w:name w:val="annotation subject"/>
    <w:basedOn w:val="24"/>
    <w:next w:val="24"/>
    <w:link w:val="100"/>
    <w:qFormat/>
    <w:uiPriority w:val="0"/>
    <w:rPr>
      <w:b/>
      <w:bCs/>
    </w:rPr>
  </w:style>
  <w:style w:type="paragraph" w:styleId="64">
    <w:name w:val="Body Text First Indent"/>
    <w:basedOn w:val="28"/>
    <w:link w:val="324"/>
    <w:qFormat/>
    <w:uiPriority w:val="0"/>
    <w:pPr>
      <w:ind w:firstLine="420"/>
    </w:pPr>
    <w:rPr>
      <w:rFonts w:hAnsi="Calibri" w:cs="Times New Roman"/>
      <w:snapToGrid/>
      <w:szCs w:val="20"/>
    </w:rPr>
  </w:style>
  <w:style w:type="paragraph" w:styleId="65">
    <w:name w:val="Body Text First Indent 2"/>
    <w:basedOn w:val="30"/>
    <w:next w:val="1"/>
    <w:link w:val="125"/>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样式1"/>
    <w:basedOn w:val="1"/>
    <w:next w:val="1"/>
    <w:qFormat/>
    <w:uiPriority w:val="0"/>
    <w:pPr>
      <w:widowControl/>
      <w:tabs>
        <w:tab w:val="left" w:pos="1212"/>
        <w:tab w:val="left" w:pos="3888"/>
      </w:tabs>
      <w:snapToGrid w:val="0"/>
      <w:spacing w:line="336" w:lineRule="auto"/>
      <w:ind w:firstLine="432"/>
    </w:pPr>
    <w:rPr>
      <w:rFonts w:ascii="宋体" w:hAnsi="宋体"/>
      <w:kern w:val="0"/>
      <w:szCs w:val="20"/>
    </w:rPr>
  </w:style>
  <w:style w:type="paragraph" w:customStyle="1" w:styleId="84">
    <w:name w:val="Default"/>
    <w:next w:val="85"/>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pPr>
    <w:rPr>
      <w:rFonts w:ascii="宋体" w:hAnsi="宋体"/>
      <w:kern w:val="0"/>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pPr>
    <w:rPr>
      <w:kern w:val="0"/>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3"/>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ind w:firstLine="200"/>
    </w:pPr>
    <w:rPr>
      <w:rFonts w:ascii="宋体" w:hAnsi="宋体"/>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ind w:firstLine="566" w:firstLineChars="202"/>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5"/>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3"/>
    <w:qFormat/>
    <w:uiPriority w:val="0"/>
    <w:rPr>
      <w:rFonts w:ascii="Arial" w:hAnsi="Arial" w:eastAsia="黑体" w:cs="Arial"/>
      <w:snapToGrid w:val="0"/>
      <w:kern w:val="0"/>
      <w:szCs w:val="21"/>
    </w:rPr>
  </w:style>
  <w:style w:type="character" w:customStyle="1" w:styleId="129">
    <w:name w:val="纯文本 字符1"/>
    <w:link w:val="38"/>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ind w:firstLine="510"/>
    </w:pPr>
    <w:rPr>
      <w:szCs w:val="20"/>
    </w:rPr>
  </w:style>
  <w:style w:type="character" w:customStyle="1" w:styleId="136">
    <w:name w:val="Char Char24"/>
    <w:qFormat/>
    <w:uiPriority w:val="6"/>
    <w:rPr>
      <w:kern w:val="1"/>
      <w:sz w:val="21"/>
    </w:rPr>
  </w:style>
  <w:style w:type="character" w:customStyle="1" w:styleId="137">
    <w:name w:val="副标题 字符"/>
    <w:link w:val="52"/>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9"/>
    <w:qFormat/>
    <w:uiPriority w:val="0"/>
    <w:rPr>
      <w:rFonts w:ascii="Arial" w:hAnsi="Arial" w:eastAsia="仿宋"/>
      <w:b/>
      <w:bCs/>
      <w:kern w:val="2"/>
      <w:sz w:val="32"/>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5"/>
    <w:link w:val="174"/>
    <w:qFormat/>
    <w:uiPriority w:val="0"/>
    <w:pPr>
      <w:snapToGrid w:val="0"/>
      <w:spacing w:before="240" w:after="240" w:line="240" w:lineRule="auto"/>
      <w:ind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41"/>
    <w:qFormat/>
    <w:uiPriority w:val="0"/>
    <w:rPr>
      <w:rFonts w:ascii="宋体"/>
      <w:kern w:val="2"/>
      <w:sz w:val="24"/>
      <w:szCs w:val="21"/>
      <w:lang w:val="zh-CN"/>
    </w:rPr>
  </w:style>
  <w:style w:type="character" w:customStyle="1" w:styleId="186">
    <w:name w:val="标题 9 字符"/>
    <w:link w:val="12"/>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43"/>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ind w:firstLine="480"/>
    </w:pPr>
    <w:rPr>
      <w:rFonts w:ascii="Tahoma" w:hAnsi="Tahoma"/>
      <w:kern w:val="0"/>
    </w:rPr>
  </w:style>
  <w:style w:type="character" w:customStyle="1" w:styleId="197">
    <w:name w:val="正文缩进 字符2"/>
    <w:link w:val="20"/>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6"/>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23"/>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3"/>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5"/>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7"/>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ind w:firstLine="480"/>
    </w:pPr>
    <w:rPr>
      <w:rFonts w:ascii="宋体" w:hAnsi="宋体"/>
      <w:color w:val="000000"/>
      <w:kern w:val="0"/>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21"/>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4"/>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ind w:firstLine="480"/>
    </w:pPr>
    <w:rPr>
      <w:kern w:val="0"/>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ind w:firstLine="480"/>
    </w:pPr>
    <w:rPr>
      <w:rFonts w:ascii="宋体" w:hAnsi="宋体"/>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ind w:left="720" w:firstLine="200"/>
    </w:pPr>
    <w:rPr>
      <w:kern w:val="0"/>
      <w:szCs w:val="20"/>
      <w:lang w:eastAsia="en-US"/>
    </w:rPr>
  </w:style>
  <w:style w:type="paragraph" w:styleId="261">
    <w:name w:val="List Paragraph"/>
    <w:basedOn w:val="1"/>
    <w:qFormat/>
    <w:uiPriority w:val="34"/>
    <w:pPr>
      <w:ind w:firstLine="200"/>
    </w:pPr>
    <w:rPr>
      <w:rFonts w:eastAsia="楷体_GB2312" w:cs="Lucida San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30"/>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ind w:firstLine="200"/>
    </w:p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3"/>
    <w:qFormat/>
    <w:uiPriority w:val="9"/>
    <w:rPr>
      <w:rFonts w:eastAsia="仿宋"/>
      <w:b/>
      <w:bCs/>
      <w:kern w:val="44"/>
      <w:sz w:val="32"/>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4"/>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8"/>
    <w:qFormat/>
    <w:uiPriority w:val="9"/>
    <w:rPr>
      <w:rFonts w:eastAsia="仿宋"/>
      <w:b/>
      <w:bCs/>
      <w:kern w:val="2"/>
      <w:sz w:val="24"/>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5"/>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61"/>
    <w:qFormat/>
    <w:uiPriority w:val="0"/>
    <w:rPr>
      <w:rFonts w:ascii="黑体" w:hAnsi="Courier New" w:eastAsia="黑体"/>
    </w:rPr>
  </w:style>
  <w:style w:type="character" w:customStyle="1" w:styleId="305">
    <w:name w:val="正文文本 2 字符1"/>
    <w:link w:val="29"/>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6"/>
    <w:qFormat/>
    <w:uiPriority w:val="0"/>
    <w:pPr>
      <w:tabs>
        <w:tab w:val="left" w:pos="2356"/>
        <w:tab w:val="clear" w:pos="864"/>
      </w:tabs>
      <w:adjustRightInd/>
      <w:ind w:left="1984" w:leftChars="75" w:hanging="708"/>
    </w:pPr>
    <w:rPr>
      <w:rFonts w:ascii="微软雅黑" w:hAnsi="微软雅黑" w:eastAsia="微软雅黑"/>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10"/>
    <w:qFormat/>
    <w:uiPriority w:val="0"/>
    <w:rPr>
      <w:b/>
      <w:bCs/>
      <w:kern w:val="2"/>
      <w:sz w:val="24"/>
      <w:szCs w:val="24"/>
    </w:rPr>
  </w:style>
  <w:style w:type="character" w:customStyle="1" w:styleId="311">
    <w:name w:val="正文文本缩进 2 字符"/>
    <w:link w:val="2"/>
    <w:qFormat/>
    <w:uiPriority w:val="0"/>
    <w:rPr>
      <w:rFonts w:ascii="宋体" w:hAnsi="宋体" w:eastAsia="仿宋"/>
      <w:b/>
      <w:sz w:val="36"/>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5"/>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6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7"/>
    <w:qFormat/>
    <w:uiPriority w:val="9"/>
    <w:rPr>
      <w:rFonts w:ascii="Arial" w:hAnsi="Arial" w:eastAsia="仿宋"/>
      <w:b/>
      <w:bCs/>
      <w:kern w:val="2"/>
      <w:sz w:val="24"/>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6"/>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pPr>
    <w:rPr>
      <w:kern w:val="0"/>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pPr>
    <w:rPr>
      <w:kern w:val="0"/>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4"/>
    <w:qFormat/>
    <w:uiPriority w:val="0"/>
    <w:rPr>
      <w:kern w:val="2"/>
      <w:sz w:val="21"/>
      <w:szCs w:val="24"/>
    </w:rPr>
  </w:style>
  <w:style w:type="character" w:customStyle="1" w:styleId="348">
    <w:name w:val="签名 字符"/>
    <w:link w:val="47"/>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ind w:firstLine="360"/>
    </w:pPr>
    <w:rPr>
      <w:rFonts w:ascii="仿宋_GB2312" w:eastAsia="仿宋_GB2312"/>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8"/>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4"/>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ind w:firstLine="480"/>
    </w:pPr>
    <w:rPr>
      <w:rFonts w:ascii="宋体" w:hAnsi="宋体"/>
      <w:kern w:val="0"/>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5"/>
    <w:qFormat/>
    <w:uiPriority w:val="99"/>
    <w:rPr>
      <w:rFonts w:eastAsia="仿宋"/>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pPr>
    <w:rPr>
      <w:kern w:val="0"/>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ind w:firstLine="480"/>
    </w:pPr>
    <w:rPr>
      <w:rFonts w:ascii="宋体" w:hAnsi="宋体"/>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ind w:left="432" w:hanging="432"/>
    </w:pPr>
    <w:rPr>
      <w:rFonts w:ascii="Arial" w:hAnsi="Arial"/>
      <w:kern w:val="0"/>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ind w:firstLine="480"/>
    </w:pPr>
    <w:rPr>
      <w:rFonts w:ascii="仿宋_GB2312" w:eastAsia="仿宋_GB2312"/>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3"/>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20"/>
    <w:link w:val="431"/>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28"/>
    <w:qFormat/>
    <w:uiPriority w:val="0"/>
    <w:rPr>
      <w:rFonts w:ascii="宋体" w:hAnsi="宋体" w:eastAsia="仿宋" w:cs="Arial"/>
      <w:snapToGrid w:val="0"/>
      <w:kern w:val="2"/>
      <w:sz w:val="24"/>
      <w:szCs w:val="21"/>
      <w:lang w:val="zh-CN" w:eastAsia="zh-CN" w:bidi="ar-SA"/>
    </w:rPr>
  </w:style>
  <w:style w:type="character" w:customStyle="1" w:styleId="434">
    <w:name w:val="gray6"/>
    <w:basedOn w:val="73"/>
    <w:qFormat/>
    <w:uiPriority w:val="0"/>
    <w:rPr>
      <w:rFonts w:ascii="Arial" w:hAnsi="Arial" w:eastAsia="黑体" w:cs="Arial"/>
      <w:snapToGrid w:val="0"/>
      <w:kern w:val="0"/>
      <w:szCs w:val="21"/>
    </w:rPr>
  </w:style>
  <w:style w:type="character" w:customStyle="1" w:styleId="435">
    <w:name w:val="hui"/>
    <w:basedOn w:val="73"/>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30"/>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qFormat/>
    <w:uiPriority w:val="0"/>
    <w:pPr>
      <w:adjustRightInd/>
      <w:jc w:val="center"/>
    </w:pPr>
    <w:rPr>
      <w:rFonts w:ascii="宋体" w:hAnsi="宋体" w:cs="宋体"/>
      <w:b/>
      <w:bCs/>
      <w:color w:val="000000"/>
      <w:szCs w:val="21"/>
    </w:rPr>
  </w:style>
  <w:style w:type="paragraph" w:customStyle="1" w:styleId="441">
    <w:name w:val="目录标题"/>
    <w:basedOn w:val="1"/>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jc w:val="center"/>
    </w:pPr>
    <w:rPr>
      <w:rFonts w:ascii="宋体" w:hAnsi="宋体" w:cs="宋体"/>
      <w:b/>
      <w:bCs/>
      <w:szCs w:val="20"/>
    </w:rPr>
  </w:style>
  <w:style w:type="paragraph" w:customStyle="1" w:styleId="444">
    <w:name w:val="标题4_自定义"/>
    <w:basedOn w:val="7"/>
    <w:qFormat/>
    <w:uiPriority w:val="0"/>
    <w:pPr>
      <w:adjustRightInd/>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9">
    <w:name w:val="reader-word-layer"/>
    <w:basedOn w:val="1"/>
    <w:qFormat/>
    <w:uiPriority w:val="0"/>
    <w:pPr>
      <w:widowControl/>
      <w:adjustRightInd/>
      <w:spacing w:before="100" w:beforeAutospacing="1" w:after="100" w:afterAutospacing="1"/>
    </w:pPr>
    <w:rPr>
      <w:rFonts w:ascii="宋体" w:hAnsi="宋体" w:cs="宋体"/>
      <w:kern w:val="0"/>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pPr>
    <w:rPr>
      <w:rFonts w:ascii="Tahoma" w:hAnsi="Tahoma"/>
      <w:szCs w:val="20"/>
    </w:rPr>
  </w:style>
  <w:style w:type="paragraph" w:customStyle="1" w:styleId="456">
    <w:name w:val="style82 f9a f9a f9a"/>
    <w:basedOn w:val="1"/>
    <w:qFormat/>
    <w:uiPriority w:val="0"/>
    <w:pPr>
      <w:widowControl/>
      <w:spacing w:before="100" w:beforeAutospacing="1" w:after="100" w:afterAutospacing="1" w:line="276" w:lineRule="auto"/>
    </w:pPr>
    <w:rPr>
      <w:rFonts w:ascii="宋体" w:hAnsi="宋体"/>
      <w:kern w:val="0"/>
      <w:szCs w:val="20"/>
    </w:rPr>
  </w:style>
  <w:style w:type="paragraph" w:customStyle="1" w:styleId="457">
    <w:name w:val="正文 编号"/>
    <w:basedOn w:val="1"/>
    <w:qFormat/>
    <w:uiPriority w:val="0"/>
    <w:pPr>
      <w:widowControl/>
      <w:tabs>
        <w:tab w:val="left" w:pos="840"/>
      </w:tabs>
      <w:spacing w:after="120" w:line="440" w:lineRule="exact"/>
      <w:ind w:left="840" w:hanging="420"/>
    </w:pPr>
    <w:rPr>
      <w:rFonts w:ascii="仿宋_GB2312" w:hAnsi="仿宋_GB2312" w:eastAsia="仿宋_GB2312"/>
      <w:szCs w:val="20"/>
    </w:rPr>
  </w:style>
  <w:style w:type="paragraph" w:customStyle="1" w:styleId="458">
    <w:name w:val="Char Char Char Char Char Char Char Char"/>
    <w:basedOn w:val="1"/>
    <w:qFormat/>
    <w:uiPriority w:val="0"/>
    <w:pPr>
      <w:tabs>
        <w:tab w:val="left" w:pos="360"/>
      </w:tabs>
    </w:pPr>
    <w:rPr>
      <w:szCs w:val="20"/>
    </w:rPr>
  </w:style>
  <w:style w:type="paragraph" w:customStyle="1" w:styleId="459">
    <w:name w:val="Char Char11 Char Char Char"/>
    <w:basedOn w:val="1"/>
    <w:qFormat/>
    <w:uiPriority w:val="0"/>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rPr>
  </w:style>
  <w:style w:type="paragraph" w:customStyle="1" w:styleId="465">
    <w:name w:val="Z5"/>
    <w:basedOn w:val="1"/>
    <w:next w:val="1"/>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ind w:firstLine="510"/>
    </w:pPr>
    <w:rPr>
      <w:szCs w:val="20"/>
    </w:rPr>
  </w:style>
  <w:style w:type="paragraph" w:customStyle="1" w:styleId="46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474">
    <w:name w:val="样式 宋体 行距: 1.5 倍行距 首行缩进:  2 字符"/>
    <w:basedOn w:val="1"/>
    <w:qFormat/>
    <w:uiPriority w:val="0"/>
    <w:pPr>
      <w:adjustRightInd/>
      <w:ind w:firstLine="420"/>
    </w:pPr>
    <w:rPr>
      <w:rFonts w:ascii="宋体" w:hAnsi="宋体"/>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pPr>
    <w:rPr>
      <w:sz w:val="28"/>
      <w:szCs w:val="20"/>
      <w:lang w:eastAsia="zh-TW"/>
    </w:rPr>
  </w:style>
  <w:style w:type="paragraph" w:customStyle="1" w:styleId="480">
    <w:name w:val="Char2 Char Char"/>
    <w:basedOn w:val="1"/>
    <w:qFormat/>
    <w:uiPriority w:val="0"/>
    <w:pPr>
      <w:adjustRightInd/>
    </w:pPr>
    <w:rPr>
      <w:rFonts w:ascii="Tahoma" w:hAnsi="Tahoma"/>
      <w:szCs w:val="20"/>
    </w:rPr>
  </w:style>
  <w:style w:type="paragraph" w:customStyle="1" w:styleId="481">
    <w:name w:val="_Style 11"/>
    <w:basedOn w:val="1"/>
    <w:qFormat/>
    <w:uiPriority w:val="34"/>
    <w:pPr>
      <w:adjustRightInd/>
      <w:ind w:firstLine="42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kern w:val="0"/>
      <w:sz w:val="20"/>
      <w:szCs w:val="20"/>
    </w:rPr>
  </w:style>
  <w:style w:type="paragraph" w:customStyle="1" w:styleId="483">
    <w:name w:val="Char Char Char"/>
    <w:basedOn w:val="1"/>
    <w:qFormat/>
    <w:uiPriority w:val="0"/>
    <w:rPr>
      <w:rFonts w:ascii="Tahoma" w:hAnsi="Tahoma"/>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2"/>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90">
    <w:name w:val="Char Char1 Char1"/>
    <w:basedOn w:val="1"/>
    <w:qFormat/>
    <w:uiPriority w:val="6"/>
    <w:pPr>
      <w:widowControl/>
      <w:snapToGrid w:val="0"/>
      <w:spacing w:before="120" w:after="160"/>
      <w:ind w:right="-360"/>
    </w:pPr>
    <w:rPr>
      <w:rFonts w:ascii="Arial" w:hAnsi="Arial"/>
      <w:kern w:val="0"/>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pPr>
    <w:rPr>
      <w:rFonts w:ascii="Arial" w:hAnsi="Arial"/>
      <w:color w:val="000000"/>
      <w:kern w:val="0"/>
      <w:sz w:val="28"/>
      <w:szCs w:val="28"/>
    </w:rPr>
  </w:style>
  <w:style w:type="paragraph" w:customStyle="1" w:styleId="492">
    <w:name w:val="MM Topic 2"/>
    <w:basedOn w:val="5"/>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adjustRightInd/>
      <w:spacing w:before="480" w:after="0" w:line="276" w:lineRule="auto"/>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ind w:firstLine="480"/>
    </w:pPr>
    <w:rPr>
      <w:rFonts w:hAnsi="宋体"/>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jc w:val="center"/>
    </w:pPr>
    <w:rPr>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ind w:firstLine="480"/>
    </w:pPr>
    <w:rPr>
      <w:rFonts w:ascii="Arial" w:hAnsi="Arial"/>
      <w:szCs w:val="21"/>
    </w:rPr>
  </w:style>
  <w:style w:type="paragraph" w:customStyle="1" w:styleId="51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szCs w:val="21"/>
    </w:rPr>
  </w:style>
  <w:style w:type="paragraph" w:customStyle="1" w:styleId="514">
    <w:name w:val="Char Char Char Char Char Char1 Char"/>
    <w:basedOn w:val="1"/>
    <w:qFormat/>
    <w:uiPriority w:val="0"/>
    <w:pPr>
      <w:widowControl/>
      <w:spacing w:after="160" w:line="240" w:lineRule="exac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Cs w:val="20"/>
    </w:rPr>
  </w:style>
  <w:style w:type="paragraph" w:customStyle="1" w:styleId="516">
    <w:name w:val="列出段落5"/>
    <w:basedOn w:val="1"/>
    <w:qFormat/>
    <w:uiPriority w:val="0"/>
    <w:pPr>
      <w:ind w:firstLine="200"/>
    </w:pPr>
    <w:rPr>
      <w:rFonts w:eastAsia="楷体_GB2312" w:cs="Lucida Sans"/>
    </w:rPr>
  </w:style>
  <w:style w:type="paragraph" w:customStyle="1" w:styleId="517">
    <w:name w:val="font7"/>
    <w:basedOn w:val="1"/>
    <w:qFormat/>
    <w:uiPriority w:val="0"/>
    <w:pPr>
      <w:widowControl/>
      <w:adjustRightInd/>
      <w:spacing w:before="100" w:beforeAutospacing="1" w:after="100" w:afterAutospacing="1"/>
      <w:ind w:firstLine="200"/>
    </w:pPr>
    <w:rPr>
      <w:kern w:val="0"/>
      <w:sz w:val="20"/>
      <w:szCs w:val="20"/>
    </w:rPr>
  </w:style>
  <w:style w:type="paragraph" w:customStyle="1" w:styleId="518">
    <w:name w:val="表格文字"/>
    <w:basedOn w:val="1"/>
    <w:next w:val="20"/>
    <w:qFormat/>
    <w:uiPriority w:val="0"/>
    <w:pPr>
      <w:adjustRightInd/>
      <w:ind w:firstLine="200"/>
    </w:pPr>
    <w:rPr>
      <w:rFonts w:ascii="Arial" w:hAnsi="Arial"/>
      <w:spacing w:val="-5"/>
      <w:kern w:val="0"/>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adjustRightInd/>
      <w:spacing w:before="480" w:after="0" w:line="276" w:lineRule="auto"/>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cs="宋体"/>
      <w:kern w:val="0"/>
      <w:sz w:val="20"/>
      <w:szCs w:val="20"/>
    </w:rPr>
  </w:style>
  <w:style w:type="paragraph" w:customStyle="1" w:styleId="522">
    <w:name w:val="样式 左侧:  0.85 厘米 首行缩进:  0.85 厘米"/>
    <w:basedOn w:val="1"/>
    <w:qFormat/>
    <w:uiPriority w:val="0"/>
    <w:pPr>
      <w:adjustRightInd/>
    </w:pPr>
    <w:rPr>
      <w:rFonts w:cs="宋体"/>
      <w:szCs w:val="20"/>
    </w:rPr>
  </w:style>
  <w:style w:type="paragraph" w:customStyle="1" w:styleId="523">
    <w:name w:val="Char3 Char Char"/>
    <w:basedOn w:val="1"/>
    <w:qFormat/>
    <w:uiPriority w:val="0"/>
    <w:pPr>
      <w:widowControl/>
      <w:adjustRightInd/>
      <w:spacing w:after="160" w:line="240" w:lineRule="exact"/>
    </w:pPr>
    <w:rPr>
      <w:rFonts w:ascii="Arial" w:hAnsi="Arial" w:eastAsia="Times New Roman" w:cs="Verdana"/>
      <w:b/>
      <w:kern w:val="0"/>
      <w:szCs w:val="20"/>
      <w:lang w:eastAsia="en-US"/>
    </w:rPr>
  </w:style>
  <w:style w:type="paragraph" w:customStyle="1" w:styleId="524">
    <w:name w:val="_Style 3"/>
    <w:basedOn w:val="1"/>
    <w:qFormat/>
    <w:uiPriority w:val="0"/>
    <w:pPr>
      <w:adjustRightInd/>
      <w:ind w:firstLine="42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6">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jc w:val="right"/>
    </w:pPr>
  </w:style>
  <w:style w:type="paragraph" w:customStyle="1" w:styleId="528">
    <w:name w:val="Char Char11 Char Char Char Char Char Char Char Char Char"/>
    <w:basedOn w:val="1"/>
    <w:qFormat/>
    <w:uiPriority w:val="0"/>
    <w:rPr>
      <w:szCs w:val="20"/>
    </w:rPr>
  </w:style>
  <w:style w:type="paragraph" w:customStyle="1" w:styleId="529">
    <w:name w:val="正文1.25"/>
    <w:basedOn w:val="1"/>
    <w:qFormat/>
    <w:uiPriority w:val="0"/>
    <w:pPr>
      <w:adjustRightInd/>
      <w:spacing w:line="300" w:lineRule="auto"/>
      <w:ind w:firstLine="480"/>
    </w:pPr>
    <w:rPr>
      <w:szCs w:val="20"/>
    </w:rPr>
  </w:style>
  <w:style w:type="paragraph" w:customStyle="1" w:styleId="530">
    <w:name w:val="1正文"/>
    <w:basedOn w:val="1"/>
    <w:qFormat/>
    <w:uiPriority w:val="0"/>
    <w:pPr>
      <w:adjustRightInd/>
      <w:ind w:firstLine="200"/>
    </w:pPr>
    <w:rPr>
      <w:rFonts w:ascii="仿宋_GB2312" w:hAnsi="Arial"/>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pPr>
    <w:rPr>
      <w:rFonts w:ascii="宋体" w:hAnsi="宋体"/>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qFormat/>
    <w:uiPriority w:val="0"/>
    <w:pPr>
      <w:widowControl/>
    </w:pPr>
    <w:rPr>
      <w:rFonts w:cs="宋体"/>
      <w:szCs w:val="20"/>
    </w:rPr>
  </w:style>
  <w:style w:type="paragraph" w:customStyle="1" w:styleId="538">
    <w:name w:val="彩色列表 - 强调文字颜色 11"/>
    <w:basedOn w:val="1"/>
    <w:qFormat/>
    <w:uiPriority w:val="0"/>
    <w:pPr>
      <w:adjustRightInd/>
      <w:ind w:firstLine="420"/>
    </w:pPr>
    <w:rPr>
      <w:rFonts w:ascii="Calibri" w:hAnsi="Calibri"/>
      <w:szCs w:val="22"/>
    </w:rPr>
  </w:style>
  <w:style w:type="paragraph" w:customStyle="1" w:styleId="539">
    <w:name w:val="加粗正文"/>
    <w:basedOn w:val="1"/>
    <w:qFormat/>
    <w:uiPriority w:val="0"/>
    <w:pPr>
      <w:adjustRightInd/>
      <w:spacing w:before="156" w:beforeLines="50" w:after="156" w:afterLines="50"/>
      <w:ind w:firstLine="422"/>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41">
    <w:name w:val="正文6"/>
    <w:basedOn w:val="1"/>
    <w:qFormat/>
    <w:uiPriority w:val="0"/>
    <w:pPr>
      <w:tabs>
        <w:tab w:val="left" w:pos="0"/>
        <w:tab w:val="left" w:pos="703"/>
      </w:tabs>
      <w:adjustRightInd/>
      <w:spacing w:before="60" w:after="60"/>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textAlignment w:val="top"/>
    </w:pPr>
    <w:rPr>
      <w:rFonts w:ascii="宋体" w:hAnsi="宋体"/>
      <w:kern w:val="0"/>
      <w:sz w:val="20"/>
      <w:szCs w:val="20"/>
    </w:rPr>
  </w:style>
  <w:style w:type="paragraph" w:customStyle="1" w:styleId="544">
    <w:name w:val="样式 标题 2 + 宋体 左侧:  1.76 厘米 首行缩进:  0 厘米"/>
    <w:basedOn w:val="5"/>
    <w:qFormat/>
    <w:uiPriority w:val="0"/>
    <w:pPr>
      <w:tabs>
        <w:tab w:val="left" w:pos="0"/>
        <w:tab w:val="clear" w:pos="432"/>
      </w:tabs>
      <w:spacing w:before="260" w:after="260" w:line="415" w:lineRule="auto"/>
      <w:ind w:firstLine="200"/>
      <w:jc w:val="both"/>
    </w:pPr>
    <w:rPr>
      <w:rFonts w:ascii="宋体" w:hAnsi="Cambria" w:eastAsia="宋体" w:cs="宋体"/>
      <w:szCs w:val="20"/>
      <w:lang w:val="en-US"/>
    </w:rPr>
  </w:style>
  <w:style w:type="paragraph" w:customStyle="1" w:styleId="545">
    <w:name w:val="List Paragraph*"/>
    <w:basedOn w:val="1"/>
    <w:qFormat/>
    <w:uiPriority w:val="7"/>
    <w:pPr>
      <w:adjustRightInd/>
      <w:ind w:firstLine="420"/>
    </w:pPr>
    <w:rPr>
      <w:rFonts w:ascii="Calibri" w:hAnsi="Calibri" w:cs="Calibri"/>
      <w:color w:val="000000"/>
      <w:kern w:val="1"/>
      <w:szCs w:val="22"/>
    </w:rPr>
  </w:style>
  <w:style w:type="paragraph" w:customStyle="1" w:styleId="546">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8">
    <w:name w:val="CM14"/>
    <w:basedOn w:val="84"/>
    <w:next w:val="84"/>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pPr>
    <w:rPr>
      <w:rFonts w:ascii="宋体" w:hAnsi="宋体" w:eastAsia="仿宋_GB2312"/>
      <w:sz w:val="28"/>
    </w:rPr>
  </w:style>
  <w:style w:type="paragraph" w:customStyle="1" w:styleId="552">
    <w:name w:val="正文文字 2"/>
    <w:basedOn w:val="84"/>
    <w:next w:val="84"/>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kern w:val="0"/>
      <w:sz w:val="20"/>
      <w:szCs w:val="20"/>
    </w:rPr>
  </w:style>
  <w:style w:type="paragraph" w:customStyle="1" w:styleId="556">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557">
    <w:name w:val="Char Char111"/>
    <w:basedOn w:val="1"/>
    <w:qFormat/>
    <w:uiPriority w:val="0"/>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ind w:firstLine="200"/>
    </w:pPr>
    <w:rPr>
      <w:rFonts w:ascii="宋体" w:hAnsi="Calibri"/>
    </w:rPr>
  </w:style>
  <w:style w:type="paragraph" w:customStyle="1" w:styleId="563">
    <w:name w:val="正文格式"/>
    <w:basedOn w:val="1"/>
    <w:qFormat/>
    <w:uiPriority w:val="0"/>
    <w:pPr>
      <w:widowControl/>
      <w:autoSpaceDE w:val="0"/>
      <w:autoSpaceDN w:val="0"/>
      <w:snapToGrid w:val="0"/>
      <w:spacing w:line="360" w:lineRule="atLeast"/>
      <w:ind w:firstLine="200"/>
      <w:textAlignment w:val="baseline"/>
    </w:pPr>
    <w:rPr>
      <w:kern w:val="0"/>
      <w:szCs w:val="20"/>
    </w:rPr>
  </w:style>
  <w:style w:type="paragraph" w:customStyle="1" w:styleId="564">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ind w:right="-360"/>
    </w:pPr>
    <w:rPr>
      <w:rFonts w:ascii="Arial" w:hAnsi="Arial"/>
      <w:kern w:val="0"/>
      <w:lang w:eastAsia="en-US"/>
    </w:rPr>
  </w:style>
  <w:style w:type="paragraph" w:customStyle="1" w:styleId="569">
    <w:name w:val="Char Char Char11"/>
    <w:basedOn w:val="1"/>
    <w:qFormat/>
    <w:uiPriority w:val="0"/>
    <w:pPr>
      <w:widowControl/>
      <w:spacing w:after="160" w:line="240" w:lineRule="exac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pPr>
    <w:rPr>
      <w:rFonts w:ascii="宋体" w:hAnsi="宋体" w:cs="宋体"/>
      <w:kern w:val="0"/>
    </w:rPr>
  </w:style>
  <w:style w:type="paragraph" w:customStyle="1" w:styleId="574">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ind w:firstLine="420"/>
    </w:pPr>
    <w:rPr>
      <w:rFonts w:ascii="Calibri" w:hAnsi="Calibri"/>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30"/>
    <w:qFormat/>
    <w:uiPriority w:val="0"/>
    <w:pPr>
      <w:widowControl/>
      <w:tabs>
        <w:tab w:val="left" w:pos="840"/>
      </w:tabs>
      <w:overflowPunct w:val="0"/>
      <w:autoSpaceDE w:val="0"/>
      <w:autoSpaceDN w:val="0"/>
      <w:spacing w:before="156" w:beforeLines="50" w:after="120" w:line="400" w:lineRule="exact"/>
      <w:ind w:left="200" w:leftChars="200" w:firstLine="200"/>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Cs w:val="20"/>
    </w:rPr>
  </w:style>
  <w:style w:type="paragraph" w:customStyle="1" w:styleId="587">
    <w:name w:val="标题五"/>
    <w:basedOn w:val="1"/>
    <w:qFormat/>
    <w:uiPriority w:val="0"/>
    <w:pPr>
      <w:adjustRightInd/>
      <w:spacing w:before="156" w:beforeLines="50"/>
    </w:pPr>
    <w:rPr>
      <w:b/>
    </w:rPr>
  </w:style>
  <w:style w:type="paragraph" w:customStyle="1" w:styleId="588">
    <w:name w:val="Char Char1101"/>
    <w:basedOn w:val="1"/>
    <w:qFormat/>
    <w:uiPriority w:val="0"/>
    <w:rPr>
      <w:rFonts w:ascii="Tahoma" w:hAnsi="Tahoma"/>
      <w:szCs w:val="20"/>
    </w:rPr>
  </w:style>
  <w:style w:type="paragraph" w:customStyle="1" w:styleId="589">
    <w:name w:val="Char Char Char Char Char Char Char Char1"/>
    <w:basedOn w:val="1"/>
    <w:qFormat/>
    <w:uiPriority w:val="0"/>
    <w:pPr>
      <w:tabs>
        <w:tab w:val="left" w:pos="360"/>
      </w:tabs>
    </w:pPr>
    <w:rPr>
      <w:szCs w:val="20"/>
    </w:rPr>
  </w:style>
  <w:style w:type="paragraph" w:customStyle="1" w:styleId="590">
    <w:name w:val="Char Char Char 字元 字元"/>
    <w:basedOn w:val="1"/>
    <w:qFormat/>
    <w:uiPriority w:val="0"/>
    <w:pPr>
      <w:adjustRightInd/>
      <w:ind w:firstLine="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pPr>
    <w:rPr>
      <w:rFonts w:ascii="宋体" w:hAnsi="宋体" w:cs="宋体"/>
      <w:kern w:val="0"/>
    </w:rPr>
  </w:style>
  <w:style w:type="paragraph" w:customStyle="1" w:styleId="59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8"/>
    <w:qFormat/>
    <w:uiPriority w:val="0"/>
    <w:pPr>
      <w:spacing w:line="460" w:lineRule="exact"/>
      <w:outlineLvl w:val="2"/>
    </w:pPr>
    <w:rPr>
      <w:rFonts w:ascii="仿宋_GB2312" w:hAnsi="宋体" w:eastAsia="仿宋_GB2312"/>
      <w:b/>
      <w:bCs/>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ind w:firstLine="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pPr>
    <w:rPr>
      <w:rFonts w:ascii="仿宋_GB2312" w:eastAsia="仿宋_GB2312"/>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pPr>
    <w:rPr>
      <w:rFonts w:ascii="宋体"/>
      <w:szCs w:val="20"/>
    </w:rPr>
  </w:style>
  <w:style w:type="paragraph" w:customStyle="1" w:styleId="605">
    <w:name w:val="正文文字缩进项目"/>
    <w:basedOn w:val="30"/>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Cs w:val="20"/>
    </w:rPr>
  </w:style>
  <w:style w:type="paragraph" w:customStyle="1" w:styleId="607">
    <w:name w:val="正文文字表格居中"/>
    <w:basedOn w:val="1"/>
    <w:next w:val="29"/>
    <w:qFormat/>
    <w:uiPriority w:val="0"/>
    <w:pPr>
      <w:snapToGrid w:val="0"/>
    </w:pPr>
    <w:rPr>
      <w:rFonts w:ascii="宋体"/>
      <w:b/>
      <w:szCs w:val="20"/>
    </w:rPr>
  </w:style>
  <w:style w:type="paragraph" w:customStyle="1" w:styleId="608">
    <w:name w:val="规划正文"/>
    <w:basedOn w:val="1"/>
    <w:qFormat/>
    <w:uiPriority w:val="0"/>
    <w:pPr>
      <w:adjustRightInd/>
      <w:spacing w:before="312" w:beforeLines="100"/>
    </w:pPr>
    <w:rPr>
      <w:rFonts w:ascii="Arial" w:hAnsi="Arial" w:eastAsia="仿宋_GB2312"/>
      <w:bCs/>
      <w:sz w:val="28"/>
    </w:rPr>
  </w:style>
  <w:style w:type="paragraph" w:customStyle="1" w:styleId="609">
    <w:name w:val="小节"/>
    <w:basedOn w:val="6"/>
    <w:qFormat/>
    <w:uiPriority w:val="0"/>
    <w:pPr>
      <w:adjustRightInd/>
      <w:spacing w:before="200" w:after="200" w:line="560" w:lineRule="exac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kern w:val="0"/>
      <w:sz w:val="20"/>
      <w:szCs w:val="20"/>
    </w:rPr>
  </w:style>
  <w:style w:type="paragraph" w:customStyle="1" w:styleId="613">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614">
    <w:name w:val="标题2"/>
    <w:basedOn w:val="5"/>
    <w:next w:val="1"/>
    <w:qFormat/>
    <w:uiPriority w:val="0"/>
    <w:pPr>
      <w:tabs>
        <w:tab w:val="left" w:pos="578"/>
        <w:tab w:val="left" w:pos="900"/>
        <w:tab w:val="left" w:pos="1440"/>
      </w:tabs>
      <w:ind w:left="1440" w:hanging="360"/>
    </w:pPr>
    <w:rPr>
      <w:rFonts w:ascii="仿宋" w:cs="宋体"/>
      <w:bCs w:val="0"/>
      <w:szCs w:val="28"/>
    </w:rPr>
  </w:style>
  <w:style w:type="paragraph" w:customStyle="1" w:styleId="615">
    <w:name w:val="List Paragraph1"/>
    <w:basedOn w:val="1"/>
    <w:qFormat/>
    <w:uiPriority w:val="0"/>
    <w:pPr>
      <w:ind w:firstLine="200"/>
    </w:pPr>
    <w:rPr>
      <w:rFonts w:eastAsia="楷体_GB2312" w:cs="Lucida Sans"/>
    </w:rPr>
  </w:style>
  <w:style w:type="paragraph" w:customStyle="1" w:styleId="616">
    <w:name w:val="样式 标题 3标题 3 Char第二层条h33Bold Headbh章标题1小标题level_3PIM 3..."/>
    <w:basedOn w:val="6"/>
    <w:qFormat/>
    <w:uiPriority w:val="0"/>
    <w:pPr>
      <w:snapToGrid w:val="0"/>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9">
    <w:name w:val="Char3 Char Char Char"/>
    <w:basedOn w:val="1"/>
    <w:qFormat/>
    <w:uiPriority w:val="0"/>
    <w:pPr>
      <w:widowControl/>
      <w:adjustRightInd/>
      <w:spacing w:after="160" w:line="240" w:lineRule="exac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pPr>
    <w:rPr>
      <w:rFonts w:ascii="Arial" w:hAnsi="Arial" w:eastAsia="Times New Roman" w:cs="Verdana"/>
      <w:b/>
      <w:kern w:val="0"/>
      <w:szCs w:val="20"/>
      <w:lang w:eastAsia="en-US"/>
    </w:rPr>
  </w:style>
  <w:style w:type="paragraph" w:customStyle="1" w:styleId="625">
    <w:name w:val="Char Char11 Char Char Char Char Char Char Char Char Char11"/>
    <w:basedOn w:val="1"/>
    <w:qFormat/>
    <w:uiPriority w:val="0"/>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7">
    <w:name w:val="样式  + 首行缩进:  2 字符"/>
    <w:basedOn w:val="1"/>
    <w:qFormat/>
    <w:uiPriority w:val="0"/>
    <w:pPr>
      <w:adjustRightInd/>
      <w:spacing w:before="60" w:after="60"/>
      <w:ind w:firstLine="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5"/>
    <w:qFormat/>
    <w:uiPriority w:val="0"/>
    <w:pPr>
      <w:widowControl/>
      <w:spacing w:before="260" w:after="260" w:line="416" w:lineRule="auto"/>
      <w:ind w:firstLine="0"/>
    </w:pPr>
    <w:rPr>
      <w:rFonts w:ascii="Arial" w:hAnsi="Arial" w:eastAsia="黑体"/>
      <w:sz w:val="30"/>
      <w:szCs w:val="21"/>
    </w:rPr>
  </w:style>
  <w:style w:type="paragraph" w:customStyle="1" w:styleId="630">
    <w:name w:val="文本正文 Char"/>
    <w:basedOn w:val="1"/>
    <w:qFormat/>
    <w:uiPriority w:val="0"/>
    <w:pPr>
      <w:ind w:firstLine="200"/>
    </w:pPr>
    <w:rPr>
      <w:kern w:val="0"/>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7"/>
    <w:qFormat/>
    <w:uiPriority w:val="0"/>
    <w:pPr>
      <w:keepLines w:val="0"/>
      <w:snapToGrid w:val="0"/>
      <w:spacing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color w:val="000000"/>
      <w:kern w:val="0"/>
      <w:sz w:val="20"/>
      <w:szCs w:val="20"/>
    </w:rPr>
  </w:style>
  <w:style w:type="paragraph" w:customStyle="1" w:styleId="635">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pPr>
    <w:rPr>
      <w:rFonts w:ascii="Arial" w:hAnsi="Arial"/>
      <w:kern w:val="0"/>
      <w:lang w:eastAsia="en-US"/>
    </w:rPr>
  </w:style>
  <w:style w:type="paragraph" w:customStyle="1" w:styleId="639">
    <w:name w:val="button"/>
    <w:basedOn w:val="1"/>
    <w:qFormat/>
    <w:uiPriority w:val="0"/>
    <w:pPr>
      <w:widowControl/>
      <w:spacing w:before="100" w:beforeAutospacing="1" w:after="100" w:afterAutospacing="1"/>
    </w:pPr>
    <w:rPr>
      <w:rFonts w:ascii="Arial Unicode MS" w:hAnsi="Arial Unicode MS"/>
      <w:color w:val="000000"/>
      <w:kern w:val="0"/>
    </w:rPr>
  </w:style>
  <w:style w:type="paragraph" w:customStyle="1" w:styleId="64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ind w:firstLine="200"/>
    </w:pPr>
    <w:rPr>
      <w:rFonts w:ascii="Arial" w:hAnsi="Arial"/>
      <w:szCs w:val="20"/>
    </w:rPr>
  </w:style>
  <w:style w:type="paragraph" w:customStyle="1" w:styleId="649">
    <w:name w:val="Char1 Char Char Char1"/>
    <w:basedOn w:val="1"/>
    <w:qFormat/>
    <w:uiPriority w:val="0"/>
    <w:pPr>
      <w:adjustRightInd/>
      <w:ind w:firstLine="200"/>
    </w:pPr>
    <w:rPr>
      <w:rFonts w:ascii="Tahoma" w:hAnsi="Tahoma"/>
      <w:szCs w:val="20"/>
    </w:rPr>
  </w:style>
  <w:style w:type="paragraph" w:customStyle="1" w:styleId="650">
    <w:name w:val="a1"/>
    <w:basedOn w:val="1"/>
    <w:qFormat/>
    <w:uiPriority w:val="0"/>
    <w:pPr>
      <w:widowControl/>
      <w:spacing w:line="300" w:lineRule="atLeas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Cs w:val="20"/>
    </w:rPr>
  </w:style>
  <w:style w:type="paragraph" w:customStyle="1" w:styleId="657">
    <w:name w:val="Char1 Char Char Char"/>
    <w:basedOn w:val="1"/>
    <w:qFormat/>
    <w:uiPriority w:val="0"/>
    <w:pPr>
      <w:widowControl/>
      <w:snapToGrid w:val="0"/>
      <w:spacing w:before="120" w:after="160"/>
      <w:ind w:right="-360"/>
    </w:pPr>
    <w:rPr>
      <w:rFonts w:ascii="Arial" w:hAnsi="Arial"/>
      <w:kern w:val="0"/>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pPr>
    <w:rPr>
      <w:rFonts w:ascii="宋体" w:hAnsi="宋体" w:cs="宋体"/>
      <w:kern w:val="0"/>
    </w:rPr>
  </w:style>
  <w:style w:type="paragraph" w:customStyle="1" w:styleId="664">
    <w:name w:val="样式 标题 1Level 1 HeadPIM 1Section Headh1l11Heading 0Datash..."/>
    <w:basedOn w:val="3"/>
    <w:qFormat/>
    <w:uiPriority w:val="0"/>
    <w:pPr>
      <w:keepNext w:val="0"/>
      <w:keepLines w:val="0"/>
      <w:spacing w:before="0" w:after="100"/>
      <w:jc w:val="left"/>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rFonts w:ascii="宋体" w:hAnsi="宋体"/>
      <w:kern w:val="0"/>
      <w:sz w:val="20"/>
      <w:szCs w:val="20"/>
    </w:rPr>
  </w:style>
  <w:style w:type="paragraph" w:customStyle="1" w:styleId="666">
    <w:name w:val="样式 标题 1章节第一层h1H"/>
    <w:basedOn w:val="3"/>
    <w:qFormat/>
    <w:uiPriority w:val="0"/>
    <w:pPr>
      <w:keepNext w:val="0"/>
      <w:keepLines w:val="0"/>
      <w:spacing w:before="0" w:after="0" w:line="240" w:lineRule="auto"/>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pPr>
    <w:rPr>
      <w:rFonts w:ascii="仿宋_GB2312" w:hAnsi="仿宋_GB2312" w:eastAsia="仿宋_GB2312"/>
      <w:szCs w:val="20"/>
    </w:rPr>
  </w:style>
  <w:style w:type="paragraph" w:customStyle="1" w:styleId="670">
    <w:name w:val="Body Text 2*"/>
    <w:basedOn w:val="1"/>
    <w:qFormat/>
    <w:uiPriority w:val="6"/>
    <w:pPr>
      <w:widowControl/>
      <w:adjustRightInd/>
      <w:ind w:left="720" w:hanging="720"/>
    </w:pPr>
    <w:rPr>
      <w:color w:val="000000"/>
      <w:kern w:val="0"/>
      <w:szCs w:val="20"/>
      <w:lang w:val="en-GB"/>
    </w:rPr>
  </w:style>
  <w:style w:type="paragraph" w:customStyle="1" w:styleId="671">
    <w:name w:val="表1"/>
    <w:basedOn w:val="1"/>
    <w:qFormat/>
    <w:uiPriority w:val="0"/>
    <w:pPr>
      <w:tabs>
        <w:tab w:val="left" w:pos="703"/>
      </w:tabs>
      <w:adjustRightInd/>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4">
    <w:name w:val="章正文"/>
    <w:basedOn w:val="1"/>
    <w:qFormat/>
    <w:uiPriority w:val="0"/>
    <w:pPr>
      <w:adjustRightInd/>
      <w:spacing w:before="156" w:beforeLines="50" w:after="120" w:line="300" w:lineRule="auto"/>
      <w:ind w:firstLine="480"/>
    </w:pPr>
    <w:rPr>
      <w:rFonts w:ascii="Helvetica" w:hAnsi="Helvetica"/>
      <w:kern w:val="0"/>
    </w:rPr>
  </w:style>
  <w:style w:type="paragraph" w:customStyle="1" w:styleId="675">
    <w:name w:val="2级标题"/>
    <w:basedOn w:val="676"/>
    <w:qFormat/>
    <w:uiPriority w:val="0"/>
    <w:pPr>
      <w:jc w:val="left"/>
      <w:outlineLvl w:val="1"/>
    </w:pPr>
    <w:rPr>
      <w:rFonts w:ascii="Times New Roman" w:hAnsi="Times New Roman"/>
      <w:sz w:val="30"/>
    </w:rPr>
  </w:style>
  <w:style w:type="paragraph" w:customStyle="1" w:styleId="676">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ind w:firstLine="480"/>
    </w:pPr>
    <w:rPr>
      <w:rFonts w:ascii="微软雅黑" w:hAnsi="宋体" w:eastAsia="微软雅黑" w:cs="宋体"/>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pPr>
    <w:rPr>
      <w:rFonts w:ascii="宋体" w:hAnsi="宋体"/>
      <w:kern w:val="0"/>
      <w:szCs w:val="20"/>
    </w:rPr>
  </w:style>
  <w:style w:type="paragraph" w:customStyle="1" w:styleId="683">
    <w:name w:val="普通正文"/>
    <w:basedOn w:val="1"/>
    <w:qFormat/>
    <w:uiPriority w:val="0"/>
    <w:pPr>
      <w:tabs>
        <w:tab w:val="left" w:pos="2280"/>
      </w:tabs>
      <w:spacing w:before="120" w:after="120"/>
      <w:ind w:firstLine="480"/>
      <w:textAlignment w:val="baseline"/>
    </w:pPr>
    <w:rPr>
      <w:rFonts w:ascii="Arial" w:hAnsi="Arial"/>
      <w:kern w:val="0"/>
    </w:rPr>
  </w:style>
  <w:style w:type="paragraph" w:customStyle="1" w:styleId="684">
    <w:name w:val="说明"/>
    <w:basedOn w:val="1"/>
    <w:qFormat/>
    <w:uiPriority w:val="0"/>
    <w:pPr>
      <w:autoSpaceDE w:val="0"/>
      <w:autoSpaceDN w:val="0"/>
      <w:spacing w:line="440" w:lineRule="exact"/>
      <w:ind w:firstLine="200"/>
    </w:pPr>
    <w:rPr>
      <w:rFonts w:ascii="宋体"/>
      <w:b/>
      <w:bCs/>
      <w:i/>
      <w:iCs/>
      <w:color w:val="0000FF"/>
      <w:kern w:val="0"/>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6">
    <w:name w:val="Preformatted Text"/>
    <w:basedOn w:val="1"/>
    <w:qFormat/>
    <w:uiPriority w:val="0"/>
    <w:pPr>
      <w:suppressAutoHyphens/>
      <w:adjustRightInd/>
      <w:ind w:firstLine="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8">
    <w:name w:val="xl73"/>
    <w:basedOn w:val="1"/>
    <w:qFormat/>
    <w:uiPriority w:val="0"/>
    <w:pPr>
      <w:widowControl/>
      <w:adjustRightInd/>
      <w:spacing w:before="100" w:beforeAutospacing="1" w:after="100" w:afterAutospacing="1"/>
    </w:pPr>
    <w:rPr>
      <w:rFonts w:ascii="微软雅黑" w:hAnsi="微软雅黑" w:eastAsia="微软雅黑" w:cs="宋体"/>
      <w:kern w:val="0"/>
      <w:sz w:val="20"/>
      <w:szCs w:val="20"/>
    </w:rPr>
  </w:style>
  <w:style w:type="paragraph" w:customStyle="1" w:styleId="689">
    <w:name w:val="MM Topic 4"/>
    <w:basedOn w:val="7"/>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p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rPr>
      <w:szCs w:val="20"/>
    </w:rPr>
  </w:style>
  <w:style w:type="paragraph" w:customStyle="1" w:styleId="693">
    <w:name w:val="金宏发行正文 Char"/>
    <w:basedOn w:val="1"/>
    <w:qFormat/>
    <w:uiPriority w:val="0"/>
    <w:pPr>
      <w:adjustRightInd/>
      <w:spacing w:line="500" w:lineRule="exact"/>
      <w:ind w:firstLine="56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pPr>
    <w:rPr>
      <w:color w:val="000000"/>
      <w:kern w:val="0"/>
      <w:sz w:val="18"/>
      <w:szCs w:val="18"/>
    </w:rPr>
  </w:style>
  <w:style w:type="paragraph" w:customStyle="1" w:styleId="695">
    <w:name w:val="body text bold"/>
    <w:basedOn w:val="28"/>
    <w:qFormat/>
    <w:uiPriority w:val="0"/>
    <w:pPr>
      <w:widowControl/>
      <w:autoSpaceDE/>
      <w:autoSpaceDN/>
      <w:adjustRightInd/>
      <w:spacing w:line="240" w:lineRule="auto"/>
      <w:ind w:firstLine="200" w:firstLineChars="200"/>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pPr>
    <w:rPr>
      <w:rFonts w:ascii="宋体"/>
      <w:kern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1">
    <w:name w:val="style25"/>
    <w:basedOn w:val="1"/>
    <w:qFormat/>
    <w:uiPriority w:val="0"/>
    <w:pPr>
      <w:widowControl/>
      <w:adjustRightInd/>
      <w:spacing w:before="100" w:beforeAutospacing="1" w:after="100" w:afterAutospacing="1"/>
      <w:ind w:firstLine="200"/>
    </w:pPr>
    <w:rPr>
      <w:rFonts w:ascii="宋体" w:hAnsi="宋体" w:cs="宋体"/>
      <w:color w:val="557AAF"/>
      <w:kern w:val="0"/>
      <w:sz w:val="18"/>
      <w:szCs w:val="18"/>
    </w:rPr>
  </w:style>
  <w:style w:type="paragraph" w:customStyle="1" w:styleId="702">
    <w:name w:val="单元格居中"/>
    <w:basedOn w:val="1"/>
    <w:qFormat/>
    <w:uiPriority w:val="0"/>
    <w:pPr>
      <w:adjustRightInd/>
      <w:jc w:val="center"/>
    </w:pPr>
  </w:style>
  <w:style w:type="paragraph" w:customStyle="1" w:styleId="703">
    <w:name w:val="正文3"/>
    <w:basedOn w:val="1"/>
    <w:qFormat/>
    <w:uiPriority w:val="0"/>
    <w:pPr>
      <w:adjustRightInd/>
      <w:spacing w:before="156" w:beforeLines="50" w:after="156" w:afterLines="50"/>
      <w:outlineLvl w:val="8"/>
    </w:pPr>
    <w:rPr>
      <w:rFonts w:ascii="Segoe UI" w:hAnsi="宋体" w:eastAsia="楷体_GB2312" w:cs="Latha"/>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30"/>
    <w:qFormat/>
    <w:uiPriority w:val="0"/>
    <w:pPr>
      <w:autoSpaceDE w:val="0"/>
      <w:autoSpaceDN w:val="0"/>
      <w:snapToGrid w:val="0"/>
      <w:spacing w:after="120"/>
      <w:ind w:left="420" w:leftChars="200" w:firstLine="480"/>
    </w:pPr>
    <w:rPr>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pPr>
    <w:rPr>
      <w:szCs w:val="20"/>
    </w:rPr>
  </w:style>
  <w:style w:type="paragraph" w:customStyle="1" w:styleId="708">
    <w:name w:val="Char Char1121"/>
    <w:basedOn w:val="1"/>
    <w:qFormat/>
    <w:uiPriority w:val="0"/>
    <w:rPr>
      <w:szCs w:val="20"/>
    </w:rPr>
  </w:style>
  <w:style w:type="paragraph" w:customStyle="1" w:styleId="709">
    <w:name w:val="小项目标题"/>
    <w:basedOn w:val="1"/>
    <w:qFormat/>
    <w:uiPriority w:val="0"/>
    <w:pPr>
      <w:adjustRightInd/>
      <w:spacing w:before="100" w:beforeAutospacing="1" w:after="100" w:afterAutospacing="1"/>
      <w:ind w:left="480" w:leftChars="200" w:firstLine="200"/>
    </w:p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pPr>
    <w:rPr>
      <w:rFonts w:ascii="宋体" w:hAnsi="宋体" w:cs="宋体"/>
      <w:kern w:val="0"/>
    </w:rPr>
  </w:style>
  <w:style w:type="paragraph" w:customStyle="1" w:styleId="714">
    <w:name w:val="方形箭头"/>
    <w:basedOn w:val="1"/>
    <w:qFormat/>
    <w:uiPriority w:val="0"/>
    <w:pPr>
      <w:widowControl/>
      <w:tabs>
        <w:tab w:val="left" w:pos="840"/>
      </w:tabs>
      <w:adjustRightInd/>
      <w:spacing w:before="93" w:line="60" w:lineRule="atLeast"/>
      <w:ind w:left="420" w:right="200" w:hanging="420"/>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ind w:firstLine="200"/>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1">
    <w:name w:val="样式 标题 2 + 四号"/>
    <w:basedOn w:val="5"/>
    <w:qFormat/>
    <w:uiPriority w:val="0"/>
    <w:pPr>
      <w:spacing w:before="120" w:after="120"/>
      <w:ind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pPr>
    <w:rPr>
      <w:rFonts w:ascii="Arial" w:hAnsi="Arial"/>
    </w:rPr>
  </w:style>
  <w:style w:type="paragraph" w:customStyle="1" w:styleId="723">
    <w:name w:val="font10"/>
    <w:basedOn w:val="1"/>
    <w:qFormat/>
    <w:uiPriority w:val="0"/>
    <w:pPr>
      <w:widowControl/>
      <w:adjustRightInd/>
      <w:spacing w:before="100" w:beforeAutospacing="1" w:after="100" w:afterAutospacing="1"/>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ind w:firstLine="480"/>
    </w:pPr>
    <w:rPr>
      <w:rFonts w:ascii="仿宋_GB2312" w:eastAsia="新宋体"/>
      <w:szCs w:val="20"/>
    </w:rPr>
  </w:style>
  <w:style w:type="paragraph" w:customStyle="1" w:styleId="725">
    <w:name w:val="4"/>
    <w:basedOn w:val="1"/>
    <w:next w:val="2"/>
    <w:qFormat/>
    <w:uiPriority w:val="0"/>
    <w:pPr>
      <w:spacing w:after="120" w:line="480" w:lineRule="auto"/>
      <w:ind w:left="420" w:leftChars="200"/>
    </w:pPr>
    <w:rPr>
      <w:szCs w:val="20"/>
    </w:rPr>
  </w:style>
  <w:style w:type="paragraph" w:customStyle="1" w:styleId="726">
    <w:name w:val="tableheading"/>
    <w:basedOn w:val="1"/>
    <w:qFormat/>
    <w:uiPriority w:val="0"/>
    <w:pPr>
      <w:widowControl/>
      <w:adjustRightInd/>
      <w:spacing w:before="100" w:beforeAutospacing="1" w:after="100" w:afterAutospacing="1"/>
    </w:pPr>
    <w:rPr>
      <w:rFonts w:ascii="宋体" w:hAnsi="宋体" w:cs="宋体"/>
      <w:kern w:val="0"/>
    </w:rPr>
  </w:style>
  <w:style w:type="paragraph" w:customStyle="1" w:styleId="727">
    <w:name w:val="样式 标题 3H3 + 两端对齐"/>
    <w:basedOn w:val="6"/>
    <w:qFormat/>
    <w:uiPriority w:val="0"/>
    <w:pPr>
      <w:keepLines w:val="0"/>
      <w:spacing w:line="240" w:lineRule="auto"/>
    </w:pPr>
    <w:rPr>
      <w:rFonts w:cs="宋体"/>
      <w:sz w:val="21"/>
      <w:szCs w:val="20"/>
    </w:rPr>
  </w:style>
  <w:style w:type="paragraph" w:customStyle="1" w:styleId="728">
    <w:name w:val="样式 仿宋_GB2312 小三 左侧:  1.06 厘米"/>
    <w:basedOn w:val="1"/>
    <w:qFormat/>
    <w:uiPriority w:val="0"/>
    <w:pPr>
      <w:ind w:left="601"/>
    </w:pPr>
    <w:rPr>
      <w:rFonts w:ascii="仿宋_GB2312" w:eastAsia="仿宋_GB2312"/>
      <w:szCs w:val="20"/>
    </w:rPr>
  </w:style>
  <w:style w:type="paragraph" w:customStyle="1" w:styleId="729">
    <w:name w:val="小标题"/>
    <w:basedOn w:val="1"/>
    <w:qFormat/>
    <w:uiPriority w:val="0"/>
    <w:pPr>
      <w:spacing w:before="120" w:line="360" w:lineRule="atLeast"/>
      <w:ind w:left="1134"/>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jc w:val="center"/>
    </w:pPr>
    <w:rPr>
      <w:color w:val="000000"/>
      <w:kern w:val="0"/>
      <w:sz w:val="28"/>
      <w:szCs w:val="28"/>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735">
    <w:name w:val="Picture"/>
    <w:basedOn w:val="1"/>
    <w:next w:val="21"/>
    <w:qFormat/>
    <w:uiPriority w:val="0"/>
    <w:pPr>
      <w:keepNext/>
      <w:widowControl/>
      <w:adjustRightInd/>
      <w:ind w:firstLine="200"/>
    </w:pPr>
    <w:rPr>
      <w:rFonts w:ascii="楷体" w:hAnsi="Arial" w:eastAsia="楷体"/>
      <w:b/>
      <w:spacing w:val="-5"/>
      <w:w w:val="98"/>
      <w:kern w:val="0"/>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pPr>
    <w:rPr>
      <w:szCs w:val="20"/>
    </w:rPr>
  </w:style>
  <w:style w:type="paragraph" w:customStyle="1" w:styleId="738">
    <w:name w:val="Char1 Char Char Char21"/>
    <w:basedOn w:val="1"/>
    <w:qFormat/>
    <w:uiPriority w:val="0"/>
    <w:rPr>
      <w:rFonts w:ascii="Tahoma" w:hAnsi="Tahoma"/>
      <w:szCs w:val="20"/>
    </w:rPr>
  </w:style>
  <w:style w:type="paragraph" w:customStyle="1" w:styleId="739">
    <w:name w:val="Char3 Char Char Char Char Char Char11"/>
    <w:basedOn w:val="1"/>
    <w:qFormat/>
    <w:uiPriority w:val="0"/>
    <w:pPr>
      <w:adjustRightInd/>
    </w:pPr>
    <w:rPr>
      <w:rFonts w:ascii="Arial" w:hAnsi="Arial" w:eastAsia="黑体" w:cs="Arial"/>
      <w:snapToGrid w:val="0"/>
      <w:kern w:val="0"/>
      <w:szCs w:val="21"/>
    </w:rPr>
  </w:style>
  <w:style w:type="paragraph" w:customStyle="1" w:styleId="740">
    <w:name w:val="正文（标题三）"/>
    <w:basedOn w:val="1"/>
    <w:qFormat/>
    <w:uiPriority w:val="0"/>
    <w:pPr>
      <w:ind w:firstLine="200"/>
    </w:pPr>
  </w:style>
  <w:style w:type="paragraph" w:customStyle="1" w:styleId="741">
    <w:name w:val="样式 正1 + 首行缩进:  2 字符"/>
    <w:basedOn w:val="1"/>
    <w:qFormat/>
    <w:uiPriority w:val="0"/>
    <w:pPr>
      <w:adjustRightInd/>
      <w:ind w:firstLine="480"/>
    </w:pPr>
    <w:rPr>
      <w:rFonts w:ascii="仿宋_GB2312" w:eastAsia="仿宋_GB2312"/>
    </w:rPr>
  </w:style>
  <w:style w:type="paragraph" w:customStyle="1" w:styleId="742">
    <w:name w:val="xl66"/>
    <w:basedOn w:val="1"/>
    <w:qFormat/>
    <w:uiPriority w:val="0"/>
    <w:pPr>
      <w:widowControl/>
      <w:adjustRightInd/>
      <w:spacing w:before="100" w:beforeAutospacing="1" w:after="100" w:afterAutospacing="1"/>
    </w:pPr>
    <w:rPr>
      <w:rFonts w:ascii="宋体" w:hAnsi="宋体" w:cs="宋体"/>
      <w:kern w:val="0"/>
    </w:rPr>
  </w:style>
  <w:style w:type="paragraph" w:customStyle="1" w:styleId="743">
    <w:name w:val="样式 样式 宋体 小四 段前: 7.8 磅 段后: 7.8 磅 行距: 1.5 倍行距 + 小二 首行缩进:  2 字符"/>
    <w:basedOn w:val="1"/>
    <w:qFormat/>
    <w:uiPriority w:val="0"/>
    <w:pPr>
      <w:adjustRightInd/>
      <w:ind w:firstLine="480"/>
    </w:pPr>
    <w:rPr>
      <w:rFonts w:ascii="宋体" w:hAnsi="宋体" w:cs="宋体"/>
      <w:szCs w:val="20"/>
    </w:rPr>
  </w:style>
  <w:style w:type="paragraph" w:customStyle="1" w:styleId="744">
    <w:name w:val="Default Text"/>
    <w:basedOn w:val="1"/>
    <w:qFormat/>
    <w:uiPriority w:val="0"/>
    <w:pPr>
      <w:widowControl/>
      <w:overflowPunct w:val="0"/>
      <w:autoSpaceDE w:val="0"/>
      <w:autoSpaceDN w:val="0"/>
      <w:ind w:firstLine="480"/>
      <w:textAlignment w:val="baseline"/>
    </w:pPr>
    <w:rPr>
      <w:rFonts w:ascii="宋体" w:hAnsi="宋体" w:eastAsia="微软雅黑"/>
      <w:kern w:val="0"/>
      <w:szCs w:val="20"/>
    </w:rPr>
  </w:style>
  <w:style w:type="paragraph" w:customStyle="1" w:styleId="745">
    <w:name w:val="小节标题"/>
    <w:basedOn w:val="1"/>
    <w:qFormat/>
    <w:uiPriority w:val="0"/>
    <w:pPr>
      <w:autoSpaceDE w:val="0"/>
      <w:autoSpaceDN w:val="0"/>
      <w:spacing w:before="175" w:after="102" w:line="351" w:lineRule="atLeast"/>
      <w:ind w:firstLine="200"/>
    </w:pPr>
    <w:rPr>
      <w:color w:val="000000"/>
      <w:kern w:val="0"/>
      <w:szCs w:val="21"/>
    </w:rPr>
  </w:style>
  <w:style w:type="paragraph" w:customStyle="1" w:styleId="746">
    <w:name w:val="Char1 Char Char Char4"/>
    <w:basedOn w:val="1"/>
    <w:qFormat/>
    <w:uiPriority w:val="0"/>
    <w:pPr>
      <w:adjustRightInd/>
      <w:ind w:firstLine="200"/>
    </w:pPr>
    <w:rPr>
      <w:rFonts w:ascii="Tahoma" w:hAnsi="Tahoma"/>
      <w:szCs w:val="20"/>
    </w:rPr>
  </w:style>
  <w:style w:type="paragraph" w:customStyle="1" w:styleId="747">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83"/>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1">
    <w:name w:val="正文 主体"/>
    <w:basedOn w:val="1"/>
    <w:qFormat/>
    <w:uiPriority w:val="0"/>
    <w:pPr>
      <w:adjustRightInd/>
      <w:ind w:firstLine="200"/>
    </w:pPr>
    <w:rPr>
      <w:rFonts w:ascii="微软雅黑" w:hAnsi="Calibri" w:eastAsia="微软雅黑"/>
      <w:kern w:val="0"/>
      <w:szCs w:val="20"/>
    </w:rPr>
  </w:style>
  <w:style w:type="paragraph" w:customStyle="1" w:styleId="752">
    <w:name w:val="四号　首行缩进"/>
    <w:basedOn w:val="1"/>
    <w:qFormat/>
    <w:uiPriority w:val="0"/>
    <w:pPr>
      <w:adjustRightInd/>
    </w:pPr>
    <w:rPr>
      <w:rFonts w:ascii="宋体" w:hAnsi="宋体"/>
      <w:szCs w:val="20"/>
    </w:rPr>
  </w:style>
  <w:style w:type="paragraph" w:customStyle="1" w:styleId="753">
    <w:name w:val="深色列表 - 强调文字颜色 51"/>
    <w:basedOn w:val="1"/>
    <w:qFormat/>
    <w:uiPriority w:val="0"/>
    <w:pPr>
      <w:adjustRightInd/>
      <w:ind w:firstLine="200"/>
    </w:pPr>
    <w:rPr>
      <w:rFonts w:eastAsia="楷体_GB2312" w:cs="Lucida Sans"/>
    </w:rPr>
  </w:style>
  <w:style w:type="paragraph" w:customStyle="1" w:styleId="754">
    <w:name w:val="Char Char Char Char Char Char Char Char Char Char Char1 Char"/>
    <w:basedOn w:val="1"/>
    <w:qFormat/>
    <w:uiPriority w:val="0"/>
    <w:pPr>
      <w:adjustRightInd/>
    </w:pPr>
    <w:rPr>
      <w:rFonts w:ascii="Tahoma" w:hAnsi="Tahoma"/>
    </w:rPr>
  </w:style>
  <w:style w:type="paragraph" w:customStyle="1" w:styleId="755">
    <w:name w:val="Char Char Char Char11"/>
    <w:basedOn w:val="1"/>
    <w:qFormat/>
    <w:uiPriority w:val="0"/>
    <w:rPr>
      <w:rFonts w:ascii="Tahoma" w:hAnsi="Tahoma"/>
      <w:szCs w:val="20"/>
    </w:rPr>
  </w:style>
  <w:style w:type="paragraph" w:customStyle="1" w:styleId="756">
    <w:name w:val="封面文档标题"/>
    <w:basedOn w:val="1"/>
    <w:qFormat/>
    <w:uiPriority w:val="0"/>
    <w:pPr>
      <w:autoSpaceDE w:val="0"/>
      <w:autoSpaceDN w:val="0"/>
      <w:ind w:firstLine="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Cs w:val="20"/>
    </w:rPr>
  </w:style>
  <w:style w:type="paragraph" w:customStyle="1" w:styleId="758">
    <w:name w:val="标1"/>
    <w:basedOn w:val="1"/>
    <w:qFormat/>
    <w:uiPriority w:val="0"/>
    <w:pPr>
      <w:widowControl/>
      <w:tabs>
        <w:tab w:val="left" w:pos="1020"/>
      </w:tabs>
      <w:snapToGrid w:val="0"/>
      <w:spacing w:before="312" w:beforeLines="100"/>
      <w:ind w:left="1020" w:hanging="420"/>
      <w:outlineLvl w:val="0"/>
    </w:pPr>
    <w:rPr>
      <w:rFonts w:ascii="Arial Narrow" w:hAnsi="Arial Narrow" w:eastAsia="仿宋_GB2312"/>
      <w:b/>
      <w:spacing w:val="20"/>
      <w:kern w:val="0"/>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outlineLvl w:val="4"/>
    </w:pPr>
    <w:rPr>
      <w:rFonts w:ascii="仿宋_GB2312" w:hAnsi="宋体" w:eastAsia="仿宋_GB2312"/>
      <w:b/>
      <w:bCs/>
    </w:rPr>
  </w:style>
  <w:style w:type="paragraph" w:customStyle="1" w:styleId="762">
    <w:name w:val="_Style 5"/>
    <w:basedOn w:val="1"/>
    <w:qFormat/>
    <w:uiPriority w:val="34"/>
    <w:pPr>
      <w:adjustRightInd/>
      <w:ind w:firstLine="42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pPr>
    <w:rPr>
      <w:rFonts w:ascii="Futura Bk" w:hAnsi="Futura Bk" w:cs="Futura Bk"/>
      <w:kern w:val="0"/>
      <w:sz w:val="18"/>
      <w:szCs w:val="18"/>
    </w:rPr>
  </w:style>
  <w:style w:type="paragraph" w:customStyle="1" w:styleId="764">
    <w:name w:val="列出段落*"/>
    <w:basedOn w:val="1"/>
    <w:qFormat/>
    <w:uiPriority w:val="0"/>
    <w:pPr>
      <w:adjustRightInd/>
      <w:ind w:firstLine="200"/>
    </w:pPr>
    <w:rPr>
      <w:rFonts w:eastAsia="楷体_GB2312" w:cs="Lucida Sans Unicode"/>
      <w:color w:val="000000"/>
      <w:kern w:val="1"/>
    </w:rPr>
  </w:style>
  <w:style w:type="paragraph" w:customStyle="1" w:styleId="765">
    <w:name w:val="文章总标题"/>
    <w:basedOn w:val="1"/>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ind w:firstLine="480"/>
    </w:pPr>
    <w:rPr>
      <w:rFonts w:ascii="仿宋_GB2312" w:eastAsia="仿宋_GB2312"/>
      <w:b/>
      <w:sz w:val="32"/>
      <w:szCs w:val="32"/>
    </w:rPr>
  </w:style>
  <w:style w:type="paragraph" w:customStyle="1" w:styleId="768">
    <w:name w:val="Char12"/>
    <w:basedOn w:val="1"/>
    <w:qFormat/>
    <w:uiPriority w:val="0"/>
    <w:pPr>
      <w:widowControl/>
      <w:spacing w:after="160" w:line="240" w:lineRule="exact"/>
    </w:pPr>
    <w:rPr>
      <w:rFonts w:ascii="Verdana" w:hAnsi="Verdana" w:eastAsia="仿宋_GB2312"/>
      <w:kern w:val="0"/>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8"/>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Cs w:val="20"/>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8">
    <w:name w:val="中文标题 3"/>
    <w:basedOn w:val="30"/>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ind w:firstLine="480"/>
    </w:pPr>
    <w:rPr>
      <w:rFonts w:ascii="宋体" w:hAnsi="宋体" w:eastAsia="微软雅黑" w:cs="宋体"/>
      <w:kern w:val="0"/>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20"/>
    <w:qFormat/>
    <w:uiPriority w:val="0"/>
    <w:pPr>
      <w:adjustRightInd/>
      <w:snapToGrid/>
      <w:spacing w:before="100" w:beforeAutospacing="1" w:after="100" w:afterLines="50" w:afterAutospacing="1" w:line="360" w:lineRule="auto"/>
      <w:ind w:firstLine="480"/>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8"/>
    <w:qFormat/>
    <w:uiPriority w:val="0"/>
    <w:pPr>
      <w:tabs>
        <w:tab w:val="clear" w:pos="900"/>
      </w:tabs>
    </w:pPr>
    <w:rPr>
      <w:rFonts w:ascii="仿宋" w:hAnsi="仿宋" w:cs="仿宋"/>
    </w:rPr>
  </w:style>
  <w:style w:type="paragraph" w:customStyle="1" w:styleId="788">
    <w:name w:val="xl23"/>
    <w:basedOn w:val="1"/>
    <w:qFormat/>
    <w:uiPriority w:val="0"/>
    <w:pPr>
      <w:widowControl/>
      <w:adjustRightInd/>
      <w:spacing w:before="100" w:beforeAutospacing="1" w:after="100" w:afterAutospacing="1"/>
      <w:ind w:firstLine="200"/>
      <w:textAlignment w:val="top"/>
    </w:pPr>
    <w:rPr>
      <w:kern w:val="0"/>
    </w:rPr>
  </w:style>
  <w:style w:type="paragraph" w:customStyle="1" w:styleId="789">
    <w:name w:val="Char Char Char1"/>
    <w:basedOn w:val="1"/>
    <w:qFormat/>
    <w:uiPriority w:val="6"/>
    <w:pPr>
      <w:widowControl/>
      <w:spacing w:after="160" w:line="240" w:lineRule="exact"/>
    </w:pPr>
    <w:rPr>
      <w:rFonts w:ascii="Verdana" w:hAnsi="Verdana"/>
      <w:kern w:val="0"/>
      <w:sz w:val="20"/>
      <w:szCs w:val="20"/>
      <w:lang w:eastAsia="en-US"/>
    </w:rPr>
  </w:style>
  <w:style w:type="paragraph" w:customStyle="1" w:styleId="790">
    <w:name w:val="Char1 Char Char Char2"/>
    <w:basedOn w:val="1"/>
    <w:qFormat/>
    <w:uiPriority w:val="0"/>
    <w:pPr>
      <w:adjustRightInd/>
      <w:ind w:firstLine="200"/>
    </w:pPr>
    <w:rPr>
      <w:rFonts w:ascii="Tahoma" w:hAnsi="Tahoma"/>
      <w:szCs w:val="20"/>
    </w:rPr>
  </w:style>
  <w:style w:type="paragraph" w:customStyle="1" w:styleId="791">
    <w:name w:val="列出段落1"/>
    <w:basedOn w:val="1"/>
    <w:qFormat/>
    <w:uiPriority w:val="0"/>
    <w:pPr>
      <w:adjustRightInd/>
      <w:ind w:firstLine="420"/>
    </w:pPr>
    <w:rPr>
      <w:rFonts w:ascii="Calibri" w:hAnsi="Calibri"/>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3"/>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8"/>
    <w:next w:val="643"/>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ind w:firstLine="480"/>
    </w:pPr>
    <w:rPr>
      <w:rFonts w:ascii="宋体" w:hAnsi="宋体" w:eastAsia="微软雅黑"/>
      <w:color w:val="666666"/>
      <w:kern w:val="0"/>
    </w:rPr>
  </w:style>
  <w:style w:type="paragraph" w:customStyle="1" w:styleId="799">
    <w:name w:val="列出段落3"/>
    <w:basedOn w:val="1"/>
    <w:qFormat/>
    <w:uiPriority w:val="34"/>
    <w:pPr>
      <w:adjustRightInd/>
      <w:ind w:firstLine="420"/>
    </w:pPr>
    <w:rPr>
      <w:rFonts w:ascii="Calibri" w:hAnsi="Calibri"/>
      <w:szCs w:val="22"/>
    </w:rPr>
  </w:style>
  <w:style w:type="paragraph" w:customStyle="1" w:styleId="800">
    <w:name w:val="首行缩进"/>
    <w:basedOn w:val="1"/>
    <w:qFormat/>
    <w:uiPriority w:val="0"/>
    <w:pPr>
      <w:ind w:firstLine="480"/>
    </w:pPr>
    <w:rPr>
      <w:rFonts w:ascii="宋体"/>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2">
    <w:name w:val="单元格左对齐"/>
    <w:basedOn w:val="1"/>
    <w:qFormat/>
    <w:uiPriority w:val="0"/>
    <w:pPr>
      <w:adjustRightInd/>
    </w:pPr>
  </w:style>
  <w:style w:type="paragraph" w:customStyle="1" w:styleId="803">
    <w:name w:val="正文主体"/>
    <w:basedOn w:val="627"/>
    <w:qFormat/>
    <w:uiPriority w:val="0"/>
  </w:style>
  <w:style w:type="paragraph" w:customStyle="1" w:styleId="804">
    <w:name w:val="font6"/>
    <w:basedOn w:val="1"/>
    <w:qFormat/>
    <w:uiPriority w:val="0"/>
    <w:pPr>
      <w:widowControl/>
      <w:adjustRightInd/>
      <w:spacing w:before="100" w:beforeAutospacing="1" w:after="100" w:afterAutospacing="1"/>
      <w:ind w:firstLine="200"/>
    </w:pPr>
    <w:rPr>
      <w:rFonts w:hint="eastAsia" w:ascii="宋体" w:hAnsi="宋体"/>
      <w:kern w:val="0"/>
      <w:sz w:val="20"/>
      <w:szCs w:val="20"/>
    </w:rPr>
  </w:style>
  <w:style w:type="paragraph" w:customStyle="1" w:styleId="805">
    <w:name w:val="Char3 Char Char Char Char Char Char1"/>
    <w:basedOn w:val="1"/>
    <w:qFormat/>
    <w:uiPriority w:val="6"/>
    <w:pPr>
      <w:adjustRightInd/>
    </w:pPr>
    <w:rPr>
      <w:rFonts w:ascii="Arial" w:hAnsi="Arial" w:eastAsia="黑体" w:cs="Arial"/>
      <w:snapToGrid w:val="0"/>
      <w:kern w:val="0"/>
      <w:szCs w:val="21"/>
    </w:rPr>
  </w:style>
  <w:style w:type="paragraph" w:customStyle="1" w:styleId="806">
    <w:name w:val="样式 首行缩进:  2 字符"/>
    <w:basedOn w:val="1"/>
    <w:qFormat/>
    <w:uiPriority w:val="0"/>
    <w:pPr>
      <w:snapToGrid w:val="0"/>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ind w:firstLine="480"/>
    </w:pPr>
    <w:rPr>
      <w:szCs w:val="20"/>
    </w:rPr>
  </w:style>
  <w:style w:type="paragraph" w:customStyle="1" w:styleId="808">
    <w:name w:val="P1"/>
    <w:basedOn w:val="1"/>
    <w:qFormat/>
    <w:uiPriority w:val="0"/>
    <w:pPr>
      <w:adjustRightInd/>
      <w:spacing w:line="288" w:lineRule="auto"/>
      <w:ind w:firstLine="425"/>
    </w:pPr>
  </w:style>
  <w:style w:type="paragraph" w:customStyle="1" w:styleId="809">
    <w:name w:val="列表内容"/>
    <w:basedOn w:val="1"/>
    <w:next w:val="1"/>
    <w:qFormat/>
    <w:uiPriority w:val="0"/>
    <w:pPr>
      <w:widowControl/>
      <w:tabs>
        <w:tab w:val="left" w:pos="840"/>
      </w:tabs>
      <w:ind w:left="840" w:hanging="420"/>
    </w:pPr>
    <w:rPr>
      <w:kern w:val="0"/>
      <w:sz w:val="18"/>
    </w:rPr>
  </w:style>
  <w:style w:type="paragraph" w:customStyle="1" w:styleId="810">
    <w:name w:val="Char Char11 Char Char Char1"/>
    <w:basedOn w:val="1"/>
    <w:qFormat/>
    <w:uiPriority w:val="6"/>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Cs w:val="20"/>
    </w:rPr>
  </w:style>
  <w:style w:type="paragraph" w:customStyle="1" w:styleId="812">
    <w:name w:val="Char Char Char Char Char Char11"/>
    <w:basedOn w:val="1"/>
    <w:qFormat/>
    <w:uiPriority w:val="0"/>
    <w:pPr>
      <w:widowControl/>
      <w:spacing w:before="156" w:beforeLines="50" w:after="156" w:afterLines="50" w:line="240" w:lineRule="exac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pPr>
    <w:rPr>
      <w:rFonts w:ascii="Helvetica" w:hAnsi="Helvetica"/>
      <w:kern w:val="1"/>
      <w:sz w:val="20"/>
      <w:szCs w:val="20"/>
    </w:rPr>
  </w:style>
  <w:style w:type="paragraph" w:customStyle="1" w:styleId="815">
    <w:name w:val="正文文字缩进2字"/>
    <w:basedOn w:val="28"/>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rPr>
      <w:szCs w:val="20"/>
    </w:rPr>
  </w:style>
  <w:style w:type="paragraph" w:customStyle="1" w:styleId="817">
    <w:name w:val="正文4"/>
    <w:basedOn w:val="1"/>
    <w:qFormat/>
    <w:uiPriority w:val="0"/>
    <w:pPr>
      <w:tabs>
        <w:tab w:val="left" w:pos="720"/>
      </w:tabs>
      <w:adjustRightInd/>
      <w:spacing w:before="60" w:after="60"/>
      <w:ind w:left="575" w:leftChars="400" w:hanging="175" w:hangingChars="175"/>
    </w:p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pPr>
    <w:rPr>
      <w:rFonts w:ascii="Tahoma" w:hAnsi="Tahoma"/>
    </w:rPr>
  </w:style>
  <w:style w:type="paragraph" w:customStyle="1" w:styleId="821">
    <w:name w:val="Char Char Char Char2"/>
    <w:basedOn w:val="1"/>
    <w:qFormat/>
    <w:uiPriority w:val="0"/>
    <w:pPr>
      <w:widowControl/>
      <w:spacing w:after="160" w:line="240" w:lineRule="exact"/>
    </w:pPr>
    <w:rPr>
      <w:rFonts w:ascii="Arial" w:hAnsi="Arial" w:eastAsia="Times New Roman" w:cs="Verdana"/>
      <w:b/>
      <w:kern w:val="0"/>
      <w:szCs w:val="20"/>
      <w:lang w:eastAsia="en-US"/>
    </w:rPr>
  </w:style>
  <w:style w:type="paragraph" w:customStyle="1" w:styleId="822">
    <w:name w:val="正文 首行缩进:  2 字符 Char"/>
    <w:basedOn w:val="1"/>
    <w:qFormat/>
    <w:uiPriority w:val="0"/>
    <w:pPr>
      <w:adjustRightInd/>
      <w:ind w:firstLine="480"/>
    </w:pPr>
    <w:rPr>
      <w:rFonts w:cs="宋体"/>
      <w:szCs w:val="20"/>
    </w:rPr>
  </w:style>
  <w:style w:type="paragraph" w:customStyle="1" w:styleId="823">
    <w:name w:val="Char Char4 Char Char"/>
    <w:basedOn w:val="1"/>
    <w:qFormat/>
    <w:uiPriority w:val="0"/>
    <w:pPr>
      <w:widowControl/>
      <w:adjustRightInd/>
      <w:spacing w:after="160" w:line="240" w:lineRule="exact"/>
    </w:pPr>
  </w:style>
  <w:style w:type="paragraph" w:customStyle="1" w:styleId="824">
    <w:name w:val="目录2"/>
    <w:basedOn w:val="1"/>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5">
    <w:name w:val="Char Char11 Char Char Char2"/>
    <w:basedOn w:val="1"/>
    <w:qFormat/>
    <w:uiPriority w:val="0"/>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pPr>
    <w:rPr>
      <w:rFonts w:ascii="Arial" w:hAnsi="Arial" w:eastAsia="Times New Roman" w:cs="Verdana"/>
      <w:b/>
      <w:kern w:val="0"/>
      <w:szCs w:val="20"/>
      <w:lang w:eastAsia="en-US"/>
    </w:rPr>
  </w:style>
  <w:style w:type="paragraph" w:customStyle="1" w:styleId="828">
    <w:name w:val="数字标题4"/>
    <w:basedOn w:val="7"/>
    <w:qFormat/>
    <w:uiPriority w:val="0"/>
    <w:pPr>
      <w:tabs>
        <w:tab w:val="left" w:pos="0"/>
        <w:tab w:val="clear" w:pos="864"/>
      </w:tabs>
      <w:ind w:left="1"/>
    </w:pPr>
    <w:rPr>
      <w:rFonts w:eastAsia="仿宋_GB2312" w:cs="Arial"/>
      <w:bCs w:val="0"/>
      <w:color w:val="000000"/>
      <w:kern w:val="0"/>
      <w:szCs w:val="24"/>
      <w:lang w:val="en-US"/>
    </w:rPr>
  </w:style>
  <w:style w:type="paragraph" w:customStyle="1" w:styleId="829">
    <w:name w:val="表格文字（大）"/>
    <w:basedOn w:val="1"/>
    <w:qFormat/>
    <w:uiPriority w:val="0"/>
    <w:pPr>
      <w:adjustRightInd/>
      <w:spacing w:before="20" w:after="20"/>
      <w:ind w:firstLine="200"/>
    </w:pPr>
    <w:rPr>
      <w:rFonts w:ascii="Century Gothic" w:hAnsi="Century Gothic"/>
      <w:szCs w:val="20"/>
    </w:rPr>
  </w:style>
  <w:style w:type="paragraph" w:customStyle="1" w:styleId="830">
    <w:name w:val="插图说明"/>
    <w:basedOn w:val="1"/>
    <w:qFormat/>
    <w:uiPriority w:val="0"/>
    <w:pPr>
      <w:spacing w:after="240"/>
      <w:ind w:firstLine="200"/>
      <w:jc w:val="center"/>
      <w:textAlignment w:val="baseline"/>
    </w:pPr>
    <w:rPr>
      <w:rFonts w:eastAsia="黑体"/>
      <w:szCs w:val="20"/>
    </w:rPr>
  </w:style>
  <w:style w:type="paragraph" w:customStyle="1" w:styleId="831">
    <w:name w:val="chart text"/>
    <w:basedOn w:val="1"/>
    <w:qFormat/>
    <w:uiPriority w:val="0"/>
    <w:pPr>
      <w:widowControl/>
      <w:adjustRightInd/>
      <w:spacing w:line="180" w:lineRule="exact"/>
      <w:ind w:firstLine="200"/>
    </w:pPr>
    <w:rPr>
      <w:rFonts w:ascii="Futura Bk" w:hAnsi="Futura Bk" w:cs="Futura Bk"/>
      <w:kern w:val="0"/>
      <w:sz w:val="14"/>
      <w:szCs w:val="14"/>
    </w:rPr>
  </w:style>
  <w:style w:type="paragraph" w:customStyle="1" w:styleId="832">
    <w:name w:val="Char311"/>
    <w:basedOn w:val="1"/>
    <w:qFormat/>
    <w:uiPriority w:val="0"/>
    <w:pPr>
      <w:adjustRightInd/>
      <w:ind w:firstLine="200"/>
    </w:pPr>
    <w:rPr>
      <w:rFonts w:ascii="Tahoma" w:hAnsi="Tahoma"/>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2"/>
    <w:qFormat/>
    <w:uiPriority w:val="0"/>
    <w:pPr>
      <w:adjustRightInd/>
      <w:ind w:firstLine="560" w:firstLineChars="200"/>
      <w:textAlignment w:val="auto"/>
    </w:pPr>
    <w:rPr>
      <w:rFonts w:cs="宋体"/>
      <w:color w:val="000000"/>
      <w:kern w:val="2"/>
      <w:sz w:val="24"/>
    </w:rPr>
  </w:style>
  <w:style w:type="paragraph" w:customStyle="1" w:styleId="838">
    <w:name w:val="样式 左侧:  0.85 厘米"/>
    <w:basedOn w:val="1"/>
    <w:qFormat/>
    <w:uiPriority w:val="2"/>
    <w:pPr>
      <w:adjustRightInd/>
    </w:pPr>
    <w:rPr>
      <w:rFonts w:cs="宋体"/>
      <w:szCs w:val="20"/>
    </w:rPr>
  </w:style>
  <w:style w:type="paragraph" w:customStyle="1" w:styleId="839">
    <w:name w:val="Char Char Char Char Char Char Char Char Char Char Char Char1 Char"/>
    <w:basedOn w:val="1"/>
    <w:qFormat/>
    <w:uiPriority w:val="0"/>
    <w:rPr>
      <w:rFonts w:ascii="Tahoma" w:hAnsi="Tahoma" w:cs="仿宋_GB2312"/>
      <w:szCs w:val="20"/>
    </w:rPr>
  </w:style>
  <w:style w:type="paragraph" w:customStyle="1" w:styleId="840">
    <w:name w:val="正文1"/>
    <w:basedOn w:val="37"/>
    <w:qFormat/>
    <w:uiPriority w:val="0"/>
    <w:pPr>
      <w:ind w:left="0" w:leftChars="0" w:firstLine="480"/>
    </w:pPr>
    <w:rPr>
      <w:rFonts w:ascii="仿宋_GB2312" w:hAnsi="Courier New" w:eastAsia="仿宋_GB2312"/>
      <w:kern w:val="28"/>
    </w:rPr>
  </w:style>
  <w:style w:type="paragraph" w:customStyle="1" w:styleId="841">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kern w:val="0"/>
      <w:sz w:val="20"/>
      <w:szCs w:val="20"/>
    </w:rPr>
  </w:style>
  <w:style w:type="paragraph" w:customStyle="1" w:styleId="843">
    <w:name w:val="模板普通正文"/>
    <w:basedOn w:val="30"/>
    <w:qFormat/>
    <w:uiPriority w:val="0"/>
    <w:pPr>
      <w:adjustRightInd/>
      <w:spacing w:before="156" w:beforeLines="50" w:after="10" w:line="360" w:lineRule="auto"/>
      <w:ind w:firstLine="175" w:firstLineChars="175"/>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9">
    <w:name w:val="legal"/>
    <w:basedOn w:val="1"/>
    <w:qFormat/>
    <w:uiPriority w:val="0"/>
    <w:pPr>
      <w:widowControl/>
      <w:adjustRightInd/>
      <w:spacing w:line="180" w:lineRule="exact"/>
      <w:ind w:firstLine="200"/>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cs="宋体"/>
      <w:kern w:val="0"/>
      <w:sz w:val="20"/>
      <w:szCs w:val="20"/>
    </w:rPr>
  </w:style>
  <w:style w:type="paragraph" w:customStyle="1" w:styleId="851">
    <w:name w:val="Char Char Char Char Char Char1 Char2"/>
    <w:basedOn w:val="1"/>
    <w:qFormat/>
    <w:uiPriority w:val="0"/>
    <w:pPr>
      <w:widowControl/>
      <w:spacing w:after="160" w:line="240" w:lineRule="exact"/>
    </w:pPr>
    <w:rPr>
      <w:rFonts w:ascii="Verdana" w:hAnsi="Verdana"/>
      <w:kern w:val="0"/>
      <w:szCs w:val="20"/>
      <w:lang w:eastAsia="en-US"/>
    </w:rPr>
  </w:style>
  <w:style w:type="paragraph" w:customStyle="1" w:styleId="852">
    <w:name w:val="样式 首行缩进:  2 字符4"/>
    <w:basedOn w:val="1"/>
    <w:qFormat/>
    <w:uiPriority w:val="0"/>
    <w:pPr>
      <w:adjustRightInd/>
      <w:spacing w:before="120"/>
      <w:ind w:firstLine="480"/>
    </w:pPr>
    <w:rPr>
      <w:rFonts w:eastAsia="仿宋_GB2312" w:cs="宋体"/>
      <w:sz w:val="28"/>
      <w:szCs w:val="20"/>
    </w:rPr>
  </w:style>
  <w:style w:type="paragraph" w:customStyle="1" w:styleId="853">
    <w:name w:val="中等深浅网格 1 - 强调文字颜色 21"/>
    <w:basedOn w:val="1"/>
    <w:qFormat/>
    <w:uiPriority w:val="0"/>
    <w:pPr>
      <w:ind w:firstLine="200"/>
    </w:pPr>
    <w:rPr>
      <w:rFonts w:eastAsia="楷体_GB2312" w:cs="Lucida Sans"/>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firstLine="0"/>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60">
    <w:name w:val="Char Char1"/>
    <w:basedOn w:val="1"/>
    <w:qFormat/>
    <w:uiPriority w:val="0"/>
    <w:pPr>
      <w:widowControl/>
      <w:spacing w:after="160" w:line="240" w:lineRule="exact"/>
    </w:pPr>
    <w:rPr>
      <w:rFonts w:eastAsia="仿宋_GB2312"/>
      <w:sz w:val="28"/>
    </w:rPr>
  </w:style>
  <w:style w:type="paragraph" w:customStyle="1" w:styleId="861">
    <w:name w:val="Char21"/>
    <w:basedOn w:val="1"/>
    <w:qFormat/>
    <w:uiPriority w:val="0"/>
    <w:pPr>
      <w:adjustRightInd/>
      <w:ind w:firstLine="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rPr>
  </w:style>
  <w:style w:type="paragraph" w:customStyle="1" w:styleId="863">
    <w:name w:val="Char Char110"/>
    <w:basedOn w:val="1"/>
    <w:qFormat/>
    <w:uiPriority w:val="6"/>
    <w:rPr>
      <w:rFonts w:ascii="Tahoma" w:hAnsi="Tahoma"/>
      <w:szCs w:val="20"/>
    </w:rPr>
  </w:style>
  <w:style w:type="paragraph" w:customStyle="1" w:styleId="864">
    <w:name w:val="xl80"/>
    <w:basedOn w:val="1"/>
    <w:qFormat/>
    <w:uiPriority w:val="0"/>
    <w:pPr>
      <w:widowControl/>
      <w:adjustRightInd/>
      <w:spacing w:before="100" w:beforeAutospacing="1" w:after="100" w:afterAutospacing="1"/>
    </w:pPr>
    <w:rPr>
      <w:rFonts w:ascii="仿宋" w:hAnsi="仿宋" w:cs="宋体"/>
      <w:kern w:val="0"/>
      <w:sz w:val="20"/>
      <w:szCs w:val="20"/>
    </w:rPr>
  </w:style>
  <w:style w:type="paragraph" w:customStyle="1" w:styleId="865">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Cs w:val="20"/>
    </w:rPr>
  </w:style>
  <w:style w:type="paragraph" w:customStyle="1" w:styleId="869">
    <w:name w:val="样式9"/>
    <w:basedOn w:val="1"/>
    <w:qFormat/>
    <w:uiPriority w:val="0"/>
    <w:pPr>
      <w:adjustRightInd/>
      <w:spacing w:line="240" w:lineRule="auto"/>
      <w:ind w:firstLine="0" w:firstLineChars="0"/>
      <w:outlineLvl w:val="0"/>
    </w:pPr>
    <w:rPr>
      <w:rFonts w:ascii="仿宋_GB2312" w:hAnsi="仿宋_GB2312" w:eastAsia="仿宋_GB2312" w:cs="Arial"/>
      <w:b/>
      <w:bCs/>
      <w:szCs w:val="32"/>
    </w:rPr>
  </w:style>
  <w:style w:type="paragraph" w:customStyle="1" w:styleId="870">
    <w:name w:val="Char Char281"/>
    <w:basedOn w:val="1"/>
    <w:qFormat/>
    <w:uiPriority w:val="0"/>
    <w:pPr>
      <w:adjustRightInd/>
      <w:snapToGrid w:val="0"/>
    </w:pPr>
    <w:rPr>
      <w:rFonts w:ascii="Arial" w:hAnsi="Arial" w:eastAsia="黑体"/>
      <w:snapToGrid w:val="0"/>
      <w:kern w:val="0"/>
      <w:sz w:val="20"/>
      <w:szCs w:val="21"/>
    </w:rPr>
  </w:style>
  <w:style w:type="paragraph" w:customStyle="1" w:styleId="871">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pPr>
    <w:rPr>
      <w:rFonts w:ascii="Tahoma" w:hAnsi="Tahoma"/>
      <w:szCs w:val="20"/>
    </w:rPr>
  </w:style>
  <w:style w:type="paragraph" w:customStyle="1" w:styleId="873">
    <w:name w:val="_Style 12"/>
    <w:basedOn w:val="23"/>
    <w:qFormat/>
    <w:uiPriority w:val="0"/>
    <w:pPr>
      <w:snapToGrid w:val="0"/>
    </w:pPr>
  </w:style>
  <w:style w:type="paragraph" w:customStyle="1" w:styleId="874">
    <w:name w:val="样式 首行缩进:  0 字符"/>
    <w:basedOn w:val="1"/>
    <w:qFormat/>
    <w:uiPriority w:val="0"/>
    <w:pPr>
      <w:adjustRightInd/>
      <w:ind w:firstLine="200"/>
    </w:pPr>
    <w:rPr>
      <w:rFonts w:ascii="Arial" w:hAnsi="Arial" w:cs="宋体"/>
      <w:szCs w:val="20"/>
    </w:rPr>
  </w:style>
  <w:style w:type="paragraph" w:customStyle="1" w:styleId="875">
    <w:name w:val="Char1 Char Char Char6"/>
    <w:basedOn w:val="1"/>
    <w:qFormat/>
    <w:uiPriority w:val="6"/>
    <w:pPr>
      <w:widowControl/>
      <w:snapToGrid w:val="0"/>
      <w:spacing w:before="120" w:after="160"/>
      <w:ind w:right="-360"/>
    </w:pPr>
    <w:rPr>
      <w:rFonts w:ascii="Arial" w:hAnsi="Arial"/>
      <w:kern w:val="0"/>
      <w:lang w:eastAsia="en-US"/>
    </w:rPr>
  </w:style>
  <w:style w:type="paragraph" w:customStyle="1" w:styleId="876">
    <w:name w:val="_Style 94"/>
    <w:basedOn w:val="1"/>
    <w:next w:val="261"/>
    <w:qFormat/>
    <w:uiPriority w:val="34"/>
    <w:pPr>
      <w:adjustRightInd/>
      <w:ind w:firstLine="200"/>
    </w:pPr>
    <w:rPr>
      <w:rFonts w:ascii="Calibri" w:hAnsi="Calibri"/>
      <w:sz w:val="28"/>
      <w:szCs w:val="20"/>
    </w:rPr>
  </w:style>
  <w:style w:type="paragraph" w:customStyle="1" w:styleId="877">
    <w:name w:val="方案正文"/>
    <w:basedOn w:val="1"/>
    <w:qFormat/>
    <w:uiPriority w:val="0"/>
    <w:pPr>
      <w:snapToGrid w:val="0"/>
      <w:spacing w:line="324" w:lineRule="auto"/>
    </w:pPr>
    <w:rPr>
      <w:rFonts w:ascii="仿宋_GB2312" w:eastAsia="仿宋_GB2312"/>
      <w:b/>
      <w:color w:val="000000"/>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ind w:firstLine="200"/>
    </w:pPr>
    <w:rPr>
      <w:rFonts w:ascii="仿宋" w:hAnsi="Calibri"/>
      <w:kern w:val="0"/>
    </w:rPr>
  </w:style>
  <w:style w:type="paragraph" w:customStyle="1" w:styleId="880">
    <w:name w:val="3级标题"/>
    <w:basedOn w:val="675"/>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color w:val="000000"/>
      <w:kern w:val="0"/>
      <w:sz w:val="20"/>
      <w:szCs w:val="20"/>
    </w:rPr>
  </w:style>
  <w:style w:type="paragraph" w:customStyle="1" w:styleId="882">
    <w:name w:val="Char1 Char Char Char3"/>
    <w:basedOn w:val="1"/>
    <w:qFormat/>
    <w:uiPriority w:val="0"/>
    <w:pPr>
      <w:adjustRightInd/>
      <w:ind w:firstLine="200"/>
    </w:pPr>
    <w:rPr>
      <w:rFonts w:ascii="Tahoma" w:hAnsi="Tahoma"/>
      <w:szCs w:val="20"/>
    </w:rPr>
  </w:style>
  <w:style w:type="paragraph" w:customStyle="1" w:styleId="883">
    <w:name w:val="GP正文(首行缩进)"/>
    <w:basedOn w:val="1"/>
    <w:qFormat/>
    <w:uiPriority w:val="0"/>
    <w:pPr>
      <w:adjustRightInd/>
      <w:ind w:firstLine="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1"/>
    <w:qFormat/>
    <w:uiPriority w:val="0"/>
  </w:style>
  <w:style w:type="paragraph" w:customStyle="1" w:styleId="887">
    <w:name w:val="U_编号2"/>
    <w:basedOn w:val="1"/>
    <w:qFormat/>
    <w:uiPriority w:val="0"/>
    <w:pPr>
      <w:tabs>
        <w:tab w:val="left" w:pos="785"/>
      </w:tabs>
      <w:adjustRightInd/>
      <w:spacing w:beforeLines="10" w:afterLines="10" w:line="300" w:lineRule="auto"/>
    </w:p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pPr>
    <w:rPr>
      <w:rFonts w:ascii="宋体" w:hAnsi="宋体" w:cs="宋体"/>
      <w:kern w:val="0"/>
    </w:rPr>
  </w:style>
  <w:style w:type="paragraph" w:customStyle="1" w:styleId="890">
    <w:name w:val="标书标题3"/>
    <w:basedOn w:val="6"/>
    <w:qFormat/>
    <w:uiPriority w:val="0"/>
    <w:pPr>
      <w:keepLines w:val="0"/>
      <w:widowControl/>
      <w:snapToGrid w:val="0"/>
      <w:spacing w:before="120" w:after="60" w:line="300" w:lineRule="auto"/>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adjustRightInd/>
      <w:spacing w:before="480" w:after="0" w:line="276" w:lineRule="auto"/>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pPr>
    <w:rPr>
      <w:rFonts w:eastAsia="仿宋_GB2312"/>
      <w:sz w:val="28"/>
    </w:rPr>
  </w:style>
  <w:style w:type="paragraph" w:customStyle="1" w:styleId="893">
    <w:name w:val="正文首行缩进1"/>
    <w:basedOn w:val="28"/>
    <w:qFormat/>
    <w:uiPriority w:val="0"/>
    <w:pPr>
      <w:suppressAutoHyphens/>
      <w:autoSpaceDE/>
      <w:autoSpaceDN/>
      <w:adjustRightInd/>
      <w:spacing w:after="120" w:line="240" w:lineRule="auto"/>
      <w:ind w:firstLine="420"/>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ind w:left="200" w:leftChars="200" w:firstLine="200"/>
    </w:p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pPr>
    <w:rPr>
      <w:rFonts w:ascii="Arial (W1)" w:hAnsi="Arial (W1)"/>
      <w:color w:val="000000"/>
      <w:kern w:val="0"/>
      <w:lang w:val="en-GB" w:eastAsia="en-US"/>
    </w:rPr>
  </w:style>
  <w:style w:type="paragraph" w:customStyle="1" w:styleId="901">
    <w:name w:val="标准正文格式"/>
    <w:basedOn w:val="1"/>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2">
    <w:name w:val="Bullet"/>
    <w:basedOn w:val="1"/>
    <w:qFormat/>
    <w:uiPriority w:val="0"/>
    <w:pPr>
      <w:widowControl/>
      <w:tabs>
        <w:tab w:val="left" w:pos="288"/>
      </w:tabs>
      <w:adjustRightInd/>
      <w:ind w:left="288" w:hanging="360"/>
    </w:pPr>
    <w:rPr>
      <w:rFonts w:ascii="Arial" w:hAnsi="Arial"/>
      <w:kern w:val="0"/>
      <w:sz w:val="20"/>
      <w:szCs w:val="20"/>
    </w:rPr>
  </w:style>
  <w:style w:type="paragraph" w:customStyle="1" w:styleId="903">
    <w:name w:val="0"/>
    <w:basedOn w:val="1"/>
    <w:qFormat/>
    <w:uiPriority w:val="0"/>
    <w:pPr>
      <w:widowControl/>
    </w:pPr>
    <w:rPr>
      <w:kern w:val="0"/>
      <w:szCs w:val="20"/>
    </w:rPr>
  </w:style>
  <w:style w:type="paragraph" w:customStyle="1" w:styleId="904">
    <w:name w:val="Char Char113"/>
    <w:basedOn w:val="1"/>
    <w:qFormat/>
    <w:uiPriority w:val="0"/>
    <w:pPr>
      <w:widowControl/>
      <w:spacing w:after="160" w:line="240" w:lineRule="exact"/>
    </w:pPr>
    <w:rPr>
      <w:rFonts w:eastAsia="仿宋_GB2312"/>
      <w:sz w:val="28"/>
    </w:rPr>
  </w:style>
  <w:style w:type="paragraph" w:customStyle="1" w:styleId="905">
    <w:name w:val="样式5"/>
    <w:basedOn w:val="1"/>
    <w:qFormat/>
    <w:uiPriority w:val="0"/>
    <w:pPr>
      <w:spacing w:line="440" w:lineRule="exact"/>
      <w:ind w:left="2" w:firstLine="480"/>
    </w:pPr>
    <w:rPr>
      <w:rFonts w:ascii="仿宋_GB2312" w:hAnsi="仿宋" w:eastAsia="仿宋_GB2312"/>
    </w:rPr>
  </w:style>
  <w:style w:type="paragraph" w:customStyle="1" w:styleId="906">
    <w:name w:val="_Style 8"/>
    <w:basedOn w:val="1"/>
    <w:qFormat/>
    <w:uiPriority w:val="34"/>
    <w:pPr>
      <w:adjustRightInd/>
      <w:ind w:firstLine="42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cs="宋体"/>
      <w:kern w:val="0"/>
      <w:sz w:val="20"/>
      <w:szCs w:val="20"/>
    </w:rPr>
  </w:style>
  <w:style w:type="paragraph" w:customStyle="1" w:styleId="908">
    <w:name w:val="正文样式 首行缩进:  0.74 厘米"/>
    <w:basedOn w:val="1"/>
    <w:qFormat/>
    <w:uiPriority w:val="0"/>
    <w:pPr>
      <w:adjustRightInd/>
      <w:spacing w:before="156" w:beforeLines="50"/>
      <w:ind w:firstLine="420"/>
    </w:pPr>
    <w:rPr>
      <w:rFonts w:cs="宋体"/>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rFonts w:ascii="宋体" w:hAnsi="宋体"/>
      <w:kern w:val="0"/>
      <w:sz w:val="20"/>
      <w:szCs w:val="20"/>
    </w:rPr>
  </w:style>
  <w:style w:type="paragraph" w:customStyle="1" w:styleId="910">
    <w:name w:val="列出段落31"/>
    <w:basedOn w:val="1"/>
    <w:qFormat/>
    <w:uiPriority w:val="0"/>
    <w:pPr>
      <w:adjustRightInd/>
      <w:ind w:firstLine="420"/>
    </w:pPr>
    <w:rPr>
      <w:rFonts w:ascii="Calibri" w:hAnsi="Calibri"/>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pPr>
    <w:rPr>
      <w:rFonts w:eastAsia="仿宋_GB2312"/>
      <w:sz w:val="28"/>
    </w:rPr>
  </w:style>
  <w:style w:type="paragraph" w:customStyle="1" w:styleId="913">
    <w:name w:val="正文 图"/>
    <w:basedOn w:val="446"/>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textAlignment w:val="baseline"/>
    </w:pPr>
    <w:rPr>
      <w:rFonts w:ascii="Arial Narrow" w:hAnsi="Arial Narrow"/>
      <w:kern w:val="0"/>
      <w:sz w:val="18"/>
      <w:szCs w:val="20"/>
    </w:rPr>
  </w:style>
  <w:style w:type="paragraph" w:customStyle="1" w:styleId="916">
    <w:name w:val="Thf"/>
    <w:basedOn w:val="565"/>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ind w:firstLine="480"/>
    </w:pPr>
  </w:style>
  <w:style w:type="table" w:customStyle="1" w:styleId="920">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42"/>
    <w:qFormat/>
    <w:uiPriority w:val="0"/>
    <w:rPr>
      <w:kern w:val="2"/>
      <w:sz w:val="21"/>
      <w:szCs w:val="24"/>
      <w:lang w:val="zh-CN"/>
    </w:rPr>
  </w:style>
  <w:style w:type="character" w:customStyle="1" w:styleId="932">
    <w:name w:val="无间隔 字符"/>
    <w:link w:val="486"/>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ind w:firstLine="480"/>
    </w:pPr>
    <w:rPr>
      <w:rFonts w:cs="宋体"/>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61"/>
    <w:qFormat/>
    <w:uiPriority w:val="34"/>
    <w:pPr>
      <w:adjustRightInd/>
      <w:ind w:firstLine="42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pPr>
    <w:rPr>
      <w:rFonts w:ascii="Century Gothic" w:hAnsi="Century Gothic"/>
      <w:kern w:val="0"/>
      <w:szCs w:val="20"/>
    </w:rPr>
  </w:style>
  <w:style w:type="paragraph" w:customStyle="1" w:styleId="953">
    <w:name w:val="节"/>
    <w:basedOn w:val="5"/>
    <w:qFormat/>
    <w:uiPriority w:val="0"/>
    <w:pPr>
      <w:tabs>
        <w:tab w:val="clear" w:pos="432"/>
      </w:tabs>
      <w:spacing w:before="160" w:after="160" w:line="720" w:lineRule="exact"/>
      <w:ind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pPr>
    <w:rPr>
      <w:kern w:val="0"/>
      <w:szCs w:val="20"/>
    </w:rPr>
  </w:style>
  <w:style w:type="paragraph" w:customStyle="1" w:styleId="955">
    <w:name w:val="p1"/>
    <w:basedOn w:val="1"/>
    <w:qFormat/>
    <w:uiPriority w:val="0"/>
    <w:pPr>
      <w:widowControl/>
      <w:adjustRightInd/>
    </w:pPr>
    <w:rPr>
      <w:rFonts w:ascii=".PingFang SC" w:eastAsia=".PingFang SC"/>
      <w:color w:val="454545"/>
      <w:kern w:val="0"/>
      <w:sz w:val="18"/>
      <w:szCs w:val="18"/>
    </w:rPr>
  </w:style>
  <w:style w:type="paragraph" w:customStyle="1" w:styleId="956">
    <w:name w:val="Table Paragraph"/>
    <w:basedOn w:val="1"/>
    <w:qFormat/>
    <w:uiPriority w:val="0"/>
    <w:pPr>
      <w:adjustRightInd/>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9">
    <w:name w:val="text-tag"/>
    <w:basedOn w:val="1"/>
    <w:semiHidden/>
    <w:qFormat/>
    <w:uiPriority w:val="99"/>
    <w:pPr>
      <w:widowControl/>
      <w:adjustRightInd/>
      <w:spacing w:before="100" w:beforeAutospacing="1" w:after="100" w:afterAutospacing="1"/>
    </w:pPr>
    <w:rPr>
      <w:rFonts w:ascii="宋体" w:hAnsi="宋体" w:cs="宋体"/>
      <w:kern w:val="0"/>
    </w:rPr>
  </w:style>
  <w:style w:type="character" w:customStyle="1" w:styleId="960">
    <w:name w:val="ksfind_class_select1"/>
    <w:basedOn w:val="73"/>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标题 2 字符1"/>
    <w:link w:val="5"/>
    <w:qFormat/>
    <w:uiPriority w:val="0"/>
    <w:rPr>
      <w:rFonts w:ascii="仿宋_GB2312" w:hAnsi="仿宋_GB2312" w:eastAsia="仿宋"/>
      <w:b/>
      <w:bCs/>
      <w:sz w:val="24"/>
      <w:szCs w:val="32"/>
      <w:lang w:val="zh-CN"/>
    </w:rPr>
  </w:style>
  <w:style w:type="paragraph" w:customStyle="1" w:styleId="964">
    <w:name w:val="表内居中"/>
    <w:basedOn w:val="1"/>
    <w:qFormat/>
    <w:uiPriority w:val="1"/>
    <w:pPr>
      <w:ind w:firstLine="0" w:firstLineChars="0"/>
      <w:jc w:val="center"/>
    </w:pPr>
    <w:rPr>
      <w:szCs w:val="22"/>
    </w:rPr>
  </w:style>
  <w:style w:type="paragraph" w:customStyle="1" w:styleId="965">
    <w:name w:val="WPSOffice手动目录 1"/>
    <w:qFormat/>
    <w:uiPriority w:val="0"/>
    <w:rPr>
      <w:rFonts w:ascii="Times New Roman" w:hAnsi="Times New Roman" w:eastAsia="宋体" w:cs="Times New Roman"/>
      <w:lang w:val="en-US" w:eastAsia="zh-CN" w:bidi="ar-SA"/>
    </w:rPr>
  </w:style>
  <w:style w:type="paragraph" w:customStyle="1" w:styleId="96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7">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968">
    <w:name w:val="标题 3 字符1"/>
    <w:link w:val="6"/>
    <w:qFormat/>
    <w:uiPriority w:val="0"/>
    <w:rPr>
      <w:b/>
      <w:bCs/>
      <w:sz w:val="24"/>
      <w:szCs w:val="32"/>
    </w:rPr>
  </w:style>
  <w:style w:type="table" w:customStyle="1" w:styleId="96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116</Pages>
  <Words>55293</Words>
  <Characters>61191</Characters>
  <Lines>359</Lines>
  <Paragraphs>101</Paragraphs>
  <TotalTime>23</TotalTime>
  <ScaleCrop>false</ScaleCrop>
  <LinksUpToDate>false</LinksUpToDate>
  <CharactersWithSpaces>61547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林郎1374707049</cp:lastModifiedBy>
  <cp:lastPrinted>2022-11-01T00:19:00Z</cp:lastPrinted>
  <dcterms:modified xsi:type="dcterms:W3CDTF">2023-01-03T08:37:17Z</dcterms:modified>
  <dc:title>杭州市市民卡扩大发卡工程</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F40E641419724A8CA4A263924F82B900</vt:lpwstr>
  </property>
</Properties>
</file>