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Times New Roman"/>
          <w:color w:val="000000"/>
          <w:sz w:val="30"/>
          <w:szCs w:val="72"/>
        </w:rPr>
      </w:pPr>
    </w:p>
    <w:p>
      <w:pPr>
        <w:spacing w:line="360" w:lineRule="auto"/>
        <w:jc w:val="center"/>
        <w:rPr>
          <w:rFonts w:ascii="宋体" w:hAnsi="宋体" w:eastAsia="宋体" w:cs="Times New Roman"/>
          <w:color w:val="000000"/>
          <w:sz w:val="30"/>
          <w:szCs w:val="72"/>
        </w:rPr>
      </w:pPr>
    </w:p>
    <w:p>
      <w:pPr>
        <w:spacing w:line="360" w:lineRule="auto"/>
        <w:jc w:val="center"/>
        <w:rPr>
          <w:rFonts w:ascii="宋体" w:hAnsi="宋体" w:eastAsia="宋体" w:cs="Times New Roman"/>
          <w:color w:val="000000"/>
          <w:sz w:val="30"/>
          <w:szCs w:val="72"/>
        </w:rPr>
      </w:pPr>
    </w:p>
    <w:p>
      <w:pPr>
        <w:spacing w:before="156" w:beforeLines="50" w:after="156" w:afterLines="50" w:line="360" w:lineRule="auto"/>
        <w:jc w:val="center"/>
        <w:rPr>
          <w:rFonts w:ascii="宋体" w:hAnsi="宋体" w:eastAsia="宋体" w:cs="Times New Roman"/>
          <w:b/>
          <w:color w:val="000000"/>
          <w:sz w:val="48"/>
          <w:szCs w:val="48"/>
        </w:rPr>
      </w:pPr>
      <w:r>
        <w:rPr>
          <w:rFonts w:hint="eastAsia" w:ascii="宋体" w:hAnsi="宋体" w:eastAsia="宋体" w:cs="Times New Roman"/>
          <w:b/>
          <w:color w:val="000000"/>
          <w:sz w:val="48"/>
          <w:szCs w:val="48"/>
        </w:rPr>
        <w:t>政府采购项目</w:t>
      </w:r>
    </w:p>
    <w:p>
      <w:pPr>
        <w:spacing w:line="360" w:lineRule="auto"/>
        <w:jc w:val="center"/>
        <w:rPr>
          <w:rFonts w:ascii="宋体" w:hAnsi="宋体" w:eastAsia="宋体" w:cs="Times New Roman"/>
          <w:b/>
          <w:color w:val="000000"/>
          <w:sz w:val="30"/>
          <w:szCs w:val="30"/>
        </w:rPr>
      </w:pPr>
    </w:p>
    <w:p>
      <w:pPr>
        <w:spacing w:before="156" w:beforeLines="50" w:after="156" w:afterLines="50" w:line="360" w:lineRule="auto"/>
        <w:jc w:val="center"/>
        <w:rPr>
          <w:rFonts w:ascii="宋体" w:hAnsi="宋体" w:eastAsia="宋体" w:cs="Times New Roman"/>
          <w:b/>
          <w:color w:val="000000"/>
          <w:sz w:val="72"/>
          <w:szCs w:val="72"/>
        </w:rPr>
      </w:pPr>
      <w:r>
        <w:rPr>
          <w:rFonts w:hint="eastAsia" w:ascii="宋体" w:hAnsi="宋体" w:eastAsia="宋体" w:cs="Times New Roman"/>
          <w:b/>
          <w:color w:val="000000"/>
          <w:sz w:val="72"/>
          <w:szCs w:val="72"/>
        </w:rPr>
        <w:t>竞争性磋商采购文件</w:t>
      </w:r>
    </w:p>
    <w:p>
      <w:pPr>
        <w:spacing w:line="360" w:lineRule="auto"/>
        <w:rPr>
          <w:rFonts w:ascii="宋体" w:hAnsi="宋体" w:eastAsia="宋体" w:cs="Times New Roman"/>
          <w:color w:val="000000"/>
          <w:sz w:val="30"/>
          <w:szCs w:val="72"/>
        </w:rPr>
      </w:pPr>
    </w:p>
    <w:p>
      <w:pPr>
        <w:spacing w:line="360" w:lineRule="auto"/>
        <w:rPr>
          <w:rFonts w:ascii="宋体" w:hAnsi="宋体" w:eastAsia="宋体" w:cs="Times New Roman"/>
          <w:color w:val="000000"/>
          <w:sz w:val="30"/>
          <w:szCs w:val="72"/>
        </w:rPr>
      </w:pPr>
    </w:p>
    <w:p>
      <w:pPr>
        <w:spacing w:line="360" w:lineRule="auto"/>
        <w:rPr>
          <w:rFonts w:ascii="宋体" w:hAnsi="宋体" w:eastAsia="宋体" w:cs="Times New Roman"/>
          <w:color w:val="000000"/>
          <w:sz w:val="30"/>
          <w:szCs w:val="72"/>
        </w:rPr>
      </w:pPr>
    </w:p>
    <w:p>
      <w:pPr>
        <w:spacing w:line="360" w:lineRule="auto"/>
        <w:rPr>
          <w:rFonts w:ascii="宋体" w:hAnsi="宋体" w:eastAsia="宋体" w:cs="Times New Roman"/>
          <w:color w:val="000000"/>
          <w:sz w:val="30"/>
          <w:szCs w:val="72"/>
        </w:rPr>
      </w:pPr>
    </w:p>
    <w:p>
      <w:pPr>
        <w:spacing w:line="360" w:lineRule="auto"/>
        <w:rPr>
          <w:rFonts w:ascii="宋体" w:hAnsi="宋体" w:eastAsia="宋体" w:cs="Times New Roman"/>
          <w:color w:val="000000"/>
          <w:sz w:val="30"/>
          <w:szCs w:val="72"/>
        </w:rPr>
      </w:pPr>
    </w:p>
    <w:p>
      <w:pPr>
        <w:spacing w:line="360" w:lineRule="auto"/>
        <w:rPr>
          <w:rFonts w:ascii="宋体" w:hAnsi="宋体" w:eastAsia="宋体" w:cs="Times New Roman"/>
          <w:b/>
          <w:bCs/>
          <w:sz w:val="30"/>
          <w:szCs w:val="30"/>
        </w:rPr>
      </w:pPr>
      <w:r>
        <w:rPr>
          <w:rFonts w:ascii="宋体" w:hAnsi="宋体" w:eastAsia="宋体" w:cs="Times New Roman"/>
          <w:b/>
          <w:bCs/>
          <w:sz w:val="30"/>
          <w:szCs w:val="30"/>
        </w:rPr>
        <w:t>项目编号：</w:t>
      </w:r>
      <w:r>
        <w:rPr>
          <w:rFonts w:hint="eastAsia" w:ascii="宋体" w:hAnsi="宋体" w:eastAsia="宋体" w:cs="Times New Roman"/>
          <w:b/>
          <w:bCs/>
          <w:sz w:val="30"/>
          <w:szCs w:val="30"/>
        </w:rPr>
        <w:t>NBSXCG2023-031</w:t>
      </w:r>
    </w:p>
    <w:p>
      <w:pPr>
        <w:spacing w:line="360" w:lineRule="auto"/>
        <w:rPr>
          <w:rFonts w:ascii="宋体" w:hAnsi="宋体" w:eastAsia="宋体" w:cs="Times New Roman"/>
          <w:color w:val="000000"/>
          <w:sz w:val="30"/>
          <w:szCs w:val="72"/>
        </w:rPr>
      </w:pPr>
      <w:r>
        <w:rPr>
          <w:rFonts w:hint="eastAsia" w:ascii="宋体" w:hAnsi="宋体" w:eastAsia="宋体" w:cs="Times New Roman"/>
          <w:b/>
          <w:color w:val="000000"/>
          <w:sz w:val="30"/>
          <w:szCs w:val="72"/>
        </w:rPr>
        <w:t>项目名称：</w:t>
      </w:r>
      <w:r>
        <w:rPr>
          <w:rFonts w:hint="eastAsia" w:ascii="宋体" w:hAnsi="宋体" w:eastAsia="宋体" w:cs="Times New Roman"/>
          <w:b/>
          <w:bCs/>
          <w:sz w:val="30"/>
          <w:szCs w:val="30"/>
        </w:rPr>
        <w:t>凤山小学改扩建工程（改造部分）电教化设施设备采购</w:t>
      </w:r>
    </w:p>
    <w:p>
      <w:pPr>
        <w:spacing w:line="360" w:lineRule="auto"/>
        <w:rPr>
          <w:rFonts w:ascii="宋体" w:hAnsi="宋体" w:eastAsia="宋体" w:cs="Times New Roman"/>
          <w:b/>
          <w:bCs/>
          <w:sz w:val="30"/>
          <w:szCs w:val="30"/>
        </w:rPr>
      </w:pPr>
      <w:r>
        <w:rPr>
          <w:rFonts w:hint="eastAsia" w:ascii="宋体" w:hAnsi="宋体" w:eastAsia="宋体" w:cs="Times New Roman"/>
          <w:b/>
          <w:bCs/>
          <w:sz w:val="30"/>
          <w:szCs w:val="30"/>
        </w:rPr>
        <w:t>采购人</w:t>
      </w:r>
      <w:r>
        <w:rPr>
          <w:rFonts w:ascii="宋体" w:hAnsi="宋体" w:eastAsia="宋体" w:cs="Times New Roman"/>
          <w:b/>
          <w:bCs/>
          <w:sz w:val="30"/>
          <w:szCs w:val="30"/>
        </w:rPr>
        <w:t>：</w:t>
      </w:r>
      <w:r>
        <w:rPr>
          <w:rFonts w:hint="eastAsia" w:ascii="宋体" w:hAnsi="宋体" w:eastAsia="宋体" w:cs="Times New Roman"/>
          <w:b/>
          <w:bCs/>
          <w:sz w:val="30"/>
          <w:szCs w:val="30"/>
        </w:rPr>
        <w:t>余姚市人民政府凤山街道办事处（盖章）</w:t>
      </w:r>
    </w:p>
    <w:p>
      <w:pPr>
        <w:spacing w:line="360" w:lineRule="auto"/>
        <w:rPr>
          <w:rFonts w:ascii="宋体" w:hAnsi="宋体" w:eastAsia="宋体" w:cs="Times New Roman"/>
          <w:b/>
          <w:color w:val="000000"/>
          <w:sz w:val="30"/>
          <w:szCs w:val="48"/>
        </w:rPr>
      </w:pPr>
      <w:r>
        <w:rPr>
          <w:rFonts w:hint="eastAsia" w:ascii="宋体" w:hAnsi="宋体" w:eastAsia="宋体" w:cs="Times New Roman"/>
          <w:b/>
          <w:bCs/>
          <w:sz w:val="30"/>
          <w:szCs w:val="30"/>
        </w:rPr>
        <w:t>采购代理机构</w:t>
      </w:r>
      <w:r>
        <w:rPr>
          <w:rFonts w:ascii="宋体" w:hAnsi="宋体" w:eastAsia="宋体" w:cs="Times New Roman"/>
          <w:b/>
          <w:bCs/>
          <w:sz w:val="30"/>
          <w:szCs w:val="30"/>
        </w:rPr>
        <w:t>：</w:t>
      </w:r>
      <w:r>
        <w:rPr>
          <w:rFonts w:hint="eastAsia" w:ascii="宋体" w:hAnsi="宋体" w:eastAsia="宋体" w:cs="Times New Roman"/>
          <w:b/>
          <w:bCs/>
          <w:sz w:val="30"/>
          <w:szCs w:val="30"/>
        </w:rPr>
        <w:t>宁波舜兴招标代理有限公司（盖章）</w:t>
      </w:r>
    </w:p>
    <w:p>
      <w:pPr>
        <w:spacing w:line="360" w:lineRule="auto"/>
        <w:rPr>
          <w:rFonts w:ascii="宋体" w:hAnsi="宋体" w:eastAsia="宋体" w:cs="Times New Roman"/>
          <w:b/>
          <w:bCs/>
          <w:sz w:val="30"/>
          <w:szCs w:val="30"/>
        </w:rPr>
      </w:pPr>
      <w:r>
        <w:rPr>
          <w:rFonts w:hint="eastAsia" w:ascii="宋体" w:hAnsi="宋体" w:eastAsia="宋体" w:cs="Times New Roman"/>
          <w:b/>
          <w:color w:val="000000"/>
          <w:sz w:val="30"/>
          <w:szCs w:val="48"/>
        </w:rPr>
        <w:t>编制时间：</w:t>
      </w:r>
      <w:r>
        <w:rPr>
          <w:rFonts w:hint="eastAsia" w:ascii="宋体" w:hAnsi="宋体" w:eastAsia="宋体" w:cs="Times New Roman"/>
          <w:b/>
          <w:bCs/>
          <w:sz w:val="30"/>
          <w:szCs w:val="30"/>
        </w:rPr>
        <w:t>2023年10月</w:t>
      </w:r>
    </w:p>
    <w:p>
      <w:pPr>
        <w:spacing w:line="360" w:lineRule="auto"/>
        <w:rPr>
          <w:rFonts w:ascii="宋体" w:hAnsi="宋体" w:eastAsia="宋体" w:cs="Times New Roman"/>
          <w:b/>
          <w:bCs/>
          <w:w w:val="95"/>
          <w:sz w:val="30"/>
          <w:szCs w:val="30"/>
        </w:rPr>
        <w:sectPr>
          <w:footerReference r:id="rId3" w:type="default"/>
          <w:pgSz w:w="11906" w:h="16838"/>
          <w:pgMar w:top="1418" w:right="1418" w:bottom="1418" w:left="1418" w:header="851" w:footer="992" w:gutter="0"/>
          <w:pgNumType w:start="0"/>
          <w:cols w:space="425" w:num="1"/>
          <w:titlePg/>
          <w:docGrid w:type="lines" w:linePitch="312" w:charSpace="0"/>
        </w:sectPr>
      </w:pPr>
    </w:p>
    <w:p>
      <w:pPr>
        <w:spacing w:line="360" w:lineRule="auto"/>
        <w:jc w:val="center"/>
        <w:rPr>
          <w:rFonts w:ascii="宋体" w:hAnsi="宋体" w:eastAsia="宋体"/>
          <w:b/>
          <w:sz w:val="24"/>
          <w:szCs w:val="24"/>
        </w:rPr>
      </w:pPr>
      <w:r>
        <w:rPr>
          <w:rFonts w:hint="eastAsia" w:ascii="宋体" w:hAnsi="宋体" w:eastAsia="宋体"/>
          <w:b/>
          <w:sz w:val="24"/>
          <w:szCs w:val="24"/>
        </w:rPr>
        <w:t xml:space="preserve">第一章  </w:t>
      </w:r>
      <w:r>
        <w:rPr>
          <w:rFonts w:hint="eastAsia" w:ascii="宋体" w:hAnsi="宋体" w:eastAsia="宋体" w:cs="Times New Roman"/>
          <w:b/>
          <w:color w:val="000000"/>
          <w:sz w:val="24"/>
          <w:szCs w:val="24"/>
        </w:rPr>
        <w:t>竞争性磋商公告</w:t>
      </w:r>
    </w:p>
    <w:tbl>
      <w:tblPr>
        <w:tblStyle w:val="12"/>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9073"/>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9073" w:type="dxa"/>
          </w:tcPr>
          <w:p>
            <w:pPr>
              <w:wordWrap w:val="0"/>
              <w:spacing w:line="400" w:lineRule="exact"/>
              <w:rPr>
                <w:rFonts w:ascii="宋体" w:hAnsi="宋体" w:eastAsia="宋体" w:cs="宋体"/>
                <w:color w:val="000000"/>
                <w:kern w:val="0"/>
                <w:szCs w:val="21"/>
              </w:rPr>
            </w:pPr>
            <w:r>
              <w:rPr>
                <w:rFonts w:hint="eastAsia" w:ascii="宋体" w:hAnsi="宋体" w:eastAsia="宋体" w:cs="宋体"/>
                <w:color w:val="000000"/>
                <w:kern w:val="0"/>
                <w:szCs w:val="21"/>
              </w:rPr>
              <w:t>项目概况</w:t>
            </w:r>
          </w:p>
          <w:p>
            <w:pPr>
              <w:wordWrap w:val="0"/>
              <w:spacing w:line="400" w:lineRule="exact"/>
              <w:ind w:firstLine="420" w:firstLineChars="200"/>
              <w:rPr>
                <w:rFonts w:ascii="宋体" w:hAnsi="宋体" w:eastAsia="宋体" w:cs="宋体"/>
                <w:color w:val="000000"/>
                <w:kern w:val="0"/>
                <w:szCs w:val="21"/>
              </w:rPr>
            </w:pPr>
            <w:r>
              <w:rPr>
                <w:rFonts w:hint="eastAsia" w:ascii="宋体" w:hAnsi="宋体" w:eastAsia="宋体" w:cs="宋体"/>
                <w:color w:val="000000"/>
                <w:kern w:val="0"/>
                <w:szCs w:val="21"/>
                <w:u w:val="single"/>
              </w:rPr>
              <w:t>凤山小学改扩建工程（改造部分）电教化设施设备采购</w:t>
            </w:r>
            <w:r>
              <w:rPr>
                <w:rFonts w:hint="eastAsia" w:ascii="宋体" w:hAnsi="宋体" w:eastAsia="宋体" w:cs="宋体"/>
                <w:color w:val="000000"/>
                <w:kern w:val="0"/>
                <w:szCs w:val="21"/>
              </w:rPr>
              <w:t>采购项目的潜在供应商应在</w:t>
            </w:r>
            <w:r>
              <w:rPr>
                <w:rFonts w:hint="eastAsia" w:ascii="宋体" w:hAnsi="宋体" w:eastAsia="宋体" w:cs="宋体"/>
                <w:color w:val="000000"/>
                <w:kern w:val="0"/>
                <w:szCs w:val="21"/>
                <w:u w:val="single"/>
              </w:rPr>
              <w:t>政府采购云平台（https：//www.zcygov.cn/）</w:t>
            </w:r>
            <w:r>
              <w:rPr>
                <w:rFonts w:hint="eastAsia" w:ascii="宋体" w:hAnsi="宋体" w:eastAsia="宋体" w:cs="宋体"/>
                <w:color w:val="000000"/>
                <w:kern w:val="0"/>
                <w:szCs w:val="21"/>
              </w:rPr>
              <w:t>。获取（下载）采购文件，并于</w:t>
            </w:r>
            <w:r>
              <w:rPr>
                <w:rFonts w:hint="eastAsia" w:ascii="宋体" w:hAnsi="宋体" w:eastAsia="宋体" w:cs="宋体"/>
                <w:color w:val="FF0000"/>
                <w:kern w:val="0"/>
                <w:szCs w:val="21"/>
                <w:u w:val="single"/>
              </w:rPr>
              <w:t>2023年10月27日14时00分</w:t>
            </w:r>
            <w:r>
              <w:rPr>
                <w:rFonts w:hint="eastAsia" w:ascii="宋体" w:hAnsi="宋体" w:eastAsia="宋体" w:cs="宋体"/>
                <w:color w:val="000000"/>
                <w:kern w:val="0"/>
                <w:szCs w:val="21"/>
                <w:u w:val="single"/>
              </w:rPr>
              <w:t>（北京时间）前</w:t>
            </w:r>
            <w:r>
              <w:rPr>
                <w:rFonts w:hint="eastAsia" w:ascii="宋体" w:hAnsi="宋体" w:eastAsia="宋体" w:cs="宋体"/>
                <w:color w:val="000000"/>
                <w:kern w:val="0"/>
                <w:szCs w:val="21"/>
              </w:rPr>
              <w:t>提交（上传）响应文件。</w:t>
            </w:r>
          </w:p>
        </w:tc>
      </w:tr>
    </w:tbl>
    <w:p>
      <w:pPr>
        <w:wordWrap w:val="0"/>
        <w:spacing w:line="400" w:lineRule="exact"/>
        <w:jc w:val="left"/>
        <w:rPr>
          <w:rFonts w:ascii="宋体" w:hAnsi="宋体" w:eastAsia="宋体" w:cs="宋体"/>
          <w:color w:val="000000"/>
          <w:szCs w:val="21"/>
        </w:rPr>
      </w:pPr>
    </w:p>
    <w:p>
      <w:pPr>
        <w:wordWrap w:val="0"/>
        <w:spacing w:line="400" w:lineRule="exact"/>
        <w:rPr>
          <w:rFonts w:ascii="宋体" w:hAnsi="宋体" w:eastAsia="宋体" w:cs="宋体"/>
          <w:b/>
          <w:kern w:val="0"/>
          <w:szCs w:val="21"/>
        </w:rPr>
      </w:pPr>
      <w:r>
        <w:rPr>
          <w:rFonts w:hint="eastAsia" w:ascii="宋体" w:hAnsi="宋体" w:eastAsia="宋体" w:cs="宋体"/>
          <w:b/>
          <w:kern w:val="0"/>
          <w:szCs w:val="21"/>
        </w:rPr>
        <w:t>一、项目基本情况</w:t>
      </w:r>
    </w:p>
    <w:p>
      <w:pPr>
        <w:wordWrap w:val="0"/>
        <w:spacing w:line="400" w:lineRule="exact"/>
        <w:ind w:firstLine="420" w:firstLineChars="200"/>
        <w:rPr>
          <w:rFonts w:ascii="宋体" w:hAnsi="宋体" w:eastAsia="宋体" w:cs="宋体"/>
          <w:kern w:val="0"/>
          <w:szCs w:val="21"/>
        </w:rPr>
      </w:pPr>
      <w:r>
        <w:rPr>
          <w:rFonts w:hint="eastAsia" w:ascii="宋体" w:hAnsi="宋体" w:eastAsia="宋体" w:cs="宋体"/>
          <w:kern w:val="0"/>
          <w:szCs w:val="21"/>
        </w:rPr>
        <w:t>项目编号：NBSXCG2023-031</w:t>
      </w:r>
    </w:p>
    <w:p>
      <w:pPr>
        <w:wordWrap w:val="0"/>
        <w:spacing w:line="400" w:lineRule="exact"/>
        <w:ind w:firstLine="420" w:firstLineChars="200"/>
        <w:rPr>
          <w:rFonts w:ascii="宋体" w:hAnsi="宋体" w:eastAsia="宋体" w:cs="宋体"/>
          <w:kern w:val="0"/>
          <w:szCs w:val="21"/>
        </w:rPr>
      </w:pPr>
      <w:r>
        <w:rPr>
          <w:rFonts w:hint="eastAsia" w:ascii="宋体" w:hAnsi="宋体" w:eastAsia="宋体" w:cs="宋体"/>
          <w:kern w:val="0"/>
          <w:szCs w:val="21"/>
        </w:rPr>
        <w:t>项目名称：凤山小学改扩建工程（改造部分）电教化设施设备采购</w:t>
      </w:r>
    </w:p>
    <w:p>
      <w:pPr>
        <w:wordWrap w:val="0"/>
        <w:spacing w:line="400" w:lineRule="exact"/>
        <w:ind w:firstLine="420" w:firstLineChars="200"/>
        <w:rPr>
          <w:rFonts w:ascii="宋体" w:hAnsi="宋体" w:eastAsia="宋体" w:cs="宋体"/>
          <w:kern w:val="0"/>
          <w:szCs w:val="21"/>
        </w:rPr>
      </w:pPr>
      <w:r>
        <w:rPr>
          <w:rFonts w:hint="eastAsia" w:ascii="宋体" w:hAnsi="宋体" w:eastAsia="宋体" w:cs="宋体"/>
          <w:kern w:val="0"/>
          <w:szCs w:val="21"/>
        </w:rPr>
        <w:t>采购方式：竞争性磋商</w:t>
      </w:r>
    </w:p>
    <w:p>
      <w:pPr>
        <w:wordWrap w:val="0"/>
        <w:spacing w:line="400" w:lineRule="exact"/>
        <w:ind w:firstLine="420" w:firstLineChars="200"/>
        <w:rPr>
          <w:rFonts w:ascii="宋体" w:hAnsi="宋体" w:eastAsia="宋体" w:cs="宋体"/>
          <w:kern w:val="0"/>
          <w:szCs w:val="21"/>
        </w:rPr>
      </w:pPr>
      <w:r>
        <w:rPr>
          <w:rFonts w:hint="eastAsia" w:ascii="宋体" w:hAnsi="宋体" w:eastAsia="宋体" w:cs="宋体"/>
          <w:kern w:val="0"/>
          <w:szCs w:val="21"/>
        </w:rPr>
        <w:t>预算金额（元）：1500000</w:t>
      </w:r>
    </w:p>
    <w:p>
      <w:pPr>
        <w:wordWrap w:val="0"/>
        <w:spacing w:line="400" w:lineRule="exact"/>
        <w:ind w:firstLine="420" w:firstLineChars="200"/>
        <w:rPr>
          <w:rFonts w:ascii="宋体" w:hAnsi="宋体" w:eastAsia="宋体" w:cs="宋体"/>
          <w:kern w:val="0"/>
          <w:szCs w:val="21"/>
        </w:rPr>
      </w:pPr>
      <w:r>
        <w:rPr>
          <w:rFonts w:hint="eastAsia" w:ascii="宋体" w:hAnsi="宋体" w:eastAsia="宋体" w:cs="宋体"/>
          <w:kern w:val="0"/>
          <w:szCs w:val="21"/>
        </w:rPr>
        <w:t>最高限价（元）：1500000</w:t>
      </w:r>
    </w:p>
    <w:p>
      <w:pPr>
        <w:wordWrap w:val="0"/>
        <w:spacing w:line="400" w:lineRule="exact"/>
        <w:ind w:firstLine="420" w:firstLineChars="200"/>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采购需求：</w:t>
      </w:r>
    </w:p>
    <w:p>
      <w:pPr>
        <w:wordWrap w:val="0"/>
        <w:spacing w:line="400" w:lineRule="exact"/>
        <w:ind w:firstLine="420" w:firstLineChars="200"/>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标项名称：</w:t>
      </w:r>
      <w:r>
        <w:rPr>
          <w:rFonts w:hint="eastAsia" w:ascii="宋体" w:hAnsi="宋体" w:eastAsia="宋体" w:cs="宋体"/>
          <w:kern w:val="0"/>
          <w:szCs w:val="21"/>
        </w:rPr>
        <w:t>凤山小学改扩建工程（改造部分）电教化设施设备采购</w:t>
      </w:r>
    </w:p>
    <w:p>
      <w:pPr>
        <w:wordWrap w:val="0"/>
        <w:spacing w:line="400" w:lineRule="exact"/>
        <w:ind w:firstLine="420" w:firstLineChars="200"/>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数量：</w:t>
      </w:r>
      <w:r>
        <w:rPr>
          <w:rFonts w:ascii="宋体" w:hAnsi="宋体" w:eastAsia="宋体" w:cs="宋体"/>
          <w:color w:val="000000" w:themeColor="text1"/>
          <w:kern w:val="0"/>
          <w:szCs w:val="21"/>
          <w14:textFill>
            <w14:solidFill>
              <w14:schemeClr w14:val="tx1"/>
            </w14:solidFill>
          </w14:textFill>
        </w:rPr>
        <w:t>1</w:t>
      </w:r>
    </w:p>
    <w:p>
      <w:pPr>
        <w:wordWrap w:val="0"/>
        <w:spacing w:line="400" w:lineRule="exact"/>
        <w:ind w:firstLine="420" w:firstLineChars="200"/>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预算金额（元）：1500000</w:t>
      </w:r>
    </w:p>
    <w:p>
      <w:pPr>
        <w:wordWrap w:val="0"/>
        <w:spacing w:line="400" w:lineRule="exact"/>
        <w:ind w:firstLine="420" w:firstLineChars="200"/>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单位：项</w:t>
      </w:r>
    </w:p>
    <w:p>
      <w:pPr>
        <w:wordWrap w:val="0"/>
        <w:spacing w:line="400" w:lineRule="exact"/>
        <w:ind w:firstLine="420" w:firstLineChars="200"/>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简要规格描述：货物的采购、运输、装卸、安装调试，协助采购人进行验收、对有关人员进行培训及项目后续的售后服务等工作</w:t>
      </w:r>
    </w:p>
    <w:p>
      <w:pPr>
        <w:wordWrap w:val="0"/>
        <w:spacing w:line="400" w:lineRule="exact"/>
        <w:ind w:firstLine="420" w:firstLineChars="200"/>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备注：/</w:t>
      </w:r>
    </w:p>
    <w:p>
      <w:pPr>
        <w:wordWrap w:val="0"/>
        <w:spacing w:line="400" w:lineRule="exact"/>
        <w:ind w:firstLine="420" w:firstLineChars="200"/>
        <w:rPr>
          <w:rFonts w:ascii="宋体" w:hAnsi="宋体" w:eastAsia="宋体" w:cs="宋体"/>
          <w:color w:val="FF0000"/>
          <w:kern w:val="0"/>
          <w:szCs w:val="21"/>
        </w:rPr>
      </w:pPr>
      <w:r>
        <w:rPr>
          <w:rFonts w:hint="eastAsia" w:ascii="宋体" w:hAnsi="宋体" w:eastAsia="宋体" w:cs="宋体"/>
          <w:color w:val="000000" w:themeColor="text1"/>
          <w:kern w:val="0"/>
          <w:szCs w:val="21"/>
          <w14:textFill>
            <w14:solidFill>
              <w14:schemeClr w14:val="tx1"/>
            </w14:solidFill>
          </w14:textFill>
        </w:rPr>
        <w:t>合同履行期限：标项1，</w:t>
      </w:r>
      <w:r>
        <w:rPr>
          <w:rFonts w:hint="eastAsia" w:ascii="宋体" w:hAnsi="宋体" w:eastAsia="宋体" w:cs="Times New Roman"/>
          <w:color w:val="000000" w:themeColor="text1"/>
          <w:szCs w:val="21"/>
          <w14:textFill>
            <w14:solidFill>
              <w14:schemeClr w14:val="tx1"/>
            </w14:solidFill>
          </w14:textFill>
        </w:rPr>
        <w:t>2023年12月1日前完成安装调试并能正常投入使用</w:t>
      </w:r>
    </w:p>
    <w:p>
      <w:pPr>
        <w:wordWrap w:val="0"/>
        <w:spacing w:line="400" w:lineRule="exact"/>
        <w:ind w:firstLine="422" w:firstLineChars="200"/>
        <w:rPr>
          <w:rFonts w:ascii="宋体" w:hAnsi="宋体" w:eastAsia="宋体" w:cs="宋体"/>
          <w:b/>
          <w:kern w:val="0"/>
          <w:szCs w:val="21"/>
        </w:rPr>
      </w:pPr>
      <w:r>
        <w:rPr>
          <w:rFonts w:hint="eastAsia" w:ascii="宋体" w:hAnsi="宋体" w:eastAsia="宋体" w:cs="宋体"/>
          <w:b/>
          <w:kern w:val="0"/>
          <w:szCs w:val="21"/>
        </w:rPr>
        <w:t>本项目（是）接受联合体投标。</w:t>
      </w:r>
    </w:p>
    <w:p>
      <w:pPr>
        <w:wordWrap w:val="0"/>
        <w:spacing w:line="400" w:lineRule="exact"/>
        <w:rPr>
          <w:rFonts w:ascii="宋体" w:hAnsi="宋体" w:eastAsia="宋体" w:cs="宋体"/>
          <w:b/>
          <w:kern w:val="0"/>
          <w:szCs w:val="21"/>
        </w:rPr>
      </w:pPr>
      <w:r>
        <w:rPr>
          <w:rFonts w:hint="eastAsia" w:ascii="宋体" w:hAnsi="宋体" w:eastAsia="宋体" w:cs="宋体"/>
          <w:b/>
          <w:kern w:val="0"/>
          <w:szCs w:val="21"/>
        </w:rPr>
        <w:t>二、申请人的资格要求：</w:t>
      </w:r>
    </w:p>
    <w:p>
      <w:pPr>
        <w:widowControl/>
        <w:wordWrap w:val="0"/>
        <w:spacing w:line="400" w:lineRule="exact"/>
        <w:ind w:firstLine="420" w:firstLineChars="200"/>
        <w:rPr>
          <w:rFonts w:ascii="宋体" w:hAnsi="宋体" w:eastAsia="宋体" w:cs="宋体"/>
          <w:kern w:val="0"/>
          <w:szCs w:val="21"/>
        </w:rPr>
      </w:pPr>
      <w:r>
        <w:rPr>
          <w:rFonts w:hint="eastAsia" w:ascii="宋体" w:hAnsi="宋体" w:eastAsia="宋体" w:cs="宋体"/>
          <w:kern w:val="0"/>
          <w:szCs w:val="21"/>
        </w:rPr>
        <w:t>1.满足《中华人民共和国政府采购法》第二十二条规定；未被“信用中国”（www.creditchina.gov.cn）、中国政府采购网（www.ccgp.gov.cn）列入失信被执行人、重大税收违法失信主体、政府采购严重违法失信行为记录名单。</w:t>
      </w:r>
    </w:p>
    <w:p>
      <w:pPr>
        <w:widowControl/>
        <w:wordWrap w:val="0"/>
        <w:spacing w:line="400" w:lineRule="exact"/>
        <w:ind w:firstLine="420" w:firstLineChars="200"/>
        <w:rPr>
          <w:rFonts w:ascii="宋体" w:hAnsi="宋体" w:eastAsia="宋体" w:cs="宋体"/>
          <w:kern w:val="0"/>
          <w:szCs w:val="21"/>
        </w:rPr>
      </w:pPr>
      <w:r>
        <w:rPr>
          <w:rFonts w:hint="eastAsia" w:ascii="宋体" w:hAnsi="宋体" w:eastAsia="宋体" w:cs="宋体"/>
          <w:kern w:val="0"/>
          <w:szCs w:val="21"/>
        </w:rPr>
        <w:t>2.落实政府采购政策需满足的资格要求：无。</w:t>
      </w:r>
    </w:p>
    <w:p>
      <w:pPr>
        <w:widowControl/>
        <w:wordWrap w:val="0"/>
        <w:spacing w:line="400" w:lineRule="exact"/>
        <w:ind w:firstLine="420" w:firstLineChars="200"/>
        <w:rPr>
          <w:rFonts w:ascii="宋体" w:hAnsi="宋体" w:eastAsia="宋体" w:cs="宋体"/>
          <w:kern w:val="0"/>
          <w:szCs w:val="21"/>
        </w:rPr>
      </w:pPr>
      <w:r>
        <w:rPr>
          <w:rFonts w:hint="eastAsia" w:ascii="宋体" w:hAnsi="宋体" w:eastAsia="宋体" w:cs="宋体"/>
          <w:kern w:val="0"/>
          <w:szCs w:val="21"/>
        </w:rPr>
        <w:t>3.本项目的特定资格要求：无。</w:t>
      </w:r>
    </w:p>
    <w:p>
      <w:pPr>
        <w:wordWrap w:val="0"/>
        <w:spacing w:line="400" w:lineRule="exact"/>
        <w:rPr>
          <w:rFonts w:ascii="宋体" w:hAnsi="宋体" w:eastAsia="宋体" w:cs="宋体"/>
          <w:b/>
          <w:color w:val="000000"/>
          <w:szCs w:val="21"/>
        </w:rPr>
      </w:pPr>
      <w:r>
        <w:rPr>
          <w:rFonts w:hint="eastAsia" w:ascii="宋体" w:hAnsi="宋体" w:eastAsia="宋体" w:cs="宋体"/>
          <w:b/>
          <w:color w:val="000000"/>
          <w:szCs w:val="21"/>
        </w:rPr>
        <w:t>三、获取（下载）采购文件</w:t>
      </w:r>
    </w:p>
    <w:p>
      <w:pPr>
        <w:wordWrap w:val="0"/>
        <w:spacing w:line="400" w:lineRule="exact"/>
        <w:ind w:firstLine="420" w:firstLineChars="200"/>
        <w:rPr>
          <w:rFonts w:ascii="宋体" w:hAnsi="宋体" w:eastAsia="宋体" w:cs="宋体"/>
          <w:color w:val="000000"/>
          <w:szCs w:val="21"/>
        </w:rPr>
      </w:pPr>
      <w:r>
        <w:rPr>
          <w:rFonts w:hint="eastAsia" w:ascii="宋体" w:hAnsi="宋体" w:eastAsia="宋体" w:cs="宋体"/>
          <w:color w:val="000000"/>
          <w:szCs w:val="21"/>
        </w:rPr>
        <w:t>时间：</w:t>
      </w:r>
      <w:r>
        <w:rPr>
          <w:rFonts w:hint="eastAsia" w:ascii="宋体" w:hAnsi="宋体" w:eastAsia="宋体" w:cs="宋体"/>
          <w:color w:val="FF0000"/>
          <w:szCs w:val="21"/>
        </w:rPr>
        <w:t>2023年1</w:t>
      </w:r>
      <w:r>
        <w:rPr>
          <w:rFonts w:ascii="宋体" w:hAnsi="宋体" w:eastAsia="宋体" w:cs="宋体"/>
          <w:color w:val="FF0000"/>
          <w:szCs w:val="21"/>
        </w:rPr>
        <w:t>0</w:t>
      </w:r>
      <w:r>
        <w:rPr>
          <w:rFonts w:hint="eastAsia" w:ascii="宋体" w:hAnsi="宋体" w:eastAsia="宋体" w:cs="宋体"/>
          <w:color w:val="FF0000"/>
          <w:szCs w:val="21"/>
        </w:rPr>
        <w:t>月1</w:t>
      </w:r>
      <w:r>
        <w:rPr>
          <w:rFonts w:hint="eastAsia" w:ascii="宋体" w:hAnsi="宋体" w:eastAsia="宋体" w:cs="宋体"/>
          <w:color w:val="FF0000"/>
          <w:szCs w:val="21"/>
          <w:lang w:val="en-US" w:eastAsia="zh-CN"/>
        </w:rPr>
        <w:t>7</w:t>
      </w:r>
      <w:r>
        <w:rPr>
          <w:rFonts w:hint="eastAsia" w:ascii="宋体" w:hAnsi="宋体" w:eastAsia="宋体" w:cs="宋体"/>
          <w:color w:val="FF0000"/>
          <w:szCs w:val="21"/>
        </w:rPr>
        <w:t>日</w:t>
      </w:r>
      <w:r>
        <w:rPr>
          <w:rFonts w:hint="eastAsia" w:ascii="宋体" w:hAnsi="宋体" w:eastAsia="宋体" w:cs="宋体"/>
          <w:color w:val="000000"/>
          <w:szCs w:val="21"/>
        </w:rPr>
        <w:t>至</w:t>
      </w:r>
      <w:r>
        <w:rPr>
          <w:rFonts w:hint="eastAsia" w:ascii="宋体" w:hAnsi="宋体" w:eastAsia="宋体" w:cs="宋体"/>
          <w:color w:val="FF0000"/>
          <w:szCs w:val="21"/>
        </w:rPr>
        <w:t>2023年1</w:t>
      </w:r>
      <w:r>
        <w:rPr>
          <w:rFonts w:ascii="宋体" w:hAnsi="宋体" w:eastAsia="宋体" w:cs="宋体"/>
          <w:color w:val="FF0000"/>
          <w:szCs w:val="21"/>
        </w:rPr>
        <w:t>0</w:t>
      </w:r>
      <w:r>
        <w:rPr>
          <w:rFonts w:hint="eastAsia" w:ascii="宋体" w:hAnsi="宋体" w:eastAsia="宋体" w:cs="宋体"/>
          <w:color w:val="FF0000"/>
          <w:szCs w:val="21"/>
        </w:rPr>
        <w:t>月2</w:t>
      </w:r>
      <w:r>
        <w:rPr>
          <w:rFonts w:hint="eastAsia" w:ascii="宋体" w:hAnsi="宋体" w:eastAsia="宋体" w:cs="宋体"/>
          <w:color w:val="FF0000"/>
          <w:szCs w:val="21"/>
          <w:lang w:val="en-US" w:eastAsia="zh-CN"/>
        </w:rPr>
        <w:t>4</w:t>
      </w:r>
      <w:r>
        <w:rPr>
          <w:rFonts w:hint="eastAsia" w:ascii="宋体" w:hAnsi="宋体" w:eastAsia="宋体" w:cs="宋体"/>
          <w:color w:val="FF0000"/>
          <w:szCs w:val="21"/>
        </w:rPr>
        <w:t>日</w:t>
      </w:r>
      <w:r>
        <w:rPr>
          <w:rFonts w:hint="eastAsia" w:ascii="宋体" w:hAnsi="宋体" w:eastAsia="宋体" w:cs="宋体"/>
          <w:color w:val="000000"/>
          <w:szCs w:val="21"/>
        </w:rPr>
        <w:t>，每天上午00：00至12：00，下午12：00至23：59（北京时间，线上获取法定节假日均可，线下获取文件法定</w:t>
      </w:r>
      <w:bookmarkStart w:id="0" w:name="_GoBack"/>
      <w:bookmarkEnd w:id="0"/>
      <w:r>
        <w:rPr>
          <w:rFonts w:hint="eastAsia" w:ascii="宋体" w:hAnsi="宋体" w:eastAsia="宋体" w:cs="宋体"/>
          <w:color w:val="000000"/>
          <w:szCs w:val="21"/>
        </w:rPr>
        <w:t>节假日除外）</w:t>
      </w:r>
    </w:p>
    <w:p>
      <w:pPr>
        <w:wordWrap w:val="0"/>
        <w:spacing w:line="400" w:lineRule="exact"/>
        <w:ind w:firstLine="420" w:firstLineChars="200"/>
        <w:rPr>
          <w:rFonts w:ascii="宋体" w:hAnsi="宋体" w:eastAsia="宋体" w:cs="宋体"/>
          <w:color w:val="000000"/>
          <w:szCs w:val="21"/>
        </w:rPr>
      </w:pPr>
      <w:r>
        <w:rPr>
          <w:rFonts w:hint="eastAsia" w:ascii="宋体" w:hAnsi="宋体" w:eastAsia="宋体" w:cs="宋体"/>
          <w:color w:val="000000"/>
          <w:szCs w:val="21"/>
        </w:rPr>
        <w:t>地点（网址）：政府采购云平台（https：//www.zcygov.cn/）。</w:t>
      </w:r>
    </w:p>
    <w:p>
      <w:pPr>
        <w:wordWrap w:val="0"/>
        <w:spacing w:line="400" w:lineRule="exact"/>
        <w:ind w:firstLine="420" w:firstLineChars="200"/>
        <w:rPr>
          <w:rFonts w:ascii="宋体" w:hAnsi="宋体" w:eastAsia="宋体" w:cs="宋体"/>
          <w:color w:val="000000"/>
          <w:szCs w:val="21"/>
        </w:rPr>
      </w:pPr>
      <w:r>
        <w:rPr>
          <w:rFonts w:hint="eastAsia" w:ascii="宋体" w:hAnsi="宋体" w:eastAsia="宋体" w:cs="宋体"/>
          <w:color w:val="000000"/>
          <w:szCs w:val="21"/>
        </w:rPr>
        <w:t>方式：1.本项目采购文件实行“政府采购云平台”在线获取，不提供采购文件纸质版。供应商获取采购文件前应先完成“政府采购云平台”的账号注册；</w:t>
      </w:r>
    </w:p>
    <w:p>
      <w:pPr>
        <w:wordWrap w:val="0"/>
        <w:spacing w:line="400" w:lineRule="exact"/>
        <w:ind w:firstLine="420" w:firstLineChars="200"/>
        <w:rPr>
          <w:rFonts w:ascii="宋体" w:hAnsi="宋体" w:eastAsia="宋体" w:cs="宋体"/>
          <w:color w:val="000000"/>
          <w:szCs w:val="21"/>
        </w:rPr>
      </w:pPr>
      <w:r>
        <w:rPr>
          <w:rFonts w:hint="eastAsia" w:ascii="宋体" w:hAnsi="宋体" w:eastAsia="宋体" w:cs="宋体"/>
          <w:color w:val="000000"/>
          <w:szCs w:val="21"/>
        </w:rPr>
        <w:t>2.潜在供应商登陆政府采购云平台，在线申请获取采购文件（进入“项目采购”应用，在获取采购文件菜单中选择项目，申请获取采购文件，本项目采购文件不收取工本费；仅需浏览采购文件的供应商可点击“游客，浏览采购文件”直接下载采购文件浏览）；</w:t>
      </w:r>
    </w:p>
    <w:p>
      <w:pPr>
        <w:wordWrap w:val="0"/>
        <w:spacing w:line="400" w:lineRule="exact"/>
        <w:ind w:firstLine="420" w:firstLineChars="200"/>
        <w:rPr>
          <w:rFonts w:ascii="宋体" w:hAnsi="宋体" w:eastAsia="宋体" w:cs="宋体"/>
          <w:color w:val="000000"/>
          <w:szCs w:val="21"/>
        </w:rPr>
      </w:pPr>
      <w:r>
        <w:rPr>
          <w:rFonts w:hint="eastAsia" w:ascii="宋体" w:hAnsi="宋体" w:eastAsia="宋体" w:cs="宋体"/>
          <w:color w:val="000000"/>
          <w:szCs w:val="21"/>
        </w:rPr>
        <w:t>3.竞争性磋商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w:t>
      </w:r>
    </w:p>
    <w:p>
      <w:pPr>
        <w:wordWrap w:val="0"/>
        <w:spacing w:line="400" w:lineRule="exact"/>
        <w:ind w:firstLine="422" w:firstLineChars="200"/>
        <w:rPr>
          <w:rFonts w:ascii="宋体" w:hAnsi="宋体" w:eastAsia="宋体" w:cs="宋体"/>
          <w:b/>
          <w:color w:val="000000"/>
          <w:szCs w:val="21"/>
        </w:rPr>
      </w:pPr>
      <w:r>
        <w:rPr>
          <w:rFonts w:hint="eastAsia" w:ascii="宋体" w:hAnsi="宋体" w:eastAsia="宋体" w:cs="宋体"/>
          <w:b/>
          <w:color w:val="000000"/>
          <w:szCs w:val="21"/>
        </w:rPr>
        <w:t>注：请供应商按上述要求获取采购文件，如未在“政采云”系统内完成相关流程，引起的响应无效责任自负。</w:t>
      </w:r>
    </w:p>
    <w:p>
      <w:pPr>
        <w:wordWrap w:val="0"/>
        <w:spacing w:line="400" w:lineRule="exact"/>
        <w:ind w:firstLine="420" w:firstLineChars="200"/>
        <w:rPr>
          <w:rFonts w:ascii="宋体" w:hAnsi="宋体" w:eastAsia="宋体" w:cs="宋体"/>
          <w:color w:val="000000"/>
          <w:szCs w:val="21"/>
        </w:rPr>
      </w:pPr>
      <w:r>
        <w:rPr>
          <w:rFonts w:hint="eastAsia" w:ascii="宋体" w:hAnsi="宋体" w:eastAsia="宋体" w:cs="宋体"/>
          <w:color w:val="000000"/>
          <w:szCs w:val="21"/>
        </w:rPr>
        <w:t>售价（元）：0</w:t>
      </w:r>
    </w:p>
    <w:p>
      <w:pPr>
        <w:wordWrap w:val="0"/>
        <w:spacing w:line="400" w:lineRule="exact"/>
        <w:rPr>
          <w:rFonts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四、响应文件提交（上传）</w:t>
      </w:r>
    </w:p>
    <w:p>
      <w:pPr>
        <w:wordWrap w:val="0"/>
        <w:spacing w:line="400" w:lineRule="exact"/>
        <w:ind w:firstLine="420" w:firstLineChars="200"/>
        <w:rPr>
          <w:rFonts w:ascii="宋体" w:hAnsi="宋体" w:eastAsia="宋体" w:cs="Arial"/>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截止时间：</w:t>
      </w:r>
      <w:r>
        <w:rPr>
          <w:rFonts w:hint="eastAsia" w:ascii="宋体" w:hAnsi="宋体" w:eastAsia="宋体" w:cs="宋体"/>
          <w:color w:val="FF0000"/>
          <w:szCs w:val="21"/>
        </w:rPr>
        <w:t>2023年10月27日14时00分</w:t>
      </w:r>
      <w:r>
        <w:rPr>
          <w:rFonts w:hint="eastAsia" w:ascii="宋体" w:hAnsi="宋体" w:eastAsia="宋体" w:cs="宋体"/>
          <w:color w:val="000000" w:themeColor="text1"/>
          <w:szCs w:val="21"/>
          <w14:textFill>
            <w14:solidFill>
              <w14:schemeClr w14:val="tx1"/>
            </w14:solidFill>
          </w14:textFill>
        </w:rPr>
        <w:t>（北京时间）。</w:t>
      </w:r>
    </w:p>
    <w:p>
      <w:pPr>
        <w:wordWrap w:val="0"/>
        <w:spacing w:line="400" w:lineRule="exact"/>
        <w:ind w:firstLine="420" w:firstLineChars="20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地点（网址）：</w:t>
      </w:r>
      <w:r>
        <w:rPr>
          <w:rFonts w:hint="eastAsia" w:ascii="宋体" w:hAnsi="宋体" w:eastAsia="宋体" w:cs="宋体"/>
          <w:color w:val="000000"/>
          <w:kern w:val="0"/>
          <w:szCs w:val="21"/>
        </w:rPr>
        <w:t>政府采购云平台（https：//www.zcygov.cn/）。</w:t>
      </w:r>
    </w:p>
    <w:p>
      <w:pPr>
        <w:wordWrap w:val="0"/>
        <w:spacing w:line="400" w:lineRule="exact"/>
        <w:rPr>
          <w:rFonts w:ascii="宋体" w:hAnsi="宋体" w:eastAsia="宋体" w:cs="Arial"/>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五、响应文件开启</w:t>
      </w:r>
    </w:p>
    <w:p>
      <w:pPr>
        <w:wordWrap w:val="0"/>
        <w:spacing w:line="400" w:lineRule="exact"/>
        <w:ind w:firstLine="420" w:firstLineChars="200"/>
        <w:rPr>
          <w:rFonts w:ascii="宋体" w:hAnsi="宋体" w:eastAsia="宋体" w:cs="Arial"/>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开启时间：</w:t>
      </w:r>
      <w:r>
        <w:rPr>
          <w:rFonts w:hint="eastAsia" w:ascii="宋体" w:hAnsi="宋体" w:eastAsia="宋体" w:cs="宋体"/>
          <w:color w:val="FF0000"/>
          <w:szCs w:val="21"/>
        </w:rPr>
        <w:t>2023年10月27日14时00分</w:t>
      </w:r>
      <w:r>
        <w:rPr>
          <w:rFonts w:hint="eastAsia" w:ascii="宋体" w:hAnsi="宋体" w:eastAsia="宋体" w:cs="宋体"/>
          <w:color w:val="000000" w:themeColor="text1"/>
          <w:szCs w:val="21"/>
          <w14:textFill>
            <w14:solidFill>
              <w14:schemeClr w14:val="tx1"/>
            </w14:solidFill>
          </w14:textFill>
        </w:rPr>
        <w:t>（北京时间）。</w:t>
      </w:r>
    </w:p>
    <w:p>
      <w:pPr>
        <w:wordWrap w:val="0"/>
        <w:spacing w:line="400" w:lineRule="exact"/>
        <w:ind w:firstLine="420" w:firstLineChars="200"/>
        <w:rPr>
          <w:rFonts w:ascii="宋体" w:hAnsi="宋体" w:eastAsia="宋体" w:cs="Arial"/>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地点（网址）：</w:t>
      </w:r>
      <w:r>
        <w:rPr>
          <w:rFonts w:hint="eastAsia" w:ascii="宋体" w:hAnsi="宋体" w:eastAsia="宋体" w:cs="宋体"/>
          <w:color w:val="000000"/>
          <w:kern w:val="0"/>
          <w:szCs w:val="21"/>
        </w:rPr>
        <w:t>政府采购云平台（https：//www.zcygov.cn/）。</w:t>
      </w:r>
    </w:p>
    <w:p>
      <w:pPr>
        <w:wordWrap w:val="0"/>
        <w:spacing w:line="400" w:lineRule="exact"/>
        <w:rPr>
          <w:rFonts w:ascii="宋体" w:hAnsi="宋体" w:eastAsia="宋体" w:cs="宋体"/>
          <w:b/>
          <w:color w:val="000000"/>
          <w:szCs w:val="21"/>
        </w:rPr>
      </w:pPr>
      <w:r>
        <w:rPr>
          <w:rFonts w:hint="eastAsia" w:ascii="宋体" w:hAnsi="宋体" w:eastAsia="宋体" w:cs="宋体"/>
          <w:b/>
          <w:color w:val="000000"/>
          <w:szCs w:val="21"/>
        </w:rPr>
        <w:t>六、公告期限</w:t>
      </w:r>
    </w:p>
    <w:p>
      <w:pPr>
        <w:wordWrap w:val="0"/>
        <w:spacing w:line="400" w:lineRule="exact"/>
        <w:ind w:firstLine="420" w:firstLineChars="200"/>
        <w:rPr>
          <w:rFonts w:ascii="宋体" w:hAnsi="宋体" w:eastAsia="宋体" w:cs="宋体"/>
          <w:b/>
          <w:color w:val="000000"/>
          <w:szCs w:val="21"/>
        </w:rPr>
      </w:pPr>
      <w:r>
        <w:rPr>
          <w:rFonts w:hint="eastAsia" w:ascii="宋体" w:hAnsi="宋体" w:eastAsia="宋体" w:cs="宋体"/>
          <w:color w:val="000000"/>
          <w:szCs w:val="21"/>
        </w:rPr>
        <w:t>自本公告发布之日起3个工作日。</w:t>
      </w:r>
    </w:p>
    <w:p>
      <w:pPr>
        <w:wordWrap w:val="0"/>
        <w:spacing w:line="400" w:lineRule="exact"/>
        <w:rPr>
          <w:rFonts w:ascii="宋体" w:hAnsi="宋体" w:eastAsia="宋体" w:cs="宋体"/>
          <w:b/>
          <w:color w:val="000000"/>
          <w:szCs w:val="21"/>
        </w:rPr>
      </w:pPr>
      <w:r>
        <w:rPr>
          <w:rFonts w:hint="eastAsia" w:ascii="宋体" w:hAnsi="宋体" w:eastAsia="宋体" w:cs="宋体"/>
          <w:b/>
          <w:color w:val="000000"/>
          <w:szCs w:val="21"/>
        </w:rPr>
        <w:t>七、其他补充事宜</w:t>
      </w:r>
    </w:p>
    <w:p>
      <w:pPr>
        <w:wordWrap w:val="0"/>
        <w:spacing w:line="400" w:lineRule="exact"/>
        <w:ind w:firstLine="420" w:firstLineChars="200"/>
        <w:rPr>
          <w:rFonts w:ascii="宋体" w:hAnsi="宋体" w:eastAsia="宋体" w:cs="宋体"/>
          <w:color w:val="000000"/>
          <w:szCs w:val="21"/>
        </w:rPr>
      </w:pPr>
      <w:r>
        <w:rPr>
          <w:rFonts w:hint="eastAsia" w:ascii="宋体" w:hAnsi="宋体" w:eastAsia="宋体" w:cs="宋体"/>
          <w:color w:val="000000"/>
          <w:szCs w:val="21"/>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ordWrap w:val="0"/>
        <w:spacing w:line="400" w:lineRule="exact"/>
        <w:ind w:firstLine="420" w:firstLineChars="200"/>
        <w:rPr>
          <w:rFonts w:ascii="宋体" w:hAnsi="宋体" w:eastAsia="宋体" w:cs="宋体"/>
          <w:color w:val="000000"/>
          <w:szCs w:val="21"/>
        </w:rPr>
      </w:pPr>
      <w:r>
        <w:rPr>
          <w:rFonts w:hint="eastAsia" w:ascii="宋体" w:hAnsi="宋体" w:eastAsia="宋体" w:cs="宋体"/>
          <w:color w:val="000000"/>
          <w:szCs w:val="21"/>
        </w:rPr>
        <w:t>2.其他事项：本次政府采购活动有关信息在浙江政府采购网、宁波市公共资源交易电子服务系统（余姚）发布，视同送达所有潜在供应商。</w:t>
      </w:r>
    </w:p>
    <w:p>
      <w:pPr>
        <w:wordWrap w:val="0"/>
        <w:spacing w:line="400" w:lineRule="exact"/>
        <w:rPr>
          <w:rFonts w:ascii="宋体" w:hAnsi="宋体" w:eastAsia="宋体" w:cs="宋体"/>
          <w:b/>
          <w:color w:val="000000"/>
          <w:szCs w:val="21"/>
        </w:rPr>
      </w:pPr>
      <w:r>
        <w:rPr>
          <w:rFonts w:hint="eastAsia" w:ascii="宋体" w:hAnsi="宋体" w:eastAsia="宋体" w:cs="宋体"/>
          <w:b/>
          <w:color w:val="000000"/>
          <w:szCs w:val="21"/>
        </w:rPr>
        <w:t>八、凡对本次招标提出询问、质疑、投诉，请按以下方式联系</w:t>
      </w:r>
    </w:p>
    <w:p>
      <w:pPr>
        <w:wordWrap w:val="0"/>
        <w:spacing w:line="400" w:lineRule="exact"/>
        <w:ind w:firstLine="422" w:firstLineChars="200"/>
        <w:rPr>
          <w:rFonts w:ascii="宋体" w:hAnsi="宋体" w:eastAsia="宋体" w:cs="宋体"/>
          <w:b/>
          <w:color w:val="000000"/>
          <w:kern w:val="0"/>
          <w:szCs w:val="21"/>
        </w:rPr>
      </w:pPr>
      <w:r>
        <w:rPr>
          <w:rFonts w:hint="eastAsia" w:ascii="宋体" w:hAnsi="宋体" w:eastAsia="宋体" w:cs="宋体"/>
          <w:b/>
          <w:color w:val="000000"/>
          <w:kern w:val="0"/>
          <w:szCs w:val="21"/>
        </w:rPr>
        <w:t>1.采购人信息</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名称：</w:t>
      </w:r>
      <w:r>
        <w:rPr>
          <w:rFonts w:hint="eastAsia" w:ascii="宋体" w:hAnsi="宋体" w:eastAsia="宋体" w:cs="宋体"/>
          <w:color w:val="000000"/>
          <w:kern w:val="0"/>
          <w:szCs w:val="21"/>
        </w:rPr>
        <w:t>余姚市人民政府凤山街道办事处</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地址：</w:t>
      </w:r>
      <w:r>
        <w:rPr>
          <w:rFonts w:hint="eastAsia" w:ascii="宋体" w:hAnsi="宋体" w:eastAsia="宋体" w:cs="宋体"/>
          <w:color w:val="000000"/>
          <w:kern w:val="0"/>
          <w:szCs w:val="21"/>
        </w:rPr>
        <w:t>余姚市金型路999号</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传真：</w:t>
      </w:r>
      <w:r>
        <w:rPr>
          <w:rFonts w:hint="eastAsia" w:ascii="宋体" w:hAnsi="宋体" w:eastAsia="宋体" w:cs="宋体"/>
          <w:color w:val="000000"/>
          <w:kern w:val="0"/>
          <w:szCs w:val="21"/>
        </w:rPr>
        <w:t>/</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项目联系人（询问）：</w:t>
      </w:r>
      <w:r>
        <w:rPr>
          <w:rFonts w:hint="eastAsia" w:ascii="宋体" w:hAnsi="宋体" w:eastAsia="宋体" w:cs="宋体"/>
          <w:color w:val="000000"/>
          <w:kern w:val="0"/>
          <w:szCs w:val="21"/>
        </w:rPr>
        <w:t>施镭军</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项目联系方式（询问）：</w:t>
      </w:r>
      <w:r>
        <w:rPr>
          <w:rFonts w:hint="eastAsia" w:ascii="宋体" w:hAnsi="宋体" w:eastAsia="宋体" w:cs="宋体"/>
          <w:color w:val="000000" w:themeColor="text1"/>
          <w:kern w:val="0"/>
          <w:szCs w:val="21"/>
          <w14:textFill>
            <w14:solidFill>
              <w14:schemeClr w14:val="tx1"/>
            </w14:solidFill>
          </w14:textFill>
        </w:rPr>
        <w:t>0574-58221775</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质疑联系人：</w:t>
      </w:r>
      <w:r>
        <w:rPr>
          <w:rFonts w:hint="eastAsia" w:ascii="宋体" w:hAnsi="宋体" w:eastAsia="宋体" w:cs="宋体"/>
          <w:color w:val="000000" w:themeColor="text1"/>
          <w:kern w:val="0"/>
          <w:szCs w:val="21"/>
          <w14:textFill>
            <w14:solidFill>
              <w14:schemeClr w14:val="tx1"/>
            </w14:solidFill>
          </w14:textFill>
        </w:rPr>
        <w:t>应惠权</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质疑联系方式：</w:t>
      </w:r>
      <w:r>
        <w:rPr>
          <w:rFonts w:hint="eastAsia" w:ascii="宋体" w:hAnsi="宋体" w:eastAsia="宋体" w:cs="宋体"/>
          <w:color w:val="000000"/>
          <w:kern w:val="0"/>
          <w:szCs w:val="21"/>
        </w:rPr>
        <w:t>0574-58224488</w:t>
      </w:r>
    </w:p>
    <w:p>
      <w:pPr>
        <w:wordWrap w:val="0"/>
        <w:spacing w:line="400" w:lineRule="exact"/>
        <w:ind w:firstLine="422" w:firstLineChars="200"/>
        <w:rPr>
          <w:rFonts w:ascii="宋体" w:hAnsi="宋体" w:eastAsia="宋体" w:cs="宋体"/>
          <w:b/>
          <w:color w:val="000000"/>
          <w:kern w:val="0"/>
          <w:szCs w:val="21"/>
        </w:rPr>
      </w:pPr>
      <w:r>
        <w:rPr>
          <w:rFonts w:hint="eastAsia" w:ascii="宋体" w:hAnsi="宋体" w:eastAsia="宋体" w:cs="宋体"/>
          <w:b/>
          <w:color w:val="000000"/>
          <w:kern w:val="0"/>
          <w:szCs w:val="21"/>
        </w:rPr>
        <w:t>2.采购代理机构信息</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名称：宁波舜兴招标代理有限公司</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地址：浙江飞智电商创业园4楼C06</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传真：0574-62221239</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项目联系人（询问）：</w:t>
      </w:r>
      <w:r>
        <w:rPr>
          <w:rFonts w:hint="eastAsia" w:ascii="宋体" w:hAnsi="宋体" w:eastAsia="宋体" w:cs="宋体"/>
          <w:color w:val="000000"/>
          <w:kern w:val="0"/>
          <w:szCs w:val="21"/>
        </w:rPr>
        <w:t>陈晓青、虞圣韡</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项目联系方式（询问）：</w:t>
      </w:r>
      <w:r>
        <w:rPr>
          <w:rFonts w:hint="eastAsia" w:ascii="宋体" w:hAnsi="宋体" w:eastAsia="宋体" w:cs="宋体"/>
          <w:color w:val="000000"/>
          <w:kern w:val="0"/>
          <w:szCs w:val="21"/>
        </w:rPr>
        <w:t>15867417595、13456970166</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质疑联系人：</w:t>
      </w:r>
      <w:r>
        <w:rPr>
          <w:rFonts w:hint="eastAsia" w:ascii="宋体" w:hAnsi="宋体" w:eastAsia="宋体" w:cs="宋体"/>
          <w:color w:val="000000"/>
          <w:kern w:val="0"/>
          <w:szCs w:val="21"/>
        </w:rPr>
        <w:t>严安娜</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质疑联系方式：13566303922</w:t>
      </w:r>
    </w:p>
    <w:p>
      <w:pPr>
        <w:wordWrap w:val="0"/>
        <w:spacing w:line="400" w:lineRule="exact"/>
        <w:ind w:firstLine="422" w:firstLineChars="200"/>
        <w:rPr>
          <w:rFonts w:ascii="宋体" w:hAnsi="宋体" w:eastAsia="宋体" w:cs="宋体"/>
          <w:b/>
          <w:color w:val="000000"/>
          <w:kern w:val="0"/>
          <w:szCs w:val="21"/>
        </w:rPr>
      </w:pPr>
      <w:r>
        <w:rPr>
          <w:rFonts w:hint="eastAsia" w:ascii="宋体" w:hAnsi="宋体" w:eastAsia="宋体" w:cs="宋体"/>
          <w:b/>
          <w:color w:val="000000"/>
          <w:kern w:val="0"/>
          <w:szCs w:val="21"/>
        </w:rPr>
        <w:t>3.</w:t>
      </w:r>
      <w:r>
        <w:rPr>
          <w:rFonts w:ascii="宋体" w:hAnsi="宋体" w:eastAsia="宋体" w:cs="宋体"/>
          <w:b/>
          <w:color w:val="000000"/>
          <w:kern w:val="0"/>
          <w:szCs w:val="21"/>
        </w:rPr>
        <w:t>同级政府采购监督管理部门</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名称：</w:t>
      </w:r>
      <w:r>
        <w:rPr>
          <w:rFonts w:hint="eastAsia" w:ascii="宋体" w:hAnsi="宋体" w:eastAsia="宋体" w:cs="宋体"/>
          <w:color w:val="000000"/>
          <w:kern w:val="0"/>
          <w:szCs w:val="21"/>
        </w:rPr>
        <w:t>余姚市财政局</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地址：</w:t>
      </w:r>
      <w:r>
        <w:rPr>
          <w:rFonts w:hint="eastAsia" w:ascii="宋体" w:hAnsi="宋体" w:eastAsia="宋体" w:cs="宋体"/>
          <w:color w:val="000000"/>
          <w:kern w:val="0"/>
          <w:szCs w:val="21"/>
        </w:rPr>
        <w:t>余姚市南滨江路118号</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传真：/</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联系人：303办公室</w:t>
      </w:r>
    </w:p>
    <w:p>
      <w:pPr>
        <w:wordWrap w:val="0"/>
        <w:spacing w:line="400" w:lineRule="exact"/>
        <w:ind w:firstLine="420" w:firstLineChars="200"/>
        <w:rPr>
          <w:rFonts w:ascii="宋体" w:hAnsi="宋体" w:eastAsia="宋体" w:cs="宋体"/>
          <w:color w:val="000000"/>
          <w:kern w:val="0"/>
          <w:szCs w:val="21"/>
        </w:rPr>
      </w:pPr>
      <w:r>
        <w:rPr>
          <w:rFonts w:ascii="宋体" w:hAnsi="宋体" w:eastAsia="宋体" w:cs="宋体"/>
          <w:color w:val="000000"/>
          <w:kern w:val="0"/>
          <w:szCs w:val="21"/>
        </w:rPr>
        <w:t>监督投诉电话：0574-62713103</w:t>
      </w:r>
    </w:p>
    <w:p>
      <w:pPr>
        <w:wordWrap w:val="0"/>
        <w:spacing w:line="400" w:lineRule="exact"/>
        <w:ind w:firstLine="420" w:firstLineChars="200"/>
        <w:rPr>
          <w:rFonts w:ascii="宋体" w:hAnsi="宋体" w:eastAsia="宋体" w:cs="宋体"/>
          <w:color w:val="000000"/>
          <w:kern w:val="0"/>
          <w:szCs w:val="21"/>
        </w:rPr>
      </w:pPr>
    </w:p>
    <w:p>
      <w:pPr>
        <w:wordWrap w:val="0"/>
        <w:spacing w:line="400" w:lineRule="exact"/>
        <w:ind w:firstLine="420" w:firstLineChars="200"/>
        <w:rPr>
          <w:rFonts w:ascii="宋体" w:hAnsi="宋体" w:eastAsia="宋体" w:cs="宋体"/>
          <w:color w:val="000000"/>
          <w:kern w:val="0"/>
          <w:szCs w:val="21"/>
        </w:rPr>
      </w:pPr>
      <w:r>
        <w:rPr>
          <w:rFonts w:hint="eastAsia" w:ascii="宋体" w:hAnsi="宋体" w:eastAsia="宋体" w:cs="宋体"/>
          <w:color w:val="000000"/>
          <w:kern w:val="0"/>
          <w:szCs w:val="21"/>
        </w:rPr>
        <w:t>若对项目采购电子交易系统操作有疑问，可登录政采云（https：//www.zcygov.cn/），点击右侧咨询小采，获取采小蜜智能服务管家帮助，或拨打政采云服务热线400-881-7190获取热线服务帮助。</w:t>
      </w:r>
    </w:p>
    <w:p>
      <w:pPr>
        <w:wordWrap w:val="0"/>
        <w:spacing w:line="400" w:lineRule="exact"/>
        <w:ind w:firstLine="420" w:firstLineChars="200"/>
        <w:rPr>
          <w:rFonts w:ascii="宋体" w:hAnsi="宋体" w:eastAsia="宋体" w:cs="宋体"/>
          <w:color w:val="000000"/>
          <w:kern w:val="0"/>
          <w:szCs w:val="21"/>
        </w:rPr>
      </w:pPr>
      <w:r>
        <w:rPr>
          <w:rFonts w:hint="eastAsia" w:ascii="宋体" w:hAnsi="宋体" w:eastAsia="宋体" w:cs="宋体"/>
          <w:color w:val="000000"/>
          <w:kern w:val="0"/>
          <w:szCs w:val="21"/>
        </w:rPr>
        <w:t>CA问题联系电话（人工）：汇信CA 400-888-4636；天谷CA 400-087-8198。</w:t>
      </w:r>
    </w:p>
    <w:p>
      <w:pPr>
        <w:spacing w:line="400" w:lineRule="exact"/>
        <w:jc w:val="left"/>
        <w:rPr>
          <w:rFonts w:ascii="宋体" w:hAnsi="宋体" w:eastAsia="宋体" w:cs="Times New Roman"/>
          <w:color w:val="000000" w:themeColor="text1"/>
          <w:szCs w:val="21"/>
          <w14:textFill>
            <w14:solidFill>
              <w14:schemeClr w14:val="tx1"/>
            </w14:solidFill>
          </w14:textFill>
        </w:rPr>
        <w:sectPr>
          <w:pgSz w:w="11906" w:h="16838"/>
          <w:pgMar w:top="1418" w:right="1418" w:bottom="1418" w:left="1418" w:header="851" w:footer="992" w:gutter="0"/>
          <w:cols w:space="425" w:num="1"/>
          <w:docGrid w:type="lines" w:linePitch="312" w:charSpace="0"/>
        </w:sectPr>
      </w:pPr>
    </w:p>
    <w:p>
      <w:pPr>
        <w:wordWrap w:val="0"/>
        <w:spacing w:line="360" w:lineRule="auto"/>
        <w:jc w:val="center"/>
        <w:rPr>
          <w:rFonts w:ascii="宋体" w:hAnsi="宋体" w:eastAsia="宋体" w:cs="Times New Roman"/>
          <w:b/>
          <w:color w:val="000000"/>
          <w:sz w:val="24"/>
          <w:szCs w:val="24"/>
        </w:rPr>
      </w:pPr>
      <w:r>
        <w:rPr>
          <w:rFonts w:hint="eastAsia" w:ascii="宋体" w:hAnsi="宋体" w:eastAsia="宋体"/>
          <w:b/>
          <w:sz w:val="24"/>
          <w:szCs w:val="24"/>
        </w:rPr>
        <w:t xml:space="preserve">第二章  </w:t>
      </w:r>
      <w:r>
        <w:rPr>
          <w:rFonts w:hint="eastAsia" w:ascii="宋体" w:hAnsi="宋体" w:eastAsia="宋体" w:cs="Times New Roman"/>
          <w:b/>
          <w:color w:val="000000"/>
          <w:sz w:val="24"/>
          <w:szCs w:val="24"/>
        </w:rPr>
        <w:t>采购内容及要求</w:t>
      </w:r>
    </w:p>
    <w:p>
      <w:pPr>
        <w:wordWrap w:val="0"/>
        <w:spacing w:line="400" w:lineRule="exact"/>
        <w:rPr>
          <w:rFonts w:hint="eastAsia"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一、技术要求</w:t>
      </w:r>
    </w:p>
    <w:tbl>
      <w:tblPr>
        <w:tblStyle w:val="11"/>
        <w:tblW w:w="486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3"/>
        <w:gridCol w:w="2401"/>
        <w:gridCol w:w="4961"/>
        <w:gridCol w:w="9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序号</w:t>
            </w:r>
          </w:p>
        </w:tc>
        <w:tc>
          <w:tcPr>
            <w:tcW w:w="1328"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名称</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技术参数要求</w:t>
            </w:r>
          </w:p>
        </w:tc>
        <w:tc>
          <w:tcPr>
            <w:tcW w:w="539"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一、校园广播系统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控制主机</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具体技术参数要求见附件1</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数字化IP网络广播客户端管理软件</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具体技术参数要求见附件2</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控制器</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1.设备采用机柜式设计，自动实现卫星自动校时，使用地球同步卫星作为校时基准，与格林威治时间误差小于0.1秒</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▲2.液晶显示屏可显示时间</w:t>
            </w:r>
            <w:r>
              <w:rPr>
                <w:rFonts w:hint="eastAsia" w:ascii="宋体" w:hAnsi="宋体" w:eastAsia="宋体" w:cs="宋体"/>
                <w:kern w:val="0"/>
                <w:szCs w:val="21"/>
                <w:shd w:val="clear" w:color="auto" w:fill="BEBEBE" w:themeFill="background1" w:themeFillShade="BF"/>
              </w:rPr>
              <w:t>（响应文件中提供设备面板照片）</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3.支持与公共广播系统对接作为校时系统</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4.系统带北斗卫星导航系统（BDS）+GPS卫星定位系统两大定位系统，可以实现后台远程切换两个不同系统</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音源设备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寻呼话筒</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具体技术参数要求见附件3</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消防联动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采集器</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1#教学楼设备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IP网络音箱</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具体技术参数要求见附件5</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IP网络功放终端240W</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具体技术参数要求见附件6</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具体技术参数要求见附件7</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2#教学楼设备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IP网络音箱</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具体技术参数要求见附件5</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IP网络功放终端350W</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具体技术参数要求见附件8</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具体技术参数要求见附件7</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1#科技楼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IP网络音箱</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具体技术参数要求见附件5</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IP网络功放终端500W</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具体技术参数要求见附件9</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具体技术参数要求见附件7</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26只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阶梯教室&amp;行政与图书楼设备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IP网络功放终端500W</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具体技术参数要求见附件9</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具体技术参数要求见附件7</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食堂（教师宿舍）楼前端设备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IP网络功放终端500W</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具体技术参数要求见附件9</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具体技术参数要求见附件7</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25只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体艺楼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IP网络功放终端500W</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具体技术参数要求见附件9</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具体技术参数要求见附件7</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室外运动场设备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IP终端</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1.设备采用≥19英寸机架设计，带有LCD显示屏</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2.支持≥1路线路输入和≥1路话筒输入接口，可独立调节音量；支持高低音调节电位器控制</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3.具有≥1路EMC输入接口，具有最高优先级；具有≥1路音频输出接口</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4.具有≥2路三线制强切输出接口，无需强切电源</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▲5.支持≥2路电源输出插座，内置智能电源管理，无音乐或呼叫时，自动切断输出座电源，有信号时自动打开输出座电源</w:t>
            </w:r>
            <w:r>
              <w:rPr>
                <w:rFonts w:hint="eastAsia" w:ascii="宋体" w:hAnsi="宋体" w:eastAsia="宋体" w:cs="宋体"/>
                <w:kern w:val="0"/>
                <w:szCs w:val="21"/>
                <w:shd w:val="clear" w:color="auto" w:fill="BEBEBE" w:themeFill="background1" w:themeFillShade="BF"/>
              </w:rPr>
              <w:t>（响应文件中提供设备有2路电源输出电源插座照片）</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ZH调音台</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1.支持≥4路Mic输入兼容≥4路线路输入接口，话筒接口幻象电源：≥+48V，≥4组立体线性输入</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2.具有≥1组立体声主输出、≥1组辅助输出、≥1组立体声监听输出、≥1路耳机监听输出、≥1组CD/Tape输出</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3.每路单声道输入通道设有≥3段EQ，设有峰值LED指示灯</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4.内置≥24位DSP效果器，提供≥100种预设效果</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抑制器</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具体技术参数要求见附件10</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无线话筒</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具体技术参数要求见附件11</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话筒天线</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1.宽频定向天线不低于680-960MHz；适用于GSM，CDMA，WCDMA，WLAN，LTE网络</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2.水平面波源宽度：≥60°、垂直面波源宽度：≥50°</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IP音频采集器</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1.采集设备支持将模拟音频采集编码成数字音频，具有≥1路RJ45网络接口，支持定时采播任务、临时采播任务功能</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2.具有≥2组RCA音频输入接口，支持音量调节功能</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▲3.采播任务支持3种采集音质可选，支持普通、中级、高级音质选择模式</w:t>
            </w:r>
            <w:r>
              <w:rPr>
                <w:rFonts w:hint="eastAsia" w:ascii="宋体" w:hAnsi="宋体" w:eastAsia="宋体" w:cs="宋体"/>
                <w:color w:val="000000"/>
                <w:kern w:val="0"/>
                <w:szCs w:val="21"/>
                <w:shd w:val="clear" w:color="auto" w:fill="BEBEBE" w:themeFill="background1" w:themeFillShade="BF"/>
                <w:lang w:bidi="ar"/>
              </w:rPr>
              <w:t>（响应文件中提供设置3种采集音质界面图）</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4.支持声压触发采集外部音源，智能识别音频，自动建立采集任务，可自定义执行区域，可自定义延时关闭时间</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纯后级功放</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具体技术参数要求见附件12</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音柱（含立杆）</w:t>
            </w:r>
          </w:p>
        </w:tc>
        <w:tc>
          <w:tcPr>
            <w:tcW w:w="2744" w:type="pct"/>
            <w:shd w:val="clear" w:color="auto" w:fill="auto"/>
            <w:vAlign w:val="center"/>
          </w:tcPr>
          <w:p>
            <w:pPr>
              <w:widowControl/>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1.额定功率（100V）≥120W</w:t>
            </w:r>
          </w:p>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2.额定功率（70V）≥60W</w:t>
            </w:r>
          </w:p>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3.灵敏度≥94dB</w:t>
            </w:r>
          </w:p>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4.频率响应：110Hz-15KHz</w:t>
            </w:r>
          </w:p>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5.防护等级：IP66</w:t>
            </w:r>
          </w:p>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6.喇叭单元：6.5"×4+3"×1</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草地音箱</w:t>
            </w:r>
          </w:p>
        </w:tc>
        <w:tc>
          <w:tcPr>
            <w:tcW w:w="2744" w:type="pct"/>
            <w:shd w:val="clear" w:color="auto" w:fill="auto"/>
            <w:vAlign w:val="center"/>
          </w:tcPr>
          <w:p>
            <w:pPr>
              <w:widowControl/>
              <w:jc w:val="left"/>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1.功率（100V）：15W，30W</w:t>
            </w:r>
          </w:p>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2.功率（70V）：7.5W，15W</w:t>
            </w:r>
          </w:p>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3.频率响应：120Hz-16KHz</w:t>
            </w:r>
          </w:p>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4.灵敏度≥96dB</w:t>
            </w:r>
          </w:p>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5.喇叭单元：5.5″</w:t>
            </w:r>
          </w:p>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6.防护等级：≥IP66</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IP网络功放终端500W</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具体技术参数要求见附件9</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辅助材料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音频连接线A</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1.8米音频连接线：莲花（RCA）-莲花（RCA）</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音频连接线B</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1.8米音频连接线：3.5（耳机插头）-双莲花（RCA）</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音频连接线C</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1.8米音频连接线：卡侬头（母）-卡侬头（公）</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音频连接线D</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1.8米音频连接线：6.35话筒插头-卡侬头（公）</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音频连接线E</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1.8米音频连接线：莲花（RCA）-6.35话筒插头</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音频连接线F</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1.8米音频连接线：3.5（耳机插头）×1，卡农头（母）×1，线径：0.3mm</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二、计算机网络系统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license授权函</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★无线控制器产品专用升级许可证License（教育局原控制器扩展，所投品牌需连接教育局电教化中心AC控制器平台，有教育局统一管理认证，实现认证一次就能自动加入全市范围内建设有无线的学校校园网络）</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室外AP</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具体技术参数要求见附件13</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高密AP</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具体技术参数要求见附件14</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24口千兆POE交换机</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具体技术参数要求见附件15</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安防网络系统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万兆安防核心交换机</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具体技术参数要求见附件16</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安防8口POE千兆交换机</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以太网电口≥8个，带POE供电</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安防24口千兆POE交换机</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具体技术参数要求见附件17</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安防48口千兆POE交换机</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具体技术参数要求见附件18</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单模光模块</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1000BASE-LX mini GBIC转换模块（1310nm），10km</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光纤收发器</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盒式，千兆</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广播网络系统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广播24口千兆交换机</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具体技术参数要求见附件19</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广播48口千兆交换机</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具体技术参数要求见附件20</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三、安防报警系统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安防监控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红外枪机POE</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具体技术参数要求见附件21</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157台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支架</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铝合金；白色；最大承重1.0kg；壁装</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157台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32路硬盘管理系统（NVR）</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eSATA接口1个外置eSATA接口；HDMI2路；HDMI1（画面分割）1、4、8、9、16、25、36、64分割；HDMI2（画面分割）1、4、8、9、16分割；IPC分辨率</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6T硬盘</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6000G</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30块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1路高清解码器</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具体技术参数要求见附件22</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4路视频解码器（带输入）</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1.支持2路HDMI信号采集接口</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2.支持4路HDMI信号输出接口/2路BNC信号输出接口</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3.支持4路HDMI音频输出/2路BNC音频输出</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55寸液晶电视机</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55寸液晶电视机</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配套支架</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szCs w:val="21"/>
              </w:rPr>
              <w:t>/</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室外立杆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摄像机安装立杆4M</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含基础、接地角铁及接地线</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防雷安装箱</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尺寸≥30×40</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监控电源</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12V20A</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00" w:type="pct"/>
            <w:gridSpan w:val="4"/>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四、结构化综合布线系统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网络、电话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单口面板</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具体技术参数要求见附件23</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双口面板</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具体技术参数要求见附件24</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224个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网络模块</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具体技术参数要求见附件25</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500个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六类跳线2米（机房端）</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具体技术参数要求见附件26</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500块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110配线架</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100对机架110语音配线架</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理线器</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具体技术参数要求见附件27</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48条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LC单模千兆尾纤（约200米）</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具体技术参数要求见附件28</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机架式8口光纤终端盒LC型</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具体技术参数要求见附件29</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机架式24口光纤配线架LC型</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具体技术参数要求见附件30</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耦合器</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1.规格：光纤适配器</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2.设备性能符合TIA/EIA 568-B，ISO/IEC 11801标准</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3.典型插入损耗为-0.3db</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4.设备具有低插入损耗，低回波损耗的特点b</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216只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千兆单模LC光纤跳线</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具体技术参数要求见附件31</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40根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水晶头</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具体技术参数要求见附件32</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可视化系统管理软件</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具体技术参数要求见附件33</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综合布线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六类非屏蔽4对电缆A（约25000米）</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具体技术参数要求见附件34</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室外防水六类非屏蔽4对电缆A（约300米）</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具体技术参数要求见附件35</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室外4芯单模光缆（约1300米）</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具体技术参数要求见附件36</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室外12芯单模光缆（约1285米）</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具体技术参数要求见附件37</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安防报警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六类非屏蔽4对电缆B（约7700米）</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具体技术参数要求见附件38</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室外防水六类非屏蔽4对电缆B（约3200米）</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具体技术参数要求见附件39</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bidi="ar"/>
              </w:rPr>
              <w:t>室外监控电源线KVV2×1.0</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约3200米</w:t>
            </w:r>
            <w:r>
              <w:rPr>
                <w:rFonts w:hint="eastAsia" w:ascii="宋体" w:hAnsi="宋体" w:eastAsia="宋体" w:cs="宋体"/>
                <w:color w:val="000000"/>
                <w:kern w:val="0"/>
                <w:szCs w:val="21"/>
                <w:lang w:eastAsia="zh-CN" w:bidi="ar"/>
              </w:rPr>
              <w:t>）</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KVV2×1.0</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综合线路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bidi="ar"/>
              </w:rPr>
              <w:t>室内广播线RVV2×1.5</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约1560米</w:t>
            </w:r>
            <w:r>
              <w:rPr>
                <w:rFonts w:hint="eastAsia" w:ascii="宋体" w:hAnsi="宋体" w:eastAsia="宋体" w:cs="宋体"/>
                <w:color w:val="000000"/>
                <w:kern w:val="0"/>
                <w:szCs w:val="21"/>
                <w:lang w:eastAsia="zh-CN" w:bidi="ar"/>
              </w:rPr>
              <w:t>）</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RVV2×1.5</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bidi="ar"/>
              </w:rPr>
              <w:t>室外广播线KVVP-2×1.5</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约1600米</w:t>
            </w:r>
            <w:r>
              <w:rPr>
                <w:rFonts w:hint="eastAsia" w:ascii="宋体" w:hAnsi="宋体" w:eastAsia="宋体" w:cs="宋体"/>
                <w:color w:val="000000"/>
                <w:kern w:val="0"/>
                <w:szCs w:val="21"/>
                <w:lang w:eastAsia="zh-CN" w:bidi="ar"/>
              </w:rPr>
              <w:t>）</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KVVP-2×1.5</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bidi="ar"/>
              </w:rPr>
              <w:t>室外广播线KVVP-2×2.5</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约400米</w:t>
            </w:r>
            <w:r>
              <w:rPr>
                <w:rFonts w:hint="eastAsia" w:ascii="宋体" w:hAnsi="宋体" w:eastAsia="宋体" w:cs="宋体"/>
                <w:color w:val="000000"/>
                <w:kern w:val="0"/>
                <w:szCs w:val="21"/>
                <w:lang w:eastAsia="zh-CN" w:bidi="ar"/>
              </w:rPr>
              <w:t>）</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KVVP-2×2.5</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bidi="ar"/>
              </w:rPr>
              <w:t>RVV3×1.0电源线</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约800米</w:t>
            </w:r>
            <w:r>
              <w:rPr>
                <w:rFonts w:hint="eastAsia" w:ascii="宋体" w:hAnsi="宋体" w:eastAsia="宋体" w:cs="宋体"/>
                <w:color w:val="000000"/>
                <w:kern w:val="0"/>
                <w:szCs w:val="21"/>
                <w:lang w:eastAsia="zh-CN" w:bidi="ar"/>
              </w:rPr>
              <w:t>）</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RVV3×1.0</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bidi="ar"/>
              </w:rPr>
              <w:t>室外安防箱电源线</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约950米</w:t>
            </w:r>
            <w:r>
              <w:rPr>
                <w:rFonts w:hint="eastAsia" w:ascii="宋体" w:hAnsi="宋体" w:eastAsia="宋体" w:cs="宋体"/>
                <w:color w:val="000000"/>
                <w:kern w:val="0"/>
                <w:szCs w:val="21"/>
                <w:lang w:eastAsia="zh-CN" w:bidi="ar"/>
              </w:rPr>
              <w:t>）</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WDZ-YJY-3×2.5</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bidi="ar"/>
              </w:rPr>
              <w:t>无线话筒专用线</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约200米</w:t>
            </w:r>
            <w:r>
              <w:rPr>
                <w:rFonts w:hint="eastAsia" w:ascii="宋体" w:hAnsi="宋体" w:eastAsia="宋体" w:cs="宋体"/>
                <w:color w:val="000000"/>
                <w:kern w:val="0"/>
                <w:szCs w:val="21"/>
                <w:lang w:eastAsia="zh-CN" w:bidi="ar"/>
              </w:rPr>
              <w:t>）</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无线话筒专用线</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PZ30箱</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含空开（8路）</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广播接线箱</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电源插座二三插</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二三插</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80只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底座（塑料）86盒</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86盒</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500只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五、综合管路系统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bidi="ar"/>
              </w:rPr>
              <w:t>弱电桥架200×100</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约1500米</w:t>
            </w:r>
            <w:r>
              <w:rPr>
                <w:rFonts w:hint="eastAsia" w:ascii="宋体" w:hAnsi="宋体" w:eastAsia="宋体" w:cs="宋体"/>
                <w:color w:val="000000"/>
                <w:kern w:val="0"/>
                <w:szCs w:val="21"/>
                <w:lang w:eastAsia="zh-CN" w:bidi="ar"/>
              </w:rPr>
              <w:t>）</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200×100</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bidi="ar"/>
              </w:rPr>
              <w:t>弱电桥架300×200</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约250米</w:t>
            </w:r>
            <w:r>
              <w:rPr>
                <w:rFonts w:hint="eastAsia" w:ascii="宋体" w:hAnsi="宋体" w:eastAsia="宋体" w:cs="宋体"/>
                <w:color w:val="000000"/>
                <w:kern w:val="0"/>
                <w:szCs w:val="21"/>
                <w:lang w:eastAsia="zh-CN" w:bidi="ar"/>
              </w:rPr>
              <w:t>）</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300×200</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支架</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588付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bidi="ar"/>
              </w:rPr>
              <w:t>穿线保护管PVC25</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约3850米</w:t>
            </w:r>
            <w:r>
              <w:rPr>
                <w:rFonts w:hint="eastAsia" w:ascii="宋体" w:hAnsi="宋体" w:eastAsia="宋体" w:cs="宋体"/>
                <w:color w:val="000000"/>
                <w:kern w:val="0"/>
                <w:szCs w:val="21"/>
                <w:lang w:eastAsia="zh-CN" w:bidi="ar"/>
              </w:rPr>
              <w:t>）</w:t>
            </w:r>
          </w:p>
        </w:tc>
        <w:tc>
          <w:tcPr>
            <w:tcW w:w="2744" w:type="pct"/>
            <w:shd w:val="clear" w:color="auto" w:fill="auto"/>
            <w:vAlign w:val="center"/>
          </w:tcPr>
          <w:p>
            <w:pPr>
              <w:widowControl/>
              <w:textAlignment w:val="center"/>
              <w:rPr>
                <w:rFonts w:hint="eastAsia" w:ascii="宋体" w:hAnsi="宋体" w:eastAsia="宋体" w:cs="宋体"/>
                <w:color w:val="000000"/>
                <w:szCs w:val="21"/>
                <w:lang w:val="en-US" w:eastAsia="zh-CN"/>
              </w:rPr>
            </w:pPr>
            <w:r>
              <w:rPr>
                <w:rFonts w:hint="eastAsia" w:ascii="宋体" w:hAnsi="宋体" w:eastAsia="宋体" w:cs="宋体"/>
                <w:color w:val="000000"/>
                <w:szCs w:val="21"/>
                <w:lang w:val="en-US" w:eastAsia="zh-CN"/>
              </w:rPr>
              <w:t>/</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bidi="ar"/>
              </w:rPr>
              <w:t>穿线保护管PVC20</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约3000米</w:t>
            </w:r>
            <w:r>
              <w:rPr>
                <w:rFonts w:hint="eastAsia" w:ascii="宋体" w:hAnsi="宋体" w:eastAsia="宋体" w:cs="宋体"/>
                <w:color w:val="000000"/>
                <w:kern w:val="0"/>
                <w:szCs w:val="21"/>
                <w:lang w:eastAsia="zh-CN" w:bidi="ar"/>
              </w:rPr>
              <w:t>）</w:t>
            </w:r>
          </w:p>
        </w:tc>
        <w:tc>
          <w:tcPr>
            <w:tcW w:w="2744" w:type="pct"/>
            <w:shd w:val="clear" w:color="auto" w:fill="auto"/>
            <w:vAlign w:val="center"/>
          </w:tcPr>
          <w:p>
            <w:pPr>
              <w:widowControl/>
              <w:textAlignment w:val="center"/>
              <w:rPr>
                <w:rFonts w:hint="eastAsia" w:ascii="宋体" w:hAnsi="宋体" w:eastAsia="宋体" w:cs="宋体"/>
                <w:color w:val="000000"/>
                <w:szCs w:val="21"/>
                <w:lang w:val="en-US" w:eastAsia="zh-CN"/>
              </w:rPr>
            </w:pPr>
            <w:r>
              <w:rPr>
                <w:rFonts w:hint="eastAsia" w:ascii="宋体" w:hAnsi="宋体" w:eastAsia="宋体" w:cs="宋体"/>
                <w:color w:val="000000"/>
                <w:szCs w:val="21"/>
                <w:lang w:val="en-US" w:eastAsia="zh-CN"/>
              </w:rPr>
              <w:t>/</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bidi="ar"/>
              </w:rPr>
              <w:t>PE25</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约400米</w:t>
            </w:r>
            <w:r>
              <w:rPr>
                <w:rFonts w:hint="eastAsia" w:ascii="宋体" w:hAnsi="宋体" w:eastAsia="宋体" w:cs="宋体"/>
                <w:color w:val="000000"/>
                <w:kern w:val="0"/>
                <w:szCs w:val="21"/>
                <w:lang w:eastAsia="zh-CN" w:bidi="ar"/>
              </w:rPr>
              <w:t>）</w:t>
            </w:r>
          </w:p>
        </w:tc>
        <w:tc>
          <w:tcPr>
            <w:tcW w:w="2744" w:type="pct"/>
            <w:shd w:val="clear" w:color="auto" w:fill="auto"/>
            <w:vAlign w:val="center"/>
          </w:tcPr>
          <w:p>
            <w:pPr>
              <w:widowControl/>
              <w:textAlignment w:val="center"/>
              <w:rPr>
                <w:rFonts w:hint="eastAsia" w:ascii="宋体" w:hAnsi="宋体" w:eastAsia="宋体" w:cs="宋体"/>
                <w:color w:val="000000"/>
                <w:szCs w:val="21"/>
                <w:lang w:val="en-US" w:eastAsia="zh-CN"/>
              </w:rPr>
            </w:pPr>
            <w:r>
              <w:rPr>
                <w:rFonts w:hint="eastAsia" w:ascii="宋体" w:hAnsi="宋体" w:eastAsia="宋体" w:cs="宋体"/>
                <w:color w:val="000000"/>
                <w:szCs w:val="21"/>
                <w:lang w:val="en-US" w:eastAsia="zh-CN"/>
              </w:rPr>
              <w:t>/</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bidi="ar"/>
              </w:rPr>
              <w:t>PE32</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约900米</w:t>
            </w:r>
            <w:r>
              <w:rPr>
                <w:rFonts w:hint="eastAsia" w:ascii="宋体" w:hAnsi="宋体" w:eastAsia="宋体" w:cs="宋体"/>
                <w:color w:val="000000"/>
                <w:kern w:val="0"/>
                <w:szCs w:val="21"/>
                <w:lang w:eastAsia="zh-CN" w:bidi="ar"/>
              </w:rPr>
              <w:t>）</w:t>
            </w:r>
          </w:p>
        </w:tc>
        <w:tc>
          <w:tcPr>
            <w:tcW w:w="2744" w:type="pct"/>
            <w:shd w:val="clear" w:color="auto" w:fill="auto"/>
            <w:vAlign w:val="center"/>
          </w:tcPr>
          <w:p>
            <w:pPr>
              <w:widowControl/>
              <w:textAlignment w:val="center"/>
              <w:rPr>
                <w:rFonts w:hint="eastAsia" w:ascii="宋体" w:hAnsi="宋体" w:eastAsia="宋体" w:cs="宋体"/>
                <w:color w:val="000000"/>
                <w:szCs w:val="21"/>
                <w:lang w:val="en-US" w:eastAsia="zh-CN"/>
              </w:rPr>
            </w:pPr>
            <w:r>
              <w:rPr>
                <w:rFonts w:hint="eastAsia" w:ascii="宋体" w:hAnsi="宋体" w:eastAsia="宋体" w:cs="宋体"/>
                <w:color w:val="000000"/>
                <w:szCs w:val="21"/>
                <w:lang w:val="en-US" w:eastAsia="zh-CN"/>
              </w:rPr>
              <w:t>/</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328"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bidi="ar"/>
              </w:rPr>
              <w:t>PE50</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约1800米</w:t>
            </w:r>
            <w:r>
              <w:rPr>
                <w:rFonts w:hint="eastAsia" w:ascii="宋体" w:hAnsi="宋体" w:eastAsia="宋体" w:cs="宋体"/>
                <w:color w:val="000000"/>
                <w:kern w:val="0"/>
                <w:szCs w:val="21"/>
                <w:lang w:eastAsia="zh-CN" w:bidi="ar"/>
              </w:rPr>
              <w:t>）</w:t>
            </w:r>
          </w:p>
        </w:tc>
        <w:tc>
          <w:tcPr>
            <w:tcW w:w="2744" w:type="pct"/>
            <w:shd w:val="clear" w:color="auto" w:fill="auto"/>
            <w:vAlign w:val="center"/>
          </w:tcPr>
          <w:p>
            <w:pPr>
              <w:widowControl/>
              <w:textAlignment w:val="center"/>
              <w:rPr>
                <w:rFonts w:hint="eastAsia" w:ascii="宋体" w:hAnsi="宋体" w:eastAsia="宋体" w:cs="宋体"/>
                <w:color w:val="000000"/>
                <w:szCs w:val="21"/>
                <w:lang w:val="en-US" w:eastAsia="zh-CN"/>
              </w:rPr>
            </w:pPr>
            <w:r>
              <w:rPr>
                <w:rFonts w:hint="eastAsia" w:ascii="宋体" w:hAnsi="宋体" w:eastAsia="宋体" w:cs="宋体"/>
                <w:color w:val="000000"/>
                <w:szCs w:val="21"/>
                <w:lang w:val="en-US" w:eastAsia="zh-CN"/>
              </w:rPr>
              <w:t>/</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室外弱电井600×600×1000</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尺寸≥600×600×1000</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29只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六、信息发布系统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报告厅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发布单元</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具体技术参数要求见附件40</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25.21㎡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控制发送卡</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具体技术参数要求见附件41</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控制接收卡</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具体技术参数要求见附件42</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38张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处理器A</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具体技术参数要求见附件43</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显示控制软件</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显示屏配套控制软件</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屏体钢结构及装饰</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1.钢结构：LED显示屏屏体安装钢结构</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2.显示屏装饰边框：304不锈钢</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25.21㎡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电箱</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1.电力负载能力：符合整屏要求</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2.输出供电要求：AC220V±15%，50Hz</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3.防护功能：过流、短路、过压、欠压保护，防静电</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4.操作方式：手动/自动</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控制器</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（I5-10400/16G DDR4/512G M.2 Nvme固态硬盘/WIN 10正版系统/19.5显示器）</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屏体电源线</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国标足额电源线</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室内六类非屏蔽网线</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1.网线：室内六类8芯网线</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2.数量：8根（6用2备）</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3.距离：控制点至电箱至显示屏</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合班教室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发布单元</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具体技术参数要求见附件40</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控制发送卡</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具体技术参数要求见附件41</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控制接收卡</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具体技术参数要求见附件42</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24张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处理器B</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具体技术参数要求见附件44</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显示控制软件</w:t>
            </w:r>
          </w:p>
        </w:tc>
        <w:tc>
          <w:tcPr>
            <w:tcW w:w="274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显示屏配套控制软件</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屏体钢结构及装饰</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1.钢结构：LED显示屏屏体安装钢结构</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2.显示屏装饰边框：304不锈钢</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电箱</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1.电力负载能力：符合整屏要求</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2.输出供电要求：AC220V±15%，50Hz</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3.防护功能：过流、短路、过压、欠压保护，防静电</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4.操作方式：手动/自动</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控制器</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（I5-10400/16G DDR4/512G M.2 Nvme固态硬盘/WIN 10正版系统/19.5显示器）</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屏体电源线</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国标足额电源线</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室内六类非屏蔽网线</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1.网线：室内六类8芯网线</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2.数量：8根（6用2备）</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3.距离：控制点至电箱至显示屏</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七、会议扩声系统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280平方报告厅扩声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专业功放</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具体技术参数要求见附件45</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专业音响</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具体技术参数要求见附件46</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音响支架</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定制</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调音台</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具体技术参数要求见附件47</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数字音频处理器</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具体技术参数要求见附件48</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无线话筒</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抗摔U段红外对频，带智能静音</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一拖四无线鹅颈话筒</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具体技术参数要求见附件49</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电源时序器</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路电源时序器，强有力的系统化装置，具有标准，直通功能，独立的8通道电源输出插座，每个通道的输出容量为30A/220V，能配合系统设备进行不同的连接，从而对整个系统的供电进行时序控制，并能减少和抑制电网中的各种干扰和浪涌冲击，确保系统设备工作的稳定的可知性</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180平方合班教室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功放</w:t>
            </w:r>
          </w:p>
        </w:tc>
        <w:tc>
          <w:tcPr>
            <w:tcW w:w="2744" w:type="pct"/>
            <w:shd w:val="clear" w:color="auto" w:fill="auto"/>
            <w:vAlign w:val="center"/>
          </w:tcPr>
          <w:p>
            <w:pPr>
              <w:widowControl/>
              <w:textAlignment w:val="center"/>
              <w:rPr>
                <w:rFonts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2×600W，专业合并式数字功放带数字处理器，带中文触摸屏，K歌会议一键式切换，8种内置模式，带蓝牙、高清、光纤、AV多种输入接口，内置2只手持无线话筒</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音箱</w:t>
            </w:r>
          </w:p>
        </w:tc>
        <w:tc>
          <w:tcPr>
            <w:tcW w:w="2744" w:type="pct"/>
            <w:shd w:val="clear" w:color="auto" w:fill="auto"/>
            <w:vAlign w:val="center"/>
          </w:tcPr>
          <w:p>
            <w:pPr>
              <w:widowControl/>
              <w:textAlignment w:val="center"/>
              <w:rPr>
                <w:rFonts w:ascii="宋体" w:hAnsi="宋体" w:eastAsia="宋体" w:cs="宋体"/>
                <w:color w:val="000000"/>
                <w:szCs w:val="21"/>
                <w:highlight w:val="none"/>
              </w:rPr>
            </w:pPr>
            <w:r>
              <w:rPr>
                <w:rFonts w:ascii="宋体" w:hAnsi="宋体" w:eastAsia="宋体" w:cs="宋体"/>
                <w:color w:val="000000"/>
                <w:szCs w:val="21"/>
                <w:highlight w:val="none"/>
              </w:rPr>
              <w:t>10</w:t>
            </w:r>
            <w:r>
              <w:rPr>
                <w:rFonts w:hint="eastAsia" w:ascii="宋体" w:hAnsi="宋体" w:eastAsia="宋体" w:cs="宋体"/>
                <w:color w:val="000000"/>
                <w:szCs w:val="21"/>
                <w:highlight w:val="none"/>
              </w:rPr>
              <w:t>寸高效低音喇叭设计（</w:t>
            </w:r>
            <w:r>
              <w:rPr>
                <w:rFonts w:ascii="宋体" w:hAnsi="宋体" w:eastAsia="宋体" w:cs="宋体"/>
                <w:color w:val="000000"/>
                <w:szCs w:val="21"/>
                <w:highlight w:val="none"/>
              </w:rPr>
              <w:t>65MM</w:t>
            </w:r>
            <w:r>
              <w:rPr>
                <w:rFonts w:hint="eastAsia" w:ascii="宋体" w:hAnsi="宋体" w:eastAsia="宋体" w:cs="宋体"/>
                <w:color w:val="000000"/>
                <w:szCs w:val="21"/>
                <w:highlight w:val="none"/>
              </w:rPr>
              <w:t>音圈和</w:t>
            </w:r>
            <w:r>
              <w:rPr>
                <w:rFonts w:ascii="宋体" w:hAnsi="宋体" w:eastAsia="宋体" w:cs="宋体"/>
                <w:color w:val="000000"/>
                <w:szCs w:val="21"/>
                <w:highlight w:val="none"/>
              </w:rPr>
              <w:t>170MM</w:t>
            </w:r>
            <w:r>
              <w:rPr>
                <w:rFonts w:hint="eastAsia" w:ascii="宋体" w:hAnsi="宋体" w:eastAsia="宋体" w:cs="宋体"/>
                <w:color w:val="000000"/>
                <w:szCs w:val="21"/>
                <w:highlight w:val="none"/>
              </w:rPr>
              <w:t>磁铁），</w:t>
            </w:r>
            <w:r>
              <w:rPr>
                <w:rFonts w:ascii="宋体" w:hAnsi="宋体" w:eastAsia="宋体" w:cs="宋体"/>
                <w:color w:val="000000"/>
                <w:szCs w:val="21"/>
                <w:highlight w:val="none"/>
              </w:rPr>
              <w:t>1.75</w:t>
            </w:r>
            <w:r>
              <w:rPr>
                <w:rFonts w:hint="eastAsia" w:ascii="宋体" w:hAnsi="宋体" w:eastAsia="宋体" w:cs="宋体"/>
                <w:color w:val="000000"/>
                <w:szCs w:val="21"/>
                <w:highlight w:val="none"/>
              </w:rPr>
              <w:t>寸环形聚合物隔膜压缩驱动器（</w:t>
            </w:r>
            <w:r>
              <w:rPr>
                <w:rFonts w:ascii="宋体" w:hAnsi="宋体" w:eastAsia="宋体" w:cs="宋体"/>
                <w:color w:val="000000"/>
                <w:szCs w:val="21"/>
                <w:highlight w:val="none"/>
              </w:rPr>
              <w:t>44MM</w:t>
            </w:r>
            <w:r>
              <w:rPr>
                <w:rFonts w:hint="eastAsia" w:ascii="宋体" w:hAnsi="宋体" w:eastAsia="宋体" w:cs="宋体"/>
                <w:color w:val="000000"/>
                <w:szCs w:val="21"/>
                <w:highlight w:val="none"/>
              </w:rPr>
              <w:t>音圈），箱体由</w:t>
            </w:r>
            <w:r>
              <w:rPr>
                <w:rFonts w:ascii="宋体" w:hAnsi="宋体" w:eastAsia="宋体" w:cs="宋体"/>
                <w:color w:val="000000"/>
                <w:szCs w:val="21"/>
                <w:highlight w:val="none"/>
              </w:rPr>
              <w:t>15MM</w:t>
            </w:r>
            <w:r>
              <w:rPr>
                <w:rFonts w:hint="eastAsia" w:ascii="宋体" w:hAnsi="宋体" w:eastAsia="宋体" w:cs="宋体"/>
                <w:color w:val="000000"/>
                <w:szCs w:val="21"/>
                <w:highlight w:val="none"/>
              </w:rPr>
              <w:t>桦木面夹板精制而成，坚固耐用</w:t>
            </w:r>
            <w:r>
              <w:rPr>
                <w:rFonts w:ascii="宋体" w:hAnsi="宋体" w:eastAsia="宋体" w:cs="宋体"/>
                <w:color w:val="000000"/>
                <w:szCs w:val="21"/>
                <w:highlight w:val="none"/>
              </w:rPr>
              <w:t>70</w:t>
            </w:r>
            <w:r>
              <w:rPr>
                <w:rFonts w:hint="eastAsia" w:ascii="宋体" w:hAnsi="宋体" w:eastAsia="宋体" w:cs="宋体"/>
                <w:color w:val="000000"/>
                <w:szCs w:val="21"/>
                <w:highlight w:val="none"/>
              </w:rPr>
              <w:t>度×</w:t>
            </w:r>
            <w:r>
              <w:rPr>
                <w:rFonts w:ascii="宋体" w:hAnsi="宋体" w:eastAsia="宋体" w:cs="宋体"/>
                <w:color w:val="000000"/>
                <w:szCs w:val="21"/>
                <w:highlight w:val="none"/>
              </w:rPr>
              <w:t>100</w:t>
            </w:r>
            <w:r>
              <w:rPr>
                <w:rFonts w:hint="eastAsia" w:ascii="宋体" w:hAnsi="宋体" w:eastAsia="宋体" w:cs="宋体"/>
                <w:color w:val="000000"/>
                <w:szCs w:val="21"/>
                <w:highlight w:val="none"/>
              </w:rPr>
              <w:t>度号角，大范围覆盖模式，音箱竖向和横向均可使用，多种吊挂模式适用于任何场合创新精密设计的分频器</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调音台</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具体技术参数要求见附件47</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数字音频处理器</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具体技术参数要求见附件48</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无线会议话筒</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抗摔U段红外对频，带智能静音</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电源时序器</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路电源时序器，强有力的系统化装置，具有标准，直通功能，独立的8通道电源输出插座，每个通道的输出容量为30A/220V，能配合系统设备进行不同的连接，从而对整个系统的供电进行时序控制，并能减少和抑制电网中的各种干扰和浪涌冲击，确保系统设备工作的稳定的可知性</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音响支架</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定制</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八、电教设备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智慧黑板</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具体技术参数要求见附件50</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内置模块</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具体技术参数要求见附件51</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系统应用部分</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具体技术参数要求见附件52</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高清壁挂展台</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具体技术参数要求见附件53</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音箱</w:t>
            </w:r>
          </w:p>
        </w:tc>
        <w:tc>
          <w:tcPr>
            <w:tcW w:w="274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具体技术参数要求见附件54</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九、虚拟演播厅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虚拟演播室主机</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具体技术参数要求见附件55</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校园电视台系统软件</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具体技术参数要求见附件56</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高清摄像机</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具体技术参数要求见附件57</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高清摄像机管理软件</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具体技术参数要求见附件58</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摄像机三脚架</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具体技术参数要求见附件59</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无线话筒</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具体技术参数要求见附件60</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提词器（含支架）</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具体技术参数要求见附件61</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视频编辑软件</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具体技术参数要求见附件62</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环出与导播显示器</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1.＞21英寸，IPS技术，宽屏，分辨率1920×1080，刷新率75Hz，响应时间8msGtG（bw）</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2.IPS技术广视角炫彩硬屏，释放任意角度色彩</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3.1.2mm窄边框，3.7mm窄</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★4.至少一个HDMI输入接口</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65寸液晶电视机</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具体技术参数要求见附件63</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无线鼠键套</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1.鼠键接口：USB</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2.鼠键连接方式：无线</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3.键盘类型：全键盘</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题词/非编</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CPU酷睿I5；内存8G；集成显卡；硬盘500G；显示器：≥21寸液晶，支持1920×1080；标配USB鼠键套</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多媒体音响</w:t>
            </w:r>
          </w:p>
        </w:tc>
        <w:tc>
          <w:tcPr>
            <w:tcW w:w="27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具体技术参数要求见附件64</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专业监听耳机</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1.频响范围21-18000Hz，阻抗24Ω，声压108dB</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2.包含配件：耳机＊1 1/4英寸（6.3毫米），立体声插孔适配器</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LED柔光背景灯</w:t>
            </w:r>
          </w:p>
        </w:tc>
        <w:tc>
          <w:tcPr>
            <w:tcW w:w="2744" w:type="pct"/>
            <w:shd w:val="clear" w:color="auto" w:fill="auto"/>
            <w:vAlign w:val="center"/>
          </w:tcPr>
          <w:p>
            <w:pPr>
              <w:widowControl/>
              <w:jc w:val="center"/>
              <w:textAlignment w:val="center"/>
              <w:rPr>
                <w:rFonts w:hint="eastAsia" w:ascii="宋体" w:hAnsi="宋体" w:eastAsia="宋体" w:cs="宋体"/>
                <w:b/>
                <w:bCs/>
                <w:color w:val="000000"/>
                <w:szCs w:val="21"/>
                <w:lang w:val="en-US" w:eastAsia="zh-CN"/>
              </w:rPr>
            </w:pPr>
            <w:r>
              <w:rPr>
                <w:rFonts w:hint="eastAsia" w:ascii="宋体" w:hAnsi="宋体" w:eastAsia="宋体" w:cs="宋体"/>
                <w:b/>
                <w:bCs/>
                <w:color w:val="000000"/>
                <w:kern w:val="0"/>
                <w:szCs w:val="21"/>
                <w:lang w:bidi="ar"/>
              </w:rPr>
              <w:t>具体技术参数要求见附件6</w:t>
            </w:r>
            <w:r>
              <w:rPr>
                <w:rFonts w:hint="eastAsia" w:ascii="宋体" w:hAnsi="宋体" w:eastAsia="宋体" w:cs="宋体"/>
                <w:b/>
                <w:bCs/>
                <w:color w:val="000000"/>
                <w:kern w:val="0"/>
                <w:szCs w:val="21"/>
                <w:lang w:val="en-US" w:eastAsia="zh-CN" w:bidi="ar"/>
              </w:rPr>
              <w:t>5</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vMerge w:val="restar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w:t>
            </w:r>
          </w:p>
        </w:tc>
        <w:tc>
          <w:tcPr>
            <w:tcW w:w="1328" w:type="pct"/>
            <w:vMerge w:val="restar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聚光灯</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1.额定功率：150W</w:t>
            </w:r>
          </w:p>
        </w:tc>
        <w:tc>
          <w:tcPr>
            <w:tcW w:w="539" w:type="pct"/>
            <w:vMerge w:val="restar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vMerge w:val="continue"/>
            <w:shd w:val="clear" w:color="auto" w:fill="auto"/>
            <w:vAlign w:val="center"/>
          </w:tcPr>
          <w:p>
            <w:pPr>
              <w:jc w:val="center"/>
              <w:rPr>
                <w:rFonts w:ascii="宋体" w:hAnsi="宋体" w:eastAsia="宋体" w:cs="宋体"/>
                <w:color w:val="000000"/>
                <w:szCs w:val="21"/>
              </w:rPr>
            </w:pPr>
          </w:p>
        </w:tc>
        <w:tc>
          <w:tcPr>
            <w:tcW w:w="1328" w:type="pct"/>
            <w:vMerge w:val="continue"/>
            <w:shd w:val="clear" w:color="auto" w:fill="auto"/>
            <w:vAlign w:val="center"/>
          </w:tcPr>
          <w:p>
            <w:pPr>
              <w:jc w:val="center"/>
              <w:rPr>
                <w:rFonts w:ascii="宋体" w:hAnsi="宋体" w:eastAsia="宋体" w:cs="宋体"/>
                <w:color w:val="000000"/>
                <w:szCs w:val="21"/>
              </w:rPr>
            </w:pP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2.外壳材质：铝型材</w:t>
            </w:r>
          </w:p>
        </w:tc>
        <w:tc>
          <w:tcPr>
            <w:tcW w:w="539" w:type="pct"/>
            <w:vMerge w:val="continue"/>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17</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主持桌椅</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定制，尺寸≥2000×750×650mm，产品均采用优质冷轧板，耐压，强度大，抗冲击，不易变形，静电粉末喷塑，无污染</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导播桌</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尺寸≥2400×750×650mm，刨花板/三聚氰胺板</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19</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蓝/绿箱装修</w:t>
            </w:r>
          </w:p>
        </w:tc>
        <w:tc>
          <w:tcPr>
            <w:tcW w:w="2744" w:type="pct"/>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1.蓝箱/绿箱，各面之间以圆润圆弧相接，圆弧半径0.5米，整体均匀平整</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2.背景墙采用防水专业进口抠像漆，无有毒有害物质，水溶性不反光，尺寸≥长度5m×深度</w:t>
            </w:r>
          </w:p>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3.5m×高度3m（具体面积以实际测量和校方标准为参考）</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分配器等</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3根适当长度的sdi线，若干hdmi线和分配器</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装修装饰</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根据实际情况对直播室进行简单装修</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jc w:val="center"/>
              <w:rPr>
                <w:rFonts w:ascii="宋体" w:hAnsi="宋体" w:eastAsia="宋体" w:cs="宋体"/>
                <w:color w:val="000000"/>
                <w:szCs w:val="21"/>
              </w:rPr>
            </w:pPr>
            <w:r>
              <w:rPr>
                <w:rFonts w:hint="eastAsia" w:ascii="宋体" w:hAnsi="宋体" w:eastAsia="宋体" w:cs="宋体"/>
                <w:b/>
                <w:bCs/>
                <w:color w:val="000000"/>
                <w:kern w:val="0"/>
                <w:szCs w:val="21"/>
                <w:lang w:bidi="ar"/>
              </w:rPr>
              <w:t>十、配件、辅材、线材、管材等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328"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配件、辅材、线材、管材等</w:t>
            </w:r>
          </w:p>
        </w:tc>
        <w:tc>
          <w:tcPr>
            <w:tcW w:w="2744" w:type="pct"/>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实施本项目所需的其他所有配件、辅材、线材、管材等，包含穿线保护管、线路接头地插</w:t>
            </w:r>
          </w:p>
        </w:tc>
        <w:tc>
          <w:tcPr>
            <w:tcW w:w="539"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1项</w:t>
            </w:r>
          </w:p>
        </w:tc>
      </w:tr>
    </w:tbl>
    <w:p>
      <w:pPr>
        <w:wordWrap w:val="0"/>
        <w:spacing w:line="400" w:lineRule="exact"/>
        <w:rPr>
          <w:rFonts w:ascii="宋体" w:hAnsi="宋体" w:eastAsia="宋体" w:cs="Times New Roman"/>
          <w:szCs w:val="21"/>
          <w:shd w:val="clear" w:color="auto" w:fill="BEBEBE" w:themeFill="background1" w:themeFillShade="BF"/>
        </w:rPr>
      </w:pPr>
      <w:r>
        <w:rPr>
          <w:rFonts w:hint="eastAsia" w:ascii="宋体" w:hAnsi="宋体" w:eastAsia="宋体" w:cs="Times New Roman"/>
          <w:szCs w:val="21"/>
          <w:shd w:val="clear" w:color="auto" w:fill="BEBEBE" w:themeFill="background1" w:themeFillShade="BF"/>
        </w:rPr>
        <w:t>（一）本项目中，</w:t>
      </w:r>
      <w:r>
        <w:rPr>
          <w:rFonts w:hint="eastAsia" w:ascii="宋体" w:hAnsi="宋体" w:eastAsia="宋体" w:cs="Times New Roman"/>
          <w:b/>
          <w:szCs w:val="21"/>
          <w:shd w:val="clear" w:color="auto" w:fill="BEBEBE" w:themeFill="background1" w:themeFillShade="BF"/>
        </w:rPr>
        <w:t>“红外枪机POE”为核心产品。</w:t>
      </w:r>
      <w:r>
        <w:rPr>
          <w:rFonts w:hint="eastAsia" w:ascii="宋体" w:hAnsi="宋体" w:eastAsia="宋体" w:cs="Times New Roman"/>
          <w:szCs w:val="21"/>
          <w:shd w:val="clear" w:color="auto" w:fill="BEBEBE" w:themeFill="background1" w:themeFillShade="BF"/>
        </w:rPr>
        <w:t>多家供应商提供的核心产品品牌相同的，且通过资格审查、符合性审查的不同供应商参加本项目的，按一家供应商计算，评审后得分最高的同品牌供应商获得成交供应商推荐资格；评审得分相同的，由采购人采取随机抽取方式确定，其他同品牌供应商不作为成交选标人。</w:t>
      </w:r>
    </w:p>
    <w:p>
      <w:pPr>
        <w:wordWrap w:val="0"/>
        <w:spacing w:line="400" w:lineRule="exact"/>
        <w:rPr>
          <w:rFonts w:ascii="宋体" w:hAnsi="宋体" w:eastAsia="宋体" w:cs="Times New Roman"/>
          <w:szCs w:val="21"/>
          <w:shd w:val="clear" w:color="auto" w:fill="BEBEBE" w:themeFill="background1" w:themeFillShade="BF"/>
        </w:rPr>
      </w:pPr>
      <w:r>
        <w:rPr>
          <w:rFonts w:hint="eastAsia" w:ascii="宋体" w:hAnsi="宋体" w:eastAsia="宋体" w:cs="Times New Roman"/>
          <w:b/>
          <w:szCs w:val="21"/>
          <w:shd w:val="clear" w:color="auto" w:fill="BEBEBE" w:themeFill="background1" w:themeFillShade="BF"/>
        </w:rPr>
        <w:t>（二）本项目不允许进口产品参加投标，如投标货物中含有进口产品的作无效标处理，进口产品是指通过中国海关报关验放进入中国境内且产自关境外的产品。</w:t>
      </w:r>
    </w:p>
    <w:p>
      <w:pPr>
        <w:rPr>
          <w:rFonts w:hint="eastAsia" w:ascii="宋体" w:hAnsi="宋体" w:eastAsia="宋体"/>
          <w:b/>
          <w:bCs/>
        </w:rPr>
      </w:pPr>
      <w:r>
        <w:rPr>
          <w:rFonts w:hint="eastAsia" w:ascii="宋体" w:hAnsi="宋体" w:eastAsia="宋体"/>
          <w:b/>
          <w:bCs/>
        </w:rPr>
        <w:t>附件1：</w:t>
      </w:r>
      <w:r>
        <w:rPr>
          <w:rStyle w:val="46"/>
          <w:sz w:val="21"/>
          <w:szCs w:val="21"/>
          <w:lang w:bidi="ar"/>
        </w:rPr>
        <w:t>控制主机</w:t>
      </w:r>
    </w:p>
    <w:tbl>
      <w:tblPr>
        <w:tblStyle w:val="11"/>
        <w:tblW w:w="4867" w:type="pct"/>
        <w:jc w:val="center"/>
        <w:tblLayout w:type="autofit"/>
        <w:tblCellMar>
          <w:top w:w="0" w:type="dxa"/>
          <w:left w:w="108" w:type="dxa"/>
          <w:bottom w:w="0" w:type="dxa"/>
          <w:right w:w="108" w:type="dxa"/>
        </w:tblCellMar>
      </w:tblPr>
      <w:tblGrid>
        <w:gridCol w:w="835"/>
        <w:gridCol w:w="8204"/>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控制主机</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1.采用工控机机箱设计，具有LED液晶显示屏，支持触摸控制屏；服务器运载Windows Server 2008 R2 Standard（x64），Windows Server 2012 R2 Standard（x64）及以上操作系统</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2.支持≥1路短路触发开机接口，用于实现定时驱动开机运行</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3.具有≥8×USB接口、≥6×串口接口、≥2×千兆网口</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4.配置不低于四核/i5处理器</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5.设备支持≥1路VGA、≥1路HDMI输出接口，可将画面输出至大屏放大显示</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6.支持操作系统配置通电自动开机、定时自动开机，定时自动关机功能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7.内置抽拉键盘、内置触控鼠标面板+左右按键设计，支持通过USB接口外接鼠标键盘</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8.支持录音存储功能，可在后台自定义设置录音文件保存路径</w:t>
            </w:r>
          </w:p>
        </w:tc>
      </w:tr>
    </w:tbl>
    <w:p>
      <w:pPr>
        <w:rPr>
          <w:rFonts w:ascii="宋体" w:hAnsi="宋体" w:eastAsia="宋体" w:cs="宋体"/>
          <w:b/>
          <w:bCs/>
          <w:szCs w:val="21"/>
        </w:rPr>
      </w:pPr>
      <w:r>
        <w:rPr>
          <w:rFonts w:hint="eastAsia" w:ascii="宋体" w:hAnsi="宋体" w:eastAsia="宋体" w:cs="宋体"/>
          <w:b/>
          <w:bCs/>
          <w:szCs w:val="21"/>
        </w:rPr>
        <w:t>附件2：</w:t>
      </w:r>
      <w:r>
        <w:rPr>
          <w:rStyle w:val="46"/>
          <w:sz w:val="21"/>
          <w:szCs w:val="21"/>
          <w:lang w:bidi="ar"/>
        </w:rPr>
        <w:t>数字化IP网络广播客户端管理软件</w:t>
      </w:r>
    </w:p>
    <w:tbl>
      <w:tblPr>
        <w:tblStyle w:val="11"/>
        <w:tblW w:w="4867" w:type="pct"/>
        <w:jc w:val="center"/>
        <w:tblLayout w:type="autofit"/>
        <w:tblCellMar>
          <w:top w:w="0" w:type="dxa"/>
          <w:left w:w="108" w:type="dxa"/>
          <w:bottom w:w="0" w:type="dxa"/>
          <w:right w:w="108" w:type="dxa"/>
        </w:tblCellMar>
      </w:tblPr>
      <w:tblGrid>
        <w:gridCol w:w="835"/>
        <w:gridCol w:w="8204"/>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数字化IP网络广播客户端管理软件</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1.软件是整个系统的运行核心，统一管理系统内所有音频终端，包括寻呼话筒、对讲终端、广播终端和消防接口设备，实时显示音频终端的IP地址、在线状态、任务状态、音量等运行状态</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支撑各音频终端的运行，负责音频流传输管理，响应各音频终端播放请求和音频全双工交换，支持B/S架构，通过网页登陆可进行终端管理、用户管理、节目播放管理、音频文件管理、录音存贮、内部通讯调度处理等功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3.管理节目库资源，为所有音频终端器提供定时播放和实时点播媒体服务，响应各终端的节目播放请求，为各音频工作站提供数据接口服务</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4.提供全双工语音数据交换，响应各对讲终端的呼叫和通话请求，支持一键呼叫、一键对讲、一键求助、一键报警等通话模式，支持自动接听、手动接听，支持自定义接听提示音</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支持多种呼叫策略，包括无响应转移、占线转移、关机转移，支持时间策略和转移策略自定义设置。支持设置对讲终端呼叫策略，可自定义通话时间0-180S或不受限，可选择是否自动接听，支持自定义选择来电铃声与等待铃声</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6.支持终端短路输入联动触发，可任意设置联动触发方案和触发终端数量，触发方案包括短路输出、音乐播放、巡更警报等</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7.编程定时任务，支持编程多套定时方案，支持选择任意终端和设置任意时间；支持定时任务执行测试、设置重复周期支持定时任务多种音源选择（音乐播放、声卡采集、终端采集）</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8.支持多套定时打铃方案同时启用，每套定时打铃方案支持多套任务同时进行，支持一键启用/停用所有方案</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9.支持定时打铃功能，支持打铃方案克隆，任务执行与停止控制、定时任务禁用与启用功能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▲10.支持定时巡更功能，支持自定义巡更任务的执行时间及重复周期，可自定义指示灯闪烁间隔时间0-30s</w:t>
            </w:r>
            <w:r>
              <w:rPr>
                <w:rFonts w:hint="eastAsia" w:ascii="宋体" w:hAnsi="宋体" w:eastAsia="宋体" w:cs="宋体"/>
                <w:szCs w:val="21"/>
                <w:shd w:val="clear" w:color="auto" w:fill="BEBEBE" w:themeFill="background1" w:themeFillShade="BF"/>
              </w:rPr>
              <w:t>（响应文件中提供功能界面截图）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11.支持今日任务列表查看，轻松管理今日执行的所有定时任务信息和执行状态</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12.日志记录系统运行状态，实时记录系统运行及终端工作状态，每次呼叫、通话和广播操作均有记录</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▲13.支持对8路功率分区终端进行功率控制分区设置，通过web页面后台或分控客户端均可设置分区</w:t>
            </w:r>
            <w:r>
              <w:rPr>
                <w:rFonts w:hint="eastAsia" w:ascii="宋体" w:hAnsi="宋体" w:eastAsia="宋体" w:cs="宋体"/>
                <w:szCs w:val="21"/>
                <w:shd w:val="clear" w:color="auto" w:fill="BEBEBE" w:themeFill="background1" w:themeFillShade="BF"/>
              </w:rPr>
              <w:t>（响应文件中提供功能界面截图）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▲14.支持对终端设置时间显示配置，可设置0-6级别亮度值，可设置离线后不显示时间等模式</w:t>
            </w:r>
            <w:r>
              <w:rPr>
                <w:rFonts w:hint="eastAsia" w:ascii="宋体" w:hAnsi="宋体" w:eastAsia="宋体" w:cs="宋体"/>
                <w:szCs w:val="21"/>
                <w:shd w:val="clear" w:color="auto" w:fill="BEBEBE" w:themeFill="background1" w:themeFillShade="BF"/>
              </w:rPr>
              <w:t>（响应文件中提供功能界面截图）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▲15.支持对终端设置不同的灯光模式，可分别自定义设置红灯亮、红灯灭、绿灯/蓝灯亮、绿灯/蓝灯灭时间0.1S-10S</w:t>
            </w:r>
            <w:r>
              <w:rPr>
                <w:rFonts w:hint="eastAsia" w:ascii="宋体" w:hAnsi="宋体" w:eastAsia="宋体" w:cs="宋体"/>
                <w:szCs w:val="21"/>
                <w:shd w:val="clear" w:color="auto" w:fill="BEBEBE" w:themeFill="background1" w:themeFillShade="BF"/>
              </w:rPr>
              <w:t>（响应文件中提供功能界面截图）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16.支持配置终端冻结时间，在终端被冻结期间禁止终端执行任务，适用于考试或休息等场景</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17.支持广播、对讲、实时采集、终端监听进行录音；支持文本广播功能，可实现将文本转成语音，支持后台调整语速</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18.支持后台换肤功能，可根据喜好自由切换皮肤主题</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19.支持终端明细导出功能，支持通过表格方式导出当前系统终端的配置详情。支持批量修改定时任务的时间、执行终端</w:t>
            </w:r>
          </w:p>
        </w:tc>
      </w:tr>
    </w:tbl>
    <w:p>
      <w:pPr>
        <w:rPr>
          <w:rFonts w:ascii="宋体" w:hAnsi="宋体" w:eastAsia="宋体" w:cs="宋体"/>
          <w:b/>
          <w:bCs/>
          <w:szCs w:val="21"/>
        </w:rPr>
      </w:pPr>
      <w:r>
        <w:rPr>
          <w:rFonts w:hint="eastAsia" w:ascii="宋体" w:hAnsi="宋体" w:eastAsia="宋体" w:cs="宋体"/>
          <w:b/>
          <w:bCs/>
          <w:szCs w:val="21"/>
        </w:rPr>
        <w:t>附件3：</w:t>
      </w:r>
      <w:r>
        <w:rPr>
          <w:rStyle w:val="46"/>
          <w:sz w:val="21"/>
          <w:szCs w:val="21"/>
          <w:lang w:bidi="ar"/>
        </w:rPr>
        <w:t>寻呼话筒</w:t>
      </w:r>
    </w:p>
    <w:tbl>
      <w:tblPr>
        <w:tblStyle w:val="11"/>
        <w:tblW w:w="4867" w:type="pct"/>
        <w:jc w:val="center"/>
        <w:tblLayout w:type="autofit"/>
        <w:tblCellMar>
          <w:top w:w="0" w:type="dxa"/>
          <w:left w:w="108" w:type="dxa"/>
          <w:bottom w:w="0" w:type="dxa"/>
          <w:right w:w="108" w:type="dxa"/>
        </w:tblCellMar>
      </w:tblPr>
      <w:tblGrid>
        <w:gridCol w:w="835"/>
        <w:gridCol w:w="8204"/>
      </w:tblGrid>
      <w:tr>
        <w:tblPrEx>
          <w:tblCellMar>
            <w:top w:w="0" w:type="dxa"/>
            <w:left w:w="108" w:type="dxa"/>
            <w:bottom w:w="0" w:type="dxa"/>
            <w:right w:w="108" w:type="dxa"/>
          </w:tblCellMar>
        </w:tblPrEx>
        <w:trPr>
          <w:trHeight w:val="432"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寻呼话筒</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1.采用话筒桌面式设计，带有显示屏，带触摸控制功能；显示屏自带数字键、功能键，支持通过触摸呼叫广播，支持呼叫分区及多个分区，呼叫全区广播；可支持≥10个按键自定义一键呼叫广播功能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2.内置≥1路网络硬件音频解码模块，具有≥1路RJ45网络接口，≥100Mbps传输速率</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3.支持监听任意终端功能，内置≥2W全频扬声器，实现双向通话和网络监听</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▲4.支持≥1路音频线路输入，支持采集播放功能；具有≥1路音频线路输出，可外接功率放大器</w:t>
            </w:r>
            <w:r>
              <w:rPr>
                <w:rFonts w:hint="eastAsia" w:ascii="宋体" w:hAnsi="宋体" w:eastAsia="宋体" w:cs="宋体"/>
                <w:szCs w:val="21"/>
                <w:shd w:val="clear" w:color="auto" w:fill="BEBEBE" w:themeFill="background1" w:themeFillShade="BF"/>
              </w:rPr>
              <w:t>（响应文件中提供设备线路输入与输出接口照片）</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5.支持直接操作呼叫或对讲任意终端，支持通过话筒广播呼叫功能，广播延时低于100毫秒</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6.支持多种呼叫策略，包括无响应转移、占线转移、关机转移；自动接听、手动接听，支持自定义接听提示音，支持转移时间、无人接听时间、呼叫等待时间自定义</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7.具有≥1个3.5耳机接口、≥1路3.5话筒输入接口</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▲8.具有≥1路短路输出接口、≥1路短路输入接口</w:t>
            </w:r>
            <w:r>
              <w:rPr>
                <w:rFonts w:hint="eastAsia" w:ascii="宋体" w:hAnsi="宋体" w:eastAsia="宋体" w:cs="宋体"/>
                <w:szCs w:val="21"/>
                <w:shd w:val="clear" w:color="auto" w:fill="BEBEBE" w:themeFill="background1" w:themeFillShade="BF"/>
              </w:rPr>
              <w:t>（响应文件中提供设备短路输入与输出接口照片）</w:t>
            </w:r>
          </w:p>
        </w:tc>
      </w:tr>
    </w:tbl>
    <w:p>
      <w:pPr>
        <w:rPr>
          <w:rFonts w:ascii="宋体" w:hAnsi="宋体" w:eastAsia="宋体" w:cs="宋体"/>
          <w:b/>
          <w:bCs/>
          <w:szCs w:val="21"/>
        </w:rPr>
      </w:pPr>
      <w:r>
        <w:rPr>
          <w:rFonts w:hint="eastAsia" w:ascii="宋体" w:hAnsi="宋体" w:eastAsia="宋体" w:cs="宋体"/>
          <w:b/>
          <w:bCs/>
          <w:szCs w:val="21"/>
        </w:rPr>
        <w:t>附件4：</w:t>
      </w:r>
      <w:r>
        <w:rPr>
          <w:rStyle w:val="46"/>
          <w:sz w:val="21"/>
          <w:szCs w:val="21"/>
          <w:lang w:bidi="ar"/>
        </w:rPr>
        <w:t>采集器</w:t>
      </w:r>
    </w:p>
    <w:tbl>
      <w:tblPr>
        <w:tblStyle w:val="11"/>
        <w:tblW w:w="4866" w:type="pct"/>
        <w:jc w:val="center"/>
        <w:tblLayout w:type="autofit"/>
        <w:tblCellMar>
          <w:top w:w="0" w:type="dxa"/>
          <w:left w:w="108" w:type="dxa"/>
          <w:bottom w:w="0" w:type="dxa"/>
          <w:right w:w="108" w:type="dxa"/>
        </w:tblCellMar>
      </w:tblPr>
      <w:tblGrid>
        <w:gridCol w:w="835"/>
        <w:gridCol w:w="8202"/>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采集器</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1.机柜式设计，拉丝铝合金面板</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2.设备采用嵌入式计算机技术和DSP音频处理技术设计</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▲3.支持≥16路消防短路信号输入接口</w:t>
            </w:r>
            <w:r>
              <w:rPr>
                <w:rFonts w:hint="eastAsia" w:ascii="宋体" w:hAnsi="宋体" w:eastAsia="宋体" w:cs="宋体"/>
                <w:szCs w:val="21"/>
                <w:shd w:val="clear" w:color="auto" w:fill="BEBEBE" w:themeFill="background1" w:themeFillShade="BF"/>
              </w:rPr>
              <w:t>（响应文件中提供后台设置16路短路端口功能界面图）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4.面板支持一键取消任务</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5.支持后台设置报警策略，可为每路短路信号输入端口配置报警策略，关联联动的终端及播放曲目等功能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6.标配网络接口，全速率连接最高可达≥100M</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7.短路接口：标准压线接线端子</w:t>
            </w:r>
          </w:p>
        </w:tc>
      </w:tr>
    </w:tbl>
    <w:p>
      <w:pPr>
        <w:rPr>
          <w:rFonts w:ascii="宋体" w:hAnsi="宋体" w:eastAsia="宋体" w:cs="宋体"/>
          <w:szCs w:val="21"/>
        </w:rPr>
      </w:pPr>
      <w:r>
        <w:rPr>
          <w:rFonts w:hint="eastAsia" w:ascii="宋体" w:hAnsi="宋体" w:eastAsia="宋体" w:cs="宋体"/>
          <w:b/>
          <w:bCs/>
          <w:szCs w:val="21"/>
        </w:rPr>
        <w:t>附件5：</w:t>
      </w:r>
      <w:r>
        <w:rPr>
          <w:rStyle w:val="46"/>
          <w:sz w:val="21"/>
          <w:szCs w:val="21"/>
          <w:lang w:bidi="ar"/>
        </w:rPr>
        <w:t>IP网络音箱</w:t>
      </w:r>
    </w:p>
    <w:tbl>
      <w:tblPr>
        <w:tblStyle w:val="11"/>
        <w:tblW w:w="4866" w:type="pct"/>
        <w:jc w:val="center"/>
        <w:tblLayout w:type="autofit"/>
        <w:tblCellMar>
          <w:top w:w="0" w:type="dxa"/>
          <w:left w:w="108" w:type="dxa"/>
          <w:bottom w:w="0" w:type="dxa"/>
          <w:right w:w="108" w:type="dxa"/>
        </w:tblCellMar>
      </w:tblPr>
      <w:tblGrid>
        <w:gridCol w:w="835"/>
        <w:gridCol w:w="8202"/>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IP网络音箱</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1.内置≥1路网络硬件音频解码模块，具有≥1路RJ45网络接口，≥100Mbps传输速率</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2.支持≥1路音频线路输入接口，具有独立的音量调节功能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3.设备集成有数字功放，功率≥2×20W（MAX），具有≥1个主音箱</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4.内置≥2级优先级功能设计：（1）AUX与网路背景音乐信号同级，混音输出。（2）网络报警信号优先AUX与网络背景音乐信号</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5.支持IPv6、IPv4网络协议</w:t>
            </w:r>
          </w:p>
        </w:tc>
      </w:tr>
    </w:tbl>
    <w:p>
      <w:pPr>
        <w:rPr>
          <w:rFonts w:ascii="宋体" w:hAnsi="宋体" w:eastAsia="宋体" w:cs="宋体"/>
          <w:szCs w:val="21"/>
        </w:rPr>
      </w:pPr>
      <w:r>
        <w:rPr>
          <w:rFonts w:hint="eastAsia" w:ascii="宋体" w:hAnsi="宋体" w:eastAsia="宋体" w:cs="宋体"/>
          <w:b/>
          <w:bCs/>
          <w:szCs w:val="21"/>
        </w:rPr>
        <w:t>附件6：</w:t>
      </w:r>
      <w:r>
        <w:rPr>
          <w:rStyle w:val="46"/>
          <w:sz w:val="21"/>
          <w:szCs w:val="21"/>
          <w:lang w:bidi="ar"/>
        </w:rPr>
        <w:t>IP网络功放终端240W</w:t>
      </w:r>
    </w:p>
    <w:tbl>
      <w:tblPr>
        <w:tblStyle w:val="11"/>
        <w:tblW w:w="4866" w:type="pct"/>
        <w:jc w:val="center"/>
        <w:tblLayout w:type="autofit"/>
        <w:tblCellMar>
          <w:top w:w="0" w:type="dxa"/>
          <w:left w:w="108" w:type="dxa"/>
          <w:bottom w:w="0" w:type="dxa"/>
          <w:right w:w="108" w:type="dxa"/>
        </w:tblCellMar>
      </w:tblPr>
      <w:tblGrid>
        <w:gridCol w:w="835"/>
        <w:gridCol w:w="8202"/>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IP网络功放终端240W</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1.设备采用标准≥19英寸机架设计，带有LCD显示屏</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2.内置≥1路网络硬件音频解码模块</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3.支持≥1路线路输入和≥1路话筒输入接口，可独立调节音量</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4.支持高低音调节电位器控制</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5.具有≥1路EMC输入接口，具有最高优先级</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6.具有≥1路音频输出接口</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7.具有≥1路三线制强切输出接口，无需强切电源</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8.集成数字功放，功率≥240W；支持定压方式输出</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9.支持通过后台软件对终端进行远程固件升级</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10.具有≥1路RJ45网络接口，≥100Mbps传输速率</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right" w:pos="4601"/>
              </w:tabs>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▲11.设备内置有主备切换检测模块，在断网或断电的故障情况下，实现自动切换到100V定压备份通道，主备切换过程无卡顿、不掉字</w:t>
            </w:r>
          </w:p>
        </w:tc>
      </w:tr>
    </w:tbl>
    <w:p>
      <w:pPr>
        <w:rPr>
          <w:rFonts w:ascii="宋体" w:hAnsi="宋体" w:eastAsia="宋体" w:cs="宋体"/>
          <w:szCs w:val="21"/>
        </w:rPr>
      </w:pPr>
      <w:r>
        <w:rPr>
          <w:rFonts w:hint="eastAsia" w:ascii="宋体" w:hAnsi="宋体" w:eastAsia="宋体" w:cs="宋体"/>
          <w:b/>
          <w:bCs/>
          <w:szCs w:val="21"/>
        </w:rPr>
        <w:t>附件7：</w:t>
      </w:r>
      <w:r>
        <w:rPr>
          <w:rStyle w:val="46"/>
          <w:sz w:val="21"/>
          <w:szCs w:val="21"/>
          <w:lang w:bidi="ar"/>
        </w:rPr>
        <w:t>壁挂音箱</w:t>
      </w:r>
    </w:p>
    <w:tbl>
      <w:tblPr>
        <w:tblStyle w:val="11"/>
        <w:tblW w:w="4866" w:type="pct"/>
        <w:jc w:val="center"/>
        <w:tblLayout w:type="autofit"/>
        <w:tblCellMar>
          <w:top w:w="0" w:type="dxa"/>
          <w:left w:w="108" w:type="dxa"/>
          <w:bottom w:w="0" w:type="dxa"/>
          <w:right w:w="108" w:type="dxa"/>
        </w:tblCellMar>
      </w:tblPr>
      <w:tblGrid>
        <w:gridCol w:w="835"/>
        <w:gridCol w:w="8202"/>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壁挂音箱</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1.额定功率（100V）：3W，6W，10W</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2.额定功率（70V）：1.5W，3W，5W</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3.灵敏度：91dB±3dB</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4.频率响应：130Hz-18KHz</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5.喇叭单元：6.5"×1</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6.防护等级：IP5X</w:t>
            </w:r>
          </w:p>
        </w:tc>
      </w:tr>
    </w:tbl>
    <w:p>
      <w:pPr>
        <w:rPr>
          <w:rFonts w:ascii="宋体" w:hAnsi="宋体" w:eastAsia="宋体" w:cs="宋体"/>
          <w:szCs w:val="21"/>
        </w:rPr>
      </w:pPr>
      <w:r>
        <w:rPr>
          <w:rFonts w:hint="eastAsia" w:ascii="宋体" w:hAnsi="宋体" w:eastAsia="宋体" w:cs="宋体"/>
          <w:b/>
          <w:bCs/>
          <w:szCs w:val="21"/>
        </w:rPr>
        <w:t>附件8：</w:t>
      </w:r>
      <w:r>
        <w:rPr>
          <w:rStyle w:val="46"/>
          <w:sz w:val="21"/>
          <w:szCs w:val="21"/>
          <w:lang w:bidi="ar"/>
        </w:rPr>
        <w:t>IP网络功放终端350W</w:t>
      </w:r>
    </w:p>
    <w:tbl>
      <w:tblPr>
        <w:tblStyle w:val="11"/>
        <w:tblW w:w="4865" w:type="pct"/>
        <w:jc w:val="center"/>
        <w:tblLayout w:type="fixed"/>
        <w:tblCellMar>
          <w:top w:w="0" w:type="dxa"/>
          <w:left w:w="108" w:type="dxa"/>
          <w:bottom w:w="0" w:type="dxa"/>
          <w:right w:w="108" w:type="dxa"/>
        </w:tblCellMar>
      </w:tblPr>
      <w:tblGrid>
        <w:gridCol w:w="835"/>
        <w:gridCol w:w="8200"/>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Cs w:val="21"/>
              </w:rPr>
            </w:pPr>
            <w:r>
              <w:rPr>
                <w:rStyle w:val="46"/>
                <w:sz w:val="21"/>
                <w:szCs w:val="21"/>
                <w:lang w:bidi="ar"/>
              </w:rPr>
              <w:t>IP网络功放终端350W</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1.设备采用标准≥19英寸机架设计，带有LCD显示屏</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noWrap/>
            <w:vAlign w:val="center"/>
          </w:tcPr>
          <w:p>
            <w:pPr>
              <w:jc w:val="center"/>
              <w:rPr>
                <w:rFonts w:ascii="宋体" w:hAnsi="宋体" w:eastAsia="宋体" w:cs="宋体"/>
                <w:b/>
                <w:bCs/>
                <w:color w:val="000000"/>
                <w:kern w:val="0"/>
                <w:szCs w:val="21"/>
                <w:lang w:bidi="ar"/>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2.内置≥1路网络硬件音频解码模块</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noWrap/>
            <w:vAlign w:val="center"/>
          </w:tcPr>
          <w:p>
            <w:pPr>
              <w:jc w:val="center"/>
              <w:rPr>
                <w:rFonts w:ascii="宋体" w:hAnsi="宋体" w:eastAsia="宋体" w:cs="宋体"/>
                <w:b/>
                <w:bCs/>
                <w:color w:val="000000"/>
                <w:kern w:val="0"/>
                <w:szCs w:val="21"/>
                <w:lang w:bidi="ar"/>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3.支持≥1路线路输入和≥1路话筒输入接口，可独立调节音量</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noWrap/>
            <w:vAlign w:val="center"/>
          </w:tcPr>
          <w:p>
            <w:pPr>
              <w:jc w:val="center"/>
              <w:rPr>
                <w:rFonts w:ascii="宋体" w:hAnsi="宋体" w:eastAsia="宋体" w:cs="宋体"/>
                <w:b/>
                <w:bCs/>
                <w:color w:val="000000"/>
                <w:kern w:val="0"/>
                <w:szCs w:val="21"/>
                <w:lang w:bidi="ar"/>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4.支持高低音调节电位器控制</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noWrap/>
            <w:vAlign w:val="center"/>
          </w:tcPr>
          <w:p>
            <w:pPr>
              <w:jc w:val="center"/>
              <w:rPr>
                <w:rFonts w:ascii="宋体" w:hAnsi="宋体" w:eastAsia="宋体" w:cs="宋体"/>
                <w:b/>
                <w:bCs/>
                <w:color w:val="000000"/>
                <w:kern w:val="0"/>
                <w:szCs w:val="21"/>
                <w:lang w:bidi="ar"/>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5.具有≥1路EMC输入接口，具有最高优先级</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noWrap/>
            <w:vAlign w:val="center"/>
          </w:tcPr>
          <w:p>
            <w:pPr>
              <w:jc w:val="center"/>
              <w:rPr>
                <w:rFonts w:ascii="宋体" w:hAnsi="宋体" w:eastAsia="宋体" w:cs="宋体"/>
                <w:b/>
                <w:bCs/>
                <w:color w:val="000000"/>
                <w:kern w:val="0"/>
                <w:szCs w:val="21"/>
                <w:lang w:bidi="ar"/>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6.具有≥1路音频输出接口</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noWrap/>
            <w:vAlign w:val="center"/>
          </w:tcPr>
          <w:p>
            <w:pPr>
              <w:jc w:val="center"/>
              <w:rPr>
                <w:rFonts w:ascii="宋体" w:hAnsi="宋体" w:eastAsia="宋体" w:cs="宋体"/>
                <w:b/>
                <w:bCs/>
                <w:color w:val="000000"/>
                <w:kern w:val="0"/>
                <w:szCs w:val="21"/>
                <w:lang w:bidi="ar"/>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7.具有≥1路三线制强切输出接口，无需强切电源</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noWrap/>
            <w:vAlign w:val="center"/>
          </w:tcPr>
          <w:p>
            <w:pPr>
              <w:jc w:val="center"/>
              <w:rPr>
                <w:rFonts w:ascii="宋体" w:hAnsi="宋体" w:eastAsia="宋体" w:cs="宋体"/>
                <w:b/>
                <w:bCs/>
                <w:color w:val="000000"/>
                <w:kern w:val="0"/>
                <w:szCs w:val="21"/>
                <w:lang w:bidi="ar"/>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8.集成数字功放，功率≥350W；支持定压方式输出</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noWrap/>
            <w:vAlign w:val="center"/>
          </w:tcPr>
          <w:p>
            <w:pPr>
              <w:jc w:val="center"/>
              <w:rPr>
                <w:rFonts w:ascii="宋体" w:hAnsi="宋体" w:eastAsia="宋体" w:cs="宋体"/>
                <w:b/>
                <w:bCs/>
                <w:color w:val="000000"/>
                <w:kern w:val="0"/>
                <w:szCs w:val="21"/>
                <w:lang w:bidi="ar"/>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9.支持通过后台软件对终端进行远程固件升级</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noWrap/>
            <w:vAlign w:val="center"/>
          </w:tcPr>
          <w:p>
            <w:pPr>
              <w:jc w:val="center"/>
              <w:rPr>
                <w:rFonts w:ascii="宋体" w:hAnsi="宋体" w:eastAsia="宋体" w:cs="宋体"/>
                <w:b/>
                <w:bCs/>
                <w:color w:val="000000"/>
                <w:kern w:val="0"/>
                <w:szCs w:val="21"/>
                <w:lang w:bidi="ar"/>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10.具有≥1路RJ45网络接口，≥100Mbps传输速率</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b/>
                <w:bCs/>
                <w:color w:val="000000"/>
                <w:kern w:val="0"/>
                <w:szCs w:val="21"/>
                <w:lang w:bidi="ar"/>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right" w:pos="4601"/>
              </w:tabs>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▲11.设备内置有主备切换检测模块，在断网或断电的故障情况下，实现自动切换到100V定压备份通道，主备切换过程无卡顿、不掉字</w:t>
            </w:r>
          </w:p>
        </w:tc>
      </w:tr>
    </w:tbl>
    <w:p>
      <w:pPr>
        <w:rPr>
          <w:rFonts w:ascii="宋体" w:hAnsi="宋体" w:eastAsia="宋体" w:cs="宋体"/>
          <w:szCs w:val="21"/>
        </w:rPr>
      </w:pPr>
      <w:r>
        <w:rPr>
          <w:rFonts w:hint="eastAsia" w:ascii="宋体" w:hAnsi="宋体" w:eastAsia="宋体" w:cs="宋体"/>
          <w:b/>
          <w:bCs/>
          <w:szCs w:val="21"/>
        </w:rPr>
        <w:t>附件9：</w:t>
      </w:r>
      <w:r>
        <w:rPr>
          <w:rStyle w:val="46"/>
          <w:sz w:val="21"/>
          <w:szCs w:val="21"/>
          <w:lang w:bidi="ar"/>
        </w:rPr>
        <w:t>IP网络功放终端500W</w:t>
      </w:r>
    </w:p>
    <w:tbl>
      <w:tblPr>
        <w:tblStyle w:val="11"/>
        <w:tblW w:w="4866" w:type="pct"/>
        <w:jc w:val="center"/>
        <w:tblLayout w:type="autofit"/>
        <w:tblCellMar>
          <w:top w:w="0" w:type="dxa"/>
          <w:left w:w="108" w:type="dxa"/>
          <w:bottom w:w="0" w:type="dxa"/>
          <w:right w:w="108" w:type="dxa"/>
        </w:tblCellMar>
      </w:tblPr>
      <w:tblGrid>
        <w:gridCol w:w="835"/>
        <w:gridCol w:w="8202"/>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kern w:val="0"/>
                <w:szCs w:val="21"/>
                <w:lang w:bidi="ar"/>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IP网络功放终端500W</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1.设备采用标准≥19英寸机架设计，带有LCD显示屏</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2.内置≥1路网络硬件音频解码模块</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3.支持≥1路线路输入和≥1路话筒输入接口，可独立调节音量</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4.支持高低音调节电位器控制</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5.具有≥1路EMC输入接口，具有最高优先级</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6.具有≥1路音频输出接口</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7.具有≥1路三线制强切输出接口，无需强切电源</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8.集成数字功放，功率≥500W；支持定压方式输出</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9.支持通过后台软件对终端进行远程固件升级</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10.具有≥1路RJ45网络接口，≥100Mbps传输速率</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right" w:pos="4601"/>
              </w:tabs>
              <w:rPr>
                <w:rFonts w:ascii="宋体" w:hAnsi="宋体" w:eastAsia="宋体" w:cs="宋体"/>
                <w:color w:val="000000"/>
                <w:kern w:val="0"/>
                <w:szCs w:val="21"/>
                <w:lang w:bidi="ar"/>
              </w:rPr>
            </w:pPr>
            <w:r>
              <w:rPr>
                <w:rFonts w:hint="eastAsia" w:ascii="宋体" w:hAnsi="宋体" w:eastAsia="宋体" w:cs="宋体"/>
                <w:color w:val="000000"/>
                <w:kern w:val="0"/>
                <w:szCs w:val="21"/>
                <w:lang w:bidi="ar"/>
              </w:rPr>
              <w:t>▲11.设备内置有主备切换检测模块，在断网或断电的故障情况下，实现自动切换到100V定压备份通道，主备切换过程无卡顿、不掉字</w:t>
            </w:r>
          </w:p>
        </w:tc>
      </w:tr>
    </w:tbl>
    <w:p>
      <w:pPr>
        <w:rPr>
          <w:rFonts w:ascii="宋体" w:hAnsi="宋体" w:eastAsia="宋体" w:cs="宋体"/>
          <w:szCs w:val="21"/>
        </w:rPr>
      </w:pPr>
      <w:r>
        <w:rPr>
          <w:rFonts w:hint="eastAsia" w:ascii="宋体" w:hAnsi="宋体" w:eastAsia="宋体" w:cs="宋体"/>
          <w:b/>
          <w:bCs/>
          <w:szCs w:val="21"/>
        </w:rPr>
        <w:t>附件10：</w:t>
      </w:r>
      <w:r>
        <w:rPr>
          <w:rStyle w:val="46"/>
          <w:sz w:val="21"/>
          <w:szCs w:val="21"/>
          <w:lang w:bidi="ar"/>
        </w:rPr>
        <w:t>抑制器</w:t>
      </w:r>
    </w:p>
    <w:tbl>
      <w:tblPr>
        <w:tblStyle w:val="11"/>
        <w:tblW w:w="4866" w:type="pct"/>
        <w:jc w:val="center"/>
        <w:tblLayout w:type="autofit"/>
        <w:tblCellMar>
          <w:top w:w="0" w:type="dxa"/>
          <w:left w:w="108" w:type="dxa"/>
          <w:bottom w:w="0" w:type="dxa"/>
          <w:right w:w="108" w:type="dxa"/>
        </w:tblCellMar>
      </w:tblPr>
      <w:tblGrid>
        <w:gridCol w:w="835"/>
        <w:gridCol w:w="8202"/>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抑制器</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1.高性能DSP处理，≥40-bit DPS处理器（400兆主频），提供≥32-bit/48kHz的声音</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▲2.采用“陷波”+“移频”双方式进行反馈抑制。陷波器提供12固定点+12动态点。高精度移频，范围≥-10Hz到10Hz</w:t>
            </w:r>
            <w:r>
              <w:rPr>
                <w:rFonts w:hint="eastAsia" w:ascii="宋体" w:hAnsi="宋体" w:eastAsia="宋体" w:cs="宋体"/>
                <w:szCs w:val="21"/>
                <w:shd w:val="clear" w:color="auto" w:fill="BEBEBE" w:themeFill="background1" w:themeFillShade="BF"/>
              </w:rPr>
              <w:t>（响应文件中提供功能界面截图）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▲3.均衡器支持≥31段图示均衡器和8段参量均衡器</w:t>
            </w:r>
            <w:r>
              <w:rPr>
                <w:rFonts w:hint="eastAsia" w:ascii="宋体" w:hAnsi="宋体" w:eastAsia="宋体" w:cs="宋体"/>
                <w:szCs w:val="21"/>
                <w:shd w:val="clear" w:color="auto" w:fill="BEBEBE" w:themeFill="background1" w:themeFillShade="BF"/>
              </w:rPr>
              <w:t>（响应文件中提供功能界面截图）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4.分频器支持巴特沃斯，贝塞尔，林克威治-瑞利三种类型及多种倍频程</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5.具有一个IPS真彩显示屏。支持中英文切换显示</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6.具有≥48个陷波器状态LED指示灯实时显示，每通道≥12个静态+≥12个动态陷波器</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7.具有双通道直通，一键重置陷波点配置功能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8.支持≥4个场景切换</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9.支持设备定位功能、断电自动保护记忆功能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10.输入通道及插座≥2路XLR与TRS多功能座模拟输入；输出通道及插座≥2路XLR公座+≥2路TRS公座模拟输出</w:t>
            </w:r>
          </w:p>
        </w:tc>
      </w:tr>
    </w:tbl>
    <w:p>
      <w:pPr>
        <w:rPr>
          <w:rFonts w:ascii="宋体" w:hAnsi="宋体" w:eastAsia="宋体" w:cs="宋体"/>
          <w:szCs w:val="21"/>
        </w:rPr>
      </w:pPr>
      <w:r>
        <w:rPr>
          <w:rFonts w:hint="eastAsia" w:ascii="宋体" w:hAnsi="宋体" w:eastAsia="宋体" w:cs="宋体"/>
          <w:b/>
          <w:bCs/>
          <w:szCs w:val="21"/>
        </w:rPr>
        <w:t>附件11：</w:t>
      </w:r>
      <w:r>
        <w:rPr>
          <w:rStyle w:val="46"/>
          <w:sz w:val="21"/>
          <w:szCs w:val="21"/>
          <w:lang w:bidi="ar"/>
        </w:rPr>
        <w:t>无线话筒</w:t>
      </w:r>
    </w:p>
    <w:tbl>
      <w:tblPr>
        <w:tblStyle w:val="11"/>
        <w:tblW w:w="4866" w:type="pct"/>
        <w:jc w:val="center"/>
        <w:tblLayout w:type="autofit"/>
        <w:tblCellMar>
          <w:top w:w="0" w:type="dxa"/>
          <w:left w:w="108" w:type="dxa"/>
          <w:bottom w:w="0" w:type="dxa"/>
          <w:right w:w="108" w:type="dxa"/>
        </w:tblCellMar>
      </w:tblPr>
      <w:tblGrid>
        <w:gridCol w:w="835"/>
        <w:gridCol w:w="8202"/>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无线话筒</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1.频率指标不低于：支持470-510MHz、540-590MHz、640-690MHz、807-830MHz</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2.配套有≥1台接收主机和≥2个无线手持话筒</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采用UHF超高频段双真分集接收，并采用PLL锁相环多信道频率合成技术；V/A显示屏在任何角度观察字体清晰同时显示信道号与工作频率。红外对频功能，能方便、快捷的使发射机与接收机频率同步，超强的抗干扰能力，能有效抑制由外部带来的噪音干扰及同频干扰</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4.带≥8级射频电平显示，≥8级音频电平显示，频道菜单显示，静音显示；具有SCAN自动扫频功能，使用前按SET功能键自动找一个环境最干净的频点处停下来，此频率作为接收机的使用频率</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5.平衡和非平衡两种选择输出端口，适应不同的设备连接需求</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6.接收机指标：采用二次变频超外差的接收机方式，灵敏度：≥12dB μV（80dBS/N），灵敏度调节范围：≥12-32dB μV，频率响应不低于：80Hz-18KHz（±3dB）</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7.发射机指标：音头采用动圈式麦克风</w:t>
            </w:r>
          </w:p>
        </w:tc>
      </w:tr>
    </w:tbl>
    <w:p>
      <w:pPr>
        <w:rPr>
          <w:rFonts w:ascii="宋体" w:hAnsi="宋体" w:eastAsia="宋体" w:cs="宋体"/>
          <w:szCs w:val="21"/>
        </w:rPr>
      </w:pPr>
      <w:r>
        <w:rPr>
          <w:rFonts w:hint="eastAsia" w:ascii="宋体" w:hAnsi="宋体" w:eastAsia="宋体" w:cs="宋体"/>
          <w:b/>
          <w:bCs/>
          <w:szCs w:val="21"/>
        </w:rPr>
        <w:t>附件12：</w:t>
      </w:r>
      <w:r>
        <w:rPr>
          <w:rStyle w:val="46"/>
          <w:sz w:val="21"/>
          <w:szCs w:val="21"/>
          <w:lang w:bidi="ar"/>
        </w:rPr>
        <w:t>纯后级功放</w:t>
      </w:r>
    </w:p>
    <w:tbl>
      <w:tblPr>
        <w:tblStyle w:val="11"/>
        <w:tblW w:w="4866" w:type="pct"/>
        <w:jc w:val="center"/>
        <w:tblLayout w:type="autofit"/>
        <w:tblCellMar>
          <w:top w:w="0" w:type="dxa"/>
          <w:left w:w="108" w:type="dxa"/>
          <w:bottom w:w="0" w:type="dxa"/>
          <w:right w:w="108" w:type="dxa"/>
        </w:tblCellMar>
      </w:tblPr>
      <w:tblGrid>
        <w:gridCol w:w="835"/>
        <w:gridCol w:w="8202"/>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纯后级功放</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1.采用D类数字功放技术，功率放大电路设计</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2.额定输出功率：≥1000W</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3.具有管道式散热结构，内置自动温度控制风扇冷却系统</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4.具有≥1通道LINE不平衡TRS/XLR高品质多功能输入接口，≥1通道LINE平衡XLR级联输出</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5.内置PFC电路和软开关电源技术，开关机自动软启动控制</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6.功放电路，零交越失真</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7.内置智能削顶失真和过流压限系统，能保护扬声器单元</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8.具有过温、过压、欠压、过流、短路多重智能检测保护系统</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9.具有2种定阻和定压输出模式：4-16Ω/100V可选择</w:t>
            </w:r>
          </w:p>
        </w:tc>
      </w:tr>
    </w:tbl>
    <w:p>
      <w:pPr>
        <w:rPr>
          <w:rFonts w:ascii="宋体" w:hAnsi="宋体" w:eastAsia="宋体" w:cs="宋体"/>
          <w:b/>
          <w:bCs/>
          <w:szCs w:val="21"/>
        </w:rPr>
      </w:pPr>
      <w:r>
        <w:rPr>
          <w:rFonts w:hint="eastAsia" w:ascii="宋体" w:hAnsi="宋体" w:eastAsia="宋体" w:cs="宋体"/>
          <w:b/>
          <w:bCs/>
          <w:szCs w:val="21"/>
        </w:rPr>
        <w:t>附件13：</w:t>
      </w:r>
      <w:r>
        <w:rPr>
          <w:rStyle w:val="46"/>
          <w:sz w:val="21"/>
          <w:szCs w:val="21"/>
          <w:lang w:bidi="ar"/>
        </w:rPr>
        <w:t>室外AP</w:t>
      </w:r>
    </w:p>
    <w:tbl>
      <w:tblPr>
        <w:tblStyle w:val="11"/>
        <w:tblW w:w="4864" w:type="pct"/>
        <w:jc w:val="center"/>
        <w:tblLayout w:type="autofit"/>
        <w:tblCellMar>
          <w:top w:w="0" w:type="dxa"/>
          <w:left w:w="108" w:type="dxa"/>
          <w:bottom w:w="0" w:type="dxa"/>
          <w:right w:w="108" w:type="dxa"/>
        </w:tblCellMar>
      </w:tblPr>
      <w:tblGrid>
        <w:gridCol w:w="833"/>
        <w:gridCol w:w="8200"/>
      </w:tblGrid>
      <w:tr>
        <w:tblPrEx>
          <w:tblCellMar>
            <w:top w:w="0" w:type="dxa"/>
            <w:left w:w="108" w:type="dxa"/>
            <w:bottom w:w="0" w:type="dxa"/>
            <w:right w:w="108" w:type="dxa"/>
          </w:tblCellMar>
        </w:tblPrEx>
        <w:trPr>
          <w:trHeight w:val="397" w:hRule="atLeast"/>
          <w:jc w:val="center"/>
        </w:trPr>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名称</w:t>
            </w: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室外AP</w:t>
            </w: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★1.支持802.11ax协议，兼容802.11a/b/g/n/ac/Wave2协议，支持2.4G和5G同时工作</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★2.支持2.4G2×2条流及5G2×2条流；2.4G最大传输速率≥570Mbps，5G最大传输速率≥1200Mbps，整机最大传输速率≥1.7Gbps；千兆以太网口≥2个，千兆SFP光口≥1个</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3.支持内置定向天线，无需外接天线即可实现远距离覆盖</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4.支持802.3at标准的PoE供电</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5.AP满负荷工作功耗≤25W</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6.IP防护等级≥68</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7.单射频接入人数≥128，整机最大接入人数≥1024</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▲8.无线AP支持联动安全策略，通过安全策略可以实现对疑似感染病毒或已感染病毒的无线客户端进行识别、监控与隔离等多种方式的处理</w:t>
            </w:r>
            <w:r>
              <w:rPr>
                <w:rFonts w:hint="eastAsia" w:ascii="宋体" w:hAnsi="宋体" w:eastAsia="宋体" w:cs="宋体"/>
                <w:szCs w:val="21"/>
                <w:shd w:val="clear" w:color="auto" w:fill="BEBEBE" w:themeFill="background1" w:themeFillShade="BF"/>
              </w:rPr>
              <w:t>（响应文件中提供功能截图）</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9.支持无线带宽平均分配，让不同协商速率的终端占用相等的无线信道时间，防止低速终端拉低网络整体速率</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▲10.支持将FitAP切换成网关模式（非FatAP模式），支持PPPoE拨号、静态IP、DHCP三种上网方式</w:t>
            </w:r>
            <w:r>
              <w:rPr>
                <w:rFonts w:hint="eastAsia" w:ascii="宋体" w:hAnsi="宋体" w:eastAsia="宋体" w:cs="宋体"/>
                <w:szCs w:val="21"/>
                <w:shd w:val="clear" w:color="auto" w:fill="BEBEBE" w:themeFill="background1" w:themeFillShade="BF"/>
              </w:rPr>
              <w:t>（响应文件中提供功能配置截图）</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11.支持逃生模式，AP与管理端连接中断后，原有用户在线、新用户正常接入，业务不中断</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★12.需连接教育局电教化中心AC控制器平台，有教育局统一管理认证，实现认证一次就能自动加入全市范围内建设有无线的学校校园网络</w:t>
            </w:r>
          </w:p>
        </w:tc>
      </w:tr>
    </w:tbl>
    <w:p>
      <w:pPr>
        <w:rPr>
          <w:rFonts w:ascii="宋体" w:hAnsi="宋体" w:eastAsia="宋体" w:cs="宋体"/>
          <w:szCs w:val="21"/>
        </w:rPr>
      </w:pPr>
      <w:r>
        <w:rPr>
          <w:rFonts w:hint="eastAsia" w:ascii="宋体" w:hAnsi="宋体" w:eastAsia="宋体" w:cs="宋体"/>
          <w:b/>
          <w:bCs/>
          <w:szCs w:val="21"/>
        </w:rPr>
        <w:t>附件14：</w:t>
      </w:r>
      <w:r>
        <w:rPr>
          <w:rStyle w:val="46"/>
          <w:sz w:val="21"/>
          <w:szCs w:val="21"/>
          <w:lang w:bidi="ar"/>
        </w:rPr>
        <w:t>高密AP</w:t>
      </w:r>
    </w:p>
    <w:tbl>
      <w:tblPr>
        <w:tblStyle w:val="11"/>
        <w:tblW w:w="4866" w:type="pct"/>
        <w:jc w:val="center"/>
        <w:tblLayout w:type="autofit"/>
        <w:tblCellMar>
          <w:top w:w="0" w:type="dxa"/>
          <w:left w:w="108" w:type="dxa"/>
          <w:bottom w:w="0" w:type="dxa"/>
          <w:right w:w="108" w:type="dxa"/>
        </w:tblCellMar>
      </w:tblPr>
      <w:tblGrid>
        <w:gridCol w:w="835"/>
        <w:gridCol w:w="8202"/>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高密AP</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szCs w:val="21"/>
              </w:rPr>
            </w:pPr>
            <w:r>
              <w:rPr>
                <w:rFonts w:hint="eastAsia" w:ascii="宋体" w:hAnsi="宋体" w:eastAsia="宋体" w:cs="宋体"/>
                <w:szCs w:val="21"/>
              </w:rPr>
              <w:t>★1.支持802.11ax协议，兼容802.11a/b/g/n/ac协议，支持2.4G和5G同时工作，为保障无线网络体验，要求2.4G和5G射频最高支持802.11ax协议</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2.整机最大传输速率≥2.6Gbps</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3.千兆以太网口≥1个，USB接口≥1个</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4.内置智能天线</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5.支持802.3at标准的PoE供电和本地电源适配器供电两种方式，满负荷工作功耗≤20W</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▲6.整机支持最大200台无线终端同时接入进行流畅视频点播</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7.支持虚拟AP技术，单射频SSID数量≥16，整机≥32</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▲8.支持对无线网络提供的服务进行检测，包括网络接入、DHCP、网关、DNS、网络地址等阶段的时延和质量检测，并以时光轴的方式进行展示具体时间点的检测情况</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▲9.支持自定义配置网络质量指标阈值，包括网络地址、接入时间、DHCP请求时间、DNS解析平均时延、网关平均时延、网络丢包率等</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10.支持显示每个802.11干扰源的详细情况，包括BSSID、SSID、厂商、信号强度等信息，以方便对干扰源进行处理</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▲11.支持WIPS/防钓鱼WIFI，要求采用独立射频（非用户连接射频）对非法接入点进行实时检测、告警及反制，过程中不影响用户正常网络接入</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12.支持监控内部员工接入非信任无线网络的行为并产生告警日志，支持设置只针对内部员工进行反制，避免错误反制非内部员工引发不必要的纠纷</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▲13.无线AP支持与外部防火墙、行为管理进行安全联动，能够通过外部防火墙、行为管理设备管理本系统用户</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▲14.无线AP支持东西向流量安全管控，可以实现记录内网终端流量访问路径、识别异常终端访问行为、呈现全网异常访问趋势、下发策略阻断风险终端访问动作的全周期东西向流量安全可视化管控</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15.支持基于特征和协议的射频优化，有效提升无线部署中高密度接入、流媒体传输等场景中的应用加速能力和质量保障效果</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16.支持将FitAP切换成网关模式（非FatAP模式），支持PPPoE拨号、静态IP、DHCP三种上网方式</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▲17.由于AP部署在开放环境中，为保障设备受到外部机械碰撞仍可以保持结构完整、功能完备，要求所投室内无线接入点符合国标GB/T 20138-2006即《电气设备外壳对外界机械冲击的保护程度（IK代码）》标准，至少达到防护等级IK09</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18.支持逃生模式，AP与管理端连接中断后，原有用户在线、新用户正常接入，业务不中断</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★19.需连接教育局电教化中心AC控制器平台，有教育局统一管理认证，实现认证一次就能自动加入全市范围内建设有无线的学校校园网络</w:t>
            </w:r>
          </w:p>
        </w:tc>
      </w:tr>
    </w:tbl>
    <w:p>
      <w:pPr>
        <w:rPr>
          <w:rFonts w:ascii="宋体" w:hAnsi="宋体" w:eastAsia="宋体" w:cs="宋体"/>
          <w:szCs w:val="21"/>
        </w:rPr>
      </w:pPr>
      <w:r>
        <w:rPr>
          <w:rFonts w:hint="eastAsia" w:ascii="宋体" w:hAnsi="宋体" w:eastAsia="宋体" w:cs="宋体"/>
          <w:b/>
          <w:bCs/>
          <w:szCs w:val="21"/>
        </w:rPr>
        <w:t>附件15：</w:t>
      </w:r>
      <w:r>
        <w:rPr>
          <w:rStyle w:val="46"/>
          <w:sz w:val="21"/>
          <w:szCs w:val="21"/>
          <w:lang w:bidi="ar"/>
        </w:rPr>
        <w:t>24口千兆POE交换机</w:t>
      </w:r>
    </w:p>
    <w:tbl>
      <w:tblPr>
        <w:tblStyle w:val="11"/>
        <w:tblW w:w="4865" w:type="pct"/>
        <w:jc w:val="center"/>
        <w:tblLayout w:type="autofit"/>
        <w:tblCellMar>
          <w:top w:w="0" w:type="dxa"/>
          <w:left w:w="108" w:type="dxa"/>
          <w:bottom w:w="0" w:type="dxa"/>
          <w:right w:w="108" w:type="dxa"/>
        </w:tblCellMar>
      </w:tblPr>
      <w:tblGrid>
        <w:gridCol w:w="835"/>
        <w:gridCol w:w="8200"/>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24口千兆POE交换机</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1.固化10/100/1000M以太网电口≥24，100/1000M SFP千兆光接口≥4个，10/100/1000M复用电口≥2个</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2.交换容量≥336Gbps</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3.包转发率≥42Mpps</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4.要求所投产品支持POE和POE+远程供电，POE供电功率为370W</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▲5.为保证设备在受到外界机械碰撞时能够正常运行，要求所投交换机IK防护测试级别至少达到IK05</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6.投标产品面板自带一键查看POE供电状态功能的POE按钮，轻按即可查看设备当前的通信状态和供电状态</w:t>
            </w:r>
            <w:r>
              <w:rPr>
                <w:rFonts w:hint="eastAsia" w:ascii="宋体" w:hAnsi="宋体" w:eastAsia="宋体" w:cs="宋体"/>
                <w:kern w:val="0"/>
                <w:szCs w:val="21"/>
                <w:shd w:val="clear" w:color="auto" w:fill="BEBEBE" w:themeFill="background1" w:themeFillShade="BF"/>
              </w:rPr>
              <w:t>（响应文件中提供实物照片）</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7.工作温度-5°-55°</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8.要求所投产品端口浪涌抗扰度≥8KV（即具备8KV的防雷能力）</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9.支持专门针对CPU的保护机制，能够针对发往CPU处理的各种报文进行流区分和优先级队列分级处理，保护交换机在各种环境下稳定工作</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10.符合国家低碳环保等政策要求，支持IEEE 802.3az标准的EEE节能技术</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11.支持生成树协议STP（IEEE 802.1d），RSTP（IEEE 802.1w）和MSTP（IEEE 802.1s），完全保证快速收敛，提高容错能力，保证网络的稳定运行和链路的负载均衡，合理使用网络通道，提供冗余链路利用率</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12.支持快速以太网链路检测协议，可快速检测链路的通断和光纤链路的单向性，并支持端口下的环路检测功能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13.支持SNMP、CLI（Telnet/Console）、Syslog、NTP、TFTP、Web</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14.要求所投设备遵守国家标准的设计规则</w:t>
            </w:r>
          </w:p>
        </w:tc>
      </w:tr>
    </w:tbl>
    <w:p>
      <w:pPr>
        <w:rPr>
          <w:rFonts w:ascii="宋体" w:hAnsi="宋体" w:eastAsia="宋体" w:cs="宋体"/>
          <w:szCs w:val="21"/>
        </w:rPr>
      </w:pPr>
      <w:r>
        <w:rPr>
          <w:rFonts w:hint="eastAsia" w:ascii="宋体" w:hAnsi="宋体" w:eastAsia="宋体" w:cs="宋体"/>
          <w:b/>
          <w:bCs/>
          <w:szCs w:val="21"/>
        </w:rPr>
        <w:t>附件16：</w:t>
      </w:r>
      <w:r>
        <w:rPr>
          <w:rStyle w:val="46"/>
          <w:sz w:val="21"/>
          <w:szCs w:val="21"/>
          <w:lang w:bidi="ar"/>
        </w:rPr>
        <w:t>万兆安防核心交换机</w:t>
      </w:r>
    </w:p>
    <w:tbl>
      <w:tblPr>
        <w:tblStyle w:val="11"/>
        <w:tblW w:w="4866" w:type="pct"/>
        <w:jc w:val="center"/>
        <w:tblLayout w:type="autofit"/>
        <w:tblCellMar>
          <w:top w:w="0" w:type="dxa"/>
          <w:left w:w="108" w:type="dxa"/>
          <w:bottom w:w="0" w:type="dxa"/>
          <w:right w:w="108" w:type="dxa"/>
        </w:tblCellMar>
      </w:tblPr>
      <w:tblGrid>
        <w:gridCol w:w="835"/>
        <w:gridCol w:w="8202"/>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万兆安防核心交换机</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1.交换容量≥672Gbps</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2.转发性能≥228Mpps，如官网以X/Y形式表述则以其中最小值为准</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▲3.固化100/1000M SFP光接口≥24，10G/1G SFP+光接口≥4个</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4.支持并实配可拔插双模块化电源，实现1+1冗余</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5.为保证设备在受到外界机械碰撞时能够正常运行，要求所投交换机IK防护测试级别至少达到IK05</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6.要求所投产品端口浪涌抗扰度≥10KV，即具备10KV的防雷能力</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7.支持静态路由、RIP/RIPng、OSPFv2/OSPFv3等三层路由协议</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8.支持CPU保护功能，能限制非法报文对CPU的攻击，保护交换机在各种环境下稳定工作</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▲9.支持专门基础网络保护机制，能够限制用户向网络中发送数据包的速率，对有攻击行为的用户进行隔离，保证设备和整网的安全稳定运行</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10.支持快速以太网链路检测协议，可快速检测链路的通断和光纤链路的单向性，并支持端口下的环路检测功能</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11.支持虚拟化功能，可将多台物理设备虚拟化为一台逻辑设备统一管理，并且链路故障的收敛时间最快50ms</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r>
              <w:rPr>
                <w:rFonts w:ascii="宋体" w:hAnsi="宋体" w:eastAsia="宋体" w:cs="宋体"/>
                <w:color w:val="000000"/>
                <w:kern w:val="0"/>
                <w:szCs w:val="21"/>
                <w:lang w:bidi="ar"/>
              </w:rPr>
              <w:t>2</w:t>
            </w:r>
            <w:r>
              <w:rPr>
                <w:rFonts w:hint="eastAsia" w:ascii="宋体" w:hAnsi="宋体" w:eastAsia="宋体" w:cs="宋体"/>
                <w:color w:val="000000"/>
                <w:kern w:val="0"/>
                <w:szCs w:val="21"/>
                <w:lang w:bidi="ar"/>
              </w:rPr>
              <w:t>.支持SNMP、CLI（Telnet/Console）、RMON、SSH、Syslog、NTP/SNTP、FTP、TFTP、Web</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FF0000"/>
                <w:szCs w:val="21"/>
              </w:rPr>
            </w:pPr>
            <w:r>
              <w:rPr>
                <w:rFonts w:hint="eastAsia" w:ascii="宋体" w:hAnsi="宋体" w:eastAsia="宋体" w:cs="宋体"/>
                <w:kern w:val="0"/>
                <w:szCs w:val="21"/>
                <w:lang w:bidi="ar"/>
              </w:rPr>
              <w:t>1</w:t>
            </w:r>
            <w:r>
              <w:rPr>
                <w:rFonts w:ascii="宋体" w:hAnsi="宋体" w:eastAsia="宋体" w:cs="宋体"/>
                <w:kern w:val="0"/>
                <w:szCs w:val="21"/>
                <w:lang w:bidi="ar"/>
              </w:rPr>
              <w:t>3</w:t>
            </w:r>
            <w:r>
              <w:rPr>
                <w:rFonts w:hint="eastAsia" w:ascii="宋体" w:hAnsi="宋体" w:eastAsia="宋体" w:cs="宋体"/>
                <w:kern w:val="0"/>
                <w:szCs w:val="21"/>
                <w:lang w:bidi="ar"/>
              </w:rPr>
              <w:t>.150W交流电源模块×2，支持1+1电源冗余</w:t>
            </w:r>
          </w:p>
        </w:tc>
      </w:tr>
    </w:tbl>
    <w:p>
      <w:pPr>
        <w:rPr>
          <w:rFonts w:ascii="宋体" w:hAnsi="宋体" w:eastAsia="宋体" w:cs="宋体"/>
          <w:szCs w:val="21"/>
        </w:rPr>
      </w:pPr>
      <w:r>
        <w:rPr>
          <w:rFonts w:hint="eastAsia" w:ascii="宋体" w:hAnsi="宋体" w:eastAsia="宋体" w:cs="宋体"/>
          <w:b/>
          <w:bCs/>
          <w:szCs w:val="21"/>
        </w:rPr>
        <w:t>附件17：</w:t>
      </w:r>
      <w:r>
        <w:rPr>
          <w:rStyle w:val="46"/>
          <w:sz w:val="21"/>
          <w:szCs w:val="21"/>
          <w:lang w:bidi="ar"/>
        </w:rPr>
        <w:t>安防24口千兆POE交换机</w:t>
      </w:r>
    </w:p>
    <w:tbl>
      <w:tblPr>
        <w:tblStyle w:val="11"/>
        <w:tblW w:w="4865" w:type="pct"/>
        <w:jc w:val="center"/>
        <w:tblLayout w:type="autofit"/>
        <w:tblCellMar>
          <w:top w:w="0" w:type="dxa"/>
          <w:left w:w="108" w:type="dxa"/>
          <w:bottom w:w="0" w:type="dxa"/>
          <w:right w:w="108" w:type="dxa"/>
        </w:tblCellMar>
      </w:tblPr>
      <w:tblGrid>
        <w:gridCol w:w="835"/>
        <w:gridCol w:w="8200"/>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FF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安防24口千兆POE交换机</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1.固化10/100/1000M以太网电口≥24，100/1000M SFP千兆光接口≥4个，10/100/1000M复用电口≥2个</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2.交换容量≥336Gbps</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3.包转发率≥42Mpps</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4.要求所投产品支持POE和POE+远程供电，POE供电功率为370W</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▲5.为保证设备在受到外界机械碰撞时能够正常运行，要求所投交换机IK防护测试级别至少达到IK05</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6.投标产品面板自带一键查看PoE供电状态功能的PoE按钮，轻按即可查看设备当前的通信状态和供电状态</w:t>
            </w:r>
            <w:r>
              <w:rPr>
                <w:rFonts w:hint="eastAsia" w:ascii="宋体" w:hAnsi="宋体" w:eastAsia="宋体" w:cs="宋体"/>
                <w:kern w:val="0"/>
                <w:szCs w:val="21"/>
                <w:shd w:val="clear" w:color="auto" w:fill="BEBEBE" w:themeFill="background1" w:themeFillShade="BF"/>
              </w:rPr>
              <w:t>（响应文件中提供所投产品实物照片）</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7.工作温度-5°-55°</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8.要求所投产品端口浪涌抗扰度≥8KV（即具备8KV的防雷能力）</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9.支持专门针对CPU的保护机制，能够针对发往CPU处理的各种报文进行流区分和优先级队列分级处理，保护交换机在各种环境下稳定工作</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10.符合国家低碳环保等政策要求，支持IEEE 802.3az标准的EEE节能技术</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11.支持生成树协议STP（IEEE 802.1d），RSTP（IEEE 802.1w）和MSTP（IEEE 802.1s），完全保证快速收敛，提高容错能力，保证网络的稳定运行和链路的负载均衡，合理使用网络通道，提供冗余链路利用率</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12.支持快速以太网链路检测协议，可快速检测链路的通断和光纤链路的单向性，并支持端口下的环路检测功能，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13.支持SNMP、CLI（Telnet/Console）、Syslog、NTP、TFTP、Web</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14.要求所投设备遵守国家标准的设计规则</w:t>
            </w:r>
          </w:p>
        </w:tc>
      </w:tr>
    </w:tbl>
    <w:p>
      <w:pPr>
        <w:rPr>
          <w:rFonts w:ascii="宋体" w:hAnsi="宋体" w:eastAsia="宋体" w:cs="宋体"/>
          <w:szCs w:val="21"/>
        </w:rPr>
      </w:pPr>
      <w:r>
        <w:rPr>
          <w:rFonts w:hint="eastAsia" w:ascii="宋体" w:hAnsi="宋体" w:eastAsia="宋体" w:cs="宋体"/>
          <w:b/>
          <w:bCs/>
          <w:szCs w:val="21"/>
        </w:rPr>
        <w:t>附件18：</w:t>
      </w:r>
      <w:r>
        <w:rPr>
          <w:rStyle w:val="46"/>
          <w:sz w:val="21"/>
          <w:szCs w:val="21"/>
          <w:lang w:bidi="ar"/>
        </w:rPr>
        <w:t>安防48口千兆POE交换机</w:t>
      </w:r>
    </w:p>
    <w:tbl>
      <w:tblPr>
        <w:tblStyle w:val="11"/>
        <w:tblW w:w="4865" w:type="pct"/>
        <w:jc w:val="center"/>
        <w:tblLayout w:type="autofit"/>
        <w:tblCellMar>
          <w:top w:w="0" w:type="dxa"/>
          <w:left w:w="108" w:type="dxa"/>
          <w:bottom w:w="0" w:type="dxa"/>
          <w:right w:w="108" w:type="dxa"/>
        </w:tblCellMar>
      </w:tblPr>
      <w:tblGrid>
        <w:gridCol w:w="835"/>
        <w:gridCol w:w="8200"/>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安防48口千兆POE交换机</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★1.交换容量≥432G</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★2.包转发率≥144Mpps</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3.固化10/100/1000M以太网端口≥48，SFP复用口≥2个，10G/1G SFP+光接口≥2个</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★4.支持扩展槽位≥2个</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★5.支持双模块化可热插拔电源，，配置一个电源模块</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6.所投产品面板自带一键查看PoE供电状态功能的按钮，轻按即可查看设备当前的通信状态和供电状态</w:t>
            </w:r>
            <w:r>
              <w:rPr>
                <w:rFonts w:hint="eastAsia" w:ascii="宋体" w:hAnsi="宋体" w:eastAsia="宋体" w:cs="宋体"/>
                <w:kern w:val="0"/>
                <w:szCs w:val="21"/>
                <w:shd w:val="clear" w:color="auto" w:fill="BEBEBE" w:themeFill="background1" w:themeFillShade="BF"/>
              </w:rPr>
              <w:t>（响应文件中提供实物照片）</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7.支持生成树协议STP（IEEE 802.1d），RSTP（IEEE 802.1w）和MSTP（IEEE 802.1s），完全保证快速收敛，提高容错能力，保证网络的稳定运行和链路的负载均衡，合理使用网络通道，提供冗余链路利用率</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8.支持IPV4/IPV6静态路由</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9.支持特有的CPU保护策略，对发往CPU的数据流，进行流区分和优先级队列分级处理，并根据需要实施带宽限速，充分保护CPU不被非法流量占用、恶意攻击和资源消耗</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10.支持基础网络保护策略，限制用户向网络中发送ARP报文、ICMP请求报文、DHCP请求报文的数率，对超过限速阈值的报文进行丢弃处理，能够识别攻击行为，对有攻击行为的用户进行隔离</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11.支持快速链路检测协议，可快速检测链路的通断和光纤链路的单向性，并支持端口下的环路检测功能，防止端口下因私接Hub等设备形成的环路而导致网络故障的现象</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12.设备自带云管理功能，即插即用，可随时查看网络健康度，告警及时推送，有日记事件供回溯</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13.要求所投设备遵守国家标准的设计规则</w:t>
            </w:r>
          </w:p>
        </w:tc>
      </w:tr>
    </w:tbl>
    <w:p>
      <w:pPr>
        <w:rPr>
          <w:rFonts w:ascii="宋体" w:hAnsi="宋体" w:eastAsia="宋体" w:cs="宋体"/>
          <w:szCs w:val="21"/>
        </w:rPr>
      </w:pPr>
      <w:r>
        <w:rPr>
          <w:rFonts w:hint="eastAsia" w:ascii="宋体" w:hAnsi="宋体" w:eastAsia="宋体" w:cs="宋体"/>
          <w:b/>
          <w:bCs/>
          <w:szCs w:val="21"/>
        </w:rPr>
        <w:t>附件19：</w:t>
      </w:r>
      <w:r>
        <w:rPr>
          <w:rStyle w:val="46"/>
          <w:color w:val="auto"/>
          <w:sz w:val="21"/>
          <w:szCs w:val="21"/>
          <w:lang w:bidi="ar"/>
        </w:rPr>
        <w:t>广播24口千兆交换机</w:t>
      </w:r>
    </w:p>
    <w:tbl>
      <w:tblPr>
        <w:tblStyle w:val="11"/>
        <w:tblW w:w="4867" w:type="pct"/>
        <w:jc w:val="center"/>
        <w:tblLayout w:type="autofit"/>
        <w:tblCellMar>
          <w:top w:w="0" w:type="dxa"/>
          <w:left w:w="108" w:type="dxa"/>
          <w:bottom w:w="0" w:type="dxa"/>
          <w:right w:w="108" w:type="dxa"/>
        </w:tblCellMar>
      </w:tblPr>
      <w:tblGrid>
        <w:gridCol w:w="835"/>
        <w:gridCol w:w="8204"/>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szCs w:val="21"/>
              </w:rPr>
            </w:pPr>
            <w:r>
              <w:rPr>
                <w:rStyle w:val="46"/>
                <w:color w:val="auto"/>
                <w:sz w:val="21"/>
                <w:szCs w:val="21"/>
                <w:lang w:bidi="ar"/>
              </w:rPr>
              <w:t>广播24口千兆交换机</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szCs w:val="21"/>
              </w:rPr>
            </w:pPr>
            <w:r>
              <w:rPr>
                <w:rFonts w:hint="eastAsia" w:ascii="宋体" w:hAnsi="宋体" w:eastAsia="宋体" w:cs="宋体"/>
                <w:kern w:val="0"/>
                <w:szCs w:val="21"/>
                <w:lang w:bidi="ar"/>
              </w:rPr>
              <w:t>1.固化10/100/1000M以太网电口≥24，100/1000M SFP千兆光接口≥4个，10/100/1000M复用电口≥2个</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szCs w:val="21"/>
              </w:rPr>
            </w:pPr>
            <w:r>
              <w:rPr>
                <w:rFonts w:hint="eastAsia" w:ascii="宋体" w:hAnsi="宋体" w:eastAsia="宋体" w:cs="宋体"/>
                <w:kern w:val="0"/>
                <w:szCs w:val="21"/>
                <w:lang w:bidi="ar"/>
              </w:rPr>
              <w:t>2.交换容量≥336Gbps</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szCs w:val="21"/>
              </w:rPr>
            </w:pPr>
            <w:r>
              <w:rPr>
                <w:rFonts w:hint="eastAsia" w:ascii="宋体" w:hAnsi="宋体" w:eastAsia="宋体" w:cs="宋体"/>
                <w:kern w:val="0"/>
                <w:szCs w:val="21"/>
                <w:lang w:bidi="ar"/>
              </w:rPr>
              <w:t>3.包转发率≥42Mpps</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szCs w:val="21"/>
              </w:rPr>
            </w:pPr>
            <w:r>
              <w:rPr>
                <w:rFonts w:hint="eastAsia" w:ascii="宋体" w:hAnsi="宋体" w:eastAsia="宋体" w:cs="宋体"/>
                <w:kern w:val="0"/>
                <w:szCs w:val="21"/>
                <w:lang w:bidi="ar"/>
              </w:rPr>
              <w:t>4.要求设备采用静音无风扇节能设计</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szCs w:val="21"/>
              </w:rPr>
            </w:pPr>
            <w:r>
              <w:rPr>
                <w:rFonts w:hint="eastAsia" w:ascii="宋体" w:hAnsi="宋体" w:eastAsia="宋体" w:cs="宋体"/>
                <w:kern w:val="0"/>
                <w:szCs w:val="21"/>
                <w:lang w:bidi="ar"/>
              </w:rPr>
              <w:t>▲5.为保证设备在受到外界机械碰撞时能够正常运行，要求所投交换机IK防护测试级别至少达到IK05</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6.工作温度-5°-55°</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7.所投设备具有节能设计，功耗≤22W</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8.要求所投产品端口浪涌抗扰度≥10KV（即具备10KV的防雷能力）</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9.支持专门针对CPU的保护机制，能够针对发往CPU处理的各种报文进行流区分和优先级队列分级处理，保护交换机在各种环境下稳定工作</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10.符合国家低碳环保等政策要求，支持IEEE 802.3az标准的EEE节能技术</w:t>
            </w:r>
            <w:r>
              <w:rPr>
                <w:rFonts w:hint="eastAsia" w:ascii="宋体" w:hAnsi="宋体" w:eastAsia="宋体" w:cs="宋体"/>
                <w:kern w:val="0"/>
                <w:szCs w:val="21"/>
                <w:shd w:val="clear" w:color="auto" w:fill="BEBEBE" w:themeFill="background1" w:themeFillShade="BF"/>
              </w:rPr>
              <w:t>（响应文件中提供所投产品官网截图）</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11.支持生成树协议STP（IEEE 802.1d），RSTP（IEEE 802.1w）和MSTP（IEEE 802.1s），完全保证快速收敛，提高容错能力，保证网络的稳定运行和链路的负载均衡，合理使用网络通道，提供冗余链路利用率</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12.支持快速以太网链路检测协议，可快速检测链路的通断和光纤链路的单向性，并支持端口下的环路检测功能，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13.支持SNMP、CLI（Telnet/Console）、Syslog、NTP、TFTP、Web</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14.要求所投设备遵守国家标准的设计规则</w:t>
            </w:r>
          </w:p>
        </w:tc>
      </w:tr>
    </w:tbl>
    <w:p>
      <w:pPr>
        <w:rPr>
          <w:rFonts w:ascii="宋体" w:hAnsi="宋体" w:eastAsia="宋体" w:cs="宋体"/>
          <w:szCs w:val="21"/>
        </w:rPr>
      </w:pPr>
      <w:r>
        <w:rPr>
          <w:rFonts w:hint="eastAsia" w:ascii="宋体" w:hAnsi="宋体" w:eastAsia="宋体" w:cs="宋体"/>
          <w:b/>
          <w:bCs/>
          <w:szCs w:val="21"/>
        </w:rPr>
        <w:t>附件20：</w:t>
      </w:r>
      <w:r>
        <w:rPr>
          <w:rStyle w:val="46"/>
          <w:sz w:val="21"/>
          <w:szCs w:val="21"/>
          <w:lang w:bidi="ar"/>
        </w:rPr>
        <w:t>广播48口千兆交换机</w:t>
      </w:r>
    </w:p>
    <w:tbl>
      <w:tblPr>
        <w:tblStyle w:val="11"/>
        <w:tblW w:w="4865" w:type="pct"/>
        <w:jc w:val="center"/>
        <w:tblLayout w:type="autofit"/>
        <w:tblCellMar>
          <w:top w:w="0" w:type="dxa"/>
          <w:left w:w="108" w:type="dxa"/>
          <w:bottom w:w="0" w:type="dxa"/>
          <w:right w:w="108" w:type="dxa"/>
        </w:tblCellMar>
      </w:tblPr>
      <w:tblGrid>
        <w:gridCol w:w="835"/>
        <w:gridCol w:w="8200"/>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广播48口千兆交换机</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★1.交换容量≥432G</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★2.包转发率≥87Mpps</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3.固化10/100/1000M以太网端口≥48，固化1G SFP光接口≥4个；整机最大可用千兆口≥52</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▲4.为保证设备在受到外界机械碰撞时能够正常运行，要求所投交换机IK防护测试级别至少达到IK05</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5.要求所投设备MAC地址≥16K</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6.支持生成树协议STP（IEEE 802.1d），RSTP（IEEE 802.1w）和MSTP（IEEE 802.1s），完全保证快速收敛，提高容错能力，保证网络的稳定运行和链路的负载均衡，合理使用网络通道，提供冗余链路利用率</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7.支持IPV4/IPV6静态路由，RIP、RIPng</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8.支持特有的CPU保护策略，对发往CPU的数据流，进行流区分和优先级队列分级处理，并根据需要实施带宽限速，充分保护CPU不被非法流量占用、恶意攻击和资源消耗</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9.支持快速链路检测协议，可快速检测链路的通断和光纤链路的单向性，并支持端口下的环路检测功能，防止端口下因私接Hub等设备形成的环路而导致网络故障的现象</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10.设备自带云管理功能，即插即用，可随时查看网络健康度，告警及时推送，有日记事件供回溯</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11.要求所投设备遵守国家标准的设计规则</w:t>
            </w:r>
          </w:p>
        </w:tc>
      </w:tr>
    </w:tbl>
    <w:p>
      <w:pPr>
        <w:rPr>
          <w:rFonts w:ascii="宋体" w:hAnsi="宋体" w:eastAsia="宋体" w:cs="宋体"/>
          <w:b/>
          <w:bCs/>
          <w:szCs w:val="21"/>
        </w:rPr>
      </w:pPr>
      <w:r>
        <w:rPr>
          <w:rFonts w:hint="eastAsia" w:ascii="宋体" w:hAnsi="宋体" w:eastAsia="宋体" w:cs="宋体"/>
          <w:b/>
          <w:bCs/>
          <w:szCs w:val="21"/>
        </w:rPr>
        <w:t>附件21：</w:t>
      </w:r>
      <w:r>
        <w:rPr>
          <w:rStyle w:val="46"/>
          <w:sz w:val="21"/>
          <w:szCs w:val="21"/>
          <w:lang w:bidi="ar"/>
        </w:rPr>
        <w:t>红外枪机POE</w:t>
      </w:r>
    </w:p>
    <w:tbl>
      <w:tblPr>
        <w:tblStyle w:val="11"/>
        <w:tblW w:w="4866" w:type="pct"/>
        <w:jc w:val="center"/>
        <w:tblLayout w:type="autofit"/>
        <w:tblCellMar>
          <w:top w:w="0" w:type="dxa"/>
          <w:left w:w="108" w:type="dxa"/>
          <w:bottom w:w="0" w:type="dxa"/>
          <w:right w:w="108" w:type="dxa"/>
        </w:tblCellMar>
      </w:tblPr>
      <w:tblGrid>
        <w:gridCol w:w="835"/>
        <w:gridCol w:w="8202"/>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红外枪机POE</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1.采用高性能200万1/2.8英寸CMOS图像传感器，低照度效果好，图像清晰度高</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2.可输出200万（1920×1080）@30fps</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3.支持H.265编码，压缩比高，超低码流</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4.最大红外监控距离50米</w:t>
            </w:r>
          </w:p>
        </w:tc>
      </w:tr>
      <w:tr>
        <w:tblPrEx>
          <w:tblCellMar>
            <w:top w:w="0" w:type="dxa"/>
            <w:left w:w="108" w:type="dxa"/>
            <w:bottom w:w="0" w:type="dxa"/>
            <w:right w:w="108" w:type="dxa"/>
          </w:tblCellMar>
        </w:tblPrEx>
        <w:trPr>
          <w:trHeight w:val="90"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5.支持走廊模式，宽动态，3D降噪，强光抑制，背光补偿，数字水印，适用不同监控环境</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6.支持ROI，SMART H.264/H.265，灵活编码，适用不同带宽和存储环境</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7.内置MIC</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8.支持DC12V/POE供电方式，方便工程安装</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9.支持IP67防护等级</w:t>
            </w:r>
          </w:p>
        </w:tc>
      </w:tr>
    </w:tbl>
    <w:p>
      <w:pPr>
        <w:rPr>
          <w:rFonts w:ascii="宋体" w:hAnsi="宋体" w:eastAsia="宋体" w:cs="宋体"/>
          <w:szCs w:val="21"/>
        </w:rPr>
      </w:pPr>
      <w:r>
        <w:rPr>
          <w:rFonts w:hint="eastAsia" w:ascii="宋体" w:hAnsi="宋体" w:eastAsia="宋体" w:cs="宋体"/>
          <w:b/>
          <w:bCs/>
          <w:szCs w:val="21"/>
        </w:rPr>
        <w:t>附件22：</w:t>
      </w:r>
      <w:r>
        <w:rPr>
          <w:rStyle w:val="46"/>
          <w:sz w:val="21"/>
          <w:szCs w:val="21"/>
          <w:lang w:bidi="ar"/>
        </w:rPr>
        <w:t>1路高清解码器</w:t>
      </w:r>
    </w:p>
    <w:tbl>
      <w:tblPr>
        <w:tblStyle w:val="11"/>
        <w:tblW w:w="4866" w:type="pct"/>
        <w:jc w:val="center"/>
        <w:tblLayout w:type="autofit"/>
        <w:tblCellMar>
          <w:top w:w="0" w:type="dxa"/>
          <w:left w:w="108" w:type="dxa"/>
          <w:bottom w:w="0" w:type="dxa"/>
          <w:right w:w="108" w:type="dxa"/>
        </w:tblCellMar>
      </w:tblPr>
      <w:tblGrid>
        <w:gridCol w:w="835"/>
        <w:gridCol w:w="8202"/>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1路高清解码器</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1.支持1路HDMI信号或1路VGA输出</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2.支持1路HDMI音频输出</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3.支持SVAC/MPEG4/MPEG2/H.264/H.265/MJPEG标准网络视频流解码</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4.QCIF/CIF/2CIF/HD1/D1/720P/1080P/300W/500W/600W/800W/1200W视频解码</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5.支持通过串口控制屏幕开关</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6.支持支持3路1200W@25fps（4000×3000）4路800W@30fps，（3840×2160），6路600W@25fps （3392×2008），8路500W @25fps（2560×1920），9路400W @25fps（2688×1520），10路300W@30fps（2048×1536），12路300W@25fps（2048×1536），16路1080P @30fps（1920×1080），支持8路1080P@60fps解码H264和H265解码能力相同</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7.支持1/4/9/16/25/36/64画面分割切换</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8.HDMI输出接口支持3840x2160，，1920x1080，1280x1024，1280x720，1024x768五种显示分辨率</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9.支持Onvif、RTSP协议接入，支持国标GB28181接入，支持海康私有协议/大华私有协议接入</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10.支持远程录像文件的解码输出</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11.支持解码轮巡</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12.支持smart IPC</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13.支持底色选择</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14.支持1个10M/100M/1000M自适应以太网接口</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15.加强用户保密等级：HTTP的MD5加密，HTTPS和SSL证书认证，TELNET的密码修改同步应用的用户账号管理</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16.采用标准网络协议和标准压缩算法，在各种平台上轻松实现互联互通</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17.标准1U机箱，美观大方</w:t>
            </w:r>
          </w:p>
        </w:tc>
      </w:tr>
    </w:tbl>
    <w:p>
      <w:pPr>
        <w:rPr>
          <w:rFonts w:ascii="宋体" w:hAnsi="宋体" w:eastAsia="宋体" w:cs="宋体"/>
          <w:b/>
          <w:bCs/>
          <w:szCs w:val="21"/>
        </w:rPr>
      </w:pPr>
      <w:r>
        <w:rPr>
          <w:rFonts w:hint="eastAsia" w:ascii="宋体" w:hAnsi="宋体" w:eastAsia="宋体" w:cs="宋体"/>
          <w:b/>
          <w:bCs/>
          <w:szCs w:val="21"/>
        </w:rPr>
        <w:t>附件23：</w:t>
      </w:r>
      <w:r>
        <w:rPr>
          <w:rStyle w:val="46"/>
          <w:sz w:val="21"/>
          <w:szCs w:val="21"/>
          <w:lang w:bidi="ar"/>
        </w:rPr>
        <w:t>单口面板</w:t>
      </w:r>
    </w:p>
    <w:tbl>
      <w:tblPr>
        <w:tblStyle w:val="11"/>
        <w:tblW w:w="4866" w:type="pct"/>
        <w:jc w:val="center"/>
        <w:tblLayout w:type="autofit"/>
        <w:tblCellMar>
          <w:top w:w="0" w:type="dxa"/>
          <w:left w:w="108" w:type="dxa"/>
          <w:bottom w:w="0" w:type="dxa"/>
          <w:right w:w="108" w:type="dxa"/>
        </w:tblCellMar>
      </w:tblPr>
      <w:tblGrid>
        <w:gridCol w:w="835"/>
        <w:gridCol w:w="8202"/>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单口面板</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1.规格：86免工具快速拆卸单口面板</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2.面板采用快速拆卸设计，面板盖板从下方轻按即可打开，使用方便快捷</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3.面板上带二维码图标，配合手机客户端二维码软件使用，扫描二维码后，显示该点位的相关信息以及整条链路上的配线架和交换机的相关信息</w:t>
            </w:r>
          </w:p>
        </w:tc>
      </w:tr>
      <w:tr>
        <w:tblPrEx>
          <w:tblCellMar>
            <w:top w:w="0" w:type="dxa"/>
            <w:left w:w="108" w:type="dxa"/>
            <w:bottom w:w="0" w:type="dxa"/>
            <w:right w:w="108" w:type="dxa"/>
          </w:tblCellMar>
        </w:tblPrEx>
        <w:trPr>
          <w:trHeight w:val="90"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4.86型面板，可以垂直安装信息模块，带防尘盖，带电话电脑标记，带有透明标识系统，标识条为翻转结构，以方便更换标识条，面板与标准RJ45模块插座配套；有单口、双口和四口可供选择，以方便在不同环境下的灵活选择</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5.所有塑料材料采用ABS材质耐腐塑料，UL 94V-0防火等级</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6.颜色：乳白色，抗老化，永不变色</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▲7.为了方便查询信息点位及后期数据维护，语音数据面板上需带有二维码图标标识，可结合软件使用。手机客户端软件扫描二维码后，显示点位的相关信息以及整个链路上的配线架和交换机的相关信息。</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val="en-US" w:eastAsia="zh-CN" w:bidi="ar"/>
              </w:rPr>
              <w:t>单口面板</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val="en-US" w:eastAsia="zh-CN" w:bidi="ar"/>
              </w:rPr>
              <w:t>配套的</w:t>
            </w:r>
            <w:r>
              <w:rPr>
                <w:rFonts w:hint="eastAsia" w:ascii="宋体" w:hAnsi="宋体" w:eastAsia="宋体" w:cs="宋体"/>
                <w:color w:val="000000"/>
                <w:kern w:val="0"/>
                <w:szCs w:val="21"/>
                <w:shd w:val="clear" w:color="auto" w:fill="BEBEBE" w:themeFill="background1" w:themeFillShade="BF"/>
                <w:lang w:bidi="ar"/>
              </w:rPr>
              <w:t>手机客户端演示软件与</w:t>
            </w:r>
            <w:r>
              <w:rPr>
                <w:rFonts w:hint="eastAsia" w:ascii="宋体" w:hAnsi="宋体" w:eastAsia="宋体" w:cs="宋体"/>
                <w:color w:val="000000"/>
                <w:kern w:val="0"/>
                <w:szCs w:val="21"/>
                <w:shd w:val="clear" w:color="auto" w:fill="BEBEBE" w:themeFill="background1" w:themeFillShade="BF"/>
                <w:lang w:eastAsia="zh-CN" w:bidi="ar"/>
              </w:rPr>
              <w:t>“综合布线”</w:t>
            </w:r>
            <w:r>
              <w:rPr>
                <w:rFonts w:hint="eastAsia" w:ascii="宋体" w:hAnsi="宋体" w:eastAsia="宋体" w:cs="宋体"/>
                <w:color w:val="000000"/>
                <w:kern w:val="0"/>
                <w:szCs w:val="21"/>
                <w:shd w:val="clear" w:color="auto" w:fill="BEBEBE" w:themeFill="background1" w:themeFillShade="BF"/>
                <w:lang w:bidi="ar"/>
              </w:rPr>
              <w:t>为同一品牌</w:t>
            </w:r>
          </w:p>
        </w:tc>
      </w:tr>
    </w:tbl>
    <w:p>
      <w:pPr>
        <w:rPr>
          <w:rFonts w:ascii="宋体" w:hAnsi="宋体" w:eastAsia="宋体" w:cs="宋体"/>
          <w:szCs w:val="21"/>
        </w:rPr>
      </w:pPr>
      <w:r>
        <w:rPr>
          <w:rFonts w:hint="eastAsia" w:ascii="宋体" w:hAnsi="宋体" w:eastAsia="宋体" w:cs="宋体"/>
          <w:b/>
          <w:bCs/>
          <w:szCs w:val="21"/>
        </w:rPr>
        <w:t>附件24：</w:t>
      </w:r>
      <w:r>
        <w:rPr>
          <w:rStyle w:val="46"/>
          <w:sz w:val="21"/>
          <w:szCs w:val="21"/>
          <w:lang w:bidi="ar"/>
        </w:rPr>
        <w:t>双口面板</w:t>
      </w:r>
    </w:p>
    <w:tbl>
      <w:tblPr>
        <w:tblStyle w:val="11"/>
        <w:tblW w:w="4866" w:type="pct"/>
        <w:jc w:val="center"/>
        <w:tblLayout w:type="autofit"/>
        <w:tblCellMar>
          <w:top w:w="0" w:type="dxa"/>
          <w:left w:w="108" w:type="dxa"/>
          <w:bottom w:w="0" w:type="dxa"/>
          <w:right w:w="108" w:type="dxa"/>
        </w:tblCellMar>
      </w:tblPr>
      <w:tblGrid>
        <w:gridCol w:w="835"/>
        <w:gridCol w:w="8202"/>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双口面板</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1.规格：86免工具快速拆卸双口面板</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2.面板采用快速拆卸设计，面板盖板从下方轻按即可打开，使用方便快捷</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3.面板上带二维码图标，配合手机客户端二维码软件使用，扫描二维码后，显示该点位的相关信息以及整条链路上的配线架和交换机的相关信息</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4.86型面板，可以垂直安装信息模块，带防尘盖，带电话电脑标记，带有透明标识系统，标识条为翻转结构，以方便更换标识条，面板与标准RJ45模块插座配套；有单口、双口和四口可供选择，以方便在不同环境下的灵活选择</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5.所有塑料材料采用ABS材质耐腐塑料，UL 94V-1防火等级</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6.颜色：乳白色，抗老化，永不变色</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▲7.为了方便查询信息点位及后期数据维护，语音数据面板上需带有二维码图标标识，可结合软件使用。手机客户端软件扫描二维码后，显示点位的相关信息以及整个链路上的配线架和交换机的相关信息。</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val="en-US" w:eastAsia="zh-CN" w:bidi="ar"/>
              </w:rPr>
              <w:t>双口面板</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val="en-US" w:eastAsia="zh-CN" w:bidi="ar"/>
              </w:rPr>
              <w:t>配套的</w:t>
            </w:r>
            <w:r>
              <w:rPr>
                <w:rFonts w:hint="eastAsia" w:ascii="宋体" w:hAnsi="宋体" w:eastAsia="宋体" w:cs="宋体"/>
                <w:color w:val="000000"/>
                <w:kern w:val="0"/>
                <w:szCs w:val="21"/>
                <w:shd w:val="clear" w:color="auto" w:fill="BEBEBE" w:themeFill="background1" w:themeFillShade="BF"/>
                <w:lang w:bidi="ar"/>
              </w:rPr>
              <w:t>手机客户端演示软件与</w:t>
            </w:r>
            <w:r>
              <w:rPr>
                <w:rFonts w:hint="eastAsia" w:ascii="宋体" w:hAnsi="宋体" w:eastAsia="宋体" w:cs="宋体"/>
                <w:color w:val="000000"/>
                <w:kern w:val="0"/>
                <w:szCs w:val="21"/>
                <w:shd w:val="clear" w:color="auto" w:fill="BEBEBE" w:themeFill="background1" w:themeFillShade="BF"/>
                <w:lang w:eastAsia="zh-CN" w:bidi="ar"/>
              </w:rPr>
              <w:t>“综合布线”</w:t>
            </w:r>
            <w:r>
              <w:rPr>
                <w:rFonts w:hint="eastAsia" w:ascii="宋体" w:hAnsi="宋体" w:eastAsia="宋体" w:cs="宋体"/>
                <w:color w:val="000000"/>
                <w:kern w:val="0"/>
                <w:szCs w:val="21"/>
                <w:shd w:val="clear" w:color="auto" w:fill="BEBEBE" w:themeFill="background1" w:themeFillShade="BF"/>
                <w:lang w:bidi="ar"/>
              </w:rPr>
              <w:t>为同一品牌</w:t>
            </w:r>
          </w:p>
        </w:tc>
      </w:tr>
    </w:tbl>
    <w:p>
      <w:pPr>
        <w:rPr>
          <w:rFonts w:ascii="宋体" w:hAnsi="宋体" w:eastAsia="宋体" w:cs="宋体"/>
          <w:szCs w:val="21"/>
        </w:rPr>
      </w:pPr>
      <w:r>
        <w:rPr>
          <w:rFonts w:hint="eastAsia" w:ascii="宋体" w:hAnsi="宋体" w:eastAsia="宋体" w:cs="宋体"/>
          <w:b/>
          <w:bCs/>
          <w:szCs w:val="21"/>
        </w:rPr>
        <w:t>附件25：</w:t>
      </w:r>
      <w:r>
        <w:rPr>
          <w:rStyle w:val="46"/>
          <w:sz w:val="21"/>
          <w:szCs w:val="21"/>
          <w:lang w:bidi="ar"/>
        </w:rPr>
        <w:t>网络模块</w:t>
      </w:r>
    </w:p>
    <w:tbl>
      <w:tblPr>
        <w:tblStyle w:val="11"/>
        <w:tblW w:w="4865" w:type="pct"/>
        <w:jc w:val="center"/>
        <w:tblLayout w:type="fixed"/>
        <w:tblCellMar>
          <w:top w:w="0" w:type="dxa"/>
          <w:left w:w="108" w:type="dxa"/>
          <w:bottom w:w="0" w:type="dxa"/>
          <w:right w:w="108" w:type="dxa"/>
        </w:tblCellMar>
      </w:tblPr>
      <w:tblGrid>
        <w:gridCol w:w="835"/>
        <w:gridCol w:w="8200"/>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网络模块</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1.规格：180度六类RJ45非屏蔽模块插座</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2.性能参数满足ISO/IEC 11801和TIA/EIA 568标准</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3.性能优于六类标准的要求，向下兼容五类、超五类产品</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4.金针整体50μm镀金，防止表面氧化，提高接触性能，保证性能及使用寿命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5.采用优质阻燃聚碳酸脂材料，符合UL94V-0阻燃性标准</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6.可采用110型、GigaPro等端接工具进行端接</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7.可卡接22～26AWG规格导体</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8.耐用性：可插拔1500次以上，端接300次以上</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9.兼容BAS所有系列面板</w:t>
            </w:r>
          </w:p>
        </w:tc>
      </w:tr>
    </w:tbl>
    <w:p>
      <w:pPr>
        <w:rPr>
          <w:rFonts w:ascii="宋体" w:hAnsi="宋体" w:eastAsia="宋体" w:cs="宋体"/>
          <w:szCs w:val="21"/>
        </w:rPr>
      </w:pPr>
      <w:r>
        <w:rPr>
          <w:rFonts w:hint="eastAsia" w:ascii="宋体" w:hAnsi="宋体" w:eastAsia="宋体" w:cs="宋体"/>
          <w:b/>
          <w:bCs/>
          <w:szCs w:val="21"/>
        </w:rPr>
        <w:t>附件26：</w:t>
      </w:r>
      <w:r>
        <w:rPr>
          <w:rStyle w:val="46"/>
          <w:sz w:val="21"/>
          <w:szCs w:val="21"/>
          <w:lang w:bidi="ar"/>
        </w:rPr>
        <w:t>六类跳线2米（机房端）</w:t>
      </w:r>
    </w:p>
    <w:tbl>
      <w:tblPr>
        <w:tblStyle w:val="11"/>
        <w:tblW w:w="4865" w:type="pct"/>
        <w:jc w:val="center"/>
        <w:tblLayout w:type="fixed"/>
        <w:tblCellMar>
          <w:top w:w="0" w:type="dxa"/>
          <w:left w:w="108" w:type="dxa"/>
          <w:bottom w:w="0" w:type="dxa"/>
          <w:right w:w="108" w:type="dxa"/>
        </w:tblCellMar>
      </w:tblPr>
      <w:tblGrid>
        <w:gridCol w:w="835"/>
        <w:gridCol w:w="8200"/>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六类跳线2米（机房端）</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1.规格：2米六类非屏蔽智能导光定位网络跳线</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2.性能超越ANSI/TIA/EIA-568B.2-1标准</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3.特别设计的RJ45接头，确保优异性能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4.标准软跳线采用4对8芯多股线芯双绞线、2芯导光线和十芯RJ45网络水晶头设计生产而成</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5.十芯RJ45网络水晶首尾2芯为导光线，中间8芯为网络线缆，按正常T568A&amp;T568B线序打线</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6.在跳线一端水晶头上用光源照射后，另一端水晶头上的导光线会发光，从而快速定位跳线的另一端位置</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7.RJ45头、护套、线缆一体化，确保多次插拔</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8.多种颜色可供选择，充分满足综合布线系统色彩管理思想</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9.多种长度可供选择，充分满足综合布线系统灵活应用要求</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10.可用在工作区、设备、配线间等部分</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11.支持千兆网络应用</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12.符合UL CMR防火标准</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13.导线间有PE绝缘层</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14.外护套为PVC材料</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▲15.可以向下与5类和超5类产品兼容。为了方便施工安装以及后期使用与维护，须提供六类非屏蔽智能导光定位跳线单项检测报告，检测报告中须体现出导光定位功能描述</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bl>
    <w:p>
      <w:pPr>
        <w:rPr>
          <w:rFonts w:ascii="宋体" w:hAnsi="宋体" w:eastAsia="宋体" w:cs="宋体"/>
          <w:szCs w:val="21"/>
        </w:rPr>
      </w:pPr>
      <w:r>
        <w:rPr>
          <w:rFonts w:hint="eastAsia" w:ascii="宋体" w:hAnsi="宋体" w:eastAsia="宋体" w:cs="宋体"/>
          <w:b/>
          <w:bCs/>
          <w:szCs w:val="21"/>
        </w:rPr>
        <w:t>附件27：</w:t>
      </w:r>
      <w:r>
        <w:rPr>
          <w:rStyle w:val="46"/>
          <w:sz w:val="21"/>
          <w:szCs w:val="21"/>
          <w:lang w:bidi="ar"/>
        </w:rPr>
        <w:t>理线器</w:t>
      </w:r>
    </w:p>
    <w:tbl>
      <w:tblPr>
        <w:tblStyle w:val="11"/>
        <w:tblW w:w="4870" w:type="pct"/>
        <w:jc w:val="center"/>
        <w:tblLayout w:type="fixed"/>
        <w:tblCellMar>
          <w:top w:w="0" w:type="dxa"/>
          <w:left w:w="108" w:type="dxa"/>
          <w:bottom w:w="0" w:type="dxa"/>
          <w:right w:w="108" w:type="dxa"/>
        </w:tblCellMar>
      </w:tblPr>
      <w:tblGrid>
        <w:gridCol w:w="839"/>
        <w:gridCol w:w="8206"/>
      </w:tblGrid>
      <w:tr>
        <w:tblPrEx>
          <w:tblCellMar>
            <w:top w:w="0" w:type="dxa"/>
            <w:left w:w="108" w:type="dxa"/>
            <w:bottom w:w="0" w:type="dxa"/>
            <w:right w:w="108" w:type="dxa"/>
          </w:tblCellMar>
        </w:tblPrEx>
        <w:trPr>
          <w:trHeight w:val="397" w:hRule="atLeast"/>
          <w:jc w:val="center"/>
        </w:trPr>
        <w:tc>
          <w:tcPr>
            <w:tcW w:w="46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理线器</w:t>
            </w: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1.规格：网络理线架</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2.1U高度，19”规格</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3.理线架采用PVC材质</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4.最多可安装管理多达五十条跳线</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5.跳线安装拆卸简单方便</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6.更深设计的理线环，可确保线缆弯曲半径</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7.盖板可以上下双向翻盖，也可以取下盖板，使用灵活方便</w:t>
            </w:r>
          </w:p>
        </w:tc>
      </w:tr>
    </w:tbl>
    <w:p>
      <w:pPr>
        <w:rPr>
          <w:rFonts w:hint="eastAsia" w:ascii="宋体" w:hAnsi="宋体" w:eastAsia="宋体" w:cs="宋体"/>
          <w:szCs w:val="21"/>
          <w:lang w:eastAsia="zh-CN"/>
        </w:rPr>
      </w:pPr>
      <w:r>
        <w:rPr>
          <w:rFonts w:hint="eastAsia" w:ascii="宋体" w:hAnsi="宋体" w:eastAsia="宋体" w:cs="宋体"/>
          <w:b/>
          <w:bCs/>
          <w:szCs w:val="21"/>
        </w:rPr>
        <w:t>附件28：</w:t>
      </w:r>
      <w:r>
        <w:rPr>
          <w:rStyle w:val="46"/>
          <w:rFonts w:eastAsia="宋体"/>
          <w:sz w:val="21"/>
          <w:szCs w:val="21"/>
          <w:lang w:eastAsia="zh-CN" w:bidi="ar"/>
        </w:rPr>
        <w:t>LC单模千兆尾纤</w:t>
      </w:r>
    </w:p>
    <w:tbl>
      <w:tblPr>
        <w:tblStyle w:val="11"/>
        <w:tblW w:w="4870" w:type="pct"/>
        <w:jc w:val="center"/>
        <w:tblLayout w:type="fixed"/>
        <w:tblCellMar>
          <w:top w:w="0" w:type="dxa"/>
          <w:left w:w="108" w:type="dxa"/>
          <w:bottom w:w="0" w:type="dxa"/>
          <w:right w:w="108" w:type="dxa"/>
        </w:tblCellMar>
      </w:tblPr>
      <w:tblGrid>
        <w:gridCol w:w="839"/>
        <w:gridCol w:w="8206"/>
      </w:tblGrid>
      <w:tr>
        <w:tblPrEx>
          <w:tblCellMar>
            <w:top w:w="0" w:type="dxa"/>
            <w:left w:w="108" w:type="dxa"/>
            <w:bottom w:w="0" w:type="dxa"/>
            <w:right w:w="108" w:type="dxa"/>
          </w:tblCellMar>
        </w:tblPrEx>
        <w:trPr>
          <w:trHeight w:val="397" w:hRule="atLeast"/>
          <w:jc w:val="center"/>
        </w:trPr>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3"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000000"/>
                <w:szCs w:val="21"/>
                <w:lang w:eastAsia="zh-CN"/>
              </w:rPr>
            </w:pPr>
            <w:r>
              <w:rPr>
                <w:rStyle w:val="46"/>
                <w:rFonts w:eastAsia="宋体"/>
                <w:sz w:val="21"/>
                <w:szCs w:val="21"/>
                <w:lang w:eastAsia="zh-CN" w:bidi="ar"/>
              </w:rPr>
              <w:t>LC单模千兆尾纤</w:t>
            </w: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1.规格：9/125单模单芯光纤尾纤</w:t>
            </w:r>
          </w:p>
        </w:tc>
      </w:tr>
      <w:tr>
        <w:tblPrEx>
          <w:tblCellMar>
            <w:top w:w="0" w:type="dxa"/>
            <w:left w:w="108" w:type="dxa"/>
            <w:bottom w:w="0" w:type="dxa"/>
            <w:right w:w="108" w:type="dxa"/>
          </w:tblCellMar>
        </w:tblPrEx>
        <w:trPr>
          <w:trHeight w:val="397" w:hRule="atLeast"/>
          <w:jc w:val="center"/>
        </w:trPr>
        <w:tc>
          <w:tcPr>
            <w:tcW w:w="463"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2.符合TIA/EIA-568B.3、ISO/IEC 11801标准</w:t>
            </w:r>
          </w:p>
        </w:tc>
      </w:tr>
      <w:tr>
        <w:tblPrEx>
          <w:tblCellMar>
            <w:top w:w="0" w:type="dxa"/>
            <w:left w:w="108" w:type="dxa"/>
            <w:bottom w:w="0" w:type="dxa"/>
            <w:right w:w="108" w:type="dxa"/>
          </w:tblCellMar>
        </w:tblPrEx>
        <w:trPr>
          <w:trHeight w:val="397" w:hRule="atLeast"/>
          <w:jc w:val="center"/>
        </w:trPr>
        <w:tc>
          <w:tcPr>
            <w:tcW w:w="463"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3.提供多种规格和长度的跳线</w:t>
            </w:r>
          </w:p>
        </w:tc>
      </w:tr>
      <w:tr>
        <w:tblPrEx>
          <w:tblCellMar>
            <w:top w:w="0" w:type="dxa"/>
            <w:left w:w="108" w:type="dxa"/>
            <w:bottom w:w="0" w:type="dxa"/>
            <w:right w:w="108" w:type="dxa"/>
          </w:tblCellMar>
        </w:tblPrEx>
        <w:trPr>
          <w:trHeight w:val="397" w:hRule="atLeast"/>
          <w:jc w:val="center"/>
        </w:trPr>
        <w:tc>
          <w:tcPr>
            <w:tcW w:w="463"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4.接头类型包括ST、SC、FC、LC、MTRJ等</w:t>
            </w:r>
          </w:p>
        </w:tc>
      </w:tr>
      <w:tr>
        <w:tblPrEx>
          <w:tblCellMar>
            <w:top w:w="0" w:type="dxa"/>
            <w:left w:w="108" w:type="dxa"/>
            <w:bottom w:w="0" w:type="dxa"/>
            <w:right w:w="108" w:type="dxa"/>
          </w:tblCellMar>
        </w:tblPrEx>
        <w:trPr>
          <w:trHeight w:val="397" w:hRule="atLeast"/>
          <w:jc w:val="center"/>
        </w:trPr>
        <w:tc>
          <w:tcPr>
            <w:tcW w:w="463"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5.平均连接损耗：≤0.2dB</w:t>
            </w:r>
          </w:p>
        </w:tc>
      </w:tr>
      <w:tr>
        <w:tblPrEx>
          <w:tblCellMar>
            <w:top w:w="0" w:type="dxa"/>
            <w:left w:w="108" w:type="dxa"/>
            <w:bottom w:w="0" w:type="dxa"/>
            <w:right w:w="108" w:type="dxa"/>
          </w:tblCellMar>
        </w:tblPrEx>
        <w:trPr>
          <w:trHeight w:val="397" w:hRule="atLeast"/>
          <w:jc w:val="center"/>
        </w:trPr>
        <w:tc>
          <w:tcPr>
            <w:tcW w:w="463"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6.重复插拔：＜0.2dB，每500次插拔</w:t>
            </w:r>
          </w:p>
        </w:tc>
      </w:tr>
      <w:tr>
        <w:tblPrEx>
          <w:tblCellMar>
            <w:top w:w="0" w:type="dxa"/>
            <w:left w:w="108" w:type="dxa"/>
            <w:bottom w:w="0" w:type="dxa"/>
            <w:right w:w="108" w:type="dxa"/>
          </w:tblCellMar>
        </w:tblPrEx>
        <w:trPr>
          <w:trHeight w:val="397" w:hRule="atLeast"/>
          <w:jc w:val="center"/>
        </w:trPr>
        <w:tc>
          <w:tcPr>
            <w:tcW w:w="463"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7.最小反射损耗：20dB</w:t>
            </w:r>
          </w:p>
        </w:tc>
      </w:tr>
      <w:tr>
        <w:tblPrEx>
          <w:tblCellMar>
            <w:top w:w="0" w:type="dxa"/>
            <w:left w:w="108" w:type="dxa"/>
            <w:bottom w:w="0" w:type="dxa"/>
            <w:right w:w="108" w:type="dxa"/>
          </w:tblCellMar>
        </w:tblPrEx>
        <w:trPr>
          <w:trHeight w:val="397" w:hRule="atLeast"/>
          <w:jc w:val="center"/>
        </w:trPr>
        <w:tc>
          <w:tcPr>
            <w:tcW w:w="463"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8.最大回损：-50dB</w:t>
            </w:r>
          </w:p>
        </w:tc>
      </w:tr>
      <w:tr>
        <w:tblPrEx>
          <w:tblCellMar>
            <w:top w:w="0" w:type="dxa"/>
            <w:left w:w="108" w:type="dxa"/>
            <w:bottom w:w="0" w:type="dxa"/>
            <w:right w:w="108" w:type="dxa"/>
          </w:tblCellMar>
        </w:tblPrEx>
        <w:trPr>
          <w:trHeight w:val="397" w:hRule="atLeast"/>
          <w:jc w:val="center"/>
        </w:trPr>
        <w:tc>
          <w:tcPr>
            <w:tcW w:w="463" w:type="pct"/>
            <w:vMerge w:val="continue"/>
            <w:tcBorders>
              <w:left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9.材料：陶瓷</w:t>
            </w:r>
          </w:p>
        </w:tc>
      </w:tr>
    </w:tbl>
    <w:p>
      <w:pPr>
        <w:rPr>
          <w:rFonts w:ascii="宋体" w:hAnsi="宋体" w:eastAsia="宋体" w:cs="宋体"/>
          <w:szCs w:val="21"/>
        </w:rPr>
      </w:pPr>
      <w:r>
        <w:rPr>
          <w:rFonts w:hint="eastAsia" w:ascii="宋体" w:hAnsi="宋体" w:eastAsia="宋体" w:cs="宋体"/>
          <w:b/>
          <w:bCs/>
          <w:szCs w:val="21"/>
        </w:rPr>
        <w:t>附件29：</w:t>
      </w:r>
      <w:r>
        <w:rPr>
          <w:rStyle w:val="46"/>
          <w:sz w:val="21"/>
          <w:szCs w:val="21"/>
          <w:lang w:bidi="ar"/>
        </w:rPr>
        <w:t>机架式8口光纤终端盒LC型</w:t>
      </w:r>
    </w:p>
    <w:tbl>
      <w:tblPr>
        <w:tblStyle w:val="11"/>
        <w:tblW w:w="4872" w:type="pct"/>
        <w:jc w:val="center"/>
        <w:tblLayout w:type="fixed"/>
        <w:tblCellMar>
          <w:top w:w="0" w:type="dxa"/>
          <w:left w:w="108" w:type="dxa"/>
          <w:bottom w:w="0" w:type="dxa"/>
          <w:right w:w="108" w:type="dxa"/>
        </w:tblCellMar>
      </w:tblPr>
      <w:tblGrid>
        <w:gridCol w:w="840"/>
        <w:gridCol w:w="8208"/>
      </w:tblGrid>
      <w:tr>
        <w:tblPrEx>
          <w:tblCellMar>
            <w:top w:w="0" w:type="dxa"/>
            <w:left w:w="108" w:type="dxa"/>
            <w:bottom w:w="0" w:type="dxa"/>
            <w:right w:w="108" w:type="dxa"/>
          </w:tblCellMar>
        </w:tblPrEx>
        <w:trPr>
          <w:trHeight w:val="397" w:hRule="atLeast"/>
          <w:jc w:val="center"/>
        </w:trPr>
        <w:tc>
          <w:tcPr>
            <w:tcW w:w="46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机架式8口光纤终端盒LC型</w:t>
            </w: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1.规格：高端通用型4口8芯光纤配线架</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2.BAS光纤配线架是一款高级、紧凑型的满足光纤端接解决方案的产品</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3.配线架内可容纳多达4芯SC尾纤或8芯LC尾纤的熔接</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4.配线架抽屉式设计，保证安装、检查、测试均非常方便</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5.带有涂层的钢结构骨架，坚固耐用</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6.开创性的设计能确保安装、移动以及未来的变更时，均非常灵活</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7.设计时充分考虑到光纤应用的多样性，BAS光纤配线架能够安装不同类型的光纤模板和耦合器，以满足不同功能和性能的要求</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8.≥1U高度、19英寸宽度</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9.空间合理，保证光纤跳接、熔接的合理弯曲半径</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10.单模、多模两种光纤均适用</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11.配线架设计有用于固定到机柜的耳朵（每套2个）</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12.框架材料选用高级钢板</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13.备选件光纤熔接盘可以安装到光纤配线架内部</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14.配线架上有两个直径25mm圆孔，便于光缆进出</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15.从技术和使用角度，充分考虑光纤跳线和熔接的空间</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16.从技术上充分考虑光纤的安全性、储存和合理端接</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17.前端空间便于跳线的管理和保护</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18.安装、检查、测试都非常方便</w:t>
            </w:r>
          </w:p>
        </w:tc>
      </w:tr>
    </w:tbl>
    <w:p>
      <w:r>
        <w:rPr>
          <w:rFonts w:hint="eastAsia" w:ascii="宋体" w:hAnsi="宋体" w:eastAsia="宋体" w:cs="宋体"/>
          <w:b/>
          <w:bCs/>
          <w:szCs w:val="21"/>
        </w:rPr>
        <w:t>附件30：</w:t>
      </w:r>
      <w:r>
        <w:rPr>
          <w:rStyle w:val="46"/>
          <w:sz w:val="21"/>
          <w:szCs w:val="21"/>
          <w:lang w:bidi="ar"/>
        </w:rPr>
        <w:t>机架式24口光纤配线架LC型</w:t>
      </w:r>
    </w:p>
    <w:tbl>
      <w:tblPr>
        <w:tblStyle w:val="11"/>
        <w:tblW w:w="4872" w:type="pct"/>
        <w:jc w:val="center"/>
        <w:tblLayout w:type="fixed"/>
        <w:tblCellMar>
          <w:top w:w="0" w:type="dxa"/>
          <w:left w:w="108" w:type="dxa"/>
          <w:bottom w:w="0" w:type="dxa"/>
          <w:right w:w="108" w:type="dxa"/>
        </w:tblCellMar>
      </w:tblPr>
      <w:tblGrid>
        <w:gridCol w:w="840"/>
        <w:gridCol w:w="8208"/>
      </w:tblGrid>
      <w:tr>
        <w:tblPrEx>
          <w:tblCellMar>
            <w:top w:w="0" w:type="dxa"/>
            <w:left w:w="108" w:type="dxa"/>
            <w:bottom w:w="0" w:type="dxa"/>
            <w:right w:w="108" w:type="dxa"/>
          </w:tblCellMar>
        </w:tblPrEx>
        <w:trPr>
          <w:trHeight w:val="397" w:hRule="atLeast"/>
          <w:jc w:val="center"/>
        </w:trPr>
        <w:tc>
          <w:tcPr>
            <w:tcW w:w="46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机架式24口光纤配线架LC型</w:t>
            </w: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1.规格：高端通用型12口24芯光纤配线架</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2.BAS光纤配线架是一款高级、紧凑型的满足光纤端接解决方案的产品</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3.配线架内可容纳多达12芯SC尾纤或24芯LC尾纤的熔接</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4.配线架抽屉式设计，保证安装、检查、测试均非常方便</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5.带有涂层的钢结构骨架，坚固耐用</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6.开创性的设计能确保安装、移动以及未来的变更时，均非常灵活</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7.设计时充分考虑到光纤应用的多样性，BAS光纤配线架能够安装不同类型的光纤模板和耦合器，以满足不同功能和性能的要求</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8.≥1U高度、19英寸宽度</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9.空间合理，保证光纤跳接、熔接的合理弯曲半径</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10.单模、多模两种光纤均适用</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11.配线架设计有用于固定到机柜的耳朵（每套2个）</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12.框架材料选用高级钢板</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13.备选件光纤熔接盘可以安装到光纤配线架内部</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14.配线架上有两个直径25mm圆孔，便于光缆进出</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15.从技术和使用角度，充分考虑光纤跳线和熔接的空间</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16.从技术上充分考虑光纤的安全性、储存和合理端接</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16.前端空间便于跳线的管理和保护</w:t>
            </w:r>
          </w:p>
        </w:tc>
      </w:tr>
      <w:tr>
        <w:tblPrEx>
          <w:tblCellMar>
            <w:top w:w="0" w:type="dxa"/>
            <w:left w:w="108" w:type="dxa"/>
            <w:bottom w:w="0" w:type="dxa"/>
            <w:right w:w="108" w:type="dxa"/>
          </w:tblCellMar>
        </w:tblPrEx>
        <w:trPr>
          <w:trHeight w:val="397" w:hRule="atLeast"/>
          <w:jc w:val="center"/>
        </w:trPr>
        <w:tc>
          <w:tcPr>
            <w:tcW w:w="4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17.安装、检查、测试都非常方便</w:t>
            </w:r>
          </w:p>
        </w:tc>
      </w:tr>
    </w:tbl>
    <w:p>
      <w:pPr>
        <w:rPr>
          <w:rFonts w:ascii="宋体" w:hAnsi="宋体" w:eastAsia="宋体" w:cs="宋体"/>
          <w:szCs w:val="21"/>
        </w:rPr>
      </w:pPr>
      <w:r>
        <w:rPr>
          <w:rFonts w:hint="eastAsia" w:ascii="宋体" w:hAnsi="宋体" w:eastAsia="宋体" w:cs="宋体"/>
          <w:b/>
          <w:bCs/>
          <w:szCs w:val="21"/>
        </w:rPr>
        <w:t>附件31：</w:t>
      </w:r>
      <w:r>
        <w:rPr>
          <w:rStyle w:val="46"/>
          <w:sz w:val="21"/>
          <w:szCs w:val="21"/>
          <w:lang w:bidi="ar"/>
        </w:rPr>
        <w:t>千兆单模LC光纤跳线</w:t>
      </w:r>
    </w:p>
    <w:tbl>
      <w:tblPr>
        <w:tblStyle w:val="11"/>
        <w:tblW w:w="4868" w:type="pct"/>
        <w:jc w:val="center"/>
        <w:tblLayout w:type="fixed"/>
        <w:tblCellMar>
          <w:top w:w="0" w:type="dxa"/>
          <w:left w:w="108" w:type="dxa"/>
          <w:bottom w:w="0" w:type="dxa"/>
          <w:right w:w="108" w:type="dxa"/>
        </w:tblCellMar>
      </w:tblPr>
      <w:tblGrid>
        <w:gridCol w:w="837"/>
        <w:gridCol w:w="8204"/>
      </w:tblGrid>
      <w:tr>
        <w:tblPrEx>
          <w:tblCellMar>
            <w:top w:w="0" w:type="dxa"/>
            <w:left w:w="108" w:type="dxa"/>
            <w:bottom w:w="0" w:type="dxa"/>
            <w:right w:w="108" w:type="dxa"/>
          </w:tblCellMar>
        </w:tblPrEx>
        <w:trPr>
          <w:trHeight w:val="397" w:hRule="atLeast"/>
          <w:jc w:val="center"/>
        </w:trPr>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千兆单模LC光纤跳线</w:t>
            </w: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1.规格：9/125单模双芯光纤跳线</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2.符合TIA/EIA-568B.3、ISO/IEC 11801标准</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3.提供多种规格和长度的跳线</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4.接头类型包括ST、SC、FC、LC、MTRJ等</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5.平均连接损耗：≤0.2dB</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6.重复插拔：＜0.2dB，每500次插拔</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7.最小反射损耗：20dB</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8.最大回损：-50dB</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9.材料：陶瓷</w:t>
            </w:r>
          </w:p>
        </w:tc>
      </w:tr>
    </w:tbl>
    <w:p>
      <w:pPr>
        <w:rPr>
          <w:rFonts w:ascii="宋体" w:hAnsi="宋体" w:eastAsia="宋体" w:cs="宋体"/>
          <w:szCs w:val="21"/>
        </w:rPr>
      </w:pPr>
      <w:r>
        <w:rPr>
          <w:rFonts w:hint="eastAsia" w:ascii="宋体" w:hAnsi="宋体" w:eastAsia="宋体" w:cs="宋体"/>
          <w:b/>
          <w:bCs/>
          <w:szCs w:val="21"/>
        </w:rPr>
        <w:t>附件32：</w:t>
      </w:r>
      <w:r>
        <w:rPr>
          <w:rStyle w:val="46"/>
          <w:sz w:val="21"/>
          <w:szCs w:val="21"/>
          <w:lang w:bidi="ar"/>
        </w:rPr>
        <w:t>水晶头</w:t>
      </w:r>
    </w:p>
    <w:tbl>
      <w:tblPr>
        <w:tblStyle w:val="11"/>
        <w:tblW w:w="4867" w:type="pct"/>
        <w:jc w:val="center"/>
        <w:tblLayout w:type="fixed"/>
        <w:tblCellMar>
          <w:top w:w="0" w:type="dxa"/>
          <w:left w:w="108" w:type="dxa"/>
          <w:bottom w:w="0" w:type="dxa"/>
          <w:right w:w="108" w:type="dxa"/>
        </w:tblCellMar>
      </w:tblPr>
      <w:tblGrid>
        <w:gridCol w:w="835"/>
        <w:gridCol w:w="8204"/>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水晶头</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1.规格：六类水晶头</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2.BAS提供的水晶头是专为自制模块化跳线设计的高速铜缆连接水晶头，有屏蔽和非屏蔽两种可选，性能超过TIA/EIA和ISO六类标准</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3.触点材料：镀有50微米金的磷光铜</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4.插头寿命：1000次以上</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5.50微米镀金三叉簧片，保证良好的导通性能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6.采用交叉实际的特殊构造，满足六类大线径端接</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7.屏蔽水晶头带有全屏蔽金属外壳</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8.适用于设备间或水平子系统跳线的现场端接，外壳材料采用高密度聚乙烯</w:t>
            </w:r>
          </w:p>
        </w:tc>
      </w:tr>
    </w:tbl>
    <w:p>
      <w:pPr>
        <w:rPr>
          <w:rFonts w:ascii="宋体" w:hAnsi="宋体" w:eastAsia="宋体" w:cs="宋体"/>
          <w:szCs w:val="21"/>
        </w:rPr>
      </w:pPr>
      <w:r>
        <w:rPr>
          <w:rFonts w:hint="eastAsia" w:ascii="宋体" w:hAnsi="宋体" w:eastAsia="宋体" w:cs="宋体"/>
          <w:b/>
          <w:bCs/>
          <w:szCs w:val="21"/>
        </w:rPr>
        <w:t>附件33：</w:t>
      </w:r>
      <w:r>
        <w:rPr>
          <w:rFonts w:hint="eastAsia" w:ascii="宋体" w:hAnsi="宋体" w:eastAsia="宋体" w:cs="宋体"/>
          <w:color w:val="000000"/>
          <w:kern w:val="0"/>
          <w:szCs w:val="21"/>
          <w:lang w:bidi="ar"/>
        </w:rPr>
        <w:t>可视化系统管理软件</w:t>
      </w:r>
    </w:p>
    <w:tbl>
      <w:tblPr>
        <w:tblStyle w:val="11"/>
        <w:tblW w:w="4865" w:type="pct"/>
        <w:jc w:val="center"/>
        <w:tblLayout w:type="fixed"/>
        <w:tblCellMar>
          <w:top w:w="0" w:type="dxa"/>
          <w:left w:w="108" w:type="dxa"/>
          <w:bottom w:w="0" w:type="dxa"/>
          <w:right w:w="108" w:type="dxa"/>
        </w:tblCellMar>
      </w:tblPr>
      <w:tblGrid>
        <w:gridCol w:w="835"/>
        <w:gridCol w:w="8200"/>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可视化系统管理软件</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1.智慧布线系统管理软件，软件采用先进的B/S架构、谷歌浏览器登录</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全图形化操作界面，基于鼠标事件，操作简单明了；引导跳线操作，链路状态，资源使用状态等功能。通过管理软件，可以全面，直观的掌握综合布线系统的信息；所有的操作步骤均自动保存，方便后期查阅相关变动情况</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w:t>
            </w:r>
            <w:r>
              <w:rPr>
                <w:rFonts w:hint="eastAsia" w:ascii="宋体" w:hAnsi="宋体" w:eastAsia="宋体" w:cs="宋体"/>
                <w:kern w:val="0"/>
                <w:szCs w:val="21"/>
                <w:lang w:bidi="ar"/>
              </w:rPr>
              <w:t>3.所投综合布线系统产品能够支持综合布线系统管理软件实现智慧化管理</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kern w:val="0"/>
                <w:szCs w:val="21"/>
                <w:lang w:bidi="ar"/>
              </w:rPr>
            </w:pPr>
            <w:r>
              <w:rPr>
                <w:rFonts w:hint="eastAsia" w:ascii="宋体" w:hAnsi="宋体" w:eastAsia="宋体" w:cs="宋体"/>
                <w:kern w:val="0"/>
                <w:szCs w:val="21"/>
              </w:rPr>
              <w:t>4.软件支持全图形化操作、楼宇导航、楼层配线间机柜、平面图点位</w:t>
            </w:r>
            <w:r>
              <w:rPr>
                <w:rFonts w:hint="eastAsia" w:ascii="宋体" w:hAnsi="宋体" w:eastAsia="宋体" w:cs="宋体"/>
                <w:kern w:val="0"/>
                <w:szCs w:val="21"/>
                <w:shd w:val="clear" w:color="auto" w:fill="BEBEBE" w:themeFill="background1" w:themeFillShade="BF"/>
              </w:rPr>
              <w:t>（响应文件中提供软件功能截图）</w:t>
            </w:r>
          </w:p>
        </w:tc>
      </w:tr>
      <w:tr>
        <w:tblPrEx>
          <w:tblCellMar>
            <w:top w:w="0" w:type="dxa"/>
            <w:left w:w="108" w:type="dxa"/>
            <w:bottom w:w="0" w:type="dxa"/>
            <w:right w:w="108" w:type="dxa"/>
          </w:tblCellMar>
        </w:tblPrEx>
        <w:trPr>
          <w:trHeight w:val="397" w:hRule="atLeast"/>
          <w:jc w:val="center"/>
        </w:trPr>
        <w:tc>
          <w:tcPr>
            <w:tcW w:w="462" w:type="pct"/>
            <w:vMerge w:val="continue"/>
            <w:tcBorders>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kern w:val="0"/>
                <w:szCs w:val="21"/>
                <w:lang w:bidi="ar"/>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kern w:val="0"/>
                <w:szCs w:val="21"/>
                <w:lang w:bidi="ar"/>
              </w:rPr>
            </w:pPr>
            <w:r>
              <w:rPr>
                <w:rFonts w:hint="eastAsia" w:ascii="宋体" w:hAnsi="宋体" w:eastAsia="宋体" w:cs="宋体"/>
                <w:kern w:val="0"/>
                <w:szCs w:val="21"/>
                <w:shd w:val="clear" w:color="auto" w:fill="BEBEBE" w:themeFill="background1" w:themeFillShade="BF"/>
              </w:rPr>
              <w:t>5.响应文件中提供可视化系统管理软件计算机软件著作权登记证书复印件</w:t>
            </w:r>
          </w:p>
        </w:tc>
      </w:tr>
    </w:tbl>
    <w:p>
      <w:pPr>
        <w:rPr>
          <w:rFonts w:ascii="宋体" w:hAnsi="宋体" w:eastAsia="宋体" w:cs="宋体"/>
          <w:szCs w:val="21"/>
        </w:rPr>
      </w:pPr>
      <w:r>
        <w:rPr>
          <w:rFonts w:hint="eastAsia" w:ascii="宋体" w:hAnsi="宋体" w:eastAsia="宋体" w:cs="宋体"/>
          <w:b/>
          <w:bCs/>
          <w:szCs w:val="21"/>
        </w:rPr>
        <w:t>附件34：</w:t>
      </w:r>
      <w:r>
        <w:rPr>
          <w:rStyle w:val="46"/>
          <w:sz w:val="21"/>
          <w:szCs w:val="21"/>
          <w:lang w:bidi="ar"/>
        </w:rPr>
        <w:t>六类非屏蔽4对电缆A</w:t>
      </w:r>
    </w:p>
    <w:tbl>
      <w:tblPr>
        <w:tblStyle w:val="11"/>
        <w:tblW w:w="4863" w:type="pct"/>
        <w:jc w:val="center"/>
        <w:tblLayout w:type="fixed"/>
        <w:tblCellMar>
          <w:top w:w="0" w:type="dxa"/>
          <w:left w:w="108" w:type="dxa"/>
          <w:bottom w:w="0" w:type="dxa"/>
          <w:right w:w="108" w:type="dxa"/>
        </w:tblCellMar>
      </w:tblPr>
      <w:tblGrid>
        <w:gridCol w:w="833"/>
        <w:gridCol w:w="8199"/>
      </w:tblGrid>
      <w:tr>
        <w:tblPrEx>
          <w:tblCellMar>
            <w:top w:w="0" w:type="dxa"/>
            <w:left w:w="108" w:type="dxa"/>
            <w:bottom w:w="0" w:type="dxa"/>
            <w:right w:w="108" w:type="dxa"/>
          </w:tblCellMar>
        </w:tblPrEx>
        <w:trPr>
          <w:trHeight w:val="397" w:hRule="atLeast"/>
          <w:jc w:val="center"/>
        </w:trPr>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六类非屏蔽4对电缆A</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1.规格：六类非屏蔽双绞线</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2.BAS六类系列电缆确定了一个新性能评价指标，采用规格23AWG的单芯裸铜为导体，聚乙烯类高分子材料为绝缘体，外皮材料采用阻燃型高分子材料，颜色为水绿色</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3.双绞线符合国际规范（ISO/IEC），规范（ANSI/TIA/EIA），欧洲规范（EN）的要求，电气特性超过六类（Cat.6）国际规范的250MHz要求</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4.电缆中心十字架隔离保证NEXT性能和合理施工弯曲半径</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5.阻抗：100欧姆+/-15</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6.最大直流电阻：9.38欧姆/100米</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7.不平衡电阻：≤5%</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8.最大电容：≤5.6nF/100m</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9.不平衡电容：73.2pF/100米</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10.导体直径：23AWG</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11.绝缘层：高密度聚乙烯</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12.外护套：PVC，厚度≥0.6mm</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13.防火等级：CMR，LSZH，CM可选</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14.工作温度：-25～+75℃</w:t>
            </w:r>
          </w:p>
        </w:tc>
      </w:tr>
    </w:tbl>
    <w:p>
      <w:pPr>
        <w:rPr>
          <w:rFonts w:ascii="宋体" w:hAnsi="宋体" w:eastAsia="宋体" w:cs="宋体"/>
          <w:szCs w:val="21"/>
        </w:rPr>
      </w:pPr>
      <w:r>
        <w:rPr>
          <w:rFonts w:hint="eastAsia" w:ascii="宋体" w:hAnsi="宋体" w:eastAsia="宋体" w:cs="宋体"/>
          <w:b/>
          <w:bCs/>
          <w:szCs w:val="21"/>
        </w:rPr>
        <w:t>附件35：</w:t>
      </w:r>
      <w:r>
        <w:rPr>
          <w:rStyle w:val="46"/>
          <w:sz w:val="21"/>
          <w:szCs w:val="21"/>
          <w:lang w:bidi="ar"/>
        </w:rPr>
        <w:t>室外防水六类非屏蔽4对电缆A</w:t>
      </w:r>
    </w:p>
    <w:tbl>
      <w:tblPr>
        <w:tblStyle w:val="11"/>
        <w:tblW w:w="4863" w:type="pct"/>
        <w:jc w:val="center"/>
        <w:tblLayout w:type="fixed"/>
        <w:tblCellMar>
          <w:top w:w="0" w:type="dxa"/>
          <w:left w:w="108" w:type="dxa"/>
          <w:bottom w:w="0" w:type="dxa"/>
          <w:right w:w="108" w:type="dxa"/>
        </w:tblCellMar>
      </w:tblPr>
      <w:tblGrid>
        <w:gridCol w:w="833"/>
        <w:gridCol w:w="8199"/>
      </w:tblGrid>
      <w:tr>
        <w:tblPrEx>
          <w:tblCellMar>
            <w:top w:w="0" w:type="dxa"/>
            <w:left w:w="108" w:type="dxa"/>
            <w:bottom w:w="0" w:type="dxa"/>
            <w:right w:w="108" w:type="dxa"/>
          </w:tblCellMar>
        </w:tblPrEx>
        <w:trPr>
          <w:trHeight w:val="397" w:hRule="atLeast"/>
          <w:jc w:val="center"/>
        </w:trPr>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室外防水六类非屏蔽4对电缆A</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1.规格：六类非屏蔽阻水双绞线</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2.BAS六类100欧姆四线对非屏蔽双绞线，采用单芯裸铜为导体，规格23AWG，聚乙烯类高分子材料为绝缘体，外皮材料采用阻燃阻水材料，使得线缆更好的实现非屏蔽六类永久链路和信道传输</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3.双绞线符合国际规范（ISO/IEC），美国规范（TIA/EIA），欧洲规范（EN）和澳洲规范的要求；电气特性超过最新Cat.5e国际规范的要求</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4.阻抗：100欧姆+/-15</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5.静电电容，Max：17.1nf/每千英尺</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6.直流电阻，Max：28.6欧姆/每千英尺</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7.线对不平衡直流电阻，Max：5%</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8.平衡电容，Max（线对与地）：330pf/100米</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9.额定传输速率：65%</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10.导体直径：23AWG</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11.外被直径（mm）：5.0±0.2mm</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12.重量（kg/kft）：≥10.5</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13.最小弯曲半径：O.D.X4～6</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14.最大张力（kg）：10.0</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15.外皮：PE</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16.工作温度：-25～75℃</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17.ISO/IEC-11801</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18.EN-50173</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19.TIA/EIA-568-A-5</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20.10兆以太网</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21.100兆快速以太网</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22.100VG-AnyLAN</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23.令牌环网</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24.依赖双绞线介质传输模式</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25.100Mbps铜缆分布数据接口</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26.ATM155</w:t>
            </w:r>
          </w:p>
        </w:tc>
      </w:tr>
    </w:tbl>
    <w:p>
      <w:pPr>
        <w:rPr>
          <w:rFonts w:ascii="宋体" w:hAnsi="宋体" w:eastAsia="宋体" w:cs="宋体"/>
          <w:szCs w:val="21"/>
        </w:rPr>
      </w:pPr>
      <w:r>
        <w:rPr>
          <w:rFonts w:hint="eastAsia" w:ascii="宋体" w:hAnsi="宋体" w:eastAsia="宋体" w:cs="宋体"/>
          <w:b/>
          <w:bCs/>
          <w:szCs w:val="21"/>
        </w:rPr>
        <w:t>附件36：</w:t>
      </w:r>
      <w:r>
        <w:rPr>
          <w:rStyle w:val="46"/>
          <w:sz w:val="21"/>
          <w:szCs w:val="21"/>
          <w:lang w:bidi="ar"/>
        </w:rPr>
        <w:t>室外4芯单模光缆</w:t>
      </w:r>
    </w:p>
    <w:tbl>
      <w:tblPr>
        <w:tblStyle w:val="11"/>
        <w:tblW w:w="4863" w:type="pct"/>
        <w:jc w:val="center"/>
        <w:tblLayout w:type="fixed"/>
        <w:tblCellMar>
          <w:top w:w="0" w:type="dxa"/>
          <w:left w:w="108" w:type="dxa"/>
          <w:bottom w:w="0" w:type="dxa"/>
          <w:right w:w="108" w:type="dxa"/>
        </w:tblCellMar>
      </w:tblPr>
      <w:tblGrid>
        <w:gridCol w:w="833"/>
        <w:gridCol w:w="8199"/>
      </w:tblGrid>
      <w:tr>
        <w:tblPrEx>
          <w:tblCellMar>
            <w:top w:w="0" w:type="dxa"/>
            <w:left w:w="108" w:type="dxa"/>
            <w:bottom w:w="0" w:type="dxa"/>
            <w:right w:w="108" w:type="dxa"/>
          </w:tblCellMar>
        </w:tblPrEx>
        <w:trPr>
          <w:trHeight w:val="397" w:hRule="atLeast"/>
          <w:jc w:val="center"/>
        </w:trPr>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室外4芯单模光缆</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1.规格：室外9/125层绞式轻铠装单模光缆</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2.符合TIA/EIA-568-B.3标准，ITU G.651、IEC793-2A1b技术要求</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3.高强度松套管，管内充有阻水油膏</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4.轻铠装结构，中心有一根的钢丝用于增强硬度，外面一层为高强度中心松套管围绕着中心加强钢丝，紧松套管外面为双面涂塑钢带（PSP）加强了光缆的允许压力，抗冲击力及防潮性能</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5.两根平行的钢丝用于增强硬度</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6.外皮备有阻燃型和低烟无卤型，供不同场合使用</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7.衰减：1310nm≤0.36dB/km</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8.1550nm≤0.22dB/km</w:t>
            </w:r>
          </w:p>
        </w:tc>
      </w:tr>
    </w:tbl>
    <w:p>
      <w:pPr>
        <w:rPr>
          <w:rFonts w:ascii="宋体" w:hAnsi="宋体" w:eastAsia="宋体" w:cs="宋体"/>
          <w:szCs w:val="21"/>
        </w:rPr>
      </w:pPr>
      <w:r>
        <w:rPr>
          <w:rFonts w:hint="eastAsia" w:ascii="宋体" w:hAnsi="宋体" w:eastAsia="宋体" w:cs="宋体"/>
          <w:b/>
          <w:bCs/>
          <w:szCs w:val="21"/>
        </w:rPr>
        <w:t>附件37：</w:t>
      </w:r>
      <w:r>
        <w:rPr>
          <w:rStyle w:val="46"/>
          <w:sz w:val="21"/>
          <w:szCs w:val="21"/>
          <w:lang w:bidi="ar"/>
        </w:rPr>
        <w:t>室外12芯单模光缆</w:t>
      </w:r>
    </w:p>
    <w:tbl>
      <w:tblPr>
        <w:tblStyle w:val="11"/>
        <w:tblW w:w="4864" w:type="pct"/>
        <w:jc w:val="center"/>
        <w:tblLayout w:type="fixed"/>
        <w:tblCellMar>
          <w:top w:w="0" w:type="dxa"/>
          <w:left w:w="108" w:type="dxa"/>
          <w:bottom w:w="0" w:type="dxa"/>
          <w:right w:w="108" w:type="dxa"/>
        </w:tblCellMar>
      </w:tblPr>
      <w:tblGrid>
        <w:gridCol w:w="835"/>
        <w:gridCol w:w="8198"/>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室外12芯单模光缆</w:t>
            </w: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1.规格：室外9/125层绞式轻铠装单模光缆</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2.符合TIA/EIA-568-B.3标准，ITU G.651、IEC793-2A1b技术要求</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3.高强度松套管，管内充有阻水油膏</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4.轻铠装结构，中心有一根的钢丝用于增强硬度，外面一层为高强度中心松套管围绕着中心加强钢丝，紧松套管外面为双面涂塑钢带（PSP）加强了光缆的允许压力，抗冲击力及防潮性能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5.两根平行的钢丝用于增强硬度</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6.外皮备有阻燃型和低烟无卤型，供不同场合使用</w:t>
            </w:r>
          </w:p>
        </w:tc>
      </w:tr>
      <w:tr>
        <w:tblPrEx>
          <w:tblCellMar>
            <w:top w:w="0" w:type="dxa"/>
            <w:left w:w="108" w:type="dxa"/>
            <w:bottom w:w="0" w:type="dxa"/>
            <w:right w:w="108" w:type="dxa"/>
          </w:tblCellMar>
        </w:tblPrEx>
        <w:trPr>
          <w:trHeight w:val="43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7.衰减：1310nm≤0.36dB/km 1550nm≤0.22dB/km</w:t>
            </w:r>
          </w:p>
        </w:tc>
      </w:tr>
    </w:tbl>
    <w:p>
      <w:pPr>
        <w:rPr>
          <w:rFonts w:ascii="宋体" w:hAnsi="宋体" w:eastAsia="宋体" w:cs="宋体"/>
          <w:szCs w:val="21"/>
        </w:rPr>
      </w:pPr>
      <w:r>
        <w:rPr>
          <w:rFonts w:hint="eastAsia" w:ascii="宋体" w:hAnsi="宋体" w:eastAsia="宋体" w:cs="宋体"/>
          <w:b/>
          <w:bCs/>
          <w:szCs w:val="21"/>
        </w:rPr>
        <w:t>附件38：</w:t>
      </w:r>
      <w:r>
        <w:rPr>
          <w:rStyle w:val="46"/>
          <w:sz w:val="21"/>
          <w:szCs w:val="21"/>
          <w:lang w:bidi="ar"/>
        </w:rPr>
        <w:t>六类非屏蔽4对电缆B</w:t>
      </w:r>
    </w:p>
    <w:tbl>
      <w:tblPr>
        <w:tblStyle w:val="11"/>
        <w:tblW w:w="4864" w:type="pct"/>
        <w:jc w:val="center"/>
        <w:tblLayout w:type="fixed"/>
        <w:tblCellMar>
          <w:top w:w="0" w:type="dxa"/>
          <w:left w:w="108" w:type="dxa"/>
          <w:bottom w:w="0" w:type="dxa"/>
          <w:right w:w="108" w:type="dxa"/>
        </w:tblCellMar>
      </w:tblPr>
      <w:tblGrid>
        <w:gridCol w:w="835"/>
        <w:gridCol w:w="8198"/>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六类非屏蔽4对电缆B</w:t>
            </w: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1.规格：六类非屏蔽双绞线</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2.BAS六类系列电缆确定了一个新性能评价指标，采用规格23AWG的单芯裸铜为导体，聚乙烯类高分子材料为绝缘体，外皮材料采用阻燃型高分子材料，颜色为水绿色</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3.双绞线符合国际规范（ISO/IEC），规范（ANSI/TIA/EIA），欧洲规范（EN）的要求，电气特性超过六类（Cat.6）国际规范的250MHz要求</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4.电缆中心十字架隔离保证NEXT性能和合理施工弯曲半径</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5.阻抗：100欧姆+/-15</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6.最大直流电阻：9.38欧姆/100米</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7.不平衡电阻：≤5%</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8.最大电容：≤5.6nF/100m</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9.不平衡电容：73.2pF/100米</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10.导体直径：23AWG</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11.绝缘层：高密度聚乙烯</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12.外护套：PVC，厚度0.6mm</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13.防火等级：CMR，LSZH，CM可选</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14.工作温度：-25～+75℃</w:t>
            </w:r>
          </w:p>
        </w:tc>
      </w:tr>
    </w:tbl>
    <w:p>
      <w:pPr>
        <w:rPr>
          <w:rFonts w:ascii="宋体" w:hAnsi="宋体" w:eastAsia="宋体" w:cs="宋体"/>
          <w:szCs w:val="21"/>
        </w:rPr>
      </w:pPr>
      <w:r>
        <w:rPr>
          <w:rFonts w:hint="eastAsia" w:ascii="宋体" w:hAnsi="宋体" w:eastAsia="宋体" w:cs="宋体"/>
          <w:b/>
          <w:bCs/>
          <w:szCs w:val="21"/>
        </w:rPr>
        <w:t>附件39：</w:t>
      </w:r>
      <w:r>
        <w:rPr>
          <w:rStyle w:val="46"/>
          <w:sz w:val="21"/>
          <w:szCs w:val="21"/>
          <w:lang w:bidi="ar"/>
        </w:rPr>
        <w:t>室外防水六类非屏蔽4对电缆B</w:t>
      </w:r>
    </w:p>
    <w:tbl>
      <w:tblPr>
        <w:tblStyle w:val="11"/>
        <w:tblW w:w="4863" w:type="pct"/>
        <w:jc w:val="center"/>
        <w:tblLayout w:type="fixed"/>
        <w:tblCellMar>
          <w:top w:w="0" w:type="dxa"/>
          <w:left w:w="108" w:type="dxa"/>
          <w:bottom w:w="0" w:type="dxa"/>
          <w:right w:w="108" w:type="dxa"/>
        </w:tblCellMar>
      </w:tblPr>
      <w:tblGrid>
        <w:gridCol w:w="833"/>
        <w:gridCol w:w="8199"/>
      </w:tblGrid>
      <w:tr>
        <w:tblPrEx>
          <w:tblCellMar>
            <w:top w:w="0" w:type="dxa"/>
            <w:left w:w="108" w:type="dxa"/>
            <w:bottom w:w="0" w:type="dxa"/>
            <w:right w:w="108" w:type="dxa"/>
          </w:tblCellMar>
        </w:tblPrEx>
        <w:trPr>
          <w:trHeight w:val="397" w:hRule="atLeast"/>
          <w:jc w:val="center"/>
        </w:trPr>
        <w:tc>
          <w:tcPr>
            <w:tcW w:w="833"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8200"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833"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室外防水六类非屏蔽4对电缆B</w:t>
            </w: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1.规格：六类非屏蔽阻水双绞线</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2.BAS六类100欧姆四线对非屏蔽双绞线，采用单芯裸铜为导体，规格23AWG，聚乙烯类高分子材料为绝缘体，外皮材料采用阻燃阻水材料，使得线缆更好的实现非屏蔽六类永久链路和信道传输</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3.双绞线符</w:t>
            </w:r>
            <w:r>
              <w:rPr>
                <w:rFonts w:hint="eastAsia" w:ascii="宋体" w:hAnsi="宋体" w:eastAsia="宋体" w:cs="宋体"/>
                <w:kern w:val="0"/>
                <w:szCs w:val="21"/>
              </w:rPr>
              <w:t>合国际规范（ISO/IEC），美国规范（TIA/EIA），欧洲规范（EN）和澳洲规范的要求；电气特性超过最新Cat.5e国际规范</w:t>
            </w:r>
            <w:r>
              <w:rPr>
                <w:rFonts w:hint="eastAsia" w:ascii="宋体" w:hAnsi="宋体" w:eastAsia="宋体" w:cs="宋体"/>
                <w:color w:val="000000"/>
                <w:kern w:val="0"/>
                <w:szCs w:val="21"/>
                <w:lang w:bidi="ar"/>
              </w:rPr>
              <w:t>的要求</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4.阻抗：100欧姆+/-15</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5.静电电容，Max：17.1nf/每千英尺</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6.直流电阻，Max：28.6欧姆/每千英尺</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7.线对不平衡直流电阻，Max：5%</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8.不平衡电容，Max（线对与地）：330pf/100米</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9.额定传输速率：65%</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10.导体直径：23AWG</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11.外被直径（mm）：5.0±0.2mm</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12.重量（kg/kft）：≥10.5</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13.最小弯曲半径：O.D.X4～6</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14.最大张力（kg）：10.0</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15.外皮：PE</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16.工作温度：-25～75℃</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17.ISO/IEC-11801</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18.EN-50173</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19.TIA/EIA-568-A-5</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20.10兆以太网</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21.100兆快速以太网</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22.100VG-AnyLAN</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23.依赖双绞线介质传输模式</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24.100Mbps铜缆分布数据接口</w:t>
            </w:r>
          </w:p>
        </w:tc>
      </w:tr>
      <w:tr>
        <w:tblPrEx>
          <w:tblCellMar>
            <w:top w:w="0" w:type="dxa"/>
            <w:left w:w="108" w:type="dxa"/>
            <w:bottom w:w="0" w:type="dxa"/>
            <w:right w:w="108" w:type="dxa"/>
          </w:tblCellMar>
        </w:tblPrEx>
        <w:trPr>
          <w:trHeight w:val="397" w:hRule="atLeast"/>
          <w:jc w:val="center"/>
        </w:trPr>
        <w:tc>
          <w:tcPr>
            <w:tcW w:w="83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Cs w:val="21"/>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25.ATM155</w:t>
            </w:r>
          </w:p>
        </w:tc>
      </w:tr>
    </w:tbl>
    <w:p>
      <w:pPr>
        <w:rPr>
          <w:rFonts w:ascii="宋体" w:hAnsi="宋体" w:eastAsia="宋体" w:cs="宋体"/>
          <w:b/>
          <w:bCs/>
          <w:szCs w:val="21"/>
        </w:rPr>
      </w:pPr>
      <w:r>
        <w:rPr>
          <w:rFonts w:hint="eastAsia" w:ascii="宋体" w:hAnsi="宋体" w:eastAsia="宋体" w:cs="宋体"/>
          <w:b/>
          <w:bCs/>
          <w:szCs w:val="21"/>
        </w:rPr>
        <w:t>附件40：</w:t>
      </w:r>
      <w:r>
        <w:rPr>
          <w:rFonts w:hint="eastAsia" w:ascii="宋体" w:hAnsi="宋体" w:eastAsia="宋体" w:cs="宋体"/>
          <w:color w:val="000000"/>
          <w:kern w:val="0"/>
          <w:szCs w:val="21"/>
          <w:lang w:bidi="ar"/>
        </w:rPr>
        <w:t>发布单元</w:t>
      </w:r>
    </w:p>
    <w:tbl>
      <w:tblPr>
        <w:tblStyle w:val="11"/>
        <w:tblW w:w="4867" w:type="pct"/>
        <w:jc w:val="center"/>
        <w:tblLayout w:type="fixed"/>
        <w:tblCellMar>
          <w:top w:w="0" w:type="dxa"/>
          <w:left w:w="108" w:type="dxa"/>
          <w:bottom w:w="0" w:type="dxa"/>
          <w:right w:w="108" w:type="dxa"/>
        </w:tblCellMar>
      </w:tblPr>
      <w:tblGrid>
        <w:gridCol w:w="835"/>
        <w:gridCol w:w="8204"/>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发布单元</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1.模组类型：室内全彩模组</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★2.点间距：3mm</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★3.封装方式：SDM2020</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★4.显示分辨率：64×64</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5.模组尺寸：192×192mm</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6.外壳材料：优质PC</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7.白平衡亮度：800cd/㎡</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8.色温：1000～9500可调</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9.视角：水平140°±10°，垂直140°±10°</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10.发光中心距偏差：≤3%</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11.色度均匀性：±0.003Cx，Cy之内</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12.最大功耗：≤556W/㎡</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13.平均功耗：280W/㎡</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14.驱动方式：1/32恒流驱动</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15.换帧频率：50/60Hz</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16.刷新率：≥1800Hz</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17.像素密度：111111点/㎡</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18.屏幕分辨率：2432×1344</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19.平整度：≤1mm</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20.LED灯寿命典型值：100000Hrs</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21.盲点率：＜0.0003</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22.工作温度范围：-10℃～+50℃</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23.工作湿度范围：10～90%RH</w:t>
            </w:r>
          </w:p>
        </w:tc>
      </w:tr>
    </w:tbl>
    <w:p>
      <w:pPr>
        <w:rPr>
          <w:rFonts w:ascii="宋体" w:hAnsi="宋体" w:eastAsia="宋体" w:cs="宋体"/>
          <w:szCs w:val="21"/>
        </w:rPr>
      </w:pPr>
      <w:r>
        <w:rPr>
          <w:rFonts w:hint="eastAsia" w:ascii="宋体" w:hAnsi="宋体" w:eastAsia="宋体" w:cs="宋体"/>
          <w:b/>
          <w:bCs/>
          <w:szCs w:val="21"/>
        </w:rPr>
        <w:t>附件41：</w:t>
      </w:r>
      <w:r>
        <w:rPr>
          <w:rStyle w:val="46"/>
          <w:sz w:val="21"/>
          <w:szCs w:val="21"/>
          <w:lang w:bidi="ar"/>
        </w:rPr>
        <w:t>控制发送卡</w:t>
      </w:r>
    </w:p>
    <w:tbl>
      <w:tblPr>
        <w:tblStyle w:val="11"/>
        <w:tblW w:w="4864" w:type="pct"/>
        <w:jc w:val="center"/>
        <w:tblLayout w:type="fixed"/>
        <w:tblCellMar>
          <w:top w:w="0" w:type="dxa"/>
          <w:left w:w="108" w:type="dxa"/>
          <w:bottom w:w="0" w:type="dxa"/>
          <w:right w:w="108" w:type="dxa"/>
        </w:tblCellMar>
      </w:tblPr>
      <w:tblGrid>
        <w:gridCol w:w="833"/>
        <w:gridCol w:w="8200"/>
      </w:tblGrid>
      <w:tr>
        <w:tblPrEx>
          <w:tblCellMar>
            <w:top w:w="0" w:type="dxa"/>
            <w:left w:w="108" w:type="dxa"/>
            <w:bottom w:w="0" w:type="dxa"/>
            <w:right w:w="108" w:type="dxa"/>
          </w:tblCellMar>
        </w:tblPrEx>
        <w:trPr>
          <w:trHeight w:val="397" w:hRule="atLeast"/>
          <w:jc w:val="center"/>
        </w:trPr>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名称</w:t>
            </w: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控制发送卡</w:t>
            </w: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1.系统类型：全彩同步控制系统</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2.带载能力：130万像素</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3.控制方式：USB接口控制</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4.视频接口：DVI</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5.音频接口：一路3.5mm接口音频输入</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6.输出接口：2网口</w:t>
            </w:r>
          </w:p>
        </w:tc>
      </w:tr>
    </w:tbl>
    <w:p>
      <w:pPr>
        <w:rPr>
          <w:rFonts w:ascii="宋体" w:hAnsi="宋体" w:eastAsia="宋体" w:cs="宋体"/>
          <w:szCs w:val="21"/>
        </w:rPr>
      </w:pPr>
      <w:r>
        <w:rPr>
          <w:rFonts w:hint="eastAsia" w:ascii="宋体" w:hAnsi="宋体" w:eastAsia="宋体" w:cs="宋体"/>
          <w:b/>
          <w:bCs/>
          <w:szCs w:val="21"/>
        </w:rPr>
        <w:t>附件42：</w:t>
      </w:r>
      <w:r>
        <w:rPr>
          <w:rStyle w:val="46"/>
          <w:sz w:val="21"/>
          <w:szCs w:val="21"/>
          <w:lang w:bidi="ar"/>
        </w:rPr>
        <w:t>控制接收卡</w:t>
      </w:r>
    </w:p>
    <w:tbl>
      <w:tblPr>
        <w:tblStyle w:val="11"/>
        <w:tblW w:w="4864" w:type="pct"/>
        <w:jc w:val="center"/>
        <w:tblLayout w:type="fixed"/>
        <w:tblCellMar>
          <w:top w:w="0" w:type="dxa"/>
          <w:left w:w="108" w:type="dxa"/>
          <w:bottom w:w="0" w:type="dxa"/>
          <w:right w:w="108" w:type="dxa"/>
        </w:tblCellMar>
      </w:tblPr>
      <w:tblGrid>
        <w:gridCol w:w="833"/>
        <w:gridCol w:w="8200"/>
      </w:tblGrid>
      <w:tr>
        <w:tblPrEx>
          <w:tblCellMar>
            <w:top w:w="0" w:type="dxa"/>
            <w:left w:w="108" w:type="dxa"/>
            <w:bottom w:w="0" w:type="dxa"/>
            <w:right w:w="108" w:type="dxa"/>
          </w:tblCellMar>
        </w:tblPrEx>
        <w:trPr>
          <w:trHeight w:val="397" w:hRule="atLeast"/>
          <w:jc w:val="center"/>
        </w:trPr>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控制接收卡</w:t>
            </w: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1.单卡最大带载512×512像素，最多支持24组RGB并行数据</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2.采用12个标准HUB75E接口，具有高稳定性和高可靠性，适用于多种环境的搭建</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3.色彩管理将显示色域在多个色域之间自由切换，使显示屏色彩更加精准</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4.快速亮暗线调节在调试软件上进行快速亮暗线调节，快速解决因箱体及模组拼接造成的显示屏亮暗线，调节过程中即时生效，简单易用</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5.配合支持3D功能的独立主控，在软件或独立主控的操作面板上开启3D功能，并设置3D参数，使画面显示3D效果</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6.可以将指定图片设置为显示屏的开机、网线断开或无视频源信号时的画面或者最后一帧画面</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7.单卡自带温度和电压监测，监测自身的温度和电压，无需其他外设</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8.支持逐点亮色度校正，对每个灯点的亮度和色度进行校正，有效消除色差，使整屏亮度和色度达到高度均匀一致，提高显示屏的画质</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9.支持18Bit+使LED显示屏灰阶提升4倍，有效处理低亮时灰度丢失问题，使图像显示更细腻</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10.采用环路备份的方式使接收卡与发送卡间通过主备线路连接成环路。线路某处出现故障时，屏体仍能正常显示</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11.接收卡配置参数同时存储在接收卡的应用区和工厂区。用户平时操作应用区的配置参数，需要时可将工厂区的配置参数恢复至应用区</w:t>
            </w:r>
          </w:p>
        </w:tc>
      </w:tr>
      <w:tr>
        <w:tblPrEx>
          <w:tblCellMar>
            <w:top w:w="0" w:type="dxa"/>
            <w:left w:w="108" w:type="dxa"/>
            <w:bottom w:w="0" w:type="dxa"/>
            <w:right w:w="108" w:type="dxa"/>
          </w:tblCellMar>
        </w:tblPrEx>
        <w:trPr>
          <w:trHeight w:val="397" w:hRule="atLeast"/>
          <w:jc w:val="center"/>
        </w:trPr>
        <w:tc>
          <w:tcPr>
            <w:tcW w:w="4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12.采用双程序备份，接收卡出厂时保存了两份应用程序，以防程序更新过程异常导致的接收卡死锁问题</w:t>
            </w:r>
          </w:p>
        </w:tc>
      </w:tr>
    </w:tbl>
    <w:p>
      <w:pPr>
        <w:rPr>
          <w:rFonts w:ascii="宋体" w:hAnsi="宋体" w:eastAsia="宋体" w:cs="宋体"/>
          <w:szCs w:val="21"/>
        </w:rPr>
      </w:pPr>
      <w:r>
        <w:rPr>
          <w:rFonts w:hint="eastAsia" w:ascii="宋体" w:hAnsi="宋体" w:eastAsia="宋体" w:cs="宋体"/>
          <w:b/>
          <w:bCs/>
          <w:szCs w:val="21"/>
        </w:rPr>
        <w:t>附件43：</w:t>
      </w:r>
      <w:r>
        <w:rPr>
          <w:rStyle w:val="46"/>
          <w:sz w:val="21"/>
          <w:szCs w:val="21"/>
          <w:lang w:bidi="ar"/>
        </w:rPr>
        <w:t>处理器A</w:t>
      </w:r>
    </w:p>
    <w:tbl>
      <w:tblPr>
        <w:tblStyle w:val="11"/>
        <w:tblW w:w="4865" w:type="pct"/>
        <w:jc w:val="center"/>
        <w:tblLayout w:type="fixed"/>
        <w:tblCellMar>
          <w:top w:w="0" w:type="dxa"/>
          <w:left w:w="108" w:type="dxa"/>
          <w:bottom w:w="0" w:type="dxa"/>
          <w:right w:w="108" w:type="dxa"/>
        </w:tblCellMar>
      </w:tblPr>
      <w:tblGrid>
        <w:gridCol w:w="835"/>
        <w:gridCol w:w="8200"/>
      </w:tblGrid>
      <w:tr>
        <w:tblPrEx>
          <w:tblCellMar>
            <w:top w:w="0" w:type="dxa"/>
            <w:left w:w="108" w:type="dxa"/>
            <w:bottom w:w="0" w:type="dxa"/>
            <w:right w:w="108" w:type="dxa"/>
          </w:tblCellMar>
        </w:tblPrEx>
        <w:trPr>
          <w:trHeight w:val="397" w:hRule="atLeast"/>
          <w:jc w:val="center"/>
        </w:trPr>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Cs w:val="21"/>
              </w:rPr>
            </w:pPr>
            <w:r>
              <w:rPr>
                <w:rStyle w:val="46"/>
                <w:sz w:val="21"/>
                <w:szCs w:val="21"/>
                <w:lang w:bidi="ar"/>
              </w:rPr>
              <w:t>处理器A</w:t>
            </w: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1.支持常见的视频接口，包括2路HDMI1.3，1路DVI</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2.支持3.5mm音频输入和3.5mm音频输出</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3.支持3个窗口和1路OSD</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4.支持快捷配屏和高级配屏功能</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5.支持HDMI、DVI输入分辨率自定义调节</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6.支持设备间备份设置</w:t>
            </w:r>
          </w:p>
        </w:tc>
      </w:tr>
      <w:tr>
        <w:tblPrEx>
          <w:tblCellMar>
            <w:top w:w="0" w:type="dxa"/>
            <w:left w:w="108" w:type="dxa"/>
            <w:bottom w:w="0" w:type="dxa"/>
            <w:right w:w="108" w:type="dxa"/>
          </w:tblCellMar>
        </w:tblPrEx>
        <w:trPr>
          <w:trHeight w:val="397" w:hRule="atLeast"/>
          <w:jc w:val="center"/>
        </w:trPr>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Cs w:val="21"/>
              </w:rPr>
            </w:pPr>
          </w:p>
        </w:tc>
        <w:tc>
          <w:tcPr>
            <w:tcW w:w="453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7.视频输出最大带载高达390万像素</w:t>
            </w:r>
          </w:p>
        </w:tc>
      </w:tr>
    </w:tbl>
    <w:p>
      <w:pPr>
        <w:rPr>
          <w:rFonts w:ascii="宋体" w:hAnsi="宋体" w:eastAsia="宋体" w:cs="宋体"/>
          <w:szCs w:val="21"/>
        </w:rPr>
      </w:pPr>
      <w:r>
        <w:rPr>
          <w:rFonts w:hint="eastAsia" w:ascii="宋体" w:hAnsi="宋体" w:eastAsia="宋体" w:cs="宋体"/>
          <w:b/>
          <w:bCs/>
          <w:szCs w:val="21"/>
        </w:rPr>
        <w:t>附件44：</w:t>
      </w:r>
      <w:r>
        <w:rPr>
          <w:rStyle w:val="46"/>
          <w:sz w:val="21"/>
          <w:szCs w:val="21"/>
          <w:lang w:bidi="ar"/>
        </w:rPr>
        <w:t>处理器B</w:t>
      </w:r>
    </w:p>
    <w:tbl>
      <w:tblPr>
        <w:tblStyle w:val="11"/>
        <w:tblW w:w="4868" w:type="pct"/>
        <w:jc w:val="center"/>
        <w:tblLayout w:type="fixed"/>
        <w:tblCellMar>
          <w:top w:w="0" w:type="dxa"/>
          <w:left w:w="108" w:type="dxa"/>
          <w:bottom w:w="0" w:type="dxa"/>
          <w:right w:w="108" w:type="dxa"/>
        </w:tblCellMar>
      </w:tblPr>
      <w:tblGrid>
        <w:gridCol w:w="837"/>
        <w:gridCol w:w="8204"/>
      </w:tblGrid>
      <w:tr>
        <w:tblPrEx>
          <w:tblCellMar>
            <w:top w:w="0" w:type="dxa"/>
            <w:left w:w="108" w:type="dxa"/>
            <w:bottom w:w="0" w:type="dxa"/>
            <w:right w:w="108" w:type="dxa"/>
          </w:tblCellMar>
        </w:tblPrEx>
        <w:trPr>
          <w:trHeight w:val="397" w:hRule="atLeast"/>
          <w:jc w:val="center"/>
        </w:trPr>
        <w:tc>
          <w:tcPr>
            <w:tcW w:w="4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Cs w:val="21"/>
              </w:rPr>
            </w:pPr>
            <w:r>
              <w:rPr>
                <w:rStyle w:val="46"/>
                <w:sz w:val="21"/>
                <w:szCs w:val="21"/>
                <w:lang w:bidi="ar"/>
              </w:rPr>
              <w:t>处理器B</w:t>
            </w: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1.DVI视频输入</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2.音频传输</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3.双网口输出，双网线热备份，多主控热备份</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4.USB接口控制，可多台级联进行统一控制</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5.带载能力130万像素，带载分辨率为1280×1024@60Hz，1024×1200@60Hz，1600×848@60Hz，1920×712@60Hz，2048×668@60Hz及其他自定义分辨率</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6.水平分辨率最高可达3840像素；垂直分辨率最高可达3840像素</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7.一路光探测头接口，自适应屏体亮度调节</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8.独立供电电源</w:t>
            </w:r>
          </w:p>
        </w:tc>
      </w:tr>
      <w:tr>
        <w:tblPrEx>
          <w:tblCellMar>
            <w:top w:w="0" w:type="dxa"/>
            <w:left w:w="108" w:type="dxa"/>
            <w:bottom w:w="0" w:type="dxa"/>
            <w:right w:w="108" w:type="dxa"/>
          </w:tblCellMar>
        </w:tblPrEx>
        <w:trPr>
          <w:trHeight w:val="397" w:hRule="atLeast"/>
          <w:jc w:val="center"/>
        </w:trPr>
        <w:tc>
          <w:tcPr>
            <w:tcW w:w="46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Cs w:val="21"/>
              </w:rPr>
            </w:pPr>
          </w:p>
        </w:tc>
        <w:tc>
          <w:tcPr>
            <w:tcW w:w="453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9.认证：CE、RoHS、EAC、FCC、IC</w:t>
            </w:r>
          </w:p>
        </w:tc>
      </w:tr>
    </w:tbl>
    <w:p>
      <w:pPr>
        <w:rPr>
          <w:rFonts w:ascii="宋体" w:hAnsi="宋体" w:eastAsia="宋体" w:cs="宋体"/>
          <w:b/>
          <w:bCs/>
          <w:szCs w:val="21"/>
        </w:rPr>
      </w:pPr>
      <w:r>
        <w:rPr>
          <w:rFonts w:hint="eastAsia" w:ascii="宋体" w:hAnsi="宋体" w:eastAsia="宋体" w:cs="宋体"/>
          <w:b/>
          <w:bCs/>
          <w:szCs w:val="21"/>
        </w:rPr>
        <w:t>附件45：</w:t>
      </w:r>
      <w:r>
        <w:rPr>
          <w:rStyle w:val="46"/>
          <w:sz w:val="21"/>
          <w:szCs w:val="21"/>
          <w:lang w:bidi="ar"/>
        </w:rPr>
        <w:t>专业功放</w:t>
      </w:r>
    </w:p>
    <w:tbl>
      <w:tblPr>
        <w:tblStyle w:val="11"/>
        <w:tblW w:w="4870" w:type="pct"/>
        <w:jc w:val="center"/>
        <w:tblLayout w:type="fixed"/>
        <w:tblCellMar>
          <w:top w:w="0" w:type="dxa"/>
          <w:left w:w="108" w:type="dxa"/>
          <w:bottom w:w="0" w:type="dxa"/>
          <w:right w:w="108" w:type="dxa"/>
        </w:tblCellMar>
      </w:tblPr>
      <w:tblGrid>
        <w:gridCol w:w="839"/>
        <w:gridCol w:w="8206"/>
      </w:tblGrid>
      <w:tr>
        <w:tblPrEx>
          <w:tblCellMar>
            <w:top w:w="0" w:type="dxa"/>
            <w:left w:w="108" w:type="dxa"/>
            <w:bottom w:w="0" w:type="dxa"/>
            <w:right w:w="108" w:type="dxa"/>
          </w:tblCellMar>
        </w:tblPrEx>
        <w:trPr>
          <w:trHeight w:val="397" w:hRule="atLeast"/>
          <w:jc w:val="center"/>
        </w:trPr>
        <w:tc>
          <w:tcPr>
            <w:tcW w:w="46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名称</w:t>
            </w: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4"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专业功放</w:t>
            </w: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szCs w:val="21"/>
              </w:rPr>
            </w:pPr>
            <w:r>
              <w:rPr>
                <w:rFonts w:hint="eastAsia" w:ascii="宋体" w:hAnsi="宋体" w:eastAsia="宋体" w:cs="宋体"/>
                <w:color w:val="000000"/>
                <w:kern w:val="0"/>
                <w:szCs w:val="21"/>
                <w:lang w:bidi="ar"/>
              </w:rPr>
              <w:t>1."2×500W专业2通道8Ω</w:t>
            </w:r>
          </w:p>
        </w:tc>
      </w:tr>
      <w:tr>
        <w:tblPrEx>
          <w:tblCellMar>
            <w:top w:w="0" w:type="dxa"/>
            <w:left w:w="108" w:type="dxa"/>
            <w:bottom w:w="0" w:type="dxa"/>
            <w:right w:w="108" w:type="dxa"/>
          </w:tblCellMar>
        </w:tblPrEx>
        <w:trPr>
          <w:trHeight w:val="397" w:hRule="atLeast"/>
          <w:jc w:val="center"/>
        </w:trPr>
        <w:tc>
          <w:tcPr>
            <w:tcW w:w="464" w:type="pct"/>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szCs w:val="21"/>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2.输出功率：500W×2 4Ω</w:t>
            </w:r>
          </w:p>
        </w:tc>
      </w:tr>
      <w:tr>
        <w:tblPrEx>
          <w:tblCellMar>
            <w:top w:w="0" w:type="dxa"/>
            <w:left w:w="108" w:type="dxa"/>
            <w:bottom w:w="0" w:type="dxa"/>
            <w:right w:w="108" w:type="dxa"/>
          </w:tblCellMar>
        </w:tblPrEx>
        <w:trPr>
          <w:trHeight w:val="397" w:hRule="atLeast"/>
          <w:jc w:val="center"/>
        </w:trPr>
        <w:tc>
          <w:tcPr>
            <w:tcW w:w="464" w:type="pct"/>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3.输出功率：800W×2 8Ω</w:t>
            </w:r>
          </w:p>
        </w:tc>
      </w:tr>
      <w:tr>
        <w:tblPrEx>
          <w:tblCellMar>
            <w:top w:w="0" w:type="dxa"/>
            <w:left w:w="108" w:type="dxa"/>
            <w:bottom w:w="0" w:type="dxa"/>
            <w:right w:w="108" w:type="dxa"/>
          </w:tblCellMar>
        </w:tblPrEx>
        <w:trPr>
          <w:trHeight w:val="397" w:hRule="atLeast"/>
          <w:jc w:val="center"/>
        </w:trPr>
        <w:tc>
          <w:tcPr>
            <w:tcW w:w="464" w:type="pct"/>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4.桥接：1000W</w:t>
            </w:r>
          </w:p>
        </w:tc>
      </w:tr>
      <w:tr>
        <w:tblPrEx>
          <w:tblCellMar>
            <w:top w:w="0" w:type="dxa"/>
            <w:left w:w="108" w:type="dxa"/>
            <w:bottom w:w="0" w:type="dxa"/>
            <w:right w:w="108" w:type="dxa"/>
          </w:tblCellMar>
        </w:tblPrEx>
        <w:trPr>
          <w:trHeight w:val="397" w:hRule="atLeast"/>
          <w:jc w:val="center"/>
        </w:trPr>
        <w:tc>
          <w:tcPr>
            <w:tcW w:w="464" w:type="pct"/>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5.频率响应：20Hz+20KHz</w:t>
            </w:r>
          </w:p>
        </w:tc>
      </w:tr>
      <w:tr>
        <w:tblPrEx>
          <w:tblCellMar>
            <w:top w:w="0" w:type="dxa"/>
            <w:left w:w="108" w:type="dxa"/>
            <w:bottom w:w="0" w:type="dxa"/>
            <w:right w:w="108" w:type="dxa"/>
          </w:tblCellMar>
        </w:tblPrEx>
        <w:trPr>
          <w:trHeight w:val="397" w:hRule="atLeast"/>
          <w:jc w:val="center"/>
        </w:trPr>
        <w:tc>
          <w:tcPr>
            <w:tcW w:w="464" w:type="pct"/>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6.灵敏度：0.755V，1.0V，1.55V</w:t>
            </w:r>
          </w:p>
        </w:tc>
      </w:tr>
      <w:tr>
        <w:tblPrEx>
          <w:tblCellMar>
            <w:top w:w="0" w:type="dxa"/>
            <w:left w:w="108" w:type="dxa"/>
            <w:bottom w:w="0" w:type="dxa"/>
            <w:right w:w="108" w:type="dxa"/>
          </w:tblCellMar>
        </w:tblPrEx>
        <w:trPr>
          <w:trHeight w:val="397" w:hRule="atLeast"/>
          <w:jc w:val="center"/>
        </w:trPr>
        <w:tc>
          <w:tcPr>
            <w:tcW w:w="464" w:type="pct"/>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7.信燥比：＜-75dB分离度：＜-70dB</w:t>
            </w:r>
          </w:p>
        </w:tc>
      </w:tr>
      <w:tr>
        <w:tblPrEx>
          <w:tblCellMar>
            <w:top w:w="0" w:type="dxa"/>
            <w:left w:w="108" w:type="dxa"/>
            <w:bottom w:w="0" w:type="dxa"/>
            <w:right w:w="108" w:type="dxa"/>
          </w:tblCellMar>
        </w:tblPrEx>
        <w:trPr>
          <w:trHeight w:val="397" w:hRule="atLeast"/>
          <w:jc w:val="center"/>
        </w:trPr>
        <w:tc>
          <w:tcPr>
            <w:tcW w:w="464" w:type="pct"/>
            <w:vMerge w:val="continue"/>
            <w:tcBorders>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p>
        </w:tc>
        <w:tc>
          <w:tcPr>
            <w:tcW w:w="453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8.转换速度：＞60V/u S"</w:t>
            </w:r>
          </w:p>
        </w:tc>
      </w:tr>
    </w:tbl>
    <w:p>
      <w:pPr>
        <w:rPr>
          <w:rFonts w:ascii="宋体" w:hAnsi="宋体" w:eastAsia="宋体" w:cs="宋体"/>
          <w:szCs w:val="21"/>
        </w:rPr>
      </w:pPr>
      <w:r>
        <w:rPr>
          <w:rFonts w:hint="eastAsia" w:ascii="宋体" w:hAnsi="宋体" w:eastAsia="宋体" w:cs="宋体"/>
          <w:b/>
          <w:bCs/>
          <w:szCs w:val="21"/>
        </w:rPr>
        <w:t>附件46：</w:t>
      </w:r>
      <w:r>
        <w:rPr>
          <w:rStyle w:val="46"/>
          <w:sz w:val="21"/>
          <w:szCs w:val="21"/>
          <w:lang w:bidi="ar"/>
        </w:rPr>
        <w:t>专业音响</w:t>
      </w:r>
    </w:p>
    <w:tbl>
      <w:tblPr>
        <w:tblStyle w:val="11"/>
        <w:tblW w:w="4868" w:type="pct"/>
        <w:jc w:val="center"/>
        <w:tblLayout w:type="fixed"/>
        <w:tblCellMar>
          <w:top w:w="0" w:type="dxa"/>
          <w:left w:w="108" w:type="dxa"/>
          <w:bottom w:w="0" w:type="dxa"/>
          <w:right w:w="108" w:type="dxa"/>
        </w:tblCellMar>
      </w:tblPr>
      <w:tblGrid>
        <w:gridCol w:w="837"/>
        <w:gridCol w:w="8204"/>
      </w:tblGrid>
      <w:tr>
        <w:tblPrEx>
          <w:tblCellMar>
            <w:top w:w="0" w:type="dxa"/>
            <w:left w:w="108" w:type="dxa"/>
            <w:bottom w:w="0" w:type="dxa"/>
            <w:right w:w="108" w:type="dxa"/>
          </w:tblCellMar>
        </w:tblPrEx>
        <w:trPr>
          <w:trHeight w:val="397" w:hRule="atLeast"/>
          <w:jc w:val="center"/>
        </w:trPr>
        <w:tc>
          <w:tcPr>
            <w:tcW w:w="83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名称</w:t>
            </w:r>
          </w:p>
        </w:tc>
        <w:tc>
          <w:tcPr>
            <w:tcW w:w="820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837" w:type="dxa"/>
            <w:vMerge w:val="restart"/>
            <w:tcBorders>
              <w:top w:val="single" w:color="auto" w:sz="4" w:space="0"/>
              <w:left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专业音响</w:t>
            </w:r>
          </w:p>
        </w:tc>
        <w:tc>
          <w:tcPr>
            <w:tcW w:w="8204"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szCs w:val="21"/>
              </w:rPr>
            </w:pPr>
            <w:r>
              <w:rPr>
                <w:rFonts w:hint="eastAsia" w:ascii="宋体" w:hAnsi="宋体" w:eastAsia="宋体" w:cs="宋体"/>
                <w:color w:val="000000"/>
                <w:kern w:val="0"/>
                <w:szCs w:val="21"/>
                <w:lang w:bidi="ar"/>
              </w:rPr>
              <w:t>1.遵循传统创新的设计理念，同时还提供紧凑的外形尺寸和优美音质的价值10寸高效低音喇叭设计（65MM音圈和170MM磁铁）</w:t>
            </w:r>
          </w:p>
        </w:tc>
      </w:tr>
      <w:tr>
        <w:tblPrEx>
          <w:tblCellMar>
            <w:top w:w="0" w:type="dxa"/>
            <w:left w:w="108" w:type="dxa"/>
            <w:bottom w:w="0" w:type="dxa"/>
            <w:right w:w="108" w:type="dxa"/>
          </w:tblCellMar>
        </w:tblPrEx>
        <w:trPr>
          <w:trHeight w:val="397" w:hRule="atLeast"/>
          <w:jc w:val="center"/>
        </w:trPr>
        <w:tc>
          <w:tcPr>
            <w:tcW w:w="837" w:type="dxa"/>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szCs w:val="21"/>
              </w:rPr>
            </w:pPr>
          </w:p>
        </w:tc>
        <w:tc>
          <w:tcPr>
            <w:tcW w:w="82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2.1.75寸环形聚合物隔膜压缩驱动器（44MM音圈）</w:t>
            </w:r>
          </w:p>
        </w:tc>
      </w:tr>
      <w:tr>
        <w:tblPrEx>
          <w:tblCellMar>
            <w:top w:w="0" w:type="dxa"/>
            <w:left w:w="108" w:type="dxa"/>
            <w:bottom w:w="0" w:type="dxa"/>
            <w:right w:w="108" w:type="dxa"/>
          </w:tblCellMar>
        </w:tblPrEx>
        <w:trPr>
          <w:trHeight w:val="397" w:hRule="atLeast"/>
          <w:jc w:val="center"/>
        </w:trPr>
        <w:tc>
          <w:tcPr>
            <w:tcW w:w="837" w:type="dxa"/>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szCs w:val="21"/>
              </w:rPr>
            </w:pPr>
          </w:p>
        </w:tc>
        <w:tc>
          <w:tcPr>
            <w:tcW w:w="82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3.箱体由15MM桦木面夹板精制而成，坚固耐用</w:t>
            </w:r>
          </w:p>
        </w:tc>
      </w:tr>
      <w:tr>
        <w:tblPrEx>
          <w:tblCellMar>
            <w:top w:w="0" w:type="dxa"/>
            <w:left w:w="108" w:type="dxa"/>
            <w:bottom w:w="0" w:type="dxa"/>
            <w:right w:w="108" w:type="dxa"/>
          </w:tblCellMar>
        </w:tblPrEx>
        <w:trPr>
          <w:trHeight w:val="397" w:hRule="atLeast"/>
          <w:jc w:val="center"/>
        </w:trPr>
        <w:tc>
          <w:tcPr>
            <w:tcW w:w="837" w:type="dxa"/>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szCs w:val="21"/>
              </w:rPr>
            </w:pPr>
          </w:p>
        </w:tc>
        <w:tc>
          <w:tcPr>
            <w:tcW w:w="82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4</w:t>
            </w:r>
            <w:r>
              <w:rPr>
                <w:rFonts w:ascii="宋体" w:hAnsi="宋体" w:eastAsia="宋体" w:cs="宋体"/>
                <w:color w:val="000000"/>
                <w:kern w:val="0"/>
                <w:szCs w:val="21"/>
                <w:lang w:bidi="ar"/>
              </w:rPr>
              <w:t>.70</w:t>
            </w:r>
            <w:r>
              <w:rPr>
                <w:rFonts w:hint="eastAsia" w:ascii="宋体" w:hAnsi="宋体" w:eastAsia="宋体" w:cs="宋体"/>
                <w:color w:val="000000"/>
                <w:kern w:val="0"/>
                <w:szCs w:val="21"/>
                <w:lang w:bidi="ar"/>
              </w:rPr>
              <w:t>度×</w:t>
            </w:r>
            <w:r>
              <w:rPr>
                <w:rFonts w:ascii="宋体" w:hAnsi="宋体" w:eastAsia="宋体" w:cs="宋体"/>
                <w:color w:val="000000"/>
                <w:kern w:val="0"/>
                <w:szCs w:val="21"/>
                <w:lang w:bidi="ar"/>
              </w:rPr>
              <w:t>100</w:t>
            </w:r>
            <w:r>
              <w:rPr>
                <w:rFonts w:hint="eastAsia" w:ascii="宋体" w:hAnsi="宋体" w:eastAsia="宋体" w:cs="宋体"/>
                <w:color w:val="000000"/>
                <w:kern w:val="0"/>
                <w:szCs w:val="21"/>
                <w:lang w:bidi="ar"/>
              </w:rPr>
              <w:t>度号角，大范围覆盖模式，音箱竖向和横向均可使用</w:t>
            </w:r>
          </w:p>
        </w:tc>
      </w:tr>
      <w:tr>
        <w:tblPrEx>
          <w:tblCellMar>
            <w:top w:w="0" w:type="dxa"/>
            <w:left w:w="108" w:type="dxa"/>
            <w:bottom w:w="0" w:type="dxa"/>
            <w:right w:w="108" w:type="dxa"/>
          </w:tblCellMar>
        </w:tblPrEx>
        <w:trPr>
          <w:trHeight w:val="397" w:hRule="atLeast"/>
          <w:jc w:val="center"/>
        </w:trPr>
        <w:tc>
          <w:tcPr>
            <w:tcW w:w="837" w:type="dxa"/>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p>
        </w:tc>
        <w:tc>
          <w:tcPr>
            <w:tcW w:w="82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5.多种吊挂模式，适用于任何场合</w:t>
            </w:r>
          </w:p>
        </w:tc>
      </w:tr>
      <w:tr>
        <w:tblPrEx>
          <w:tblCellMar>
            <w:top w:w="0" w:type="dxa"/>
            <w:left w:w="108" w:type="dxa"/>
            <w:bottom w:w="0" w:type="dxa"/>
            <w:right w:w="108" w:type="dxa"/>
          </w:tblCellMar>
        </w:tblPrEx>
        <w:trPr>
          <w:trHeight w:val="397" w:hRule="atLeast"/>
          <w:jc w:val="center"/>
        </w:trPr>
        <w:tc>
          <w:tcPr>
            <w:tcW w:w="837" w:type="dxa"/>
            <w:vMerge w:val="continue"/>
            <w:tcBorders>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p>
        </w:tc>
        <w:tc>
          <w:tcPr>
            <w:tcW w:w="82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6.创新精密设计的分频器，发挥高低音喇叭更好的音色表现</w:t>
            </w:r>
          </w:p>
        </w:tc>
      </w:tr>
    </w:tbl>
    <w:p>
      <w:pPr>
        <w:rPr>
          <w:rFonts w:ascii="宋体" w:hAnsi="宋体" w:eastAsia="宋体" w:cs="宋体"/>
          <w:szCs w:val="21"/>
        </w:rPr>
      </w:pPr>
      <w:r>
        <w:rPr>
          <w:rFonts w:hint="eastAsia" w:ascii="宋体" w:hAnsi="宋体" w:eastAsia="宋体" w:cs="宋体"/>
          <w:b/>
          <w:bCs/>
          <w:szCs w:val="21"/>
        </w:rPr>
        <w:t>附件47：</w:t>
      </w:r>
      <w:r>
        <w:rPr>
          <w:rStyle w:val="46"/>
          <w:sz w:val="21"/>
          <w:szCs w:val="21"/>
          <w:lang w:bidi="ar"/>
        </w:rPr>
        <w:t>调音台</w:t>
      </w:r>
    </w:p>
    <w:tbl>
      <w:tblPr>
        <w:tblStyle w:val="11"/>
        <w:tblW w:w="4863" w:type="pct"/>
        <w:jc w:val="center"/>
        <w:tblLayout w:type="fixed"/>
        <w:tblCellMar>
          <w:top w:w="0" w:type="dxa"/>
          <w:left w:w="108" w:type="dxa"/>
          <w:bottom w:w="0" w:type="dxa"/>
          <w:right w:w="108" w:type="dxa"/>
        </w:tblCellMar>
      </w:tblPr>
      <w:tblGrid>
        <w:gridCol w:w="832"/>
        <w:gridCol w:w="8200"/>
      </w:tblGrid>
      <w:tr>
        <w:tblPrEx>
          <w:tblCellMar>
            <w:top w:w="0" w:type="dxa"/>
            <w:left w:w="108" w:type="dxa"/>
            <w:bottom w:w="0" w:type="dxa"/>
            <w:right w:w="108" w:type="dxa"/>
          </w:tblCellMar>
        </w:tblPrEx>
        <w:trPr>
          <w:trHeight w:val="397" w:hRule="atLeast"/>
          <w:jc w:val="center"/>
        </w:trPr>
        <w:tc>
          <w:tcPr>
            <w:tcW w:w="83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名称</w:t>
            </w: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832" w:type="dxa"/>
            <w:vMerge w:val="restart"/>
            <w:tcBorders>
              <w:top w:val="single" w:color="auto" w:sz="4" w:space="0"/>
              <w:left w:val="single" w:color="auto" w:sz="4" w:space="0"/>
              <w:right w:val="single" w:color="auto" w:sz="4" w:space="0"/>
            </w:tcBorders>
            <w:shd w:val="clear" w:color="auto" w:fill="auto"/>
            <w:vAlign w:val="center"/>
          </w:tcPr>
          <w:p>
            <w:pPr>
              <w:widowControl/>
              <w:jc w:val="center"/>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调音台</w:t>
            </w: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w:t>
            </w:r>
            <w:r>
              <w:rPr>
                <w:rFonts w:ascii="宋体" w:hAnsi="宋体" w:eastAsia="宋体" w:cs="宋体"/>
                <w:color w:val="000000"/>
                <w:kern w:val="0"/>
                <w:szCs w:val="21"/>
                <w:lang w:bidi="ar"/>
              </w:rPr>
              <w:t>.</w:t>
            </w:r>
            <w:r>
              <w:rPr>
                <w:rFonts w:hint="eastAsia" w:ascii="宋体" w:hAnsi="宋体" w:eastAsia="宋体" w:cs="宋体"/>
                <w:color w:val="000000"/>
                <w:kern w:val="0"/>
                <w:szCs w:val="21"/>
                <w:lang w:bidi="ar"/>
              </w:rPr>
              <w:t>真正的两编组调音台</w:t>
            </w:r>
          </w:p>
        </w:tc>
      </w:tr>
      <w:tr>
        <w:tblPrEx>
          <w:tblCellMar>
            <w:top w:w="0" w:type="dxa"/>
            <w:left w:w="108" w:type="dxa"/>
            <w:bottom w:w="0" w:type="dxa"/>
            <w:right w:w="108" w:type="dxa"/>
          </w:tblCellMar>
        </w:tblPrEx>
        <w:trPr>
          <w:trHeight w:val="397" w:hRule="atLeast"/>
          <w:jc w:val="center"/>
        </w:trPr>
        <w:tc>
          <w:tcPr>
            <w:tcW w:w="832" w:type="dxa"/>
            <w:vMerge w:val="continue"/>
            <w:tcBorders>
              <w:left w:val="single" w:color="auto" w:sz="4" w:space="0"/>
              <w:right w:val="single" w:color="auto" w:sz="4" w:space="0"/>
            </w:tcBorders>
            <w:shd w:val="clear" w:color="auto" w:fill="auto"/>
            <w:vAlign w:val="center"/>
          </w:tcPr>
          <w:p>
            <w:pPr>
              <w:widowControl/>
              <w:jc w:val="center"/>
              <w:textAlignment w:val="center"/>
              <w:rPr>
                <w:rFonts w:hint="eastAsia" w:ascii="宋体" w:hAnsi="宋体" w:eastAsia="宋体" w:cs="宋体"/>
                <w:color w:val="000000"/>
                <w:kern w:val="0"/>
                <w:szCs w:val="21"/>
                <w:lang w:bidi="ar"/>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w:t>
            </w:r>
            <w:r>
              <w:rPr>
                <w:rFonts w:ascii="宋体" w:hAnsi="宋体" w:eastAsia="宋体" w:cs="宋体"/>
                <w:color w:val="000000"/>
                <w:kern w:val="0"/>
                <w:szCs w:val="21"/>
                <w:lang w:bidi="ar"/>
              </w:rPr>
              <w:t>.8</w:t>
            </w:r>
            <w:r>
              <w:rPr>
                <w:rFonts w:hint="eastAsia" w:ascii="宋体" w:hAnsi="宋体" w:eastAsia="宋体" w:cs="宋体"/>
                <w:color w:val="000000"/>
                <w:kern w:val="0"/>
                <w:szCs w:val="21"/>
                <w:lang w:bidi="ar"/>
              </w:rPr>
              <w:t>路单声道与2组立体声输入</w:t>
            </w:r>
          </w:p>
        </w:tc>
      </w:tr>
      <w:tr>
        <w:tblPrEx>
          <w:tblCellMar>
            <w:top w:w="0" w:type="dxa"/>
            <w:left w:w="108" w:type="dxa"/>
            <w:bottom w:w="0" w:type="dxa"/>
            <w:right w:w="108" w:type="dxa"/>
          </w:tblCellMar>
        </w:tblPrEx>
        <w:trPr>
          <w:trHeight w:val="397" w:hRule="atLeast"/>
          <w:jc w:val="center"/>
        </w:trPr>
        <w:tc>
          <w:tcPr>
            <w:tcW w:w="832" w:type="dxa"/>
            <w:vMerge w:val="continue"/>
            <w:tcBorders>
              <w:left w:val="single" w:color="auto" w:sz="4" w:space="0"/>
              <w:right w:val="single" w:color="auto" w:sz="4" w:space="0"/>
            </w:tcBorders>
            <w:shd w:val="clear" w:color="auto" w:fill="auto"/>
            <w:vAlign w:val="center"/>
          </w:tcPr>
          <w:p>
            <w:pPr>
              <w:widowControl/>
              <w:jc w:val="center"/>
              <w:textAlignment w:val="center"/>
              <w:rPr>
                <w:rFonts w:hint="eastAsia" w:ascii="宋体" w:hAnsi="宋体" w:eastAsia="宋体" w:cs="宋体"/>
                <w:color w:val="000000"/>
                <w:kern w:val="0"/>
                <w:szCs w:val="21"/>
                <w:lang w:bidi="ar"/>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w:t>
            </w:r>
            <w:r>
              <w:rPr>
                <w:rFonts w:ascii="宋体" w:hAnsi="宋体" w:eastAsia="宋体" w:cs="宋体"/>
                <w:color w:val="000000"/>
                <w:kern w:val="0"/>
                <w:szCs w:val="21"/>
                <w:lang w:bidi="ar"/>
              </w:rPr>
              <w:t>.</w:t>
            </w:r>
            <w:r>
              <w:rPr>
                <w:rFonts w:hint="eastAsia" w:ascii="宋体" w:hAnsi="宋体" w:eastAsia="宋体" w:cs="宋体"/>
                <w:color w:val="000000"/>
                <w:kern w:val="0"/>
                <w:szCs w:val="21"/>
                <w:lang w:bidi="ar"/>
              </w:rPr>
              <w:t>高品质、低噪音的平衡式话筒输入</w:t>
            </w:r>
          </w:p>
        </w:tc>
      </w:tr>
      <w:tr>
        <w:tblPrEx>
          <w:tblCellMar>
            <w:top w:w="0" w:type="dxa"/>
            <w:left w:w="108" w:type="dxa"/>
            <w:bottom w:w="0" w:type="dxa"/>
            <w:right w:w="108" w:type="dxa"/>
          </w:tblCellMar>
        </w:tblPrEx>
        <w:trPr>
          <w:trHeight w:val="397" w:hRule="atLeast"/>
          <w:jc w:val="center"/>
        </w:trPr>
        <w:tc>
          <w:tcPr>
            <w:tcW w:w="832" w:type="dxa"/>
            <w:vMerge w:val="continue"/>
            <w:tcBorders>
              <w:left w:val="single" w:color="auto" w:sz="4" w:space="0"/>
              <w:right w:val="single" w:color="auto" w:sz="4" w:space="0"/>
            </w:tcBorders>
            <w:shd w:val="clear" w:color="auto" w:fill="auto"/>
            <w:vAlign w:val="center"/>
          </w:tcPr>
          <w:p>
            <w:pPr>
              <w:widowControl/>
              <w:jc w:val="center"/>
              <w:textAlignment w:val="center"/>
              <w:rPr>
                <w:rFonts w:hint="eastAsia" w:ascii="宋体" w:hAnsi="宋体" w:eastAsia="宋体" w:cs="宋体"/>
                <w:color w:val="000000"/>
                <w:kern w:val="0"/>
                <w:szCs w:val="21"/>
                <w:lang w:bidi="ar"/>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4</w:t>
            </w:r>
            <w:r>
              <w:rPr>
                <w:rFonts w:ascii="宋体" w:hAnsi="宋体" w:eastAsia="宋体" w:cs="宋体"/>
                <w:color w:val="000000"/>
                <w:kern w:val="0"/>
                <w:szCs w:val="21"/>
                <w:lang w:bidi="ar"/>
              </w:rPr>
              <w:t>.</w:t>
            </w:r>
            <w:r>
              <w:rPr>
                <w:rFonts w:hint="eastAsia" w:ascii="宋体" w:hAnsi="宋体" w:eastAsia="宋体" w:cs="宋体"/>
                <w:color w:val="000000"/>
                <w:kern w:val="0"/>
                <w:szCs w:val="21"/>
                <w:lang w:bidi="ar"/>
              </w:rPr>
              <w:t>每路麦克风输入都配备优质+</w:t>
            </w:r>
            <w:r>
              <w:rPr>
                <w:rFonts w:ascii="宋体" w:hAnsi="宋体" w:eastAsia="宋体" w:cs="宋体"/>
                <w:color w:val="000000"/>
                <w:kern w:val="0"/>
                <w:szCs w:val="21"/>
                <w:lang w:bidi="ar"/>
              </w:rPr>
              <w:t>48</w:t>
            </w:r>
            <w:r>
              <w:rPr>
                <w:rFonts w:hint="eastAsia" w:ascii="宋体" w:hAnsi="宋体" w:eastAsia="宋体" w:cs="宋体"/>
                <w:color w:val="000000"/>
                <w:kern w:val="0"/>
                <w:szCs w:val="21"/>
                <w:lang w:bidi="ar"/>
              </w:rPr>
              <w:t>v幻像电源</w:t>
            </w:r>
          </w:p>
        </w:tc>
      </w:tr>
      <w:tr>
        <w:tblPrEx>
          <w:tblCellMar>
            <w:top w:w="0" w:type="dxa"/>
            <w:left w:w="108" w:type="dxa"/>
            <w:bottom w:w="0" w:type="dxa"/>
            <w:right w:w="108" w:type="dxa"/>
          </w:tblCellMar>
        </w:tblPrEx>
        <w:trPr>
          <w:trHeight w:val="397" w:hRule="atLeast"/>
          <w:jc w:val="center"/>
        </w:trPr>
        <w:tc>
          <w:tcPr>
            <w:tcW w:w="832" w:type="dxa"/>
            <w:vMerge w:val="continue"/>
            <w:tcBorders>
              <w:left w:val="single" w:color="auto" w:sz="4" w:space="0"/>
              <w:right w:val="single" w:color="auto" w:sz="4" w:space="0"/>
            </w:tcBorders>
            <w:shd w:val="clear" w:color="auto" w:fill="auto"/>
            <w:vAlign w:val="center"/>
          </w:tcPr>
          <w:p>
            <w:pPr>
              <w:widowControl/>
              <w:jc w:val="center"/>
              <w:textAlignment w:val="center"/>
              <w:rPr>
                <w:rFonts w:hint="eastAsia" w:ascii="宋体" w:hAnsi="宋体" w:eastAsia="宋体" w:cs="宋体"/>
                <w:color w:val="000000"/>
                <w:kern w:val="0"/>
                <w:szCs w:val="21"/>
                <w:lang w:bidi="ar"/>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5</w:t>
            </w:r>
            <w:r>
              <w:rPr>
                <w:rFonts w:ascii="宋体" w:hAnsi="宋体" w:eastAsia="宋体" w:cs="宋体"/>
                <w:color w:val="000000"/>
                <w:kern w:val="0"/>
                <w:szCs w:val="21"/>
                <w:lang w:bidi="ar"/>
              </w:rPr>
              <w:t>.</w:t>
            </w:r>
            <w:r>
              <w:rPr>
                <w:rFonts w:hint="eastAsia" w:ascii="宋体" w:hAnsi="宋体" w:eastAsia="宋体" w:cs="宋体"/>
                <w:color w:val="000000"/>
                <w:kern w:val="0"/>
                <w:szCs w:val="21"/>
                <w:lang w:bidi="ar"/>
              </w:rPr>
              <w:t>中频扫频的三段均衡，英国风格</w:t>
            </w:r>
          </w:p>
        </w:tc>
      </w:tr>
      <w:tr>
        <w:tblPrEx>
          <w:tblCellMar>
            <w:top w:w="0" w:type="dxa"/>
            <w:left w:w="108" w:type="dxa"/>
            <w:bottom w:w="0" w:type="dxa"/>
            <w:right w:w="108" w:type="dxa"/>
          </w:tblCellMar>
        </w:tblPrEx>
        <w:trPr>
          <w:trHeight w:val="397" w:hRule="atLeast"/>
          <w:jc w:val="center"/>
        </w:trPr>
        <w:tc>
          <w:tcPr>
            <w:tcW w:w="832" w:type="dxa"/>
            <w:vMerge w:val="continue"/>
            <w:tcBorders>
              <w:left w:val="single" w:color="auto" w:sz="4" w:space="0"/>
              <w:right w:val="single" w:color="auto" w:sz="4" w:space="0"/>
            </w:tcBorders>
            <w:shd w:val="clear" w:color="auto" w:fill="auto"/>
            <w:vAlign w:val="center"/>
          </w:tcPr>
          <w:p>
            <w:pPr>
              <w:widowControl/>
              <w:jc w:val="center"/>
              <w:textAlignment w:val="center"/>
              <w:rPr>
                <w:rFonts w:hint="eastAsia" w:ascii="宋体" w:hAnsi="宋体" w:eastAsia="宋体" w:cs="宋体"/>
                <w:color w:val="000000"/>
                <w:kern w:val="0"/>
                <w:szCs w:val="21"/>
                <w:lang w:bidi="ar"/>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6</w:t>
            </w:r>
            <w:r>
              <w:rPr>
                <w:rFonts w:ascii="宋体" w:hAnsi="宋体" w:eastAsia="宋体" w:cs="宋体"/>
                <w:color w:val="000000"/>
                <w:kern w:val="0"/>
                <w:szCs w:val="21"/>
                <w:lang w:bidi="ar"/>
              </w:rPr>
              <w:t>.5</w:t>
            </w:r>
            <w:r>
              <w:rPr>
                <w:rFonts w:hint="eastAsia" w:ascii="宋体" w:hAnsi="宋体" w:eastAsia="宋体" w:cs="宋体"/>
                <w:color w:val="000000"/>
                <w:kern w:val="0"/>
                <w:szCs w:val="21"/>
                <w:lang w:bidi="ar"/>
              </w:rPr>
              <w:t>组A</w:t>
            </w:r>
            <w:r>
              <w:rPr>
                <w:rFonts w:ascii="宋体" w:hAnsi="宋体" w:eastAsia="宋体" w:cs="宋体"/>
                <w:color w:val="000000"/>
                <w:kern w:val="0"/>
                <w:szCs w:val="21"/>
                <w:lang w:bidi="ar"/>
              </w:rPr>
              <w:t>UX</w:t>
            </w:r>
            <w:r>
              <w:rPr>
                <w:rFonts w:hint="eastAsia" w:ascii="宋体" w:hAnsi="宋体" w:eastAsia="宋体" w:cs="宋体"/>
                <w:color w:val="000000"/>
                <w:kern w:val="0"/>
                <w:szCs w:val="21"/>
                <w:lang w:bidi="ar"/>
              </w:rPr>
              <w:t>辅助输出，可选择推子前（返送）或推子后（外接处理器）</w:t>
            </w:r>
          </w:p>
        </w:tc>
      </w:tr>
      <w:tr>
        <w:tblPrEx>
          <w:tblCellMar>
            <w:top w:w="0" w:type="dxa"/>
            <w:left w:w="108" w:type="dxa"/>
            <w:bottom w:w="0" w:type="dxa"/>
            <w:right w:w="108" w:type="dxa"/>
          </w:tblCellMar>
        </w:tblPrEx>
        <w:trPr>
          <w:trHeight w:val="397" w:hRule="atLeast"/>
          <w:jc w:val="center"/>
        </w:trPr>
        <w:tc>
          <w:tcPr>
            <w:tcW w:w="832" w:type="dxa"/>
            <w:vMerge w:val="continue"/>
            <w:tcBorders>
              <w:left w:val="single" w:color="auto" w:sz="4" w:space="0"/>
              <w:right w:val="single" w:color="auto" w:sz="4" w:space="0"/>
            </w:tcBorders>
            <w:shd w:val="clear" w:color="auto" w:fill="auto"/>
            <w:vAlign w:val="center"/>
          </w:tcPr>
          <w:p>
            <w:pPr>
              <w:widowControl/>
              <w:jc w:val="center"/>
              <w:textAlignment w:val="center"/>
              <w:rPr>
                <w:rFonts w:hint="eastAsia" w:ascii="宋体" w:hAnsi="宋体" w:eastAsia="宋体" w:cs="宋体"/>
                <w:color w:val="000000"/>
                <w:kern w:val="0"/>
                <w:szCs w:val="21"/>
                <w:lang w:bidi="ar"/>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7</w:t>
            </w:r>
            <w:r>
              <w:rPr>
                <w:rFonts w:ascii="宋体" w:hAnsi="宋体" w:eastAsia="宋体" w:cs="宋体"/>
                <w:color w:val="000000"/>
                <w:kern w:val="0"/>
                <w:szCs w:val="21"/>
                <w:lang w:bidi="ar"/>
              </w:rPr>
              <w:t>.</w:t>
            </w:r>
            <w:r>
              <w:rPr>
                <w:rFonts w:hint="eastAsia" w:ascii="宋体" w:hAnsi="宋体" w:eastAsia="宋体" w:cs="宋体"/>
                <w:color w:val="000000"/>
                <w:kern w:val="0"/>
                <w:szCs w:val="21"/>
                <w:lang w:bidi="ar"/>
              </w:rPr>
              <w:t>高精度三色精准电平柱，准确显示输出电平</w:t>
            </w:r>
          </w:p>
        </w:tc>
      </w:tr>
      <w:tr>
        <w:tblPrEx>
          <w:tblCellMar>
            <w:top w:w="0" w:type="dxa"/>
            <w:left w:w="108" w:type="dxa"/>
            <w:bottom w:w="0" w:type="dxa"/>
            <w:right w:w="108" w:type="dxa"/>
          </w:tblCellMar>
        </w:tblPrEx>
        <w:trPr>
          <w:trHeight w:val="397" w:hRule="atLeast"/>
          <w:jc w:val="center"/>
        </w:trPr>
        <w:tc>
          <w:tcPr>
            <w:tcW w:w="832" w:type="dxa"/>
            <w:vMerge w:val="continue"/>
            <w:tcBorders>
              <w:left w:val="single" w:color="auto" w:sz="4" w:space="0"/>
              <w:right w:val="single" w:color="auto" w:sz="4" w:space="0"/>
            </w:tcBorders>
            <w:shd w:val="clear" w:color="auto" w:fill="auto"/>
            <w:vAlign w:val="center"/>
          </w:tcPr>
          <w:p>
            <w:pPr>
              <w:widowControl/>
              <w:jc w:val="center"/>
              <w:textAlignment w:val="center"/>
              <w:rPr>
                <w:rFonts w:hint="eastAsia" w:ascii="宋体" w:hAnsi="宋体" w:eastAsia="宋体" w:cs="宋体"/>
                <w:color w:val="000000"/>
                <w:kern w:val="0"/>
                <w:szCs w:val="21"/>
                <w:lang w:bidi="ar"/>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8</w:t>
            </w:r>
            <w:r>
              <w:rPr>
                <w:rFonts w:ascii="宋体" w:hAnsi="宋体" w:eastAsia="宋体" w:cs="宋体"/>
                <w:color w:val="000000"/>
                <w:kern w:val="0"/>
                <w:szCs w:val="21"/>
                <w:lang w:bidi="ar"/>
              </w:rPr>
              <w:t>.100</w:t>
            </w:r>
            <w:r>
              <w:rPr>
                <w:rFonts w:hint="eastAsia" w:ascii="宋体" w:hAnsi="宋体" w:eastAsia="宋体" w:cs="宋体"/>
                <w:color w:val="000000"/>
                <w:kern w:val="0"/>
                <w:szCs w:val="21"/>
                <w:lang w:bidi="ar"/>
              </w:rPr>
              <w:t>行程高分析度推子</w:t>
            </w:r>
          </w:p>
        </w:tc>
      </w:tr>
      <w:tr>
        <w:tblPrEx>
          <w:tblCellMar>
            <w:top w:w="0" w:type="dxa"/>
            <w:left w:w="108" w:type="dxa"/>
            <w:bottom w:w="0" w:type="dxa"/>
            <w:right w:w="108" w:type="dxa"/>
          </w:tblCellMar>
        </w:tblPrEx>
        <w:trPr>
          <w:trHeight w:val="397" w:hRule="atLeast"/>
          <w:jc w:val="center"/>
        </w:trPr>
        <w:tc>
          <w:tcPr>
            <w:tcW w:w="832" w:type="dxa"/>
            <w:vMerge w:val="continue"/>
            <w:tcBorders>
              <w:left w:val="single" w:color="auto" w:sz="4" w:space="0"/>
              <w:right w:val="single" w:color="auto" w:sz="4" w:space="0"/>
            </w:tcBorders>
            <w:shd w:val="clear" w:color="auto" w:fill="auto"/>
            <w:vAlign w:val="center"/>
          </w:tcPr>
          <w:p>
            <w:pPr>
              <w:widowControl/>
              <w:jc w:val="center"/>
              <w:textAlignment w:val="center"/>
              <w:rPr>
                <w:rFonts w:hint="eastAsia" w:ascii="宋体" w:hAnsi="宋体" w:eastAsia="宋体" w:cs="宋体"/>
                <w:color w:val="000000"/>
                <w:kern w:val="0"/>
                <w:szCs w:val="21"/>
                <w:lang w:bidi="ar"/>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9</w:t>
            </w:r>
            <w:r>
              <w:rPr>
                <w:rFonts w:ascii="宋体" w:hAnsi="宋体" w:eastAsia="宋体" w:cs="宋体"/>
                <w:color w:val="000000"/>
                <w:kern w:val="0"/>
                <w:szCs w:val="21"/>
                <w:lang w:bidi="ar"/>
              </w:rPr>
              <w:t>.</w:t>
            </w:r>
            <w:r>
              <w:rPr>
                <w:rFonts w:hint="eastAsia" w:ascii="宋体" w:hAnsi="宋体" w:eastAsia="宋体" w:cs="宋体"/>
                <w:color w:val="000000"/>
                <w:kern w:val="0"/>
                <w:szCs w:val="21"/>
                <w:lang w:bidi="ar"/>
              </w:rPr>
              <w:t>内置D</w:t>
            </w:r>
            <w:r>
              <w:rPr>
                <w:rFonts w:ascii="宋体" w:hAnsi="宋体" w:eastAsia="宋体" w:cs="宋体"/>
                <w:color w:val="000000"/>
                <w:kern w:val="0"/>
                <w:szCs w:val="21"/>
                <w:lang w:bidi="ar"/>
              </w:rPr>
              <w:t>PS</w:t>
            </w:r>
            <w:r>
              <w:rPr>
                <w:rFonts w:hint="eastAsia" w:ascii="宋体" w:hAnsi="宋体" w:eastAsia="宋体" w:cs="宋体"/>
                <w:color w:val="000000"/>
                <w:kern w:val="0"/>
                <w:szCs w:val="21"/>
                <w:lang w:bidi="ar"/>
              </w:rPr>
              <w:t>数字2</w:t>
            </w:r>
            <w:r>
              <w:rPr>
                <w:rFonts w:ascii="宋体" w:hAnsi="宋体" w:eastAsia="宋体" w:cs="宋体"/>
                <w:color w:val="000000"/>
                <w:kern w:val="0"/>
                <w:szCs w:val="21"/>
                <w:lang w:bidi="ar"/>
              </w:rPr>
              <w:t>4</w:t>
            </w:r>
            <w:r>
              <w:rPr>
                <w:rFonts w:hint="eastAsia" w:ascii="宋体" w:hAnsi="宋体" w:eastAsia="宋体" w:cs="宋体"/>
                <w:color w:val="000000"/>
                <w:kern w:val="0"/>
                <w:szCs w:val="21"/>
                <w:lang w:bidi="ar"/>
              </w:rPr>
              <w:t>bit效果器</w:t>
            </w:r>
          </w:p>
        </w:tc>
      </w:tr>
      <w:tr>
        <w:tblPrEx>
          <w:tblCellMar>
            <w:top w:w="0" w:type="dxa"/>
            <w:left w:w="108" w:type="dxa"/>
            <w:bottom w:w="0" w:type="dxa"/>
            <w:right w:w="108" w:type="dxa"/>
          </w:tblCellMar>
        </w:tblPrEx>
        <w:trPr>
          <w:trHeight w:val="397" w:hRule="atLeast"/>
          <w:jc w:val="center"/>
        </w:trPr>
        <w:tc>
          <w:tcPr>
            <w:tcW w:w="832" w:type="dxa"/>
            <w:vMerge w:val="continue"/>
            <w:tcBorders>
              <w:left w:val="single" w:color="auto" w:sz="4" w:space="0"/>
              <w:right w:val="single" w:color="auto" w:sz="4" w:space="0"/>
            </w:tcBorders>
            <w:shd w:val="clear" w:color="auto" w:fill="auto"/>
            <w:vAlign w:val="center"/>
          </w:tcPr>
          <w:p>
            <w:pPr>
              <w:widowControl/>
              <w:jc w:val="center"/>
              <w:textAlignment w:val="center"/>
              <w:rPr>
                <w:rFonts w:hint="eastAsia" w:ascii="宋体" w:hAnsi="宋体" w:eastAsia="宋体" w:cs="宋体"/>
                <w:color w:val="000000"/>
                <w:kern w:val="0"/>
                <w:szCs w:val="21"/>
                <w:lang w:bidi="ar"/>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w:t>
            </w:r>
            <w:r>
              <w:rPr>
                <w:rFonts w:ascii="宋体" w:hAnsi="宋体" w:eastAsia="宋体" w:cs="宋体"/>
                <w:color w:val="000000"/>
                <w:kern w:val="0"/>
                <w:szCs w:val="21"/>
                <w:lang w:bidi="ar"/>
              </w:rPr>
              <w:t>0.7</w:t>
            </w:r>
            <w:r>
              <w:rPr>
                <w:rFonts w:hint="eastAsia" w:ascii="宋体" w:hAnsi="宋体" w:eastAsia="宋体" w:cs="宋体"/>
                <w:color w:val="000000"/>
                <w:kern w:val="0"/>
                <w:szCs w:val="21"/>
                <w:lang w:bidi="ar"/>
              </w:rPr>
              <w:t>段立体声图示均衡器</w:t>
            </w:r>
          </w:p>
        </w:tc>
      </w:tr>
      <w:tr>
        <w:tblPrEx>
          <w:tblCellMar>
            <w:top w:w="0" w:type="dxa"/>
            <w:left w:w="108" w:type="dxa"/>
            <w:bottom w:w="0" w:type="dxa"/>
            <w:right w:w="108" w:type="dxa"/>
          </w:tblCellMar>
        </w:tblPrEx>
        <w:trPr>
          <w:trHeight w:val="397" w:hRule="atLeast"/>
          <w:jc w:val="center"/>
        </w:trPr>
        <w:tc>
          <w:tcPr>
            <w:tcW w:w="832" w:type="dxa"/>
            <w:vMerge w:val="continue"/>
            <w:tcBorders>
              <w:left w:val="single" w:color="auto" w:sz="4" w:space="0"/>
              <w:right w:val="single" w:color="auto" w:sz="4" w:space="0"/>
            </w:tcBorders>
            <w:shd w:val="clear" w:color="auto" w:fill="auto"/>
            <w:vAlign w:val="center"/>
          </w:tcPr>
          <w:p>
            <w:pPr>
              <w:widowControl/>
              <w:jc w:val="center"/>
              <w:textAlignment w:val="center"/>
              <w:rPr>
                <w:rFonts w:hint="eastAsia" w:ascii="宋体" w:hAnsi="宋体" w:eastAsia="宋体" w:cs="宋体"/>
                <w:color w:val="000000"/>
                <w:kern w:val="0"/>
                <w:szCs w:val="21"/>
                <w:lang w:bidi="ar"/>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w:t>
            </w:r>
            <w:r>
              <w:rPr>
                <w:rFonts w:ascii="宋体" w:hAnsi="宋体" w:eastAsia="宋体" w:cs="宋体"/>
                <w:color w:val="000000"/>
                <w:kern w:val="0"/>
                <w:szCs w:val="21"/>
                <w:lang w:bidi="ar"/>
              </w:rPr>
              <w:t>1.MP3</w:t>
            </w:r>
            <w:r>
              <w:rPr>
                <w:rFonts w:hint="eastAsia" w:ascii="宋体" w:hAnsi="宋体" w:eastAsia="宋体" w:cs="宋体"/>
                <w:color w:val="000000"/>
                <w:kern w:val="0"/>
                <w:szCs w:val="21"/>
                <w:lang w:bidi="ar"/>
              </w:rPr>
              <w:t>播放器带U</w:t>
            </w:r>
            <w:r>
              <w:rPr>
                <w:rFonts w:ascii="宋体" w:hAnsi="宋体" w:eastAsia="宋体" w:cs="宋体"/>
                <w:color w:val="000000"/>
                <w:kern w:val="0"/>
                <w:szCs w:val="21"/>
                <w:lang w:bidi="ar"/>
              </w:rPr>
              <w:t>SB</w:t>
            </w:r>
            <w:r>
              <w:rPr>
                <w:rFonts w:hint="eastAsia" w:ascii="宋体" w:hAnsi="宋体" w:eastAsia="宋体" w:cs="宋体"/>
                <w:color w:val="000000"/>
                <w:kern w:val="0"/>
                <w:szCs w:val="21"/>
                <w:lang w:bidi="ar"/>
              </w:rPr>
              <w:t>接口带录音、蓝牙、声卡功能</w:t>
            </w:r>
          </w:p>
        </w:tc>
      </w:tr>
      <w:tr>
        <w:tblPrEx>
          <w:tblCellMar>
            <w:top w:w="0" w:type="dxa"/>
            <w:left w:w="108" w:type="dxa"/>
            <w:bottom w:w="0" w:type="dxa"/>
            <w:right w:w="108" w:type="dxa"/>
          </w:tblCellMar>
        </w:tblPrEx>
        <w:trPr>
          <w:trHeight w:val="397" w:hRule="atLeast"/>
          <w:jc w:val="center"/>
        </w:trPr>
        <w:tc>
          <w:tcPr>
            <w:tcW w:w="832" w:type="dxa"/>
            <w:vMerge w:val="continue"/>
            <w:tcBorders>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eastAsia="宋体" w:cs="宋体"/>
                <w:color w:val="000000"/>
                <w:kern w:val="0"/>
                <w:szCs w:val="21"/>
                <w:lang w:bidi="ar"/>
              </w:rPr>
            </w:pPr>
          </w:p>
        </w:tc>
        <w:tc>
          <w:tcPr>
            <w:tcW w:w="82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w:t>
            </w:r>
            <w:r>
              <w:rPr>
                <w:rFonts w:ascii="宋体" w:hAnsi="宋体" w:eastAsia="宋体" w:cs="宋体"/>
                <w:color w:val="000000"/>
                <w:kern w:val="0"/>
                <w:szCs w:val="21"/>
                <w:lang w:bidi="ar"/>
              </w:rPr>
              <w:t>2.</w:t>
            </w:r>
            <w:r>
              <w:rPr>
                <w:rFonts w:hint="eastAsia" w:ascii="宋体" w:hAnsi="宋体" w:eastAsia="宋体" w:cs="宋体"/>
                <w:color w:val="000000"/>
                <w:kern w:val="0"/>
                <w:szCs w:val="21"/>
                <w:lang w:bidi="ar"/>
              </w:rPr>
              <w:t>内置式静噪开关电源器，使用方便灵活</w:t>
            </w:r>
          </w:p>
        </w:tc>
      </w:tr>
    </w:tbl>
    <w:p>
      <w:pPr>
        <w:rPr>
          <w:rFonts w:ascii="宋体" w:hAnsi="宋体" w:eastAsia="宋体" w:cs="宋体"/>
          <w:szCs w:val="21"/>
        </w:rPr>
      </w:pPr>
      <w:r>
        <w:rPr>
          <w:rFonts w:hint="eastAsia" w:ascii="宋体" w:hAnsi="宋体" w:eastAsia="宋体" w:cs="宋体"/>
          <w:b/>
          <w:bCs/>
          <w:szCs w:val="21"/>
        </w:rPr>
        <w:t>附件48：</w:t>
      </w:r>
      <w:r>
        <w:rPr>
          <w:rStyle w:val="46"/>
          <w:sz w:val="21"/>
          <w:szCs w:val="21"/>
          <w:lang w:bidi="ar"/>
        </w:rPr>
        <w:t>数字音频处理器</w:t>
      </w:r>
    </w:p>
    <w:tbl>
      <w:tblPr>
        <w:tblStyle w:val="11"/>
        <w:tblW w:w="4867" w:type="pct"/>
        <w:jc w:val="center"/>
        <w:tblLayout w:type="fixed"/>
        <w:tblCellMar>
          <w:top w:w="0" w:type="dxa"/>
          <w:left w:w="108" w:type="dxa"/>
          <w:bottom w:w="0" w:type="dxa"/>
          <w:right w:w="108" w:type="dxa"/>
        </w:tblCellMar>
      </w:tblPr>
      <w:tblGrid>
        <w:gridCol w:w="836"/>
        <w:gridCol w:w="8203"/>
      </w:tblGrid>
      <w:tr>
        <w:tblPrEx>
          <w:tblCellMar>
            <w:top w:w="0" w:type="dxa"/>
            <w:left w:w="108" w:type="dxa"/>
            <w:bottom w:w="0" w:type="dxa"/>
            <w:right w:w="108" w:type="dxa"/>
          </w:tblCellMar>
        </w:tblPrEx>
        <w:trPr>
          <w:trHeight w:val="397" w:hRule="atLeast"/>
          <w:jc w:val="center"/>
        </w:trPr>
        <w:tc>
          <w:tcPr>
            <w:tcW w:w="83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名称</w:t>
            </w:r>
          </w:p>
        </w:tc>
        <w:tc>
          <w:tcPr>
            <w:tcW w:w="820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836" w:type="dxa"/>
            <w:vMerge w:val="restart"/>
            <w:tcBorders>
              <w:top w:val="single" w:color="auto" w:sz="4" w:space="0"/>
              <w:left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数字音频处理器</w:t>
            </w:r>
          </w:p>
        </w:tc>
        <w:tc>
          <w:tcPr>
            <w:tcW w:w="8203"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szCs w:val="21"/>
              </w:rPr>
            </w:pPr>
            <w:r>
              <w:rPr>
                <w:rFonts w:hint="eastAsia" w:ascii="宋体" w:hAnsi="宋体" w:eastAsia="宋体" w:cs="宋体"/>
                <w:color w:val="000000"/>
                <w:kern w:val="0"/>
                <w:szCs w:val="21"/>
                <w:lang w:bidi="ar"/>
              </w:rPr>
              <w:t>1.96KHz采样频率，32-bit DSP处理器，24-bit A/D及D/A转换</w:t>
            </w:r>
          </w:p>
        </w:tc>
      </w:tr>
      <w:tr>
        <w:tblPrEx>
          <w:tblCellMar>
            <w:top w:w="0" w:type="dxa"/>
            <w:left w:w="108" w:type="dxa"/>
            <w:bottom w:w="0" w:type="dxa"/>
            <w:right w:w="108" w:type="dxa"/>
          </w:tblCellMar>
        </w:tblPrEx>
        <w:trPr>
          <w:trHeight w:val="397" w:hRule="atLeast"/>
          <w:jc w:val="center"/>
        </w:trPr>
        <w:tc>
          <w:tcPr>
            <w:tcW w:w="836" w:type="dxa"/>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szCs w:val="21"/>
              </w:rPr>
            </w:pP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2.数字信号输入输出通道提供coaxial，AES及光纤接口l每通道24个led灯可显示啸叫点数量</w:t>
            </w:r>
          </w:p>
        </w:tc>
      </w:tr>
      <w:tr>
        <w:tblPrEx>
          <w:tblCellMar>
            <w:top w:w="0" w:type="dxa"/>
            <w:left w:w="108" w:type="dxa"/>
            <w:bottom w:w="0" w:type="dxa"/>
            <w:right w:w="108" w:type="dxa"/>
          </w:tblCellMar>
        </w:tblPrEx>
        <w:trPr>
          <w:trHeight w:val="397" w:hRule="atLeast"/>
          <w:jc w:val="center"/>
        </w:trPr>
        <w:tc>
          <w:tcPr>
            <w:tcW w:w="836" w:type="dxa"/>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3.可切换工作模式为直通或反馈抑制</w:t>
            </w:r>
          </w:p>
        </w:tc>
      </w:tr>
      <w:tr>
        <w:tblPrEx>
          <w:tblCellMar>
            <w:top w:w="0" w:type="dxa"/>
            <w:left w:w="108" w:type="dxa"/>
            <w:bottom w:w="0" w:type="dxa"/>
            <w:right w:w="108" w:type="dxa"/>
          </w:tblCellMar>
        </w:tblPrEx>
        <w:trPr>
          <w:trHeight w:val="397" w:hRule="atLeast"/>
          <w:jc w:val="center"/>
        </w:trPr>
        <w:tc>
          <w:tcPr>
            <w:tcW w:w="836" w:type="dxa"/>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4.可一键清除找到的啸叫点</w:t>
            </w:r>
          </w:p>
        </w:tc>
      </w:tr>
      <w:tr>
        <w:tblPrEx>
          <w:tblCellMar>
            <w:top w:w="0" w:type="dxa"/>
            <w:left w:w="108" w:type="dxa"/>
            <w:bottom w:w="0" w:type="dxa"/>
            <w:right w:w="108" w:type="dxa"/>
          </w:tblCellMar>
        </w:tblPrEx>
        <w:trPr>
          <w:trHeight w:val="397" w:hRule="atLeast"/>
          <w:jc w:val="center"/>
        </w:trPr>
        <w:tc>
          <w:tcPr>
            <w:tcW w:w="836" w:type="dxa"/>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5.单机可存储30组用户程序</w:t>
            </w:r>
          </w:p>
        </w:tc>
      </w:tr>
      <w:tr>
        <w:tblPrEx>
          <w:tblCellMar>
            <w:top w:w="0" w:type="dxa"/>
            <w:left w:w="108" w:type="dxa"/>
            <w:bottom w:w="0" w:type="dxa"/>
            <w:right w:w="108" w:type="dxa"/>
          </w:tblCellMar>
        </w:tblPrEx>
        <w:trPr>
          <w:trHeight w:val="397" w:hRule="atLeast"/>
          <w:jc w:val="center"/>
        </w:trPr>
        <w:tc>
          <w:tcPr>
            <w:tcW w:w="836" w:type="dxa"/>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6.采用LCD显示屏显示功能设定144×32，提供6段led显示输出电平</w:t>
            </w:r>
          </w:p>
        </w:tc>
      </w:tr>
      <w:tr>
        <w:tblPrEx>
          <w:tblCellMar>
            <w:top w:w="0" w:type="dxa"/>
            <w:left w:w="108" w:type="dxa"/>
            <w:bottom w:w="0" w:type="dxa"/>
            <w:right w:w="108" w:type="dxa"/>
          </w:tblCellMar>
        </w:tblPrEx>
        <w:trPr>
          <w:trHeight w:val="397" w:hRule="atLeast"/>
          <w:jc w:val="center"/>
        </w:trPr>
        <w:tc>
          <w:tcPr>
            <w:tcW w:w="836" w:type="dxa"/>
            <w:vMerge w:val="continue"/>
            <w:tcBorders>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7.每通道提供压缩、限幅、噪声门、功能设置</w:t>
            </w:r>
          </w:p>
        </w:tc>
      </w:tr>
    </w:tbl>
    <w:p>
      <w:pPr>
        <w:rPr>
          <w:rFonts w:ascii="宋体" w:hAnsi="宋体" w:eastAsia="宋体" w:cs="宋体"/>
          <w:szCs w:val="21"/>
        </w:rPr>
      </w:pPr>
      <w:r>
        <w:rPr>
          <w:rFonts w:hint="eastAsia" w:ascii="宋体" w:hAnsi="宋体" w:eastAsia="宋体" w:cs="宋体"/>
          <w:b/>
          <w:bCs/>
          <w:szCs w:val="21"/>
        </w:rPr>
        <w:t>附件49：</w:t>
      </w:r>
      <w:r>
        <w:rPr>
          <w:rStyle w:val="46"/>
          <w:sz w:val="21"/>
          <w:szCs w:val="21"/>
          <w:lang w:bidi="ar"/>
        </w:rPr>
        <w:t>一拖四无线鹅颈话筒</w:t>
      </w:r>
    </w:p>
    <w:tbl>
      <w:tblPr>
        <w:tblStyle w:val="11"/>
        <w:tblW w:w="4875" w:type="pct"/>
        <w:jc w:val="center"/>
        <w:tblLayout w:type="fixed"/>
        <w:tblCellMar>
          <w:top w:w="0" w:type="dxa"/>
          <w:left w:w="108" w:type="dxa"/>
          <w:bottom w:w="0" w:type="dxa"/>
          <w:right w:w="108" w:type="dxa"/>
        </w:tblCellMar>
      </w:tblPr>
      <w:tblGrid>
        <w:gridCol w:w="843"/>
        <w:gridCol w:w="8211"/>
      </w:tblGrid>
      <w:tr>
        <w:tblPrEx>
          <w:tblCellMar>
            <w:top w:w="0" w:type="dxa"/>
            <w:left w:w="108" w:type="dxa"/>
            <w:bottom w:w="0" w:type="dxa"/>
            <w:right w:w="108" w:type="dxa"/>
          </w:tblCellMar>
        </w:tblPrEx>
        <w:trPr>
          <w:trHeight w:val="397" w:hRule="atLeast"/>
          <w:jc w:val="center"/>
        </w:trPr>
        <w:tc>
          <w:tcPr>
            <w:tcW w:w="84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名称</w:t>
            </w:r>
          </w:p>
        </w:tc>
        <w:tc>
          <w:tcPr>
            <w:tcW w:w="821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843" w:type="dxa"/>
            <w:vMerge w:val="restart"/>
            <w:tcBorders>
              <w:top w:val="single" w:color="auto" w:sz="4" w:space="0"/>
              <w:left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一拖四无线鹅颈话筒</w:t>
            </w:r>
          </w:p>
        </w:tc>
        <w:tc>
          <w:tcPr>
            <w:tcW w:w="8211"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szCs w:val="21"/>
              </w:rPr>
            </w:pPr>
            <w:r>
              <w:rPr>
                <w:rFonts w:hint="eastAsia" w:ascii="宋体" w:hAnsi="宋体" w:eastAsia="宋体" w:cs="宋体"/>
                <w:color w:val="000000"/>
                <w:kern w:val="0"/>
                <w:szCs w:val="21"/>
                <w:lang w:bidi="ar"/>
              </w:rPr>
              <w:t>1.内置3编组叠机频率，一键调取，同一频段可轻松叠机三套使用</w:t>
            </w:r>
          </w:p>
        </w:tc>
      </w:tr>
      <w:tr>
        <w:tblPrEx>
          <w:tblCellMar>
            <w:top w:w="0" w:type="dxa"/>
            <w:left w:w="108" w:type="dxa"/>
            <w:bottom w:w="0" w:type="dxa"/>
            <w:right w:w="108" w:type="dxa"/>
          </w:tblCellMar>
        </w:tblPrEx>
        <w:trPr>
          <w:trHeight w:val="397" w:hRule="atLeast"/>
          <w:jc w:val="center"/>
        </w:trPr>
        <w:tc>
          <w:tcPr>
            <w:tcW w:w="843" w:type="dxa"/>
            <w:vMerge w:val="continue"/>
            <w:tcBorders>
              <w:left w:val="single" w:color="000000" w:sz="4" w:space="0"/>
              <w:right w:val="single" w:color="000000" w:sz="4" w:space="0"/>
            </w:tcBorders>
            <w:shd w:val="clear" w:color="auto" w:fill="auto"/>
            <w:vAlign w:val="center"/>
          </w:tcPr>
          <w:p>
            <w:pPr>
              <w:widowControl/>
              <w:jc w:val="left"/>
              <w:textAlignment w:val="top"/>
              <w:rPr>
                <w:rFonts w:ascii="宋体" w:hAnsi="宋体" w:eastAsia="宋体" w:cs="宋体"/>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2.具有IR红外线自动对频功能，一键自动对频锁定四通道音量独立可调，提供4+1音频输出，四通道各音频音量输出独立可控提供多种发射器可选，发射器中会议/手持/领夹，可以混搭使用，互不干扰背光式LED显示屏指示了RF/AF信号强度，频率，频率组/频道等工作状态采用四通道相同工作频率，使得发射器之间可以随时互换，极大地增强了工作的灵活性</w:t>
            </w:r>
          </w:p>
        </w:tc>
      </w:tr>
      <w:tr>
        <w:tblPrEx>
          <w:tblCellMar>
            <w:top w:w="0" w:type="dxa"/>
            <w:left w:w="108" w:type="dxa"/>
            <w:bottom w:w="0" w:type="dxa"/>
            <w:right w:w="108" w:type="dxa"/>
          </w:tblCellMar>
        </w:tblPrEx>
        <w:trPr>
          <w:trHeight w:val="397" w:hRule="atLeast"/>
          <w:jc w:val="center"/>
        </w:trPr>
        <w:tc>
          <w:tcPr>
            <w:tcW w:w="843" w:type="dxa"/>
            <w:vMerge w:val="continue"/>
            <w:tcBorders>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3.采用最新的UHF波段无线音频发射芯片模块IC，具有优越的RF性能和音频性能，为客户提供专业级的音质体验</w:t>
            </w:r>
          </w:p>
        </w:tc>
      </w:tr>
    </w:tbl>
    <w:p>
      <w:pPr>
        <w:rPr>
          <w:rFonts w:ascii="宋体" w:hAnsi="宋体" w:eastAsia="宋体" w:cs="宋体"/>
          <w:szCs w:val="21"/>
        </w:rPr>
      </w:pPr>
      <w:r>
        <w:rPr>
          <w:rFonts w:hint="eastAsia" w:ascii="宋体" w:hAnsi="宋体" w:eastAsia="宋体" w:cs="宋体"/>
          <w:b/>
          <w:bCs/>
          <w:szCs w:val="21"/>
        </w:rPr>
        <w:t>附件50：</w:t>
      </w:r>
      <w:r>
        <w:rPr>
          <w:rFonts w:hint="eastAsia" w:ascii="宋体" w:hAnsi="宋体" w:eastAsia="宋体" w:cs="宋体"/>
          <w:color w:val="000000"/>
          <w:kern w:val="0"/>
          <w:szCs w:val="21"/>
          <w:lang w:bidi="ar"/>
        </w:rPr>
        <w:t>智慧黑板</w:t>
      </w:r>
    </w:p>
    <w:tbl>
      <w:tblPr>
        <w:tblStyle w:val="11"/>
        <w:tblW w:w="4875" w:type="pct"/>
        <w:jc w:val="center"/>
        <w:tblLayout w:type="fixed"/>
        <w:tblCellMar>
          <w:top w:w="0" w:type="dxa"/>
          <w:left w:w="108" w:type="dxa"/>
          <w:bottom w:w="0" w:type="dxa"/>
          <w:right w:w="108" w:type="dxa"/>
        </w:tblCellMar>
      </w:tblPr>
      <w:tblGrid>
        <w:gridCol w:w="843"/>
        <w:gridCol w:w="8211"/>
      </w:tblGrid>
      <w:tr>
        <w:tblPrEx>
          <w:tblCellMar>
            <w:top w:w="0" w:type="dxa"/>
            <w:left w:w="108" w:type="dxa"/>
            <w:bottom w:w="0" w:type="dxa"/>
            <w:right w:w="108" w:type="dxa"/>
          </w:tblCellMar>
        </w:tblPrEx>
        <w:trPr>
          <w:trHeight w:val="397" w:hRule="atLeast"/>
          <w:jc w:val="center"/>
        </w:trPr>
        <w:tc>
          <w:tcPr>
            <w:tcW w:w="8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名称</w:t>
            </w: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技术要求</w:t>
            </w:r>
          </w:p>
        </w:tc>
      </w:tr>
      <w:tr>
        <w:tblPrEx>
          <w:tblCellMar>
            <w:top w:w="0" w:type="dxa"/>
            <w:left w:w="108" w:type="dxa"/>
            <w:bottom w:w="0" w:type="dxa"/>
            <w:right w:w="108" w:type="dxa"/>
          </w:tblCellMar>
        </w:tblPrEx>
        <w:trPr>
          <w:trHeight w:val="397" w:hRule="atLeast"/>
          <w:jc w:val="center"/>
        </w:trPr>
        <w:tc>
          <w:tcPr>
            <w:tcW w:w="8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智慧黑板</w:t>
            </w: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一、整体设计</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整体外观尺寸：宽≥4200mm，高≥1200mm，厚≤95mm整机采用三拼接平面一体化设计，无推拉式结构及外露连接线，外观简洁。整机屏幕边缘采用金属圆角包边防护，整机背板采用金属材质，有效屏蔽内部电路器件辐射</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2.主屏支持普通粉笔直接书写，整机两侧副屏可支持以下媒介（普通粉笔、液体粉笔、成膜笔）进行板书书写</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3.整机设备副屏自带防眩光、防腐蚀功能，甲醛释放限量应不大于1.5mg/L，符合GB 28231-2011《书写板安全卫生要求》</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4.采用红外触控技术，触摸分辨率32768×32768，整机屏幕触摸有效识别高度不超过3.5mm，，即触摸物体距离玻璃外表面高度不超过3.5mm时，触摸屏识别为点击操作</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5.整机采用UHD超高清86英寸LED液晶屏，显示比例16：9，分辨率3840×2160</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6.采用钢化玻璃，表面硬度≥9H，书写更加顺滑，防眩光效果更加优异</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整机采用硬件低蓝光背光技术，在源头减少有害蓝光波段能量，蓝光占比（有害蓝光415～455nm能量综合）/（整体蓝光400～500能量综合）＜50%，低蓝光保护显示不偏色、不泛黄，还原真实教学色彩的同时有效降低蓝光</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二、整机设计</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1.▲整机内置音箱顶置朝前发声，2.2声道扬声器，额定总功率60W</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2.整机支持高级音效设置、左右声道平衡、可根据实际需要设置不同频段调节功能，以满足不同课程授课声音还原需求</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3.整机内置非独立外扩展的4阵列麦克风，可用于对教室环境音频进行采集，拾音距离≥12m</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ascii="宋体" w:hAnsi="宋体" w:eastAsia="宋体" w:cs="宋体"/>
                <w:color w:val="000000"/>
                <w:kern w:val="0"/>
                <w:szCs w:val="21"/>
                <w:lang w:bidi="ar"/>
              </w:rPr>
              <w:t>4</w:t>
            </w:r>
            <w:r>
              <w:rPr>
                <w:rFonts w:hint="eastAsia" w:ascii="宋体" w:hAnsi="宋体" w:eastAsia="宋体" w:cs="宋体"/>
                <w:color w:val="000000"/>
                <w:kern w:val="0"/>
                <w:szCs w:val="21"/>
                <w:lang w:bidi="ar"/>
              </w:rPr>
              <w:t>.整机无需外接无线网卡，在Windows系统下可实现Wi-Fi无线上网连接、AP无线热点发射和BT蓝牙连接功能</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ascii="宋体" w:hAnsi="宋体" w:eastAsia="宋体" w:cs="宋体"/>
                <w:color w:val="000000"/>
                <w:kern w:val="0"/>
                <w:szCs w:val="21"/>
                <w:lang w:bidi="ar"/>
              </w:rPr>
              <w:t>5</w:t>
            </w:r>
            <w:r>
              <w:rPr>
                <w:rFonts w:hint="eastAsia" w:ascii="宋体" w:hAnsi="宋体" w:eastAsia="宋体" w:cs="宋体"/>
                <w:color w:val="000000"/>
                <w:kern w:val="0"/>
                <w:szCs w:val="21"/>
                <w:lang w:bidi="ar"/>
              </w:rPr>
              <w:t>.Wi-Fi和AP热点工作距离≥12m</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ascii="宋体" w:hAnsi="宋体" w:eastAsia="宋体" w:cs="宋体"/>
                <w:color w:val="000000"/>
                <w:kern w:val="0"/>
                <w:szCs w:val="21"/>
                <w:lang w:bidi="ar"/>
              </w:rPr>
              <w:t>6</w:t>
            </w:r>
            <w:r>
              <w:rPr>
                <w:rFonts w:hint="eastAsia" w:ascii="宋体" w:hAnsi="宋体" w:eastAsia="宋体" w:cs="宋体"/>
                <w:color w:val="000000"/>
                <w:kern w:val="0"/>
                <w:szCs w:val="21"/>
                <w:lang w:bidi="ar"/>
              </w:rPr>
              <w:t>.触控一体机支持NFC投屏功能：可搭配具有NFC功能的手机、平板，无需通过软件手机或平板可投屏至一体机，支持至少4台同步显示和连接</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ascii="宋体" w:hAnsi="宋体" w:eastAsia="宋体" w:cs="宋体"/>
                <w:color w:val="000000"/>
                <w:kern w:val="0"/>
                <w:szCs w:val="21"/>
                <w:lang w:bidi="ar"/>
              </w:rPr>
              <w:t>7</w:t>
            </w:r>
            <w:r>
              <w:rPr>
                <w:rFonts w:hint="eastAsia" w:ascii="宋体" w:hAnsi="宋体" w:eastAsia="宋体" w:cs="宋体"/>
                <w:color w:val="000000"/>
                <w:kern w:val="0"/>
                <w:szCs w:val="21"/>
                <w:lang w:bidi="ar"/>
              </w:rPr>
              <w:t>.▲整机支持蓝牙Bluetooth 5.2标准</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ascii="宋体" w:hAnsi="宋体" w:eastAsia="宋体" w:cs="宋体"/>
                <w:color w:val="000000"/>
                <w:kern w:val="0"/>
                <w:szCs w:val="21"/>
                <w:lang w:bidi="ar"/>
              </w:rPr>
              <w:t>8</w:t>
            </w:r>
            <w:r>
              <w:rPr>
                <w:rFonts w:hint="eastAsia" w:ascii="宋体" w:hAnsi="宋体" w:eastAsia="宋体" w:cs="宋体"/>
                <w:color w:val="000000"/>
                <w:kern w:val="0"/>
                <w:szCs w:val="21"/>
                <w:lang w:bidi="ar"/>
              </w:rPr>
              <w:t>.整机无需外接无线网卡，在Windows系统下接入无线网络，切换到嵌入式Android系统下可直接实现无线上网功能，不需手动重复设置</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ascii="宋体" w:hAnsi="宋体" w:eastAsia="宋体" w:cs="宋体"/>
                <w:color w:val="000000"/>
                <w:kern w:val="0"/>
                <w:szCs w:val="21"/>
                <w:lang w:bidi="ar"/>
              </w:rPr>
              <w:t>9</w:t>
            </w:r>
            <w:r>
              <w:rPr>
                <w:rFonts w:hint="eastAsia" w:ascii="宋体" w:hAnsi="宋体" w:eastAsia="宋体" w:cs="宋体"/>
                <w:color w:val="000000"/>
                <w:kern w:val="0"/>
                <w:szCs w:val="21"/>
                <w:lang w:bidi="ar"/>
              </w:rPr>
              <w:t>.为提升传输速率和降低能耗，整机支持Wi-Fi6；Wi-Fi及AP热点支持频段2.4GHz/5GHz11、同一电源物理按键完成开机、节能熄屏、关机操作</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r>
              <w:rPr>
                <w:rFonts w:ascii="宋体" w:hAnsi="宋体" w:eastAsia="宋体" w:cs="宋体"/>
                <w:color w:val="000000"/>
                <w:kern w:val="0"/>
                <w:szCs w:val="21"/>
                <w:lang w:bidi="ar"/>
              </w:rPr>
              <w:t>0</w:t>
            </w:r>
            <w:r>
              <w:rPr>
                <w:rFonts w:hint="eastAsia" w:ascii="宋体" w:hAnsi="宋体" w:eastAsia="宋体" w:cs="宋体"/>
                <w:color w:val="000000"/>
                <w:kern w:val="0"/>
                <w:szCs w:val="21"/>
                <w:lang w:bidi="ar"/>
              </w:rPr>
              <w:t>.整机具备前置按键，可实现老师开关机、调出中控菜单、音量+/-、护眼、录屏的操作</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r>
              <w:rPr>
                <w:rFonts w:ascii="宋体" w:hAnsi="宋体" w:eastAsia="宋体" w:cs="宋体"/>
                <w:color w:val="000000"/>
                <w:kern w:val="0"/>
                <w:szCs w:val="21"/>
                <w:lang w:bidi="ar"/>
              </w:rPr>
              <w:t>1</w:t>
            </w:r>
            <w:r>
              <w:rPr>
                <w:rFonts w:hint="eastAsia" w:ascii="宋体" w:hAnsi="宋体" w:eastAsia="宋体" w:cs="宋体"/>
                <w:color w:val="000000"/>
                <w:kern w:val="0"/>
                <w:szCs w:val="21"/>
                <w:lang w:bidi="ar"/>
              </w:rPr>
              <w:t>.支持护眼模式，可通过前置面板物理功能按键一键启用护眼模式</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highlight w:val="yellow"/>
              </w:rPr>
            </w:pPr>
            <w:r>
              <w:rPr>
                <w:rFonts w:hint="eastAsia" w:ascii="宋体" w:hAnsi="宋体" w:eastAsia="宋体" w:cs="宋体"/>
                <w:color w:val="000000"/>
                <w:kern w:val="0"/>
                <w:szCs w:val="21"/>
                <w:lang w:bidi="ar"/>
              </w:rPr>
              <w:t>1</w:t>
            </w:r>
            <w:r>
              <w:rPr>
                <w:rFonts w:ascii="宋体" w:hAnsi="宋体" w:eastAsia="宋体" w:cs="宋体"/>
                <w:color w:val="000000"/>
                <w:kern w:val="0"/>
                <w:szCs w:val="21"/>
                <w:lang w:bidi="ar"/>
              </w:rPr>
              <w:t>2</w:t>
            </w:r>
            <w:r>
              <w:rPr>
                <w:rFonts w:hint="eastAsia" w:ascii="宋体" w:hAnsi="宋体" w:eastAsia="宋体" w:cs="宋体"/>
                <w:color w:val="000000"/>
                <w:kern w:val="0"/>
                <w:szCs w:val="21"/>
                <w:lang w:bidi="ar"/>
              </w:rPr>
              <w:t>.支持录课模式，可通过前置面板物理功能按键一键启用录课模式（屏幕及人声需同步采集）</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szCs w:val="21"/>
                <w:highlight w:val="yellow"/>
              </w:rPr>
            </w:pPr>
            <w:r>
              <w:rPr>
                <w:rFonts w:hint="eastAsia" w:ascii="宋体" w:hAnsi="宋体" w:eastAsia="宋体" w:cs="宋体"/>
                <w:color w:val="000000"/>
                <w:kern w:val="0"/>
                <w:szCs w:val="21"/>
                <w:lang w:bidi="ar"/>
              </w:rPr>
              <w:t>1</w:t>
            </w:r>
            <w:r>
              <w:rPr>
                <w:rFonts w:ascii="宋体" w:hAnsi="宋体" w:eastAsia="宋体" w:cs="宋体"/>
                <w:color w:val="000000"/>
                <w:kern w:val="0"/>
                <w:szCs w:val="21"/>
                <w:lang w:bidi="ar"/>
              </w:rPr>
              <w:t>3</w:t>
            </w:r>
            <w:r>
              <w:rPr>
                <w:rFonts w:hint="eastAsia" w:ascii="宋体" w:hAnsi="宋体" w:eastAsia="宋体" w:cs="宋体"/>
                <w:color w:val="000000"/>
                <w:kern w:val="0"/>
                <w:szCs w:val="21"/>
                <w:lang w:bidi="ar"/>
              </w:rPr>
              <w:t>.侧置输入接口具备2路HDMI、1路RS232；侧置输出接口具备1路音频、1路触控USB；前置输入接口3路USB接口（包含1路Type-C、2路USB）</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szCs w:val="21"/>
                <w:highlight w:val="yellow"/>
              </w:rPr>
            </w:pPr>
            <w:r>
              <w:rPr>
                <w:rFonts w:hint="eastAsia" w:ascii="宋体" w:hAnsi="宋体" w:eastAsia="宋体" w:cs="宋体"/>
                <w:color w:val="000000"/>
                <w:kern w:val="0"/>
                <w:szCs w:val="21"/>
                <w:lang w:bidi="ar"/>
              </w:rPr>
              <w:t>1</w:t>
            </w:r>
            <w:r>
              <w:rPr>
                <w:rFonts w:ascii="宋体" w:hAnsi="宋体" w:eastAsia="宋体" w:cs="宋体"/>
                <w:color w:val="000000"/>
                <w:kern w:val="0"/>
                <w:szCs w:val="21"/>
                <w:lang w:bidi="ar"/>
              </w:rPr>
              <w:t>4</w:t>
            </w:r>
            <w:r>
              <w:rPr>
                <w:rFonts w:hint="eastAsia" w:ascii="宋体" w:hAnsi="宋体" w:eastAsia="宋体" w:cs="宋体"/>
                <w:color w:val="000000"/>
                <w:kern w:val="0"/>
                <w:szCs w:val="21"/>
                <w:lang w:bidi="ar"/>
              </w:rPr>
              <w:t>.整机具备前置Type-C接口，通过Type-C接口可实现与外部电脑的触摸信号及音视频输入</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szCs w:val="21"/>
                <w:highlight w:val="yellow"/>
              </w:rPr>
            </w:pPr>
            <w:r>
              <w:rPr>
                <w:rFonts w:hint="eastAsia" w:ascii="宋体" w:hAnsi="宋体" w:eastAsia="宋体" w:cs="宋体"/>
                <w:color w:val="000000"/>
                <w:kern w:val="0"/>
                <w:szCs w:val="21"/>
                <w:lang w:bidi="ar"/>
              </w:rPr>
              <w:t>1</w:t>
            </w:r>
            <w:r>
              <w:rPr>
                <w:rFonts w:ascii="宋体" w:hAnsi="宋体" w:eastAsia="宋体" w:cs="宋体"/>
                <w:color w:val="000000"/>
                <w:kern w:val="0"/>
                <w:szCs w:val="21"/>
                <w:lang w:bidi="ar"/>
              </w:rPr>
              <w:t>5</w:t>
            </w:r>
            <w:r>
              <w:rPr>
                <w:rFonts w:hint="eastAsia" w:ascii="宋体" w:hAnsi="宋体" w:eastAsia="宋体" w:cs="宋体"/>
                <w:color w:val="000000"/>
                <w:kern w:val="0"/>
                <w:szCs w:val="21"/>
                <w:lang w:bidi="ar"/>
              </w:rPr>
              <w:t>.整机具备抗振动、防跌落特性，保证整机运输或使用过程中不易受损</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szCs w:val="21"/>
                <w:highlight w:val="yellow"/>
              </w:rPr>
            </w:pPr>
            <w:r>
              <w:rPr>
                <w:rFonts w:hint="eastAsia" w:ascii="宋体" w:hAnsi="宋体" w:eastAsia="宋体" w:cs="宋体"/>
                <w:color w:val="000000"/>
                <w:kern w:val="0"/>
                <w:szCs w:val="21"/>
                <w:lang w:bidi="ar"/>
              </w:rPr>
              <w:t>1</w:t>
            </w:r>
            <w:r>
              <w:rPr>
                <w:rFonts w:ascii="宋体" w:hAnsi="宋体" w:eastAsia="宋体" w:cs="宋体"/>
                <w:color w:val="000000"/>
                <w:kern w:val="0"/>
                <w:szCs w:val="21"/>
                <w:lang w:bidi="ar"/>
              </w:rPr>
              <w:t>6</w:t>
            </w:r>
            <w:r>
              <w:rPr>
                <w:rFonts w:hint="eastAsia" w:ascii="宋体" w:hAnsi="宋体" w:eastAsia="宋体" w:cs="宋体"/>
                <w:color w:val="000000"/>
                <w:kern w:val="0"/>
                <w:szCs w:val="21"/>
                <w:lang w:bidi="ar"/>
              </w:rPr>
              <w:t>.整机书写面板采用防眩光全钢化防爆玻璃面板，面板的碎片状态、抗冲击性、霰弹袋冲击性能、耐热冲击性能均通过国家强制玻璃标准，表面应力≥100Mpa，适应学校复杂环境，保障教学安全</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szCs w:val="21"/>
                <w:highlight w:val="yellow"/>
              </w:rPr>
            </w:pPr>
            <w:r>
              <w:rPr>
                <w:rFonts w:hint="eastAsia" w:ascii="宋体" w:hAnsi="宋体" w:eastAsia="宋体" w:cs="宋体"/>
                <w:color w:val="000000"/>
                <w:kern w:val="0"/>
                <w:szCs w:val="21"/>
                <w:lang w:bidi="ar"/>
              </w:rPr>
              <w:t>1</w:t>
            </w:r>
            <w:r>
              <w:rPr>
                <w:rFonts w:ascii="宋体" w:hAnsi="宋体" w:eastAsia="宋体" w:cs="宋体"/>
                <w:color w:val="000000"/>
                <w:kern w:val="0"/>
                <w:szCs w:val="21"/>
                <w:lang w:bidi="ar"/>
              </w:rPr>
              <w:t>7</w:t>
            </w:r>
            <w:r>
              <w:rPr>
                <w:rFonts w:hint="eastAsia" w:ascii="宋体" w:hAnsi="宋体" w:eastAsia="宋体" w:cs="宋体"/>
                <w:color w:val="000000"/>
                <w:kern w:val="0"/>
                <w:szCs w:val="21"/>
                <w:lang w:bidi="ar"/>
              </w:rPr>
              <w:t>.整机可做到高色准△E≤1.5，还原真实教学色彩</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szCs w:val="21"/>
              </w:rPr>
            </w:pPr>
            <w:r>
              <w:rPr>
                <w:rFonts w:ascii="宋体" w:hAnsi="宋体" w:eastAsia="宋体" w:cs="宋体"/>
                <w:color w:val="000000"/>
                <w:kern w:val="0"/>
                <w:szCs w:val="21"/>
                <w:lang w:bidi="ar"/>
              </w:rPr>
              <w:t>18</w:t>
            </w:r>
            <w:r>
              <w:rPr>
                <w:rFonts w:hint="eastAsia" w:ascii="宋体" w:hAnsi="宋体" w:eastAsia="宋体" w:cs="宋体"/>
                <w:color w:val="000000"/>
                <w:kern w:val="0"/>
                <w:szCs w:val="21"/>
                <w:lang w:bidi="ar"/>
              </w:rPr>
              <w:t>.整机支持透明度、色温调节及阅读模式的调节，为保证观看文字类教学资源有更好的视觉体验，提高观看舒适度，可通过切换纸质模型或其他方式实现显示内容的纹理实时调整，包括但不限于水纹纸、牛皮纸、宣纸、素描纸等多种纸类</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ascii="宋体" w:hAnsi="宋体" w:eastAsia="宋体" w:cs="宋体"/>
                <w:color w:val="000000"/>
                <w:kern w:val="0"/>
                <w:szCs w:val="21"/>
                <w:lang w:bidi="ar"/>
              </w:rPr>
              <w:t>19</w:t>
            </w:r>
            <w:r>
              <w:rPr>
                <w:rFonts w:hint="eastAsia" w:ascii="宋体" w:hAnsi="宋体" w:eastAsia="宋体" w:cs="宋体"/>
                <w:color w:val="000000"/>
                <w:kern w:val="0"/>
                <w:szCs w:val="21"/>
                <w:lang w:bidi="ar"/>
              </w:rPr>
              <w:t>.前置USB接口具备防撞挡板设计</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r>
              <w:rPr>
                <w:rFonts w:ascii="宋体" w:hAnsi="宋体" w:eastAsia="宋体" w:cs="宋体"/>
                <w:color w:val="000000"/>
                <w:kern w:val="0"/>
                <w:szCs w:val="21"/>
                <w:lang w:bidi="ar"/>
              </w:rPr>
              <w:t>0</w:t>
            </w:r>
            <w:r>
              <w:rPr>
                <w:rFonts w:hint="eastAsia" w:ascii="宋体" w:hAnsi="宋体" w:eastAsia="宋体" w:cs="宋体"/>
                <w:color w:val="000000"/>
                <w:kern w:val="0"/>
                <w:szCs w:val="21"/>
                <w:lang w:bidi="ar"/>
              </w:rPr>
              <w:t>.设备需提供自定义功能按键，可通过自定义按键实现通过前置面板按键一键启用多功能，包括但不限于护眼、录屏、批注、截屏、计时、降半屏、放大镜、倒数日、日历等功能，快速帮助教师实现功能切换</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r>
              <w:rPr>
                <w:rFonts w:ascii="宋体" w:hAnsi="宋体" w:eastAsia="宋体" w:cs="宋体"/>
                <w:color w:val="000000"/>
                <w:kern w:val="0"/>
                <w:szCs w:val="21"/>
                <w:lang w:bidi="ar"/>
              </w:rPr>
              <w:t>1</w:t>
            </w:r>
            <w:r>
              <w:rPr>
                <w:rFonts w:hint="eastAsia" w:ascii="宋体" w:hAnsi="宋体" w:eastAsia="宋体" w:cs="宋体"/>
                <w:color w:val="000000"/>
                <w:kern w:val="0"/>
                <w:szCs w:val="21"/>
                <w:lang w:bidi="ar"/>
              </w:rPr>
              <w:t>.整机内置摄像头（非外扩），PC通道下支持通过视频展台软件调用摄像头进行二维码扫码识别</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r>
              <w:rPr>
                <w:rFonts w:ascii="宋体" w:hAnsi="宋体" w:eastAsia="宋体" w:cs="宋体"/>
                <w:color w:val="000000"/>
                <w:kern w:val="0"/>
                <w:szCs w:val="21"/>
                <w:lang w:bidi="ar"/>
              </w:rPr>
              <w:t>2</w:t>
            </w:r>
            <w:r>
              <w:rPr>
                <w:rFonts w:hint="eastAsia" w:ascii="宋体" w:hAnsi="宋体" w:eastAsia="宋体" w:cs="宋体"/>
                <w:color w:val="000000"/>
                <w:kern w:val="0"/>
                <w:szCs w:val="21"/>
                <w:lang w:bidi="ar"/>
              </w:rPr>
              <w:t>.整机内置非独立摄像头，拍摄像素数≥1300万，摄像头视场角≥135度</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r>
              <w:rPr>
                <w:rFonts w:ascii="宋体" w:hAnsi="宋体" w:eastAsia="宋体" w:cs="宋体"/>
                <w:color w:val="000000"/>
                <w:kern w:val="0"/>
                <w:szCs w:val="21"/>
                <w:lang w:bidi="ar"/>
              </w:rPr>
              <w:t>3</w:t>
            </w:r>
            <w:r>
              <w:rPr>
                <w:rFonts w:hint="eastAsia" w:ascii="宋体" w:hAnsi="宋体" w:eastAsia="宋体" w:cs="宋体"/>
                <w:color w:val="000000"/>
                <w:kern w:val="0"/>
                <w:szCs w:val="21"/>
                <w:lang w:bidi="ar"/>
              </w:rPr>
              <w:t>.整机内置非独立的高清摄像头，可用于远程巡课，并且可通过摄像头进行人数统计、随机抽选、环境色温判断等功能</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三、主要功能</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1.部署单根网线可实现Android、Windows双系统有线网络连通</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2.整机关机状态下，通过长按电源键进入设置界面后，可点击屏幕选择恢复Android系统及Windows操作系统到出厂默认状态，无需额外工具辅助</w:t>
            </w:r>
          </w:p>
        </w:tc>
      </w:tr>
      <w:tr>
        <w:tblPrEx>
          <w:tblCellMar>
            <w:top w:w="0" w:type="dxa"/>
            <w:left w:w="108" w:type="dxa"/>
            <w:bottom w:w="0" w:type="dxa"/>
            <w:right w:w="108" w:type="dxa"/>
          </w:tblCellMar>
        </w:tblPrEx>
        <w:trPr>
          <w:trHeight w:val="397" w:hRule="atLeast"/>
          <w:jc w:val="center"/>
        </w:trPr>
        <w:tc>
          <w:tcPr>
            <w:tcW w:w="843" w:type="dxa"/>
            <w:vMerge w:val="continue"/>
            <w:tcBorders>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3.支持通道自动跳转功能，如整机处于正常使用状态，HDMI信号接入时，能自动识别并切换到对应的HDMI信号源通道，且断开后能回到上一通道</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4.在HDMI、Android以及Windows信号源模式下，整机屏幕支持手势下移实现半屏显示，半屏显示时可通过点击上方屏幕返回全屏</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5.支持半屏模式，将Windows显示画面上半部分下拉到屏幕下半部分显示，此时依然可以正常触控操作Windows系统；点击非Windows显示画面区域（屏幕上半部分），即可退出该模式</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6.支持外接信号输入时自动唤醒功能，整机处于关机通电状态，外接电脑显示信号通过HDMI传输线连接至整机时，整机可智能识别外接电脑设备信号输入并自动开机</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7.整机内置专业硬件自检维护工具（非第三方工具），支持对触摸框和PC模块进行检测，并针对不同模块给出问题代码提示</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8.支持云端在线系统固件升级</w:t>
            </w:r>
          </w:p>
        </w:tc>
      </w:tr>
    </w:tbl>
    <w:p>
      <w:pPr>
        <w:rPr>
          <w:rFonts w:ascii="宋体" w:hAnsi="宋体" w:eastAsia="宋体" w:cs="宋体"/>
          <w:szCs w:val="21"/>
        </w:rPr>
      </w:pPr>
      <w:r>
        <w:rPr>
          <w:rFonts w:hint="eastAsia" w:ascii="宋体" w:hAnsi="宋体" w:eastAsia="宋体" w:cs="宋体"/>
          <w:b/>
          <w:bCs/>
          <w:szCs w:val="21"/>
        </w:rPr>
        <w:t>附件51：</w:t>
      </w:r>
      <w:r>
        <w:rPr>
          <w:rFonts w:hint="eastAsia" w:ascii="宋体" w:hAnsi="宋体" w:eastAsia="宋体" w:cs="宋体"/>
          <w:color w:val="000000"/>
          <w:kern w:val="0"/>
          <w:szCs w:val="21"/>
          <w:lang w:bidi="ar"/>
        </w:rPr>
        <w:t>内置模块</w:t>
      </w:r>
    </w:p>
    <w:tbl>
      <w:tblPr>
        <w:tblStyle w:val="11"/>
        <w:tblW w:w="4882" w:type="pct"/>
        <w:jc w:val="center"/>
        <w:tblLayout w:type="fixed"/>
        <w:tblCellMar>
          <w:top w:w="0" w:type="dxa"/>
          <w:left w:w="108" w:type="dxa"/>
          <w:bottom w:w="0" w:type="dxa"/>
          <w:right w:w="108" w:type="dxa"/>
        </w:tblCellMar>
      </w:tblPr>
      <w:tblGrid>
        <w:gridCol w:w="850"/>
        <w:gridCol w:w="8217"/>
      </w:tblGrid>
      <w:tr>
        <w:tblPrEx>
          <w:tblCellMar>
            <w:top w:w="0" w:type="dxa"/>
            <w:left w:w="108" w:type="dxa"/>
            <w:bottom w:w="0" w:type="dxa"/>
            <w:right w:w="108" w:type="dxa"/>
          </w:tblCellMar>
        </w:tblPrEx>
        <w:trPr>
          <w:trHeight w:val="397" w:hRule="atLeast"/>
          <w:jc w:val="center"/>
        </w:trPr>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技术要求</w:t>
            </w:r>
          </w:p>
        </w:tc>
      </w:tr>
      <w:tr>
        <w:tblPrEx>
          <w:tblCellMar>
            <w:top w:w="0" w:type="dxa"/>
            <w:left w:w="108" w:type="dxa"/>
            <w:bottom w:w="0" w:type="dxa"/>
            <w:right w:w="108" w:type="dxa"/>
          </w:tblCellMar>
        </w:tblPrEx>
        <w:trPr>
          <w:trHeight w:val="397" w:hRule="atLeast"/>
          <w:jc w:val="center"/>
        </w:trPr>
        <w:tc>
          <w:tcPr>
            <w:tcW w:w="8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内置模块</w:t>
            </w: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1.采用模块化电脑方案，抽拉内置式，PC模块可完全插入整机，保护PC模块不易受教室灰尘影响，PC模块可抽拉式插入整机，可实现无单独接线的插拔</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2.PC和整机的连接采用万兆级接口，传输速率≥10Gbps</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▲3.采用按压式卡扣，无需工具即可快速拆卸电脑模块</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4.处理器：四核八线或以上，主频3.2或以上</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5.内存：8G DDR4笔记本内存或以上配置</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6.硬盘：512G或以上SSD</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▲7.在内置PC界面下，当周边外设（如视频展台、智能讲台、智能笔、传屏、音箱）与内置PC连接时，提供实时接入反馈提示；当周边外设移除或断开连接时，提供实时断开反馈提示；当麦克风电量过低时，提供</w:t>
            </w:r>
            <w:r>
              <w:rPr>
                <w:rFonts w:hint="eastAsia" w:ascii="宋体" w:hAnsi="宋体" w:eastAsia="宋体" w:cs="宋体"/>
                <w:kern w:val="0"/>
                <w:szCs w:val="21"/>
              </w:rPr>
              <w:t>低电量提醒反馈</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▲8.在配置管理平台使用终端设备时，支持统一互通的用户身份认证服务，账号登录进入云桌面镜像后，打开教学白板软件、学生行为评价软件的教学应用工具时无需再次输入账号密码重复登录</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▲9.支持当使用桌面镜像功能时发生系统无法启动、系统异常等情况，可通过手势在屏幕上调取触摸中控菜单，进行系统恢复至出厂默认状态，无需连接网络、无需连接管理平台、无需额外工具辅助</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▲10.支持交互大屏在系统恢复后，公共数据分区（如D盘等非系统分区）的数据能够得到保留，不受还原影响，从而不影响教学使用</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▲11.支持诊断网络，支持检测与管理平台的通讯状态，支持TCP延迟、ICMP延迟、上传下载速度检测</w:t>
            </w:r>
            <w:r>
              <w:rPr>
                <w:rFonts w:hint="eastAsia" w:ascii="宋体" w:hAnsi="宋体" w:eastAsia="宋体" w:cs="宋体"/>
                <w:kern w:val="0"/>
                <w:szCs w:val="21"/>
                <w:shd w:val="clear" w:color="auto" w:fill="BEBEBE" w:themeFill="background1" w:themeFillShade="BF"/>
              </w:rPr>
              <w:t>（响应文件中提供国家级检测机构所出具的权威检测报告复印件）</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▲12.支持终端设备运行时无需运行独立的虚拟化系统，终端设备配置的IP与进入云桌面镜像后的IP能够保持一致，同一个终端无需使用多个IP，简化运维管理与网络规划复杂度</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bl>
    <w:p>
      <w:pPr>
        <w:rPr>
          <w:rFonts w:ascii="宋体" w:hAnsi="宋体" w:eastAsia="宋体" w:cs="宋体"/>
          <w:szCs w:val="21"/>
        </w:rPr>
      </w:pPr>
      <w:r>
        <w:rPr>
          <w:rFonts w:hint="eastAsia" w:ascii="宋体" w:hAnsi="宋体" w:eastAsia="宋体" w:cs="宋体"/>
          <w:b/>
          <w:bCs/>
          <w:szCs w:val="21"/>
        </w:rPr>
        <w:t>附件52：</w:t>
      </w:r>
      <w:r>
        <w:rPr>
          <w:rFonts w:hint="eastAsia" w:ascii="宋体" w:hAnsi="宋体" w:eastAsia="宋体" w:cs="宋体"/>
          <w:color w:val="000000"/>
          <w:kern w:val="0"/>
          <w:szCs w:val="21"/>
          <w:lang w:bidi="ar"/>
        </w:rPr>
        <w:t>系统应用部分</w:t>
      </w:r>
    </w:p>
    <w:tbl>
      <w:tblPr>
        <w:tblStyle w:val="11"/>
        <w:tblW w:w="4879" w:type="pct"/>
        <w:jc w:val="center"/>
        <w:tblLayout w:type="fixed"/>
        <w:tblCellMar>
          <w:top w:w="0" w:type="dxa"/>
          <w:left w:w="108" w:type="dxa"/>
          <w:bottom w:w="0" w:type="dxa"/>
          <w:right w:w="108" w:type="dxa"/>
        </w:tblCellMar>
      </w:tblPr>
      <w:tblGrid>
        <w:gridCol w:w="847"/>
        <w:gridCol w:w="8214"/>
      </w:tblGrid>
      <w:tr>
        <w:tblPrEx>
          <w:tblCellMar>
            <w:top w:w="0" w:type="dxa"/>
            <w:left w:w="108" w:type="dxa"/>
            <w:bottom w:w="0" w:type="dxa"/>
            <w:right w:w="108" w:type="dxa"/>
          </w:tblCellMar>
        </w:tblPrEx>
        <w:trPr>
          <w:trHeight w:val="397" w:hRule="atLeast"/>
          <w:jc w:val="center"/>
        </w:trPr>
        <w:tc>
          <w:tcPr>
            <w:tcW w:w="8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技术要求</w:t>
            </w:r>
          </w:p>
        </w:tc>
      </w:tr>
      <w:tr>
        <w:tblPrEx>
          <w:tblCellMar>
            <w:top w:w="0" w:type="dxa"/>
            <w:left w:w="108" w:type="dxa"/>
            <w:bottom w:w="0" w:type="dxa"/>
            <w:right w:w="108" w:type="dxa"/>
          </w:tblCellMar>
        </w:tblPrEx>
        <w:trPr>
          <w:trHeight w:val="397" w:hRule="atLeast"/>
          <w:jc w:val="center"/>
        </w:trPr>
        <w:tc>
          <w:tcPr>
            <w:tcW w:w="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系统应用部分</w:t>
            </w: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一、书写工具</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1.书写：硬笔、毛笔、荧光笔、智能笔、激光笔、竹笔、对象笔、纹理笔</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2.板擦：支持点擦除、区域擦除及全部擦除（清页操作），并可支持在选择笔工具状态下直接通过手势识别动作实现擦除</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3.多点支持：支持同时对两个或以上的图片、音视频、图形对象进行多点缩放与旋转功能，支持三点以上同时书写操作</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4.边写边擦：支持两到三个人在选择书写工具的状态下同时书写和擦除，互不影响，方便不同学生在屏幕上同时书写</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5.文本输入：键盘输入文本，并可对文本内容统一编辑与排版</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6.手写识别：支持手写中文与英文自动识别</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7.手势操作：在书写状态下，支持多种手势的快捷操作，如选择对象、漫游、擦除等</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8.页面无限漫游：支持页面书写区域无限延伸，提供页面缩略图导航，可快速定位书写区域，同时也支持对整个页面或局部进行放大和缩小</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9.多学科模式支持：提供语文、数学、英语、物理、化学教学场景，在各学科教学场景中提供相应的教学工具</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10.教学小工具：提供遮幕、日历、时钟、聚光灯、屏幕截图、放大镜、计算器、屏幕录制、板中板、实物展台等教学展示的辅助功能；屏幕截图提供全屏截图、矩形截图、任意区域截图</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11.Office集成：提供PPT、Word、Excel文档的嵌入打开，演示、批注，及批注保存功能</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12.要求配备教学资源：资源必须符合新课程标准，涵盖新课标多种教材版本，根据学科知识点教学要求，规范分类各教学资源素材</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二、线上教学工具</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1.软件支持微信扫码登录，无需输入帐号密码即可实现登录互动课堂</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2.支持按键拨号形式，直接拨号呼叫连接动课堂连，实现远程教学</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3.互动课堂视频界面支持至少两种画面设置，适应不同场景画面布局需求</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4.线上教学应用提供不少于9个学科工具，支持语文、数学、英语等</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5.支持用户在线打开云课件，无需下载，即可在线打开并展示课件及讲授</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▲6.班级竞赛：支持互动课堂中可对本地班级、听课班级中表现好的班级发送点评奖励，每堂课可统计各班点评总分，并在课上一键展示最高得分的班级进行表扬</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▲7.支持用户无需通过平台，直接创建网络教研，即时生成教研二维码，扫码可进行查看教研简介、发送点评等</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8.具有多系统兼容性。除适配Windows操作系统外，至少能与主流国产操作系统（鸿蒙、UOS、麒麟、深度）其中一个适配并正常安装运行</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▲9.具有互动式教学课件资源，包含学科教育各学段教材版本全部教学章节、专题教育多个主题教育、特殊教育3大分类的不少于150000份的互动课件，其中学科教育各学段各地区教材版本不少于140个</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▲10.课件定向分享：互动教学课件支持定向分享，分享者可将互动课件、课件组推送至指定接收方账号云空间，接收方可在云空间接收并打开分享课件</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▲11.支持电子化听评课，支持在授课模式中发起授课评价，根据课程和评课表生成二维码，可选择是否分享课件，若选择分享课件，评课人通过扫码即可参与评课并获取课件</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公网直播：老师可设置直播模式为公网直播，可自由发起公网直播活动，每场直播支持至少1000个点同时观看，不限直播次数。直播界面可查询目前所有已开课的直播课堂，课堂信息包括录播教室名称、直播课程内容、直播时间。教师可对自己的视频进行修改、删除和提交操作</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三、集中控制工具</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1.后台控制端采用B/S架构设计，可在Windows、Linux、Android、IOS等多种不同的操作系统上通过网页浏览器登陆进行操作，可控制在局域网或互联网内的一体机终端设备</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教室受控端</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2.使用校园集控系统的每个学校/区域拥有专属代码，该学校/区域的一体机设备只需接入互联网，并在受控端输入该代码进行连接，管理员即可在后台对设备进行远程管理</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3.可在一体机桌面查看设备基本信息，如：尺寸、分辨率、系统、CPU、安卓版本等信息，方便授课老师管理设备</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4.支持按照一体机安装的年级、班级，设置教室受控端的名称，方便管理员对应管理</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校园控制</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5.远程监控：在控制端网页可实时监控已连接的一体机，可远程查看开关机状态、使用状态评估、整机温度、以及系统内存、硬盘空间等设备信息</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6.远程设备控制：在控制端网页可对已连接的一体机进行实时控制，包括开关机、切换通道、更改图像及声音模式、锁屏等功能</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弹窗AI拦截：支持一键开启全校班班通设备的不良弹窗AI拦截过滤能力，设备辅助管理软件实时监测弹出窗口，当有窗口弹出时，会自动使用“不良弹窗AI模型”判断，判断为不良弹窗时，自动拦截该窗口，以保证课堂教学稳定进行</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领导视窗：支持同时查看8个教室的实时摄像头画面、设备屏幕画面；并支持在一个显示界面同时查看单个教室内所有屏幕、所有摄像头的实时画面，以及所有麦克风的声音，完整还原课堂全貌。其中摄像头画面可直接使用班班通自带摄像头，无需额外购置，方便且实惠。单台设备巡视时，发现有违规违纪行为时，可远程发消息、发语音直接干预，也可记录备注，事后教育。支持记录所有管理员的巡视记录，方便回溯</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9.任意通道信息发布：可远程对选定的一体机在任意通道下即时发布走马灯文字信息和屏幕常驻信息，可设置播放次数，选择播放位置</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10.数据统计：控制端可根据设备使用情况，生成多个数据报表，包括开机次数、使用人数累计、活跃人数、软件使用次数、学科使用率等，方便管理员检查设备使用情况</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11.管理员分组：系统可将管理权限分配给多个管理员，共同管理受控范围内设备；顶级管理员可查看普通管理员进行的操作，并可对普通管理员进行权限管理，根据不同管理员职责开放适当权限</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12.分组管理：顶级管理员可按照年级、楼层等，将一体机控制、监控等权限分配给对应的普通管理员，进行分组管理</w:t>
            </w:r>
          </w:p>
        </w:tc>
      </w:tr>
    </w:tbl>
    <w:p>
      <w:pPr>
        <w:rPr>
          <w:rFonts w:ascii="宋体" w:hAnsi="宋体" w:eastAsia="宋体" w:cs="宋体"/>
          <w:szCs w:val="21"/>
        </w:rPr>
      </w:pPr>
      <w:r>
        <w:rPr>
          <w:rFonts w:hint="eastAsia" w:ascii="宋体" w:hAnsi="宋体" w:eastAsia="宋体" w:cs="宋体"/>
          <w:b/>
          <w:bCs/>
          <w:szCs w:val="21"/>
        </w:rPr>
        <w:t>附件53：</w:t>
      </w:r>
      <w:r>
        <w:rPr>
          <w:rFonts w:hint="eastAsia" w:ascii="宋体" w:hAnsi="宋体" w:eastAsia="宋体" w:cs="宋体"/>
          <w:color w:val="000000"/>
          <w:kern w:val="0"/>
          <w:szCs w:val="21"/>
          <w:lang w:bidi="ar"/>
        </w:rPr>
        <w:t>高清壁挂展台</w:t>
      </w:r>
    </w:p>
    <w:tbl>
      <w:tblPr>
        <w:tblStyle w:val="11"/>
        <w:tblW w:w="4877" w:type="pct"/>
        <w:jc w:val="center"/>
        <w:tblLayout w:type="fixed"/>
        <w:tblCellMar>
          <w:top w:w="0" w:type="dxa"/>
          <w:left w:w="108" w:type="dxa"/>
          <w:bottom w:w="0" w:type="dxa"/>
          <w:right w:w="108" w:type="dxa"/>
        </w:tblCellMar>
      </w:tblPr>
      <w:tblGrid>
        <w:gridCol w:w="845"/>
        <w:gridCol w:w="8213"/>
      </w:tblGrid>
      <w:tr>
        <w:tblPrEx>
          <w:tblCellMar>
            <w:top w:w="0" w:type="dxa"/>
            <w:left w:w="108" w:type="dxa"/>
            <w:bottom w:w="0" w:type="dxa"/>
            <w:right w:w="108" w:type="dxa"/>
          </w:tblCellMar>
        </w:tblPrEx>
        <w:trPr>
          <w:trHeight w:val="397" w:hRule="atLeast"/>
          <w:jc w:val="center"/>
        </w:trPr>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技术要求</w:t>
            </w:r>
          </w:p>
        </w:tc>
      </w:tr>
      <w:tr>
        <w:tblPrEx>
          <w:tblCellMar>
            <w:top w:w="0" w:type="dxa"/>
            <w:left w:w="108" w:type="dxa"/>
            <w:bottom w:w="0" w:type="dxa"/>
            <w:right w:w="108" w:type="dxa"/>
          </w:tblCellMar>
        </w:tblPrEx>
        <w:trPr>
          <w:trHeight w:val="397" w:hRule="atLeast"/>
          <w:jc w:val="center"/>
        </w:trPr>
        <w:tc>
          <w:tcPr>
            <w:tcW w:w="8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高清壁挂展台</w:t>
            </w: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一、硬件部分</w:t>
            </w:r>
          </w:p>
        </w:tc>
      </w:tr>
      <w:tr>
        <w:tblPrEx>
          <w:tblCellMar>
            <w:top w:w="0" w:type="dxa"/>
            <w:left w:w="108" w:type="dxa"/>
            <w:bottom w:w="0" w:type="dxa"/>
            <w:right w:w="108" w:type="dxa"/>
          </w:tblCellMar>
        </w:tblPrEx>
        <w:trPr>
          <w:trHeight w:val="397" w:hRule="atLeast"/>
          <w:jc w:val="center"/>
        </w:trPr>
        <w:tc>
          <w:tcPr>
            <w:tcW w:w="8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1.壁挂式安装，防盗防破坏</w:t>
            </w:r>
          </w:p>
        </w:tc>
      </w:tr>
      <w:tr>
        <w:tblPrEx>
          <w:tblCellMar>
            <w:top w:w="0" w:type="dxa"/>
            <w:left w:w="108" w:type="dxa"/>
            <w:bottom w:w="0" w:type="dxa"/>
            <w:right w:w="108" w:type="dxa"/>
          </w:tblCellMar>
        </w:tblPrEx>
        <w:trPr>
          <w:trHeight w:val="397" w:hRule="atLeast"/>
          <w:jc w:val="center"/>
        </w:trPr>
        <w:tc>
          <w:tcPr>
            <w:tcW w:w="8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szCs w:val="21"/>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2.无锐角无利边设计，有效防止师生碰伤、划伤</w:t>
            </w:r>
          </w:p>
        </w:tc>
      </w:tr>
      <w:tr>
        <w:tblPrEx>
          <w:tblCellMar>
            <w:top w:w="0" w:type="dxa"/>
            <w:left w:w="108" w:type="dxa"/>
            <w:bottom w:w="0" w:type="dxa"/>
            <w:right w:w="108" w:type="dxa"/>
          </w:tblCellMar>
        </w:tblPrEx>
        <w:trPr>
          <w:trHeight w:val="397" w:hRule="atLeast"/>
          <w:jc w:val="center"/>
        </w:trPr>
        <w:tc>
          <w:tcPr>
            <w:tcW w:w="8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kern w:val="0"/>
                <w:szCs w:val="21"/>
                <w:lang w:bidi="ar"/>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3.采用三折叠开合式托板，展开后托板尺寸≥A4面积，收起时小巧不占空间，高效利用挂墙面积</w:t>
            </w:r>
          </w:p>
        </w:tc>
      </w:tr>
      <w:tr>
        <w:tblPrEx>
          <w:tblCellMar>
            <w:top w:w="0" w:type="dxa"/>
            <w:left w:w="108" w:type="dxa"/>
            <w:bottom w:w="0" w:type="dxa"/>
            <w:right w:w="108" w:type="dxa"/>
          </w:tblCellMar>
        </w:tblPrEx>
        <w:trPr>
          <w:trHeight w:val="397" w:hRule="atLeast"/>
          <w:jc w:val="center"/>
        </w:trPr>
        <w:tc>
          <w:tcPr>
            <w:tcW w:w="8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kern w:val="0"/>
                <w:szCs w:val="21"/>
                <w:lang w:bidi="ar"/>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4.采用USB高速接口，单根USB线实现供电、高清数据传输需求</w:t>
            </w:r>
          </w:p>
        </w:tc>
      </w:tr>
      <w:tr>
        <w:tblPrEx>
          <w:tblCellMar>
            <w:top w:w="0" w:type="dxa"/>
            <w:left w:w="108" w:type="dxa"/>
            <w:bottom w:w="0" w:type="dxa"/>
            <w:right w:w="108" w:type="dxa"/>
          </w:tblCellMar>
        </w:tblPrEx>
        <w:trPr>
          <w:trHeight w:val="397" w:hRule="atLeast"/>
          <w:jc w:val="center"/>
        </w:trPr>
        <w:tc>
          <w:tcPr>
            <w:tcW w:w="8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kern w:val="0"/>
                <w:szCs w:val="21"/>
                <w:lang w:bidi="ar"/>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5.采用1200W像素自动对焦摄像头，可拍摄A4画幅</w:t>
            </w:r>
          </w:p>
        </w:tc>
      </w:tr>
      <w:tr>
        <w:tblPrEx>
          <w:tblCellMar>
            <w:top w:w="0" w:type="dxa"/>
            <w:left w:w="108" w:type="dxa"/>
            <w:bottom w:w="0" w:type="dxa"/>
            <w:right w:w="108" w:type="dxa"/>
          </w:tblCellMar>
        </w:tblPrEx>
        <w:trPr>
          <w:trHeight w:val="397" w:hRule="atLeast"/>
          <w:jc w:val="center"/>
        </w:trPr>
        <w:tc>
          <w:tcPr>
            <w:tcW w:w="8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kern w:val="0"/>
                <w:szCs w:val="21"/>
                <w:lang w:bidi="ar"/>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6.采用PDAF相位对焦技术，自动对焦速度低于300ms，减少对焦过程时间，提高教学效率</w:t>
            </w:r>
          </w:p>
        </w:tc>
      </w:tr>
      <w:tr>
        <w:tblPrEx>
          <w:tblCellMar>
            <w:top w:w="0" w:type="dxa"/>
            <w:left w:w="108" w:type="dxa"/>
            <w:bottom w:w="0" w:type="dxa"/>
            <w:right w:w="108" w:type="dxa"/>
          </w:tblCellMar>
        </w:tblPrEx>
        <w:trPr>
          <w:trHeight w:val="397" w:hRule="atLeast"/>
          <w:jc w:val="center"/>
        </w:trPr>
        <w:tc>
          <w:tcPr>
            <w:tcW w:w="845" w:type="dxa"/>
            <w:vMerge w:val="continue"/>
            <w:tcBorders>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kern w:val="0"/>
                <w:szCs w:val="21"/>
                <w:lang w:bidi="ar"/>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kern w:val="0"/>
                <w:szCs w:val="21"/>
                <w:lang w:bidi="ar"/>
              </w:rPr>
            </w:pPr>
            <w:r>
              <w:rPr>
                <w:rFonts w:hint="eastAsia" w:ascii="宋体" w:hAnsi="宋体" w:eastAsia="宋体" w:cs="宋体"/>
                <w:color w:val="000000"/>
                <w:kern w:val="0"/>
                <w:szCs w:val="21"/>
                <w:lang w:bidi="ar"/>
              </w:rPr>
              <w:t>7.支持通过双击屏幕画面任意位置，即时改变对焦位置，可对立体物体的局部进行精确对焦</w:t>
            </w:r>
          </w:p>
        </w:tc>
      </w:tr>
      <w:tr>
        <w:tblPrEx>
          <w:tblCellMar>
            <w:top w:w="0" w:type="dxa"/>
            <w:left w:w="108" w:type="dxa"/>
            <w:bottom w:w="0" w:type="dxa"/>
            <w:right w:w="108" w:type="dxa"/>
          </w:tblCellMar>
        </w:tblPrEx>
        <w:trPr>
          <w:trHeight w:val="397" w:hRule="atLeast"/>
          <w:jc w:val="center"/>
        </w:trPr>
        <w:tc>
          <w:tcPr>
            <w:tcW w:w="8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8.支持两倍无损变焦放大，1080P分辨率下输出解析度≥TV1800线</w:t>
            </w:r>
          </w:p>
        </w:tc>
      </w:tr>
      <w:tr>
        <w:tblPrEx>
          <w:tblCellMar>
            <w:top w:w="0" w:type="dxa"/>
            <w:left w:w="108" w:type="dxa"/>
            <w:bottom w:w="0" w:type="dxa"/>
            <w:right w:w="108" w:type="dxa"/>
          </w:tblCellMar>
        </w:tblPrEx>
        <w:trPr>
          <w:trHeight w:val="397" w:hRule="atLeast"/>
          <w:jc w:val="center"/>
        </w:trPr>
        <w:tc>
          <w:tcPr>
            <w:tcW w:w="8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9.展台按键采用电容式触摸按键，可实现一键启动展台画面、画面放大、画面缩小、画面旋转、拍照截图等功能，同时也支持在展台软件上进行同样的操作</w:t>
            </w:r>
          </w:p>
        </w:tc>
      </w:tr>
      <w:tr>
        <w:tblPrEx>
          <w:tblCellMar>
            <w:top w:w="0" w:type="dxa"/>
            <w:left w:w="108" w:type="dxa"/>
            <w:bottom w:w="0" w:type="dxa"/>
            <w:right w:w="108" w:type="dxa"/>
          </w:tblCellMar>
        </w:tblPrEx>
        <w:trPr>
          <w:trHeight w:val="397" w:hRule="atLeast"/>
          <w:jc w:val="center"/>
        </w:trPr>
        <w:tc>
          <w:tcPr>
            <w:tcW w:w="8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10.整机自带均光罩LED补光灯，光线不足时可进行亮度补充，亮度均匀。11、外壳在摄像头部分带保护镜片密封，防止灰尘沾染摄像头，防护等级达到IP4X级别</w:t>
            </w:r>
          </w:p>
        </w:tc>
      </w:tr>
      <w:tr>
        <w:tblPrEx>
          <w:tblCellMar>
            <w:top w:w="0" w:type="dxa"/>
            <w:left w:w="108" w:type="dxa"/>
            <w:bottom w:w="0" w:type="dxa"/>
            <w:right w:w="108" w:type="dxa"/>
          </w:tblCellMar>
        </w:tblPrEx>
        <w:trPr>
          <w:trHeight w:val="397" w:hRule="atLeast"/>
          <w:jc w:val="center"/>
        </w:trPr>
        <w:tc>
          <w:tcPr>
            <w:tcW w:w="845" w:type="dxa"/>
            <w:vMerge w:val="continue"/>
            <w:tcBorders>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szCs w:val="21"/>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b/>
                <w:bCs/>
                <w:color w:val="000000"/>
                <w:kern w:val="0"/>
                <w:szCs w:val="21"/>
                <w:lang w:bidi="ar"/>
              </w:rPr>
            </w:pPr>
            <w:r>
              <w:rPr>
                <w:rFonts w:hint="eastAsia" w:ascii="宋体" w:hAnsi="宋体" w:eastAsia="宋体" w:cs="宋体"/>
                <w:b/>
                <w:bCs/>
                <w:color w:val="000000"/>
                <w:kern w:val="0"/>
                <w:szCs w:val="21"/>
                <w:lang w:bidi="ar"/>
              </w:rPr>
              <w:t>二、软件部分</w:t>
            </w:r>
          </w:p>
        </w:tc>
      </w:tr>
      <w:tr>
        <w:tblPrEx>
          <w:tblCellMar>
            <w:top w:w="0" w:type="dxa"/>
            <w:left w:w="108" w:type="dxa"/>
            <w:bottom w:w="0" w:type="dxa"/>
            <w:right w:w="108" w:type="dxa"/>
          </w:tblCellMar>
        </w:tblPrEx>
        <w:trPr>
          <w:trHeight w:val="397" w:hRule="atLeast"/>
          <w:jc w:val="center"/>
        </w:trPr>
        <w:tc>
          <w:tcPr>
            <w:tcW w:w="8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1.支持对展台实时画面进行放大、缩小、旋转、自适应、冻结画面等操作</w:t>
            </w:r>
          </w:p>
        </w:tc>
      </w:tr>
      <w:tr>
        <w:tblPrEx>
          <w:tblCellMar>
            <w:top w:w="0" w:type="dxa"/>
            <w:left w:w="108" w:type="dxa"/>
            <w:bottom w:w="0" w:type="dxa"/>
            <w:right w:w="108" w:type="dxa"/>
          </w:tblCellMar>
        </w:tblPrEx>
        <w:trPr>
          <w:trHeight w:val="397" w:hRule="atLeast"/>
          <w:jc w:val="center"/>
        </w:trPr>
        <w:tc>
          <w:tcPr>
            <w:tcW w:w="8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2.支持展台画面实时批注，预设多种笔划粗细及颜色供选择，且支持+H8对展台画面联同批注内容进行同步缩放、移动</w:t>
            </w:r>
          </w:p>
        </w:tc>
      </w:tr>
      <w:tr>
        <w:tblPrEx>
          <w:tblCellMar>
            <w:top w:w="0" w:type="dxa"/>
            <w:left w:w="108" w:type="dxa"/>
            <w:bottom w:w="0" w:type="dxa"/>
            <w:right w:w="108" w:type="dxa"/>
          </w:tblCellMar>
        </w:tblPrEx>
        <w:trPr>
          <w:trHeight w:val="397" w:hRule="atLeast"/>
          <w:jc w:val="center"/>
        </w:trPr>
        <w:tc>
          <w:tcPr>
            <w:tcW w:w="8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3.支持展台画面拍照截图并进行多图预览，可对任一图片进行全屏显示</w:t>
            </w:r>
          </w:p>
        </w:tc>
      </w:tr>
      <w:tr>
        <w:tblPrEx>
          <w:tblCellMar>
            <w:top w:w="0" w:type="dxa"/>
            <w:left w:w="108" w:type="dxa"/>
            <w:bottom w:w="0" w:type="dxa"/>
            <w:right w:w="108" w:type="dxa"/>
          </w:tblCellMar>
        </w:tblPrEx>
        <w:trPr>
          <w:trHeight w:val="397" w:hRule="atLeast"/>
          <w:jc w:val="center"/>
        </w:trPr>
        <w:tc>
          <w:tcPr>
            <w:tcW w:w="8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4.老师可在一体机或电脑上选择延时拍照功能，支持5秒或10秒延时模式，预留充足时间以便调整拍摄内容</w:t>
            </w:r>
          </w:p>
        </w:tc>
      </w:tr>
      <w:tr>
        <w:tblPrEx>
          <w:tblCellMar>
            <w:top w:w="0" w:type="dxa"/>
            <w:left w:w="108" w:type="dxa"/>
            <w:bottom w:w="0" w:type="dxa"/>
            <w:right w:w="108" w:type="dxa"/>
          </w:tblCellMar>
        </w:tblPrEx>
        <w:trPr>
          <w:trHeight w:val="397" w:hRule="atLeast"/>
          <w:jc w:val="center"/>
        </w:trPr>
        <w:tc>
          <w:tcPr>
            <w:tcW w:w="8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5.“无画面”的原因，并给出引导性解决方案。可判断硬件连接、显卡驱动、摄像头占用、软件版本等问题</w:t>
            </w:r>
          </w:p>
        </w:tc>
      </w:tr>
      <w:tr>
        <w:tblPrEx>
          <w:tblCellMar>
            <w:top w:w="0" w:type="dxa"/>
            <w:left w:w="108" w:type="dxa"/>
            <w:bottom w:w="0" w:type="dxa"/>
            <w:right w:w="108" w:type="dxa"/>
          </w:tblCellMar>
        </w:tblPrEx>
        <w:trPr>
          <w:trHeight w:val="397" w:hRule="atLeast"/>
          <w:jc w:val="center"/>
        </w:trPr>
        <w:tc>
          <w:tcPr>
            <w:tcW w:w="8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c>
          <w:tcPr>
            <w:tcW w:w="82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6.支持二维码扫码功能：打开扫一扫功能后，将书本上的二维码放入扫描框内即可自动扫描，并进入系统浏览器获取二维码的链接内容，帮助老师快速获取电子教学资源</w:t>
            </w:r>
          </w:p>
        </w:tc>
      </w:tr>
    </w:tbl>
    <w:p>
      <w:pPr>
        <w:rPr>
          <w:rFonts w:ascii="宋体" w:hAnsi="宋体" w:eastAsia="宋体" w:cs="宋体"/>
          <w:szCs w:val="21"/>
        </w:rPr>
      </w:pPr>
      <w:r>
        <w:rPr>
          <w:rFonts w:hint="eastAsia" w:ascii="宋体" w:hAnsi="宋体" w:eastAsia="宋体" w:cs="宋体"/>
          <w:b/>
          <w:bCs/>
          <w:szCs w:val="21"/>
        </w:rPr>
        <w:t>附件54：</w:t>
      </w:r>
      <w:r>
        <w:rPr>
          <w:rFonts w:hint="eastAsia" w:ascii="宋体" w:hAnsi="宋体" w:eastAsia="宋体" w:cs="宋体"/>
          <w:color w:val="000000"/>
          <w:kern w:val="0"/>
          <w:szCs w:val="21"/>
          <w:lang w:bidi="ar"/>
        </w:rPr>
        <w:t>音箱</w:t>
      </w:r>
    </w:p>
    <w:tbl>
      <w:tblPr>
        <w:tblStyle w:val="11"/>
        <w:tblW w:w="4879" w:type="pct"/>
        <w:jc w:val="center"/>
        <w:tblLayout w:type="fixed"/>
        <w:tblCellMar>
          <w:top w:w="0" w:type="dxa"/>
          <w:left w:w="108" w:type="dxa"/>
          <w:bottom w:w="0" w:type="dxa"/>
          <w:right w:w="108" w:type="dxa"/>
        </w:tblCellMar>
      </w:tblPr>
      <w:tblGrid>
        <w:gridCol w:w="847"/>
        <w:gridCol w:w="8214"/>
      </w:tblGrid>
      <w:tr>
        <w:tblPrEx>
          <w:tblCellMar>
            <w:top w:w="0" w:type="dxa"/>
            <w:left w:w="108" w:type="dxa"/>
            <w:bottom w:w="0" w:type="dxa"/>
            <w:right w:w="108" w:type="dxa"/>
          </w:tblCellMar>
        </w:tblPrEx>
        <w:trPr>
          <w:trHeight w:val="397" w:hRule="atLeast"/>
          <w:jc w:val="center"/>
        </w:trPr>
        <w:tc>
          <w:tcPr>
            <w:tcW w:w="8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技术要求</w:t>
            </w:r>
          </w:p>
        </w:tc>
      </w:tr>
      <w:tr>
        <w:tblPrEx>
          <w:tblCellMar>
            <w:top w:w="0" w:type="dxa"/>
            <w:left w:w="108" w:type="dxa"/>
            <w:bottom w:w="0" w:type="dxa"/>
            <w:right w:w="108" w:type="dxa"/>
          </w:tblCellMar>
        </w:tblPrEx>
        <w:trPr>
          <w:trHeight w:val="397" w:hRule="atLeast"/>
          <w:jc w:val="center"/>
        </w:trPr>
        <w:tc>
          <w:tcPr>
            <w:tcW w:w="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音箱</w:t>
            </w: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1.采用功放及有源音箱一体化设计</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2.双音箱配对，采用木质材质，保证声音还原度</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3.输出功率：2×20W</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4.端口：电源×1、Line in×1、Line out×1、同轴输入×1、U盘接口×1</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5.支持数字U段无线麦克风扩音接收，有效避开wifi干扰。支持扩音与输入音源声音叠加</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6.支持啸叫抑制功能，在麦克风挂绳模式下会自动打开</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7.支持蓝牙无线接收，方便老师分享移动设备上的音频。蓝牙支持密码模式，防止学生连接</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8.支持扩音和输入音源叠加输出，方便与录播系统结合，或者通过串联功放支持更大环境扩音</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▲9.为保证兼容性和未来的扩容性，</w:t>
            </w:r>
            <w:r>
              <w:rPr>
                <w:rFonts w:hint="eastAsia" w:ascii="宋体" w:hAnsi="宋体" w:eastAsia="宋体" w:cs="宋体"/>
                <w:color w:val="000000"/>
                <w:kern w:val="0"/>
                <w:szCs w:val="21"/>
                <w:shd w:val="clear" w:color="auto" w:fill="BEBEBE" w:themeFill="background1" w:themeFillShade="BF"/>
                <w:lang w:bidi="ar"/>
              </w:rPr>
              <w:t>要求</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bidi="ar"/>
              </w:rPr>
              <w:t>音箱</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bidi="ar"/>
              </w:rPr>
              <w:t>与</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bidi="ar"/>
              </w:rPr>
              <w:t>智慧黑板</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bidi="ar"/>
              </w:rPr>
              <w:t>为同一品牌</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▲10.音箱具有SRRC无线电发射设备型号核准证，符合无线电管理规定和技术标准</w:t>
            </w:r>
          </w:p>
        </w:tc>
      </w:tr>
    </w:tbl>
    <w:p>
      <w:pPr>
        <w:rPr>
          <w:rFonts w:ascii="宋体" w:hAnsi="宋体" w:eastAsia="宋体" w:cs="宋体"/>
          <w:b/>
          <w:bCs/>
          <w:szCs w:val="21"/>
        </w:rPr>
      </w:pPr>
      <w:r>
        <w:rPr>
          <w:rFonts w:hint="eastAsia" w:ascii="宋体" w:hAnsi="宋体" w:eastAsia="宋体" w:cs="宋体"/>
          <w:b/>
          <w:bCs/>
          <w:szCs w:val="21"/>
        </w:rPr>
        <w:t>附件5</w:t>
      </w:r>
      <w:r>
        <w:rPr>
          <w:rFonts w:hint="eastAsia" w:ascii="宋体" w:hAnsi="宋体" w:eastAsia="宋体" w:cs="宋体"/>
          <w:b/>
          <w:bCs/>
          <w:szCs w:val="21"/>
          <w:lang w:val="en-US" w:eastAsia="zh-CN"/>
        </w:rPr>
        <w:t>5</w:t>
      </w:r>
      <w:r>
        <w:rPr>
          <w:rFonts w:hint="eastAsia" w:ascii="宋体" w:hAnsi="宋体" w:eastAsia="宋体" w:cs="宋体"/>
          <w:b/>
          <w:bCs/>
          <w:szCs w:val="21"/>
        </w:rPr>
        <w:t>：</w:t>
      </w:r>
      <w:r>
        <w:rPr>
          <w:rStyle w:val="46"/>
          <w:sz w:val="21"/>
          <w:szCs w:val="21"/>
          <w:lang w:bidi="ar"/>
        </w:rPr>
        <w:t>虚拟演播室主机</w:t>
      </w:r>
    </w:p>
    <w:tbl>
      <w:tblPr>
        <w:tblStyle w:val="11"/>
        <w:tblW w:w="4882" w:type="pct"/>
        <w:jc w:val="center"/>
        <w:tblLayout w:type="fixed"/>
        <w:tblCellMar>
          <w:top w:w="0" w:type="dxa"/>
          <w:left w:w="108" w:type="dxa"/>
          <w:bottom w:w="0" w:type="dxa"/>
          <w:right w:w="108" w:type="dxa"/>
        </w:tblCellMar>
      </w:tblPr>
      <w:tblGrid>
        <w:gridCol w:w="850"/>
        <w:gridCol w:w="8217"/>
      </w:tblGrid>
      <w:tr>
        <w:tblPrEx>
          <w:tblCellMar>
            <w:top w:w="0" w:type="dxa"/>
            <w:left w:w="108" w:type="dxa"/>
            <w:bottom w:w="0" w:type="dxa"/>
            <w:right w:w="108" w:type="dxa"/>
          </w:tblCellMar>
        </w:tblPrEx>
        <w:trPr>
          <w:trHeight w:val="397" w:hRule="atLeast"/>
          <w:jc w:val="center"/>
        </w:trPr>
        <w:tc>
          <w:tcPr>
            <w:tcW w:w="46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名称</w:t>
            </w: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46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虚拟演播室主机</w:t>
            </w: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一、整体设计</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★1.主机架构：为保障系统运行稳定、安全，要求</w:t>
            </w:r>
            <w:r>
              <w:rPr>
                <w:rFonts w:hint="eastAsia" w:ascii="宋体" w:hAnsi="宋体" w:eastAsia="宋体" w:cs="宋体"/>
                <w:color w:val="000000"/>
                <w:kern w:val="0"/>
                <w:szCs w:val="21"/>
                <w:lang w:eastAsia="zh-CN" w:bidi="ar"/>
              </w:rPr>
              <w:t>虚拟演播室主机</w:t>
            </w:r>
            <w:r>
              <w:rPr>
                <w:rFonts w:hint="eastAsia" w:ascii="宋体" w:hAnsi="宋体" w:eastAsia="宋体" w:cs="宋体"/>
                <w:color w:val="000000"/>
                <w:kern w:val="0"/>
                <w:szCs w:val="21"/>
                <w:lang w:bidi="ar"/>
              </w:rPr>
              <w:t>采用嵌入式架构设计，非PC、服务器架构。主机为标准1U机架式设备，便于安装部署</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★2.功能设计：要求主机高度集成多种功能应用，包括视频抠像、虚拟背景实时渲染、录制、预览、导播、直播等功能，无需其他色键抠像主机、直播主机配合</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3.平台对接：要求支持无缝对接视频资源管理应用平台，实现主机录制生成的视频文件自动上传平台归档</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二、主机性能</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1.视频输入输出：具备高清视频输入接口3G-SDI in≥3、HDMI in≥3；高清输出接口HDMI out≥3；且采集和输出分辨率均支持1080P@30fps。每个HDMI输出口的输出信号支持自定义选择本地导播画面或录制效果画面输出</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2.视频编解码：支持H.264视频编解码协议，支持1080P@30fps、720P@30fps分辨率格式编解码。并要求采用MP4封装格式保证视频兼容性</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▲3.音频输入输出：具备数字音频输入接口Digital MIC≥2、线性音频输入接口Line in≥2；线性音频输出接口Line out≥1，耳机监听接口≥1。并采用AAC高级音频编解码算法，支持EQ均衡调节、增益调节等音频处理功能</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4.网络接入：具备RJ45网口，支持1000/100Mbps网络自适应</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5.存储容量：内置2T存储硬盘，支持录制文件本地保存</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6.主机控制：具备2路以上Console控制口，支持控制设备通过控制口输入控制命令</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7.外设连接：具备2路及以上USB3.0接口，方便键盘、鼠标、U盘等外设设备连接使用</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★8.抠像性能：支持2路摄像机蓝/绿背景信号实时同步抠像功能，无需额外增加色键抠像设备。同时支持1路以上摄像机实景信号拍摄录制</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▲9.外场连线性能：支持1路以上场外实景摄像机视音频信号以网络方式传送到主机，实现本地演播室与远端的远程视音频连线，可将远端画面和本地与远端的双分屏对话画面进行录制</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10.导播控制：支持接入U盘上传下载背景素材，支持接入鼠标键盘的本地导播操作</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三、其他要求</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1.要求整机使用平均无故障运行时间（MTBF）应≥200000小时</w:t>
            </w:r>
            <w:r>
              <w:rPr>
                <w:rFonts w:hint="eastAsia" w:ascii="宋体" w:hAnsi="宋体" w:eastAsia="宋体" w:cs="宋体"/>
                <w:kern w:val="0"/>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shd w:val="clear" w:color="auto" w:fill="BEBEBE" w:themeFill="background1" w:themeFillShade="BF"/>
                <w:lang w:bidi="ar"/>
              </w:rPr>
              <w:t>2.要求</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bidi="ar"/>
              </w:rPr>
              <w:t>虚拟演播室主机</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val="en-US" w:eastAsia="zh-CN" w:bidi="ar"/>
              </w:rPr>
              <w:t>与</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bidi="ar"/>
              </w:rPr>
              <w:t>高清摄像机</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bidi="ar"/>
              </w:rPr>
              <w:t>为同一品牌</w:t>
            </w:r>
          </w:p>
        </w:tc>
      </w:tr>
      <w:tr>
        <w:tblPrEx>
          <w:tblCellMar>
            <w:top w:w="0" w:type="dxa"/>
            <w:left w:w="108" w:type="dxa"/>
            <w:bottom w:w="0" w:type="dxa"/>
            <w:right w:w="108" w:type="dxa"/>
          </w:tblCellMar>
        </w:tblPrEx>
        <w:trPr>
          <w:trHeight w:val="397" w:hRule="atLeast"/>
          <w:jc w:val="center"/>
        </w:trPr>
        <w:tc>
          <w:tcPr>
            <w:tcW w:w="4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453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w:t>
            </w:r>
            <w:r>
              <w:rPr>
                <w:rFonts w:hint="eastAsia" w:ascii="宋体" w:hAnsi="宋体" w:eastAsia="宋体" w:cs="宋体"/>
                <w:kern w:val="0"/>
                <w:szCs w:val="21"/>
                <w:lang w:bidi="ar"/>
              </w:rPr>
              <w:t>3.兼容性要求：虚拟演播主机须在不加其他设备的情况下，可与已有的余姚已建成的“远距同步课堂平台”的直播/上传等功能的无缝对接，并与平台覆盖的其他学校实现双向双流标准同步课堂互动</w:t>
            </w:r>
            <w:r>
              <w:rPr>
                <w:rFonts w:hint="eastAsia" w:ascii="宋体" w:hAnsi="宋体" w:eastAsia="宋体" w:cs="宋体"/>
                <w:kern w:val="0"/>
                <w:szCs w:val="21"/>
                <w:shd w:val="clear" w:color="auto" w:fill="BEBEBE" w:themeFill="background1" w:themeFillShade="BF"/>
              </w:rPr>
              <w:t>（响应文件中提供无缝对接承诺书）</w:t>
            </w:r>
          </w:p>
        </w:tc>
      </w:tr>
    </w:tbl>
    <w:p>
      <w:pPr>
        <w:rPr>
          <w:rFonts w:ascii="宋体" w:hAnsi="宋体" w:eastAsia="宋体" w:cs="宋体"/>
          <w:szCs w:val="21"/>
        </w:rPr>
      </w:pPr>
      <w:r>
        <w:rPr>
          <w:rFonts w:hint="eastAsia" w:ascii="宋体" w:hAnsi="宋体" w:eastAsia="宋体" w:cs="宋体"/>
          <w:b/>
          <w:bCs/>
          <w:szCs w:val="21"/>
        </w:rPr>
        <w:t>附件5</w:t>
      </w:r>
      <w:r>
        <w:rPr>
          <w:rFonts w:hint="eastAsia" w:ascii="宋体" w:hAnsi="宋体" w:eastAsia="宋体" w:cs="宋体"/>
          <w:b/>
          <w:bCs/>
          <w:szCs w:val="21"/>
          <w:lang w:val="en-US" w:eastAsia="zh-CN"/>
        </w:rPr>
        <w:t>6</w:t>
      </w:r>
      <w:r>
        <w:rPr>
          <w:rFonts w:hint="eastAsia" w:ascii="宋体" w:hAnsi="宋体" w:eastAsia="宋体" w:cs="宋体"/>
          <w:b/>
          <w:bCs/>
          <w:szCs w:val="21"/>
        </w:rPr>
        <w:t>：</w:t>
      </w:r>
      <w:r>
        <w:rPr>
          <w:rStyle w:val="46"/>
          <w:sz w:val="21"/>
          <w:szCs w:val="21"/>
          <w:lang w:bidi="ar"/>
        </w:rPr>
        <w:t>校园电视台系统软件</w:t>
      </w:r>
    </w:p>
    <w:tbl>
      <w:tblPr>
        <w:tblStyle w:val="11"/>
        <w:tblW w:w="4882" w:type="pct"/>
        <w:jc w:val="center"/>
        <w:tblLayout w:type="fixed"/>
        <w:tblCellMar>
          <w:top w:w="0" w:type="dxa"/>
          <w:left w:w="108" w:type="dxa"/>
          <w:bottom w:w="0" w:type="dxa"/>
          <w:right w:w="108" w:type="dxa"/>
        </w:tblCellMar>
      </w:tblPr>
      <w:tblGrid>
        <w:gridCol w:w="850"/>
        <w:gridCol w:w="8217"/>
      </w:tblGrid>
      <w:tr>
        <w:tblPrEx>
          <w:tblCellMar>
            <w:top w:w="0" w:type="dxa"/>
            <w:left w:w="108" w:type="dxa"/>
            <w:bottom w:w="0" w:type="dxa"/>
            <w:right w:w="108" w:type="dxa"/>
          </w:tblCellMar>
        </w:tblPrEx>
        <w:trPr>
          <w:trHeight w:val="397" w:hRule="atLeast"/>
          <w:jc w:val="center"/>
        </w:trPr>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8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校园电视台系统软件</w:t>
            </w: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一、整体要求</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1.要求</w:t>
            </w:r>
            <w:r>
              <w:rPr>
                <w:rFonts w:hint="eastAsia" w:ascii="宋体" w:hAnsi="宋体" w:eastAsia="宋体" w:cs="宋体"/>
                <w:color w:val="000000"/>
                <w:kern w:val="0"/>
                <w:szCs w:val="21"/>
                <w:highlight w:val="none"/>
                <w:shd w:val="clear"/>
                <w:lang w:bidi="ar"/>
              </w:rPr>
              <w:t>配套的</w:t>
            </w:r>
            <w:r>
              <w:rPr>
                <w:rFonts w:hint="eastAsia" w:ascii="宋体" w:hAnsi="宋体" w:eastAsia="宋体" w:cs="宋体"/>
                <w:color w:val="000000"/>
                <w:kern w:val="0"/>
                <w:szCs w:val="21"/>
                <w:highlight w:val="none"/>
                <w:shd w:val="clear"/>
                <w:lang w:eastAsia="zh-CN" w:bidi="ar"/>
              </w:rPr>
              <w:t>校园电视台系统软件</w:t>
            </w:r>
            <w:r>
              <w:rPr>
                <w:rFonts w:hint="eastAsia" w:ascii="宋体" w:hAnsi="宋体" w:eastAsia="宋体" w:cs="宋体"/>
                <w:color w:val="000000"/>
                <w:kern w:val="0"/>
                <w:szCs w:val="21"/>
                <w:highlight w:val="none"/>
                <w:shd w:val="clear"/>
                <w:lang w:bidi="ar"/>
              </w:rPr>
              <w:t>在</w:t>
            </w:r>
            <w:r>
              <w:rPr>
                <w:rFonts w:hint="eastAsia" w:ascii="宋体" w:hAnsi="宋体" w:eastAsia="宋体" w:cs="宋体"/>
                <w:color w:val="000000"/>
                <w:kern w:val="0"/>
                <w:szCs w:val="21"/>
                <w:lang w:bidi="ar"/>
              </w:rPr>
              <w:t>出厂时内置于高清</w:t>
            </w:r>
            <w:r>
              <w:rPr>
                <w:rFonts w:hint="eastAsia" w:ascii="宋体" w:hAnsi="宋体" w:eastAsia="宋体" w:cs="宋体"/>
                <w:color w:val="000000"/>
                <w:kern w:val="0"/>
                <w:szCs w:val="21"/>
                <w:lang w:eastAsia="zh-CN" w:bidi="ar"/>
              </w:rPr>
              <w:t>虚拟演播室主机</w:t>
            </w:r>
            <w:r>
              <w:rPr>
                <w:rFonts w:hint="eastAsia" w:ascii="宋体" w:hAnsi="宋体" w:eastAsia="宋体" w:cs="宋体"/>
                <w:color w:val="000000"/>
                <w:kern w:val="0"/>
                <w:szCs w:val="21"/>
                <w:lang w:bidi="ar"/>
              </w:rPr>
              <w:t>中</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2.控制方式：支持本地导播控制，可直接在配套虚拟演播室主机接入鼠标、键盘、显示器进行打开软件操作界面进行导播控制，保证导播具有较好的实时性和流畅性</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▲3.自主知识产权：要求</w:t>
            </w:r>
            <w:r>
              <w:rPr>
                <w:rFonts w:hint="eastAsia" w:ascii="宋体" w:hAnsi="宋体" w:eastAsia="宋体" w:cs="宋体"/>
                <w:color w:val="000000"/>
                <w:kern w:val="0"/>
                <w:szCs w:val="21"/>
                <w:lang w:eastAsia="zh-CN" w:bidi="ar"/>
              </w:rPr>
              <w:t>校园电视台系统软件</w:t>
            </w:r>
            <w:r>
              <w:rPr>
                <w:rFonts w:hint="eastAsia" w:ascii="宋体" w:hAnsi="宋体" w:eastAsia="宋体" w:cs="宋体"/>
                <w:color w:val="000000"/>
                <w:kern w:val="0"/>
                <w:szCs w:val="21"/>
                <w:lang w:bidi="ar"/>
              </w:rPr>
              <w:t>具备自主知识产权</w:t>
            </w:r>
            <w:r>
              <w:rPr>
                <w:rFonts w:hint="eastAsia" w:ascii="宋体" w:hAnsi="宋体" w:eastAsia="宋体" w:cs="宋体"/>
                <w:szCs w:val="21"/>
                <w:shd w:val="clear" w:color="auto" w:fill="BEBEBE" w:themeFill="background1" w:themeFillShade="BF"/>
              </w:rPr>
              <w:t>（</w:t>
            </w:r>
            <w:r>
              <w:rPr>
                <w:rFonts w:hint="eastAsia" w:ascii="宋体" w:hAnsi="宋体" w:eastAsia="宋体" w:cs="宋体"/>
                <w:kern w:val="0"/>
                <w:szCs w:val="21"/>
                <w:shd w:val="clear" w:color="auto" w:fill="BEBEBE" w:themeFill="background1" w:themeFillShade="BF"/>
              </w:rPr>
              <w:t>响应文件中</w:t>
            </w:r>
            <w:r>
              <w:rPr>
                <w:rFonts w:hint="eastAsia" w:ascii="宋体" w:hAnsi="宋体" w:eastAsia="宋体" w:cs="宋体"/>
                <w:szCs w:val="21"/>
                <w:shd w:val="clear" w:color="auto" w:fill="BEBEBE" w:themeFill="background1" w:themeFillShade="BF"/>
              </w:rPr>
              <w:t>提供虚拟演播管理相关功能的软件著作权登记证书复印件）</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二、节目制作模块</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1.信号处理：提供不少于2路预抠像摄像机信号和1路实景拍摄摄像机信号的接入处理能力，并具备画面预览窗口，同时支持HDMI信号、远程网络信号和虚拟背景信号进行预览</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▲2.画面渲染节目制作：支持对接入的抠像摄像机信号进行虚拟背景叠加及实时渲染输出，完成节目制作；并要求支持静态图片、摄像机实时信号、动态视频、flash动画作为虚拟背景</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3.虚拟背景信号预览：要求支持对虚拟背景信号进行预览点播，包括图片、VGA/HDMI信号、摄像机等不同虚拟背景信号类型</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4.抠像方式：支持蓝箱和绿箱两种抠像方式，并支持抠像阈值的自定义设置。支持HDMI信号作为动态背景叠加，便于老师录制虚拟微课等应用</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5.虚实场景录制：支持抠像拍摄和实景拍摄同步进行，可实时进行虚拟场景和实景拍摄画面的切换录制</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6.节目效果预览：支持实时预览人物抠像与虚拟背景实时叠加渲染的效果画面</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7.预操作与输出监视：提供PVW输出前预览窗口和PGM录制监视窗口，所有预操作包括画面切换、背景切换、布局切换等操作均预先在PVW预览窗口显示。确认输出后进行录制并在PGM录制监视窗口显示</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8.虚拟大屏布局：抠像人物与HDMI信号结合营造虚拟大屏效果布局模式。支持自定义布局方式，支持多个视频图层自由叠加组合，支持叠加纯色图层，自定义布局时可自主选择拖动视频源进入布局窗口</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9.导播布局控制：支持在导播界面进行布局选择切换，选择视频抠像信号（K）与实景视频信号（V）进行布局组合，要求支持单屏、双分屏、画中画等组合模式</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▲10.字幕、台标：提供3种以上转场特效，支持添加LOGO台标、字幕功能。支持实时添加字幕，字幕颜色、字幕背景颜色可设，并可快速调用预设的字幕内容</w:t>
            </w:r>
            <w:r>
              <w:rPr>
                <w:rFonts w:hint="eastAsia" w:ascii="宋体" w:hAnsi="宋体" w:eastAsia="宋体" w:cs="宋体"/>
                <w:szCs w:val="21"/>
                <w:shd w:val="clear" w:color="auto" w:fill="BEBEBE" w:themeFill="background1" w:themeFillShade="BF"/>
              </w:rPr>
              <w:t>（响应文件中提供功能软件界面截图）</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11.音频处理：支持系统接入音频的声量调节、EQ均衡、自动增益等音频处理功能</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12.录制控制：支持录制、暂停、停止等基本控制功能操作</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13.节目录制信息：要求录制过程中可实时掌握当前录制节目信息，信息显示包括录制节目名称、主讲人、视频格式、录制时长、文件大小、当前主机存储余量等信息</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（三）直播功能模块</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1.直播控制：要求在导播界面“一键”开启/关闭直播控制，简单操作不影响本地节目制作</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2.直播分辨率：要求支持自定义直播分辨率大小，以适应不同网络环境下保持直播的流畅性。提供超清、高清、标清等多种直播分辨率可选</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▲3.高低码流直播：要求支持高、低双码流直播设置适应不同带宽条件下的最优直播观看需求。支持双码流直播视频质量可设置</w:t>
            </w:r>
            <w:r>
              <w:rPr>
                <w:rFonts w:hint="eastAsia" w:ascii="宋体" w:hAnsi="宋体" w:eastAsia="宋体" w:cs="宋体"/>
                <w:szCs w:val="21"/>
                <w:shd w:val="clear" w:color="auto" w:fill="BEBEBE" w:themeFill="background1" w:themeFillShade="BF"/>
              </w:rPr>
              <w:t>（响应文件中提供软件功能界面截图）</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▲4.多流直播：要求支持RTMP直播推流功能，要求支持不少于3路RTMP同步推流直播，并要求可从主码流、辅码流中选择直播源进行直播，实现多流直播</w:t>
            </w:r>
            <w:r>
              <w:rPr>
                <w:rFonts w:hint="eastAsia" w:ascii="宋体" w:hAnsi="宋体" w:eastAsia="宋体" w:cs="宋体"/>
                <w:szCs w:val="21"/>
                <w:shd w:val="clear" w:color="auto" w:fill="BEBEBE" w:themeFill="background1" w:themeFillShade="BF"/>
              </w:rPr>
              <w:t>（响应文件中提供软件功能界面截图）</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5.协议支持：要求支持支持HTTP、RTMP、RTSP多种直播视频流协议，支持TCP和UDP传输协议</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6.VLC缓冲设置：要求支持VLC缓冲设置功能，可精确到毫秒，缓冲时间阈值280~500ms可设</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（四）管理模块</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1.要求支持校园电视节目导播管理、系统参数管理、录制管理、用户管理、网络参数管理等功能</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▲2.设备异常修复管理：要求支持硬盘格式化功能，并支持对设备异常断电、宕机造成的损坏视频文件进行修复</w:t>
            </w:r>
            <w:r>
              <w:rPr>
                <w:rFonts w:hint="eastAsia" w:ascii="宋体" w:hAnsi="宋体" w:eastAsia="宋体" w:cs="宋体"/>
                <w:szCs w:val="21"/>
                <w:shd w:val="clear" w:color="auto" w:fill="BEBEBE" w:themeFill="background1" w:themeFillShade="BF"/>
              </w:rPr>
              <w:t>（响应文件中提供软件功能界面截图）</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▲3.节目资源管理：系统需支持对录制视频按标题、主持人、时间、时长进行排序；可按照主题、主讲人进行分组展示。同时要求节目资源文件可提供下载</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4.虚拟背景图片库管理：要求支持主机虚拟背景图片库，支持导入导出背景图片，并支持实时预览</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5.系统版本管理：要求支持系统软件版本管理，包括软件版本查询，在线升级与系统授权</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6.视频上传管理：要求支持视频自动上传以及进行手动FTP上传两种上传管理方式</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▲7.互动通讯录管理：支持查询互动云系统的通讯录数据，查询内容包括所有已在互动云系统注册的录播账号、录播昵称。支持通过通讯录选择互动对象直接呼叫，或手动输入录播账号进行呼叫</w:t>
            </w:r>
            <w:r>
              <w:rPr>
                <w:rFonts w:hint="eastAsia" w:ascii="宋体" w:hAnsi="宋体" w:eastAsia="宋体" w:cs="宋体"/>
                <w:szCs w:val="21"/>
                <w:shd w:val="clear" w:color="auto" w:fill="BEBEBE" w:themeFill="background1" w:themeFillShade="BF"/>
              </w:rPr>
              <w:t>（响应文件中提供软件功能界面截图）</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互动创建：支持通过通讯录选择互动录播并“一键式”呼叫创建互动房间，支持通过会议号和会议密码直接加入已创建的互动房间。支持对每台录播设备自动分配纯数字短号，可以通过短号直接呼叫录播设备创建互动</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▲9.互动方式：提供“授课”和“会议”两种互动模式，其中“授课”模式贴近实际同步课堂教学场景，听课端观看的互动画面有主讲端控制。支持将主讲老师和课件信号双分屏或画中画模式共享给听课端观看</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10.互动画质：</w:t>
            </w:r>
            <w:r>
              <w:rPr>
                <w:rFonts w:hint="eastAsia" w:ascii="宋体" w:hAnsi="宋体" w:eastAsia="宋体" w:cs="宋体"/>
                <w:color w:val="000000"/>
                <w:kern w:val="0"/>
                <w:szCs w:val="21"/>
                <w:lang w:eastAsia="zh-CN" w:bidi="ar"/>
              </w:rPr>
              <w:t>虚拟演播室主机</w:t>
            </w:r>
            <w:r>
              <w:rPr>
                <w:rFonts w:hint="eastAsia" w:ascii="宋体" w:hAnsi="宋体" w:eastAsia="宋体" w:cs="宋体"/>
                <w:color w:val="000000"/>
                <w:kern w:val="0"/>
                <w:szCs w:val="21"/>
                <w:lang w:bidi="ar"/>
              </w:rPr>
              <w:t>双向互动过程中，在4Mbps带宽下可实现1080P@30FPS画质，支持网络自适应功能</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▲11.互动网络管理：支持网络检测功能，测试录播设备与互动服务器之间的网络通讯情况，包括上下行丢包率数据、带宽数据。互动画面中可叠加显示各互动点的视频码流和丢包率</w:t>
            </w:r>
            <w:r>
              <w:rPr>
                <w:rFonts w:hint="eastAsia" w:ascii="宋体" w:hAnsi="宋体" w:eastAsia="宋体" w:cs="宋体"/>
                <w:szCs w:val="21"/>
                <w:shd w:val="clear" w:color="auto" w:fill="BEBEBE" w:themeFill="background1" w:themeFillShade="BF"/>
              </w:rPr>
              <w:t>（响应文件中提供软件功能界面截图）</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▲12.双流互动功能：互动时听课端设备支持将教学场景及教学课件画面以两路独立HDMI信号分别同时环出显示到两个显示设备中</w:t>
            </w:r>
          </w:p>
        </w:tc>
      </w:tr>
      <w:tr>
        <w:tblPrEx>
          <w:tblCellMar>
            <w:top w:w="0" w:type="dxa"/>
            <w:left w:w="108" w:type="dxa"/>
            <w:bottom w:w="0" w:type="dxa"/>
            <w:right w:w="108" w:type="dxa"/>
          </w:tblCellMar>
        </w:tblPrEx>
        <w:trPr>
          <w:trHeight w:val="397" w:hRule="atLeast"/>
          <w:jc w:val="center"/>
        </w:trPr>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直播管理：支持自定义直播分辨率和码率，最高支持1080P@30fps，以适应不同网络环境下保持直播的流畅性。支持RTMP和RTSP视频传输协议，支持≥3路RTMP同步推流，可从接入的摄像机信号和电脑信号中选择自定义每路推流信号源，实现多流直播</w:t>
            </w:r>
            <w:r>
              <w:rPr>
                <w:rFonts w:hint="eastAsia" w:ascii="宋体" w:hAnsi="宋体" w:eastAsia="宋体" w:cs="宋体"/>
                <w:szCs w:val="21"/>
                <w:shd w:val="clear" w:color="auto" w:fill="BEBEBE" w:themeFill="background1" w:themeFillShade="BF"/>
              </w:rPr>
              <w:t>（响应文件中提供软件功能界面截图）</w:t>
            </w:r>
          </w:p>
        </w:tc>
      </w:tr>
    </w:tbl>
    <w:p>
      <w:pPr>
        <w:rPr>
          <w:rFonts w:ascii="宋体" w:hAnsi="宋体" w:eastAsia="宋体" w:cs="宋体"/>
          <w:szCs w:val="21"/>
        </w:rPr>
      </w:pPr>
      <w:r>
        <w:rPr>
          <w:rFonts w:hint="eastAsia" w:ascii="宋体" w:hAnsi="宋体" w:eastAsia="宋体" w:cs="宋体"/>
          <w:b/>
          <w:bCs/>
          <w:szCs w:val="21"/>
        </w:rPr>
        <w:t>附件5</w:t>
      </w:r>
      <w:r>
        <w:rPr>
          <w:rFonts w:hint="eastAsia" w:ascii="宋体" w:hAnsi="宋体" w:eastAsia="宋体" w:cs="宋体"/>
          <w:b/>
          <w:bCs/>
          <w:szCs w:val="21"/>
          <w:lang w:val="en-US" w:eastAsia="zh-CN"/>
        </w:rPr>
        <w:t>7</w:t>
      </w:r>
      <w:r>
        <w:rPr>
          <w:rFonts w:hint="eastAsia" w:ascii="宋体" w:hAnsi="宋体" w:eastAsia="宋体" w:cs="宋体"/>
          <w:b/>
          <w:bCs/>
          <w:szCs w:val="21"/>
        </w:rPr>
        <w:t>：</w:t>
      </w:r>
      <w:r>
        <w:rPr>
          <w:rStyle w:val="46"/>
          <w:sz w:val="21"/>
          <w:szCs w:val="21"/>
          <w:lang w:bidi="ar"/>
        </w:rPr>
        <w:t>高清摄像机</w:t>
      </w:r>
    </w:p>
    <w:tbl>
      <w:tblPr>
        <w:tblStyle w:val="11"/>
        <w:tblW w:w="4884" w:type="pct"/>
        <w:jc w:val="center"/>
        <w:tblLayout w:type="fixed"/>
        <w:tblCellMar>
          <w:top w:w="0" w:type="dxa"/>
          <w:left w:w="108" w:type="dxa"/>
          <w:bottom w:w="0" w:type="dxa"/>
          <w:right w:w="108" w:type="dxa"/>
        </w:tblCellMar>
      </w:tblPr>
      <w:tblGrid>
        <w:gridCol w:w="852"/>
        <w:gridCol w:w="8219"/>
      </w:tblGrid>
      <w:tr>
        <w:tblPrEx>
          <w:tblCellMar>
            <w:top w:w="0" w:type="dxa"/>
            <w:left w:w="108" w:type="dxa"/>
            <w:bottom w:w="0" w:type="dxa"/>
            <w:right w:w="108" w:type="dxa"/>
          </w:tblCellMar>
        </w:tblPrEx>
        <w:trPr>
          <w:trHeight w:val="397" w:hRule="atLeast"/>
          <w:jc w:val="center"/>
        </w:trPr>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85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高清摄像机</w:t>
            </w: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★1.视频输出接口：HDMI×1、SDI×2，同步输出图像</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2.传感器类型：CMOS、1/2.7英寸</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3.传感器像素：总像素：220万，有效像素：212万</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4.镜头焦距：22倍光学变焦、16倍数字变焦</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5.采用了2D和基于运动估计的3D降噪算法</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6.水平视场角：60.7°~3.36°，垂直视场角：34.1°~1.89°</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7.水平转动范围：±170°，垂直转动范围：-30°~+120°，水平转动速度范围：1.0°~94.2°/s，垂直转动速度范围：1.0°~74.8°/s</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8.支持水平、垂直翻转</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9.预置位数量：255</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10.网络接口：RJ45</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11.音频接口：Line In，3.5mm</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12.通讯接口：RS232、RS422</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13.支持的协议类型：VISCA</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14.编码技术：视频H.264，音频AAC</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15.电源支持：DC12V、PoE、PoC</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shd w:val="clear" w:color="auto" w:fill="BEBEBE" w:themeFill="background1" w:themeFillShade="BF"/>
                <w:lang w:bidi="ar"/>
              </w:rPr>
              <w:t>16.要求</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val="en-US" w:eastAsia="zh-CN" w:bidi="ar"/>
              </w:rPr>
              <w:t>高清摄像机</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bidi="ar"/>
              </w:rPr>
              <w:t>与</w:t>
            </w:r>
            <w:r>
              <w:rPr>
                <w:rFonts w:hint="eastAsia" w:ascii="宋体" w:hAnsi="宋体" w:eastAsia="宋体" w:cs="宋体"/>
                <w:color w:val="000000"/>
                <w:kern w:val="0"/>
                <w:szCs w:val="21"/>
                <w:shd w:val="clear" w:color="auto" w:fill="BEBEBE" w:themeFill="background1" w:themeFillShade="BF"/>
                <w:lang w:eastAsia="zh-CN" w:bidi="ar"/>
              </w:rPr>
              <w:t>“虚拟演播室主机”</w:t>
            </w:r>
            <w:r>
              <w:rPr>
                <w:rFonts w:hint="eastAsia" w:ascii="宋体" w:hAnsi="宋体" w:eastAsia="宋体" w:cs="宋体"/>
                <w:color w:val="000000"/>
                <w:kern w:val="0"/>
                <w:szCs w:val="21"/>
                <w:shd w:val="clear" w:color="auto" w:fill="BEBEBE" w:themeFill="background1" w:themeFillShade="BF"/>
                <w:lang w:bidi="ar"/>
              </w:rPr>
              <w:t>为同一品牌</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szCs w:val="21"/>
              </w:rPr>
              <w:t>▲</w:t>
            </w:r>
            <w:r>
              <w:rPr>
                <w:rFonts w:hint="eastAsia" w:ascii="宋体" w:hAnsi="宋体" w:eastAsia="宋体" w:cs="宋体"/>
                <w:color w:val="000000"/>
                <w:kern w:val="0"/>
                <w:szCs w:val="21"/>
                <w:lang w:bidi="ar"/>
              </w:rPr>
              <w:t>17.</w:t>
            </w:r>
            <w:r>
              <w:rPr>
                <w:rFonts w:hint="eastAsia" w:ascii="宋体" w:hAnsi="宋体" w:eastAsia="宋体" w:cs="宋体"/>
                <w:szCs w:val="21"/>
              </w:rPr>
              <w:t>产品无故障运行时间MTBF＞100000小时</w:t>
            </w:r>
            <w:r>
              <w:rPr>
                <w:rFonts w:hint="eastAsia" w:ascii="宋体" w:hAnsi="宋体" w:eastAsia="宋体" w:cs="宋体"/>
                <w:szCs w:val="21"/>
                <w:shd w:val="clear" w:color="auto" w:fill="BEBEBE" w:themeFill="background1" w:themeFillShade="BF"/>
              </w:rPr>
              <w:t>（响应文件中提供具有“CNAS”或“CMA”认证的第三方检测机构出具的检测报告复印件）</w:t>
            </w:r>
          </w:p>
        </w:tc>
      </w:tr>
      <w:tr>
        <w:tblPrEx>
          <w:tblCellMar>
            <w:top w:w="0" w:type="dxa"/>
            <w:left w:w="108" w:type="dxa"/>
            <w:bottom w:w="0" w:type="dxa"/>
            <w:right w:w="108" w:type="dxa"/>
          </w:tblCellMar>
        </w:tblPrEx>
        <w:trPr>
          <w:trHeight w:val="397" w:hRule="atLeast"/>
          <w:jc w:val="center"/>
        </w:trPr>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themeColor="text1"/>
                <w:kern w:val="0"/>
                <w:szCs w:val="21"/>
                <w:shd w:val="clear" w:color="auto" w:fill="BEBEBE" w:themeFill="background1" w:themeFillShade="BF"/>
                <w:lang w:bidi="ar"/>
                <w14:textFill>
                  <w14:solidFill>
                    <w14:schemeClr w14:val="tx1"/>
                  </w14:solidFill>
                </w14:textFill>
              </w:rPr>
              <w:t>18.</w:t>
            </w:r>
            <w:r>
              <w:rPr>
                <w:rFonts w:hint="eastAsia" w:ascii="宋体" w:hAnsi="宋体" w:eastAsia="宋体" w:cs="宋体"/>
                <w:szCs w:val="21"/>
                <w:shd w:val="clear" w:color="auto" w:fill="BEBEBE" w:themeFill="background1" w:themeFillShade="BF"/>
              </w:rPr>
              <w:t>响应文件中提供国家广播电视产品质量监督检验中心出具的摄像机质量检验报告复印件</w:t>
            </w:r>
          </w:p>
        </w:tc>
      </w:tr>
    </w:tbl>
    <w:p>
      <w:pPr>
        <w:rPr>
          <w:rFonts w:ascii="宋体" w:hAnsi="宋体" w:eastAsia="宋体" w:cs="宋体"/>
          <w:szCs w:val="21"/>
        </w:rPr>
      </w:pPr>
      <w:r>
        <w:rPr>
          <w:rFonts w:hint="eastAsia" w:ascii="宋体" w:hAnsi="宋体" w:eastAsia="宋体" w:cs="宋体"/>
          <w:b/>
          <w:bCs/>
          <w:szCs w:val="21"/>
        </w:rPr>
        <w:t>附件5</w:t>
      </w:r>
      <w:r>
        <w:rPr>
          <w:rFonts w:hint="eastAsia" w:ascii="宋体" w:hAnsi="宋体" w:eastAsia="宋体" w:cs="宋体"/>
          <w:b/>
          <w:bCs/>
          <w:szCs w:val="21"/>
          <w:lang w:val="en-US" w:eastAsia="zh-CN"/>
        </w:rPr>
        <w:t>8</w:t>
      </w:r>
      <w:r>
        <w:rPr>
          <w:rFonts w:hint="eastAsia" w:ascii="宋体" w:hAnsi="宋体" w:eastAsia="宋体" w:cs="宋体"/>
          <w:b/>
          <w:bCs/>
          <w:szCs w:val="21"/>
        </w:rPr>
        <w:t>：</w:t>
      </w:r>
      <w:r>
        <w:rPr>
          <w:rStyle w:val="46"/>
          <w:sz w:val="21"/>
          <w:szCs w:val="21"/>
          <w:lang w:bidi="ar"/>
        </w:rPr>
        <w:t>高清摄像机管理软件</w:t>
      </w:r>
    </w:p>
    <w:tbl>
      <w:tblPr>
        <w:tblStyle w:val="11"/>
        <w:tblW w:w="4867" w:type="pct"/>
        <w:jc w:val="center"/>
        <w:tblLayout w:type="fixed"/>
        <w:tblCellMar>
          <w:top w:w="0" w:type="dxa"/>
          <w:left w:w="108" w:type="dxa"/>
          <w:bottom w:w="0" w:type="dxa"/>
          <w:right w:w="108" w:type="dxa"/>
        </w:tblCellMar>
      </w:tblPr>
      <w:tblGrid>
        <w:gridCol w:w="836"/>
        <w:gridCol w:w="8203"/>
      </w:tblGrid>
      <w:tr>
        <w:tblPrEx>
          <w:tblCellMar>
            <w:top w:w="0" w:type="dxa"/>
            <w:left w:w="108" w:type="dxa"/>
            <w:bottom w:w="0" w:type="dxa"/>
            <w:right w:w="108" w:type="dxa"/>
          </w:tblCellMar>
        </w:tblPrEx>
        <w:trPr>
          <w:trHeight w:val="397" w:hRule="atLeast"/>
          <w:jc w:val="center"/>
        </w:trPr>
        <w:tc>
          <w:tcPr>
            <w:tcW w:w="8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highlight w:val="yellow"/>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8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高清摄像机管理软件</w:t>
            </w: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1.摄像机管理软件采用B/S架构，支持通用浏览器直接访问进行管理</w:t>
            </w:r>
          </w:p>
        </w:tc>
      </w:tr>
      <w:tr>
        <w:tblPrEx>
          <w:tblCellMar>
            <w:top w:w="0" w:type="dxa"/>
            <w:left w:w="108" w:type="dxa"/>
            <w:bottom w:w="0" w:type="dxa"/>
            <w:right w:w="108" w:type="dxa"/>
          </w:tblCellMar>
        </w:tblPrEx>
        <w:trPr>
          <w:trHeight w:val="397" w:hRule="atLeast"/>
          <w:jc w:val="center"/>
        </w:trPr>
        <w:tc>
          <w:tcPr>
            <w:tcW w:w="8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2.支持网络参数设置与修改，支持一键恢复默认参数</w:t>
            </w:r>
          </w:p>
        </w:tc>
      </w:tr>
      <w:tr>
        <w:tblPrEx>
          <w:tblCellMar>
            <w:top w:w="0" w:type="dxa"/>
            <w:left w:w="108" w:type="dxa"/>
            <w:bottom w:w="0" w:type="dxa"/>
            <w:right w:w="108" w:type="dxa"/>
          </w:tblCellMar>
        </w:tblPrEx>
        <w:trPr>
          <w:trHeight w:val="397" w:hRule="atLeast"/>
          <w:jc w:val="center"/>
        </w:trPr>
        <w:tc>
          <w:tcPr>
            <w:tcW w:w="8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3.支持曝光模式设置功能，包括自动、手动</w:t>
            </w:r>
          </w:p>
        </w:tc>
      </w:tr>
      <w:tr>
        <w:tblPrEx>
          <w:tblCellMar>
            <w:top w:w="0" w:type="dxa"/>
            <w:left w:w="108" w:type="dxa"/>
            <w:bottom w:w="0" w:type="dxa"/>
            <w:right w:w="108" w:type="dxa"/>
          </w:tblCellMar>
        </w:tblPrEx>
        <w:trPr>
          <w:trHeight w:val="397" w:hRule="atLeast"/>
          <w:jc w:val="center"/>
        </w:trPr>
        <w:tc>
          <w:tcPr>
            <w:tcW w:w="8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4.支持抗闪烁频率、动态范围、光圈、快门参数设置</w:t>
            </w:r>
          </w:p>
        </w:tc>
      </w:tr>
      <w:tr>
        <w:tblPrEx>
          <w:tblCellMar>
            <w:top w:w="0" w:type="dxa"/>
            <w:left w:w="108" w:type="dxa"/>
            <w:bottom w:w="0" w:type="dxa"/>
            <w:right w:w="108" w:type="dxa"/>
          </w:tblCellMar>
        </w:tblPrEx>
        <w:trPr>
          <w:trHeight w:val="397" w:hRule="atLeast"/>
          <w:jc w:val="center"/>
        </w:trPr>
        <w:tc>
          <w:tcPr>
            <w:tcW w:w="8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5.支持自动白平衡设置功能，红、蓝增益可调范围0~200</w:t>
            </w:r>
          </w:p>
        </w:tc>
      </w:tr>
      <w:tr>
        <w:tblPrEx>
          <w:tblCellMar>
            <w:top w:w="0" w:type="dxa"/>
            <w:left w:w="108" w:type="dxa"/>
            <w:bottom w:w="0" w:type="dxa"/>
            <w:right w:w="108" w:type="dxa"/>
          </w:tblCellMar>
        </w:tblPrEx>
        <w:trPr>
          <w:trHeight w:val="397" w:hRule="atLeast"/>
          <w:jc w:val="center"/>
        </w:trPr>
        <w:tc>
          <w:tcPr>
            <w:tcW w:w="8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6.支持噪声抑制设置功能，支持2D、3D降噪</w:t>
            </w:r>
          </w:p>
        </w:tc>
      </w:tr>
      <w:tr>
        <w:tblPrEx>
          <w:tblCellMar>
            <w:top w:w="0" w:type="dxa"/>
            <w:left w:w="108" w:type="dxa"/>
            <w:bottom w:w="0" w:type="dxa"/>
            <w:right w:w="108" w:type="dxa"/>
          </w:tblCellMar>
        </w:tblPrEx>
        <w:trPr>
          <w:trHeight w:val="397" w:hRule="atLeast"/>
          <w:jc w:val="center"/>
        </w:trPr>
        <w:tc>
          <w:tcPr>
            <w:tcW w:w="8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7.支持摄像机图像质量调节功能，包括亮度、对比度、色调、饱和度</w:t>
            </w:r>
          </w:p>
        </w:tc>
      </w:tr>
      <w:tr>
        <w:tblPrEx>
          <w:tblCellMar>
            <w:top w:w="0" w:type="dxa"/>
            <w:left w:w="108" w:type="dxa"/>
            <w:bottom w:w="0" w:type="dxa"/>
            <w:right w:w="108" w:type="dxa"/>
          </w:tblCellMar>
        </w:tblPrEx>
        <w:trPr>
          <w:trHeight w:val="397" w:hRule="atLeast"/>
          <w:jc w:val="center"/>
        </w:trPr>
        <w:tc>
          <w:tcPr>
            <w:tcW w:w="8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8.支持摄像机控制功能，包括云台控制、预置位设置与调用、焦距调节等</w:t>
            </w:r>
          </w:p>
        </w:tc>
      </w:tr>
      <w:tr>
        <w:tblPrEx>
          <w:tblCellMar>
            <w:top w:w="0" w:type="dxa"/>
            <w:left w:w="108" w:type="dxa"/>
            <w:bottom w:w="0" w:type="dxa"/>
            <w:right w:w="108" w:type="dxa"/>
          </w:tblCellMar>
        </w:tblPrEx>
        <w:trPr>
          <w:trHeight w:val="397" w:hRule="atLeast"/>
          <w:jc w:val="center"/>
        </w:trPr>
        <w:tc>
          <w:tcPr>
            <w:tcW w:w="8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shd w:val="clear" w:color="auto" w:fill="BEBEBE" w:themeFill="background1" w:themeFillShade="BF"/>
                <w:lang w:bidi="ar"/>
              </w:rPr>
              <w:t>9.</w:t>
            </w:r>
            <w:r>
              <w:rPr>
                <w:rFonts w:hint="eastAsia" w:ascii="宋体" w:hAnsi="宋体" w:eastAsia="宋体" w:cs="宋体"/>
                <w:szCs w:val="21"/>
                <w:shd w:val="clear" w:color="auto" w:fill="BEBEBE" w:themeFill="background1" w:themeFillShade="BF"/>
              </w:rPr>
              <w:t>响应文件中提供中国软件评测中心出具的高清摄像机管理软件相关检测报告复印件</w:t>
            </w:r>
          </w:p>
        </w:tc>
      </w:tr>
    </w:tbl>
    <w:p>
      <w:pPr>
        <w:rPr>
          <w:rFonts w:ascii="宋体" w:hAnsi="宋体" w:eastAsia="宋体" w:cs="宋体"/>
          <w:szCs w:val="21"/>
        </w:rPr>
      </w:pPr>
      <w:r>
        <w:rPr>
          <w:rFonts w:hint="eastAsia" w:ascii="宋体" w:hAnsi="宋体" w:eastAsia="宋体" w:cs="宋体"/>
          <w:b/>
          <w:bCs/>
          <w:szCs w:val="21"/>
        </w:rPr>
        <w:t>附件5</w:t>
      </w:r>
      <w:r>
        <w:rPr>
          <w:rFonts w:hint="eastAsia" w:ascii="宋体" w:hAnsi="宋体" w:eastAsia="宋体" w:cs="宋体"/>
          <w:b/>
          <w:bCs/>
          <w:szCs w:val="21"/>
          <w:lang w:val="en-US" w:eastAsia="zh-CN"/>
        </w:rPr>
        <w:t>9</w:t>
      </w:r>
      <w:r>
        <w:rPr>
          <w:rFonts w:hint="eastAsia" w:ascii="宋体" w:hAnsi="宋体" w:eastAsia="宋体" w:cs="宋体"/>
          <w:b/>
          <w:bCs/>
          <w:szCs w:val="21"/>
        </w:rPr>
        <w:t>：</w:t>
      </w:r>
      <w:r>
        <w:rPr>
          <w:rStyle w:val="46"/>
          <w:sz w:val="21"/>
          <w:szCs w:val="21"/>
          <w:lang w:bidi="ar"/>
        </w:rPr>
        <w:t>摄像机三脚架</w:t>
      </w:r>
    </w:p>
    <w:tbl>
      <w:tblPr>
        <w:tblStyle w:val="11"/>
        <w:tblW w:w="4886" w:type="pct"/>
        <w:jc w:val="center"/>
        <w:tblLayout w:type="fixed"/>
        <w:tblCellMar>
          <w:top w:w="0" w:type="dxa"/>
          <w:left w:w="108" w:type="dxa"/>
          <w:bottom w:w="0" w:type="dxa"/>
          <w:right w:w="108" w:type="dxa"/>
        </w:tblCellMar>
      </w:tblPr>
      <w:tblGrid>
        <w:gridCol w:w="853"/>
        <w:gridCol w:w="8221"/>
      </w:tblGrid>
      <w:tr>
        <w:tblPrEx>
          <w:tblCellMar>
            <w:top w:w="0" w:type="dxa"/>
            <w:left w:w="108" w:type="dxa"/>
            <w:bottom w:w="0" w:type="dxa"/>
            <w:right w:w="108" w:type="dxa"/>
          </w:tblCellMar>
        </w:tblPrEx>
        <w:trPr>
          <w:trHeight w:val="397" w:hRule="atLeast"/>
          <w:jc w:val="center"/>
        </w:trPr>
        <w:tc>
          <w:tcPr>
            <w:tcW w:w="8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85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摄像机三脚架</w:t>
            </w: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1.脚管节数：4节</w:t>
            </w:r>
          </w:p>
        </w:tc>
      </w:tr>
      <w:tr>
        <w:tblPrEx>
          <w:tblCellMar>
            <w:top w:w="0" w:type="dxa"/>
            <w:left w:w="108" w:type="dxa"/>
            <w:bottom w:w="0" w:type="dxa"/>
            <w:right w:w="108" w:type="dxa"/>
          </w:tblCellMar>
        </w:tblPrEx>
        <w:trPr>
          <w:trHeight w:val="397" w:hRule="atLeast"/>
          <w:jc w:val="center"/>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2.最大管径：28MM</w:t>
            </w:r>
          </w:p>
        </w:tc>
      </w:tr>
      <w:tr>
        <w:tblPrEx>
          <w:tblCellMar>
            <w:top w:w="0" w:type="dxa"/>
            <w:left w:w="108" w:type="dxa"/>
            <w:bottom w:w="0" w:type="dxa"/>
            <w:right w:w="108" w:type="dxa"/>
          </w:tblCellMar>
        </w:tblPrEx>
        <w:trPr>
          <w:trHeight w:val="397" w:hRule="atLeast"/>
          <w:jc w:val="center"/>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3.最小管径：16MM</w:t>
            </w:r>
          </w:p>
        </w:tc>
      </w:tr>
      <w:tr>
        <w:tblPrEx>
          <w:tblCellMar>
            <w:top w:w="0" w:type="dxa"/>
            <w:left w:w="108" w:type="dxa"/>
            <w:bottom w:w="0" w:type="dxa"/>
            <w:right w:w="108" w:type="dxa"/>
          </w:tblCellMar>
        </w:tblPrEx>
        <w:trPr>
          <w:trHeight w:val="397" w:hRule="atLeast"/>
          <w:jc w:val="center"/>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4.折合高度：60CM</w:t>
            </w:r>
          </w:p>
        </w:tc>
      </w:tr>
      <w:tr>
        <w:tblPrEx>
          <w:tblCellMar>
            <w:top w:w="0" w:type="dxa"/>
            <w:left w:w="108" w:type="dxa"/>
            <w:bottom w:w="0" w:type="dxa"/>
            <w:right w:w="108" w:type="dxa"/>
          </w:tblCellMar>
        </w:tblPrEx>
        <w:trPr>
          <w:trHeight w:val="397" w:hRule="atLeast"/>
          <w:jc w:val="center"/>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5.最低工作高度：32CM</w:t>
            </w:r>
          </w:p>
        </w:tc>
      </w:tr>
      <w:tr>
        <w:tblPrEx>
          <w:tblCellMar>
            <w:top w:w="0" w:type="dxa"/>
            <w:left w:w="108" w:type="dxa"/>
            <w:bottom w:w="0" w:type="dxa"/>
            <w:right w:w="108" w:type="dxa"/>
          </w:tblCellMar>
        </w:tblPrEx>
        <w:trPr>
          <w:trHeight w:val="397" w:hRule="atLeast"/>
          <w:jc w:val="center"/>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6.最高工作高度：1550MM</w:t>
            </w:r>
          </w:p>
        </w:tc>
      </w:tr>
      <w:tr>
        <w:tblPrEx>
          <w:tblCellMar>
            <w:top w:w="0" w:type="dxa"/>
            <w:left w:w="108" w:type="dxa"/>
            <w:bottom w:w="0" w:type="dxa"/>
            <w:right w:w="108" w:type="dxa"/>
          </w:tblCellMar>
        </w:tblPrEx>
        <w:trPr>
          <w:trHeight w:val="397" w:hRule="atLeast"/>
          <w:jc w:val="center"/>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7.脚管锁类型：扳扣</w:t>
            </w:r>
          </w:p>
        </w:tc>
      </w:tr>
      <w:tr>
        <w:tblPrEx>
          <w:tblCellMar>
            <w:top w:w="0" w:type="dxa"/>
            <w:left w:w="108" w:type="dxa"/>
            <w:bottom w:w="0" w:type="dxa"/>
            <w:right w:w="108" w:type="dxa"/>
          </w:tblCellMar>
        </w:tblPrEx>
        <w:trPr>
          <w:trHeight w:val="397" w:hRule="atLeast"/>
          <w:jc w:val="center"/>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8.云台类型：球形</w:t>
            </w:r>
          </w:p>
        </w:tc>
      </w:tr>
    </w:tbl>
    <w:p>
      <w:pPr>
        <w:rPr>
          <w:rFonts w:ascii="宋体" w:hAnsi="宋体" w:eastAsia="宋体" w:cs="宋体"/>
          <w:szCs w:val="21"/>
        </w:rPr>
      </w:pPr>
      <w:r>
        <w:rPr>
          <w:rFonts w:hint="eastAsia" w:ascii="宋体" w:hAnsi="宋体" w:eastAsia="宋体" w:cs="宋体"/>
          <w:b/>
          <w:bCs/>
          <w:szCs w:val="21"/>
        </w:rPr>
        <w:t>附件</w:t>
      </w:r>
      <w:r>
        <w:rPr>
          <w:rFonts w:hint="eastAsia" w:ascii="宋体" w:hAnsi="宋体" w:eastAsia="宋体" w:cs="宋体"/>
          <w:b/>
          <w:bCs/>
          <w:szCs w:val="21"/>
          <w:lang w:val="en-US" w:eastAsia="zh-CN"/>
        </w:rPr>
        <w:t>60</w:t>
      </w:r>
      <w:r>
        <w:rPr>
          <w:rFonts w:hint="eastAsia" w:ascii="宋体" w:hAnsi="宋体" w:eastAsia="宋体" w:cs="宋体"/>
          <w:b/>
          <w:bCs/>
          <w:szCs w:val="21"/>
        </w:rPr>
        <w:t>：</w:t>
      </w:r>
      <w:r>
        <w:rPr>
          <w:rStyle w:val="46"/>
          <w:sz w:val="21"/>
          <w:szCs w:val="21"/>
          <w:lang w:bidi="ar"/>
        </w:rPr>
        <w:t>无线话筒</w:t>
      </w:r>
    </w:p>
    <w:tbl>
      <w:tblPr>
        <w:tblStyle w:val="11"/>
        <w:tblW w:w="4891" w:type="pct"/>
        <w:jc w:val="center"/>
        <w:tblLayout w:type="fixed"/>
        <w:tblCellMar>
          <w:top w:w="0" w:type="dxa"/>
          <w:left w:w="108" w:type="dxa"/>
          <w:bottom w:w="0" w:type="dxa"/>
          <w:right w:w="108" w:type="dxa"/>
        </w:tblCellMar>
      </w:tblPr>
      <w:tblGrid>
        <w:gridCol w:w="858"/>
        <w:gridCol w:w="8226"/>
      </w:tblGrid>
      <w:tr>
        <w:tblPrEx>
          <w:tblCellMar>
            <w:top w:w="0" w:type="dxa"/>
            <w:left w:w="108" w:type="dxa"/>
            <w:bottom w:w="0" w:type="dxa"/>
            <w:right w:w="108" w:type="dxa"/>
          </w:tblCellMar>
        </w:tblPrEx>
        <w:trPr>
          <w:trHeight w:val="397" w:hRule="atLeast"/>
          <w:jc w:val="center"/>
        </w:trPr>
        <w:tc>
          <w:tcPr>
            <w:tcW w:w="85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名称</w:t>
            </w:r>
          </w:p>
        </w:tc>
        <w:tc>
          <w:tcPr>
            <w:tcW w:w="82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8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无线话筒</w:t>
            </w:r>
          </w:p>
        </w:tc>
        <w:tc>
          <w:tcPr>
            <w:tcW w:w="82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1.采用UHF超高频段，提供多通道（32/64/99通道）选择，避免干扰</w:t>
            </w:r>
          </w:p>
        </w:tc>
      </w:tr>
      <w:tr>
        <w:tblPrEx>
          <w:tblCellMar>
            <w:top w:w="0" w:type="dxa"/>
            <w:left w:w="108" w:type="dxa"/>
            <w:bottom w:w="0" w:type="dxa"/>
            <w:right w:w="108" w:type="dxa"/>
          </w:tblCellMar>
        </w:tblPrEx>
        <w:trPr>
          <w:trHeight w:val="397" w:hRule="atLeast"/>
          <w:jc w:val="center"/>
        </w:trPr>
        <w:tc>
          <w:tcPr>
            <w:tcW w:w="8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2.频率范围：500MHz-980MHz</w:t>
            </w:r>
          </w:p>
        </w:tc>
      </w:tr>
      <w:tr>
        <w:tblPrEx>
          <w:tblCellMar>
            <w:top w:w="0" w:type="dxa"/>
            <w:left w:w="108" w:type="dxa"/>
            <w:bottom w:w="0" w:type="dxa"/>
            <w:right w:w="108" w:type="dxa"/>
          </w:tblCellMar>
        </w:tblPrEx>
        <w:trPr>
          <w:trHeight w:val="397" w:hRule="atLeast"/>
          <w:jc w:val="center"/>
        </w:trPr>
        <w:tc>
          <w:tcPr>
            <w:tcW w:w="8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3.调制方式：FM</w:t>
            </w:r>
          </w:p>
        </w:tc>
      </w:tr>
      <w:tr>
        <w:tblPrEx>
          <w:tblCellMar>
            <w:top w:w="0" w:type="dxa"/>
            <w:left w:w="108" w:type="dxa"/>
            <w:bottom w:w="0" w:type="dxa"/>
            <w:right w:w="108" w:type="dxa"/>
          </w:tblCellMar>
        </w:tblPrEx>
        <w:trPr>
          <w:trHeight w:val="397" w:hRule="atLeast"/>
          <w:jc w:val="center"/>
        </w:trPr>
        <w:tc>
          <w:tcPr>
            <w:tcW w:w="8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4.音频响应：50Hz-15KHz</w:t>
            </w:r>
          </w:p>
        </w:tc>
      </w:tr>
      <w:tr>
        <w:tblPrEx>
          <w:tblCellMar>
            <w:top w:w="0" w:type="dxa"/>
            <w:left w:w="108" w:type="dxa"/>
            <w:bottom w:w="0" w:type="dxa"/>
            <w:right w:w="108" w:type="dxa"/>
          </w:tblCellMar>
        </w:tblPrEx>
        <w:trPr>
          <w:trHeight w:val="397" w:hRule="atLeast"/>
          <w:jc w:val="center"/>
        </w:trPr>
        <w:tc>
          <w:tcPr>
            <w:tcW w:w="8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5.综合信噪比S/N：＞105dB</w:t>
            </w:r>
          </w:p>
        </w:tc>
      </w:tr>
      <w:tr>
        <w:tblPrEx>
          <w:tblCellMar>
            <w:top w:w="0" w:type="dxa"/>
            <w:left w:w="108" w:type="dxa"/>
            <w:bottom w:w="0" w:type="dxa"/>
            <w:right w:w="108" w:type="dxa"/>
          </w:tblCellMar>
        </w:tblPrEx>
        <w:trPr>
          <w:trHeight w:val="397" w:hRule="atLeast"/>
          <w:jc w:val="center"/>
        </w:trPr>
        <w:tc>
          <w:tcPr>
            <w:tcW w:w="8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6.综合失真：≤0.5%</w:t>
            </w:r>
          </w:p>
        </w:tc>
      </w:tr>
      <w:tr>
        <w:tblPrEx>
          <w:tblCellMar>
            <w:top w:w="0" w:type="dxa"/>
            <w:left w:w="108" w:type="dxa"/>
            <w:bottom w:w="0" w:type="dxa"/>
            <w:right w:w="108" w:type="dxa"/>
          </w:tblCellMar>
        </w:tblPrEx>
        <w:trPr>
          <w:trHeight w:val="397" w:hRule="atLeast"/>
          <w:jc w:val="center"/>
        </w:trPr>
        <w:tc>
          <w:tcPr>
            <w:tcW w:w="8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7.接收机：采用微电脑CPU控制</w:t>
            </w:r>
          </w:p>
        </w:tc>
      </w:tr>
      <w:tr>
        <w:tblPrEx>
          <w:tblCellMar>
            <w:top w:w="0" w:type="dxa"/>
            <w:left w:w="108" w:type="dxa"/>
            <w:bottom w:w="0" w:type="dxa"/>
            <w:right w:w="108" w:type="dxa"/>
          </w:tblCellMar>
        </w:tblPrEx>
        <w:trPr>
          <w:trHeight w:val="397" w:hRule="atLeast"/>
          <w:jc w:val="center"/>
        </w:trPr>
        <w:tc>
          <w:tcPr>
            <w:tcW w:w="8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8.PLL锁相环频率合成技术</w:t>
            </w:r>
          </w:p>
        </w:tc>
      </w:tr>
      <w:tr>
        <w:tblPrEx>
          <w:tblCellMar>
            <w:top w:w="0" w:type="dxa"/>
            <w:left w:w="108" w:type="dxa"/>
            <w:bottom w:w="0" w:type="dxa"/>
            <w:right w:w="108" w:type="dxa"/>
          </w:tblCellMar>
        </w:tblPrEx>
        <w:trPr>
          <w:trHeight w:val="397" w:hRule="atLeast"/>
          <w:jc w:val="center"/>
        </w:trPr>
        <w:tc>
          <w:tcPr>
            <w:tcW w:w="8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9.杂讯锁定静噪控制+音码导航锁定静噪控制</w:t>
            </w:r>
          </w:p>
        </w:tc>
      </w:tr>
      <w:tr>
        <w:tblPrEx>
          <w:tblCellMar>
            <w:top w:w="0" w:type="dxa"/>
            <w:left w:w="108" w:type="dxa"/>
            <w:bottom w:w="0" w:type="dxa"/>
            <w:right w:w="108" w:type="dxa"/>
          </w:tblCellMar>
        </w:tblPrEx>
        <w:trPr>
          <w:trHeight w:val="397" w:hRule="atLeast"/>
          <w:jc w:val="center"/>
        </w:trPr>
        <w:tc>
          <w:tcPr>
            <w:tcW w:w="8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10.音频动态扩展及自动电平控制电路</w:t>
            </w:r>
          </w:p>
        </w:tc>
      </w:tr>
      <w:tr>
        <w:tblPrEx>
          <w:tblCellMar>
            <w:top w:w="0" w:type="dxa"/>
            <w:left w:w="108" w:type="dxa"/>
            <w:bottom w:w="0" w:type="dxa"/>
            <w:right w:w="108" w:type="dxa"/>
          </w:tblCellMar>
        </w:tblPrEx>
        <w:trPr>
          <w:trHeight w:val="397" w:hRule="atLeast"/>
          <w:jc w:val="center"/>
        </w:trPr>
        <w:tc>
          <w:tcPr>
            <w:tcW w:w="8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11.频率响应：40Hz-18KHz</w:t>
            </w:r>
          </w:p>
        </w:tc>
      </w:tr>
      <w:tr>
        <w:tblPrEx>
          <w:tblCellMar>
            <w:top w:w="0" w:type="dxa"/>
            <w:left w:w="108" w:type="dxa"/>
            <w:bottom w:w="0" w:type="dxa"/>
            <w:right w:w="108" w:type="dxa"/>
          </w:tblCellMar>
        </w:tblPrEx>
        <w:trPr>
          <w:trHeight w:val="397" w:hRule="atLeast"/>
          <w:jc w:val="center"/>
        </w:trPr>
        <w:tc>
          <w:tcPr>
            <w:tcW w:w="8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12.发射机：发射功率：高巩固率10dBm，低功率5dBm</w:t>
            </w:r>
          </w:p>
        </w:tc>
      </w:tr>
      <w:tr>
        <w:tblPrEx>
          <w:tblCellMar>
            <w:top w:w="0" w:type="dxa"/>
            <w:left w:w="108" w:type="dxa"/>
            <w:bottom w:w="0" w:type="dxa"/>
            <w:right w:w="108" w:type="dxa"/>
          </w:tblCellMar>
        </w:tblPrEx>
        <w:trPr>
          <w:trHeight w:val="397" w:hRule="atLeast"/>
          <w:jc w:val="center"/>
        </w:trPr>
        <w:tc>
          <w:tcPr>
            <w:tcW w:w="8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13.调制方式：FM</w:t>
            </w:r>
          </w:p>
        </w:tc>
      </w:tr>
      <w:tr>
        <w:tblPrEx>
          <w:tblCellMar>
            <w:top w:w="0" w:type="dxa"/>
            <w:left w:w="108" w:type="dxa"/>
            <w:bottom w:w="0" w:type="dxa"/>
            <w:right w:w="108" w:type="dxa"/>
          </w:tblCellMar>
        </w:tblPrEx>
        <w:trPr>
          <w:trHeight w:val="397" w:hRule="atLeast"/>
          <w:jc w:val="center"/>
        </w:trPr>
        <w:tc>
          <w:tcPr>
            <w:tcW w:w="8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14.最大调制度：±45KHz</w:t>
            </w:r>
          </w:p>
        </w:tc>
      </w:tr>
    </w:tbl>
    <w:p>
      <w:pPr>
        <w:rPr>
          <w:rFonts w:ascii="宋体" w:hAnsi="宋体" w:eastAsia="宋体" w:cs="宋体"/>
          <w:szCs w:val="21"/>
        </w:rPr>
      </w:pPr>
      <w:r>
        <w:rPr>
          <w:rFonts w:hint="eastAsia" w:ascii="宋体" w:hAnsi="宋体" w:eastAsia="宋体" w:cs="宋体"/>
          <w:b/>
          <w:bCs/>
          <w:szCs w:val="21"/>
        </w:rPr>
        <w:t>附件6</w:t>
      </w:r>
      <w:r>
        <w:rPr>
          <w:rFonts w:hint="eastAsia" w:ascii="宋体" w:hAnsi="宋体" w:eastAsia="宋体" w:cs="宋体"/>
          <w:b/>
          <w:bCs/>
          <w:szCs w:val="21"/>
          <w:lang w:val="en-US" w:eastAsia="zh-CN"/>
        </w:rPr>
        <w:t>1</w:t>
      </w:r>
      <w:r>
        <w:rPr>
          <w:rFonts w:hint="eastAsia" w:ascii="宋体" w:hAnsi="宋体" w:eastAsia="宋体" w:cs="宋体"/>
          <w:b/>
          <w:bCs/>
          <w:szCs w:val="21"/>
        </w:rPr>
        <w:t>：</w:t>
      </w:r>
      <w:r>
        <w:rPr>
          <w:rStyle w:val="46"/>
          <w:sz w:val="21"/>
          <w:szCs w:val="21"/>
          <w:lang w:bidi="ar"/>
        </w:rPr>
        <w:t>提词器（含支架）</w:t>
      </w:r>
    </w:p>
    <w:tbl>
      <w:tblPr>
        <w:tblStyle w:val="11"/>
        <w:tblW w:w="4886" w:type="pct"/>
        <w:jc w:val="center"/>
        <w:tblLayout w:type="fixed"/>
        <w:tblCellMar>
          <w:top w:w="0" w:type="dxa"/>
          <w:left w:w="108" w:type="dxa"/>
          <w:bottom w:w="0" w:type="dxa"/>
          <w:right w:w="108" w:type="dxa"/>
        </w:tblCellMar>
      </w:tblPr>
      <w:tblGrid>
        <w:gridCol w:w="853"/>
        <w:gridCol w:w="8221"/>
      </w:tblGrid>
      <w:tr>
        <w:tblPrEx>
          <w:tblCellMar>
            <w:top w:w="0" w:type="dxa"/>
            <w:left w:w="108" w:type="dxa"/>
            <w:bottom w:w="0" w:type="dxa"/>
            <w:right w:w="108" w:type="dxa"/>
          </w:tblCellMar>
        </w:tblPrEx>
        <w:trPr>
          <w:trHeight w:val="397" w:hRule="atLeast"/>
          <w:jc w:val="center"/>
        </w:trPr>
        <w:tc>
          <w:tcPr>
            <w:tcW w:w="8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85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提词器（含支架）</w:t>
            </w: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1.系统支持Windows 7、Windows 8和Windows 10系统</w:t>
            </w:r>
          </w:p>
        </w:tc>
      </w:tr>
      <w:tr>
        <w:tblPrEx>
          <w:tblCellMar>
            <w:top w:w="0" w:type="dxa"/>
            <w:left w:w="108" w:type="dxa"/>
            <w:bottom w:w="0" w:type="dxa"/>
            <w:right w:w="108" w:type="dxa"/>
          </w:tblCellMar>
        </w:tblPrEx>
        <w:trPr>
          <w:trHeight w:val="397" w:hRule="atLeast"/>
          <w:jc w:val="center"/>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2.系统要求字色、底色256色任意搭配，男女播音员可分别选择不同的背景色和字色方便男女播音员选择自己的播音词，字体和字的大小任意选择，可选多种角色，以区分男角女角或更多播音角色</w:t>
            </w:r>
          </w:p>
        </w:tc>
      </w:tr>
      <w:tr>
        <w:tblPrEx>
          <w:tblCellMar>
            <w:top w:w="0" w:type="dxa"/>
            <w:left w:w="108" w:type="dxa"/>
            <w:bottom w:w="0" w:type="dxa"/>
            <w:right w:w="108" w:type="dxa"/>
          </w:tblCellMar>
        </w:tblPrEx>
        <w:trPr>
          <w:trHeight w:val="397" w:hRule="atLeast"/>
          <w:jc w:val="center"/>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3.文稿录入、编辑方便，操作简单，自动完成排版，支持txt、rtf、word等格式文本，并支持直接打开图片，word，PPT，视频等文件</w:t>
            </w:r>
          </w:p>
        </w:tc>
      </w:tr>
      <w:tr>
        <w:tblPrEx>
          <w:tblCellMar>
            <w:top w:w="0" w:type="dxa"/>
            <w:left w:w="108" w:type="dxa"/>
            <w:bottom w:w="0" w:type="dxa"/>
            <w:right w:w="108" w:type="dxa"/>
          </w:tblCellMar>
        </w:tblPrEx>
        <w:trPr>
          <w:trHeight w:val="397" w:hRule="atLeast"/>
          <w:jc w:val="center"/>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4.分别采用监视器和高分辨率的彩显，清晰度高，字迹清晰</w:t>
            </w:r>
          </w:p>
        </w:tc>
      </w:tr>
      <w:tr>
        <w:tblPrEx>
          <w:tblCellMar>
            <w:top w:w="0" w:type="dxa"/>
            <w:left w:w="108" w:type="dxa"/>
            <w:bottom w:w="0" w:type="dxa"/>
            <w:right w:w="108" w:type="dxa"/>
          </w:tblCellMar>
        </w:tblPrEx>
        <w:trPr>
          <w:trHeight w:val="397" w:hRule="atLeast"/>
          <w:jc w:val="center"/>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5.软件支持汉、藏、蒙、傣、维、朝鲜等少数民族语言。而且还支持国外的一些语言英、日、韩、德、俄、法、阿拉伯文等国家语言</w:t>
            </w:r>
          </w:p>
        </w:tc>
      </w:tr>
      <w:tr>
        <w:tblPrEx>
          <w:tblCellMar>
            <w:top w:w="0" w:type="dxa"/>
            <w:left w:w="108" w:type="dxa"/>
            <w:bottom w:w="0" w:type="dxa"/>
            <w:right w:w="108" w:type="dxa"/>
          </w:tblCellMar>
        </w:tblPrEx>
        <w:trPr>
          <w:trHeight w:val="397" w:hRule="atLeast"/>
          <w:jc w:val="center"/>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6.系统自动记录演播稿，当发生异常停电事故后再加电时自动寻找并且打开演播稿，并保证演播稿的完整性</w:t>
            </w:r>
          </w:p>
        </w:tc>
      </w:tr>
      <w:tr>
        <w:tblPrEx>
          <w:tblCellMar>
            <w:top w:w="0" w:type="dxa"/>
            <w:left w:w="108" w:type="dxa"/>
            <w:bottom w:w="0" w:type="dxa"/>
            <w:right w:w="108" w:type="dxa"/>
          </w:tblCellMar>
        </w:tblPrEx>
        <w:trPr>
          <w:trHeight w:val="397" w:hRule="atLeast"/>
          <w:jc w:val="center"/>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7.相对滚动时间、当前时间可同屏显示，任意设置大小、颜色，一目了然，更易把握节奏；重点语句可通过颜色标明</w:t>
            </w:r>
          </w:p>
        </w:tc>
      </w:tr>
      <w:tr>
        <w:tblPrEx>
          <w:tblCellMar>
            <w:top w:w="0" w:type="dxa"/>
            <w:left w:w="108" w:type="dxa"/>
            <w:bottom w:w="0" w:type="dxa"/>
            <w:right w:w="108" w:type="dxa"/>
          </w:tblCellMar>
        </w:tblPrEx>
        <w:trPr>
          <w:trHeight w:val="397" w:hRule="atLeast"/>
          <w:jc w:val="center"/>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8.控制方式灵活多样，键盘、鼠标、控制手柄均可，字幕速度变化范围可随意调节，前后跳段翻页方便自如；播音稿的行进速度可由播音员自己通过手柄控制，可单、双人控制，方便自如</w:t>
            </w:r>
          </w:p>
        </w:tc>
      </w:tr>
    </w:tbl>
    <w:p>
      <w:pPr>
        <w:rPr>
          <w:rFonts w:ascii="宋体" w:hAnsi="宋体" w:eastAsia="宋体" w:cs="宋体"/>
          <w:szCs w:val="21"/>
        </w:rPr>
      </w:pPr>
      <w:r>
        <w:rPr>
          <w:rFonts w:hint="eastAsia" w:ascii="宋体" w:hAnsi="宋体" w:eastAsia="宋体" w:cs="宋体"/>
          <w:b/>
          <w:bCs/>
          <w:szCs w:val="21"/>
        </w:rPr>
        <w:t>附件6</w:t>
      </w:r>
      <w:r>
        <w:rPr>
          <w:rFonts w:hint="eastAsia" w:ascii="宋体" w:hAnsi="宋体" w:eastAsia="宋体" w:cs="宋体"/>
          <w:b/>
          <w:bCs/>
          <w:szCs w:val="21"/>
          <w:lang w:val="en-US" w:eastAsia="zh-CN"/>
        </w:rPr>
        <w:t>2</w:t>
      </w:r>
      <w:r>
        <w:rPr>
          <w:rFonts w:hint="eastAsia" w:ascii="宋体" w:hAnsi="宋体" w:eastAsia="宋体" w:cs="宋体"/>
          <w:b/>
          <w:bCs/>
          <w:szCs w:val="21"/>
        </w:rPr>
        <w:t>：</w:t>
      </w:r>
      <w:r>
        <w:rPr>
          <w:rStyle w:val="46"/>
          <w:sz w:val="21"/>
          <w:szCs w:val="21"/>
          <w:lang w:bidi="ar"/>
        </w:rPr>
        <w:t>视频编辑软件</w:t>
      </w:r>
    </w:p>
    <w:tbl>
      <w:tblPr>
        <w:tblStyle w:val="11"/>
        <w:tblW w:w="4879" w:type="pct"/>
        <w:jc w:val="center"/>
        <w:tblLayout w:type="fixed"/>
        <w:tblCellMar>
          <w:top w:w="0" w:type="dxa"/>
          <w:left w:w="108" w:type="dxa"/>
          <w:bottom w:w="0" w:type="dxa"/>
          <w:right w:w="108" w:type="dxa"/>
        </w:tblCellMar>
      </w:tblPr>
      <w:tblGrid>
        <w:gridCol w:w="847"/>
        <w:gridCol w:w="8214"/>
      </w:tblGrid>
      <w:tr>
        <w:tblPrEx>
          <w:tblCellMar>
            <w:top w:w="0" w:type="dxa"/>
            <w:left w:w="108" w:type="dxa"/>
            <w:bottom w:w="0" w:type="dxa"/>
            <w:right w:w="108" w:type="dxa"/>
          </w:tblCellMar>
        </w:tblPrEx>
        <w:trPr>
          <w:trHeight w:val="397" w:hRule="atLeast"/>
          <w:jc w:val="center"/>
        </w:trPr>
        <w:tc>
          <w:tcPr>
            <w:tcW w:w="8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视频编辑软件</w:t>
            </w: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▲1.为保证操作的简便，必须可通过平台启动非编系统对资源进行非编，启动后非编资源可自动上传非编系统。便于教师能够对自己已经录制好的视频进行快速编辑处理</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教师能够同时导入多个视频，进行多轨道同步编辑，包括合并、剪辑等功能。支持添加视频轨道、音频轨道、图片轨道和文字轨道。实现了音频、视频、字幕的同步编辑与多格式同步输出。最少支持10个以上音视频、文字轨道</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3.提供“用户专辑”栏，展示用户添加的各种视音频文件、图片，可按“视频”、“图像”和“音频”进行分类展示，并支持按“名称”、“时长”和“类型”进行快速排列筛选</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4.文件持续时间”和“类型”进行排列</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5.提供输出效果实时预览窗口，支持对编辑效果的实时输出预览，可对预览视频进行进度条拖动、全屏播放、画面抓拍功能</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6.具有转场特技功能，支持16种以上转场特技效果可供选择。具有滤镜处理功能，支持28种以上滤镜效果可供选择。具有多种视频布局功能，包括2分屏、4分屏、6分屏等至少15种布局模式</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★7.资源非编完成后，教师可根据需求设置编辑好的视频码流，并能够一键上传到应用云平台的个人空间当中，同时也能够保存到教师电脑端，以便教师通过移动存储设备拷贝和存档</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shd w:val="clear" w:color="auto"/>
                <w:lang w:bidi="ar"/>
              </w:rPr>
              <w:t>8.</w:t>
            </w:r>
            <w:r>
              <w:rPr>
                <w:rFonts w:hint="eastAsia" w:ascii="宋体" w:hAnsi="宋体" w:eastAsia="宋体" w:cs="宋体"/>
                <w:color w:val="000000"/>
                <w:kern w:val="0"/>
                <w:szCs w:val="21"/>
                <w:shd w:val="clear" w:color="auto" w:fill="BEBEBE" w:themeFill="background1" w:themeFillShade="BF"/>
                <w:lang w:bidi="ar"/>
              </w:rPr>
              <w:t>要求</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bidi="ar"/>
              </w:rPr>
              <w:t>视频编辑软件</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bidi="ar"/>
              </w:rPr>
              <w:t>与</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bidi="ar"/>
              </w:rPr>
              <w:t>虚拟演播室主机</w:t>
            </w:r>
            <w:r>
              <w:rPr>
                <w:rFonts w:hint="eastAsia" w:ascii="宋体" w:hAnsi="宋体" w:eastAsia="宋体" w:cs="宋体"/>
                <w:color w:val="000000"/>
                <w:kern w:val="0"/>
                <w:szCs w:val="21"/>
                <w:shd w:val="clear" w:color="auto" w:fill="BEBEBE" w:themeFill="background1" w:themeFillShade="BF"/>
                <w:lang w:eastAsia="zh-CN" w:bidi="ar"/>
              </w:rPr>
              <w:t>”</w:t>
            </w:r>
            <w:r>
              <w:rPr>
                <w:rFonts w:hint="eastAsia" w:ascii="宋体" w:hAnsi="宋体" w:eastAsia="宋体" w:cs="宋体"/>
                <w:color w:val="000000"/>
                <w:kern w:val="0"/>
                <w:szCs w:val="21"/>
                <w:shd w:val="clear" w:color="auto" w:fill="BEBEBE" w:themeFill="background1" w:themeFillShade="BF"/>
                <w:lang w:bidi="ar"/>
              </w:rPr>
              <w:t>为同一品牌</w:t>
            </w:r>
          </w:p>
        </w:tc>
      </w:tr>
      <w:tr>
        <w:tblPrEx>
          <w:tblCellMar>
            <w:top w:w="0" w:type="dxa"/>
            <w:left w:w="108" w:type="dxa"/>
            <w:bottom w:w="0" w:type="dxa"/>
            <w:right w:w="108" w:type="dxa"/>
          </w:tblCellMar>
        </w:tblPrEx>
        <w:trPr>
          <w:trHeight w:val="397" w:hRule="atLeast"/>
          <w:jc w:val="center"/>
        </w:trPr>
        <w:tc>
          <w:tcPr>
            <w:tcW w:w="847" w:type="dxa"/>
            <w:vMerge w:val="continue"/>
            <w:tcBorders>
              <w:left w:val="single" w:color="000000" w:sz="4" w:space="0"/>
              <w:bottom w:val="single" w:color="000000" w:sz="4" w:space="0"/>
              <w:right w:val="single" w:color="000000" w:sz="4" w:space="0"/>
            </w:tcBorders>
            <w:shd w:val="clear" w:color="auto" w:fill="auto"/>
            <w:vAlign w:val="center"/>
          </w:tcPr>
          <w:p>
            <w:pPr>
              <w:widowControl/>
              <w:jc w:val="left"/>
              <w:textAlignment w:val="cente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kern w:val="0"/>
                <w:szCs w:val="21"/>
                <w:lang w:bidi="ar"/>
              </w:rPr>
            </w:pPr>
            <w:r>
              <w:rPr>
                <w:rFonts w:hint="eastAsia" w:ascii="宋体" w:hAnsi="宋体" w:eastAsia="宋体" w:cs="宋体"/>
                <w:kern w:val="0"/>
                <w:szCs w:val="21"/>
                <w:shd w:val="clear" w:color="auto" w:fill="BEBEBE" w:themeFill="background1" w:themeFillShade="BF"/>
              </w:rPr>
              <w:t>9.响应文件中提供视频编辑软件著作权证书复印件</w:t>
            </w:r>
          </w:p>
        </w:tc>
      </w:tr>
    </w:tbl>
    <w:p>
      <w:pPr>
        <w:rPr>
          <w:rFonts w:ascii="宋体" w:hAnsi="宋体" w:eastAsia="宋体" w:cs="宋体"/>
          <w:szCs w:val="21"/>
        </w:rPr>
      </w:pPr>
      <w:r>
        <w:rPr>
          <w:rFonts w:hint="eastAsia" w:ascii="宋体" w:hAnsi="宋体" w:eastAsia="宋体" w:cs="宋体"/>
          <w:b/>
          <w:bCs/>
          <w:szCs w:val="21"/>
        </w:rPr>
        <w:t>附件6</w:t>
      </w:r>
      <w:r>
        <w:rPr>
          <w:rFonts w:hint="eastAsia" w:ascii="宋体" w:hAnsi="宋体" w:eastAsia="宋体" w:cs="宋体"/>
          <w:b/>
          <w:bCs/>
          <w:szCs w:val="21"/>
          <w:lang w:val="en-US" w:eastAsia="zh-CN"/>
        </w:rPr>
        <w:t>3</w:t>
      </w:r>
      <w:r>
        <w:rPr>
          <w:rFonts w:hint="eastAsia" w:ascii="宋体" w:hAnsi="宋体" w:eastAsia="宋体" w:cs="宋体"/>
          <w:b/>
          <w:bCs/>
          <w:szCs w:val="21"/>
        </w:rPr>
        <w:t>：</w:t>
      </w:r>
      <w:r>
        <w:rPr>
          <w:rStyle w:val="46"/>
          <w:sz w:val="21"/>
          <w:szCs w:val="21"/>
          <w:lang w:bidi="ar"/>
        </w:rPr>
        <w:t>65寸液晶电视机</w:t>
      </w:r>
    </w:p>
    <w:tbl>
      <w:tblPr>
        <w:tblStyle w:val="11"/>
        <w:tblW w:w="4879" w:type="pct"/>
        <w:jc w:val="center"/>
        <w:tblLayout w:type="fixed"/>
        <w:tblCellMar>
          <w:top w:w="0" w:type="dxa"/>
          <w:left w:w="108" w:type="dxa"/>
          <w:bottom w:w="0" w:type="dxa"/>
          <w:right w:w="108" w:type="dxa"/>
        </w:tblCellMar>
      </w:tblPr>
      <w:tblGrid>
        <w:gridCol w:w="847"/>
        <w:gridCol w:w="8214"/>
      </w:tblGrid>
      <w:tr>
        <w:tblPrEx>
          <w:tblCellMar>
            <w:top w:w="0" w:type="dxa"/>
            <w:left w:w="108" w:type="dxa"/>
            <w:bottom w:w="0" w:type="dxa"/>
            <w:right w:w="108" w:type="dxa"/>
          </w:tblCellMar>
        </w:tblPrEx>
        <w:trPr>
          <w:trHeight w:val="397" w:hRule="atLeast"/>
          <w:jc w:val="center"/>
        </w:trPr>
        <w:tc>
          <w:tcPr>
            <w:tcW w:w="8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65寸液晶电视机</w:t>
            </w: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1.产品颜色：亚光黑</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2.产品类型：4K超清电视，人工智能电视；大屏电视；LED电视</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3.能效等级3级</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4.屏幕尺寸：≥65英寸</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5.屏幕分辨率：超高清4K</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6.HDR显示：支持</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7.背光源：LED</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8.背光方式：直下式；刷屏率：60HZ；支持格式（高清）：2160p</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9.CPU：Amlogic T962 Cortex A53 四核 1.5GHz；CPU核数：四核心；运行内存：2GB；存储内存：8GB</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10.GPU：Mali-450 750MHz</w:t>
            </w:r>
          </w:p>
        </w:tc>
      </w:tr>
      <w:tr>
        <w:tblPrEx>
          <w:tblCellMar>
            <w:top w:w="0" w:type="dxa"/>
            <w:left w:w="108" w:type="dxa"/>
            <w:bottom w:w="0" w:type="dxa"/>
            <w:right w:w="108" w:type="dxa"/>
          </w:tblCellMar>
        </w:tblPrEx>
        <w:trPr>
          <w:trHeight w:val="397" w:hRule="atLeast"/>
          <w:jc w:val="center"/>
        </w:trPr>
        <w:tc>
          <w:tcPr>
            <w:tcW w:w="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11.端口参数：USB2.0接口2个；HDMI2.0接口3个</w:t>
            </w:r>
          </w:p>
        </w:tc>
      </w:tr>
    </w:tbl>
    <w:p>
      <w:pPr>
        <w:rPr>
          <w:rFonts w:ascii="宋体" w:hAnsi="宋体" w:eastAsia="宋体" w:cs="宋体"/>
          <w:szCs w:val="21"/>
        </w:rPr>
      </w:pPr>
      <w:r>
        <w:rPr>
          <w:rFonts w:hint="eastAsia" w:ascii="宋体" w:hAnsi="宋体" w:eastAsia="宋体" w:cs="宋体"/>
          <w:b/>
          <w:bCs/>
          <w:szCs w:val="21"/>
        </w:rPr>
        <w:t>附件6</w:t>
      </w:r>
      <w:r>
        <w:rPr>
          <w:rFonts w:hint="eastAsia" w:ascii="宋体" w:hAnsi="宋体" w:eastAsia="宋体" w:cs="宋体"/>
          <w:b/>
          <w:bCs/>
          <w:szCs w:val="21"/>
          <w:lang w:val="en-US" w:eastAsia="zh-CN"/>
        </w:rPr>
        <w:t>4</w:t>
      </w:r>
      <w:r>
        <w:rPr>
          <w:rFonts w:hint="eastAsia" w:ascii="宋体" w:hAnsi="宋体" w:eastAsia="宋体" w:cs="宋体"/>
          <w:b/>
          <w:bCs/>
          <w:szCs w:val="21"/>
        </w:rPr>
        <w:t>：</w:t>
      </w:r>
      <w:r>
        <w:rPr>
          <w:rStyle w:val="46"/>
          <w:sz w:val="21"/>
          <w:szCs w:val="21"/>
          <w:lang w:bidi="ar"/>
        </w:rPr>
        <w:t>多媒体音响</w:t>
      </w:r>
    </w:p>
    <w:tbl>
      <w:tblPr>
        <w:tblStyle w:val="11"/>
        <w:tblW w:w="4875" w:type="pct"/>
        <w:jc w:val="center"/>
        <w:tblLayout w:type="fixed"/>
        <w:tblCellMar>
          <w:top w:w="0" w:type="dxa"/>
          <w:left w:w="108" w:type="dxa"/>
          <w:bottom w:w="0" w:type="dxa"/>
          <w:right w:w="108" w:type="dxa"/>
        </w:tblCellMar>
      </w:tblPr>
      <w:tblGrid>
        <w:gridCol w:w="843"/>
        <w:gridCol w:w="8211"/>
      </w:tblGrid>
      <w:tr>
        <w:tblPrEx>
          <w:tblCellMar>
            <w:top w:w="0" w:type="dxa"/>
            <w:left w:w="108" w:type="dxa"/>
            <w:bottom w:w="0" w:type="dxa"/>
            <w:right w:w="108" w:type="dxa"/>
          </w:tblCellMar>
        </w:tblPrEx>
        <w:trPr>
          <w:trHeight w:val="397" w:hRule="atLeast"/>
          <w:jc w:val="center"/>
        </w:trPr>
        <w:tc>
          <w:tcPr>
            <w:tcW w:w="8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8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多媒体音响</w:t>
            </w: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1.声道：2.1</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2.类型：多媒体音箱</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3.理论功率：20w以下</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4.信噪比：85db</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5.音箱控制：旋钮</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6.低音单元：4英寸（外径106mm），防磁，6欧姆</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7.中音单元：外径50×90mm，防磁，4欧姆</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8.接口：3.5毫米音频接口</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9.电源：电源供电</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10.线长：1.5m-2m</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11.尺寸：低音箱箱体≥162×226×206mm，卫星箱箱体≥68×166×86mm</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12.重量：≥2300g</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13.失真度（%）：≤0.5</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14.调节形式：低音箱侧面板上旋钮调节主音量</w:t>
            </w:r>
          </w:p>
        </w:tc>
      </w:tr>
      <w:tr>
        <w:tblPrEx>
          <w:tblCellMar>
            <w:top w:w="0" w:type="dxa"/>
            <w:left w:w="108" w:type="dxa"/>
            <w:bottom w:w="0" w:type="dxa"/>
            <w:right w:w="108" w:type="dxa"/>
          </w:tblCellMar>
        </w:tblPrEx>
        <w:trPr>
          <w:trHeight w:val="397" w:hRule="atLeast"/>
          <w:jc w:val="center"/>
        </w:trPr>
        <w:tc>
          <w:tcPr>
            <w:tcW w:w="8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ascii="宋体" w:hAnsi="宋体" w:eastAsia="宋体" w:cs="宋体"/>
                <w:color w:val="000000"/>
                <w:kern w:val="0"/>
                <w:szCs w:val="21"/>
                <w:lang w:bidi="ar"/>
              </w:rPr>
              <w:t>15</w:t>
            </w:r>
            <w:r>
              <w:rPr>
                <w:rFonts w:hint="eastAsia" w:ascii="宋体" w:hAnsi="宋体" w:eastAsia="宋体" w:cs="宋体"/>
                <w:color w:val="000000"/>
                <w:kern w:val="0"/>
                <w:szCs w:val="21"/>
                <w:lang w:bidi="ar"/>
              </w:rPr>
              <w:t>.包含配件：耳机＊1 1/4英寸（6.3毫米），立体声插孔适配器</w:t>
            </w:r>
          </w:p>
        </w:tc>
      </w:tr>
    </w:tbl>
    <w:p>
      <w:pPr>
        <w:rPr>
          <w:rFonts w:ascii="宋体" w:hAnsi="宋体" w:eastAsia="宋体" w:cs="宋体"/>
          <w:szCs w:val="21"/>
        </w:rPr>
      </w:pPr>
      <w:r>
        <w:rPr>
          <w:rFonts w:hint="eastAsia" w:ascii="宋体" w:hAnsi="宋体" w:eastAsia="宋体" w:cs="宋体"/>
          <w:b/>
          <w:bCs/>
          <w:szCs w:val="21"/>
        </w:rPr>
        <w:t>附件</w:t>
      </w:r>
      <w:r>
        <w:rPr>
          <w:rFonts w:hint="eastAsia" w:ascii="宋体" w:hAnsi="宋体" w:eastAsia="宋体" w:cs="宋体"/>
          <w:b/>
          <w:bCs/>
          <w:szCs w:val="21"/>
          <w:lang w:val="en-US" w:eastAsia="zh-CN"/>
        </w:rPr>
        <w:t>65</w:t>
      </w:r>
      <w:r>
        <w:rPr>
          <w:rFonts w:hint="eastAsia" w:ascii="宋体" w:hAnsi="宋体" w:eastAsia="宋体" w:cs="宋体"/>
          <w:b/>
          <w:bCs/>
          <w:szCs w:val="21"/>
        </w:rPr>
        <w:t>：</w:t>
      </w:r>
      <w:r>
        <w:rPr>
          <w:rStyle w:val="46"/>
          <w:sz w:val="21"/>
          <w:szCs w:val="21"/>
          <w:lang w:bidi="ar"/>
        </w:rPr>
        <w:t>LED柔光背景灯</w:t>
      </w:r>
    </w:p>
    <w:tbl>
      <w:tblPr>
        <w:tblStyle w:val="11"/>
        <w:tblW w:w="4872" w:type="pct"/>
        <w:jc w:val="center"/>
        <w:tblLayout w:type="fixed"/>
        <w:tblCellMar>
          <w:top w:w="0" w:type="dxa"/>
          <w:left w:w="108" w:type="dxa"/>
          <w:bottom w:w="0" w:type="dxa"/>
          <w:right w:w="108" w:type="dxa"/>
        </w:tblCellMar>
      </w:tblPr>
      <w:tblGrid>
        <w:gridCol w:w="840"/>
        <w:gridCol w:w="8208"/>
      </w:tblGrid>
      <w:tr>
        <w:tblPrEx>
          <w:tblCellMar>
            <w:top w:w="0" w:type="dxa"/>
            <w:left w:w="108" w:type="dxa"/>
            <w:bottom w:w="0" w:type="dxa"/>
            <w:right w:w="108" w:type="dxa"/>
          </w:tblCellMar>
        </w:tblPrEx>
        <w:trPr>
          <w:trHeight w:val="397" w:hRule="atLeast"/>
          <w:jc w:val="center"/>
        </w:trPr>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b/>
                <w:bCs/>
                <w:color w:val="000000"/>
                <w:kern w:val="0"/>
                <w:szCs w:val="21"/>
                <w:lang w:bidi="ar"/>
              </w:rPr>
              <w:t>名称</w:t>
            </w:r>
          </w:p>
        </w:tc>
        <w:tc>
          <w:tcPr>
            <w:tcW w:w="8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kern w:val="0"/>
                <w:szCs w:val="21"/>
                <w:lang w:bidi="ar"/>
              </w:rPr>
            </w:pPr>
            <w:r>
              <w:rPr>
                <w:rFonts w:hint="eastAsia" w:ascii="宋体" w:hAnsi="宋体" w:eastAsia="宋体" w:cs="宋体"/>
                <w:b/>
                <w:bCs/>
                <w:color w:val="000000"/>
                <w:kern w:val="0"/>
                <w:szCs w:val="21"/>
                <w:lang w:bidi="ar"/>
              </w:rPr>
              <w:t>技术参数要求</w:t>
            </w:r>
          </w:p>
        </w:tc>
      </w:tr>
      <w:tr>
        <w:tblPrEx>
          <w:tblCellMar>
            <w:top w:w="0" w:type="dxa"/>
            <w:left w:w="108" w:type="dxa"/>
            <w:bottom w:w="0" w:type="dxa"/>
            <w:right w:w="108" w:type="dxa"/>
          </w:tblCellMar>
        </w:tblPrEx>
        <w:trPr>
          <w:trHeight w:val="397" w:hRule="atLeast"/>
          <w:jc w:val="center"/>
        </w:trPr>
        <w:tc>
          <w:tcPr>
            <w:tcW w:w="84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Style w:val="46"/>
                <w:sz w:val="21"/>
                <w:szCs w:val="21"/>
                <w:lang w:bidi="ar"/>
              </w:rPr>
              <w:t>LED柔光背景灯</w:t>
            </w:r>
          </w:p>
        </w:tc>
        <w:tc>
          <w:tcPr>
            <w:tcW w:w="8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1.额定功率：32W</w:t>
            </w:r>
          </w:p>
        </w:tc>
      </w:tr>
      <w:tr>
        <w:tblPrEx>
          <w:tblCellMar>
            <w:top w:w="0" w:type="dxa"/>
            <w:left w:w="108" w:type="dxa"/>
            <w:bottom w:w="0" w:type="dxa"/>
            <w:right w:w="108" w:type="dxa"/>
          </w:tblCellMar>
        </w:tblPrEx>
        <w:trPr>
          <w:trHeight w:val="397" w:hRule="atLeast"/>
          <w:jc w:val="center"/>
        </w:trPr>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2.外壳材质：大型铝型材</w:t>
            </w:r>
          </w:p>
        </w:tc>
      </w:tr>
      <w:tr>
        <w:tblPrEx>
          <w:tblCellMar>
            <w:top w:w="0" w:type="dxa"/>
            <w:left w:w="108" w:type="dxa"/>
            <w:bottom w:w="0" w:type="dxa"/>
            <w:right w:w="108" w:type="dxa"/>
          </w:tblCellMar>
        </w:tblPrEx>
        <w:trPr>
          <w:trHeight w:val="397" w:hRule="atLeast"/>
          <w:jc w:val="center"/>
        </w:trPr>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3.灯珠数量：504颗</w:t>
            </w:r>
          </w:p>
        </w:tc>
      </w:tr>
      <w:tr>
        <w:tblPrEx>
          <w:tblCellMar>
            <w:top w:w="0" w:type="dxa"/>
            <w:left w:w="108" w:type="dxa"/>
            <w:bottom w:w="0" w:type="dxa"/>
            <w:right w:w="108" w:type="dxa"/>
          </w:tblCellMar>
        </w:tblPrEx>
        <w:trPr>
          <w:trHeight w:val="397" w:hRule="atLeast"/>
          <w:jc w:val="center"/>
        </w:trPr>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4.使用寿命：50000小时</w:t>
            </w:r>
          </w:p>
        </w:tc>
      </w:tr>
      <w:tr>
        <w:tblPrEx>
          <w:tblCellMar>
            <w:top w:w="0" w:type="dxa"/>
            <w:left w:w="108" w:type="dxa"/>
            <w:bottom w:w="0" w:type="dxa"/>
            <w:right w:w="108" w:type="dxa"/>
          </w:tblCellMar>
        </w:tblPrEx>
        <w:trPr>
          <w:trHeight w:val="397" w:hRule="atLeast"/>
          <w:jc w:val="center"/>
        </w:trPr>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5.色温：3200K/5600K±150K</w:t>
            </w:r>
          </w:p>
        </w:tc>
      </w:tr>
      <w:tr>
        <w:tblPrEx>
          <w:tblCellMar>
            <w:top w:w="0" w:type="dxa"/>
            <w:left w:w="108" w:type="dxa"/>
            <w:bottom w:w="0" w:type="dxa"/>
            <w:right w:w="108" w:type="dxa"/>
          </w:tblCellMar>
        </w:tblPrEx>
        <w:trPr>
          <w:trHeight w:val="397" w:hRule="atLeast"/>
          <w:jc w:val="center"/>
        </w:trPr>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6.额定电压：AC 100-240V 50/60Hz</w:t>
            </w:r>
          </w:p>
        </w:tc>
      </w:tr>
      <w:tr>
        <w:tblPrEx>
          <w:tblCellMar>
            <w:top w:w="0" w:type="dxa"/>
            <w:left w:w="108" w:type="dxa"/>
            <w:bottom w:w="0" w:type="dxa"/>
            <w:right w:w="108" w:type="dxa"/>
          </w:tblCellMar>
        </w:tblPrEx>
        <w:trPr>
          <w:trHeight w:val="397" w:hRule="atLeast"/>
          <w:jc w:val="center"/>
        </w:trPr>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7.通道数量：1个通道</w:t>
            </w:r>
          </w:p>
        </w:tc>
      </w:tr>
      <w:tr>
        <w:tblPrEx>
          <w:tblCellMar>
            <w:top w:w="0" w:type="dxa"/>
            <w:left w:w="108" w:type="dxa"/>
            <w:bottom w:w="0" w:type="dxa"/>
            <w:right w:w="108" w:type="dxa"/>
          </w:tblCellMar>
        </w:tblPrEx>
        <w:trPr>
          <w:trHeight w:val="397" w:hRule="atLeast"/>
          <w:jc w:val="center"/>
        </w:trPr>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8.工作温度：-20℃至50℃</w:t>
            </w:r>
          </w:p>
        </w:tc>
      </w:tr>
      <w:tr>
        <w:tblPrEx>
          <w:tblCellMar>
            <w:top w:w="0" w:type="dxa"/>
            <w:left w:w="108" w:type="dxa"/>
            <w:bottom w:w="0" w:type="dxa"/>
            <w:right w:w="108" w:type="dxa"/>
          </w:tblCellMar>
        </w:tblPrEx>
        <w:trPr>
          <w:trHeight w:val="397" w:hRule="atLeast"/>
          <w:jc w:val="center"/>
        </w:trPr>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9.存放温度：-20℃至60℃</w:t>
            </w:r>
          </w:p>
        </w:tc>
      </w:tr>
      <w:tr>
        <w:tblPrEx>
          <w:tblCellMar>
            <w:top w:w="0" w:type="dxa"/>
            <w:left w:w="108" w:type="dxa"/>
            <w:bottom w:w="0" w:type="dxa"/>
            <w:right w:w="108" w:type="dxa"/>
          </w:tblCellMar>
        </w:tblPrEx>
        <w:trPr>
          <w:trHeight w:val="397" w:hRule="atLeast"/>
          <w:jc w:val="center"/>
        </w:trPr>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10.调光功能：0%至100%无极调节</w:t>
            </w:r>
          </w:p>
        </w:tc>
      </w:tr>
      <w:tr>
        <w:tblPrEx>
          <w:tblCellMar>
            <w:top w:w="0" w:type="dxa"/>
            <w:left w:w="108" w:type="dxa"/>
            <w:bottom w:w="0" w:type="dxa"/>
            <w:right w:w="108" w:type="dxa"/>
          </w:tblCellMar>
        </w:tblPrEx>
        <w:trPr>
          <w:trHeight w:val="397" w:hRule="atLeast"/>
          <w:jc w:val="center"/>
        </w:trPr>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11.冷却系统：对流散热（自散热无风扇）</w:t>
            </w:r>
          </w:p>
        </w:tc>
      </w:tr>
      <w:tr>
        <w:tblPrEx>
          <w:tblCellMar>
            <w:top w:w="0" w:type="dxa"/>
            <w:left w:w="108" w:type="dxa"/>
            <w:bottom w:w="0" w:type="dxa"/>
            <w:right w:w="108" w:type="dxa"/>
          </w:tblCellMar>
        </w:tblPrEx>
        <w:trPr>
          <w:trHeight w:val="397" w:hRule="atLeast"/>
          <w:jc w:val="center"/>
        </w:trPr>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12.链接方式：电源线in，信号线in/out</w:t>
            </w:r>
          </w:p>
        </w:tc>
      </w:tr>
      <w:tr>
        <w:tblPrEx>
          <w:tblCellMar>
            <w:top w:w="0" w:type="dxa"/>
            <w:left w:w="108" w:type="dxa"/>
            <w:bottom w:w="0" w:type="dxa"/>
            <w:right w:w="108" w:type="dxa"/>
          </w:tblCellMar>
        </w:tblPrEx>
        <w:trPr>
          <w:trHeight w:val="397" w:hRule="atLeast"/>
          <w:jc w:val="center"/>
        </w:trPr>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13.照度：2811LUX/1M、908LUX/2M、513LUX/3M、325LUX/4M、221LUX/5M、155LUX/6M、52LUX/10M</w:t>
            </w:r>
          </w:p>
        </w:tc>
      </w:tr>
      <w:tr>
        <w:tblPrEx>
          <w:tblCellMar>
            <w:top w:w="0" w:type="dxa"/>
            <w:left w:w="108" w:type="dxa"/>
            <w:bottom w:w="0" w:type="dxa"/>
            <w:right w:w="108" w:type="dxa"/>
          </w:tblCellMar>
        </w:tblPrEx>
        <w:trPr>
          <w:trHeight w:val="397" w:hRule="atLeast"/>
          <w:jc w:val="center"/>
        </w:trPr>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8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ascii="宋体" w:hAnsi="宋体" w:eastAsia="宋体" w:cs="宋体"/>
                <w:color w:val="000000"/>
                <w:kern w:val="0"/>
                <w:szCs w:val="21"/>
                <w:lang w:bidi="ar"/>
              </w:rPr>
              <w:t>14</w:t>
            </w:r>
            <w:r>
              <w:rPr>
                <w:rFonts w:hint="eastAsia" w:ascii="宋体" w:hAnsi="宋体" w:eastAsia="宋体" w:cs="宋体"/>
                <w:color w:val="000000"/>
                <w:kern w:val="0"/>
                <w:szCs w:val="21"/>
                <w:lang w:bidi="ar"/>
              </w:rPr>
              <w:t>.背景墙采用防水专业进口抠像漆，无有毒有害物质，水溶性不反光，尺寸≥长度5m×深度3.5m×高度3m（具体面积以实际测量和校方标准为参考）</w:t>
            </w:r>
          </w:p>
        </w:tc>
      </w:tr>
    </w:tbl>
    <w:p>
      <w:pPr>
        <w:wordWrap w:val="0"/>
        <w:spacing w:line="400" w:lineRule="exact"/>
        <w:rPr>
          <w:rFonts w:ascii="宋体" w:hAnsi="宋体" w:eastAsia="宋体" w:cs="Times New Roman"/>
          <w:b/>
          <w:color w:val="000000" w:themeColor="text1"/>
          <w:szCs w:val="21"/>
          <w:shd w:val="clear" w:color="auto" w:fill="BEBEBE" w:themeFill="background1" w:themeFillShade="BF"/>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二、服务要求</w:t>
      </w:r>
      <w:r>
        <w:rPr>
          <w:rFonts w:hint="eastAsia" w:ascii="宋体" w:hAnsi="宋体" w:eastAsia="宋体" w:cs="Times New Roman"/>
          <w:b/>
          <w:color w:val="000000" w:themeColor="text1"/>
          <w:szCs w:val="21"/>
          <w:shd w:val="clear" w:color="auto" w:fill="BEBEBE" w:themeFill="background1" w:themeFillShade="BF"/>
          <w14:textFill>
            <w14:solidFill>
              <w14:schemeClr w14:val="tx1"/>
            </w14:solidFill>
          </w14:textFill>
        </w:rPr>
        <w:t>（服务要求是实施本项目的最低标准，供应商如有负偏离或者不响应的，作无效标处理）</w:t>
      </w:r>
    </w:p>
    <w:p>
      <w:pPr>
        <w:tabs>
          <w:tab w:val="left" w:pos="0"/>
          <w:tab w:val="left" w:pos="1260"/>
          <w:tab w:val="left" w:pos="1365"/>
        </w:tabs>
        <w:wordWrap w:val="0"/>
        <w:spacing w:line="400" w:lineRule="exact"/>
        <w:rPr>
          <w:rFonts w:ascii="宋体" w:hAnsi="宋体" w:eastAsia="宋体" w:cs="宋体"/>
          <w:bCs/>
          <w:color w:val="000000"/>
          <w:szCs w:val="21"/>
        </w:rPr>
      </w:pPr>
      <w:r>
        <w:rPr>
          <w:rFonts w:hint="eastAsia" w:ascii="宋体" w:hAnsi="宋体" w:eastAsia="宋体" w:cs="宋体"/>
          <w:b/>
          <w:bCs/>
          <w:color w:val="000000" w:themeColor="text1"/>
          <w:szCs w:val="21"/>
          <w14:textFill>
            <w14:solidFill>
              <w14:schemeClr w14:val="tx1"/>
            </w14:solidFill>
          </w14:textFill>
        </w:rPr>
        <w:t>（一）工作内容及培训要求：</w:t>
      </w:r>
      <w:r>
        <w:rPr>
          <w:rFonts w:hint="eastAsia" w:ascii="宋体" w:hAnsi="宋体" w:eastAsia="宋体" w:cs="宋体"/>
          <w:bCs/>
          <w:color w:val="000000"/>
          <w:szCs w:val="21"/>
        </w:rPr>
        <w:t>采购合同范围内的货物并运输至采购人指定地点进行安装调试，协助采购人进行验收，最终验收合格后对有关人员进行培训及技术指导，按采购文件要求进行售后服务等工作。</w:t>
      </w:r>
    </w:p>
    <w:p>
      <w:pPr>
        <w:tabs>
          <w:tab w:val="left" w:pos="0"/>
          <w:tab w:val="left" w:pos="1260"/>
          <w:tab w:val="left" w:pos="1365"/>
        </w:tabs>
        <w:wordWrap w:val="0"/>
        <w:spacing w:line="400" w:lineRule="exact"/>
        <w:rPr>
          <w:rFonts w:ascii="宋体" w:hAnsi="宋体" w:eastAsia="宋体" w:cs="Times New Roman"/>
          <w:b/>
          <w:szCs w:val="21"/>
        </w:rPr>
      </w:pPr>
      <w:r>
        <w:rPr>
          <w:rFonts w:hint="eastAsia" w:ascii="宋体" w:hAnsi="宋体" w:eastAsia="宋体" w:cs="Times New Roman"/>
          <w:b/>
          <w:szCs w:val="21"/>
        </w:rPr>
        <w:t>（二）人员要求</w:t>
      </w:r>
    </w:p>
    <w:p>
      <w:pPr>
        <w:tabs>
          <w:tab w:val="left" w:pos="0"/>
          <w:tab w:val="left" w:pos="1260"/>
          <w:tab w:val="left" w:pos="1365"/>
        </w:tabs>
        <w:wordWrap w:val="0"/>
        <w:spacing w:line="400" w:lineRule="exact"/>
        <w:ind w:firstLine="422" w:firstLineChars="200"/>
        <w:rPr>
          <w:rFonts w:ascii="宋体" w:hAnsi="宋体" w:eastAsia="宋体" w:cs="Times New Roman"/>
          <w:b/>
          <w:szCs w:val="21"/>
        </w:rPr>
      </w:pPr>
      <w:r>
        <w:rPr>
          <w:rFonts w:hint="eastAsia" w:ascii="宋体" w:hAnsi="宋体" w:eastAsia="宋体" w:cs="Times New Roman"/>
          <w:b/>
          <w:szCs w:val="21"/>
        </w:rPr>
        <w:t>1.配备工作人员</w:t>
      </w:r>
      <w:r>
        <w:rPr>
          <w:rFonts w:ascii="宋体" w:hAnsi="宋体" w:eastAsia="宋体" w:cs="Times New Roman"/>
          <w:b/>
          <w:szCs w:val="21"/>
        </w:rPr>
        <w:t>1</w:t>
      </w:r>
      <w:r>
        <w:rPr>
          <w:rFonts w:hint="eastAsia" w:ascii="宋体" w:hAnsi="宋体" w:eastAsia="宋体" w:cs="Times New Roman"/>
          <w:b/>
          <w:szCs w:val="21"/>
        </w:rPr>
        <w:t>2人（其中项目负责人1人，技术负责人1人，其他工作人员至少10人）。</w:t>
      </w:r>
    </w:p>
    <w:p>
      <w:pPr>
        <w:tabs>
          <w:tab w:val="left" w:pos="0"/>
          <w:tab w:val="left" w:pos="1260"/>
          <w:tab w:val="left" w:pos="1365"/>
        </w:tabs>
        <w:wordWrap w:val="0"/>
        <w:spacing w:line="400" w:lineRule="exact"/>
        <w:ind w:firstLine="420" w:firstLineChars="200"/>
        <w:rPr>
          <w:rFonts w:ascii="宋体" w:hAnsi="宋体" w:eastAsia="宋体" w:cs="Times New Roman"/>
          <w:bCs/>
          <w:szCs w:val="21"/>
        </w:rPr>
      </w:pPr>
      <w:r>
        <w:rPr>
          <w:rFonts w:ascii="宋体" w:hAnsi="宋体" w:eastAsia="宋体" w:cs="Times New Roman"/>
          <w:bCs/>
          <w:szCs w:val="21"/>
        </w:rPr>
        <w:t>2</w:t>
      </w:r>
      <w:r>
        <w:rPr>
          <w:rFonts w:hint="eastAsia" w:ascii="宋体" w:hAnsi="宋体" w:eastAsia="宋体" w:cs="Times New Roman"/>
          <w:bCs/>
          <w:szCs w:val="21"/>
        </w:rPr>
        <w:t>.实际投入的工作人员应与响应文件中响应的内容一致且符合采购文件的最低标准，为保证项目的稳定性，合同履行前后如需更换工作人员的，经采购人同意后方可进行更换，且必须为同一档次人员，以确保服务质量不因人员变动而受影响，未按响应文件中响应的内容投入的或未经采购人同意擅自更换工作人员的作违约处理。</w:t>
      </w:r>
    </w:p>
    <w:p>
      <w:pPr>
        <w:tabs>
          <w:tab w:val="left" w:pos="0"/>
          <w:tab w:val="left" w:pos="1260"/>
          <w:tab w:val="left" w:pos="1365"/>
        </w:tabs>
        <w:wordWrap w:val="0"/>
        <w:spacing w:line="400" w:lineRule="exact"/>
        <w:ind w:firstLine="420" w:firstLineChars="200"/>
        <w:rPr>
          <w:rFonts w:ascii="宋体" w:hAnsi="宋体" w:eastAsia="宋体" w:cs="Times New Roman"/>
          <w:bCs/>
          <w:szCs w:val="21"/>
        </w:rPr>
      </w:pPr>
      <w:r>
        <w:rPr>
          <w:rFonts w:ascii="宋体" w:hAnsi="宋体" w:eastAsia="宋体" w:cs="Times New Roman"/>
          <w:bCs/>
          <w:szCs w:val="21"/>
        </w:rPr>
        <w:t>3</w:t>
      </w:r>
      <w:r>
        <w:rPr>
          <w:rFonts w:hint="eastAsia" w:ascii="宋体" w:hAnsi="宋体" w:eastAsia="宋体" w:cs="Times New Roman"/>
          <w:bCs/>
          <w:szCs w:val="21"/>
        </w:rPr>
        <w:t>.出现工作人员不能胜任工作的或采购人不满意要求调换的，应及时调换。</w:t>
      </w:r>
    </w:p>
    <w:p>
      <w:pPr>
        <w:tabs>
          <w:tab w:val="left" w:pos="0"/>
          <w:tab w:val="left" w:pos="1260"/>
          <w:tab w:val="left" w:pos="1365"/>
        </w:tabs>
        <w:wordWrap w:val="0"/>
        <w:spacing w:line="400" w:lineRule="exact"/>
        <w:rPr>
          <w:rFonts w:ascii="宋体" w:hAnsi="宋体" w:eastAsia="宋体" w:cs="宋体"/>
          <w:b/>
          <w:bCs/>
          <w:color w:val="000000" w:themeColor="text1"/>
          <w:szCs w:val="21"/>
          <w14:textFill>
            <w14:solidFill>
              <w14:schemeClr w14:val="tx1"/>
            </w14:solidFill>
          </w14:textFill>
        </w:rPr>
      </w:pPr>
      <w:r>
        <w:rPr>
          <w:rFonts w:hint="eastAsia" w:ascii="宋体" w:hAnsi="宋体" w:eastAsia="宋体" w:cs="Times New Roman"/>
          <w:b/>
          <w:szCs w:val="21"/>
        </w:rPr>
        <w:t>（三）售后服务要求：</w:t>
      </w:r>
      <w:r>
        <w:rPr>
          <w:rFonts w:hint="eastAsia" w:ascii="宋体" w:hAnsi="宋体" w:eastAsia="宋体" w:cs="Times New Roman"/>
          <w:szCs w:val="21"/>
        </w:rPr>
        <w:t>成交供应商在接到采购人报修通知后</w:t>
      </w:r>
      <w:r>
        <w:rPr>
          <w:rFonts w:hint="eastAsia" w:ascii="宋体" w:hAnsi="宋体" w:eastAsia="宋体" w:cs="Times New Roman"/>
          <w:b/>
          <w:bCs/>
          <w:szCs w:val="21"/>
        </w:rPr>
        <w:t>8小时内维修完成，</w:t>
      </w:r>
      <w:r>
        <w:rPr>
          <w:rFonts w:hint="eastAsia" w:ascii="宋体" w:hAnsi="宋体" w:eastAsia="宋体" w:cs="Times New Roman"/>
          <w:szCs w:val="21"/>
        </w:rPr>
        <w:t>上述时间内确有特殊原因不能按时维修完成的，需向采购人说明情况，经采购人同意后可适当延长维修时间，必要时无偿提供备品备件供采购人使用，质保期内免费维修复原、更换材料。</w:t>
      </w:r>
    </w:p>
    <w:p>
      <w:pPr>
        <w:tabs>
          <w:tab w:val="left" w:pos="0"/>
          <w:tab w:val="left" w:pos="1260"/>
          <w:tab w:val="left" w:pos="1365"/>
        </w:tabs>
        <w:wordWrap w:val="0"/>
        <w:spacing w:line="400" w:lineRule="exac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（四）</w:t>
      </w:r>
      <w:r>
        <w:rPr>
          <w:rFonts w:hint="eastAsia" w:ascii="宋体" w:hAnsi="宋体" w:eastAsia="宋体" w:cs="Times New Roman"/>
          <w:b/>
          <w:color w:val="000000" w:themeColor="text1"/>
          <w:szCs w:val="21"/>
          <w14:textFill>
            <w14:solidFill>
              <w14:schemeClr w14:val="tx1"/>
            </w14:solidFill>
          </w14:textFill>
        </w:rPr>
        <w:t>安全要求：</w:t>
      </w:r>
      <w:r>
        <w:rPr>
          <w:rFonts w:hint="eastAsia" w:ascii="宋体" w:hAnsi="宋体" w:eastAsia="宋体" w:cs="Times New Roman"/>
          <w:color w:val="000000" w:themeColor="text1"/>
          <w:szCs w:val="21"/>
          <w14:textFill>
            <w14:solidFill>
              <w14:schemeClr w14:val="tx1"/>
            </w14:solidFill>
          </w14:textFill>
        </w:rPr>
        <w:t>成交供应商按照相关规定落实安全防护措施，自行负责安全管理，对工作人员的安全负责。由于成交供应商原因在本项目实施过程中造成人员伤亡、财产损失以及成交供应商工作人员发生的各种事故（包括治安、交通、劳资纠纷等事件），所造成的一切后果及损失均由成交供应商承担全部责任并负责赔偿，与采购人无关，如采购人因此而遭受损失的，成交供应商应赔偿该损失。</w:t>
      </w:r>
    </w:p>
    <w:p>
      <w:pPr>
        <w:wordWrap w:val="0"/>
        <w:spacing w:line="400" w:lineRule="exact"/>
        <w:rPr>
          <w:rFonts w:ascii="宋体" w:hAnsi="宋体" w:eastAsia="宋体" w:cs="Times New Roman"/>
          <w:b/>
          <w:szCs w:val="21"/>
          <w:shd w:val="clear" w:color="auto" w:fill="BEBEBE" w:themeFill="background1" w:themeFillShade="BF"/>
        </w:rPr>
      </w:pPr>
      <w:r>
        <w:rPr>
          <w:rFonts w:hint="eastAsia" w:ascii="宋体" w:hAnsi="宋体" w:eastAsia="宋体" w:cs="Times New Roman"/>
          <w:b/>
          <w:szCs w:val="21"/>
        </w:rPr>
        <w:t>三、商务要求</w:t>
      </w:r>
      <w:r>
        <w:rPr>
          <w:rFonts w:hint="eastAsia" w:ascii="宋体" w:hAnsi="宋体" w:eastAsia="宋体" w:cs="Times New Roman"/>
          <w:b/>
          <w:szCs w:val="21"/>
          <w:shd w:val="clear" w:color="auto" w:fill="BEBEBE" w:themeFill="background1" w:themeFillShade="BF"/>
        </w:rPr>
        <w:t>（商务要求是实施本项目的最低标准，供应商如有负偏离或者不响应的，作无效标处理）</w:t>
      </w:r>
    </w:p>
    <w:p>
      <w:pPr>
        <w:wordWrap w:val="0"/>
        <w:spacing w:line="400" w:lineRule="exact"/>
        <w:outlineLvl w:val="0"/>
        <w:rPr>
          <w:rFonts w:ascii="宋体" w:hAnsi="宋体" w:eastAsia="宋体" w:cs="Arial"/>
          <w:bCs/>
          <w:color w:val="000000"/>
          <w:szCs w:val="21"/>
        </w:rPr>
      </w:pPr>
      <w:r>
        <w:rPr>
          <w:rFonts w:hint="eastAsia" w:ascii="宋体" w:hAnsi="宋体" w:eastAsia="宋体" w:cs="宋体"/>
          <w:b/>
          <w:bCs/>
          <w:color w:val="000000" w:themeColor="text1"/>
          <w:szCs w:val="21"/>
          <w14:textFill>
            <w14:solidFill>
              <w14:schemeClr w14:val="tx1"/>
            </w14:solidFill>
          </w14:textFill>
        </w:rPr>
        <w:t>（一）</w:t>
      </w:r>
      <w:r>
        <w:rPr>
          <w:rFonts w:hint="eastAsia" w:ascii="宋体" w:hAnsi="宋体" w:eastAsia="宋体" w:cs="Arial"/>
          <w:b/>
          <w:bCs/>
          <w:color w:val="000000"/>
          <w:szCs w:val="21"/>
        </w:rPr>
        <w:t>合同履行期限：</w:t>
      </w:r>
      <w:r>
        <w:rPr>
          <w:rFonts w:hint="eastAsia" w:ascii="宋体" w:hAnsi="宋体" w:eastAsia="宋体" w:cs="Arial"/>
          <w:bCs/>
          <w:color w:val="000000"/>
          <w:szCs w:val="21"/>
        </w:rPr>
        <w:t>2023年12月1日前完成安装调试并能正常投入使用。</w:t>
      </w:r>
    </w:p>
    <w:p>
      <w:pPr>
        <w:wordWrap w:val="0"/>
        <w:spacing w:line="400" w:lineRule="exact"/>
        <w:outlineLvl w:val="0"/>
        <w:rPr>
          <w:rFonts w:ascii="宋体" w:hAnsi="宋体" w:eastAsia="宋体" w:cs="Arial"/>
          <w:color w:val="000000"/>
          <w:szCs w:val="21"/>
        </w:rPr>
      </w:pPr>
      <w:r>
        <w:rPr>
          <w:rFonts w:hint="eastAsia" w:ascii="宋体" w:hAnsi="宋体" w:eastAsia="宋体" w:cs="宋体"/>
          <w:b/>
          <w:bCs/>
          <w:color w:val="000000" w:themeColor="text1"/>
          <w:szCs w:val="21"/>
          <w14:textFill>
            <w14:solidFill>
              <w14:schemeClr w14:val="tx1"/>
            </w14:solidFill>
          </w14:textFill>
        </w:rPr>
        <w:t>（二）</w:t>
      </w:r>
      <w:r>
        <w:rPr>
          <w:rFonts w:hint="eastAsia" w:ascii="宋体" w:hAnsi="宋体" w:eastAsia="宋体" w:cs="Arial"/>
          <w:b/>
          <w:color w:val="000000"/>
          <w:szCs w:val="21"/>
        </w:rPr>
        <w:t>报价要求：</w:t>
      </w:r>
      <w:r>
        <w:rPr>
          <w:rFonts w:hint="eastAsia" w:ascii="宋体" w:hAnsi="宋体" w:eastAsia="宋体" w:cs="Arial"/>
          <w:color w:val="000000"/>
          <w:szCs w:val="21"/>
        </w:rPr>
        <w:t>报价包括货物采购费、运输费、装卸费、安装调试费、场地清理费、验收费、培训费、售后服务费、必要的保险费、风险费、管理费、利润、税金、采购代理服务费等有关完成本项目的全部费用以及参加采购活动所发生的全部费用。</w:t>
      </w:r>
    </w:p>
    <w:p>
      <w:pPr>
        <w:wordWrap w:val="0"/>
        <w:spacing w:line="400" w:lineRule="exact"/>
        <w:outlineLvl w:val="0"/>
        <w:rPr>
          <w:rFonts w:ascii="宋体" w:hAnsi="宋体" w:eastAsia="宋体" w:cs="Arial"/>
          <w:b/>
          <w:bCs/>
          <w:color w:val="000000"/>
          <w:szCs w:val="21"/>
        </w:rPr>
      </w:pPr>
      <w:r>
        <w:rPr>
          <w:rFonts w:hint="eastAsia" w:ascii="宋体" w:hAnsi="宋体" w:eastAsia="宋体" w:cs="宋体"/>
          <w:b/>
          <w:bCs/>
          <w:color w:val="000000" w:themeColor="text1"/>
          <w:szCs w:val="21"/>
          <w14:textFill>
            <w14:solidFill>
              <w14:schemeClr w14:val="tx1"/>
            </w14:solidFill>
          </w14:textFill>
        </w:rPr>
        <w:t>（</w:t>
      </w:r>
      <w:r>
        <w:rPr>
          <w:rFonts w:hint="eastAsia" w:ascii="宋体" w:hAnsi="宋体" w:eastAsia="宋体" w:cs="Arial"/>
          <w:b/>
          <w:bCs/>
          <w:color w:val="000000"/>
          <w:szCs w:val="21"/>
        </w:rPr>
        <w:t>三</w:t>
      </w:r>
      <w:r>
        <w:rPr>
          <w:rFonts w:hint="eastAsia" w:ascii="宋体" w:hAnsi="宋体" w:eastAsia="宋体" w:cs="宋体"/>
          <w:b/>
          <w:bCs/>
          <w:color w:val="000000" w:themeColor="text1"/>
          <w:szCs w:val="21"/>
          <w14:textFill>
            <w14:solidFill>
              <w14:schemeClr w14:val="tx1"/>
            </w14:solidFill>
          </w14:textFill>
        </w:rPr>
        <w:t>）</w:t>
      </w:r>
      <w:r>
        <w:rPr>
          <w:rFonts w:hint="eastAsia" w:ascii="宋体" w:hAnsi="宋体" w:eastAsia="宋体" w:cs="Arial"/>
          <w:b/>
          <w:bCs/>
          <w:color w:val="000000"/>
          <w:szCs w:val="21"/>
        </w:rPr>
        <w:t>付款方式</w:t>
      </w:r>
    </w:p>
    <w:p>
      <w:pPr>
        <w:wordWrap w:val="0"/>
        <w:spacing w:line="400" w:lineRule="exact"/>
        <w:ind w:firstLine="420" w:firstLineChars="200"/>
        <w:outlineLvl w:val="0"/>
        <w:rPr>
          <w:rFonts w:ascii="宋体" w:hAnsi="宋体" w:eastAsia="宋体" w:cs="Times New Roman"/>
          <w:bCs/>
          <w:color w:val="000000" w:themeColor="text1"/>
          <w:szCs w:val="21"/>
          <w14:textFill>
            <w14:solidFill>
              <w14:schemeClr w14:val="tx1"/>
            </w14:solidFill>
          </w14:textFill>
        </w:rPr>
      </w:pPr>
      <w:r>
        <w:rPr>
          <w:rFonts w:ascii="宋体" w:hAnsi="宋体" w:eastAsia="宋体" w:cs="Times New Roman"/>
          <w:bCs/>
          <w:color w:val="000000" w:themeColor="text1"/>
          <w:szCs w:val="21"/>
          <w14:textFill>
            <w14:solidFill>
              <w14:schemeClr w14:val="tx1"/>
            </w14:solidFill>
          </w14:textFill>
        </w:rPr>
        <w:t>1.</w:t>
      </w:r>
      <w:r>
        <w:rPr>
          <w:rFonts w:hint="eastAsia" w:ascii="宋体" w:hAnsi="宋体" w:eastAsia="宋体" w:cs="Times New Roman"/>
          <w:bCs/>
          <w:color w:val="000000" w:themeColor="text1"/>
          <w:szCs w:val="21"/>
          <w14:textFill>
            <w14:solidFill>
              <w14:schemeClr w14:val="tx1"/>
            </w14:solidFill>
          </w14:textFill>
        </w:rPr>
        <w:t>款项分两次支付。</w:t>
      </w:r>
    </w:p>
    <w:p>
      <w:pPr>
        <w:wordWrap w:val="0"/>
        <w:spacing w:line="400" w:lineRule="exact"/>
        <w:ind w:firstLine="420" w:firstLineChars="200"/>
        <w:outlineLvl w:val="0"/>
        <w:rPr>
          <w:rFonts w:ascii="宋体" w:hAnsi="宋体" w:eastAsia="宋体" w:cs="Times New Roman"/>
          <w:bCs/>
          <w:color w:val="000000" w:themeColor="text1"/>
          <w:szCs w:val="21"/>
          <w14:textFill>
            <w14:solidFill>
              <w14:schemeClr w14:val="tx1"/>
            </w14:solidFill>
          </w14:textFill>
        </w:rPr>
      </w:pPr>
      <w:r>
        <w:rPr>
          <w:rFonts w:hint="eastAsia" w:ascii="宋体" w:hAnsi="宋体" w:eastAsia="宋体" w:cs="Times New Roman"/>
          <w:bCs/>
          <w:color w:val="000000" w:themeColor="text1"/>
          <w:szCs w:val="21"/>
          <w14:textFill>
            <w14:solidFill>
              <w14:schemeClr w14:val="tx1"/>
            </w14:solidFill>
          </w14:textFill>
        </w:rPr>
        <w:t>（1）第一次在合同签订后支付合同金额</w:t>
      </w:r>
      <w:r>
        <w:rPr>
          <w:rFonts w:ascii="宋体" w:hAnsi="宋体" w:eastAsia="宋体" w:cs="Times New Roman"/>
          <w:bCs/>
          <w:color w:val="000000" w:themeColor="text1"/>
          <w:szCs w:val="21"/>
          <w14:textFill>
            <w14:solidFill>
              <w14:schemeClr w14:val="tx1"/>
            </w14:solidFill>
          </w14:textFill>
        </w:rPr>
        <w:t>5</w:t>
      </w:r>
      <w:r>
        <w:rPr>
          <w:rFonts w:hint="eastAsia" w:ascii="宋体" w:hAnsi="宋体" w:eastAsia="宋体" w:cs="Times New Roman"/>
          <w:bCs/>
          <w:color w:val="000000" w:themeColor="text1"/>
          <w:szCs w:val="21"/>
          <w14:textFill>
            <w14:solidFill>
              <w14:schemeClr w14:val="tx1"/>
            </w14:solidFill>
          </w14:textFill>
        </w:rPr>
        <w:t>0%的预付款</w:t>
      </w:r>
      <w:r>
        <w:rPr>
          <w:rFonts w:hint="eastAsia" w:ascii="宋体" w:hAnsi="宋体" w:eastAsia="宋体" w:cs="Times New Roman"/>
          <w:b/>
          <w:color w:val="000000" w:themeColor="text1"/>
          <w:szCs w:val="21"/>
          <w14:textFill>
            <w14:solidFill>
              <w14:schemeClr w14:val="tx1"/>
            </w14:solidFill>
          </w14:textFill>
        </w:rPr>
        <w:t>（预付款支付前，成交供应商需提供预付款担保，不提供预付款担保的不支付预付款），</w:t>
      </w:r>
      <w:r>
        <w:rPr>
          <w:rFonts w:hint="eastAsia" w:ascii="宋体" w:hAnsi="宋体" w:eastAsia="宋体" w:cs="Times New Roman"/>
          <w:bCs/>
          <w:color w:val="000000" w:themeColor="text1"/>
          <w:szCs w:val="21"/>
          <w14:textFill>
            <w14:solidFill>
              <w14:schemeClr w14:val="tx1"/>
            </w14:solidFill>
          </w14:textFill>
        </w:rPr>
        <w:t>成交供应商无需预付款的可在所有货物安装调试完成后领取合同金额</w:t>
      </w:r>
      <w:r>
        <w:rPr>
          <w:rFonts w:ascii="宋体" w:hAnsi="宋体" w:eastAsia="宋体" w:cs="Times New Roman"/>
          <w:bCs/>
          <w:color w:val="000000" w:themeColor="text1"/>
          <w:szCs w:val="21"/>
          <w14:textFill>
            <w14:solidFill>
              <w14:schemeClr w14:val="tx1"/>
            </w14:solidFill>
          </w14:textFill>
        </w:rPr>
        <w:t>5</w:t>
      </w:r>
      <w:r>
        <w:rPr>
          <w:rFonts w:hint="eastAsia" w:ascii="宋体" w:hAnsi="宋体" w:eastAsia="宋体" w:cs="Times New Roman"/>
          <w:bCs/>
          <w:color w:val="000000" w:themeColor="text1"/>
          <w:szCs w:val="21"/>
          <w14:textFill>
            <w14:solidFill>
              <w14:schemeClr w14:val="tx1"/>
            </w14:solidFill>
          </w14:textFill>
        </w:rPr>
        <w:t>0%的款项。</w:t>
      </w:r>
    </w:p>
    <w:p>
      <w:pPr>
        <w:wordWrap w:val="0"/>
        <w:spacing w:line="400" w:lineRule="exact"/>
        <w:ind w:firstLine="420" w:firstLineChars="200"/>
        <w:outlineLvl w:val="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Cs/>
          <w:color w:val="000000" w:themeColor="text1"/>
          <w:szCs w:val="21"/>
          <w14:textFill>
            <w14:solidFill>
              <w14:schemeClr w14:val="tx1"/>
            </w14:solidFill>
          </w14:textFill>
        </w:rPr>
        <w:t>（2）</w:t>
      </w:r>
      <w:r>
        <w:rPr>
          <w:rFonts w:hint="eastAsia" w:ascii="宋体" w:hAnsi="宋体" w:eastAsia="宋体" w:cs="Times New Roman"/>
          <w:szCs w:val="21"/>
        </w:rPr>
        <w:t>第二次在采购人指定地点安装调试完成最终验收合格后支付至结算金额的100%。</w:t>
      </w:r>
    </w:p>
    <w:p>
      <w:pPr>
        <w:wordWrap w:val="0"/>
        <w:spacing w:line="400" w:lineRule="exact"/>
        <w:ind w:firstLine="420" w:firstLineChars="200"/>
        <w:rPr>
          <w:rFonts w:ascii="宋体" w:hAnsi="宋体" w:eastAsia="宋体" w:cs="Times New Roman"/>
          <w:bCs/>
          <w:color w:val="000000" w:themeColor="text1"/>
          <w:szCs w:val="21"/>
          <w14:textFill>
            <w14:solidFill>
              <w14:schemeClr w14:val="tx1"/>
            </w14:solidFill>
          </w14:textFill>
        </w:rPr>
      </w:pPr>
      <w:r>
        <w:rPr>
          <w:rFonts w:ascii="宋体" w:hAnsi="宋体" w:eastAsia="宋体" w:cs="Times New Roman"/>
          <w:szCs w:val="21"/>
        </w:rPr>
        <w:t>2</w:t>
      </w:r>
      <w:r>
        <w:rPr>
          <w:rFonts w:hint="eastAsia" w:ascii="宋体" w:hAnsi="宋体" w:eastAsia="宋体" w:cs="Times New Roman"/>
          <w:szCs w:val="21"/>
        </w:rPr>
        <w:t>.签订合同时，</w:t>
      </w:r>
      <w:r>
        <w:rPr>
          <w:rFonts w:hint="eastAsia" w:ascii="宋体" w:hAnsi="宋体" w:eastAsia="宋体" w:cs="Times New Roman"/>
          <w:bCs/>
          <w:color w:val="000000" w:themeColor="text1"/>
          <w:szCs w:val="21"/>
          <w14:textFill>
            <w14:solidFill>
              <w14:schemeClr w14:val="tx1"/>
            </w14:solidFill>
          </w14:textFill>
        </w:rPr>
        <w:t>成交供应商</w:t>
      </w:r>
      <w:r>
        <w:rPr>
          <w:rFonts w:hint="eastAsia" w:ascii="宋体" w:hAnsi="宋体" w:eastAsia="宋体" w:cs="Times New Roman"/>
          <w:szCs w:val="21"/>
        </w:rPr>
        <w:t>明确表示无需预付款或者主动要求降低预付款比例的，采购人可对预付款的比例进行调整。</w:t>
      </w:r>
    </w:p>
    <w:p>
      <w:pPr>
        <w:wordWrap w:val="0"/>
        <w:spacing w:line="400" w:lineRule="exact"/>
        <w:ind w:firstLine="420" w:firstLineChars="200"/>
        <w:outlineLvl w:val="0"/>
        <w:rPr>
          <w:rFonts w:ascii="宋体" w:hAnsi="宋体" w:eastAsia="宋体" w:cs="Arial"/>
          <w:color w:val="000000"/>
          <w:szCs w:val="21"/>
        </w:rPr>
      </w:pPr>
      <w:r>
        <w:rPr>
          <w:rFonts w:hint="eastAsia" w:ascii="宋体" w:hAnsi="宋体" w:eastAsia="宋体" w:cs="Arial"/>
          <w:color w:val="000000"/>
          <w:szCs w:val="21"/>
        </w:rPr>
        <w:t>3.款项支付前</w:t>
      </w:r>
      <w:r>
        <w:rPr>
          <w:rFonts w:hint="eastAsia" w:ascii="宋体" w:hAnsi="宋体" w:eastAsia="宋体" w:cs="Times New Roman"/>
          <w:bCs/>
          <w:color w:val="000000" w:themeColor="text1"/>
          <w:szCs w:val="21"/>
          <w14:textFill>
            <w14:solidFill>
              <w14:schemeClr w14:val="tx1"/>
            </w14:solidFill>
          </w14:textFill>
        </w:rPr>
        <w:t>成交供应商</w:t>
      </w:r>
      <w:r>
        <w:rPr>
          <w:rFonts w:hint="eastAsia" w:ascii="宋体" w:hAnsi="宋体" w:eastAsia="宋体" w:cs="Arial"/>
          <w:color w:val="000000"/>
          <w:szCs w:val="21"/>
        </w:rPr>
        <w:t>需先向采购人开具相应金额、符合国家规定及采购人规定的发票，预付款在合同生效以及具备实施条件后7个工作日内支付，其他款项满足合同约定支付条件的，采购人自收到</w:t>
      </w:r>
      <w:r>
        <w:rPr>
          <w:rFonts w:hint="eastAsia" w:ascii="宋体" w:hAnsi="宋体" w:eastAsia="宋体" w:cs="Times New Roman"/>
          <w:bCs/>
          <w:color w:val="000000" w:themeColor="text1"/>
          <w:szCs w:val="21"/>
          <w14:textFill>
            <w14:solidFill>
              <w14:schemeClr w14:val="tx1"/>
            </w14:solidFill>
          </w14:textFill>
        </w:rPr>
        <w:t>成交供应商</w:t>
      </w:r>
      <w:r>
        <w:rPr>
          <w:rFonts w:hint="eastAsia" w:ascii="宋体" w:hAnsi="宋体" w:eastAsia="宋体" w:cs="Arial"/>
          <w:color w:val="000000"/>
          <w:szCs w:val="21"/>
        </w:rPr>
        <w:t>发票后7个工作日内支付。</w:t>
      </w:r>
    </w:p>
    <w:p>
      <w:pPr>
        <w:wordWrap w:val="0"/>
        <w:spacing w:line="400" w:lineRule="exact"/>
        <w:outlineLvl w:val="0"/>
        <w:rPr>
          <w:rFonts w:ascii="宋体" w:hAnsi="宋体" w:eastAsia="宋体" w:cs="Arial"/>
          <w:b/>
          <w:bCs/>
          <w:color w:val="000000"/>
          <w:szCs w:val="21"/>
        </w:rPr>
      </w:pPr>
      <w:r>
        <w:rPr>
          <w:rFonts w:hint="eastAsia" w:ascii="宋体" w:hAnsi="宋体" w:eastAsia="宋体" w:cs="Arial"/>
          <w:b/>
          <w:bCs/>
          <w:color w:val="000000"/>
          <w:szCs w:val="21"/>
        </w:rPr>
        <w:t>（</w:t>
      </w:r>
      <w:r>
        <w:rPr>
          <w:rFonts w:hint="eastAsia" w:ascii="宋体" w:hAnsi="宋体" w:eastAsia="宋体" w:cs="宋体"/>
          <w:b/>
          <w:bCs/>
          <w:color w:val="000000" w:themeColor="text1"/>
          <w:szCs w:val="21"/>
          <w14:textFill>
            <w14:solidFill>
              <w14:schemeClr w14:val="tx1"/>
            </w14:solidFill>
          </w14:textFill>
        </w:rPr>
        <w:t>四</w:t>
      </w:r>
      <w:r>
        <w:rPr>
          <w:rFonts w:hint="eastAsia" w:ascii="宋体" w:hAnsi="宋体" w:eastAsia="宋体" w:cs="Arial"/>
          <w:b/>
          <w:bCs/>
          <w:color w:val="000000"/>
          <w:szCs w:val="21"/>
        </w:rPr>
        <w:t>）结算方式</w:t>
      </w:r>
      <w:r>
        <w:rPr>
          <w:rFonts w:hint="eastAsia" w:ascii="宋体" w:hAnsi="宋体" w:eastAsia="宋体" w:cs="Arial"/>
          <w:b/>
          <w:color w:val="000000"/>
          <w:szCs w:val="21"/>
        </w:rPr>
        <w:t>：</w:t>
      </w:r>
      <w:r>
        <w:rPr>
          <w:rFonts w:hint="eastAsia" w:ascii="宋体" w:hAnsi="宋体" w:eastAsia="宋体" w:cs="Arial"/>
          <w:bCs/>
          <w:color w:val="000000"/>
          <w:szCs w:val="21"/>
        </w:rPr>
        <w:t>以“项”为单位的总价包干；其余单位综合单价包干，数量按实结算。</w:t>
      </w:r>
    </w:p>
    <w:p>
      <w:pPr>
        <w:wordWrap w:val="0"/>
        <w:spacing w:line="400" w:lineRule="exact"/>
        <w:outlineLvl w:val="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（五）预付款保函要求</w:t>
      </w:r>
    </w:p>
    <w:p>
      <w:pPr>
        <w:wordWrap w:val="0"/>
        <w:spacing w:line="400" w:lineRule="exact"/>
        <w:ind w:firstLine="420" w:firstLineChars="200"/>
        <w:outlineLvl w:val="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1.预付款保函的金额：与预付款金额一致。</w:t>
      </w:r>
    </w:p>
    <w:p>
      <w:pPr>
        <w:wordWrap w:val="0"/>
        <w:spacing w:line="400" w:lineRule="exact"/>
        <w:ind w:firstLine="420" w:firstLineChars="200"/>
        <w:outlineLvl w:val="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2.预付款保函的形式：金融机构、保险机构、国家认可的担保机构出具的保函。</w:t>
      </w:r>
    </w:p>
    <w:p>
      <w:pPr>
        <w:wordWrap w:val="0"/>
        <w:spacing w:line="400" w:lineRule="exact"/>
        <w:ind w:firstLine="420" w:firstLineChars="200"/>
        <w:outlineLvl w:val="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3.预付款保函的提交时间：与预付款发票一并提交。</w:t>
      </w:r>
    </w:p>
    <w:p>
      <w:pPr>
        <w:wordWrap w:val="0"/>
        <w:spacing w:line="400" w:lineRule="exact"/>
        <w:ind w:firstLine="420" w:firstLineChars="200"/>
        <w:outlineLvl w:val="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4.预付款保函的期限：保函办理时间起至2023年12月1日。</w:t>
      </w:r>
    </w:p>
    <w:p>
      <w:pPr>
        <w:wordWrap w:val="0"/>
        <w:spacing w:line="400" w:lineRule="exact"/>
        <w:outlineLvl w:val="0"/>
        <w:rPr>
          <w:rFonts w:ascii="宋体" w:hAnsi="宋体" w:eastAsia="宋体" w:cs="Arial"/>
          <w:bCs/>
          <w:color w:val="000000"/>
          <w:szCs w:val="21"/>
        </w:rPr>
      </w:pPr>
      <w:r>
        <w:rPr>
          <w:rFonts w:hint="eastAsia" w:ascii="宋体" w:hAnsi="宋体" w:eastAsia="宋体" w:cs="宋体"/>
          <w:b/>
          <w:bCs/>
          <w:color w:val="000000" w:themeColor="text1"/>
          <w:szCs w:val="21"/>
          <w14:textFill>
            <w14:solidFill>
              <w14:schemeClr w14:val="tx1"/>
            </w14:solidFill>
          </w14:textFill>
        </w:rPr>
        <w:t>（六）</w:t>
      </w:r>
      <w:r>
        <w:rPr>
          <w:rFonts w:hint="eastAsia" w:ascii="宋体" w:hAnsi="宋体" w:eastAsia="宋体" w:cs="Arial"/>
          <w:b/>
          <w:bCs/>
          <w:color w:val="000000"/>
          <w:szCs w:val="21"/>
        </w:rPr>
        <w:t>履约保证金：</w:t>
      </w:r>
      <w:r>
        <w:rPr>
          <w:rFonts w:hint="eastAsia" w:ascii="宋体" w:hAnsi="宋体" w:eastAsia="宋体" w:cs="Arial"/>
          <w:bCs/>
          <w:color w:val="000000"/>
          <w:szCs w:val="21"/>
        </w:rPr>
        <w:t>本项目履约保证金不作要求。</w:t>
      </w:r>
    </w:p>
    <w:p>
      <w:pPr>
        <w:wordWrap w:val="0"/>
        <w:spacing w:line="400" w:lineRule="exact"/>
        <w:rPr>
          <w:rFonts w:ascii="宋体" w:hAnsi="宋体" w:eastAsia="宋体" w:cs="Times New Roman"/>
          <w:b/>
          <w:szCs w:val="21"/>
        </w:rPr>
      </w:pPr>
      <w:r>
        <w:rPr>
          <w:rFonts w:hint="eastAsia" w:ascii="宋体" w:hAnsi="宋体" w:eastAsia="宋体" w:cs="Times New Roman"/>
          <w:b/>
          <w:szCs w:val="21"/>
        </w:rPr>
        <w:t>（</w:t>
      </w:r>
      <w:r>
        <w:rPr>
          <w:rFonts w:hint="eastAsia" w:ascii="宋体" w:hAnsi="宋体" w:eastAsia="宋体" w:cs="Times New Roman"/>
          <w:b/>
          <w:color w:val="000000" w:themeColor="text1"/>
          <w:szCs w:val="21"/>
          <w14:textFill>
            <w14:solidFill>
              <w14:schemeClr w14:val="tx1"/>
            </w14:solidFill>
          </w14:textFill>
        </w:rPr>
        <w:t>七</w:t>
      </w:r>
      <w:r>
        <w:rPr>
          <w:rFonts w:hint="eastAsia" w:ascii="宋体" w:hAnsi="宋体" w:eastAsia="宋体" w:cs="Times New Roman"/>
          <w:b/>
          <w:szCs w:val="21"/>
        </w:rPr>
        <w:t>）质保期：</w:t>
      </w:r>
    </w:p>
    <w:p>
      <w:pPr>
        <w:wordWrap w:val="0"/>
        <w:spacing w:line="400" w:lineRule="exact"/>
        <w:ind w:firstLine="422" w:firstLineChars="200"/>
        <w:rPr>
          <w:rFonts w:ascii="宋体" w:hAnsi="宋体" w:eastAsia="宋体" w:cs="Times New Roman"/>
          <w:szCs w:val="21"/>
        </w:rPr>
      </w:pPr>
      <w:r>
        <w:rPr>
          <w:rFonts w:ascii="宋体" w:hAnsi="宋体" w:eastAsia="宋体" w:cs="Times New Roman"/>
          <w:b/>
          <w:szCs w:val="21"/>
        </w:rPr>
        <w:t>1.</w:t>
      </w:r>
      <w:r>
        <w:rPr>
          <w:rFonts w:hint="eastAsia" w:ascii="宋体" w:hAnsi="宋体" w:eastAsia="宋体" w:cs="Times New Roman"/>
          <w:b/>
          <w:szCs w:val="21"/>
        </w:rPr>
        <w:t>所有货物质保期</w:t>
      </w:r>
      <w:r>
        <w:rPr>
          <w:rFonts w:ascii="宋体" w:hAnsi="宋体" w:eastAsia="宋体" w:cs="Times New Roman"/>
          <w:b/>
          <w:szCs w:val="21"/>
        </w:rPr>
        <w:t>3</w:t>
      </w:r>
      <w:r>
        <w:rPr>
          <w:rFonts w:hint="eastAsia" w:ascii="宋体" w:hAnsi="宋体" w:eastAsia="宋体" w:cs="Times New Roman"/>
          <w:b/>
          <w:szCs w:val="21"/>
        </w:rPr>
        <w:t>年（自最终验收合格之日起计），</w:t>
      </w:r>
      <w:r>
        <w:rPr>
          <w:rFonts w:hint="eastAsia" w:ascii="宋体" w:hAnsi="宋体" w:eastAsia="宋体" w:cs="Times New Roman"/>
          <w:szCs w:val="21"/>
        </w:rPr>
        <w:t>因人为因素出现的问题不在质保范围内。</w:t>
      </w:r>
    </w:p>
    <w:p>
      <w:pPr>
        <w:wordWrap w:val="0"/>
        <w:spacing w:line="400" w:lineRule="exact"/>
        <w:ind w:firstLine="422" w:firstLineChars="200"/>
        <w:rPr>
          <w:rFonts w:hint="eastAsia" w:ascii="宋体" w:hAnsi="宋体" w:eastAsia="宋体" w:cs="Times New Roman"/>
          <w:b/>
          <w:bCs/>
          <w:szCs w:val="21"/>
        </w:rPr>
      </w:pPr>
      <w:r>
        <w:rPr>
          <w:rFonts w:hint="eastAsia" w:ascii="宋体" w:hAnsi="宋体" w:eastAsia="宋体" w:cs="Times New Roman"/>
          <w:b/>
          <w:bCs/>
          <w:szCs w:val="21"/>
        </w:rPr>
        <w:t>2</w:t>
      </w:r>
      <w:r>
        <w:rPr>
          <w:rFonts w:ascii="宋体" w:hAnsi="宋体" w:eastAsia="宋体" w:cs="Times New Roman"/>
          <w:b/>
          <w:bCs/>
          <w:szCs w:val="21"/>
        </w:rPr>
        <w:t>.</w:t>
      </w:r>
      <w:r>
        <w:rPr>
          <w:rFonts w:hint="eastAsia" w:ascii="宋体" w:hAnsi="宋体" w:eastAsia="宋体"/>
          <w:b/>
          <w:bCs/>
        </w:rPr>
        <w:t>“</w:t>
      </w:r>
      <w:r>
        <w:rPr>
          <w:rFonts w:hint="eastAsia" w:ascii="宋体" w:hAnsi="宋体" w:eastAsia="宋体" w:cs="Times New Roman"/>
          <w:b/>
          <w:bCs/>
          <w:szCs w:val="21"/>
        </w:rPr>
        <w:t>室外AP、高密AP</w:t>
      </w:r>
      <w:r>
        <w:rPr>
          <w:rFonts w:hint="eastAsia" w:ascii="宋体" w:hAnsi="宋体" w:eastAsia="宋体"/>
          <w:b/>
          <w:bCs/>
        </w:rPr>
        <w:t>”以上货物需要进行原厂质保，中标人最迟应在合同签订后的5日历天内提供加盖货物制造商公章的原厂售后服务承诺函。</w:t>
      </w:r>
    </w:p>
    <w:p>
      <w:pPr>
        <w:wordWrap w:val="0"/>
        <w:spacing w:line="400" w:lineRule="exact"/>
        <w:outlineLvl w:val="0"/>
        <w:rPr>
          <w:rFonts w:ascii="宋体" w:hAnsi="宋体" w:eastAsia="宋体"/>
          <w:szCs w:val="21"/>
        </w:rPr>
      </w:pPr>
      <w:r>
        <w:rPr>
          <w:rFonts w:hint="eastAsia" w:ascii="宋体" w:hAnsi="宋体" w:eastAsia="宋体" w:cs="Times New Roman"/>
          <w:b/>
          <w:color w:val="000000" w:themeColor="text1"/>
          <w:szCs w:val="21"/>
          <w14:textFill>
            <w14:solidFill>
              <w14:schemeClr w14:val="tx1"/>
            </w14:solidFill>
          </w14:textFill>
        </w:rPr>
        <w:t>（八）验收标准：</w:t>
      </w:r>
      <w:r>
        <w:rPr>
          <w:rFonts w:hint="eastAsia" w:ascii="宋体" w:hAnsi="宋体" w:eastAsia="宋体" w:cs="Times New Roman"/>
          <w:color w:val="000000" w:themeColor="text1"/>
          <w:szCs w:val="21"/>
          <w14:textFill>
            <w14:solidFill>
              <w14:schemeClr w14:val="tx1"/>
            </w14:solidFill>
          </w14:textFill>
        </w:rPr>
        <w:t>根据采购文件技术参数要求，结合成交供应商响应文件响应情况对货物进行验收，</w:t>
      </w:r>
      <w:r>
        <w:rPr>
          <w:rFonts w:hint="eastAsia" w:ascii="宋体" w:hAnsi="宋体" w:eastAsia="宋体"/>
          <w:szCs w:val="21"/>
        </w:rPr>
        <w:t>验收时</w:t>
      </w:r>
      <w:r>
        <w:rPr>
          <w:rFonts w:hint="eastAsia" w:ascii="宋体" w:hAnsi="宋体" w:eastAsia="宋体" w:cs="Times New Roman"/>
          <w:szCs w:val="21"/>
        </w:rPr>
        <w:t>符合</w:t>
      </w:r>
      <w:r>
        <w:rPr>
          <w:rFonts w:hint="eastAsia" w:ascii="宋体" w:hAnsi="宋体" w:eastAsia="宋体"/>
          <w:szCs w:val="21"/>
        </w:rPr>
        <w:t>国家现行有关标准、规范、规定等要求。</w:t>
      </w:r>
    </w:p>
    <w:p>
      <w:pPr>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九）证书、证明材料等原件：为确保货物使用性能及可靠性，采购人在合同履行前后有权要求成交供应商提供响应文件里提供的证书、证明材料等的原件，成交供应商必须按照采购人的要求提供，无论何时如发现有提供虚假材料谋取中标行为的报政府采购监督管理部门处理。</w:t>
      </w:r>
    </w:p>
    <w:p>
      <w:pPr>
        <w:spacing w:line="400" w:lineRule="exact"/>
        <w:jc w:val="center"/>
        <w:rPr>
          <w:rFonts w:ascii="宋体" w:hAnsi="宋体" w:eastAsia="宋体" w:cs="Times New Roman"/>
          <w:color w:val="000000" w:themeColor="text1"/>
          <w:szCs w:val="21"/>
          <w14:textFill>
            <w14:solidFill>
              <w14:schemeClr w14:val="tx1"/>
            </w14:solidFill>
          </w14:textFill>
        </w:rPr>
        <w:sectPr>
          <w:pgSz w:w="11906" w:h="16838"/>
          <w:pgMar w:top="1418" w:right="1418" w:bottom="1418" w:left="1418" w:header="851" w:footer="992" w:gutter="0"/>
          <w:cols w:space="425" w:num="1"/>
          <w:docGrid w:type="lines" w:linePitch="312" w:charSpace="0"/>
        </w:sectPr>
      </w:pPr>
    </w:p>
    <w:p>
      <w:pPr>
        <w:spacing w:line="360" w:lineRule="auto"/>
        <w:jc w:val="center"/>
        <w:rPr>
          <w:rFonts w:ascii="宋体" w:hAnsi="宋体" w:eastAsia="宋体" w:cs="Times New Roman"/>
          <w:b/>
          <w:color w:val="000000"/>
          <w:sz w:val="24"/>
          <w:szCs w:val="24"/>
        </w:rPr>
      </w:pPr>
      <w:r>
        <w:rPr>
          <w:rFonts w:hint="eastAsia" w:ascii="宋体" w:hAnsi="宋体" w:eastAsia="宋体"/>
          <w:b/>
          <w:sz w:val="24"/>
          <w:szCs w:val="24"/>
        </w:rPr>
        <w:t xml:space="preserve">第三章  </w:t>
      </w:r>
      <w:r>
        <w:rPr>
          <w:rFonts w:hint="eastAsia" w:ascii="宋体" w:hAnsi="宋体" w:eastAsia="宋体" w:cs="Times New Roman"/>
          <w:b/>
          <w:color w:val="000000"/>
          <w:sz w:val="24"/>
          <w:szCs w:val="24"/>
        </w:rPr>
        <w:t>供应商须知</w:t>
      </w:r>
    </w:p>
    <w:p>
      <w:pPr>
        <w:spacing w:line="400" w:lineRule="exact"/>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前附表</w:t>
      </w:r>
    </w:p>
    <w:tbl>
      <w:tblPr>
        <w:tblStyle w:val="12"/>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53"/>
        <w:gridCol w:w="8220"/>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序号</w:t>
            </w:r>
          </w:p>
        </w:tc>
        <w:tc>
          <w:tcPr>
            <w:tcW w:w="8220" w:type="dxa"/>
            <w:vAlign w:val="center"/>
          </w:tcPr>
          <w:p>
            <w:pPr>
              <w:wordWrap w:val="0"/>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内容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Merge w:val="restart"/>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1</w:t>
            </w:r>
          </w:p>
        </w:tc>
        <w:tc>
          <w:tcPr>
            <w:tcW w:w="8220" w:type="dxa"/>
            <w:vAlign w:val="center"/>
          </w:tcPr>
          <w:p>
            <w:pPr>
              <w:wordWrap w:val="0"/>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采购人：</w:t>
            </w:r>
            <w:r>
              <w:rPr>
                <w:rFonts w:hint="eastAsia" w:ascii="宋体" w:hAnsi="宋体" w:eastAsia="宋体" w:cs="Times New Roman"/>
                <w:color w:val="000000" w:themeColor="text1"/>
                <w:kern w:val="0"/>
                <w:szCs w:val="21"/>
                <w14:textFill>
                  <w14:solidFill>
                    <w14:schemeClr w14:val="tx1"/>
                  </w14:solidFill>
                </w14:textFill>
              </w:rPr>
              <w:t>余姚市人民政府凤山街道办事处</w:t>
            </w:r>
          </w:p>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联系人：</w:t>
            </w:r>
            <w:r>
              <w:rPr>
                <w:rFonts w:hint="eastAsia" w:ascii="宋体" w:hAnsi="宋体" w:eastAsia="宋体" w:cs="Times New Roman"/>
                <w:bCs/>
                <w:color w:val="000000" w:themeColor="text1"/>
                <w:kern w:val="0"/>
                <w:szCs w:val="21"/>
                <w14:textFill>
                  <w14:solidFill>
                    <w14:schemeClr w14:val="tx1"/>
                  </w14:solidFill>
                </w14:textFill>
              </w:rPr>
              <w:t>施镭军</w:t>
            </w:r>
          </w:p>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联系电话：</w:t>
            </w:r>
            <w:r>
              <w:rPr>
                <w:rFonts w:hint="eastAsia" w:ascii="宋体" w:hAnsi="宋体" w:eastAsia="宋体" w:cs="Times New Roman"/>
                <w:color w:val="000000" w:themeColor="text1"/>
                <w:kern w:val="0"/>
                <w:szCs w:val="21"/>
                <w14:textFill>
                  <w14:solidFill>
                    <w14:schemeClr w14:val="tx1"/>
                  </w14:solidFill>
                </w14:textFill>
              </w:rPr>
              <w:t>0574-58221775</w:t>
            </w:r>
          </w:p>
          <w:p>
            <w:pPr>
              <w:wordWrap w:val="0"/>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联系地址：</w:t>
            </w:r>
            <w:r>
              <w:rPr>
                <w:rFonts w:hint="eastAsia" w:ascii="宋体" w:hAnsi="宋体" w:eastAsia="宋体" w:cs="Times New Roman"/>
                <w:color w:val="000000" w:themeColor="text1"/>
                <w:kern w:val="0"/>
                <w:szCs w:val="21"/>
                <w14:textFill>
                  <w14:solidFill>
                    <w14:schemeClr w14:val="tx1"/>
                  </w14:solidFill>
                </w14:textFill>
              </w:rPr>
              <w:t>余姚市金型路999号</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Merge w:val="continue"/>
            <w:vAlign w:val="center"/>
          </w:tcPr>
          <w:p>
            <w:pPr>
              <w:jc w:val="center"/>
              <w:rPr>
                <w:rFonts w:ascii="宋体" w:hAnsi="宋体" w:eastAsia="宋体" w:cs="Times New Roman"/>
                <w:color w:val="000000" w:themeColor="text1"/>
                <w:kern w:val="0"/>
                <w:szCs w:val="21"/>
                <w14:textFill>
                  <w14:solidFill>
                    <w14:schemeClr w14:val="tx1"/>
                  </w14:solidFill>
                </w14:textFill>
              </w:rPr>
            </w:pPr>
          </w:p>
        </w:tc>
        <w:tc>
          <w:tcPr>
            <w:tcW w:w="8220" w:type="dxa"/>
            <w:vAlign w:val="center"/>
          </w:tcPr>
          <w:p>
            <w:pPr>
              <w:wordWrap w:val="0"/>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采购代理机构：</w:t>
            </w:r>
            <w:r>
              <w:rPr>
                <w:rFonts w:hint="eastAsia" w:ascii="宋体" w:hAnsi="宋体" w:eastAsia="宋体" w:cs="Times New Roman"/>
                <w:color w:val="000000" w:themeColor="text1"/>
                <w:kern w:val="0"/>
                <w:szCs w:val="21"/>
                <w14:textFill>
                  <w14:solidFill>
                    <w14:schemeClr w14:val="tx1"/>
                  </w14:solidFill>
                </w14:textFill>
              </w:rPr>
              <w:t>宁波舜兴招标代理有限公司</w:t>
            </w:r>
          </w:p>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联系人：</w:t>
            </w:r>
            <w:r>
              <w:rPr>
                <w:rFonts w:hint="eastAsia" w:ascii="宋体" w:hAnsi="宋体" w:eastAsia="宋体" w:cs="Times New Roman"/>
                <w:color w:val="000000" w:themeColor="text1"/>
                <w:kern w:val="0"/>
                <w:szCs w:val="21"/>
                <w14:textFill>
                  <w14:solidFill>
                    <w14:schemeClr w14:val="tx1"/>
                  </w14:solidFill>
                </w14:textFill>
              </w:rPr>
              <w:t>陈晓青、虞圣韡</w:t>
            </w:r>
          </w:p>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联系电话：</w:t>
            </w:r>
            <w:r>
              <w:rPr>
                <w:rFonts w:hint="eastAsia" w:ascii="宋体" w:hAnsi="宋体" w:eastAsia="宋体" w:cs="Times New Roman"/>
                <w:color w:val="000000" w:themeColor="text1"/>
                <w:kern w:val="0"/>
                <w:szCs w:val="21"/>
                <w14:textFill>
                  <w14:solidFill>
                    <w14:schemeClr w14:val="tx1"/>
                  </w14:solidFill>
                </w14:textFill>
              </w:rPr>
              <w:t>15867417595、13456970166</w:t>
            </w:r>
          </w:p>
          <w:p>
            <w:pPr>
              <w:wordWrap w:val="0"/>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联系地址：</w:t>
            </w:r>
            <w:r>
              <w:rPr>
                <w:rFonts w:hint="eastAsia" w:ascii="宋体" w:hAnsi="宋体" w:eastAsia="宋体" w:cs="Times New Roman"/>
                <w:color w:val="000000" w:themeColor="text1"/>
                <w:kern w:val="0"/>
                <w:szCs w:val="21"/>
                <w14:textFill>
                  <w14:solidFill>
                    <w14:schemeClr w14:val="tx1"/>
                  </w14:solidFill>
                </w14:textFill>
              </w:rPr>
              <w:t>浙江飞智电商创业园4楼C06</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2</w:t>
            </w:r>
          </w:p>
        </w:tc>
        <w:tc>
          <w:tcPr>
            <w:tcW w:w="8220" w:type="dxa"/>
            <w:vAlign w:val="center"/>
          </w:tcPr>
          <w:p>
            <w:pPr>
              <w:wordWrap w:val="0"/>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项目编号：</w:t>
            </w:r>
            <w:r>
              <w:rPr>
                <w:rFonts w:hint="eastAsia" w:ascii="宋体" w:hAnsi="宋体" w:eastAsia="宋体" w:cs="Times New Roman"/>
                <w:color w:val="000000" w:themeColor="text1"/>
                <w:kern w:val="0"/>
                <w:szCs w:val="21"/>
                <w14:textFill>
                  <w14:solidFill>
                    <w14:schemeClr w14:val="tx1"/>
                  </w14:solidFill>
                </w14:textFill>
              </w:rPr>
              <w:t>NBSXCG2023-031</w:t>
            </w:r>
          </w:p>
          <w:p>
            <w:pPr>
              <w:wordWrap w:val="0"/>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项目名称：</w:t>
            </w:r>
            <w:r>
              <w:rPr>
                <w:rFonts w:hint="eastAsia" w:ascii="宋体" w:hAnsi="宋体" w:eastAsia="宋体" w:cs="Times New Roman"/>
                <w:color w:val="000000" w:themeColor="text1"/>
                <w:kern w:val="0"/>
                <w:szCs w:val="21"/>
                <w14:textFill>
                  <w14:solidFill>
                    <w14:schemeClr w14:val="tx1"/>
                  </w14:solidFill>
                </w14:textFill>
              </w:rPr>
              <w:t>凤山小学改扩建工程（改造部分）电教化设施设备采购</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3</w:t>
            </w:r>
          </w:p>
        </w:tc>
        <w:tc>
          <w:tcPr>
            <w:tcW w:w="8220" w:type="dxa"/>
            <w:vAlign w:val="center"/>
          </w:tcPr>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采购方式：</w:t>
            </w:r>
            <w:r>
              <w:rPr>
                <w:rFonts w:hint="eastAsia" w:ascii="宋体" w:hAnsi="宋体" w:eastAsia="宋体" w:cs="Times New Roman"/>
                <w:color w:val="000000" w:themeColor="text1"/>
                <w:kern w:val="0"/>
                <w:szCs w:val="21"/>
                <w14:textFill>
                  <w14:solidFill>
                    <w14:schemeClr w14:val="tx1"/>
                  </w14:solidFill>
                </w14:textFill>
              </w:rPr>
              <w:t>竞争性磋商。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★4</w:t>
            </w:r>
          </w:p>
        </w:tc>
        <w:tc>
          <w:tcPr>
            <w:tcW w:w="8220" w:type="dxa"/>
            <w:vAlign w:val="center"/>
          </w:tcPr>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shd w:val="clear" w:color="auto" w:fill="BEBEBE" w:themeFill="background1" w:themeFillShade="BF"/>
                <w14:textFill>
                  <w14:solidFill>
                    <w14:schemeClr w14:val="tx1"/>
                  </w14:solidFill>
                </w14:textFill>
              </w:rPr>
              <w:t>本项目预算金额（最高限价）：人民币1500000元。</w:t>
            </w:r>
            <w:r>
              <w:rPr>
                <w:rFonts w:hint="eastAsia" w:ascii="宋体" w:hAnsi="宋体" w:eastAsia="宋体" w:cs="Times New Roman"/>
                <w:b/>
                <w:color w:val="000000" w:themeColor="text1"/>
                <w:kern w:val="0"/>
                <w:szCs w:val="21"/>
                <w14:textFill>
                  <w14:solidFill>
                    <w14:schemeClr w14:val="tx1"/>
                  </w14:solidFill>
                </w14:textFill>
              </w:rPr>
              <w:t>报价超过最高限价或分项最高限价的均作无效标处理。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Merge w:val="restart"/>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★5</w:t>
            </w:r>
          </w:p>
        </w:tc>
        <w:tc>
          <w:tcPr>
            <w:tcW w:w="8220" w:type="dxa"/>
            <w:vAlign w:val="center"/>
          </w:tcPr>
          <w:p>
            <w:pPr>
              <w:wordWrap w:val="0"/>
              <w:rPr>
                <w:rFonts w:ascii="宋体" w:hAnsi="宋体" w:eastAsia="宋体" w:cs="宋体"/>
                <w:b/>
                <w:kern w:val="0"/>
                <w:szCs w:val="21"/>
              </w:rPr>
            </w:pPr>
            <w:r>
              <w:rPr>
                <w:rFonts w:hint="eastAsia" w:ascii="宋体" w:hAnsi="宋体" w:eastAsia="宋体" w:cs="宋体"/>
                <w:b/>
                <w:kern w:val="0"/>
                <w:szCs w:val="21"/>
              </w:rPr>
              <w:t>合格供应商的资格</w:t>
            </w:r>
            <w:r>
              <w:rPr>
                <w:rFonts w:ascii="宋体" w:hAnsi="宋体" w:eastAsia="宋体" w:cs="宋体"/>
                <w:b/>
                <w:kern w:val="0"/>
                <w:szCs w:val="21"/>
              </w:rPr>
              <w:t>要求</w:t>
            </w:r>
            <w:r>
              <w:rPr>
                <w:rFonts w:hint="eastAsia" w:ascii="宋体" w:hAnsi="宋体" w:eastAsia="宋体" w:cs="宋体"/>
                <w:b/>
                <w:kern w:val="0"/>
                <w:szCs w:val="21"/>
              </w:rPr>
              <w:t>：</w:t>
            </w:r>
          </w:p>
          <w:p>
            <w:pPr>
              <w:wordWrap w:val="0"/>
              <w:rPr>
                <w:rFonts w:ascii="宋体" w:hAnsi="宋体" w:eastAsia="宋体" w:cs="宋体"/>
                <w:kern w:val="0"/>
                <w:szCs w:val="21"/>
              </w:rPr>
            </w:pPr>
            <w:r>
              <w:rPr>
                <w:rFonts w:hint="eastAsia" w:ascii="宋体" w:hAnsi="宋体" w:eastAsia="宋体" w:cs="宋体"/>
                <w:kern w:val="0"/>
                <w:szCs w:val="21"/>
              </w:rPr>
              <w:t>1.满足《中华人民共和国政府采购法》第二十二条规定；未被“信用中国”（www.creditchina.gov.cn）、中国政府采购网（www.ccgp.gov.cn）列入失信被执行人、重大税收违法失信主体、政府采购严重违法失信行为记录名单。</w:t>
            </w:r>
          </w:p>
          <w:p>
            <w:pPr>
              <w:wordWrap w:val="0"/>
              <w:rPr>
                <w:rFonts w:ascii="宋体" w:hAnsi="宋体" w:eastAsia="宋体" w:cs="宋体"/>
                <w:kern w:val="0"/>
                <w:szCs w:val="21"/>
              </w:rPr>
            </w:pPr>
            <w:r>
              <w:rPr>
                <w:rFonts w:hint="eastAsia" w:ascii="宋体" w:hAnsi="宋体" w:eastAsia="宋体" w:cs="宋体"/>
                <w:kern w:val="0"/>
                <w:szCs w:val="21"/>
              </w:rPr>
              <w:t>2.落实政府采购政策需满足的资格要求：无。</w:t>
            </w:r>
          </w:p>
          <w:p>
            <w:pPr>
              <w:wordWrap w:val="0"/>
              <w:rPr>
                <w:rFonts w:ascii="宋体" w:hAnsi="宋体" w:eastAsia="宋体" w:cs="宋体"/>
                <w:kern w:val="0"/>
                <w:szCs w:val="21"/>
              </w:rPr>
            </w:pPr>
            <w:r>
              <w:rPr>
                <w:rFonts w:hint="eastAsia" w:ascii="宋体" w:hAnsi="宋体" w:eastAsia="宋体" w:cs="宋体"/>
                <w:kern w:val="0"/>
                <w:szCs w:val="21"/>
              </w:rPr>
              <w:t>3.本项目的特定资格要求：无。</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Merge w:val="continue"/>
            <w:vAlign w:val="center"/>
          </w:tcPr>
          <w:p>
            <w:pPr>
              <w:jc w:val="center"/>
              <w:rPr>
                <w:rFonts w:ascii="宋体" w:hAnsi="宋体" w:eastAsia="宋体" w:cs="Times New Roman"/>
                <w:color w:val="000000" w:themeColor="text1"/>
                <w:kern w:val="0"/>
                <w:szCs w:val="21"/>
                <w14:textFill>
                  <w14:solidFill>
                    <w14:schemeClr w14:val="tx1"/>
                  </w14:solidFill>
                </w14:textFill>
              </w:rPr>
            </w:pPr>
          </w:p>
        </w:tc>
        <w:tc>
          <w:tcPr>
            <w:tcW w:w="8220" w:type="dxa"/>
            <w:vAlign w:val="center"/>
          </w:tcPr>
          <w:p>
            <w:pPr>
              <w:wordWrap w:val="0"/>
              <w:rPr>
                <w:rFonts w:ascii="宋体" w:hAnsi="宋体" w:eastAsia="宋体" w:cs="宋体"/>
                <w:b/>
                <w:kern w:val="0"/>
                <w:szCs w:val="21"/>
              </w:rPr>
            </w:pPr>
            <w:r>
              <w:rPr>
                <w:rFonts w:hint="eastAsia" w:ascii="宋体" w:hAnsi="宋体" w:eastAsia="宋体" w:cs="宋体"/>
                <w:b/>
                <w:kern w:val="0"/>
                <w:szCs w:val="21"/>
              </w:rPr>
              <w:t>合格供应商的其他</w:t>
            </w:r>
            <w:r>
              <w:rPr>
                <w:rFonts w:ascii="宋体" w:hAnsi="宋体" w:eastAsia="宋体" w:cs="宋体"/>
                <w:b/>
                <w:kern w:val="0"/>
                <w:szCs w:val="21"/>
              </w:rPr>
              <w:t>要求</w:t>
            </w:r>
            <w:r>
              <w:rPr>
                <w:rFonts w:hint="eastAsia" w:ascii="宋体" w:hAnsi="宋体" w:eastAsia="宋体" w:cs="宋体"/>
                <w:b/>
                <w:kern w:val="0"/>
                <w:szCs w:val="21"/>
              </w:rPr>
              <w:t>：</w:t>
            </w:r>
          </w:p>
          <w:p>
            <w:pPr>
              <w:wordWrap w:val="0"/>
              <w:rPr>
                <w:rFonts w:ascii="宋体" w:hAnsi="宋体" w:eastAsia="宋体" w:cs="宋体"/>
                <w:kern w:val="0"/>
                <w:szCs w:val="21"/>
                <w:highlight w:val="green"/>
              </w:rPr>
            </w:pPr>
            <w:r>
              <w:rPr>
                <w:rFonts w:hint="eastAsia" w:ascii="宋体" w:hAnsi="宋体" w:eastAsia="宋体" w:cs="宋体"/>
                <w:kern w:val="0"/>
                <w:szCs w:val="21"/>
              </w:rPr>
              <w:t>1</w:t>
            </w:r>
            <w:r>
              <w:rPr>
                <w:rFonts w:ascii="宋体" w:hAnsi="宋体" w:eastAsia="宋体" w:cs="宋体"/>
                <w:kern w:val="0"/>
                <w:szCs w:val="21"/>
              </w:rPr>
              <w:t>.</w:t>
            </w:r>
            <w:r>
              <w:rPr>
                <w:rFonts w:hint="eastAsia" w:ascii="宋体" w:hAnsi="宋体" w:eastAsia="宋体" w:cs="宋体"/>
                <w:kern w:val="0"/>
                <w:szCs w:val="21"/>
              </w:rPr>
              <w:t>单位负责人为同一人或者存在直接控股、管理关系的不同供应商，不得参加同一合同项下的政府采购活动。</w:t>
            </w:r>
          </w:p>
          <w:p>
            <w:pPr>
              <w:wordWrap w:val="0"/>
              <w:rPr>
                <w:rFonts w:ascii="宋体" w:hAnsi="宋体" w:eastAsia="宋体" w:cs="宋体"/>
                <w:kern w:val="0"/>
                <w:szCs w:val="21"/>
                <w:highlight w:val="green"/>
              </w:rPr>
            </w:pPr>
            <w:r>
              <w:rPr>
                <w:rFonts w:hint="eastAsia" w:ascii="宋体" w:hAnsi="宋体" w:eastAsia="宋体" w:cs="宋体"/>
                <w:kern w:val="0"/>
                <w:szCs w:val="21"/>
              </w:rPr>
              <w:t>2</w:t>
            </w:r>
            <w:r>
              <w:rPr>
                <w:rFonts w:ascii="宋体" w:hAnsi="宋体" w:eastAsia="宋体" w:cs="宋体"/>
                <w:kern w:val="0"/>
                <w:szCs w:val="21"/>
              </w:rPr>
              <w:t>.</w:t>
            </w:r>
            <w:r>
              <w:rPr>
                <w:rFonts w:hint="eastAsia" w:ascii="宋体" w:hAnsi="宋体" w:eastAsia="宋体" w:cs="宋体"/>
                <w:kern w:val="0"/>
                <w:szCs w:val="21"/>
              </w:rPr>
              <w:t>除单一来源采购项目外，为采购项目提供整体设计、规范编制或者项目管理、监理、检测等服务的供应商，不得再参加该采购项目的其他采购活动。</w:t>
            </w:r>
          </w:p>
          <w:p>
            <w:pPr>
              <w:wordWrap w:val="0"/>
              <w:rPr>
                <w:rFonts w:ascii="宋体" w:hAnsi="宋体" w:eastAsia="宋体" w:cs="宋体"/>
                <w:kern w:val="0"/>
                <w:szCs w:val="21"/>
              </w:rPr>
            </w:pPr>
            <w:r>
              <w:rPr>
                <w:rFonts w:hint="eastAsia" w:ascii="宋体" w:hAnsi="宋体" w:eastAsia="宋体" w:cs="宋体"/>
                <w:kern w:val="0"/>
                <w:szCs w:val="21"/>
              </w:rPr>
              <w:t>3</w:t>
            </w:r>
            <w:r>
              <w:rPr>
                <w:rFonts w:ascii="宋体" w:hAnsi="宋体" w:eastAsia="宋体" w:cs="宋体"/>
                <w:kern w:val="0"/>
                <w:szCs w:val="21"/>
              </w:rPr>
              <w:t>.</w:t>
            </w:r>
            <w:r>
              <w:rPr>
                <w:rFonts w:hint="eastAsia" w:ascii="宋体" w:hAnsi="宋体" w:eastAsia="宋体" w:cs="宋体"/>
                <w:kern w:val="0"/>
                <w:szCs w:val="21"/>
              </w:rPr>
              <w:t>本项目接受联合体投标。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6</w:t>
            </w:r>
          </w:p>
        </w:tc>
        <w:tc>
          <w:tcPr>
            <w:tcW w:w="8220" w:type="dxa"/>
            <w:vAlign w:val="center"/>
          </w:tcPr>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资格审查：</w:t>
            </w:r>
            <w:r>
              <w:rPr>
                <w:rFonts w:hint="eastAsia" w:ascii="宋体" w:hAnsi="宋体" w:eastAsia="宋体" w:cs="Times New Roman"/>
                <w:color w:val="000000" w:themeColor="text1"/>
                <w:kern w:val="0"/>
                <w:szCs w:val="21"/>
                <w14:textFill>
                  <w14:solidFill>
                    <w14:schemeClr w14:val="tx1"/>
                  </w14:solidFill>
                </w14:textFill>
              </w:rPr>
              <w:t>本项目采用资格后审。</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★7</w:t>
            </w:r>
          </w:p>
        </w:tc>
        <w:tc>
          <w:tcPr>
            <w:tcW w:w="8220" w:type="dxa"/>
            <w:vAlign w:val="center"/>
          </w:tcPr>
          <w:p>
            <w:pPr>
              <w:wordWrap w:val="0"/>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信用信息查询：</w:t>
            </w:r>
          </w:p>
          <w:p>
            <w:pPr>
              <w:wordWrap w:val="0"/>
              <w:rPr>
                <w:rFonts w:ascii="宋体" w:hAnsi="宋体" w:eastAsia="宋体" w:cs="Times New Roman"/>
                <w:color w:val="000000" w:themeColor="text1"/>
                <w:kern w:val="0"/>
                <w:szCs w:val="21"/>
                <w14:textFill>
                  <w14:solidFill>
                    <w14:schemeClr w14:val="tx1"/>
                  </w14:solidFill>
                </w14:textFill>
              </w:rPr>
            </w:pPr>
            <w:r>
              <w:rPr>
                <w:rFonts w:ascii="宋体" w:hAnsi="宋体" w:eastAsia="宋体" w:cs="Times New Roman"/>
                <w:bCs/>
                <w:color w:val="000000" w:themeColor="text1"/>
                <w:kern w:val="0"/>
                <w:szCs w:val="21"/>
                <w14:textFill>
                  <w14:solidFill>
                    <w14:schemeClr w14:val="tx1"/>
                  </w14:solidFill>
                </w14:textFill>
              </w:rPr>
              <w:t>1.</w:t>
            </w:r>
            <w:r>
              <w:rPr>
                <w:rFonts w:hint="eastAsia" w:ascii="宋体" w:hAnsi="宋体" w:eastAsia="宋体" w:cs="Times New Roman"/>
                <w:color w:val="000000" w:themeColor="text1"/>
                <w:kern w:val="0"/>
                <w:szCs w:val="21"/>
                <w14:textFill>
                  <w14:solidFill>
                    <w14:schemeClr w14:val="tx1"/>
                  </w14:solidFill>
                </w14:textFill>
              </w:rPr>
              <w:t>供应商资格要求中有关信用中国及中国政府采购网查询的内容由采购人代表在进行供应商资格审查环节时查询，查询资料保存期限为从采购结束之日起保存十五年。在评审过程中因不可抗力无法进行查询的，则在评审结束后进行查询，如参加供应商在上述名单里并影响成交结果的，采购人应按照政府采购有关规定确定排名次位的成交候选人作为成交供应商或重新组织采购。</w:t>
            </w:r>
          </w:p>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2</w:t>
            </w:r>
            <w:r>
              <w:rPr>
                <w:rFonts w:ascii="宋体" w:hAnsi="宋体" w:eastAsia="宋体" w:cs="Times New Roman"/>
                <w:color w:val="000000" w:themeColor="text1"/>
                <w:kern w:val="0"/>
                <w:szCs w:val="21"/>
                <w14:textFill>
                  <w14:solidFill>
                    <w14:schemeClr w14:val="tx1"/>
                  </w14:solidFill>
                </w14:textFill>
              </w:rPr>
              <w:t>.</w:t>
            </w:r>
            <w:r>
              <w:rPr>
                <w:rFonts w:hint="eastAsia" w:ascii="宋体" w:hAnsi="宋体" w:eastAsia="宋体" w:cs="Times New Roman"/>
                <w:color w:val="000000" w:themeColor="text1"/>
                <w:kern w:val="0"/>
                <w:szCs w:val="21"/>
                <w14:textFill>
                  <w14:solidFill>
                    <w14:schemeClr w14:val="tx1"/>
                  </w14:solidFill>
                </w14:textFill>
              </w:rPr>
              <w:t>供应商为联合体的审查主体为联合体牵头人及联合体所有成员。</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8</w:t>
            </w:r>
          </w:p>
        </w:tc>
        <w:tc>
          <w:tcPr>
            <w:tcW w:w="8220" w:type="dxa"/>
            <w:vAlign w:val="center"/>
          </w:tcPr>
          <w:p>
            <w:pPr>
              <w:wordWrap w:val="0"/>
              <w:rPr>
                <w:rFonts w:ascii="宋体" w:hAnsi="宋体" w:eastAsia="宋体" w:cs="Times New Roman"/>
                <w:color w:val="000000" w:themeColor="text1"/>
                <w:kern w:val="0"/>
                <w:szCs w:val="21"/>
                <w:highlight w:val="green"/>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磋商保证金的收取及退还：</w:t>
            </w:r>
            <w:r>
              <w:rPr>
                <w:rFonts w:hint="eastAsia" w:ascii="宋体" w:hAnsi="宋体" w:eastAsia="宋体" w:cs="Times New Roman"/>
                <w:color w:val="000000" w:themeColor="text1"/>
                <w:kern w:val="0"/>
                <w:szCs w:val="21"/>
                <w14:textFill>
                  <w14:solidFill>
                    <w14:schemeClr w14:val="tx1"/>
                  </w14:solidFill>
                </w14:textFill>
              </w:rPr>
              <w:t>本项目不收取磋商保证金。</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★9</w:t>
            </w:r>
          </w:p>
        </w:tc>
        <w:tc>
          <w:tcPr>
            <w:tcW w:w="8220" w:type="dxa"/>
            <w:vAlign w:val="center"/>
          </w:tcPr>
          <w:p>
            <w:pPr>
              <w:wordWrap w:val="0"/>
              <w:rPr>
                <w:rFonts w:ascii="宋体" w:hAnsi="宋体" w:eastAsia="宋体" w:cs="Times New Roman"/>
                <w:color w:val="000000" w:themeColor="text1"/>
                <w:kern w:val="0"/>
                <w:szCs w:val="21"/>
                <w:highlight w:val="green"/>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现场踏勘：供应商根据需要自行踏勘。</w:t>
            </w:r>
            <w:r>
              <w:rPr>
                <w:rFonts w:hint="eastAsia" w:ascii="宋体" w:hAnsi="宋体" w:eastAsia="宋体" w:cs="Times New Roman"/>
                <w:color w:val="000000" w:themeColor="text1"/>
                <w:kern w:val="0"/>
                <w:szCs w:val="21"/>
                <w14:textFill>
                  <w14:solidFill>
                    <w14:schemeClr w14:val="tx1"/>
                  </w14:solidFill>
                </w14:textFill>
              </w:rPr>
              <w:t>供应商踏勘现场发生的费用及所发生的人员伤亡和财产损失均自理，采购人和采购代理机构对供应商踏勘现场后做出的任何推论、理解和结论均不负责任。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★10</w:t>
            </w:r>
          </w:p>
        </w:tc>
        <w:tc>
          <w:tcPr>
            <w:tcW w:w="8220" w:type="dxa"/>
            <w:vAlign w:val="center"/>
          </w:tcPr>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响应文件份数：电子加密响应文件1份，</w:t>
            </w:r>
            <w:r>
              <w:rPr>
                <w:rFonts w:hint="eastAsia" w:ascii="宋体" w:hAnsi="宋体" w:eastAsia="宋体" w:cs="Times New Roman"/>
                <w:color w:val="000000" w:themeColor="text1"/>
                <w:kern w:val="0"/>
                <w:szCs w:val="21"/>
                <w14:textFill>
                  <w14:solidFill>
                    <w14:schemeClr w14:val="tx1"/>
                  </w14:solidFill>
                </w14:textFill>
              </w:rPr>
              <w:t>响应文件提交截止时间前将生成的“电子加密响应文件”上传递交至“政府采购云平台”。</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11</w:t>
            </w:r>
          </w:p>
        </w:tc>
        <w:tc>
          <w:tcPr>
            <w:tcW w:w="8220" w:type="dxa"/>
            <w:vAlign w:val="center"/>
          </w:tcPr>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原件提交：</w:t>
            </w:r>
            <w:r>
              <w:rPr>
                <w:rFonts w:hint="eastAsia" w:ascii="宋体" w:hAnsi="宋体" w:eastAsia="宋体" w:cs="Times New Roman"/>
                <w:color w:val="000000" w:themeColor="text1"/>
                <w:kern w:val="0"/>
                <w:szCs w:val="21"/>
                <w14:textFill>
                  <w14:solidFill>
                    <w14:schemeClr w14:val="tx1"/>
                  </w14:solidFill>
                </w14:textFill>
              </w:rPr>
              <w:t>本项目供应商</w:t>
            </w:r>
            <w:r>
              <w:rPr>
                <w:rFonts w:hint="eastAsia" w:ascii="宋体" w:hAnsi="宋体" w:eastAsia="宋体" w:cs="Times New Roman"/>
                <w:b/>
                <w:color w:val="000000" w:themeColor="text1"/>
                <w:kern w:val="0"/>
                <w:szCs w:val="21"/>
                <w14:textFill>
                  <w14:solidFill>
                    <w14:schemeClr w14:val="tx1"/>
                  </w14:solidFill>
                </w14:textFill>
              </w:rPr>
              <w:t>不需要提交原件</w:t>
            </w:r>
            <w:r>
              <w:rPr>
                <w:rFonts w:hint="eastAsia" w:ascii="宋体" w:hAnsi="宋体" w:eastAsia="宋体" w:cs="Times New Roman"/>
                <w:color w:val="000000" w:themeColor="text1"/>
                <w:kern w:val="0"/>
                <w:szCs w:val="21"/>
                <w14:textFill>
                  <w14:solidFill>
                    <w14:schemeClr w14:val="tx1"/>
                  </w14:solidFill>
                </w14:textFill>
              </w:rPr>
              <w:t>，供应商应对所提供的全部资料及响应文件的真实性、合法性承担法律责任。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★12</w:t>
            </w:r>
          </w:p>
        </w:tc>
        <w:tc>
          <w:tcPr>
            <w:tcW w:w="8220" w:type="dxa"/>
            <w:vAlign w:val="center"/>
          </w:tcPr>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响应文件提交截止时间及电子响应文件上传要求：</w:t>
            </w:r>
            <w:r>
              <w:rPr>
                <w:rFonts w:hint="eastAsia" w:ascii="宋体" w:hAnsi="宋体" w:eastAsia="宋体" w:cs="Times New Roman"/>
                <w:color w:val="000000" w:themeColor="text1"/>
                <w:kern w:val="0"/>
                <w:szCs w:val="21"/>
                <w14:textFill>
                  <w14:solidFill>
                    <w14:schemeClr w14:val="tx1"/>
                  </w14:solidFill>
                </w14:textFill>
              </w:rPr>
              <w:t>供应商应于</w:t>
            </w:r>
            <w:r>
              <w:rPr>
                <w:rFonts w:hint="eastAsia" w:ascii="宋体" w:hAnsi="宋体" w:eastAsia="宋体" w:cs="Times New Roman"/>
                <w:color w:val="FF0000"/>
                <w:kern w:val="0"/>
                <w:szCs w:val="21"/>
              </w:rPr>
              <w:t>2023年10月27日14时00分</w:t>
            </w:r>
            <w:r>
              <w:rPr>
                <w:rFonts w:hint="eastAsia" w:ascii="宋体" w:hAnsi="宋体" w:eastAsia="宋体" w:cs="Times New Roman"/>
                <w:color w:val="000000" w:themeColor="text1"/>
                <w:kern w:val="0"/>
                <w:szCs w:val="21"/>
                <w14:textFill>
                  <w14:solidFill>
                    <w14:schemeClr w14:val="tx1"/>
                  </w14:solidFill>
                </w14:textFill>
              </w:rPr>
              <w:t>（北京时间）前将生成的“电子加密响应文件”上传递交至“政府采购云平台”。并可以补充、修改或者撤回电子响应文件。补充或者修改电子响应文件的，应当先行撤回原文件，补充、修改后重新传输递交。响应文件提交截止时间前未完成传输的，视为撤回响应文件。响应文件提交截止时间后上传的电子响应文件，将被政府采购云平台拒收。</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★13</w:t>
            </w:r>
          </w:p>
        </w:tc>
        <w:tc>
          <w:tcPr>
            <w:tcW w:w="8220" w:type="dxa"/>
            <w:vAlign w:val="center"/>
          </w:tcPr>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开启时间、地点及要求：</w:t>
            </w:r>
            <w:r>
              <w:rPr>
                <w:rFonts w:hint="eastAsia" w:ascii="宋体" w:hAnsi="宋体" w:eastAsia="宋体" w:cs="Times New Roman"/>
                <w:color w:val="000000" w:themeColor="text1"/>
                <w:kern w:val="0"/>
                <w:szCs w:val="21"/>
                <w14:textFill>
                  <w14:solidFill>
                    <w14:schemeClr w14:val="tx1"/>
                  </w14:solidFill>
                </w14:textFill>
              </w:rPr>
              <w:t>本项目将于</w:t>
            </w:r>
            <w:r>
              <w:rPr>
                <w:rFonts w:hint="eastAsia" w:ascii="宋体" w:hAnsi="宋体" w:eastAsia="宋体" w:cs="Times New Roman"/>
                <w:color w:val="FF0000"/>
                <w:kern w:val="0"/>
                <w:szCs w:val="21"/>
              </w:rPr>
              <w:t>2023年10月27日14时00分</w:t>
            </w:r>
            <w:r>
              <w:rPr>
                <w:rFonts w:hint="eastAsia" w:ascii="宋体" w:hAnsi="宋体" w:eastAsia="宋体" w:cs="Times New Roman"/>
                <w:color w:val="000000" w:themeColor="text1"/>
                <w:kern w:val="0"/>
                <w:szCs w:val="21"/>
                <w14:textFill>
                  <w14:solidFill>
                    <w14:schemeClr w14:val="tx1"/>
                  </w14:solidFill>
                </w14:textFill>
              </w:rPr>
              <w:t>（北京时间）在余姚市公共资源交易中心（余姚市谭家岭东路2号[南雷大厦附楼5楼]）开启，</w:t>
            </w:r>
            <w:r>
              <w:rPr>
                <w:rFonts w:hint="eastAsia" w:ascii="宋体" w:hAnsi="宋体" w:eastAsia="宋体" w:cs="Times New Roman"/>
                <w:b/>
                <w:color w:val="000000" w:themeColor="text1"/>
                <w:kern w:val="0"/>
                <w:szCs w:val="21"/>
                <w14:textFill>
                  <w14:solidFill>
                    <w14:schemeClr w14:val="tx1"/>
                  </w14:solidFill>
                </w14:textFill>
              </w:rPr>
              <w:t>供应商无需现场参加</w:t>
            </w:r>
            <w:r>
              <w:rPr>
                <w:rFonts w:hint="eastAsia" w:ascii="宋体" w:hAnsi="宋体" w:eastAsia="宋体" w:cs="Times New Roman"/>
                <w:color w:val="000000" w:themeColor="text1"/>
                <w:kern w:val="0"/>
                <w:szCs w:val="21"/>
                <w14:textFill>
                  <w14:solidFill>
                    <w14:schemeClr w14:val="tx1"/>
                  </w14:solidFill>
                </w14:textFill>
              </w:rPr>
              <w:t>。开启时间后30分钟内供应商可以登录“政府采购云平台”按《供应商政府采购项目电子交易操作指南》进行解密“电子加密响应文件”。</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14</w:t>
            </w:r>
          </w:p>
        </w:tc>
        <w:tc>
          <w:tcPr>
            <w:tcW w:w="8220" w:type="dxa"/>
            <w:vAlign w:val="center"/>
          </w:tcPr>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合同签订时间：</w:t>
            </w:r>
            <w:r>
              <w:rPr>
                <w:rFonts w:hint="eastAsia" w:ascii="宋体" w:hAnsi="宋体" w:eastAsia="宋体" w:cs="Times New Roman"/>
                <w:color w:val="000000" w:themeColor="text1"/>
                <w:kern w:val="0"/>
                <w:szCs w:val="21"/>
                <w14:textFill>
                  <w14:solidFill>
                    <w14:schemeClr w14:val="tx1"/>
                  </w14:solidFill>
                </w14:textFill>
              </w:rPr>
              <w:t>成交通知书发出之日起30日历天内。</w:t>
            </w:r>
          </w:p>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合同签订地点：</w:t>
            </w:r>
            <w:r>
              <w:rPr>
                <w:rFonts w:hint="eastAsia" w:ascii="宋体" w:hAnsi="宋体" w:eastAsia="宋体" w:cs="Times New Roman"/>
                <w:color w:val="000000" w:themeColor="text1"/>
                <w:kern w:val="0"/>
                <w:szCs w:val="21"/>
                <w14:textFill>
                  <w14:solidFill>
                    <w14:schemeClr w14:val="tx1"/>
                  </w14:solidFill>
                </w14:textFill>
              </w:rPr>
              <w:t>采用邮寄方式签订或与采购人协商确定合同签订地点。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15</w:t>
            </w:r>
          </w:p>
        </w:tc>
        <w:tc>
          <w:tcPr>
            <w:tcW w:w="8220" w:type="dxa"/>
            <w:vAlign w:val="center"/>
          </w:tcPr>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履约保证金的收取及退还：</w:t>
            </w:r>
            <w:r>
              <w:rPr>
                <w:rFonts w:hint="eastAsia" w:ascii="宋体" w:hAnsi="宋体" w:eastAsia="宋体" w:cs="Times New Roman"/>
                <w:color w:val="000000" w:themeColor="text1"/>
                <w:kern w:val="0"/>
                <w:szCs w:val="21"/>
                <w14:textFill>
                  <w14:solidFill>
                    <w14:schemeClr w14:val="tx1"/>
                  </w14:solidFill>
                </w14:textFill>
              </w:rPr>
              <w:t>本项目履约保证金不作要求。</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★16</w:t>
            </w:r>
          </w:p>
        </w:tc>
        <w:tc>
          <w:tcPr>
            <w:tcW w:w="8220" w:type="dxa"/>
            <w:vAlign w:val="center"/>
          </w:tcPr>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响应有效期：</w:t>
            </w:r>
            <w:r>
              <w:rPr>
                <w:rFonts w:hint="eastAsia" w:ascii="宋体" w:hAnsi="宋体" w:eastAsia="宋体" w:cs="Times New Roman"/>
                <w:color w:val="000000" w:themeColor="text1"/>
                <w:kern w:val="0"/>
                <w:szCs w:val="21"/>
                <w14:textFill>
                  <w14:solidFill>
                    <w14:schemeClr w14:val="tx1"/>
                  </w14:solidFill>
                </w14:textFill>
              </w:rPr>
              <w:t>响应文件自响应文件提交截止之日起60日历天内有效。</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17</w:t>
            </w:r>
          </w:p>
        </w:tc>
        <w:tc>
          <w:tcPr>
            <w:tcW w:w="8220" w:type="dxa"/>
            <w:vAlign w:val="center"/>
          </w:tcPr>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1.采购代理服务费：</w:t>
            </w:r>
            <w:r>
              <w:rPr>
                <w:rFonts w:hint="eastAsia" w:ascii="宋体" w:hAnsi="宋体" w:eastAsia="宋体" w:cs="Times New Roman"/>
                <w:color w:val="000000" w:themeColor="text1"/>
                <w:kern w:val="0"/>
                <w:szCs w:val="21"/>
                <w14:textFill>
                  <w14:solidFill>
                    <w14:schemeClr w14:val="tx1"/>
                  </w14:solidFill>
                </w14:textFill>
              </w:rPr>
              <w:t>本次采购项目采购代理机构根据宁波市中介超市网中选报价向成交供应商收取采购代理服务费22000元。</w:t>
            </w:r>
          </w:p>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2.</w:t>
            </w:r>
            <w:r>
              <w:rPr>
                <w:rFonts w:hint="eastAsia" w:ascii="宋体" w:hAnsi="宋体" w:eastAsia="宋体" w:cs="Times New Roman"/>
                <w:kern w:val="0"/>
                <w:szCs w:val="21"/>
              </w:rPr>
              <w:t>成交供应商在成交结果公告发布之日起5个工作日内向采购代理机构支付采购代理服务费。</w:t>
            </w:r>
          </w:p>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3.开户单位名称：宁波舜兴招标代理有限公司</w:t>
            </w:r>
          </w:p>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开户银行：宁波银行股份有限公司马渚支行</w:t>
            </w:r>
          </w:p>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开户银行账号：</w:t>
            </w:r>
            <w:r>
              <w:rPr>
                <w:rFonts w:ascii="宋体" w:hAnsi="宋体" w:eastAsia="宋体" w:cs="Times New Roman"/>
                <w:color w:val="000000" w:themeColor="text1"/>
                <w:kern w:val="0"/>
                <w:szCs w:val="21"/>
                <w14:textFill>
                  <w14:solidFill>
                    <w14:schemeClr w14:val="tx1"/>
                  </w14:solidFill>
                </w14:textFill>
              </w:rPr>
              <w:t>61090122000187120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18</w:t>
            </w:r>
          </w:p>
        </w:tc>
        <w:tc>
          <w:tcPr>
            <w:tcW w:w="8220" w:type="dxa"/>
            <w:vAlign w:val="center"/>
          </w:tcPr>
          <w:p>
            <w:pPr>
              <w:wordWrap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质疑与投诉：</w:t>
            </w:r>
            <w:r>
              <w:rPr>
                <w:rFonts w:hint="eastAsia" w:ascii="宋体" w:hAnsi="宋体" w:eastAsia="宋体" w:cs="Times New Roman"/>
                <w:color w:val="000000" w:themeColor="text1"/>
                <w:kern w:val="0"/>
                <w:szCs w:val="21"/>
                <w14:textFill>
                  <w14:solidFill>
                    <w14:schemeClr w14:val="tx1"/>
                  </w14:solidFill>
                </w14:textFill>
              </w:rPr>
              <w:t>供应商认为采购文件、采购过程、成交结果使自己的权益受到损害的，可以在知道或者应知其权益受到损害之日起7个工作日内，以书面形式向采购人、采购代理机构提出质疑，质疑与投诉根据“财政部令第94号《政府采购质疑和投诉办法》”执行。</w:t>
            </w:r>
          </w:p>
          <w:p>
            <w:pPr>
              <w:wordWrap w:val="0"/>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供应商应在法定质疑期内一次性提出针对同一采购程序环节的质疑。</w:t>
            </w:r>
          </w:p>
          <w:p>
            <w:pPr>
              <w:wordWrap w:val="0"/>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同级政府采购监督管理部门（投诉部门）</w:t>
            </w:r>
          </w:p>
          <w:p>
            <w:pPr>
              <w:wordWrap w:val="0"/>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名称：余姚市财政局</w:t>
            </w:r>
          </w:p>
          <w:p>
            <w:pPr>
              <w:wordWrap w:val="0"/>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地址：余姚市南滨江路118号</w:t>
            </w:r>
          </w:p>
          <w:p>
            <w:pPr>
              <w:wordWrap w:val="0"/>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联系方式：303办公室0574-62713103</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★19</w:t>
            </w:r>
          </w:p>
        </w:tc>
        <w:tc>
          <w:tcPr>
            <w:tcW w:w="8220" w:type="dxa"/>
            <w:vAlign w:val="center"/>
          </w:tcPr>
          <w:p>
            <w:pPr>
              <w:wordWrap w:val="0"/>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落实的政策：</w:t>
            </w:r>
            <w:r>
              <w:rPr>
                <w:rFonts w:hint="eastAsia" w:ascii="宋体" w:hAnsi="宋体" w:eastAsia="宋体" w:cs="Times New Roman"/>
                <w:color w:val="000000" w:themeColor="text1"/>
                <w:kern w:val="0"/>
                <w:szCs w:val="21"/>
                <w14:textFill>
                  <w14:solidFill>
                    <w14:schemeClr w14:val="tx1"/>
                  </w14:solidFill>
                </w14:textFill>
              </w:rPr>
              <w:t>1.《政府采购促进中小企业发展管理办法》（财库〔2020〕46号）；2.《浙江省财政厅关于进一步加大政府采购支持中小企业力度助力扎实稳住经济的通知》（浙财采监〔2022〕8号）；3.《财政部、司法部关于政府采购支持监狱企业发展有关问题的通知》（财库〔2014〕68号）；4.《财政部 民政部 中国残疾人联合会关于促进残疾人就业政府采购政策的通知》（财库〔2017〕141号）；5.对按规定提供证明材料的国家认定的不发达地区和少数民族地区的供应商进行政策加分</w:t>
            </w:r>
            <w:r>
              <w:rPr>
                <w:rFonts w:hint="eastAsia" w:ascii="宋体" w:hAnsi="宋体" w:eastAsia="宋体"/>
                <w:color w:val="000000" w:themeColor="text1"/>
                <w:szCs w:val="21"/>
                <w14:textFill>
                  <w14:solidFill>
                    <w14:schemeClr w14:val="tx1"/>
                  </w14:solidFill>
                </w14:textFill>
              </w:rPr>
              <w:t>；6.《关于调整优化节能产品、环境标志产品政府采购执行机制的通知》（财库〔2019〕9号）；7.《关于印发环境标志产品政府采购品目清单的通知》（财库〔2019〕18号）；8.《关于印发节能产品政府采购品目清单的通知》（财库〔2019〕19号）。</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jc w:val="center"/>
        </w:trPr>
        <w:tc>
          <w:tcPr>
            <w:tcW w:w="853"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w:t>
            </w:r>
          </w:p>
        </w:tc>
        <w:tc>
          <w:tcPr>
            <w:tcW w:w="8220" w:type="dxa"/>
            <w:vAlign w:val="center"/>
          </w:tcPr>
          <w:p>
            <w:pPr>
              <w:rPr>
                <w:rFonts w:ascii="宋体" w:hAnsi="宋体" w:eastAsia="宋体" w:cs="Times New Roman"/>
                <w:b/>
                <w:color w:val="000000" w:themeColor="text1"/>
                <w:kern w:val="0"/>
                <w:szCs w:val="21"/>
                <w14:textFill>
                  <w14:solidFill>
                    <w14:schemeClr w14:val="tx1"/>
                  </w14:solidFill>
                </w14:textFill>
              </w:rPr>
            </w:pPr>
            <w:r>
              <w:rPr>
                <w:rFonts w:hint="eastAsia" w:ascii="宋体" w:hAnsi="宋体"/>
                <w:b/>
                <w:color w:val="000000" w:themeColor="text1"/>
                <w:szCs w:val="21"/>
                <w:shd w:val="clear" w:color="auto" w:fill="BEBEBE" w:themeFill="background1" w:themeFillShade="BF"/>
                <w14:textFill>
                  <w14:solidFill>
                    <w14:schemeClr w14:val="tx1"/>
                  </w14:solidFill>
                </w14:textFill>
              </w:rPr>
              <w:t>进口产品：本项目不允许进口产品参加投标，如投标货物中含有进口产品的作无效标处理，进口产品是指通过中国海关报关验放进入中国境内且产自关境外的产品。</w:t>
            </w:r>
          </w:p>
        </w:tc>
      </w:tr>
    </w:tbl>
    <w:p>
      <w:pP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注：本前附表中加“★”的部分，为制作响应文件的实质性要求和条件，着重提醒供应商注意，供应商认真查看采购文件中的每一个条款及要求，因误读采购文件而造成的后果，采购人及采购代理机构概不负责。</w:t>
      </w:r>
    </w:p>
    <w:p>
      <w:pPr>
        <w:jc w:val="left"/>
        <w:rPr>
          <w:rFonts w:ascii="宋体" w:hAnsi="宋体" w:eastAsia="宋体" w:cs="Times New Roman"/>
          <w:b/>
          <w:color w:val="000000" w:themeColor="text1"/>
          <w:szCs w:val="21"/>
          <w14:textFill>
            <w14:solidFill>
              <w14:schemeClr w14:val="tx1"/>
            </w14:solidFill>
          </w14:textFill>
        </w:rPr>
        <w:sectPr>
          <w:pgSz w:w="11906" w:h="16838"/>
          <w:pgMar w:top="1418" w:right="1418" w:bottom="1418" w:left="1418" w:header="851" w:footer="992" w:gutter="0"/>
          <w:cols w:space="425" w:num="1"/>
          <w:docGrid w:type="lines" w:linePitch="312" w:charSpace="0"/>
        </w:sectPr>
      </w:pPr>
    </w:p>
    <w:p>
      <w:pPr>
        <w:spacing w:line="360" w:lineRule="auto"/>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电子招投标规程及注意事项</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ascii="宋体" w:hAnsi="宋体" w:eastAsia="宋体" w:cs="Times New Roman"/>
          <w:b/>
          <w:color w:val="000000" w:themeColor="text1"/>
          <w:szCs w:val="21"/>
          <w14:textFill>
            <w14:solidFill>
              <w14:schemeClr w14:val="tx1"/>
            </w14:solidFill>
          </w14:textFill>
        </w:rPr>
        <w:t>1</w:t>
      </w:r>
      <w:r>
        <w:rPr>
          <w:rFonts w:hint="eastAsia" w:ascii="宋体" w:hAnsi="宋体" w:eastAsia="宋体" w:cs="Times New Roman"/>
          <w:b/>
          <w:color w:val="000000" w:themeColor="text1"/>
          <w:szCs w:val="21"/>
          <w14:textFill>
            <w14:solidFill>
              <w14:schemeClr w14:val="tx1"/>
            </w14:solidFill>
          </w14:textFill>
        </w:rPr>
        <w:t>.注意事项</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1</w:t>
      </w:r>
      <w:r>
        <w:rPr>
          <w:rFonts w:hint="eastAsia" w:ascii="宋体" w:hAnsi="宋体" w:eastAsia="宋体" w:cs="Times New Roman"/>
          <w:color w:val="000000" w:themeColor="text1"/>
          <w:szCs w:val="21"/>
          <w14:textFill>
            <w14:solidFill>
              <w14:schemeClr w14:val="tx1"/>
            </w14:solidFill>
          </w14:textFill>
        </w:rPr>
        <w:t>.1</w:t>
      </w:r>
      <w:r>
        <w:rPr>
          <w:rFonts w:hint="eastAsia" w:ascii="宋体" w:hAnsi="宋体" w:eastAsia="宋体" w:cs="Times New Roman"/>
          <w:b/>
          <w:color w:val="000000" w:themeColor="text1"/>
          <w:szCs w:val="21"/>
          <w14:textFill>
            <w14:solidFill>
              <w14:schemeClr w14:val="tx1"/>
            </w14:solidFill>
          </w14:textFill>
        </w:rPr>
        <w:t>本项目采用电子投标</w:t>
      </w:r>
      <w:r>
        <w:rPr>
          <w:rFonts w:hint="eastAsia" w:ascii="宋体" w:hAnsi="宋体" w:eastAsia="宋体" w:cs="Times New Roman"/>
          <w:color w:val="000000" w:themeColor="text1"/>
          <w:szCs w:val="21"/>
          <w14:textFill>
            <w14:solidFill>
              <w14:schemeClr w14:val="tx1"/>
            </w14:solidFill>
          </w14:textFill>
        </w:rPr>
        <w:t>，本部分内容与采购文件其它部分内容存在不一致的，以本部分内容为准。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1</w:t>
      </w:r>
      <w:r>
        <w:rPr>
          <w:rFonts w:hint="eastAsia" w:ascii="宋体" w:hAnsi="宋体" w:eastAsia="宋体" w:cs="Times New Roman"/>
          <w:color w:val="000000" w:themeColor="text1"/>
          <w:szCs w:val="21"/>
          <w14:textFill>
            <w14:solidFill>
              <w14:schemeClr w14:val="tx1"/>
            </w14:solidFill>
          </w14:textFill>
        </w:rPr>
        <w:t>.2本采购文件所指的电子交易平台为政府采购云平台（</w:t>
      </w:r>
      <w:r>
        <w:rPr>
          <w:rFonts w:ascii="宋体" w:hAnsi="宋体" w:eastAsia="宋体" w:cs="Times New Roman"/>
          <w:color w:val="000000" w:themeColor="text1"/>
          <w:szCs w:val="21"/>
          <w14:textFill>
            <w14:solidFill>
              <w14:schemeClr w14:val="tx1"/>
            </w14:solidFill>
          </w14:textFill>
        </w:rPr>
        <w:t>https：//www.zcygov.cn/</w:t>
      </w:r>
      <w:r>
        <w:rPr>
          <w:rFonts w:hint="eastAsia" w:ascii="宋体" w:hAnsi="宋体" w:eastAsia="宋体" w:cs="Times New Roman"/>
          <w:color w:val="000000" w:themeColor="text1"/>
          <w:szCs w:val="21"/>
          <w14:textFill>
            <w14:solidFill>
              <w14:schemeClr w14:val="tx1"/>
            </w14:solidFill>
          </w14:textFill>
        </w:rPr>
        <w:t>）。</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1</w:t>
      </w:r>
      <w:r>
        <w:rPr>
          <w:rFonts w:hint="eastAsia" w:ascii="宋体" w:hAnsi="宋体" w:eastAsia="宋体" w:cs="Times New Roman"/>
          <w:color w:val="000000" w:themeColor="text1"/>
          <w:szCs w:val="21"/>
          <w14:textFill>
            <w14:solidFill>
              <w14:schemeClr w14:val="tx1"/>
            </w14:solidFill>
          </w14:textFill>
        </w:rPr>
        <w:t>.3制作电子响应文件的系统配置要求：</w:t>
      </w:r>
      <w:r>
        <w:rPr>
          <w:rFonts w:hint="eastAsia" w:ascii="宋体" w:hAnsi="宋体" w:eastAsia="宋体" w:cs="Times New Roman"/>
          <w:b/>
          <w:color w:val="000000" w:themeColor="text1"/>
          <w:szCs w:val="21"/>
          <w14:textFill>
            <w14:solidFill>
              <w14:schemeClr w14:val="tx1"/>
            </w14:solidFill>
          </w14:textFill>
        </w:rPr>
        <w:t>请使用</w:t>
      </w:r>
      <w:r>
        <w:rPr>
          <w:rFonts w:ascii="宋体" w:hAnsi="宋体" w:eastAsia="宋体" w:cs="Times New Roman"/>
          <w:b/>
          <w:color w:val="000000" w:themeColor="text1"/>
          <w:szCs w:val="21"/>
          <w14:textFill>
            <w14:solidFill>
              <w14:schemeClr w14:val="tx1"/>
            </w14:solidFill>
          </w14:textFill>
        </w:rPr>
        <w:t>windows7及以上64位操作系统，请勿使用mac电脑</w:t>
      </w:r>
      <w:r>
        <w:rPr>
          <w:rFonts w:ascii="宋体" w:hAnsi="宋体" w:eastAsia="宋体" w:cs="Times New Roman"/>
          <w:color w:val="000000" w:themeColor="text1"/>
          <w:szCs w:val="21"/>
          <w14:textFill>
            <w14:solidFill>
              <w14:schemeClr w14:val="tx1"/>
            </w14:solidFill>
          </w14:textFill>
        </w:rPr>
        <w:t>。</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ascii="宋体" w:hAnsi="宋体" w:eastAsia="宋体" w:cs="Times New Roman"/>
          <w:b/>
          <w:color w:val="000000" w:themeColor="text1"/>
          <w:szCs w:val="21"/>
          <w14:textFill>
            <w14:solidFill>
              <w14:schemeClr w14:val="tx1"/>
            </w14:solidFill>
          </w14:textFill>
        </w:rPr>
        <w:t>1.4为确保网上操作合法、有效和安全，</w:t>
      </w:r>
      <w:r>
        <w:rPr>
          <w:rFonts w:hint="eastAsia" w:ascii="宋体" w:hAnsi="宋体" w:eastAsia="宋体" w:cs="Times New Roman"/>
          <w:b/>
          <w:color w:val="000000" w:themeColor="text1"/>
          <w:szCs w:val="21"/>
          <w14:textFill>
            <w14:solidFill>
              <w14:schemeClr w14:val="tx1"/>
            </w14:solidFill>
          </w14:textFill>
        </w:rPr>
        <w:t>供应商</w:t>
      </w:r>
      <w:r>
        <w:rPr>
          <w:rFonts w:ascii="宋体" w:hAnsi="宋体" w:eastAsia="宋体" w:cs="Times New Roman"/>
          <w:b/>
          <w:color w:val="000000" w:themeColor="text1"/>
          <w:szCs w:val="21"/>
          <w14:textFill>
            <w14:solidFill>
              <w14:schemeClr w14:val="tx1"/>
            </w14:solidFill>
          </w14:textFill>
        </w:rPr>
        <w:t>应当在</w:t>
      </w:r>
      <w:r>
        <w:rPr>
          <w:rFonts w:hint="eastAsia" w:ascii="宋体" w:hAnsi="宋体" w:eastAsia="宋体" w:cs="Times New Roman"/>
          <w:b/>
          <w:color w:val="000000" w:themeColor="text1"/>
          <w:szCs w:val="21"/>
          <w14:textFill>
            <w14:solidFill>
              <w14:schemeClr w14:val="tx1"/>
            </w14:solidFill>
          </w14:textFill>
        </w:rPr>
        <w:t>响应文件提交截止时间</w:t>
      </w:r>
      <w:r>
        <w:rPr>
          <w:rFonts w:ascii="宋体" w:hAnsi="宋体" w:eastAsia="宋体" w:cs="Times New Roman"/>
          <w:b/>
          <w:color w:val="000000" w:themeColor="text1"/>
          <w:szCs w:val="21"/>
          <w14:textFill>
            <w14:solidFill>
              <w14:schemeClr w14:val="tx1"/>
            </w14:solidFill>
          </w14:textFill>
        </w:rPr>
        <w:t>前完成在“政府采购云平台”的身份认证，确保在电子投标过程中能够对相关数据电文进行加密和使用电子签章。使用“政采云电子交易客户端”需要提前申领CA数字证书，如未申领的</w:t>
      </w:r>
      <w:r>
        <w:rPr>
          <w:rFonts w:hint="eastAsia" w:ascii="宋体" w:hAnsi="宋体" w:eastAsia="宋体" w:cs="Times New Roman"/>
          <w:b/>
          <w:color w:val="000000" w:themeColor="text1"/>
          <w:szCs w:val="21"/>
          <w14:textFill>
            <w14:solidFill>
              <w14:schemeClr w14:val="tx1"/>
            </w14:solidFill>
          </w14:textFill>
        </w:rPr>
        <w:t>供应商</w:t>
      </w:r>
      <w:r>
        <w:rPr>
          <w:rFonts w:ascii="宋体" w:hAnsi="宋体" w:eastAsia="宋体" w:cs="Times New Roman"/>
          <w:b/>
          <w:color w:val="000000" w:themeColor="text1"/>
          <w:szCs w:val="21"/>
          <w14:textFill>
            <w14:solidFill>
              <w14:schemeClr w14:val="tx1"/>
            </w14:solidFill>
          </w14:textFill>
        </w:rPr>
        <w:t>，请注意申领所需时间，以下二种申领流程均可：</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w:t>
      </w:r>
      <w:r>
        <w:rPr>
          <w:rFonts w:ascii="宋体" w:hAnsi="宋体" w:eastAsia="宋体" w:cs="Times New Roman"/>
          <w:b/>
          <w:color w:val="000000" w:themeColor="text1"/>
          <w:szCs w:val="21"/>
          <w14:textFill>
            <w14:solidFill>
              <w14:schemeClr w14:val="tx1"/>
            </w14:solidFill>
          </w14:textFill>
        </w:rPr>
        <w:t>1）请自行前往“浙江政府采购网-下载专区-电子交易客户端-CA驱动和申领流程”进行查阅；（操作指南链接https：//service.zcygov.cn/#/knowledges/cm2eqWwBFdiHxlNd_otq/lwV6GXABiyELHE-oVMj3?keyword=CA）</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w:t>
      </w:r>
      <w:r>
        <w:rPr>
          <w:rFonts w:ascii="宋体" w:hAnsi="宋体" w:eastAsia="宋体" w:cs="Times New Roman"/>
          <w:b/>
          <w:color w:val="000000" w:themeColor="text1"/>
          <w:szCs w:val="21"/>
          <w14:textFill>
            <w14:solidFill>
              <w14:schemeClr w14:val="tx1"/>
            </w14:solidFill>
          </w14:textFill>
        </w:rPr>
        <w:t>2）</w:t>
      </w:r>
      <w:r>
        <w:rPr>
          <w:rFonts w:hint="eastAsia" w:ascii="宋体" w:hAnsi="宋体" w:eastAsia="宋体" w:cs="Times New Roman"/>
          <w:b/>
          <w:color w:val="000000" w:themeColor="text1"/>
          <w:szCs w:val="21"/>
          <w14:textFill>
            <w14:solidFill>
              <w14:schemeClr w14:val="tx1"/>
            </w14:solidFill>
          </w14:textFill>
        </w:rPr>
        <w:t>供应商</w:t>
      </w:r>
      <w:r>
        <w:rPr>
          <w:rFonts w:ascii="宋体" w:hAnsi="宋体" w:eastAsia="宋体" w:cs="Times New Roman"/>
          <w:b/>
          <w:color w:val="000000" w:themeColor="text1"/>
          <w:szCs w:val="21"/>
          <w14:textFill>
            <w14:solidFill>
              <w14:schemeClr w14:val="tx1"/>
            </w14:solidFill>
          </w14:textFill>
        </w:rPr>
        <w:t>应于</w:t>
      </w:r>
      <w:r>
        <w:rPr>
          <w:rFonts w:hint="eastAsia" w:ascii="宋体" w:hAnsi="宋体" w:eastAsia="宋体" w:cs="Times New Roman"/>
          <w:b/>
          <w:color w:val="000000" w:themeColor="text1"/>
          <w:szCs w:val="21"/>
          <w14:textFill>
            <w14:solidFill>
              <w14:schemeClr w14:val="tx1"/>
            </w14:solidFill>
          </w14:textFill>
        </w:rPr>
        <w:t>响应文件提交截止时间</w:t>
      </w:r>
      <w:r>
        <w:rPr>
          <w:rFonts w:ascii="宋体" w:hAnsi="宋体" w:eastAsia="宋体" w:cs="Times New Roman"/>
          <w:b/>
          <w:color w:val="000000" w:themeColor="text1"/>
          <w:szCs w:val="21"/>
          <w14:textFill>
            <w14:solidFill>
              <w14:schemeClr w14:val="tx1"/>
            </w14:solidFill>
          </w14:textFill>
        </w:rPr>
        <w:t>前登录余姚招投标项目专用数字证书用户自助申报系统（网址：http：//www.tseal.cn/tcloud/yyztb.xhtml?statusCode=303）完成“数字证书”及电子公章办理工作（发证单位杭州天谷信息科技有限公司咨询电话：400-0878-198），用于电子投标。</w:t>
      </w:r>
    </w:p>
    <w:p>
      <w:pPr>
        <w:wordWrap w:val="0"/>
        <w:spacing w:line="400" w:lineRule="exact"/>
        <w:ind w:firstLine="422"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因未注册入库、未办理CA数字证书等原因造成无法投标或投标失败等后果由供应商自行承担。</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1</w:t>
      </w:r>
      <w:r>
        <w:rPr>
          <w:rFonts w:hint="eastAsia" w:ascii="宋体" w:hAnsi="宋体" w:eastAsia="宋体" w:cs="Times New Roman"/>
          <w:color w:val="000000" w:themeColor="text1"/>
          <w:szCs w:val="21"/>
          <w14:textFill>
            <w14:solidFill>
              <w14:schemeClr w14:val="tx1"/>
            </w14:solidFill>
          </w14:textFill>
        </w:rPr>
        <w:t>.5</w:t>
      </w:r>
      <w:r>
        <w:rPr>
          <w:rFonts w:hint="eastAsia" w:ascii="宋体" w:hAnsi="宋体" w:eastAsia="宋体" w:cs="Times New Roman"/>
          <w:b/>
          <w:color w:val="000000" w:themeColor="text1"/>
          <w:szCs w:val="21"/>
          <w14:textFill>
            <w14:solidFill>
              <w14:schemeClr w14:val="tx1"/>
            </w14:solidFill>
          </w14:textFill>
        </w:rPr>
        <w:t>供应商通过政采云电子交易客户端（下载位置：浙江政府采购网→下载专区→电子交易客户端→政采云电子交易客户端）制作响应文件，</w:t>
      </w:r>
      <w:r>
        <w:rPr>
          <w:rFonts w:hint="eastAsia" w:ascii="宋体" w:hAnsi="宋体" w:eastAsia="宋体" w:cs="Times New Roman"/>
          <w:color w:val="000000" w:themeColor="text1"/>
          <w:szCs w:val="21"/>
          <w14:textFill>
            <w14:solidFill>
              <w14:schemeClr w14:val="tx1"/>
            </w14:solidFill>
          </w14:textFill>
        </w:rPr>
        <w:t>响应文件制作具体流程详见本采购公告附件：《供应商政府采购项目电子交易操作指南》。</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1</w:t>
      </w:r>
      <w:r>
        <w:rPr>
          <w:rFonts w:hint="eastAsia" w:ascii="宋体" w:hAnsi="宋体" w:eastAsia="宋体" w:cs="Times New Roman"/>
          <w:color w:val="000000" w:themeColor="text1"/>
          <w:szCs w:val="21"/>
          <w14:textFill>
            <w14:solidFill>
              <w14:schemeClr w14:val="tx1"/>
            </w14:solidFill>
          </w14:textFill>
        </w:rPr>
        <w:t>.6供应商在使用电子交易平台进行磋商响应的过程中遇到涉及平台使用的任何问题，可致电政府采购云平台技术支持热线咨询，联系方式：400-881-7190（服务时间：工作日8：00-20：00）。</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1.7 CA问题联系电话（人工）：汇信CA 400-888-4636；天谷CA 400-087-8198。</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ascii="宋体" w:hAnsi="宋体" w:eastAsia="宋体" w:cs="Times New Roman"/>
          <w:b/>
          <w:color w:val="000000" w:themeColor="text1"/>
          <w:szCs w:val="21"/>
          <w14:textFill>
            <w14:solidFill>
              <w14:schemeClr w14:val="tx1"/>
            </w14:solidFill>
          </w14:textFill>
        </w:rPr>
        <w:t>1.8</w:t>
      </w:r>
      <w:r>
        <w:rPr>
          <w:rFonts w:hint="eastAsia" w:ascii="宋体" w:hAnsi="宋体" w:eastAsia="宋体" w:cs="Times New Roman"/>
          <w:b/>
          <w:color w:val="000000" w:themeColor="text1"/>
          <w:szCs w:val="21"/>
          <w14:textFill>
            <w14:solidFill>
              <w14:schemeClr w14:val="tx1"/>
            </w14:solidFill>
          </w14:textFill>
        </w:rPr>
        <w:t>供应商</w:t>
      </w:r>
      <w:r>
        <w:rPr>
          <w:rFonts w:ascii="宋体" w:hAnsi="宋体" w:eastAsia="宋体" w:cs="Times New Roman"/>
          <w:b/>
          <w:color w:val="000000" w:themeColor="text1"/>
          <w:szCs w:val="21"/>
          <w14:textFill>
            <w14:solidFill>
              <w14:schemeClr w14:val="tx1"/>
            </w14:solidFill>
          </w14:textFill>
        </w:rPr>
        <w:t>可自行前往浙江省“项目采购电子交易系统/不见面开评标”学习专题（https：//edu.zcygov.cn/luban/e-biding）进行学习。</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ascii="宋体" w:hAnsi="宋体" w:eastAsia="宋体" w:cs="Times New Roman"/>
          <w:b/>
          <w:color w:val="000000" w:themeColor="text1"/>
          <w:szCs w:val="21"/>
          <w14:textFill>
            <w14:solidFill>
              <w14:schemeClr w14:val="tx1"/>
            </w14:solidFill>
          </w14:textFill>
        </w:rPr>
        <w:t>2</w:t>
      </w:r>
      <w:r>
        <w:rPr>
          <w:rFonts w:hint="eastAsia" w:ascii="宋体" w:hAnsi="宋体" w:eastAsia="宋体" w:cs="Times New Roman"/>
          <w:b/>
          <w:color w:val="000000" w:themeColor="text1"/>
          <w:szCs w:val="21"/>
          <w14:textFill>
            <w14:solidFill>
              <w14:schemeClr w14:val="tx1"/>
            </w14:solidFill>
          </w14:textFill>
        </w:rPr>
        <w:t>.响应文件的形式及电子响应文件上传要求</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2</w:t>
      </w:r>
      <w:r>
        <w:rPr>
          <w:rFonts w:hint="eastAsia" w:ascii="宋体" w:hAnsi="宋体" w:eastAsia="宋体" w:cs="Times New Roman"/>
          <w:color w:val="000000" w:themeColor="text1"/>
          <w:szCs w:val="21"/>
          <w14:textFill>
            <w14:solidFill>
              <w14:schemeClr w14:val="tx1"/>
            </w14:solidFill>
          </w14:textFill>
        </w:rPr>
        <w:t>.1</w:t>
      </w:r>
      <w:r>
        <w:rPr>
          <w:rFonts w:hint="eastAsia" w:ascii="宋体" w:hAnsi="宋体" w:eastAsia="宋体" w:cs="Times New Roman"/>
          <w:b/>
          <w:color w:val="000000" w:themeColor="text1"/>
          <w:szCs w:val="21"/>
          <w14:textFill>
            <w14:solidFill>
              <w14:schemeClr w14:val="tx1"/>
            </w14:solidFill>
          </w14:textFill>
        </w:rPr>
        <w:t>响应文件的形式为电子加密响应文件（后缀jmbs），</w:t>
      </w:r>
      <w:r>
        <w:rPr>
          <w:rFonts w:hint="eastAsia" w:ascii="宋体" w:hAnsi="宋体" w:eastAsia="宋体" w:cs="Times New Roman"/>
          <w:color w:val="000000" w:themeColor="text1"/>
          <w:szCs w:val="21"/>
          <w14:textFill>
            <w14:solidFill>
              <w14:schemeClr w14:val="tx1"/>
            </w14:solidFill>
          </w14:textFill>
        </w:rPr>
        <w:t>按《供应商政府采购项目电子交易操作指南》及本采购文件规定的格式和顺序编制并进行关联定位、加密并在响应文件提交截止时间前上传。供应商在响应文件提交截止时间前需要对电子响应文件进行补充、修改的，应当使用政采云电子交易客户端重新制作并上传。响应文件提交截止时间后供应商不得撤回响应文件。</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3.电子招投标开启及评审程序</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3.1参加采购的供应商须在开启时间后30分钟内完成响应文件解密工作</w:t>
      </w:r>
      <w:r>
        <w:rPr>
          <w:rFonts w:hint="eastAsia" w:ascii="宋体" w:hAnsi="宋体" w:eastAsia="宋体" w:cs="Times New Roman"/>
          <w:b/>
          <w:color w:val="000000" w:themeColor="text1"/>
          <w:szCs w:val="21"/>
          <w14:textFill>
            <w14:solidFill>
              <w14:schemeClr w14:val="tx1"/>
            </w14:solidFill>
          </w14:textFill>
        </w:rPr>
        <w:t>（用制作响应文件时同一数字认证证书（CA证书）。</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3.2供应商不足3家，不进入解密程序。</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3.3对在规定期限内解密的电子响应文件进行电子评审。</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3.4评审过程中，采购人有权就响应文件中含混之处向供应商提出询标或澄清要求，供应商应当在规定时间内在电子交易平台上做出答复，相关答复将作为响应文件的一部分，供应商对响应文件的澄清不得改变价格及实质内容。</w:t>
      </w:r>
    </w:p>
    <w:p>
      <w:pPr>
        <w:wordWrap w:val="0"/>
        <w:spacing w:line="400" w:lineRule="exact"/>
        <w:ind w:firstLine="420" w:firstLineChars="200"/>
        <w:rPr>
          <w:rFonts w:ascii="宋体" w:hAnsi="宋体" w:eastAsia="宋体" w:cs="Times New Roman"/>
          <w:color w:val="000000" w:themeColor="text1"/>
          <w:szCs w:val="21"/>
          <w:highlight w:val="green"/>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3.5采购过程中出现以下情形，导致电子交易平台无法正常运行，且无法保证电子交易的公平、公正和安全时，采购组织机构可中止电子交易活动：</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3.5.1电子交易平台发生故障而无法登录访问的；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3.5.2电子交易平台应用或数据库出现错误，不能进行正常操作的；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3.5.3电子交易平台发现严重安全漏洞，有潜在泄密危险的；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3.5.4病毒发作导致不能进行正常操作的；</w:t>
      </w:r>
    </w:p>
    <w:p>
      <w:pPr>
        <w:wordWrap w:val="0"/>
        <w:spacing w:line="400" w:lineRule="exact"/>
        <w:ind w:firstLine="420" w:firstLineChars="200"/>
        <w:rPr>
          <w:rFonts w:ascii="宋体" w:hAnsi="宋体" w:eastAsia="宋体" w:cs="Times New Roman"/>
          <w:color w:val="000000" w:themeColor="text1"/>
          <w:szCs w:val="21"/>
          <w:highlight w:val="green"/>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3.5.5其他无法保证电子交易的公平、公正和安全的情况。</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出现前款规定情形，不影响采购公平、公正性的，采购组织机构可以待上述情形消除后继续组织电子交易活动；影响或可能影响采购公平、公正性的，应当重新采购。</w:t>
      </w:r>
    </w:p>
    <w:p>
      <w:pPr>
        <w:wordWrap w:val="0"/>
        <w:spacing w:line="400" w:lineRule="exact"/>
        <w:ind w:firstLine="422" w:firstLineChars="200"/>
        <w:rPr>
          <w:rFonts w:ascii="宋体" w:hAnsi="宋体" w:eastAsia="宋体" w:cs="Times New Roman"/>
          <w:b/>
          <w:color w:val="FF0000"/>
          <w:szCs w:val="21"/>
        </w:rPr>
      </w:pPr>
      <w:r>
        <w:rPr>
          <w:rFonts w:hint="eastAsia" w:ascii="宋体" w:hAnsi="宋体" w:eastAsia="宋体" w:cs="Times New Roman"/>
          <w:b/>
          <w:color w:val="000000" w:themeColor="text1"/>
          <w:szCs w:val="21"/>
          <w14:textFill>
            <w14:solidFill>
              <w14:schemeClr w14:val="tx1"/>
            </w14:solidFill>
          </w14:textFill>
        </w:rPr>
        <w:t>4.本“电子招投标规程及注意事项”涉及的CA驱动和申领流程、政采云电子交易客户端、《供应商政府采购项目电子交易操作指南》，如遇版本更新或升级，以浙江政府采购网（</w:t>
      </w:r>
      <w:r>
        <w:rPr>
          <w:rFonts w:ascii="宋体" w:hAnsi="宋体" w:eastAsia="宋体" w:cs="Times New Roman"/>
          <w:b/>
          <w:color w:val="000000" w:themeColor="text1"/>
          <w:szCs w:val="21"/>
          <w14:textFill>
            <w14:solidFill>
              <w14:schemeClr w14:val="tx1"/>
            </w14:solidFill>
          </w14:textFill>
        </w:rPr>
        <w:t>http：//zfcg.czt.zj.gov.cn/</w:t>
      </w:r>
      <w:r>
        <w:rPr>
          <w:rFonts w:hint="eastAsia" w:ascii="宋体" w:hAnsi="宋体" w:eastAsia="宋体" w:cs="Times New Roman"/>
          <w:b/>
          <w:color w:val="000000" w:themeColor="text1"/>
          <w:szCs w:val="21"/>
          <w14:textFill>
            <w14:solidFill>
              <w14:schemeClr w14:val="tx1"/>
            </w14:solidFill>
          </w14:textFill>
        </w:rPr>
        <w:t>）和政府采购云平台（</w:t>
      </w:r>
      <w:r>
        <w:rPr>
          <w:rFonts w:ascii="宋体" w:hAnsi="宋体" w:eastAsia="宋体" w:cs="Times New Roman"/>
          <w:b/>
          <w:color w:val="000000" w:themeColor="text1"/>
          <w:szCs w:val="21"/>
          <w14:textFill>
            <w14:solidFill>
              <w14:schemeClr w14:val="tx1"/>
            </w14:solidFill>
          </w14:textFill>
        </w:rPr>
        <w:t>https：//www.zcygov.cn/</w:t>
      </w:r>
      <w:r>
        <w:rPr>
          <w:rFonts w:hint="eastAsia" w:ascii="宋体" w:hAnsi="宋体" w:eastAsia="宋体" w:cs="Times New Roman"/>
          <w:b/>
          <w:color w:val="000000" w:themeColor="text1"/>
          <w:szCs w:val="21"/>
          <w14:textFill>
            <w14:solidFill>
              <w14:schemeClr w14:val="tx1"/>
            </w14:solidFill>
          </w14:textFill>
        </w:rPr>
        <w:t>）为准。</w:t>
      </w:r>
    </w:p>
    <w:p>
      <w:pPr>
        <w:jc w:val="left"/>
        <w:rPr>
          <w:rFonts w:ascii="宋体" w:hAnsi="宋体" w:eastAsia="宋体" w:cs="Times New Roman"/>
          <w:color w:val="000000" w:themeColor="text1"/>
          <w:szCs w:val="21"/>
          <w14:textFill>
            <w14:solidFill>
              <w14:schemeClr w14:val="tx1"/>
            </w14:solidFill>
          </w14:textFill>
        </w:rPr>
        <w:sectPr>
          <w:pgSz w:w="11906" w:h="16838"/>
          <w:pgMar w:top="1418" w:right="1418" w:bottom="1418" w:left="1418" w:header="851" w:footer="992" w:gutter="0"/>
          <w:cols w:space="425" w:num="1"/>
          <w:docGrid w:type="lines" w:linePitch="312" w:charSpace="0"/>
        </w:sectPr>
      </w:pPr>
    </w:p>
    <w:p>
      <w:pPr>
        <w:wordWrap w:val="0"/>
        <w:spacing w:line="400" w:lineRule="exact"/>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一、总则</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（一）项目概况</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1</w:t>
      </w:r>
      <w:r>
        <w:rPr>
          <w:rFonts w:hint="eastAsia" w:ascii="宋体" w:hAnsi="宋体" w:eastAsia="宋体" w:cs="Times New Roman"/>
          <w:color w:val="000000" w:themeColor="text1"/>
          <w:szCs w:val="21"/>
          <w14:textFill>
            <w14:solidFill>
              <w14:schemeClr w14:val="tx1"/>
            </w14:solidFill>
          </w14:textFill>
        </w:rPr>
        <w:t>.本项目为政府采购项目，采用竞争性磋商采购方式。项目根据《中华人民共和国政府采购法》、《中华人民共和国政府采购法实施条例》、《政府采购竞争性磋商采购方式管理暂行办法》等有关规定执行。</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2.采购人委托宁波舜兴招标代理有限公司代理本次采购项目。有关采购人、采购代理机构的名称、联系人、联系电话、联系地址及项目有关信息等载明在《供应商须知前附表》中。</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（二）关于分公司的磋商响应</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除银行、保险、石油石化、电力、电信、移动、联通等特殊行业外，法人的分支机构由于不能独立承担民事责任，不能以分支机构的身份参加采购。</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（三）合格的供应商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合格的供应商除了满足《供应商须知前附表》第5项的要求外，还需对本采购文件各项要求作出实质性响应。</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（四）供应商代表</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1.如供应商代表不是法定代表人的，须有法定代表人出具的授权书，供应商代表应具有有效身份证明（在响应文件中以法定代表人身份证明书及法定代表人授权书形式体现）。</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2.两家及以上的供应商不得在同一合同项下的采购项目中，同时委托同一个自然人、同一家庭的人员、同一单位的人员作为其代表，否则，其响应文件作为无效处理。</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（五）磋商响应费用</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不论采购结果如何，供应商自行承担其参加本次磋商有关的全部费用（采购文件如有相反的规定除外）。</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（六）联合体</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1.本项目不限制中型企业与小微企业组成联合体、小微企业与小微企业组成联合体参与响应。</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供应商以联合体形式进行政府采购的，参加联合体的供应商均应当符合资格审查要求，并应当向采购人提交《联合体协议书》，载明联合体各方承担的工作和义务。联合体各方应当共同与采购人签订采购合同，就采购合同约定的事项对采购人承担连带责任。</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（七）知识产权</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1</w:t>
      </w:r>
      <w:r>
        <w:rPr>
          <w:rFonts w:hint="eastAsia" w:ascii="宋体" w:hAnsi="宋体" w:eastAsia="宋体" w:cs="Times New Roman"/>
          <w:color w:val="000000" w:themeColor="text1"/>
          <w:szCs w:val="21"/>
          <w14:textFill>
            <w14:solidFill>
              <w14:schemeClr w14:val="tx1"/>
            </w14:solidFill>
          </w14:textFill>
        </w:rPr>
        <w:t>.供应商应保证磋商响应过程中不会侵犯任何第三方的知识产权。如若发生侵权事件，其侵权责任与采购人及采购代理机构无关，由供应商承担全部责任。侵权造成的所有相关费用，均由供应商支付，保证不伤害采购人及采购代理机构的利益，若采购人及采购代理机构因此而遭受损失的，供应商应赔偿该损失。</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2.如在磋商响应过程中采用供应商所不拥有的知识产权，则自行承担合法获取该知识产权的相关费用。</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3.如打算在项目实施过程中采用供应商所不拥有的知识产权，则在报价中必须包括合法获取该知识产权的相关费用。</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（八）转包或分包</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1.本项目不允许转包，当分包金额占到合同金额的100%时视为转包。</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2.本项目不限制中型企业向小微企业、小微企业向小微企业合理分包。</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3.成交供应商可以将项目的非主体、非关键性工作合理分包，分包供应不得再次分包。</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成交供应商可以依法采取合理分包方式履行合同，采购人不得限制成交供应商的合理分包行为。政府采购合同分包履行的，成交供应商对采购项目和分包项目向采购人负责，分包供应商对分包项目向采购人负责。</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（九）特别说明</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1</w:t>
      </w:r>
      <w:r>
        <w:rPr>
          <w:rFonts w:hint="eastAsia" w:ascii="宋体" w:hAnsi="宋体" w:eastAsia="宋体" w:cs="Times New Roman"/>
          <w:color w:val="000000" w:themeColor="text1"/>
          <w:szCs w:val="21"/>
          <w14:textFill>
            <w14:solidFill>
              <w14:schemeClr w14:val="tx1"/>
            </w14:solidFill>
          </w14:textFill>
        </w:rPr>
        <w:t>.供应商磋商响应所使用的资格、信誉、荣誉、业绩及企业认证等必须为本单位所拥有；供应商磋商响应所使用的采购项目实施人员必须为本单位员工。</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2.供应商在采购活动中提供虚假材料、失实材料的，其磋商响应无效，并报监管部门查处，自行承担有关法律责任，并视情况列入政府采购严重违法失信行为记录名单。</w:t>
      </w:r>
    </w:p>
    <w:p>
      <w:pPr>
        <w:wordWrap w:val="0"/>
        <w:spacing w:line="400" w:lineRule="exact"/>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二、采购文件</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采购文件是供应商编制响应文件的依据，是磋商小组评审的依据和标准。采购文件也是采购人与成交供应商签订合同的基础。</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（一）采购文件的组成</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第一章 竞争性磋商公告；</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第二章 采购内容及要求；</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第三章 供应商须知；</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第四章 评审办法及标准；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第五章 合同文本；</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第六章 响应文件格式；</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第七章 本项目采购文件的澄清、修改等内容（如有）。</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（二）采购文件的澄清与修改</w:t>
      </w:r>
    </w:p>
    <w:p>
      <w:pPr>
        <w:wordWrap w:val="0"/>
        <w:spacing w:line="400" w:lineRule="exact"/>
        <w:ind w:firstLine="420" w:firstLineChars="200"/>
        <w:rPr>
          <w:rFonts w:ascii="宋体" w:hAnsi="宋体" w:eastAsia="宋体" w:cs="Times New Roman"/>
          <w:color w:val="FF0000"/>
          <w:szCs w:val="21"/>
        </w:rPr>
      </w:pPr>
      <w:r>
        <w:rPr>
          <w:rFonts w:hint="eastAsia" w:ascii="宋体" w:hAnsi="宋体" w:eastAsia="宋体" w:cs="Times New Roman"/>
          <w:color w:val="000000" w:themeColor="text1"/>
          <w:szCs w:val="21"/>
          <w14:textFill>
            <w14:solidFill>
              <w14:schemeClr w14:val="tx1"/>
            </w14:solidFill>
          </w14:textFill>
        </w:rPr>
        <w:t>1.提交首次响应文件截止之日前，采购人、采购代理机构可以对已发出的采购文件进行必要的澄清或者修改。澄清或者修改的内容可能影响响应文件编制的，采购人、采购代理机构应当在提交首次响应文件截止时间至少5日前，以不包含问题来源的更正公告形式在省级以上财政部门指定的政府采购信息发布媒体上发布，视同送达所有潜在供应商，不足5日的，采购人、采购代理机构应当顺延提交首次响应文件截止时间。</w:t>
      </w:r>
    </w:p>
    <w:p>
      <w:pPr>
        <w:wordWrap w:val="0"/>
        <w:spacing w:line="400" w:lineRule="exact"/>
        <w:ind w:firstLine="420" w:firstLineChars="200"/>
        <w:rPr>
          <w:rFonts w:ascii="宋体" w:hAnsi="宋体" w:eastAsia="宋体" w:cs="Times New Roman"/>
          <w:color w:val="FF0000"/>
          <w:szCs w:val="21"/>
        </w:rPr>
      </w:pPr>
      <w:r>
        <w:rPr>
          <w:rFonts w:hint="eastAsia" w:ascii="宋体" w:hAnsi="宋体" w:eastAsia="宋体" w:cs="Times New Roman"/>
          <w:color w:val="000000" w:themeColor="text1"/>
          <w:szCs w:val="21"/>
          <w14:textFill>
            <w14:solidFill>
              <w14:schemeClr w14:val="tx1"/>
            </w14:solidFill>
          </w14:textFill>
        </w:rPr>
        <w:t>2.采购文件的澄清或者修改的内容作为采购文件的组成部分，当采购文件与采购文件澄清、修改的更正公告就同一内容的表述不一致时，以最后发布的更正公告内容为准。</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（三）采购文件的质疑与投诉</w:t>
      </w:r>
    </w:p>
    <w:p>
      <w:pPr>
        <w:wordWrap w:val="0"/>
        <w:spacing w:line="400" w:lineRule="exact"/>
        <w:ind w:firstLine="420" w:firstLineChars="200"/>
        <w:rPr>
          <w:rFonts w:ascii="宋体" w:hAnsi="宋体" w:eastAsia="宋体" w:cs="Times New Roman"/>
          <w:color w:val="FF0000"/>
          <w:szCs w:val="21"/>
        </w:rPr>
      </w:pPr>
      <w:r>
        <w:rPr>
          <w:rFonts w:hint="eastAsia" w:ascii="宋体" w:hAnsi="宋体" w:eastAsia="宋体" w:cs="Times New Roman"/>
          <w:color w:val="000000" w:themeColor="text1"/>
          <w:szCs w:val="21"/>
          <w14:textFill>
            <w14:solidFill>
              <w14:schemeClr w14:val="tx1"/>
            </w14:solidFill>
          </w14:textFill>
        </w:rPr>
        <w:t>1.潜在供应商已依法获取其可质疑的采购文件的，可以对该文件提出质疑。对采购文件提出质疑的，应当在获取采购文件或者采购文件公告期限届满之日（获取采购文件晚于采购文件公告期限届满之日的，以采购文件公告期限届满之日起算）起七个工作日内以书面形式向采购人、采购代理机构提出质疑。质疑供应商对采购人、采购代理机构的答复不满意，或者采购人、采购代理机构未在规定时间内作出答复的，可以在答复期满后十五个工作日内向同级政府采购监督管理部门（余姚市财政局）投诉，质疑与投诉根据“财政部令第94号《政府采购质疑和投诉办法》”执行。</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2.供应商应在法定质疑期内一次性提出针对同一采购程序环节的质疑。</w:t>
      </w:r>
    </w:p>
    <w:p>
      <w:pPr>
        <w:wordWrap w:val="0"/>
        <w:spacing w:line="400" w:lineRule="exact"/>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三、响应文件的编制</w:t>
      </w:r>
    </w:p>
    <w:p>
      <w:pPr>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（一）响应文件的组成</w:t>
      </w:r>
      <w:r>
        <w:rPr>
          <w:rFonts w:hint="eastAsia" w:ascii="宋体" w:hAnsi="宋体" w:eastAsia="宋体"/>
          <w:b/>
          <w:bCs/>
          <w:color w:val="000000" w:themeColor="text1"/>
          <w:szCs w:val="21"/>
          <w:shd w:val="clear" w:color="auto" w:fill="BEBEBE" w:themeFill="background1" w:themeFillShade="BF"/>
          <w14:textFill>
            <w14:solidFill>
              <w14:schemeClr w14:val="tx1"/>
            </w14:solidFill>
          </w14:textFill>
        </w:rPr>
        <w:t>（带▲的内容必须按要求提供，否则作无效标处理）</w:t>
      </w:r>
    </w:p>
    <w:p>
      <w:pPr>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响应文件由资格文件、报价文件和商务技术文件三方面组成。</w:t>
      </w:r>
    </w:p>
    <w:p>
      <w:pPr>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1.资格文件：</w:t>
      </w:r>
      <w:r>
        <w:rPr>
          <w:rFonts w:hint="eastAsia" w:ascii="宋体" w:hAnsi="宋体" w:eastAsia="宋体"/>
          <w:b/>
          <w:bCs/>
          <w:color w:val="000000" w:themeColor="text1"/>
          <w:szCs w:val="21"/>
          <w:shd w:val="clear" w:color="auto" w:fill="BEBEBE" w:themeFill="background1" w:themeFillShade="BF"/>
          <w14:textFill>
            <w14:solidFill>
              <w14:schemeClr w14:val="tx1"/>
            </w14:solidFill>
          </w14:textFill>
        </w:rPr>
        <w:t>（供应商为联合体的提供联合体牵头人及联合体所有成员的资格文件证明材料）</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w:t>
      </w:r>
      <w:r>
        <w:rPr>
          <w:rFonts w:hint="eastAsia" w:ascii="宋体" w:hAnsi="宋体" w:eastAsia="宋体"/>
          <w:color w:val="000000" w:themeColor="text1"/>
          <w:szCs w:val="21"/>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合格供应商的承诺书（附件一）；</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w:t>
      </w:r>
      <w:r>
        <w:rPr>
          <w:rFonts w:hint="eastAsia" w:ascii="宋体" w:hAnsi="宋体" w:eastAsia="宋体"/>
          <w:color w:val="000000" w:themeColor="text1"/>
          <w:szCs w:val="21"/>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有效的营业执照或事业单位法人证书复印件；</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w:t>
      </w:r>
      <w:r>
        <w:rPr>
          <w:rFonts w:hint="eastAsia" w:ascii="宋体" w:hAnsi="宋体" w:eastAsia="宋体"/>
          <w:color w:val="000000" w:themeColor="text1"/>
          <w:szCs w:val="21"/>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2022年12月1日以来任意一段时间供应商的财务报表复印件或其基本开户银行出具的资信证明材料复印件或供应商提供符合“具有良好的商业信誉和健全的财务会计制度”的书面承诺；</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w:t>
      </w:r>
      <w:r>
        <w:rPr>
          <w:rFonts w:hint="eastAsia" w:ascii="宋体" w:hAnsi="宋体" w:eastAsia="宋体"/>
          <w:color w:val="000000" w:themeColor="text1"/>
          <w:szCs w:val="21"/>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2022年12月1日以来任意一个月供应商缴纳税收的凭据证明材料复印件或供应商提供符合“有依法缴纳税收的良好记录”的书面承诺；如依法免税的，应提供相应文件证明其依法免税；</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（5）</w:t>
      </w:r>
      <w:r>
        <w:rPr>
          <w:rFonts w:hint="eastAsia" w:ascii="宋体" w:hAnsi="宋体" w:eastAsia="宋体"/>
          <w:color w:val="000000" w:themeColor="text1"/>
          <w:szCs w:val="21"/>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2022年12月1日以来任意一个月供应商缴纳社会保险的凭据证明材料复印件或供应商提供符合“有依法缴纳社会保障资金的良好记录”的书面承诺；如依法不需要缴纳社会保障资金的，应提供相应文件证明其依法不需要缴纳社会保障资金；</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（6）</w:t>
      </w:r>
      <w:r>
        <w:rPr>
          <w:rFonts w:hint="eastAsia" w:ascii="宋体" w:hAnsi="宋体" w:eastAsia="宋体"/>
          <w:color w:val="000000" w:themeColor="text1"/>
          <w:szCs w:val="21"/>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供应商基本情况表（附件二）；</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（7）联合体协议书</w:t>
      </w:r>
      <w:r>
        <w:rPr>
          <w:rFonts w:hint="eastAsia" w:ascii="宋体" w:hAnsi="宋体" w:eastAsia="宋体"/>
          <w:b/>
          <w:bCs/>
          <w:color w:val="000000" w:themeColor="text1"/>
          <w:szCs w:val="21"/>
          <w:shd w:val="clear" w:color="auto" w:fill="BEBEBE" w:themeFill="background1" w:themeFillShade="BF"/>
          <w14:textFill>
            <w14:solidFill>
              <w14:schemeClr w14:val="tx1"/>
            </w14:solidFill>
          </w14:textFill>
        </w:rPr>
        <w:t>（供应商以联合体方式响应的必须提供联合体协议书，否则作无效标处理）</w:t>
      </w:r>
      <w:r>
        <w:rPr>
          <w:rFonts w:hint="eastAsia" w:ascii="宋体" w:hAnsi="宋体" w:eastAsia="宋体" w:cs="Times New Roman"/>
          <w:color w:val="000000" w:themeColor="text1"/>
          <w:szCs w:val="21"/>
          <w14:textFill>
            <w14:solidFill>
              <w14:schemeClr w14:val="tx1"/>
            </w14:solidFill>
          </w14:textFill>
        </w:rPr>
        <w:t>（附件三）；</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（8）供应商认为需提供的其他资格审查资料。</w:t>
      </w:r>
    </w:p>
    <w:p>
      <w:pPr>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2.报价文件：</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（1）▲初次报价表（附件四）；</w:t>
      </w:r>
    </w:p>
    <w:p>
      <w:pPr>
        <w:wordWrap w:val="0"/>
        <w:spacing w:line="400" w:lineRule="exact"/>
        <w:ind w:firstLine="420" w:firstLineChars="20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r>
        <w:rPr>
          <w:rFonts w:hint="eastAsia" w:ascii="宋体" w:hAnsi="宋体" w:eastAsia="宋体" w:cs="Times New Roman"/>
          <w:color w:val="000000" w:themeColor="text1"/>
          <w:szCs w:val="21"/>
          <w14:textFill>
            <w14:solidFill>
              <w14:schemeClr w14:val="tx1"/>
            </w14:solidFill>
          </w14:textFill>
        </w:rPr>
        <w:t>▲</w:t>
      </w:r>
      <w:r>
        <w:rPr>
          <w:rFonts w:hint="eastAsia" w:ascii="宋体" w:hAnsi="宋体" w:eastAsia="宋体" w:cs="宋体"/>
          <w:color w:val="000000" w:themeColor="text1"/>
          <w:szCs w:val="21"/>
          <w14:textFill>
            <w14:solidFill>
              <w14:schemeClr w14:val="tx1"/>
            </w14:solidFill>
          </w14:textFill>
        </w:rPr>
        <w:t>报价明细表（附件五）；</w:t>
      </w:r>
    </w:p>
    <w:p>
      <w:pPr>
        <w:wordWrap w:val="0"/>
        <w:spacing w:line="400" w:lineRule="exact"/>
        <w:ind w:firstLine="420" w:firstLineChars="20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（3）中小企业声明函（如满足要求则提供）（附件六）；</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（4）残疾人福利性单位声明函（如满足要求则提供）（附件六-1）；</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（5）分包意向协议</w:t>
      </w:r>
      <w:r>
        <w:rPr>
          <w:rFonts w:hint="eastAsia" w:ascii="宋体" w:hAnsi="宋体" w:eastAsia="宋体" w:cs="Times New Roman"/>
          <w:b/>
          <w:bCs/>
          <w:color w:val="000000" w:themeColor="text1"/>
          <w:szCs w:val="21"/>
          <w14:textFill>
            <w14:solidFill>
              <w14:schemeClr w14:val="tx1"/>
            </w14:solidFill>
          </w14:textFill>
        </w:rPr>
        <w:t>（成交后以合理分包方式履行政府采购合同的，提供分包意向协议）</w:t>
      </w:r>
      <w:r>
        <w:rPr>
          <w:rFonts w:hint="eastAsia" w:ascii="宋体" w:hAnsi="宋体" w:eastAsia="宋体" w:cs="Times New Roman"/>
          <w:color w:val="000000" w:themeColor="text1"/>
          <w:szCs w:val="21"/>
          <w14:textFill>
            <w14:solidFill>
              <w14:schemeClr w14:val="tx1"/>
            </w14:solidFill>
          </w14:textFill>
        </w:rPr>
        <w:t>（附件七）；</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（6）供应商认为需提供的其他资料。</w:t>
      </w:r>
    </w:p>
    <w:p>
      <w:pPr>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3.商务技术文件：</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w:t>
      </w:r>
      <w:r>
        <w:rPr>
          <w:rFonts w:hint="eastAsia" w:ascii="宋体" w:hAnsi="宋体" w:eastAsia="宋体"/>
          <w:color w:val="000000" w:themeColor="text1"/>
          <w:szCs w:val="21"/>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磋商响应函（附件八）；</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（2）▲法定代表人身份证明书（附件九-1）；</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（3）▲供应商代表若非法定代表人的须提供法定代表人授权书（附件九-2）；</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（4）▲服务要求、商务要求及合同条款偏离表（附件十）；</w:t>
      </w:r>
    </w:p>
    <w:p>
      <w:pPr>
        <w:wordWrap w:val="0"/>
        <w:spacing w:line="400" w:lineRule="exact"/>
        <w:ind w:firstLine="420" w:firstLineChars="20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（5）▲品牌、规格型号一览表（附件十一）；</w:t>
      </w:r>
    </w:p>
    <w:p>
      <w:pPr>
        <w:wordWrap w:val="0"/>
        <w:spacing w:line="400" w:lineRule="exact"/>
        <w:ind w:firstLine="420" w:firstLineChars="20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（6）▲技术参数偏离表（附件十二）；</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w:t>
      </w:r>
      <w:r>
        <w:rPr>
          <w:rFonts w:ascii="宋体" w:hAnsi="宋体" w:eastAsia="宋体" w:cs="宋体"/>
          <w:color w:val="000000" w:themeColor="text1"/>
          <w:szCs w:val="21"/>
          <w14:textFill>
            <w14:solidFill>
              <w14:schemeClr w14:val="tx1"/>
            </w14:solidFill>
          </w14:textFill>
        </w:rPr>
        <w:t>7</w:t>
      </w:r>
      <w:r>
        <w:rPr>
          <w:rFonts w:hint="eastAsia" w:ascii="宋体" w:hAnsi="宋体" w:eastAsia="宋体" w:cs="宋体"/>
          <w:color w:val="000000" w:themeColor="text1"/>
          <w:szCs w:val="21"/>
          <w14:textFill>
            <w14:solidFill>
              <w14:schemeClr w14:val="tx1"/>
            </w14:solidFill>
          </w14:textFill>
        </w:rPr>
        <w:t>）</w:t>
      </w:r>
      <w:r>
        <w:rPr>
          <w:rFonts w:hint="eastAsia" w:ascii="宋体" w:hAnsi="宋体" w:eastAsia="宋体"/>
          <w:color w:val="000000" w:themeColor="text1"/>
          <w:szCs w:val="21"/>
          <w14:textFill>
            <w14:solidFill>
              <w14:schemeClr w14:val="tx1"/>
            </w14:solidFill>
          </w14:textFill>
        </w:rPr>
        <w:t>“技术参数”中要求提供的资料；（按评分标准提供）</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（8）无缝对接承诺书</w:t>
      </w:r>
      <w:r>
        <w:rPr>
          <w:rFonts w:hint="eastAsia" w:ascii="宋体" w:hAnsi="宋体" w:eastAsia="宋体" w:cs="宋体"/>
          <w:color w:val="000000" w:themeColor="text1"/>
          <w:szCs w:val="21"/>
          <w14:textFill>
            <w14:solidFill>
              <w14:schemeClr w14:val="tx1"/>
            </w14:solidFill>
          </w14:textFill>
        </w:rPr>
        <w:t>（附件十三）</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（9）同类项目业绩；（按评审标准提供）</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（10）</w:t>
      </w:r>
      <w:r>
        <w:rPr>
          <w:rFonts w:hint="eastAsia" w:ascii="宋体" w:hAnsi="宋体"/>
          <w:color w:val="000000" w:themeColor="text1"/>
          <w:szCs w:val="21"/>
          <w14:textFill>
            <w14:solidFill>
              <w14:schemeClr w14:val="tx1"/>
            </w14:solidFill>
          </w14:textFill>
        </w:rPr>
        <w:t>证书</w:t>
      </w:r>
      <w:r>
        <w:rPr>
          <w:rFonts w:hint="eastAsia" w:ascii="宋体" w:hAnsi="宋体" w:eastAsia="宋体" w:cs="Times New Roman"/>
          <w:color w:val="000000" w:themeColor="text1"/>
          <w:szCs w:val="21"/>
          <w14:textFill>
            <w14:solidFill>
              <w14:schemeClr w14:val="tx1"/>
            </w14:solidFill>
          </w14:textFill>
        </w:rPr>
        <w:t>；（按评审标准提供）</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（11）工作人员综合情况；（按评审标准提供）</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（12）所投产品综合情况；（按评审标准提供）</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（13）实施方案；（按评审标准提供）</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（14）</w:t>
      </w:r>
      <w:r>
        <w:rPr>
          <w:rFonts w:hint="eastAsia" w:ascii="宋体" w:hAnsi="宋体" w:eastAsia="宋体" w:cs="Times New Roman"/>
          <w:color w:val="000000" w:themeColor="text1"/>
          <w:kern w:val="0"/>
          <w:szCs w:val="21"/>
          <w14:textFill>
            <w14:solidFill>
              <w14:schemeClr w14:val="tx1"/>
            </w14:solidFill>
          </w14:textFill>
        </w:rPr>
        <w:t>培训方案</w:t>
      </w:r>
      <w:r>
        <w:rPr>
          <w:rFonts w:hint="eastAsia" w:ascii="宋体" w:hAnsi="宋体" w:eastAsia="宋体" w:cs="Times New Roman"/>
          <w:color w:val="000000" w:themeColor="text1"/>
          <w:szCs w:val="21"/>
          <w14:textFill>
            <w14:solidFill>
              <w14:schemeClr w14:val="tx1"/>
            </w14:solidFill>
          </w14:textFill>
        </w:rPr>
        <w:t>；（按评审标准提供）</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w:t>
      </w:r>
      <w:r>
        <w:rPr>
          <w:rFonts w:ascii="宋体" w:hAnsi="宋体" w:eastAsia="宋体" w:cs="Times New Roman"/>
          <w:color w:val="000000" w:themeColor="text1"/>
          <w:szCs w:val="21"/>
          <w14:textFill>
            <w14:solidFill>
              <w14:schemeClr w14:val="tx1"/>
            </w14:solidFill>
          </w14:textFill>
        </w:rPr>
        <w:t>1</w:t>
      </w:r>
      <w:r>
        <w:rPr>
          <w:rFonts w:hint="eastAsia" w:ascii="宋体" w:hAnsi="宋体" w:eastAsia="宋体" w:cs="Times New Roman"/>
          <w:color w:val="000000" w:themeColor="text1"/>
          <w:szCs w:val="21"/>
          <w14:textFill>
            <w14:solidFill>
              <w14:schemeClr w14:val="tx1"/>
            </w14:solidFill>
          </w14:textFill>
        </w:rPr>
        <w:t>5）</w:t>
      </w:r>
      <w:r>
        <w:rPr>
          <w:rFonts w:hint="eastAsia" w:ascii="宋体" w:hAnsi="宋体" w:eastAsia="宋体"/>
          <w:color w:val="000000" w:themeColor="text1"/>
          <w:szCs w:val="21"/>
          <w14:textFill>
            <w14:solidFill>
              <w14:schemeClr w14:val="tx1"/>
            </w14:solidFill>
          </w14:textFill>
        </w:rPr>
        <w:t>售后服务</w:t>
      </w:r>
      <w:r>
        <w:rPr>
          <w:rFonts w:hint="eastAsia" w:ascii="宋体" w:hAnsi="宋体" w:eastAsia="宋体" w:cs="Times New Roman"/>
          <w:color w:val="000000" w:themeColor="text1"/>
          <w:szCs w:val="21"/>
          <w14:textFill>
            <w14:solidFill>
              <w14:schemeClr w14:val="tx1"/>
            </w14:solidFill>
          </w14:textFill>
        </w:rPr>
        <w:t>；（按评审标准提供）</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w:t>
      </w:r>
      <w:r>
        <w:rPr>
          <w:rFonts w:ascii="宋体" w:hAnsi="宋体" w:eastAsia="宋体" w:cs="Times New Roman"/>
          <w:color w:val="000000" w:themeColor="text1"/>
          <w:szCs w:val="21"/>
          <w14:textFill>
            <w14:solidFill>
              <w14:schemeClr w14:val="tx1"/>
            </w14:solidFill>
          </w14:textFill>
        </w:rPr>
        <w:t>1</w:t>
      </w:r>
      <w:r>
        <w:rPr>
          <w:rFonts w:hint="eastAsia" w:ascii="宋体" w:hAnsi="宋体" w:eastAsia="宋体" w:cs="Times New Roman"/>
          <w:color w:val="000000" w:themeColor="text1"/>
          <w:szCs w:val="21"/>
          <w14:textFill>
            <w14:solidFill>
              <w14:schemeClr w14:val="tx1"/>
            </w14:solidFill>
          </w14:textFill>
        </w:rPr>
        <w:t>6）政府采购政策分；（如有，按评审标准提供）</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（17）供应商认为需提供的其他资料。</w:t>
      </w:r>
    </w:p>
    <w:p>
      <w:pPr>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shd w:val="clear" w:color="auto" w:fill="BEBEBE" w:themeFill="background1" w:themeFillShade="BF"/>
          <w14:textFill>
            <w14:solidFill>
              <w14:schemeClr w14:val="tx1"/>
            </w14:solidFill>
          </w14:textFill>
        </w:rPr>
        <w:t>供应商应详细阅读采购文件的所有内容，按照采购文件的要求编制响应文件，并对所提供的全部资料及响应文件的真实性、合法性承担法律责任；</w:t>
      </w:r>
      <w:r>
        <w:rPr>
          <w:rFonts w:hint="eastAsia" w:ascii="宋体" w:hAnsi="宋体" w:eastAsia="宋体" w:cs="Times New Roman"/>
          <w:b/>
          <w:color w:val="000000" w:themeColor="text1"/>
          <w:szCs w:val="21"/>
          <w14:textFill>
            <w14:solidFill>
              <w14:schemeClr w14:val="tx1"/>
            </w14:solidFill>
          </w14:textFill>
        </w:rPr>
        <w:t>供应商没有按照采购文件要求编制响应文件或者没有对采购文件各方面要求作出实质性响应是供应商的责任，并可能导致磋商响应被拒绝或</w:t>
      </w:r>
      <w:r>
        <w:rPr>
          <w:rFonts w:ascii="宋体" w:hAnsi="宋体" w:eastAsia="宋体" w:cs="Times New Roman"/>
          <w:b/>
          <w:color w:val="000000" w:themeColor="text1"/>
          <w:szCs w:val="21"/>
          <w14:textFill>
            <w14:solidFill>
              <w14:schemeClr w14:val="tx1"/>
            </w14:solidFill>
          </w14:textFill>
        </w:rPr>
        <w:t>被</w:t>
      </w:r>
      <w:r>
        <w:rPr>
          <w:rFonts w:hint="eastAsia" w:ascii="宋体" w:hAnsi="宋体" w:eastAsia="宋体" w:cs="Times New Roman"/>
          <w:b/>
          <w:color w:val="000000" w:themeColor="text1"/>
          <w:szCs w:val="21"/>
          <w14:textFill>
            <w14:solidFill>
              <w14:schemeClr w14:val="tx1"/>
            </w14:solidFill>
          </w14:textFill>
        </w:rPr>
        <w:t>评为无效标。</w:t>
      </w:r>
    </w:p>
    <w:p>
      <w:pPr>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（二）响应文件的语言及计量单位</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1.语言采用中文汉语，除签名、盖章、专用名称等特殊情形外，以中文汉语以外文字表述的响应文件视同未提供，涉及外文的资料应提供中文译本。</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2.采购文件已有明确规定的，使用采购文件规定的计量单位；采购文件没有规定的，应采用中华人民共和国法定计量单位（货币单位：人民币元），否则视同未响应。</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（三）报价</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1.报价应按采购文件有关附件格式填写，并包含项目实施过程中可能涉及的全部费用。</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2.响应文件只允许有一个报价，有选择的或有条件的报价将不予接受。</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3.经磋商后，供应商在最终报价表中填写的报价是履行合同的最终价格。</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（四）响应有效期</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1.响应文件应在《供应商须知前附表》第16项规定的响应有效期内保持有效，响应有效期短于规定期限的作无效标处理。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在特殊情况下，采购人在原定的响应有效期内可以根据需要以书面形式向供应商提出延长响应有效期的要求，供应商应立即以书面形式对此要求向采购人作出答复，供应商可以拒绝采购人的要求，同意延期的供应商也不会被要求或允许修改响应文件。</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3.成交供应商的响应文件自开启之日起至合同履行完毕止均应保持有效。</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（五）磋商保证金</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本项目不收取磋商保证金，供应商在采购活动中如有违法、违规等行为的，自行承担有关法律责任，并视情况列入政府采购严重违法失信行为记录名单。</w:t>
      </w:r>
    </w:p>
    <w:p>
      <w:pPr>
        <w:wordWrap w:val="0"/>
        <w:spacing w:line="400" w:lineRule="exac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（六）响应文件的签署</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1.供应商应按本采购文件规定的格式和顺序编制响应文件并标注页码，响应文件内容不完整、编排混乱导致响应文件被误读、漏读或者查找不到相关内容的，是供应商的责任。</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2.响应文件按照采购文件规定的附件格式制作并由供应商在规定位置盖电子公章，响应文件必须由法定代表人或授权代表签署。</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3.电子响应文件</w:t>
      </w:r>
      <w:r>
        <w:rPr>
          <w:rFonts w:ascii="宋体" w:hAnsi="宋体" w:eastAsia="宋体" w:cs="Times New Roman"/>
          <w:b/>
          <w:color w:val="000000" w:themeColor="text1"/>
          <w:szCs w:val="21"/>
          <w14:textFill>
            <w14:solidFill>
              <w14:schemeClr w14:val="tx1"/>
            </w14:solidFill>
          </w14:textFill>
        </w:rPr>
        <w:t>可</w:t>
      </w:r>
      <w:r>
        <w:rPr>
          <w:rFonts w:hint="eastAsia" w:ascii="宋体" w:hAnsi="宋体" w:eastAsia="宋体" w:cs="Times New Roman"/>
          <w:b/>
          <w:color w:val="000000" w:themeColor="text1"/>
          <w:szCs w:val="21"/>
          <w14:textFill>
            <w14:solidFill>
              <w14:schemeClr w14:val="tx1"/>
            </w14:solidFill>
          </w14:textFill>
        </w:rPr>
        <w:t>参照《供应商政府采购项目电子交易操作指南》制作，电子响应文件在“政采云电子交易客户端”制作完成后自动生成“电子加密响应文件”。</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shd w:val="clear" w:color="auto" w:fill="BEBEBE" w:themeFill="background1" w:themeFillShade="BF"/>
          <w14:textFill>
            <w14:solidFill>
              <w14:schemeClr w14:val="tx1"/>
            </w14:solidFill>
          </w14:textFill>
        </w:rPr>
        <w:t>4.在电子响应文件中，涉及到加盖供应商单位公章的均需加盖电子公章（电子章与实物章具有同等法律效力），联合体成员及分包意向供应商可加盖实物公章。涉及到法定代表人或授权代表签字或盖章的，供应商可以加盖电子法人章；如果供应商没有电子法人章的，涉及到法定代表人或授权代表签字或盖章的内容，供应商可以由法定代表人或其授权代表线下签字或盖章后扫描上传，但内容必须保证清晰！</w:t>
      </w:r>
    </w:p>
    <w:p>
      <w:pPr>
        <w:wordWrap w:val="0"/>
        <w:spacing w:line="400" w:lineRule="exact"/>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四、响应文件的提交</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（一）响应文件的密封及标记</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shd w:val="clear" w:color="auto" w:fill="BEBEBE" w:themeFill="background1" w:themeFillShade="BF"/>
          <w14:textFill>
            <w14:solidFill>
              <w14:schemeClr w14:val="tx1"/>
            </w14:solidFill>
          </w14:textFill>
        </w:rPr>
        <w:t>1.“电子加密响应文件”无需密封及标记，在响应文件提交截止时间前上传递交至“政府采购云平台”。</w:t>
      </w:r>
    </w:p>
    <w:p>
      <w:pPr>
        <w:wordWrap w:val="0"/>
        <w:spacing w:line="400" w:lineRule="exact"/>
        <w:ind w:firstLine="420" w:firstLineChars="200"/>
        <w:rPr>
          <w:rFonts w:ascii="宋体" w:hAnsi="宋体" w:eastAsia="宋体" w:cs="Times New Roman"/>
          <w:color w:val="000000" w:themeColor="text1"/>
          <w:szCs w:val="21"/>
          <w:highlight w:val="cyan"/>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2.响应文件提交截止时间及电子响应文件上传要求见《供应商须知前附表》第12项。</w:t>
      </w:r>
      <w:r>
        <w:rPr>
          <w:rFonts w:hint="eastAsia" w:ascii="宋体" w:hAnsi="宋体" w:eastAsia="宋体" w:cs="Times New Roman"/>
          <w:b/>
          <w:color w:val="000000" w:themeColor="text1"/>
          <w:szCs w:val="21"/>
          <w:shd w:val="clear" w:color="auto" w:fill="BEBEBE" w:themeFill="background1" w:themeFillShade="BF"/>
          <w14:textFill>
            <w14:solidFill>
              <w14:schemeClr w14:val="tx1"/>
            </w14:solidFill>
          </w14:textFill>
        </w:rPr>
        <w:t>电子响应文件应上传递交至政府采购云平台，</w:t>
      </w:r>
      <w:r>
        <w:rPr>
          <w:rFonts w:hint="eastAsia" w:ascii="宋体" w:hAnsi="宋体" w:eastAsia="宋体" w:cs="Times New Roman"/>
          <w:color w:val="000000" w:themeColor="text1"/>
          <w:szCs w:val="21"/>
          <w14:textFill>
            <w14:solidFill>
              <w14:schemeClr w14:val="tx1"/>
            </w14:solidFill>
          </w14:textFill>
        </w:rPr>
        <w:t>在规定的响应文件提交截止时间后上传的电子响应文件，将被政府采购云平台拒收。</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（二）响应文件的补充、修改或者撤回</w:t>
      </w:r>
    </w:p>
    <w:p>
      <w:pPr>
        <w:wordWrap w:val="0"/>
        <w:spacing w:line="400" w:lineRule="exact"/>
        <w:ind w:firstLine="420" w:firstLineChars="200"/>
        <w:rPr>
          <w:rFonts w:ascii="宋体" w:hAnsi="宋体" w:eastAsia="宋体" w:cs="Times New Roman"/>
          <w:color w:val="000000" w:themeColor="text1"/>
          <w:szCs w:val="21"/>
          <w:highlight w:val="cyan"/>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供应商应当在响应文件提交截止时间前完成电子响应文件的传输递交，并可以补充、修改或者撤回电子响应文件。补充或者修改电子响应文件的，应当先行撤回原文件，补充、修改后重新传输递交。响应文件提交截止时间前未完成传输的，视为撤回响应文件。响应文件提交截止时间后上传的电子响应文件，将被政府采购云平台拒收。</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2.响应文件提交截止时间后供应商不得撤回响应文件。</w:t>
      </w:r>
    </w:p>
    <w:p>
      <w:pPr>
        <w:wordWrap w:val="0"/>
        <w:spacing w:line="400" w:lineRule="exact"/>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五、开启</w:t>
      </w:r>
    </w:p>
    <w:p>
      <w:pPr>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（一）开启会议程序</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1.开启会议由采购代理机构主持，采购人代表现场参加，有关监管部门可视情况派员现场监督。</w:t>
      </w:r>
    </w:p>
    <w:p>
      <w:pPr>
        <w:wordWrap w:val="0"/>
        <w:spacing w:line="400" w:lineRule="exact"/>
        <w:ind w:firstLine="422" w:firstLineChars="200"/>
        <w:rPr>
          <w:rFonts w:ascii="宋体" w:hAnsi="宋体" w:eastAsia="宋体" w:cs="Times New Roman"/>
          <w:b/>
          <w:color w:val="000000" w:themeColor="text1"/>
          <w:szCs w:val="21"/>
          <w:shd w:val="clear" w:color="auto" w:fill="BEBEBE" w:themeFill="background1" w:themeFillShade="BF"/>
          <w14:textFill>
            <w14:solidFill>
              <w14:schemeClr w14:val="tx1"/>
            </w14:solidFill>
          </w14:textFill>
        </w:rPr>
      </w:pPr>
      <w:r>
        <w:rPr>
          <w:rFonts w:hint="eastAsia" w:ascii="宋体" w:hAnsi="宋体" w:eastAsia="宋体" w:cs="Times New Roman"/>
          <w:b/>
          <w:color w:val="000000" w:themeColor="text1"/>
          <w:szCs w:val="21"/>
          <w:shd w:val="clear" w:color="auto" w:fill="BEBEBE" w:themeFill="background1" w:themeFillShade="BF"/>
          <w14:textFill>
            <w14:solidFill>
              <w14:schemeClr w14:val="tx1"/>
            </w14:solidFill>
          </w14:textFill>
        </w:rPr>
        <w:t>2.开启时间后30分钟内供应商可以登录“政府采购云平台”通过“项目采购-开标评标”功能对电子响应文件进行在线解密。如供应商均提前解密完成则可提前进入下一个环节。</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3.开启会议结束。</w:t>
      </w:r>
    </w:p>
    <w:p>
      <w:pPr>
        <w:wordWrap w:val="0"/>
        <w:spacing w:line="400" w:lineRule="exact"/>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六、评审</w:t>
      </w:r>
    </w:p>
    <w:p>
      <w:pPr>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详见第四章“评审办法及标准”。</w:t>
      </w:r>
    </w:p>
    <w:p>
      <w:pPr>
        <w:wordWrap w:val="0"/>
        <w:spacing w:line="400" w:lineRule="exact"/>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七、无效标的情形</w:t>
      </w:r>
    </w:p>
    <w:p>
      <w:pPr>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（一）出现下列情形之一的，作无效标处理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1.未按采购文件规定提交响应文件的；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2.电子响应文件无法解密或解密失败的；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3.不符合采购文件中规定的合格供应商的资格要求或合格供应商的其他要求的；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4.响应文件未按采购文件规定要求签署、盖章的；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5.</w:t>
      </w:r>
      <w:r>
        <w:rPr>
          <w:rFonts w:hint="eastAsia" w:ascii="宋体" w:hAnsi="宋体" w:eastAsia="宋体"/>
          <w:color w:val="000000" w:themeColor="text1"/>
          <w:szCs w:val="21"/>
          <w14:textFill>
            <w14:solidFill>
              <w14:schemeClr w14:val="tx1"/>
            </w14:solidFill>
          </w14:textFill>
        </w:rPr>
        <w:t>响应有效期不满足采购文件要求的；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6.未实质性响应采购文件要求的；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7.响应文件含有采购人不能接受的附加条件的；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8.未提供带▲的有关资料的；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9</w:t>
      </w:r>
      <w:r>
        <w:rPr>
          <w:rFonts w:hint="eastAsia" w:ascii="宋体" w:hAnsi="宋体" w:eastAsia="宋体" w:cs="Times New Roman"/>
          <w:color w:val="000000" w:themeColor="text1"/>
          <w:szCs w:val="21"/>
          <w14:textFill>
            <w14:solidFill>
              <w14:schemeClr w14:val="tx1"/>
            </w14:solidFill>
          </w14:textFill>
        </w:rPr>
        <w:t>.报价超过预算金额（最高限价）或分项最高限价的；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w:t>
      </w:r>
      <w:r>
        <w:rPr>
          <w:rFonts w:ascii="宋体" w:hAnsi="宋体" w:eastAsia="宋体" w:cs="Times New Roman"/>
          <w:color w:val="000000" w:themeColor="text1"/>
          <w:szCs w:val="21"/>
          <w14:textFill>
            <w14:solidFill>
              <w14:schemeClr w14:val="tx1"/>
            </w14:solidFill>
          </w14:textFill>
        </w:rPr>
        <w:t>0</w:t>
      </w:r>
      <w:r>
        <w:rPr>
          <w:rFonts w:hint="eastAsia" w:ascii="宋体" w:hAnsi="宋体" w:eastAsia="宋体" w:cs="Times New Roman"/>
          <w:color w:val="000000" w:themeColor="text1"/>
          <w:szCs w:val="21"/>
          <w14:textFill>
            <w14:solidFill>
              <w14:schemeClr w14:val="tx1"/>
            </w14:solidFill>
          </w14:textFill>
        </w:rPr>
        <w:t>.未按照采购文件规定的币种报价的；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w:t>
      </w:r>
      <w:r>
        <w:rPr>
          <w:rFonts w:ascii="宋体" w:hAnsi="宋体" w:eastAsia="宋体" w:cs="Times New Roman"/>
          <w:color w:val="000000" w:themeColor="text1"/>
          <w:szCs w:val="21"/>
          <w14:textFill>
            <w14:solidFill>
              <w14:schemeClr w14:val="tx1"/>
            </w14:solidFill>
          </w14:textFill>
        </w:rPr>
        <w:t>1</w:t>
      </w:r>
      <w:r>
        <w:rPr>
          <w:rFonts w:hint="eastAsia" w:ascii="宋体" w:hAnsi="宋体" w:eastAsia="宋体" w:cs="Times New Roman"/>
          <w:color w:val="000000" w:themeColor="text1"/>
          <w:szCs w:val="21"/>
          <w14:textFill>
            <w14:solidFill>
              <w14:schemeClr w14:val="tx1"/>
            </w14:solidFill>
          </w14:textFill>
        </w:rPr>
        <w:t>.供应商对同一采购项目报有两个及以上的报价，且未声明以哪一个报价为准的；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w:t>
      </w:r>
      <w:r>
        <w:rPr>
          <w:rFonts w:ascii="宋体" w:hAnsi="宋体" w:eastAsia="宋体" w:cs="Times New Roman"/>
          <w:color w:val="000000" w:themeColor="text1"/>
          <w:szCs w:val="21"/>
          <w14:textFill>
            <w14:solidFill>
              <w14:schemeClr w14:val="tx1"/>
            </w14:solidFill>
          </w14:textFill>
        </w:rPr>
        <w:t>2</w:t>
      </w:r>
      <w:r>
        <w:rPr>
          <w:rFonts w:hint="eastAsia" w:ascii="宋体" w:hAnsi="宋体" w:eastAsia="宋体" w:cs="Times New Roman"/>
          <w:color w:val="000000" w:themeColor="text1"/>
          <w:szCs w:val="21"/>
          <w14:textFill>
            <w14:solidFill>
              <w14:schemeClr w14:val="tx1"/>
            </w14:solidFill>
          </w14:textFill>
        </w:rPr>
        <w:t>.法律、法规等和采购文件规定的其他无效标情形的。</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（二）出现下列情形之一的，视为供应商串通响应，作无效标处理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1.不同供应商的响应文件由同一单位或者个人编制；</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2.不同供应商委托同一单位或者个人办理响应事宜；</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3.不同供应商的响应文件载明的项目管理成员或者联系人员为同一人；</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4.不同供应商的响应文件异常一致或者报价呈规律性差异；</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5.不同供应商的响应文件相互混装。</w:t>
      </w:r>
    </w:p>
    <w:p>
      <w:pPr>
        <w:wordWrap w:val="0"/>
        <w:spacing w:line="400" w:lineRule="exact"/>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八、废标的情形</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（一）出现下列情形之一的，应予废标</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1.符合专业条件的供应商或者对采购文件作实质响应的供应商不足三家的（符合“例外处理”规定的除外）；</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2.出现影响采购公正的违法、违规行为的；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3.供应商的报价均超过了采购预算（最高限价）或分项最高限价，采购人不能支付的；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4.因重大变故，采购任务取消的。</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废标后，废标理由在政府采购云平台显示，视同通知所有供应商。</w:t>
      </w:r>
    </w:p>
    <w:p>
      <w:pPr>
        <w:wordWrap w:val="0"/>
        <w:spacing w:line="400" w:lineRule="exact"/>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九、定标</w:t>
      </w:r>
    </w:p>
    <w:p>
      <w:pPr>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（一）定标原则及程序</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1.采购代理机构应当在评审结束后2个工作日内将评审报告送采购人确认。</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2.采购人应当在收到评审报告后5个工作日内，从评审报告推荐的成交候选人中，按照排序由高到低的原则</w:t>
      </w:r>
      <w:r>
        <w:rPr>
          <w:rFonts w:hint="eastAsia" w:ascii="宋体" w:hAnsi="宋体" w:eastAsia="宋体" w:cs="Times New Roman"/>
          <w:b/>
          <w:color w:val="000000" w:themeColor="text1"/>
          <w:szCs w:val="21"/>
          <w14:textFill>
            <w14:solidFill>
              <w14:schemeClr w14:val="tx1"/>
            </w14:solidFill>
          </w14:textFill>
        </w:rPr>
        <w:t>确定一名成交供应商</w:t>
      </w:r>
      <w:r>
        <w:rPr>
          <w:rFonts w:hint="eastAsia" w:ascii="宋体" w:hAnsi="宋体" w:eastAsia="宋体" w:cs="Times New Roman"/>
          <w:color w:val="000000" w:themeColor="text1"/>
          <w:szCs w:val="21"/>
          <w14:textFill>
            <w14:solidFill>
              <w14:schemeClr w14:val="tx1"/>
            </w14:solidFill>
          </w14:textFill>
        </w:rPr>
        <w:t>，也可以书面授权磋商小组直接确定成交供应商。采购人逾期未确定成交供应商且不提出异议的，视为确定评审报告推荐的排序第一的成交候选人为成交供应商。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3.采购人或者采购代理机构应当在成交供应商确定后2个工作日内，在省级以上财政部门指定的政府采购信息发布媒体上公告成交结果，成交结果公告期限为1个工作日。</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出现下列情形之一的，采购人应按照政府采购有关规定确定排名次位的成交候选人作为成交供应商或重新组织采购：（1）排名前位的成交候选人，因自身原因放弃成交或不履行合同的；（2）排名前位的成交候选人在本次采购活动中存在所提供的资料有失实、弄虚作假行为的或有其他违法违规行为的。</w:t>
      </w:r>
    </w:p>
    <w:p>
      <w:pPr>
        <w:wordWrap w:val="0"/>
        <w:spacing w:line="400" w:lineRule="exact"/>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十、采购代理服务费</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获得成交资格后成交供应商应向采购代理机构支付采购代理服务费，采购代理服务费收费依据、要求等详见《供应商须知前附表》第17项。</w:t>
      </w:r>
    </w:p>
    <w:p>
      <w:pPr>
        <w:wordWrap w:val="0"/>
        <w:spacing w:line="400" w:lineRule="exact"/>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十一、合同授予</w:t>
      </w:r>
    </w:p>
    <w:p>
      <w:pPr>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（一）成交通知</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采购人或者采购代理机构应当在成交供应商确定后2个工作日内，在省级以上财政部门指定的政府采购信息发布媒体上公告成交结果，采购人或者采购代理机构将采用邮寄纸质成交通知书的方式或发送电子成交通知书的方式同时向成交供应商发出成交通知书，成交供应商也可以在采购人或者采购代理机构处现场领取成交通知书。</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（二）签订合同</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1.采购人与成交供应商应当在成交通知书发出之日起30日历天内，按照采购文件确定的合同文本以及采购标的、规格型号、采购金额、采购数量、技术和服务要求等事项签订政府采购合同。</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3.成交通知书、采购文件、成交供应商的响应文件、采购过程中产生的资料等均应作为合同附件。</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4.合同执行中涉及采购资金追加的，须按照《中华人民共和国政府采购法》等规定办理。</w:t>
      </w:r>
    </w:p>
    <w:p>
      <w:pPr>
        <w:wordWrap w:val="0"/>
        <w:spacing w:line="400" w:lineRule="exact"/>
        <w:ind w:firstLine="420" w:firstLineChars="200"/>
        <w:rPr>
          <w:rFonts w:ascii="宋体" w:hAnsi="宋体" w:eastAsia="宋体" w:cs="Times New Roman"/>
          <w:color w:val="FF0000"/>
          <w:szCs w:val="21"/>
        </w:rPr>
      </w:pPr>
      <w:r>
        <w:rPr>
          <w:rFonts w:hint="eastAsia" w:ascii="宋体" w:hAnsi="宋体" w:eastAsia="宋体" w:cs="Times New Roman"/>
          <w:color w:val="000000" w:themeColor="text1"/>
          <w:szCs w:val="21"/>
          <w14:textFill>
            <w14:solidFill>
              <w14:schemeClr w14:val="tx1"/>
            </w14:solidFill>
          </w14:textFill>
        </w:rPr>
        <w:t>5.成交供应商拒绝签订政府采购合同的，采购人有权撤销其成交资格，在这种情况下，采购人可以直接确定排名次位的成交候选人作为成交供应商并签订政府采购合同，也可以重新开展采购活动。拒绝签订政府采购合同的成交供应商不得参加对该项目重新开展的采购活动。</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（三）履约保证金</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本项目履约保证金不作要求，成交供应商不能诚信履约的或在履约过程中如有违法、违规等行为的，自行承担有关法律责任，并视情况列入政府采购严重违法失信行为记录名单。</w:t>
      </w:r>
    </w:p>
    <w:p>
      <w:pPr>
        <w:spacing w:line="400" w:lineRule="exact"/>
        <w:jc w:val="center"/>
        <w:rPr>
          <w:rFonts w:ascii="宋体" w:hAnsi="宋体" w:eastAsia="宋体" w:cs="Times New Roman"/>
          <w:color w:val="FF0000"/>
          <w:szCs w:val="21"/>
        </w:rPr>
        <w:sectPr>
          <w:pgSz w:w="11906" w:h="16838"/>
          <w:pgMar w:top="1418" w:right="1418" w:bottom="1418" w:left="1418" w:header="851" w:footer="992" w:gutter="0"/>
          <w:cols w:space="425" w:num="1"/>
          <w:docGrid w:type="lines" w:linePitch="312" w:charSpace="0"/>
        </w:sectPr>
      </w:pPr>
    </w:p>
    <w:p>
      <w:pPr>
        <w:wordWrap w:val="0"/>
        <w:spacing w:line="360" w:lineRule="auto"/>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b/>
          <w:color w:val="000000" w:themeColor="text1"/>
          <w:sz w:val="24"/>
          <w:szCs w:val="24"/>
          <w14:textFill>
            <w14:solidFill>
              <w14:schemeClr w14:val="tx1"/>
            </w14:solidFill>
          </w14:textFill>
        </w:rPr>
        <w:t xml:space="preserve">第四章  </w:t>
      </w:r>
      <w:r>
        <w:rPr>
          <w:rFonts w:hint="eastAsia" w:ascii="宋体" w:hAnsi="宋体" w:eastAsia="宋体" w:cs="Times New Roman"/>
          <w:b/>
          <w:color w:val="000000" w:themeColor="text1"/>
          <w:sz w:val="24"/>
          <w:szCs w:val="24"/>
          <w14:textFill>
            <w14:solidFill>
              <w14:schemeClr w14:val="tx1"/>
            </w14:solidFill>
          </w14:textFill>
        </w:rPr>
        <w:t>评审办法及标准</w:t>
      </w:r>
    </w:p>
    <w:p>
      <w:pPr>
        <w:wordWrap w:val="0"/>
        <w:spacing w:line="400" w:lineRule="exact"/>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一、总则</w:t>
      </w:r>
    </w:p>
    <w:p>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1.采购活动遵循公开透明、公平竞争、公正、诚实信用的原则依法进行，采购活动及当事人接受依法实施的监督。</w:t>
      </w:r>
    </w:p>
    <w:p>
      <w:pPr>
        <w:wordWrap w:val="0"/>
        <w:spacing w:line="400" w:lineRule="exact"/>
        <w:ind w:firstLine="420" w:firstLineChars="200"/>
        <w:rPr>
          <w:rFonts w:ascii="宋体" w:hAnsi="宋体" w:eastAsia="宋体" w:cs="Times New Roman"/>
          <w:color w:val="FF0000"/>
          <w:szCs w:val="21"/>
        </w:rPr>
      </w:pPr>
      <w:r>
        <w:rPr>
          <w:rFonts w:hint="eastAsia" w:ascii="宋体" w:hAnsi="宋体" w:eastAsia="宋体" w:cs="Times New Roman"/>
          <w:color w:val="000000" w:themeColor="text1"/>
          <w:szCs w:val="21"/>
          <w14:textFill>
            <w14:solidFill>
              <w14:schemeClr w14:val="tx1"/>
            </w14:solidFill>
          </w14:textFill>
        </w:rPr>
        <w:t>2.本项目采用综合评分法进行评审。综合评分法，是指响应文件满足采购文件全部实质性要求，且按照评审因素的量化指标评审得分最高的供应商为成交候选人的评审方法。采购文件中没有规定的评审标准不得作为评审的依据。</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磋商小组成员应当按照客观、公正、审慎的原则，根据采购文件规定的评审程序、评审方法和评审标准进行独立评审。未实质性响应采购文件的响应文件作无效标处理，磋商小组应当告知提交响应文件的供应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4.磋商小组对响应文件的判定，只</w:t>
      </w:r>
      <w:r>
        <w:rPr>
          <w:rFonts w:ascii="宋体" w:hAnsi="宋体" w:eastAsia="宋体" w:cs="Times New Roman"/>
          <w:color w:val="000000" w:themeColor="text1"/>
          <w:szCs w:val="21"/>
          <w14:textFill>
            <w14:solidFill>
              <w14:schemeClr w14:val="tx1"/>
            </w14:solidFill>
          </w14:textFill>
        </w:rPr>
        <w:t>根据</w:t>
      </w:r>
      <w:r>
        <w:rPr>
          <w:rFonts w:hint="eastAsia" w:ascii="宋体" w:hAnsi="宋体" w:eastAsia="宋体" w:cs="Times New Roman"/>
          <w:color w:val="000000" w:themeColor="text1"/>
          <w:szCs w:val="21"/>
          <w14:textFill>
            <w14:solidFill>
              <w14:schemeClr w14:val="tx1"/>
            </w14:solidFill>
          </w14:textFill>
        </w:rPr>
        <w:t>响应文件本身对采购文件的响应情况进行，不考虑供应商在响应文件提交截止时间后提交的任何的补充声明、修正方案（供应商的澄清、说明或者更正除外）。</w:t>
      </w:r>
    </w:p>
    <w:p>
      <w:pPr>
        <w:wordWrap w:val="0"/>
        <w:spacing w:line="400" w:lineRule="exact"/>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二、评审组织</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（一）评审工作由采购代理机构负责组织，并履行下列职责：</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1.核对评审专家身份和采购人代表的授权意见确认书，对评审专家在政府采购活动中的职责履行情况予以记录，并及时将有关违法违规行为向财政部门报告；</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2.公布供应商名单，宣布评审纪律，告知评审专家应当回避的情形；</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3.组织磋商小组推选评审组长，采购人代表不得担任组长；</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4.在评审期间采取必要的通讯管理措施，保证评审活动不受外界干扰；</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5.介绍采购文件及与评审相关的政策规定；</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6.维护评审秩序，监督磋商小组按照采购文件规定的评审程序、方法和标准进行独立评审，及时制止和纠正采购人代表、评审专家的倾向性言论或者违法违规行为；</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7.核对评审结果；</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8.评审工作完成后，按照规定向评审专家支付劳务报酬和异地评审差旅费，不得向评审专家以外的其他人员支付评审劳务报酬；</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9.处理与评审有关的其他事项。</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（二）磋商小组：磋商小组由采购人代表和评审专家共3人及以上单数组成，其中评审专家人数不得少于磋商小组成员总数的2/3。并在采购活动过程中履行下列职责：</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1.从符合相应条件的供应商名单中确定不少于2家的供应商参加磋商；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2.审查供应商的响应文件并作出评价；</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3.视情况要求供应商解释或者澄清其响应文件；</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4.编写评审报告；</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5.告知采购人、采购代理机构在评审过程中发现的供应商的违法违规行为。</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磋商小组发现采购文件存在歧义、重大缺陷导致评审工作无法进行，或者采购文件内容违反国家有关强制性规定的，应当停止评审工作，与采购人或者采购代理机构沟通并作书面记录。采购人或者采购代理机构确认后，应当修改采购文件，重新组织采购活动。</w:t>
      </w:r>
    </w:p>
    <w:p>
      <w:pPr>
        <w:spacing w:line="400" w:lineRule="exact"/>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三、评审程序</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（一）资格审查</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采购人代表</w:t>
      </w:r>
      <w:r>
        <w:rPr>
          <w:rFonts w:hint="eastAsia" w:ascii="宋体" w:hAnsi="宋体" w:eastAsia="宋体" w:cs="Times New Roman"/>
          <w:color w:val="000000" w:themeColor="text1"/>
          <w:szCs w:val="21"/>
          <w14:textFill>
            <w14:solidFill>
              <w14:schemeClr w14:val="tx1"/>
            </w14:solidFill>
          </w14:textFill>
        </w:rPr>
        <w:t>根据采购文件的规定，对资格文件进行审查，以确定供应商是否具有响应资格。资格审查内容如下：</w:t>
      </w:r>
    </w:p>
    <w:tbl>
      <w:tblPr>
        <w:tblStyle w:val="11"/>
        <w:tblW w:w="9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4176"/>
        <w:gridCol w:w="41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708" w:type="dxa"/>
            <w:vAlign w:val="center"/>
          </w:tcPr>
          <w:p>
            <w:pPr>
              <w:jc w:val="center"/>
              <w:rPr>
                <w:rFonts w:ascii="宋体" w:hAnsi="宋体" w:eastAsia="宋体" w:cs="宋体"/>
                <w:b/>
                <w:color w:val="000000" w:themeColor="text1"/>
                <w:kern w:val="0"/>
                <w:szCs w:val="21"/>
                <w14:textFill>
                  <w14:solidFill>
                    <w14:schemeClr w14:val="tx1"/>
                  </w14:solidFill>
                </w14:textFill>
              </w:rPr>
            </w:pPr>
            <w:r>
              <w:rPr>
                <w:rFonts w:hint="eastAsia" w:ascii="宋体" w:hAnsi="宋体" w:eastAsia="宋体" w:cs="宋体"/>
                <w:b/>
                <w:color w:val="000000" w:themeColor="text1"/>
                <w:kern w:val="0"/>
                <w:szCs w:val="21"/>
                <w14:textFill>
                  <w14:solidFill>
                    <w14:schemeClr w14:val="tx1"/>
                  </w14:solidFill>
                </w14:textFill>
              </w:rPr>
              <w:t>序号</w:t>
            </w:r>
          </w:p>
        </w:tc>
        <w:tc>
          <w:tcPr>
            <w:tcW w:w="4176" w:type="dxa"/>
            <w:vAlign w:val="center"/>
          </w:tcPr>
          <w:p>
            <w:pPr>
              <w:jc w:val="center"/>
              <w:rPr>
                <w:rFonts w:ascii="宋体" w:hAnsi="宋体" w:eastAsia="宋体" w:cs="宋体"/>
                <w:b/>
                <w:color w:val="000000" w:themeColor="text1"/>
                <w:kern w:val="0"/>
                <w:szCs w:val="21"/>
                <w14:textFill>
                  <w14:solidFill>
                    <w14:schemeClr w14:val="tx1"/>
                  </w14:solidFill>
                </w14:textFill>
              </w:rPr>
            </w:pPr>
            <w:r>
              <w:rPr>
                <w:rFonts w:hint="eastAsia" w:ascii="宋体" w:hAnsi="宋体" w:eastAsia="宋体" w:cs="宋体"/>
                <w:b/>
                <w:color w:val="000000" w:themeColor="text1"/>
                <w:kern w:val="0"/>
                <w:szCs w:val="21"/>
                <w14:textFill>
                  <w14:solidFill>
                    <w14:schemeClr w14:val="tx1"/>
                  </w14:solidFill>
                </w14:textFill>
              </w:rPr>
              <w:t>审查因素</w:t>
            </w:r>
          </w:p>
        </w:tc>
        <w:tc>
          <w:tcPr>
            <w:tcW w:w="4176" w:type="dxa"/>
            <w:vAlign w:val="center"/>
          </w:tcPr>
          <w:p>
            <w:pPr>
              <w:jc w:val="center"/>
              <w:rPr>
                <w:rFonts w:ascii="宋体" w:hAnsi="宋体" w:eastAsia="宋体" w:cs="宋体"/>
                <w:b/>
                <w:color w:val="000000" w:themeColor="text1"/>
                <w:kern w:val="0"/>
                <w:szCs w:val="21"/>
                <w14:textFill>
                  <w14:solidFill>
                    <w14:schemeClr w14:val="tx1"/>
                  </w14:solidFill>
                </w14:textFill>
              </w:rPr>
            </w:pPr>
            <w:r>
              <w:rPr>
                <w:rFonts w:hint="eastAsia" w:ascii="宋体" w:hAnsi="宋体" w:eastAsia="宋体" w:cs="宋体"/>
                <w:b/>
                <w:color w:val="000000" w:themeColor="text1"/>
                <w:kern w:val="0"/>
                <w:szCs w:val="21"/>
                <w14:textFill>
                  <w14:solidFill>
                    <w14:schemeClr w14:val="tx1"/>
                  </w14:solidFill>
                </w14:textFill>
              </w:rPr>
              <w:t>审查项目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8" w:type="dxa"/>
            <w:vAlign w:val="center"/>
          </w:tcPr>
          <w:p>
            <w:pPr>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w:t>
            </w:r>
          </w:p>
        </w:tc>
        <w:tc>
          <w:tcPr>
            <w:tcW w:w="4176" w:type="dxa"/>
            <w:vAlign w:val="center"/>
          </w:tcPr>
          <w:p>
            <w:pPr>
              <w:wordWrap w:val="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合格供应商的资格要求：</w:t>
            </w:r>
          </w:p>
          <w:p>
            <w:pPr>
              <w:wordWrap w:val="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满足《中华人民共和国政府采购法》第二十二条规定；未被“信用中国”（www.creditchina.gov.cn）、中国政府采购网（www.ccgp.gov.cn）列入失信被执行人、重大税收违法失信主体、政府采购严重违法失信行为记录名单。</w:t>
            </w:r>
          </w:p>
          <w:p>
            <w:pPr>
              <w:wordWrap w:val="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2.落实政府采购政策需满足的资格要求：无。</w:t>
            </w:r>
          </w:p>
          <w:p>
            <w:pPr>
              <w:wordWrap w:val="0"/>
              <w:rPr>
                <w:rFonts w:ascii="宋体" w:hAnsi="宋体" w:eastAsia="宋体" w:cs="Times New Roman"/>
                <w:color w:val="FF0000"/>
                <w:szCs w:val="21"/>
              </w:rPr>
            </w:pPr>
            <w:r>
              <w:rPr>
                <w:rFonts w:hint="eastAsia" w:ascii="宋体" w:hAnsi="宋体" w:eastAsia="宋体" w:cs="Times New Roman"/>
                <w:color w:val="000000" w:themeColor="text1"/>
                <w:szCs w:val="21"/>
                <w14:textFill>
                  <w14:solidFill>
                    <w14:schemeClr w14:val="tx1"/>
                  </w14:solidFill>
                </w14:textFill>
              </w:rPr>
              <w:t>3.本项目的特定资格要求：无。</w:t>
            </w:r>
          </w:p>
        </w:tc>
        <w:tc>
          <w:tcPr>
            <w:tcW w:w="4176" w:type="dxa"/>
            <w:vAlign w:val="center"/>
          </w:tcPr>
          <w:p>
            <w:pPr>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1.</w:t>
            </w:r>
            <w:r>
              <w:rPr>
                <w:rFonts w:hint="eastAsia" w:ascii="宋体" w:hAnsi="宋体" w:eastAsia="宋体" w:cs="Times New Roman"/>
                <w:color w:val="000000" w:themeColor="text1"/>
                <w:szCs w:val="21"/>
                <w14:textFill>
                  <w14:solidFill>
                    <w14:schemeClr w14:val="tx1"/>
                  </w14:solidFill>
                </w14:textFill>
              </w:rPr>
              <w:t>合格供应商的承诺书。</w:t>
            </w:r>
          </w:p>
          <w:p>
            <w:pPr>
              <w:wordWrap w:val="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2.有效的营业执照或事业单位法人证书复印件。</w:t>
            </w:r>
          </w:p>
          <w:p>
            <w:pPr>
              <w:wordWrap w:val="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3.2022年12月1日以来任意一段时间供应商的财务报表复印件或其基本开户银行出具的资信证明材料复印件或供应商提供符合“具有良好的商业信誉和健全的财务会计制度”的书面承诺。</w:t>
            </w:r>
          </w:p>
          <w:p>
            <w:pPr>
              <w:wordWrap w:val="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4.2022年12月1日以来任意一个月供应商缴纳税收的凭据证明材料复印件或供应商提供符合“有依法缴纳税收的良好记录”的书面承诺；如依法免税的，应提供相应文件证明其依法免税。</w:t>
            </w:r>
          </w:p>
          <w:p>
            <w:pPr>
              <w:wordWrap w:val="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5.2022年12月1日以来任意一个月供应商缴纳社会保险的凭据证明材料复印件或供应商提供符合“有依法缴纳社会保障资金的良好记录”的书面承诺；如依法不需要缴纳社会保障资金的，应提供相应文件证明其依法不需要缴纳社会保障资金。</w:t>
            </w:r>
          </w:p>
          <w:p>
            <w:pPr>
              <w:wordWrap w:val="0"/>
              <w:rPr>
                <w:rFonts w:ascii="宋体" w:hAnsi="宋体" w:eastAsia="宋体"/>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6.供应商基本情况表。</w:t>
            </w:r>
          </w:p>
          <w:p>
            <w:pPr>
              <w:wordWrap w:val="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7.采购人代表在进行供应商资格审查环节时在</w:t>
            </w:r>
            <w:r>
              <w:rPr>
                <w:rFonts w:hint="eastAsia" w:ascii="宋体" w:hAnsi="宋体" w:eastAsia="宋体" w:cs="Times New Roman"/>
                <w:color w:val="000000" w:themeColor="text1"/>
                <w:szCs w:val="21"/>
                <w14:textFill>
                  <w14:solidFill>
                    <w14:schemeClr w14:val="tx1"/>
                  </w14:solidFill>
                </w14:textFill>
              </w:rPr>
              <w:t>“信用中国”（www.creditchina.gov.cn）、中国政府采购网（www.ccgp.gov.cn）</w:t>
            </w:r>
            <w:r>
              <w:rPr>
                <w:rFonts w:hint="eastAsia" w:ascii="宋体" w:hAnsi="宋体" w:eastAsia="宋体"/>
                <w:color w:val="000000" w:themeColor="text1"/>
                <w:szCs w:val="21"/>
                <w14:textFill>
                  <w14:solidFill>
                    <w14:schemeClr w14:val="tx1"/>
                  </w14:solidFill>
                </w14:textFill>
              </w:rPr>
              <w:t>进行查询。在评审过程中因不可抗力无法进行查询的，则在评审结束后进行查询</w:t>
            </w:r>
            <w:r>
              <w:rPr>
                <w:rFonts w:hint="eastAsia" w:ascii="宋体" w:hAnsi="宋体" w:eastAsia="宋体" w:cs="Times New Roman"/>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8" w:type="dxa"/>
            <w:vAlign w:val="center"/>
          </w:tcPr>
          <w:p>
            <w:pPr>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w:t>
            </w:r>
          </w:p>
        </w:tc>
        <w:tc>
          <w:tcPr>
            <w:tcW w:w="4176" w:type="dxa"/>
            <w:vAlign w:val="center"/>
          </w:tcPr>
          <w:p>
            <w:pPr>
              <w:rPr>
                <w:rFonts w:ascii="宋体" w:hAnsi="宋体" w:eastAsia="宋体" w:cs="仿宋_GB2312"/>
                <w:color w:val="000000" w:themeColor="text1"/>
                <w:szCs w:val="21"/>
                <w:lang w:val="zh-CN"/>
                <w14:textFill>
                  <w14:solidFill>
                    <w14:schemeClr w14:val="tx1"/>
                  </w14:solidFill>
                </w14:textFill>
              </w:rPr>
            </w:pPr>
            <w:r>
              <w:rPr>
                <w:rFonts w:hint="eastAsia" w:ascii="宋体" w:hAnsi="宋体" w:eastAsia="宋体" w:cs="仿宋_GB2312"/>
                <w:color w:val="000000" w:themeColor="text1"/>
                <w:szCs w:val="21"/>
                <w:lang w:val="zh-CN"/>
                <w14:textFill>
                  <w14:solidFill>
                    <w14:schemeClr w14:val="tx1"/>
                  </w14:solidFill>
                </w14:textFill>
              </w:rPr>
              <w:t>合格供应商的其他要求：</w:t>
            </w:r>
          </w:p>
          <w:p>
            <w:pPr>
              <w:rPr>
                <w:rFonts w:ascii="宋体" w:hAnsi="宋体" w:eastAsia="宋体" w:cs="仿宋_GB2312"/>
                <w:color w:val="000000" w:themeColor="text1"/>
                <w:szCs w:val="21"/>
                <w:lang w:val="zh-CN"/>
                <w14:textFill>
                  <w14:solidFill>
                    <w14:schemeClr w14:val="tx1"/>
                  </w14:solidFill>
                </w14:textFill>
              </w:rPr>
            </w:pPr>
            <w:r>
              <w:rPr>
                <w:rFonts w:hint="eastAsia" w:ascii="宋体" w:hAnsi="宋体" w:eastAsia="宋体" w:cs="仿宋_GB2312"/>
                <w:color w:val="000000" w:themeColor="text1"/>
                <w:szCs w:val="21"/>
                <w:lang w:val="zh-CN"/>
                <w14:textFill>
                  <w14:solidFill>
                    <w14:schemeClr w14:val="tx1"/>
                  </w14:solidFill>
                </w14:textFill>
              </w:rPr>
              <w:t>1.单位负责人为同一人或者存在直接控股、管理关系的不同供应商，不得参加同一合同项下的政府采购活动。</w:t>
            </w:r>
          </w:p>
          <w:p>
            <w:pPr>
              <w:rPr>
                <w:rFonts w:ascii="宋体" w:hAnsi="宋体" w:eastAsia="宋体" w:cs="仿宋_GB2312"/>
                <w:color w:val="000000" w:themeColor="text1"/>
                <w:szCs w:val="21"/>
                <w:lang w:val="zh-CN"/>
                <w14:textFill>
                  <w14:solidFill>
                    <w14:schemeClr w14:val="tx1"/>
                  </w14:solidFill>
                </w14:textFill>
              </w:rPr>
            </w:pPr>
            <w:r>
              <w:rPr>
                <w:rFonts w:hint="eastAsia" w:ascii="宋体" w:hAnsi="宋体" w:eastAsia="宋体" w:cs="仿宋_GB2312"/>
                <w:color w:val="000000" w:themeColor="text1"/>
                <w:szCs w:val="21"/>
                <w:lang w:val="zh-CN"/>
                <w14:textFill>
                  <w14:solidFill>
                    <w14:schemeClr w14:val="tx1"/>
                  </w14:solidFill>
                </w14:textFill>
              </w:rPr>
              <w:t>2.除单一来源采购项目外，为采购项目提供整体设计、规范编制或者项目管理、监理、检测等服务的供应商，不得再参加该采购项目的其他采购活动。</w:t>
            </w:r>
          </w:p>
          <w:p>
            <w:pPr>
              <w:rPr>
                <w:rFonts w:ascii="宋体" w:hAnsi="宋体" w:eastAsia="宋体" w:cs="仿宋_GB2312"/>
                <w:color w:val="000000" w:themeColor="text1"/>
                <w:szCs w:val="21"/>
                <w:lang w:val="zh-CN"/>
                <w14:textFill>
                  <w14:solidFill>
                    <w14:schemeClr w14:val="tx1"/>
                  </w14:solidFill>
                </w14:textFill>
              </w:rPr>
            </w:pPr>
            <w:r>
              <w:rPr>
                <w:rFonts w:hint="eastAsia" w:ascii="宋体" w:hAnsi="宋体" w:eastAsia="宋体" w:cs="仿宋_GB2312"/>
                <w:color w:val="000000" w:themeColor="text1"/>
                <w:szCs w:val="21"/>
                <w:lang w:val="zh-CN"/>
                <w14:textFill>
                  <w14:solidFill>
                    <w14:schemeClr w14:val="tx1"/>
                  </w14:solidFill>
                </w14:textFill>
              </w:rPr>
              <w:t>3.本项目接受联合体投标。</w:t>
            </w:r>
          </w:p>
        </w:tc>
        <w:tc>
          <w:tcPr>
            <w:tcW w:w="4176" w:type="dxa"/>
            <w:vAlign w:val="center"/>
          </w:tcPr>
          <w:p>
            <w:pP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1.合格供应商的承诺书。</w:t>
            </w:r>
          </w:p>
          <w:p>
            <w:pP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2.供应商为联合体的，提供《联合体协议书》。</w:t>
            </w:r>
          </w:p>
        </w:tc>
      </w:tr>
    </w:tbl>
    <w:p>
      <w:pPr>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资格审查审查项目中有任意一项不符合的，为未通过资格审查，作无效标处理。</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（二）符合性审查</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磋商小组</w:t>
      </w:r>
      <w:r>
        <w:rPr>
          <w:rFonts w:hint="eastAsia" w:ascii="宋体" w:hAnsi="宋体" w:eastAsia="宋体" w:cs="Times New Roman"/>
          <w:color w:val="000000" w:themeColor="text1"/>
          <w:szCs w:val="21"/>
          <w14:textFill>
            <w14:solidFill>
              <w14:schemeClr w14:val="tx1"/>
            </w14:solidFill>
          </w14:textFill>
        </w:rPr>
        <w:t>根据采购文件的规定，对响应文件的有效性、完整性和响应程度进行审查，以确定其是否满足采购文件的实质性要求。符合性审查内容如下：</w:t>
      </w:r>
    </w:p>
    <w:tbl>
      <w:tblPr>
        <w:tblStyle w:val="11"/>
        <w:tblW w:w="90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4179"/>
        <w:gridCol w:w="41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6" w:type="dxa"/>
            <w:vAlign w:val="center"/>
          </w:tcPr>
          <w:p>
            <w:pPr>
              <w:jc w:val="center"/>
              <w:rPr>
                <w:rFonts w:ascii="宋体" w:hAnsi="宋体" w:eastAsia="宋体" w:cs="宋体"/>
                <w:b/>
                <w:color w:val="000000" w:themeColor="text1"/>
                <w:kern w:val="0"/>
                <w:szCs w:val="21"/>
                <w14:textFill>
                  <w14:solidFill>
                    <w14:schemeClr w14:val="tx1"/>
                  </w14:solidFill>
                </w14:textFill>
              </w:rPr>
            </w:pPr>
            <w:r>
              <w:rPr>
                <w:rFonts w:hint="eastAsia" w:ascii="宋体" w:hAnsi="宋体" w:eastAsia="宋体" w:cs="宋体"/>
                <w:b/>
                <w:color w:val="000000" w:themeColor="text1"/>
                <w:kern w:val="0"/>
                <w:szCs w:val="21"/>
                <w14:textFill>
                  <w14:solidFill>
                    <w14:schemeClr w14:val="tx1"/>
                  </w14:solidFill>
                </w14:textFill>
              </w:rPr>
              <w:t>序号</w:t>
            </w:r>
          </w:p>
        </w:tc>
        <w:tc>
          <w:tcPr>
            <w:tcW w:w="4179" w:type="dxa"/>
            <w:vAlign w:val="center"/>
          </w:tcPr>
          <w:p>
            <w:pPr>
              <w:jc w:val="center"/>
              <w:rPr>
                <w:rFonts w:ascii="宋体" w:hAnsi="宋体" w:eastAsia="宋体" w:cs="宋体"/>
                <w:b/>
                <w:color w:val="000000" w:themeColor="text1"/>
                <w:kern w:val="0"/>
                <w:szCs w:val="21"/>
                <w14:textFill>
                  <w14:solidFill>
                    <w14:schemeClr w14:val="tx1"/>
                  </w14:solidFill>
                </w14:textFill>
              </w:rPr>
            </w:pPr>
            <w:r>
              <w:rPr>
                <w:rFonts w:hint="eastAsia" w:ascii="宋体" w:hAnsi="宋体" w:eastAsia="宋体" w:cs="宋体"/>
                <w:b/>
                <w:color w:val="000000" w:themeColor="text1"/>
                <w:kern w:val="0"/>
                <w:szCs w:val="21"/>
                <w14:textFill>
                  <w14:solidFill>
                    <w14:schemeClr w14:val="tx1"/>
                  </w14:solidFill>
                </w14:textFill>
              </w:rPr>
              <w:t>审查因素</w:t>
            </w:r>
          </w:p>
        </w:tc>
        <w:tc>
          <w:tcPr>
            <w:tcW w:w="4179" w:type="dxa"/>
            <w:vAlign w:val="center"/>
          </w:tcPr>
          <w:p>
            <w:pPr>
              <w:jc w:val="center"/>
              <w:rPr>
                <w:rFonts w:ascii="宋体" w:hAnsi="宋体" w:eastAsia="宋体" w:cs="宋体"/>
                <w:b/>
                <w:color w:val="000000" w:themeColor="text1"/>
                <w:kern w:val="0"/>
                <w:szCs w:val="21"/>
                <w14:textFill>
                  <w14:solidFill>
                    <w14:schemeClr w14:val="tx1"/>
                  </w14:solidFill>
                </w14:textFill>
              </w:rPr>
            </w:pPr>
            <w:r>
              <w:rPr>
                <w:rFonts w:hint="eastAsia" w:ascii="宋体" w:hAnsi="宋体" w:eastAsia="宋体" w:cs="宋体"/>
                <w:b/>
                <w:color w:val="000000" w:themeColor="text1"/>
                <w:kern w:val="0"/>
                <w:szCs w:val="21"/>
                <w14:textFill>
                  <w14:solidFill>
                    <w14:schemeClr w14:val="tx1"/>
                  </w14:solidFill>
                </w14:textFill>
              </w:rPr>
              <w:t>审查标准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6" w:type="dxa"/>
            <w:vAlign w:val="center"/>
          </w:tcPr>
          <w:p>
            <w:pPr>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w:t>
            </w:r>
          </w:p>
        </w:tc>
        <w:tc>
          <w:tcPr>
            <w:tcW w:w="4179" w:type="dxa"/>
            <w:vAlign w:val="center"/>
          </w:tcPr>
          <w:p>
            <w:pP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法定代表人身份证明书及授权书</w:t>
            </w:r>
          </w:p>
        </w:tc>
        <w:tc>
          <w:tcPr>
            <w:tcW w:w="4179" w:type="dxa"/>
            <w:vAlign w:val="center"/>
          </w:tcPr>
          <w:p>
            <w:pP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法定代表人身份证明书及授权书有效，按照附件格式要求进行签字或盖章。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6" w:type="dxa"/>
            <w:vAlign w:val="center"/>
          </w:tcPr>
          <w:p>
            <w:pPr>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2</w:t>
            </w:r>
          </w:p>
        </w:tc>
        <w:tc>
          <w:tcPr>
            <w:tcW w:w="4179" w:type="dxa"/>
            <w:vAlign w:val="center"/>
          </w:tcPr>
          <w:p>
            <w:pPr>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响应有效期</w:t>
            </w:r>
          </w:p>
        </w:tc>
        <w:tc>
          <w:tcPr>
            <w:tcW w:w="4179" w:type="dxa"/>
            <w:vAlign w:val="center"/>
          </w:tcPr>
          <w:p>
            <w:pP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符合采购文件</w:t>
            </w:r>
            <w:r>
              <w:rPr>
                <w:rFonts w:hint="eastAsia" w:ascii="宋体" w:hAnsi="宋体" w:eastAsia="宋体" w:cs="仿宋_GB2312"/>
                <w:color w:val="000000" w:themeColor="text1"/>
                <w:szCs w:val="21"/>
                <w:lang w:val="zh-CN"/>
                <w14:textFill>
                  <w14:solidFill>
                    <w14:schemeClr w14:val="tx1"/>
                  </w14:solidFill>
                </w14:textFill>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6" w:type="dxa"/>
            <w:vAlign w:val="center"/>
          </w:tcPr>
          <w:p>
            <w:pPr>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3</w:t>
            </w:r>
          </w:p>
        </w:tc>
        <w:tc>
          <w:tcPr>
            <w:tcW w:w="4179" w:type="dxa"/>
            <w:vAlign w:val="center"/>
          </w:tcPr>
          <w:p>
            <w:pPr>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响应文件签署、盖章</w:t>
            </w:r>
          </w:p>
        </w:tc>
        <w:tc>
          <w:tcPr>
            <w:tcW w:w="4179" w:type="dxa"/>
            <w:vAlign w:val="center"/>
          </w:tcPr>
          <w:p>
            <w:pP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响应文件由供应商在规定位置盖章，响应文件必须由法定代表人或授权代表签署。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6" w:type="dxa"/>
            <w:vAlign w:val="center"/>
          </w:tcPr>
          <w:p>
            <w:pPr>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4</w:t>
            </w:r>
          </w:p>
        </w:tc>
        <w:tc>
          <w:tcPr>
            <w:tcW w:w="4179" w:type="dxa"/>
            <w:vAlign w:val="center"/>
          </w:tcPr>
          <w:p>
            <w:pPr>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响应</w:t>
            </w:r>
            <w:r>
              <w:rPr>
                <w:rFonts w:hint="eastAsia" w:ascii="宋体" w:hAnsi="宋体" w:eastAsia="宋体" w:cs="宋体"/>
                <w:color w:val="000000" w:themeColor="text1"/>
                <w:kern w:val="0"/>
                <w:szCs w:val="21"/>
                <w14:textFill>
                  <w14:solidFill>
                    <w14:schemeClr w14:val="tx1"/>
                  </w14:solidFill>
                </w14:textFill>
              </w:rPr>
              <w:t>文件内容</w:t>
            </w:r>
          </w:p>
        </w:tc>
        <w:tc>
          <w:tcPr>
            <w:tcW w:w="4179" w:type="dxa"/>
            <w:vAlign w:val="center"/>
          </w:tcPr>
          <w:p>
            <w:pP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对采购文件作出实质性响应。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6" w:type="dxa"/>
            <w:vAlign w:val="center"/>
          </w:tcPr>
          <w:p>
            <w:pPr>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5</w:t>
            </w:r>
          </w:p>
        </w:tc>
        <w:tc>
          <w:tcPr>
            <w:tcW w:w="4179" w:type="dxa"/>
            <w:vAlign w:val="center"/>
          </w:tcPr>
          <w:p>
            <w:pPr>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报价有效且唯一</w:t>
            </w:r>
          </w:p>
        </w:tc>
        <w:tc>
          <w:tcPr>
            <w:tcW w:w="4179" w:type="dxa"/>
            <w:vAlign w:val="center"/>
          </w:tcPr>
          <w:p>
            <w:pP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仿宋_GB2312"/>
                <w:color w:val="000000" w:themeColor="text1"/>
                <w:szCs w:val="21"/>
                <w:lang w:val="zh-CN"/>
                <w14:textFill>
                  <w14:solidFill>
                    <w14:schemeClr w14:val="tx1"/>
                  </w14:solidFill>
                </w14:textFill>
              </w:rPr>
              <w:t>只能在采购预算范围内报价，</w:t>
            </w:r>
            <w:r>
              <w:rPr>
                <w:rFonts w:hint="eastAsia" w:ascii="宋体" w:hAnsi="宋体" w:eastAsia="宋体" w:cs="Times New Roman"/>
                <w:color w:val="000000" w:themeColor="text1"/>
                <w:szCs w:val="21"/>
                <w14:textFill>
                  <w14:solidFill>
                    <w14:schemeClr w14:val="tx1"/>
                  </w14:solidFill>
                </w14:textFill>
              </w:rPr>
              <w:t>只允许有一个报价，有选择的或有条件的报价将不予接受。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6" w:type="dxa"/>
            <w:vAlign w:val="center"/>
          </w:tcPr>
          <w:p>
            <w:pPr>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6</w:t>
            </w:r>
          </w:p>
        </w:tc>
        <w:tc>
          <w:tcPr>
            <w:tcW w:w="4179" w:type="dxa"/>
            <w:vAlign w:val="center"/>
          </w:tcPr>
          <w:p>
            <w:pPr>
              <w:jc w:val="lef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其他</w:t>
            </w:r>
          </w:p>
        </w:tc>
        <w:tc>
          <w:tcPr>
            <w:tcW w:w="4179" w:type="dxa"/>
            <w:vAlign w:val="center"/>
          </w:tcPr>
          <w:p>
            <w:pPr>
              <w:rPr>
                <w:rFonts w:ascii="宋体" w:hAnsi="宋体" w:eastAsia="宋体" w:cs="仿宋_GB2312"/>
                <w:color w:val="000000" w:themeColor="text1"/>
                <w:szCs w:val="21"/>
                <w:lang w:val="zh-CN"/>
                <w14:textFill>
                  <w14:solidFill>
                    <w14:schemeClr w14:val="tx1"/>
                  </w14:solidFill>
                </w14:textFill>
              </w:rPr>
            </w:pPr>
            <w:r>
              <w:rPr>
                <w:rFonts w:hint="eastAsia" w:ascii="宋体" w:hAnsi="宋体" w:eastAsia="宋体" w:cs="仿宋_GB2312"/>
                <w:color w:val="000000" w:themeColor="text1"/>
                <w:szCs w:val="21"/>
                <w:lang w:val="zh-CN"/>
                <w14:textFill>
                  <w14:solidFill>
                    <w14:schemeClr w14:val="tx1"/>
                  </w14:solidFill>
                </w14:textFill>
              </w:rPr>
              <w:t>未出现“</w:t>
            </w:r>
            <w:r>
              <w:rPr>
                <w:rFonts w:hint="eastAsia" w:ascii="宋体" w:hAnsi="宋体" w:eastAsia="宋体" w:cs="Times New Roman"/>
                <w:color w:val="000000" w:themeColor="text1"/>
                <w:szCs w:val="21"/>
                <w14:textFill>
                  <w14:solidFill>
                    <w14:schemeClr w14:val="tx1"/>
                  </w14:solidFill>
                </w14:textFill>
              </w:rPr>
              <w:t>七、无效标的情形</w:t>
            </w:r>
            <w:r>
              <w:rPr>
                <w:rFonts w:hint="eastAsia" w:ascii="宋体" w:hAnsi="宋体" w:eastAsia="宋体" w:cs="仿宋_GB2312"/>
                <w:color w:val="000000" w:themeColor="text1"/>
                <w:szCs w:val="21"/>
                <w:lang w:val="zh-CN"/>
                <w14:textFill>
                  <w14:solidFill>
                    <w14:schemeClr w14:val="tx1"/>
                  </w14:solidFill>
                </w14:textFill>
              </w:rPr>
              <w:t>”中的情形。</w:t>
            </w:r>
          </w:p>
        </w:tc>
      </w:tr>
    </w:tbl>
    <w:p>
      <w:pPr>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符合性审查审查标准中有任意一项不符合的，为未通过符合性审查，作无效标处理。</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（三）澄清有关问题</w:t>
      </w:r>
    </w:p>
    <w:p>
      <w:pPr>
        <w:wordWrap w:val="0"/>
        <w:spacing w:line="400" w:lineRule="exact"/>
        <w:ind w:firstLine="420" w:firstLineChars="200"/>
        <w:rPr>
          <w:rFonts w:ascii="宋体" w:hAnsi="宋体" w:eastAsia="宋体" w:cs="Times New Roman"/>
          <w:color w:val="FF0000"/>
          <w:szCs w:val="21"/>
        </w:rPr>
      </w:pPr>
      <w:r>
        <w:rPr>
          <w:rFonts w:hint="eastAsia" w:ascii="宋体" w:hAnsi="宋体" w:eastAsia="宋体" w:cs="Times New Roman"/>
          <w:color w:val="000000" w:themeColor="text1"/>
          <w:szCs w:val="21"/>
          <w14:textFill>
            <w14:solidFill>
              <w14:schemeClr w14:val="tx1"/>
            </w14:solidFill>
          </w14:textFill>
        </w:rPr>
        <w:t>1.</w:t>
      </w:r>
      <w:r>
        <w:rPr>
          <w:rFonts w:hint="eastAsia" w:ascii="宋体" w:hAnsi="宋体" w:eastAsia="宋体"/>
          <w:color w:val="000000" w:themeColor="text1"/>
          <w14:textFill>
            <w14:solidFill>
              <w14:schemeClr w14:val="tx1"/>
            </w14:solidFill>
          </w14:textFill>
        </w:rPr>
        <w:t>磋商小组</w:t>
      </w:r>
      <w:r>
        <w:rPr>
          <w:rFonts w:hint="eastAsia" w:ascii="宋体" w:hAnsi="宋体" w:eastAsia="宋体" w:cs="Times New Roman"/>
          <w:color w:val="000000" w:themeColor="text1"/>
          <w:szCs w:val="21"/>
          <w14:textFill>
            <w14:solidFill>
              <w14:schemeClr w14:val="tx1"/>
            </w14:solidFill>
          </w14:textFill>
        </w:rPr>
        <w:t>可以要求供应商对响应文件中含义不明确、同类问题表述不一致或者有明显文字和计算错误的内容等作出必要的澄清、说明或者更正。供应商的澄清、说明或者更正不得超出响应文件的范围或者改变响应文件的实质性内容。澄清、说明或者更正响应文件应当以书面形式作出，供应商的澄清、说明或者更正应当由供应商代表签字或者加盖电子公章并作为响应文件的一部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响应文件报价出现前后不一致的，按照下列规定修正：（1）响应文件中初次报价表内容与响应文件中相应内容不一致的，以初次报价表为准；（2）大写金额和小写金额不一致的，以大写金额为准；（3）单价金额小数点或者百分比有明显错位的，以初次报价表的总价为准，并修改单价；（4）总价金额与按单价汇总金额不一致的，以单价金额计算结果为准。同时出现两种以上不一致的，按照前款规定（1）至（4）的顺序修正。修正应当采用书面形式，修正后的报价经供应商确认由供应商代表签字或者加盖电子公章后产生约束力，供应商不确认的，作无效标处理。</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（四）比较与评价</w:t>
      </w:r>
    </w:p>
    <w:p>
      <w:pPr>
        <w:wordWrap w:val="0"/>
        <w:spacing w:line="400" w:lineRule="exact"/>
        <w:ind w:firstLine="420" w:firstLineChars="200"/>
        <w:rPr>
          <w:rFonts w:ascii="宋体" w:hAnsi="宋体" w:eastAsia="宋体" w:cs="Times New Roman"/>
          <w:color w:val="FF0000"/>
          <w:szCs w:val="21"/>
        </w:rPr>
      </w:pPr>
      <w:r>
        <w:rPr>
          <w:rFonts w:hint="eastAsia" w:ascii="宋体" w:hAnsi="宋体" w:eastAsia="宋体" w:cs="Times New Roman"/>
          <w:color w:val="000000" w:themeColor="text1"/>
          <w:szCs w:val="21"/>
          <w14:textFill>
            <w14:solidFill>
              <w14:schemeClr w14:val="tx1"/>
            </w14:solidFill>
          </w14:textFill>
        </w:rPr>
        <w:t>1.磋商小组按照采购文件中规定的评审办法及标准，对通过资格审查和符合性审查的响应文件进行商务技术及报价评审。</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2.对不同文字文本的内容解释发生异议的，以中文文本为准。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3.发现有两份及以上响应文件相互之间有特别相同或相似之处，且经询标，供应商无令人信服的理由和可靠证据证明其合理性的，经磋商小组三分之二成员确认，其响应文件作无效标处理，不进入单独磋商环节。</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（五）评审标准</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1.报价得分及商务技术得分均四舍五入保留两位小数。</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2.评审得分=报价分+商务技术分。</w:t>
      </w:r>
    </w:p>
    <w:tbl>
      <w:tblPr>
        <w:tblStyle w:val="12"/>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092"/>
        <w:gridCol w:w="1276"/>
        <w:gridCol w:w="992"/>
        <w:gridCol w:w="5626"/>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092" w:type="dxa"/>
            <w:vAlign w:val="center"/>
          </w:tcPr>
          <w:p>
            <w:pPr>
              <w:jc w:val="center"/>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评审项目</w:t>
            </w:r>
          </w:p>
        </w:tc>
        <w:tc>
          <w:tcPr>
            <w:tcW w:w="1276" w:type="dxa"/>
            <w:vAlign w:val="center"/>
          </w:tcPr>
          <w:p>
            <w:pPr>
              <w:jc w:val="center"/>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评审标准</w:t>
            </w:r>
          </w:p>
        </w:tc>
        <w:tc>
          <w:tcPr>
            <w:tcW w:w="6618" w:type="dxa"/>
            <w:gridSpan w:val="2"/>
            <w:vAlign w:val="center"/>
          </w:tcPr>
          <w:p>
            <w:pPr>
              <w:jc w:val="center"/>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评审因素的量化指标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092" w:type="dxa"/>
            <w:vAlign w:val="center"/>
          </w:tcPr>
          <w:p>
            <w:pPr>
              <w:jc w:val="center"/>
              <w:rPr>
                <w:rFonts w:ascii="宋体" w:hAnsi="宋体" w:eastAsia="宋体" w:cs="宋体"/>
                <w:b/>
                <w:bCs/>
                <w:szCs w:val="21"/>
              </w:rPr>
            </w:pPr>
            <w:r>
              <w:rPr>
                <w:rFonts w:hint="eastAsia" w:ascii="宋体" w:hAnsi="宋体" w:eastAsia="宋体" w:cs="宋体"/>
                <w:b/>
                <w:bCs/>
                <w:szCs w:val="21"/>
              </w:rPr>
              <w:t>报价分</w:t>
            </w:r>
          </w:p>
          <w:p>
            <w:pPr>
              <w:jc w:val="center"/>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宋体"/>
                <w:b/>
                <w:bCs/>
                <w:szCs w:val="21"/>
              </w:rPr>
              <w:t>（30分）</w:t>
            </w:r>
          </w:p>
        </w:tc>
        <w:tc>
          <w:tcPr>
            <w:tcW w:w="1276" w:type="dxa"/>
            <w:vAlign w:val="center"/>
          </w:tcPr>
          <w:p>
            <w:pPr>
              <w:jc w:val="center"/>
              <w:rPr>
                <w:rFonts w:ascii="宋体" w:hAnsi="宋体" w:eastAsia="宋体" w:cs="宋体"/>
                <w:szCs w:val="21"/>
              </w:rPr>
            </w:pPr>
            <w:r>
              <w:rPr>
                <w:rFonts w:hint="eastAsia" w:ascii="宋体" w:hAnsi="宋体" w:eastAsia="宋体" w:cs="宋体"/>
                <w:szCs w:val="21"/>
              </w:rPr>
              <w:t>报价</w:t>
            </w:r>
          </w:p>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宋体"/>
                <w:szCs w:val="21"/>
              </w:rPr>
              <w:t>（30分）</w:t>
            </w:r>
          </w:p>
        </w:tc>
        <w:tc>
          <w:tcPr>
            <w:tcW w:w="6618" w:type="dxa"/>
            <w:gridSpan w:val="2"/>
            <w:vAlign w:val="center"/>
          </w:tcPr>
          <w:p>
            <w:pPr>
              <w:tabs>
                <w:tab w:val="right" w:pos="4601"/>
              </w:tabs>
              <w:rPr>
                <w:rFonts w:ascii="宋体" w:hAnsi="宋体" w:eastAsia="宋体" w:cs="宋体"/>
                <w:kern w:val="0"/>
                <w:szCs w:val="21"/>
              </w:rPr>
            </w:pPr>
            <w:r>
              <w:rPr>
                <w:rFonts w:hint="eastAsia" w:ascii="宋体" w:hAnsi="宋体" w:eastAsia="宋体" w:cs="宋体"/>
                <w:kern w:val="0"/>
                <w:szCs w:val="21"/>
              </w:rPr>
              <w:t>（1）参加评审的价格=最终报价-小微企业价格优惠幅度20%（联合协议或者分包意向协议约定小微企业的合同份额占到合同总金额30%以上的价格优惠幅度</w:t>
            </w:r>
            <w:r>
              <w:rPr>
                <w:rFonts w:ascii="宋体" w:hAnsi="宋体" w:eastAsia="宋体" w:cs="宋体"/>
                <w:kern w:val="0"/>
                <w:szCs w:val="21"/>
              </w:rPr>
              <w:t>6</w:t>
            </w:r>
            <w:r>
              <w:rPr>
                <w:rFonts w:hint="eastAsia" w:ascii="宋体" w:hAnsi="宋体" w:eastAsia="宋体" w:cs="宋体"/>
                <w:kern w:val="0"/>
                <w:szCs w:val="21"/>
              </w:rPr>
              <w:t>%）。</w:t>
            </w:r>
          </w:p>
          <w:p>
            <w:pP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（2）评审基准价=满足采购文件要求且参加评审的价格中最低的价格为评审基准价，评审基准价得分为满分30分。</w:t>
            </w:r>
          </w:p>
          <w:p>
            <w:pP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（3）报价得分=（评审基准价/参加评审的价格）×30分。</w:t>
            </w:r>
          </w:p>
          <w:p>
            <w:pPr>
              <w:tabs>
                <w:tab w:val="right" w:pos="4601"/>
              </w:tabs>
              <w:rPr>
                <w:rFonts w:ascii="宋体" w:hAnsi="宋体" w:eastAsia="宋体" w:cs="宋体"/>
                <w:kern w:val="0"/>
                <w:szCs w:val="21"/>
                <w:highlight w:val="yellow"/>
              </w:rPr>
            </w:pPr>
            <w:r>
              <w:rPr>
                <w:rFonts w:hint="eastAsia" w:ascii="宋体" w:hAnsi="宋体" w:eastAsia="宋体" w:cs="Times New Roman"/>
                <w:color w:val="000000" w:themeColor="text1"/>
                <w:kern w:val="0"/>
                <w:szCs w:val="21"/>
                <w14:textFill>
                  <w14:solidFill>
                    <w14:schemeClr w14:val="tx1"/>
                  </w14:solidFill>
                </w14:textFill>
              </w:rPr>
              <w:t>（4）监狱企业和残疾人福利性单位视同小微企业。</w:t>
            </w:r>
            <w:r>
              <w:rPr>
                <w:rFonts w:hint="eastAsia" w:ascii="宋体" w:hAnsi="宋体" w:eastAsia="宋体" w:cs="Times New Roman"/>
                <w:b/>
                <w:color w:val="000000" w:themeColor="text1"/>
                <w:kern w:val="0"/>
                <w:szCs w:val="21"/>
                <w14:textFill>
                  <w14:solidFill>
                    <w14:schemeClr w14:val="tx1"/>
                  </w14:solidFill>
                </w14:textFill>
              </w:rPr>
              <w:t>（在报价文件中提供证明材料）</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092" w:type="dxa"/>
            <w:vMerge w:val="restart"/>
            <w:vAlign w:val="center"/>
          </w:tcPr>
          <w:p>
            <w:pPr>
              <w:jc w:val="center"/>
              <w:rPr>
                <w:rFonts w:ascii="宋体" w:hAnsi="宋体" w:eastAsia="宋体" w:cs="Times New Roman"/>
                <w:b/>
                <w:color w:val="000000" w:themeColor="text1"/>
                <w:kern w:val="0"/>
                <w:szCs w:val="21"/>
                <w14:textFill>
                  <w14:solidFill>
                    <w14:schemeClr w14:val="tx1"/>
                  </w14:solidFill>
                </w14:textFill>
              </w:rPr>
            </w:pPr>
            <w:r>
              <w:rPr>
                <w:rFonts w:hint="eastAsia" w:ascii="宋体" w:hAnsi="宋体" w:eastAsia="宋体" w:cs="Times New Roman"/>
                <w:b/>
                <w:color w:val="000000" w:themeColor="text1"/>
                <w:kern w:val="0"/>
                <w:szCs w:val="21"/>
                <w14:textFill>
                  <w14:solidFill>
                    <w14:schemeClr w14:val="tx1"/>
                  </w14:solidFill>
                </w14:textFill>
              </w:rPr>
              <w:t>商务技术分（7</w:t>
            </w:r>
            <w:r>
              <w:rPr>
                <w:rFonts w:ascii="宋体" w:hAnsi="宋体" w:eastAsia="宋体" w:cs="Times New Roman"/>
                <w:b/>
                <w:color w:val="000000" w:themeColor="text1"/>
                <w:kern w:val="0"/>
                <w:szCs w:val="21"/>
                <w14:textFill>
                  <w14:solidFill>
                    <w14:schemeClr w14:val="tx1"/>
                  </w14:solidFill>
                </w14:textFill>
              </w:rPr>
              <w:t>0</w:t>
            </w:r>
            <w:r>
              <w:rPr>
                <w:rFonts w:hint="eastAsia" w:ascii="宋体" w:hAnsi="宋体" w:eastAsia="宋体" w:cs="Times New Roman"/>
                <w:b/>
                <w:color w:val="000000" w:themeColor="text1"/>
                <w:kern w:val="0"/>
                <w:szCs w:val="21"/>
                <w14:textFill>
                  <w14:solidFill>
                    <w14:schemeClr w14:val="tx1"/>
                  </w14:solidFill>
                </w14:textFill>
              </w:rPr>
              <w:t>分）</w:t>
            </w:r>
          </w:p>
        </w:tc>
        <w:tc>
          <w:tcPr>
            <w:tcW w:w="1276" w:type="dxa"/>
            <w:vAlign w:val="center"/>
          </w:tcPr>
          <w:p>
            <w:pPr>
              <w:jc w:val="cente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技术参数响应情况</w:t>
            </w:r>
          </w:p>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（21分）</w:t>
            </w:r>
          </w:p>
        </w:tc>
        <w:tc>
          <w:tcPr>
            <w:tcW w:w="992"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客观分</w:t>
            </w:r>
          </w:p>
        </w:tc>
        <w:tc>
          <w:tcPr>
            <w:tcW w:w="5626" w:type="dxa"/>
            <w:vAlign w:val="center"/>
          </w:tcPr>
          <w:p>
            <w:pP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完全响应采购文件“技术参数”中指标的得21分。</w:t>
            </w:r>
            <w:r>
              <w:rPr>
                <w:rFonts w:hint="eastAsia" w:ascii="宋体" w:hAnsi="宋体" w:eastAsia="宋体"/>
                <w:b/>
                <w:bCs/>
                <w:color w:val="000000" w:themeColor="text1"/>
                <w:szCs w:val="21"/>
                <w:shd w:val="clear" w:color="auto" w:fill="BEBEBE" w:themeFill="background1" w:themeFillShade="BF"/>
                <w14:textFill>
                  <w14:solidFill>
                    <w14:schemeClr w14:val="tx1"/>
                  </w14:solidFill>
                </w14:textFill>
              </w:rPr>
              <w:t>带“★”的为必要技术参数，不满足的作无效标处理；</w:t>
            </w:r>
            <w:r>
              <w:rPr>
                <w:rFonts w:hint="eastAsia" w:ascii="宋体" w:hAnsi="宋体" w:eastAsia="宋体"/>
                <w:color w:val="000000" w:themeColor="text1"/>
                <w:szCs w:val="21"/>
                <w14:textFill>
                  <w14:solidFill>
                    <w14:schemeClr w14:val="tx1"/>
                  </w14:solidFill>
                </w14:textFill>
              </w:rPr>
              <w:t>带“</w:t>
            </w:r>
            <w:r>
              <w:rPr>
                <w:rFonts w:hint="eastAsia" w:ascii="宋体" w:hAnsi="宋体" w:eastAsia="宋体"/>
                <w:b/>
                <w:bCs/>
                <w:color w:val="000000" w:themeColor="text1"/>
                <w:szCs w:val="21"/>
                <w14:textFill>
                  <w14:solidFill>
                    <w14:schemeClr w14:val="tx1"/>
                  </w14:solidFill>
                </w14:textFill>
              </w:rPr>
              <w:t>▲</w:t>
            </w:r>
            <w:r>
              <w:rPr>
                <w:rFonts w:hint="eastAsia" w:ascii="宋体" w:hAnsi="宋体" w:eastAsia="宋体"/>
                <w:color w:val="000000" w:themeColor="text1"/>
                <w:szCs w:val="21"/>
                <w14:textFill>
                  <w14:solidFill>
                    <w14:schemeClr w14:val="tx1"/>
                  </w14:solidFill>
                </w14:textFill>
              </w:rPr>
              <w:t>”的重要技术参数每负偏离一项，将被扣</w:t>
            </w:r>
            <w:r>
              <w:rPr>
                <w:rFonts w:ascii="宋体" w:hAnsi="宋体" w:eastAsia="宋体"/>
                <w:color w:val="000000" w:themeColor="text1"/>
                <w:szCs w:val="21"/>
                <w14:textFill>
                  <w14:solidFill>
                    <w14:schemeClr w14:val="tx1"/>
                  </w14:solidFill>
                </w14:textFill>
              </w:rPr>
              <w:t>2</w:t>
            </w:r>
            <w:r>
              <w:rPr>
                <w:rFonts w:hint="eastAsia" w:ascii="宋体" w:hAnsi="宋体" w:eastAsia="宋体"/>
                <w:color w:val="000000" w:themeColor="text1"/>
                <w:szCs w:val="21"/>
                <w14:textFill>
                  <w14:solidFill>
                    <w14:schemeClr w14:val="tx1"/>
                  </w14:solidFill>
                </w14:textFill>
              </w:rPr>
              <w:t>分；其他技术参数每负偏离一项，将被扣1分。扣完为止。</w:t>
            </w:r>
          </w:p>
          <w:p>
            <w:pP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b/>
                <w:color w:val="000000" w:themeColor="text1"/>
                <w:szCs w:val="21"/>
                <w14:textFill>
                  <w14:solidFill>
                    <w14:schemeClr w14:val="tx1"/>
                  </w14:solidFill>
                </w14:textFill>
              </w:rPr>
              <w:t>客观分得分需满足的要求：①以《技术参数偏离表》填写的偏离内容作为评审依据；②“技术参数”中需要提供的资料未提供的或未能明确佐证技术参数要求的，均视为负偏离，按本项评审标准进行扣分；③“技术参数”中需要提供的资料有编排混乱、不加明确标识类的情况导致磋商小组漏查的，造成不利于供应商的后果由供应商自行承担责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092" w:type="dxa"/>
            <w:vMerge w:val="continue"/>
            <w:vAlign w:val="center"/>
          </w:tcPr>
          <w:p>
            <w:pPr>
              <w:jc w:val="center"/>
              <w:rPr>
                <w:rFonts w:ascii="宋体" w:hAnsi="宋体" w:eastAsia="宋体" w:cs="Times New Roman"/>
                <w:b/>
                <w:color w:val="000000" w:themeColor="text1"/>
                <w:kern w:val="0"/>
                <w:sz w:val="20"/>
                <w:szCs w:val="21"/>
                <w14:textFill>
                  <w14:solidFill>
                    <w14:schemeClr w14:val="tx1"/>
                  </w14:solidFill>
                </w14:textFill>
              </w:rPr>
            </w:pPr>
          </w:p>
        </w:tc>
        <w:tc>
          <w:tcPr>
            <w:tcW w:w="1276" w:type="dxa"/>
            <w:vAlign w:val="center"/>
          </w:tcPr>
          <w:p>
            <w:pPr>
              <w:jc w:val="center"/>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同类项目业绩（3分）</w:t>
            </w:r>
          </w:p>
        </w:tc>
        <w:tc>
          <w:tcPr>
            <w:tcW w:w="992" w:type="dxa"/>
            <w:vAlign w:val="center"/>
          </w:tcPr>
          <w:p>
            <w:pPr>
              <w:jc w:val="center"/>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客观分</w:t>
            </w:r>
          </w:p>
        </w:tc>
        <w:tc>
          <w:tcPr>
            <w:tcW w:w="5626" w:type="dxa"/>
            <w:vAlign w:val="center"/>
          </w:tcPr>
          <w:p>
            <w:pP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供应商或联合体牵头人提供自2020年1月1日以来的同类项目业绩及对应业绩的项目验收通过报告，每个业绩得1分，本项最高得3分。</w:t>
            </w:r>
          </w:p>
          <w:p>
            <w:pPr>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b/>
                <w:color w:val="000000" w:themeColor="text1"/>
                <w:szCs w:val="21"/>
                <w14:textFill>
                  <w14:solidFill>
                    <w14:schemeClr w14:val="tx1"/>
                  </w14:solidFill>
                </w14:textFill>
              </w:rPr>
              <w:t>客观分得分需满足的要求：①响应文件中提供同类项目业绩合同及对应业绩的项目验收通过报告复印件；②时间以合同签订日期为准；③同一个合同中含有多个项目的，按一个业绩认定；④与同一个客户签订的多个项目名称相近的合同，如不能提供证明材料证明是单独项目合同的，按一个业绩认定。</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7" w:hRule="atLeast"/>
          <w:jc w:val="center"/>
        </w:trPr>
        <w:tc>
          <w:tcPr>
            <w:tcW w:w="1092" w:type="dxa"/>
            <w:vMerge w:val="continue"/>
            <w:vAlign w:val="center"/>
          </w:tcPr>
          <w:p>
            <w:pPr>
              <w:jc w:val="center"/>
              <w:rPr>
                <w:rFonts w:ascii="宋体" w:hAnsi="宋体" w:eastAsia="宋体" w:cs="Times New Roman"/>
                <w:b/>
                <w:color w:val="000000" w:themeColor="text1"/>
                <w:kern w:val="0"/>
                <w:sz w:val="20"/>
                <w:szCs w:val="21"/>
                <w14:textFill>
                  <w14:solidFill>
                    <w14:schemeClr w14:val="tx1"/>
                  </w14:solidFill>
                </w14:textFill>
              </w:rPr>
            </w:pPr>
          </w:p>
        </w:tc>
        <w:tc>
          <w:tcPr>
            <w:tcW w:w="1276" w:type="dxa"/>
            <w:vAlign w:val="center"/>
          </w:tcPr>
          <w:p>
            <w:pPr>
              <w:jc w:val="cente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证书（7分）</w:t>
            </w:r>
          </w:p>
        </w:tc>
        <w:tc>
          <w:tcPr>
            <w:tcW w:w="992" w:type="dxa"/>
            <w:vAlign w:val="center"/>
          </w:tcPr>
          <w:p>
            <w:pPr>
              <w:jc w:val="cente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客观分</w:t>
            </w:r>
          </w:p>
        </w:tc>
        <w:tc>
          <w:tcPr>
            <w:tcW w:w="5626" w:type="dxa"/>
            <w:vAlign w:val="center"/>
          </w:tcPr>
          <w:p>
            <w:pP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（1）供应商</w:t>
            </w:r>
            <w:r>
              <w:rPr>
                <w:rFonts w:hint="eastAsia" w:ascii="宋体" w:hAnsi="宋体" w:eastAsia="宋体" w:cs="宋体"/>
                <w:color w:val="000000" w:themeColor="text1"/>
                <w:szCs w:val="21"/>
                <w14:textFill>
                  <w14:solidFill>
                    <w14:schemeClr w14:val="tx1"/>
                  </w14:solidFill>
                </w14:textFill>
              </w:rPr>
              <w:t>或联合体牵头人具有电子与智能化工程专业承包一级资质的得2分；具有电子与智能化工程专业承包二级资质的得1分。</w:t>
            </w:r>
          </w:p>
          <w:p>
            <w:pP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（2）供应商或联合体牵头人具有智慧校园平台计算机软件著作权登记证书的得2分。</w:t>
            </w:r>
          </w:p>
          <w:p>
            <w:pP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（3）供应商或联合体牵头人具有信息技术服务管理体系认证证书的得</w:t>
            </w:r>
            <w:r>
              <w:rPr>
                <w:rFonts w:ascii="宋体" w:hAnsi="宋体" w:eastAsia="宋体"/>
                <w:color w:val="000000" w:themeColor="text1"/>
                <w:szCs w:val="21"/>
                <w14:textFill>
                  <w14:solidFill>
                    <w14:schemeClr w14:val="tx1"/>
                  </w14:solidFill>
                </w14:textFill>
              </w:rPr>
              <w:t>1</w:t>
            </w:r>
            <w:r>
              <w:rPr>
                <w:rFonts w:hint="eastAsia" w:ascii="宋体" w:hAnsi="宋体" w:eastAsia="宋体"/>
                <w:color w:val="000000" w:themeColor="text1"/>
                <w:szCs w:val="21"/>
                <w14:textFill>
                  <w14:solidFill>
                    <w14:schemeClr w14:val="tx1"/>
                  </w14:solidFill>
                </w14:textFill>
              </w:rPr>
              <w:t>分。</w:t>
            </w:r>
          </w:p>
          <w:p>
            <w:pP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（4）供应商或联合体牵头人具有信息安全管理体系认证证书的得</w:t>
            </w:r>
            <w:r>
              <w:rPr>
                <w:rFonts w:ascii="宋体" w:hAnsi="宋体" w:eastAsia="宋体"/>
                <w:color w:val="000000" w:themeColor="text1"/>
                <w:szCs w:val="21"/>
                <w14:textFill>
                  <w14:solidFill>
                    <w14:schemeClr w14:val="tx1"/>
                  </w14:solidFill>
                </w14:textFill>
              </w:rPr>
              <w:t>1</w:t>
            </w:r>
            <w:r>
              <w:rPr>
                <w:rFonts w:hint="eastAsia" w:ascii="宋体" w:hAnsi="宋体" w:eastAsia="宋体"/>
                <w:color w:val="000000" w:themeColor="text1"/>
                <w:szCs w:val="21"/>
                <w14:textFill>
                  <w14:solidFill>
                    <w14:schemeClr w14:val="tx1"/>
                  </w14:solidFill>
                </w14:textFill>
              </w:rPr>
              <w:t>分。</w:t>
            </w:r>
          </w:p>
          <w:p>
            <w:pP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（5）供应商或联合体牵头人具有职业健康安全管理体系认证证书的得</w:t>
            </w:r>
            <w:r>
              <w:rPr>
                <w:rFonts w:ascii="宋体" w:hAnsi="宋体" w:eastAsia="宋体"/>
                <w:color w:val="000000" w:themeColor="text1"/>
                <w:szCs w:val="21"/>
                <w14:textFill>
                  <w14:solidFill>
                    <w14:schemeClr w14:val="tx1"/>
                  </w14:solidFill>
                </w14:textFill>
              </w:rPr>
              <w:t>1</w:t>
            </w:r>
            <w:r>
              <w:rPr>
                <w:rFonts w:hint="eastAsia" w:ascii="宋体" w:hAnsi="宋体" w:eastAsia="宋体"/>
                <w:color w:val="000000" w:themeColor="text1"/>
                <w:szCs w:val="21"/>
                <w14:textFill>
                  <w14:solidFill>
                    <w14:schemeClr w14:val="tx1"/>
                  </w14:solidFill>
                </w14:textFill>
              </w:rPr>
              <w:t>分。</w:t>
            </w:r>
          </w:p>
          <w:p>
            <w:pPr>
              <w:rPr>
                <w:rFonts w:ascii="宋体" w:hAnsi="宋体" w:eastAsia="宋体"/>
                <w:b/>
                <w:color w:val="000000" w:themeColor="text1"/>
                <w:szCs w:val="21"/>
                <w14:textFill>
                  <w14:solidFill>
                    <w14:schemeClr w14:val="tx1"/>
                  </w14:solidFill>
                </w14:textFill>
              </w:rPr>
            </w:pPr>
            <w:r>
              <w:rPr>
                <w:rFonts w:hint="eastAsia" w:ascii="宋体" w:hAnsi="宋体" w:eastAsia="宋体"/>
                <w:b/>
                <w:color w:val="000000" w:themeColor="text1"/>
                <w:szCs w:val="21"/>
                <w14:textFill>
                  <w14:solidFill>
                    <w14:schemeClr w14:val="tx1"/>
                  </w14:solidFill>
                </w14:textFill>
              </w:rPr>
              <w:t>客观分得分需满足的要求：</w:t>
            </w:r>
            <w:r>
              <w:rPr>
                <w:rFonts w:hint="eastAsia" w:ascii="宋体" w:hAnsi="宋体" w:eastAsia="宋体" w:cs="宋体"/>
                <w:b/>
                <w:bCs/>
                <w:color w:val="000000" w:themeColor="text1"/>
                <w:szCs w:val="21"/>
                <w14:textFill>
                  <w14:solidFill>
                    <w14:schemeClr w14:val="tx1"/>
                  </w14:solidFill>
                </w14:textFill>
              </w:rPr>
              <w:t>①</w:t>
            </w:r>
            <w:r>
              <w:rPr>
                <w:rFonts w:hint="eastAsia" w:ascii="宋体" w:hAnsi="宋体" w:eastAsia="宋体"/>
                <w:b/>
                <w:color w:val="000000" w:themeColor="text1"/>
                <w:szCs w:val="21"/>
                <w14:textFill>
                  <w14:solidFill>
                    <w14:schemeClr w14:val="tx1"/>
                  </w14:solidFill>
                </w14:textFill>
              </w:rPr>
              <w:t>证书须有效</w:t>
            </w:r>
            <w:r>
              <w:rPr>
                <w:rFonts w:hint="eastAsia" w:ascii="宋体" w:hAnsi="宋体" w:eastAsia="宋体" w:cs="宋体"/>
                <w:b/>
                <w:bCs/>
                <w:color w:val="000000" w:themeColor="text1"/>
                <w:szCs w:val="21"/>
                <w14:textFill>
                  <w14:solidFill>
                    <w14:schemeClr w14:val="tx1"/>
                  </w14:solidFill>
                </w14:textFill>
              </w:rPr>
              <w:t>；②</w:t>
            </w:r>
            <w:r>
              <w:rPr>
                <w:rFonts w:hint="eastAsia" w:ascii="宋体" w:hAnsi="宋体" w:eastAsia="宋体"/>
                <w:b/>
                <w:color w:val="000000" w:themeColor="text1"/>
                <w:szCs w:val="21"/>
                <w14:textFill>
                  <w14:solidFill>
                    <w14:schemeClr w14:val="tx1"/>
                  </w14:solidFill>
                </w14:textFill>
              </w:rPr>
              <w:t>响应文件中提供证书复印件。</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08" w:hRule="atLeast"/>
          <w:jc w:val="center"/>
        </w:trPr>
        <w:tc>
          <w:tcPr>
            <w:tcW w:w="1092" w:type="dxa"/>
            <w:vMerge w:val="continue"/>
            <w:vAlign w:val="center"/>
          </w:tcPr>
          <w:p>
            <w:pPr>
              <w:jc w:val="center"/>
              <w:rPr>
                <w:rFonts w:ascii="宋体" w:hAnsi="宋体" w:eastAsia="宋体" w:cs="Times New Roman"/>
                <w:b/>
                <w:color w:val="000000" w:themeColor="text1"/>
                <w:kern w:val="0"/>
                <w:szCs w:val="21"/>
                <w14:textFill>
                  <w14:solidFill>
                    <w14:schemeClr w14:val="tx1"/>
                  </w14:solidFill>
                </w14:textFill>
              </w:rPr>
            </w:pPr>
          </w:p>
        </w:tc>
        <w:tc>
          <w:tcPr>
            <w:tcW w:w="1276"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工作人员综合情况</w:t>
            </w:r>
          </w:p>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w:t>
            </w:r>
            <w:r>
              <w:rPr>
                <w:rFonts w:ascii="宋体" w:hAnsi="宋体" w:eastAsia="宋体" w:cs="Times New Roman"/>
                <w:color w:val="000000" w:themeColor="text1"/>
                <w:kern w:val="0"/>
                <w:szCs w:val="21"/>
                <w14:textFill>
                  <w14:solidFill>
                    <w14:schemeClr w14:val="tx1"/>
                  </w14:solidFill>
                </w14:textFill>
              </w:rPr>
              <w:t>1</w:t>
            </w:r>
            <w:r>
              <w:rPr>
                <w:rFonts w:hint="eastAsia" w:ascii="宋体" w:hAnsi="宋体" w:eastAsia="宋体" w:cs="Times New Roman"/>
                <w:color w:val="000000" w:themeColor="text1"/>
                <w:kern w:val="0"/>
                <w:szCs w:val="21"/>
                <w14:textFill>
                  <w14:solidFill>
                    <w14:schemeClr w14:val="tx1"/>
                  </w14:solidFill>
                </w14:textFill>
              </w:rPr>
              <w:t>2分）</w:t>
            </w:r>
          </w:p>
        </w:tc>
        <w:tc>
          <w:tcPr>
            <w:tcW w:w="992"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客观分</w:t>
            </w:r>
          </w:p>
        </w:tc>
        <w:tc>
          <w:tcPr>
            <w:tcW w:w="5626" w:type="dxa"/>
            <w:vAlign w:val="center"/>
          </w:tcPr>
          <w:p>
            <w:pPr>
              <w:rPr>
                <w:rFonts w:ascii="宋体" w:hAnsi="宋体" w:eastAsia="宋体" w:cs="Times New Roman"/>
                <w:b/>
                <w:kern w:val="0"/>
                <w:szCs w:val="21"/>
              </w:rPr>
            </w:pPr>
            <w:r>
              <w:rPr>
                <w:rFonts w:hint="eastAsia" w:ascii="宋体" w:hAnsi="宋体" w:eastAsia="宋体" w:cs="Times New Roman"/>
                <w:b/>
                <w:kern w:val="0"/>
                <w:szCs w:val="21"/>
              </w:rPr>
              <w:t>项目负责人（</w:t>
            </w:r>
            <w:r>
              <w:rPr>
                <w:rFonts w:ascii="宋体" w:hAnsi="宋体" w:eastAsia="宋体" w:cs="Times New Roman"/>
                <w:b/>
                <w:kern w:val="0"/>
                <w:szCs w:val="21"/>
              </w:rPr>
              <w:t>3</w:t>
            </w:r>
            <w:r>
              <w:rPr>
                <w:rFonts w:hint="eastAsia" w:ascii="宋体" w:hAnsi="宋体" w:eastAsia="宋体" w:cs="Times New Roman"/>
                <w:b/>
                <w:kern w:val="0"/>
                <w:szCs w:val="21"/>
              </w:rPr>
              <w:t>分）</w:t>
            </w:r>
          </w:p>
          <w:p>
            <w:pPr>
              <w:rPr>
                <w:rFonts w:ascii="宋体" w:hAnsi="宋体" w:eastAsia="宋体" w:cs="Times New Roman"/>
                <w:kern w:val="0"/>
                <w:szCs w:val="21"/>
              </w:rPr>
            </w:pPr>
            <w:r>
              <w:rPr>
                <w:rFonts w:hint="eastAsia" w:ascii="宋体" w:hAnsi="宋体" w:eastAsia="宋体" w:cs="Times New Roman"/>
                <w:kern w:val="0"/>
                <w:szCs w:val="21"/>
              </w:rPr>
              <w:t>（1）</w:t>
            </w:r>
            <w:r>
              <w:rPr>
                <w:rFonts w:hint="eastAsia" w:ascii="宋体" w:hAnsi="宋体" w:eastAsia="宋体" w:cs="宋体"/>
                <w:kern w:val="0"/>
                <w:szCs w:val="21"/>
              </w:rPr>
              <w:t>项目负责人具有机电工程专业一级建造师执业资格证书的得1.5分。</w:t>
            </w:r>
          </w:p>
          <w:p>
            <w:pPr>
              <w:rPr>
                <w:rFonts w:ascii="宋体" w:hAnsi="宋体" w:eastAsia="宋体" w:cs="Times New Roman"/>
                <w:kern w:val="0"/>
                <w:szCs w:val="21"/>
              </w:rPr>
            </w:pPr>
            <w:r>
              <w:rPr>
                <w:rFonts w:hint="eastAsia" w:ascii="宋体" w:hAnsi="宋体" w:eastAsia="宋体" w:cs="Times New Roman"/>
                <w:kern w:val="0"/>
                <w:szCs w:val="21"/>
              </w:rPr>
              <w:t>（2）</w:t>
            </w:r>
            <w:r>
              <w:rPr>
                <w:rFonts w:hint="eastAsia" w:ascii="宋体" w:hAnsi="宋体" w:eastAsia="宋体" w:cs="宋体"/>
                <w:kern w:val="0"/>
                <w:szCs w:val="21"/>
              </w:rPr>
              <w:t>项目负责人具有工信部颁发的信息技术应用创新专业人员证书的得1.5分</w:t>
            </w:r>
            <w:r>
              <w:rPr>
                <w:rFonts w:hint="eastAsia" w:ascii="宋体" w:hAnsi="宋体" w:eastAsia="宋体" w:cs="Times New Roman"/>
                <w:kern w:val="0"/>
                <w:szCs w:val="21"/>
              </w:rPr>
              <w:t>。</w:t>
            </w:r>
          </w:p>
          <w:p>
            <w:pPr>
              <w:rPr>
                <w:rFonts w:ascii="宋体" w:hAnsi="宋体" w:eastAsia="宋体" w:cs="Times New Roman"/>
                <w:kern w:val="0"/>
                <w:szCs w:val="21"/>
              </w:rPr>
            </w:pPr>
            <w:r>
              <w:rPr>
                <w:rFonts w:hint="eastAsia" w:ascii="宋体" w:hAnsi="宋体" w:eastAsia="宋体" w:cs="Times New Roman"/>
                <w:b/>
                <w:kern w:val="0"/>
                <w:szCs w:val="21"/>
              </w:rPr>
              <w:t>技术负责人（</w:t>
            </w:r>
            <w:r>
              <w:rPr>
                <w:rFonts w:ascii="宋体" w:hAnsi="宋体" w:eastAsia="宋体" w:cs="Times New Roman"/>
                <w:b/>
                <w:kern w:val="0"/>
                <w:szCs w:val="21"/>
              </w:rPr>
              <w:t>3</w:t>
            </w:r>
            <w:r>
              <w:rPr>
                <w:rFonts w:hint="eastAsia" w:ascii="宋体" w:hAnsi="宋体" w:eastAsia="宋体" w:cs="Times New Roman"/>
                <w:b/>
                <w:kern w:val="0"/>
                <w:szCs w:val="21"/>
              </w:rPr>
              <w:t>分）</w:t>
            </w:r>
          </w:p>
          <w:p>
            <w:pPr>
              <w:rPr>
                <w:rFonts w:ascii="宋体" w:hAnsi="宋体" w:eastAsia="宋体" w:cs="Times New Roman"/>
                <w:kern w:val="0"/>
                <w:szCs w:val="21"/>
              </w:rPr>
            </w:pPr>
            <w:r>
              <w:rPr>
                <w:rFonts w:hint="eastAsia" w:ascii="宋体" w:hAnsi="宋体" w:eastAsia="宋体" w:cs="Times New Roman"/>
                <w:kern w:val="0"/>
                <w:szCs w:val="21"/>
              </w:rPr>
              <w:t>（1）</w:t>
            </w:r>
            <w:r>
              <w:rPr>
                <w:rFonts w:hint="eastAsia" w:ascii="宋体" w:hAnsi="宋体" w:eastAsia="宋体" w:cs="宋体"/>
                <w:kern w:val="0"/>
                <w:szCs w:val="21"/>
              </w:rPr>
              <w:t>技术负责人具有（建筑电气类专业）高级职称的得3分；具有（建筑电气类专业）中级职称的得1.5分，其余不得分，</w:t>
            </w:r>
            <w:r>
              <w:rPr>
                <w:rFonts w:hint="eastAsia" w:ascii="宋体" w:hAnsi="宋体" w:eastAsia="宋体" w:cs="宋体"/>
                <w:color w:val="000000" w:themeColor="text1"/>
                <w:kern w:val="0"/>
                <w:szCs w:val="21"/>
                <w14:textFill>
                  <w14:solidFill>
                    <w14:schemeClr w14:val="tx1"/>
                  </w14:solidFill>
                </w14:textFill>
              </w:rPr>
              <w:t>本项最高得3分</w:t>
            </w:r>
            <w:r>
              <w:rPr>
                <w:rFonts w:hint="eastAsia" w:ascii="宋体" w:hAnsi="宋体" w:eastAsia="宋体" w:cs="Times New Roman"/>
                <w:kern w:val="0"/>
                <w:szCs w:val="21"/>
              </w:rPr>
              <w:t>。</w:t>
            </w:r>
          </w:p>
          <w:p>
            <w:pPr>
              <w:rPr>
                <w:rFonts w:ascii="宋体" w:hAnsi="宋体" w:eastAsia="宋体" w:cs="Times New Roman"/>
                <w:b/>
                <w:kern w:val="0"/>
                <w:szCs w:val="21"/>
              </w:rPr>
            </w:pPr>
            <w:r>
              <w:rPr>
                <w:rFonts w:ascii="宋体" w:hAnsi="宋体" w:eastAsia="宋体" w:cs="Times New Roman"/>
                <w:b/>
                <w:kern w:val="0"/>
                <w:szCs w:val="21"/>
              </w:rPr>
              <w:t>项目组</w:t>
            </w:r>
            <w:r>
              <w:rPr>
                <w:rFonts w:hint="eastAsia" w:ascii="宋体" w:hAnsi="宋体" w:eastAsia="宋体" w:cs="Times New Roman"/>
                <w:b/>
                <w:kern w:val="0"/>
                <w:szCs w:val="21"/>
              </w:rPr>
              <w:t>成员（6分）</w:t>
            </w:r>
          </w:p>
          <w:p>
            <w:pP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（1）</w:t>
            </w:r>
            <w:r>
              <w:rPr>
                <w:rFonts w:hint="eastAsia" w:ascii="宋体" w:hAnsi="宋体" w:eastAsia="宋体" w:cs="宋体"/>
                <w:color w:val="000000" w:themeColor="text1"/>
                <w:kern w:val="0"/>
                <w:szCs w:val="21"/>
                <w14:textFill>
                  <w14:solidFill>
                    <w14:schemeClr w14:val="tx1"/>
                  </w14:solidFill>
                </w14:textFill>
              </w:rPr>
              <w:t>项目组成员具有</w:t>
            </w:r>
            <w:r>
              <w:rPr>
                <w:rFonts w:hint="eastAsia" w:ascii="宋体" w:hAnsi="宋体" w:eastAsia="宋体" w:cs="宋体"/>
                <w:kern w:val="0"/>
                <w:szCs w:val="21"/>
              </w:rPr>
              <w:t>机电工程专业</w:t>
            </w:r>
            <w:r>
              <w:rPr>
                <w:rFonts w:hint="eastAsia" w:ascii="宋体" w:hAnsi="宋体" w:eastAsia="宋体" w:cs="宋体"/>
                <w:color w:val="000000" w:themeColor="text1"/>
                <w:kern w:val="0"/>
                <w:szCs w:val="21"/>
                <w14:textFill>
                  <w14:solidFill>
                    <w14:schemeClr w14:val="tx1"/>
                  </w14:solidFill>
                </w14:textFill>
              </w:rPr>
              <w:t>二级及以上建造师的得2分。</w:t>
            </w:r>
          </w:p>
          <w:p>
            <w:pP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（2）</w:t>
            </w:r>
            <w:r>
              <w:rPr>
                <w:rFonts w:hint="eastAsia" w:ascii="宋体" w:hAnsi="宋体" w:eastAsia="宋体" w:cs="宋体"/>
                <w:color w:val="000000" w:themeColor="text1"/>
                <w:kern w:val="0"/>
                <w:szCs w:val="21"/>
                <w14:textFill>
                  <w14:solidFill>
                    <w14:schemeClr w14:val="tx1"/>
                  </w14:solidFill>
                </w14:textFill>
              </w:rPr>
              <w:t>项目组成员具有ITSS认证的IT服务项目经理证书的得2分。</w:t>
            </w:r>
          </w:p>
          <w:p>
            <w:pPr>
              <w:rPr>
                <w:rFonts w:ascii="宋体" w:hAnsi="宋体" w:eastAsia="宋体" w:cs="Times New Roman"/>
                <w:b/>
                <w:bCs/>
                <w:kern w:val="0"/>
                <w:szCs w:val="21"/>
              </w:rPr>
            </w:pPr>
            <w:r>
              <w:rPr>
                <w:rFonts w:hint="eastAsia" w:ascii="宋体" w:hAnsi="宋体" w:eastAsia="宋体" w:cs="Times New Roman"/>
                <w:color w:val="000000" w:themeColor="text1"/>
                <w:kern w:val="0"/>
                <w:szCs w:val="21"/>
                <w14:textFill>
                  <w14:solidFill>
                    <w14:schemeClr w14:val="tx1"/>
                  </w14:solidFill>
                </w14:textFill>
              </w:rPr>
              <w:t>（3）</w:t>
            </w:r>
            <w:r>
              <w:rPr>
                <w:rFonts w:hint="eastAsia" w:ascii="宋体" w:hAnsi="宋体" w:eastAsia="宋体" w:cs="宋体"/>
                <w:color w:val="000000" w:themeColor="text1"/>
                <w:kern w:val="0"/>
                <w:szCs w:val="21"/>
                <w14:textFill>
                  <w14:solidFill>
                    <w14:schemeClr w14:val="tx1"/>
                  </w14:solidFill>
                </w14:textFill>
              </w:rPr>
              <w:t>项目组成员具有5名及以上（建筑电气</w:t>
            </w:r>
            <w:r>
              <w:rPr>
                <w:rFonts w:hint="eastAsia" w:ascii="宋体" w:hAnsi="宋体" w:eastAsia="宋体" w:cs="宋体"/>
                <w:kern w:val="0"/>
                <w:szCs w:val="21"/>
              </w:rPr>
              <w:t>类</w:t>
            </w:r>
            <w:r>
              <w:rPr>
                <w:rFonts w:hint="eastAsia" w:ascii="宋体" w:hAnsi="宋体" w:eastAsia="宋体" w:cs="宋体"/>
                <w:color w:val="000000" w:themeColor="text1"/>
                <w:kern w:val="0"/>
                <w:szCs w:val="21"/>
                <w14:textFill>
                  <w14:solidFill>
                    <w14:schemeClr w14:val="tx1"/>
                  </w14:solidFill>
                </w14:textFill>
              </w:rPr>
              <w:t>专业</w:t>
            </w:r>
            <w:r>
              <w:rPr>
                <w:rFonts w:hint="eastAsia" w:ascii="宋体" w:hAnsi="宋体" w:eastAsia="宋体" w:cs="宋体"/>
                <w:kern w:val="0"/>
                <w:szCs w:val="21"/>
              </w:rPr>
              <w:t>）</w:t>
            </w:r>
            <w:r>
              <w:rPr>
                <w:rFonts w:hint="eastAsia" w:ascii="宋体" w:hAnsi="宋体" w:eastAsia="宋体" w:cs="宋体"/>
                <w:color w:val="000000" w:themeColor="text1"/>
                <w:kern w:val="0"/>
                <w:szCs w:val="21"/>
                <w14:textFill>
                  <w14:solidFill>
                    <w14:schemeClr w14:val="tx1"/>
                  </w14:solidFill>
                </w14:textFill>
              </w:rPr>
              <w:t>中级及以上职称的得2分</w:t>
            </w:r>
            <w:r>
              <w:rPr>
                <w:rFonts w:hint="eastAsia" w:ascii="宋体" w:hAnsi="宋体" w:eastAsia="宋体" w:cs="Times New Roman"/>
                <w:color w:val="000000" w:themeColor="text1"/>
                <w:kern w:val="0"/>
                <w:szCs w:val="21"/>
                <w14:textFill>
                  <w14:solidFill>
                    <w14:schemeClr w14:val="tx1"/>
                  </w14:solidFill>
                </w14:textFill>
              </w:rPr>
              <w:t>。</w:t>
            </w:r>
          </w:p>
          <w:p>
            <w:pPr>
              <w:rPr>
                <w:rFonts w:ascii="宋体" w:hAnsi="宋体" w:eastAsia="宋体" w:cs="Times New Roman"/>
                <w:b/>
                <w:kern w:val="0"/>
                <w:szCs w:val="21"/>
              </w:rPr>
            </w:pPr>
            <w:r>
              <w:rPr>
                <w:rFonts w:hint="eastAsia" w:ascii="宋体" w:hAnsi="宋体" w:eastAsia="宋体" w:cs="宋体"/>
                <w:b/>
                <w:bCs/>
                <w:color w:val="000000" w:themeColor="text1"/>
                <w:kern w:val="0"/>
                <w:szCs w:val="21"/>
                <w14:textFill>
                  <w14:solidFill>
                    <w14:schemeClr w14:val="tx1"/>
                  </w14:solidFill>
                </w14:textFill>
              </w:rPr>
              <w:t>客观分得分需满足的要求：</w:t>
            </w:r>
            <w:r>
              <w:rPr>
                <w:rFonts w:hint="eastAsia" w:ascii="宋体" w:hAnsi="宋体" w:eastAsia="宋体" w:cs="宋体"/>
                <w:b/>
                <w:color w:val="000000" w:themeColor="text1"/>
                <w:kern w:val="0"/>
                <w:szCs w:val="21"/>
                <w14:textFill>
                  <w14:solidFill>
                    <w14:schemeClr w14:val="tx1"/>
                  </w14:solidFill>
                </w14:textFill>
              </w:rPr>
              <w:t>①同一人只得一次分；②响应文件中根据评审因素的量化指标要求提供对应的证书复印件；③响应文件中提供2023年7月至9月连续三个月由供应商或联合体牵头人为其缴纳的社会保险缴纳证明复印件（须由社保机构出具并盖章，带社保机构电子章的电子件无需再次到社保机构盖章确认）；④</w:t>
            </w:r>
            <w:r>
              <w:rPr>
                <w:rFonts w:hint="eastAsia" w:ascii="宋体" w:hAnsi="宋体" w:eastAsia="宋体" w:cs="宋体"/>
                <w:b/>
                <w:kern w:val="0"/>
                <w:szCs w:val="21"/>
              </w:rPr>
              <w:t>未按要求提供</w:t>
            </w:r>
            <w:r>
              <w:rPr>
                <w:rFonts w:hint="eastAsia" w:ascii="宋体" w:hAnsi="宋体" w:eastAsia="宋体" w:cs="宋体"/>
                <w:b/>
                <w:color w:val="000000" w:themeColor="text1"/>
                <w:kern w:val="0"/>
                <w:szCs w:val="21"/>
                <w14:textFill>
                  <w14:solidFill>
                    <w14:schemeClr w14:val="tx1"/>
                  </w14:solidFill>
                </w14:textFill>
              </w:rPr>
              <w:t>社会保险缴纳证明复印件的对应人员不得分</w:t>
            </w:r>
            <w:r>
              <w:rPr>
                <w:rFonts w:hint="eastAsia" w:ascii="宋体" w:hAnsi="宋体" w:eastAsia="宋体" w:cs="宋体"/>
                <w:b/>
                <w:kern w:val="0"/>
                <w:szCs w:val="21"/>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 w:hRule="atLeast"/>
          <w:jc w:val="center"/>
        </w:trPr>
        <w:tc>
          <w:tcPr>
            <w:tcW w:w="1092" w:type="dxa"/>
            <w:vMerge w:val="continue"/>
            <w:vAlign w:val="center"/>
          </w:tcPr>
          <w:p>
            <w:pPr>
              <w:jc w:val="center"/>
              <w:rPr>
                <w:rFonts w:ascii="宋体" w:hAnsi="宋体" w:eastAsia="宋体" w:cs="Times New Roman"/>
                <w:b/>
                <w:color w:val="000000" w:themeColor="text1"/>
                <w:kern w:val="0"/>
                <w:szCs w:val="21"/>
                <w14:textFill>
                  <w14:solidFill>
                    <w14:schemeClr w14:val="tx1"/>
                  </w14:solidFill>
                </w14:textFill>
              </w:rPr>
            </w:pPr>
          </w:p>
        </w:tc>
        <w:tc>
          <w:tcPr>
            <w:tcW w:w="1276" w:type="dxa"/>
            <w:vAlign w:val="center"/>
          </w:tcPr>
          <w:p>
            <w:pPr>
              <w:jc w:val="cente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所投产品综合情况</w:t>
            </w:r>
          </w:p>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（4分）</w:t>
            </w:r>
          </w:p>
        </w:tc>
        <w:tc>
          <w:tcPr>
            <w:tcW w:w="992"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客观分</w:t>
            </w:r>
          </w:p>
        </w:tc>
        <w:tc>
          <w:tcPr>
            <w:tcW w:w="5626" w:type="dxa"/>
            <w:vAlign w:val="center"/>
          </w:tcPr>
          <w:p>
            <w:pPr>
              <w:tabs>
                <w:tab w:val="right" w:pos="4601"/>
              </w:tabs>
              <w:rPr>
                <w:rFonts w:ascii="宋体" w:hAnsi="宋体" w:eastAsia="宋体" w:cs="Times New Roman"/>
                <w:kern w:val="0"/>
                <w:szCs w:val="21"/>
              </w:rPr>
            </w:pPr>
            <w:r>
              <w:rPr>
                <w:rFonts w:hint="eastAsia" w:ascii="宋体" w:hAnsi="宋体" w:eastAsia="宋体" w:cs="Times New Roman"/>
                <w:kern w:val="0"/>
                <w:szCs w:val="21"/>
              </w:rPr>
              <w:t>（1）</w:t>
            </w:r>
            <w:r>
              <w:rPr>
                <w:rFonts w:hint="eastAsia" w:ascii="宋体" w:hAnsi="宋体" w:eastAsia="宋体" w:cs="宋体"/>
                <w:bCs/>
                <w:color w:val="000000" w:themeColor="text1"/>
                <w:kern w:val="0"/>
                <w:szCs w:val="21"/>
                <w14:textFill>
                  <w14:solidFill>
                    <w14:schemeClr w14:val="tx1"/>
                  </w14:solidFill>
                </w14:textFill>
              </w:rPr>
              <w:t>所投“</w:t>
            </w:r>
            <w:r>
              <w:rPr>
                <w:rFonts w:hint="eastAsia" w:ascii="宋体" w:hAnsi="宋体" w:eastAsia="宋体"/>
                <w:szCs w:val="21"/>
              </w:rPr>
              <w:t>智慧黑板</w:t>
            </w:r>
            <w:r>
              <w:rPr>
                <w:rFonts w:hint="eastAsia" w:ascii="宋体" w:hAnsi="宋体" w:eastAsia="宋体" w:cs="宋体"/>
                <w:bCs/>
                <w:color w:val="000000" w:themeColor="text1"/>
                <w:kern w:val="0"/>
                <w:szCs w:val="21"/>
                <w14:textFill>
                  <w14:solidFill>
                    <w14:schemeClr w14:val="tx1"/>
                  </w14:solidFill>
                </w14:textFill>
              </w:rPr>
              <w:t>”</w:t>
            </w:r>
            <w:r>
              <w:rPr>
                <w:rFonts w:hint="eastAsia" w:ascii="宋体" w:hAnsi="宋体" w:eastAsia="宋体"/>
                <w:szCs w:val="21"/>
              </w:rPr>
              <w:t>制造商具有（ISO-IEC 2000-1）IT服务管理体系认证的得1分。</w:t>
            </w:r>
          </w:p>
          <w:p>
            <w:pPr>
              <w:tabs>
                <w:tab w:val="right" w:pos="4601"/>
              </w:tabs>
              <w:rPr>
                <w:rFonts w:ascii="宋体" w:hAnsi="宋体" w:eastAsia="宋体" w:cs="Times New Roman"/>
                <w:kern w:val="0"/>
                <w:szCs w:val="21"/>
              </w:rPr>
            </w:pPr>
            <w:r>
              <w:rPr>
                <w:rFonts w:hint="eastAsia" w:ascii="宋体" w:hAnsi="宋体" w:eastAsia="宋体" w:cs="Times New Roman"/>
                <w:kern w:val="0"/>
                <w:szCs w:val="21"/>
              </w:rPr>
              <w:t>（2）</w:t>
            </w:r>
            <w:r>
              <w:rPr>
                <w:rFonts w:hint="eastAsia" w:ascii="宋体" w:hAnsi="宋体" w:eastAsia="宋体" w:cs="宋体"/>
                <w:bCs/>
                <w:color w:val="000000" w:themeColor="text1"/>
                <w:kern w:val="0"/>
                <w:szCs w:val="21"/>
                <w14:textFill>
                  <w14:solidFill>
                    <w14:schemeClr w14:val="tx1"/>
                  </w14:solidFill>
                </w14:textFill>
              </w:rPr>
              <w:t>所投“</w:t>
            </w:r>
            <w:r>
              <w:rPr>
                <w:rFonts w:hint="eastAsia" w:ascii="宋体" w:hAnsi="宋体" w:eastAsia="宋体"/>
                <w:szCs w:val="21"/>
              </w:rPr>
              <w:t>智慧黑板</w:t>
            </w:r>
            <w:r>
              <w:rPr>
                <w:rFonts w:hint="eastAsia" w:ascii="宋体" w:hAnsi="宋体" w:eastAsia="宋体" w:cs="宋体"/>
                <w:bCs/>
                <w:color w:val="000000" w:themeColor="text1"/>
                <w:kern w:val="0"/>
                <w:szCs w:val="21"/>
                <w14:textFill>
                  <w14:solidFill>
                    <w14:schemeClr w14:val="tx1"/>
                  </w14:solidFill>
                </w14:textFill>
              </w:rPr>
              <w:t>”</w:t>
            </w:r>
            <w:r>
              <w:rPr>
                <w:rFonts w:hint="eastAsia" w:ascii="宋体" w:hAnsi="宋体" w:eastAsia="宋体"/>
                <w:szCs w:val="21"/>
              </w:rPr>
              <w:t>制造商具有信息系统安全集成服务三级及以上服务资质的得1分。</w:t>
            </w:r>
          </w:p>
          <w:p>
            <w:pPr>
              <w:tabs>
                <w:tab w:val="right" w:pos="4601"/>
              </w:tabs>
              <w:rPr>
                <w:rFonts w:ascii="宋体" w:hAnsi="宋体" w:eastAsia="宋体" w:cs="Times New Roman"/>
                <w:kern w:val="0"/>
                <w:szCs w:val="21"/>
              </w:rPr>
            </w:pPr>
            <w:r>
              <w:rPr>
                <w:rFonts w:hint="eastAsia" w:ascii="宋体" w:hAnsi="宋体" w:eastAsia="宋体" w:cs="Times New Roman"/>
                <w:kern w:val="0"/>
                <w:szCs w:val="21"/>
              </w:rPr>
              <w:t>（3）</w:t>
            </w:r>
            <w:r>
              <w:rPr>
                <w:rFonts w:hint="eastAsia" w:ascii="宋体" w:hAnsi="宋体" w:eastAsia="宋体" w:cs="宋体"/>
                <w:bCs/>
                <w:color w:val="000000" w:themeColor="text1"/>
                <w:kern w:val="0"/>
                <w:szCs w:val="21"/>
                <w14:textFill>
                  <w14:solidFill>
                    <w14:schemeClr w14:val="tx1"/>
                  </w14:solidFill>
                </w14:textFill>
              </w:rPr>
              <w:t>所投“</w:t>
            </w:r>
            <w:r>
              <w:rPr>
                <w:rFonts w:hint="eastAsia" w:ascii="宋体" w:hAnsi="宋体" w:eastAsia="宋体"/>
                <w:szCs w:val="21"/>
              </w:rPr>
              <w:t>智慧黑板</w:t>
            </w:r>
            <w:r>
              <w:rPr>
                <w:rFonts w:hint="eastAsia" w:ascii="宋体" w:hAnsi="宋体" w:eastAsia="宋体" w:cs="宋体"/>
                <w:bCs/>
                <w:color w:val="000000" w:themeColor="text1"/>
                <w:kern w:val="0"/>
                <w:szCs w:val="21"/>
                <w14:textFill>
                  <w14:solidFill>
                    <w14:schemeClr w14:val="tx1"/>
                  </w14:solidFill>
                </w14:textFill>
              </w:rPr>
              <w:t>”</w:t>
            </w:r>
            <w:r>
              <w:rPr>
                <w:rFonts w:hint="eastAsia" w:ascii="宋体" w:hAnsi="宋体" w:eastAsia="宋体"/>
                <w:szCs w:val="21"/>
              </w:rPr>
              <w:t>制造商具有信息安全应急处理三级及以上服务资质的得1分。</w:t>
            </w:r>
          </w:p>
          <w:p>
            <w:pPr>
              <w:tabs>
                <w:tab w:val="right" w:pos="4601"/>
              </w:tabs>
              <w:rPr>
                <w:rFonts w:ascii="宋体" w:hAnsi="宋体" w:eastAsia="宋体" w:cs="Times New Roman"/>
                <w:kern w:val="0"/>
                <w:szCs w:val="21"/>
              </w:rPr>
            </w:pPr>
            <w:r>
              <w:rPr>
                <w:rFonts w:hint="eastAsia" w:ascii="宋体" w:hAnsi="宋体" w:eastAsia="宋体" w:cs="Times New Roman"/>
                <w:kern w:val="0"/>
                <w:szCs w:val="21"/>
              </w:rPr>
              <w:t>（4）</w:t>
            </w:r>
            <w:r>
              <w:rPr>
                <w:rFonts w:hint="eastAsia" w:ascii="宋体" w:hAnsi="宋体" w:eastAsia="宋体" w:cs="宋体"/>
                <w:bCs/>
                <w:color w:val="000000" w:themeColor="text1"/>
                <w:kern w:val="0"/>
                <w:szCs w:val="21"/>
                <w14:textFill>
                  <w14:solidFill>
                    <w14:schemeClr w14:val="tx1"/>
                  </w14:solidFill>
                </w14:textFill>
              </w:rPr>
              <w:t>所投“</w:t>
            </w:r>
            <w:r>
              <w:rPr>
                <w:rFonts w:hint="eastAsia" w:ascii="宋体" w:hAnsi="宋体" w:eastAsia="宋体"/>
                <w:szCs w:val="21"/>
              </w:rPr>
              <w:t>智慧黑板</w:t>
            </w:r>
            <w:r>
              <w:rPr>
                <w:rFonts w:hint="eastAsia" w:ascii="宋体" w:hAnsi="宋体" w:eastAsia="宋体" w:cs="宋体"/>
                <w:bCs/>
                <w:color w:val="000000" w:themeColor="text1"/>
                <w:kern w:val="0"/>
                <w:szCs w:val="21"/>
                <w14:textFill>
                  <w14:solidFill>
                    <w14:schemeClr w14:val="tx1"/>
                  </w14:solidFill>
                </w14:textFill>
              </w:rPr>
              <w:t>”</w:t>
            </w:r>
            <w:r>
              <w:rPr>
                <w:rFonts w:hint="eastAsia" w:ascii="宋体" w:hAnsi="宋体" w:eastAsia="宋体"/>
                <w:szCs w:val="21"/>
              </w:rPr>
              <w:t>制造商具有信息系统安全运维三级及以上服务资质的得1分</w:t>
            </w:r>
            <w:r>
              <w:rPr>
                <w:rFonts w:hint="eastAsia" w:ascii="宋体" w:hAnsi="宋体" w:eastAsia="宋体" w:cs="Times New Roman"/>
                <w:color w:val="000000" w:themeColor="text1"/>
                <w:kern w:val="0"/>
                <w:szCs w:val="21"/>
                <w14:textFill>
                  <w14:solidFill>
                    <w14:schemeClr w14:val="tx1"/>
                  </w14:solidFill>
                </w14:textFill>
              </w:rPr>
              <w:t>。</w:t>
            </w:r>
          </w:p>
          <w:p>
            <w:pPr>
              <w:tabs>
                <w:tab w:val="right" w:pos="4601"/>
              </w:tabs>
              <w:rPr>
                <w:rFonts w:ascii="宋体" w:hAnsi="宋体" w:eastAsia="宋体" w:cs="宋体"/>
                <w:szCs w:val="21"/>
              </w:rPr>
            </w:pPr>
            <w:r>
              <w:rPr>
                <w:rFonts w:hint="eastAsia" w:ascii="宋体" w:hAnsi="宋体" w:eastAsia="宋体" w:cs="Times New Roman"/>
                <w:b/>
                <w:bCs/>
                <w:color w:val="000000" w:themeColor="text1"/>
                <w:kern w:val="0"/>
                <w:szCs w:val="21"/>
                <w14:textFill>
                  <w14:solidFill>
                    <w14:schemeClr w14:val="tx1"/>
                  </w14:solidFill>
                </w14:textFill>
              </w:rPr>
              <w:t>客观分得分需满足的要求：</w:t>
            </w:r>
            <w:r>
              <w:rPr>
                <w:rFonts w:hint="eastAsia" w:ascii="宋体" w:hAnsi="宋体" w:eastAsia="宋体" w:cs="宋体"/>
                <w:b/>
                <w:bCs/>
                <w:color w:val="000000" w:themeColor="text1"/>
                <w:szCs w:val="21"/>
                <w14:textFill>
                  <w14:solidFill>
                    <w14:schemeClr w14:val="tx1"/>
                  </w14:solidFill>
                </w14:textFill>
              </w:rPr>
              <w:t>①</w:t>
            </w:r>
            <w:r>
              <w:rPr>
                <w:rFonts w:hint="eastAsia" w:ascii="宋体" w:hAnsi="宋体" w:eastAsia="宋体"/>
                <w:b/>
                <w:color w:val="000000" w:themeColor="text1"/>
                <w:szCs w:val="21"/>
                <w14:textFill>
                  <w14:solidFill>
                    <w14:schemeClr w14:val="tx1"/>
                  </w14:solidFill>
                </w14:textFill>
              </w:rPr>
              <w:t>证书须有效</w:t>
            </w:r>
            <w:r>
              <w:rPr>
                <w:rFonts w:hint="eastAsia" w:ascii="宋体" w:hAnsi="宋体" w:eastAsia="宋体" w:cs="宋体"/>
                <w:b/>
                <w:bCs/>
                <w:color w:val="000000" w:themeColor="text1"/>
                <w:szCs w:val="21"/>
                <w14:textFill>
                  <w14:solidFill>
                    <w14:schemeClr w14:val="tx1"/>
                  </w14:solidFill>
                </w14:textFill>
              </w:rPr>
              <w:t>；②</w:t>
            </w:r>
            <w:r>
              <w:rPr>
                <w:rFonts w:hint="eastAsia" w:ascii="宋体" w:hAnsi="宋体" w:eastAsia="宋体"/>
                <w:b/>
                <w:color w:val="000000" w:themeColor="text1"/>
                <w:szCs w:val="21"/>
                <w14:textFill>
                  <w14:solidFill>
                    <w14:schemeClr w14:val="tx1"/>
                  </w14:solidFill>
                </w14:textFill>
              </w:rPr>
              <w:t>响应文件中提供证书复印件。</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092" w:type="dxa"/>
            <w:vMerge w:val="continue"/>
            <w:vAlign w:val="center"/>
          </w:tcPr>
          <w:p>
            <w:pPr>
              <w:jc w:val="center"/>
              <w:rPr>
                <w:rFonts w:ascii="宋体" w:hAnsi="宋体" w:eastAsia="宋体" w:cs="Times New Roman"/>
                <w:b/>
                <w:color w:val="000000" w:themeColor="text1"/>
                <w:kern w:val="0"/>
                <w:szCs w:val="21"/>
                <w14:textFill>
                  <w14:solidFill>
                    <w14:schemeClr w14:val="tx1"/>
                  </w14:solidFill>
                </w14:textFill>
              </w:rPr>
            </w:pPr>
          </w:p>
        </w:tc>
        <w:tc>
          <w:tcPr>
            <w:tcW w:w="1276"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实施方案</w:t>
            </w:r>
          </w:p>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（9分）</w:t>
            </w:r>
          </w:p>
        </w:tc>
        <w:tc>
          <w:tcPr>
            <w:tcW w:w="992"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主观分</w:t>
            </w:r>
          </w:p>
        </w:tc>
        <w:tc>
          <w:tcPr>
            <w:tcW w:w="5626" w:type="dxa"/>
            <w:vAlign w:val="center"/>
          </w:tcPr>
          <w:p>
            <w:pP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供应商提供详细的实施方案，实施方案可从</w:t>
            </w:r>
            <w:r>
              <w:rPr>
                <w:rFonts w:hint="eastAsia" w:ascii="宋体" w:hAnsi="宋体" w:eastAsia="宋体" w:cs="Times New Roman"/>
                <w:color w:val="000000" w:themeColor="text1"/>
                <w:kern w:val="0"/>
                <w:szCs w:val="21"/>
                <w14:textFill>
                  <w14:solidFill>
                    <w14:schemeClr w14:val="tx1"/>
                  </w14:solidFill>
                </w14:textFill>
              </w:rPr>
              <w:t>运输装卸、安装调试、协助验收环节着手</w:t>
            </w:r>
            <w:r>
              <w:rPr>
                <w:rFonts w:hint="eastAsia" w:ascii="宋体" w:hAnsi="宋体" w:eastAsia="宋体"/>
                <w:color w:val="000000" w:themeColor="text1"/>
                <w:szCs w:val="21"/>
                <w14:textFill>
                  <w14:solidFill>
                    <w14:schemeClr w14:val="tx1"/>
                  </w14:solidFill>
                </w14:textFill>
              </w:rPr>
              <w:t>，</w:t>
            </w:r>
            <w:r>
              <w:rPr>
                <w:rFonts w:hint="eastAsia" w:ascii="宋体" w:hAnsi="宋体" w:eastAsia="宋体"/>
                <w:szCs w:val="21"/>
              </w:rPr>
              <w:t>磋商小组</w:t>
            </w:r>
            <w:r>
              <w:rPr>
                <w:rFonts w:hint="eastAsia" w:ascii="宋体" w:hAnsi="宋体" w:eastAsia="宋体"/>
                <w:color w:val="000000" w:themeColor="text1"/>
                <w:szCs w:val="21"/>
                <w14:textFill>
                  <w14:solidFill>
                    <w14:schemeClr w14:val="tx1"/>
                  </w14:solidFill>
                </w14:textFill>
              </w:rPr>
              <w:t>进行评分。</w:t>
            </w:r>
          </w:p>
          <w:p>
            <w:pPr>
              <w:rPr>
                <w:rFonts w:ascii="宋体" w:hAnsi="宋体" w:eastAsia="宋体" w:cs="宋体"/>
                <w:color w:val="000000"/>
                <w:kern w:val="0"/>
                <w:szCs w:val="21"/>
              </w:rPr>
            </w:pPr>
            <w:r>
              <w:rPr>
                <w:rFonts w:hint="eastAsia" w:ascii="宋体" w:hAnsi="宋体" w:eastAsia="宋体"/>
                <w:color w:val="000000" w:themeColor="text1"/>
                <w:szCs w:val="21"/>
                <w14:textFill>
                  <w14:solidFill>
                    <w14:schemeClr w14:val="tx1"/>
                  </w14:solidFill>
                </w14:textFill>
              </w:rPr>
              <w:t>（1）实施方案的</w:t>
            </w:r>
            <w:r>
              <w:rPr>
                <w:rFonts w:hint="eastAsia" w:ascii="宋体" w:hAnsi="宋体" w:eastAsia="宋体" w:cs="宋体"/>
                <w:color w:val="000000"/>
                <w:kern w:val="0"/>
                <w:szCs w:val="21"/>
              </w:rPr>
              <w:t>细化全面、逻辑清晰程度（3分）</w:t>
            </w:r>
          </w:p>
          <w:p>
            <w:pPr>
              <w:rPr>
                <w:rFonts w:ascii="宋体" w:hAnsi="宋体" w:eastAsia="宋体" w:cs="宋体"/>
                <w:color w:val="000000"/>
                <w:kern w:val="0"/>
                <w:szCs w:val="21"/>
              </w:rPr>
            </w:pPr>
            <w:r>
              <w:rPr>
                <w:rFonts w:hint="eastAsia" w:ascii="宋体" w:hAnsi="宋体" w:eastAsia="宋体"/>
                <w:color w:val="000000" w:themeColor="text1"/>
                <w:szCs w:val="21"/>
                <w14:textFill>
                  <w14:solidFill>
                    <w14:schemeClr w14:val="tx1"/>
                  </w14:solidFill>
                </w14:textFill>
              </w:rPr>
              <w:t>（</w:t>
            </w:r>
            <w:r>
              <w:rPr>
                <w:rFonts w:ascii="宋体" w:hAnsi="宋体" w:eastAsia="宋体"/>
                <w:color w:val="000000" w:themeColor="text1"/>
                <w:szCs w:val="21"/>
                <w14:textFill>
                  <w14:solidFill>
                    <w14:schemeClr w14:val="tx1"/>
                  </w14:solidFill>
                </w14:textFill>
              </w:rPr>
              <w:t>2</w:t>
            </w:r>
            <w:r>
              <w:rPr>
                <w:rFonts w:hint="eastAsia" w:ascii="宋体" w:hAnsi="宋体" w:eastAsia="宋体"/>
                <w:color w:val="000000" w:themeColor="text1"/>
                <w:szCs w:val="21"/>
                <w14:textFill>
                  <w14:solidFill>
                    <w14:schemeClr w14:val="tx1"/>
                  </w14:solidFill>
                </w14:textFill>
              </w:rPr>
              <w:t>）实施方案</w:t>
            </w:r>
            <w:r>
              <w:rPr>
                <w:rFonts w:hint="eastAsia" w:ascii="宋体" w:hAnsi="宋体" w:eastAsia="宋体" w:cs="宋体"/>
                <w:color w:val="000000"/>
                <w:kern w:val="0"/>
                <w:szCs w:val="21"/>
              </w:rPr>
              <w:t>与项目实际情况的切合程度（</w:t>
            </w:r>
            <w:r>
              <w:rPr>
                <w:rFonts w:ascii="宋体" w:hAnsi="宋体" w:eastAsia="宋体" w:cs="宋体"/>
                <w:color w:val="000000"/>
                <w:kern w:val="0"/>
                <w:szCs w:val="21"/>
              </w:rPr>
              <w:t>3</w:t>
            </w:r>
            <w:r>
              <w:rPr>
                <w:rFonts w:hint="eastAsia" w:ascii="宋体" w:hAnsi="宋体" w:eastAsia="宋体" w:cs="宋体"/>
                <w:color w:val="000000"/>
                <w:kern w:val="0"/>
                <w:szCs w:val="21"/>
              </w:rPr>
              <w:t>分）</w:t>
            </w:r>
          </w:p>
          <w:p>
            <w:pP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w:t>
            </w:r>
            <w:r>
              <w:rPr>
                <w:rFonts w:ascii="宋体" w:hAnsi="宋体" w:eastAsia="宋体"/>
                <w:color w:val="000000" w:themeColor="text1"/>
                <w:szCs w:val="21"/>
                <w14:textFill>
                  <w14:solidFill>
                    <w14:schemeClr w14:val="tx1"/>
                  </w14:solidFill>
                </w14:textFill>
              </w:rPr>
              <w:t>3</w:t>
            </w:r>
            <w:r>
              <w:rPr>
                <w:rFonts w:hint="eastAsia" w:ascii="宋体" w:hAnsi="宋体" w:eastAsia="宋体"/>
                <w:color w:val="000000" w:themeColor="text1"/>
                <w:szCs w:val="21"/>
                <w14:textFill>
                  <w14:solidFill>
                    <w14:schemeClr w14:val="tx1"/>
                  </w14:solidFill>
                </w14:textFill>
              </w:rPr>
              <w:t>）</w:t>
            </w:r>
            <w:r>
              <w:rPr>
                <w:rFonts w:hint="eastAsia" w:ascii="宋体" w:hAnsi="宋体" w:eastAsia="宋体" w:cs="宋体"/>
                <w:color w:val="000000"/>
                <w:kern w:val="0"/>
                <w:szCs w:val="21"/>
              </w:rPr>
              <w:t>产品供货、</w:t>
            </w:r>
            <w:r>
              <w:rPr>
                <w:rFonts w:hint="eastAsia" w:ascii="宋体" w:hAnsi="宋体" w:eastAsia="宋体" w:cs="Times New Roman"/>
                <w:color w:val="000000" w:themeColor="text1"/>
                <w:kern w:val="0"/>
                <w:szCs w:val="21"/>
                <w14:textFill>
                  <w14:solidFill>
                    <w14:schemeClr w14:val="tx1"/>
                  </w14:solidFill>
                </w14:textFill>
              </w:rPr>
              <w:t>运输装卸、安装调试、协助验收的科学合理及组织严谨程度</w:t>
            </w:r>
            <w:r>
              <w:rPr>
                <w:rFonts w:hint="eastAsia" w:ascii="宋体" w:hAnsi="宋体" w:eastAsia="宋体" w:cs="宋体"/>
                <w:color w:val="000000"/>
                <w:kern w:val="0"/>
                <w:szCs w:val="21"/>
              </w:rPr>
              <w:t>（</w:t>
            </w:r>
            <w:r>
              <w:rPr>
                <w:rFonts w:ascii="宋体" w:hAnsi="宋体" w:eastAsia="宋体" w:cs="宋体"/>
                <w:color w:val="000000"/>
                <w:kern w:val="0"/>
                <w:szCs w:val="21"/>
              </w:rPr>
              <w:t>3</w:t>
            </w:r>
            <w:r>
              <w:rPr>
                <w:rFonts w:hint="eastAsia" w:ascii="宋体" w:hAnsi="宋体" w:eastAsia="宋体" w:cs="宋体"/>
                <w:color w:val="000000"/>
                <w:kern w:val="0"/>
                <w:szCs w:val="21"/>
              </w:rPr>
              <w:t>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092" w:type="dxa"/>
            <w:vMerge w:val="continue"/>
            <w:vAlign w:val="center"/>
          </w:tcPr>
          <w:p>
            <w:pPr>
              <w:jc w:val="center"/>
              <w:rPr>
                <w:rFonts w:ascii="宋体" w:hAnsi="宋体" w:eastAsia="宋体" w:cs="Times New Roman"/>
                <w:b/>
                <w:color w:val="000000" w:themeColor="text1"/>
                <w:kern w:val="0"/>
                <w:szCs w:val="21"/>
                <w14:textFill>
                  <w14:solidFill>
                    <w14:schemeClr w14:val="tx1"/>
                  </w14:solidFill>
                </w14:textFill>
              </w:rPr>
            </w:pPr>
          </w:p>
        </w:tc>
        <w:tc>
          <w:tcPr>
            <w:tcW w:w="1276"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培训方案</w:t>
            </w:r>
          </w:p>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（3分）</w:t>
            </w:r>
          </w:p>
        </w:tc>
        <w:tc>
          <w:tcPr>
            <w:tcW w:w="992"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主观分</w:t>
            </w:r>
          </w:p>
        </w:tc>
        <w:tc>
          <w:tcPr>
            <w:tcW w:w="5626" w:type="dxa"/>
            <w:vAlign w:val="center"/>
          </w:tcPr>
          <w:p>
            <w:pPr>
              <w:tabs>
                <w:tab w:val="right" w:pos="4601"/>
              </w:tabs>
              <w:rPr>
                <w:rFonts w:ascii="宋体" w:hAnsi="宋体" w:eastAsia="宋体" w:cs="宋体"/>
                <w:szCs w:val="21"/>
              </w:rPr>
            </w:pPr>
            <w:r>
              <w:rPr>
                <w:rFonts w:hint="eastAsia" w:ascii="宋体" w:hAnsi="宋体" w:eastAsia="宋体"/>
                <w:szCs w:val="21"/>
              </w:rPr>
              <w:t>供应商提供针对本项目的培训方案，培训方案可包括</w:t>
            </w:r>
            <w:r>
              <w:rPr>
                <w:rFonts w:hint="eastAsia" w:ascii="宋体" w:hAnsi="宋体" w:eastAsia="宋体" w:cs="Times New Roman"/>
                <w:szCs w:val="21"/>
              </w:rPr>
              <w:t>培训人员安排、培训时间安排、培训内容着手，</w:t>
            </w:r>
            <w:r>
              <w:rPr>
                <w:rFonts w:hint="eastAsia" w:ascii="宋体" w:hAnsi="宋体" w:eastAsia="宋体"/>
                <w:szCs w:val="21"/>
              </w:rPr>
              <w:t>磋商小组</w:t>
            </w:r>
            <w:r>
              <w:rPr>
                <w:rFonts w:hint="eastAsia" w:ascii="宋体" w:hAnsi="宋体" w:eastAsia="宋体" w:cs="Times New Roman"/>
                <w:szCs w:val="21"/>
              </w:rPr>
              <w:t>对培训内容的专业性及有效性</w:t>
            </w:r>
            <w:r>
              <w:rPr>
                <w:rFonts w:hint="eastAsia" w:ascii="宋体" w:hAnsi="宋体" w:eastAsia="宋体"/>
                <w:szCs w:val="21"/>
              </w:rPr>
              <w:t>进行</w:t>
            </w:r>
            <w:r>
              <w:rPr>
                <w:rFonts w:hint="eastAsia" w:ascii="宋体" w:hAnsi="宋体" w:eastAsia="宋体" w:cs="宋体"/>
                <w:szCs w:val="21"/>
              </w:rPr>
              <w:t>评分。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31" w:hRule="atLeast"/>
          <w:jc w:val="center"/>
        </w:trPr>
        <w:tc>
          <w:tcPr>
            <w:tcW w:w="1092" w:type="dxa"/>
            <w:vMerge w:val="continue"/>
            <w:vAlign w:val="center"/>
          </w:tcPr>
          <w:p>
            <w:pPr>
              <w:jc w:val="center"/>
              <w:rPr>
                <w:rFonts w:ascii="宋体" w:hAnsi="宋体" w:eastAsia="宋体" w:cs="Times New Roman"/>
                <w:b/>
                <w:color w:val="000000" w:themeColor="text1"/>
                <w:kern w:val="0"/>
                <w:szCs w:val="21"/>
                <w14:textFill>
                  <w14:solidFill>
                    <w14:schemeClr w14:val="tx1"/>
                  </w14:solidFill>
                </w14:textFill>
              </w:rPr>
            </w:pPr>
          </w:p>
        </w:tc>
        <w:tc>
          <w:tcPr>
            <w:tcW w:w="1276" w:type="dxa"/>
            <w:vMerge w:val="restart"/>
            <w:vAlign w:val="center"/>
          </w:tcPr>
          <w:p>
            <w:pPr>
              <w:jc w:val="cente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售后服务</w:t>
            </w:r>
          </w:p>
          <w:p>
            <w:pPr>
              <w:jc w:val="center"/>
              <w:rPr>
                <w:rFonts w:ascii="宋体" w:hAnsi="宋体" w:eastAsia="宋体" w:cs="Times New Roman"/>
                <w:color w:val="000000" w:themeColor="text1"/>
                <w:kern w:val="0"/>
                <w:szCs w:val="21"/>
                <w:highlight w:val="yellow"/>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（9分）</w:t>
            </w:r>
          </w:p>
        </w:tc>
        <w:tc>
          <w:tcPr>
            <w:tcW w:w="992"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客观分</w:t>
            </w:r>
          </w:p>
        </w:tc>
        <w:tc>
          <w:tcPr>
            <w:tcW w:w="5626" w:type="dxa"/>
            <w:vAlign w:val="center"/>
          </w:tcPr>
          <w:p>
            <w:pPr>
              <w:tabs>
                <w:tab w:val="right" w:pos="4601"/>
              </w:tabs>
              <w:rPr>
                <w:rFonts w:ascii="宋体" w:hAnsi="宋体" w:eastAsia="宋体"/>
                <w:szCs w:val="21"/>
              </w:rPr>
            </w:pPr>
            <w:r>
              <w:rPr>
                <w:rFonts w:hint="eastAsia" w:ascii="宋体" w:hAnsi="宋体" w:eastAsia="宋体"/>
                <w:szCs w:val="21"/>
              </w:rPr>
              <w:t>常驻运维人员（2分）</w:t>
            </w:r>
          </w:p>
          <w:p>
            <w:pPr>
              <w:tabs>
                <w:tab w:val="right" w:pos="4601"/>
              </w:tabs>
              <w:rPr>
                <w:rFonts w:ascii="宋体" w:hAnsi="宋体" w:eastAsia="宋体" w:cs="宋体"/>
                <w:szCs w:val="21"/>
              </w:rPr>
            </w:pPr>
            <w:r>
              <w:rPr>
                <w:rFonts w:hint="eastAsia" w:ascii="宋体" w:hAnsi="宋体" w:eastAsia="宋体" w:cs="宋体"/>
                <w:szCs w:val="21"/>
              </w:rPr>
              <w:t>供应商提供1名ITSS认证的IT服务工程师常驻采购人处每周不少于2次，每次不少于半天，且常驻运维周期至少1年的得2分，不提供常驻运维人员的不得分。</w:t>
            </w:r>
          </w:p>
          <w:p>
            <w:pPr>
              <w:tabs>
                <w:tab w:val="right" w:pos="4601"/>
              </w:tabs>
              <w:rPr>
                <w:rFonts w:ascii="宋体" w:hAnsi="宋体" w:eastAsia="宋体" w:cs="宋体"/>
                <w:b/>
                <w:bCs/>
                <w:szCs w:val="21"/>
              </w:rPr>
            </w:pPr>
            <w:r>
              <w:rPr>
                <w:rFonts w:hint="eastAsia" w:ascii="宋体" w:hAnsi="宋体" w:eastAsia="宋体" w:cs="Times New Roman"/>
                <w:b/>
                <w:bCs/>
                <w:color w:val="000000" w:themeColor="text1"/>
                <w:kern w:val="0"/>
                <w:szCs w:val="21"/>
                <w14:textFill>
                  <w14:solidFill>
                    <w14:schemeClr w14:val="tx1"/>
                  </w14:solidFill>
                </w14:textFill>
              </w:rPr>
              <w:t>客观分得分需满足的要求：</w:t>
            </w:r>
            <w:r>
              <w:rPr>
                <w:rFonts w:hint="eastAsia" w:ascii="宋体" w:hAnsi="宋体" w:eastAsia="宋体" w:cs="宋体"/>
                <w:b/>
                <w:color w:val="000000" w:themeColor="text1"/>
                <w:kern w:val="0"/>
                <w:szCs w:val="21"/>
                <w14:textFill>
                  <w14:solidFill>
                    <w14:schemeClr w14:val="tx1"/>
                  </w14:solidFill>
                </w14:textFill>
              </w:rPr>
              <w:t>①</w:t>
            </w:r>
            <w:r>
              <w:rPr>
                <w:rFonts w:hint="eastAsia" w:ascii="宋体" w:hAnsi="宋体" w:eastAsia="宋体" w:cs="Times New Roman"/>
                <w:b/>
                <w:color w:val="000000" w:themeColor="text1"/>
                <w:kern w:val="0"/>
                <w:szCs w:val="21"/>
                <w14:textFill>
                  <w14:solidFill>
                    <w14:schemeClr w14:val="tx1"/>
                  </w14:solidFill>
                </w14:textFill>
              </w:rPr>
              <w:t>响应文件中提供相应证书复印件；</w:t>
            </w:r>
            <w:r>
              <w:rPr>
                <w:rFonts w:hint="eastAsia" w:ascii="宋体" w:hAnsi="宋体" w:eastAsia="宋体" w:cs="宋体"/>
                <w:b/>
                <w:color w:val="000000" w:themeColor="text1"/>
                <w:kern w:val="0"/>
                <w:szCs w:val="21"/>
                <w14:textFill>
                  <w14:solidFill>
                    <w14:schemeClr w14:val="tx1"/>
                  </w14:solidFill>
                </w14:textFill>
              </w:rPr>
              <w:t>②</w:t>
            </w:r>
            <w:r>
              <w:rPr>
                <w:rFonts w:hint="eastAsia" w:ascii="宋体" w:hAnsi="宋体" w:eastAsia="宋体" w:cs="Times New Roman"/>
                <w:b/>
                <w:color w:val="000000" w:themeColor="text1"/>
                <w:kern w:val="0"/>
                <w:szCs w:val="21"/>
                <w14:textFill>
                  <w14:solidFill>
                    <w14:schemeClr w14:val="tx1"/>
                  </w14:solidFill>
                </w14:textFill>
              </w:rPr>
              <w:t>响应文件中提供2023年7月至9月连续三个月由供应商或联合体牵头人为其缴纳的社会保险缴纳证明复印件（须由社保机构出具并盖章，带社保机构电子章的电子件无需再次到社保机构盖章确认）；</w:t>
            </w:r>
            <w:r>
              <w:rPr>
                <w:rFonts w:hint="eastAsia" w:ascii="宋体" w:hAnsi="宋体" w:eastAsia="宋体" w:cs="宋体"/>
                <w:b/>
                <w:color w:val="000000" w:themeColor="text1"/>
                <w:kern w:val="0"/>
                <w:szCs w:val="21"/>
                <w14:textFill>
                  <w14:solidFill>
                    <w14:schemeClr w14:val="tx1"/>
                  </w14:solidFill>
                </w14:textFill>
              </w:rPr>
              <w:t>③</w:t>
            </w:r>
            <w:r>
              <w:rPr>
                <w:rFonts w:hint="eastAsia" w:ascii="宋体" w:hAnsi="宋体" w:eastAsia="宋体" w:cs="Times New Roman"/>
                <w:b/>
                <w:kern w:val="0"/>
                <w:szCs w:val="21"/>
              </w:rPr>
              <w:t>未按要求提供</w:t>
            </w:r>
            <w:r>
              <w:rPr>
                <w:rFonts w:hint="eastAsia" w:ascii="宋体" w:hAnsi="宋体" w:eastAsia="宋体" w:cs="Times New Roman"/>
                <w:b/>
                <w:color w:val="000000" w:themeColor="text1"/>
                <w:kern w:val="0"/>
                <w:szCs w:val="21"/>
                <w14:textFill>
                  <w14:solidFill>
                    <w14:schemeClr w14:val="tx1"/>
                  </w14:solidFill>
                </w14:textFill>
              </w:rPr>
              <w:t>社会保险缴纳证明复印件的不得分</w:t>
            </w:r>
            <w:r>
              <w:rPr>
                <w:rFonts w:hint="eastAsia" w:ascii="宋体" w:hAnsi="宋体" w:eastAsia="宋体" w:cs="Times New Roman"/>
                <w:b/>
                <w:kern w:val="0"/>
                <w:szCs w:val="21"/>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31" w:hRule="atLeast"/>
          <w:jc w:val="center"/>
        </w:trPr>
        <w:tc>
          <w:tcPr>
            <w:tcW w:w="1092" w:type="dxa"/>
            <w:vMerge w:val="continue"/>
            <w:vAlign w:val="center"/>
          </w:tcPr>
          <w:p>
            <w:pPr>
              <w:jc w:val="center"/>
              <w:rPr>
                <w:rFonts w:ascii="宋体" w:hAnsi="宋体" w:eastAsia="宋体" w:cs="Times New Roman"/>
                <w:b/>
                <w:color w:val="000000" w:themeColor="text1"/>
                <w:kern w:val="0"/>
                <w:szCs w:val="21"/>
                <w14:textFill>
                  <w14:solidFill>
                    <w14:schemeClr w14:val="tx1"/>
                  </w14:solidFill>
                </w14:textFill>
              </w:rPr>
            </w:pPr>
          </w:p>
        </w:tc>
        <w:tc>
          <w:tcPr>
            <w:tcW w:w="1276" w:type="dxa"/>
            <w:vMerge w:val="continue"/>
            <w:vAlign w:val="center"/>
          </w:tcPr>
          <w:p>
            <w:pPr>
              <w:jc w:val="center"/>
              <w:rPr>
                <w:rFonts w:ascii="宋体" w:hAnsi="宋体" w:eastAsia="宋体" w:cs="Times New Roman"/>
                <w:color w:val="000000" w:themeColor="text1"/>
                <w:kern w:val="0"/>
                <w:szCs w:val="21"/>
                <w:highlight w:val="yellow"/>
                <w14:textFill>
                  <w14:solidFill>
                    <w14:schemeClr w14:val="tx1"/>
                  </w14:solidFill>
                </w14:textFill>
              </w:rPr>
            </w:pPr>
          </w:p>
        </w:tc>
        <w:tc>
          <w:tcPr>
            <w:tcW w:w="992" w:type="dxa"/>
            <w:vAlign w:val="center"/>
          </w:tcPr>
          <w:p>
            <w:pPr>
              <w:jc w:val="center"/>
              <w:rPr>
                <w:rFonts w:ascii="宋体" w:hAnsi="宋体" w:eastAsia="宋体" w:cs="Times New Roman"/>
                <w:color w:val="000000" w:themeColor="text1"/>
                <w:kern w:val="0"/>
                <w:szCs w:val="21"/>
                <w:highlight w:val="yellow"/>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客观分</w:t>
            </w:r>
          </w:p>
        </w:tc>
        <w:tc>
          <w:tcPr>
            <w:tcW w:w="5626" w:type="dxa"/>
            <w:vAlign w:val="center"/>
          </w:tcPr>
          <w:p>
            <w:pPr>
              <w:tabs>
                <w:tab w:val="right" w:pos="4601"/>
              </w:tabs>
              <w:rPr>
                <w:rFonts w:ascii="宋体" w:hAnsi="宋体" w:eastAsia="宋体"/>
                <w:szCs w:val="21"/>
              </w:rPr>
            </w:pPr>
            <w:r>
              <w:rPr>
                <w:rFonts w:hint="eastAsia" w:ascii="宋体" w:hAnsi="宋体" w:eastAsia="宋体"/>
                <w:szCs w:val="21"/>
              </w:rPr>
              <w:t>售后服务证书（4分）</w:t>
            </w:r>
          </w:p>
          <w:p>
            <w:pPr>
              <w:tabs>
                <w:tab w:val="right" w:pos="4601"/>
              </w:tabs>
              <w:rPr>
                <w:rFonts w:ascii="宋体" w:hAnsi="宋体" w:eastAsia="宋体"/>
                <w:szCs w:val="21"/>
              </w:rPr>
            </w:pPr>
            <w:r>
              <w:rPr>
                <w:rFonts w:hint="eastAsia" w:ascii="宋体" w:hAnsi="宋体" w:eastAsia="宋体"/>
                <w:szCs w:val="21"/>
              </w:rPr>
              <w:t>（1）所投“虚拟演播室主机”制造商具有五星级及以上售后服务认证证书的得2分。</w:t>
            </w:r>
          </w:p>
          <w:p>
            <w:pPr>
              <w:tabs>
                <w:tab w:val="right" w:pos="4601"/>
              </w:tabs>
              <w:rPr>
                <w:rFonts w:ascii="宋体" w:hAnsi="宋体" w:eastAsia="宋体"/>
                <w:szCs w:val="21"/>
              </w:rPr>
            </w:pPr>
            <w:r>
              <w:rPr>
                <w:rFonts w:hint="eastAsia" w:ascii="宋体" w:hAnsi="宋体" w:eastAsia="宋体"/>
                <w:szCs w:val="21"/>
              </w:rPr>
              <w:t>（2）所投“校园广播系统”制造商具有五星级及以上售后服务体系完善程度认证证书的得2分。</w:t>
            </w:r>
          </w:p>
          <w:p>
            <w:pPr>
              <w:tabs>
                <w:tab w:val="right" w:pos="4601"/>
              </w:tabs>
              <w:rPr>
                <w:rFonts w:ascii="宋体" w:hAnsi="宋体" w:eastAsia="宋体" w:cs="宋体"/>
                <w:b/>
                <w:bCs/>
                <w:szCs w:val="21"/>
              </w:rPr>
            </w:pPr>
            <w:r>
              <w:rPr>
                <w:rFonts w:hint="eastAsia" w:ascii="宋体" w:hAnsi="宋体" w:eastAsia="宋体"/>
                <w:b/>
                <w:color w:val="000000" w:themeColor="text1"/>
                <w:szCs w:val="21"/>
                <w14:textFill>
                  <w14:solidFill>
                    <w14:schemeClr w14:val="tx1"/>
                  </w14:solidFill>
                </w14:textFill>
              </w:rPr>
              <w:t>客观分得分需满足的要求：</w:t>
            </w:r>
            <w:r>
              <w:rPr>
                <w:rFonts w:hint="eastAsia" w:ascii="宋体" w:hAnsi="宋体" w:eastAsia="宋体" w:cs="宋体"/>
                <w:b/>
                <w:bCs/>
                <w:color w:val="000000" w:themeColor="text1"/>
                <w:szCs w:val="21"/>
                <w14:textFill>
                  <w14:solidFill>
                    <w14:schemeClr w14:val="tx1"/>
                  </w14:solidFill>
                </w14:textFill>
              </w:rPr>
              <w:t>①</w:t>
            </w:r>
            <w:r>
              <w:rPr>
                <w:rFonts w:hint="eastAsia" w:ascii="宋体" w:hAnsi="宋体" w:eastAsia="宋体"/>
                <w:b/>
                <w:color w:val="000000" w:themeColor="text1"/>
                <w:szCs w:val="21"/>
                <w14:textFill>
                  <w14:solidFill>
                    <w14:schemeClr w14:val="tx1"/>
                  </w14:solidFill>
                </w14:textFill>
              </w:rPr>
              <w:t>证书须有效</w:t>
            </w:r>
            <w:r>
              <w:rPr>
                <w:rFonts w:hint="eastAsia" w:ascii="宋体" w:hAnsi="宋体" w:eastAsia="宋体" w:cs="宋体"/>
                <w:b/>
                <w:bCs/>
                <w:color w:val="000000" w:themeColor="text1"/>
                <w:szCs w:val="21"/>
                <w14:textFill>
                  <w14:solidFill>
                    <w14:schemeClr w14:val="tx1"/>
                  </w14:solidFill>
                </w14:textFill>
              </w:rPr>
              <w:t>；②</w:t>
            </w:r>
            <w:r>
              <w:rPr>
                <w:rFonts w:hint="eastAsia" w:ascii="宋体" w:hAnsi="宋体" w:eastAsia="宋体"/>
                <w:b/>
                <w:color w:val="000000" w:themeColor="text1"/>
                <w:szCs w:val="21"/>
                <w14:textFill>
                  <w14:solidFill>
                    <w14:schemeClr w14:val="tx1"/>
                  </w14:solidFill>
                </w14:textFill>
              </w:rPr>
              <w:t>响应文件中提供证书复印件。</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25" w:hRule="atLeast"/>
          <w:jc w:val="center"/>
        </w:trPr>
        <w:tc>
          <w:tcPr>
            <w:tcW w:w="1092" w:type="dxa"/>
            <w:vMerge w:val="continue"/>
            <w:vAlign w:val="center"/>
          </w:tcPr>
          <w:p>
            <w:pPr>
              <w:jc w:val="center"/>
              <w:rPr>
                <w:rFonts w:ascii="宋体" w:hAnsi="宋体" w:eastAsia="宋体" w:cs="Times New Roman"/>
                <w:b/>
                <w:color w:val="000000" w:themeColor="text1"/>
                <w:kern w:val="0"/>
                <w:szCs w:val="21"/>
                <w14:textFill>
                  <w14:solidFill>
                    <w14:schemeClr w14:val="tx1"/>
                  </w14:solidFill>
                </w14:textFill>
              </w:rPr>
            </w:pPr>
          </w:p>
        </w:tc>
        <w:tc>
          <w:tcPr>
            <w:tcW w:w="1276" w:type="dxa"/>
            <w:vMerge w:val="continue"/>
            <w:vAlign w:val="center"/>
          </w:tcPr>
          <w:p>
            <w:pPr>
              <w:jc w:val="center"/>
              <w:rPr>
                <w:rFonts w:ascii="宋体" w:hAnsi="宋体" w:eastAsia="宋体" w:cs="Times New Roman"/>
                <w:color w:val="000000" w:themeColor="text1"/>
                <w:kern w:val="0"/>
                <w:szCs w:val="21"/>
                <w:highlight w:val="yellow"/>
                <w14:textFill>
                  <w14:solidFill>
                    <w14:schemeClr w14:val="tx1"/>
                  </w14:solidFill>
                </w14:textFill>
              </w:rPr>
            </w:pPr>
          </w:p>
        </w:tc>
        <w:tc>
          <w:tcPr>
            <w:tcW w:w="992"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主观分</w:t>
            </w:r>
          </w:p>
        </w:tc>
        <w:tc>
          <w:tcPr>
            <w:tcW w:w="5626" w:type="dxa"/>
            <w:vAlign w:val="center"/>
          </w:tcPr>
          <w:p>
            <w:pPr>
              <w:tabs>
                <w:tab w:val="right" w:pos="4601"/>
              </w:tabs>
              <w:rPr>
                <w:rFonts w:ascii="宋体" w:hAnsi="宋体" w:eastAsia="宋体"/>
                <w:szCs w:val="21"/>
              </w:rPr>
            </w:pPr>
            <w:r>
              <w:rPr>
                <w:rFonts w:hint="eastAsia" w:ascii="宋体" w:hAnsi="宋体" w:eastAsia="宋体"/>
                <w:szCs w:val="21"/>
              </w:rPr>
              <w:t>快速服务响应能力（3分）</w:t>
            </w:r>
          </w:p>
          <w:p>
            <w:pPr>
              <w:tabs>
                <w:tab w:val="right" w:pos="4601"/>
              </w:tabs>
              <w:rPr>
                <w:rFonts w:ascii="宋体" w:hAnsi="宋体" w:eastAsia="宋体" w:cs="宋体"/>
                <w:b/>
                <w:bCs/>
                <w:szCs w:val="21"/>
              </w:rPr>
            </w:pPr>
            <w:r>
              <w:rPr>
                <w:rFonts w:hint="eastAsia" w:ascii="宋体" w:hAnsi="宋体" w:eastAsia="宋体"/>
                <w:szCs w:val="21"/>
              </w:rPr>
              <w:t>供应商在本项目执行期间或质保服务期内，当项目发生突发应急事件（恶劣气候影响、校园考试期间）系统急需维修或保障时，能提供最省时、高效的服务响应。磋商小组根据供应商提供的相关证明材料等进行评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092" w:type="dxa"/>
            <w:vMerge w:val="continue"/>
            <w:vAlign w:val="center"/>
          </w:tcPr>
          <w:p>
            <w:pPr>
              <w:jc w:val="center"/>
              <w:rPr>
                <w:rFonts w:ascii="宋体" w:hAnsi="宋体" w:eastAsia="宋体" w:cs="Times New Roman"/>
                <w:b/>
                <w:color w:val="000000" w:themeColor="text1"/>
                <w:kern w:val="0"/>
                <w:szCs w:val="21"/>
                <w14:textFill>
                  <w14:solidFill>
                    <w14:schemeClr w14:val="tx1"/>
                  </w14:solidFill>
                </w14:textFill>
              </w:rPr>
            </w:pPr>
          </w:p>
        </w:tc>
        <w:tc>
          <w:tcPr>
            <w:tcW w:w="1276"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政府采购政策分（2分）</w:t>
            </w:r>
          </w:p>
        </w:tc>
        <w:tc>
          <w:tcPr>
            <w:tcW w:w="992" w:type="dxa"/>
            <w:vAlign w:val="center"/>
          </w:tcPr>
          <w:p>
            <w:pPr>
              <w:jc w:val="center"/>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cs="Times New Roman"/>
                <w:color w:val="000000" w:themeColor="text1"/>
                <w:kern w:val="0"/>
                <w:szCs w:val="21"/>
                <w14:textFill>
                  <w14:solidFill>
                    <w14:schemeClr w14:val="tx1"/>
                  </w14:solidFill>
                </w14:textFill>
              </w:rPr>
              <w:t>客观分</w:t>
            </w:r>
          </w:p>
        </w:tc>
        <w:tc>
          <w:tcPr>
            <w:tcW w:w="5626" w:type="dxa"/>
            <w:vAlign w:val="center"/>
          </w:tcPr>
          <w:p>
            <w:pP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（1）供应商或联合体牵头人或联合体成员是国家认定的不发达地区企业的得</w:t>
            </w:r>
            <w:r>
              <w:rPr>
                <w:rFonts w:ascii="宋体" w:hAnsi="宋体" w:eastAsia="宋体" w:cs="宋体"/>
                <w:color w:val="000000" w:themeColor="text1"/>
                <w:kern w:val="0"/>
                <w:szCs w:val="21"/>
                <w14:textFill>
                  <w14:solidFill>
                    <w14:schemeClr w14:val="tx1"/>
                  </w14:solidFill>
                </w14:textFill>
              </w:rPr>
              <w:t>0.5分</w:t>
            </w:r>
            <w:r>
              <w:rPr>
                <w:rFonts w:hint="eastAsia" w:ascii="宋体" w:hAnsi="宋体" w:eastAsia="宋体" w:cs="宋体"/>
                <w:color w:val="000000" w:themeColor="text1"/>
                <w:kern w:val="0"/>
                <w:szCs w:val="21"/>
                <w14:textFill>
                  <w14:solidFill>
                    <w14:schemeClr w14:val="tx1"/>
                  </w14:solidFill>
                </w14:textFill>
              </w:rPr>
              <w:t>，本项最高得</w:t>
            </w:r>
            <w:r>
              <w:rPr>
                <w:rFonts w:ascii="宋体" w:hAnsi="宋体" w:eastAsia="宋体" w:cs="宋体"/>
                <w:color w:val="000000" w:themeColor="text1"/>
                <w:kern w:val="0"/>
                <w:szCs w:val="21"/>
                <w14:textFill>
                  <w14:solidFill>
                    <w14:schemeClr w14:val="tx1"/>
                  </w14:solidFill>
                </w14:textFill>
              </w:rPr>
              <w:t>0.5分</w:t>
            </w:r>
            <w:r>
              <w:rPr>
                <w:rFonts w:hint="eastAsia" w:ascii="宋体" w:hAnsi="宋体" w:eastAsia="宋体" w:cs="宋体"/>
                <w:color w:val="000000" w:themeColor="text1"/>
                <w:kern w:val="0"/>
                <w:szCs w:val="21"/>
                <w14:textFill>
                  <w14:solidFill>
                    <w14:schemeClr w14:val="tx1"/>
                  </w14:solidFill>
                </w14:textFill>
              </w:rPr>
              <w:t>。</w:t>
            </w:r>
          </w:p>
          <w:p>
            <w:pP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（2）供应商或联合体牵头人或联合体成员是国家认定的少数民族地区企业的得</w:t>
            </w:r>
            <w:r>
              <w:rPr>
                <w:rFonts w:ascii="宋体" w:hAnsi="宋体" w:eastAsia="宋体" w:cs="宋体"/>
                <w:color w:val="000000" w:themeColor="text1"/>
                <w:kern w:val="0"/>
                <w:szCs w:val="21"/>
                <w14:textFill>
                  <w14:solidFill>
                    <w14:schemeClr w14:val="tx1"/>
                  </w14:solidFill>
                </w14:textFill>
              </w:rPr>
              <w:t>0.5分</w:t>
            </w:r>
            <w:r>
              <w:rPr>
                <w:rFonts w:hint="eastAsia" w:ascii="宋体" w:hAnsi="宋体" w:eastAsia="宋体" w:cs="宋体"/>
                <w:color w:val="000000" w:themeColor="text1"/>
                <w:kern w:val="0"/>
                <w:szCs w:val="21"/>
                <w14:textFill>
                  <w14:solidFill>
                    <w14:schemeClr w14:val="tx1"/>
                  </w14:solidFill>
                </w14:textFill>
              </w:rPr>
              <w:t>，本项最高得</w:t>
            </w:r>
            <w:r>
              <w:rPr>
                <w:rFonts w:ascii="宋体" w:hAnsi="宋体" w:eastAsia="宋体" w:cs="宋体"/>
                <w:color w:val="000000" w:themeColor="text1"/>
                <w:kern w:val="0"/>
                <w:szCs w:val="21"/>
                <w14:textFill>
                  <w14:solidFill>
                    <w14:schemeClr w14:val="tx1"/>
                  </w14:solidFill>
                </w14:textFill>
              </w:rPr>
              <w:t>0.5分</w:t>
            </w:r>
            <w:r>
              <w:rPr>
                <w:rFonts w:hint="eastAsia" w:ascii="宋体" w:hAnsi="宋体" w:eastAsia="宋体" w:cs="宋体"/>
                <w:color w:val="000000" w:themeColor="text1"/>
                <w:kern w:val="0"/>
                <w:szCs w:val="21"/>
                <w14:textFill>
                  <w14:solidFill>
                    <w14:schemeClr w14:val="tx1"/>
                  </w14:solidFill>
                </w14:textFill>
              </w:rPr>
              <w:t>。</w:t>
            </w:r>
          </w:p>
          <w:p>
            <w:pPr>
              <w:widowControl/>
              <w:rPr>
                <w:rFonts w:ascii="宋体" w:hAnsi="宋体" w:eastAsia="宋体" w:cs="宋体"/>
                <w:b/>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所投产品中有列入中国政府采购网“节能产品政府采购品目清单”的得0.5分；所投产品中有列入中国政府采购网“环境标志产品政府采购品目清单”的得0.5分。（根据财库〔2019〕9号文件规定在商务技术文件中提供参与实施政府采购节能（环境标志）产品认证机构出具的在有效期内的认证证书，未按要求提供的不得分）</w:t>
            </w:r>
          </w:p>
          <w:p>
            <w:pPr>
              <w:autoSpaceDE w:val="0"/>
              <w:autoSpaceDN w:val="0"/>
              <w:rPr>
                <w:rFonts w:ascii="宋体" w:hAnsi="宋体" w:eastAsia="宋体" w:cs="Times New Roman"/>
                <w:color w:val="000000" w:themeColor="text1"/>
                <w:kern w:val="0"/>
                <w:szCs w:val="21"/>
                <w14:textFill>
                  <w14:solidFill>
                    <w14:schemeClr w14:val="tx1"/>
                  </w14:solidFill>
                </w14:textFill>
              </w:rPr>
            </w:pPr>
            <w:r>
              <w:rPr>
                <w:rFonts w:hint="eastAsia" w:ascii="宋体" w:hAnsi="宋体" w:eastAsia="宋体"/>
                <w:b/>
                <w:color w:val="000000" w:themeColor="text1"/>
                <w:szCs w:val="21"/>
                <w14:textFill>
                  <w14:solidFill>
                    <w14:schemeClr w14:val="tx1"/>
                  </w14:solidFill>
                </w14:textFill>
              </w:rPr>
              <w:t>客观分得分需满足的要求：①</w:t>
            </w:r>
            <w:r>
              <w:rPr>
                <w:rFonts w:hint="eastAsia" w:ascii="宋体" w:hAnsi="宋体" w:eastAsia="宋体" w:cs="宋体"/>
                <w:b/>
                <w:color w:val="000000" w:themeColor="text1"/>
                <w:szCs w:val="21"/>
                <w14:textFill>
                  <w14:solidFill>
                    <w14:schemeClr w14:val="tx1"/>
                  </w14:solidFill>
                </w14:textFill>
              </w:rPr>
              <w:t>在商务技术文件中提供证明材料；</w:t>
            </w:r>
            <w:r>
              <w:rPr>
                <w:rFonts w:hint="eastAsia" w:ascii="宋体" w:hAnsi="宋体" w:eastAsia="宋体"/>
                <w:b/>
                <w:color w:val="000000" w:themeColor="text1"/>
                <w:szCs w:val="21"/>
                <w14:textFill>
                  <w14:solidFill>
                    <w14:schemeClr w14:val="tx1"/>
                  </w14:solidFill>
                </w14:textFill>
              </w:rPr>
              <w:t>②</w:t>
            </w:r>
            <w:r>
              <w:rPr>
                <w:rFonts w:hint="eastAsia" w:ascii="宋体" w:hAnsi="宋体" w:eastAsia="宋体" w:cs="宋体"/>
                <w:b/>
                <w:color w:val="000000" w:themeColor="text1"/>
                <w:szCs w:val="21"/>
                <w14:textFill>
                  <w14:solidFill>
                    <w14:schemeClr w14:val="tx1"/>
                  </w14:solidFill>
                </w14:textFill>
              </w:rPr>
              <w:t>参与实施政府采购节能（环境标志）产品认证机构详见《市场监管总局关于发布参与实施政府采购节能产品、环境标志产品认证机构名录的公告》（2019年第16号）。</w:t>
            </w:r>
          </w:p>
        </w:tc>
      </w:tr>
    </w:tbl>
    <w:p>
      <w:pPr>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磋商小组认为供应商的报价明显低于其他通过符合性审查供应商的报价，有可能影响产品质量或者不能诚信履约的，应当通过电子询标方式要求其在</w:t>
      </w:r>
      <w:r>
        <w:rPr>
          <w:rFonts w:hint="eastAsia" w:ascii="宋体" w:hAnsi="宋体" w:eastAsia="宋体" w:cs="Times New Roman"/>
          <w:b/>
          <w:color w:val="000000" w:themeColor="text1"/>
          <w:szCs w:val="21"/>
          <w:shd w:val="clear" w:color="auto" w:fill="BEBEBE" w:themeFill="background1" w:themeFillShade="BF"/>
          <w14:textFill>
            <w14:solidFill>
              <w14:schemeClr w14:val="tx1"/>
            </w14:solidFill>
          </w14:textFill>
        </w:rPr>
        <w:t>合理的时间内（一般30分钟）</w:t>
      </w:r>
      <w:r>
        <w:rPr>
          <w:rFonts w:hint="eastAsia" w:ascii="宋体" w:hAnsi="宋体" w:eastAsia="宋体" w:cs="Times New Roman"/>
          <w:b/>
          <w:color w:val="000000" w:themeColor="text1"/>
          <w:szCs w:val="21"/>
          <w14:textFill>
            <w14:solidFill>
              <w14:schemeClr w14:val="tx1"/>
            </w14:solidFill>
          </w14:textFill>
        </w:rPr>
        <w:t>提供书面说明，必要时提交相关证明材料；供应商不能证明其报价合理性的，磋商小组应当将其作为无效标处理。</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（六）单独磋商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磋商小组所有成员将通过评标室座机集中与通过资格审查、符合性审查的单一供应商分别进行磋商，并给予所有参加磋商的供应商平等的磋商机会。2.单独磋商环节开始后供应商代表应保持手机通讯畅通，以便及时取得联系，未能取得联系的视作放弃进一步磋商机会，将以原响应文件或已完成的磋商成果作为评审依据。</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3.磋商小组将与单一供应商对涉及采购要求的方方面面进行一轮或多轮次的磋商。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在单独磋商中，磋商小组及有关当事人应当严格遵循保密原则，任何人不得暗示、提示、透露与磋商有关的其他供应商的技术资料、价格和其他信息等，在供应商未挂断电话之前不得谈论或评价有关问题以及其他有关的事项等。</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5.当轮次磋商结束后，磋商小组将要求所有参加磋商的供应商在规定的时间内作出报价及承诺或最终报价及承诺，</w:t>
      </w:r>
      <w:r>
        <w:rPr>
          <w:rFonts w:hint="eastAsia" w:ascii="宋体" w:hAnsi="宋体" w:eastAsia="宋体" w:cs="Times New Roman"/>
          <w:b/>
          <w:color w:val="000000" w:themeColor="text1"/>
          <w:szCs w:val="21"/>
          <w14:textFill>
            <w14:solidFill>
              <w14:schemeClr w14:val="tx1"/>
            </w14:solidFill>
          </w14:textFill>
        </w:rPr>
        <w:t>报价或最终报价原则上小于等于供应商的前一次报价</w:t>
      </w:r>
      <w:r>
        <w:rPr>
          <w:rFonts w:hint="eastAsia" w:ascii="宋体" w:hAnsi="宋体" w:eastAsia="宋体" w:cs="Times New Roman"/>
          <w:color w:val="000000" w:themeColor="text1"/>
          <w:szCs w:val="21"/>
          <w14:textFill>
            <w14:solidFill>
              <w14:schemeClr w14:val="tx1"/>
            </w14:solidFill>
          </w14:textFill>
        </w:rPr>
        <w:t>。</w:t>
      </w:r>
    </w:p>
    <w:p>
      <w:pPr>
        <w:wordWrap w:val="0"/>
        <w:spacing w:line="400" w:lineRule="exact"/>
        <w:ind w:firstLine="422" w:firstLineChars="200"/>
        <w:rPr>
          <w:rFonts w:ascii="宋体" w:hAnsi="宋体" w:eastAsia="宋体" w:cs="Times New Roman"/>
          <w:b/>
          <w:color w:val="000000" w:themeColor="text1"/>
          <w:szCs w:val="21"/>
          <w:shd w:val="clear" w:color="auto" w:fill="BEBEBE" w:themeFill="background1" w:themeFillShade="BF"/>
          <w14:textFill>
            <w14:solidFill>
              <w14:schemeClr w14:val="tx1"/>
            </w14:solidFill>
          </w14:textFill>
        </w:rPr>
      </w:pPr>
      <w:r>
        <w:rPr>
          <w:rFonts w:hint="eastAsia" w:ascii="宋体" w:hAnsi="宋体" w:eastAsia="宋体" w:cs="Times New Roman"/>
          <w:b/>
          <w:color w:val="000000" w:themeColor="text1"/>
          <w:szCs w:val="21"/>
          <w:shd w:val="clear" w:color="auto" w:fill="BEBEBE" w:themeFill="background1" w:themeFillShade="BF"/>
          <w14:textFill>
            <w14:solidFill>
              <w14:schemeClr w14:val="tx1"/>
            </w14:solidFill>
          </w14:textFill>
        </w:rPr>
        <w:t>6.采购代理机构在政府采购云平台上开启新一轮报价或者最终报价。注：（1）每轮报价时间均为30分钟，如供应商均提前报价完成则可提前进入下一个环节；（2）供应商在规定的30分钟内未报价的，采购代理机构按上一轮的有效报价作为本轮的报价，在系统上手动输入，并以“在线询标”方式让供应商提供加盖电子公章的报价确认文件。（3）政采云公司如对电子化开启及评审程序有调整的，按调整后的程序操作。</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7.已提交响应文件的供应商，在提交最终报价之前，可以根据磋商情况退出磋商。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8.在磋商过程中，磋商小组可以根据采购文件和磋商情况实质性变动采购需求中的技术、服务要求以及合同草案条款，但不得变动采购文件中的其他内容。实质性变动的内容，须经采购人代表确认。对采购文件作出的实质性变动是采购文件的有效组成部分，磋商小组应当及时以书面形式同时通知所有参加磋商的供应商。供应商应当按照采购文件的变动情况和磋商小组的要求重新提交响应文件，并由供应商代表签字或者加盖电子公章。</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（七）推荐成交候选人</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磋商小组应当根据综合评分情况，按照评审得分由高到低顺序推荐三名成交候选人，并编写评审报告。有效供应商只有两家的，可推荐两名成交候选人。评审得分相同的，按照最终报价由低到高的顺序推荐。评审得分且最终报价相同的，按照技术指标（技术指标是指商务技术分中除客观分以外的全部分数）优劣顺序推荐。</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2.成交金额=供应商的最终报价。</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3.最终报价是供应商响应文件的有效组成部分。</w:t>
      </w:r>
    </w:p>
    <w:p>
      <w:pPr>
        <w:tabs>
          <w:tab w:val="left" w:pos="2517"/>
        </w:tabs>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（八）评审报告</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磋商小组根据评审记录和评审结果编写评审报告，评审报告应当包括以下主要内容：（1）邀请供应商参加采购活动的具体方式和相关情况；（2）响应文件开启日期和地点；（3）获取采购文件的供应商名单和磋商小组成员名单；（4）评审情况记录和说明，包括对供应商的资格审查情况、供应商响应文件评审情况、磋商情况、报价情况等；（5）提出的成交候选人的排序名单及理由。</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评审报告应当由磋商小组全体人员签字认可。磋商小组成员对评审报告有异议的，磋商小组按照少数服从多数的原则推荐成交候选人，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（九）评审、磋商过程的保密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1.采购人、采购代理机构应当按照政府采购有关规定组织开展采购活动，并采取必要措施，保证评审</w:t>
      </w:r>
      <w:r>
        <w:rPr>
          <w:rFonts w:ascii="宋体" w:hAnsi="宋体" w:eastAsia="宋体" w:cs="Times New Roman"/>
          <w:color w:val="000000" w:themeColor="text1"/>
          <w:szCs w:val="21"/>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磋商在严格保密的情况下进行。</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2.任何单位和个人不得非法干预、影响评审、磋商过程和结果。</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3.所有涉及对响应文件的审查、澄清、评价、比较等情况，磋商小组成员、采购人和采购代理机构的有关人员均不得向供应商或其他无关人员透露。</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4.供应商在评审、磋商过程中所进行的试图影响采购结果的不公正活动，将导致其响应被拒绝，并承担相应法律责任。</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5.磋商小组成员以及与评审工作有关的人员不得泄露评审、磋商情况以及评审、磋商过程中获悉的国家秘密、商业秘密。</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（十）例外处理</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pPr>
        <w:wordWrap w:val="0"/>
        <w:spacing w:line="400" w:lineRule="exac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（十一）有关中小企业声明、监狱企业、残疾人福利性单位的规定</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1.中小企业声明：</w:t>
      </w:r>
    </w:p>
    <w:p>
      <w:pPr>
        <w:wordWrap w:val="0"/>
        <w:spacing w:line="400" w:lineRule="exact"/>
        <w:ind w:firstLine="420"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根据《政府采购促进中小企业发展管理办法》（财库﹝2020﹞46号）的规定，中小企业的标准为：</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中小企业划分标准根据《工业和信息化部、国家统计局、国家发展和改革委员会、财政部关于印发中小企业划型标准规定的通知》（工信部联企业〔2011〕300号）执行。</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（2）在政府采购活动中，供应商提供的货物、工程或者服务符合下列情形的，享受本办法规定的中小企业扶持政策：</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①在货物采购项目中，货物由中小企业制造，即货物由中小企业生产且使用该中小企业商号或者注册商标；</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②在工程采购项目中，工程由中小企业承建，即工程施工单位为中小企业；</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③在服务采购项目中，服务由中小企业承接，即提供服务的人员为中小企业依照《中华人民共和国劳动合同法》订立劳动合同的从业人员。</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④在货物采购项目中，供应商提供的货物既有中小企业制造货物，也有大型企业制造货物的，不享受本办法规定的中小企业扶持政策。</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⑤以联合体形式参加政府采购活动，联合体各方均为中小企业的，联合体视同中小企业。其中，联合体各方均为小微企业的，联合体视同小微企业。</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（3）中小企业参加政府采购活动，应当出具《中小企业声明函》，否则不享受相关中小企业扶持政策。供应商不用提供《中小企业声明函》之外的中小企业身份证明文件。</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2.监狱企业：</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根据《财政部、司法部关于政府采购支持监狱企业发展有关问题的通知》（财库〔2014〕68号）规定，监狱企业应当符合以下条件：</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（2）监狱企业参加政府采购活动时，视同小型、微型企业，应当提供由省级以上监狱管理局、戒毒管理局（含新疆生产建设兵团）出具的属于监狱企业的证明文件。</w:t>
      </w:r>
    </w:p>
    <w:p>
      <w:pPr>
        <w:wordWrap w:val="0"/>
        <w:spacing w:line="400" w:lineRule="exact"/>
        <w:ind w:firstLine="422" w:firstLineChars="200"/>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3.残疾人福利性单位：</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根据《财政部 民政部 中国残疾人联合会关于促进残疾人就业政府采购政策的通知》（财库[2017]141号）规定，在政府采购活动中，残疾人福利性单位视同小型、微型企业。残疾人福利性单位参加政府采购活动时，提供《残疾人福利性单位声明函》。</w:t>
      </w:r>
    </w:p>
    <w:p>
      <w:pPr>
        <w:wordWrap w:val="0"/>
        <w:spacing w:line="400" w:lineRule="exact"/>
        <w:ind w:firstLine="422" w:firstLineChars="200"/>
        <w:rPr>
          <w:rFonts w:ascii="宋体" w:hAnsi="宋体" w:eastAsia="宋体"/>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4.落实政府采购政策的报价扣除比例说明：</w:t>
      </w:r>
    </w:p>
    <w:p>
      <w:pPr>
        <w:wordWrap w:val="0"/>
        <w:spacing w:line="400" w:lineRule="exact"/>
        <w:ind w:firstLine="420" w:firstLineChars="200"/>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（1）本次采购非专门面向中小企业，本次评审将对满足采购文件要求的小型和微型企业的报价（包括监狱企业、残疾人福利性单位）按最高优惠幅度20%给予扣除，用扣除后的价格参加评审。</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2）对于联合协议或者分包意向协议约定小微企业的合同份额占到合同总金额30%以上的，采购单位、采购代理机构应结合项目实际，对联合体或者大中型企业的报价原则上按最高优惠幅度6%给予扣除，用扣除后的价格参加评审。</w:t>
      </w:r>
    </w:p>
    <w:p>
      <w:pPr>
        <w:spacing w:line="400" w:lineRule="exact"/>
        <w:jc w:val="center"/>
        <w:rPr>
          <w:rFonts w:ascii="宋体" w:hAnsi="宋体" w:eastAsia="宋体" w:cs="Times New Roman"/>
          <w:color w:val="000000" w:themeColor="text1"/>
          <w:szCs w:val="21"/>
          <w14:textFill>
            <w14:solidFill>
              <w14:schemeClr w14:val="tx1"/>
            </w14:solidFill>
          </w14:textFill>
        </w:rPr>
        <w:sectPr>
          <w:pgSz w:w="11906" w:h="16838"/>
          <w:pgMar w:top="1418" w:right="1418" w:bottom="1418" w:left="1418" w:header="851" w:footer="992" w:gutter="0"/>
          <w:cols w:space="425" w:num="1"/>
          <w:docGrid w:type="lines" w:linePitch="312" w:charSpace="0"/>
        </w:sectPr>
      </w:pPr>
    </w:p>
    <w:p>
      <w:pPr>
        <w:spacing w:line="360" w:lineRule="auto"/>
        <w:jc w:val="center"/>
        <w:rPr>
          <w:rFonts w:ascii="宋体" w:hAnsi="宋体" w:eastAsia="宋体" w:cs="Times New Roman"/>
          <w:b/>
          <w:color w:val="000000"/>
          <w:sz w:val="24"/>
          <w:szCs w:val="24"/>
        </w:rPr>
      </w:pPr>
      <w:r>
        <w:rPr>
          <w:rFonts w:hint="eastAsia" w:ascii="宋体" w:hAnsi="宋体" w:eastAsia="宋体"/>
          <w:b/>
          <w:sz w:val="24"/>
          <w:szCs w:val="24"/>
        </w:rPr>
        <w:t xml:space="preserve">第五章  </w:t>
      </w:r>
      <w:r>
        <w:rPr>
          <w:rFonts w:hint="eastAsia" w:ascii="宋体" w:hAnsi="宋体" w:eastAsia="宋体" w:cs="Times New Roman"/>
          <w:b/>
          <w:color w:val="000000"/>
          <w:sz w:val="24"/>
          <w:szCs w:val="24"/>
        </w:rPr>
        <w:t>合同文本</w:t>
      </w:r>
    </w:p>
    <w:p>
      <w:pPr>
        <w:spacing w:line="400" w:lineRule="exact"/>
        <w:jc w:val="center"/>
        <w:rPr>
          <w:rFonts w:ascii="宋体" w:hAnsi="宋体" w:eastAsia="宋体"/>
          <w:b/>
          <w:sz w:val="24"/>
          <w:szCs w:val="24"/>
        </w:rPr>
      </w:pPr>
      <w:r>
        <w:rPr>
          <w:rFonts w:hint="eastAsia" w:ascii="宋体" w:hAnsi="宋体" w:eastAsia="宋体"/>
          <w:b/>
          <w:sz w:val="24"/>
          <w:szCs w:val="24"/>
          <w:u w:val="single"/>
        </w:rPr>
        <w:t>（项目名称）</w:t>
      </w:r>
      <w:r>
        <w:rPr>
          <w:rFonts w:hint="eastAsia" w:ascii="宋体" w:hAnsi="宋体" w:eastAsia="宋体"/>
          <w:b/>
          <w:sz w:val="24"/>
          <w:szCs w:val="24"/>
        </w:rPr>
        <w:t>政府采购合同</w:t>
      </w:r>
    </w:p>
    <w:p>
      <w:pPr>
        <w:wordWrap w:val="0"/>
        <w:spacing w:line="400" w:lineRule="exact"/>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采购人（以下称甲方）：</w:t>
      </w:r>
      <w:r>
        <w:rPr>
          <w:rFonts w:hint="eastAsia" w:ascii="宋体" w:hAnsi="宋体" w:eastAsia="宋体" w:cs="Times New Roman"/>
          <w:szCs w:val="21"/>
          <w:u w:val="single"/>
        </w:rPr>
        <w:t xml:space="preserve">          </w:t>
      </w:r>
    </w:p>
    <w:p>
      <w:pPr>
        <w:wordWrap w:val="0"/>
        <w:spacing w:line="400" w:lineRule="exact"/>
        <w:rPr>
          <w:rFonts w:ascii="宋体" w:hAnsi="宋体" w:eastAsia="宋体"/>
          <w:color w:val="000000" w:themeColor="text1"/>
          <w:szCs w:val="21"/>
          <w:u w:val="single"/>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成交供应商（以下称乙方）：</w:t>
      </w:r>
      <w:r>
        <w:rPr>
          <w:rFonts w:hint="eastAsia" w:ascii="宋体" w:hAnsi="宋体" w:eastAsia="宋体"/>
          <w:color w:val="000000" w:themeColor="text1"/>
          <w:szCs w:val="21"/>
          <w:u w:val="single"/>
          <w14:textFill>
            <w14:solidFill>
              <w14:schemeClr w14:val="tx1"/>
            </w14:solidFill>
          </w14:textFill>
        </w:rPr>
        <w:t xml:space="preserve">          </w:t>
      </w:r>
    </w:p>
    <w:p>
      <w:pPr>
        <w:wordWrap w:val="0"/>
        <w:spacing w:line="400" w:lineRule="exact"/>
        <w:ind w:firstLine="420" w:firstLineChars="200"/>
        <w:rPr>
          <w:rFonts w:ascii="宋体" w:hAnsi="宋体" w:eastAsia="宋体" w:cs="Times New Roman"/>
          <w:szCs w:val="21"/>
        </w:rPr>
      </w:pPr>
      <w:r>
        <w:rPr>
          <w:rFonts w:hint="eastAsia" w:ascii="宋体" w:hAnsi="宋体" w:eastAsia="宋体" w:cs="Times New Roman"/>
          <w:szCs w:val="21"/>
        </w:rPr>
        <w:t>为了保护甲、乙双方合法权益，明确双方职责，甲、乙双方根据</w:t>
      </w:r>
      <w:r>
        <w:rPr>
          <w:rFonts w:hint="eastAsia" w:ascii="宋体" w:hAnsi="宋体" w:eastAsia="宋体" w:cs="Times New Roman"/>
          <w:szCs w:val="21"/>
          <w:u w:val="single"/>
        </w:rPr>
        <w:t xml:space="preserve">          （项目编号）</w:t>
      </w:r>
      <w:r>
        <w:rPr>
          <w:rFonts w:hint="eastAsia" w:ascii="宋体" w:hAnsi="宋体" w:eastAsia="宋体" w:cs="Times New Roman"/>
          <w:szCs w:val="21"/>
        </w:rPr>
        <w:t>、</w:t>
      </w:r>
      <w:r>
        <w:rPr>
          <w:rFonts w:hint="eastAsia" w:ascii="宋体" w:hAnsi="宋体" w:eastAsia="宋体" w:cs="Times New Roman"/>
          <w:szCs w:val="21"/>
          <w:u w:val="single"/>
        </w:rPr>
        <w:t xml:space="preserve">         （项目名称）</w:t>
      </w:r>
      <w:r>
        <w:rPr>
          <w:rFonts w:hint="eastAsia" w:ascii="宋体" w:hAnsi="宋体" w:eastAsia="宋体" w:cs="Times New Roman"/>
          <w:szCs w:val="21"/>
        </w:rPr>
        <w:t>竞争性磋商的结果，签署本合同，以资共同遵守。</w:t>
      </w:r>
    </w:p>
    <w:p>
      <w:pPr>
        <w:wordWrap w:val="0"/>
        <w:spacing w:line="400" w:lineRule="exact"/>
        <w:rPr>
          <w:rFonts w:ascii="宋体" w:hAnsi="宋体" w:eastAsia="宋体" w:cs="Times New Roman"/>
          <w:b/>
          <w:szCs w:val="21"/>
        </w:rPr>
      </w:pPr>
      <w:r>
        <w:rPr>
          <w:rFonts w:ascii="宋体" w:hAnsi="宋体" w:eastAsia="宋体" w:cs="Times New Roman"/>
          <w:b/>
          <w:szCs w:val="21"/>
        </w:rPr>
        <w:t>一、</w:t>
      </w:r>
      <w:r>
        <w:rPr>
          <w:rFonts w:hint="eastAsia" w:ascii="宋体" w:hAnsi="宋体" w:eastAsia="宋体" w:cs="Times New Roman"/>
          <w:b/>
          <w:szCs w:val="21"/>
        </w:rPr>
        <w:t>采购</w:t>
      </w:r>
      <w:r>
        <w:rPr>
          <w:rFonts w:ascii="宋体" w:hAnsi="宋体" w:eastAsia="宋体" w:cs="Times New Roman"/>
          <w:b/>
          <w:szCs w:val="21"/>
        </w:rPr>
        <w:t>内容</w:t>
      </w:r>
      <w:r>
        <w:rPr>
          <w:rFonts w:hint="eastAsia" w:ascii="宋体" w:hAnsi="宋体" w:eastAsia="宋体" w:cs="Times New Roman"/>
          <w:b/>
          <w:szCs w:val="21"/>
        </w:rPr>
        <w:t>及合同金额</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szCs w:val="21"/>
        </w:rPr>
        <w:t>1.货物内容：</w:t>
      </w:r>
    </w:p>
    <w:tbl>
      <w:tblPr>
        <w:tblStyle w:val="11"/>
        <w:tblW w:w="90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1844"/>
        <w:gridCol w:w="850"/>
        <w:gridCol w:w="1277"/>
        <w:gridCol w:w="1278"/>
        <w:gridCol w:w="1562"/>
        <w:gridCol w:w="15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13" w:type="dxa"/>
            <w:shd w:val="clear" w:color="auto" w:fill="auto"/>
            <w:noWrap/>
            <w:vAlign w:val="center"/>
          </w:tcPr>
          <w:p>
            <w:pPr>
              <w:widowControl/>
              <w:jc w:val="center"/>
              <w:rPr>
                <w:rFonts w:ascii="宋体" w:hAnsi="宋体" w:eastAsia="宋体" w:cs="宋体"/>
                <w:kern w:val="0"/>
                <w:szCs w:val="21"/>
              </w:rPr>
            </w:pPr>
            <w:r>
              <w:rPr>
                <w:rFonts w:hint="eastAsia" w:ascii="宋体" w:hAnsi="宋体" w:eastAsia="宋体" w:cs="宋体"/>
                <w:kern w:val="0"/>
                <w:szCs w:val="21"/>
              </w:rPr>
              <w:t>序号</w:t>
            </w:r>
          </w:p>
        </w:tc>
        <w:tc>
          <w:tcPr>
            <w:tcW w:w="1844" w:type="dxa"/>
            <w:shd w:val="clear" w:color="auto" w:fill="auto"/>
            <w:noWrap/>
            <w:vAlign w:val="center"/>
          </w:tcPr>
          <w:p>
            <w:pPr>
              <w:widowControl/>
              <w:jc w:val="center"/>
              <w:rPr>
                <w:rFonts w:ascii="宋体" w:hAnsi="宋体" w:eastAsia="宋体" w:cs="宋体"/>
                <w:kern w:val="0"/>
                <w:szCs w:val="21"/>
              </w:rPr>
            </w:pPr>
            <w:r>
              <w:rPr>
                <w:rFonts w:hint="eastAsia" w:ascii="宋体" w:hAnsi="宋体" w:eastAsia="宋体" w:cs="宋体"/>
                <w:kern w:val="0"/>
                <w:szCs w:val="21"/>
              </w:rPr>
              <w:t>货物名称</w:t>
            </w:r>
          </w:p>
        </w:tc>
        <w:tc>
          <w:tcPr>
            <w:tcW w:w="850" w:type="dxa"/>
            <w:shd w:val="clear" w:color="auto" w:fill="auto"/>
            <w:noWrap/>
            <w:vAlign w:val="center"/>
          </w:tcPr>
          <w:p>
            <w:pPr>
              <w:widowControl/>
              <w:jc w:val="center"/>
              <w:rPr>
                <w:rFonts w:ascii="宋体" w:hAnsi="宋体" w:eastAsia="宋体" w:cs="宋体"/>
                <w:kern w:val="0"/>
                <w:szCs w:val="21"/>
              </w:rPr>
            </w:pPr>
            <w:r>
              <w:rPr>
                <w:rFonts w:hint="eastAsia" w:ascii="宋体" w:hAnsi="宋体" w:eastAsia="宋体" w:cs="宋体"/>
                <w:kern w:val="0"/>
                <w:szCs w:val="21"/>
              </w:rPr>
              <w:t>数量</w:t>
            </w:r>
          </w:p>
        </w:tc>
        <w:tc>
          <w:tcPr>
            <w:tcW w:w="1277" w:type="dxa"/>
            <w:shd w:val="clear" w:color="auto" w:fill="auto"/>
            <w:vAlign w:val="center"/>
          </w:tcPr>
          <w:p>
            <w:pPr>
              <w:widowControl/>
              <w:jc w:val="center"/>
              <w:rPr>
                <w:rFonts w:ascii="宋体" w:hAnsi="宋体" w:eastAsia="宋体" w:cs="宋体"/>
                <w:kern w:val="0"/>
                <w:szCs w:val="21"/>
              </w:rPr>
            </w:pPr>
            <w:r>
              <w:rPr>
                <w:rFonts w:hint="eastAsia" w:ascii="宋体" w:hAnsi="宋体" w:eastAsia="宋体" w:cs="宋体"/>
                <w:kern w:val="0"/>
                <w:szCs w:val="21"/>
              </w:rPr>
              <w:t>品牌</w:t>
            </w:r>
          </w:p>
        </w:tc>
        <w:tc>
          <w:tcPr>
            <w:tcW w:w="1278" w:type="dxa"/>
            <w:shd w:val="clear" w:color="auto" w:fill="auto"/>
            <w:noWrap/>
            <w:vAlign w:val="center"/>
          </w:tcPr>
          <w:p>
            <w:pPr>
              <w:widowControl/>
              <w:jc w:val="center"/>
              <w:rPr>
                <w:rFonts w:ascii="宋体" w:hAnsi="宋体" w:eastAsia="宋体" w:cs="宋体"/>
                <w:kern w:val="0"/>
                <w:szCs w:val="21"/>
              </w:rPr>
            </w:pPr>
            <w:r>
              <w:rPr>
                <w:rFonts w:hint="eastAsia" w:ascii="宋体" w:hAnsi="宋体" w:eastAsia="宋体" w:cs="宋体"/>
                <w:kern w:val="0"/>
                <w:szCs w:val="21"/>
              </w:rPr>
              <w:t>规格型号</w:t>
            </w:r>
          </w:p>
        </w:tc>
        <w:tc>
          <w:tcPr>
            <w:tcW w:w="1562" w:type="dxa"/>
            <w:shd w:val="clear" w:color="auto" w:fill="auto"/>
            <w:noWrap/>
            <w:vAlign w:val="center"/>
          </w:tcPr>
          <w:p>
            <w:pPr>
              <w:widowControl/>
              <w:jc w:val="center"/>
              <w:rPr>
                <w:rFonts w:ascii="宋体" w:hAnsi="宋体" w:eastAsia="宋体" w:cs="宋体"/>
                <w:kern w:val="0"/>
                <w:szCs w:val="21"/>
              </w:rPr>
            </w:pPr>
            <w:r>
              <w:rPr>
                <w:rFonts w:hint="eastAsia" w:ascii="宋体" w:hAnsi="宋体" w:eastAsia="宋体" w:cs="宋体"/>
                <w:kern w:val="0"/>
                <w:szCs w:val="21"/>
              </w:rPr>
              <w:t>综合单价（元）</w:t>
            </w:r>
          </w:p>
        </w:tc>
        <w:tc>
          <w:tcPr>
            <w:tcW w:w="1562" w:type="dxa"/>
            <w:shd w:val="clear" w:color="auto" w:fill="auto"/>
            <w:noWrap/>
            <w:vAlign w:val="center"/>
          </w:tcPr>
          <w:p>
            <w:pPr>
              <w:widowControl/>
              <w:jc w:val="center"/>
              <w:rPr>
                <w:rFonts w:ascii="宋体" w:hAnsi="宋体" w:eastAsia="宋体" w:cs="宋体"/>
                <w:kern w:val="0"/>
                <w:szCs w:val="21"/>
              </w:rPr>
            </w:pPr>
            <w:r>
              <w:rPr>
                <w:rFonts w:hint="eastAsia" w:ascii="宋体" w:hAnsi="宋体" w:eastAsia="宋体" w:cs="宋体"/>
                <w:kern w:val="0"/>
                <w:szCs w:val="21"/>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713" w:type="dxa"/>
            <w:shd w:val="clear" w:color="000000" w:fill="FFFFFF"/>
            <w:noWrap/>
            <w:vAlign w:val="center"/>
          </w:tcPr>
          <w:p>
            <w:pPr>
              <w:widowControl/>
              <w:jc w:val="center"/>
              <w:rPr>
                <w:rFonts w:ascii="宋体" w:hAnsi="宋体" w:eastAsia="宋体" w:cs="宋体"/>
                <w:kern w:val="0"/>
                <w:szCs w:val="21"/>
              </w:rPr>
            </w:pPr>
            <w:r>
              <w:rPr>
                <w:rFonts w:hint="eastAsia" w:ascii="宋体" w:hAnsi="宋体" w:eastAsia="宋体" w:cs="宋体"/>
                <w:kern w:val="0"/>
                <w:szCs w:val="21"/>
              </w:rPr>
              <w:t>1</w:t>
            </w:r>
          </w:p>
        </w:tc>
        <w:tc>
          <w:tcPr>
            <w:tcW w:w="1844" w:type="dxa"/>
            <w:shd w:val="clear" w:color="000000" w:fill="FFFFFF"/>
            <w:noWrap/>
            <w:vAlign w:val="center"/>
          </w:tcPr>
          <w:p>
            <w:pPr>
              <w:widowControl/>
              <w:jc w:val="center"/>
              <w:rPr>
                <w:rFonts w:ascii="宋体" w:hAnsi="宋体" w:eastAsia="宋体" w:cs="宋体"/>
                <w:kern w:val="0"/>
                <w:szCs w:val="21"/>
              </w:rPr>
            </w:pPr>
          </w:p>
        </w:tc>
        <w:tc>
          <w:tcPr>
            <w:tcW w:w="850" w:type="dxa"/>
            <w:shd w:val="clear" w:color="000000" w:fill="FFFFFF"/>
            <w:noWrap/>
            <w:vAlign w:val="center"/>
          </w:tcPr>
          <w:p>
            <w:pPr>
              <w:tabs>
                <w:tab w:val="left" w:pos="851"/>
                <w:tab w:val="center" w:pos="5812"/>
                <w:tab w:val="decimal" w:pos="7229"/>
                <w:tab w:val="decimal" w:pos="8789"/>
              </w:tabs>
              <w:ind w:right="-6"/>
              <w:jc w:val="center"/>
              <w:rPr>
                <w:rFonts w:ascii="宋体" w:hAnsi="宋体" w:eastAsia="宋体"/>
                <w:szCs w:val="21"/>
              </w:rPr>
            </w:pPr>
          </w:p>
        </w:tc>
        <w:tc>
          <w:tcPr>
            <w:tcW w:w="1277" w:type="dxa"/>
            <w:shd w:val="clear" w:color="000000" w:fill="FFFFFF"/>
            <w:vAlign w:val="center"/>
          </w:tcPr>
          <w:p>
            <w:pPr>
              <w:widowControl/>
              <w:jc w:val="center"/>
              <w:rPr>
                <w:rFonts w:ascii="宋体" w:hAnsi="宋体" w:eastAsia="宋体" w:cs="宋体"/>
                <w:kern w:val="0"/>
                <w:szCs w:val="21"/>
              </w:rPr>
            </w:pPr>
          </w:p>
        </w:tc>
        <w:tc>
          <w:tcPr>
            <w:tcW w:w="1278" w:type="dxa"/>
            <w:shd w:val="clear" w:color="000000" w:fill="FFFFFF"/>
            <w:noWrap/>
            <w:vAlign w:val="center"/>
          </w:tcPr>
          <w:p>
            <w:pPr>
              <w:widowControl/>
              <w:jc w:val="center"/>
              <w:rPr>
                <w:rFonts w:ascii="宋体" w:hAnsi="宋体" w:eastAsia="宋体" w:cs="宋体"/>
                <w:kern w:val="0"/>
                <w:szCs w:val="21"/>
              </w:rPr>
            </w:pPr>
          </w:p>
        </w:tc>
        <w:tc>
          <w:tcPr>
            <w:tcW w:w="1562" w:type="dxa"/>
            <w:shd w:val="clear" w:color="000000" w:fill="FFFFFF"/>
            <w:noWrap/>
            <w:vAlign w:val="center"/>
          </w:tcPr>
          <w:p>
            <w:pPr>
              <w:widowControl/>
              <w:jc w:val="center"/>
              <w:rPr>
                <w:rFonts w:ascii="宋体" w:hAnsi="宋体" w:eastAsia="宋体" w:cs="宋体"/>
                <w:kern w:val="0"/>
                <w:szCs w:val="21"/>
              </w:rPr>
            </w:pPr>
          </w:p>
        </w:tc>
        <w:tc>
          <w:tcPr>
            <w:tcW w:w="1562" w:type="dxa"/>
            <w:shd w:val="clear" w:color="000000" w:fill="FFFFFF"/>
            <w:noWrap/>
            <w:vAlign w:val="center"/>
          </w:tcPr>
          <w:p>
            <w:pPr>
              <w:widowControl/>
              <w:jc w:val="center"/>
              <w:rPr>
                <w:rFonts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713" w:type="dxa"/>
            <w:shd w:val="clear" w:color="000000" w:fill="FFFFFF"/>
            <w:noWrap/>
            <w:vAlign w:val="center"/>
          </w:tcPr>
          <w:p>
            <w:pPr>
              <w:widowControl/>
              <w:jc w:val="center"/>
              <w:rPr>
                <w:rFonts w:ascii="宋体" w:hAnsi="宋体" w:eastAsia="宋体" w:cs="宋体"/>
                <w:kern w:val="0"/>
                <w:szCs w:val="21"/>
              </w:rPr>
            </w:pPr>
            <w:r>
              <w:rPr>
                <w:rFonts w:hint="eastAsia" w:ascii="宋体" w:hAnsi="宋体" w:eastAsia="宋体" w:cs="宋体"/>
                <w:kern w:val="0"/>
                <w:szCs w:val="21"/>
              </w:rPr>
              <w:t>2</w:t>
            </w:r>
          </w:p>
        </w:tc>
        <w:tc>
          <w:tcPr>
            <w:tcW w:w="1844" w:type="dxa"/>
            <w:shd w:val="clear" w:color="000000" w:fill="FFFFFF"/>
            <w:noWrap/>
            <w:vAlign w:val="center"/>
          </w:tcPr>
          <w:p>
            <w:pPr>
              <w:widowControl/>
              <w:jc w:val="center"/>
              <w:rPr>
                <w:rFonts w:ascii="宋体" w:hAnsi="宋体" w:eastAsia="宋体" w:cs="宋体"/>
                <w:kern w:val="0"/>
                <w:szCs w:val="21"/>
              </w:rPr>
            </w:pPr>
          </w:p>
        </w:tc>
        <w:tc>
          <w:tcPr>
            <w:tcW w:w="850" w:type="dxa"/>
            <w:shd w:val="clear" w:color="000000" w:fill="FFFFFF"/>
            <w:noWrap/>
            <w:vAlign w:val="center"/>
          </w:tcPr>
          <w:p>
            <w:pPr>
              <w:tabs>
                <w:tab w:val="left" w:pos="851"/>
                <w:tab w:val="center" w:pos="5812"/>
                <w:tab w:val="decimal" w:pos="7229"/>
                <w:tab w:val="decimal" w:pos="8789"/>
              </w:tabs>
              <w:ind w:right="-6"/>
              <w:jc w:val="center"/>
              <w:rPr>
                <w:rFonts w:ascii="宋体" w:hAnsi="宋体" w:eastAsia="宋体"/>
                <w:szCs w:val="21"/>
              </w:rPr>
            </w:pPr>
          </w:p>
        </w:tc>
        <w:tc>
          <w:tcPr>
            <w:tcW w:w="1277" w:type="dxa"/>
            <w:shd w:val="clear" w:color="000000" w:fill="FFFFFF"/>
            <w:vAlign w:val="center"/>
          </w:tcPr>
          <w:p>
            <w:pPr>
              <w:widowControl/>
              <w:jc w:val="center"/>
              <w:rPr>
                <w:rFonts w:ascii="宋体" w:hAnsi="宋体" w:eastAsia="宋体" w:cs="宋体"/>
                <w:kern w:val="0"/>
                <w:szCs w:val="21"/>
              </w:rPr>
            </w:pPr>
          </w:p>
        </w:tc>
        <w:tc>
          <w:tcPr>
            <w:tcW w:w="1278" w:type="dxa"/>
            <w:shd w:val="clear" w:color="000000" w:fill="FFFFFF"/>
            <w:noWrap/>
            <w:vAlign w:val="center"/>
          </w:tcPr>
          <w:p>
            <w:pPr>
              <w:widowControl/>
              <w:jc w:val="center"/>
              <w:rPr>
                <w:rFonts w:ascii="宋体" w:hAnsi="宋体" w:eastAsia="宋体" w:cs="宋体"/>
                <w:kern w:val="0"/>
                <w:szCs w:val="21"/>
              </w:rPr>
            </w:pPr>
          </w:p>
        </w:tc>
        <w:tc>
          <w:tcPr>
            <w:tcW w:w="1562" w:type="dxa"/>
            <w:shd w:val="clear" w:color="000000" w:fill="FFFFFF"/>
            <w:noWrap/>
            <w:vAlign w:val="center"/>
          </w:tcPr>
          <w:p>
            <w:pPr>
              <w:widowControl/>
              <w:jc w:val="center"/>
              <w:rPr>
                <w:rFonts w:ascii="宋体" w:hAnsi="宋体" w:eastAsia="宋体" w:cs="宋体"/>
                <w:kern w:val="0"/>
                <w:szCs w:val="21"/>
              </w:rPr>
            </w:pPr>
          </w:p>
        </w:tc>
        <w:tc>
          <w:tcPr>
            <w:tcW w:w="1562" w:type="dxa"/>
            <w:shd w:val="clear" w:color="000000" w:fill="FFFFFF"/>
            <w:noWrap/>
            <w:vAlign w:val="center"/>
          </w:tcPr>
          <w:p>
            <w:pPr>
              <w:widowControl/>
              <w:jc w:val="center"/>
              <w:rPr>
                <w:rFonts w:ascii="宋体" w:hAnsi="宋体" w:eastAsia="宋体" w:cs="宋体"/>
                <w:kern w:val="0"/>
                <w:szCs w:val="21"/>
              </w:rPr>
            </w:pPr>
          </w:p>
        </w:tc>
      </w:tr>
    </w:tbl>
    <w:p>
      <w:pPr>
        <w:wordWrap w:val="0"/>
        <w:spacing w:line="400" w:lineRule="exact"/>
        <w:ind w:firstLine="420" w:firstLineChars="200"/>
        <w:rPr>
          <w:rFonts w:ascii="宋体" w:hAnsi="宋体" w:eastAsia="宋体"/>
          <w:szCs w:val="21"/>
        </w:rPr>
      </w:pPr>
      <w:r>
        <w:rPr>
          <w:rFonts w:ascii="宋体" w:hAnsi="宋体" w:eastAsia="宋体"/>
          <w:szCs w:val="21"/>
        </w:rPr>
        <w:t>2</w:t>
      </w:r>
      <w:r>
        <w:rPr>
          <w:rFonts w:hint="eastAsia" w:ascii="宋体" w:hAnsi="宋体" w:eastAsia="宋体"/>
          <w:szCs w:val="21"/>
        </w:rPr>
        <w:t>.工作内容及培训要求：</w:t>
      </w:r>
      <w:r>
        <w:rPr>
          <w:rFonts w:hint="eastAsia" w:ascii="宋体" w:hAnsi="宋体" w:eastAsia="宋体" w:cs="Times New Roman"/>
          <w:szCs w:val="21"/>
          <w:u w:val="single"/>
        </w:rPr>
        <w:t xml:space="preserve">          </w:t>
      </w:r>
    </w:p>
    <w:p>
      <w:pPr>
        <w:wordWrap w:val="0"/>
        <w:spacing w:line="400" w:lineRule="exact"/>
        <w:ind w:firstLine="420" w:firstLineChars="200"/>
        <w:rPr>
          <w:rFonts w:ascii="宋体" w:hAnsi="宋体" w:eastAsia="宋体"/>
          <w:b/>
          <w:szCs w:val="21"/>
        </w:rPr>
      </w:pPr>
      <w:r>
        <w:rPr>
          <w:rFonts w:ascii="宋体" w:hAnsi="宋体" w:eastAsia="宋体"/>
          <w:szCs w:val="21"/>
        </w:rPr>
        <w:t>3</w:t>
      </w:r>
      <w:r>
        <w:rPr>
          <w:rFonts w:hint="eastAsia" w:ascii="宋体" w:hAnsi="宋体" w:eastAsia="宋体"/>
          <w:szCs w:val="21"/>
        </w:rPr>
        <w:t>.合同金额：人民币</w:t>
      </w:r>
      <w:r>
        <w:rPr>
          <w:rFonts w:ascii="宋体" w:hAnsi="宋体" w:eastAsia="宋体" w:cs="Times New Roman"/>
          <w:color w:val="000000" w:themeColor="text1"/>
          <w:szCs w:val="21"/>
          <w14:textFill>
            <w14:solidFill>
              <w14:schemeClr w14:val="tx1"/>
            </w14:solidFill>
          </w14:textFill>
        </w:rPr>
        <w:t>（大写）：</w:t>
      </w:r>
      <w:r>
        <w:rPr>
          <w:rFonts w:hint="eastAsia" w:ascii="宋体" w:hAnsi="宋体" w:eastAsia="宋体" w:cs="Times New Roman"/>
          <w:color w:val="000000" w:themeColor="text1"/>
          <w:szCs w:val="21"/>
          <w:u w:val="single"/>
          <w14:textFill>
            <w14:solidFill>
              <w14:schemeClr w14:val="tx1"/>
            </w14:solidFill>
          </w14:textFill>
        </w:rPr>
        <w:t xml:space="preserve">          元</w:t>
      </w:r>
      <w:r>
        <w:rPr>
          <w:rFonts w:ascii="宋体" w:hAnsi="宋体" w:eastAsia="宋体" w:cs="Times New Roman"/>
          <w:color w:val="000000" w:themeColor="text1"/>
          <w:szCs w:val="21"/>
          <w:u w:val="single"/>
          <w14:textFill>
            <w14:solidFill>
              <w14:schemeClr w14:val="tx1"/>
            </w14:solidFill>
          </w14:textFill>
        </w:rPr>
        <w:t>整</w:t>
      </w:r>
      <w:r>
        <w:rPr>
          <w:rFonts w:hint="eastAsia" w:ascii="宋体" w:hAnsi="宋体" w:eastAsia="宋体" w:cs="Times New Roman"/>
          <w:color w:val="000000" w:themeColor="text1"/>
          <w:szCs w:val="21"/>
          <w14:textFill>
            <w14:solidFill>
              <w14:schemeClr w14:val="tx1"/>
            </w14:solidFill>
          </w14:textFill>
        </w:rPr>
        <w:t>（</w:t>
      </w:r>
      <w:r>
        <w:rPr>
          <w:rFonts w:ascii="宋体" w:hAnsi="宋体" w:eastAsia="宋体" w:cs="Times New Roman"/>
          <w:color w:val="000000" w:themeColor="text1"/>
          <w:szCs w:val="21"/>
          <w14:textFill>
            <w14:solidFill>
              <w14:schemeClr w14:val="tx1"/>
            </w14:solidFill>
          </w14:textFill>
        </w:rPr>
        <w:t>¥：</w:t>
      </w:r>
      <w:r>
        <w:rPr>
          <w:rFonts w:hint="eastAsia" w:ascii="宋体" w:hAnsi="宋体" w:eastAsia="宋体" w:cs="Times New Roman"/>
          <w:color w:val="000000" w:themeColor="text1"/>
          <w:szCs w:val="21"/>
          <w:u w:val="single"/>
          <w14:textFill>
            <w14:solidFill>
              <w14:schemeClr w14:val="tx1"/>
            </w14:solidFill>
          </w14:textFill>
        </w:rPr>
        <w:t xml:space="preserve">          元</w:t>
      </w:r>
      <w:r>
        <w:rPr>
          <w:rFonts w:hint="eastAsia" w:ascii="宋体" w:hAnsi="宋体" w:eastAsia="宋体" w:cs="Times New Roman"/>
          <w:color w:val="000000" w:themeColor="text1"/>
          <w:szCs w:val="21"/>
          <w14:textFill>
            <w14:solidFill>
              <w14:schemeClr w14:val="tx1"/>
            </w14:solidFill>
          </w14:textFill>
        </w:rPr>
        <w:t>）。</w:t>
      </w:r>
    </w:p>
    <w:p>
      <w:pPr>
        <w:wordWrap w:val="0"/>
        <w:spacing w:line="400" w:lineRule="exact"/>
        <w:rPr>
          <w:rFonts w:ascii="宋体" w:hAnsi="宋体" w:eastAsia="宋体"/>
          <w:b/>
          <w:szCs w:val="21"/>
        </w:rPr>
      </w:pPr>
      <w:r>
        <w:rPr>
          <w:rFonts w:hint="eastAsia" w:ascii="宋体" w:hAnsi="宋体" w:eastAsia="宋体"/>
          <w:b/>
          <w:szCs w:val="21"/>
        </w:rPr>
        <w:t>二</w:t>
      </w:r>
      <w:r>
        <w:rPr>
          <w:rFonts w:ascii="宋体" w:hAnsi="宋体" w:eastAsia="宋体"/>
          <w:b/>
          <w:szCs w:val="21"/>
        </w:rPr>
        <w:t>、</w:t>
      </w:r>
      <w:r>
        <w:rPr>
          <w:rFonts w:hint="eastAsia" w:ascii="宋体" w:hAnsi="宋体" w:eastAsia="宋体"/>
          <w:b/>
          <w:szCs w:val="21"/>
        </w:rPr>
        <w:t>人员要求：</w:t>
      </w:r>
      <w:r>
        <w:rPr>
          <w:rFonts w:hint="eastAsia" w:ascii="宋体" w:hAnsi="宋体" w:eastAsia="宋体" w:cs="Times New Roman"/>
          <w:szCs w:val="21"/>
          <w:u w:val="single"/>
        </w:rPr>
        <w:t xml:space="preserve">          </w:t>
      </w:r>
    </w:p>
    <w:p>
      <w:pPr>
        <w:wordWrap w:val="0"/>
        <w:spacing w:line="400" w:lineRule="exact"/>
        <w:rPr>
          <w:rFonts w:ascii="宋体" w:hAnsi="宋体" w:eastAsia="宋体"/>
          <w:b/>
          <w:szCs w:val="21"/>
        </w:rPr>
      </w:pPr>
      <w:r>
        <w:rPr>
          <w:rFonts w:hint="eastAsia" w:ascii="宋体" w:hAnsi="宋体" w:eastAsia="宋体"/>
          <w:b/>
          <w:szCs w:val="21"/>
        </w:rPr>
        <w:t>三</w:t>
      </w:r>
      <w:r>
        <w:rPr>
          <w:rFonts w:ascii="宋体" w:hAnsi="宋体" w:eastAsia="宋体"/>
          <w:b/>
          <w:szCs w:val="21"/>
        </w:rPr>
        <w:t>、</w:t>
      </w:r>
      <w:r>
        <w:rPr>
          <w:rFonts w:hint="eastAsia" w:ascii="宋体" w:hAnsi="宋体" w:eastAsia="宋体"/>
          <w:b/>
          <w:szCs w:val="21"/>
        </w:rPr>
        <w:t>常驻运维人员</w:t>
      </w:r>
    </w:p>
    <w:p>
      <w:pPr>
        <w:wordWrap w:val="0"/>
        <w:spacing w:line="400" w:lineRule="exact"/>
        <w:ind w:firstLine="420" w:firstLineChars="200"/>
        <w:rPr>
          <w:rFonts w:ascii="宋体" w:hAnsi="宋体" w:eastAsia="宋体"/>
          <w:bCs/>
          <w:szCs w:val="21"/>
        </w:rPr>
      </w:pPr>
      <w:r>
        <w:rPr>
          <w:rFonts w:hint="eastAsia" w:ascii="宋体" w:hAnsi="宋体" w:eastAsia="宋体"/>
          <w:bCs/>
          <w:szCs w:val="21"/>
        </w:rPr>
        <w:t>姓    名：</w:t>
      </w:r>
      <w:r>
        <w:rPr>
          <w:rFonts w:hint="eastAsia" w:ascii="宋体" w:hAnsi="宋体" w:eastAsia="宋体" w:cs="Times New Roman"/>
          <w:bCs/>
          <w:szCs w:val="21"/>
          <w:u w:val="single"/>
        </w:rPr>
        <w:t xml:space="preserve">          </w:t>
      </w:r>
      <w:r>
        <w:rPr>
          <w:rFonts w:hint="eastAsia" w:ascii="宋体" w:hAnsi="宋体" w:eastAsia="宋体" w:cs="Times New Roman"/>
          <w:bCs/>
          <w:szCs w:val="21"/>
        </w:rPr>
        <w:t>；</w:t>
      </w:r>
    </w:p>
    <w:p>
      <w:pPr>
        <w:wordWrap w:val="0"/>
        <w:spacing w:line="400" w:lineRule="exact"/>
        <w:ind w:firstLine="420" w:firstLineChars="200"/>
        <w:rPr>
          <w:rFonts w:ascii="宋体" w:hAnsi="宋体" w:eastAsia="宋体"/>
          <w:bCs/>
          <w:szCs w:val="21"/>
        </w:rPr>
      </w:pPr>
      <w:r>
        <w:rPr>
          <w:rFonts w:hint="eastAsia" w:ascii="宋体" w:hAnsi="宋体" w:eastAsia="宋体"/>
          <w:bCs/>
          <w:szCs w:val="21"/>
        </w:rPr>
        <w:t>身份证号：</w:t>
      </w:r>
      <w:r>
        <w:rPr>
          <w:rFonts w:hint="eastAsia" w:ascii="宋体" w:hAnsi="宋体" w:eastAsia="宋体" w:cs="Times New Roman"/>
          <w:bCs/>
          <w:szCs w:val="21"/>
          <w:u w:val="single"/>
        </w:rPr>
        <w:t xml:space="preserve">          </w:t>
      </w:r>
      <w:r>
        <w:rPr>
          <w:rFonts w:hint="eastAsia" w:ascii="宋体" w:hAnsi="宋体" w:eastAsia="宋体" w:cs="Times New Roman"/>
          <w:bCs/>
          <w:szCs w:val="21"/>
        </w:rPr>
        <w:t>；</w:t>
      </w:r>
    </w:p>
    <w:p>
      <w:pPr>
        <w:wordWrap w:val="0"/>
        <w:spacing w:line="400" w:lineRule="exact"/>
        <w:ind w:firstLine="420" w:firstLineChars="200"/>
        <w:rPr>
          <w:rFonts w:ascii="宋体" w:hAnsi="宋体" w:eastAsia="宋体"/>
          <w:bCs/>
          <w:szCs w:val="21"/>
        </w:rPr>
      </w:pPr>
      <w:r>
        <w:rPr>
          <w:rFonts w:hint="eastAsia" w:ascii="宋体" w:hAnsi="宋体" w:eastAsia="宋体"/>
          <w:bCs/>
          <w:szCs w:val="21"/>
        </w:rPr>
        <w:t>职    务：</w:t>
      </w:r>
      <w:r>
        <w:rPr>
          <w:rFonts w:hint="eastAsia" w:ascii="宋体" w:hAnsi="宋体" w:eastAsia="宋体" w:cs="Times New Roman"/>
          <w:bCs/>
          <w:szCs w:val="21"/>
          <w:u w:val="single"/>
        </w:rPr>
        <w:t xml:space="preserve">          </w:t>
      </w:r>
      <w:r>
        <w:rPr>
          <w:rFonts w:hint="eastAsia" w:ascii="宋体" w:hAnsi="宋体" w:eastAsia="宋体" w:cs="Times New Roman"/>
          <w:bCs/>
          <w:szCs w:val="21"/>
        </w:rPr>
        <w:t>；</w:t>
      </w:r>
    </w:p>
    <w:p>
      <w:pPr>
        <w:wordWrap w:val="0"/>
        <w:spacing w:line="400" w:lineRule="exact"/>
        <w:ind w:firstLine="420" w:firstLineChars="200"/>
        <w:rPr>
          <w:rFonts w:ascii="宋体" w:hAnsi="宋体" w:eastAsia="宋体"/>
          <w:bCs/>
          <w:szCs w:val="21"/>
        </w:rPr>
      </w:pPr>
      <w:r>
        <w:rPr>
          <w:rFonts w:hint="eastAsia" w:ascii="宋体" w:hAnsi="宋体" w:eastAsia="宋体"/>
          <w:bCs/>
          <w:szCs w:val="21"/>
        </w:rPr>
        <w:t>联系电话：</w:t>
      </w:r>
      <w:r>
        <w:rPr>
          <w:rFonts w:hint="eastAsia" w:ascii="宋体" w:hAnsi="宋体" w:eastAsia="宋体" w:cs="Times New Roman"/>
          <w:bCs/>
          <w:szCs w:val="21"/>
          <w:u w:val="single"/>
        </w:rPr>
        <w:t xml:space="preserve">          </w:t>
      </w:r>
      <w:r>
        <w:rPr>
          <w:rFonts w:hint="eastAsia" w:ascii="宋体" w:hAnsi="宋体" w:eastAsia="宋体" w:cs="Times New Roman"/>
          <w:bCs/>
          <w:szCs w:val="21"/>
        </w:rPr>
        <w:t>；</w:t>
      </w:r>
    </w:p>
    <w:p>
      <w:pPr>
        <w:wordWrap w:val="0"/>
        <w:spacing w:line="400" w:lineRule="exact"/>
        <w:ind w:firstLine="420" w:firstLineChars="200"/>
        <w:rPr>
          <w:rFonts w:ascii="宋体" w:hAnsi="宋体" w:eastAsia="宋体"/>
          <w:bCs/>
          <w:szCs w:val="21"/>
        </w:rPr>
      </w:pPr>
      <w:r>
        <w:rPr>
          <w:rFonts w:hint="eastAsia" w:ascii="宋体" w:hAnsi="宋体" w:eastAsia="宋体"/>
          <w:bCs/>
          <w:szCs w:val="21"/>
        </w:rPr>
        <w:t>电子信箱：</w:t>
      </w:r>
      <w:r>
        <w:rPr>
          <w:rFonts w:hint="eastAsia" w:ascii="宋体" w:hAnsi="宋体" w:eastAsia="宋体" w:cs="Times New Roman"/>
          <w:bCs/>
          <w:szCs w:val="21"/>
          <w:u w:val="single"/>
        </w:rPr>
        <w:t xml:space="preserve">          </w:t>
      </w:r>
      <w:r>
        <w:rPr>
          <w:rFonts w:hint="eastAsia" w:ascii="宋体" w:hAnsi="宋体" w:eastAsia="宋体" w:cs="Times New Roman"/>
          <w:bCs/>
          <w:szCs w:val="21"/>
        </w:rPr>
        <w:t>；</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bCs/>
          <w:szCs w:val="21"/>
        </w:rPr>
        <w:t>通信地址：</w:t>
      </w:r>
      <w:r>
        <w:rPr>
          <w:rFonts w:hint="eastAsia" w:ascii="宋体" w:hAnsi="宋体" w:eastAsia="宋体" w:cs="Times New Roman"/>
          <w:bCs/>
          <w:szCs w:val="21"/>
          <w:u w:val="single"/>
        </w:rPr>
        <w:t xml:space="preserve">          </w:t>
      </w:r>
      <w:r>
        <w:rPr>
          <w:rFonts w:hint="eastAsia" w:ascii="宋体" w:hAnsi="宋体" w:eastAsia="宋体" w:cs="Times New Roman"/>
          <w:color w:val="000000" w:themeColor="text1"/>
          <w:szCs w:val="21"/>
          <w14:textFill>
            <w14:solidFill>
              <w14:schemeClr w14:val="tx1"/>
            </w14:solidFill>
          </w14:textFill>
        </w:rPr>
        <w:t>。</w:t>
      </w:r>
    </w:p>
    <w:p>
      <w:pPr>
        <w:wordWrap w:val="0"/>
        <w:spacing w:line="400" w:lineRule="exact"/>
        <w:ind w:firstLine="420" w:firstLineChars="200"/>
        <w:rPr>
          <w:rFonts w:ascii="宋体" w:hAnsi="宋体" w:eastAsia="宋体"/>
          <w:bCs/>
          <w:szCs w:val="21"/>
        </w:rPr>
      </w:pPr>
      <w:r>
        <w:rPr>
          <w:rFonts w:hint="eastAsia" w:ascii="宋体" w:hAnsi="宋体" w:eastAsia="宋体"/>
          <w:bCs/>
          <w:szCs w:val="21"/>
        </w:rPr>
        <w:t>常驻运维期限：1年。到岗时间每周不少于2次，每次不少于半天。</w:t>
      </w:r>
    </w:p>
    <w:p>
      <w:pPr>
        <w:wordWrap w:val="0"/>
        <w:spacing w:line="400" w:lineRule="exact"/>
        <w:rPr>
          <w:rFonts w:ascii="宋体" w:hAnsi="宋体" w:eastAsia="宋体"/>
          <w:b/>
          <w:szCs w:val="21"/>
        </w:rPr>
      </w:pPr>
      <w:r>
        <w:rPr>
          <w:rFonts w:hint="eastAsia" w:ascii="宋体" w:hAnsi="宋体" w:eastAsia="宋体"/>
          <w:b/>
          <w:szCs w:val="21"/>
        </w:rPr>
        <w:t>四、</w:t>
      </w:r>
      <w:r>
        <w:rPr>
          <w:rFonts w:ascii="宋体" w:hAnsi="宋体" w:eastAsia="宋体"/>
          <w:b/>
          <w:szCs w:val="21"/>
        </w:rPr>
        <w:t>技术资料</w:t>
      </w:r>
      <w:r>
        <w:rPr>
          <w:rFonts w:hint="eastAsia" w:ascii="宋体" w:hAnsi="宋体" w:eastAsia="宋体"/>
          <w:b/>
          <w:szCs w:val="21"/>
        </w:rPr>
        <w:t>及保密</w:t>
      </w:r>
    </w:p>
    <w:p>
      <w:pPr>
        <w:wordWrap w:val="0"/>
        <w:spacing w:line="400" w:lineRule="exact"/>
        <w:ind w:firstLine="420" w:firstLineChars="200"/>
        <w:rPr>
          <w:rFonts w:ascii="宋体" w:hAnsi="宋体" w:eastAsia="宋体"/>
          <w:szCs w:val="21"/>
        </w:rPr>
      </w:pPr>
      <w:r>
        <w:rPr>
          <w:rFonts w:ascii="宋体" w:hAnsi="宋体" w:eastAsia="宋体"/>
          <w:szCs w:val="21"/>
        </w:rPr>
        <w:t>1</w:t>
      </w:r>
      <w:r>
        <w:rPr>
          <w:rFonts w:hint="eastAsia" w:ascii="宋体" w:hAnsi="宋体" w:eastAsia="宋体"/>
          <w:szCs w:val="21"/>
        </w:rPr>
        <w:t>.</w:t>
      </w:r>
      <w:r>
        <w:rPr>
          <w:rFonts w:ascii="宋体" w:hAnsi="宋体" w:eastAsia="宋体"/>
          <w:szCs w:val="21"/>
        </w:rPr>
        <w:t>乙方应按</w:t>
      </w:r>
      <w:r>
        <w:rPr>
          <w:rFonts w:hint="eastAsia" w:ascii="宋体" w:hAnsi="宋体" w:eastAsia="宋体"/>
        </w:rPr>
        <w:t>甲方实施本合同的实际需求在甲方</w:t>
      </w:r>
      <w:r>
        <w:rPr>
          <w:rFonts w:ascii="宋体" w:hAnsi="宋体" w:eastAsia="宋体"/>
        </w:rPr>
        <w:t>规定的时间</w:t>
      </w:r>
      <w:r>
        <w:rPr>
          <w:rFonts w:hint="eastAsia" w:ascii="宋体" w:hAnsi="宋体" w:eastAsia="宋体"/>
        </w:rPr>
        <w:t>内</w:t>
      </w:r>
      <w:r>
        <w:rPr>
          <w:rFonts w:ascii="宋体" w:hAnsi="宋体" w:eastAsia="宋体"/>
        </w:rPr>
        <w:t>向甲方提供有关技术资料。</w:t>
      </w:r>
    </w:p>
    <w:p>
      <w:pPr>
        <w:wordWrap w:val="0"/>
        <w:spacing w:line="400" w:lineRule="exact"/>
        <w:ind w:firstLine="420" w:firstLineChars="200"/>
        <w:rPr>
          <w:rFonts w:ascii="宋体" w:hAnsi="宋体" w:eastAsia="宋体"/>
          <w:szCs w:val="21"/>
        </w:rPr>
      </w:pPr>
      <w:r>
        <w:rPr>
          <w:rFonts w:ascii="宋体" w:hAnsi="宋体" w:eastAsia="宋体"/>
          <w:szCs w:val="21"/>
        </w:rPr>
        <w:t>2</w:t>
      </w:r>
      <w:r>
        <w:rPr>
          <w:rFonts w:hint="eastAsia" w:ascii="宋体" w:hAnsi="宋体" w:eastAsia="宋体"/>
          <w:szCs w:val="21"/>
        </w:rPr>
        <w:t>.</w:t>
      </w:r>
      <w:r>
        <w:rPr>
          <w:rFonts w:ascii="宋体" w:hAnsi="宋体" w:eastAsia="宋体"/>
          <w:szCs w:val="21"/>
        </w:rPr>
        <w:t>没有甲方事先书面同意，</w:t>
      </w:r>
      <w:r>
        <w:rPr>
          <w:rFonts w:hint="eastAsia" w:ascii="宋体" w:hAnsi="宋体" w:eastAsia="宋体"/>
          <w:szCs w:val="21"/>
        </w:rPr>
        <w:t>乙方不得将由甲方或代表甲方提供的有关合同或任何合同条文</w:t>
      </w:r>
      <w:r>
        <w:rPr>
          <w:rFonts w:ascii="宋体" w:hAnsi="宋体" w:eastAsia="宋体"/>
          <w:szCs w:val="21"/>
        </w:rPr>
        <w:t>、规格、计划、图纸、样品</w:t>
      </w:r>
      <w:r>
        <w:rPr>
          <w:rFonts w:hint="eastAsia" w:ascii="宋体" w:hAnsi="宋体" w:eastAsia="宋体"/>
          <w:szCs w:val="21"/>
        </w:rPr>
        <w:t>、资料或单位信息等提供给与履行本合同无关的任何其他人。即使向履行本合同有关的人员提供，也应注意保密并限于履行合同的必需范围。</w:t>
      </w:r>
      <w:r>
        <w:rPr>
          <w:rFonts w:hint="eastAsia" w:ascii="宋体" w:hAnsi="宋体" w:eastAsia="宋体" w:cs="Times New Roman"/>
          <w:szCs w:val="21"/>
        </w:rPr>
        <w:t>如有泄露或窃取本款应保密的有关内容的，乙方应承担相应责任。</w:t>
      </w:r>
      <w:r>
        <w:rPr>
          <w:rFonts w:hint="eastAsia" w:ascii="宋体" w:hAnsi="宋体" w:eastAsia="宋体"/>
          <w:szCs w:val="21"/>
        </w:rPr>
        <w:t>（本条款权利不因本合同终止、撤销、无效而消失）</w:t>
      </w:r>
    </w:p>
    <w:p>
      <w:pPr>
        <w:wordWrap w:val="0"/>
        <w:spacing w:line="400" w:lineRule="exact"/>
        <w:rPr>
          <w:rFonts w:ascii="宋体" w:hAnsi="宋体" w:eastAsia="宋体"/>
          <w:b/>
          <w:szCs w:val="21"/>
        </w:rPr>
      </w:pPr>
      <w:r>
        <w:rPr>
          <w:rFonts w:hint="eastAsia" w:ascii="宋体" w:hAnsi="宋体" w:eastAsia="宋体"/>
          <w:b/>
          <w:szCs w:val="21"/>
        </w:rPr>
        <w:t>五</w:t>
      </w:r>
      <w:r>
        <w:rPr>
          <w:rFonts w:ascii="宋体" w:hAnsi="宋体" w:eastAsia="宋体"/>
          <w:b/>
          <w:szCs w:val="21"/>
        </w:rPr>
        <w:t>、知识产权</w:t>
      </w:r>
    </w:p>
    <w:p>
      <w:pPr>
        <w:wordWrap w:val="0"/>
        <w:spacing w:line="400" w:lineRule="exact"/>
        <w:ind w:firstLine="420" w:firstLineChars="200"/>
        <w:rPr>
          <w:rFonts w:ascii="宋体" w:hAnsi="宋体" w:eastAsia="宋体"/>
          <w:szCs w:val="21"/>
        </w:rPr>
      </w:pPr>
      <w:r>
        <w:rPr>
          <w:rFonts w:ascii="宋体" w:hAnsi="宋体" w:eastAsia="宋体"/>
          <w:szCs w:val="21"/>
        </w:rPr>
        <w:t>乙方应保证提供的货物</w:t>
      </w:r>
      <w:r>
        <w:rPr>
          <w:rFonts w:hint="eastAsia" w:ascii="宋体" w:hAnsi="宋体" w:eastAsia="宋体"/>
          <w:szCs w:val="21"/>
        </w:rPr>
        <w:t>和配套的服务</w:t>
      </w:r>
      <w:r>
        <w:rPr>
          <w:rFonts w:ascii="宋体" w:hAnsi="宋体" w:eastAsia="宋体"/>
          <w:szCs w:val="21"/>
        </w:rPr>
        <w:t>或其任何一部分均不会侵犯任何第三方的知识产权。</w:t>
      </w:r>
      <w:r>
        <w:rPr>
          <w:rFonts w:hint="eastAsia" w:ascii="宋体" w:hAnsi="宋体" w:eastAsia="宋体"/>
          <w:szCs w:val="21"/>
        </w:rPr>
        <w:t>如若发生侵权事件，其侵权责任与甲方及采购代理机构无关，由乙方承担全部责任。侵权造成的所有相关费用，均由乙方支付，保证不伤害甲方及采购代理机构的利益，若甲方及采购代理机构因此而遭受损失的，乙方应赔偿该损失。</w:t>
      </w:r>
    </w:p>
    <w:p>
      <w:pPr>
        <w:wordWrap w:val="0"/>
        <w:spacing w:line="400" w:lineRule="exact"/>
        <w:rPr>
          <w:rFonts w:ascii="宋体" w:hAnsi="宋体" w:eastAsia="宋体"/>
          <w:b/>
          <w:szCs w:val="21"/>
        </w:rPr>
      </w:pPr>
      <w:r>
        <w:rPr>
          <w:rFonts w:hint="eastAsia" w:ascii="宋体" w:hAnsi="宋体" w:eastAsia="宋体"/>
          <w:b/>
          <w:szCs w:val="21"/>
        </w:rPr>
        <w:t>六</w:t>
      </w:r>
      <w:r>
        <w:rPr>
          <w:rFonts w:ascii="宋体" w:hAnsi="宋体" w:eastAsia="宋体"/>
          <w:b/>
          <w:szCs w:val="21"/>
        </w:rPr>
        <w:t>、产权担保</w:t>
      </w:r>
    </w:p>
    <w:p>
      <w:pPr>
        <w:wordWrap w:val="0"/>
        <w:spacing w:line="400" w:lineRule="exact"/>
        <w:ind w:firstLine="420" w:firstLineChars="200"/>
        <w:rPr>
          <w:rFonts w:ascii="宋体" w:hAnsi="宋体" w:eastAsia="宋体"/>
          <w:szCs w:val="21"/>
        </w:rPr>
      </w:pPr>
      <w:r>
        <w:rPr>
          <w:rFonts w:ascii="宋体" w:hAnsi="宋体" w:eastAsia="宋体"/>
          <w:szCs w:val="21"/>
        </w:rPr>
        <w:t>乙方保证所交付的货物的所有权完全属于乙方且无任何抵押、查封等产权瑕疵。</w:t>
      </w:r>
    </w:p>
    <w:p>
      <w:pPr>
        <w:wordWrap w:val="0"/>
        <w:spacing w:line="400" w:lineRule="exact"/>
        <w:rPr>
          <w:rFonts w:ascii="宋体" w:hAnsi="宋体" w:eastAsia="宋体"/>
          <w:b/>
          <w:szCs w:val="21"/>
        </w:rPr>
      </w:pPr>
      <w:r>
        <w:rPr>
          <w:rFonts w:hint="eastAsia" w:ascii="宋体" w:hAnsi="宋体" w:eastAsia="宋体"/>
          <w:b/>
          <w:szCs w:val="21"/>
        </w:rPr>
        <w:t>七</w:t>
      </w:r>
      <w:r>
        <w:rPr>
          <w:rFonts w:ascii="宋体" w:hAnsi="宋体" w:eastAsia="宋体"/>
          <w:b/>
          <w:color w:val="000000" w:themeColor="text1"/>
          <w:szCs w:val="21"/>
          <w14:textFill>
            <w14:solidFill>
              <w14:schemeClr w14:val="tx1"/>
            </w14:solidFill>
          </w14:textFill>
        </w:rPr>
        <w:t>、</w:t>
      </w:r>
      <w:r>
        <w:rPr>
          <w:rFonts w:hint="eastAsia" w:ascii="宋体" w:hAnsi="宋体" w:eastAsia="宋体"/>
          <w:b/>
          <w:szCs w:val="21"/>
        </w:rPr>
        <w:t>转包或分包</w:t>
      </w:r>
    </w:p>
    <w:p>
      <w:pPr>
        <w:wordWrap w:val="0"/>
        <w:spacing w:line="400" w:lineRule="exact"/>
        <w:ind w:firstLine="420" w:firstLineChars="200"/>
        <w:rPr>
          <w:rFonts w:ascii="宋体" w:hAnsi="宋体" w:eastAsia="宋体" w:cs="Times New Roman"/>
          <w:szCs w:val="21"/>
        </w:rPr>
      </w:pPr>
      <w:r>
        <w:rPr>
          <w:rFonts w:hint="eastAsia" w:ascii="宋体" w:hAnsi="宋体" w:eastAsia="宋体" w:cs="Times New Roman"/>
          <w:szCs w:val="21"/>
        </w:rPr>
        <w:t>1.本项目不允许转包，当分包金额占到合同金额的100%时视为转包。</w:t>
      </w:r>
    </w:p>
    <w:p>
      <w:pPr>
        <w:wordWrap w:val="0"/>
        <w:spacing w:line="400" w:lineRule="exact"/>
        <w:ind w:firstLine="420" w:firstLineChars="200"/>
        <w:rPr>
          <w:rFonts w:ascii="宋体" w:hAnsi="宋体" w:eastAsia="宋体" w:cs="Times New Roman"/>
          <w:szCs w:val="21"/>
        </w:rPr>
      </w:pPr>
      <w:r>
        <w:rPr>
          <w:rFonts w:hint="eastAsia" w:ascii="宋体" w:hAnsi="宋体" w:eastAsia="宋体" w:cs="Times New Roman"/>
          <w:szCs w:val="21"/>
        </w:rPr>
        <w:t>2.本项目不限制大企业向小微企业、中型企业向小微企业、小微企业向小微企业合理分包。</w:t>
      </w:r>
    </w:p>
    <w:p>
      <w:pPr>
        <w:wordWrap w:val="0"/>
        <w:spacing w:line="400" w:lineRule="exact"/>
        <w:ind w:firstLine="420" w:firstLineChars="200"/>
        <w:rPr>
          <w:rFonts w:ascii="宋体" w:hAnsi="宋体" w:eastAsia="宋体" w:cs="Times New Roman"/>
          <w:szCs w:val="21"/>
        </w:rPr>
      </w:pPr>
      <w:r>
        <w:rPr>
          <w:rFonts w:hint="eastAsia" w:ascii="宋体" w:hAnsi="宋体" w:eastAsia="宋体" w:cs="Times New Roman"/>
          <w:szCs w:val="21"/>
        </w:rPr>
        <w:t>3.乙方可以将项目的非主体、非关键性工作合理分包，分包供应商不得再次分包。</w:t>
      </w:r>
    </w:p>
    <w:p>
      <w:pPr>
        <w:wordWrap w:val="0"/>
        <w:spacing w:line="400" w:lineRule="exact"/>
        <w:ind w:firstLine="420" w:firstLineChars="200"/>
        <w:rPr>
          <w:rFonts w:ascii="宋体" w:hAnsi="宋体" w:eastAsia="宋体"/>
          <w:szCs w:val="21"/>
        </w:rPr>
      </w:pPr>
      <w:r>
        <w:rPr>
          <w:rFonts w:hint="eastAsia" w:ascii="宋体" w:hAnsi="宋体" w:eastAsia="宋体" w:cs="Times New Roman"/>
          <w:szCs w:val="21"/>
        </w:rPr>
        <w:t>4.乙方可以依法采取合理分包方式履行合同，甲方不得限制乙方的合理分包行为。政府采购合同分包履行的，乙方对采购项目和分包项目向甲方负责，分包供应商对分包项目向甲方负责。</w:t>
      </w:r>
    </w:p>
    <w:p>
      <w:pPr>
        <w:wordWrap w:val="0"/>
        <w:spacing w:line="400" w:lineRule="exact"/>
        <w:rPr>
          <w:rFonts w:ascii="宋体" w:hAnsi="宋体" w:eastAsia="宋体"/>
          <w:b/>
          <w:szCs w:val="21"/>
        </w:rPr>
      </w:pPr>
      <w:r>
        <w:rPr>
          <w:rFonts w:hint="eastAsia" w:ascii="宋体" w:hAnsi="宋体" w:eastAsia="宋体"/>
          <w:b/>
          <w:szCs w:val="21"/>
        </w:rPr>
        <w:t>八</w:t>
      </w:r>
      <w:r>
        <w:rPr>
          <w:rFonts w:ascii="宋体" w:hAnsi="宋体" w:eastAsia="宋体"/>
          <w:b/>
          <w:szCs w:val="21"/>
        </w:rPr>
        <w:t>、质保期</w:t>
      </w:r>
      <w:r>
        <w:rPr>
          <w:rFonts w:hint="eastAsia" w:ascii="宋体" w:hAnsi="宋体" w:eastAsia="宋体"/>
          <w:b/>
          <w:szCs w:val="21"/>
        </w:rPr>
        <w:t>：</w:t>
      </w:r>
      <w:r>
        <w:rPr>
          <w:rFonts w:hint="eastAsia" w:ascii="宋体" w:hAnsi="宋体" w:eastAsia="宋体" w:cs="Times New Roman"/>
          <w:szCs w:val="21"/>
          <w:u w:val="single"/>
        </w:rPr>
        <w:t xml:space="preserve">          </w:t>
      </w:r>
    </w:p>
    <w:p>
      <w:pPr>
        <w:wordWrap w:val="0"/>
        <w:spacing w:line="400" w:lineRule="exact"/>
        <w:rPr>
          <w:rFonts w:ascii="宋体" w:hAnsi="宋体" w:eastAsia="宋体"/>
          <w:b/>
          <w:szCs w:val="21"/>
        </w:rPr>
      </w:pPr>
      <w:r>
        <w:rPr>
          <w:rFonts w:hint="eastAsia" w:ascii="宋体" w:hAnsi="宋体" w:eastAsia="宋体"/>
          <w:b/>
          <w:szCs w:val="21"/>
        </w:rPr>
        <w:t>九</w:t>
      </w:r>
      <w:r>
        <w:rPr>
          <w:rFonts w:ascii="宋体" w:hAnsi="宋体" w:eastAsia="宋体"/>
          <w:b/>
          <w:szCs w:val="21"/>
        </w:rPr>
        <w:t>、交货期、交货方式及交货地点</w:t>
      </w:r>
    </w:p>
    <w:p>
      <w:pPr>
        <w:wordWrap w:val="0"/>
        <w:spacing w:line="400" w:lineRule="exact"/>
        <w:ind w:firstLine="420" w:firstLineChars="200"/>
        <w:rPr>
          <w:rFonts w:ascii="宋体" w:hAnsi="宋体" w:eastAsia="宋体"/>
          <w:szCs w:val="21"/>
        </w:rPr>
      </w:pPr>
      <w:r>
        <w:rPr>
          <w:rFonts w:hint="eastAsia" w:ascii="宋体" w:hAnsi="宋体" w:eastAsia="宋体"/>
          <w:szCs w:val="21"/>
        </w:rPr>
        <w:t>1.交</w:t>
      </w:r>
      <w:r>
        <w:rPr>
          <w:rFonts w:ascii="宋体" w:hAnsi="宋体" w:eastAsia="宋体"/>
          <w:szCs w:val="21"/>
        </w:rPr>
        <w:t>货期</w:t>
      </w:r>
      <w:r>
        <w:rPr>
          <w:rFonts w:hint="eastAsia" w:ascii="宋体" w:hAnsi="宋体" w:eastAsia="宋体"/>
          <w:szCs w:val="21"/>
        </w:rPr>
        <w:t>（合同履行期限）</w:t>
      </w:r>
      <w:r>
        <w:rPr>
          <w:rFonts w:ascii="宋体" w:hAnsi="宋体" w:eastAsia="宋体"/>
          <w:szCs w:val="21"/>
        </w:rPr>
        <w:t>：</w:t>
      </w:r>
      <w:r>
        <w:rPr>
          <w:rFonts w:hint="eastAsia" w:ascii="宋体" w:hAnsi="宋体" w:eastAsia="宋体" w:cs="Times New Roman"/>
          <w:szCs w:val="21"/>
          <w:u w:val="single"/>
        </w:rPr>
        <w:t xml:space="preserve">          </w:t>
      </w:r>
    </w:p>
    <w:p>
      <w:pPr>
        <w:wordWrap w:val="0"/>
        <w:spacing w:line="400" w:lineRule="exact"/>
        <w:ind w:firstLine="420" w:firstLineChars="200"/>
        <w:rPr>
          <w:rFonts w:ascii="宋体" w:hAnsi="宋体" w:eastAsia="宋体"/>
          <w:szCs w:val="21"/>
        </w:rPr>
      </w:pPr>
      <w:r>
        <w:rPr>
          <w:rFonts w:hint="eastAsia" w:ascii="宋体" w:hAnsi="宋体" w:eastAsia="宋体"/>
          <w:szCs w:val="21"/>
        </w:rPr>
        <w:t>2.</w:t>
      </w:r>
      <w:r>
        <w:rPr>
          <w:rFonts w:ascii="宋体" w:hAnsi="宋体" w:eastAsia="宋体"/>
          <w:szCs w:val="21"/>
        </w:rPr>
        <w:t>交货方式：</w:t>
      </w:r>
      <w:r>
        <w:rPr>
          <w:rFonts w:hint="eastAsia" w:ascii="宋体" w:hAnsi="宋体" w:eastAsia="宋体" w:cs="Times New Roman"/>
          <w:szCs w:val="21"/>
          <w:u w:val="single"/>
        </w:rPr>
        <w:t>陆运。</w:t>
      </w:r>
    </w:p>
    <w:p>
      <w:pPr>
        <w:wordWrap w:val="0"/>
        <w:spacing w:line="400" w:lineRule="exact"/>
        <w:ind w:firstLine="420" w:firstLineChars="200"/>
        <w:rPr>
          <w:rFonts w:ascii="宋体" w:hAnsi="宋体" w:eastAsia="宋体"/>
          <w:szCs w:val="21"/>
        </w:rPr>
      </w:pPr>
      <w:r>
        <w:rPr>
          <w:rFonts w:hint="eastAsia" w:ascii="宋体" w:hAnsi="宋体" w:eastAsia="宋体"/>
          <w:szCs w:val="21"/>
        </w:rPr>
        <w:t>3.</w:t>
      </w:r>
      <w:r>
        <w:rPr>
          <w:rFonts w:ascii="宋体" w:hAnsi="宋体" w:eastAsia="宋体"/>
          <w:szCs w:val="21"/>
        </w:rPr>
        <w:t>交货地点：</w:t>
      </w:r>
      <w:r>
        <w:rPr>
          <w:rFonts w:hint="eastAsia" w:ascii="宋体" w:hAnsi="宋体" w:eastAsia="宋体" w:cs="宋体"/>
          <w:color w:val="000000"/>
          <w:kern w:val="0"/>
          <w:u w:val="single"/>
        </w:rPr>
        <w:t>甲方指定地点。</w:t>
      </w:r>
    </w:p>
    <w:p>
      <w:pPr>
        <w:wordWrap w:val="0"/>
        <w:spacing w:line="400" w:lineRule="exact"/>
        <w:rPr>
          <w:rFonts w:ascii="宋体" w:hAnsi="宋体" w:eastAsia="宋体"/>
          <w:b/>
          <w:szCs w:val="21"/>
        </w:rPr>
      </w:pPr>
      <w:r>
        <w:rPr>
          <w:rFonts w:hint="eastAsia" w:ascii="宋体" w:hAnsi="宋体" w:eastAsia="宋体"/>
          <w:b/>
          <w:szCs w:val="21"/>
        </w:rPr>
        <w:t>十</w:t>
      </w:r>
      <w:r>
        <w:rPr>
          <w:rFonts w:ascii="宋体" w:hAnsi="宋体" w:eastAsia="宋体"/>
          <w:b/>
          <w:szCs w:val="21"/>
        </w:rPr>
        <w:t>、货款支付</w:t>
      </w:r>
    </w:p>
    <w:p>
      <w:pPr>
        <w:wordWrap w:val="0"/>
        <w:spacing w:line="400" w:lineRule="exact"/>
        <w:ind w:firstLine="420" w:firstLineChars="200"/>
        <w:rPr>
          <w:rFonts w:ascii="宋体" w:hAnsi="宋体" w:eastAsia="宋体"/>
          <w:szCs w:val="21"/>
        </w:rPr>
      </w:pPr>
      <w:r>
        <w:rPr>
          <w:rFonts w:hint="eastAsia" w:ascii="宋体" w:hAnsi="宋体" w:eastAsia="宋体"/>
          <w:szCs w:val="21"/>
        </w:rPr>
        <w:t>1.付款方式：</w:t>
      </w:r>
      <w:r>
        <w:rPr>
          <w:rFonts w:hint="eastAsia" w:ascii="宋体" w:hAnsi="宋体" w:eastAsia="宋体" w:cs="Times New Roman"/>
          <w:szCs w:val="21"/>
          <w:u w:val="single"/>
        </w:rPr>
        <w:t xml:space="preserve">          </w:t>
      </w:r>
    </w:p>
    <w:p>
      <w:pPr>
        <w:wordWrap w:val="0"/>
        <w:spacing w:line="400" w:lineRule="exact"/>
        <w:ind w:firstLine="420" w:firstLineChars="200"/>
        <w:rPr>
          <w:rFonts w:ascii="宋体" w:hAnsi="宋体" w:eastAsia="宋体"/>
          <w:szCs w:val="21"/>
        </w:rPr>
      </w:pPr>
      <w:r>
        <w:rPr>
          <w:rFonts w:hint="eastAsia" w:ascii="宋体" w:hAnsi="宋体" w:eastAsia="宋体"/>
          <w:szCs w:val="21"/>
        </w:rPr>
        <w:t>2.结算方式：</w:t>
      </w:r>
      <w:r>
        <w:rPr>
          <w:rFonts w:hint="eastAsia" w:ascii="宋体" w:hAnsi="宋体" w:eastAsia="宋体" w:cs="Times New Roman"/>
          <w:szCs w:val="21"/>
          <w:u w:val="single"/>
        </w:rPr>
        <w:t xml:space="preserve">          </w:t>
      </w:r>
    </w:p>
    <w:p>
      <w:pPr>
        <w:wordWrap w:val="0"/>
        <w:spacing w:line="400" w:lineRule="exact"/>
        <w:rPr>
          <w:rFonts w:ascii="宋体" w:hAnsi="宋体" w:eastAsia="宋体"/>
          <w:b/>
          <w:szCs w:val="21"/>
        </w:rPr>
      </w:pPr>
      <w:r>
        <w:rPr>
          <w:rFonts w:hint="eastAsia" w:ascii="宋体" w:hAnsi="宋体" w:eastAsia="宋体"/>
          <w:b/>
          <w:szCs w:val="21"/>
        </w:rPr>
        <w:t>十一、预付款保函要求：</w:t>
      </w:r>
      <w:r>
        <w:rPr>
          <w:rFonts w:hint="eastAsia" w:ascii="宋体" w:hAnsi="宋体" w:eastAsia="宋体" w:cs="Times New Roman"/>
          <w:szCs w:val="21"/>
          <w:u w:val="single"/>
        </w:rPr>
        <w:t xml:space="preserve">          </w:t>
      </w:r>
    </w:p>
    <w:p>
      <w:pPr>
        <w:wordWrap w:val="0"/>
        <w:spacing w:line="400" w:lineRule="exact"/>
        <w:rPr>
          <w:rFonts w:ascii="宋体" w:hAnsi="宋体" w:eastAsia="宋体"/>
          <w:b/>
          <w:szCs w:val="21"/>
        </w:rPr>
      </w:pPr>
      <w:r>
        <w:rPr>
          <w:rFonts w:hint="eastAsia" w:ascii="宋体" w:hAnsi="宋体" w:eastAsia="宋体"/>
          <w:b/>
          <w:szCs w:val="21"/>
        </w:rPr>
        <w:t>十二、税费</w:t>
      </w:r>
    </w:p>
    <w:p>
      <w:pPr>
        <w:wordWrap w:val="0"/>
        <w:spacing w:line="400" w:lineRule="exact"/>
        <w:ind w:firstLine="420" w:firstLineChars="200"/>
        <w:rPr>
          <w:rFonts w:ascii="宋体" w:hAnsi="宋体" w:eastAsia="宋体"/>
          <w:szCs w:val="21"/>
        </w:rPr>
      </w:pPr>
      <w:r>
        <w:rPr>
          <w:rFonts w:hint="eastAsia" w:ascii="宋体" w:hAnsi="宋体" w:eastAsia="宋体"/>
          <w:szCs w:val="21"/>
        </w:rPr>
        <w:t>本合同执行中相关的一切税费均由乙方负担。</w:t>
      </w:r>
    </w:p>
    <w:p>
      <w:pPr>
        <w:wordWrap w:val="0"/>
        <w:spacing w:line="400" w:lineRule="exact"/>
        <w:rPr>
          <w:rFonts w:ascii="宋体" w:hAnsi="宋体" w:eastAsia="宋体"/>
          <w:b/>
          <w:szCs w:val="21"/>
        </w:rPr>
      </w:pPr>
      <w:r>
        <w:rPr>
          <w:rFonts w:ascii="宋体" w:hAnsi="宋体" w:eastAsia="宋体"/>
          <w:b/>
          <w:szCs w:val="21"/>
        </w:rPr>
        <w:t>十</w:t>
      </w:r>
      <w:r>
        <w:rPr>
          <w:rFonts w:hint="eastAsia" w:ascii="宋体" w:hAnsi="宋体" w:eastAsia="宋体"/>
          <w:b/>
          <w:szCs w:val="21"/>
        </w:rPr>
        <w:t>三</w:t>
      </w:r>
      <w:r>
        <w:rPr>
          <w:rFonts w:ascii="宋体" w:hAnsi="宋体" w:eastAsia="宋体"/>
          <w:b/>
          <w:szCs w:val="21"/>
        </w:rPr>
        <w:t>、质量保证及售后服务</w:t>
      </w:r>
    </w:p>
    <w:p>
      <w:pPr>
        <w:wordWrap w:val="0"/>
        <w:spacing w:line="400" w:lineRule="exact"/>
        <w:ind w:firstLine="420" w:firstLineChars="200"/>
        <w:rPr>
          <w:rFonts w:ascii="宋体" w:hAnsi="宋体" w:eastAsia="宋体"/>
          <w:szCs w:val="21"/>
        </w:rPr>
      </w:pPr>
      <w:r>
        <w:rPr>
          <w:rFonts w:ascii="宋体" w:hAnsi="宋体" w:eastAsia="宋体"/>
          <w:szCs w:val="21"/>
        </w:rPr>
        <w:t>1</w:t>
      </w:r>
      <w:r>
        <w:rPr>
          <w:rFonts w:hint="eastAsia" w:ascii="宋体" w:hAnsi="宋体" w:eastAsia="宋体"/>
          <w:szCs w:val="21"/>
        </w:rPr>
        <w:t>.</w:t>
      </w:r>
      <w:r>
        <w:rPr>
          <w:rFonts w:ascii="宋体" w:hAnsi="宋体" w:eastAsia="宋体"/>
          <w:szCs w:val="21"/>
        </w:rPr>
        <w:t>乙方应按</w:t>
      </w:r>
      <w:r>
        <w:rPr>
          <w:rFonts w:hint="eastAsia" w:ascii="宋体" w:hAnsi="宋体" w:eastAsia="宋体"/>
          <w:szCs w:val="21"/>
        </w:rPr>
        <w:t>响应文件响应</w:t>
      </w:r>
      <w:r>
        <w:rPr>
          <w:rFonts w:ascii="宋体" w:hAnsi="宋体" w:eastAsia="宋体"/>
          <w:szCs w:val="21"/>
        </w:rPr>
        <w:t>的货物性能、技术要求、质量标准向甲方提供未经使用的全新产品。</w:t>
      </w:r>
    </w:p>
    <w:p>
      <w:pPr>
        <w:wordWrap w:val="0"/>
        <w:spacing w:line="400" w:lineRule="exact"/>
        <w:ind w:firstLine="420" w:firstLineChars="200"/>
        <w:rPr>
          <w:rFonts w:ascii="宋体" w:hAnsi="宋体" w:eastAsia="宋体"/>
          <w:szCs w:val="21"/>
        </w:rPr>
      </w:pPr>
      <w:r>
        <w:rPr>
          <w:rFonts w:ascii="宋体" w:hAnsi="宋体" w:eastAsia="宋体"/>
          <w:szCs w:val="21"/>
        </w:rPr>
        <w:t>2</w:t>
      </w:r>
      <w:r>
        <w:rPr>
          <w:rFonts w:hint="eastAsia" w:ascii="宋体" w:hAnsi="宋体" w:eastAsia="宋体"/>
          <w:szCs w:val="21"/>
        </w:rPr>
        <w:t>.</w:t>
      </w:r>
      <w:r>
        <w:rPr>
          <w:rFonts w:ascii="宋体" w:hAnsi="宋体" w:eastAsia="宋体"/>
          <w:szCs w:val="21"/>
        </w:rPr>
        <w:t>乙方提供的货物在质</w:t>
      </w:r>
      <w:r>
        <w:rPr>
          <w:rFonts w:hint="eastAsia" w:ascii="宋体" w:hAnsi="宋体" w:eastAsia="宋体"/>
          <w:szCs w:val="21"/>
        </w:rPr>
        <w:t>保</w:t>
      </w:r>
      <w:r>
        <w:rPr>
          <w:rFonts w:ascii="宋体" w:hAnsi="宋体" w:eastAsia="宋体"/>
          <w:szCs w:val="21"/>
        </w:rPr>
        <w:t>期内因货物本身的质量问题发生故障</w:t>
      </w:r>
      <w:r>
        <w:rPr>
          <w:rFonts w:hint="eastAsia" w:ascii="宋体" w:hAnsi="宋体" w:eastAsia="宋体"/>
          <w:szCs w:val="21"/>
        </w:rPr>
        <w:t>或损坏</w:t>
      </w:r>
      <w:r>
        <w:rPr>
          <w:rFonts w:ascii="宋体" w:hAnsi="宋体" w:eastAsia="宋体"/>
          <w:szCs w:val="21"/>
        </w:rPr>
        <w:t>，乙方应负责免费更换。对达不到技术要求者，根据实际情况，经双方协商，可按以下办法处理：</w:t>
      </w:r>
    </w:p>
    <w:p>
      <w:pPr>
        <w:wordWrap w:val="0"/>
        <w:spacing w:line="400" w:lineRule="exact"/>
        <w:ind w:firstLine="420" w:firstLineChars="200"/>
        <w:rPr>
          <w:rFonts w:ascii="宋体" w:hAnsi="宋体" w:eastAsia="宋体"/>
          <w:szCs w:val="21"/>
        </w:rPr>
      </w:pPr>
      <w:r>
        <w:rPr>
          <w:rFonts w:hint="eastAsia" w:ascii="宋体" w:hAnsi="宋体" w:eastAsia="宋体" w:cs="宋体"/>
          <w:szCs w:val="21"/>
        </w:rPr>
        <w:t>（1）</w:t>
      </w:r>
      <w:r>
        <w:rPr>
          <w:rFonts w:ascii="宋体" w:hAnsi="宋体" w:eastAsia="宋体"/>
          <w:szCs w:val="21"/>
        </w:rPr>
        <w:t>更换：由乙方承担所发生的全部费用。</w:t>
      </w:r>
    </w:p>
    <w:p>
      <w:pPr>
        <w:wordWrap w:val="0"/>
        <w:spacing w:line="400" w:lineRule="exact"/>
        <w:ind w:firstLine="420" w:firstLineChars="200"/>
        <w:rPr>
          <w:rFonts w:ascii="宋体" w:hAnsi="宋体" w:eastAsia="宋体"/>
          <w:szCs w:val="21"/>
        </w:rPr>
      </w:pPr>
      <w:r>
        <w:rPr>
          <w:rFonts w:hint="eastAsia" w:ascii="宋体" w:hAnsi="宋体" w:eastAsia="宋体" w:cs="宋体"/>
          <w:szCs w:val="21"/>
        </w:rPr>
        <w:t>（2）</w:t>
      </w:r>
      <w:r>
        <w:rPr>
          <w:rFonts w:ascii="宋体" w:hAnsi="宋体" w:eastAsia="宋体"/>
          <w:szCs w:val="21"/>
        </w:rPr>
        <w:t>贬值处理：由甲乙双方合议定价。</w:t>
      </w:r>
    </w:p>
    <w:p>
      <w:pPr>
        <w:wordWrap w:val="0"/>
        <w:spacing w:line="400" w:lineRule="exact"/>
        <w:ind w:firstLine="420" w:firstLineChars="200"/>
        <w:rPr>
          <w:rFonts w:ascii="宋体" w:hAnsi="宋体" w:eastAsia="宋体"/>
          <w:szCs w:val="21"/>
        </w:rPr>
      </w:pPr>
      <w:r>
        <w:rPr>
          <w:rFonts w:hint="eastAsia" w:ascii="宋体" w:hAnsi="宋体" w:eastAsia="宋体" w:cs="宋体"/>
          <w:szCs w:val="21"/>
        </w:rPr>
        <w:t>（3）</w:t>
      </w:r>
      <w:r>
        <w:rPr>
          <w:rFonts w:ascii="宋体" w:hAnsi="宋体" w:eastAsia="宋体"/>
          <w:szCs w:val="21"/>
        </w:rPr>
        <w:t>退货处理：乙方应退还甲方支付的合同款，同时应承担该货物的直接费用（运输、保险、检验、货款利息及银行手续费等）。</w:t>
      </w:r>
    </w:p>
    <w:p>
      <w:pPr>
        <w:wordWrap w:val="0"/>
        <w:spacing w:line="400" w:lineRule="exact"/>
        <w:ind w:firstLine="420" w:firstLineChars="200"/>
        <w:rPr>
          <w:rFonts w:ascii="宋体" w:hAnsi="宋体" w:eastAsia="宋体"/>
          <w:szCs w:val="21"/>
        </w:rPr>
      </w:pPr>
      <w:r>
        <w:rPr>
          <w:rFonts w:ascii="宋体" w:hAnsi="宋体" w:eastAsia="宋体"/>
          <w:szCs w:val="21"/>
        </w:rPr>
        <w:t>3</w:t>
      </w:r>
      <w:r>
        <w:rPr>
          <w:rFonts w:hint="eastAsia" w:ascii="宋体" w:hAnsi="宋体" w:eastAsia="宋体"/>
          <w:szCs w:val="21"/>
        </w:rPr>
        <w:t>.</w:t>
      </w:r>
      <w:r>
        <w:rPr>
          <w:rFonts w:ascii="宋体" w:hAnsi="宋体" w:eastAsia="宋体"/>
          <w:szCs w:val="21"/>
        </w:rPr>
        <w:t>如在使用过程中发生质量问题</w:t>
      </w:r>
      <w:r>
        <w:rPr>
          <w:rFonts w:hint="eastAsia" w:ascii="宋体" w:hAnsi="宋体" w:eastAsia="宋体"/>
          <w:szCs w:val="21"/>
        </w:rPr>
        <w:t>，乙方在接到甲方报修通知后</w:t>
      </w:r>
      <w:r>
        <w:rPr>
          <w:rFonts w:ascii="宋体" w:hAnsi="宋体" w:eastAsia="宋体"/>
          <w:szCs w:val="21"/>
          <w:u w:val="single"/>
        </w:rPr>
        <w:t xml:space="preserve">     </w:t>
      </w:r>
      <w:r>
        <w:rPr>
          <w:rFonts w:hint="eastAsia" w:ascii="宋体" w:hAnsi="宋体" w:eastAsia="宋体"/>
          <w:szCs w:val="21"/>
        </w:rPr>
        <w:t>小时内维修完成，上述时间内确有特殊原因不能按时维修完成的，需向甲方说明情况，经甲方同意后可适当延长维修时间，必要时无偿提供备品备件供甲方使用，质保期内免费维修复原、更换材料。</w:t>
      </w:r>
    </w:p>
    <w:p>
      <w:pPr>
        <w:wordWrap w:val="0"/>
        <w:spacing w:line="400" w:lineRule="exact"/>
        <w:ind w:firstLine="420" w:firstLineChars="200"/>
        <w:rPr>
          <w:rFonts w:ascii="宋体" w:hAnsi="宋体" w:eastAsia="宋体"/>
          <w:szCs w:val="21"/>
        </w:rPr>
      </w:pPr>
      <w:r>
        <w:rPr>
          <w:rFonts w:ascii="宋体" w:hAnsi="宋体" w:eastAsia="宋体"/>
          <w:szCs w:val="21"/>
        </w:rPr>
        <w:t>4</w:t>
      </w:r>
      <w:r>
        <w:rPr>
          <w:rFonts w:hint="eastAsia" w:ascii="宋体" w:hAnsi="宋体" w:eastAsia="宋体"/>
          <w:szCs w:val="21"/>
        </w:rPr>
        <w:t>.</w:t>
      </w:r>
      <w:r>
        <w:rPr>
          <w:rFonts w:ascii="宋体" w:hAnsi="宋体" w:eastAsia="宋体"/>
          <w:szCs w:val="21"/>
        </w:rPr>
        <w:t>在质保期内，乙方应对货物出现的质量及安全问题负责处理解决并承担一切费用。</w:t>
      </w:r>
    </w:p>
    <w:p>
      <w:pPr>
        <w:wordWrap w:val="0"/>
        <w:spacing w:line="400" w:lineRule="exact"/>
        <w:ind w:firstLine="420" w:firstLineChars="200"/>
        <w:rPr>
          <w:rFonts w:ascii="宋体" w:hAnsi="宋体" w:eastAsia="宋体"/>
          <w:szCs w:val="21"/>
        </w:rPr>
      </w:pPr>
      <w:r>
        <w:rPr>
          <w:rFonts w:ascii="宋体" w:hAnsi="宋体" w:eastAsia="宋体"/>
          <w:szCs w:val="21"/>
        </w:rPr>
        <w:t>5</w:t>
      </w:r>
      <w:r>
        <w:rPr>
          <w:rFonts w:hint="eastAsia" w:ascii="宋体" w:hAnsi="宋体" w:eastAsia="宋体"/>
          <w:szCs w:val="21"/>
        </w:rPr>
        <w:t>.因人为因素出现的问题不在质保范围内。</w:t>
      </w:r>
    </w:p>
    <w:p>
      <w:pPr>
        <w:wordWrap w:val="0"/>
        <w:spacing w:line="400" w:lineRule="exact"/>
        <w:ind w:firstLine="420" w:firstLineChars="200"/>
        <w:rPr>
          <w:rFonts w:ascii="宋体" w:hAnsi="宋体" w:eastAsia="宋体"/>
          <w:szCs w:val="21"/>
        </w:rPr>
      </w:pPr>
      <w:r>
        <w:rPr>
          <w:rFonts w:hint="eastAsia" w:ascii="宋体" w:hAnsi="宋体" w:eastAsia="宋体"/>
          <w:szCs w:val="21"/>
        </w:rPr>
        <w:t>6.其他售后服务要求：</w:t>
      </w:r>
      <w:r>
        <w:rPr>
          <w:rFonts w:hint="eastAsia" w:ascii="宋体" w:hAnsi="宋体" w:eastAsia="宋体" w:cs="Times New Roman"/>
          <w:szCs w:val="21"/>
          <w:u w:val="single"/>
        </w:rPr>
        <w:t xml:space="preserve">          </w:t>
      </w:r>
    </w:p>
    <w:p>
      <w:pPr>
        <w:wordWrap w:val="0"/>
        <w:spacing w:line="400" w:lineRule="exact"/>
        <w:rPr>
          <w:rFonts w:ascii="宋体" w:hAnsi="宋体" w:eastAsia="宋体"/>
          <w:b/>
          <w:szCs w:val="21"/>
        </w:rPr>
      </w:pPr>
      <w:r>
        <w:rPr>
          <w:rFonts w:ascii="宋体" w:hAnsi="宋体" w:eastAsia="宋体"/>
          <w:b/>
          <w:szCs w:val="21"/>
        </w:rPr>
        <w:t>十</w:t>
      </w:r>
      <w:r>
        <w:rPr>
          <w:rFonts w:hint="eastAsia" w:ascii="宋体" w:hAnsi="宋体" w:eastAsia="宋体"/>
          <w:b/>
          <w:szCs w:val="21"/>
        </w:rPr>
        <w:t>四</w:t>
      </w:r>
      <w:r>
        <w:rPr>
          <w:rFonts w:ascii="宋体" w:hAnsi="宋体" w:eastAsia="宋体"/>
          <w:b/>
          <w:szCs w:val="21"/>
        </w:rPr>
        <w:t>、调试和验收</w:t>
      </w:r>
    </w:p>
    <w:p>
      <w:pPr>
        <w:wordWrap w:val="0"/>
        <w:spacing w:line="400" w:lineRule="exact"/>
        <w:ind w:firstLine="420" w:firstLineChars="200"/>
        <w:rPr>
          <w:rFonts w:ascii="宋体" w:hAnsi="宋体" w:eastAsia="宋体"/>
          <w:szCs w:val="21"/>
        </w:rPr>
      </w:pPr>
      <w:r>
        <w:rPr>
          <w:rFonts w:ascii="宋体" w:hAnsi="宋体" w:eastAsia="宋体"/>
          <w:szCs w:val="21"/>
        </w:rPr>
        <w:t>1</w:t>
      </w:r>
      <w:r>
        <w:rPr>
          <w:rFonts w:hint="eastAsia" w:ascii="宋体" w:hAnsi="宋体" w:eastAsia="宋体"/>
          <w:szCs w:val="21"/>
        </w:rPr>
        <w:t>.</w:t>
      </w:r>
      <w:r>
        <w:rPr>
          <w:rFonts w:ascii="宋体" w:hAnsi="宋体" w:eastAsia="宋体"/>
          <w:szCs w:val="21"/>
        </w:rPr>
        <w:t>甲方对乙方提交的货物依据</w:t>
      </w:r>
      <w:r>
        <w:rPr>
          <w:rFonts w:hint="eastAsia" w:ascii="宋体" w:hAnsi="宋体" w:eastAsia="宋体"/>
          <w:szCs w:val="21"/>
        </w:rPr>
        <w:t>采购文件</w:t>
      </w:r>
      <w:r>
        <w:rPr>
          <w:rFonts w:ascii="宋体" w:hAnsi="宋体" w:eastAsia="宋体"/>
          <w:szCs w:val="21"/>
        </w:rPr>
        <w:t>上的技术规格要求和国家有关质量标准进行现场初步验收，外观、说明书符合</w:t>
      </w:r>
      <w:r>
        <w:rPr>
          <w:rFonts w:hint="eastAsia" w:ascii="宋体" w:hAnsi="宋体" w:eastAsia="宋体"/>
          <w:szCs w:val="21"/>
        </w:rPr>
        <w:t>采购文件</w:t>
      </w:r>
      <w:r>
        <w:rPr>
          <w:rFonts w:ascii="宋体" w:hAnsi="宋体" w:eastAsia="宋体"/>
          <w:szCs w:val="21"/>
        </w:rPr>
        <w:t>技术要求的，给予签收，初步验收不合格的不予签收。</w:t>
      </w:r>
      <w:r>
        <w:rPr>
          <w:rFonts w:hint="eastAsia" w:ascii="宋体" w:hAnsi="宋体" w:eastAsia="宋体"/>
          <w:szCs w:val="21"/>
        </w:rPr>
        <w:t>安装调试完成，甲方需按规定组织最终验收。本项目货物最终验收按照《余姚市政府采购履约验收管理办法》的规定组织验收。</w:t>
      </w:r>
    </w:p>
    <w:p>
      <w:pPr>
        <w:wordWrap w:val="0"/>
        <w:spacing w:line="400" w:lineRule="exact"/>
        <w:ind w:firstLine="420" w:firstLineChars="200"/>
        <w:rPr>
          <w:rFonts w:ascii="宋体" w:hAnsi="宋体" w:eastAsia="宋体"/>
          <w:szCs w:val="21"/>
        </w:rPr>
      </w:pPr>
      <w:r>
        <w:rPr>
          <w:rFonts w:ascii="宋体" w:hAnsi="宋体" w:eastAsia="宋体"/>
          <w:szCs w:val="21"/>
        </w:rPr>
        <w:t>2</w:t>
      </w:r>
      <w:r>
        <w:rPr>
          <w:rFonts w:hint="eastAsia" w:ascii="宋体" w:hAnsi="宋体" w:eastAsia="宋体"/>
          <w:szCs w:val="21"/>
        </w:rPr>
        <w:t>.</w:t>
      </w:r>
      <w:r>
        <w:rPr>
          <w:rFonts w:ascii="宋体" w:hAnsi="宋体" w:eastAsia="宋体"/>
          <w:szCs w:val="21"/>
        </w:rPr>
        <w:t>乙方交货前应对产品作出全面检查和对验收文件进行整理，并列出清单，作为甲方收货验收和使用的技术条件依据，检验的结果应随货物交甲方。</w:t>
      </w:r>
    </w:p>
    <w:p>
      <w:pPr>
        <w:wordWrap w:val="0"/>
        <w:spacing w:line="400" w:lineRule="exact"/>
        <w:ind w:firstLine="420" w:firstLineChars="200"/>
        <w:rPr>
          <w:rFonts w:ascii="宋体" w:hAnsi="宋体" w:eastAsia="宋体"/>
          <w:szCs w:val="21"/>
        </w:rPr>
      </w:pPr>
      <w:r>
        <w:rPr>
          <w:rFonts w:ascii="宋体" w:hAnsi="宋体" w:eastAsia="宋体"/>
          <w:szCs w:val="21"/>
        </w:rPr>
        <w:t>3</w:t>
      </w:r>
      <w:r>
        <w:rPr>
          <w:rFonts w:hint="eastAsia" w:ascii="宋体" w:hAnsi="宋体" w:eastAsia="宋体"/>
          <w:szCs w:val="21"/>
        </w:rPr>
        <w:t>.</w:t>
      </w:r>
      <w:r>
        <w:rPr>
          <w:rFonts w:ascii="宋体" w:hAnsi="宋体" w:eastAsia="宋体"/>
          <w:szCs w:val="21"/>
        </w:rPr>
        <w:t>甲方对乙方提供的货物在使用前进行调试时，乙方需负责安装并培训甲方的使用操作人员，并协助甲方一起调试，直到符合技术要求，甲方才做最终验收。</w:t>
      </w:r>
    </w:p>
    <w:p>
      <w:pPr>
        <w:wordWrap w:val="0"/>
        <w:spacing w:line="400" w:lineRule="exact"/>
        <w:ind w:firstLine="420" w:firstLineChars="200"/>
        <w:rPr>
          <w:rFonts w:ascii="宋体" w:hAnsi="宋体" w:eastAsia="宋体"/>
          <w:szCs w:val="21"/>
        </w:rPr>
      </w:pPr>
      <w:r>
        <w:rPr>
          <w:rFonts w:ascii="宋体" w:hAnsi="宋体" w:eastAsia="宋体"/>
          <w:szCs w:val="21"/>
        </w:rPr>
        <w:t>4</w:t>
      </w:r>
      <w:r>
        <w:rPr>
          <w:rFonts w:hint="eastAsia" w:ascii="宋体" w:hAnsi="宋体" w:eastAsia="宋体"/>
          <w:szCs w:val="21"/>
        </w:rPr>
        <w:t>.</w:t>
      </w:r>
      <w:r>
        <w:rPr>
          <w:rFonts w:ascii="宋体" w:hAnsi="宋体" w:eastAsia="宋体"/>
          <w:szCs w:val="21"/>
        </w:rPr>
        <w:t>对技术复杂的货物，甲方</w:t>
      </w:r>
      <w:r>
        <w:rPr>
          <w:rFonts w:hint="eastAsia" w:ascii="宋体" w:hAnsi="宋体" w:eastAsia="宋体"/>
          <w:szCs w:val="21"/>
        </w:rPr>
        <w:t>可</w:t>
      </w:r>
      <w:r>
        <w:rPr>
          <w:rFonts w:ascii="宋体" w:hAnsi="宋体" w:eastAsia="宋体"/>
          <w:szCs w:val="21"/>
        </w:rPr>
        <w:t>请国家认可的专业检测机构参与初步验收及最终验收，并由其出具质量检测报告。</w:t>
      </w:r>
    </w:p>
    <w:p>
      <w:pPr>
        <w:wordWrap w:val="0"/>
        <w:spacing w:line="400" w:lineRule="exact"/>
        <w:ind w:firstLine="420" w:firstLineChars="200"/>
        <w:rPr>
          <w:rFonts w:ascii="宋体" w:hAnsi="宋体" w:eastAsia="宋体"/>
          <w:szCs w:val="21"/>
        </w:rPr>
      </w:pPr>
      <w:r>
        <w:rPr>
          <w:rFonts w:ascii="宋体" w:hAnsi="宋体" w:eastAsia="宋体"/>
          <w:szCs w:val="21"/>
        </w:rPr>
        <w:t>5</w:t>
      </w:r>
      <w:r>
        <w:rPr>
          <w:rFonts w:hint="eastAsia" w:ascii="宋体" w:hAnsi="宋体" w:eastAsia="宋体"/>
          <w:szCs w:val="21"/>
        </w:rPr>
        <w:t>.</w:t>
      </w:r>
      <w:r>
        <w:rPr>
          <w:rFonts w:ascii="宋体" w:hAnsi="宋体" w:eastAsia="宋体"/>
          <w:szCs w:val="21"/>
        </w:rPr>
        <w:t>验收时乙方必须在现场，验收完毕后作出验收结果报告</w:t>
      </w:r>
      <w:r>
        <w:rPr>
          <w:rFonts w:hint="eastAsia" w:ascii="宋体" w:hAnsi="宋体" w:eastAsia="宋体"/>
          <w:szCs w:val="21"/>
        </w:rPr>
        <w:t>，</w:t>
      </w:r>
      <w:r>
        <w:rPr>
          <w:rFonts w:ascii="宋体" w:hAnsi="宋体" w:eastAsia="宋体"/>
          <w:szCs w:val="21"/>
        </w:rPr>
        <w:t>验收费用由乙方负责。</w:t>
      </w:r>
    </w:p>
    <w:p>
      <w:pPr>
        <w:wordWrap w:val="0"/>
        <w:spacing w:line="400" w:lineRule="exact"/>
        <w:ind w:firstLine="420" w:firstLineChars="200"/>
        <w:rPr>
          <w:rFonts w:ascii="宋体" w:hAnsi="宋体" w:eastAsia="宋体"/>
          <w:szCs w:val="21"/>
        </w:rPr>
      </w:pPr>
      <w:r>
        <w:rPr>
          <w:rFonts w:hint="eastAsia" w:ascii="宋体" w:hAnsi="宋体" w:eastAsia="宋体"/>
          <w:szCs w:val="21"/>
        </w:rPr>
        <w:t>6.验收标准：</w:t>
      </w:r>
      <w:r>
        <w:rPr>
          <w:rFonts w:hint="eastAsia" w:ascii="宋体" w:hAnsi="宋体" w:eastAsia="宋体" w:cs="Times New Roman"/>
          <w:szCs w:val="21"/>
          <w:u w:val="single"/>
        </w:rPr>
        <w:t xml:space="preserve">          </w:t>
      </w:r>
    </w:p>
    <w:p>
      <w:pPr>
        <w:wordWrap w:val="0"/>
        <w:spacing w:line="400" w:lineRule="exact"/>
        <w:rPr>
          <w:rFonts w:ascii="宋体" w:hAnsi="宋体" w:eastAsia="宋体"/>
          <w:b/>
          <w:szCs w:val="21"/>
        </w:rPr>
      </w:pPr>
      <w:r>
        <w:rPr>
          <w:rFonts w:ascii="宋体" w:hAnsi="宋体" w:eastAsia="宋体"/>
          <w:b/>
          <w:szCs w:val="21"/>
        </w:rPr>
        <w:t>十</w:t>
      </w:r>
      <w:r>
        <w:rPr>
          <w:rFonts w:hint="eastAsia" w:ascii="宋体" w:hAnsi="宋体" w:eastAsia="宋体"/>
          <w:b/>
          <w:szCs w:val="21"/>
        </w:rPr>
        <w:t>五</w:t>
      </w:r>
      <w:r>
        <w:rPr>
          <w:rFonts w:ascii="宋体" w:hAnsi="宋体" w:eastAsia="宋体"/>
          <w:b/>
          <w:szCs w:val="21"/>
        </w:rPr>
        <w:t>、货物包装、发运及运输</w:t>
      </w:r>
    </w:p>
    <w:p>
      <w:pPr>
        <w:wordWrap w:val="0"/>
        <w:spacing w:line="400" w:lineRule="exact"/>
        <w:ind w:firstLine="420" w:firstLineChars="200"/>
        <w:rPr>
          <w:rFonts w:ascii="宋体" w:hAnsi="宋体" w:eastAsia="宋体"/>
          <w:szCs w:val="21"/>
        </w:rPr>
      </w:pPr>
      <w:r>
        <w:rPr>
          <w:rFonts w:ascii="宋体" w:hAnsi="宋体" w:eastAsia="宋体"/>
          <w:szCs w:val="21"/>
        </w:rPr>
        <w:t>1</w:t>
      </w:r>
      <w:r>
        <w:rPr>
          <w:rFonts w:hint="eastAsia" w:ascii="宋体" w:hAnsi="宋体" w:eastAsia="宋体"/>
          <w:szCs w:val="21"/>
        </w:rPr>
        <w:t>.</w:t>
      </w:r>
      <w:r>
        <w:rPr>
          <w:rFonts w:ascii="宋体" w:hAnsi="宋体" w:eastAsia="宋体"/>
          <w:szCs w:val="21"/>
        </w:rPr>
        <w:t>乙方应在货物发运前对其进行满足运输距离、防潮、防震、防锈和防破损装卸等要求包装，以保证货物安全运达甲方指定地点。</w:t>
      </w:r>
    </w:p>
    <w:p>
      <w:pPr>
        <w:wordWrap w:val="0"/>
        <w:spacing w:line="400" w:lineRule="exact"/>
        <w:ind w:firstLine="420" w:firstLineChars="200"/>
        <w:rPr>
          <w:rFonts w:ascii="宋体" w:hAnsi="宋体" w:eastAsia="宋体"/>
          <w:szCs w:val="21"/>
        </w:rPr>
      </w:pPr>
      <w:r>
        <w:rPr>
          <w:rFonts w:ascii="宋体" w:hAnsi="宋体" w:eastAsia="宋体"/>
          <w:szCs w:val="21"/>
        </w:rPr>
        <w:t>2</w:t>
      </w:r>
      <w:r>
        <w:rPr>
          <w:rFonts w:hint="eastAsia" w:ascii="宋体" w:hAnsi="宋体" w:eastAsia="宋体"/>
          <w:szCs w:val="21"/>
        </w:rPr>
        <w:t>.</w:t>
      </w:r>
      <w:r>
        <w:rPr>
          <w:rFonts w:ascii="宋体" w:hAnsi="宋体" w:eastAsia="宋体"/>
          <w:szCs w:val="21"/>
        </w:rPr>
        <w:t>使用说明书、质量检验证明书、随配附件和工具以及清单一并附于货物内。</w:t>
      </w:r>
    </w:p>
    <w:p>
      <w:pPr>
        <w:wordWrap w:val="0"/>
        <w:spacing w:line="400" w:lineRule="exact"/>
        <w:ind w:firstLine="420" w:firstLineChars="200"/>
        <w:rPr>
          <w:rFonts w:ascii="宋体" w:hAnsi="宋体" w:eastAsia="宋体"/>
          <w:szCs w:val="21"/>
        </w:rPr>
      </w:pPr>
      <w:r>
        <w:rPr>
          <w:rFonts w:ascii="宋体" w:hAnsi="宋体" w:eastAsia="宋体"/>
          <w:szCs w:val="21"/>
        </w:rPr>
        <w:t>3</w:t>
      </w:r>
      <w:r>
        <w:rPr>
          <w:rFonts w:hint="eastAsia" w:ascii="宋体" w:hAnsi="宋体" w:eastAsia="宋体"/>
          <w:szCs w:val="21"/>
        </w:rPr>
        <w:t>.</w:t>
      </w:r>
      <w:r>
        <w:rPr>
          <w:rFonts w:ascii="宋体" w:hAnsi="宋体" w:eastAsia="宋体"/>
          <w:szCs w:val="21"/>
        </w:rPr>
        <w:t>乙方在货物发运手续办理完毕后24小时内或货到甲方48小时前通知甲方，以准备接货。</w:t>
      </w:r>
    </w:p>
    <w:p>
      <w:pPr>
        <w:wordWrap w:val="0"/>
        <w:spacing w:line="400" w:lineRule="exact"/>
        <w:ind w:firstLine="420" w:firstLineChars="200"/>
        <w:rPr>
          <w:rFonts w:ascii="宋体" w:hAnsi="宋体" w:eastAsia="宋体"/>
          <w:szCs w:val="21"/>
        </w:rPr>
      </w:pPr>
      <w:r>
        <w:rPr>
          <w:rFonts w:ascii="宋体" w:hAnsi="宋体" w:eastAsia="宋体"/>
          <w:szCs w:val="21"/>
        </w:rPr>
        <w:t>4</w:t>
      </w:r>
      <w:r>
        <w:rPr>
          <w:rFonts w:hint="eastAsia" w:ascii="宋体" w:hAnsi="宋体" w:eastAsia="宋体"/>
          <w:szCs w:val="21"/>
        </w:rPr>
        <w:t>.</w:t>
      </w:r>
      <w:r>
        <w:rPr>
          <w:rFonts w:ascii="宋体" w:hAnsi="宋体" w:eastAsia="宋体"/>
          <w:szCs w:val="21"/>
        </w:rPr>
        <w:t>货物在交付甲方前发生的风险均由乙方负责。</w:t>
      </w:r>
    </w:p>
    <w:p>
      <w:pPr>
        <w:wordWrap w:val="0"/>
        <w:spacing w:line="400" w:lineRule="exact"/>
        <w:ind w:firstLine="420" w:firstLineChars="200"/>
        <w:rPr>
          <w:rFonts w:ascii="宋体" w:hAnsi="宋体" w:eastAsia="宋体"/>
          <w:szCs w:val="21"/>
        </w:rPr>
      </w:pPr>
      <w:r>
        <w:rPr>
          <w:rFonts w:ascii="宋体" w:hAnsi="宋体" w:eastAsia="宋体"/>
          <w:szCs w:val="21"/>
        </w:rPr>
        <w:t>5</w:t>
      </w:r>
      <w:r>
        <w:rPr>
          <w:rFonts w:hint="eastAsia" w:ascii="宋体" w:hAnsi="宋体" w:eastAsia="宋体"/>
          <w:szCs w:val="21"/>
        </w:rPr>
        <w:t>.</w:t>
      </w:r>
      <w:r>
        <w:rPr>
          <w:rFonts w:ascii="宋体" w:hAnsi="宋体" w:eastAsia="宋体"/>
          <w:szCs w:val="21"/>
        </w:rPr>
        <w:t>货物在规定的交付期限内由乙方送达甲方指定的地点视为交付，乙方同时需通知甲方货物已送达。</w:t>
      </w:r>
    </w:p>
    <w:p>
      <w:pPr>
        <w:wordWrap w:val="0"/>
        <w:spacing w:line="400" w:lineRule="exact"/>
        <w:rPr>
          <w:rFonts w:ascii="宋体" w:hAnsi="宋体" w:eastAsia="宋体"/>
          <w:b/>
          <w:szCs w:val="21"/>
        </w:rPr>
      </w:pPr>
      <w:r>
        <w:rPr>
          <w:rFonts w:ascii="宋体" w:hAnsi="宋体" w:eastAsia="宋体"/>
          <w:b/>
          <w:szCs w:val="21"/>
        </w:rPr>
        <w:t>十</w:t>
      </w:r>
      <w:r>
        <w:rPr>
          <w:rFonts w:hint="eastAsia" w:ascii="宋体" w:hAnsi="宋体" w:eastAsia="宋体"/>
          <w:b/>
          <w:szCs w:val="21"/>
        </w:rPr>
        <w:t>六</w:t>
      </w:r>
      <w:r>
        <w:rPr>
          <w:rFonts w:ascii="宋体" w:hAnsi="宋体" w:eastAsia="宋体"/>
          <w:b/>
          <w:szCs w:val="21"/>
        </w:rPr>
        <w:t>、违约责任</w:t>
      </w:r>
    </w:p>
    <w:p>
      <w:pPr>
        <w:wordWrap w:val="0"/>
        <w:spacing w:line="400" w:lineRule="exact"/>
        <w:ind w:firstLine="420" w:firstLineChars="200"/>
        <w:rPr>
          <w:rFonts w:ascii="宋体" w:hAnsi="宋体" w:eastAsia="宋体"/>
          <w:szCs w:val="21"/>
        </w:rPr>
      </w:pPr>
      <w:r>
        <w:rPr>
          <w:rFonts w:hint="eastAsia" w:ascii="宋体" w:hAnsi="宋体" w:eastAsia="宋体"/>
          <w:szCs w:val="21"/>
        </w:rPr>
        <w:t>1.甲方无正当理由拒收货物的，甲方应按拒收货物总值的百分之二向乙方支付违约金。</w:t>
      </w:r>
    </w:p>
    <w:p>
      <w:pPr>
        <w:wordWrap w:val="0"/>
        <w:spacing w:line="400" w:lineRule="exact"/>
        <w:ind w:firstLine="420" w:firstLineChars="200"/>
        <w:rPr>
          <w:rFonts w:ascii="宋体" w:hAnsi="宋体" w:eastAsia="宋体"/>
          <w:szCs w:val="21"/>
        </w:rPr>
      </w:pPr>
      <w:r>
        <w:rPr>
          <w:rFonts w:hint="eastAsia" w:ascii="宋体" w:hAnsi="宋体" w:eastAsia="宋体"/>
          <w:szCs w:val="21"/>
        </w:rPr>
        <w:t>2.</w:t>
      </w:r>
      <w:r>
        <w:rPr>
          <w:rFonts w:ascii="宋体" w:hAnsi="宋体" w:eastAsia="宋体"/>
          <w:szCs w:val="21"/>
        </w:rPr>
        <w:t>甲方无故逾期办理货款支付手续的，甲方应按逾期付款总额每日万分之五向乙方支付违约金。</w:t>
      </w:r>
    </w:p>
    <w:p>
      <w:pPr>
        <w:wordWrap w:val="0"/>
        <w:spacing w:line="400" w:lineRule="exact"/>
        <w:ind w:firstLine="420" w:firstLineChars="200"/>
        <w:rPr>
          <w:rFonts w:ascii="宋体" w:hAnsi="宋体" w:eastAsia="宋体" w:cs="Times New Roman"/>
          <w:szCs w:val="21"/>
        </w:rPr>
      </w:pPr>
      <w:r>
        <w:rPr>
          <w:rFonts w:hint="eastAsia" w:ascii="宋体" w:hAnsi="宋体" w:eastAsia="宋体" w:cs="Times New Roman"/>
          <w:szCs w:val="21"/>
        </w:rPr>
        <w:t>3.合同生效后，乙方单方面要求终止合同或解除合同的，视为乙方违约。</w:t>
      </w:r>
    </w:p>
    <w:p>
      <w:pPr>
        <w:wordWrap w:val="0"/>
        <w:spacing w:line="400" w:lineRule="exact"/>
        <w:ind w:firstLine="420" w:firstLineChars="200"/>
        <w:rPr>
          <w:rFonts w:ascii="宋体" w:hAnsi="宋体" w:eastAsia="宋体"/>
          <w:szCs w:val="21"/>
        </w:rPr>
      </w:pPr>
      <w:r>
        <w:rPr>
          <w:rFonts w:hint="eastAsia" w:ascii="宋体" w:hAnsi="宋体" w:eastAsia="宋体"/>
          <w:szCs w:val="21"/>
        </w:rPr>
        <w:t>4</w:t>
      </w:r>
      <w:r>
        <w:rPr>
          <w:rFonts w:ascii="宋体" w:hAnsi="宋体" w:eastAsia="宋体"/>
          <w:szCs w:val="21"/>
        </w:rPr>
        <w:t>.乙方逾期交付货物的，乙方应按逾期交货总额每日万分之五向甲方支付违约金，由甲方从待付货款中扣除。逾期超过约定日期</w:t>
      </w:r>
      <w:r>
        <w:rPr>
          <w:rFonts w:hint="eastAsia" w:ascii="宋体" w:hAnsi="宋体" w:eastAsia="宋体"/>
          <w:szCs w:val="21"/>
        </w:rPr>
        <w:t>5日历天</w:t>
      </w:r>
      <w:r>
        <w:rPr>
          <w:rFonts w:ascii="宋体" w:hAnsi="宋体" w:eastAsia="宋体"/>
          <w:szCs w:val="21"/>
        </w:rPr>
        <w:t>不能交货的，甲方可解除本合同。</w:t>
      </w:r>
    </w:p>
    <w:p>
      <w:pPr>
        <w:wordWrap w:val="0"/>
        <w:spacing w:line="400" w:lineRule="exact"/>
        <w:ind w:firstLine="420" w:firstLineChars="200"/>
        <w:rPr>
          <w:rFonts w:ascii="宋体" w:hAnsi="宋体" w:eastAsia="宋体"/>
          <w:szCs w:val="21"/>
        </w:rPr>
      </w:pPr>
      <w:r>
        <w:rPr>
          <w:rFonts w:hint="eastAsia" w:ascii="宋体" w:hAnsi="宋体" w:eastAsia="宋体"/>
          <w:szCs w:val="21"/>
        </w:rPr>
        <w:t>5.</w:t>
      </w:r>
      <w:r>
        <w:rPr>
          <w:rFonts w:ascii="宋体" w:hAnsi="宋体" w:eastAsia="宋体"/>
          <w:szCs w:val="21"/>
        </w:rPr>
        <w:t>乙方所交的货物品种、型号、规格、技术参数、质量不符合合同规定及</w:t>
      </w:r>
      <w:r>
        <w:rPr>
          <w:rFonts w:hint="eastAsia" w:ascii="宋体" w:hAnsi="宋体" w:eastAsia="宋体"/>
          <w:szCs w:val="21"/>
        </w:rPr>
        <w:t>采购文件</w:t>
      </w:r>
      <w:r>
        <w:rPr>
          <w:rFonts w:ascii="宋体" w:hAnsi="宋体" w:eastAsia="宋体"/>
          <w:szCs w:val="21"/>
        </w:rPr>
        <w:t>规定标准的，甲方有权拒收该货物，乙方愿意更换货物但逾期交货的，按乙方逾期交货处理。乙方拒绝更换货物的，甲方可单方面解除合同。</w:t>
      </w:r>
    </w:p>
    <w:p>
      <w:pPr>
        <w:wordWrap w:val="0"/>
        <w:spacing w:line="400" w:lineRule="exact"/>
        <w:ind w:firstLine="420" w:firstLineChars="200"/>
        <w:rPr>
          <w:rFonts w:ascii="宋体" w:hAnsi="宋体" w:eastAsia="宋体" w:cs="Times New Roman"/>
          <w:szCs w:val="21"/>
        </w:rPr>
      </w:pPr>
      <w:r>
        <w:rPr>
          <w:rFonts w:hint="eastAsia" w:ascii="宋体" w:hAnsi="宋体" w:eastAsia="宋体"/>
          <w:szCs w:val="21"/>
        </w:rPr>
        <w:t>6.</w:t>
      </w:r>
      <w:r>
        <w:rPr>
          <w:rFonts w:hint="eastAsia" w:ascii="宋体" w:hAnsi="宋体" w:eastAsia="宋体" w:cs="Times New Roman"/>
          <w:szCs w:val="21"/>
        </w:rPr>
        <w:t>乙方如未按响应文件中响应的人员配备到位的，扣除2000元/次。如发生3次及以上“未按响应文件中响应的人员配备到位的”或“未经甲方同意擅自更换人员的”，甲方可解除本合同。</w:t>
      </w:r>
    </w:p>
    <w:p>
      <w:pPr>
        <w:wordWrap w:val="0"/>
        <w:spacing w:line="400" w:lineRule="exact"/>
        <w:ind w:firstLine="420" w:firstLineChars="200"/>
        <w:rPr>
          <w:rFonts w:hint="eastAsia" w:ascii="宋体" w:hAnsi="宋体" w:eastAsia="宋体"/>
          <w:szCs w:val="21"/>
        </w:rPr>
      </w:pPr>
      <w:r>
        <w:rPr>
          <w:rFonts w:ascii="宋体" w:hAnsi="宋体" w:eastAsia="宋体"/>
          <w:szCs w:val="21"/>
        </w:rPr>
        <w:t>7.</w:t>
      </w:r>
      <w:r>
        <w:rPr>
          <w:rFonts w:hint="eastAsia" w:ascii="宋体" w:hAnsi="宋体" w:eastAsia="宋体"/>
          <w:szCs w:val="21"/>
        </w:rPr>
        <w:t>乙方未在采购文件规定的时间内向甲方提供加盖货物制造商公章的原厂售后服务承诺函的，甲方可解除本合同。</w:t>
      </w:r>
    </w:p>
    <w:p>
      <w:pPr>
        <w:wordWrap w:val="0"/>
        <w:spacing w:line="400" w:lineRule="exact"/>
        <w:ind w:firstLine="420" w:firstLineChars="200"/>
        <w:rPr>
          <w:rFonts w:ascii="宋体" w:hAnsi="宋体" w:eastAsia="宋体"/>
          <w:szCs w:val="21"/>
        </w:rPr>
      </w:pPr>
      <w:r>
        <w:rPr>
          <w:rFonts w:ascii="宋体" w:hAnsi="宋体" w:eastAsia="宋体"/>
          <w:szCs w:val="21"/>
        </w:rPr>
        <w:t>8</w:t>
      </w:r>
      <w:r>
        <w:rPr>
          <w:rFonts w:hint="eastAsia" w:ascii="宋体" w:hAnsi="宋体" w:eastAsia="宋体"/>
          <w:szCs w:val="21"/>
        </w:rPr>
        <w:t>.</w:t>
      </w:r>
      <w:r>
        <w:rPr>
          <w:rFonts w:ascii="宋体" w:hAnsi="宋体" w:eastAsia="宋体"/>
          <w:szCs w:val="21"/>
        </w:rPr>
        <w:t>乙方因逾期交货或因其他违约行为导致甲方解除合同的，乙方应向甲方支付合同</w:t>
      </w:r>
      <w:r>
        <w:rPr>
          <w:rFonts w:hint="eastAsia" w:ascii="宋体" w:hAnsi="宋体" w:eastAsia="宋体"/>
          <w:szCs w:val="21"/>
        </w:rPr>
        <w:t>金额百</w:t>
      </w:r>
      <w:r>
        <w:rPr>
          <w:rFonts w:ascii="宋体" w:hAnsi="宋体" w:eastAsia="宋体"/>
          <w:szCs w:val="21"/>
        </w:rPr>
        <w:t>分之</w:t>
      </w:r>
      <w:r>
        <w:rPr>
          <w:rFonts w:hint="eastAsia" w:ascii="宋体" w:hAnsi="宋体" w:eastAsia="宋体"/>
          <w:szCs w:val="21"/>
        </w:rPr>
        <w:t>二</w:t>
      </w:r>
      <w:r>
        <w:rPr>
          <w:rFonts w:ascii="宋体" w:hAnsi="宋体" w:eastAsia="宋体"/>
          <w:szCs w:val="21"/>
        </w:rPr>
        <w:t>的违约金，如造成甲方损失超过违约金的，超出部分由乙方继续承担赔偿责任。</w:t>
      </w:r>
    </w:p>
    <w:p>
      <w:pPr>
        <w:wordWrap w:val="0"/>
        <w:spacing w:line="400" w:lineRule="exact"/>
        <w:ind w:firstLine="420" w:firstLineChars="200"/>
        <w:rPr>
          <w:rFonts w:ascii="宋体" w:hAnsi="宋体" w:eastAsia="宋体"/>
          <w:szCs w:val="21"/>
        </w:rPr>
      </w:pPr>
      <w:r>
        <w:rPr>
          <w:rFonts w:ascii="宋体" w:hAnsi="宋体" w:eastAsia="宋体"/>
          <w:szCs w:val="21"/>
        </w:rPr>
        <w:t>9.</w:t>
      </w:r>
      <w:r>
        <w:rPr>
          <w:rFonts w:hint="eastAsia" w:ascii="宋体" w:hAnsi="宋体" w:eastAsia="宋体"/>
          <w:szCs w:val="21"/>
        </w:rPr>
        <w:t>乙方未履行质保期内应履行的义务的，乙方应向甲方支付合同金额百分之二的违约金。甲方有权委托第三方承担质保期内应由乙方履行的义务，相关维修、更换等费用由乙方承担，且不免除乙方应承担的相关责任。乙方不支付违约金或相关维修、更换等费用的，甲方有权保留法律追溯的权利。</w:t>
      </w:r>
    </w:p>
    <w:p>
      <w:pPr>
        <w:wordWrap w:val="0"/>
        <w:spacing w:line="400" w:lineRule="exact"/>
        <w:rPr>
          <w:rFonts w:ascii="宋体" w:hAnsi="宋体" w:eastAsia="宋体"/>
          <w:b/>
          <w:szCs w:val="21"/>
        </w:rPr>
      </w:pPr>
      <w:r>
        <w:rPr>
          <w:rFonts w:ascii="宋体" w:hAnsi="宋体" w:eastAsia="宋体"/>
          <w:b/>
          <w:szCs w:val="21"/>
        </w:rPr>
        <w:t>十</w:t>
      </w:r>
      <w:r>
        <w:rPr>
          <w:rFonts w:hint="eastAsia" w:ascii="宋体" w:hAnsi="宋体" w:eastAsia="宋体"/>
          <w:b/>
          <w:szCs w:val="21"/>
        </w:rPr>
        <w:t>七</w:t>
      </w:r>
      <w:r>
        <w:rPr>
          <w:rFonts w:ascii="宋体" w:hAnsi="宋体" w:eastAsia="宋体"/>
          <w:b/>
          <w:szCs w:val="21"/>
        </w:rPr>
        <w:t>、不可抗力事件处理</w:t>
      </w:r>
    </w:p>
    <w:p>
      <w:pPr>
        <w:wordWrap w:val="0"/>
        <w:spacing w:line="400" w:lineRule="exact"/>
        <w:ind w:firstLine="420" w:firstLineChars="200"/>
        <w:rPr>
          <w:rFonts w:ascii="宋体" w:hAnsi="宋体" w:eastAsia="宋体"/>
          <w:szCs w:val="21"/>
        </w:rPr>
      </w:pPr>
      <w:r>
        <w:rPr>
          <w:rFonts w:ascii="宋体" w:hAnsi="宋体" w:eastAsia="宋体"/>
          <w:szCs w:val="21"/>
        </w:rPr>
        <w:t>1</w:t>
      </w:r>
      <w:r>
        <w:rPr>
          <w:rFonts w:hint="eastAsia" w:ascii="宋体" w:hAnsi="宋体" w:eastAsia="宋体"/>
          <w:szCs w:val="21"/>
        </w:rPr>
        <w:t>.</w:t>
      </w:r>
      <w:r>
        <w:rPr>
          <w:rFonts w:ascii="宋体" w:hAnsi="宋体" w:eastAsia="宋体"/>
          <w:szCs w:val="21"/>
        </w:rPr>
        <w:t>在合同有效期内，任何一方因不可抗力事件导致不能履行合同，则合同履行期可延长，其延长期与不可抗力影响期相同。</w:t>
      </w:r>
    </w:p>
    <w:p>
      <w:pPr>
        <w:wordWrap w:val="0"/>
        <w:spacing w:line="400" w:lineRule="exact"/>
        <w:ind w:firstLine="420" w:firstLineChars="200"/>
        <w:rPr>
          <w:rFonts w:ascii="宋体" w:hAnsi="宋体" w:eastAsia="宋体"/>
          <w:szCs w:val="21"/>
        </w:rPr>
      </w:pPr>
      <w:r>
        <w:rPr>
          <w:rFonts w:ascii="宋体" w:hAnsi="宋体" w:eastAsia="宋体"/>
          <w:szCs w:val="21"/>
        </w:rPr>
        <w:t>2</w:t>
      </w:r>
      <w:r>
        <w:rPr>
          <w:rFonts w:hint="eastAsia" w:ascii="宋体" w:hAnsi="宋体" w:eastAsia="宋体"/>
          <w:szCs w:val="21"/>
        </w:rPr>
        <w:t>.</w:t>
      </w:r>
      <w:r>
        <w:rPr>
          <w:rFonts w:ascii="宋体" w:hAnsi="宋体" w:eastAsia="宋体"/>
          <w:szCs w:val="21"/>
        </w:rPr>
        <w:t>不可抗力事件发生后，应立即通知对方，并寄送有关权威机构出具的证明。</w:t>
      </w:r>
    </w:p>
    <w:p>
      <w:pPr>
        <w:wordWrap w:val="0"/>
        <w:spacing w:line="400" w:lineRule="exact"/>
        <w:ind w:firstLine="420" w:firstLineChars="200"/>
        <w:rPr>
          <w:rFonts w:ascii="宋体" w:hAnsi="宋体" w:eastAsia="宋体"/>
          <w:szCs w:val="21"/>
        </w:rPr>
      </w:pPr>
      <w:r>
        <w:rPr>
          <w:rFonts w:ascii="宋体" w:hAnsi="宋体" w:eastAsia="宋体"/>
          <w:szCs w:val="21"/>
        </w:rPr>
        <w:t>3</w:t>
      </w:r>
      <w:r>
        <w:rPr>
          <w:rFonts w:hint="eastAsia" w:ascii="宋体" w:hAnsi="宋体" w:eastAsia="宋体"/>
          <w:szCs w:val="21"/>
        </w:rPr>
        <w:t>.</w:t>
      </w:r>
      <w:r>
        <w:rPr>
          <w:rFonts w:ascii="宋体" w:hAnsi="宋体" w:eastAsia="宋体"/>
          <w:szCs w:val="21"/>
        </w:rPr>
        <w:t>不可抗力事件延续120天以上，双方应通过友好协商，确定是否继续履行合同。</w:t>
      </w:r>
    </w:p>
    <w:p>
      <w:pPr>
        <w:wordWrap w:val="0"/>
        <w:spacing w:line="400" w:lineRule="exact"/>
        <w:rPr>
          <w:rFonts w:ascii="宋体" w:hAnsi="宋体" w:eastAsia="宋体"/>
          <w:b/>
          <w:szCs w:val="21"/>
        </w:rPr>
      </w:pPr>
      <w:r>
        <w:rPr>
          <w:rFonts w:hint="eastAsia" w:ascii="宋体" w:hAnsi="宋体" w:eastAsia="宋体"/>
          <w:b/>
          <w:szCs w:val="21"/>
        </w:rPr>
        <w:t>十八、安全要求：</w:t>
      </w:r>
      <w:r>
        <w:rPr>
          <w:rFonts w:hint="eastAsia" w:ascii="宋体" w:hAnsi="宋体" w:eastAsia="宋体" w:cs="Times New Roman"/>
          <w:szCs w:val="21"/>
          <w:u w:val="single"/>
        </w:rPr>
        <w:t xml:space="preserve">          </w:t>
      </w:r>
    </w:p>
    <w:p>
      <w:pPr>
        <w:wordWrap w:val="0"/>
        <w:spacing w:line="400" w:lineRule="exact"/>
        <w:rPr>
          <w:rFonts w:ascii="宋体" w:hAnsi="宋体" w:eastAsia="宋体"/>
          <w:b/>
          <w:szCs w:val="21"/>
        </w:rPr>
      </w:pPr>
      <w:r>
        <w:rPr>
          <w:rFonts w:ascii="宋体" w:hAnsi="宋体" w:eastAsia="宋体"/>
          <w:b/>
          <w:szCs w:val="21"/>
        </w:rPr>
        <w:t>十</w:t>
      </w:r>
      <w:r>
        <w:rPr>
          <w:rFonts w:hint="eastAsia" w:ascii="宋体" w:hAnsi="宋体" w:eastAsia="宋体"/>
          <w:b/>
          <w:szCs w:val="21"/>
        </w:rPr>
        <w:t>九、特别约定</w:t>
      </w:r>
    </w:p>
    <w:p>
      <w:pPr>
        <w:wordWrap w:val="0"/>
        <w:spacing w:line="400" w:lineRule="exact"/>
        <w:ind w:firstLine="420" w:firstLineChars="200"/>
        <w:rPr>
          <w:rFonts w:ascii="宋体" w:hAnsi="宋体" w:eastAsia="宋体"/>
          <w:szCs w:val="21"/>
        </w:rPr>
      </w:pPr>
      <w:r>
        <w:rPr>
          <w:rFonts w:hint="eastAsia" w:ascii="宋体" w:hAnsi="宋体" w:eastAsia="宋体"/>
          <w:szCs w:val="21"/>
        </w:rPr>
        <w:t>1.本项目通过政府采购方式产生，合同双方应遵守《中华人民共和国政府采购法》、《中华人民共和国政府采购法实施条例》等政府采购法律、法规。当出现政府采购相关法律、法规规定的中止或者终止履行合同情形，双方应当严格执行。</w:t>
      </w:r>
    </w:p>
    <w:p>
      <w:pPr>
        <w:wordWrap w:val="0"/>
        <w:spacing w:line="400" w:lineRule="exact"/>
        <w:ind w:firstLine="420" w:firstLineChars="200"/>
        <w:rPr>
          <w:rFonts w:ascii="宋体" w:hAnsi="宋体" w:eastAsia="宋体"/>
          <w:szCs w:val="21"/>
        </w:rPr>
      </w:pPr>
      <w:r>
        <w:rPr>
          <w:rFonts w:hint="eastAsia" w:ascii="宋体" w:hAnsi="宋体" w:eastAsia="宋体"/>
          <w:szCs w:val="21"/>
        </w:rPr>
        <w:t>2.</w:t>
      </w:r>
      <w:r>
        <w:rPr>
          <w:rFonts w:hint="eastAsia" w:ascii="宋体" w:hAnsi="宋体" w:eastAsia="宋体" w:cs="Times New Roman"/>
          <w:szCs w:val="21"/>
        </w:rPr>
        <w:t>其他约定：</w:t>
      </w:r>
      <w:r>
        <w:rPr>
          <w:rFonts w:hint="eastAsia" w:ascii="宋体" w:hAnsi="宋体" w:eastAsia="宋体" w:cs="Times New Roman"/>
          <w:szCs w:val="21"/>
          <w:u w:val="single"/>
        </w:rPr>
        <w:t xml:space="preserve">          </w:t>
      </w:r>
    </w:p>
    <w:p>
      <w:pPr>
        <w:wordWrap w:val="0"/>
        <w:spacing w:line="400" w:lineRule="exact"/>
        <w:rPr>
          <w:rFonts w:ascii="宋体" w:hAnsi="宋体" w:eastAsia="宋体"/>
          <w:b/>
          <w:szCs w:val="21"/>
        </w:rPr>
      </w:pPr>
      <w:r>
        <w:rPr>
          <w:rFonts w:hint="eastAsia" w:ascii="宋体" w:hAnsi="宋体" w:eastAsia="宋体"/>
          <w:b/>
          <w:szCs w:val="21"/>
        </w:rPr>
        <w:t>二十</w:t>
      </w:r>
      <w:r>
        <w:rPr>
          <w:rFonts w:ascii="宋体" w:hAnsi="宋体" w:eastAsia="宋体"/>
          <w:b/>
          <w:szCs w:val="21"/>
        </w:rPr>
        <w:t>、</w:t>
      </w:r>
      <w:r>
        <w:rPr>
          <w:rFonts w:hint="eastAsia" w:ascii="宋体" w:hAnsi="宋体" w:eastAsia="宋体"/>
          <w:b/>
          <w:szCs w:val="21"/>
        </w:rPr>
        <w:t>争议解决办法</w:t>
      </w:r>
    </w:p>
    <w:p>
      <w:pPr>
        <w:wordWrap w:val="0"/>
        <w:spacing w:line="400" w:lineRule="exact"/>
        <w:ind w:firstLine="420" w:firstLineChars="200"/>
        <w:rPr>
          <w:rFonts w:ascii="宋体" w:hAnsi="宋体" w:eastAsia="宋体"/>
          <w:szCs w:val="21"/>
        </w:rPr>
      </w:pPr>
      <w:r>
        <w:rPr>
          <w:rFonts w:hint="eastAsia" w:ascii="宋体" w:hAnsi="宋体" w:eastAsia="宋体"/>
          <w:szCs w:val="21"/>
        </w:rPr>
        <w:t>1.</w:t>
      </w:r>
      <w:r>
        <w:rPr>
          <w:rFonts w:ascii="宋体" w:hAnsi="宋体" w:eastAsia="宋体"/>
          <w:szCs w:val="21"/>
        </w:rPr>
        <w:t>双方在执行合同中所发生的一切争议，应通过协商解决。如协商不成，可向</w:t>
      </w:r>
      <w:r>
        <w:rPr>
          <w:rFonts w:hint="eastAsia" w:ascii="宋体" w:hAnsi="宋体" w:eastAsia="宋体"/>
          <w:szCs w:val="21"/>
        </w:rPr>
        <w:t>甲方所在</w:t>
      </w:r>
      <w:r>
        <w:rPr>
          <w:rFonts w:ascii="宋体" w:hAnsi="宋体" w:eastAsia="宋体"/>
          <w:szCs w:val="21"/>
        </w:rPr>
        <w:t>地法院起诉。</w:t>
      </w:r>
    </w:p>
    <w:p>
      <w:pPr>
        <w:wordWrap w:val="0"/>
        <w:spacing w:line="400" w:lineRule="exact"/>
        <w:ind w:firstLine="420" w:firstLineChars="200"/>
        <w:rPr>
          <w:rFonts w:ascii="宋体" w:hAnsi="宋体" w:eastAsia="宋体"/>
          <w:szCs w:val="21"/>
        </w:rPr>
      </w:pPr>
      <w:r>
        <w:rPr>
          <w:rFonts w:hint="eastAsia" w:ascii="宋体" w:hAnsi="宋体" w:eastAsia="宋体"/>
          <w:szCs w:val="21"/>
        </w:rPr>
        <w:t>2.对于因违反或终止合同而引起的损失、损害的赔偿，应通过协商解决。如协商不成，可向甲方所在地法院起诉。</w:t>
      </w:r>
    </w:p>
    <w:p>
      <w:pPr>
        <w:wordWrap w:val="0"/>
        <w:spacing w:line="400" w:lineRule="exact"/>
        <w:rPr>
          <w:rFonts w:ascii="宋体" w:hAnsi="宋体" w:eastAsia="宋体"/>
          <w:b/>
          <w:szCs w:val="21"/>
        </w:rPr>
      </w:pPr>
      <w:r>
        <w:rPr>
          <w:rFonts w:hint="eastAsia" w:ascii="宋体" w:hAnsi="宋体" w:eastAsia="宋体"/>
          <w:b/>
          <w:szCs w:val="21"/>
        </w:rPr>
        <w:t>二十一</w:t>
      </w:r>
      <w:r>
        <w:rPr>
          <w:rFonts w:ascii="宋体" w:hAnsi="宋体" w:eastAsia="宋体"/>
          <w:b/>
          <w:szCs w:val="21"/>
        </w:rPr>
        <w:t>、合同生效及其它</w:t>
      </w:r>
    </w:p>
    <w:p>
      <w:pPr>
        <w:wordWrap w:val="0"/>
        <w:spacing w:line="400" w:lineRule="exact"/>
        <w:ind w:firstLine="420" w:firstLineChars="200"/>
        <w:rPr>
          <w:rFonts w:ascii="宋体" w:hAnsi="宋体" w:eastAsia="宋体"/>
          <w:szCs w:val="21"/>
        </w:rPr>
      </w:pPr>
      <w:r>
        <w:rPr>
          <w:rFonts w:ascii="宋体" w:hAnsi="宋体" w:eastAsia="宋体"/>
          <w:szCs w:val="21"/>
        </w:rPr>
        <w:t>1</w:t>
      </w:r>
      <w:r>
        <w:rPr>
          <w:rFonts w:hint="eastAsia" w:ascii="宋体" w:hAnsi="宋体" w:eastAsia="宋体"/>
          <w:szCs w:val="21"/>
        </w:rPr>
        <w:t>.</w:t>
      </w:r>
      <w:r>
        <w:rPr>
          <w:rFonts w:ascii="宋体" w:hAnsi="宋体" w:eastAsia="宋体"/>
          <w:szCs w:val="21"/>
        </w:rPr>
        <w:t>合同经双方法定代表人或授权代表</w:t>
      </w:r>
      <w:r>
        <w:rPr>
          <w:rFonts w:hint="eastAsia" w:ascii="宋体" w:hAnsi="宋体" w:eastAsia="宋体"/>
          <w:szCs w:val="21"/>
        </w:rPr>
        <w:t>签字或盖章</w:t>
      </w:r>
      <w:r>
        <w:rPr>
          <w:rFonts w:ascii="宋体" w:hAnsi="宋体" w:eastAsia="宋体"/>
          <w:szCs w:val="21"/>
        </w:rPr>
        <w:t>并加盖单位公章后生效。</w:t>
      </w:r>
    </w:p>
    <w:p>
      <w:pPr>
        <w:wordWrap w:val="0"/>
        <w:spacing w:line="400" w:lineRule="exact"/>
        <w:ind w:firstLine="420" w:firstLineChars="200"/>
        <w:rPr>
          <w:rFonts w:ascii="宋体" w:hAnsi="宋体" w:eastAsia="宋体"/>
          <w:szCs w:val="21"/>
        </w:rPr>
      </w:pPr>
      <w:r>
        <w:rPr>
          <w:rFonts w:ascii="宋体" w:hAnsi="宋体" w:eastAsia="宋体"/>
          <w:szCs w:val="21"/>
        </w:rPr>
        <w:t>2</w:t>
      </w:r>
      <w:r>
        <w:rPr>
          <w:rFonts w:hint="eastAsia" w:ascii="宋体" w:hAnsi="宋体" w:eastAsia="宋体"/>
          <w:szCs w:val="21"/>
        </w:rPr>
        <w:t>.合同执行中涉及采购资金追加的，须按照《中华人民共和国政府采购法》等规定办理。</w:t>
      </w:r>
    </w:p>
    <w:p>
      <w:pPr>
        <w:wordWrap w:val="0"/>
        <w:spacing w:line="400" w:lineRule="exact"/>
        <w:ind w:firstLine="420" w:firstLineChars="200"/>
        <w:rPr>
          <w:rFonts w:ascii="宋体" w:hAnsi="宋体" w:eastAsia="宋体"/>
          <w:szCs w:val="21"/>
        </w:rPr>
      </w:pPr>
      <w:r>
        <w:rPr>
          <w:rFonts w:hint="eastAsia" w:ascii="宋体" w:hAnsi="宋体" w:eastAsia="宋体"/>
          <w:szCs w:val="21"/>
        </w:rPr>
        <w:t>3.成交通知书、采购文件、乙方的响应文件、采购过程中产生的资料等为本合同不可分割的组成部分，对甲方和乙方均具有法律效力，本合同未尽事宜从其规定。若本合同约定与前述文件约定不一致的，按照下列顺序予以解释：（1）本合同履行过程中双方签署的变更或补充协议（如有）；（2）本合同和成交通知书；（3）采购过程中产生的资料；（4）采购文件和乙方的响应文件；（5）其他合同文件。</w:t>
      </w:r>
    </w:p>
    <w:p>
      <w:pPr>
        <w:wordWrap w:val="0"/>
        <w:spacing w:line="400" w:lineRule="exact"/>
        <w:ind w:firstLine="420" w:firstLineChars="200"/>
        <w:rPr>
          <w:rFonts w:ascii="宋体" w:hAnsi="宋体" w:eastAsia="宋体"/>
          <w:szCs w:val="21"/>
        </w:rPr>
      </w:pPr>
      <w:r>
        <w:rPr>
          <w:rFonts w:hint="eastAsia" w:ascii="宋体" w:hAnsi="宋体" w:eastAsia="宋体"/>
          <w:szCs w:val="21"/>
        </w:rPr>
        <w:t>4.</w:t>
      </w:r>
      <w:r>
        <w:rPr>
          <w:rFonts w:ascii="宋体" w:hAnsi="宋体" w:eastAsia="宋体"/>
          <w:szCs w:val="21"/>
        </w:rPr>
        <w:t>本合同未尽事宜，遵照《</w:t>
      </w:r>
      <w:r>
        <w:rPr>
          <w:rFonts w:hint="eastAsia" w:ascii="宋体" w:hAnsi="宋体" w:eastAsia="宋体"/>
          <w:szCs w:val="21"/>
        </w:rPr>
        <w:t>中华人民共和国民法典</w:t>
      </w:r>
      <w:r>
        <w:rPr>
          <w:rFonts w:ascii="宋体" w:hAnsi="宋体" w:eastAsia="宋体"/>
          <w:szCs w:val="21"/>
        </w:rPr>
        <w:t>》有关条文执行</w:t>
      </w:r>
      <w:r>
        <w:rPr>
          <w:rFonts w:hint="eastAsia" w:ascii="宋体" w:hAnsi="宋体" w:eastAsia="宋体"/>
          <w:szCs w:val="21"/>
        </w:rPr>
        <w:t>，但不得与采购活动产生的内容相违背。</w:t>
      </w:r>
    </w:p>
    <w:p>
      <w:pPr>
        <w:wordWrap w:val="0"/>
        <w:spacing w:line="400" w:lineRule="exact"/>
        <w:ind w:firstLine="420" w:firstLineChars="200"/>
        <w:rPr>
          <w:rFonts w:ascii="宋体" w:hAnsi="宋体" w:eastAsia="宋体"/>
          <w:szCs w:val="21"/>
        </w:rPr>
      </w:pPr>
      <w:r>
        <w:rPr>
          <w:rFonts w:hint="eastAsia" w:ascii="宋体" w:hAnsi="宋体" w:eastAsia="宋体"/>
          <w:szCs w:val="21"/>
        </w:rPr>
        <w:t>5.</w:t>
      </w:r>
      <w:r>
        <w:rPr>
          <w:rFonts w:ascii="宋体" w:hAnsi="宋体" w:eastAsia="宋体"/>
          <w:szCs w:val="21"/>
        </w:rPr>
        <w:t>本合同一式</w:t>
      </w:r>
      <w:r>
        <w:rPr>
          <w:rFonts w:hint="eastAsia" w:ascii="宋体" w:hAnsi="宋体" w:eastAsia="宋体"/>
          <w:szCs w:val="21"/>
        </w:rPr>
        <w:t>四</w:t>
      </w:r>
      <w:r>
        <w:rPr>
          <w:rFonts w:ascii="宋体" w:hAnsi="宋体" w:eastAsia="宋体"/>
          <w:szCs w:val="21"/>
        </w:rPr>
        <w:t>份，具有同等法律效力，甲乙双方各执</w:t>
      </w:r>
      <w:r>
        <w:rPr>
          <w:rFonts w:hint="eastAsia" w:ascii="宋体" w:hAnsi="宋体" w:eastAsia="宋体"/>
          <w:szCs w:val="21"/>
        </w:rPr>
        <w:t>两</w:t>
      </w:r>
      <w:r>
        <w:rPr>
          <w:rFonts w:ascii="宋体" w:hAnsi="宋体" w:eastAsia="宋体"/>
          <w:szCs w:val="21"/>
        </w:rPr>
        <w:t>份。</w:t>
      </w:r>
    </w:p>
    <w:p>
      <w:pPr>
        <w:wordWrap w:val="0"/>
        <w:spacing w:line="400" w:lineRule="exact"/>
        <w:rPr>
          <w:rFonts w:ascii="宋体" w:hAnsi="宋体" w:eastAsia="宋体"/>
          <w:szCs w:val="21"/>
        </w:rPr>
      </w:pPr>
    </w:p>
    <w:p>
      <w:pPr>
        <w:wordWrap w:val="0"/>
        <w:spacing w:line="400" w:lineRule="exact"/>
        <w:rPr>
          <w:rFonts w:ascii="宋体" w:hAnsi="宋体" w:eastAsia="宋体"/>
          <w:szCs w:val="21"/>
        </w:rPr>
      </w:pPr>
      <w:r>
        <w:rPr>
          <w:rFonts w:ascii="宋体" w:hAnsi="宋体" w:eastAsia="宋体"/>
          <w:szCs w:val="21"/>
        </w:rPr>
        <w:t>甲方</w:t>
      </w:r>
      <w:r>
        <w:rPr>
          <w:rFonts w:hint="eastAsia" w:ascii="宋体" w:hAnsi="宋体" w:eastAsia="宋体"/>
          <w:szCs w:val="21"/>
        </w:rPr>
        <w:t>（盖章）</w:t>
      </w:r>
      <w:r>
        <w:rPr>
          <w:rFonts w:ascii="宋体" w:hAnsi="宋体" w:eastAsia="宋体"/>
          <w:szCs w:val="21"/>
        </w:rPr>
        <w:t>：</w:t>
      </w:r>
      <w:r>
        <w:rPr>
          <w:rFonts w:hint="eastAsia" w:ascii="宋体" w:hAnsi="宋体" w:eastAsia="宋体"/>
          <w:szCs w:val="21"/>
        </w:rPr>
        <w:t xml:space="preserve">                           </w:t>
      </w:r>
      <w:r>
        <w:rPr>
          <w:rFonts w:ascii="宋体" w:hAnsi="宋体" w:eastAsia="宋体"/>
          <w:szCs w:val="21"/>
        </w:rPr>
        <w:t>乙方</w:t>
      </w:r>
      <w:r>
        <w:rPr>
          <w:rFonts w:hint="eastAsia" w:ascii="宋体" w:hAnsi="宋体" w:eastAsia="宋体"/>
          <w:szCs w:val="21"/>
        </w:rPr>
        <w:t>（盖章）</w:t>
      </w:r>
      <w:r>
        <w:rPr>
          <w:rFonts w:ascii="宋体" w:hAnsi="宋体" w:eastAsia="宋体"/>
          <w:szCs w:val="21"/>
        </w:rPr>
        <w:t>：</w:t>
      </w:r>
    </w:p>
    <w:p>
      <w:pPr>
        <w:wordWrap w:val="0"/>
        <w:spacing w:line="400" w:lineRule="exact"/>
        <w:rPr>
          <w:rFonts w:ascii="宋体" w:hAnsi="宋体" w:eastAsia="宋体"/>
          <w:szCs w:val="21"/>
        </w:rPr>
      </w:pPr>
      <w:r>
        <w:rPr>
          <w:rFonts w:hint="eastAsia" w:ascii="宋体" w:hAnsi="宋体" w:eastAsia="宋体"/>
          <w:szCs w:val="21"/>
        </w:rPr>
        <w:t>法定代表人或授权代表（签字或盖章）：     法定代表人或授权代表（签字或盖章）：</w:t>
      </w:r>
    </w:p>
    <w:p>
      <w:pPr>
        <w:wordWrap w:val="0"/>
        <w:spacing w:line="400" w:lineRule="exact"/>
        <w:rPr>
          <w:rFonts w:ascii="宋体" w:hAnsi="宋体" w:eastAsia="宋体"/>
          <w:szCs w:val="21"/>
        </w:rPr>
      </w:pPr>
      <w:r>
        <w:rPr>
          <w:rFonts w:hint="eastAsia" w:ascii="宋体" w:hAnsi="宋体" w:eastAsia="宋体"/>
          <w:szCs w:val="21"/>
        </w:rPr>
        <w:t>联系电话：                              联系电话：</w:t>
      </w:r>
    </w:p>
    <w:p>
      <w:pPr>
        <w:wordWrap w:val="0"/>
        <w:spacing w:line="400" w:lineRule="exact"/>
        <w:rPr>
          <w:rFonts w:ascii="宋体" w:hAnsi="宋体" w:eastAsia="宋体"/>
          <w:szCs w:val="21"/>
        </w:rPr>
      </w:pPr>
      <w:r>
        <w:rPr>
          <w:rFonts w:hint="eastAsia" w:ascii="宋体" w:hAnsi="宋体" w:eastAsia="宋体"/>
          <w:szCs w:val="21"/>
        </w:rPr>
        <w:t>地址：                                  地址：</w:t>
      </w:r>
    </w:p>
    <w:p>
      <w:pPr>
        <w:wordWrap w:val="0"/>
        <w:spacing w:line="400" w:lineRule="exact"/>
        <w:jc w:val="right"/>
        <w:rPr>
          <w:rFonts w:ascii="宋体" w:hAnsi="宋体" w:eastAsia="宋体"/>
          <w:szCs w:val="21"/>
        </w:rPr>
      </w:pPr>
    </w:p>
    <w:p>
      <w:pPr>
        <w:wordWrap w:val="0"/>
        <w:spacing w:line="400" w:lineRule="exact"/>
        <w:jc w:val="right"/>
        <w:rPr>
          <w:rFonts w:ascii="宋体" w:hAnsi="宋体" w:eastAsia="宋体" w:cs="宋体"/>
          <w:szCs w:val="21"/>
        </w:rPr>
      </w:pPr>
      <w:r>
        <w:rPr>
          <w:rFonts w:hint="eastAsia" w:ascii="宋体" w:hAnsi="宋体" w:eastAsia="宋体"/>
          <w:szCs w:val="21"/>
        </w:rPr>
        <w:t>签订日期：     年   月   日</w:t>
      </w:r>
    </w:p>
    <w:p>
      <w:pPr>
        <w:wordWrap w:val="0"/>
        <w:spacing w:line="400" w:lineRule="exact"/>
        <w:jc w:val="right"/>
        <w:rPr>
          <w:rFonts w:ascii="宋体" w:hAnsi="宋体" w:eastAsia="宋体" w:cs="宋体"/>
          <w:szCs w:val="21"/>
        </w:rPr>
        <w:sectPr>
          <w:pgSz w:w="11906" w:h="16838"/>
          <w:pgMar w:top="1418" w:right="1418" w:bottom="1418" w:left="1418" w:header="851" w:footer="992" w:gutter="0"/>
          <w:cols w:space="425" w:num="1"/>
          <w:docGrid w:type="lines" w:linePitch="312" w:charSpace="0"/>
        </w:sectPr>
      </w:pPr>
    </w:p>
    <w:p>
      <w:pPr>
        <w:spacing w:line="360" w:lineRule="auto"/>
        <w:jc w:val="center"/>
        <w:rPr>
          <w:rFonts w:ascii="宋体" w:hAnsi="宋体" w:eastAsia="宋体" w:cs="Times New Roman"/>
          <w:b/>
          <w:color w:val="000000"/>
          <w:sz w:val="24"/>
          <w:szCs w:val="24"/>
        </w:rPr>
      </w:pPr>
      <w:r>
        <w:rPr>
          <w:rFonts w:hint="eastAsia" w:ascii="宋体" w:hAnsi="宋体" w:eastAsia="宋体"/>
          <w:b/>
          <w:sz w:val="24"/>
          <w:szCs w:val="24"/>
        </w:rPr>
        <w:t xml:space="preserve">第六章  </w:t>
      </w:r>
      <w:r>
        <w:rPr>
          <w:rFonts w:hint="eastAsia" w:ascii="宋体" w:hAnsi="宋体" w:eastAsia="宋体" w:cs="Times New Roman"/>
          <w:b/>
          <w:color w:val="000000"/>
          <w:sz w:val="24"/>
          <w:szCs w:val="24"/>
        </w:rPr>
        <w:t>响应文件格式</w:t>
      </w:r>
    </w:p>
    <w:p>
      <w:pPr>
        <w:wordWrap w:val="0"/>
        <w:spacing w:line="400" w:lineRule="exact"/>
        <w:rPr>
          <w:rFonts w:ascii="宋体" w:hAnsi="宋体" w:eastAsia="宋体" w:cs="Times New Roman"/>
          <w:szCs w:val="21"/>
        </w:rPr>
      </w:pPr>
    </w:p>
    <w:p>
      <w:pPr>
        <w:spacing w:line="400" w:lineRule="exac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附件一</w:t>
      </w:r>
    </w:p>
    <w:p>
      <w:pPr>
        <w:spacing w:line="400" w:lineRule="exact"/>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合格供应商的承诺书</w:t>
      </w:r>
    </w:p>
    <w:p>
      <w:pPr>
        <w:wordWrap w:val="0"/>
        <w:spacing w:line="400" w:lineRule="exact"/>
        <w:rPr>
          <w:rFonts w:ascii="宋体" w:hAnsi="宋体" w:eastAsia="宋体"/>
          <w:color w:val="000000" w:themeColor="text1"/>
          <w:szCs w:val="21"/>
          <w:u w:val="single"/>
          <w14:textFill>
            <w14:solidFill>
              <w14:schemeClr w14:val="tx1"/>
            </w14:solidFill>
          </w14:textFill>
        </w:rPr>
      </w:pPr>
    </w:p>
    <w:p>
      <w:pPr>
        <w:wordWrap w:val="0"/>
        <w:spacing w:line="400" w:lineRule="exact"/>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u w:val="single"/>
          <w14:textFill>
            <w14:solidFill>
              <w14:schemeClr w14:val="tx1"/>
            </w14:solidFill>
          </w14:textFill>
        </w:rPr>
        <w:t>余姚市人民政府凤山街道办事处</w:t>
      </w:r>
      <w:r>
        <w:rPr>
          <w:rFonts w:hint="eastAsia" w:ascii="宋体" w:hAnsi="宋体" w:eastAsia="宋体" w:cs="Times New Roman"/>
          <w:color w:val="000000" w:themeColor="text1"/>
          <w:szCs w:val="21"/>
          <w14:textFill>
            <w14:solidFill>
              <w14:schemeClr w14:val="tx1"/>
            </w14:solidFill>
          </w14:textFill>
        </w:rPr>
        <w:t>：</w:t>
      </w:r>
    </w:p>
    <w:p>
      <w:pPr>
        <w:wordWrap w:val="0"/>
        <w:spacing w:line="400" w:lineRule="exact"/>
        <w:ind w:firstLine="420" w:firstLineChars="200"/>
        <w:rPr>
          <w:rFonts w:ascii="宋体" w:hAnsi="宋体" w:eastAsia="宋体"/>
          <w:szCs w:val="21"/>
        </w:rPr>
      </w:pPr>
      <w:r>
        <w:rPr>
          <w:rFonts w:hint="eastAsia" w:ascii="宋体" w:hAnsi="宋体" w:eastAsia="宋体"/>
          <w:szCs w:val="21"/>
        </w:rPr>
        <w:t>我方根据</w:t>
      </w:r>
      <w:r>
        <w:rPr>
          <w:rFonts w:hint="eastAsia" w:ascii="宋体" w:hAnsi="宋体" w:eastAsia="宋体"/>
          <w:szCs w:val="21"/>
          <w:u w:val="single"/>
        </w:rPr>
        <w:t xml:space="preserve">          （项目编号）</w:t>
      </w:r>
      <w:r>
        <w:rPr>
          <w:rFonts w:hint="eastAsia" w:ascii="宋体" w:hAnsi="宋体" w:eastAsia="宋体"/>
          <w:szCs w:val="21"/>
        </w:rPr>
        <w:t>、</w:t>
      </w:r>
      <w:r>
        <w:rPr>
          <w:rFonts w:hint="eastAsia" w:ascii="宋体" w:hAnsi="宋体" w:eastAsia="宋体"/>
          <w:szCs w:val="21"/>
          <w:u w:val="single"/>
        </w:rPr>
        <w:t xml:space="preserve">          （项目名称）</w:t>
      </w:r>
      <w:r>
        <w:rPr>
          <w:rFonts w:hint="eastAsia" w:ascii="宋体" w:hAnsi="宋体" w:eastAsia="宋体"/>
          <w:szCs w:val="21"/>
        </w:rPr>
        <w:t>的采购文件要求，对供应商资格要求及供应商其他要求已进行自查。</w:t>
      </w:r>
    </w:p>
    <w:p>
      <w:pPr>
        <w:wordWrap w:val="0"/>
        <w:spacing w:line="400" w:lineRule="exact"/>
        <w:ind w:firstLine="420" w:firstLineChars="200"/>
        <w:rPr>
          <w:rFonts w:ascii="宋体" w:hAnsi="宋体" w:eastAsia="宋体"/>
          <w:szCs w:val="21"/>
        </w:rPr>
      </w:pPr>
      <w:r>
        <w:rPr>
          <w:rFonts w:hint="eastAsia" w:ascii="宋体" w:hAnsi="宋体" w:eastAsia="宋体"/>
          <w:szCs w:val="21"/>
        </w:rPr>
        <w:t>（一）我方满足《中华人民共和国政府采购法》第二十二条规定；我方未被“信用中国”（www.creditchina.gov.cn）、中国政府采购网（www.ccgp.gov.cn）列入失信被执行人、重大税收违法失信主体、政府采购严重违法失信行为记录名单。</w:t>
      </w:r>
    </w:p>
    <w:p>
      <w:pPr>
        <w:wordWrap w:val="0"/>
        <w:spacing w:line="400" w:lineRule="exact"/>
        <w:ind w:firstLine="420" w:firstLineChars="200"/>
        <w:rPr>
          <w:rFonts w:ascii="宋体" w:hAnsi="宋体" w:eastAsia="宋体"/>
          <w:szCs w:val="21"/>
        </w:rPr>
      </w:pPr>
      <w:r>
        <w:rPr>
          <w:rFonts w:hint="eastAsia" w:ascii="宋体" w:hAnsi="宋体" w:eastAsia="宋体"/>
          <w:szCs w:val="21"/>
        </w:rPr>
        <w:t>（二）我方声明：我方在参加政府采购活动前三年内，在经营活动中没有重大违法记录。</w:t>
      </w:r>
    </w:p>
    <w:p>
      <w:pPr>
        <w:wordWrap w:val="0"/>
        <w:spacing w:line="400" w:lineRule="exact"/>
        <w:ind w:firstLine="420" w:firstLineChars="200"/>
        <w:rPr>
          <w:rFonts w:ascii="宋体" w:hAnsi="宋体" w:eastAsia="宋体"/>
          <w:szCs w:val="21"/>
        </w:rPr>
      </w:pPr>
      <w:r>
        <w:rPr>
          <w:rFonts w:hint="eastAsia" w:ascii="宋体" w:hAnsi="宋体" w:eastAsia="宋体"/>
          <w:szCs w:val="21"/>
        </w:rPr>
        <w:t>（三）单位负责人为同一人或者存在直接控股、管理关系的不同供应商，不参加同一合同项下的政府采购活动。</w:t>
      </w:r>
    </w:p>
    <w:p>
      <w:pPr>
        <w:wordWrap w:val="0"/>
        <w:spacing w:line="400" w:lineRule="exact"/>
        <w:ind w:firstLine="420" w:firstLineChars="200"/>
        <w:rPr>
          <w:rFonts w:ascii="宋体" w:hAnsi="宋体" w:eastAsia="宋体"/>
          <w:szCs w:val="21"/>
        </w:rPr>
      </w:pPr>
      <w:r>
        <w:rPr>
          <w:rFonts w:hint="eastAsia" w:ascii="宋体" w:hAnsi="宋体" w:eastAsia="宋体"/>
          <w:szCs w:val="21"/>
        </w:rPr>
        <w:t>（四）除单一来源采购项目外，我方不是为本项目提供整体设计、规范编制或者项目管理、监理、检测等服务的供应商。</w:t>
      </w:r>
    </w:p>
    <w:p>
      <w:pPr>
        <w:wordWrap w:val="0"/>
        <w:spacing w:line="400" w:lineRule="exact"/>
        <w:ind w:firstLine="420" w:firstLineChars="200"/>
        <w:rPr>
          <w:rFonts w:ascii="宋体" w:hAnsi="宋体" w:eastAsia="宋体"/>
          <w:szCs w:val="21"/>
        </w:rPr>
      </w:pPr>
      <w:r>
        <w:rPr>
          <w:rFonts w:hint="eastAsia" w:ascii="宋体" w:hAnsi="宋体" w:eastAsia="宋体"/>
          <w:szCs w:val="21"/>
        </w:rPr>
        <w:t>特此承诺。</w:t>
      </w:r>
    </w:p>
    <w:p>
      <w:pPr>
        <w:wordWrap w:val="0"/>
        <w:spacing w:line="400" w:lineRule="exact"/>
        <w:rPr>
          <w:rFonts w:ascii="宋体" w:hAnsi="宋体" w:eastAsia="宋体" w:cs="Times New Roman"/>
          <w:szCs w:val="21"/>
        </w:rPr>
      </w:pPr>
    </w:p>
    <w:p>
      <w:pPr>
        <w:wordWrap w:val="0"/>
        <w:spacing w:line="400" w:lineRule="exact"/>
        <w:rPr>
          <w:rFonts w:ascii="宋体" w:hAnsi="宋体" w:eastAsia="宋体" w:cs="Times New Roman"/>
          <w:szCs w:val="21"/>
        </w:rPr>
      </w:pP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供应商或联合体牵头人或联合体成员（盖电子公章）：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szCs w:val="21"/>
        </w:rPr>
      </w:pPr>
      <w:r>
        <w:rPr>
          <w:rFonts w:hint="eastAsia" w:ascii="宋体" w:hAnsi="宋体" w:eastAsia="宋体" w:cs="Times New Roman"/>
          <w:szCs w:val="21"/>
        </w:rPr>
        <w:t>法定代表人或授权代表（签字或盖章）：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日期：</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日</w:t>
      </w:r>
    </w:p>
    <w:p>
      <w:pPr>
        <w:spacing w:line="400" w:lineRule="exact"/>
        <w:jc w:val="left"/>
        <w:rPr>
          <w:rFonts w:ascii="宋体" w:hAnsi="宋体" w:eastAsia="宋体" w:cs="Times New Roman"/>
          <w:color w:val="000000" w:themeColor="text1"/>
          <w:szCs w:val="21"/>
          <w14:textFill>
            <w14:solidFill>
              <w14:schemeClr w14:val="tx1"/>
            </w14:solidFill>
          </w14:textFill>
        </w:rPr>
        <w:sectPr>
          <w:pgSz w:w="11906" w:h="16838"/>
          <w:pgMar w:top="1418" w:right="1418" w:bottom="1418" w:left="1418" w:header="851" w:footer="992" w:gutter="0"/>
          <w:cols w:space="425" w:num="1"/>
          <w:docGrid w:type="lines" w:linePitch="312" w:charSpace="0"/>
        </w:sectPr>
      </w:pPr>
    </w:p>
    <w:p>
      <w:pPr>
        <w:spacing w:line="400" w:lineRule="exact"/>
        <w:jc w:val="lef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附件二</w:t>
      </w:r>
    </w:p>
    <w:p>
      <w:pPr>
        <w:spacing w:line="400" w:lineRule="exact"/>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供应商基本情况表</w:t>
      </w:r>
    </w:p>
    <w:p>
      <w:pPr>
        <w:spacing w:line="400" w:lineRule="exact"/>
        <w:jc w:val="left"/>
        <w:rPr>
          <w:rFonts w:ascii="宋体" w:hAnsi="宋体" w:eastAsia="宋体" w:cs="Times New Roman"/>
          <w:b/>
          <w:color w:val="000000" w:themeColor="text1"/>
          <w:szCs w:val="21"/>
          <w14:textFill>
            <w14:solidFill>
              <w14:schemeClr w14:val="tx1"/>
            </w14:solidFill>
          </w14:textFill>
        </w:rPr>
      </w:pPr>
    </w:p>
    <w:tbl>
      <w:tblPr>
        <w:tblStyle w:val="11"/>
        <w:tblW w:w="90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1208"/>
        <w:gridCol w:w="9"/>
        <w:gridCol w:w="1267"/>
        <w:gridCol w:w="992"/>
        <w:gridCol w:w="175"/>
        <w:gridCol w:w="1243"/>
        <w:gridCol w:w="495"/>
        <w:gridCol w:w="696"/>
        <w:gridCol w:w="12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1"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供应商或联合体牵头人或联合体成员名称</w:t>
            </w:r>
          </w:p>
        </w:tc>
        <w:tc>
          <w:tcPr>
            <w:tcW w:w="7302" w:type="dxa"/>
            <w:gridSpan w:val="9"/>
            <w:vAlign w:val="center"/>
          </w:tcPr>
          <w:p>
            <w:pPr>
              <w:snapToGrid w:val="0"/>
              <w:rPr>
                <w:rFonts w:ascii="宋体" w:hAnsi="宋体" w:eastAsia="宋体"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1"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注册地址</w:t>
            </w:r>
          </w:p>
        </w:tc>
        <w:tc>
          <w:tcPr>
            <w:tcW w:w="3651" w:type="dxa"/>
            <w:gridSpan w:val="5"/>
            <w:vAlign w:val="center"/>
          </w:tcPr>
          <w:p>
            <w:pPr>
              <w:snapToGrid w:val="0"/>
              <w:rPr>
                <w:rFonts w:ascii="宋体" w:hAnsi="宋体" w:eastAsia="宋体" w:cs="Times New Roman"/>
                <w:szCs w:val="21"/>
              </w:rPr>
            </w:pPr>
          </w:p>
        </w:tc>
        <w:tc>
          <w:tcPr>
            <w:tcW w:w="1243"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邮政编码</w:t>
            </w:r>
          </w:p>
        </w:tc>
        <w:tc>
          <w:tcPr>
            <w:tcW w:w="2408" w:type="dxa"/>
            <w:gridSpan w:val="3"/>
            <w:vAlign w:val="center"/>
          </w:tcPr>
          <w:p>
            <w:pPr>
              <w:snapToGrid w:val="0"/>
              <w:rPr>
                <w:rFonts w:ascii="宋体" w:hAnsi="宋体" w:eastAsia="宋体"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1" w:type="dxa"/>
            <w:vMerge w:val="restart"/>
            <w:vAlign w:val="center"/>
          </w:tcPr>
          <w:p>
            <w:pPr>
              <w:snapToGrid w:val="0"/>
              <w:jc w:val="center"/>
              <w:rPr>
                <w:rFonts w:ascii="宋体" w:hAnsi="宋体" w:eastAsia="宋体" w:cs="Times New Roman"/>
                <w:szCs w:val="21"/>
              </w:rPr>
            </w:pPr>
            <w:r>
              <w:rPr>
                <w:rFonts w:hint="eastAsia" w:ascii="宋体" w:hAnsi="宋体" w:eastAsia="宋体" w:cs="Times New Roman"/>
                <w:szCs w:val="21"/>
              </w:rPr>
              <w:t>联系方式</w:t>
            </w:r>
          </w:p>
        </w:tc>
        <w:tc>
          <w:tcPr>
            <w:tcW w:w="1208"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联系人</w:t>
            </w:r>
          </w:p>
        </w:tc>
        <w:tc>
          <w:tcPr>
            <w:tcW w:w="2443" w:type="dxa"/>
            <w:gridSpan w:val="4"/>
            <w:vAlign w:val="center"/>
          </w:tcPr>
          <w:p>
            <w:pPr>
              <w:snapToGrid w:val="0"/>
              <w:rPr>
                <w:rFonts w:ascii="宋体" w:hAnsi="宋体" w:eastAsia="宋体" w:cs="Times New Roman"/>
                <w:szCs w:val="21"/>
              </w:rPr>
            </w:pPr>
          </w:p>
        </w:tc>
        <w:tc>
          <w:tcPr>
            <w:tcW w:w="1243"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电话</w:t>
            </w:r>
          </w:p>
        </w:tc>
        <w:tc>
          <w:tcPr>
            <w:tcW w:w="2408" w:type="dxa"/>
            <w:gridSpan w:val="3"/>
            <w:vAlign w:val="center"/>
          </w:tcPr>
          <w:p>
            <w:pPr>
              <w:snapToGrid w:val="0"/>
              <w:rPr>
                <w:rFonts w:ascii="宋体" w:hAnsi="宋体" w:eastAsia="宋体"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1" w:type="dxa"/>
            <w:vMerge w:val="continue"/>
            <w:vAlign w:val="center"/>
          </w:tcPr>
          <w:p>
            <w:pPr>
              <w:snapToGrid w:val="0"/>
              <w:jc w:val="center"/>
              <w:rPr>
                <w:rFonts w:ascii="宋体" w:hAnsi="宋体" w:eastAsia="宋体" w:cs="Times New Roman"/>
                <w:szCs w:val="21"/>
              </w:rPr>
            </w:pPr>
          </w:p>
        </w:tc>
        <w:tc>
          <w:tcPr>
            <w:tcW w:w="1208"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传真</w:t>
            </w:r>
          </w:p>
        </w:tc>
        <w:tc>
          <w:tcPr>
            <w:tcW w:w="2443" w:type="dxa"/>
            <w:gridSpan w:val="4"/>
            <w:vAlign w:val="center"/>
          </w:tcPr>
          <w:p>
            <w:pPr>
              <w:snapToGrid w:val="0"/>
              <w:rPr>
                <w:rFonts w:ascii="宋体" w:hAnsi="宋体" w:eastAsia="宋体" w:cs="Times New Roman"/>
                <w:szCs w:val="21"/>
              </w:rPr>
            </w:pPr>
          </w:p>
        </w:tc>
        <w:tc>
          <w:tcPr>
            <w:tcW w:w="1243"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网址</w:t>
            </w:r>
          </w:p>
        </w:tc>
        <w:tc>
          <w:tcPr>
            <w:tcW w:w="2408" w:type="dxa"/>
            <w:gridSpan w:val="3"/>
            <w:vAlign w:val="center"/>
          </w:tcPr>
          <w:p>
            <w:pPr>
              <w:snapToGrid w:val="0"/>
              <w:rPr>
                <w:rFonts w:ascii="宋体" w:hAnsi="宋体" w:eastAsia="宋体"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1"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组织结构</w:t>
            </w:r>
          </w:p>
        </w:tc>
        <w:tc>
          <w:tcPr>
            <w:tcW w:w="7302" w:type="dxa"/>
            <w:gridSpan w:val="9"/>
            <w:vAlign w:val="center"/>
          </w:tcPr>
          <w:p>
            <w:pPr>
              <w:snapToGrid w:val="0"/>
              <w:rPr>
                <w:rFonts w:ascii="宋体" w:hAnsi="宋体" w:eastAsia="宋体"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1"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法定代表人</w:t>
            </w:r>
          </w:p>
        </w:tc>
        <w:tc>
          <w:tcPr>
            <w:tcW w:w="1217" w:type="dxa"/>
            <w:gridSpan w:val="2"/>
            <w:vAlign w:val="center"/>
          </w:tcPr>
          <w:p>
            <w:pPr>
              <w:snapToGrid w:val="0"/>
              <w:jc w:val="center"/>
              <w:rPr>
                <w:rFonts w:ascii="宋体" w:hAnsi="宋体" w:eastAsia="宋体" w:cs="Times New Roman"/>
                <w:szCs w:val="21"/>
              </w:rPr>
            </w:pPr>
            <w:r>
              <w:rPr>
                <w:rFonts w:hint="eastAsia" w:ascii="宋体" w:hAnsi="宋体" w:eastAsia="宋体" w:cs="Times New Roman"/>
                <w:szCs w:val="21"/>
              </w:rPr>
              <w:t>姓名</w:t>
            </w:r>
          </w:p>
        </w:tc>
        <w:tc>
          <w:tcPr>
            <w:tcW w:w="1267" w:type="dxa"/>
            <w:vAlign w:val="center"/>
          </w:tcPr>
          <w:p>
            <w:pPr>
              <w:snapToGrid w:val="0"/>
              <w:rPr>
                <w:rFonts w:ascii="宋体" w:hAnsi="宋体" w:eastAsia="宋体" w:cs="Times New Roman"/>
                <w:szCs w:val="21"/>
              </w:rPr>
            </w:pPr>
          </w:p>
        </w:tc>
        <w:tc>
          <w:tcPr>
            <w:tcW w:w="1167" w:type="dxa"/>
            <w:gridSpan w:val="2"/>
            <w:vAlign w:val="center"/>
          </w:tcPr>
          <w:p>
            <w:pPr>
              <w:snapToGrid w:val="0"/>
              <w:jc w:val="center"/>
              <w:rPr>
                <w:rFonts w:ascii="宋体" w:hAnsi="宋体" w:eastAsia="宋体" w:cs="Times New Roman"/>
                <w:szCs w:val="21"/>
              </w:rPr>
            </w:pPr>
            <w:r>
              <w:rPr>
                <w:rFonts w:hint="eastAsia" w:ascii="宋体" w:hAnsi="宋体" w:eastAsia="宋体" w:cs="Times New Roman"/>
                <w:szCs w:val="21"/>
              </w:rPr>
              <w:t>技术职称</w:t>
            </w:r>
          </w:p>
        </w:tc>
        <w:tc>
          <w:tcPr>
            <w:tcW w:w="1243" w:type="dxa"/>
            <w:vAlign w:val="center"/>
          </w:tcPr>
          <w:p>
            <w:pPr>
              <w:snapToGrid w:val="0"/>
              <w:rPr>
                <w:rFonts w:ascii="宋体" w:hAnsi="宋体" w:eastAsia="宋体" w:cs="Times New Roman"/>
                <w:szCs w:val="21"/>
              </w:rPr>
            </w:pPr>
          </w:p>
        </w:tc>
        <w:tc>
          <w:tcPr>
            <w:tcW w:w="1191" w:type="dxa"/>
            <w:gridSpan w:val="2"/>
            <w:vAlign w:val="center"/>
          </w:tcPr>
          <w:p>
            <w:pPr>
              <w:snapToGrid w:val="0"/>
              <w:jc w:val="center"/>
              <w:rPr>
                <w:rFonts w:ascii="宋体" w:hAnsi="宋体" w:eastAsia="宋体" w:cs="Times New Roman"/>
                <w:szCs w:val="21"/>
              </w:rPr>
            </w:pPr>
            <w:r>
              <w:rPr>
                <w:rFonts w:hint="eastAsia" w:ascii="宋体" w:hAnsi="宋体" w:eastAsia="宋体" w:cs="Times New Roman"/>
                <w:szCs w:val="21"/>
              </w:rPr>
              <w:t>电话</w:t>
            </w:r>
          </w:p>
        </w:tc>
        <w:tc>
          <w:tcPr>
            <w:tcW w:w="1217" w:type="dxa"/>
            <w:vAlign w:val="center"/>
          </w:tcPr>
          <w:p>
            <w:pPr>
              <w:snapToGrid w:val="0"/>
              <w:rPr>
                <w:rFonts w:ascii="宋体" w:hAnsi="宋体" w:eastAsia="宋体"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1"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企业主要负责人</w:t>
            </w:r>
          </w:p>
        </w:tc>
        <w:tc>
          <w:tcPr>
            <w:tcW w:w="1217" w:type="dxa"/>
            <w:gridSpan w:val="2"/>
            <w:vAlign w:val="center"/>
          </w:tcPr>
          <w:p>
            <w:pPr>
              <w:snapToGrid w:val="0"/>
              <w:jc w:val="center"/>
              <w:rPr>
                <w:rFonts w:ascii="宋体" w:hAnsi="宋体" w:eastAsia="宋体" w:cs="Times New Roman"/>
                <w:szCs w:val="21"/>
              </w:rPr>
            </w:pPr>
            <w:r>
              <w:rPr>
                <w:rFonts w:hint="eastAsia" w:ascii="宋体" w:hAnsi="宋体" w:eastAsia="宋体" w:cs="Times New Roman"/>
                <w:szCs w:val="21"/>
              </w:rPr>
              <w:t>姓名</w:t>
            </w:r>
          </w:p>
        </w:tc>
        <w:tc>
          <w:tcPr>
            <w:tcW w:w="1267" w:type="dxa"/>
            <w:vAlign w:val="center"/>
          </w:tcPr>
          <w:p>
            <w:pPr>
              <w:snapToGrid w:val="0"/>
              <w:rPr>
                <w:rFonts w:ascii="宋体" w:hAnsi="宋体" w:eastAsia="宋体" w:cs="Times New Roman"/>
                <w:szCs w:val="21"/>
              </w:rPr>
            </w:pPr>
          </w:p>
        </w:tc>
        <w:tc>
          <w:tcPr>
            <w:tcW w:w="1167" w:type="dxa"/>
            <w:gridSpan w:val="2"/>
            <w:vAlign w:val="center"/>
          </w:tcPr>
          <w:p>
            <w:pPr>
              <w:snapToGrid w:val="0"/>
              <w:jc w:val="center"/>
              <w:rPr>
                <w:rFonts w:ascii="宋体" w:hAnsi="宋体" w:eastAsia="宋体" w:cs="Times New Roman"/>
                <w:szCs w:val="21"/>
              </w:rPr>
            </w:pPr>
            <w:r>
              <w:rPr>
                <w:rFonts w:hint="eastAsia" w:ascii="宋体" w:hAnsi="宋体" w:eastAsia="宋体" w:cs="Times New Roman"/>
                <w:szCs w:val="21"/>
              </w:rPr>
              <w:t>技术职称</w:t>
            </w:r>
          </w:p>
        </w:tc>
        <w:tc>
          <w:tcPr>
            <w:tcW w:w="1243" w:type="dxa"/>
            <w:vAlign w:val="center"/>
          </w:tcPr>
          <w:p>
            <w:pPr>
              <w:snapToGrid w:val="0"/>
              <w:rPr>
                <w:rFonts w:ascii="宋体" w:hAnsi="宋体" w:eastAsia="宋体" w:cs="Times New Roman"/>
                <w:szCs w:val="21"/>
              </w:rPr>
            </w:pPr>
          </w:p>
        </w:tc>
        <w:tc>
          <w:tcPr>
            <w:tcW w:w="1191" w:type="dxa"/>
            <w:gridSpan w:val="2"/>
            <w:vAlign w:val="center"/>
          </w:tcPr>
          <w:p>
            <w:pPr>
              <w:snapToGrid w:val="0"/>
              <w:jc w:val="center"/>
              <w:rPr>
                <w:rFonts w:ascii="宋体" w:hAnsi="宋体" w:eastAsia="宋体" w:cs="Times New Roman"/>
                <w:szCs w:val="21"/>
              </w:rPr>
            </w:pPr>
            <w:r>
              <w:rPr>
                <w:rFonts w:hint="eastAsia" w:ascii="宋体" w:hAnsi="宋体" w:eastAsia="宋体" w:cs="Times New Roman"/>
                <w:szCs w:val="21"/>
              </w:rPr>
              <w:t>电话</w:t>
            </w:r>
          </w:p>
        </w:tc>
        <w:tc>
          <w:tcPr>
            <w:tcW w:w="1217" w:type="dxa"/>
            <w:vAlign w:val="center"/>
          </w:tcPr>
          <w:p>
            <w:pPr>
              <w:snapToGrid w:val="0"/>
              <w:rPr>
                <w:rFonts w:ascii="宋体" w:hAnsi="宋体" w:eastAsia="宋体"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1"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成立时间</w:t>
            </w:r>
          </w:p>
        </w:tc>
        <w:tc>
          <w:tcPr>
            <w:tcW w:w="2484" w:type="dxa"/>
            <w:gridSpan w:val="3"/>
            <w:vAlign w:val="center"/>
          </w:tcPr>
          <w:p>
            <w:pPr>
              <w:snapToGrid w:val="0"/>
              <w:rPr>
                <w:rFonts w:ascii="宋体" w:hAnsi="宋体" w:eastAsia="宋体" w:cs="Times New Roman"/>
                <w:szCs w:val="21"/>
              </w:rPr>
            </w:pPr>
          </w:p>
        </w:tc>
        <w:tc>
          <w:tcPr>
            <w:tcW w:w="4818" w:type="dxa"/>
            <w:gridSpan w:val="6"/>
            <w:vAlign w:val="center"/>
          </w:tcPr>
          <w:p>
            <w:pPr>
              <w:snapToGrid w:val="0"/>
              <w:rPr>
                <w:rFonts w:ascii="宋体" w:hAnsi="宋体" w:eastAsia="宋体" w:cs="Times New Roman"/>
                <w:szCs w:val="21"/>
              </w:rPr>
            </w:pPr>
            <w:r>
              <w:rPr>
                <w:rFonts w:hint="eastAsia" w:ascii="宋体" w:hAnsi="宋体" w:eastAsia="宋体" w:cs="Times New Roman"/>
                <w:szCs w:val="21"/>
              </w:rPr>
              <w:t>员工总人数：</w:t>
            </w:r>
            <w:r>
              <w:rPr>
                <w:rFonts w:hint="eastAsia" w:ascii="宋体" w:hAnsi="宋体" w:eastAsia="宋体" w:cs="Times New Roman"/>
                <w:szCs w:val="21"/>
                <w:u w:val="single"/>
              </w:rPr>
              <w:t xml:space="preserve">    </w:t>
            </w:r>
            <w:r>
              <w:rPr>
                <w:rFonts w:hint="eastAsia" w:ascii="宋体" w:hAnsi="宋体" w:eastAsia="宋体" w:cs="Times New Roman"/>
                <w:szCs w:val="21"/>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1"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企业资质等级</w:t>
            </w:r>
          </w:p>
        </w:tc>
        <w:tc>
          <w:tcPr>
            <w:tcW w:w="2484" w:type="dxa"/>
            <w:gridSpan w:val="3"/>
            <w:vAlign w:val="center"/>
          </w:tcPr>
          <w:p>
            <w:pPr>
              <w:snapToGrid w:val="0"/>
              <w:rPr>
                <w:rFonts w:ascii="宋体" w:hAnsi="宋体" w:eastAsia="宋体" w:cs="Times New Roman"/>
                <w:szCs w:val="21"/>
              </w:rPr>
            </w:pPr>
          </w:p>
        </w:tc>
        <w:tc>
          <w:tcPr>
            <w:tcW w:w="992" w:type="dxa"/>
            <w:vMerge w:val="restart"/>
            <w:vAlign w:val="center"/>
          </w:tcPr>
          <w:p>
            <w:pPr>
              <w:snapToGrid w:val="0"/>
              <w:jc w:val="center"/>
              <w:rPr>
                <w:rFonts w:ascii="宋体" w:hAnsi="宋体" w:eastAsia="宋体" w:cs="Times New Roman"/>
                <w:szCs w:val="21"/>
              </w:rPr>
            </w:pPr>
            <w:r>
              <w:rPr>
                <w:rFonts w:hint="eastAsia" w:ascii="宋体" w:hAnsi="宋体" w:eastAsia="宋体" w:cs="Times New Roman"/>
                <w:szCs w:val="21"/>
              </w:rPr>
              <w:t>其中</w:t>
            </w:r>
          </w:p>
        </w:tc>
        <w:tc>
          <w:tcPr>
            <w:tcW w:w="1913" w:type="dxa"/>
            <w:gridSpan w:val="3"/>
            <w:vAlign w:val="center"/>
          </w:tcPr>
          <w:p>
            <w:pPr>
              <w:snapToGrid w:val="0"/>
              <w:rPr>
                <w:rFonts w:ascii="宋体" w:hAnsi="宋体" w:eastAsia="宋体" w:cs="Times New Roman"/>
                <w:szCs w:val="21"/>
              </w:rPr>
            </w:pPr>
            <w:r>
              <w:rPr>
                <w:rFonts w:hint="eastAsia" w:ascii="宋体" w:hAnsi="宋体" w:eastAsia="宋体" w:cs="Times New Roman"/>
                <w:szCs w:val="21"/>
              </w:rPr>
              <w:t>高级职称人员</w:t>
            </w:r>
          </w:p>
        </w:tc>
        <w:tc>
          <w:tcPr>
            <w:tcW w:w="1913" w:type="dxa"/>
            <w:gridSpan w:val="2"/>
            <w:vAlign w:val="center"/>
          </w:tcPr>
          <w:p>
            <w:pPr>
              <w:snapToGrid w:val="0"/>
              <w:rPr>
                <w:rFonts w:ascii="宋体" w:hAnsi="宋体" w:eastAsia="宋体" w:cs="Times New Roman"/>
                <w:szCs w:val="21"/>
              </w:rPr>
            </w:pPr>
            <w:r>
              <w:rPr>
                <w:rFonts w:hint="eastAsia" w:ascii="宋体" w:hAnsi="宋体" w:eastAsia="宋体" w:cs="Times New Roman"/>
                <w:szCs w:val="21"/>
                <w:u w:val="single"/>
              </w:rPr>
              <w:t xml:space="preserve">    </w:t>
            </w:r>
            <w:r>
              <w:rPr>
                <w:rFonts w:hint="eastAsia" w:ascii="宋体" w:hAnsi="宋体" w:eastAsia="宋体" w:cs="Times New Roman"/>
                <w:szCs w:val="21"/>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1"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营业执照号或事业单位法人证书号</w:t>
            </w:r>
          </w:p>
        </w:tc>
        <w:tc>
          <w:tcPr>
            <w:tcW w:w="2484" w:type="dxa"/>
            <w:gridSpan w:val="3"/>
            <w:vAlign w:val="center"/>
          </w:tcPr>
          <w:p>
            <w:pPr>
              <w:snapToGrid w:val="0"/>
              <w:rPr>
                <w:rFonts w:ascii="宋体" w:hAnsi="宋体" w:eastAsia="宋体" w:cs="Times New Roman"/>
                <w:szCs w:val="21"/>
              </w:rPr>
            </w:pPr>
          </w:p>
        </w:tc>
        <w:tc>
          <w:tcPr>
            <w:tcW w:w="992" w:type="dxa"/>
            <w:vMerge w:val="continue"/>
            <w:vAlign w:val="center"/>
          </w:tcPr>
          <w:p>
            <w:pPr>
              <w:snapToGrid w:val="0"/>
              <w:rPr>
                <w:rFonts w:ascii="宋体" w:hAnsi="宋体" w:eastAsia="宋体" w:cs="Times New Roman"/>
                <w:szCs w:val="21"/>
              </w:rPr>
            </w:pPr>
          </w:p>
        </w:tc>
        <w:tc>
          <w:tcPr>
            <w:tcW w:w="1913" w:type="dxa"/>
            <w:gridSpan w:val="3"/>
            <w:vAlign w:val="center"/>
          </w:tcPr>
          <w:p>
            <w:pPr>
              <w:snapToGrid w:val="0"/>
              <w:rPr>
                <w:rFonts w:ascii="宋体" w:hAnsi="宋体" w:eastAsia="宋体" w:cs="Times New Roman"/>
                <w:szCs w:val="21"/>
              </w:rPr>
            </w:pPr>
            <w:r>
              <w:rPr>
                <w:rFonts w:hint="eastAsia" w:ascii="宋体" w:hAnsi="宋体" w:eastAsia="宋体" w:cs="Times New Roman"/>
                <w:szCs w:val="21"/>
              </w:rPr>
              <w:t>中级职称人员</w:t>
            </w:r>
          </w:p>
        </w:tc>
        <w:tc>
          <w:tcPr>
            <w:tcW w:w="1913" w:type="dxa"/>
            <w:gridSpan w:val="2"/>
            <w:vAlign w:val="center"/>
          </w:tcPr>
          <w:p>
            <w:pPr>
              <w:snapToGrid w:val="0"/>
              <w:rPr>
                <w:rFonts w:ascii="宋体" w:hAnsi="宋体" w:eastAsia="宋体" w:cs="Times New Roman"/>
                <w:szCs w:val="21"/>
              </w:rPr>
            </w:pPr>
            <w:r>
              <w:rPr>
                <w:rFonts w:hint="eastAsia" w:ascii="宋体" w:hAnsi="宋体" w:eastAsia="宋体" w:cs="Times New Roman"/>
                <w:szCs w:val="21"/>
                <w:u w:val="single"/>
              </w:rPr>
              <w:t xml:space="preserve">    </w:t>
            </w:r>
            <w:r>
              <w:rPr>
                <w:rFonts w:hint="eastAsia" w:ascii="宋体" w:hAnsi="宋体" w:eastAsia="宋体" w:cs="Times New Roman"/>
                <w:szCs w:val="21"/>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1"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注册资金</w:t>
            </w:r>
          </w:p>
        </w:tc>
        <w:tc>
          <w:tcPr>
            <w:tcW w:w="2484" w:type="dxa"/>
            <w:gridSpan w:val="3"/>
            <w:vAlign w:val="center"/>
          </w:tcPr>
          <w:p>
            <w:pPr>
              <w:snapToGrid w:val="0"/>
              <w:rPr>
                <w:rFonts w:ascii="宋体" w:hAnsi="宋体" w:eastAsia="宋体" w:cs="Times New Roman"/>
                <w:szCs w:val="21"/>
              </w:rPr>
            </w:pPr>
          </w:p>
        </w:tc>
        <w:tc>
          <w:tcPr>
            <w:tcW w:w="992" w:type="dxa"/>
            <w:vMerge w:val="continue"/>
            <w:vAlign w:val="center"/>
          </w:tcPr>
          <w:p>
            <w:pPr>
              <w:snapToGrid w:val="0"/>
              <w:rPr>
                <w:rFonts w:ascii="宋体" w:hAnsi="宋体" w:eastAsia="宋体" w:cs="Times New Roman"/>
                <w:szCs w:val="21"/>
              </w:rPr>
            </w:pPr>
          </w:p>
        </w:tc>
        <w:tc>
          <w:tcPr>
            <w:tcW w:w="1913" w:type="dxa"/>
            <w:gridSpan w:val="3"/>
            <w:vAlign w:val="center"/>
          </w:tcPr>
          <w:p>
            <w:pPr>
              <w:snapToGrid w:val="0"/>
              <w:rPr>
                <w:rFonts w:ascii="宋体" w:hAnsi="宋体" w:eastAsia="宋体" w:cs="Times New Roman"/>
                <w:szCs w:val="21"/>
              </w:rPr>
            </w:pPr>
            <w:r>
              <w:rPr>
                <w:rFonts w:hint="eastAsia" w:ascii="宋体" w:hAnsi="宋体" w:eastAsia="宋体" w:cs="Times New Roman"/>
                <w:szCs w:val="21"/>
              </w:rPr>
              <w:t>初级职称人员</w:t>
            </w:r>
          </w:p>
        </w:tc>
        <w:tc>
          <w:tcPr>
            <w:tcW w:w="1913" w:type="dxa"/>
            <w:gridSpan w:val="2"/>
            <w:vAlign w:val="center"/>
          </w:tcPr>
          <w:p>
            <w:pPr>
              <w:snapToGrid w:val="0"/>
              <w:rPr>
                <w:rFonts w:ascii="宋体" w:hAnsi="宋体" w:eastAsia="宋体" w:cs="Times New Roman"/>
                <w:szCs w:val="21"/>
              </w:rPr>
            </w:pPr>
            <w:r>
              <w:rPr>
                <w:rFonts w:hint="eastAsia" w:ascii="宋体" w:hAnsi="宋体" w:eastAsia="宋体" w:cs="Times New Roman"/>
                <w:szCs w:val="21"/>
                <w:u w:val="single"/>
              </w:rPr>
              <w:t xml:space="preserve">    </w:t>
            </w:r>
            <w:r>
              <w:rPr>
                <w:rFonts w:hint="eastAsia" w:ascii="宋体" w:hAnsi="宋体" w:eastAsia="宋体" w:cs="Times New Roman"/>
                <w:szCs w:val="21"/>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1"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开户银行</w:t>
            </w:r>
          </w:p>
        </w:tc>
        <w:tc>
          <w:tcPr>
            <w:tcW w:w="2484" w:type="dxa"/>
            <w:gridSpan w:val="3"/>
            <w:vAlign w:val="center"/>
          </w:tcPr>
          <w:p>
            <w:pPr>
              <w:snapToGrid w:val="0"/>
              <w:rPr>
                <w:rFonts w:ascii="宋体" w:hAnsi="宋体" w:eastAsia="宋体" w:cs="Times New Roman"/>
                <w:szCs w:val="21"/>
              </w:rPr>
            </w:pPr>
          </w:p>
        </w:tc>
        <w:tc>
          <w:tcPr>
            <w:tcW w:w="992" w:type="dxa"/>
            <w:vMerge w:val="continue"/>
            <w:vAlign w:val="center"/>
          </w:tcPr>
          <w:p>
            <w:pPr>
              <w:snapToGrid w:val="0"/>
              <w:rPr>
                <w:rFonts w:ascii="宋体" w:hAnsi="宋体" w:eastAsia="宋体" w:cs="Times New Roman"/>
                <w:szCs w:val="21"/>
              </w:rPr>
            </w:pPr>
          </w:p>
        </w:tc>
        <w:tc>
          <w:tcPr>
            <w:tcW w:w="1913" w:type="dxa"/>
            <w:gridSpan w:val="3"/>
            <w:vAlign w:val="center"/>
          </w:tcPr>
          <w:p>
            <w:pPr>
              <w:snapToGrid w:val="0"/>
              <w:rPr>
                <w:rFonts w:ascii="宋体" w:hAnsi="宋体" w:eastAsia="宋体" w:cs="Times New Roman"/>
                <w:szCs w:val="21"/>
              </w:rPr>
            </w:pPr>
            <w:r>
              <w:rPr>
                <w:rFonts w:hint="eastAsia" w:ascii="宋体" w:hAnsi="宋体" w:eastAsia="宋体" w:cs="Times New Roman"/>
                <w:szCs w:val="21"/>
              </w:rPr>
              <w:t>其他</w:t>
            </w:r>
          </w:p>
        </w:tc>
        <w:tc>
          <w:tcPr>
            <w:tcW w:w="1913" w:type="dxa"/>
            <w:gridSpan w:val="2"/>
            <w:vAlign w:val="center"/>
          </w:tcPr>
          <w:p>
            <w:pPr>
              <w:snapToGrid w:val="0"/>
              <w:rPr>
                <w:rFonts w:ascii="宋体" w:hAnsi="宋体" w:eastAsia="宋体" w:cs="Times New Roman"/>
                <w:szCs w:val="21"/>
              </w:rPr>
            </w:pPr>
            <w:r>
              <w:rPr>
                <w:rFonts w:hint="eastAsia" w:ascii="宋体" w:hAnsi="宋体" w:eastAsia="宋体" w:cs="Times New Roman"/>
                <w:szCs w:val="21"/>
                <w:u w:val="single"/>
              </w:rPr>
              <w:t xml:space="preserve">    </w:t>
            </w:r>
            <w:r>
              <w:rPr>
                <w:rFonts w:hint="eastAsia" w:ascii="宋体" w:hAnsi="宋体" w:eastAsia="宋体" w:cs="Times New Roman"/>
                <w:szCs w:val="21"/>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1"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账号</w:t>
            </w:r>
          </w:p>
        </w:tc>
        <w:tc>
          <w:tcPr>
            <w:tcW w:w="2484" w:type="dxa"/>
            <w:gridSpan w:val="3"/>
            <w:vAlign w:val="center"/>
          </w:tcPr>
          <w:p>
            <w:pPr>
              <w:snapToGrid w:val="0"/>
              <w:rPr>
                <w:rFonts w:ascii="宋体" w:hAnsi="宋体" w:eastAsia="宋体" w:cs="Times New Roman"/>
                <w:szCs w:val="21"/>
              </w:rPr>
            </w:pPr>
          </w:p>
        </w:tc>
        <w:tc>
          <w:tcPr>
            <w:tcW w:w="992" w:type="dxa"/>
            <w:vMerge w:val="continue"/>
            <w:vAlign w:val="center"/>
          </w:tcPr>
          <w:p>
            <w:pPr>
              <w:snapToGrid w:val="0"/>
              <w:rPr>
                <w:rFonts w:ascii="宋体" w:hAnsi="宋体" w:eastAsia="宋体" w:cs="Times New Roman"/>
                <w:szCs w:val="21"/>
              </w:rPr>
            </w:pPr>
          </w:p>
        </w:tc>
        <w:tc>
          <w:tcPr>
            <w:tcW w:w="1913" w:type="dxa"/>
            <w:gridSpan w:val="3"/>
            <w:vAlign w:val="center"/>
          </w:tcPr>
          <w:p>
            <w:pPr>
              <w:snapToGrid w:val="0"/>
              <w:rPr>
                <w:rFonts w:ascii="宋体" w:hAnsi="宋体" w:eastAsia="宋体" w:cs="Times New Roman"/>
                <w:szCs w:val="21"/>
              </w:rPr>
            </w:pPr>
          </w:p>
        </w:tc>
        <w:tc>
          <w:tcPr>
            <w:tcW w:w="1913" w:type="dxa"/>
            <w:gridSpan w:val="2"/>
            <w:vAlign w:val="center"/>
          </w:tcPr>
          <w:p>
            <w:pPr>
              <w:snapToGrid w:val="0"/>
              <w:rPr>
                <w:rFonts w:ascii="宋体" w:hAnsi="宋体" w:eastAsia="宋体"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1" w:type="dxa"/>
            <w:vAlign w:val="center"/>
          </w:tcPr>
          <w:p>
            <w:pPr>
              <w:snapToGrid w:val="0"/>
              <w:jc w:val="center"/>
              <w:rPr>
                <w:rFonts w:ascii="宋体" w:hAnsi="宋体" w:eastAsia="宋体" w:cs="Times New Roman"/>
                <w:szCs w:val="21"/>
              </w:rPr>
            </w:pPr>
            <w:r>
              <w:rPr>
                <w:rFonts w:hint="eastAsia" w:ascii="宋体" w:hAnsi="宋体" w:eastAsia="宋体" w:cs="Times New Roman"/>
                <w:szCs w:val="21"/>
              </w:rPr>
              <w:t>具备履行合同所必需的设备和专业技术能力的简介</w:t>
            </w:r>
          </w:p>
        </w:tc>
        <w:tc>
          <w:tcPr>
            <w:tcW w:w="7302" w:type="dxa"/>
            <w:gridSpan w:val="9"/>
            <w:vAlign w:val="center"/>
          </w:tcPr>
          <w:p>
            <w:pPr>
              <w:snapToGrid w:val="0"/>
              <w:rPr>
                <w:rFonts w:ascii="宋体" w:hAnsi="宋体" w:eastAsia="宋体" w:cs="Times New Roman"/>
                <w:szCs w:val="21"/>
              </w:rPr>
            </w:pPr>
          </w:p>
        </w:tc>
      </w:tr>
    </w:tbl>
    <w:p>
      <w:pPr>
        <w:wordWrap w:val="0"/>
        <w:spacing w:line="400" w:lineRule="exact"/>
        <w:rPr>
          <w:rFonts w:ascii="宋体" w:hAnsi="宋体" w:eastAsia="宋体" w:cs="Times New Roman"/>
          <w:szCs w:val="21"/>
        </w:rPr>
      </w:pPr>
    </w:p>
    <w:p>
      <w:pPr>
        <w:wordWrap w:val="0"/>
        <w:spacing w:line="400" w:lineRule="exact"/>
        <w:rPr>
          <w:rFonts w:ascii="宋体" w:hAnsi="宋体" w:eastAsia="宋体" w:cs="Times New Roman"/>
          <w:szCs w:val="21"/>
        </w:rPr>
      </w:pP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供应商或联合体牵头人或联合体成员（盖电子公章）：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日期：</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日</w:t>
      </w:r>
    </w:p>
    <w:p>
      <w:pPr>
        <w:spacing w:line="400" w:lineRule="exact"/>
        <w:jc w:val="right"/>
        <w:rPr>
          <w:rFonts w:ascii="宋体" w:hAnsi="宋体" w:eastAsia="宋体" w:cs="Times New Roman"/>
          <w:b/>
          <w:color w:val="000000" w:themeColor="text1"/>
          <w:sz w:val="24"/>
          <w:szCs w:val="24"/>
          <w14:textFill>
            <w14:solidFill>
              <w14:schemeClr w14:val="tx1"/>
            </w14:solidFill>
          </w14:textFill>
        </w:rPr>
        <w:sectPr>
          <w:pgSz w:w="11906" w:h="16838"/>
          <w:pgMar w:top="1418" w:right="1418" w:bottom="1418" w:left="1418" w:header="851" w:footer="992" w:gutter="0"/>
          <w:cols w:space="425" w:num="1"/>
          <w:docGrid w:type="lines" w:linePitch="312" w:charSpace="0"/>
        </w:sectPr>
      </w:pPr>
    </w:p>
    <w:p>
      <w:pPr>
        <w:spacing w:line="400" w:lineRule="exac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附件三</w:t>
      </w:r>
    </w:p>
    <w:p>
      <w:pPr>
        <w:spacing w:line="400" w:lineRule="exact"/>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联合体协议书</w:t>
      </w:r>
    </w:p>
    <w:p>
      <w:pPr>
        <w:wordWrap w:val="0"/>
        <w:spacing w:line="400" w:lineRule="exact"/>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shd w:val="clear" w:color="auto" w:fill="BEBEBE" w:themeFill="background1" w:themeFillShade="BF"/>
          <w14:textFill>
            <w14:solidFill>
              <w14:schemeClr w14:val="tx1"/>
            </w14:solidFill>
          </w14:textFill>
        </w:rPr>
        <w:t>（供应商以联合体方式响应的必须提供联合体协议书，否则作无效标处理）</w:t>
      </w:r>
    </w:p>
    <w:p>
      <w:pPr>
        <w:wordWrap w:val="0"/>
        <w:spacing w:line="400" w:lineRule="exact"/>
        <w:rPr>
          <w:rFonts w:ascii="宋体" w:hAnsi="宋体" w:eastAsia="宋体"/>
          <w:szCs w:val="21"/>
          <w:u w:val="single"/>
        </w:rPr>
      </w:pPr>
    </w:p>
    <w:p>
      <w:pPr>
        <w:wordWrap w:val="0"/>
        <w:spacing w:line="400" w:lineRule="exact"/>
        <w:ind w:firstLine="420" w:firstLineChars="200"/>
        <w:rPr>
          <w:rFonts w:ascii="宋体" w:hAnsi="宋体" w:eastAsia="宋体"/>
          <w:szCs w:val="21"/>
        </w:rPr>
      </w:pPr>
      <w:r>
        <w:rPr>
          <w:rFonts w:hint="eastAsia" w:ascii="宋体" w:hAnsi="宋体" w:eastAsia="宋体"/>
          <w:szCs w:val="21"/>
          <w:u w:val="single"/>
        </w:rPr>
        <w:t xml:space="preserve">          （所有成员单位名称）</w:t>
      </w:r>
      <w:r>
        <w:rPr>
          <w:rFonts w:hint="eastAsia" w:ascii="宋体" w:hAnsi="宋体" w:eastAsia="宋体"/>
          <w:szCs w:val="21"/>
        </w:rPr>
        <w:t>自愿组成</w:t>
      </w:r>
      <w:r>
        <w:rPr>
          <w:rFonts w:hint="eastAsia" w:ascii="宋体" w:hAnsi="宋体" w:eastAsia="宋体"/>
          <w:szCs w:val="21"/>
          <w:u w:val="single"/>
        </w:rPr>
        <w:t xml:space="preserve">          （联合体名称）</w:t>
      </w:r>
      <w:r>
        <w:rPr>
          <w:rFonts w:hint="eastAsia" w:ascii="宋体" w:hAnsi="宋体" w:eastAsia="宋体"/>
          <w:szCs w:val="21"/>
        </w:rPr>
        <w:t>联合体，共同参加</w:t>
      </w:r>
      <w:r>
        <w:rPr>
          <w:rFonts w:hint="eastAsia" w:ascii="宋体" w:hAnsi="宋体" w:eastAsia="宋体"/>
          <w:szCs w:val="21"/>
          <w:u w:val="single"/>
        </w:rPr>
        <w:t xml:space="preserve">          （项目编号）</w:t>
      </w:r>
      <w:r>
        <w:rPr>
          <w:rFonts w:hint="eastAsia" w:ascii="宋体" w:hAnsi="宋体" w:eastAsia="宋体"/>
          <w:szCs w:val="21"/>
        </w:rPr>
        <w:t>、</w:t>
      </w:r>
      <w:r>
        <w:rPr>
          <w:rFonts w:hint="eastAsia" w:ascii="宋体" w:hAnsi="宋体" w:eastAsia="宋体"/>
          <w:szCs w:val="21"/>
          <w:u w:val="single"/>
        </w:rPr>
        <w:t xml:space="preserve">          （项目名称）</w:t>
      </w:r>
      <w:r>
        <w:rPr>
          <w:rFonts w:hint="eastAsia" w:ascii="宋体" w:hAnsi="宋体" w:eastAsia="宋体"/>
          <w:szCs w:val="21"/>
        </w:rPr>
        <w:t>的响应。现就联合体响应事宜订立如下协议。</w:t>
      </w:r>
    </w:p>
    <w:p>
      <w:pPr>
        <w:wordWrap w:val="0"/>
        <w:spacing w:line="400" w:lineRule="exact"/>
        <w:ind w:firstLine="420" w:firstLineChars="200"/>
        <w:rPr>
          <w:rFonts w:ascii="宋体" w:hAnsi="宋体" w:eastAsia="宋体"/>
          <w:szCs w:val="21"/>
        </w:rPr>
      </w:pPr>
      <w:r>
        <w:rPr>
          <w:rFonts w:hint="eastAsia" w:ascii="宋体" w:hAnsi="宋体" w:eastAsia="宋体"/>
          <w:szCs w:val="21"/>
        </w:rPr>
        <w:t>1</w:t>
      </w:r>
      <w:r>
        <w:rPr>
          <w:rFonts w:ascii="宋体" w:hAnsi="宋体" w:eastAsia="宋体"/>
          <w:szCs w:val="21"/>
        </w:rPr>
        <w:t>.</w:t>
      </w:r>
      <w:r>
        <w:rPr>
          <w:rFonts w:hint="eastAsia" w:ascii="宋体" w:hAnsi="宋体" w:eastAsia="宋体"/>
          <w:szCs w:val="21"/>
          <w:u w:val="single"/>
        </w:rPr>
        <w:t xml:space="preserve">          （某成员单位名称）</w:t>
      </w:r>
      <w:r>
        <w:rPr>
          <w:rFonts w:hint="eastAsia" w:ascii="宋体" w:hAnsi="宋体" w:eastAsia="宋体"/>
          <w:szCs w:val="21"/>
        </w:rPr>
        <w:t>为</w:t>
      </w:r>
      <w:r>
        <w:rPr>
          <w:rFonts w:hint="eastAsia" w:ascii="宋体" w:hAnsi="宋体" w:eastAsia="宋体"/>
          <w:szCs w:val="21"/>
          <w:u w:val="single"/>
        </w:rPr>
        <w:t xml:space="preserve">          （联合体名称）</w:t>
      </w:r>
      <w:r>
        <w:rPr>
          <w:rFonts w:hint="eastAsia" w:ascii="宋体" w:hAnsi="宋体" w:eastAsia="宋体"/>
          <w:szCs w:val="21"/>
        </w:rPr>
        <w:t>牵头人。</w:t>
      </w:r>
    </w:p>
    <w:p>
      <w:pPr>
        <w:wordWrap w:val="0"/>
        <w:spacing w:line="400" w:lineRule="exact"/>
        <w:ind w:firstLine="420" w:firstLineChars="200"/>
        <w:rPr>
          <w:rFonts w:ascii="宋体" w:hAnsi="宋体" w:eastAsia="宋体"/>
          <w:szCs w:val="21"/>
        </w:rPr>
      </w:pPr>
      <w:r>
        <w:rPr>
          <w:rFonts w:hint="eastAsia" w:ascii="宋体" w:hAnsi="宋体" w:eastAsia="宋体"/>
          <w:szCs w:val="21"/>
        </w:rPr>
        <w:t>2</w:t>
      </w:r>
      <w:r>
        <w:rPr>
          <w:rFonts w:ascii="宋体" w:hAnsi="宋体" w:eastAsia="宋体"/>
          <w:szCs w:val="21"/>
        </w:rPr>
        <w:t>.</w:t>
      </w:r>
      <w:r>
        <w:rPr>
          <w:rFonts w:hint="eastAsia" w:ascii="宋体" w:hAnsi="宋体" w:eastAsia="宋体"/>
          <w:szCs w:val="21"/>
        </w:rPr>
        <w:t>联合体牵头人合法代表联合体各成员负责本采购项目响应文件编制，参加采购活动，代表联合体提交和接收相关的资料、信息及指示，并处理与之有关的一切事务，负责合同实施阶段的主办、组织和协调工作。</w:t>
      </w:r>
    </w:p>
    <w:p>
      <w:pPr>
        <w:wordWrap w:val="0"/>
        <w:spacing w:line="400" w:lineRule="exact"/>
        <w:ind w:firstLine="420" w:firstLineChars="200"/>
        <w:rPr>
          <w:rFonts w:ascii="宋体" w:hAnsi="宋体" w:eastAsia="宋体"/>
          <w:szCs w:val="21"/>
        </w:rPr>
      </w:pPr>
      <w:r>
        <w:rPr>
          <w:rFonts w:hint="eastAsia" w:ascii="宋体" w:hAnsi="宋体" w:eastAsia="宋体"/>
          <w:szCs w:val="21"/>
        </w:rPr>
        <w:t>3</w:t>
      </w:r>
      <w:r>
        <w:rPr>
          <w:rFonts w:ascii="宋体" w:hAnsi="宋体" w:eastAsia="宋体"/>
          <w:szCs w:val="21"/>
        </w:rPr>
        <w:t>.</w:t>
      </w:r>
      <w:r>
        <w:rPr>
          <w:rFonts w:hint="eastAsia" w:ascii="宋体" w:hAnsi="宋体" w:eastAsia="宋体"/>
          <w:szCs w:val="21"/>
        </w:rPr>
        <w:t>联合体将严格按照采购文件的各项要求，递交响应文件，履行合同，并对外承担连带责任。</w:t>
      </w:r>
    </w:p>
    <w:p>
      <w:pPr>
        <w:wordWrap w:val="0"/>
        <w:spacing w:line="400" w:lineRule="exact"/>
        <w:ind w:firstLine="420" w:firstLineChars="200"/>
        <w:rPr>
          <w:rFonts w:ascii="宋体" w:hAnsi="宋体" w:eastAsia="宋体"/>
          <w:szCs w:val="21"/>
        </w:rPr>
      </w:pPr>
      <w:r>
        <w:rPr>
          <w:rFonts w:hint="eastAsia" w:ascii="宋体" w:hAnsi="宋体" w:eastAsia="宋体"/>
          <w:szCs w:val="21"/>
        </w:rPr>
        <w:t>4</w:t>
      </w:r>
      <w:r>
        <w:rPr>
          <w:rFonts w:ascii="宋体" w:hAnsi="宋体" w:eastAsia="宋体"/>
          <w:szCs w:val="21"/>
        </w:rPr>
        <w:t>.</w:t>
      </w:r>
      <w:r>
        <w:rPr>
          <w:rFonts w:hint="eastAsia" w:ascii="宋体" w:hAnsi="宋体" w:eastAsia="宋体"/>
          <w:szCs w:val="21"/>
        </w:rPr>
        <w:t>联合体各成员单位内部的职责分工如下：</w:t>
      </w:r>
    </w:p>
    <w:p>
      <w:pPr>
        <w:wordWrap w:val="0"/>
        <w:spacing w:line="400" w:lineRule="exact"/>
        <w:ind w:firstLine="420" w:firstLineChars="200"/>
        <w:rPr>
          <w:rFonts w:ascii="宋体" w:hAnsi="宋体" w:eastAsia="宋体"/>
          <w:szCs w:val="21"/>
          <w:u w:val="single"/>
        </w:rPr>
      </w:pPr>
      <w:r>
        <w:rPr>
          <w:rFonts w:hint="eastAsia" w:ascii="宋体" w:hAnsi="宋体" w:eastAsia="宋体"/>
          <w:szCs w:val="21"/>
        </w:rPr>
        <w:t>（1）</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u w:val="single"/>
        </w:rPr>
        <w:t>（联合体牵头人名称）</w:t>
      </w:r>
      <w:r>
        <w:rPr>
          <w:rFonts w:hint="eastAsia" w:ascii="宋体" w:hAnsi="宋体" w:eastAsia="宋体"/>
          <w:szCs w:val="21"/>
        </w:rPr>
        <w:t>承担的工作和义务为</w:t>
      </w:r>
      <w:r>
        <w:rPr>
          <w:rFonts w:hint="eastAsia" w:ascii="宋体" w:hAnsi="宋体" w:eastAsia="宋体"/>
          <w:szCs w:val="21"/>
          <w:u w:val="single"/>
        </w:rPr>
        <w:t xml:space="preserve">          </w:t>
      </w:r>
      <w:r>
        <w:rPr>
          <w:rFonts w:hint="eastAsia" w:ascii="宋体" w:hAnsi="宋体" w:eastAsia="宋体"/>
          <w:szCs w:val="21"/>
        </w:rPr>
        <w:t>，占项目合同金额的</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rPr>
        <w:t>。</w:t>
      </w:r>
    </w:p>
    <w:p>
      <w:pPr>
        <w:wordWrap w:val="0"/>
        <w:spacing w:line="400" w:lineRule="exact"/>
        <w:ind w:firstLine="420" w:firstLineChars="200"/>
        <w:rPr>
          <w:rFonts w:ascii="宋体" w:hAnsi="宋体" w:eastAsia="宋体"/>
          <w:szCs w:val="21"/>
        </w:rPr>
      </w:pPr>
      <w:r>
        <w:rPr>
          <w:rFonts w:hint="eastAsia" w:ascii="宋体" w:hAnsi="宋体" w:eastAsia="宋体"/>
          <w:szCs w:val="21"/>
        </w:rPr>
        <w:t>（2）</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u w:val="single"/>
        </w:rPr>
        <w:t>（联合体成员一名称）</w:t>
      </w:r>
      <w:r>
        <w:rPr>
          <w:rFonts w:hint="eastAsia" w:ascii="宋体" w:hAnsi="宋体" w:eastAsia="宋体"/>
          <w:szCs w:val="21"/>
        </w:rPr>
        <w:t>承担的工作和义务为</w:t>
      </w:r>
      <w:r>
        <w:rPr>
          <w:rFonts w:hint="eastAsia" w:ascii="宋体" w:hAnsi="宋体" w:eastAsia="宋体"/>
          <w:szCs w:val="21"/>
          <w:u w:val="single"/>
        </w:rPr>
        <w:t xml:space="preserve">          </w:t>
      </w:r>
      <w:r>
        <w:rPr>
          <w:rFonts w:hint="eastAsia" w:ascii="宋体" w:hAnsi="宋体" w:eastAsia="宋体"/>
          <w:szCs w:val="21"/>
        </w:rPr>
        <w:t>，占项目合同金额的</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rPr>
        <w:t>。</w:t>
      </w:r>
    </w:p>
    <w:p>
      <w:pPr>
        <w:wordWrap w:val="0"/>
        <w:spacing w:line="400" w:lineRule="exact"/>
        <w:ind w:firstLine="422" w:firstLineChars="200"/>
        <w:rPr>
          <w:rFonts w:ascii="宋体" w:hAnsi="宋体" w:eastAsia="宋体"/>
          <w:b/>
          <w:bCs/>
          <w:szCs w:val="21"/>
          <w:u w:val="single"/>
        </w:rPr>
      </w:pPr>
      <w:r>
        <w:rPr>
          <w:rFonts w:hint="eastAsia" w:ascii="宋体" w:hAnsi="宋体" w:eastAsia="宋体" w:cs="Times New Roman"/>
          <w:b/>
          <w:bCs/>
          <w:szCs w:val="21"/>
        </w:rPr>
        <w:t>......（如有多个联合体成员的，按同格式增加）</w:t>
      </w:r>
    </w:p>
    <w:p>
      <w:pPr>
        <w:wordWrap w:val="0"/>
        <w:spacing w:line="400" w:lineRule="exact"/>
        <w:ind w:firstLine="420" w:firstLineChars="200"/>
        <w:rPr>
          <w:rFonts w:ascii="宋体" w:hAnsi="宋体" w:eastAsia="宋体"/>
          <w:szCs w:val="21"/>
        </w:rPr>
      </w:pPr>
      <w:r>
        <w:rPr>
          <w:rFonts w:ascii="宋体" w:hAnsi="宋体" w:eastAsia="宋体"/>
          <w:szCs w:val="21"/>
        </w:rPr>
        <w:t>5.</w:t>
      </w:r>
      <w:r>
        <w:rPr>
          <w:rFonts w:hint="eastAsia" w:ascii="宋体" w:hAnsi="宋体" w:eastAsia="宋体" w:cs="Times New Roman"/>
          <w:szCs w:val="21"/>
        </w:rPr>
        <w:t>联合体所有成员单位之间</w:t>
      </w:r>
      <w:r>
        <w:rPr>
          <w:rFonts w:hint="eastAsia" w:ascii="宋体" w:hAnsi="宋体" w:eastAsia="宋体" w:cs="Times New Roman"/>
          <w:szCs w:val="21"/>
          <w:u w:val="single"/>
        </w:rPr>
        <w:t xml:space="preserve">          （存在或不存在）</w:t>
      </w:r>
      <w:r>
        <w:rPr>
          <w:rFonts w:hint="eastAsia" w:ascii="宋体" w:hAnsi="宋体" w:eastAsia="宋体" w:cs="Times New Roman"/>
          <w:szCs w:val="21"/>
        </w:rPr>
        <w:t>直接控股、管理关系的情形。</w:t>
      </w:r>
    </w:p>
    <w:p>
      <w:pPr>
        <w:wordWrap w:val="0"/>
        <w:spacing w:line="400" w:lineRule="exact"/>
        <w:ind w:firstLine="420" w:firstLineChars="200"/>
        <w:rPr>
          <w:rFonts w:ascii="宋体" w:hAnsi="宋体" w:eastAsia="宋体"/>
          <w:szCs w:val="21"/>
        </w:rPr>
      </w:pPr>
      <w:r>
        <w:rPr>
          <w:rFonts w:ascii="宋体" w:hAnsi="宋体" w:eastAsia="宋体"/>
          <w:szCs w:val="21"/>
        </w:rPr>
        <w:t>6.</w:t>
      </w:r>
      <w:r>
        <w:rPr>
          <w:rFonts w:hint="eastAsia" w:ascii="宋体" w:hAnsi="宋体" w:eastAsia="宋体"/>
          <w:szCs w:val="21"/>
        </w:rPr>
        <w:t>本协议书自签署之日起生效，合同履行完毕后自动失效。</w:t>
      </w:r>
    </w:p>
    <w:p>
      <w:pPr>
        <w:wordWrap w:val="0"/>
        <w:spacing w:line="400" w:lineRule="exact"/>
        <w:rPr>
          <w:rFonts w:ascii="宋体" w:hAnsi="宋体" w:eastAsia="宋体" w:cs="Times New Roman"/>
          <w:szCs w:val="21"/>
        </w:rPr>
      </w:pPr>
    </w:p>
    <w:p>
      <w:pPr>
        <w:wordWrap w:val="0"/>
        <w:spacing w:line="400" w:lineRule="exact"/>
        <w:rPr>
          <w:rFonts w:ascii="宋体" w:hAnsi="宋体" w:eastAsia="宋体" w:cs="Times New Roman"/>
          <w:szCs w:val="21"/>
        </w:rPr>
      </w:pP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联合体牵头人（盖电子公章）：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szCs w:val="21"/>
        </w:rPr>
      </w:pPr>
      <w:r>
        <w:rPr>
          <w:rFonts w:hint="eastAsia" w:ascii="宋体" w:hAnsi="宋体" w:eastAsia="宋体" w:cs="Times New Roman"/>
          <w:szCs w:val="21"/>
        </w:rPr>
        <w:t>法定代表人或授权代表（签字或盖章）：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cs="Times New Roman"/>
          <w:szCs w:val="21"/>
        </w:rPr>
      </w:pP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联合体成员一（盖单位公章）：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法定代表人（签字或盖章）：</w:t>
      </w:r>
      <w:r>
        <w:rPr>
          <w:rFonts w:hint="eastAsia" w:ascii="宋体" w:hAnsi="宋体" w:eastAsia="宋体"/>
          <w:szCs w:val="21"/>
          <w:u w:val="single"/>
        </w:rPr>
        <w:t xml:space="preserve">          </w:t>
      </w:r>
    </w:p>
    <w:p>
      <w:pPr>
        <w:wordWrap w:val="0"/>
        <w:spacing w:line="400" w:lineRule="exact"/>
        <w:ind w:firstLine="2530" w:firstLineChars="1200"/>
        <w:rPr>
          <w:rFonts w:ascii="宋体" w:hAnsi="宋体" w:eastAsia="宋体" w:cs="Times New Roman"/>
          <w:b/>
          <w:bCs/>
          <w:szCs w:val="21"/>
        </w:rPr>
      </w:pPr>
      <w:r>
        <w:rPr>
          <w:rFonts w:hint="eastAsia" w:ascii="宋体" w:hAnsi="宋体" w:eastAsia="宋体" w:cs="Times New Roman"/>
          <w:b/>
          <w:bCs/>
          <w:szCs w:val="21"/>
        </w:rPr>
        <w:t>......（如有多个联合体成员的，按同格式增加）</w:t>
      </w:r>
    </w:p>
    <w:p>
      <w:pPr>
        <w:wordWrap w:val="0"/>
        <w:spacing w:line="400" w:lineRule="exact"/>
        <w:ind w:firstLine="2520" w:firstLineChars="1200"/>
        <w:rPr>
          <w:rFonts w:ascii="宋体" w:hAnsi="宋体" w:eastAsia="宋体" w:cs="Times New Roman"/>
          <w:szCs w:val="21"/>
        </w:rPr>
      </w:pPr>
    </w:p>
    <w:p>
      <w:pPr>
        <w:wordWrap w:val="0"/>
        <w:spacing w:line="400" w:lineRule="exact"/>
        <w:ind w:firstLine="2520" w:firstLineChars="1200"/>
        <w:rPr>
          <w:rFonts w:ascii="宋体" w:hAnsi="宋体" w:eastAsia="宋体"/>
          <w:szCs w:val="21"/>
        </w:rPr>
      </w:pPr>
      <w:r>
        <w:rPr>
          <w:rFonts w:hint="eastAsia" w:ascii="宋体" w:hAnsi="宋体" w:eastAsia="宋体" w:cs="Times New Roman"/>
          <w:szCs w:val="21"/>
        </w:rPr>
        <w:t>日期：</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日</w:t>
      </w:r>
    </w:p>
    <w:p>
      <w:pPr>
        <w:spacing w:line="400" w:lineRule="exact"/>
        <w:jc w:val="left"/>
        <w:rPr>
          <w:rFonts w:ascii="宋体" w:hAnsi="宋体" w:eastAsia="宋体" w:cs="Times New Roman"/>
          <w:color w:val="000000" w:themeColor="text1"/>
          <w:szCs w:val="21"/>
          <w14:textFill>
            <w14:solidFill>
              <w14:schemeClr w14:val="tx1"/>
            </w14:solidFill>
          </w14:textFill>
        </w:rPr>
        <w:sectPr>
          <w:pgSz w:w="11906" w:h="16838"/>
          <w:pgMar w:top="1418" w:right="1418" w:bottom="1418" w:left="1418" w:header="851" w:footer="992" w:gutter="0"/>
          <w:cols w:space="425" w:num="1"/>
          <w:docGrid w:type="lines" w:linePitch="312" w:charSpace="0"/>
        </w:sectPr>
      </w:pPr>
    </w:p>
    <w:p>
      <w:pPr>
        <w:spacing w:line="400" w:lineRule="exact"/>
        <w:jc w:val="lef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附件四</w:t>
      </w:r>
    </w:p>
    <w:p>
      <w:pPr>
        <w:spacing w:line="400" w:lineRule="exact"/>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初次报价表</w:t>
      </w:r>
    </w:p>
    <w:p>
      <w:pPr>
        <w:spacing w:line="400" w:lineRule="exact"/>
        <w:rPr>
          <w:rFonts w:ascii="宋体" w:hAnsi="宋体" w:eastAsia="宋体" w:cs="Times New Roman"/>
          <w:b/>
          <w:color w:val="000000" w:themeColor="text1"/>
          <w:szCs w:val="21"/>
          <w14:textFill>
            <w14:solidFill>
              <w14:schemeClr w14:val="tx1"/>
            </w14:solidFill>
          </w14:textFill>
        </w:rPr>
      </w:pPr>
    </w:p>
    <w:p>
      <w:pPr>
        <w:wordWrap w:val="0"/>
        <w:spacing w:line="400" w:lineRule="exact"/>
        <w:rPr>
          <w:rFonts w:ascii="宋体" w:hAnsi="宋体" w:eastAsia="宋体"/>
          <w:szCs w:val="21"/>
        </w:rPr>
      </w:pPr>
      <w:r>
        <w:rPr>
          <w:rFonts w:hint="eastAsia" w:ascii="宋体" w:hAnsi="宋体" w:eastAsia="宋体"/>
          <w:szCs w:val="21"/>
        </w:rPr>
        <w:t>项目编号：</w:t>
      </w:r>
      <w:r>
        <w:rPr>
          <w:rFonts w:hint="eastAsia" w:ascii="宋体" w:hAnsi="宋体" w:eastAsia="宋体"/>
          <w:szCs w:val="21"/>
          <w:u w:val="single"/>
        </w:rPr>
        <w:t xml:space="preserve">                    </w:t>
      </w:r>
    </w:p>
    <w:p>
      <w:pPr>
        <w:wordWrap w:val="0"/>
        <w:spacing w:line="400" w:lineRule="exact"/>
        <w:rPr>
          <w:rFonts w:ascii="宋体" w:hAnsi="宋体" w:eastAsia="宋体"/>
          <w:szCs w:val="21"/>
          <w:u w:val="single"/>
        </w:rPr>
      </w:pPr>
      <w:r>
        <w:rPr>
          <w:rFonts w:hint="eastAsia" w:ascii="宋体" w:hAnsi="宋体" w:eastAsia="宋体"/>
          <w:szCs w:val="21"/>
        </w:rPr>
        <w:t>项目名称：</w:t>
      </w:r>
      <w:r>
        <w:rPr>
          <w:rFonts w:hint="eastAsia" w:ascii="宋体" w:hAnsi="宋体" w:eastAsia="宋体"/>
          <w:szCs w:val="21"/>
          <w:u w:val="single"/>
        </w:rPr>
        <w:t xml:space="preserve">                    </w:t>
      </w:r>
    </w:p>
    <w:p>
      <w:pPr>
        <w:wordWrap w:val="0"/>
        <w:spacing w:line="400" w:lineRule="exact"/>
        <w:jc w:val="right"/>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价格单位：人民币元</w:t>
      </w:r>
    </w:p>
    <w:tbl>
      <w:tblPr>
        <w:tblStyle w:val="11"/>
        <w:tblW w:w="909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73"/>
        <w:gridCol w:w="2689"/>
        <w:gridCol w:w="946"/>
        <w:gridCol w:w="3260"/>
        <w:gridCol w:w="142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773" w:type="dxa"/>
            <w:vAlign w:val="center"/>
          </w:tcPr>
          <w:p>
            <w:pPr>
              <w:ind w:left="-42" w:leftChars="-20" w:right="-42" w:rightChars="-20"/>
              <w:jc w:val="center"/>
              <w:rPr>
                <w:rFonts w:ascii="宋体" w:hAnsi="宋体" w:eastAsia="宋体" w:cs="Times New Roman"/>
                <w:b/>
                <w:szCs w:val="21"/>
              </w:rPr>
            </w:pPr>
            <w:r>
              <w:rPr>
                <w:rFonts w:hint="eastAsia" w:ascii="宋体" w:hAnsi="宋体" w:eastAsia="宋体" w:cs="Times New Roman"/>
                <w:b/>
                <w:szCs w:val="21"/>
              </w:rPr>
              <w:t>序号</w:t>
            </w:r>
          </w:p>
        </w:tc>
        <w:tc>
          <w:tcPr>
            <w:tcW w:w="2689" w:type="dxa"/>
            <w:tcBorders>
              <w:right w:val="single" w:color="auto" w:sz="4" w:space="0"/>
            </w:tcBorders>
            <w:vAlign w:val="center"/>
          </w:tcPr>
          <w:p>
            <w:pPr>
              <w:jc w:val="center"/>
              <w:rPr>
                <w:rFonts w:ascii="宋体" w:hAnsi="宋体" w:eastAsia="宋体" w:cs="Times New Roman"/>
                <w:b/>
                <w:szCs w:val="21"/>
              </w:rPr>
            </w:pPr>
            <w:r>
              <w:rPr>
                <w:rFonts w:hint="eastAsia" w:ascii="宋体" w:hAnsi="宋体" w:eastAsia="宋体" w:cs="Times New Roman"/>
                <w:b/>
                <w:szCs w:val="21"/>
              </w:rPr>
              <w:t>采购内容</w:t>
            </w:r>
          </w:p>
        </w:tc>
        <w:tc>
          <w:tcPr>
            <w:tcW w:w="946" w:type="dxa"/>
            <w:tcBorders>
              <w:right w:val="single" w:color="auto" w:sz="4" w:space="0"/>
            </w:tcBorders>
            <w:vAlign w:val="center"/>
          </w:tcPr>
          <w:p>
            <w:pPr>
              <w:jc w:val="center"/>
              <w:rPr>
                <w:rFonts w:ascii="宋体" w:hAnsi="宋体" w:eastAsia="宋体" w:cs="Times New Roman"/>
                <w:b/>
                <w:szCs w:val="21"/>
              </w:rPr>
            </w:pPr>
            <w:r>
              <w:rPr>
                <w:rFonts w:hint="eastAsia" w:ascii="宋体" w:hAnsi="宋体" w:eastAsia="宋体" w:cs="Times New Roman"/>
                <w:b/>
                <w:szCs w:val="21"/>
              </w:rPr>
              <w:t>数量</w:t>
            </w:r>
          </w:p>
        </w:tc>
        <w:tc>
          <w:tcPr>
            <w:tcW w:w="3260" w:type="dxa"/>
            <w:tcBorders>
              <w:right w:val="single" w:color="auto" w:sz="4" w:space="0"/>
            </w:tcBorders>
            <w:vAlign w:val="center"/>
          </w:tcPr>
          <w:p>
            <w:pPr>
              <w:jc w:val="center"/>
              <w:rPr>
                <w:rFonts w:ascii="宋体" w:hAnsi="宋体" w:eastAsia="宋体" w:cs="Times New Roman"/>
                <w:b/>
                <w:szCs w:val="21"/>
              </w:rPr>
            </w:pPr>
            <w:r>
              <w:rPr>
                <w:rFonts w:hint="eastAsia" w:ascii="宋体" w:hAnsi="宋体" w:eastAsia="宋体" w:cs="Times New Roman"/>
                <w:b/>
                <w:szCs w:val="21"/>
              </w:rPr>
              <w:t>报价</w:t>
            </w:r>
          </w:p>
        </w:tc>
        <w:tc>
          <w:tcPr>
            <w:tcW w:w="1428" w:type="dxa"/>
            <w:tcBorders>
              <w:right w:val="single" w:color="auto" w:sz="4" w:space="0"/>
            </w:tcBorders>
            <w:vAlign w:val="center"/>
          </w:tcPr>
          <w:p>
            <w:pPr>
              <w:jc w:val="center"/>
              <w:rPr>
                <w:rFonts w:ascii="宋体" w:hAnsi="宋体" w:eastAsia="宋体" w:cs="Times New Roman"/>
                <w:b/>
                <w:szCs w:val="21"/>
              </w:rPr>
            </w:pPr>
            <w:r>
              <w:rPr>
                <w:rFonts w:hint="eastAsia" w:ascii="宋体" w:hAnsi="宋体" w:eastAsia="宋体" w:cs="Times New Roman"/>
                <w:b/>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773" w:type="dxa"/>
            <w:vAlign w:val="center"/>
          </w:tcPr>
          <w:p>
            <w:pPr>
              <w:jc w:val="center"/>
              <w:rPr>
                <w:rFonts w:ascii="宋体" w:hAnsi="宋体" w:eastAsia="宋体" w:cs="Times New Roman"/>
                <w:szCs w:val="21"/>
              </w:rPr>
            </w:pPr>
            <w:r>
              <w:rPr>
                <w:rFonts w:hint="eastAsia" w:ascii="宋体" w:hAnsi="宋体" w:eastAsia="宋体" w:cs="Times New Roman"/>
                <w:szCs w:val="21"/>
              </w:rPr>
              <w:t>1</w:t>
            </w:r>
          </w:p>
        </w:tc>
        <w:tc>
          <w:tcPr>
            <w:tcW w:w="2689" w:type="dxa"/>
            <w:tcBorders>
              <w:right w:val="single" w:color="auto" w:sz="4" w:space="0"/>
            </w:tcBorders>
            <w:vAlign w:val="center"/>
          </w:tcPr>
          <w:p>
            <w:pPr>
              <w:jc w:val="center"/>
              <w:rPr>
                <w:rFonts w:ascii="宋体" w:hAnsi="宋体" w:eastAsia="宋体" w:cs="Times New Roman"/>
                <w:szCs w:val="21"/>
              </w:rPr>
            </w:pPr>
            <w:r>
              <w:rPr>
                <w:rFonts w:hint="eastAsia" w:ascii="宋体" w:hAnsi="宋体" w:eastAsia="宋体" w:cs="Times New Roman"/>
                <w:szCs w:val="21"/>
              </w:rPr>
              <w:t>电教化设备</w:t>
            </w:r>
          </w:p>
        </w:tc>
        <w:tc>
          <w:tcPr>
            <w:tcW w:w="946" w:type="dxa"/>
            <w:tcBorders>
              <w:right w:val="single" w:color="auto" w:sz="4" w:space="0"/>
            </w:tcBorders>
            <w:vAlign w:val="center"/>
          </w:tcPr>
          <w:p>
            <w:pPr>
              <w:jc w:val="center"/>
              <w:rPr>
                <w:rFonts w:ascii="宋体" w:hAnsi="宋体" w:eastAsia="宋体" w:cs="Times New Roman"/>
                <w:szCs w:val="21"/>
              </w:rPr>
            </w:pPr>
            <w:r>
              <w:rPr>
                <w:rFonts w:hint="eastAsia" w:ascii="宋体" w:hAnsi="宋体" w:eastAsia="宋体" w:cs="Times New Roman"/>
                <w:szCs w:val="21"/>
              </w:rPr>
              <w:t>一批</w:t>
            </w:r>
          </w:p>
        </w:tc>
        <w:tc>
          <w:tcPr>
            <w:tcW w:w="3260" w:type="dxa"/>
            <w:tcBorders>
              <w:right w:val="single" w:color="auto" w:sz="4" w:space="0"/>
            </w:tcBorders>
            <w:vAlign w:val="center"/>
          </w:tcPr>
          <w:p>
            <w:pPr>
              <w:jc w:val="center"/>
              <w:rPr>
                <w:rFonts w:ascii="宋体" w:hAnsi="宋体" w:eastAsia="宋体" w:cs="Times New Roman"/>
                <w:b/>
                <w:szCs w:val="21"/>
              </w:rPr>
            </w:pPr>
            <w:r>
              <w:rPr>
                <w:rFonts w:hint="eastAsia" w:ascii="宋体" w:hAnsi="宋体" w:eastAsia="宋体" w:cs="Times New Roman"/>
                <w:b/>
                <w:szCs w:val="21"/>
              </w:rPr>
              <w:t>大写：</w:t>
            </w:r>
            <w:r>
              <w:rPr>
                <w:rFonts w:hint="eastAsia" w:ascii="宋体" w:hAnsi="宋体" w:eastAsia="宋体" w:cs="Times New Roman"/>
                <w:b/>
                <w:szCs w:val="21"/>
                <w:u w:val="single"/>
              </w:rPr>
              <w:t xml:space="preserve">          元整</w:t>
            </w:r>
          </w:p>
        </w:tc>
        <w:tc>
          <w:tcPr>
            <w:tcW w:w="1428" w:type="dxa"/>
            <w:tcBorders>
              <w:right w:val="single" w:color="auto" w:sz="4" w:space="0"/>
            </w:tcBorders>
            <w:vAlign w:val="center"/>
          </w:tcPr>
          <w:p>
            <w:pPr>
              <w:jc w:val="center"/>
              <w:rPr>
                <w:rFonts w:ascii="宋体" w:hAnsi="宋体" w:eastAsia="宋体" w:cs="Times New Roman"/>
                <w:b/>
                <w:szCs w:val="21"/>
              </w:rPr>
            </w:pPr>
            <w:r>
              <w:rPr>
                <w:rFonts w:hint="eastAsia" w:ascii="宋体" w:hAnsi="宋体" w:eastAsia="宋体" w:cs="Times New Roman"/>
                <w:b/>
                <w:szCs w:val="21"/>
              </w:rPr>
              <w:t>最高限价</w:t>
            </w:r>
          </w:p>
          <w:p>
            <w:pPr>
              <w:jc w:val="center"/>
              <w:rPr>
                <w:rFonts w:ascii="宋体" w:hAnsi="宋体" w:eastAsia="宋体" w:cs="Times New Roman"/>
                <w:b/>
                <w:szCs w:val="21"/>
              </w:rPr>
            </w:pPr>
            <w:r>
              <w:rPr>
                <w:rFonts w:hint="eastAsia" w:ascii="宋体" w:hAnsi="宋体" w:eastAsia="宋体" w:cs="Times New Roman"/>
                <w:b/>
                <w:szCs w:val="21"/>
              </w:rPr>
              <w:t>1500000元</w:t>
            </w:r>
          </w:p>
        </w:tc>
      </w:tr>
    </w:tbl>
    <w:p>
      <w:pPr>
        <w:wordWrap w:val="0"/>
        <w:spacing w:line="400" w:lineRule="exact"/>
        <w:rPr>
          <w:rFonts w:ascii="宋体" w:hAnsi="宋体" w:eastAsia="宋体"/>
          <w:b/>
          <w:szCs w:val="21"/>
        </w:rPr>
      </w:pPr>
      <w:r>
        <w:rPr>
          <w:rFonts w:hint="eastAsia" w:ascii="宋体" w:hAnsi="宋体" w:eastAsia="宋体"/>
          <w:b/>
          <w:szCs w:val="21"/>
        </w:rPr>
        <w:t>注：报价包括货物采购费、运输费、装卸费、安装调试费、场地清理费、验收费、培训费、售后服务费、必要的保险费、风险费、管理费、利润、税金、采购代理服务费等有关完成本项目的全部费用以及参加采购活动所发生的全部费用。</w:t>
      </w:r>
    </w:p>
    <w:p>
      <w:pPr>
        <w:wordWrap w:val="0"/>
        <w:spacing w:line="400" w:lineRule="exact"/>
        <w:rPr>
          <w:rFonts w:ascii="宋体" w:hAnsi="宋体" w:eastAsia="宋体" w:cs="Times New Roman"/>
          <w:szCs w:val="21"/>
        </w:rPr>
      </w:pP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供应商或联合体牵头人（盖电子公章）：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szCs w:val="21"/>
        </w:rPr>
      </w:pPr>
      <w:r>
        <w:rPr>
          <w:rFonts w:hint="eastAsia" w:ascii="宋体" w:hAnsi="宋体" w:eastAsia="宋体" w:cs="Times New Roman"/>
          <w:szCs w:val="21"/>
        </w:rPr>
        <w:t>法定代表人或授权代表（签字或盖章）：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日期：</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日</w:t>
      </w:r>
    </w:p>
    <w:p>
      <w:pPr>
        <w:spacing w:line="400" w:lineRule="exact"/>
        <w:rPr>
          <w:rFonts w:ascii="宋体" w:hAnsi="宋体" w:eastAsia="宋体" w:cs="Times New Roman"/>
          <w:szCs w:val="21"/>
        </w:rPr>
        <w:sectPr>
          <w:pgSz w:w="11906" w:h="16838"/>
          <w:pgMar w:top="1418" w:right="1418" w:bottom="1418" w:left="1418" w:header="851" w:footer="992" w:gutter="0"/>
          <w:cols w:space="425" w:num="1"/>
          <w:docGrid w:type="lines" w:linePitch="312" w:charSpace="0"/>
        </w:sectPr>
      </w:pPr>
    </w:p>
    <w:p>
      <w:pPr>
        <w:spacing w:line="400" w:lineRule="exact"/>
        <w:rPr>
          <w:rFonts w:ascii="宋体" w:hAnsi="宋体" w:eastAsia="宋体" w:cs="Times New Roman"/>
          <w:szCs w:val="21"/>
        </w:rPr>
      </w:pPr>
      <w:r>
        <w:rPr>
          <w:rFonts w:hint="eastAsia" w:ascii="宋体" w:hAnsi="宋体" w:eastAsia="宋体" w:cs="Times New Roman"/>
          <w:szCs w:val="21"/>
        </w:rPr>
        <w:t>附件五</w:t>
      </w:r>
    </w:p>
    <w:p>
      <w:pPr>
        <w:spacing w:line="400" w:lineRule="exact"/>
        <w:jc w:val="center"/>
        <w:rPr>
          <w:rFonts w:ascii="宋体" w:hAnsi="宋体" w:eastAsia="宋体" w:cs="Times New Roman"/>
          <w:b/>
          <w:sz w:val="24"/>
          <w:szCs w:val="24"/>
        </w:rPr>
      </w:pPr>
      <w:r>
        <w:rPr>
          <w:rFonts w:hint="eastAsia" w:ascii="宋体" w:hAnsi="宋体" w:eastAsia="宋体" w:cs="Times New Roman"/>
          <w:b/>
          <w:sz w:val="24"/>
          <w:szCs w:val="24"/>
        </w:rPr>
        <w:t>报价明细表</w:t>
      </w:r>
    </w:p>
    <w:p>
      <w:pPr>
        <w:spacing w:line="400" w:lineRule="exact"/>
        <w:rPr>
          <w:rFonts w:ascii="宋体" w:hAnsi="宋体" w:eastAsia="宋体" w:cs="Times New Roman"/>
          <w:szCs w:val="21"/>
        </w:rPr>
      </w:pPr>
    </w:p>
    <w:p>
      <w:pPr>
        <w:spacing w:line="400" w:lineRule="exact"/>
        <w:rPr>
          <w:rFonts w:ascii="宋体" w:hAnsi="宋体" w:eastAsia="宋体" w:cs="Times New Roman"/>
          <w:szCs w:val="21"/>
          <w:u w:val="single"/>
        </w:rPr>
      </w:pPr>
      <w:r>
        <w:rPr>
          <w:rFonts w:hint="eastAsia" w:ascii="宋体" w:hAnsi="宋体" w:eastAsia="宋体" w:cs="Times New Roman"/>
          <w:szCs w:val="21"/>
        </w:rPr>
        <w:t>项目编号：</w:t>
      </w:r>
      <w:r>
        <w:rPr>
          <w:rFonts w:hint="eastAsia" w:ascii="宋体" w:hAnsi="宋体" w:eastAsia="宋体"/>
          <w:szCs w:val="21"/>
          <w:u w:val="single"/>
        </w:rPr>
        <w:t xml:space="preserve">          </w:t>
      </w:r>
      <w:r>
        <w:rPr>
          <w:rFonts w:hint="eastAsia" w:ascii="宋体" w:hAnsi="宋体" w:eastAsia="宋体" w:cs="Times New Roman"/>
          <w:szCs w:val="21"/>
          <w:u w:val="single"/>
        </w:rPr>
        <w:t xml:space="preserve">     </w:t>
      </w:r>
    </w:p>
    <w:p>
      <w:pPr>
        <w:spacing w:line="400" w:lineRule="exact"/>
        <w:rPr>
          <w:rFonts w:ascii="宋体" w:hAnsi="宋体" w:eastAsia="宋体" w:cs="Times New Roman"/>
          <w:szCs w:val="21"/>
          <w:u w:val="single"/>
        </w:rPr>
      </w:pPr>
      <w:r>
        <w:rPr>
          <w:rFonts w:hint="eastAsia" w:ascii="宋体" w:hAnsi="宋体" w:eastAsia="宋体" w:cs="Times New Roman"/>
          <w:szCs w:val="21"/>
        </w:rPr>
        <w:t>项目</w:t>
      </w:r>
      <w:r>
        <w:rPr>
          <w:rFonts w:hint="eastAsia" w:ascii="宋体" w:hAnsi="宋体" w:eastAsia="宋体"/>
          <w:szCs w:val="21"/>
        </w:rPr>
        <w:t>名称</w:t>
      </w:r>
      <w:r>
        <w:rPr>
          <w:rFonts w:hint="eastAsia" w:ascii="宋体" w:hAnsi="宋体" w:eastAsia="宋体" w:cs="Times New Roman"/>
          <w:szCs w:val="21"/>
        </w:rPr>
        <w:t>：</w:t>
      </w:r>
      <w:r>
        <w:rPr>
          <w:rFonts w:hint="eastAsia" w:ascii="宋体" w:hAnsi="宋体" w:eastAsia="宋体"/>
          <w:szCs w:val="21"/>
          <w:u w:val="single"/>
        </w:rPr>
        <w:t xml:space="preserve">          </w:t>
      </w:r>
      <w:r>
        <w:rPr>
          <w:rFonts w:hint="eastAsia" w:ascii="宋体" w:hAnsi="宋体" w:eastAsia="宋体" w:cs="Times New Roman"/>
          <w:szCs w:val="21"/>
          <w:u w:val="single"/>
        </w:rPr>
        <w:t xml:space="preserve">     </w:t>
      </w:r>
    </w:p>
    <w:p>
      <w:pPr>
        <w:spacing w:line="400" w:lineRule="exact"/>
        <w:jc w:val="right"/>
        <w:rPr>
          <w:rFonts w:ascii="宋体" w:hAnsi="宋体" w:eastAsia="宋体" w:cs="Times New Roman"/>
          <w:b/>
          <w:bCs/>
          <w:szCs w:val="21"/>
        </w:rPr>
      </w:pPr>
      <w:r>
        <w:rPr>
          <w:rFonts w:hint="eastAsia" w:ascii="宋体" w:hAnsi="宋体" w:eastAsia="宋体" w:cs="Times New Roman"/>
          <w:b/>
          <w:bCs/>
          <w:szCs w:val="21"/>
        </w:rPr>
        <w:t>价格单位：人民币元</w:t>
      </w:r>
    </w:p>
    <w:tbl>
      <w:tblPr>
        <w:tblStyle w:val="11"/>
        <w:tblW w:w="486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4"/>
        <w:gridCol w:w="3118"/>
        <w:gridCol w:w="1133"/>
        <w:gridCol w:w="2047"/>
        <w:gridCol w:w="20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8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序号</w:t>
            </w:r>
          </w:p>
        </w:tc>
        <w:tc>
          <w:tcPr>
            <w:tcW w:w="1725"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名称</w:t>
            </w:r>
          </w:p>
        </w:tc>
        <w:tc>
          <w:tcPr>
            <w:tcW w:w="627"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数量</w:t>
            </w:r>
          </w:p>
        </w:tc>
        <w:tc>
          <w:tcPr>
            <w:tcW w:w="1132"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综合单价</w:t>
            </w:r>
          </w:p>
        </w:tc>
        <w:tc>
          <w:tcPr>
            <w:tcW w:w="1132"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一、校园广播系统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控制主机</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数字化IP网络广播客户端管理软件</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控制器</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音源设备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寻呼话筒</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消防联动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采集器</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1#教学楼设备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IP网络音箱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IP网络功放终端240W</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2#教学楼设备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IP网络音箱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IP网络功放终端350W</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1#科技楼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IP网络音箱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IP网络功放终端500W</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26只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阶梯教室&amp;行政与图书楼设备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IP网络功放终端500W</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食堂（教师宿舍）楼前端设备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IP网络功放终端500W</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25只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体艺楼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IP网络功放终端500W</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室外运动场设备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IP终端</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ZH调音台</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抑制器</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无线话筒</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话筒天线</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IP音频采集器</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纯后级功放</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音柱（含立杆）</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草地音箱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IP网络功放终端500W</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辅助材料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音频连接线A</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音频连接线B</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音频连接线C</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音频连接线D</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音频连接线E</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音频连接线F</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二、计算机网络系统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license授权函</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室外AP</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高密AP</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24口千兆POE交换机</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安防网络系统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万兆安防核心交换机</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安防8口POE千兆交换机</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安防24口千兆POE交换机</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安防48口千兆POE交换机</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单模光模块</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光纤收发器</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vAlign w:val="center"/>
          </w:tcPr>
          <w:p>
            <w:pPr>
              <w:widowControl/>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广播网络系统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广播24口千兆交换机</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广播48口千兆交换机</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三、安防报警系统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安防监控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红外枪机POE</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157台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支架</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157台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32路硬盘管理系统（NVR）</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6T硬盘</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30块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1路高清解码器</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4路视频解码器（带输入）</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55寸</w:t>
            </w:r>
            <w:r>
              <w:rPr>
                <w:rFonts w:hint="eastAsia" w:ascii="宋体" w:hAnsi="宋体" w:eastAsia="宋体" w:cs="宋体"/>
                <w:color w:val="000000"/>
                <w:kern w:val="0"/>
                <w:szCs w:val="21"/>
                <w:lang w:val="en-US" w:eastAsia="zh-CN" w:bidi="ar"/>
              </w:rPr>
              <w:t>液晶</w:t>
            </w:r>
            <w:r>
              <w:rPr>
                <w:rFonts w:hint="eastAsia" w:ascii="宋体" w:hAnsi="宋体" w:eastAsia="宋体" w:cs="宋体"/>
                <w:color w:val="000000"/>
                <w:kern w:val="0"/>
                <w:szCs w:val="21"/>
                <w:lang w:bidi="ar"/>
              </w:rPr>
              <w:t>电视机</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配套支架</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室外立杆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摄像机安装立杆4M</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防雷安装箱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监控电源</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四、结构化综合布线系统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网络、电话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单口面板</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52个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双口面板</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224个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网络模块</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500个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六类跳线2米（机房端）</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500块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110配线架</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理线器</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48条</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25"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LC单模千兆尾纤（约200米）</w:t>
            </w:r>
          </w:p>
        </w:tc>
        <w:tc>
          <w:tcPr>
            <w:tcW w:w="627" w:type="pct"/>
            <w:shd w:val="clear" w:color="auto" w:fill="auto"/>
            <w:vAlign w:val="center"/>
          </w:tcPr>
          <w:p>
            <w:pPr>
              <w:widowControl/>
              <w:jc w:val="center"/>
              <w:textAlignment w:val="center"/>
              <w:rPr>
                <w:rFonts w:hint="default" w:ascii="宋体" w:hAnsi="宋体" w:eastAsia="宋体" w:cs="宋体"/>
                <w:color w:val="000000"/>
                <w:szCs w:val="21"/>
                <w:lang w:val="en-US" w:eastAsia="zh-CN"/>
              </w:rPr>
            </w:pPr>
            <w:r>
              <w:rPr>
                <w:rFonts w:hint="eastAsia" w:ascii="宋体" w:hAnsi="宋体" w:eastAsia="宋体" w:cs="宋体"/>
                <w:color w:val="000000"/>
                <w:kern w:val="0"/>
                <w:szCs w:val="21"/>
                <w:lang w:val="en-US" w:eastAsia="zh-CN" w:bidi="ar"/>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机架式8口光纤终端盒LC型</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机架式24口光纤配线架LC型</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耦合器</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216只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千兆单模LC光纤跳线</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40根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水晶头</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5盒</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可视化系统管理软件</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综合布线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六类非屏蔽4对电缆A（约25000米）</w:t>
            </w:r>
          </w:p>
        </w:tc>
        <w:tc>
          <w:tcPr>
            <w:tcW w:w="627" w:type="pct"/>
            <w:shd w:val="clear" w:color="auto" w:fill="auto"/>
            <w:vAlign w:val="center"/>
          </w:tcPr>
          <w:p>
            <w:pPr>
              <w:widowControl/>
              <w:jc w:val="center"/>
              <w:textAlignment w:val="center"/>
              <w:rPr>
                <w:rFonts w:hint="default" w:ascii="宋体" w:hAnsi="宋体" w:eastAsia="宋体" w:cs="宋体"/>
                <w:color w:val="000000"/>
                <w:szCs w:val="21"/>
                <w:lang w:val="en-US" w:eastAsia="zh-CN"/>
              </w:rPr>
            </w:pPr>
            <w:r>
              <w:rPr>
                <w:rFonts w:hint="eastAsia" w:ascii="宋体" w:hAnsi="宋体" w:eastAsia="宋体" w:cs="宋体"/>
                <w:color w:val="000000"/>
                <w:kern w:val="0"/>
                <w:szCs w:val="21"/>
                <w:lang w:val="en-US" w:eastAsia="zh-CN" w:bidi="ar"/>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室外防水六类非屏蔽4对电缆A（约300米）</w:t>
            </w:r>
          </w:p>
        </w:tc>
        <w:tc>
          <w:tcPr>
            <w:tcW w:w="627" w:type="pct"/>
            <w:shd w:val="clear" w:color="auto" w:fill="auto"/>
            <w:vAlign w:val="center"/>
          </w:tcPr>
          <w:p>
            <w:pPr>
              <w:widowControl/>
              <w:jc w:val="center"/>
              <w:textAlignment w:val="center"/>
              <w:rPr>
                <w:rFonts w:hint="default" w:ascii="宋体" w:hAnsi="宋体" w:eastAsia="宋体" w:cs="宋体"/>
                <w:color w:val="000000"/>
                <w:szCs w:val="21"/>
                <w:lang w:val="en-US" w:eastAsia="zh-CN"/>
              </w:rPr>
            </w:pPr>
            <w:r>
              <w:rPr>
                <w:rFonts w:hint="eastAsia" w:ascii="宋体" w:hAnsi="宋体" w:eastAsia="宋体" w:cs="宋体"/>
                <w:color w:val="000000"/>
                <w:kern w:val="0"/>
                <w:szCs w:val="21"/>
                <w:lang w:val="en-US" w:eastAsia="zh-CN" w:bidi="ar"/>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室外4芯单模光缆（约1300米）</w:t>
            </w:r>
          </w:p>
        </w:tc>
        <w:tc>
          <w:tcPr>
            <w:tcW w:w="627" w:type="pct"/>
            <w:shd w:val="clear" w:color="auto" w:fill="auto"/>
            <w:vAlign w:val="center"/>
          </w:tcPr>
          <w:p>
            <w:pPr>
              <w:widowControl/>
              <w:jc w:val="center"/>
              <w:textAlignment w:val="center"/>
              <w:rPr>
                <w:rFonts w:hint="default" w:ascii="宋体" w:hAnsi="宋体" w:eastAsia="宋体" w:cs="宋体"/>
                <w:color w:val="000000"/>
                <w:szCs w:val="21"/>
                <w:lang w:val="en-US" w:eastAsia="zh-CN"/>
              </w:rPr>
            </w:pPr>
            <w:r>
              <w:rPr>
                <w:rFonts w:hint="eastAsia" w:ascii="宋体" w:hAnsi="宋体" w:eastAsia="宋体" w:cs="宋体"/>
                <w:color w:val="000000"/>
                <w:szCs w:val="21"/>
                <w:lang w:val="en-US" w:eastAsia="zh-CN"/>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25"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室外12芯单模光缆（约1285米）</w:t>
            </w:r>
          </w:p>
        </w:tc>
        <w:tc>
          <w:tcPr>
            <w:tcW w:w="627" w:type="pct"/>
            <w:shd w:val="clear" w:color="auto" w:fill="auto"/>
            <w:vAlign w:val="center"/>
          </w:tcPr>
          <w:p>
            <w:pPr>
              <w:widowControl/>
              <w:jc w:val="center"/>
              <w:textAlignment w:val="center"/>
              <w:rPr>
                <w:rFonts w:hint="default" w:ascii="宋体" w:hAnsi="宋体" w:eastAsia="宋体" w:cs="宋体"/>
                <w:color w:val="000000"/>
                <w:szCs w:val="21"/>
                <w:lang w:val="en-US" w:eastAsia="zh-CN"/>
              </w:rPr>
            </w:pPr>
            <w:r>
              <w:rPr>
                <w:rFonts w:hint="eastAsia" w:ascii="宋体" w:hAnsi="宋体" w:eastAsia="宋体" w:cs="宋体"/>
                <w:color w:val="000000"/>
                <w:kern w:val="0"/>
                <w:szCs w:val="21"/>
                <w:lang w:val="en-US" w:eastAsia="zh-CN" w:bidi="ar"/>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安防报警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六类非屏蔽4对电缆B（约7700米）</w:t>
            </w:r>
          </w:p>
        </w:tc>
        <w:tc>
          <w:tcPr>
            <w:tcW w:w="627" w:type="pct"/>
            <w:shd w:val="clear" w:color="auto" w:fill="auto"/>
            <w:vAlign w:val="center"/>
          </w:tcPr>
          <w:p>
            <w:pPr>
              <w:widowControl/>
              <w:jc w:val="center"/>
              <w:textAlignment w:val="center"/>
              <w:rPr>
                <w:rFonts w:hint="default" w:ascii="宋体" w:hAnsi="宋体" w:eastAsia="宋体" w:cs="宋体"/>
                <w:color w:val="000000"/>
                <w:szCs w:val="21"/>
                <w:lang w:val="en-US" w:eastAsia="zh-CN"/>
              </w:rPr>
            </w:pPr>
            <w:r>
              <w:rPr>
                <w:rFonts w:hint="eastAsia" w:ascii="宋体" w:hAnsi="宋体" w:eastAsia="宋体" w:cs="宋体"/>
                <w:color w:val="000000"/>
                <w:kern w:val="0"/>
                <w:szCs w:val="21"/>
                <w:lang w:val="en-US" w:eastAsia="zh-CN" w:bidi="ar"/>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室外防水六类非屏蔽4对电缆B（约3200米）</w:t>
            </w:r>
          </w:p>
        </w:tc>
        <w:tc>
          <w:tcPr>
            <w:tcW w:w="627" w:type="pct"/>
            <w:shd w:val="clear" w:color="auto" w:fill="auto"/>
            <w:vAlign w:val="center"/>
          </w:tcPr>
          <w:p>
            <w:pPr>
              <w:widowControl/>
              <w:jc w:val="center"/>
              <w:textAlignment w:val="center"/>
              <w:rPr>
                <w:rFonts w:hint="default" w:ascii="宋体" w:hAnsi="宋体" w:eastAsia="宋体" w:cs="宋体"/>
                <w:color w:val="000000"/>
                <w:szCs w:val="21"/>
                <w:lang w:val="en-US" w:eastAsia="zh-CN"/>
              </w:rPr>
            </w:pPr>
            <w:r>
              <w:rPr>
                <w:rFonts w:hint="eastAsia" w:ascii="宋体" w:hAnsi="宋体" w:eastAsia="宋体" w:cs="宋体"/>
                <w:color w:val="000000"/>
                <w:kern w:val="0"/>
                <w:szCs w:val="21"/>
                <w:lang w:val="en-US" w:eastAsia="zh-CN" w:bidi="ar"/>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室外监控电源线KVV2×1.0</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约3200米</w:t>
            </w:r>
            <w:r>
              <w:rPr>
                <w:rFonts w:hint="eastAsia" w:ascii="宋体" w:hAnsi="宋体" w:eastAsia="宋体" w:cs="宋体"/>
                <w:color w:val="000000"/>
                <w:kern w:val="0"/>
                <w:szCs w:val="21"/>
                <w:lang w:eastAsia="zh-CN" w:bidi="ar"/>
              </w:rPr>
              <w:t>）</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综合线路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3119"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室内广播线RVV2×1.5</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约1560米</w:t>
            </w:r>
            <w:r>
              <w:rPr>
                <w:rFonts w:hint="eastAsia" w:ascii="宋体" w:hAnsi="宋体" w:eastAsia="宋体" w:cs="宋体"/>
                <w:color w:val="000000"/>
                <w:kern w:val="0"/>
                <w:szCs w:val="21"/>
                <w:lang w:eastAsia="zh-CN" w:bidi="ar"/>
              </w:rPr>
              <w:t>）</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3119"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室外广播线KVVP-2×1.5</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约1600米</w:t>
            </w:r>
            <w:r>
              <w:rPr>
                <w:rFonts w:hint="eastAsia" w:ascii="宋体" w:hAnsi="宋体" w:eastAsia="宋体" w:cs="宋体"/>
                <w:color w:val="000000"/>
                <w:kern w:val="0"/>
                <w:szCs w:val="21"/>
                <w:lang w:eastAsia="zh-CN" w:bidi="ar"/>
              </w:rPr>
              <w:t>）</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3119"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室外广播线KVVP-2×2.5</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约400米</w:t>
            </w:r>
            <w:r>
              <w:rPr>
                <w:rFonts w:hint="eastAsia" w:ascii="宋体" w:hAnsi="宋体" w:eastAsia="宋体" w:cs="宋体"/>
                <w:color w:val="000000"/>
                <w:kern w:val="0"/>
                <w:szCs w:val="21"/>
                <w:lang w:eastAsia="zh-CN" w:bidi="ar"/>
              </w:rPr>
              <w:t>）</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3119"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RVV3×1.0电源线</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约800米</w:t>
            </w:r>
            <w:r>
              <w:rPr>
                <w:rFonts w:hint="eastAsia" w:ascii="宋体" w:hAnsi="宋体" w:eastAsia="宋体" w:cs="宋体"/>
                <w:color w:val="000000"/>
                <w:kern w:val="0"/>
                <w:szCs w:val="21"/>
                <w:lang w:eastAsia="zh-CN" w:bidi="ar"/>
              </w:rPr>
              <w:t>）</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3119"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室外安防箱电源线</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约950米</w:t>
            </w:r>
            <w:r>
              <w:rPr>
                <w:rFonts w:hint="eastAsia" w:ascii="宋体" w:hAnsi="宋体" w:eastAsia="宋体" w:cs="宋体"/>
                <w:color w:val="000000"/>
                <w:kern w:val="0"/>
                <w:szCs w:val="21"/>
                <w:lang w:eastAsia="zh-CN" w:bidi="ar"/>
              </w:rPr>
              <w:t>）</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3119"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无线话筒专用线</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约200米</w:t>
            </w:r>
            <w:r>
              <w:rPr>
                <w:rFonts w:hint="eastAsia" w:ascii="宋体" w:hAnsi="宋体" w:eastAsia="宋体" w:cs="宋体"/>
                <w:color w:val="000000"/>
                <w:kern w:val="0"/>
                <w:szCs w:val="21"/>
                <w:lang w:eastAsia="zh-CN" w:bidi="ar"/>
              </w:rPr>
              <w:t>）</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PZ30箱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广播接线箱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电源插座二三插</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80只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底座（塑料）86盒</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500只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五、综合管路系统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3119"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弱电桥架200×100</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约1500米</w:t>
            </w:r>
            <w:r>
              <w:rPr>
                <w:rFonts w:hint="eastAsia" w:ascii="宋体" w:hAnsi="宋体" w:eastAsia="宋体" w:cs="宋体"/>
                <w:color w:val="000000"/>
                <w:kern w:val="0"/>
                <w:szCs w:val="21"/>
                <w:lang w:eastAsia="zh-CN" w:bidi="ar"/>
              </w:rPr>
              <w:t>）</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3119"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弱电桥架300×200</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约250米</w:t>
            </w:r>
            <w:r>
              <w:rPr>
                <w:rFonts w:hint="eastAsia" w:ascii="宋体" w:hAnsi="宋体" w:eastAsia="宋体" w:cs="宋体"/>
                <w:color w:val="000000"/>
                <w:kern w:val="0"/>
                <w:szCs w:val="21"/>
                <w:lang w:eastAsia="zh-CN" w:bidi="ar"/>
              </w:rPr>
              <w:t>）</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3119"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支架</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588付</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3119"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穿线保护管PVC25</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约3850米</w:t>
            </w:r>
            <w:r>
              <w:rPr>
                <w:rFonts w:hint="eastAsia" w:ascii="宋体" w:hAnsi="宋体" w:eastAsia="宋体" w:cs="宋体"/>
                <w:color w:val="000000"/>
                <w:kern w:val="0"/>
                <w:szCs w:val="21"/>
                <w:lang w:eastAsia="zh-CN" w:bidi="ar"/>
              </w:rPr>
              <w:t>）</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3119"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穿线保护管PVC20</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约3000米</w:t>
            </w:r>
            <w:r>
              <w:rPr>
                <w:rFonts w:hint="eastAsia" w:ascii="宋体" w:hAnsi="宋体" w:eastAsia="宋体" w:cs="宋体"/>
                <w:color w:val="000000"/>
                <w:kern w:val="0"/>
                <w:szCs w:val="21"/>
                <w:lang w:eastAsia="zh-CN" w:bidi="ar"/>
              </w:rPr>
              <w:t>）</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3119"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PE25</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约400米</w:t>
            </w:r>
            <w:r>
              <w:rPr>
                <w:rFonts w:hint="eastAsia" w:ascii="宋体" w:hAnsi="宋体" w:eastAsia="宋体" w:cs="宋体"/>
                <w:color w:val="000000"/>
                <w:kern w:val="0"/>
                <w:szCs w:val="21"/>
                <w:lang w:eastAsia="zh-CN" w:bidi="ar"/>
              </w:rPr>
              <w:t>）</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3119"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PE32</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约900米</w:t>
            </w:r>
            <w:r>
              <w:rPr>
                <w:rFonts w:hint="eastAsia" w:ascii="宋体" w:hAnsi="宋体" w:eastAsia="宋体" w:cs="宋体"/>
                <w:color w:val="000000"/>
                <w:kern w:val="0"/>
                <w:szCs w:val="21"/>
                <w:lang w:eastAsia="zh-CN" w:bidi="ar"/>
              </w:rPr>
              <w:t>）</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3119"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PE50</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约1800米</w:t>
            </w:r>
            <w:r>
              <w:rPr>
                <w:rFonts w:hint="eastAsia" w:ascii="宋体" w:hAnsi="宋体" w:eastAsia="宋体" w:cs="宋体"/>
                <w:color w:val="000000"/>
                <w:kern w:val="0"/>
                <w:szCs w:val="21"/>
                <w:lang w:eastAsia="zh-CN" w:bidi="ar"/>
              </w:rPr>
              <w:t>）</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室外弱电井600×600×1000</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29只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六、信息发布系统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报告厅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发布单元</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25.21㎡</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控制发送卡</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3张</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控制接收卡</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38张</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处理器A</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显示控制软件</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屏体钢结构及装饰</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25.21㎡</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控制器</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屏体电源线</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室内六类非屏蔽网线</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vAlign w:val="center"/>
          </w:tcPr>
          <w:p>
            <w:pPr>
              <w:widowControl/>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合班教室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发布单元</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7.99㎡</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控制发送卡</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1张</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控制接收卡</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24张</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处理器B</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显示控制软件</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屏体钢结构及装饰</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7.99㎡</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控制器</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屏体电源线</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室内六类非屏蔽网线</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七、会议扩声系统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280平方报告厅扩声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专业功放</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3台</w:t>
            </w:r>
          </w:p>
        </w:tc>
        <w:tc>
          <w:tcPr>
            <w:tcW w:w="1132" w:type="pct"/>
            <w:shd w:val="clear" w:color="auto" w:fill="auto"/>
          </w:tcPr>
          <w:p>
            <w:pPr>
              <w:jc w:val="center"/>
              <w:rPr>
                <w:rFonts w:ascii="宋体" w:hAnsi="宋体" w:eastAsia="宋体" w:cs="宋体"/>
                <w:color w:val="000000"/>
                <w:szCs w:val="21"/>
              </w:rPr>
            </w:pPr>
          </w:p>
        </w:tc>
        <w:tc>
          <w:tcPr>
            <w:tcW w:w="1132" w:type="pct"/>
            <w:shd w:val="clear" w:color="auto" w:fill="auto"/>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专业音响</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6只</w:t>
            </w:r>
          </w:p>
        </w:tc>
        <w:tc>
          <w:tcPr>
            <w:tcW w:w="1132" w:type="pct"/>
            <w:shd w:val="clear" w:color="auto" w:fill="auto"/>
          </w:tcPr>
          <w:p>
            <w:pPr>
              <w:jc w:val="center"/>
              <w:rPr>
                <w:rFonts w:ascii="宋体" w:hAnsi="宋体" w:eastAsia="宋体" w:cs="宋体"/>
                <w:color w:val="000000"/>
                <w:szCs w:val="21"/>
              </w:rPr>
            </w:pPr>
          </w:p>
        </w:tc>
        <w:tc>
          <w:tcPr>
            <w:tcW w:w="1132" w:type="pct"/>
            <w:shd w:val="clear" w:color="auto" w:fill="auto"/>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音响支架</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调音台</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数字音频处理器</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无线话筒</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一拖四无线鹅颈话筒</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电源时序器</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180平方合班教室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功放</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val="en-US" w:eastAsia="zh-CN" w:bidi="ar"/>
              </w:rPr>
              <w:t>音箱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调音台</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数字音频处理器</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无线会议话筒</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电源时序器</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音响支架</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noWrap/>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八、电教设备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智慧黑板</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内置模块</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系统应用部分</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高清壁挂展台</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音箱</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九、虚拟演播厅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虚拟演播室主机</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校园电视台系统软件</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高清摄像机</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高清摄像机管理软件</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摄像机三脚架</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2个</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无线话筒</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提词器（含支架）</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视频编辑软件</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环出与导播显示器</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65寸液晶电视机</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无线鼠键套</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题词/非编</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多媒体音响</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专业监听耳机</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1副</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LED柔光背景灯</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聚光灯</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5台</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17</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主持桌椅</w:t>
            </w:r>
          </w:p>
        </w:tc>
        <w:tc>
          <w:tcPr>
            <w:tcW w:w="627" w:type="pct"/>
            <w:shd w:val="clear" w:color="auto" w:fill="auto"/>
            <w:vAlign w:val="center"/>
          </w:tcPr>
          <w:p>
            <w:pPr>
              <w:widowControl/>
              <w:jc w:val="center"/>
              <w:textAlignment w:val="center"/>
              <w:rPr>
                <w:rFonts w:hint="eastAsia" w:ascii="宋体" w:hAnsi="宋体" w:eastAsia="宋体" w:cs="宋体"/>
                <w:color w:val="000000"/>
                <w:szCs w:val="21"/>
                <w:lang w:val="en-US" w:eastAsia="zh-CN"/>
              </w:rPr>
            </w:pPr>
            <w:r>
              <w:rPr>
                <w:rFonts w:hint="eastAsia" w:ascii="宋体" w:hAnsi="宋体" w:eastAsia="宋体" w:cs="宋体"/>
                <w:color w:val="000000"/>
                <w:kern w:val="0"/>
                <w:szCs w:val="21"/>
                <w:lang w:bidi="ar"/>
              </w:rPr>
              <w:t>1</w:t>
            </w:r>
            <w:r>
              <w:rPr>
                <w:rFonts w:hint="eastAsia" w:ascii="宋体" w:hAnsi="宋体" w:eastAsia="宋体" w:cs="宋体"/>
                <w:color w:val="000000"/>
                <w:kern w:val="0"/>
                <w:szCs w:val="21"/>
                <w:lang w:val="en-US" w:eastAsia="zh-CN" w:bidi="ar"/>
              </w:rPr>
              <w:t>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导播桌</w:t>
            </w:r>
          </w:p>
        </w:tc>
        <w:tc>
          <w:tcPr>
            <w:tcW w:w="627" w:type="pct"/>
            <w:shd w:val="clear" w:color="auto" w:fill="auto"/>
            <w:vAlign w:val="center"/>
          </w:tcPr>
          <w:p>
            <w:pPr>
              <w:widowControl/>
              <w:jc w:val="center"/>
              <w:textAlignment w:val="center"/>
              <w:rPr>
                <w:rFonts w:hint="eastAsia" w:ascii="宋体" w:hAnsi="宋体" w:eastAsia="宋体" w:cs="宋体"/>
                <w:color w:val="000000"/>
                <w:szCs w:val="21"/>
                <w:lang w:val="en-US" w:eastAsia="zh-CN"/>
              </w:rPr>
            </w:pPr>
            <w:r>
              <w:rPr>
                <w:rFonts w:hint="eastAsia" w:ascii="宋体" w:hAnsi="宋体" w:eastAsia="宋体" w:cs="宋体"/>
                <w:color w:val="000000"/>
                <w:kern w:val="0"/>
                <w:szCs w:val="21"/>
                <w:lang w:bidi="ar"/>
              </w:rPr>
              <w:t>1</w:t>
            </w:r>
            <w:r>
              <w:rPr>
                <w:rFonts w:hint="eastAsia" w:ascii="宋体" w:hAnsi="宋体" w:eastAsia="宋体" w:cs="宋体"/>
                <w:color w:val="000000"/>
                <w:kern w:val="0"/>
                <w:szCs w:val="21"/>
                <w:lang w:val="en-US" w:eastAsia="zh-CN" w:bidi="ar"/>
              </w:rPr>
              <w:t>张</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19</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蓝/绿箱装修</w:t>
            </w:r>
          </w:p>
        </w:tc>
        <w:tc>
          <w:tcPr>
            <w:tcW w:w="627" w:type="pct"/>
            <w:shd w:val="clear" w:color="auto" w:fill="auto"/>
            <w:vAlign w:val="center"/>
          </w:tcPr>
          <w:p>
            <w:pPr>
              <w:widowControl/>
              <w:jc w:val="center"/>
              <w:textAlignment w:val="center"/>
              <w:rPr>
                <w:rFonts w:hint="eastAsia" w:ascii="宋体" w:hAnsi="宋体" w:eastAsia="宋体" w:cs="宋体"/>
                <w:color w:val="000000"/>
                <w:szCs w:val="21"/>
                <w:lang w:val="en-US" w:eastAsia="zh-CN"/>
              </w:rPr>
            </w:pPr>
            <w:r>
              <w:rPr>
                <w:rFonts w:hint="eastAsia" w:ascii="宋体" w:hAnsi="宋体" w:eastAsia="宋体" w:cs="宋体"/>
                <w:color w:val="000000"/>
                <w:kern w:val="0"/>
                <w:szCs w:val="21"/>
                <w:lang w:bidi="ar"/>
              </w:rPr>
              <w:t>1</w:t>
            </w:r>
            <w:r>
              <w:rPr>
                <w:rFonts w:hint="eastAsia" w:ascii="宋体" w:hAnsi="宋体" w:eastAsia="宋体" w:cs="宋体"/>
                <w:color w:val="000000"/>
                <w:kern w:val="0"/>
                <w:szCs w:val="21"/>
                <w:lang w:val="en-US" w:eastAsia="zh-CN" w:bidi="ar"/>
              </w:rPr>
              <w:t>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分配器等</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1套</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21</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装修装饰</w:t>
            </w:r>
          </w:p>
        </w:tc>
        <w:tc>
          <w:tcPr>
            <w:tcW w:w="627" w:type="pct"/>
            <w:shd w:val="clear" w:color="auto" w:fill="auto"/>
            <w:vAlign w:val="center"/>
          </w:tcPr>
          <w:p>
            <w:pPr>
              <w:widowControl/>
              <w:jc w:val="center"/>
              <w:textAlignment w:val="center"/>
              <w:rPr>
                <w:rFonts w:hint="default" w:ascii="宋体" w:hAnsi="宋体" w:eastAsia="宋体" w:cs="宋体"/>
                <w:color w:val="000000"/>
                <w:szCs w:val="21"/>
                <w:lang w:val="en-US" w:eastAsia="zh-CN"/>
              </w:rPr>
            </w:pPr>
            <w:r>
              <w:rPr>
                <w:rFonts w:hint="eastAsia" w:ascii="宋体" w:hAnsi="宋体" w:eastAsia="宋体" w:cs="宋体"/>
                <w:color w:val="000000"/>
                <w:kern w:val="0"/>
                <w:szCs w:val="21"/>
                <w:lang w:val="en-US" w:eastAsia="zh-CN" w:bidi="ar"/>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十、配件、辅材、线材、管材等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4"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22</w:t>
            </w:r>
          </w:p>
        </w:tc>
        <w:tc>
          <w:tcPr>
            <w:tcW w:w="1725"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配件、辅材、线材、管材等</w:t>
            </w:r>
          </w:p>
        </w:tc>
        <w:tc>
          <w:tcPr>
            <w:tcW w:w="627"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1项</w:t>
            </w:r>
          </w:p>
        </w:tc>
        <w:tc>
          <w:tcPr>
            <w:tcW w:w="1132" w:type="pct"/>
            <w:shd w:val="clear" w:color="auto" w:fill="auto"/>
            <w:vAlign w:val="center"/>
          </w:tcPr>
          <w:p>
            <w:pPr>
              <w:jc w:val="center"/>
              <w:rPr>
                <w:rFonts w:ascii="宋体" w:hAnsi="宋体" w:eastAsia="宋体" w:cs="宋体"/>
                <w:color w:val="000000"/>
                <w:szCs w:val="21"/>
              </w:rPr>
            </w:pPr>
          </w:p>
        </w:tc>
        <w:tc>
          <w:tcPr>
            <w:tcW w:w="1132"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736" w:type="pct"/>
            <w:gridSpan w:val="3"/>
            <w:shd w:val="clear" w:color="auto" w:fill="auto"/>
            <w:vAlign w:val="center"/>
          </w:tcPr>
          <w:p>
            <w:pPr>
              <w:widowControl/>
              <w:jc w:val="center"/>
              <w:textAlignment w:val="center"/>
              <w:rPr>
                <w:rFonts w:hint="eastAsia" w:ascii="宋体" w:hAnsi="宋体" w:eastAsia="宋体" w:cs="宋体"/>
                <w:b/>
                <w:bCs/>
                <w:color w:val="000000"/>
                <w:kern w:val="0"/>
                <w:szCs w:val="21"/>
                <w:lang w:bidi="ar"/>
              </w:rPr>
            </w:pPr>
            <w:r>
              <w:rPr>
                <w:rFonts w:hint="eastAsia" w:ascii="宋体" w:hAnsi="宋体" w:eastAsia="宋体" w:cs="宋体"/>
                <w:b/>
                <w:bCs/>
                <w:color w:val="000000"/>
                <w:kern w:val="0"/>
                <w:szCs w:val="21"/>
                <w:lang w:bidi="ar"/>
              </w:rPr>
              <w:t>合计</w:t>
            </w:r>
          </w:p>
        </w:tc>
        <w:tc>
          <w:tcPr>
            <w:tcW w:w="2264" w:type="pct"/>
            <w:gridSpan w:val="2"/>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b/>
                <w:bCs/>
                <w:szCs w:val="21"/>
                <w:u w:val="single"/>
              </w:rPr>
              <w:t xml:space="preserve"> </w:t>
            </w:r>
            <w:r>
              <w:rPr>
                <w:rFonts w:ascii="宋体" w:hAnsi="宋体" w:eastAsia="宋体"/>
                <w:b/>
                <w:bCs/>
                <w:szCs w:val="21"/>
                <w:u w:val="single"/>
              </w:rPr>
              <w:t xml:space="preserve">         </w:t>
            </w:r>
            <w:r>
              <w:rPr>
                <w:rFonts w:hint="eastAsia" w:ascii="宋体" w:hAnsi="宋体" w:eastAsia="宋体"/>
                <w:b/>
                <w:bCs/>
                <w:szCs w:val="21"/>
                <w:u w:val="single"/>
              </w:rPr>
              <w:t>元</w:t>
            </w:r>
          </w:p>
        </w:tc>
      </w:tr>
    </w:tbl>
    <w:p>
      <w:pPr>
        <w:spacing w:line="400" w:lineRule="exact"/>
        <w:rPr>
          <w:rFonts w:hint="eastAsia" w:ascii="宋体" w:hAnsi="宋体" w:eastAsia="宋体" w:cs="Times New Roman"/>
          <w:szCs w:val="21"/>
        </w:rPr>
      </w:pP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供应商或联合体牵头人（盖电子公章）：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szCs w:val="21"/>
        </w:rPr>
      </w:pPr>
      <w:r>
        <w:rPr>
          <w:rFonts w:hint="eastAsia" w:ascii="宋体" w:hAnsi="宋体" w:eastAsia="宋体" w:cs="Times New Roman"/>
          <w:szCs w:val="21"/>
        </w:rPr>
        <w:t>法定代表人或授权代表（签字或盖章）：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日期：</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日</w:t>
      </w:r>
    </w:p>
    <w:p>
      <w:pPr>
        <w:spacing w:line="400" w:lineRule="exact"/>
        <w:rPr>
          <w:rFonts w:ascii="宋体" w:hAnsi="宋体" w:eastAsia="宋体" w:cs="Times New Roman"/>
          <w:szCs w:val="21"/>
        </w:rPr>
        <w:sectPr>
          <w:pgSz w:w="11906" w:h="16838"/>
          <w:pgMar w:top="1418" w:right="1418" w:bottom="1418" w:left="1418" w:header="851" w:footer="992" w:gutter="0"/>
          <w:cols w:space="425" w:num="1"/>
          <w:docGrid w:type="lines" w:linePitch="312" w:charSpace="0"/>
        </w:sectPr>
      </w:pPr>
    </w:p>
    <w:p>
      <w:pPr>
        <w:wordWrap w:val="0"/>
        <w:spacing w:line="400" w:lineRule="exac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附件六</w:t>
      </w:r>
    </w:p>
    <w:p>
      <w:pPr>
        <w:spacing w:line="400" w:lineRule="exact"/>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中小企业声明函</w:t>
      </w:r>
      <w:r>
        <w:rPr>
          <w:rFonts w:hint="eastAsia" w:ascii="宋体" w:hAnsi="宋体" w:eastAsia="宋体"/>
          <w:b/>
          <w:sz w:val="24"/>
          <w:szCs w:val="24"/>
          <w:shd w:val="clear" w:color="auto" w:fill="BEBEBE" w:themeFill="background1" w:themeFillShade="BF"/>
        </w:rPr>
        <w:t>（如满足要求则提供）</w:t>
      </w:r>
    </w:p>
    <w:p>
      <w:pPr>
        <w:wordWrap w:val="0"/>
        <w:spacing w:line="400" w:lineRule="exact"/>
        <w:rPr>
          <w:rFonts w:hint="eastAsia" w:ascii="宋体" w:hAnsi="宋体" w:eastAsia="宋体" w:cs="Times New Roman"/>
          <w:szCs w:val="21"/>
        </w:rPr>
      </w:pPr>
    </w:p>
    <w:p>
      <w:pPr>
        <w:wordWrap w:val="0"/>
        <w:spacing w:line="400" w:lineRule="exact"/>
        <w:ind w:firstLine="420" w:firstLineChars="200"/>
        <w:rPr>
          <w:rFonts w:ascii="宋体" w:hAnsi="宋体" w:eastAsia="宋体" w:cs="Times New Roman"/>
          <w:szCs w:val="21"/>
        </w:rPr>
      </w:pPr>
      <w:r>
        <w:rPr>
          <w:rFonts w:hint="eastAsia" w:ascii="宋体" w:hAnsi="宋体" w:eastAsia="宋体" w:cs="Times New Roman"/>
          <w:szCs w:val="21"/>
        </w:rPr>
        <w:t>本公司郑重声明，根据《政府采购促进中小</w:t>
      </w:r>
      <w:r>
        <w:rPr>
          <w:rFonts w:ascii="宋体" w:hAnsi="宋体" w:eastAsia="宋体" w:cs="Times New Roman"/>
          <w:szCs w:val="21"/>
        </w:rPr>
        <w:t>企业发展管理办法》（财库﹝2020﹞46号）的规定，本公司参加</w:t>
      </w:r>
      <w:r>
        <w:rPr>
          <w:rFonts w:hint="eastAsia" w:ascii="宋体" w:hAnsi="宋体" w:eastAsia="宋体" w:cs="Times New Roman"/>
          <w:szCs w:val="21"/>
          <w:u w:val="single"/>
        </w:rPr>
        <w:t xml:space="preserve"> 余姚市人民政府凤山街道办事处 </w:t>
      </w:r>
      <w:r>
        <w:rPr>
          <w:rFonts w:ascii="宋体" w:hAnsi="宋体" w:eastAsia="宋体" w:cs="Times New Roman"/>
          <w:szCs w:val="21"/>
        </w:rPr>
        <w:t>的</w:t>
      </w:r>
      <w:r>
        <w:rPr>
          <w:rFonts w:hint="eastAsia" w:ascii="宋体" w:hAnsi="宋体" w:eastAsia="宋体" w:cs="Times New Roman"/>
          <w:szCs w:val="21"/>
          <w:u w:val="single"/>
        </w:rPr>
        <w:t xml:space="preserve"> 凤山小学改扩建工程（改造部分）电教化设施设备采购 </w:t>
      </w:r>
      <w:r>
        <w:rPr>
          <w:rFonts w:ascii="宋体" w:hAnsi="宋体" w:eastAsia="宋体" w:cs="Times New Roman"/>
          <w:szCs w:val="21"/>
        </w:rPr>
        <w:t>采购活动，</w:t>
      </w:r>
      <w:r>
        <w:rPr>
          <w:rFonts w:hint="eastAsia" w:ascii="宋体" w:hAnsi="宋体" w:eastAsia="宋体" w:cs="Times New Roman"/>
          <w:b/>
          <w:bCs/>
          <w:szCs w:val="21"/>
        </w:rPr>
        <w:t>提供的货物全部由符合政策要求的中小企业制造。相关企业的具体情况如下：</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1.</w:t>
      </w:r>
      <w:r>
        <w:rPr>
          <w:rFonts w:hint="eastAsia" w:ascii="宋体" w:hAnsi="宋体" w:eastAsia="宋体" w:cs="Times New Roman"/>
          <w:color w:val="000000" w:themeColor="text1"/>
          <w:szCs w:val="21"/>
          <w:u w:val="single"/>
          <w14:textFill>
            <w14:solidFill>
              <w14:schemeClr w14:val="tx1"/>
            </w14:solidFill>
          </w14:textFill>
        </w:rPr>
        <w:t xml:space="preserve">          （货物名称）</w:t>
      </w:r>
      <w:r>
        <w:rPr>
          <w:rFonts w:ascii="宋体" w:hAnsi="宋体" w:eastAsia="宋体" w:cs="Times New Roman"/>
          <w:color w:val="000000" w:themeColor="text1"/>
          <w:szCs w:val="21"/>
          <w14:textFill>
            <w14:solidFill>
              <w14:schemeClr w14:val="tx1"/>
            </w14:solidFill>
          </w14:textFill>
        </w:rPr>
        <w:t>，属于</w:t>
      </w:r>
      <w:r>
        <w:rPr>
          <w:rFonts w:hint="eastAsia" w:ascii="宋体" w:hAnsi="宋体" w:eastAsia="宋体" w:cs="Times New Roman"/>
          <w:color w:val="000000" w:themeColor="text1"/>
          <w:szCs w:val="21"/>
          <w:u w:val="single"/>
          <w14:textFill>
            <w14:solidFill>
              <w14:schemeClr w14:val="tx1"/>
            </w14:solidFill>
          </w14:textFill>
        </w:rPr>
        <w:t xml:space="preserve"> 工业 </w:t>
      </w:r>
      <w:r>
        <w:rPr>
          <w:rFonts w:ascii="宋体" w:hAnsi="宋体" w:eastAsia="宋体" w:cs="Times New Roman"/>
          <w:color w:val="000000" w:themeColor="text1"/>
          <w:szCs w:val="21"/>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制造商</w:t>
      </w:r>
      <w:r>
        <w:rPr>
          <w:rFonts w:ascii="宋体" w:hAnsi="宋体" w:eastAsia="宋体" w:cs="Times New Roman"/>
          <w:color w:val="000000" w:themeColor="text1"/>
          <w:szCs w:val="21"/>
          <w14:textFill>
            <w14:solidFill>
              <w14:schemeClr w14:val="tx1"/>
            </w14:solidFill>
          </w14:textFill>
        </w:rPr>
        <w:t>为</w:t>
      </w:r>
      <w:r>
        <w:rPr>
          <w:rFonts w:hint="eastAsia" w:ascii="宋体" w:hAnsi="宋体" w:eastAsia="宋体" w:cs="Times New Roman"/>
          <w:color w:val="000000" w:themeColor="text1"/>
          <w:szCs w:val="21"/>
          <w:u w:val="single"/>
          <w14:textFill>
            <w14:solidFill>
              <w14:schemeClr w14:val="tx1"/>
            </w14:solidFill>
          </w14:textFill>
        </w:rPr>
        <w:t xml:space="preserve">          </w:t>
      </w:r>
      <w:r>
        <w:rPr>
          <w:rFonts w:ascii="宋体" w:hAnsi="宋体" w:eastAsia="宋体" w:cs="Times New Roman"/>
          <w:color w:val="000000" w:themeColor="text1"/>
          <w:szCs w:val="21"/>
          <w:u w:val="single"/>
          <w14:textFill>
            <w14:solidFill>
              <w14:schemeClr w14:val="tx1"/>
            </w14:solidFill>
          </w14:textFill>
        </w:rPr>
        <w:t>（</w:t>
      </w:r>
      <w:r>
        <w:rPr>
          <w:rFonts w:hint="eastAsia" w:ascii="宋体" w:hAnsi="宋体" w:eastAsia="宋体" w:cs="Times New Roman"/>
          <w:color w:val="000000" w:themeColor="text1"/>
          <w:szCs w:val="21"/>
          <w:u w:val="single"/>
          <w14:textFill>
            <w14:solidFill>
              <w14:schemeClr w14:val="tx1"/>
            </w14:solidFill>
          </w14:textFill>
        </w:rPr>
        <w:t>制造商</w:t>
      </w:r>
      <w:r>
        <w:rPr>
          <w:rFonts w:ascii="宋体" w:hAnsi="宋体" w:eastAsia="宋体" w:cs="Times New Roman"/>
          <w:color w:val="000000" w:themeColor="text1"/>
          <w:szCs w:val="21"/>
          <w:u w:val="single"/>
          <w14:textFill>
            <w14:solidFill>
              <w14:schemeClr w14:val="tx1"/>
            </w14:solidFill>
          </w14:textFill>
        </w:rPr>
        <w:t>名称）</w:t>
      </w:r>
      <w:r>
        <w:rPr>
          <w:rFonts w:ascii="宋体" w:hAnsi="宋体" w:eastAsia="宋体" w:cs="Times New Roman"/>
          <w:color w:val="000000" w:themeColor="text1"/>
          <w:szCs w:val="21"/>
          <w14:textFill>
            <w14:solidFill>
              <w14:schemeClr w14:val="tx1"/>
            </w14:solidFill>
          </w14:textFill>
        </w:rPr>
        <w:t>，从业人员</w:t>
      </w:r>
      <w:r>
        <w:rPr>
          <w:rFonts w:ascii="宋体" w:hAnsi="宋体" w:eastAsia="宋体" w:cs="Times New Roman"/>
          <w:color w:val="000000" w:themeColor="text1"/>
          <w:szCs w:val="21"/>
          <w:u w:val="single"/>
          <w14:textFill>
            <w14:solidFill>
              <w14:schemeClr w14:val="tx1"/>
            </w14:solidFill>
          </w14:textFill>
        </w:rPr>
        <w:t xml:space="preserve"> </w:t>
      </w:r>
      <w:r>
        <w:rPr>
          <w:rFonts w:hint="eastAsia" w:ascii="宋体" w:hAnsi="宋体" w:eastAsia="宋体" w:cs="Times New Roman"/>
          <w:color w:val="000000" w:themeColor="text1"/>
          <w:szCs w:val="21"/>
          <w:u w:val="single"/>
          <w14:textFill>
            <w14:solidFill>
              <w14:schemeClr w14:val="tx1"/>
            </w14:solidFill>
          </w14:textFill>
        </w:rPr>
        <w:t xml:space="preserve">   </w:t>
      </w:r>
      <w:r>
        <w:rPr>
          <w:rFonts w:ascii="宋体" w:hAnsi="宋体" w:eastAsia="宋体" w:cs="Times New Roman"/>
          <w:color w:val="000000" w:themeColor="text1"/>
          <w:szCs w:val="21"/>
          <w14:textFill>
            <w14:solidFill>
              <w14:schemeClr w14:val="tx1"/>
            </w14:solidFill>
          </w14:textFill>
        </w:rPr>
        <w:t>人，营业收入为</w:t>
      </w:r>
      <w:r>
        <w:rPr>
          <w:rFonts w:ascii="宋体" w:hAnsi="宋体" w:eastAsia="宋体" w:cs="Times New Roman"/>
          <w:color w:val="000000" w:themeColor="text1"/>
          <w:szCs w:val="21"/>
          <w:u w:val="single"/>
          <w14:textFill>
            <w14:solidFill>
              <w14:schemeClr w14:val="tx1"/>
            </w14:solidFill>
          </w14:textFill>
        </w:rPr>
        <w:t xml:space="preserve"> </w:t>
      </w:r>
      <w:r>
        <w:rPr>
          <w:rFonts w:hint="eastAsia" w:ascii="宋体" w:hAnsi="宋体" w:eastAsia="宋体" w:cs="Times New Roman"/>
          <w:color w:val="000000" w:themeColor="text1"/>
          <w:szCs w:val="21"/>
          <w:u w:val="single"/>
          <w14:textFill>
            <w14:solidFill>
              <w14:schemeClr w14:val="tx1"/>
            </w14:solidFill>
          </w14:textFill>
        </w:rPr>
        <w:t xml:space="preserve">   </w:t>
      </w:r>
      <w:r>
        <w:rPr>
          <w:rFonts w:ascii="宋体" w:hAnsi="宋体" w:eastAsia="宋体" w:cs="Times New Roman"/>
          <w:color w:val="000000" w:themeColor="text1"/>
          <w:szCs w:val="21"/>
          <w14:textFill>
            <w14:solidFill>
              <w14:schemeClr w14:val="tx1"/>
            </w14:solidFill>
          </w14:textFill>
        </w:rPr>
        <w:t>万元，资产总额为</w:t>
      </w:r>
      <w:r>
        <w:rPr>
          <w:rFonts w:ascii="宋体" w:hAnsi="宋体" w:eastAsia="宋体" w:cs="Times New Roman"/>
          <w:color w:val="000000" w:themeColor="text1"/>
          <w:szCs w:val="21"/>
          <w:u w:val="single"/>
          <w14:textFill>
            <w14:solidFill>
              <w14:schemeClr w14:val="tx1"/>
            </w14:solidFill>
          </w14:textFill>
        </w:rPr>
        <w:t xml:space="preserve"> </w:t>
      </w:r>
      <w:r>
        <w:rPr>
          <w:rFonts w:hint="eastAsia" w:ascii="宋体" w:hAnsi="宋体" w:eastAsia="宋体" w:cs="Times New Roman"/>
          <w:color w:val="000000" w:themeColor="text1"/>
          <w:szCs w:val="21"/>
          <w:u w:val="single"/>
          <w14:textFill>
            <w14:solidFill>
              <w14:schemeClr w14:val="tx1"/>
            </w14:solidFill>
          </w14:textFill>
        </w:rPr>
        <w:t xml:space="preserve">   </w:t>
      </w:r>
      <w:r>
        <w:rPr>
          <w:rFonts w:ascii="宋体" w:hAnsi="宋体" w:eastAsia="宋体" w:cs="Times New Roman"/>
          <w:color w:val="000000" w:themeColor="text1"/>
          <w:szCs w:val="21"/>
          <w14:textFill>
            <w14:solidFill>
              <w14:schemeClr w14:val="tx1"/>
            </w14:solidFill>
          </w14:textFill>
        </w:rPr>
        <w:t>万元，属于</w:t>
      </w:r>
      <w:r>
        <w:rPr>
          <w:rFonts w:hint="eastAsia" w:ascii="宋体" w:hAnsi="宋体" w:eastAsia="宋体" w:cs="Times New Roman"/>
          <w:color w:val="000000" w:themeColor="text1"/>
          <w:szCs w:val="21"/>
          <w:u w:val="single"/>
          <w14:textFill>
            <w14:solidFill>
              <w14:schemeClr w14:val="tx1"/>
            </w14:solidFill>
          </w14:textFill>
        </w:rPr>
        <w:t xml:space="preserve">          </w:t>
      </w:r>
      <w:r>
        <w:rPr>
          <w:rFonts w:ascii="宋体" w:hAnsi="宋体" w:eastAsia="宋体" w:cs="Times New Roman"/>
          <w:color w:val="000000" w:themeColor="text1"/>
          <w:szCs w:val="21"/>
          <w:u w:val="single"/>
          <w14:textFill>
            <w14:solidFill>
              <w14:schemeClr w14:val="tx1"/>
            </w14:solidFill>
          </w14:textFill>
        </w:rPr>
        <w:t>（中型企业</w:t>
      </w:r>
      <w:r>
        <w:rPr>
          <w:rFonts w:hint="eastAsia" w:ascii="宋体" w:hAnsi="宋体" w:eastAsia="宋体" w:cs="Times New Roman"/>
          <w:color w:val="000000" w:themeColor="text1"/>
          <w:szCs w:val="21"/>
          <w:u w:val="single"/>
          <w14:textFill>
            <w14:solidFill>
              <w14:schemeClr w14:val="tx1"/>
            </w14:solidFill>
          </w14:textFill>
        </w:rPr>
        <w:t>或</w:t>
      </w:r>
      <w:r>
        <w:rPr>
          <w:rFonts w:ascii="宋体" w:hAnsi="宋体" w:eastAsia="宋体" w:cs="Times New Roman"/>
          <w:color w:val="000000" w:themeColor="text1"/>
          <w:szCs w:val="21"/>
          <w:u w:val="single"/>
          <w14:textFill>
            <w14:solidFill>
              <w14:schemeClr w14:val="tx1"/>
            </w14:solidFill>
          </w14:textFill>
        </w:rPr>
        <w:t>小型企业</w:t>
      </w:r>
      <w:r>
        <w:rPr>
          <w:rFonts w:hint="eastAsia" w:ascii="宋体" w:hAnsi="宋体" w:eastAsia="宋体" w:cs="Times New Roman"/>
          <w:color w:val="000000" w:themeColor="text1"/>
          <w:szCs w:val="21"/>
          <w:u w:val="single"/>
          <w14:textFill>
            <w14:solidFill>
              <w14:schemeClr w14:val="tx1"/>
            </w14:solidFill>
          </w14:textFill>
        </w:rPr>
        <w:t>或</w:t>
      </w:r>
      <w:r>
        <w:rPr>
          <w:rFonts w:ascii="宋体" w:hAnsi="宋体" w:eastAsia="宋体" w:cs="Times New Roman"/>
          <w:color w:val="000000" w:themeColor="text1"/>
          <w:szCs w:val="21"/>
          <w:u w:val="single"/>
          <w14:textFill>
            <w14:solidFill>
              <w14:schemeClr w14:val="tx1"/>
            </w14:solidFill>
          </w14:textFill>
        </w:rPr>
        <w:t>微型企业）</w:t>
      </w:r>
      <w:r>
        <w:rPr>
          <w:rFonts w:hint="eastAsia" w:ascii="宋体" w:hAnsi="宋体" w:eastAsia="宋体" w:cs="Times New Roman"/>
          <w:color w:val="000000" w:themeColor="text1"/>
          <w:szCs w:val="21"/>
          <w14:textFill>
            <w14:solidFill>
              <w14:schemeClr w14:val="tx1"/>
            </w14:solidFill>
          </w14:textFill>
        </w:rPr>
        <w:t>。</w:t>
      </w:r>
    </w:p>
    <w:p>
      <w:pPr>
        <w:wordWrap w:val="0"/>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w:t>
      </w:r>
      <w:r>
        <w:rPr>
          <w:rFonts w:ascii="宋体" w:hAnsi="宋体" w:eastAsia="宋体" w:cs="Times New Roman"/>
          <w:color w:val="000000" w:themeColor="text1"/>
          <w:szCs w:val="21"/>
          <w14:textFill>
            <w14:solidFill>
              <w14:schemeClr w14:val="tx1"/>
            </w14:solidFill>
          </w14:textFill>
        </w:rPr>
        <w:t>.</w:t>
      </w:r>
      <w:r>
        <w:rPr>
          <w:rFonts w:hint="eastAsia" w:ascii="宋体" w:hAnsi="宋体" w:eastAsia="宋体" w:cs="Times New Roman"/>
          <w:color w:val="000000" w:themeColor="text1"/>
          <w:szCs w:val="21"/>
          <w:u w:val="single"/>
          <w14:textFill>
            <w14:solidFill>
              <w14:schemeClr w14:val="tx1"/>
            </w14:solidFill>
          </w14:textFill>
        </w:rPr>
        <w:t xml:space="preserve">          （货物名称）</w:t>
      </w:r>
      <w:r>
        <w:rPr>
          <w:rFonts w:ascii="宋体" w:hAnsi="宋体" w:eastAsia="宋体" w:cs="Times New Roman"/>
          <w:color w:val="000000" w:themeColor="text1"/>
          <w:szCs w:val="21"/>
          <w14:textFill>
            <w14:solidFill>
              <w14:schemeClr w14:val="tx1"/>
            </w14:solidFill>
          </w14:textFill>
        </w:rPr>
        <w:t>，属于</w:t>
      </w:r>
      <w:r>
        <w:rPr>
          <w:rFonts w:hint="eastAsia" w:ascii="宋体" w:hAnsi="宋体" w:eastAsia="宋体" w:cs="Times New Roman"/>
          <w:color w:val="000000" w:themeColor="text1"/>
          <w:szCs w:val="21"/>
          <w:u w:val="single"/>
          <w14:textFill>
            <w14:solidFill>
              <w14:schemeClr w14:val="tx1"/>
            </w14:solidFill>
          </w14:textFill>
        </w:rPr>
        <w:t xml:space="preserve"> 工业 </w:t>
      </w:r>
      <w:r>
        <w:rPr>
          <w:rFonts w:ascii="宋体" w:hAnsi="宋体" w:eastAsia="宋体" w:cs="Times New Roman"/>
          <w:color w:val="000000" w:themeColor="text1"/>
          <w:szCs w:val="21"/>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制造商</w:t>
      </w:r>
      <w:r>
        <w:rPr>
          <w:rFonts w:ascii="宋体" w:hAnsi="宋体" w:eastAsia="宋体" w:cs="Times New Roman"/>
          <w:color w:val="000000" w:themeColor="text1"/>
          <w:szCs w:val="21"/>
          <w14:textFill>
            <w14:solidFill>
              <w14:schemeClr w14:val="tx1"/>
            </w14:solidFill>
          </w14:textFill>
        </w:rPr>
        <w:t>为</w:t>
      </w:r>
      <w:r>
        <w:rPr>
          <w:rFonts w:hint="eastAsia" w:ascii="宋体" w:hAnsi="宋体" w:eastAsia="宋体" w:cs="Times New Roman"/>
          <w:color w:val="000000" w:themeColor="text1"/>
          <w:szCs w:val="21"/>
          <w:u w:val="single"/>
          <w14:textFill>
            <w14:solidFill>
              <w14:schemeClr w14:val="tx1"/>
            </w14:solidFill>
          </w14:textFill>
        </w:rPr>
        <w:t xml:space="preserve">          </w:t>
      </w:r>
      <w:r>
        <w:rPr>
          <w:rFonts w:ascii="宋体" w:hAnsi="宋体" w:eastAsia="宋体" w:cs="Times New Roman"/>
          <w:color w:val="000000" w:themeColor="text1"/>
          <w:szCs w:val="21"/>
          <w:u w:val="single"/>
          <w14:textFill>
            <w14:solidFill>
              <w14:schemeClr w14:val="tx1"/>
            </w14:solidFill>
          </w14:textFill>
        </w:rPr>
        <w:t>（</w:t>
      </w:r>
      <w:r>
        <w:rPr>
          <w:rFonts w:hint="eastAsia" w:ascii="宋体" w:hAnsi="宋体" w:eastAsia="宋体" w:cs="Times New Roman"/>
          <w:color w:val="000000" w:themeColor="text1"/>
          <w:szCs w:val="21"/>
          <w:u w:val="single"/>
          <w14:textFill>
            <w14:solidFill>
              <w14:schemeClr w14:val="tx1"/>
            </w14:solidFill>
          </w14:textFill>
        </w:rPr>
        <w:t>制造商</w:t>
      </w:r>
      <w:r>
        <w:rPr>
          <w:rFonts w:ascii="宋体" w:hAnsi="宋体" w:eastAsia="宋体" w:cs="Times New Roman"/>
          <w:color w:val="000000" w:themeColor="text1"/>
          <w:szCs w:val="21"/>
          <w:u w:val="single"/>
          <w14:textFill>
            <w14:solidFill>
              <w14:schemeClr w14:val="tx1"/>
            </w14:solidFill>
          </w14:textFill>
        </w:rPr>
        <w:t>名称）</w:t>
      </w:r>
      <w:r>
        <w:rPr>
          <w:rFonts w:ascii="宋体" w:hAnsi="宋体" w:eastAsia="宋体" w:cs="Times New Roman"/>
          <w:color w:val="000000" w:themeColor="text1"/>
          <w:szCs w:val="21"/>
          <w14:textFill>
            <w14:solidFill>
              <w14:schemeClr w14:val="tx1"/>
            </w14:solidFill>
          </w14:textFill>
        </w:rPr>
        <w:t>，从业人员</w:t>
      </w:r>
      <w:r>
        <w:rPr>
          <w:rFonts w:ascii="宋体" w:hAnsi="宋体" w:eastAsia="宋体" w:cs="Times New Roman"/>
          <w:color w:val="000000" w:themeColor="text1"/>
          <w:szCs w:val="21"/>
          <w:u w:val="single"/>
          <w14:textFill>
            <w14:solidFill>
              <w14:schemeClr w14:val="tx1"/>
            </w14:solidFill>
          </w14:textFill>
        </w:rPr>
        <w:t xml:space="preserve"> </w:t>
      </w:r>
      <w:r>
        <w:rPr>
          <w:rFonts w:hint="eastAsia" w:ascii="宋体" w:hAnsi="宋体" w:eastAsia="宋体" w:cs="Times New Roman"/>
          <w:color w:val="000000" w:themeColor="text1"/>
          <w:szCs w:val="21"/>
          <w:u w:val="single"/>
          <w14:textFill>
            <w14:solidFill>
              <w14:schemeClr w14:val="tx1"/>
            </w14:solidFill>
          </w14:textFill>
        </w:rPr>
        <w:t xml:space="preserve">   </w:t>
      </w:r>
      <w:r>
        <w:rPr>
          <w:rFonts w:ascii="宋体" w:hAnsi="宋体" w:eastAsia="宋体" w:cs="Times New Roman"/>
          <w:color w:val="000000" w:themeColor="text1"/>
          <w:szCs w:val="21"/>
          <w14:textFill>
            <w14:solidFill>
              <w14:schemeClr w14:val="tx1"/>
            </w14:solidFill>
          </w14:textFill>
        </w:rPr>
        <w:t>人，营业收入为</w:t>
      </w:r>
      <w:r>
        <w:rPr>
          <w:rFonts w:ascii="宋体" w:hAnsi="宋体" w:eastAsia="宋体" w:cs="Times New Roman"/>
          <w:color w:val="000000" w:themeColor="text1"/>
          <w:szCs w:val="21"/>
          <w:u w:val="single"/>
          <w14:textFill>
            <w14:solidFill>
              <w14:schemeClr w14:val="tx1"/>
            </w14:solidFill>
          </w14:textFill>
        </w:rPr>
        <w:t xml:space="preserve"> </w:t>
      </w:r>
      <w:r>
        <w:rPr>
          <w:rFonts w:hint="eastAsia" w:ascii="宋体" w:hAnsi="宋体" w:eastAsia="宋体" w:cs="Times New Roman"/>
          <w:color w:val="000000" w:themeColor="text1"/>
          <w:szCs w:val="21"/>
          <w:u w:val="single"/>
          <w14:textFill>
            <w14:solidFill>
              <w14:schemeClr w14:val="tx1"/>
            </w14:solidFill>
          </w14:textFill>
        </w:rPr>
        <w:t xml:space="preserve">   </w:t>
      </w:r>
      <w:r>
        <w:rPr>
          <w:rFonts w:ascii="宋体" w:hAnsi="宋体" w:eastAsia="宋体" w:cs="Times New Roman"/>
          <w:color w:val="000000" w:themeColor="text1"/>
          <w:szCs w:val="21"/>
          <w14:textFill>
            <w14:solidFill>
              <w14:schemeClr w14:val="tx1"/>
            </w14:solidFill>
          </w14:textFill>
        </w:rPr>
        <w:t>万元，资产总额为</w:t>
      </w:r>
      <w:r>
        <w:rPr>
          <w:rFonts w:ascii="宋体" w:hAnsi="宋体" w:eastAsia="宋体" w:cs="Times New Roman"/>
          <w:color w:val="000000" w:themeColor="text1"/>
          <w:szCs w:val="21"/>
          <w:u w:val="single"/>
          <w14:textFill>
            <w14:solidFill>
              <w14:schemeClr w14:val="tx1"/>
            </w14:solidFill>
          </w14:textFill>
        </w:rPr>
        <w:t xml:space="preserve"> </w:t>
      </w:r>
      <w:r>
        <w:rPr>
          <w:rFonts w:hint="eastAsia" w:ascii="宋体" w:hAnsi="宋体" w:eastAsia="宋体" w:cs="Times New Roman"/>
          <w:color w:val="000000" w:themeColor="text1"/>
          <w:szCs w:val="21"/>
          <w:u w:val="single"/>
          <w14:textFill>
            <w14:solidFill>
              <w14:schemeClr w14:val="tx1"/>
            </w14:solidFill>
          </w14:textFill>
        </w:rPr>
        <w:t xml:space="preserve">   </w:t>
      </w:r>
      <w:r>
        <w:rPr>
          <w:rFonts w:ascii="宋体" w:hAnsi="宋体" w:eastAsia="宋体" w:cs="Times New Roman"/>
          <w:color w:val="000000" w:themeColor="text1"/>
          <w:szCs w:val="21"/>
          <w14:textFill>
            <w14:solidFill>
              <w14:schemeClr w14:val="tx1"/>
            </w14:solidFill>
          </w14:textFill>
        </w:rPr>
        <w:t>万元，属于</w:t>
      </w:r>
      <w:r>
        <w:rPr>
          <w:rFonts w:hint="eastAsia" w:ascii="宋体" w:hAnsi="宋体" w:eastAsia="宋体" w:cs="Times New Roman"/>
          <w:color w:val="000000" w:themeColor="text1"/>
          <w:szCs w:val="21"/>
          <w:u w:val="single"/>
          <w14:textFill>
            <w14:solidFill>
              <w14:schemeClr w14:val="tx1"/>
            </w14:solidFill>
          </w14:textFill>
        </w:rPr>
        <w:t xml:space="preserve">          </w:t>
      </w:r>
      <w:r>
        <w:rPr>
          <w:rFonts w:ascii="宋体" w:hAnsi="宋体" w:eastAsia="宋体" w:cs="Times New Roman"/>
          <w:color w:val="000000" w:themeColor="text1"/>
          <w:szCs w:val="21"/>
          <w:u w:val="single"/>
          <w14:textFill>
            <w14:solidFill>
              <w14:schemeClr w14:val="tx1"/>
            </w14:solidFill>
          </w14:textFill>
        </w:rPr>
        <w:t>（中型企业</w:t>
      </w:r>
      <w:r>
        <w:rPr>
          <w:rFonts w:hint="eastAsia" w:ascii="宋体" w:hAnsi="宋体" w:eastAsia="宋体" w:cs="Times New Roman"/>
          <w:color w:val="000000" w:themeColor="text1"/>
          <w:szCs w:val="21"/>
          <w:u w:val="single"/>
          <w14:textFill>
            <w14:solidFill>
              <w14:schemeClr w14:val="tx1"/>
            </w14:solidFill>
          </w14:textFill>
        </w:rPr>
        <w:t>或</w:t>
      </w:r>
      <w:r>
        <w:rPr>
          <w:rFonts w:ascii="宋体" w:hAnsi="宋体" w:eastAsia="宋体" w:cs="Times New Roman"/>
          <w:color w:val="000000" w:themeColor="text1"/>
          <w:szCs w:val="21"/>
          <w:u w:val="single"/>
          <w14:textFill>
            <w14:solidFill>
              <w14:schemeClr w14:val="tx1"/>
            </w14:solidFill>
          </w14:textFill>
        </w:rPr>
        <w:t>小型企业</w:t>
      </w:r>
      <w:r>
        <w:rPr>
          <w:rFonts w:hint="eastAsia" w:ascii="宋体" w:hAnsi="宋体" w:eastAsia="宋体" w:cs="Times New Roman"/>
          <w:color w:val="000000" w:themeColor="text1"/>
          <w:szCs w:val="21"/>
          <w:u w:val="single"/>
          <w14:textFill>
            <w14:solidFill>
              <w14:schemeClr w14:val="tx1"/>
            </w14:solidFill>
          </w14:textFill>
        </w:rPr>
        <w:t>或</w:t>
      </w:r>
      <w:r>
        <w:rPr>
          <w:rFonts w:ascii="宋体" w:hAnsi="宋体" w:eastAsia="宋体" w:cs="Times New Roman"/>
          <w:color w:val="000000" w:themeColor="text1"/>
          <w:szCs w:val="21"/>
          <w:u w:val="single"/>
          <w14:textFill>
            <w14:solidFill>
              <w14:schemeClr w14:val="tx1"/>
            </w14:solidFill>
          </w14:textFill>
        </w:rPr>
        <w:t>微型企业）</w:t>
      </w:r>
      <w:r>
        <w:rPr>
          <w:rFonts w:hint="eastAsia" w:ascii="宋体" w:hAnsi="宋体" w:eastAsia="宋体" w:cs="Times New Roman"/>
          <w:color w:val="000000" w:themeColor="text1"/>
          <w:szCs w:val="21"/>
          <w14:textFill>
            <w14:solidFill>
              <w14:schemeClr w14:val="tx1"/>
            </w14:solidFill>
          </w14:textFill>
        </w:rPr>
        <w:t>。</w:t>
      </w:r>
    </w:p>
    <w:p>
      <w:pPr>
        <w:wordWrap w:val="0"/>
        <w:spacing w:line="400" w:lineRule="exact"/>
        <w:ind w:firstLine="422" w:firstLineChars="200"/>
        <w:jc w:val="left"/>
        <w:rPr>
          <w:rFonts w:ascii="宋体" w:hAnsi="宋体" w:eastAsia="宋体" w:cs="Times New Roman"/>
          <w:szCs w:val="21"/>
        </w:rPr>
      </w:pPr>
      <w:r>
        <w:rPr>
          <w:rFonts w:hint="eastAsia" w:ascii="宋体" w:hAnsi="宋体" w:eastAsia="宋体" w:cs="Times New Roman"/>
          <w:b/>
          <w:szCs w:val="21"/>
        </w:rPr>
        <w:t>……（如有多家制造商的，按同格式增加）</w:t>
      </w:r>
    </w:p>
    <w:p>
      <w:pPr>
        <w:wordWrap w:val="0"/>
        <w:spacing w:line="400" w:lineRule="exact"/>
        <w:ind w:firstLine="422" w:firstLineChars="200"/>
        <w:rPr>
          <w:rFonts w:ascii="宋体" w:hAnsi="宋体" w:eastAsia="宋体" w:cs="Times New Roman"/>
          <w:szCs w:val="21"/>
        </w:rPr>
      </w:pPr>
      <w:r>
        <w:rPr>
          <w:rFonts w:hint="eastAsia" w:ascii="宋体" w:hAnsi="宋体" w:eastAsia="宋体" w:cs="Times New Roman"/>
          <w:b/>
          <w:szCs w:val="21"/>
        </w:rPr>
        <w:t>注：</w:t>
      </w:r>
      <w:r>
        <w:rPr>
          <w:rFonts w:ascii="宋体" w:hAnsi="宋体" w:eastAsia="宋体" w:cs="Times New Roman"/>
          <w:b/>
          <w:szCs w:val="21"/>
        </w:rPr>
        <w:t>从业人员、营业收入、资产总额填报上一年度数据，无上一年度数据的新成立企业可不填报。</w:t>
      </w:r>
    </w:p>
    <w:p>
      <w:pPr>
        <w:wordWrap w:val="0"/>
        <w:spacing w:line="400" w:lineRule="exact"/>
        <w:ind w:firstLine="420" w:firstLineChars="200"/>
        <w:rPr>
          <w:rFonts w:ascii="宋体" w:hAnsi="宋体" w:eastAsia="宋体" w:cs="Times New Roman"/>
          <w:szCs w:val="21"/>
        </w:rPr>
      </w:pPr>
      <w:r>
        <w:rPr>
          <w:rFonts w:hint="eastAsia" w:ascii="宋体" w:hAnsi="宋体" w:eastAsia="宋体" w:cs="Times New Roman"/>
          <w:szCs w:val="21"/>
        </w:rPr>
        <w:t>以上企业，不属于大企业的分支机构，不存在控股股东为大企业的情形，也不存在与大企业的负责人为同一人的情形。</w:t>
      </w:r>
    </w:p>
    <w:p>
      <w:pPr>
        <w:wordWrap w:val="0"/>
        <w:spacing w:line="400" w:lineRule="exact"/>
        <w:ind w:firstLine="420" w:firstLineChars="200"/>
        <w:rPr>
          <w:rFonts w:ascii="宋体" w:hAnsi="宋体" w:eastAsia="宋体" w:cs="Times New Roman"/>
          <w:szCs w:val="21"/>
        </w:rPr>
      </w:pPr>
      <w:r>
        <w:rPr>
          <w:rFonts w:hint="eastAsia" w:ascii="宋体" w:hAnsi="宋体" w:eastAsia="宋体" w:cs="Times New Roman"/>
          <w:szCs w:val="21"/>
        </w:rPr>
        <w:t>本企业对上述声明内容的真实性负责。如有虚假，将依法承担相应责任。</w:t>
      </w:r>
    </w:p>
    <w:p>
      <w:pPr>
        <w:wordWrap w:val="0"/>
        <w:spacing w:line="400" w:lineRule="exact"/>
        <w:rPr>
          <w:rFonts w:ascii="宋体" w:hAnsi="宋体" w:eastAsia="宋体" w:cs="Times New Roman"/>
          <w:szCs w:val="21"/>
        </w:rPr>
      </w:pPr>
    </w:p>
    <w:p>
      <w:pPr>
        <w:wordWrap w:val="0"/>
        <w:spacing w:line="400" w:lineRule="exact"/>
        <w:rPr>
          <w:rFonts w:ascii="宋体" w:hAnsi="宋体" w:eastAsia="宋体" w:cs="Times New Roman"/>
          <w:szCs w:val="21"/>
        </w:rPr>
      </w:pPr>
    </w:p>
    <w:p>
      <w:pPr>
        <w:wordWrap w:val="0"/>
        <w:spacing w:line="400" w:lineRule="exact"/>
        <w:ind w:firstLine="2100" w:firstLineChars="1000"/>
        <w:rPr>
          <w:rFonts w:ascii="宋体" w:hAnsi="宋体" w:eastAsia="宋体" w:cs="Times New Roman"/>
          <w:szCs w:val="21"/>
        </w:rPr>
      </w:pPr>
      <w:r>
        <w:rPr>
          <w:rFonts w:hint="eastAsia" w:ascii="宋体" w:hAnsi="宋体" w:eastAsia="宋体" w:cs="Times New Roman"/>
          <w:szCs w:val="21"/>
        </w:rPr>
        <w:t>供应商或联合体牵头人或联合体成员名称（盖电子公章）：</w:t>
      </w:r>
      <w:r>
        <w:rPr>
          <w:rFonts w:hint="eastAsia" w:ascii="宋体" w:hAnsi="宋体" w:eastAsia="宋体" w:cs="Times New Roman"/>
          <w:szCs w:val="21"/>
          <w:u w:val="single"/>
        </w:rPr>
        <w:t xml:space="preserve">          </w:t>
      </w:r>
    </w:p>
    <w:p>
      <w:pPr>
        <w:wordWrap w:val="0"/>
        <w:spacing w:line="400" w:lineRule="exact"/>
        <w:ind w:firstLine="2100" w:firstLineChars="1000"/>
        <w:rPr>
          <w:rFonts w:ascii="宋体" w:hAnsi="宋体" w:eastAsia="宋体" w:cs="Times New Roman"/>
          <w:szCs w:val="21"/>
          <w:u w:val="single"/>
        </w:rPr>
      </w:pPr>
      <w:r>
        <w:rPr>
          <w:rFonts w:hint="eastAsia" w:ascii="宋体" w:hAnsi="宋体" w:eastAsia="宋体" w:cs="Times New Roman"/>
          <w:szCs w:val="21"/>
        </w:rPr>
        <w:t>日</w:t>
      </w:r>
      <w:r>
        <w:rPr>
          <w:rFonts w:ascii="宋体" w:hAnsi="宋体" w:eastAsia="宋体" w:cs="Times New Roman"/>
          <w:szCs w:val="21"/>
        </w:rPr>
        <w:t xml:space="preserve"> </w:t>
      </w:r>
      <w:r>
        <w:rPr>
          <w:rFonts w:hint="eastAsia" w:ascii="宋体" w:hAnsi="宋体" w:eastAsia="宋体" w:cs="Times New Roman"/>
          <w:szCs w:val="21"/>
        </w:rPr>
        <w:t xml:space="preserve"> </w:t>
      </w:r>
      <w:r>
        <w:rPr>
          <w:rFonts w:ascii="宋体" w:hAnsi="宋体" w:eastAsia="宋体" w:cs="Times New Roman"/>
          <w:szCs w:val="21"/>
        </w:rPr>
        <w:t>期：</w:t>
      </w:r>
      <w:r>
        <w:rPr>
          <w:rFonts w:hint="eastAsia" w:ascii="宋体" w:hAnsi="宋体" w:eastAsia="宋体" w:cs="Times New Roman"/>
          <w:szCs w:val="21"/>
          <w:u w:val="single"/>
        </w:rPr>
        <w:t xml:space="preserve">          </w:t>
      </w:r>
    </w:p>
    <w:p>
      <w:pPr>
        <w:spacing w:line="400" w:lineRule="exact"/>
        <w:jc w:val="left"/>
        <w:rPr>
          <w:rFonts w:ascii="宋体" w:hAnsi="宋体" w:eastAsia="宋体" w:cs="Times New Roman"/>
          <w:szCs w:val="21"/>
        </w:rPr>
        <w:sectPr>
          <w:pgSz w:w="11906" w:h="16838"/>
          <w:pgMar w:top="1418" w:right="1418" w:bottom="1418" w:left="1418" w:header="851" w:footer="992" w:gutter="0"/>
          <w:cols w:space="425" w:num="1"/>
          <w:docGrid w:type="lines" w:linePitch="312" w:charSpace="0"/>
        </w:sectPr>
      </w:pPr>
    </w:p>
    <w:p>
      <w:pPr>
        <w:wordWrap w:val="0"/>
        <w:spacing w:line="400" w:lineRule="exact"/>
        <w:rPr>
          <w:rFonts w:ascii="宋体" w:hAnsi="宋体" w:eastAsia="宋体" w:cs="Times New Roman"/>
          <w:szCs w:val="21"/>
        </w:rPr>
      </w:pPr>
      <w:r>
        <w:rPr>
          <w:rFonts w:hint="eastAsia" w:ascii="宋体" w:hAnsi="宋体" w:eastAsia="宋体" w:cs="Times New Roman"/>
          <w:szCs w:val="21"/>
        </w:rPr>
        <w:t>填写说明：</w:t>
      </w:r>
    </w:p>
    <w:p>
      <w:pPr>
        <w:wordWrap w:val="0"/>
        <w:spacing w:line="400" w:lineRule="exact"/>
        <w:rPr>
          <w:rFonts w:ascii="宋体" w:hAnsi="宋体" w:eastAsia="宋体" w:cs="Times New Roman"/>
          <w:szCs w:val="21"/>
        </w:rPr>
      </w:pPr>
      <w:r>
        <w:rPr>
          <w:rFonts w:hint="eastAsia" w:ascii="宋体" w:hAnsi="宋体" w:eastAsia="宋体" w:cs="Times New Roman"/>
          <w:szCs w:val="21"/>
        </w:rPr>
        <w:t>1.根据工信部联企业[2011]300号文件，企业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具体行业划分依据国家统计局网站公布的《国民经济行业分类》标准规定。</w:t>
      </w:r>
    </w:p>
    <w:p>
      <w:pPr>
        <w:wordWrap w:val="0"/>
        <w:spacing w:line="400" w:lineRule="exact"/>
        <w:rPr>
          <w:rFonts w:ascii="宋体" w:hAnsi="宋体" w:eastAsia="宋体" w:cs="Times New Roman"/>
          <w:szCs w:val="21"/>
        </w:rPr>
      </w:pPr>
      <w:r>
        <w:rPr>
          <w:rFonts w:hint="eastAsia" w:ascii="宋体" w:hAnsi="宋体" w:eastAsia="宋体" w:cs="Times New Roman"/>
          <w:szCs w:val="21"/>
        </w:rPr>
        <w:t>2.各行业划型标准为：</w:t>
      </w:r>
    </w:p>
    <w:p>
      <w:pPr>
        <w:wordWrap w:val="0"/>
        <w:spacing w:line="400" w:lineRule="exact"/>
        <w:rPr>
          <w:rFonts w:ascii="宋体" w:hAnsi="宋体" w:eastAsia="宋体" w:cs="Times New Roman"/>
          <w:szCs w:val="21"/>
        </w:rPr>
      </w:pPr>
      <w:r>
        <w:rPr>
          <w:rFonts w:hint="eastAsia" w:ascii="宋体" w:hAnsi="宋体" w:eastAsia="宋体" w:cs="Times New Roman"/>
          <w:szCs w:val="21"/>
        </w:rPr>
        <w:t>（1）农、林、牧、渔业。营业收入</w:t>
      </w:r>
      <w:r>
        <w:rPr>
          <w:rFonts w:ascii="宋体" w:hAnsi="宋体" w:eastAsia="宋体" w:cs="Times New Roman"/>
          <w:szCs w:val="21"/>
        </w:rPr>
        <w:t>20000万元以下的为中小微型企业。其中，营业收入500万元及以上的为中型企业，营业收入50万元及以上的为小型企业，营业收入50万元以下的为微型企业。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（2）工业。从业人员</w:t>
      </w:r>
      <w:r>
        <w:rPr>
          <w:rFonts w:ascii="宋体" w:hAnsi="宋体" w:eastAsia="宋体" w:cs="Times New Roman"/>
          <w:szCs w:val="21"/>
        </w:rPr>
        <w:t>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（3）建筑业。营业收入</w:t>
      </w:r>
      <w:r>
        <w:rPr>
          <w:rFonts w:ascii="宋体" w:hAnsi="宋体" w:eastAsia="宋体" w:cs="Times New Roman"/>
          <w:szCs w:val="21"/>
        </w:rPr>
        <w:t>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（4）批发业。从业人员</w:t>
      </w:r>
      <w:r>
        <w:rPr>
          <w:rFonts w:ascii="宋体" w:hAnsi="宋体" w:eastAsia="宋体" w:cs="Times New Roman"/>
          <w:szCs w:val="21"/>
        </w:rPr>
        <w:t>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（5）零售业。从业人员</w:t>
      </w:r>
      <w:r>
        <w:rPr>
          <w:rFonts w:ascii="宋体" w:hAnsi="宋体" w:eastAsia="宋体" w:cs="Times New Roman"/>
          <w:szCs w:val="21"/>
        </w:rPr>
        <w:t>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（6）交通运输业。从业人员</w:t>
      </w:r>
      <w:r>
        <w:rPr>
          <w:rFonts w:ascii="宋体" w:hAnsi="宋体" w:eastAsia="宋体" w:cs="Times New Roman"/>
          <w:szCs w:val="21"/>
        </w:rPr>
        <w:t>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（7）仓储业。从业人员</w:t>
      </w:r>
      <w:r>
        <w:rPr>
          <w:rFonts w:ascii="宋体" w:hAnsi="宋体" w:eastAsia="宋体" w:cs="Times New Roman"/>
          <w:szCs w:val="21"/>
        </w:rPr>
        <w:t>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（8）邮政业。从业人员</w:t>
      </w:r>
      <w:r>
        <w:rPr>
          <w:rFonts w:ascii="宋体" w:hAnsi="宋体" w:eastAsia="宋体" w:cs="Times New Roman"/>
          <w:szCs w:val="21"/>
        </w:rPr>
        <w:t>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（9）住宿业。从业人员</w:t>
      </w:r>
      <w:r>
        <w:rPr>
          <w:rFonts w:ascii="宋体" w:hAnsi="宋体" w:eastAsia="宋体" w:cs="Times New Roman"/>
          <w:szCs w:val="21"/>
        </w:rPr>
        <w:t>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（10）餐饮业。从业人员</w:t>
      </w:r>
      <w:r>
        <w:rPr>
          <w:rFonts w:ascii="宋体" w:hAnsi="宋体" w:eastAsia="宋体" w:cs="Times New Roman"/>
          <w:szCs w:val="21"/>
        </w:rPr>
        <w:t>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（11）信息传输业。从业人员</w:t>
      </w:r>
      <w:r>
        <w:rPr>
          <w:rFonts w:ascii="宋体" w:hAnsi="宋体" w:eastAsia="宋体" w:cs="Times New Roman"/>
          <w:szCs w:val="21"/>
        </w:rPr>
        <w:t>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（12）软件和信息技术服务业。从业人员</w:t>
      </w:r>
      <w:r>
        <w:rPr>
          <w:rFonts w:ascii="宋体" w:hAnsi="宋体" w:eastAsia="宋体" w:cs="Times New Roman"/>
          <w:szCs w:val="21"/>
        </w:rPr>
        <w:t>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（13）房地产开发经营。营业收入</w:t>
      </w:r>
      <w:r>
        <w:rPr>
          <w:rFonts w:ascii="宋体" w:hAnsi="宋体" w:eastAsia="宋体" w:cs="Times New Roman"/>
          <w:szCs w:val="21"/>
        </w:rPr>
        <w:t>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（14）物业管理。从业人员</w:t>
      </w:r>
      <w:r>
        <w:rPr>
          <w:rFonts w:ascii="宋体" w:hAnsi="宋体" w:eastAsia="宋体" w:cs="Times New Roman"/>
          <w:szCs w:val="21"/>
        </w:rPr>
        <w:t>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（15）租赁和商务服务业。从业人员</w:t>
      </w:r>
      <w:r>
        <w:rPr>
          <w:rFonts w:ascii="宋体" w:hAnsi="宋体" w:eastAsia="宋体" w:cs="Times New Roman"/>
          <w:szCs w:val="21"/>
        </w:rPr>
        <w:t>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（16）其他未列明行业。从业人员</w:t>
      </w:r>
      <w:r>
        <w:rPr>
          <w:rFonts w:ascii="宋体" w:hAnsi="宋体" w:eastAsia="宋体" w:cs="Times New Roman"/>
          <w:szCs w:val="21"/>
        </w:rPr>
        <w:t>300人以下的为中小微型企业。其中，从业人员100人及以上的为中型企业；从业人员10人及以上的为小型企业；从业人员10人以下的为微型企业。</w:t>
      </w:r>
    </w:p>
    <w:p>
      <w:pPr>
        <w:wordWrap w:val="0"/>
        <w:spacing w:line="400" w:lineRule="exact"/>
        <w:rPr>
          <w:rFonts w:ascii="宋体" w:hAnsi="宋体" w:eastAsia="宋体" w:cs="Times New Roman"/>
          <w:szCs w:val="21"/>
        </w:rPr>
      </w:pPr>
      <w:r>
        <w:rPr>
          <w:rFonts w:hint="eastAsia" w:ascii="宋体" w:hAnsi="宋体" w:eastAsia="宋体" w:cs="Times New Roman"/>
          <w:szCs w:val="21"/>
        </w:rPr>
        <w:t>3.中型企业标准上限即为大型企业标准的下限。</w:t>
      </w:r>
    </w:p>
    <w:p>
      <w:pPr>
        <w:spacing w:line="400" w:lineRule="exact"/>
        <w:jc w:val="left"/>
        <w:rPr>
          <w:rFonts w:ascii="宋体" w:hAnsi="宋体" w:eastAsia="宋体" w:cs="Times New Roman"/>
          <w:szCs w:val="21"/>
        </w:rPr>
        <w:sectPr>
          <w:pgSz w:w="11906" w:h="16838"/>
          <w:pgMar w:top="1418" w:right="1418" w:bottom="1418" w:left="1418" w:header="851" w:footer="992" w:gutter="0"/>
          <w:cols w:space="425" w:num="1"/>
          <w:docGrid w:type="lines" w:linePitch="312" w:charSpace="0"/>
        </w:sectPr>
      </w:pPr>
    </w:p>
    <w:p>
      <w:pPr>
        <w:spacing w:line="400" w:lineRule="exac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附件六-1</w:t>
      </w:r>
    </w:p>
    <w:p>
      <w:pPr>
        <w:spacing w:line="400" w:lineRule="exact"/>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残疾人福利性单位声明函</w:t>
      </w:r>
      <w:r>
        <w:rPr>
          <w:rFonts w:hint="eastAsia" w:ascii="宋体" w:hAnsi="宋体" w:eastAsia="宋体"/>
          <w:b/>
          <w:sz w:val="24"/>
          <w:szCs w:val="24"/>
          <w:shd w:val="clear" w:color="auto" w:fill="BEBEBE" w:themeFill="background1" w:themeFillShade="BF"/>
        </w:rPr>
        <w:t>（如满足要求则提供）</w:t>
      </w:r>
    </w:p>
    <w:p>
      <w:pPr>
        <w:wordWrap w:val="0"/>
        <w:spacing w:line="400" w:lineRule="exact"/>
        <w:rPr>
          <w:rFonts w:ascii="宋体" w:hAnsi="宋体" w:eastAsia="宋体" w:cs="Times New Roman"/>
          <w:szCs w:val="21"/>
        </w:rPr>
      </w:pPr>
    </w:p>
    <w:p>
      <w:pPr>
        <w:wordWrap w:val="0"/>
        <w:spacing w:line="400" w:lineRule="exact"/>
        <w:ind w:firstLine="420" w:firstLineChars="200"/>
        <w:rPr>
          <w:rFonts w:ascii="宋体" w:hAnsi="宋体" w:eastAsia="宋体" w:cs="Times New Roman"/>
          <w:szCs w:val="21"/>
        </w:rPr>
      </w:pPr>
      <w:r>
        <w:rPr>
          <w:rFonts w:hint="eastAsia" w:ascii="宋体" w:hAnsi="宋体" w:eastAsia="宋体" w:cs="Times New Roman"/>
          <w:szCs w:val="21"/>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eastAsia="宋体" w:cs="Times New Roman"/>
          <w:color w:val="000000" w:themeColor="text1"/>
          <w:szCs w:val="21"/>
          <w:u w:val="single"/>
          <w14:textFill>
            <w14:solidFill>
              <w14:schemeClr w14:val="tx1"/>
            </w14:solidFill>
          </w14:textFill>
        </w:rPr>
        <w:t xml:space="preserve">  余姚市人民政府凤山街道办事处 </w:t>
      </w:r>
      <w:r>
        <w:rPr>
          <w:rFonts w:hint="eastAsia" w:ascii="宋体" w:hAnsi="宋体" w:eastAsia="宋体" w:cs="Times New Roman"/>
          <w:color w:val="000000" w:themeColor="text1"/>
          <w:szCs w:val="21"/>
          <w14:textFill>
            <w14:solidFill>
              <w14:schemeClr w14:val="tx1"/>
            </w14:solidFill>
          </w14:textFill>
        </w:rPr>
        <w:t>单位的、</w:t>
      </w:r>
      <w:r>
        <w:rPr>
          <w:rFonts w:hint="eastAsia" w:ascii="宋体" w:hAnsi="宋体" w:eastAsia="宋体" w:cs="Times New Roman"/>
          <w:color w:val="000000" w:themeColor="text1"/>
          <w:szCs w:val="21"/>
          <w:u w:val="single"/>
          <w14:textFill>
            <w14:solidFill>
              <w14:schemeClr w14:val="tx1"/>
            </w14:solidFill>
          </w14:textFill>
        </w:rPr>
        <w:t xml:space="preserve"> 凤山小学改扩建工程（改造部分）电教化设施设备采购 </w:t>
      </w:r>
      <w:r>
        <w:rPr>
          <w:rFonts w:hint="eastAsia" w:ascii="宋体" w:hAnsi="宋体" w:eastAsia="宋体" w:cs="Times New Roman"/>
          <w:szCs w:val="21"/>
        </w:rPr>
        <w:t>项目”采购活动提供本单位制造的货物（由本单位承担工程/提供服务），或者提供其他残疾人福利性单位制造的货物（不包括使用非残疾人福利性单位注册商标的货物）。</w:t>
      </w:r>
    </w:p>
    <w:p>
      <w:pPr>
        <w:wordWrap w:val="0"/>
        <w:spacing w:line="400" w:lineRule="exact"/>
        <w:ind w:firstLine="420" w:firstLineChars="200"/>
        <w:rPr>
          <w:rFonts w:ascii="宋体" w:hAnsi="宋体" w:eastAsia="宋体" w:cs="Times New Roman"/>
          <w:szCs w:val="21"/>
        </w:rPr>
      </w:pPr>
      <w:r>
        <w:rPr>
          <w:rFonts w:hint="eastAsia" w:ascii="宋体" w:hAnsi="宋体" w:eastAsia="宋体" w:cs="Times New Roman"/>
          <w:szCs w:val="21"/>
        </w:rPr>
        <w:t>本单位对上述声明的真实性负责。如有虚假，将依法承担相应责任。</w:t>
      </w:r>
    </w:p>
    <w:p>
      <w:pPr>
        <w:wordWrap w:val="0"/>
        <w:spacing w:line="400" w:lineRule="exact"/>
        <w:rPr>
          <w:rFonts w:ascii="宋体" w:hAnsi="宋体" w:eastAsia="宋体" w:cs="Times New Roman"/>
          <w:szCs w:val="21"/>
        </w:rPr>
      </w:pPr>
    </w:p>
    <w:p>
      <w:pPr>
        <w:wordWrap w:val="0"/>
        <w:spacing w:line="400" w:lineRule="exact"/>
        <w:rPr>
          <w:rFonts w:ascii="宋体" w:hAnsi="宋体" w:eastAsia="宋体" w:cs="Times New Roman"/>
          <w:szCs w:val="21"/>
        </w:rPr>
      </w:pPr>
    </w:p>
    <w:p>
      <w:pPr>
        <w:wordWrap w:val="0"/>
        <w:spacing w:line="400" w:lineRule="exact"/>
        <w:ind w:firstLine="2100" w:firstLineChars="1000"/>
        <w:rPr>
          <w:rFonts w:ascii="宋体" w:hAnsi="宋体" w:eastAsia="宋体" w:cs="Times New Roman"/>
          <w:szCs w:val="21"/>
        </w:rPr>
      </w:pPr>
      <w:r>
        <w:rPr>
          <w:rFonts w:hint="eastAsia" w:ascii="宋体" w:hAnsi="宋体" w:eastAsia="宋体" w:cs="Times New Roman"/>
          <w:szCs w:val="21"/>
        </w:rPr>
        <w:t>供应商或联合体牵头人或联合体成员名称（</w:t>
      </w:r>
      <w:r>
        <w:rPr>
          <w:rFonts w:ascii="宋体" w:hAnsi="宋体" w:eastAsia="宋体" w:cs="Times New Roman"/>
          <w:szCs w:val="21"/>
        </w:rPr>
        <w:t>盖</w:t>
      </w:r>
      <w:r>
        <w:rPr>
          <w:rFonts w:hint="eastAsia" w:ascii="宋体" w:hAnsi="宋体" w:eastAsia="宋体" w:cs="Times New Roman"/>
          <w:szCs w:val="21"/>
        </w:rPr>
        <w:t>电子公</w:t>
      </w:r>
      <w:r>
        <w:rPr>
          <w:rFonts w:ascii="宋体" w:hAnsi="宋体" w:eastAsia="宋体" w:cs="Times New Roman"/>
          <w:szCs w:val="21"/>
        </w:rPr>
        <w:t>章</w:t>
      </w:r>
      <w:r>
        <w:rPr>
          <w:rFonts w:hint="eastAsia" w:ascii="宋体" w:hAnsi="宋体" w:eastAsia="宋体" w:cs="Times New Roman"/>
          <w:szCs w:val="21"/>
        </w:rPr>
        <w:t>）：</w:t>
      </w:r>
      <w:r>
        <w:rPr>
          <w:rFonts w:hint="eastAsia" w:ascii="宋体" w:hAnsi="宋体" w:eastAsia="宋体" w:cs="Times New Roman"/>
          <w:szCs w:val="21"/>
          <w:u w:val="single"/>
        </w:rPr>
        <w:t xml:space="preserve">          </w:t>
      </w:r>
    </w:p>
    <w:p>
      <w:pPr>
        <w:wordWrap w:val="0"/>
        <w:spacing w:line="400" w:lineRule="exact"/>
        <w:ind w:firstLine="2100" w:firstLineChars="1000"/>
        <w:rPr>
          <w:rFonts w:ascii="宋体" w:hAnsi="宋体" w:eastAsia="宋体" w:cs="Times New Roman"/>
          <w:szCs w:val="21"/>
          <w:u w:val="single"/>
        </w:rPr>
      </w:pPr>
      <w:r>
        <w:rPr>
          <w:rFonts w:hint="eastAsia" w:ascii="宋体" w:hAnsi="宋体" w:eastAsia="宋体" w:cs="Times New Roman"/>
          <w:szCs w:val="21"/>
        </w:rPr>
        <w:t>日  期：</w:t>
      </w:r>
      <w:r>
        <w:rPr>
          <w:rFonts w:hint="eastAsia" w:ascii="宋体" w:hAnsi="宋体" w:eastAsia="宋体" w:cs="Times New Roman"/>
          <w:szCs w:val="21"/>
          <w:u w:val="single"/>
        </w:rPr>
        <w:t xml:space="preserve">          </w:t>
      </w:r>
    </w:p>
    <w:p>
      <w:pPr>
        <w:wordWrap w:val="0"/>
        <w:spacing w:line="400" w:lineRule="exact"/>
        <w:rPr>
          <w:rFonts w:ascii="宋体" w:hAnsi="宋体" w:eastAsia="宋体" w:cs="Times New Roman"/>
          <w:szCs w:val="21"/>
          <w:u w:val="single"/>
        </w:rPr>
      </w:pPr>
    </w:p>
    <w:p>
      <w:pPr>
        <w:wordWrap w:val="0"/>
        <w:spacing w:line="400" w:lineRule="exact"/>
        <w:rPr>
          <w:rFonts w:ascii="宋体" w:hAnsi="宋体" w:eastAsia="宋体" w:cs="Times New Roman"/>
          <w:szCs w:val="21"/>
          <w:u w:val="single"/>
        </w:rPr>
      </w:pPr>
    </w:p>
    <w:p>
      <w:pPr>
        <w:wordWrap w:val="0"/>
        <w:spacing w:line="400" w:lineRule="exact"/>
        <w:rPr>
          <w:rFonts w:ascii="宋体" w:hAnsi="宋体" w:eastAsia="宋体" w:cs="Times New Roman"/>
          <w:szCs w:val="21"/>
        </w:rPr>
      </w:pPr>
      <w:r>
        <w:rPr>
          <w:rFonts w:hint="eastAsia" w:ascii="宋体" w:hAnsi="宋体" w:eastAsia="宋体" w:cs="Times New Roman"/>
          <w:szCs w:val="21"/>
        </w:rPr>
        <w:t>填写说明：</w:t>
      </w:r>
    </w:p>
    <w:p>
      <w:pPr>
        <w:wordWrap w:val="0"/>
        <w:spacing w:line="400" w:lineRule="exact"/>
        <w:rPr>
          <w:rFonts w:ascii="宋体" w:hAnsi="宋体" w:eastAsia="宋体" w:cs="Times New Roman"/>
          <w:szCs w:val="21"/>
        </w:rPr>
      </w:pPr>
      <w:r>
        <w:rPr>
          <w:rFonts w:hint="eastAsia" w:ascii="宋体" w:hAnsi="宋体" w:eastAsia="宋体" w:cs="Times New Roman"/>
          <w:szCs w:val="21"/>
        </w:rPr>
        <w:t>1.本声明是残疾人福利性单位的提供，其他单位无需提供。</w:t>
      </w:r>
    </w:p>
    <w:p>
      <w:pPr>
        <w:wordWrap w:val="0"/>
        <w:spacing w:line="400" w:lineRule="exact"/>
        <w:rPr>
          <w:rFonts w:ascii="宋体" w:hAnsi="宋体" w:eastAsia="宋体" w:cs="Times New Roman"/>
          <w:szCs w:val="21"/>
        </w:rPr>
      </w:pPr>
      <w:r>
        <w:rPr>
          <w:rFonts w:hint="eastAsia" w:ascii="宋体" w:hAnsi="宋体" w:eastAsia="宋体" w:cs="Times New Roman"/>
          <w:szCs w:val="21"/>
        </w:rPr>
        <w:t>2.享受政府采购支持政策的残疾人福利性单位应当同时满足以下条件：</w:t>
      </w:r>
    </w:p>
    <w:p>
      <w:pPr>
        <w:wordWrap w:val="0"/>
        <w:spacing w:line="400" w:lineRule="exact"/>
        <w:rPr>
          <w:rFonts w:ascii="宋体" w:hAnsi="宋体" w:eastAsia="宋体" w:cs="Times New Roman"/>
          <w:szCs w:val="21"/>
        </w:rPr>
      </w:pPr>
      <w:r>
        <w:rPr>
          <w:rFonts w:hint="eastAsia" w:ascii="宋体" w:hAnsi="宋体" w:eastAsia="宋体" w:cs="Times New Roman"/>
          <w:szCs w:val="21"/>
        </w:rPr>
        <w:t>（1）安置的残疾人占本单位在职职工人数的比例不低于25%（含25%），并且安置的残疾人人数不少于10人（含10人）；</w:t>
      </w:r>
    </w:p>
    <w:p>
      <w:pPr>
        <w:wordWrap w:val="0"/>
        <w:spacing w:line="400" w:lineRule="exact"/>
        <w:rPr>
          <w:rFonts w:ascii="宋体" w:hAnsi="宋体" w:eastAsia="宋体" w:cs="Times New Roman"/>
          <w:szCs w:val="21"/>
        </w:rPr>
      </w:pPr>
      <w:r>
        <w:rPr>
          <w:rFonts w:hint="eastAsia" w:ascii="宋体" w:hAnsi="宋体" w:eastAsia="宋体" w:cs="Times New Roman"/>
          <w:szCs w:val="21"/>
        </w:rPr>
        <w:t>（2）依法与安置的每位残疾人签订了一年以上（含一年）的劳动合同或服务协议；</w:t>
      </w:r>
    </w:p>
    <w:p>
      <w:pPr>
        <w:wordWrap w:val="0"/>
        <w:spacing w:line="400" w:lineRule="exact"/>
        <w:rPr>
          <w:rFonts w:ascii="宋体" w:hAnsi="宋体" w:eastAsia="宋体" w:cs="Times New Roman"/>
          <w:szCs w:val="21"/>
        </w:rPr>
      </w:pPr>
      <w:r>
        <w:rPr>
          <w:rFonts w:hint="eastAsia" w:ascii="宋体" w:hAnsi="宋体" w:eastAsia="宋体" w:cs="Times New Roman"/>
          <w:szCs w:val="21"/>
        </w:rPr>
        <w:t>（3）为安置的每位残疾人按月足额缴纳了基本养老保险、基本医疗保险、失业保险、工伤保险和生育保险等社会保险费；</w:t>
      </w:r>
    </w:p>
    <w:p>
      <w:pPr>
        <w:wordWrap w:val="0"/>
        <w:spacing w:line="400" w:lineRule="exact"/>
        <w:rPr>
          <w:rFonts w:ascii="宋体" w:hAnsi="宋体" w:eastAsia="宋体" w:cs="Times New Roman"/>
          <w:szCs w:val="21"/>
        </w:rPr>
      </w:pPr>
      <w:r>
        <w:rPr>
          <w:rFonts w:hint="eastAsia" w:ascii="宋体" w:hAnsi="宋体" w:eastAsia="宋体" w:cs="Times New Roman"/>
          <w:szCs w:val="21"/>
        </w:rPr>
        <w:t>（4）通过银行等金融机构向安置的每位残疾人，按月支付了不低于单位所在区县适用的经省级人民政府批准的月最低工资标准的工资；</w:t>
      </w:r>
    </w:p>
    <w:p>
      <w:pPr>
        <w:wordWrap w:val="0"/>
        <w:spacing w:line="400" w:lineRule="exact"/>
        <w:rPr>
          <w:rFonts w:ascii="宋体" w:hAnsi="宋体" w:eastAsia="宋体" w:cs="Times New Roman"/>
          <w:szCs w:val="21"/>
        </w:rPr>
      </w:pPr>
      <w:r>
        <w:rPr>
          <w:rFonts w:hint="eastAsia" w:ascii="宋体" w:hAnsi="宋体" w:eastAsia="宋体" w:cs="Times New Roman"/>
          <w:szCs w:val="21"/>
        </w:rPr>
        <w:t>（5）提供本单位制造的货物、承担的工程或者服务（以下简称产品），或者提供其他残疾人福利性单位制造的货物（不包括使用非残疾人福利性单位注册商标的货物）。</w:t>
      </w:r>
    </w:p>
    <w:p>
      <w:pPr>
        <w:wordWrap w:val="0"/>
        <w:spacing w:line="400" w:lineRule="exact"/>
        <w:rPr>
          <w:rFonts w:ascii="宋体" w:hAnsi="宋体" w:eastAsia="宋体" w:cs="Times New Roman"/>
          <w:szCs w:val="21"/>
        </w:rPr>
      </w:pPr>
      <w:r>
        <w:rPr>
          <w:rFonts w:hint="eastAsia" w:ascii="宋体" w:hAnsi="宋体" w:eastAsia="宋体" w:cs="Times New Roman"/>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spacing w:line="400" w:lineRule="exact"/>
        <w:rPr>
          <w:rFonts w:ascii="宋体" w:hAnsi="宋体" w:eastAsia="宋体" w:cs="Times New Roman"/>
          <w:color w:val="000000" w:themeColor="text1"/>
          <w:szCs w:val="21"/>
          <w14:textFill>
            <w14:solidFill>
              <w14:schemeClr w14:val="tx1"/>
            </w14:solidFill>
          </w14:textFill>
        </w:rPr>
        <w:sectPr>
          <w:pgSz w:w="11906" w:h="16838"/>
          <w:pgMar w:top="1418" w:right="1418" w:bottom="1418" w:left="1418" w:header="851" w:footer="992" w:gutter="0"/>
          <w:cols w:space="425" w:num="1"/>
          <w:docGrid w:type="lines" w:linePitch="312" w:charSpace="0"/>
        </w:sectPr>
      </w:pPr>
    </w:p>
    <w:p>
      <w:pPr>
        <w:spacing w:line="400" w:lineRule="exact"/>
        <w:jc w:val="lef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附件七</w:t>
      </w:r>
    </w:p>
    <w:p>
      <w:pPr>
        <w:spacing w:line="400" w:lineRule="exact"/>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分包意向协议</w:t>
      </w:r>
    </w:p>
    <w:p>
      <w:pPr>
        <w:spacing w:line="400" w:lineRule="exact"/>
        <w:jc w:val="center"/>
        <w:rPr>
          <w:rFonts w:ascii="宋体" w:hAnsi="宋体" w:eastAsia="宋体" w:cs="Times New Roman"/>
          <w:b/>
          <w:color w:val="000000" w:themeColor="text1"/>
          <w:sz w:val="24"/>
          <w:szCs w:val="24"/>
          <w:shd w:val="clear" w:color="auto" w:fill="BEBEBE" w:themeFill="background1" w:themeFillShade="BF"/>
          <w14:textFill>
            <w14:solidFill>
              <w14:schemeClr w14:val="tx1"/>
            </w14:solidFill>
          </w14:textFill>
        </w:rPr>
      </w:pPr>
      <w:r>
        <w:rPr>
          <w:rFonts w:hint="eastAsia" w:ascii="宋体" w:hAnsi="宋体" w:eastAsia="宋体" w:cs="Times New Roman"/>
          <w:b/>
          <w:color w:val="000000" w:themeColor="text1"/>
          <w:sz w:val="24"/>
          <w:szCs w:val="24"/>
          <w:shd w:val="clear" w:color="auto" w:fill="BEBEBE" w:themeFill="background1" w:themeFillShade="BF"/>
          <w14:textFill>
            <w14:solidFill>
              <w14:schemeClr w14:val="tx1"/>
            </w14:solidFill>
          </w14:textFill>
        </w:rPr>
        <w:t>（成交后以合理分包方式履行政府采购合同的，提供分包意向协议）</w:t>
      </w:r>
    </w:p>
    <w:p>
      <w:pPr>
        <w:wordWrap w:val="0"/>
        <w:spacing w:line="400" w:lineRule="exact"/>
        <w:rPr>
          <w:rFonts w:ascii="宋体" w:hAnsi="宋体" w:eastAsia="宋体"/>
          <w:szCs w:val="21"/>
        </w:rPr>
      </w:pPr>
    </w:p>
    <w:p>
      <w:pPr>
        <w:wordWrap w:val="0"/>
        <w:spacing w:line="400" w:lineRule="exact"/>
        <w:rPr>
          <w:rFonts w:ascii="宋体" w:hAnsi="宋体" w:eastAsia="宋体"/>
          <w:szCs w:val="21"/>
        </w:rPr>
      </w:pPr>
      <w:r>
        <w:rPr>
          <w:rFonts w:hint="eastAsia" w:ascii="宋体" w:hAnsi="宋体" w:eastAsia="宋体"/>
          <w:szCs w:val="21"/>
        </w:rPr>
        <w:t>供应商：</w:t>
      </w:r>
      <w:r>
        <w:rPr>
          <w:rFonts w:hint="eastAsia" w:ascii="宋体" w:hAnsi="宋体" w:eastAsia="宋体"/>
          <w:szCs w:val="21"/>
          <w:u w:val="single"/>
        </w:rPr>
        <w:t xml:space="preserve"> </w:t>
      </w:r>
      <w:r>
        <w:rPr>
          <w:rFonts w:ascii="宋体" w:hAnsi="宋体" w:eastAsia="宋体"/>
          <w:szCs w:val="21"/>
          <w:u w:val="single"/>
        </w:rPr>
        <w:t xml:space="preserve">         </w:t>
      </w:r>
    </w:p>
    <w:p>
      <w:pPr>
        <w:wordWrap w:val="0"/>
        <w:spacing w:line="400" w:lineRule="exact"/>
        <w:rPr>
          <w:rFonts w:ascii="宋体" w:hAnsi="宋体" w:eastAsia="宋体"/>
          <w:szCs w:val="21"/>
        </w:rPr>
      </w:pPr>
      <w:r>
        <w:rPr>
          <w:rFonts w:hint="eastAsia" w:ascii="宋体" w:hAnsi="宋体" w:eastAsia="宋体"/>
          <w:szCs w:val="21"/>
        </w:rPr>
        <w:t>分包意向供应商一：</w:t>
      </w:r>
      <w:r>
        <w:rPr>
          <w:rFonts w:hint="eastAsia" w:ascii="宋体" w:hAnsi="宋体" w:eastAsia="宋体"/>
          <w:szCs w:val="21"/>
          <w:u w:val="single"/>
        </w:rPr>
        <w:t xml:space="preserve"> </w:t>
      </w:r>
      <w:r>
        <w:rPr>
          <w:rFonts w:ascii="宋体" w:hAnsi="宋体" w:eastAsia="宋体"/>
          <w:szCs w:val="21"/>
          <w:u w:val="single"/>
        </w:rPr>
        <w:t xml:space="preserve">         </w:t>
      </w:r>
    </w:p>
    <w:p>
      <w:pPr>
        <w:wordWrap w:val="0"/>
        <w:spacing w:line="400" w:lineRule="exact"/>
        <w:rPr>
          <w:rFonts w:ascii="宋体" w:hAnsi="宋体" w:eastAsia="宋体"/>
          <w:b/>
          <w:bCs/>
          <w:szCs w:val="21"/>
        </w:rPr>
      </w:pPr>
      <w:r>
        <w:rPr>
          <w:rFonts w:hint="eastAsia" w:ascii="宋体" w:hAnsi="宋体" w:eastAsia="宋体"/>
          <w:b/>
          <w:bCs/>
          <w:szCs w:val="21"/>
        </w:rPr>
        <w:t>......（如有多个分包意向供应商的，按同格式增加）</w:t>
      </w:r>
    </w:p>
    <w:p>
      <w:pPr>
        <w:wordWrap w:val="0"/>
        <w:spacing w:line="400" w:lineRule="exact"/>
        <w:ind w:firstLine="420" w:firstLineChars="200"/>
        <w:rPr>
          <w:rFonts w:ascii="宋体" w:hAnsi="宋体" w:eastAsia="宋体"/>
          <w:szCs w:val="21"/>
        </w:rPr>
      </w:pP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u w:val="single"/>
        </w:rPr>
        <w:t>供应商</w:t>
      </w:r>
      <w:r>
        <w:rPr>
          <w:rFonts w:ascii="宋体" w:hAnsi="宋体" w:eastAsia="宋体"/>
          <w:szCs w:val="21"/>
          <w:u w:val="single"/>
        </w:rPr>
        <w:t>全称）</w:t>
      </w:r>
      <w:r>
        <w:rPr>
          <w:rFonts w:ascii="宋体" w:hAnsi="宋体" w:eastAsia="宋体"/>
          <w:szCs w:val="21"/>
        </w:rPr>
        <w:t>、</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u w:val="single"/>
        </w:rPr>
        <w:t>分包意向供应商一</w:t>
      </w:r>
      <w:r>
        <w:rPr>
          <w:rFonts w:ascii="宋体" w:hAnsi="宋体" w:eastAsia="宋体"/>
          <w:szCs w:val="21"/>
          <w:u w:val="single"/>
        </w:rPr>
        <w:t>全称）</w:t>
      </w:r>
      <w:r>
        <w:rPr>
          <w:rFonts w:ascii="宋体" w:hAnsi="宋体" w:eastAsia="宋体"/>
          <w:szCs w:val="21"/>
        </w:rPr>
        <w:t>自愿达成分包意向，参加</w:t>
      </w:r>
      <w:r>
        <w:rPr>
          <w:rFonts w:hint="eastAsia" w:ascii="宋体" w:hAnsi="宋体" w:eastAsia="宋体"/>
          <w:szCs w:val="21"/>
          <w:u w:val="single"/>
        </w:rPr>
        <w:t xml:space="preserve">          （项目编号）</w:t>
      </w:r>
      <w:r>
        <w:rPr>
          <w:rFonts w:hint="eastAsia" w:ascii="宋体" w:hAnsi="宋体" w:eastAsia="宋体"/>
          <w:szCs w:val="21"/>
        </w:rPr>
        <w:t>、</w:t>
      </w:r>
      <w:r>
        <w:rPr>
          <w:rFonts w:hint="eastAsia" w:ascii="宋体" w:hAnsi="宋体" w:eastAsia="宋体"/>
          <w:szCs w:val="21"/>
          <w:u w:val="single"/>
        </w:rPr>
        <w:t xml:space="preserve">          （项目名称）</w:t>
      </w:r>
      <w:r>
        <w:rPr>
          <w:rFonts w:hint="eastAsia" w:ascii="宋体" w:hAnsi="宋体" w:eastAsia="宋体"/>
          <w:szCs w:val="21"/>
        </w:rPr>
        <w:t>的响应。</w:t>
      </w:r>
      <w:r>
        <w:rPr>
          <w:rFonts w:ascii="宋体" w:hAnsi="宋体" w:eastAsia="宋体"/>
          <w:szCs w:val="21"/>
        </w:rPr>
        <w:t>经各方充分协商一致，就项目的响应和合同实施阶段的有关事务协商一致订立意向如下：</w:t>
      </w:r>
    </w:p>
    <w:p>
      <w:pPr>
        <w:wordWrap w:val="0"/>
        <w:spacing w:line="400" w:lineRule="exact"/>
        <w:ind w:firstLine="420" w:firstLineChars="200"/>
        <w:rPr>
          <w:rFonts w:ascii="宋体" w:hAnsi="宋体" w:eastAsia="宋体"/>
          <w:szCs w:val="21"/>
        </w:rPr>
      </w:pPr>
      <w:r>
        <w:rPr>
          <w:rFonts w:hint="eastAsia" w:ascii="宋体" w:hAnsi="宋体" w:eastAsia="宋体"/>
          <w:szCs w:val="21"/>
        </w:rPr>
        <w:t>一、分包意向各方关系</w:t>
      </w:r>
    </w:p>
    <w:p>
      <w:pPr>
        <w:wordWrap w:val="0"/>
        <w:spacing w:line="400" w:lineRule="exact"/>
        <w:ind w:firstLine="420" w:firstLineChars="200"/>
        <w:rPr>
          <w:rFonts w:ascii="宋体" w:hAnsi="宋体" w:eastAsia="宋体"/>
          <w:szCs w:val="21"/>
        </w:rPr>
      </w:pP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u w:val="single"/>
        </w:rPr>
        <w:t>供应商</w:t>
      </w:r>
      <w:r>
        <w:rPr>
          <w:rFonts w:ascii="宋体" w:hAnsi="宋体" w:eastAsia="宋体"/>
          <w:szCs w:val="21"/>
          <w:u w:val="single"/>
        </w:rPr>
        <w:t>全称）</w:t>
      </w:r>
      <w:r>
        <w:rPr>
          <w:rFonts w:ascii="宋体" w:hAnsi="宋体" w:eastAsia="宋体"/>
          <w:szCs w:val="21"/>
        </w:rPr>
        <w:t>为</w:t>
      </w:r>
      <w:r>
        <w:rPr>
          <w:rFonts w:hint="eastAsia" w:ascii="宋体" w:hAnsi="宋体" w:eastAsia="宋体"/>
          <w:szCs w:val="21"/>
        </w:rPr>
        <w:t>供应商</w:t>
      </w:r>
      <w:r>
        <w:rPr>
          <w:rFonts w:ascii="宋体" w:hAnsi="宋体" w:eastAsia="宋体"/>
          <w:szCs w:val="21"/>
        </w:rPr>
        <w:t>、</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u w:val="single"/>
        </w:rPr>
        <w:t>分包意向供应商一</w:t>
      </w:r>
      <w:r>
        <w:rPr>
          <w:rFonts w:ascii="宋体" w:hAnsi="宋体" w:eastAsia="宋体"/>
          <w:szCs w:val="21"/>
          <w:u w:val="single"/>
        </w:rPr>
        <w:t>全称）</w:t>
      </w:r>
      <w:r>
        <w:rPr>
          <w:rFonts w:ascii="宋体" w:hAnsi="宋体" w:eastAsia="宋体"/>
          <w:szCs w:val="21"/>
        </w:rPr>
        <w:t>为分包意向供应商，</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u w:val="single"/>
        </w:rPr>
        <w:t>供应商</w:t>
      </w:r>
      <w:r>
        <w:rPr>
          <w:rFonts w:ascii="宋体" w:hAnsi="宋体" w:eastAsia="宋体"/>
          <w:szCs w:val="21"/>
          <w:u w:val="single"/>
        </w:rPr>
        <w:t>全称）</w:t>
      </w:r>
      <w:r>
        <w:rPr>
          <w:rFonts w:ascii="宋体" w:hAnsi="宋体" w:eastAsia="宋体"/>
          <w:szCs w:val="21"/>
        </w:rPr>
        <w:t>以供应商的身份参加本项目的</w:t>
      </w:r>
      <w:r>
        <w:rPr>
          <w:rFonts w:hint="eastAsia" w:ascii="宋体" w:hAnsi="宋体" w:eastAsia="宋体"/>
          <w:szCs w:val="21"/>
        </w:rPr>
        <w:t>采购活动，如获得成交资格</w:t>
      </w:r>
      <w:r>
        <w:rPr>
          <w:rFonts w:ascii="宋体" w:hAnsi="宋体" w:eastAsia="宋体"/>
          <w:szCs w:val="21"/>
        </w:rPr>
        <w:t>，与采购人签订政府采购合同。承接分包意向的供应商与</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u w:val="single"/>
        </w:rPr>
        <w:t>供应商</w:t>
      </w:r>
      <w:r>
        <w:rPr>
          <w:rFonts w:ascii="宋体" w:hAnsi="宋体" w:eastAsia="宋体"/>
          <w:szCs w:val="21"/>
          <w:u w:val="single"/>
        </w:rPr>
        <w:t>全称）</w:t>
      </w:r>
      <w:r>
        <w:rPr>
          <w:rFonts w:ascii="宋体" w:hAnsi="宋体" w:eastAsia="宋体"/>
          <w:szCs w:val="21"/>
        </w:rPr>
        <w:t>签订分包合同。</w:t>
      </w:r>
      <w:r>
        <w:rPr>
          <w:rFonts w:hint="eastAsia" w:ascii="宋体" w:hAnsi="宋体" w:eastAsia="宋体"/>
          <w:szCs w:val="21"/>
        </w:rPr>
        <w:t>供应商对</w:t>
      </w:r>
      <w:r>
        <w:rPr>
          <w:rFonts w:ascii="宋体" w:hAnsi="宋体" w:eastAsia="宋体"/>
          <w:szCs w:val="21"/>
        </w:rPr>
        <w:t>采购项目和分包项目向采购人负责，分包</w:t>
      </w:r>
      <w:r>
        <w:rPr>
          <w:rFonts w:hint="eastAsia" w:ascii="宋体" w:hAnsi="宋体" w:eastAsia="宋体"/>
          <w:szCs w:val="21"/>
        </w:rPr>
        <w:t>意向</w:t>
      </w:r>
      <w:r>
        <w:rPr>
          <w:rFonts w:ascii="宋体" w:hAnsi="宋体" w:eastAsia="宋体"/>
          <w:szCs w:val="21"/>
        </w:rPr>
        <w:t>供应商</w:t>
      </w:r>
      <w:r>
        <w:rPr>
          <w:rFonts w:hint="eastAsia" w:ascii="宋体" w:hAnsi="宋体" w:eastAsia="宋体"/>
          <w:szCs w:val="21"/>
        </w:rPr>
        <w:t>对</w:t>
      </w:r>
      <w:r>
        <w:rPr>
          <w:rFonts w:ascii="宋体" w:hAnsi="宋体" w:eastAsia="宋体"/>
          <w:szCs w:val="21"/>
        </w:rPr>
        <w:t>分包项目向采购人</w:t>
      </w:r>
      <w:r>
        <w:rPr>
          <w:rFonts w:hint="eastAsia" w:ascii="宋体" w:hAnsi="宋体" w:eastAsia="宋体"/>
          <w:szCs w:val="21"/>
        </w:rPr>
        <w:t>负责，分包意向协议多方承担各自的和连带的法律责任</w:t>
      </w:r>
      <w:r>
        <w:rPr>
          <w:rFonts w:ascii="宋体" w:hAnsi="宋体" w:eastAsia="宋体"/>
          <w:szCs w:val="21"/>
        </w:rPr>
        <w:t>。</w:t>
      </w:r>
    </w:p>
    <w:p>
      <w:pPr>
        <w:wordWrap w:val="0"/>
        <w:spacing w:line="400" w:lineRule="exact"/>
        <w:ind w:firstLine="420" w:firstLineChars="200"/>
        <w:rPr>
          <w:rFonts w:ascii="宋体" w:hAnsi="宋体" w:eastAsia="宋体"/>
          <w:szCs w:val="21"/>
        </w:rPr>
      </w:pPr>
      <w:r>
        <w:rPr>
          <w:rFonts w:hint="eastAsia" w:ascii="宋体" w:hAnsi="宋体" w:eastAsia="宋体"/>
          <w:szCs w:val="21"/>
        </w:rPr>
        <w:t>二、分包意向供应商</w:t>
      </w:r>
      <w:r>
        <w:rPr>
          <w:rFonts w:ascii="宋体" w:hAnsi="宋体" w:eastAsia="宋体"/>
          <w:szCs w:val="21"/>
        </w:rPr>
        <w:t>将承担</w:t>
      </w:r>
      <w:r>
        <w:rPr>
          <w:rFonts w:hint="eastAsia" w:ascii="宋体" w:hAnsi="宋体" w:eastAsia="宋体"/>
          <w:szCs w:val="21"/>
        </w:rPr>
        <w:t>合理</w:t>
      </w:r>
      <w:r>
        <w:rPr>
          <w:rFonts w:ascii="宋体" w:hAnsi="宋体" w:eastAsia="宋体"/>
          <w:szCs w:val="21"/>
        </w:rPr>
        <w:t xml:space="preserve">分包部分 </w:t>
      </w:r>
      <w:r>
        <w:rPr>
          <w:rFonts w:ascii="宋体" w:hAnsi="宋体" w:eastAsia="宋体"/>
          <w:szCs w:val="21"/>
          <w:u w:val="single"/>
        </w:rPr>
        <w:t xml:space="preserve">         （具体分包</w:t>
      </w:r>
      <w:r>
        <w:rPr>
          <w:rFonts w:hint="eastAsia" w:ascii="宋体" w:hAnsi="宋体" w:eastAsia="宋体"/>
          <w:szCs w:val="21"/>
          <w:u w:val="single"/>
        </w:rPr>
        <w:t>的工作</w:t>
      </w:r>
      <w:r>
        <w:rPr>
          <w:rFonts w:ascii="宋体" w:hAnsi="宋体" w:eastAsia="宋体"/>
          <w:szCs w:val="21"/>
          <w:u w:val="single"/>
        </w:rPr>
        <w:t>内容）</w:t>
      </w:r>
      <w:r>
        <w:rPr>
          <w:rFonts w:hint="eastAsia" w:ascii="宋体" w:hAnsi="宋体" w:eastAsia="宋体"/>
          <w:szCs w:val="21"/>
        </w:rPr>
        <w:t>，占项目合同金额的</w:t>
      </w:r>
      <w:r>
        <w:rPr>
          <w:rFonts w:hint="eastAsia" w:ascii="宋体" w:hAnsi="宋体" w:eastAsia="宋体"/>
          <w:szCs w:val="21"/>
          <w:u w:val="single"/>
        </w:rPr>
        <w:t xml:space="preserve">          %</w:t>
      </w:r>
      <w:r>
        <w:rPr>
          <w:rFonts w:hint="eastAsia" w:ascii="宋体" w:hAnsi="宋体" w:eastAsia="宋体"/>
          <w:szCs w:val="21"/>
        </w:rPr>
        <w:t>。</w:t>
      </w:r>
    </w:p>
    <w:p>
      <w:pPr>
        <w:wordWrap w:val="0"/>
        <w:spacing w:line="400" w:lineRule="exact"/>
        <w:ind w:firstLine="420" w:firstLineChars="200"/>
        <w:rPr>
          <w:rFonts w:ascii="宋体" w:hAnsi="宋体" w:eastAsia="宋体"/>
          <w:szCs w:val="21"/>
        </w:rPr>
      </w:pPr>
      <w:r>
        <w:rPr>
          <w:rFonts w:hint="eastAsia" w:ascii="宋体" w:hAnsi="宋体" w:eastAsia="宋体"/>
          <w:szCs w:val="21"/>
        </w:rPr>
        <w:t>三、接受分包合同的中小企业与分包企业之间</w:t>
      </w:r>
      <w:r>
        <w:rPr>
          <w:rFonts w:ascii="宋体" w:hAnsi="宋体" w:eastAsia="宋体"/>
          <w:szCs w:val="21"/>
          <w:u w:val="single"/>
        </w:rPr>
        <w:t xml:space="preserve">          </w:t>
      </w:r>
      <w:r>
        <w:rPr>
          <w:rFonts w:hint="eastAsia" w:ascii="宋体" w:hAnsi="宋体" w:eastAsia="宋体"/>
          <w:szCs w:val="21"/>
          <w:u w:val="single"/>
        </w:rPr>
        <w:t>（存在或不存在）</w:t>
      </w:r>
      <w:r>
        <w:rPr>
          <w:rFonts w:hint="eastAsia" w:ascii="宋体" w:hAnsi="宋体" w:eastAsia="宋体"/>
          <w:szCs w:val="21"/>
        </w:rPr>
        <w:t>直接控股、管理关系的情形。</w:t>
      </w:r>
    </w:p>
    <w:p>
      <w:pPr>
        <w:wordWrap w:val="0"/>
        <w:spacing w:line="400" w:lineRule="exact"/>
        <w:ind w:firstLine="420" w:firstLineChars="200"/>
        <w:rPr>
          <w:rFonts w:ascii="宋体" w:hAnsi="宋体" w:eastAsia="宋体"/>
          <w:szCs w:val="21"/>
        </w:rPr>
      </w:pPr>
      <w:r>
        <w:rPr>
          <w:rFonts w:hint="eastAsia" w:ascii="宋体" w:hAnsi="宋体" w:eastAsia="宋体"/>
          <w:szCs w:val="21"/>
        </w:rPr>
        <w:t>四、因违约或过失责任等导致采购人经济损失或被索赔时，供应商无条件优先清偿采购人的一切债务和经济赔偿。</w:t>
      </w:r>
    </w:p>
    <w:p>
      <w:pPr>
        <w:wordWrap w:val="0"/>
        <w:spacing w:line="400" w:lineRule="exact"/>
        <w:ind w:firstLine="420" w:firstLineChars="200"/>
        <w:rPr>
          <w:rFonts w:ascii="宋体" w:hAnsi="宋体" w:eastAsia="宋体"/>
          <w:szCs w:val="21"/>
        </w:rPr>
      </w:pPr>
      <w:r>
        <w:rPr>
          <w:rFonts w:hint="eastAsia" w:ascii="宋体" w:hAnsi="宋体" w:eastAsia="宋体"/>
          <w:szCs w:val="21"/>
        </w:rPr>
        <w:t>五、如获得成交资格，分包意向供应商不得以任何理由提出终止本协议。</w:t>
      </w:r>
    </w:p>
    <w:p>
      <w:pPr>
        <w:wordWrap w:val="0"/>
        <w:spacing w:line="400" w:lineRule="exact"/>
        <w:ind w:firstLine="420" w:firstLineChars="200"/>
        <w:rPr>
          <w:rFonts w:ascii="宋体" w:hAnsi="宋体" w:eastAsia="宋体"/>
          <w:szCs w:val="21"/>
        </w:rPr>
      </w:pPr>
      <w:r>
        <w:rPr>
          <w:rFonts w:hint="eastAsia" w:ascii="宋体" w:hAnsi="宋体" w:eastAsia="宋体"/>
          <w:szCs w:val="21"/>
        </w:rPr>
        <w:t>六、本协议自签署之日起生效，如获得成交资格，有效期延续至政府采购合同履行完毕之日。</w:t>
      </w:r>
    </w:p>
    <w:p>
      <w:pPr>
        <w:wordWrap w:val="0"/>
        <w:spacing w:line="400" w:lineRule="exact"/>
        <w:rPr>
          <w:rFonts w:ascii="宋体" w:hAnsi="宋体" w:eastAsia="宋体" w:cs="Times New Roman"/>
          <w:szCs w:val="21"/>
        </w:rPr>
      </w:pP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供应商（盖电子公章）：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szCs w:val="21"/>
        </w:rPr>
      </w:pPr>
      <w:r>
        <w:rPr>
          <w:rFonts w:hint="eastAsia" w:ascii="宋体" w:hAnsi="宋体" w:eastAsia="宋体" w:cs="Times New Roman"/>
          <w:szCs w:val="21"/>
        </w:rPr>
        <w:t>法定代表人或授权代表（签字或盖章）：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cs="Times New Roman"/>
          <w:szCs w:val="21"/>
        </w:rPr>
      </w:pP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分包意向供应商一（盖单位公章）：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法定代表人（签字或盖章）：</w:t>
      </w:r>
      <w:r>
        <w:rPr>
          <w:rFonts w:hint="eastAsia" w:ascii="宋体" w:hAnsi="宋体" w:eastAsia="宋体"/>
          <w:szCs w:val="21"/>
          <w:u w:val="single"/>
        </w:rPr>
        <w:t xml:space="preserve">          </w:t>
      </w:r>
    </w:p>
    <w:p>
      <w:pPr>
        <w:wordWrap w:val="0"/>
        <w:spacing w:line="400" w:lineRule="exact"/>
        <w:ind w:firstLine="2530" w:firstLineChars="1200"/>
        <w:rPr>
          <w:rFonts w:ascii="宋体" w:hAnsi="宋体" w:eastAsia="宋体" w:cs="Times New Roman"/>
          <w:b/>
          <w:bCs/>
          <w:szCs w:val="21"/>
        </w:rPr>
      </w:pPr>
      <w:r>
        <w:rPr>
          <w:rFonts w:hint="eastAsia" w:ascii="宋体" w:hAnsi="宋体" w:eastAsia="宋体" w:cs="Times New Roman"/>
          <w:b/>
          <w:bCs/>
          <w:szCs w:val="21"/>
        </w:rPr>
        <w:t>......（如有多个分包意向供应商的，按同格式增加）</w:t>
      </w:r>
    </w:p>
    <w:p>
      <w:pPr>
        <w:wordWrap w:val="0"/>
        <w:spacing w:line="400" w:lineRule="exact"/>
        <w:ind w:firstLine="2520" w:firstLineChars="1200"/>
        <w:rPr>
          <w:rFonts w:ascii="宋体" w:hAnsi="宋体" w:eastAsia="宋体" w:cs="Times New Roman"/>
          <w:b/>
          <w:bCs/>
          <w:szCs w:val="21"/>
        </w:rPr>
      </w:pPr>
      <w:r>
        <w:rPr>
          <w:rFonts w:hint="eastAsia" w:ascii="宋体" w:hAnsi="宋体" w:eastAsia="宋体" w:cs="Times New Roman"/>
          <w:szCs w:val="21"/>
        </w:rPr>
        <w:t>日期：</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日</w:t>
      </w:r>
    </w:p>
    <w:p>
      <w:pPr>
        <w:spacing w:line="400" w:lineRule="exact"/>
        <w:rPr>
          <w:rFonts w:ascii="宋体" w:hAnsi="宋体" w:eastAsia="宋体" w:cs="Times New Roman"/>
          <w:color w:val="000000" w:themeColor="text1"/>
          <w:szCs w:val="21"/>
          <w14:textFill>
            <w14:solidFill>
              <w14:schemeClr w14:val="tx1"/>
            </w14:solidFill>
          </w14:textFill>
        </w:rPr>
        <w:sectPr>
          <w:pgSz w:w="11906" w:h="16838"/>
          <w:pgMar w:top="1418" w:right="1418" w:bottom="1418" w:left="1418" w:header="851" w:footer="992" w:gutter="0"/>
          <w:cols w:space="425" w:num="1"/>
          <w:docGrid w:type="lines" w:linePitch="312" w:charSpace="0"/>
        </w:sectPr>
      </w:pPr>
    </w:p>
    <w:p>
      <w:pPr>
        <w:spacing w:line="400" w:lineRule="exac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附件八</w:t>
      </w:r>
    </w:p>
    <w:p>
      <w:pPr>
        <w:spacing w:line="400" w:lineRule="exact"/>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磋商响应函</w:t>
      </w:r>
    </w:p>
    <w:p>
      <w:pPr>
        <w:wordWrap w:val="0"/>
        <w:spacing w:line="400" w:lineRule="exact"/>
        <w:rPr>
          <w:rFonts w:ascii="宋体" w:hAnsi="宋体" w:eastAsia="宋体" w:cs="Times New Roman"/>
          <w:b/>
          <w:color w:val="000000" w:themeColor="text1"/>
          <w:szCs w:val="21"/>
          <w14:textFill>
            <w14:solidFill>
              <w14:schemeClr w14:val="tx1"/>
            </w14:solidFill>
          </w14:textFill>
        </w:rPr>
      </w:pPr>
    </w:p>
    <w:p>
      <w:pPr>
        <w:wordWrap w:val="0"/>
        <w:spacing w:line="400" w:lineRule="exac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olor w:val="000000" w:themeColor="text1"/>
          <w:szCs w:val="21"/>
          <w:u w:val="single"/>
          <w14:textFill>
            <w14:solidFill>
              <w14:schemeClr w14:val="tx1"/>
            </w14:solidFill>
          </w14:textFill>
        </w:rPr>
        <w:t>余姚市人民政府凤山街道办事处</w:t>
      </w:r>
      <w:r>
        <w:rPr>
          <w:rFonts w:hint="eastAsia" w:ascii="宋体" w:hAnsi="宋体" w:eastAsia="宋体" w:cs="Times New Roman"/>
          <w:color w:val="000000" w:themeColor="text1"/>
          <w:szCs w:val="21"/>
          <w14:textFill>
            <w14:solidFill>
              <w14:schemeClr w14:val="tx1"/>
            </w14:solidFill>
          </w14:textFill>
        </w:rPr>
        <w:t>：</w:t>
      </w:r>
    </w:p>
    <w:p>
      <w:pPr>
        <w:wordWrap w:val="0"/>
        <w:spacing w:line="400" w:lineRule="exact"/>
        <w:ind w:firstLine="420" w:firstLineChars="200"/>
        <w:rPr>
          <w:rFonts w:ascii="宋体" w:hAnsi="宋体" w:eastAsia="宋体" w:cs="Times New Roman"/>
          <w:szCs w:val="21"/>
        </w:rPr>
      </w:pPr>
      <w:r>
        <w:rPr>
          <w:rFonts w:hint="eastAsia" w:ascii="宋体" w:hAnsi="宋体" w:eastAsia="宋体" w:cs="Times New Roman"/>
          <w:szCs w:val="21"/>
        </w:rPr>
        <w:t>我方授权</w:t>
      </w:r>
      <w:r>
        <w:rPr>
          <w:rFonts w:hint="eastAsia" w:ascii="宋体" w:hAnsi="宋体" w:eastAsia="宋体"/>
          <w:szCs w:val="21"/>
          <w:u w:val="single"/>
        </w:rPr>
        <w:t xml:space="preserve">          </w:t>
      </w:r>
      <w:r>
        <w:rPr>
          <w:rFonts w:hint="eastAsia" w:ascii="宋体" w:hAnsi="宋体" w:eastAsia="宋体" w:cs="Times New Roman"/>
          <w:szCs w:val="21"/>
          <w:u w:val="single"/>
        </w:rPr>
        <w:t>（授权代表姓名）</w:t>
      </w:r>
      <w:r>
        <w:rPr>
          <w:rFonts w:hint="eastAsia" w:ascii="宋体" w:hAnsi="宋体" w:eastAsia="宋体"/>
          <w:szCs w:val="21"/>
        </w:rPr>
        <w:t>、</w:t>
      </w:r>
      <w:r>
        <w:rPr>
          <w:rFonts w:hint="eastAsia" w:ascii="宋体" w:hAnsi="宋体" w:eastAsia="宋体"/>
          <w:szCs w:val="21"/>
          <w:u w:val="single"/>
        </w:rPr>
        <w:t xml:space="preserve">          </w:t>
      </w:r>
      <w:r>
        <w:rPr>
          <w:rFonts w:hint="eastAsia" w:ascii="宋体" w:hAnsi="宋体" w:eastAsia="宋体" w:cs="Times New Roman"/>
          <w:szCs w:val="21"/>
          <w:u w:val="single"/>
        </w:rPr>
        <w:t>（职务</w:t>
      </w:r>
      <w:r>
        <w:rPr>
          <w:rFonts w:hint="eastAsia" w:ascii="宋体" w:hAnsi="宋体" w:eastAsia="宋体"/>
          <w:szCs w:val="21"/>
          <w:u w:val="single"/>
        </w:rPr>
        <w:t>名称</w:t>
      </w:r>
      <w:r>
        <w:rPr>
          <w:rFonts w:hint="eastAsia" w:ascii="宋体" w:hAnsi="宋体" w:eastAsia="宋体" w:cs="Times New Roman"/>
          <w:szCs w:val="21"/>
          <w:u w:val="single"/>
        </w:rPr>
        <w:t>）</w:t>
      </w:r>
      <w:r>
        <w:rPr>
          <w:rFonts w:hint="eastAsia" w:ascii="宋体" w:hAnsi="宋体" w:eastAsia="宋体" w:cs="Times New Roman"/>
          <w:szCs w:val="21"/>
        </w:rPr>
        <w:t>为本公司合法代理人，参加贵单位组织的</w:t>
      </w:r>
      <w:r>
        <w:rPr>
          <w:rFonts w:hint="eastAsia" w:ascii="宋体" w:hAnsi="宋体" w:eastAsia="宋体"/>
          <w:szCs w:val="21"/>
          <w:u w:val="single"/>
        </w:rPr>
        <w:t xml:space="preserve">          </w:t>
      </w:r>
      <w:r>
        <w:rPr>
          <w:rFonts w:hint="eastAsia" w:ascii="宋体" w:hAnsi="宋体" w:eastAsia="宋体" w:cs="Times New Roman"/>
          <w:szCs w:val="21"/>
          <w:u w:val="single"/>
        </w:rPr>
        <w:t>（项目编号）</w:t>
      </w:r>
      <w:r>
        <w:rPr>
          <w:rFonts w:hint="eastAsia" w:ascii="宋体" w:hAnsi="宋体" w:eastAsia="宋体" w:cs="Times New Roman"/>
          <w:szCs w:val="21"/>
        </w:rPr>
        <w:t>、</w:t>
      </w:r>
      <w:r>
        <w:rPr>
          <w:rFonts w:hint="eastAsia" w:ascii="宋体" w:hAnsi="宋体" w:eastAsia="宋体" w:cs="Times New Roman"/>
          <w:szCs w:val="21"/>
          <w:u w:val="single"/>
        </w:rPr>
        <w:t xml:space="preserve">          （项目名称）</w:t>
      </w:r>
      <w:r>
        <w:rPr>
          <w:rFonts w:hint="eastAsia" w:ascii="宋体" w:hAnsi="宋体" w:eastAsia="宋体" w:cs="Times New Roman"/>
          <w:szCs w:val="21"/>
        </w:rPr>
        <w:t>采购活动</w:t>
      </w:r>
      <w:r>
        <w:rPr>
          <w:rFonts w:hint="eastAsia" w:ascii="宋体" w:hAnsi="宋体" w:eastAsia="宋体"/>
          <w:color w:val="000000"/>
          <w:szCs w:val="21"/>
        </w:rPr>
        <w:t>，全权代表本公司处理</w:t>
      </w:r>
      <w:r>
        <w:rPr>
          <w:rFonts w:hint="eastAsia" w:ascii="宋体" w:hAnsi="宋体" w:eastAsia="宋体" w:cs="Times New Roman"/>
          <w:szCs w:val="21"/>
        </w:rPr>
        <w:t>采购活动</w:t>
      </w:r>
      <w:r>
        <w:rPr>
          <w:rFonts w:hint="eastAsia" w:ascii="宋体" w:hAnsi="宋体" w:eastAsia="宋体"/>
          <w:color w:val="000000"/>
          <w:szCs w:val="21"/>
        </w:rPr>
        <w:t>中的一切事宜，并对本项目进行磋商</w:t>
      </w:r>
      <w:r>
        <w:rPr>
          <w:rFonts w:hint="eastAsia" w:ascii="宋体" w:hAnsi="宋体" w:eastAsia="宋体" w:cs="Times New Roman"/>
          <w:szCs w:val="21"/>
        </w:rPr>
        <w:t>。在此：</w:t>
      </w:r>
    </w:p>
    <w:p>
      <w:pPr>
        <w:wordWrap w:val="0"/>
        <w:spacing w:line="400" w:lineRule="exact"/>
        <w:rPr>
          <w:rFonts w:ascii="宋体" w:hAnsi="宋体" w:eastAsia="宋体" w:cs="Times New Roman"/>
          <w:szCs w:val="21"/>
        </w:rPr>
      </w:pPr>
      <w:r>
        <w:rPr>
          <w:rFonts w:hint="eastAsia" w:ascii="宋体" w:hAnsi="宋体" w:eastAsia="宋体" w:cs="Times New Roman"/>
          <w:szCs w:val="21"/>
        </w:rPr>
        <w:t>1.提供供应商须知规定的全部响应文件：电子响应文件1份。</w:t>
      </w:r>
    </w:p>
    <w:p>
      <w:pPr>
        <w:wordWrap w:val="0"/>
        <w:spacing w:line="400" w:lineRule="exact"/>
        <w:rPr>
          <w:rFonts w:ascii="宋体" w:hAnsi="宋体" w:eastAsia="宋体" w:cs="Times New Roman"/>
          <w:szCs w:val="21"/>
        </w:rPr>
      </w:pPr>
      <w:r>
        <w:rPr>
          <w:rFonts w:hint="eastAsia" w:ascii="宋体" w:hAnsi="宋体" w:eastAsia="宋体" w:cs="Times New Roman"/>
          <w:szCs w:val="21"/>
        </w:rPr>
        <w:t>2.我方已详细审查采购文件全部内容，包括修改文件（如有的话）以及全部参考资料和有关附件，已经了解我方对于采购文件、采购过程、成交结果有进行询问、质疑、投诉的权利及相关渠道和要求。</w:t>
      </w:r>
    </w:p>
    <w:p>
      <w:pPr>
        <w:wordWrap w:val="0"/>
        <w:spacing w:line="400" w:lineRule="exact"/>
        <w:rPr>
          <w:rFonts w:ascii="宋体" w:hAnsi="宋体" w:eastAsia="宋体" w:cs="Times New Roman"/>
          <w:szCs w:val="21"/>
        </w:rPr>
      </w:pPr>
      <w:r>
        <w:rPr>
          <w:rFonts w:hint="eastAsia" w:ascii="宋体" w:hAnsi="宋体" w:eastAsia="宋体" w:cs="Times New Roman"/>
          <w:szCs w:val="21"/>
        </w:rPr>
        <w:t>3.保证向贵单位提交的所有响应文件、资料等都是准确的和真实的。如有虚假或隐瞒，我方愿意承担一切后果，并不再寻求任何旨在减轻或免除法律责任的辩解。</w:t>
      </w:r>
    </w:p>
    <w:p>
      <w:pPr>
        <w:wordWrap w:val="0"/>
        <w:spacing w:line="400" w:lineRule="exact"/>
        <w:rPr>
          <w:rFonts w:ascii="宋体" w:hAnsi="宋体" w:eastAsia="宋体" w:cs="Times New Roman"/>
          <w:szCs w:val="21"/>
        </w:rPr>
      </w:pPr>
      <w:r>
        <w:rPr>
          <w:rFonts w:hint="eastAsia" w:ascii="宋体" w:hAnsi="宋体" w:eastAsia="宋体" w:cs="Times New Roman"/>
          <w:szCs w:val="21"/>
        </w:rPr>
        <w:t>4.承诺按贵单位要求提供任何与该项目磋商有关的数据、情况和技术资料，并保证其真实性、合法性。</w:t>
      </w:r>
    </w:p>
    <w:p>
      <w:pPr>
        <w:wordWrap w:val="0"/>
        <w:spacing w:line="400" w:lineRule="exact"/>
        <w:rPr>
          <w:rFonts w:ascii="宋体" w:hAnsi="宋体" w:eastAsia="宋体" w:cs="Times New Roman"/>
          <w:szCs w:val="21"/>
        </w:rPr>
      </w:pPr>
      <w:r>
        <w:rPr>
          <w:rFonts w:hint="eastAsia" w:ascii="宋体" w:hAnsi="宋体" w:eastAsia="宋体" w:cs="Times New Roman"/>
          <w:szCs w:val="21"/>
        </w:rPr>
        <w:t>5.保证遵守采购文件中的有关规定和收费标准，保证在成交后按照采购文件的规定支付采购代理服务费。</w:t>
      </w:r>
    </w:p>
    <w:p>
      <w:pPr>
        <w:wordWrap w:val="0"/>
        <w:spacing w:line="400" w:lineRule="exact"/>
        <w:rPr>
          <w:rFonts w:ascii="宋体" w:hAnsi="宋体" w:eastAsia="宋体" w:cs="Times New Roman"/>
          <w:szCs w:val="21"/>
        </w:rPr>
      </w:pPr>
      <w:r>
        <w:rPr>
          <w:rFonts w:hint="eastAsia" w:ascii="宋体" w:hAnsi="宋体" w:eastAsia="宋体" w:cs="Times New Roman"/>
          <w:szCs w:val="21"/>
        </w:rPr>
        <w:t>6.保证在成交后忠实地执行与贵单位所签署的政府采购合同，并承担合同规定的责任义务。</w:t>
      </w:r>
    </w:p>
    <w:p>
      <w:pPr>
        <w:wordWrap w:val="0"/>
        <w:spacing w:line="400" w:lineRule="exact"/>
        <w:rPr>
          <w:rFonts w:ascii="宋体" w:hAnsi="宋体" w:eastAsia="宋体" w:cs="Times New Roman"/>
          <w:szCs w:val="21"/>
        </w:rPr>
      </w:pPr>
      <w:r>
        <w:rPr>
          <w:rFonts w:hint="eastAsia" w:ascii="宋体" w:hAnsi="宋体" w:eastAsia="宋体" w:cs="Times New Roman"/>
          <w:szCs w:val="21"/>
        </w:rPr>
        <w:t>7.本响应文件自响应文件提交截止之日起</w:t>
      </w:r>
      <w:r>
        <w:rPr>
          <w:rFonts w:hint="eastAsia" w:ascii="宋体" w:hAnsi="宋体" w:eastAsia="宋体" w:cs="Times New Roman"/>
          <w:szCs w:val="21"/>
          <w:u w:val="single"/>
        </w:rPr>
        <w:t xml:space="preserve">  60  </w:t>
      </w:r>
      <w:r>
        <w:rPr>
          <w:rFonts w:hint="eastAsia" w:ascii="宋体" w:hAnsi="宋体" w:eastAsia="宋体" w:cs="Times New Roman"/>
          <w:szCs w:val="21"/>
        </w:rPr>
        <w:t>日历天内有效。</w:t>
      </w:r>
    </w:p>
    <w:p>
      <w:pPr>
        <w:wordWrap w:val="0"/>
        <w:spacing w:line="400" w:lineRule="exact"/>
        <w:rPr>
          <w:rFonts w:ascii="宋体" w:hAnsi="宋体" w:eastAsia="宋体" w:cs="Times New Roman"/>
          <w:szCs w:val="21"/>
        </w:rPr>
      </w:pPr>
      <w:r>
        <w:rPr>
          <w:rFonts w:hint="eastAsia" w:ascii="宋体" w:hAnsi="宋体" w:eastAsia="宋体" w:cs="Times New Roman"/>
          <w:szCs w:val="21"/>
        </w:rPr>
        <w:t>8.与本项目有关的一切电子往来通讯请发送至：</w:t>
      </w:r>
    </w:p>
    <w:p>
      <w:pPr>
        <w:wordWrap w:val="0"/>
        <w:spacing w:line="400" w:lineRule="exact"/>
        <w:rPr>
          <w:rFonts w:ascii="宋体" w:hAnsi="宋体" w:eastAsia="宋体" w:cs="Times New Roman"/>
          <w:szCs w:val="21"/>
        </w:rPr>
      </w:pPr>
      <w:r>
        <w:rPr>
          <w:rFonts w:hint="eastAsia" w:ascii="宋体" w:hAnsi="宋体" w:eastAsia="宋体" w:cs="Times New Roman"/>
          <w:szCs w:val="21"/>
        </w:rPr>
        <w:t>电子邮箱：</w:t>
      </w:r>
      <w:r>
        <w:rPr>
          <w:rFonts w:hint="eastAsia" w:ascii="宋体" w:hAnsi="宋体" w:eastAsia="宋体"/>
          <w:szCs w:val="21"/>
          <w:u w:val="single"/>
        </w:rPr>
        <w:t xml:space="preserve">          </w:t>
      </w:r>
      <w:r>
        <w:rPr>
          <w:rFonts w:hint="eastAsia" w:ascii="宋体" w:hAnsi="宋体" w:eastAsia="宋体"/>
          <w:szCs w:val="21"/>
        </w:rPr>
        <w:t xml:space="preserve">  </w:t>
      </w:r>
      <w:r>
        <w:rPr>
          <w:rFonts w:hint="eastAsia" w:ascii="宋体" w:hAnsi="宋体" w:eastAsia="宋体" w:cs="Times New Roman"/>
          <w:szCs w:val="21"/>
        </w:rPr>
        <w:t>传  真：</w:t>
      </w:r>
      <w:r>
        <w:rPr>
          <w:rFonts w:hint="eastAsia" w:ascii="宋体" w:hAnsi="宋体" w:eastAsia="宋体"/>
          <w:szCs w:val="21"/>
          <w:u w:val="single"/>
        </w:rPr>
        <w:t xml:space="preserve">          </w:t>
      </w:r>
    </w:p>
    <w:p>
      <w:pPr>
        <w:wordWrap w:val="0"/>
        <w:spacing w:line="400" w:lineRule="exact"/>
        <w:rPr>
          <w:rFonts w:ascii="宋体" w:hAnsi="宋体" w:eastAsia="宋体" w:cs="Times New Roman"/>
          <w:szCs w:val="21"/>
        </w:rPr>
      </w:pPr>
      <w:r>
        <w:rPr>
          <w:rFonts w:hint="eastAsia" w:ascii="宋体" w:hAnsi="宋体" w:eastAsia="宋体" w:cs="Times New Roman"/>
          <w:szCs w:val="21"/>
        </w:rPr>
        <w:t>9.与本项目有关的一切纸质往来通讯请寄至：</w:t>
      </w:r>
    </w:p>
    <w:p>
      <w:pPr>
        <w:wordWrap w:val="0"/>
        <w:spacing w:line="400" w:lineRule="exact"/>
        <w:rPr>
          <w:rFonts w:ascii="宋体" w:hAnsi="宋体" w:eastAsia="宋体" w:cs="Times New Roman"/>
          <w:szCs w:val="21"/>
        </w:rPr>
      </w:pPr>
      <w:r>
        <w:rPr>
          <w:rFonts w:hint="eastAsia" w:ascii="宋体" w:hAnsi="宋体" w:eastAsia="宋体" w:cs="Times New Roman"/>
          <w:szCs w:val="21"/>
        </w:rPr>
        <w:t>联系人：</w:t>
      </w:r>
      <w:r>
        <w:rPr>
          <w:rFonts w:hint="eastAsia" w:ascii="宋体" w:hAnsi="宋体" w:eastAsia="宋体"/>
          <w:szCs w:val="21"/>
          <w:u w:val="single"/>
        </w:rPr>
        <w:t xml:space="preserve">          </w:t>
      </w:r>
      <w:r>
        <w:rPr>
          <w:rFonts w:hint="eastAsia" w:ascii="宋体" w:hAnsi="宋体" w:eastAsia="宋体"/>
          <w:szCs w:val="21"/>
        </w:rPr>
        <w:t xml:space="preserve">  </w:t>
      </w:r>
      <w:r>
        <w:rPr>
          <w:rFonts w:hint="eastAsia" w:ascii="宋体" w:hAnsi="宋体" w:eastAsia="宋体" w:cs="Times New Roman"/>
          <w:szCs w:val="21"/>
        </w:rPr>
        <w:t>手机号码：</w:t>
      </w:r>
      <w:r>
        <w:rPr>
          <w:rFonts w:hint="eastAsia" w:ascii="宋体" w:hAnsi="宋体" w:eastAsia="宋体"/>
          <w:szCs w:val="21"/>
          <w:u w:val="single"/>
        </w:rPr>
        <w:t xml:space="preserve">          </w:t>
      </w:r>
    </w:p>
    <w:p>
      <w:pPr>
        <w:wordWrap w:val="0"/>
        <w:spacing w:line="400" w:lineRule="exact"/>
        <w:rPr>
          <w:rFonts w:ascii="宋体" w:hAnsi="宋体" w:eastAsia="宋体" w:cs="Times New Roman"/>
          <w:szCs w:val="21"/>
        </w:rPr>
      </w:pPr>
      <w:r>
        <w:rPr>
          <w:rFonts w:hint="eastAsia" w:ascii="宋体" w:hAnsi="宋体" w:eastAsia="宋体" w:cs="Times New Roman"/>
          <w:szCs w:val="21"/>
        </w:rPr>
        <w:t>地  址：</w:t>
      </w:r>
      <w:r>
        <w:rPr>
          <w:rFonts w:hint="eastAsia" w:ascii="宋体" w:hAnsi="宋体" w:eastAsia="宋体"/>
          <w:szCs w:val="21"/>
          <w:u w:val="single"/>
        </w:rPr>
        <w:t xml:space="preserve">          </w:t>
      </w:r>
      <w:r>
        <w:rPr>
          <w:rFonts w:hint="eastAsia" w:ascii="宋体" w:hAnsi="宋体" w:eastAsia="宋体"/>
          <w:szCs w:val="21"/>
        </w:rPr>
        <w:t xml:space="preserve">  </w:t>
      </w:r>
      <w:r>
        <w:rPr>
          <w:rFonts w:hint="eastAsia" w:ascii="宋体" w:hAnsi="宋体" w:eastAsia="宋体" w:cs="Times New Roman"/>
          <w:szCs w:val="21"/>
        </w:rPr>
        <w:t>邮    编：</w:t>
      </w:r>
      <w:r>
        <w:rPr>
          <w:rFonts w:hint="eastAsia" w:ascii="宋体" w:hAnsi="宋体" w:eastAsia="宋体"/>
          <w:szCs w:val="21"/>
          <w:u w:val="single"/>
        </w:rPr>
        <w:t xml:space="preserve">          </w:t>
      </w:r>
    </w:p>
    <w:p>
      <w:pPr>
        <w:wordWrap w:val="0"/>
        <w:spacing w:line="400" w:lineRule="exact"/>
        <w:rPr>
          <w:rFonts w:ascii="宋体" w:hAnsi="宋体" w:eastAsia="宋体" w:cs="Times New Roman"/>
          <w:szCs w:val="21"/>
        </w:rPr>
      </w:pPr>
    </w:p>
    <w:p>
      <w:pPr>
        <w:wordWrap w:val="0"/>
        <w:spacing w:line="400" w:lineRule="exact"/>
        <w:rPr>
          <w:rFonts w:ascii="宋体" w:hAnsi="宋体" w:eastAsia="宋体" w:cs="Times New Roman"/>
          <w:szCs w:val="21"/>
        </w:rPr>
      </w:pP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供应商或联合体牵头人（盖电子公章）：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szCs w:val="21"/>
        </w:rPr>
      </w:pPr>
      <w:r>
        <w:rPr>
          <w:rFonts w:hint="eastAsia" w:ascii="宋体" w:hAnsi="宋体" w:eastAsia="宋体" w:cs="Times New Roman"/>
          <w:szCs w:val="21"/>
        </w:rPr>
        <w:t>法定代表人或授权代表（签字或盖章）：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日期：</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日</w:t>
      </w:r>
    </w:p>
    <w:p>
      <w:pPr>
        <w:spacing w:line="400" w:lineRule="exact"/>
        <w:rPr>
          <w:rFonts w:ascii="宋体" w:hAnsi="宋体" w:eastAsia="宋体" w:cs="Times New Roman"/>
          <w:color w:val="000000" w:themeColor="text1"/>
          <w:szCs w:val="21"/>
          <w14:textFill>
            <w14:solidFill>
              <w14:schemeClr w14:val="tx1"/>
            </w14:solidFill>
          </w14:textFill>
        </w:rPr>
        <w:sectPr>
          <w:pgSz w:w="11906" w:h="16838"/>
          <w:pgMar w:top="1418" w:right="1418" w:bottom="1418" w:left="1418" w:header="851" w:footer="992" w:gutter="0"/>
          <w:cols w:space="425" w:num="1"/>
          <w:docGrid w:type="lines" w:linePitch="312" w:charSpace="0"/>
        </w:sectPr>
      </w:pPr>
    </w:p>
    <w:p>
      <w:pPr>
        <w:wordWrap w:val="0"/>
        <w:spacing w:line="400" w:lineRule="exac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附件九-1</w:t>
      </w:r>
    </w:p>
    <w:p>
      <w:pPr>
        <w:spacing w:line="400" w:lineRule="exact"/>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法定代表人身份证明书</w:t>
      </w:r>
    </w:p>
    <w:p>
      <w:pPr>
        <w:wordWrap w:val="0"/>
        <w:spacing w:line="400" w:lineRule="exact"/>
        <w:rPr>
          <w:rFonts w:ascii="宋体" w:hAnsi="宋体" w:eastAsia="宋体"/>
          <w:szCs w:val="21"/>
          <w:u w:val="single"/>
        </w:rPr>
      </w:pPr>
    </w:p>
    <w:p>
      <w:pPr>
        <w:wordWrap w:val="0"/>
        <w:spacing w:line="400" w:lineRule="exact"/>
        <w:ind w:firstLine="420" w:firstLineChars="200"/>
        <w:rPr>
          <w:rFonts w:ascii="宋体" w:hAnsi="宋体" w:eastAsia="宋体"/>
          <w:szCs w:val="21"/>
        </w:rPr>
      </w:pPr>
      <w:r>
        <w:rPr>
          <w:rFonts w:hint="eastAsia" w:ascii="宋体" w:hAnsi="宋体" w:eastAsia="宋体"/>
          <w:szCs w:val="21"/>
          <w:u w:val="single"/>
        </w:rPr>
        <w:t xml:space="preserve">          （法定代表人姓名）</w:t>
      </w:r>
      <w:r>
        <w:rPr>
          <w:rFonts w:hint="eastAsia" w:ascii="宋体" w:hAnsi="宋体" w:eastAsia="宋体"/>
          <w:szCs w:val="21"/>
        </w:rPr>
        <w:t>同志，在我公司任</w:t>
      </w:r>
      <w:r>
        <w:rPr>
          <w:rFonts w:hint="eastAsia" w:ascii="宋体" w:hAnsi="宋体" w:eastAsia="宋体"/>
          <w:szCs w:val="21"/>
          <w:u w:val="single"/>
        </w:rPr>
        <w:t xml:space="preserve">          （职务名称）</w:t>
      </w:r>
      <w:r>
        <w:rPr>
          <w:rFonts w:hint="eastAsia" w:ascii="宋体" w:hAnsi="宋体" w:eastAsia="宋体"/>
          <w:szCs w:val="21"/>
        </w:rPr>
        <w:t>职务，系我公司法定代表人，特此证明。</w:t>
      </w:r>
    </w:p>
    <w:p>
      <w:pPr>
        <w:wordWrap w:val="0"/>
        <w:spacing w:line="400" w:lineRule="exact"/>
        <w:rPr>
          <w:rFonts w:ascii="宋体" w:hAnsi="宋体" w:eastAsia="宋体"/>
          <w:szCs w:val="21"/>
        </w:rPr>
      </w:pPr>
    </w:p>
    <w:p>
      <w:pPr>
        <w:wordWrap w:val="0"/>
        <w:spacing w:line="400" w:lineRule="exact"/>
        <w:rPr>
          <w:rFonts w:ascii="宋体" w:hAnsi="宋体" w:eastAsia="宋体"/>
          <w:szCs w:val="21"/>
        </w:rPr>
      </w:pPr>
    </w:p>
    <w:p>
      <w:pPr>
        <w:wordWrap w:val="0"/>
        <w:spacing w:line="400" w:lineRule="exact"/>
        <w:ind w:firstLine="2520" w:firstLineChars="1200"/>
        <w:rPr>
          <w:rFonts w:ascii="宋体" w:hAnsi="宋体" w:eastAsia="宋体"/>
          <w:szCs w:val="21"/>
        </w:rPr>
      </w:pPr>
      <w:r>
        <w:rPr>
          <w:rFonts w:hint="eastAsia" w:ascii="宋体" w:hAnsi="宋体" w:eastAsia="宋体" w:cs="Times New Roman"/>
          <w:szCs w:val="21"/>
        </w:rPr>
        <w:t>供应商或联合体牵头人（盖电子公章）：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szCs w:val="21"/>
        </w:rPr>
      </w:pPr>
      <w:r>
        <w:rPr>
          <w:rFonts w:hint="eastAsia" w:ascii="宋体" w:hAnsi="宋体" w:eastAsia="宋体" w:cs="Times New Roman"/>
          <w:szCs w:val="21"/>
        </w:rPr>
        <w:t>日期：</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日</w:t>
      </w:r>
    </w:p>
    <w:p>
      <w:pPr>
        <w:wordWrap w:val="0"/>
        <w:spacing w:line="400" w:lineRule="exact"/>
        <w:rPr>
          <w:rFonts w:ascii="宋体" w:hAnsi="宋体" w:eastAsia="宋体"/>
          <w:szCs w:val="21"/>
        </w:rPr>
      </w:pPr>
    </w:p>
    <w:p>
      <w:pPr>
        <w:wordWrap w:val="0"/>
        <w:spacing w:line="400" w:lineRule="exact"/>
        <w:rPr>
          <w:rFonts w:ascii="宋体" w:hAnsi="宋体" w:eastAsia="宋体"/>
          <w:szCs w:val="21"/>
        </w:rPr>
      </w:pPr>
    </w:p>
    <w:p>
      <w:pPr>
        <w:wordWrap w:val="0"/>
        <w:spacing w:line="400" w:lineRule="exact"/>
        <w:rPr>
          <w:rFonts w:ascii="宋体" w:hAnsi="宋体" w:eastAsia="宋体"/>
          <w:szCs w:val="21"/>
        </w:rPr>
      </w:pPr>
      <w:r>
        <w:rPr>
          <w:rFonts w:hint="eastAsia" w:ascii="宋体" w:hAnsi="宋体" w:eastAsia="宋体"/>
          <w:szCs w:val="21"/>
        </w:rPr>
        <w:t>附：法定代表人的</w:t>
      </w:r>
    </w:p>
    <w:p>
      <w:pPr>
        <w:wordWrap w:val="0"/>
        <w:spacing w:line="400" w:lineRule="exact"/>
        <w:rPr>
          <w:rFonts w:ascii="宋体" w:hAnsi="宋体" w:eastAsia="宋体"/>
          <w:szCs w:val="21"/>
        </w:rPr>
      </w:pPr>
      <w:r>
        <w:rPr>
          <w:rFonts w:hint="eastAsia" w:ascii="宋体" w:hAnsi="宋体" w:eastAsia="宋体"/>
          <w:szCs w:val="21"/>
        </w:rPr>
        <w:t>手机号码：</w:t>
      </w:r>
      <w:r>
        <w:rPr>
          <w:rFonts w:hint="eastAsia" w:ascii="宋体" w:hAnsi="宋体" w:eastAsia="宋体"/>
          <w:szCs w:val="21"/>
          <w:u w:val="single"/>
        </w:rPr>
        <w:t xml:space="preserve">          </w:t>
      </w:r>
      <w:r>
        <w:rPr>
          <w:rFonts w:hint="eastAsia" w:ascii="宋体" w:hAnsi="宋体" w:eastAsia="宋体"/>
          <w:szCs w:val="21"/>
        </w:rPr>
        <w:t>（评审期间请保持手机通讯畅通，以便及时取得联系）</w:t>
      </w:r>
    </w:p>
    <w:p>
      <w:pPr>
        <w:wordWrap w:val="0"/>
        <w:spacing w:line="400" w:lineRule="exact"/>
        <w:rPr>
          <w:rFonts w:ascii="宋体" w:hAnsi="宋体" w:eastAsia="宋体"/>
          <w:szCs w:val="21"/>
          <w:u w:val="single"/>
        </w:rPr>
      </w:pPr>
      <w:r>
        <w:rPr>
          <w:rFonts w:hint="eastAsia" w:ascii="宋体" w:hAnsi="宋体" w:eastAsia="宋体"/>
          <w:szCs w:val="21"/>
        </w:rPr>
        <w:t>座机号码：</w:t>
      </w:r>
      <w:r>
        <w:rPr>
          <w:rFonts w:hint="eastAsia" w:ascii="宋体" w:hAnsi="宋体" w:eastAsia="宋体"/>
          <w:szCs w:val="21"/>
          <w:u w:val="single"/>
        </w:rPr>
        <w:t xml:space="preserve">          </w:t>
      </w:r>
    </w:p>
    <w:tbl>
      <w:tblPr>
        <w:tblStyle w:val="12"/>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9111"/>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268" w:hRule="atLeast"/>
          <w:jc w:val="center"/>
        </w:trPr>
        <w:tc>
          <w:tcPr>
            <w:tcW w:w="9111" w:type="dxa"/>
            <w:vAlign w:val="center"/>
          </w:tcPr>
          <w:p>
            <w:pPr>
              <w:spacing w:line="400" w:lineRule="exact"/>
              <w:jc w:val="center"/>
              <w:rPr>
                <w:rFonts w:ascii="宋体" w:hAnsi="宋体" w:eastAsia="宋体" w:cs="Times New Roman"/>
                <w:kern w:val="0"/>
                <w:szCs w:val="21"/>
              </w:rPr>
            </w:pPr>
            <w:r>
              <w:rPr>
                <w:rFonts w:hint="eastAsia" w:ascii="宋体" w:hAnsi="宋体" w:eastAsia="宋体" w:cs="Times New Roman"/>
                <w:kern w:val="0"/>
                <w:szCs w:val="21"/>
              </w:rPr>
              <w:t>法定代表人的身份证（正反面）复印件</w:t>
            </w:r>
          </w:p>
        </w:tc>
      </w:tr>
    </w:tbl>
    <w:p>
      <w:pPr>
        <w:spacing w:line="400" w:lineRule="exact"/>
        <w:rPr>
          <w:rFonts w:ascii="宋体" w:hAnsi="宋体" w:eastAsia="宋体"/>
          <w:szCs w:val="21"/>
        </w:rPr>
      </w:pPr>
    </w:p>
    <w:p>
      <w:pPr>
        <w:spacing w:line="400" w:lineRule="exact"/>
        <w:rPr>
          <w:rFonts w:ascii="宋体" w:hAnsi="宋体" w:eastAsia="宋体"/>
          <w:szCs w:val="21"/>
        </w:rPr>
        <w:sectPr>
          <w:pgSz w:w="11906" w:h="16838"/>
          <w:pgMar w:top="1418" w:right="1418" w:bottom="1418" w:left="1418" w:header="851" w:footer="992" w:gutter="0"/>
          <w:cols w:space="425" w:num="1"/>
          <w:docGrid w:type="lines" w:linePitch="312" w:charSpace="0"/>
        </w:sectPr>
      </w:pPr>
    </w:p>
    <w:p>
      <w:pPr>
        <w:spacing w:line="400" w:lineRule="exac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附件九-2</w:t>
      </w:r>
    </w:p>
    <w:p>
      <w:pPr>
        <w:spacing w:line="400" w:lineRule="exact"/>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法定代表人授权书</w:t>
      </w:r>
    </w:p>
    <w:p>
      <w:pPr>
        <w:wordWrap w:val="0"/>
        <w:spacing w:line="400" w:lineRule="exact"/>
        <w:rPr>
          <w:rFonts w:ascii="宋体" w:hAnsi="宋体" w:eastAsia="宋体"/>
          <w:szCs w:val="21"/>
        </w:rPr>
      </w:pPr>
    </w:p>
    <w:p>
      <w:pPr>
        <w:wordWrap w:val="0"/>
        <w:spacing w:line="400" w:lineRule="exact"/>
        <w:ind w:firstLine="420" w:firstLineChars="200"/>
        <w:rPr>
          <w:rFonts w:ascii="宋体" w:hAnsi="宋体" w:eastAsia="宋体"/>
          <w:szCs w:val="21"/>
        </w:rPr>
      </w:pPr>
      <w:r>
        <w:rPr>
          <w:rFonts w:hint="eastAsia" w:ascii="宋体" w:hAnsi="宋体" w:eastAsia="宋体"/>
          <w:szCs w:val="21"/>
        </w:rPr>
        <w:t>我</w:t>
      </w:r>
      <w:r>
        <w:rPr>
          <w:rFonts w:hint="eastAsia" w:ascii="宋体" w:hAnsi="宋体" w:eastAsia="宋体"/>
          <w:szCs w:val="21"/>
          <w:u w:val="single"/>
        </w:rPr>
        <w:t xml:space="preserve">          （法定代表人姓名）</w:t>
      </w:r>
      <w:r>
        <w:rPr>
          <w:rFonts w:hint="eastAsia" w:ascii="宋体" w:hAnsi="宋体" w:eastAsia="宋体"/>
          <w:szCs w:val="21"/>
        </w:rPr>
        <w:t>系</w:t>
      </w:r>
      <w:r>
        <w:rPr>
          <w:rFonts w:hint="eastAsia" w:ascii="宋体" w:hAnsi="宋体" w:eastAsia="宋体"/>
          <w:szCs w:val="21"/>
          <w:u w:val="single"/>
        </w:rPr>
        <w:t xml:space="preserve">          （供应商全称）</w:t>
      </w:r>
      <w:r>
        <w:rPr>
          <w:rFonts w:hint="eastAsia" w:ascii="宋体" w:hAnsi="宋体" w:eastAsia="宋体"/>
          <w:szCs w:val="21"/>
        </w:rPr>
        <w:t>的法定代表人，现授权</w:t>
      </w:r>
      <w:r>
        <w:rPr>
          <w:rFonts w:hint="eastAsia" w:ascii="宋体" w:hAnsi="宋体" w:eastAsia="宋体"/>
          <w:szCs w:val="21"/>
          <w:u w:val="single"/>
        </w:rPr>
        <w:t xml:space="preserve">          （授权代表姓名）</w:t>
      </w:r>
      <w:r>
        <w:rPr>
          <w:rFonts w:hint="eastAsia" w:ascii="宋体" w:hAnsi="宋体" w:eastAsia="宋体"/>
          <w:szCs w:val="21"/>
        </w:rPr>
        <w:t>为本公司合法代理人，参加贵单位组织的</w:t>
      </w:r>
      <w:r>
        <w:rPr>
          <w:rFonts w:hint="eastAsia" w:ascii="宋体" w:hAnsi="宋体" w:eastAsia="宋体"/>
          <w:szCs w:val="21"/>
          <w:u w:val="single"/>
        </w:rPr>
        <w:t xml:space="preserve">          （项目编号）</w:t>
      </w:r>
      <w:r>
        <w:rPr>
          <w:rFonts w:hint="eastAsia" w:ascii="宋体" w:hAnsi="宋体" w:eastAsia="宋体"/>
          <w:szCs w:val="21"/>
        </w:rPr>
        <w:t>、</w:t>
      </w:r>
      <w:r>
        <w:rPr>
          <w:rFonts w:hint="eastAsia" w:ascii="宋体" w:hAnsi="宋体" w:eastAsia="宋体"/>
          <w:szCs w:val="21"/>
          <w:u w:val="single"/>
        </w:rPr>
        <w:t xml:space="preserve">          （项目名称）</w:t>
      </w:r>
      <w:r>
        <w:rPr>
          <w:rFonts w:hint="eastAsia" w:ascii="宋体" w:hAnsi="宋体" w:eastAsia="宋体"/>
          <w:szCs w:val="21"/>
        </w:rPr>
        <w:t>采购活动，全权代表本公司处理采购活动中的一切事宜，并对本项目进行磋商，我方对授权代表的签名事项负全部责任。</w:t>
      </w:r>
    </w:p>
    <w:p>
      <w:pPr>
        <w:wordWrap w:val="0"/>
        <w:spacing w:line="400" w:lineRule="exact"/>
        <w:ind w:firstLine="420" w:firstLineChars="200"/>
        <w:rPr>
          <w:rFonts w:ascii="宋体" w:hAnsi="宋体" w:eastAsia="宋体" w:cs="Times New Roman"/>
          <w:szCs w:val="21"/>
        </w:rPr>
      </w:pPr>
      <w:r>
        <w:rPr>
          <w:rFonts w:hint="eastAsia" w:ascii="宋体" w:hAnsi="宋体" w:eastAsia="宋体" w:cs="Times New Roman"/>
          <w:szCs w:val="21"/>
        </w:rPr>
        <w:t>在撤销授权的书面通知以前，本授权书一直有效。</w:t>
      </w:r>
      <w:r>
        <w:rPr>
          <w:rFonts w:hint="eastAsia" w:ascii="宋体" w:hAnsi="宋体" w:eastAsia="宋体"/>
          <w:szCs w:val="21"/>
        </w:rPr>
        <w:t>授权代表</w:t>
      </w:r>
      <w:r>
        <w:rPr>
          <w:rFonts w:hint="eastAsia" w:ascii="宋体" w:hAnsi="宋体" w:eastAsia="宋体" w:cs="Times New Roman"/>
          <w:szCs w:val="21"/>
        </w:rPr>
        <w:t>在授权书有效期内签署的所有文件不因授权的撤销而失效。</w:t>
      </w:r>
    </w:p>
    <w:p>
      <w:pPr>
        <w:wordWrap w:val="0"/>
        <w:spacing w:line="400" w:lineRule="exact"/>
        <w:ind w:firstLine="420" w:firstLineChars="200"/>
        <w:rPr>
          <w:rFonts w:ascii="宋体" w:hAnsi="宋体" w:eastAsia="宋体" w:cs="Times New Roman"/>
          <w:szCs w:val="21"/>
        </w:rPr>
      </w:pPr>
      <w:r>
        <w:rPr>
          <w:rFonts w:hint="eastAsia" w:ascii="宋体" w:hAnsi="宋体" w:eastAsia="宋体"/>
          <w:szCs w:val="21"/>
        </w:rPr>
        <w:t>授权代表无转委托权，特此委托。</w:t>
      </w:r>
    </w:p>
    <w:p>
      <w:pPr>
        <w:wordWrap w:val="0"/>
        <w:spacing w:line="400" w:lineRule="exact"/>
        <w:rPr>
          <w:rFonts w:ascii="宋体" w:hAnsi="宋体" w:eastAsia="宋体" w:cs="Times New Roman"/>
          <w:szCs w:val="21"/>
        </w:rPr>
      </w:pPr>
    </w:p>
    <w:p>
      <w:pPr>
        <w:wordWrap w:val="0"/>
        <w:spacing w:line="400" w:lineRule="exact"/>
        <w:rPr>
          <w:rFonts w:ascii="宋体" w:hAnsi="宋体" w:eastAsia="宋体" w:cs="Times New Roman"/>
          <w:szCs w:val="21"/>
        </w:rPr>
      </w:pP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供应商或联合体牵头人（盖电子公章）：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szCs w:val="21"/>
        </w:rPr>
      </w:pPr>
      <w:r>
        <w:rPr>
          <w:rFonts w:hint="eastAsia" w:ascii="宋体" w:hAnsi="宋体" w:eastAsia="宋体" w:cs="Times New Roman"/>
          <w:szCs w:val="21"/>
        </w:rPr>
        <w:t>法定代表人（签字或盖章）：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日期：</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日</w:t>
      </w:r>
    </w:p>
    <w:p>
      <w:pPr>
        <w:wordWrap w:val="0"/>
        <w:spacing w:line="400" w:lineRule="exact"/>
        <w:rPr>
          <w:rFonts w:ascii="宋体" w:hAnsi="宋体" w:eastAsia="宋体"/>
          <w:szCs w:val="21"/>
        </w:rPr>
      </w:pPr>
    </w:p>
    <w:p>
      <w:pPr>
        <w:wordWrap w:val="0"/>
        <w:spacing w:line="400" w:lineRule="exact"/>
        <w:rPr>
          <w:rFonts w:ascii="宋体" w:hAnsi="宋体" w:eastAsia="宋体"/>
          <w:szCs w:val="21"/>
        </w:rPr>
      </w:pPr>
    </w:p>
    <w:p>
      <w:pPr>
        <w:wordWrap w:val="0"/>
        <w:spacing w:line="400" w:lineRule="exact"/>
        <w:rPr>
          <w:rFonts w:ascii="宋体" w:hAnsi="宋体" w:eastAsia="宋体"/>
          <w:szCs w:val="21"/>
        </w:rPr>
      </w:pPr>
      <w:r>
        <w:rPr>
          <w:rFonts w:hint="eastAsia" w:ascii="宋体" w:hAnsi="宋体" w:eastAsia="宋体"/>
          <w:szCs w:val="21"/>
        </w:rPr>
        <w:t>附：授权代表的</w:t>
      </w:r>
    </w:p>
    <w:p>
      <w:pPr>
        <w:wordWrap w:val="0"/>
        <w:spacing w:line="400" w:lineRule="exact"/>
        <w:rPr>
          <w:rFonts w:ascii="宋体" w:hAnsi="宋体" w:eastAsia="宋体"/>
          <w:szCs w:val="21"/>
        </w:rPr>
      </w:pPr>
      <w:r>
        <w:rPr>
          <w:rFonts w:hint="eastAsia" w:ascii="宋体" w:hAnsi="宋体" w:eastAsia="宋体"/>
          <w:szCs w:val="21"/>
        </w:rPr>
        <w:t>职    务：</w:t>
      </w:r>
      <w:r>
        <w:rPr>
          <w:rFonts w:hint="eastAsia" w:ascii="宋体" w:hAnsi="宋体" w:eastAsia="宋体"/>
          <w:szCs w:val="21"/>
          <w:u w:val="single"/>
        </w:rPr>
        <w:t xml:space="preserve">          </w:t>
      </w:r>
    </w:p>
    <w:p>
      <w:pPr>
        <w:wordWrap w:val="0"/>
        <w:spacing w:line="400" w:lineRule="exact"/>
        <w:rPr>
          <w:rFonts w:ascii="宋体" w:hAnsi="宋体" w:eastAsia="宋体"/>
          <w:szCs w:val="21"/>
        </w:rPr>
      </w:pPr>
      <w:r>
        <w:rPr>
          <w:rFonts w:hint="eastAsia" w:ascii="宋体" w:hAnsi="宋体" w:eastAsia="宋体"/>
          <w:szCs w:val="21"/>
        </w:rPr>
        <w:t>手机号码：</w:t>
      </w:r>
      <w:r>
        <w:rPr>
          <w:rFonts w:hint="eastAsia" w:ascii="宋体" w:hAnsi="宋体" w:eastAsia="宋体"/>
          <w:szCs w:val="21"/>
          <w:u w:val="single"/>
        </w:rPr>
        <w:t xml:space="preserve">          </w:t>
      </w:r>
      <w:r>
        <w:rPr>
          <w:rFonts w:hint="eastAsia" w:ascii="宋体" w:hAnsi="宋体" w:eastAsia="宋体"/>
          <w:szCs w:val="21"/>
        </w:rPr>
        <w:t>（评审期间请保持手机通讯畅通，以便及时取得联系）</w:t>
      </w:r>
    </w:p>
    <w:p>
      <w:pPr>
        <w:wordWrap w:val="0"/>
        <w:spacing w:line="400" w:lineRule="exact"/>
        <w:rPr>
          <w:rFonts w:ascii="宋体" w:hAnsi="宋体" w:eastAsia="宋体"/>
          <w:szCs w:val="21"/>
          <w:u w:val="single"/>
        </w:rPr>
      </w:pPr>
      <w:r>
        <w:rPr>
          <w:rFonts w:hint="eastAsia" w:ascii="宋体" w:hAnsi="宋体" w:eastAsia="宋体"/>
          <w:szCs w:val="21"/>
        </w:rPr>
        <w:t>座机号码：</w:t>
      </w:r>
      <w:r>
        <w:rPr>
          <w:rFonts w:hint="eastAsia" w:ascii="宋体" w:hAnsi="宋体" w:eastAsia="宋体"/>
          <w:szCs w:val="21"/>
          <w:u w:val="single"/>
        </w:rPr>
        <w:t xml:space="preserve">          </w:t>
      </w:r>
    </w:p>
    <w:tbl>
      <w:tblPr>
        <w:tblStyle w:val="12"/>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9111"/>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268" w:hRule="atLeast"/>
          <w:jc w:val="center"/>
        </w:trPr>
        <w:tc>
          <w:tcPr>
            <w:tcW w:w="9111" w:type="dxa"/>
            <w:vAlign w:val="center"/>
          </w:tcPr>
          <w:p>
            <w:pPr>
              <w:spacing w:line="400" w:lineRule="exact"/>
              <w:jc w:val="center"/>
              <w:rPr>
                <w:rFonts w:ascii="宋体" w:hAnsi="宋体" w:eastAsia="宋体" w:cs="Times New Roman"/>
                <w:kern w:val="0"/>
                <w:szCs w:val="21"/>
              </w:rPr>
            </w:pPr>
            <w:r>
              <w:rPr>
                <w:rFonts w:hint="eastAsia" w:ascii="宋体" w:hAnsi="宋体" w:eastAsia="宋体" w:cs="Times New Roman"/>
                <w:kern w:val="0"/>
                <w:szCs w:val="21"/>
              </w:rPr>
              <w:t>授权代表的身份证（正反面）复印件</w:t>
            </w:r>
          </w:p>
        </w:tc>
      </w:tr>
    </w:tbl>
    <w:p>
      <w:pPr>
        <w:spacing w:line="400" w:lineRule="exact"/>
        <w:rPr>
          <w:rFonts w:ascii="宋体" w:hAnsi="宋体" w:eastAsia="宋体"/>
          <w:szCs w:val="21"/>
        </w:rPr>
      </w:pPr>
    </w:p>
    <w:p>
      <w:pPr>
        <w:spacing w:line="400" w:lineRule="exact"/>
        <w:rPr>
          <w:rFonts w:ascii="宋体" w:hAnsi="宋体" w:eastAsia="宋体"/>
          <w:szCs w:val="21"/>
        </w:rPr>
        <w:sectPr>
          <w:pgSz w:w="11906" w:h="16838"/>
          <w:pgMar w:top="1418" w:right="1418" w:bottom="1418" w:left="1418" w:header="851" w:footer="992" w:gutter="0"/>
          <w:cols w:space="425" w:num="1"/>
          <w:docGrid w:type="lines" w:linePitch="312" w:charSpace="0"/>
        </w:sectPr>
      </w:pPr>
    </w:p>
    <w:p>
      <w:pPr>
        <w:spacing w:line="400" w:lineRule="exac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附件十</w:t>
      </w:r>
    </w:p>
    <w:p>
      <w:pPr>
        <w:spacing w:line="400" w:lineRule="exact"/>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服务要求、商务要求及合同条款偏离表</w:t>
      </w:r>
    </w:p>
    <w:p>
      <w:pPr>
        <w:wordWrap w:val="0"/>
        <w:spacing w:line="400" w:lineRule="exact"/>
        <w:rPr>
          <w:rFonts w:ascii="宋体" w:hAnsi="宋体" w:eastAsia="宋体" w:cs="Times New Roman"/>
          <w:b/>
          <w:color w:val="000000" w:themeColor="text1"/>
          <w:szCs w:val="21"/>
          <w14:textFill>
            <w14:solidFill>
              <w14:schemeClr w14:val="tx1"/>
            </w14:solidFill>
          </w14:textFill>
        </w:rPr>
      </w:pPr>
    </w:p>
    <w:p>
      <w:pPr>
        <w:wordWrap w:val="0"/>
        <w:spacing w:line="400" w:lineRule="exact"/>
        <w:rPr>
          <w:rFonts w:ascii="宋体" w:hAnsi="宋体" w:eastAsia="宋体"/>
          <w:szCs w:val="21"/>
        </w:rPr>
      </w:pPr>
      <w:r>
        <w:rPr>
          <w:rFonts w:hint="eastAsia" w:ascii="宋体" w:hAnsi="宋体" w:eastAsia="宋体"/>
          <w:szCs w:val="21"/>
        </w:rPr>
        <w:t>项目编号：</w:t>
      </w:r>
      <w:r>
        <w:rPr>
          <w:rFonts w:hint="eastAsia" w:ascii="宋体" w:hAnsi="宋体" w:eastAsia="宋体"/>
          <w:szCs w:val="21"/>
          <w:u w:val="single"/>
        </w:rPr>
        <w:t xml:space="preserve">                    </w:t>
      </w:r>
    </w:p>
    <w:p>
      <w:pPr>
        <w:wordWrap w:val="0"/>
        <w:spacing w:line="400" w:lineRule="exact"/>
        <w:rPr>
          <w:rFonts w:ascii="宋体" w:hAnsi="宋体" w:eastAsia="宋体"/>
          <w:szCs w:val="21"/>
          <w:u w:val="single"/>
        </w:rPr>
      </w:pPr>
      <w:r>
        <w:rPr>
          <w:rFonts w:hint="eastAsia" w:ascii="宋体" w:hAnsi="宋体" w:eastAsia="宋体"/>
          <w:szCs w:val="21"/>
        </w:rPr>
        <w:t>项目名称：</w:t>
      </w:r>
      <w:r>
        <w:rPr>
          <w:rFonts w:hint="eastAsia" w:ascii="宋体" w:hAnsi="宋体" w:eastAsia="宋体"/>
          <w:szCs w:val="21"/>
          <w:u w:val="single"/>
        </w:rPr>
        <w:t xml:space="preserve">                    </w:t>
      </w:r>
    </w:p>
    <w:tbl>
      <w:tblPr>
        <w:tblStyle w:val="12"/>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55"/>
        <w:gridCol w:w="3041"/>
        <w:gridCol w:w="3041"/>
        <w:gridCol w:w="2141"/>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855" w:type="dxa"/>
            <w:vAlign w:val="center"/>
          </w:tcPr>
          <w:p>
            <w:pPr>
              <w:jc w:val="center"/>
              <w:rPr>
                <w:rFonts w:ascii="宋体" w:hAnsi="宋体" w:eastAsia="宋体" w:cs="Times New Roman"/>
                <w:kern w:val="0"/>
                <w:szCs w:val="21"/>
              </w:rPr>
            </w:pPr>
            <w:r>
              <w:rPr>
                <w:rFonts w:hint="eastAsia" w:ascii="宋体" w:hAnsi="宋体" w:eastAsia="宋体" w:cs="Times New Roman"/>
                <w:kern w:val="0"/>
                <w:szCs w:val="21"/>
              </w:rPr>
              <w:t>序号</w:t>
            </w:r>
          </w:p>
        </w:tc>
        <w:tc>
          <w:tcPr>
            <w:tcW w:w="3041" w:type="dxa"/>
            <w:vAlign w:val="center"/>
          </w:tcPr>
          <w:p>
            <w:pPr>
              <w:jc w:val="center"/>
              <w:rPr>
                <w:rFonts w:ascii="宋体" w:hAnsi="宋体" w:eastAsia="宋体" w:cs="Times New Roman"/>
                <w:kern w:val="0"/>
                <w:szCs w:val="21"/>
              </w:rPr>
            </w:pPr>
            <w:r>
              <w:rPr>
                <w:rFonts w:hint="eastAsia" w:ascii="宋体" w:hAnsi="宋体" w:eastAsia="宋体" w:cs="Times New Roman"/>
                <w:kern w:val="0"/>
                <w:szCs w:val="21"/>
              </w:rPr>
              <w:t>采购文件要求</w:t>
            </w:r>
          </w:p>
        </w:tc>
        <w:tc>
          <w:tcPr>
            <w:tcW w:w="3041" w:type="dxa"/>
            <w:vAlign w:val="center"/>
          </w:tcPr>
          <w:p>
            <w:pPr>
              <w:jc w:val="center"/>
              <w:rPr>
                <w:rFonts w:ascii="宋体" w:hAnsi="宋体" w:eastAsia="宋体" w:cs="Times New Roman"/>
                <w:kern w:val="0"/>
                <w:szCs w:val="21"/>
              </w:rPr>
            </w:pPr>
            <w:r>
              <w:rPr>
                <w:rFonts w:hint="eastAsia" w:ascii="宋体" w:hAnsi="宋体" w:eastAsia="宋体" w:cs="Times New Roman"/>
                <w:kern w:val="0"/>
                <w:szCs w:val="21"/>
              </w:rPr>
              <w:t>响应文件响应</w:t>
            </w:r>
          </w:p>
        </w:tc>
        <w:tc>
          <w:tcPr>
            <w:tcW w:w="2141" w:type="dxa"/>
            <w:vAlign w:val="center"/>
          </w:tcPr>
          <w:p>
            <w:pPr>
              <w:jc w:val="center"/>
              <w:rPr>
                <w:rFonts w:ascii="宋体" w:hAnsi="宋体" w:eastAsia="宋体" w:cs="Times New Roman"/>
                <w:kern w:val="0"/>
                <w:szCs w:val="21"/>
              </w:rPr>
            </w:pPr>
            <w:r>
              <w:rPr>
                <w:rFonts w:hint="eastAsia" w:ascii="宋体" w:hAnsi="宋体" w:eastAsia="宋体" w:cs="Times New Roman"/>
                <w:kern w:val="0"/>
                <w:szCs w:val="21"/>
              </w:rPr>
              <w:t>注明“正偏离”</w:t>
            </w:r>
          </w:p>
          <w:p>
            <w:pPr>
              <w:jc w:val="center"/>
              <w:rPr>
                <w:rFonts w:ascii="宋体" w:hAnsi="宋体" w:eastAsia="宋体" w:cs="Times New Roman"/>
                <w:kern w:val="0"/>
                <w:szCs w:val="21"/>
              </w:rPr>
            </w:pPr>
            <w:r>
              <w:rPr>
                <w:rFonts w:hint="eastAsia" w:ascii="宋体" w:hAnsi="宋体" w:eastAsia="宋体" w:cs="Times New Roman"/>
                <w:kern w:val="0"/>
                <w:szCs w:val="21"/>
              </w:rPr>
              <w:t>或“负偏离”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855" w:type="dxa"/>
            <w:vAlign w:val="center"/>
          </w:tcPr>
          <w:p>
            <w:pPr>
              <w:jc w:val="center"/>
              <w:rPr>
                <w:rFonts w:ascii="宋体" w:hAnsi="宋体" w:eastAsia="宋体" w:cs="Times New Roman"/>
                <w:kern w:val="0"/>
                <w:szCs w:val="21"/>
              </w:rPr>
            </w:pPr>
          </w:p>
        </w:tc>
        <w:tc>
          <w:tcPr>
            <w:tcW w:w="3041" w:type="dxa"/>
            <w:vAlign w:val="center"/>
          </w:tcPr>
          <w:p>
            <w:pPr>
              <w:jc w:val="center"/>
              <w:rPr>
                <w:rFonts w:ascii="宋体" w:hAnsi="宋体" w:eastAsia="宋体" w:cs="Times New Roman"/>
                <w:kern w:val="0"/>
                <w:szCs w:val="21"/>
              </w:rPr>
            </w:pPr>
          </w:p>
        </w:tc>
        <w:tc>
          <w:tcPr>
            <w:tcW w:w="3041" w:type="dxa"/>
            <w:vAlign w:val="center"/>
          </w:tcPr>
          <w:p>
            <w:pPr>
              <w:jc w:val="center"/>
              <w:rPr>
                <w:rFonts w:ascii="宋体" w:hAnsi="宋体" w:eastAsia="宋体" w:cs="Times New Roman"/>
                <w:kern w:val="0"/>
                <w:szCs w:val="21"/>
              </w:rPr>
            </w:pPr>
          </w:p>
        </w:tc>
        <w:tc>
          <w:tcPr>
            <w:tcW w:w="2141" w:type="dxa"/>
            <w:vAlign w:val="center"/>
          </w:tcPr>
          <w:p>
            <w:pPr>
              <w:jc w:val="center"/>
              <w:rPr>
                <w:rFonts w:ascii="宋体" w:hAnsi="宋体" w:eastAsia="宋体" w:cs="Times New Roman"/>
                <w:kern w:val="0"/>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855" w:type="dxa"/>
            <w:vAlign w:val="center"/>
          </w:tcPr>
          <w:p>
            <w:pPr>
              <w:jc w:val="center"/>
              <w:rPr>
                <w:rFonts w:ascii="宋体" w:hAnsi="宋体" w:eastAsia="宋体" w:cs="Times New Roman"/>
                <w:kern w:val="0"/>
                <w:szCs w:val="21"/>
              </w:rPr>
            </w:pPr>
          </w:p>
        </w:tc>
        <w:tc>
          <w:tcPr>
            <w:tcW w:w="3041" w:type="dxa"/>
            <w:vAlign w:val="center"/>
          </w:tcPr>
          <w:p>
            <w:pPr>
              <w:jc w:val="center"/>
              <w:rPr>
                <w:rFonts w:ascii="宋体" w:hAnsi="宋体" w:eastAsia="宋体" w:cs="Times New Roman"/>
                <w:kern w:val="0"/>
                <w:szCs w:val="21"/>
              </w:rPr>
            </w:pPr>
          </w:p>
        </w:tc>
        <w:tc>
          <w:tcPr>
            <w:tcW w:w="3041" w:type="dxa"/>
            <w:vAlign w:val="center"/>
          </w:tcPr>
          <w:p>
            <w:pPr>
              <w:jc w:val="center"/>
              <w:rPr>
                <w:rFonts w:ascii="宋体" w:hAnsi="宋体" w:eastAsia="宋体" w:cs="Times New Roman"/>
                <w:kern w:val="0"/>
                <w:szCs w:val="21"/>
              </w:rPr>
            </w:pPr>
          </w:p>
        </w:tc>
        <w:tc>
          <w:tcPr>
            <w:tcW w:w="2141" w:type="dxa"/>
            <w:vAlign w:val="center"/>
          </w:tcPr>
          <w:p>
            <w:pPr>
              <w:jc w:val="center"/>
              <w:rPr>
                <w:rFonts w:ascii="宋体" w:hAnsi="宋体" w:eastAsia="宋体" w:cs="Times New Roman"/>
                <w:kern w:val="0"/>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855" w:type="dxa"/>
            <w:vAlign w:val="center"/>
          </w:tcPr>
          <w:p>
            <w:pPr>
              <w:jc w:val="center"/>
              <w:rPr>
                <w:rFonts w:ascii="宋体" w:hAnsi="宋体" w:eastAsia="宋体" w:cs="Times New Roman"/>
                <w:kern w:val="0"/>
                <w:szCs w:val="21"/>
              </w:rPr>
            </w:pPr>
          </w:p>
        </w:tc>
        <w:tc>
          <w:tcPr>
            <w:tcW w:w="3041" w:type="dxa"/>
            <w:vAlign w:val="center"/>
          </w:tcPr>
          <w:p>
            <w:pPr>
              <w:jc w:val="center"/>
              <w:rPr>
                <w:rFonts w:ascii="宋体" w:hAnsi="宋体" w:eastAsia="宋体" w:cs="Times New Roman"/>
                <w:kern w:val="0"/>
                <w:szCs w:val="21"/>
              </w:rPr>
            </w:pPr>
          </w:p>
        </w:tc>
        <w:tc>
          <w:tcPr>
            <w:tcW w:w="3041" w:type="dxa"/>
            <w:vAlign w:val="center"/>
          </w:tcPr>
          <w:p>
            <w:pPr>
              <w:jc w:val="center"/>
              <w:rPr>
                <w:rFonts w:ascii="宋体" w:hAnsi="宋体" w:eastAsia="宋体" w:cs="Times New Roman"/>
                <w:kern w:val="0"/>
                <w:szCs w:val="21"/>
              </w:rPr>
            </w:pPr>
          </w:p>
        </w:tc>
        <w:tc>
          <w:tcPr>
            <w:tcW w:w="2141" w:type="dxa"/>
            <w:vAlign w:val="center"/>
          </w:tcPr>
          <w:p>
            <w:pPr>
              <w:jc w:val="center"/>
              <w:rPr>
                <w:rFonts w:ascii="宋体" w:hAnsi="宋体" w:eastAsia="宋体" w:cs="Times New Roman"/>
                <w:kern w:val="0"/>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855" w:type="dxa"/>
            <w:vAlign w:val="center"/>
          </w:tcPr>
          <w:p>
            <w:pPr>
              <w:jc w:val="center"/>
              <w:rPr>
                <w:rFonts w:ascii="宋体" w:hAnsi="宋体" w:eastAsia="宋体" w:cs="Times New Roman"/>
                <w:kern w:val="0"/>
                <w:szCs w:val="21"/>
              </w:rPr>
            </w:pPr>
          </w:p>
        </w:tc>
        <w:tc>
          <w:tcPr>
            <w:tcW w:w="3041" w:type="dxa"/>
            <w:vAlign w:val="center"/>
          </w:tcPr>
          <w:p>
            <w:pPr>
              <w:jc w:val="center"/>
              <w:rPr>
                <w:rFonts w:ascii="宋体" w:hAnsi="宋体" w:eastAsia="宋体" w:cs="Times New Roman"/>
                <w:kern w:val="0"/>
                <w:szCs w:val="21"/>
              </w:rPr>
            </w:pPr>
          </w:p>
        </w:tc>
        <w:tc>
          <w:tcPr>
            <w:tcW w:w="3041" w:type="dxa"/>
            <w:vAlign w:val="center"/>
          </w:tcPr>
          <w:p>
            <w:pPr>
              <w:jc w:val="center"/>
              <w:rPr>
                <w:rFonts w:ascii="宋体" w:hAnsi="宋体" w:eastAsia="宋体" w:cs="Times New Roman"/>
                <w:kern w:val="0"/>
                <w:szCs w:val="21"/>
              </w:rPr>
            </w:pPr>
          </w:p>
        </w:tc>
        <w:tc>
          <w:tcPr>
            <w:tcW w:w="2141" w:type="dxa"/>
            <w:vAlign w:val="center"/>
          </w:tcPr>
          <w:p>
            <w:pPr>
              <w:jc w:val="center"/>
              <w:rPr>
                <w:rFonts w:ascii="宋体" w:hAnsi="宋体" w:eastAsia="宋体" w:cs="Times New Roman"/>
                <w:kern w:val="0"/>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855" w:type="dxa"/>
            <w:vAlign w:val="center"/>
          </w:tcPr>
          <w:p>
            <w:pPr>
              <w:jc w:val="center"/>
              <w:rPr>
                <w:rFonts w:ascii="宋体" w:hAnsi="宋体" w:eastAsia="宋体" w:cs="Times New Roman"/>
                <w:kern w:val="0"/>
                <w:szCs w:val="21"/>
              </w:rPr>
            </w:pPr>
          </w:p>
        </w:tc>
        <w:tc>
          <w:tcPr>
            <w:tcW w:w="3041" w:type="dxa"/>
            <w:vAlign w:val="center"/>
          </w:tcPr>
          <w:p>
            <w:pPr>
              <w:jc w:val="center"/>
              <w:rPr>
                <w:rFonts w:ascii="宋体" w:hAnsi="宋体" w:eastAsia="宋体" w:cs="Times New Roman"/>
                <w:kern w:val="0"/>
                <w:szCs w:val="21"/>
              </w:rPr>
            </w:pPr>
          </w:p>
        </w:tc>
        <w:tc>
          <w:tcPr>
            <w:tcW w:w="3041" w:type="dxa"/>
            <w:vAlign w:val="center"/>
          </w:tcPr>
          <w:p>
            <w:pPr>
              <w:jc w:val="center"/>
              <w:rPr>
                <w:rFonts w:ascii="宋体" w:hAnsi="宋体" w:eastAsia="宋体" w:cs="Times New Roman"/>
                <w:kern w:val="0"/>
                <w:szCs w:val="21"/>
              </w:rPr>
            </w:pPr>
          </w:p>
        </w:tc>
        <w:tc>
          <w:tcPr>
            <w:tcW w:w="2141" w:type="dxa"/>
            <w:vAlign w:val="center"/>
          </w:tcPr>
          <w:p>
            <w:pPr>
              <w:jc w:val="center"/>
              <w:rPr>
                <w:rFonts w:ascii="宋体" w:hAnsi="宋体" w:eastAsia="宋体" w:cs="Times New Roman"/>
                <w:kern w:val="0"/>
                <w:szCs w:val="21"/>
              </w:rPr>
            </w:pPr>
          </w:p>
        </w:tc>
      </w:tr>
    </w:tbl>
    <w:p>
      <w:pPr>
        <w:wordWrap w:val="0"/>
        <w:spacing w:line="400" w:lineRule="exact"/>
        <w:rPr>
          <w:rFonts w:ascii="宋体" w:hAnsi="宋体" w:eastAsia="宋体"/>
          <w:szCs w:val="21"/>
        </w:rPr>
      </w:pPr>
      <w:r>
        <w:rPr>
          <w:rFonts w:hint="eastAsia" w:ascii="宋体" w:hAnsi="宋体" w:eastAsia="宋体"/>
          <w:szCs w:val="21"/>
        </w:rPr>
        <w:t>注：1</w:t>
      </w:r>
      <w:r>
        <w:rPr>
          <w:rFonts w:hint="eastAsia" w:ascii="宋体" w:hAnsi="宋体" w:eastAsia="宋体" w:cs="Times New Roman"/>
          <w:szCs w:val="21"/>
        </w:rPr>
        <w:t>.</w:t>
      </w:r>
      <w:r>
        <w:rPr>
          <w:rFonts w:hint="eastAsia" w:ascii="宋体" w:hAnsi="宋体" w:eastAsia="宋体"/>
          <w:szCs w:val="21"/>
        </w:rPr>
        <w:t>如响应文件对本采购文件中的服务要求、商务要求及合同条款有偏离的，在本表中列明，并注明正偏离或负偏离。</w:t>
      </w:r>
    </w:p>
    <w:p>
      <w:pPr>
        <w:wordWrap w:val="0"/>
        <w:spacing w:line="400" w:lineRule="exact"/>
        <w:rPr>
          <w:rFonts w:ascii="宋体" w:hAnsi="宋体" w:eastAsia="宋体"/>
          <w:szCs w:val="21"/>
        </w:rPr>
      </w:pPr>
      <w:r>
        <w:rPr>
          <w:rFonts w:hint="eastAsia" w:ascii="宋体" w:hAnsi="宋体" w:eastAsia="宋体"/>
          <w:szCs w:val="21"/>
        </w:rPr>
        <w:t>2</w:t>
      </w:r>
      <w:r>
        <w:rPr>
          <w:rFonts w:hint="eastAsia" w:ascii="宋体" w:hAnsi="宋体" w:eastAsia="宋体" w:cs="Times New Roman"/>
          <w:szCs w:val="21"/>
        </w:rPr>
        <w:t>.</w:t>
      </w:r>
      <w:r>
        <w:rPr>
          <w:rFonts w:hint="eastAsia" w:ascii="宋体" w:hAnsi="宋体" w:eastAsia="宋体"/>
          <w:szCs w:val="21"/>
        </w:rPr>
        <w:t>如供应商未在本表中列出偏离说明，即使其在响应文件的其他部分与采购文件要求有负偏离或回避不答，亦均视为完全响应采购文件中所要求的最低标准并写入合同。若供应商在合同签订前后，以上述事项为借口而不进行合同签订手续或不履行合同，则视作其放弃成交资格。</w:t>
      </w:r>
    </w:p>
    <w:p>
      <w:pPr>
        <w:wordWrap w:val="0"/>
        <w:spacing w:line="400" w:lineRule="exact"/>
        <w:rPr>
          <w:rFonts w:ascii="宋体" w:hAnsi="宋体" w:eastAsia="宋体"/>
          <w:b/>
          <w:szCs w:val="21"/>
        </w:rPr>
      </w:pPr>
      <w:r>
        <w:rPr>
          <w:rFonts w:hint="eastAsia" w:ascii="宋体" w:hAnsi="宋体" w:eastAsia="宋体"/>
          <w:b/>
          <w:szCs w:val="21"/>
        </w:rPr>
        <w:t>3.未在本表中填写的，视为完全响应采购文件中的服务要求、商务要求及合同条款。</w:t>
      </w:r>
    </w:p>
    <w:p>
      <w:pPr>
        <w:wordWrap w:val="0"/>
        <w:spacing w:line="400" w:lineRule="exact"/>
        <w:rPr>
          <w:rFonts w:ascii="宋体" w:hAnsi="宋体" w:eastAsia="宋体"/>
          <w:b/>
          <w:color w:val="000000" w:themeColor="text1"/>
          <w:szCs w:val="21"/>
          <w:shd w:val="clear" w:color="auto" w:fill="BEBEBE" w:themeFill="background1" w:themeFillShade="BF"/>
          <w14:textFill>
            <w14:solidFill>
              <w14:schemeClr w14:val="tx1"/>
            </w14:solidFill>
          </w14:textFill>
        </w:rPr>
      </w:pPr>
      <w:r>
        <w:rPr>
          <w:rFonts w:hint="eastAsia" w:ascii="宋体" w:hAnsi="宋体" w:eastAsia="宋体"/>
          <w:b/>
          <w:color w:val="000000" w:themeColor="text1"/>
          <w:szCs w:val="21"/>
          <w:shd w:val="clear" w:color="auto" w:fill="BEBEBE" w:themeFill="background1" w:themeFillShade="BF"/>
          <w14:textFill>
            <w14:solidFill>
              <w14:schemeClr w14:val="tx1"/>
            </w14:solidFill>
          </w14:textFill>
        </w:rPr>
        <w:t>4</w:t>
      </w:r>
      <w:r>
        <w:rPr>
          <w:rFonts w:hint="eastAsia" w:ascii="宋体" w:hAnsi="宋体" w:eastAsia="宋体" w:cs="Times New Roman"/>
          <w:b/>
          <w:color w:val="000000" w:themeColor="text1"/>
          <w:szCs w:val="21"/>
          <w:shd w:val="clear" w:color="auto" w:fill="BEBEBE" w:themeFill="background1" w:themeFillShade="BF"/>
          <w14:textFill>
            <w14:solidFill>
              <w14:schemeClr w14:val="tx1"/>
            </w14:solidFill>
          </w14:textFill>
        </w:rPr>
        <w:t>.</w:t>
      </w:r>
      <w:r>
        <w:rPr>
          <w:rFonts w:hint="eastAsia" w:ascii="宋体" w:hAnsi="宋体" w:eastAsia="宋体"/>
          <w:b/>
          <w:color w:val="000000" w:themeColor="text1"/>
          <w:szCs w:val="21"/>
          <w:shd w:val="clear" w:color="auto" w:fill="BEBEBE" w:themeFill="background1" w:themeFillShade="BF"/>
          <w14:textFill>
            <w14:solidFill>
              <w14:schemeClr w14:val="tx1"/>
            </w14:solidFill>
          </w14:textFill>
        </w:rPr>
        <w:t>本表中如有负偏离的视为没有实质性响应采购文件要求，作无效标处理。</w:t>
      </w:r>
    </w:p>
    <w:p>
      <w:pPr>
        <w:wordWrap w:val="0"/>
        <w:spacing w:line="400" w:lineRule="exact"/>
        <w:rPr>
          <w:rFonts w:ascii="宋体" w:hAnsi="宋体" w:eastAsia="宋体" w:cs="Times New Roman"/>
          <w:szCs w:val="21"/>
        </w:rPr>
      </w:pPr>
    </w:p>
    <w:p>
      <w:pPr>
        <w:wordWrap w:val="0"/>
        <w:spacing w:line="400" w:lineRule="exact"/>
        <w:rPr>
          <w:rFonts w:ascii="宋体" w:hAnsi="宋体" w:eastAsia="宋体" w:cs="Times New Roman"/>
          <w:szCs w:val="21"/>
        </w:rPr>
      </w:pP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供应商或联合体牵头人（盖电子公章）：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szCs w:val="21"/>
        </w:rPr>
      </w:pPr>
      <w:r>
        <w:rPr>
          <w:rFonts w:hint="eastAsia" w:ascii="宋体" w:hAnsi="宋体" w:eastAsia="宋体" w:cs="Times New Roman"/>
          <w:szCs w:val="21"/>
        </w:rPr>
        <w:t>法定代表人或授权代表（签字或盖章）：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日期：</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日</w:t>
      </w:r>
    </w:p>
    <w:p>
      <w:pPr>
        <w:wordWrap w:val="0"/>
        <w:spacing w:line="400" w:lineRule="exact"/>
        <w:rPr>
          <w:rFonts w:ascii="宋体" w:hAnsi="宋体" w:eastAsia="宋体" w:cs="Times New Roman"/>
          <w:color w:val="000000" w:themeColor="text1"/>
          <w:szCs w:val="21"/>
          <w14:textFill>
            <w14:solidFill>
              <w14:schemeClr w14:val="tx1"/>
            </w14:solidFill>
          </w14:textFill>
        </w:rPr>
        <w:sectPr>
          <w:pgSz w:w="11907" w:h="16840"/>
          <w:pgMar w:top="1418" w:right="1418" w:bottom="1418" w:left="1418" w:header="851" w:footer="992" w:gutter="0"/>
          <w:cols w:space="720" w:num="1"/>
          <w:docGrid w:linePitch="312" w:charSpace="0"/>
        </w:sectPr>
      </w:pPr>
    </w:p>
    <w:p>
      <w:pPr>
        <w:wordWrap w:val="0"/>
        <w:spacing w:line="400" w:lineRule="exac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附件十一</w:t>
      </w:r>
    </w:p>
    <w:p>
      <w:pPr>
        <w:spacing w:line="400" w:lineRule="exact"/>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品牌、规格型号一览表</w:t>
      </w:r>
    </w:p>
    <w:p>
      <w:pPr>
        <w:wordWrap w:val="0"/>
        <w:spacing w:line="400" w:lineRule="exact"/>
        <w:rPr>
          <w:rFonts w:ascii="宋体" w:hAnsi="宋体" w:eastAsia="宋体" w:cs="Times New Roman"/>
          <w:b/>
          <w:color w:val="000000" w:themeColor="text1"/>
          <w:szCs w:val="21"/>
          <w14:textFill>
            <w14:solidFill>
              <w14:schemeClr w14:val="tx1"/>
            </w14:solidFill>
          </w14:textFill>
        </w:rPr>
      </w:pPr>
    </w:p>
    <w:p>
      <w:pPr>
        <w:wordWrap w:val="0"/>
        <w:spacing w:line="400" w:lineRule="exact"/>
        <w:rPr>
          <w:rFonts w:ascii="宋体" w:hAnsi="宋体" w:eastAsia="宋体"/>
          <w:szCs w:val="21"/>
        </w:rPr>
      </w:pPr>
      <w:r>
        <w:rPr>
          <w:rFonts w:hint="eastAsia" w:ascii="宋体" w:hAnsi="宋体" w:eastAsia="宋体"/>
          <w:szCs w:val="21"/>
        </w:rPr>
        <w:t>项目编号：</w:t>
      </w:r>
      <w:r>
        <w:rPr>
          <w:rFonts w:hint="eastAsia" w:ascii="宋体" w:hAnsi="宋体" w:eastAsia="宋体"/>
          <w:szCs w:val="21"/>
          <w:u w:val="single"/>
        </w:rPr>
        <w:t xml:space="preserve">                    </w:t>
      </w:r>
    </w:p>
    <w:p>
      <w:pPr>
        <w:wordWrap w:val="0"/>
        <w:spacing w:line="400" w:lineRule="exact"/>
        <w:rPr>
          <w:rFonts w:hint="eastAsia" w:ascii="宋体" w:hAnsi="宋体" w:eastAsia="宋体"/>
          <w:szCs w:val="21"/>
          <w:u w:val="single"/>
        </w:rPr>
      </w:pPr>
      <w:r>
        <w:rPr>
          <w:rFonts w:hint="eastAsia" w:ascii="宋体" w:hAnsi="宋体" w:eastAsia="宋体"/>
          <w:szCs w:val="21"/>
        </w:rPr>
        <w:t>项目名称：</w:t>
      </w:r>
      <w:r>
        <w:rPr>
          <w:rFonts w:hint="eastAsia" w:ascii="宋体" w:hAnsi="宋体" w:eastAsia="宋体"/>
          <w:szCs w:val="21"/>
          <w:u w:val="single"/>
        </w:rPr>
        <w:t xml:space="preserve">                    </w:t>
      </w:r>
    </w:p>
    <w:tbl>
      <w:tblPr>
        <w:tblStyle w:val="11"/>
        <w:tblW w:w="486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8"/>
        <w:gridCol w:w="3131"/>
        <w:gridCol w:w="2602"/>
        <w:gridCol w:w="26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81"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序号</w:t>
            </w:r>
          </w:p>
        </w:tc>
        <w:tc>
          <w:tcPr>
            <w:tcW w:w="1733"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货物名称</w:t>
            </w:r>
          </w:p>
        </w:tc>
        <w:tc>
          <w:tcPr>
            <w:tcW w:w="1440"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品牌</w:t>
            </w:r>
          </w:p>
        </w:tc>
        <w:tc>
          <w:tcPr>
            <w:tcW w:w="1444" w:type="pct"/>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规格型号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一、校园广播系统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控制主机</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数字化IP网络广播客户端管理软件</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控制器</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音源设备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寻呼话筒</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消防联动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采集器</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1#教学楼设备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IP网络音箱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IP网络功放终端240W</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2#教学楼设备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IP网络音箱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IP网络功放终端350W</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1#科技楼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IP网络音箱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IP网络功放终端500W</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阶梯教室&amp;行政与图书楼设备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IP网络功放终端500W</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食堂（教师宿舍）楼前端设备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IP网络功放终端500W</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体艺楼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IP网络功放终端500W</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壁挂音箱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室外运动场设备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IP终端</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ZH调音台</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抑制器</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无线话筒</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话筒天线</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IP音频采集器</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纯后级功放</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音柱（含立杆）</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草地音箱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IP网络功放终端500W</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辅助材料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音频连接线A</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音频连接线B</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音频连接线C</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音频连接线D</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音频连接线E</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音频连接线F</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二、计算机网络系统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license授权函</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室外AP</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高密AP</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24口千兆POE交换机</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安防网络系统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万兆安防核心交换机</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安防8口POE千兆交换机</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安防24口千兆POE交换机</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安防48口千兆POE交换机</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单模光模块</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光纤收发器</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广播网络系统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广播24口千兆交换机</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广播48口千兆交换机</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三、安防报警系统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安防监控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红外枪机POE</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支架</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32路硬盘管理系统（NVR）</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6T硬盘</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1路高清解码器</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4路视频解码器（带输入）</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55寸</w:t>
            </w:r>
            <w:r>
              <w:rPr>
                <w:rFonts w:hint="eastAsia" w:ascii="宋体" w:hAnsi="宋体" w:eastAsia="宋体" w:cs="宋体"/>
                <w:color w:val="000000"/>
                <w:kern w:val="0"/>
                <w:szCs w:val="21"/>
                <w:lang w:val="en-US" w:eastAsia="zh-CN" w:bidi="ar"/>
              </w:rPr>
              <w:t>液晶</w:t>
            </w:r>
            <w:r>
              <w:rPr>
                <w:rFonts w:hint="eastAsia" w:ascii="宋体" w:hAnsi="宋体" w:eastAsia="宋体" w:cs="宋体"/>
                <w:color w:val="000000"/>
                <w:kern w:val="0"/>
                <w:szCs w:val="21"/>
                <w:lang w:bidi="ar"/>
              </w:rPr>
              <w:t>电视机</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配套支架</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室外立杆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摄像机安装立杆4M</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防雷安装箱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监控电源</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四、结构化综合布线系统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网络、电话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单口面板</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双口面板</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网络模块</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六类跳线2米（机房端）</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110配线架</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理线器</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33"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LC单模千兆尾纤（约200米）</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机架式8口光纤终端盒LC型</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机架式24口光纤配线架LC型</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耦合器</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千兆单模LC光纤跳线</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水晶头</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可视化系统管理软件</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综合布线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六类非屏蔽4对电缆A（约25000米）</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室外防水六类非屏蔽4对电缆A（约300米）</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室外4芯单模光缆（约1300米）</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33"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室外12芯单模光缆（约1285米）</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安防报警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六类非屏蔽4对电缆B（约7700米）</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eastAsia="zh-CN" w:bidi="ar"/>
              </w:rPr>
              <w:t>室外防水六类非屏蔽4对电缆B（约3200米）</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室外监控电源线KVV2×1.0</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约3200米</w:t>
            </w:r>
            <w:r>
              <w:rPr>
                <w:rFonts w:hint="eastAsia" w:ascii="宋体" w:hAnsi="宋体" w:eastAsia="宋体" w:cs="宋体"/>
                <w:color w:val="000000"/>
                <w:kern w:val="0"/>
                <w:szCs w:val="21"/>
                <w:lang w:eastAsia="zh-CN" w:bidi="ar"/>
              </w:rPr>
              <w:t>）</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综合线路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3132"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室内广播线RVV2×1.5</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约1560米</w:t>
            </w:r>
            <w:r>
              <w:rPr>
                <w:rFonts w:hint="eastAsia" w:ascii="宋体" w:hAnsi="宋体" w:eastAsia="宋体" w:cs="宋体"/>
                <w:color w:val="000000"/>
                <w:kern w:val="0"/>
                <w:szCs w:val="21"/>
                <w:lang w:eastAsia="zh-CN" w:bidi="ar"/>
              </w:rPr>
              <w:t>）</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3132"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室外广播线KVVP-2×1.5</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约1600米</w:t>
            </w:r>
            <w:r>
              <w:rPr>
                <w:rFonts w:hint="eastAsia" w:ascii="宋体" w:hAnsi="宋体" w:eastAsia="宋体" w:cs="宋体"/>
                <w:color w:val="000000"/>
                <w:kern w:val="0"/>
                <w:szCs w:val="21"/>
                <w:lang w:eastAsia="zh-CN" w:bidi="ar"/>
              </w:rPr>
              <w:t>）</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3132"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室外广播线KVVP-2×2.5</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约400米</w:t>
            </w:r>
            <w:r>
              <w:rPr>
                <w:rFonts w:hint="eastAsia" w:ascii="宋体" w:hAnsi="宋体" w:eastAsia="宋体" w:cs="宋体"/>
                <w:color w:val="000000"/>
                <w:kern w:val="0"/>
                <w:szCs w:val="21"/>
                <w:lang w:eastAsia="zh-CN" w:bidi="ar"/>
              </w:rPr>
              <w:t>）</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3132"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RVV3×1.0电源线</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约800米</w:t>
            </w:r>
            <w:r>
              <w:rPr>
                <w:rFonts w:hint="eastAsia" w:ascii="宋体" w:hAnsi="宋体" w:eastAsia="宋体" w:cs="宋体"/>
                <w:color w:val="000000"/>
                <w:kern w:val="0"/>
                <w:szCs w:val="21"/>
                <w:lang w:eastAsia="zh-CN" w:bidi="ar"/>
              </w:rPr>
              <w:t>）</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3132"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室外安防箱电源线</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约950米</w:t>
            </w:r>
            <w:r>
              <w:rPr>
                <w:rFonts w:hint="eastAsia" w:ascii="宋体" w:hAnsi="宋体" w:eastAsia="宋体" w:cs="宋体"/>
                <w:color w:val="000000"/>
                <w:kern w:val="0"/>
                <w:szCs w:val="21"/>
                <w:lang w:eastAsia="zh-CN" w:bidi="ar"/>
              </w:rPr>
              <w:t>）</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3132"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无线话筒专用线</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约200米</w:t>
            </w:r>
            <w:r>
              <w:rPr>
                <w:rFonts w:hint="eastAsia" w:ascii="宋体" w:hAnsi="宋体" w:eastAsia="宋体" w:cs="宋体"/>
                <w:color w:val="000000"/>
                <w:kern w:val="0"/>
                <w:szCs w:val="21"/>
                <w:lang w:eastAsia="zh-CN" w:bidi="ar"/>
              </w:rPr>
              <w:t>）</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PZ30箱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广播接线箱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电源插座二三插</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底座（塑料）86盒</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五、综合管路系统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3132"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弱电桥架200×100</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约1500米</w:t>
            </w:r>
            <w:r>
              <w:rPr>
                <w:rFonts w:hint="eastAsia" w:ascii="宋体" w:hAnsi="宋体" w:eastAsia="宋体" w:cs="宋体"/>
                <w:color w:val="000000"/>
                <w:kern w:val="0"/>
                <w:szCs w:val="21"/>
                <w:lang w:eastAsia="zh-CN" w:bidi="ar"/>
              </w:rPr>
              <w:t>）</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3132"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弱电桥架300×200</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约250米</w:t>
            </w:r>
            <w:r>
              <w:rPr>
                <w:rFonts w:hint="eastAsia" w:ascii="宋体" w:hAnsi="宋体" w:eastAsia="宋体" w:cs="宋体"/>
                <w:color w:val="000000"/>
                <w:kern w:val="0"/>
                <w:szCs w:val="21"/>
                <w:lang w:eastAsia="zh-CN" w:bidi="ar"/>
              </w:rPr>
              <w:t>）</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3132"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支架</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3132"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穿线保护管PVC25</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约3850米</w:t>
            </w:r>
            <w:r>
              <w:rPr>
                <w:rFonts w:hint="eastAsia" w:ascii="宋体" w:hAnsi="宋体" w:eastAsia="宋体" w:cs="宋体"/>
                <w:color w:val="000000"/>
                <w:kern w:val="0"/>
                <w:szCs w:val="21"/>
                <w:lang w:eastAsia="zh-CN" w:bidi="ar"/>
              </w:rPr>
              <w:t>）</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3132"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穿线保护管PVC20</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约3000米</w:t>
            </w:r>
            <w:r>
              <w:rPr>
                <w:rFonts w:hint="eastAsia" w:ascii="宋体" w:hAnsi="宋体" w:eastAsia="宋体" w:cs="宋体"/>
                <w:color w:val="000000"/>
                <w:kern w:val="0"/>
                <w:szCs w:val="21"/>
                <w:lang w:eastAsia="zh-CN" w:bidi="ar"/>
              </w:rPr>
              <w:t>）</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3132"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PE25</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约400米</w:t>
            </w:r>
            <w:r>
              <w:rPr>
                <w:rFonts w:hint="eastAsia" w:ascii="宋体" w:hAnsi="宋体" w:eastAsia="宋体" w:cs="宋体"/>
                <w:color w:val="000000"/>
                <w:kern w:val="0"/>
                <w:szCs w:val="21"/>
                <w:lang w:eastAsia="zh-CN" w:bidi="ar"/>
              </w:rPr>
              <w:t>）</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3132"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PE32</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约900米</w:t>
            </w:r>
            <w:r>
              <w:rPr>
                <w:rFonts w:hint="eastAsia" w:ascii="宋体" w:hAnsi="宋体" w:eastAsia="宋体" w:cs="宋体"/>
                <w:color w:val="000000"/>
                <w:kern w:val="0"/>
                <w:szCs w:val="21"/>
                <w:lang w:eastAsia="zh-CN" w:bidi="ar"/>
              </w:rPr>
              <w:t>）</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3132"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PE50</w:t>
            </w:r>
            <w:r>
              <w:rPr>
                <w:rFonts w:hint="eastAsia" w:ascii="宋体" w:hAnsi="宋体" w:eastAsia="宋体" w:cs="宋体"/>
                <w:color w:val="000000"/>
                <w:kern w:val="0"/>
                <w:szCs w:val="21"/>
                <w:lang w:eastAsia="zh-CN" w:bidi="ar"/>
              </w:rPr>
              <w:t>（</w:t>
            </w:r>
            <w:r>
              <w:rPr>
                <w:rFonts w:hint="eastAsia" w:ascii="宋体" w:hAnsi="宋体" w:eastAsia="宋体" w:cs="宋体"/>
                <w:color w:val="000000"/>
                <w:kern w:val="0"/>
                <w:szCs w:val="21"/>
                <w:lang w:bidi="ar"/>
              </w:rPr>
              <w:t>约1800米</w:t>
            </w:r>
            <w:r>
              <w:rPr>
                <w:rFonts w:hint="eastAsia" w:ascii="宋体" w:hAnsi="宋体" w:eastAsia="宋体" w:cs="宋体"/>
                <w:color w:val="000000"/>
                <w:kern w:val="0"/>
                <w:szCs w:val="21"/>
                <w:lang w:eastAsia="zh-CN" w:bidi="ar"/>
              </w:rPr>
              <w:t>）</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3132" w:type="dxa"/>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室外弱电井600×600×1000</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六、信息发布系统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报告厅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发布单元</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控制发送卡</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控制接收卡</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处理器A</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显示控制软件</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屏体钢结构及装饰</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控制器</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屏体电源线</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室内六类非屏蔽网线</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合班教室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发布单元</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控制发送卡</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控制接收卡</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处理器B</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显示控制软件</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屏体钢结构及装饰</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控制器</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屏体电源线</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室内六类非屏蔽网线</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七、会议扩声系统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280平方报告厅扩声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专业功放</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专业音响</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音响支架</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调音台</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数字音频处理器</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无线话筒</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一拖四无线鹅颈话筒</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电源时序器</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left"/>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180平方合班教室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功放</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hint="eastAsia" w:ascii="宋体" w:hAnsi="宋体" w:eastAsia="宋体" w:cs="宋体"/>
                <w:color w:val="000000"/>
                <w:szCs w:val="21"/>
                <w:lang w:eastAsia="zh-CN"/>
              </w:rPr>
            </w:pPr>
            <w:r>
              <w:rPr>
                <w:rFonts w:hint="eastAsia" w:ascii="宋体" w:hAnsi="宋体" w:eastAsia="宋体" w:cs="宋体"/>
                <w:color w:val="000000"/>
                <w:kern w:val="0"/>
                <w:szCs w:val="21"/>
                <w:lang w:val="en-US" w:eastAsia="zh-CN" w:bidi="ar"/>
              </w:rPr>
              <w:t>音箱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调音台</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数字音频处理器</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无线会议话筒</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电源时序器</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音响支架</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noWrap/>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八、电教设备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智慧黑板</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内置模块</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系统应用部分</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高清壁挂展台</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音箱</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4"/>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九、虚拟演播厅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虚拟演播室主机</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校园电视台系统软件</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高清摄像机</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高清摄像机管理软件</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摄像机三脚架</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无线话筒</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提词器（含支架）</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视频编辑软件</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环出与导播显示器</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65寸液晶电视机</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无线鼠键套</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题词/非编</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多媒体音响</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专业监听耳机</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LED柔光背景灯</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聚光灯</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17</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主持桌椅</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导播桌</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1" w:type="pct"/>
            <w:shd w:val="clear" w:color="auto" w:fill="auto"/>
            <w:vAlign w:val="center"/>
          </w:tcPr>
          <w:p>
            <w:pPr>
              <w:widowControl/>
              <w:jc w:val="center"/>
              <w:textAlignment w:val="center"/>
              <w:rPr>
                <w:rFonts w:hint="default" w:ascii="宋体" w:hAnsi="宋体" w:eastAsia="宋体" w:cs="宋体"/>
                <w:color w:val="000000"/>
                <w:szCs w:val="21"/>
                <w:lang w:val="en-US" w:eastAsia="zh-CN"/>
              </w:rPr>
            </w:pPr>
            <w:r>
              <w:rPr>
                <w:rFonts w:hint="eastAsia" w:ascii="宋体" w:hAnsi="宋体" w:eastAsia="宋体" w:cs="宋体"/>
                <w:color w:val="000000"/>
                <w:kern w:val="0"/>
                <w:szCs w:val="21"/>
                <w:lang w:val="en-US" w:eastAsia="zh-CN" w:bidi="ar"/>
              </w:rPr>
              <w:t>19</w:t>
            </w:r>
          </w:p>
        </w:tc>
        <w:tc>
          <w:tcPr>
            <w:tcW w:w="1733" w:type="pct"/>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分配器等</w:t>
            </w:r>
          </w:p>
        </w:tc>
        <w:tc>
          <w:tcPr>
            <w:tcW w:w="1440" w:type="pct"/>
            <w:shd w:val="clear" w:color="auto" w:fill="auto"/>
            <w:vAlign w:val="center"/>
          </w:tcPr>
          <w:p>
            <w:pPr>
              <w:jc w:val="center"/>
              <w:rPr>
                <w:rFonts w:ascii="宋体" w:hAnsi="宋体" w:eastAsia="宋体" w:cs="宋体"/>
                <w:color w:val="000000"/>
                <w:szCs w:val="21"/>
              </w:rPr>
            </w:pPr>
          </w:p>
        </w:tc>
        <w:tc>
          <w:tcPr>
            <w:tcW w:w="1444" w:type="pct"/>
            <w:shd w:val="clear" w:color="auto" w:fill="auto"/>
            <w:vAlign w:val="center"/>
          </w:tcPr>
          <w:p>
            <w:pPr>
              <w:jc w:val="center"/>
              <w:rPr>
                <w:rFonts w:ascii="宋体" w:hAnsi="宋体" w:eastAsia="宋体" w:cs="宋体"/>
                <w:color w:val="000000"/>
                <w:szCs w:val="21"/>
              </w:rPr>
            </w:pPr>
          </w:p>
        </w:tc>
      </w:tr>
    </w:tbl>
    <w:p>
      <w:pPr>
        <w:spacing w:line="400" w:lineRule="exact"/>
        <w:rPr>
          <w:rFonts w:ascii="宋体" w:hAnsi="宋体" w:eastAsia="宋体"/>
          <w:b/>
          <w:color w:val="0000FF"/>
          <w:szCs w:val="21"/>
        </w:rPr>
      </w:pPr>
      <w:r>
        <w:rPr>
          <w:rFonts w:hint="eastAsia" w:ascii="宋体" w:hAnsi="宋体" w:eastAsia="宋体"/>
          <w:b/>
          <w:szCs w:val="21"/>
          <w:shd w:val="clear" w:color="auto" w:fill="BEBEBE" w:themeFill="background1" w:themeFillShade="BF"/>
        </w:rPr>
        <w:t>注：品牌、规格型号必须填写，有空缺的作无效标处理。</w:t>
      </w:r>
    </w:p>
    <w:p>
      <w:pPr>
        <w:spacing w:line="400" w:lineRule="exact"/>
        <w:rPr>
          <w:rFonts w:ascii="宋体" w:hAnsi="宋体" w:eastAsia="宋体" w:cs="Times New Roman"/>
          <w:szCs w:val="21"/>
        </w:rPr>
      </w:pP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供应商或联合体牵头人（盖电子公章）：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szCs w:val="21"/>
        </w:rPr>
      </w:pPr>
      <w:r>
        <w:rPr>
          <w:rFonts w:hint="eastAsia" w:ascii="宋体" w:hAnsi="宋体" w:eastAsia="宋体" w:cs="Times New Roman"/>
          <w:szCs w:val="21"/>
        </w:rPr>
        <w:t>法定代表人或授权代表（签字或盖章）：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日期：</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日</w:t>
      </w:r>
    </w:p>
    <w:p>
      <w:pPr>
        <w:wordWrap w:val="0"/>
        <w:spacing w:line="400" w:lineRule="exact"/>
        <w:rPr>
          <w:rFonts w:ascii="宋体" w:hAnsi="宋体" w:eastAsia="宋体" w:cs="Times New Roman"/>
          <w:color w:val="000000" w:themeColor="text1"/>
          <w:szCs w:val="21"/>
          <w14:textFill>
            <w14:solidFill>
              <w14:schemeClr w14:val="tx1"/>
            </w14:solidFill>
          </w14:textFill>
        </w:rPr>
        <w:sectPr>
          <w:pgSz w:w="11907" w:h="16840"/>
          <w:pgMar w:top="1418" w:right="1418" w:bottom="1418" w:left="1418" w:header="851" w:footer="992" w:gutter="0"/>
          <w:cols w:space="720" w:num="1"/>
          <w:docGrid w:linePitch="312" w:charSpace="0"/>
        </w:sectPr>
      </w:pPr>
    </w:p>
    <w:p>
      <w:pPr>
        <w:wordWrap w:val="0"/>
        <w:spacing w:line="400" w:lineRule="exac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附件十二</w:t>
      </w:r>
    </w:p>
    <w:p>
      <w:pPr>
        <w:spacing w:line="400" w:lineRule="exact"/>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技术参数偏离表</w:t>
      </w:r>
    </w:p>
    <w:p>
      <w:pPr>
        <w:wordWrap w:val="0"/>
        <w:spacing w:line="400" w:lineRule="exact"/>
        <w:rPr>
          <w:rFonts w:ascii="宋体" w:hAnsi="宋体" w:eastAsia="宋体" w:cs="Times New Roman"/>
          <w:b/>
          <w:color w:val="000000" w:themeColor="text1"/>
          <w:szCs w:val="21"/>
          <w14:textFill>
            <w14:solidFill>
              <w14:schemeClr w14:val="tx1"/>
            </w14:solidFill>
          </w14:textFill>
        </w:rPr>
      </w:pPr>
    </w:p>
    <w:p>
      <w:pPr>
        <w:wordWrap w:val="0"/>
        <w:spacing w:line="400" w:lineRule="exact"/>
        <w:rPr>
          <w:rFonts w:ascii="宋体" w:hAnsi="宋体" w:eastAsia="宋体"/>
          <w:szCs w:val="21"/>
        </w:rPr>
      </w:pPr>
      <w:r>
        <w:rPr>
          <w:rFonts w:hint="eastAsia" w:ascii="宋体" w:hAnsi="宋体" w:eastAsia="宋体"/>
          <w:szCs w:val="21"/>
        </w:rPr>
        <w:t>项目编号：</w:t>
      </w:r>
      <w:r>
        <w:rPr>
          <w:rFonts w:hint="eastAsia" w:ascii="宋体" w:hAnsi="宋体" w:eastAsia="宋体"/>
          <w:szCs w:val="21"/>
          <w:u w:val="single"/>
        </w:rPr>
        <w:t xml:space="preserve">                    </w:t>
      </w:r>
    </w:p>
    <w:p>
      <w:pPr>
        <w:wordWrap w:val="0"/>
        <w:spacing w:line="400" w:lineRule="exact"/>
        <w:rPr>
          <w:rFonts w:ascii="宋体" w:hAnsi="宋体" w:eastAsia="宋体"/>
          <w:szCs w:val="21"/>
          <w:u w:val="single"/>
        </w:rPr>
      </w:pPr>
      <w:r>
        <w:rPr>
          <w:rFonts w:hint="eastAsia" w:ascii="宋体" w:hAnsi="宋体" w:eastAsia="宋体"/>
          <w:szCs w:val="21"/>
        </w:rPr>
        <w:t>项目名称：</w:t>
      </w:r>
      <w:r>
        <w:rPr>
          <w:rFonts w:hint="eastAsia" w:ascii="宋体" w:hAnsi="宋体" w:eastAsia="宋体"/>
          <w:szCs w:val="21"/>
          <w:u w:val="single"/>
        </w:rPr>
        <w:t xml:space="preserve">                    </w:t>
      </w:r>
    </w:p>
    <w:tbl>
      <w:tblPr>
        <w:tblStyle w:val="12"/>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55"/>
        <w:gridCol w:w="1701"/>
        <w:gridCol w:w="2268"/>
        <w:gridCol w:w="2268"/>
        <w:gridCol w:w="1986"/>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855" w:type="dxa"/>
            <w:vMerge w:val="restart"/>
            <w:vAlign w:val="center"/>
          </w:tcPr>
          <w:p>
            <w:pPr>
              <w:jc w:val="center"/>
              <w:rPr>
                <w:rFonts w:ascii="宋体" w:hAnsi="宋体" w:eastAsia="宋体"/>
                <w:szCs w:val="21"/>
              </w:rPr>
            </w:pPr>
            <w:r>
              <w:rPr>
                <w:rFonts w:hint="eastAsia" w:ascii="宋体" w:hAnsi="宋体" w:eastAsia="宋体"/>
                <w:szCs w:val="21"/>
              </w:rPr>
              <w:t>序号</w:t>
            </w:r>
          </w:p>
        </w:tc>
        <w:tc>
          <w:tcPr>
            <w:tcW w:w="1701" w:type="dxa"/>
            <w:vMerge w:val="restart"/>
            <w:tcBorders>
              <w:right w:val="single" w:color="auto" w:sz="4" w:space="0"/>
            </w:tcBorders>
            <w:vAlign w:val="center"/>
          </w:tcPr>
          <w:p>
            <w:pPr>
              <w:jc w:val="center"/>
              <w:rPr>
                <w:rFonts w:ascii="宋体" w:hAnsi="宋体" w:eastAsia="宋体"/>
                <w:szCs w:val="21"/>
              </w:rPr>
            </w:pPr>
            <w:r>
              <w:rPr>
                <w:rFonts w:hint="eastAsia" w:ascii="宋体" w:hAnsi="宋体" w:eastAsia="宋体"/>
                <w:szCs w:val="21"/>
              </w:rPr>
              <w:t>货物名称</w:t>
            </w:r>
          </w:p>
        </w:tc>
        <w:tc>
          <w:tcPr>
            <w:tcW w:w="4536" w:type="dxa"/>
            <w:gridSpan w:val="2"/>
            <w:tcBorders>
              <w:left w:val="single" w:color="auto" w:sz="4" w:space="0"/>
            </w:tcBorders>
            <w:vAlign w:val="center"/>
          </w:tcPr>
          <w:p>
            <w:pPr>
              <w:jc w:val="center"/>
              <w:rPr>
                <w:rFonts w:ascii="宋体" w:hAnsi="宋体" w:eastAsia="宋体"/>
                <w:szCs w:val="21"/>
              </w:rPr>
            </w:pPr>
            <w:r>
              <w:rPr>
                <w:rFonts w:hint="eastAsia" w:ascii="宋体" w:hAnsi="宋体" w:eastAsia="宋体"/>
                <w:szCs w:val="21"/>
              </w:rPr>
              <w:t>描述与</w:t>
            </w:r>
            <w:r>
              <w:rPr>
                <w:rFonts w:hint="eastAsia" w:ascii="宋体" w:hAnsi="宋体" w:eastAsia="宋体" w:cs="Times New Roman"/>
                <w:kern w:val="0"/>
                <w:szCs w:val="21"/>
              </w:rPr>
              <w:t>采购文件</w:t>
            </w:r>
            <w:r>
              <w:rPr>
                <w:rFonts w:hint="eastAsia" w:ascii="宋体" w:hAnsi="宋体" w:eastAsia="宋体"/>
                <w:szCs w:val="21"/>
              </w:rPr>
              <w:t>技术参数的详细偏离</w:t>
            </w:r>
          </w:p>
        </w:tc>
        <w:tc>
          <w:tcPr>
            <w:tcW w:w="1986" w:type="dxa"/>
            <w:vMerge w:val="restart"/>
            <w:vAlign w:val="center"/>
          </w:tcPr>
          <w:p>
            <w:pPr>
              <w:jc w:val="center"/>
              <w:rPr>
                <w:rFonts w:ascii="宋体" w:hAnsi="宋体" w:eastAsia="宋体"/>
                <w:szCs w:val="21"/>
              </w:rPr>
            </w:pPr>
            <w:r>
              <w:rPr>
                <w:rFonts w:hint="eastAsia" w:ascii="宋体" w:hAnsi="宋体" w:eastAsia="宋体"/>
                <w:szCs w:val="21"/>
              </w:rPr>
              <w:t>注明“正偏离”</w:t>
            </w:r>
          </w:p>
          <w:p>
            <w:pPr>
              <w:jc w:val="center"/>
              <w:rPr>
                <w:rFonts w:ascii="宋体" w:hAnsi="宋体" w:eastAsia="宋体"/>
                <w:szCs w:val="21"/>
              </w:rPr>
            </w:pPr>
            <w:r>
              <w:rPr>
                <w:rFonts w:hint="eastAsia" w:ascii="宋体" w:hAnsi="宋体" w:eastAsia="宋体"/>
                <w:szCs w:val="21"/>
              </w:rPr>
              <w:t>或“负偏离”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855" w:type="dxa"/>
            <w:vMerge w:val="continue"/>
            <w:vAlign w:val="center"/>
          </w:tcPr>
          <w:p>
            <w:pPr>
              <w:jc w:val="center"/>
              <w:rPr>
                <w:rFonts w:ascii="宋体" w:hAnsi="宋体" w:eastAsia="宋体"/>
                <w:szCs w:val="21"/>
              </w:rPr>
            </w:pPr>
          </w:p>
        </w:tc>
        <w:tc>
          <w:tcPr>
            <w:tcW w:w="1701" w:type="dxa"/>
            <w:vMerge w:val="continue"/>
            <w:tcBorders>
              <w:right w:val="single" w:color="auto" w:sz="4" w:space="0"/>
            </w:tcBorders>
            <w:vAlign w:val="center"/>
          </w:tcPr>
          <w:p>
            <w:pPr>
              <w:jc w:val="center"/>
              <w:rPr>
                <w:rFonts w:ascii="宋体" w:hAnsi="宋体" w:eastAsia="宋体"/>
                <w:szCs w:val="21"/>
              </w:rPr>
            </w:pPr>
          </w:p>
        </w:tc>
        <w:tc>
          <w:tcPr>
            <w:tcW w:w="2268" w:type="dxa"/>
            <w:tcBorders>
              <w:left w:val="single" w:color="auto" w:sz="4" w:space="0"/>
            </w:tcBorders>
            <w:vAlign w:val="center"/>
          </w:tcPr>
          <w:p>
            <w:pPr>
              <w:jc w:val="center"/>
              <w:rPr>
                <w:rFonts w:ascii="宋体" w:hAnsi="宋体" w:eastAsia="宋体"/>
                <w:szCs w:val="21"/>
              </w:rPr>
            </w:pPr>
            <w:r>
              <w:rPr>
                <w:rFonts w:hint="eastAsia" w:ascii="宋体" w:hAnsi="宋体" w:eastAsia="宋体" w:cs="Times New Roman"/>
                <w:kern w:val="0"/>
                <w:szCs w:val="21"/>
              </w:rPr>
              <w:t>采购文</w:t>
            </w:r>
            <w:r>
              <w:rPr>
                <w:rFonts w:hint="eastAsia" w:ascii="宋体" w:hAnsi="宋体" w:eastAsia="宋体"/>
                <w:szCs w:val="21"/>
              </w:rPr>
              <w:t>件</w:t>
            </w:r>
          </w:p>
          <w:p>
            <w:pPr>
              <w:jc w:val="center"/>
              <w:rPr>
                <w:rFonts w:ascii="宋体" w:hAnsi="宋体" w:eastAsia="宋体"/>
                <w:szCs w:val="21"/>
              </w:rPr>
            </w:pPr>
            <w:r>
              <w:rPr>
                <w:rFonts w:hint="eastAsia" w:ascii="宋体" w:hAnsi="宋体" w:eastAsia="宋体"/>
                <w:szCs w:val="21"/>
              </w:rPr>
              <w:t>要求的技术参数</w:t>
            </w:r>
          </w:p>
        </w:tc>
        <w:tc>
          <w:tcPr>
            <w:tcW w:w="2268" w:type="dxa"/>
            <w:vAlign w:val="center"/>
          </w:tcPr>
          <w:p>
            <w:pPr>
              <w:jc w:val="center"/>
              <w:rPr>
                <w:rFonts w:ascii="宋体" w:hAnsi="宋体" w:eastAsia="宋体" w:cs="Times New Roman"/>
                <w:kern w:val="0"/>
                <w:szCs w:val="21"/>
              </w:rPr>
            </w:pPr>
            <w:r>
              <w:rPr>
                <w:rFonts w:hint="eastAsia" w:ascii="宋体" w:hAnsi="宋体" w:eastAsia="宋体" w:cs="Times New Roman"/>
                <w:kern w:val="0"/>
                <w:szCs w:val="21"/>
              </w:rPr>
              <w:t>响应文件</w:t>
            </w:r>
          </w:p>
          <w:p>
            <w:pPr>
              <w:jc w:val="center"/>
              <w:rPr>
                <w:rFonts w:ascii="宋体" w:hAnsi="宋体" w:eastAsia="宋体"/>
                <w:szCs w:val="21"/>
              </w:rPr>
            </w:pPr>
            <w:r>
              <w:rPr>
                <w:rFonts w:hint="eastAsia" w:ascii="宋体" w:hAnsi="宋体" w:eastAsia="宋体"/>
                <w:szCs w:val="21"/>
              </w:rPr>
              <w:t>响应的技术参数</w:t>
            </w:r>
          </w:p>
        </w:tc>
        <w:tc>
          <w:tcPr>
            <w:tcW w:w="1986" w:type="dxa"/>
            <w:vMerge w:val="continue"/>
            <w:vAlign w:val="center"/>
          </w:tcPr>
          <w:p>
            <w:pPr>
              <w:jc w:val="center"/>
              <w:rPr>
                <w:rFonts w:ascii="宋体" w:hAnsi="宋体" w:eastAsia="宋体"/>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855" w:type="dxa"/>
            <w:vAlign w:val="center"/>
          </w:tcPr>
          <w:p>
            <w:pPr>
              <w:jc w:val="center"/>
              <w:rPr>
                <w:rFonts w:ascii="宋体" w:hAnsi="宋体" w:eastAsia="宋体"/>
                <w:szCs w:val="21"/>
              </w:rPr>
            </w:pPr>
          </w:p>
        </w:tc>
        <w:tc>
          <w:tcPr>
            <w:tcW w:w="1701" w:type="dxa"/>
            <w:tcBorders>
              <w:right w:val="single" w:color="auto" w:sz="4" w:space="0"/>
            </w:tcBorders>
            <w:vAlign w:val="center"/>
          </w:tcPr>
          <w:p>
            <w:pPr>
              <w:jc w:val="center"/>
              <w:rPr>
                <w:rFonts w:ascii="宋体" w:hAnsi="宋体" w:eastAsia="宋体"/>
                <w:szCs w:val="21"/>
              </w:rPr>
            </w:pPr>
          </w:p>
        </w:tc>
        <w:tc>
          <w:tcPr>
            <w:tcW w:w="2268" w:type="dxa"/>
            <w:tcBorders>
              <w:left w:val="single" w:color="auto" w:sz="4" w:space="0"/>
            </w:tcBorders>
            <w:vAlign w:val="center"/>
          </w:tcPr>
          <w:p>
            <w:pPr>
              <w:jc w:val="center"/>
              <w:rPr>
                <w:rFonts w:ascii="宋体" w:hAnsi="宋体" w:eastAsia="宋体"/>
                <w:szCs w:val="21"/>
              </w:rPr>
            </w:pPr>
          </w:p>
        </w:tc>
        <w:tc>
          <w:tcPr>
            <w:tcW w:w="2268" w:type="dxa"/>
            <w:vAlign w:val="center"/>
          </w:tcPr>
          <w:p>
            <w:pPr>
              <w:jc w:val="center"/>
              <w:rPr>
                <w:rFonts w:ascii="宋体" w:hAnsi="宋体" w:eastAsia="宋体"/>
                <w:szCs w:val="21"/>
              </w:rPr>
            </w:pPr>
          </w:p>
        </w:tc>
        <w:tc>
          <w:tcPr>
            <w:tcW w:w="1986" w:type="dxa"/>
            <w:vAlign w:val="center"/>
          </w:tcPr>
          <w:p>
            <w:pPr>
              <w:jc w:val="center"/>
              <w:rPr>
                <w:rFonts w:ascii="宋体" w:hAnsi="宋体" w:eastAsia="宋体"/>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855" w:type="dxa"/>
            <w:vAlign w:val="center"/>
          </w:tcPr>
          <w:p>
            <w:pPr>
              <w:jc w:val="center"/>
              <w:rPr>
                <w:rFonts w:ascii="宋体" w:hAnsi="宋体" w:eastAsia="宋体"/>
                <w:szCs w:val="21"/>
              </w:rPr>
            </w:pPr>
          </w:p>
        </w:tc>
        <w:tc>
          <w:tcPr>
            <w:tcW w:w="1701" w:type="dxa"/>
            <w:tcBorders>
              <w:right w:val="single" w:color="auto" w:sz="4" w:space="0"/>
            </w:tcBorders>
            <w:vAlign w:val="center"/>
          </w:tcPr>
          <w:p>
            <w:pPr>
              <w:jc w:val="center"/>
              <w:rPr>
                <w:rFonts w:ascii="宋体" w:hAnsi="宋体" w:eastAsia="宋体"/>
                <w:szCs w:val="21"/>
              </w:rPr>
            </w:pPr>
          </w:p>
        </w:tc>
        <w:tc>
          <w:tcPr>
            <w:tcW w:w="2268" w:type="dxa"/>
            <w:tcBorders>
              <w:left w:val="single" w:color="auto" w:sz="4" w:space="0"/>
            </w:tcBorders>
            <w:vAlign w:val="center"/>
          </w:tcPr>
          <w:p>
            <w:pPr>
              <w:jc w:val="center"/>
              <w:rPr>
                <w:rFonts w:ascii="宋体" w:hAnsi="宋体" w:eastAsia="宋体"/>
                <w:szCs w:val="21"/>
              </w:rPr>
            </w:pPr>
          </w:p>
        </w:tc>
        <w:tc>
          <w:tcPr>
            <w:tcW w:w="2268" w:type="dxa"/>
            <w:vAlign w:val="center"/>
          </w:tcPr>
          <w:p>
            <w:pPr>
              <w:jc w:val="center"/>
              <w:rPr>
                <w:rFonts w:ascii="宋体" w:hAnsi="宋体" w:eastAsia="宋体"/>
                <w:szCs w:val="21"/>
              </w:rPr>
            </w:pPr>
          </w:p>
        </w:tc>
        <w:tc>
          <w:tcPr>
            <w:tcW w:w="1986" w:type="dxa"/>
            <w:vAlign w:val="center"/>
          </w:tcPr>
          <w:p>
            <w:pPr>
              <w:jc w:val="center"/>
              <w:rPr>
                <w:rFonts w:ascii="宋体" w:hAnsi="宋体" w:eastAsia="宋体"/>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855" w:type="dxa"/>
            <w:vAlign w:val="center"/>
          </w:tcPr>
          <w:p>
            <w:pPr>
              <w:jc w:val="center"/>
              <w:rPr>
                <w:rFonts w:ascii="宋体" w:hAnsi="宋体" w:eastAsia="宋体"/>
                <w:szCs w:val="21"/>
              </w:rPr>
            </w:pPr>
          </w:p>
        </w:tc>
        <w:tc>
          <w:tcPr>
            <w:tcW w:w="1701" w:type="dxa"/>
            <w:tcBorders>
              <w:right w:val="single" w:color="auto" w:sz="4" w:space="0"/>
            </w:tcBorders>
            <w:vAlign w:val="center"/>
          </w:tcPr>
          <w:p>
            <w:pPr>
              <w:jc w:val="center"/>
              <w:rPr>
                <w:rFonts w:ascii="宋体" w:hAnsi="宋体" w:eastAsia="宋体"/>
                <w:szCs w:val="21"/>
              </w:rPr>
            </w:pPr>
          </w:p>
        </w:tc>
        <w:tc>
          <w:tcPr>
            <w:tcW w:w="2268" w:type="dxa"/>
            <w:tcBorders>
              <w:left w:val="single" w:color="auto" w:sz="4" w:space="0"/>
            </w:tcBorders>
            <w:vAlign w:val="center"/>
          </w:tcPr>
          <w:p>
            <w:pPr>
              <w:jc w:val="center"/>
              <w:rPr>
                <w:rFonts w:ascii="宋体" w:hAnsi="宋体" w:eastAsia="宋体"/>
                <w:szCs w:val="21"/>
              </w:rPr>
            </w:pPr>
          </w:p>
        </w:tc>
        <w:tc>
          <w:tcPr>
            <w:tcW w:w="2268" w:type="dxa"/>
            <w:vAlign w:val="center"/>
          </w:tcPr>
          <w:p>
            <w:pPr>
              <w:jc w:val="center"/>
              <w:rPr>
                <w:rFonts w:ascii="宋体" w:hAnsi="宋体" w:eastAsia="宋体"/>
                <w:szCs w:val="21"/>
              </w:rPr>
            </w:pPr>
          </w:p>
        </w:tc>
        <w:tc>
          <w:tcPr>
            <w:tcW w:w="1986" w:type="dxa"/>
            <w:vAlign w:val="center"/>
          </w:tcPr>
          <w:p>
            <w:pPr>
              <w:jc w:val="center"/>
              <w:rPr>
                <w:rFonts w:ascii="宋体" w:hAnsi="宋体" w:eastAsia="宋体"/>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855" w:type="dxa"/>
            <w:vAlign w:val="center"/>
          </w:tcPr>
          <w:p>
            <w:pPr>
              <w:jc w:val="center"/>
              <w:rPr>
                <w:rFonts w:ascii="宋体" w:hAnsi="宋体" w:eastAsia="宋体"/>
                <w:szCs w:val="21"/>
              </w:rPr>
            </w:pPr>
          </w:p>
        </w:tc>
        <w:tc>
          <w:tcPr>
            <w:tcW w:w="1701" w:type="dxa"/>
            <w:tcBorders>
              <w:right w:val="single" w:color="auto" w:sz="4" w:space="0"/>
            </w:tcBorders>
            <w:vAlign w:val="center"/>
          </w:tcPr>
          <w:p>
            <w:pPr>
              <w:jc w:val="center"/>
              <w:rPr>
                <w:rFonts w:ascii="宋体" w:hAnsi="宋体" w:eastAsia="宋体"/>
                <w:szCs w:val="21"/>
              </w:rPr>
            </w:pPr>
          </w:p>
        </w:tc>
        <w:tc>
          <w:tcPr>
            <w:tcW w:w="2268" w:type="dxa"/>
            <w:tcBorders>
              <w:left w:val="single" w:color="auto" w:sz="4" w:space="0"/>
            </w:tcBorders>
            <w:vAlign w:val="center"/>
          </w:tcPr>
          <w:p>
            <w:pPr>
              <w:jc w:val="center"/>
              <w:rPr>
                <w:rFonts w:ascii="宋体" w:hAnsi="宋体" w:eastAsia="宋体"/>
                <w:szCs w:val="21"/>
              </w:rPr>
            </w:pPr>
          </w:p>
        </w:tc>
        <w:tc>
          <w:tcPr>
            <w:tcW w:w="2268" w:type="dxa"/>
            <w:vAlign w:val="center"/>
          </w:tcPr>
          <w:p>
            <w:pPr>
              <w:jc w:val="center"/>
              <w:rPr>
                <w:rFonts w:ascii="宋体" w:hAnsi="宋体" w:eastAsia="宋体"/>
                <w:szCs w:val="21"/>
              </w:rPr>
            </w:pPr>
          </w:p>
        </w:tc>
        <w:tc>
          <w:tcPr>
            <w:tcW w:w="1986" w:type="dxa"/>
            <w:vAlign w:val="center"/>
          </w:tcPr>
          <w:p>
            <w:pPr>
              <w:jc w:val="center"/>
              <w:rPr>
                <w:rFonts w:ascii="宋体" w:hAnsi="宋体" w:eastAsia="宋体"/>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855" w:type="dxa"/>
            <w:vAlign w:val="center"/>
          </w:tcPr>
          <w:p>
            <w:pPr>
              <w:jc w:val="center"/>
              <w:rPr>
                <w:rFonts w:ascii="宋体" w:hAnsi="宋体" w:eastAsia="宋体"/>
                <w:szCs w:val="21"/>
              </w:rPr>
            </w:pPr>
          </w:p>
        </w:tc>
        <w:tc>
          <w:tcPr>
            <w:tcW w:w="1701" w:type="dxa"/>
            <w:tcBorders>
              <w:right w:val="single" w:color="auto" w:sz="4" w:space="0"/>
            </w:tcBorders>
            <w:vAlign w:val="center"/>
          </w:tcPr>
          <w:p>
            <w:pPr>
              <w:jc w:val="center"/>
              <w:rPr>
                <w:rFonts w:ascii="宋体" w:hAnsi="宋体" w:eastAsia="宋体"/>
                <w:szCs w:val="21"/>
              </w:rPr>
            </w:pPr>
          </w:p>
        </w:tc>
        <w:tc>
          <w:tcPr>
            <w:tcW w:w="2268" w:type="dxa"/>
            <w:tcBorders>
              <w:left w:val="single" w:color="auto" w:sz="4" w:space="0"/>
            </w:tcBorders>
            <w:vAlign w:val="center"/>
          </w:tcPr>
          <w:p>
            <w:pPr>
              <w:jc w:val="center"/>
              <w:rPr>
                <w:rFonts w:ascii="宋体" w:hAnsi="宋体" w:eastAsia="宋体"/>
                <w:szCs w:val="21"/>
              </w:rPr>
            </w:pPr>
          </w:p>
        </w:tc>
        <w:tc>
          <w:tcPr>
            <w:tcW w:w="2268" w:type="dxa"/>
            <w:vAlign w:val="center"/>
          </w:tcPr>
          <w:p>
            <w:pPr>
              <w:jc w:val="center"/>
              <w:rPr>
                <w:rFonts w:ascii="宋体" w:hAnsi="宋体" w:eastAsia="宋体"/>
                <w:szCs w:val="21"/>
              </w:rPr>
            </w:pPr>
          </w:p>
        </w:tc>
        <w:tc>
          <w:tcPr>
            <w:tcW w:w="1986" w:type="dxa"/>
            <w:vAlign w:val="center"/>
          </w:tcPr>
          <w:p>
            <w:pPr>
              <w:jc w:val="center"/>
              <w:rPr>
                <w:rFonts w:ascii="宋体" w:hAnsi="宋体" w:eastAsia="宋体"/>
                <w:szCs w:val="21"/>
              </w:rPr>
            </w:pPr>
          </w:p>
        </w:tc>
      </w:tr>
    </w:tbl>
    <w:p>
      <w:pPr>
        <w:wordWrap w:val="0"/>
        <w:spacing w:line="400" w:lineRule="exact"/>
        <w:rPr>
          <w:rFonts w:ascii="宋体" w:hAnsi="宋体" w:eastAsia="宋体"/>
          <w:szCs w:val="21"/>
        </w:rPr>
      </w:pPr>
      <w:r>
        <w:rPr>
          <w:rFonts w:hint="eastAsia" w:ascii="宋体" w:hAnsi="宋体" w:eastAsia="宋体"/>
          <w:szCs w:val="21"/>
        </w:rPr>
        <w:t>注：1</w:t>
      </w:r>
      <w:r>
        <w:rPr>
          <w:rFonts w:hint="eastAsia" w:ascii="宋体" w:hAnsi="宋体" w:eastAsia="宋体" w:cs="Times New Roman"/>
          <w:szCs w:val="21"/>
        </w:rPr>
        <w:t>.</w:t>
      </w:r>
      <w:r>
        <w:rPr>
          <w:rFonts w:hint="eastAsia" w:ascii="宋体" w:hAnsi="宋体" w:eastAsia="宋体"/>
          <w:szCs w:val="21"/>
        </w:rPr>
        <w:t>如响应文件对采购文件中的技术参数有偏离的，在本表中列明，并注明正偏离或负偏离。</w:t>
      </w:r>
    </w:p>
    <w:p>
      <w:pPr>
        <w:wordWrap w:val="0"/>
        <w:spacing w:line="400" w:lineRule="exact"/>
        <w:rPr>
          <w:rFonts w:ascii="宋体" w:hAnsi="宋体" w:eastAsia="宋体"/>
          <w:szCs w:val="21"/>
        </w:rPr>
      </w:pPr>
      <w:r>
        <w:rPr>
          <w:rFonts w:hint="eastAsia" w:ascii="宋体" w:hAnsi="宋体" w:eastAsia="宋体"/>
          <w:szCs w:val="21"/>
        </w:rPr>
        <w:t>2</w:t>
      </w:r>
      <w:r>
        <w:rPr>
          <w:rFonts w:hint="eastAsia" w:ascii="宋体" w:hAnsi="宋体" w:eastAsia="宋体" w:cs="Times New Roman"/>
          <w:szCs w:val="21"/>
        </w:rPr>
        <w:t>.</w:t>
      </w:r>
      <w:r>
        <w:rPr>
          <w:rFonts w:hint="eastAsia" w:ascii="宋体" w:hAnsi="宋体" w:eastAsia="宋体"/>
          <w:szCs w:val="21"/>
        </w:rPr>
        <w:t>如供应商未在本表中列出偏离说明，即使其在响应文件的其他部分与采购文件要求有负偏离或回避不答，亦均视为完全响应采购文件中的技术参数并写入合同。若供应商在合同签订前后，以上述事项为借口而不进行合同签订手续或低于本表响应的技术参数提供货物，则视作其放弃中标资格。</w:t>
      </w:r>
    </w:p>
    <w:p>
      <w:pPr>
        <w:wordWrap w:val="0"/>
        <w:spacing w:line="400" w:lineRule="exact"/>
        <w:rPr>
          <w:rFonts w:ascii="宋体" w:hAnsi="宋体" w:eastAsia="宋体"/>
          <w:b/>
          <w:szCs w:val="21"/>
        </w:rPr>
      </w:pPr>
      <w:r>
        <w:rPr>
          <w:rFonts w:hint="eastAsia" w:ascii="宋体" w:hAnsi="宋体" w:eastAsia="宋体"/>
          <w:b/>
          <w:szCs w:val="21"/>
        </w:rPr>
        <w:t>3.未在本表中填写的，视为完全响应采购文件中的技术参数。</w:t>
      </w:r>
    </w:p>
    <w:p>
      <w:pPr>
        <w:wordWrap w:val="0"/>
        <w:spacing w:line="400" w:lineRule="exact"/>
        <w:rPr>
          <w:rFonts w:ascii="宋体" w:hAnsi="宋体" w:eastAsia="宋体" w:cs="Times New Roman"/>
          <w:szCs w:val="21"/>
        </w:rPr>
      </w:pP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供应商或联合体牵头人（盖电子公章）：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szCs w:val="21"/>
        </w:rPr>
      </w:pPr>
      <w:r>
        <w:rPr>
          <w:rFonts w:hint="eastAsia" w:ascii="宋体" w:hAnsi="宋体" w:eastAsia="宋体" w:cs="Times New Roman"/>
          <w:szCs w:val="21"/>
        </w:rPr>
        <w:t>法定代表人或授权代表（签字或盖章）：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日期：</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日</w:t>
      </w:r>
    </w:p>
    <w:p>
      <w:pPr>
        <w:spacing w:line="400" w:lineRule="exact"/>
        <w:jc w:val="left"/>
        <w:rPr>
          <w:rFonts w:ascii="宋体" w:hAnsi="宋体" w:eastAsia="宋体"/>
          <w:b/>
          <w:bCs/>
          <w:szCs w:val="21"/>
          <w:shd w:val="clear" w:color="auto" w:fill="BEBEBE" w:themeFill="background1" w:themeFillShade="BF"/>
        </w:rPr>
      </w:pPr>
    </w:p>
    <w:p>
      <w:pPr>
        <w:spacing w:line="400" w:lineRule="exact"/>
        <w:jc w:val="left"/>
        <w:rPr>
          <w:rFonts w:ascii="宋体" w:hAnsi="宋体" w:eastAsia="宋体"/>
          <w:b/>
          <w:bCs/>
          <w:szCs w:val="21"/>
          <w:shd w:val="clear" w:color="auto" w:fill="BEBEBE" w:themeFill="background1" w:themeFillShade="BF"/>
        </w:rPr>
      </w:pPr>
      <w:r>
        <w:rPr>
          <w:rFonts w:hint="eastAsia" w:ascii="宋体" w:hAnsi="宋体" w:eastAsia="宋体"/>
          <w:b/>
          <w:bCs/>
          <w:szCs w:val="21"/>
          <w:shd w:val="clear" w:color="auto" w:fill="BEBEBE" w:themeFill="background1" w:themeFillShade="BF"/>
        </w:rPr>
        <w:t>后附“技术参数”中要求提供的资料。</w:t>
      </w:r>
    </w:p>
    <w:p>
      <w:pPr>
        <w:wordWrap w:val="0"/>
        <w:spacing w:line="400" w:lineRule="exact"/>
        <w:rPr>
          <w:rFonts w:ascii="宋体" w:hAnsi="宋体" w:eastAsia="宋体" w:cs="Times New Roman"/>
          <w:color w:val="000000" w:themeColor="text1"/>
          <w:szCs w:val="21"/>
          <w14:textFill>
            <w14:solidFill>
              <w14:schemeClr w14:val="tx1"/>
            </w14:solidFill>
          </w14:textFill>
        </w:rPr>
        <w:sectPr>
          <w:pgSz w:w="11907" w:h="16840"/>
          <w:pgMar w:top="1418" w:right="1418" w:bottom="1418" w:left="1418" w:header="851" w:footer="992" w:gutter="0"/>
          <w:cols w:space="720" w:num="1"/>
          <w:docGrid w:linePitch="312" w:charSpace="0"/>
        </w:sectPr>
      </w:pPr>
    </w:p>
    <w:p>
      <w:pPr>
        <w:wordWrap w:val="0"/>
        <w:spacing w:line="400" w:lineRule="exac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附件十三</w:t>
      </w:r>
    </w:p>
    <w:p>
      <w:pPr>
        <w:wordWrap w:val="0"/>
        <w:spacing w:line="400" w:lineRule="exact"/>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无缝对接承诺书</w:t>
      </w:r>
    </w:p>
    <w:p>
      <w:pPr>
        <w:wordWrap w:val="0"/>
        <w:spacing w:line="400" w:lineRule="exact"/>
        <w:rPr>
          <w:rFonts w:ascii="宋体" w:hAnsi="宋体" w:eastAsia="宋体" w:cs="宋体"/>
          <w:kern w:val="0"/>
          <w:szCs w:val="21"/>
          <w:lang w:bidi="ar"/>
        </w:rPr>
      </w:pPr>
      <w:r>
        <w:rPr>
          <w:rFonts w:hint="eastAsia" w:ascii="宋体" w:hAnsi="宋体" w:eastAsia="宋体"/>
          <w:color w:val="000000" w:themeColor="text1"/>
          <w:szCs w:val="21"/>
          <w:u w:val="single"/>
          <w14:textFill>
            <w14:solidFill>
              <w14:schemeClr w14:val="tx1"/>
            </w14:solidFill>
          </w14:textFill>
        </w:rPr>
        <w:t>余姚市人民政府凤山街道办事处</w:t>
      </w:r>
      <w:r>
        <w:rPr>
          <w:rFonts w:hint="eastAsia" w:ascii="宋体" w:hAnsi="宋体" w:eastAsia="宋体" w:cs="Times New Roman"/>
          <w:color w:val="000000" w:themeColor="text1"/>
          <w:szCs w:val="21"/>
          <w14:textFill>
            <w14:solidFill>
              <w14:schemeClr w14:val="tx1"/>
            </w14:solidFill>
          </w14:textFill>
        </w:rPr>
        <w:t>：</w:t>
      </w:r>
    </w:p>
    <w:p>
      <w:pPr>
        <w:wordWrap w:val="0"/>
        <w:spacing w:line="400" w:lineRule="exact"/>
        <w:ind w:firstLine="420" w:firstLineChars="200"/>
        <w:rPr>
          <w:rFonts w:ascii="宋体" w:hAnsi="宋体" w:eastAsia="宋体" w:cs="宋体"/>
          <w:kern w:val="0"/>
          <w:szCs w:val="21"/>
          <w:lang w:bidi="ar"/>
        </w:rPr>
      </w:pPr>
      <w:r>
        <w:rPr>
          <w:rFonts w:hint="eastAsia" w:ascii="宋体" w:hAnsi="宋体" w:eastAsia="宋体" w:cs="宋体"/>
          <w:kern w:val="0"/>
          <w:szCs w:val="21"/>
          <w:lang w:bidi="ar"/>
        </w:rPr>
        <w:t>我公司所投虚拟演播主机在不加其他设备的情况下，可与已有的余姚已建成的“远距同步课堂平台”的直播/上传等功能的无缝对接，并与平台覆盖的其他学校实现双向双流标准同步课堂互动。</w:t>
      </w:r>
    </w:p>
    <w:p>
      <w:pPr>
        <w:wordWrap w:val="0"/>
        <w:spacing w:line="400" w:lineRule="exact"/>
        <w:ind w:firstLine="420" w:firstLineChars="200"/>
        <w:rPr>
          <w:rFonts w:ascii="宋体" w:hAnsi="宋体" w:eastAsia="宋体" w:cs="宋体"/>
          <w:kern w:val="0"/>
          <w:szCs w:val="21"/>
          <w:lang w:bidi="ar"/>
        </w:rPr>
      </w:pPr>
    </w:p>
    <w:p>
      <w:pPr>
        <w:wordWrap w:val="0"/>
        <w:spacing w:line="400" w:lineRule="exact"/>
        <w:ind w:firstLine="2520" w:firstLineChars="1200"/>
        <w:rPr>
          <w:rFonts w:ascii="宋体" w:hAnsi="宋体" w:eastAsia="宋体" w:cs="Times New Roman"/>
          <w:szCs w:val="21"/>
        </w:rPr>
      </w:pPr>
      <w:r>
        <w:rPr>
          <w:rFonts w:hint="eastAsia" w:ascii="宋体" w:hAnsi="宋体" w:eastAsia="宋体" w:cs="Times New Roman"/>
          <w:szCs w:val="21"/>
        </w:rPr>
        <w:t>供应商或联合体牵头人（盖电子公章）：</w:t>
      </w:r>
      <w:r>
        <w:rPr>
          <w:rFonts w:hint="eastAsia" w:ascii="宋体" w:hAnsi="宋体" w:eastAsia="宋体"/>
          <w:szCs w:val="21"/>
          <w:u w:val="single"/>
        </w:rPr>
        <w:t xml:space="preserve">          </w:t>
      </w:r>
    </w:p>
    <w:p>
      <w:pPr>
        <w:wordWrap w:val="0"/>
        <w:spacing w:line="400" w:lineRule="exact"/>
        <w:ind w:firstLine="2520" w:firstLineChars="1200"/>
        <w:rPr>
          <w:rFonts w:ascii="宋体" w:hAnsi="宋体" w:eastAsia="宋体"/>
          <w:szCs w:val="21"/>
        </w:rPr>
      </w:pPr>
      <w:r>
        <w:rPr>
          <w:rFonts w:hint="eastAsia" w:ascii="宋体" w:hAnsi="宋体" w:eastAsia="宋体" w:cs="Times New Roman"/>
          <w:szCs w:val="21"/>
        </w:rPr>
        <w:t>法定代表人或授权代表（签字或盖章）：</w:t>
      </w:r>
      <w:r>
        <w:rPr>
          <w:rFonts w:hint="eastAsia" w:ascii="宋体" w:hAnsi="宋体" w:eastAsia="宋体"/>
          <w:szCs w:val="21"/>
          <w:u w:val="single"/>
        </w:rPr>
        <w:t xml:space="preserve">          </w:t>
      </w:r>
    </w:p>
    <w:p>
      <w:pPr>
        <w:wordWrap w:val="0"/>
        <w:spacing w:line="400" w:lineRule="exact"/>
        <w:ind w:firstLine="2520" w:firstLineChars="1200"/>
        <w:rPr>
          <w:rFonts w:hint="eastAsia" w:ascii="宋体" w:hAnsi="宋体" w:eastAsia="宋体" w:cs="Times New Roman"/>
          <w:szCs w:val="21"/>
        </w:rPr>
      </w:pPr>
      <w:r>
        <w:rPr>
          <w:rFonts w:hint="eastAsia" w:ascii="宋体" w:hAnsi="宋体" w:eastAsia="宋体" w:cs="Times New Roman"/>
          <w:szCs w:val="21"/>
        </w:rPr>
        <w:t>日期：</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日</w:t>
      </w:r>
    </w:p>
    <w:sectPr>
      <w:pgSz w:w="11907" w:h="16840"/>
      <w:pgMar w:top="1418" w:right="1418" w:bottom="1418"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使用中文字体)">
    <w:altName w:val="@宋体"/>
    <w:panose1 w:val="00000000000000000000"/>
    <w:charset w:val="86"/>
    <w:family w:val="roma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_GB2312">
    <w:altName w:val="仿宋"/>
    <w:panose1 w:val="00000000000000000000"/>
    <w:charset w:val="86"/>
    <w:family w:val="swiss"/>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1176830"/>
    </w:sdtPr>
    <w:sdtContent>
      <w:p>
        <w:pPr>
          <w:pStyle w:val="7"/>
          <w:jc w:val="center"/>
        </w:pP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lang w:val="zh-CN"/>
          </w:rPr>
          <w:t>6</w:t>
        </w:r>
        <w:r>
          <w:rPr>
            <w:rFonts w:ascii="宋体" w:hAnsi="宋体" w:eastAsia="宋体"/>
          </w:rP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hideSpellingError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JjZmNlOGU0Mjg3YmJmYjVlMjdjOWEwMTAwMjhjMTcifQ=="/>
  </w:docVars>
  <w:rsids>
    <w:rsidRoot w:val="00DC4D96"/>
    <w:rsid w:val="0000010B"/>
    <w:rsid w:val="000006E1"/>
    <w:rsid w:val="00000B9D"/>
    <w:rsid w:val="00000BA8"/>
    <w:rsid w:val="00000BB2"/>
    <w:rsid w:val="00000F06"/>
    <w:rsid w:val="000010F8"/>
    <w:rsid w:val="00001412"/>
    <w:rsid w:val="0000150A"/>
    <w:rsid w:val="00001626"/>
    <w:rsid w:val="00001926"/>
    <w:rsid w:val="0000194F"/>
    <w:rsid w:val="00001ACC"/>
    <w:rsid w:val="00001D7D"/>
    <w:rsid w:val="00002148"/>
    <w:rsid w:val="000024A7"/>
    <w:rsid w:val="00002865"/>
    <w:rsid w:val="00002B71"/>
    <w:rsid w:val="00002C9C"/>
    <w:rsid w:val="00002D8C"/>
    <w:rsid w:val="00002DAF"/>
    <w:rsid w:val="00002E25"/>
    <w:rsid w:val="0000343A"/>
    <w:rsid w:val="000035A1"/>
    <w:rsid w:val="00003608"/>
    <w:rsid w:val="0000371C"/>
    <w:rsid w:val="0000398F"/>
    <w:rsid w:val="00003D10"/>
    <w:rsid w:val="000042DC"/>
    <w:rsid w:val="0000436A"/>
    <w:rsid w:val="000044BF"/>
    <w:rsid w:val="000048E7"/>
    <w:rsid w:val="00004902"/>
    <w:rsid w:val="0000496F"/>
    <w:rsid w:val="00004C5F"/>
    <w:rsid w:val="00004CF1"/>
    <w:rsid w:val="00004DAC"/>
    <w:rsid w:val="00005066"/>
    <w:rsid w:val="00005108"/>
    <w:rsid w:val="000054D2"/>
    <w:rsid w:val="00005581"/>
    <w:rsid w:val="0000568E"/>
    <w:rsid w:val="00005818"/>
    <w:rsid w:val="0000589C"/>
    <w:rsid w:val="00005B27"/>
    <w:rsid w:val="00005CC7"/>
    <w:rsid w:val="00005EFB"/>
    <w:rsid w:val="00005F63"/>
    <w:rsid w:val="000060D2"/>
    <w:rsid w:val="0000612E"/>
    <w:rsid w:val="000061C7"/>
    <w:rsid w:val="00006679"/>
    <w:rsid w:val="00006689"/>
    <w:rsid w:val="000067A8"/>
    <w:rsid w:val="00006CB7"/>
    <w:rsid w:val="00006D39"/>
    <w:rsid w:val="000073CE"/>
    <w:rsid w:val="00007467"/>
    <w:rsid w:val="00007632"/>
    <w:rsid w:val="0000778F"/>
    <w:rsid w:val="00007B25"/>
    <w:rsid w:val="00007F79"/>
    <w:rsid w:val="00010257"/>
    <w:rsid w:val="00010495"/>
    <w:rsid w:val="00010A13"/>
    <w:rsid w:val="00010A27"/>
    <w:rsid w:val="00010A93"/>
    <w:rsid w:val="00010C5E"/>
    <w:rsid w:val="00010FEA"/>
    <w:rsid w:val="00011013"/>
    <w:rsid w:val="000111B9"/>
    <w:rsid w:val="0001153F"/>
    <w:rsid w:val="000116DB"/>
    <w:rsid w:val="000117B2"/>
    <w:rsid w:val="00011825"/>
    <w:rsid w:val="00011B71"/>
    <w:rsid w:val="00011BBE"/>
    <w:rsid w:val="00011D68"/>
    <w:rsid w:val="000120B4"/>
    <w:rsid w:val="00012588"/>
    <w:rsid w:val="00012CBD"/>
    <w:rsid w:val="00012CE9"/>
    <w:rsid w:val="00012D17"/>
    <w:rsid w:val="00012D72"/>
    <w:rsid w:val="00012F7D"/>
    <w:rsid w:val="00012FCB"/>
    <w:rsid w:val="000131DD"/>
    <w:rsid w:val="0001381C"/>
    <w:rsid w:val="00013A31"/>
    <w:rsid w:val="00013AD5"/>
    <w:rsid w:val="00013B31"/>
    <w:rsid w:val="00013D0D"/>
    <w:rsid w:val="00013DC0"/>
    <w:rsid w:val="00013EBC"/>
    <w:rsid w:val="0001406F"/>
    <w:rsid w:val="000141D7"/>
    <w:rsid w:val="0001420E"/>
    <w:rsid w:val="0001439B"/>
    <w:rsid w:val="000146B3"/>
    <w:rsid w:val="000147DF"/>
    <w:rsid w:val="000148CB"/>
    <w:rsid w:val="00014932"/>
    <w:rsid w:val="00014990"/>
    <w:rsid w:val="00014A1F"/>
    <w:rsid w:val="00014A29"/>
    <w:rsid w:val="00014AE7"/>
    <w:rsid w:val="00014B2A"/>
    <w:rsid w:val="00014FD4"/>
    <w:rsid w:val="0001508D"/>
    <w:rsid w:val="000150D2"/>
    <w:rsid w:val="000153D0"/>
    <w:rsid w:val="000153F6"/>
    <w:rsid w:val="0001568A"/>
    <w:rsid w:val="00015A2D"/>
    <w:rsid w:val="00015B29"/>
    <w:rsid w:val="00015C8C"/>
    <w:rsid w:val="00015E44"/>
    <w:rsid w:val="0001634D"/>
    <w:rsid w:val="0001651E"/>
    <w:rsid w:val="00016709"/>
    <w:rsid w:val="00016A63"/>
    <w:rsid w:val="00016C7C"/>
    <w:rsid w:val="00016D17"/>
    <w:rsid w:val="00016E53"/>
    <w:rsid w:val="00017186"/>
    <w:rsid w:val="0001737A"/>
    <w:rsid w:val="0001796C"/>
    <w:rsid w:val="00017C29"/>
    <w:rsid w:val="00017D21"/>
    <w:rsid w:val="00017E7D"/>
    <w:rsid w:val="000206FE"/>
    <w:rsid w:val="000208CE"/>
    <w:rsid w:val="00020E82"/>
    <w:rsid w:val="00020E95"/>
    <w:rsid w:val="000216AA"/>
    <w:rsid w:val="00021849"/>
    <w:rsid w:val="00021976"/>
    <w:rsid w:val="00021B2C"/>
    <w:rsid w:val="000220C2"/>
    <w:rsid w:val="00022241"/>
    <w:rsid w:val="000222DF"/>
    <w:rsid w:val="00022386"/>
    <w:rsid w:val="00022556"/>
    <w:rsid w:val="000225A2"/>
    <w:rsid w:val="00022A5C"/>
    <w:rsid w:val="00022AC3"/>
    <w:rsid w:val="00022E40"/>
    <w:rsid w:val="0002318E"/>
    <w:rsid w:val="000231B0"/>
    <w:rsid w:val="000233EB"/>
    <w:rsid w:val="0002392F"/>
    <w:rsid w:val="00023957"/>
    <w:rsid w:val="00023C58"/>
    <w:rsid w:val="00023C60"/>
    <w:rsid w:val="000240F3"/>
    <w:rsid w:val="00024186"/>
    <w:rsid w:val="00024227"/>
    <w:rsid w:val="000247C3"/>
    <w:rsid w:val="00024971"/>
    <w:rsid w:val="00024BBF"/>
    <w:rsid w:val="00024DC6"/>
    <w:rsid w:val="00025076"/>
    <w:rsid w:val="0002507E"/>
    <w:rsid w:val="000250E1"/>
    <w:rsid w:val="00025172"/>
    <w:rsid w:val="00025475"/>
    <w:rsid w:val="00025642"/>
    <w:rsid w:val="000256B8"/>
    <w:rsid w:val="00025E32"/>
    <w:rsid w:val="0002662B"/>
    <w:rsid w:val="00026652"/>
    <w:rsid w:val="00026787"/>
    <w:rsid w:val="00026865"/>
    <w:rsid w:val="000276B6"/>
    <w:rsid w:val="000277C9"/>
    <w:rsid w:val="00027A47"/>
    <w:rsid w:val="00027B0E"/>
    <w:rsid w:val="00027B24"/>
    <w:rsid w:val="00027C76"/>
    <w:rsid w:val="00027D8D"/>
    <w:rsid w:val="00027D9D"/>
    <w:rsid w:val="000300EF"/>
    <w:rsid w:val="000300F8"/>
    <w:rsid w:val="00030149"/>
    <w:rsid w:val="0003046F"/>
    <w:rsid w:val="0003063F"/>
    <w:rsid w:val="0003068A"/>
    <w:rsid w:val="0003088F"/>
    <w:rsid w:val="00030C6F"/>
    <w:rsid w:val="00030FD0"/>
    <w:rsid w:val="00031460"/>
    <w:rsid w:val="000315EE"/>
    <w:rsid w:val="000317CD"/>
    <w:rsid w:val="00031896"/>
    <w:rsid w:val="000318D5"/>
    <w:rsid w:val="0003195C"/>
    <w:rsid w:val="000319DE"/>
    <w:rsid w:val="00031CC8"/>
    <w:rsid w:val="00031CD4"/>
    <w:rsid w:val="00031F79"/>
    <w:rsid w:val="00031F9B"/>
    <w:rsid w:val="00032380"/>
    <w:rsid w:val="00032410"/>
    <w:rsid w:val="00032546"/>
    <w:rsid w:val="00032718"/>
    <w:rsid w:val="00032810"/>
    <w:rsid w:val="00032D7A"/>
    <w:rsid w:val="00032FFB"/>
    <w:rsid w:val="000330EF"/>
    <w:rsid w:val="00033142"/>
    <w:rsid w:val="00033CB9"/>
    <w:rsid w:val="00033E53"/>
    <w:rsid w:val="000340E5"/>
    <w:rsid w:val="00034149"/>
    <w:rsid w:val="0003429A"/>
    <w:rsid w:val="000345CD"/>
    <w:rsid w:val="00034995"/>
    <w:rsid w:val="0003502B"/>
    <w:rsid w:val="000350B3"/>
    <w:rsid w:val="000354D1"/>
    <w:rsid w:val="0003579D"/>
    <w:rsid w:val="00035B6B"/>
    <w:rsid w:val="00035BB5"/>
    <w:rsid w:val="00035CB9"/>
    <w:rsid w:val="00036165"/>
    <w:rsid w:val="0003624D"/>
    <w:rsid w:val="00036351"/>
    <w:rsid w:val="0003648B"/>
    <w:rsid w:val="0003690E"/>
    <w:rsid w:val="00036B95"/>
    <w:rsid w:val="00036BDD"/>
    <w:rsid w:val="00036D44"/>
    <w:rsid w:val="00036F57"/>
    <w:rsid w:val="00037035"/>
    <w:rsid w:val="00037773"/>
    <w:rsid w:val="000379AE"/>
    <w:rsid w:val="00037D22"/>
    <w:rsid w:val="000401DD"/>
    <w:rsid w:val="0004067E"/>
    <w:rsid w:val="000406B1"/>
    <w:rsid w:val="0004085A"/>
    <w:rsid w:val="000409AA"/>
    <w:rsid w:val="00040A62"/>
    <w:rsid w:val="00040B4E"/>
    <w:rsid w:val="00040BD5"/>
    <w:rsid w:val="00040C49"/>
    <w:rsid w:val="00040DD1"/>
    <w:rsid w:val="0004163D"/>
    <w:rsid w:val="0004196C"/>
    <w:rsid w:val="000419C2"/>
    <w:rsid w:val="00041FF7"/>
    <w:rsid w:val="0004232F"/>
    <w:rsid w:val="000424DF"/>
    <w:rsid w:val="0004252B"/>
    <w:rsid w:val="00042626"/>
    <w:rsid w:val="00042874"/>
    <w:rsid w:val="0004290D"/>
    <w:rsid w:val="000429C6"/>
    <w:rsid w:val="00042B8D"/>
    <w:rsid w:val="00042BA2"/>
    <w:rsid w:val="00042C39"/>
    <w:rsid w:val="00042C9C"/>
    <w:rsid w:val="00042CDD"/>
    <w:rsid w:val="00042CE1"/>
    <w:rsid w:val="00042F54"/>
    <w:rsid w:val="0004305D"/>
    <w:rsid w:val="00043282"/>
    <w:rsid w:val="000432B7"/>
    <w:rsid w:val="00043673"/>
    <w:rsid w:val="0004370F"/>
    <w:rsid w:val="00043A19"/>
    <w:rsid w:val="00043B38"/>
    <w:rsid w:val="00043C97"/>
    <w:rsid w:val="00043E5C"/>
    <w:rsid w:val="00043F0D"/>
    <w:rsid w:val="00044201"/>
    <w:rsid w:val="00044248"/>
    <w:rsid w:val="0004445B"/>
    <w:rsid w:val="00044837"/>
    <w:rsid w:val="000448DB"/>
    <w:rsid w:val="00044AAB"/>
    <w:rsid w:val="00044B1B"/>
    <w:rsid w:val="00044F36"/>
    <w:rsid w:val="00045063"/>
    <w:rsid w:val="000451CE"/>
    <w:rsid w:val="0004522C"/>
    <w:rsid w:val="000452D5"/>
    <w:rsid w:val="00045423"/>
    <w:rsid w:val="000459E2"/>
    <w:rsid w:val="00045ACA"/>
    <w:rsid w:val="00045B27"/>
    <w:rsid w:val="00045D72"/>
    <w:rsid w:val="00045E36"/>
    <w:rsid w:val="00045E9B"/>
    <w:rsid w:val="000461AD"/>
    <w:rsid w:val="000466AC"/>
    <w:rsid w:val="00046797"/>
    <w:rsid w:val="00046AC4"/>
    <w:rsid w:val="00046AD6"/>
    <w:rsid w:val="00046BBE"/>
    <w:rsid w:val="00046C37"/>
    <w:rsid w:val="00046C54"/>
    <w:rsid w:val="00046CEF"/>
    <w:rsid w:val="00046D2E"/>
    <w:rsid w:val="00046DDB"/>
    <w:rsid w:val="00046EE7"/>
    <w:rsid w:val="00047154"/>
    <w:rsid w:val="000471AA"/>
    <w:rsid w:val="000471C8"/>
    <w:rsid w:val="00047A39"/>
    <w:rsid w:val="00047B57"/>
    <w:rsid w:val="00047C7D"/>
    <w:rsid w:val="00047E6D"/>
    <w:rsid w:val="000500F3"/>
    <w:rsid w:val="00050155"/>
    <w:rsid w:val="00050248"/>
    <w:rsid w:val="00050701"/>
    <w:rsid w:val="00050946"/>
    <w:rsid w:val="000511BA"/>
    <w:rsid w:val="00051437"/>
    <w:rsid w:val="0005152B"/>
    <w:rsid w:val="00051765"/>
    <w:rsid w:val="000517B2"/>
    <w:rsid w:val="000517D3"/>
    <w:rsid w:val="00051A72"/>
    <w:rsid w:val="00051C5C"/>
    <w:rsid w:val="00051CAC"/>
    <w:rsid w:val="000520E9"/>
    <w:rsid w:val="0005237D"/>
    <w:rsid w:val="000523FE"/>
    <w:rsid w:val="00052A25"/>
    <w:rsid w:val="00052D1C"/>
    <w:rsid w:val="00052D98"/>
    <w:rsid w:val="000532A2"/>
    <w:rsid w:val="000532C7"/>
    <w:rsid w:val="0005339B"/>
    <w:rsid w:val="000533ED"/>
    <w:rsid w:val="000534E7"/>
    <w:rsid w:val="00053506"/>
    <w:rsid w:val="0005361E"/>
    <w:rsid w:val="000538CA"/>
    <w:rsid w:val="00053B18"/>
    <w:rsid w:val="00053C49"/>
    <w:rsid w:val="00053D98"/>
    <w:rsid w:val="00053F7D"/>
    <w:rsid w:val="000540F2"/>
    <w:rsid w:val="00054373"/>
    <w:rsid w:val="00054557"/>
    <w:rsid w:val="00054619"/>
    <w:rsid w:val="000546C2"/>
    <w:rsid w:val="00054733"/>
    <w:rsid w:val="00054846"/>
    <w:rsid w:val="00054BCB"/>
    <w:rsid w:val="00054DAF"/>
    <w:rsid w:val="00054DF0"/>
    <w:rsid w:val="00054ED0"/>
    <w:rsid w:val="00054FF0"/>
    <w:rsid w:val="0005510C"/>
    <w:rsid w:val="000552FE"/>
    <w:rsid w:val="00055B1A"/>
    <w:rsid w:val="00055C1B"/>
    <w:rsid w:val="00055E4F"/>
    <w:rsid w:val="00055F9B"/>
    <w:rsid w:val="00056133"/>
    <w:rsid w:val="0005664E"/>
    <w:rsid w:val="00056713"/>
    <w:rsid w:val="00057002"/>
    <w:rsid w:val="0005719C"/>
    <w:rsid w:val="000571DE"/>
    <w:rsid w:val="0005745D"/>
    <w:rsid w:val="00057620"/>
    <w:rsid w:val="0005765E"/>
    <w:rsid w:val="0005767E"/>
    <w:rsid w:val="00057788"/>
    <w:rsid w:val="0005791F"/>
    <w:rsid w:val="00057973"/>
    <w:rsid w:val="00057BC8"/>
    <w:rsid w:val="00057CE7"/>
    <w:rsid w:val="000600CC"/>
    <w:rsid w:val="000601BD"/>
    <w:rsid w:val="000601CC"/>
    <w:rsid w:val="0006066A"/>
    <w:rsid w:val="000607A5"/>
    <w:rsid w:val="000607DE"/>
    <w:rsid w:val="0006085B"/>
    <w:rsid w:val="00061466"/>
    <w:rsid w:val="0006156F"/>
    <w:rsid w:val="000616BE"/>
    <w:rsid w:val="000618B6"/>
    <w:rsid w:val="000619D9"/>
    <w:rsid w:val="00061A1D"/>
    <w:rsid w:val="00061AD4"/>
    <w:rsid w:val="00061DED"/>
    <w:rsid w:val="000626FE"/>
    <w:rsid w:val="00062860"/>
    <w:rsid w:val="000628CF"/>
    <w:rsid w:val="000629AF"/>
    <w:rsid w:val="00062DAA"/>
    <w:rsid w:val="00063098"/>
    <w:rsid w:val="0006309E"/>
    <w:rsid w:val="000631C3"/>
    <w:rsid w:val="00063270"/>
    <w:rsid w:val="0006332A"/>
    <w:rsid w:val="000633BA"/>
    <w:rsid w:val="0006361F"/>
    <w:rsid w:val="000636E7"/>
    <w:rsid w:val="00063742"/>
    <w:rsid w:val="000637D3"/>
    <w:rsid w:val="00063A6B"/>
    <w:rsid w:val="00063AA3"/>
    <w:rsid w:val="00064517"/>
    <w:rsid w:val="000648D5"/>
    <w:rsid w:val="000649D8"/>
    <w:rsid w:val="00064EDD"/>
    <w:rsid w:val="00064F06"/>
    <w:rsid w:val="000650C2"/>
    <w:rsid w:val="00065241"/>
    <w:rsid w:val="0006533F"/>
    <w:rsid w:val="00065660"/>
    <w:rsid w:val="000657D1"/>
    <w:rsid w:val="0006582B"/>
    <w:rsid w:val="0006598B"/>
    <w:rsid w:val="00065A10"/>
    <w:rsid w:val="00065C0D"/>
    <w:rsid w:val="00065DD6"/>
    <w:rsid w:val="00066459"/>
    <w:rsid w:val="00066850"/>
    <w:rsid w:val="000668C6"/>
    <w:rsid w:val="00066D35"/>
    <w:rsid w:val="00067160"/>
    <w:rsid w:val="00067B24"/>
    <w:rsid w:val="00067CA0"/>
    <w:rsid w:val="00067D8E"/>
    <w:rsid w:val="00067E44"/>
    <w:rsid w:val="00070081"/>
    <w:rsid w:val="00070178"/>
    <w:rsid w:val="0007026D"/>
    <w:rsid w:val="000703F8"/>
    <w:rsid w:val="0007051F"/>
    <w:rsid w:val="00070727"/>
    <w:rsid w:val="00070A46"/>
    <w:rsid w:val="00070C1B"/>
    <w:rsid w:val="00070CE8"/>
    <w:rsid w:val="00070D3C"/>
    <w:rsid w:val="00070DCC"/>
    <w:rsid w:val="00070E4D"/>
    <w:rsid w:val="000712F6"/>
    <w:rsid w:val="00071348"/>
    <w:rsid w:val="00071454"/>
    <w:rsid w:val="00071545"/>
    <w:rsid w:val="00071927"/>
    <w:rsid w:val="00071B82"/>
    <w:rsid w:val="00071D1A"/>
    <w:rsid w:val="00071EFB"/>
    <w:rsid w:val="0007226B"/>
    <w:rsid w:val="0007236E"/>
    <w:rsid w:val="000723FA"/>
    <w:rsid w:val="00072687"/>
    <w:rsid w:val="0007269A"/>
    <w:rsid w:val="00072C3E"/>
    <w:rsid w:val="00072D0A"/>
    <w:rsid w:val="00072D9B"/>
    <w:rsid w:val="00072DB6"/>
    <w:rsid w:val="00072DC8"/>
    <w:rsid w:val="00072FC2"/>
    <w:rsid w:val="00073056"/>
    <w:rsid w:val="00073061"/>
    <w:rsid w:val="00073573"/>
    <w:rsid w:val="000739DE"/>
    <w:rsid w:val="000739E9"/>
    <w:rsid w:val="00073BDE"/>
    <w:rsid w:val="00073EC8"/>
    <w:rsid w:val="00073EFA"/>
    <w:rsid w:val="00073F33"/>
    <w:rsid w:val="00073FB6"/>
    <w:rsid w:val="000740C2"/>
    <w:rsid w:val="000742A7"/>
    <w:rsid w:val="000743C6"/>
    <w:rsid w:val="00074409"/>
    <w:rsid w:val="0007461D"/>
    <w:rsid w:val="0007469A"/>
    <w:rsid w:val="00074A89"/>
    <w:rsid w:val="00074D1F"/>
    <w:rsid w:val="000756C8"/>
    <w:rsid w:val="000758C5"/>
    <w:rsid w:val="00075AD9"/>
    <w:rsid w:val="00075C41"/>
    <w:rsid w:val="00075CE2"/>
    <w:rsid w:val="0007610E"/>
    <w:rsid w:val="00076295"/>
    <w:rsid w:val="0007633D"/>
    <w:rsid w:val="00076587"/>
    <w:rsid w:val="00076A01"/>
    <w:rsid w:val="00076AA4"/>
    <w:rsid w:val="00076F77"/>
    <w:rsid w:val="00076FFA"/>
    <w:rsid w:val="00077180"/>
    <w:rsid w:val="000772FF"/>
    <w:rsid w:val="0007790E"/>
    <w:rsid w:val="00077979"/>
    <w:rsid w:val="00077CD3"/>
    <w:rsid w:val="00077DF2"/>
    <w:rsid w:val="00077F51"/>
    <w:rsid w:val="00077F76"/>
    <w:rsid w:val="00080184"/>
    <w:rsid w:val="00080485"/>
    <w:rsid w:val="00080702"/>
    <w:rsid w:val="00080B60"/>
    <w:rsid w:val="00080B98"/>
    <w:rsid w:val="00080C33"/>
    <w:rsid w:val="00080D82"/>
    <w:rsid w:val="00080DE6"/>
    <w:rsid w:val="00081257"/>
    <w:rsid w:val="00081498"/>
    <w:rsid w:val="000814E8"/>
    <w:rsid w:val="000818D1"/>
    <w:rsid w:val="00081BFF"/>
    <w:rsid w:val="00082315"/>
    <w:rsid w:val="0008250A"/>
    <w:rsid w:val="0008258D"/>
    <w:rsid w:val="000825D2"/>
    <w:rsid w:val="00082640"/>
    <w:rsid w:val="00082641"/>
    <w:rsid w:val="000826E9"/>
    <w:rsid w:val="00082892"/>
    <w:rsid w:val="00082907"/>
    <w:rsid w:val="00082A59"/>
    <w:rsid w:val="00082A9B"/>
    <w:rsid w:val="00082D5D"/>
    <w:rsid w:val="00083813"/>
    <w:rsid w:val="00083D9D"/>
    <w:rsid w:val="00083F96"/>
    <w:rsid w:val="000844B9"/>
    <w:rsid w:val="000845B1"/>
    <w:rsid w:val="00084688"/>
    <w:rsid w:val="00084A35"/>
    <w:rsid w:val="00084C1C"/>
    <w:rsid w:val="00084C91"/>
    <w:rsid w:val="00084D27"/>
    <w:rsid w:val="00084E68"/>
    <w:rsid w:val="00084EA0"/>
    <w:rsid w:val="000851F0"/>
    <w:rsid w:val="000852F0"/>
    <w:rsid w:val="00085369"/>
    <w:rsid w:val="00085C4C"/>
    <w:rsid w:val="00085DF7"/>
    <w:rsid w:val="00085E4C"/>
    <w:rsid w:val="00086165"/>
    <w:rsid w:val="000861CE"/>
    <w:rsid w:val="00086630"/>
    <w:rsid w:val="00086732"/>
    <w:rsid w:val="000867D4"/>
    <w:rsid w:val="0008683E"/>
    <w:rsid w:val="00086B73"/>
    <w:rsid w:val="00087027"/>
    <w:rsid w:val="00087439"/>
    <w:rsid w:val="000874F2"/>
    <w:rsid w:val="000874FD"/>
    <w:rsid w:val="00087622"/>
    <w:rsid w:val="00087734"/>
    <w:rsid w:val="00087778"/>
    <w:rsid w:val="00087802"/>
    <w:rsid w:val="0008789D"/>
    <w:rsid w:val="0008790B"/>
    <w:rsid w:val="00087B7C"/>
    <w:rsid w:val="00087C8B"/>
    <w:rsid w:val="00087CF1"/>
    <w:rsid w:val="00087D8A"/>
    <w:rsid w:val="00087E04"/>
    <w:rsid w:val="000900BA"/>
    <w:rsid w:val="00090190"/>
    <w:rsid w:val="0009045E"/>
    <w:rsid w:val="00090B73"/>
    <w:rsid w:val="00090D82"/>
    <w:rsid w:val="00091158"/>
    <w:rsid w:val="0009118A"/>
    <w:rsid w:val="00091838"/>
    <w:rsid w:val="000918C5"/>
    <w:rsid w:val="000918F3"/>
    <w:rsid w:val="00091966"/>
    <w:rsid w:val="000919C7"/>
    <w:rsid w:val="000919F8"/>
    <w:rsid w:val="00091CCA"/>
    <w:rsid w:val="00091CD5"/>
    <w:rsid w:val="00091E0D"/>
    <w:rsid w:val="00092127"/>
    <w:rsid w:val="00092353"/>
    <w:rsid w:val="000926B0"/>
    <w:rsid w:val="00092793"/>
    <w:rsid w:val="00092855"/>
    <w:rsid w:val="00092A5A"/>
    <w:rsid w:val="00092AFF"/>
    <w:rsid w:val="00092B7B"/>
    <w:rsid w:val="00092E98"/>
    <w:rsid w:val="00093171"/>
    <w:rsid w:val="000931AA"/>
    <w:rsid w:val="000937FB"/>
    <w:rsid w:val="00093837"/>
    <w:rsid w:val="0009393C"/>
    <w:rsid w:val="00093C49"/>
    <w:rsid w:val="00093C9E"/>
    <w:rsid w:val="000940F0"/>
    <w:rsid w:val="00094627"/>
    <w:rsid w:val="00094858"/>
    <w:rsid w:val="000948F5"/>
    <w:rsid w:val="00094C92"/>
    <w:rsid w:val="000950DC"/>
    <w:rsid w:val="00095245"/>
    <w:rsid w:val="00095669"/>
    <w:rsid w:val="00095671"/>
    <w:rsid w:val="00095726"/>
    <w:rsid w:val="00095B29"/>
    <w:rsid w:val="00095C75"/>
    <w:rsid w:val="00095CCD"/>
    <w:rsid w:val="00096349"/>
    <w:rsid w:val="0009642D"/>
    <w:rsid w:val="000965DB"/>
    <w:rsid w:val="000965FA"/>
    <w:rsid w:val="00096685"/>
    <w:rsid w:val="00096AB6"/>
    <w:rsid w:val="00096B41"/>
    <w:rsid w:val="00096CE0"/>
    <w:rsid w:val="00096ED4"/>
    <w:rsid w:val="000973E7"/>
    <w:rsid w:val="000976CB"/>
    <w:rsid w:val="0009774D"/>
    <w:rsid w:val="000A0708"/>
    <w:rsid w:val="000A0869"/>
    <w:rsid w:val="000A0B44"/>
    <w:rsid w:val="000A1319"/>
    <w:rsid w:val="000A17EF"/>
    <w:rsid w:val="000A191E"/>
    <w:rsid w:val="000A1A6C"/>
    <w:rsid w:val="000A1E23"/>
    <w:rsid w:val="000A1FDE"/>
    <w:rsid w:val="000A2533"/>
    <w:rsid w:val="000A2646"/>
    <w:rsid w:val="000A29F9"/>
    <w:rsid w:val="000A2E65"/>
    <w:rsid w:val="000A2FA7"/>
    <w:rsid w:val="000A31EB"/>
    <w:rsid w:val="000A3483"/>
    <w:rsid w:val="000A35F4"/>
    <w:rsid w:val="000A36FD"/>
    <w:rsid w:val="000A376E"/>
    <w:rsid w:val="000A394A"/>
    <w:rsid w:val="000A39EC"/>
    <w:rsid w:val="000A3AAA"/>
    <w:rsid w:val="000A3AB9"/>
    <w:rsid w:val="000A3BD1"/>
    <w:rsid w:val="000A3D1C"/>
    <w:rsid w:val="000A3DE3"/>
    <w:rsid w:val="000A414E"/>
    <w:rsid w:val="000A41F6"/>
    <w:rsid w:val="000A4472"/>
    <w:rsid w:val="000A4504"/>
    <w:rsid w:val="000A4546"/>
    <w:rsid w:val="000A47A4"/>
    <w:rsid w:val="000A4A9A"/>
    <w:rsid w:val="000A4D68"/>
    <w:rsid w:val="000A5157"/>
    <w:rsid w:val="000A5289"/>
    <w:rsid w:val="000A57CA"/>
    <w:rsid w:val="000A5921"/>
    <w:rsid w:val="000A5B45"/>
    <w:rsid w:val="000A5B91"/>
    <w:rsid w:val="000A5BE2"/>
    <w:rsid w:val="000A60A1"/>
    <w:rsid w:val="000A6522"/>
    <w:rsid w:val="000A659B"/>
    <w:rsid w:val="000A65EF"/>
    <w:rsid w:val="000A675B"/>
    <w:rsid w:val="000A6A46"/>
    <w:rsid w:val="000A6F22"/>
    <w:rsid w:val="000A6F3A"/>
    <w:rsid w:val="000A71B4"/>
    <w:rsid w:val="000A72F1"/>
    <w:rsid w:val="000A7546"/>
    <w:rsid w:val="000A7607"/>
    <w:rsid w:val="000A79CA"/>
    <w:rsid w:val="000A7D21"/>
    <w:rsid w:val="000A7F0E"/>
    <w:rsid w:val="000B0085"/>
    <w:rsid w:val="000B0214"/>
    <w:rsid w:val="000B07A1"/>
    <w:rsid w:val="000B0B4F"/>
    <w:rsid w:val="000B0E8A"/>
    <w:rsid w:val="000B0FA9"/>
    <w:rsid w:val="000B111E"/>
    <w:rsid w:val="000B1846"/>
    <w:rsid w:val="000B19C1"/>
    <w:rsid w:val="000B2361"/>
    <w:rsid w:val="000B24F6"/>
    <w:rsid w:val="000B2760"/>
    <w:rsid w:val="000B27B1"/>
    <w:rsid w:val="000B2D0B"/>
    <w:rsid w:val="000B2F0C"/>
    <w:rsid w:val="000B3192"/>
    <w:rsid w:val="000B3317"/>
    <w:rsid w:val="000B3B40"/>
    <w:rsid w:val="000B3D82"/>
    <w:rsid w:val="000B3D8C"/>
    <w:rsid w:val="000B3F5C"/>
    <w:rsid w:val="000B3FF6"/>
    <w:rsid w:val="000B4130"/>
    <w:rsid w:val="000B4164"/>
    <w:rsid w:val="000B4223"/>
    <w:rsid w:val="000B4283"/>
    <w:rsid w:val="000B4F57"/>
    <w:rsid w:val="000B4FE6"/>
    <w:rsid w:val="000B5279"/>
    <w:rsid w:val="000B60BF"/>
    <w:rsid w:val="000B61CA"/>
    <w:rsid w:val="000B6501"/>
    <w:rsid w:val="000B6EF5"/>
    <w:rsid w:val="000B6F03"/>
    <w:rsid w:val="000B73CF"/>
    <w:rsid w:val="000B73F0"/>
    <w:rsid w:val="000B74FD"/>
    <w:rsid w:val="000B7923"/>
    <w:rsid w:val="000B794B"/>
    <w:rsid w:val="000B7C6F"/>
    <w:rsid w:val="000B7D3D"/>
    <w:rsid w:val="000B7D81"/>
    <w:rsid w:val="000B7FC8"/>
    <w:rsid w:val="000C003F"/>
    <w:rsid w:val="000C0336"/>
    <w:rsid w:val="000C043F"/>
    <w:rsid w:val="000C04BD"/>
    <w:rsid w:val="000C0997"/>
    <w:rsid w:val="000C09BC"/>
    <w:rsid w:val="000C0B23"/>
    <w:rsid w:val="000C0FEB"/>
    <w:rsid w:val="000C14D5"/>
    <w:rsid w:val="000C1C50"/>
    <w:rsid w:val="000C1D4E"/>
    <w:rsid w:val="000C1E33"/>
    <w:rsid w:val="000C1EED"/>
    <w:rsid w:val="000C284B"/>
    <w:rsid w:val="000C2886"/>
    <w:rsid w:val="000C28CD"/>
    <w:rsid w:val="000C2B29"/>
    <w:rsid w:val="000C2C15"/>
    <w:rsid w:val="000C2ED2"/>
    <w:rsid w:val="000C345B"/>
    <w:rsid w:val="000C34F0"/>
    <w:rsid w:val="000C35B5"/>
    <w:rsid w:val="000C35BB"/>
    <w:rsid w:val="000C365C"/>
    <w:rsid w:val="000C3783"/>
    <w:rsid w:val="000C3B9C"/>
    <w:rsid w:val="000C3BA3"/>
    <w:rsid w:val="000C3C22"/>
    <w:rsid w:val="000C3FC4"/>
    <w:rsid w:val="000C443C"/>
    <w:rsid w:val="000C443D"/>
    <w:rsid w:val="000C4509"/>
    <w:rsid w:val="000C4B6F"/>
    <w:rsid w:val="000C55C3"/>
    <w:rsid w:val="000C5866"/>
    <w:rsid w:val="000C5932"/>
    <w:rsid w:val="000C5CE0"/>
    <w:rsid w:val="000C6209"/>
    <w:rsid w:val="000C62AD"/>
    <w:rsid w:val="000C6662"/>
    <w:rsid w:val="000C676B"/>
    <w:rsid w:val="000C67C1"/>
    <w:rsid w:val="000C6891"/>
    <w:rsid w:val="000C68F9"/>
    <w:rsid w:val="000C6CD2"/>
    <w:rsid w:val="000C70F0"/>
    <w:rsid w:val="000C7737"/>
    <w:rsid w:val="000C785D"/>
    <w:rsid w:val="000C7B08"/>
    <w:rsid w:val="000D03D6"/>
    <w:rsid w:val="000D073B"/>
    <w:rsid w:val="000D0CD6"/>
    <w:rsid w:val="000D0D58"/>
    <w:rsid w:val="000D1037"/>
    <w:rsid w:val="000D147E"/>
    <w:rsid w:val="000D1872"/>
    <w:rsid w:val="000D18C0"/>
    <w:rsid w:val="000D1A62"/>
    <w:rsid w:val="000D2122"/>
    <w:rsid w:val="000D294C"/>
    <w:rsid w:val="000D29FC"/>
    <w:rsid w:val="000D2AF9"/>
    <w:rsid w:val="000D2B46"/>
    <w:rsid w:val="000D3436"/>
    <w:rsid w:val="000D3818"/>
    <w:rsid w:val="000D3A92"/>
    <w:rsid w:val="000D3B92"/>
    <w:rsid w:val="000D3CAC"/>
    <w:rsid w:val="000D3CB9"/>
    <w:rsid w:val="000D4207"/>
    <w:rsid w:val="000D43D0"/>
    <w:rsid w:val="000D4470"/>
    <w:rsid w:val="000D4504"/>
    <w:rsid w:val="000D463A"/>
    <w:rsid w:val="000D494C"/>
    <w:rsid w:val="000D4992"/>
    <w:rsid w:val="000D4AAA"/>
    <w:rsid w:val="000D4CF3"/>
    <w:rsid w:val="000D4F54"/>
    <w:rsid w:val="000D4FDC"/>
    <w:rsid w:val="000D507C"/>
    <w:rsid w:val="000D52D4"/>
    <w:rsid w:val="000D52F5"/>
    <w:rsid w:val="000D599E"/>
    <w:rsid w:val="000D5A04"/>
    <w:rsid w:val="000D5A8F"/>
    <w:rsid w:val="000D6405"/>
    <w:rsid w:val="000D6408"/>
    <w:rsid w:val="000D6618"/>
    <w:rsid w:val="000D6753"/>
    <w:rsid w:val="000D6775"/>
    <w:rsid w:val="000D6833"/>
    <w:rsid w:val="000D6907"/>
    <w:rsid w:val="000D6B3A"/>
    <w:rsid w:val="000D6BB9"/>
    <w:rsid w:val="000D6DB3"/>
    <w:rsid w:val="000D6DB7"/>
    <w:rsid w:val="000D70EE"/>
    <w:rsid w:val="000D7506"/>
    <w:rsid w:val="000D75D5"/>
    <w:rsid w:val="000D76C9"/>
    <w:rsid w:val="000D781F"/>
    <w:rsid w:val="000D7920"/>
    <w:rsid w:val="000D7A42"/>
    <w:rsid w:val="000E0061"/>
    <w:rsid w:val="000E0265"/>
    <w:rsid w:val="000E03BA"/>
    <w:rsid w:val="000E050E"/>
    <w:rsid w:val="000E054E"/>
    <w:rsid w:val="000E05F4"/>
    <w:rsid w:val="000E0BA8"/>
    <w:rsid w:val="000E107B"/>
    <w:rsid w:val="000E13FC"/>
    <w:rsid w:val="000E1582"/>
    <w:rsid w:val="000E15AA"/>
    <w:rsid w:val="000E180E"/>
    <w:rsid w:val="000E1840"/>
    <w:rsid w:val="000E1D5A"/>
    <w:rsid w:val="000E1D7E"/>
    <w:rsid w:val="000E1E0F"/>
    <w:rsid w:val="000E24F5"/>
    <w:rsid w:val="000E25D5"/>
    <w:rsid w:val="000E25FC"/>
    <w:rsid w:val="000E2901"/>
    <w:rsid w:val="000E2A55"/>
    <w:rsid w:val="000E2C79"/>
    <w:rsid w:val="000E2F5F"/>
    <w:rsid w:val="000E314C"/>
    <w:rsid w:val="000E377A"/>
    <w:rsid w:val="000E3E31"/>
    <w:rsid w:val="000E4452"/>
    <w:rsid w:val="000E445F"/>
    <w:rsid w:val="000E46C6"/>
    <w:rsid w:val="000E47DF"/>
    <w:rsid w:val="000E4AB5"/>
    <w:rsid w:val="000E4C9E"/>
    <w:rsid w:val="000E4D90"/>
    <w:rsid w:val="000E508D"/>
    <w:rsid w:val="000E50AE"/>
    <w:rsid w:val="000E539A"/>
    <w:rsid w:val="000E53EE"/>
    <w:rsid w:val="000E5C28"/>
    <w:rsid w:val="000E627F"/>
    <w:rsid w:val="000E62BF"/>
    <w:rsid w:val="000E6349"/>
    <w:rsid w:val="000E670B"/>
    <w:rsid w:val="000E67B2"/>
    <w:rsid w:val="000E68C3"/>
    <w:rsid w:val="000E6B27"/>
    <w:rsid w:val="000E6CC7"/>
    <w:rsid w:val="000E6CE4"/>
    <w:rsid w:val="000E6ECE"/>
    <w:rsid w:val="000E6FBC"/>
    <w:rsid w:val="000E704B"/>
    <w:rsid w:val="000E721B"/>
    <w:rsid w:val="000E7419"/>
    <w:rsid w:val="000E774E"/>
    <w:rsid w:val="000E7896"/>
    <w:rsid w:val="000E7C1F"/>
    <w:rsid w:val="000F012C"/>
    <w:rsid w:val="000F02F4"/>
    <w:rsid w:val="000F031F"/>
    <w:rsid w:val="000F03DD"/>
    <w:rsid w:val="000F0AB3"/>
    <w:rsid w:val="000F0BCB"/>
    <w:rsid w:val="000F0D86"/>
    <w:rsid w:val="000F0EA9"/>
    <w:rsid w:val="000F13D4"/>
    <w:rsid w:val="000F1474"/>
    <w:rsid w:val="000F15AF"/>
    <w:rsid w:val="000F19EA"/>
    <w:rsid w:val="000F1A74"/>
    <w:rsid w:val="000F1D49"/>
    <w:rsid w:val="000F1E9F"/>
    <w:rsid w:val="000F20FD"/>
    <w:rsid w:val="000F252A"/>
    <w:rsid w:val="000F265A"/>
    <w:rsid w:val="000F2855"/>
    <w:rsid w:val="000F28AB"/>
    <w:rsid w:val="000F2A5A"/>
    <w:rsid w:val="000F2B26"/>
    <w:rsid w:val="000F2ECA"/>
    <w:rsid w:val="000F3451"/>
    <w:rsid w:val="000F371F"/>
    <w:rsid w:val="000F380D"/>
    <w:rsid w:val="000F3AE2"/>
    <w:rsid w:val="000F3B84"/>
    <w:rsid w:val="000F3CD0"/>
    <w:rsid w:val="000F3F9B"/>
    <w:rsid w:val="000F4250"/>
    <w:rsid w:val="000F4292"/>
    <w:rsid w:val="000F477E"/>
    <w:rsid w:val="000F4EFD"/>
    <w:rsid w:val="000F4F72"/>
    <w:rsid w:val="000F4FAD"/>
    <w:rsid w:val="000F54A5"/>
    <w:rsid w:val="000F5508"/>
    <w:rsid w:val="000F55E1"/>
    <w:rsid w:val="000F57D4"/>
    <w:rsid w:val="000F58DE"/>
    <w:rsid w:val="000F5B70"/>
    <w:rsid w:val="000F60FA"/>
    <w:rsid w:val="000F68F0"/>
    <w:rsid w:val="000F6A25"/>
    <w:rsid w:val="000F6B32"/>
    <w:rsid w:val="000F6D54"/>
    <w:rsid w:val="000F6FE5"/>
    <w:rsid w:val="000F746D"/>
    <w:rsid w:val="000F7478"/>
    <w:rsid w:val="0010011D"/>
    <w:rsid w:val="001002CD"/>
    <w:rsid w:val="00100334"/>
    <w:rsid w:val="0010081E"/>
    <w:rsid w:val="00100F2C"/>
    <w:rsid w:val="00100F48"/>
    <w:rsid w:val="00101067"/>
    <w:rsid w:val="00101214"/>
    <w:rsid w:val="00101491"/>
    <w:rsid w:val="00101553"/>
    <w:rsid w:val="0010170F"/>
    <w:rsid w:val="001018E4"/>
    <w:rsid w:val="001018EB"/>
    <w:rsid w:val="00101A40"/>
    <w:rsid w:val="00101AD6"/>
    <w:rsid w:val="00101AF3"/>
    <w:rsid w:val="00101B1F"/>
    <w:rsid w:val="00101FB6"/>
    <w:rsid w:val="00102198"/>
    <w:rsid w:val="0010238B"/>
    <w:rsid w:val="00102548"/>
    <w:rsid w:val="001025EE"/>
    <w:rsid w:val="00102836"/>
    <w:rsid w:val="00102A91"/>
    <w:rsid w:val="00102AC1"/>
    <w:rsid w:val="00102B33"/>
    <w:rsid w:val="00102B5E"/>
    <w:rsid w:val="00102CCB"/>
    <w:rsid w:val="00102DBC"/>
    <w:rsid w:val="0010301F"/>
    <w:rsid w:val="0010318C"/>
    <w:rsid w:val="001033A8"/>
    <w:rsid w:val="001035F5"/>
    <w:rsid w:val="00103633"/>
    <w:rsid w:val="00103825"/>
    <w:rsid w:val="00103A8A"/>
    <w:rsid w:val="00103B35"/>
    <w:rsid w:val="00103D56"/>
    <w:rsid w:val="00103F00"/>
    <w:rsid w:val="0010427A"/>
    <w:rsid w:val="00104365"/>
    <w:rsid w:val="00104417"/>
    <w:rsid w:val="00104461"/>
    <w:rsid w:val="00104680"/>
    <w:rsid w:val="0010471B"/>
    <w:rsid w:val="00104A0D"/>
    <w:rsid w:val="00104A6B"/>
    <w:rsid w:val="00104AC0"/>
    <w:rsid w:val="00104BA4"/>
    <w:rsid w:val="00104C08"/>
    <w:rsid w:val="00104C14"/>
    <w:rsid w:val="00104DA8"/>
    <w:rsid w:val="00104DDD"/>
    <w:rsid w:val="00104E18"/>
    <w:rsid w:val="00104E88"/>
    <w:rsid w:val="0010523C"/>
    <w:rsid w:val="0010563B"/>
    <w:rsid w:val="001056B2"/>
    <w:rsid w:val="001058B6"/>
    <w:rsid w:val="00105994"/>
    <w:rsid w:val="00105AD1"/>
    <w:rsid w:val="00105B4E"/>
    <w:rsid w:val="00105BD0"/>
    <w:rsid w:val="00105C78"/>
    <w:rsid w:val="00105D5A"/>
    <w:rsid w:val="00105EC6"/>
    <w:rsid w:val="0010604E"/>
    <w:rsid w:val="001060C1"/>
    <w:rsid w:val="00106165"/>
    <w:rsid w:val="00106327"/>
    <w:rsid w:val="00106530"/>
    <w:rsid w:val="00106C4E"/>
    <w:rsid w:val="00106CB1"/>
    <w:rsid w:val="0010746B"/>
    <w:rsid w:val="0010751A"/>
    <w:rsid w:val="00107697"/>
    <w:rsid w:val="001079DB"/>
    <w:rsid w:val="00107AF3"/>
    <w:rsid w:val="00107BBA"/>
    <w:rsid w:val="00107BF1"/>
    <w:rsid w:val="00107CE0"/>
    <w:rsid w:val="00107E0A"/>
    <w:rsid w:val="0011005E"/>
    <w:rsid w:val="001101D5"/>
    <w:rsid w:val="0011038E"/>
    <w:rsid w:val="001106B3"/>
    <w:rsid w:val="001108CE"/>
    <w:rsid w:val="00110B82"/>
    <w:rsid w:val="00110E14"/>
    <w:rsid w:val="00111272"/>
    <w:rsid w:val="001113A9"/>
    <w:rsid w:val="00111473"/>
    <w:rsid w:val="00111567"/>
    <w:rsid w:val="0011170E"/>
    <w:rsid w:val="0011189A"/>
    <w:rsid w:val="001119A6"/>
    <w:rsid w:val="00111B24"/>
    <w:rsid w:val="00111F75"/>
    <w:rsid w:val="001121F7"/>
    <w:rsid w:val="0011250B"/>
    <w:rsid w:val="00112638"/>
    <w:rsid w:val="00112808"/>
    <w:rsid w:val="00112910"/>
    <w:rsid w:val="00112CD6"/>
    <w:rsid w:val="00112DE2"/>
    <w:rsid w:val="00112F5A"/>
    <w:rsid w:val="001132EB"/>
    <w:rsid w:val="001133AC"/>
    <w:rsid w:val="001135F7"/>
    <w:rsid w:val="0011387F"/>
    <w:rsid w:val="00113880"/>
    <w:rsid w:val="001139F3"/>
    <w:rsid w:val="00113E0A"/>
    <w:rsid w:val="0011418C"/>
    <w:rsid w:val="001141D8"/>
    <w:rsid w:val="001141FB"/>
    <w:rsid w:val="0011433D"/>
    <w:rsid w:val="00114465"/>
    <w:rsid w:val="0011449E"/>
    <w:rsid w:val="0011484E"/>
    <w:rsid w:val="00114CCA"/>
    <w:rsid w:val="00114E98"/>
    <w:rsid w:val="00114F8C"/>
    <w:rsid w:val="0011538E"/>
    <w:rsid w:val="001153E9"/>
    <w:rsid w:val="001156C9"/>
    <w:rsid w:val="00115A84"/>
    <w:rsid w:val="00115B03"/>
    <w:rsid w:val="00115B73"/>
    <w:rsid w:val="00115B9D"/>
    <w:rsid w:val="0011616F"/>
    <w:rsid w:val="00116176"/>
    <w:rsid w:val="001161E0"/>
    <w:rsid w:val="001161E2"/>
    <w:rsid w:val="00116250"/>
    <w:rsid w:val="00116458"/>
    <w:rsid w:val="0011651B"/>
    <w:rsid w:val="00116634"/>
    <w:rsid w:val="001167FF"/>
    <w:rsid w:val="0011680E"/>
    <w:rsid w:val="00116872"/>
    <w:rsid w:val="00116AA3"/>
    <w:rsid w:val="00116C31"/>
    <w:rsid w:val="00116C39"/>
    <w:rsid w:val="00116DB9"/>
    <w:rsid w:val="00116DF1"/>
    <w:rsid w:val="0011703D"/>
    <w:rsid w:val="001170DE"/>
    <w:rsid w:val="00117119"/>
    <w:rsid w:val="001173D1"/>
    <w:rsid w:val="00117487"/>
    <w:rsid w:val="00117772"/>
    <w:rsid w:val="0011788B"/>
    <w:rsid w:val="0011792D"/>
    <w:rsid w:val="001179D6"/>
    <w:rsid w:val="00117AC5"/>
    <w:rsid w:val="00117B87"/>
    <w:rsid w:val="00117C45"/>
    <w:rsid w:val="00117D39"/>
    <w:rsid w:val="00117D95"/>
    <w:rsid w:val="00117D9A"/>
    <w:rsid w:val="00120135"/>
    <w:rsid w:val="001201F9"/>
    <w:rsid w:val="001202CC"/>
    <w:rsid w:val="0012056C"/>
    <w:rsid w:val="001205D2"/>
    <w:rsid w:val="001208BD"/>
    <w:rsid w:val="00120FE8"/>
    <w:rsid w:val="001211C5"/>
    <w:rsid w:val="001213DB"/>
    <w:rsid w:val="0012194C"/>
    <w:rsid w:val="00121FF3"/>
    <w:rsid w:val="001220B8"/>
    <w:rsid w:val="001220CB"/>
    <w:rsid w:val="001220CC"/>
    <w:rsid w:val="00122198"/>
    <w:rsid w:val="00122240"/>
    <w:rsid w:val="0012225D"/>
    <w:rsid w:val="0012225E"/>
    <w:rsid w:val="00122411"/>
    <w:rsid w:val="001226E9"/>
    <w:rsid w:val="001228BB"/>
    <w:rsid w:val="0012293D"/>
    <w:rsid w:val="00122A8D"/>
    <w:rsid w:val="00122CBF"/>
    <w:rsid w:val="001230F8"/>
    <w:rsid w:val="0012338B"/>
    <w:rsid w:val="0012384D"/>
    <w:rsid w:val="00123A1D"/>
    <w:rsid w:val="00123C8B"/>
    <w:rsid w:val="00123CE4"/>
    <w:rsid w:val="00123D82"/>
    <w:rsid w:val="00123D8E"/>
    <w:rsid w:val="00124197"/>
    <w:rsid w:val="00124A83"/>
    <w:rsid w:val="00124AE0"/>
    <w:rsid w:val="00124AE7"/>
    <w:rsid w:val="00124E29"/>
    <w:rsid w:val="00124EAF"/>
    <w:rsid w:val="00124EDD"/>
    <w:rsid w:val="00125043"/>
    <w:rsid w:val="00125049"/>
    <w:rsid w:val="001254FF"/>
    <w:rsid w:val="001256F9"/>
    <w:rsid w:val="00125726"/>
    <w:rsid w:val="001258F6"/>
    <w:rsid w:val="00125B97"/>
    <w:rsid w:val="00126191"/>
    <w:rsid w:val="00126658"/>
    <w:rsid w:val="001266FB"/>
    <w:rsid w:val="001267A0"/>
    <w:rsid w:val="001269C2"/>
    <w:rsid w:val="00126A68"/>
    <w:rsid w:val="00126B3D"/>
    <w:rsid w:val="00126D2D"/>
    <w:rsid w:val="00126D67"/>
    <w:rsid w:val="00126E95"/>
    <w:rsid w:val="00126F17"/>
    <w:rsid w:val="00126F1E"/>
    <w:rsid w:val="00127018"/>
    <w:rsid w:val="00127114"/>
    <w:rsid w:val="0012729B"/>
    <w:rsid w:val="00127351"/>
    <w:rsid w:val="00127421"/>
    <w:rsid w:val="00127583"/>
    <w:rsid w:val="00127C47"/>
    <w:rsid w:val="0013003B"/>
    <w:rsid w:val="00130314"/>
    <w:rsid w:val="001304A2"/>
    <w:rsid w:val="0013065A"/>
    <w:rsid w:val="00130A03"/>
    <w:rsid w:val="00130A05"/>
    <w:rsid w:val="00130AF9"/>
    <w:rsid w:val="00130BFB"/>
    <w:rsid w:val="00130CB8"/>
    <w:rsid w:val="00130DA4"/>
    <w:rsid w:val="00130E97"/>
    <w:rsid w:val="0013100D"/>
    <w:rsid w:val="001313C2"/>
    <w:rsid w:val="00131492"/>
    <w:rsid w:val="0013188E"/>
    <w:rsid w:val="001318E0"/>
    <w:rsid w:val="00131BB6"/>
    <w:rsid w:val="00131FAC"/>
    <w:rsid w:val="001320DA"/>
    <w:rsid w:val="001323D2"/>
    <w:rsid w:val="00132458"/>
    <w:rsid w:val="001326B4"/>
    <w:rsid w:val="001326E4"/>
    <w:rsid w:val="00132782"/>
    <w:rsid w:val="00132A33"/>
    <w:rsid w:val="00132D94"/>
    <w:rsid w:val="00132DFC"/>
    <w:rsid w:val="00133139"/>
    <w:rsid w:val="001332C5"/>
    <w:rsid w:val="0013331A"/>
    <w:rsid w:val="00133394"/>
    <w:rsid w:val="00133AA6"/>
    <w:rsid w:val="00133AEE"/>
    <w:rsid w:val="00133B0A"/>
    <w:rsid w:val="00133B68"/>
    <w:rsid w:val="00133C73"/>
    <w:rsid w:val="00133EBC"/>
    <w:rsid w:val="00133F60"/>
    <w:rsid w:val="00133F7C"/>
    <w:rsid w:val="00134208"/>
    <w:rsid w:val="001345F2"/>
    <w:rsid w:val="001349C9"/>
    <w:rsid w:val="00134B14"/>
    <w:rsid w:val="0013521E"/>
    <w:rsid w:val="001352FB"/>
    <w:rsid w:val="001353D2"/>
    <w:rsid w:val="001353E0"/>
    <w:rsid w:val="00135411"/>
    <w:rsid w:val="00135486"/>
    <w:rsid w:val="00135490"/>
    <w:rsid w:val="0013577E"/>
    <w:rsid w:val="00135ADE"/>
    <w:rsid w:val="00135B7F"/>
    <w:rsid w:val="00135D50"/>
    <w:rsid w:val="00135DEC"/>
    <w:rsid w:val="00135E8B"/>
    <w:rsid w:val="00135F9A"/>
    <w:rsid w:val="001360A9"/>
    <w:rsid w:val="0013614B"/>
    <w:rsid w:val="001363F4"/>
    <w:rsid w:val="0013641C"/>
    <w:rsid w:val="00136603"/>
    <w:rsid w:val="00136BD1"/>
    <w:rsid w:val="00136CBE"/>
    <w:rsid w:val="00136F0E"/>
    <w:rsid w:val="001374DB"/>
    <w:rsid w:val="001375A5"/>
    <w:rsid w:val="00137823"/>
    <w:rsid w:val="00137AE5"/>
    <w:rsid w:val="00137C3C"/>
    <w:rsid w:val="00137D9D"/>
    <w:rsid w:val="001402ED"/>
    <w:rsid w:val="001402FA"/>
    <w:rsid w:val="00140330"/>
    <w:rsid w:val="001406D4"/>
    <w:rsid w:val="00140834"/>
    <w:rsid w:val="001409F8"/>
    <w:rsid w:val="00140CDD"/>
    <w:rsid w:val="0014172B"/>
    <w:rsid w:val="001417AA"/>
    <w:rsid w:val="00141A63"/>
    <w:rsid w:val="00141ACC"/>
    <w:rsid w:val="00141D9D"/>
    <w:rsid w:val="00141FA5"/>
    <w:rsid w:val="00142A64"/>
    <w:rsid w:val="00142B51"/>
    <w:rsid w:val="00142EC4"/>
    <w:rsid w:val="00143290"/>
    <w:rsid w:val="0014358A"/>
    <w:rsid w:val="001436CC"/>
    <w:rsid w:val="00143B59"/>
    <w:rsid w:val="00143DE0"/>
    <w:rsid w:val="00143E0A"/>
    <w:rsid w:val="00143F04"/>
    <w:rsid w:val="0014417B"/>
    <w:rsid w:val="00144407"/>
    <w:rsid w:val="001446D5"/>
    <w:rsid w:val="00144730"/>
    <w:rsid w:val="001447B5"/>
    <w:rsid w:val="00144A12"/>
    <w:rsid w:val="00144ADB"/>
    <w:rsid w:val="00144B9E"/>
    <w:rsid w:val="00145004"/>
    <w:rsid w:val="001450B3"/>
    <w:rsid w:val="00145433"/>
    <w:rsid w:val="001455F6"/>
    <w:rsid w:val="001456F2"/>
    <w:rsid w:val="00145A6A"/>
    <w:rsid w:val="00145B1E"/>
    <w:rsid w:val="00145C3A"/>
    <w:rsid w:val="00145C45"/>
    <w:rsid w:val="001466AF"/>
    <w:rsid w:val="00146B94"/>
    <w:rsid w:val="00146BBC"/>
    <w:rsid w:val="00146E1F"/>
    <w:rsid w:val="00146F8A"/>
    <w:rsid w:val="001470E6"/>
    <w:rsid w:val="0014712E"/>
    <w:rsid w:val="00147400"/>
    <w:rsid w:val="00147678"/>
    <w:rsid w:val="001476DD"/>
    <w:rsid w:val="001477EA"/>
    <w:rsid w:val="00147B6B"/>
    <w:rsid w:val="0015028D"/>
    <w:rsid w:val="00150A09"/>
    <w:rsid w:val="00150A69"/>
    <w:rsid w:val="00150ADA"/>
    <w:rsid w:val="001510E5"/>
    <w:rsid w:val="001511DF"/>
    <w:rsid w:val="001514D3"/>
    <w:rsid w:val="001516E3"/>
    <w:rsid w:val="00151772"/>
    <w:rsid w:val="00151795"/>
    <w:rsid w:val="00151B1C"/>
    <w:rsid w:val="00151FAA"/>
    <w:rsid w:val="001524AB"/>
    <w:rsid w:val="00152A66"/>
    <w:rsid w:val="00152EAF"/>
    <w:rsid w:val="001530A8"/>
    <w:rsid w:val="00153206"/>
    <w:rsid w:val="001532AD"/>
    <w:rsid w:val="001537DF"/>
    <w:rsid w:val="00153A96"/>
    <w:rsid w:val="00153BA8"/>
    <w:rsid w:val="00153C96"/>
    <w:rsid w:val="00153E14"/>
    <w:rsid w:val="00154027"/>
    <w:rsid w:val="0015402E"/>
    <w:rsid w:val="00154087"/>
    <w:rsid w:val="001544E3"/>
    <w:rsid w:val="00154643"/>
    <w:rsid w:val="00154A8E"/>
    <w:rsid w:val="00154AA9"/>
    <w:rsid w:val="00154C25"/>
    <w:rsid w:val="00154C81"/>
    <w:rsid w:val="00154F31"/>
    <w:rsid w:val="00155938"/>
    <w:rsid w:val="00155AEC"/>
    <w:rsid w:val="001563D2"/>
    <w:rsid w:val="00156425"/>
    <w:rsid w:val="001566AF"/>
    <w:rsid w:val="00156947"/>
    <w:rsid w:val="00156C5B"/>
    <w:rsid w:val="00156D40"/>
    <w:rsid w:val="00157B24"/>
    <w:rsid w:val="00157FB2"/>
    <w:rsid w:val="00160524"/>
    <w:rsid w:val="00160690"/>
    <w:rsid w:val="00160934"/>
    <w:rsid w:val="00160DF0"/>
    <w:rsid w:val="00161132"/>
    <w:rsid w:val="00161138"/>
    <w:rsid w:val="001613C2"/>
    <w:rsid w:val="0016148F"/>
    <w:rsid w:val="00161C44"/>
    <w:rsid w:val="00161CB9"/>
    <w:rsid w:val="00162137"/>
    <w:rsid w:val="00162204"/>
    <w:rsid w:val="0016223C"/>
    <w:rsid w:val="00162315"/>
    <w:rsid w:val="0016261D"/>
    <w:rsid w:val="0016270B"/>
    <w:rsid w:val="00162827"/>
    <w:rsid w:val="0016291C"/>
    <w:rsid w:val="00162AD9"/>
    <w:rsid w:val="00162C70"/>
    <w:rsid w:val="0016320F"/>
    <w:rsid w:val="00163DB4"/>
    <w:rsid w:val="00163DD2"/>
    <w:rsid w:val="00163DFC"/>
    <w:rsid w:val="00164035"/>
    <w:rsid w:val="001640C6"/>
    <w:rsid w:val="001647CA"/>
    <w:rsid w:val="0016525F"/>
    <w:rsid w:val="00165315"/>
    <w:rsid w:val="00165626"/>
    <w:rsid w:val="001659A4"/>
    <w:rsid w:val="00165B27"/>
    <w:rsid w:val="00165CBF"/>
    <w:rsid w:val="00165DE9"/>
    <w:rsid w:val="00165F4F"/>
    <w:rsid w:val="00166122"/>
    <w:rsid w:val="00166250"/>
    <w:rsid w:val="001663F6"/>
    <w:rsid w:val="001664F7"/>
    <w:rsid w:val="001667E8"/>
    <w:rsid w:val="001669A3"/>
    <w:rsid w:val="00166C80"/>
    <w:rsid w:val="00166C88"/>
    <w:rsid w:val="00166CCA"/>
    <w:rsid w:val="0016718E"/>
    <w:rsid w:val="00167324"/>
    <w:rsid w:val="001678CB"/>
    <w:rsid w:val="00167984"/>
    <w:rsid w:val="001679FE"/>
    <w:rsid w:val="00167BC2"/>
    <w:rsid w:val="0017003F"/>
    <w:rsid w:val="0017019A"/>
    <w:rsid w:val="001704D6"/>
    <w:rsid w:val="001705C6"/>
    <w:rsid w:val="00170675"/>
    <w:rsid w:val="00170769"/>
    <w:rsid w:val="001708D6"/>
    <w:rsid w:val="00170AAB"/>
    <w:rsid w:val="00170B9B"/>
    <w:rsid w:val="00170E59"/>
    <w:rsid w:val="00170F5C"/>
    <w:rsid w:val="00170F75"/>
    <w:rsid w:val="001714B5"/>
    <w:rsid w:val="001714B6"/>
    <w:rsid w:val="00171594"/>
    <w:rsid w:val="00171888"/>
    <w:rsid w:val="00171ABF"/>
    <w:rsid w:val="00171BB5"/>
    <w:rsid w:val="00171DDE"/>
    <w:rsid w:val="00171E6D"/>
    <w:rsid w:val="0017218E"/>
    <w:rsid w:val="001721FA"/>
    <w:rsid w:val="001723D4"/>
    <w:rsid w:val="00172761"/>
    <w:rsid w:val="00172B4C"/>
    <w:rsid w:val="00172E50"/>
    <w:rsid w:val="00172E6B"/>
    <w:rsid w:val="001738B2"/>
    <w:rsid w:val="00173B0E"/>
    <w:rsid w:val="00173DF9"/>
    <w:rsid w:val="001744DF"/>
    <w:rsid w:val="00174615"/>
    <w:rsid w:val="0017492B"/>
    <w:rsid w:val="00174A59"/>
    <w:rsid w:val="00174B8C"/>
    <w:rsid w:val="00174CED"/>
    <w:rsid w:val="0017514A"/>
    <w:rsid w:val="0017543B"/>
    <w:rsid w:val="0017544F"/>
    <w:rsid w:val="00175570"/>
    <w:rsid w:val="00175653"/>
    <w:rsid w:val="001756B5"/>
    <w:rsid w:val="00175743"/>
    <w:rsid w:val="00175BFC"/>
    <w:rsid w:val="00175F71"/>
    <w:rsid w:val="00175FCB"/>
    <w:rsid w:val="001760C4"/>
    <w:rsid w:val="00176833"/>
    <w:rsid w:val="00176983"/>
    <w:rsid w:val="001769C0"/>
    <w:rsid w:val="00176C72"/>
    <w:rsid w:val="00176CC3"/>
    <w:rsid w:val="00176F52"/>
    <w:rsid w:val="00177087"/>
    <w:rsid w:val="00177562"/>
    <w:rsid w:val="001775C8"/>
    <w:rsid w:val="001777A5"/>
    <w:rsid w:val="00177A58"/>
    <w:rsid w:val="00177A8A"/>
    <w:rsid w:val="00177F0A"/>
    <w:rsid w:val="001802C5"/>
    <w:rsid w:val="0018069C"/>
    <w:rsid w:val="001806B2"/>
    <w:rsid w:val="00180727"/>
    <w:rsid w:val="00180795"/>
    <w:rsid w:val="0018081A"/>
    <w:rsid w:val="001808F3"/>
    <w:rsid w:val="0018091C"/>
    <w:rsid w:val="00180982"/>
    <w:rsid w:val="00181645"/>
    <w:rsid w:val="00181913"/>
    <w:rsid w:val="001819EF"/>
    <w:rsid w:val="00181CBD"/>
    <w:rsid w:val="001820A8"/>
    <w:rsid w:val="001820EB"/>
    <w:rsid w:val="001821DA"/>
    <w:rsid w:val="00182232"/>
    <w:rsid w:val="00182312"/>
    <w:rsid w:val="0018240E"/>
    <w:rsid w:val="00182887"/>
    <w:rsid w:val="00182898"/>
    <w:rsid w:val="00182918"/>
    <w:rsid w:val="0018293B"/>
    <w:rsid w:val="00182CAE"/>
    <w:rsid w:val="00182F33"/>
    <w:rsid w:val="001830CF"/>
    <w:rsid w:val="001833AA"/>
    <w:rsid w:val="00183589"/>
    <w:rsid w:val="00183660"/>
    <w:rsid w:val="00183838"/>
    <w:rsid w:val="00183AE9"/>
    <w:rsid w:val="00183D51"/>
    <w:rsid w:val="00183DD9"/>
    <w:rsid w:val="00184198"/>
    <w:rsid w:val="00184301"/>
    <w:rsid w:val="001843EA"/>
    <w:rsid w:val="001844C6"/>
    <w:rsid w:val="00184560"/>
    <w:rsid w:val="0018486D"/>
    <w:rsid w:val="00184902"/>
    <w:rsid w:val="00184948"/>
    <w:rsid w:val="00184C84"/>
    <w:rsid w:val="00184C94"/>
    <w:rsid w:val="001850B7"/>
    <w:rsid w:val="00185440"/>
    <w:rsid w:val="001854DD"/>
    <w:rsid w:val="00185687"/>
    <w:rsid w:val="00185B54"/>
    <w:rsid w:val="00185E34"/>
    <w:rsid w:val="001864F3"/>
    <w:rsid w:val="00186588"/>
    <w:rsid w:val="00186730"/>
    <w:rsid w:val="00186860"/>
    <w:rsid w:val="00186942"/>
    <w:rsid w:val="001869B8"/>
    <w:rsid w:val="00186B0C"/>
    <w:rsid w:val="00186BDA"/>
    <w:rsid w:val="00186DF3"/>
    <w:rsid w:val="00186E13"/>
    <w:rsid w:val="00186F93"/>
    <w:rsid w:val="00186F9B"/>
    <w:rsid w:val="00186FC8"/>
    <w:rsid w:val="00187169"/>
    <w:rsid w:val="001871CD"/>
    <w:rsid w:val="001873DB"/>
    <w:rsid w:val="001879CC"/>
    <w:rsid w:val="00187ABF"/>
    <w:rsid w:val="00187BF0"/>
    <w:rsid w:val="00187E65"/>
    <w:rsid w:val="001901C6"/>
    <w:rsid w:val="001902A3"/>
    <w:rsid w:val="001904D5"/>
    <w:rsid w:val="0019061A"/>
    <w:rsid w:val="001907D5"/>
    <w:rsid w:val="00190933"/>
    <w:rsid w:val="00190C9E"/>
    <w:rsid w:val="00190ED9"/>
    <w:rsid w:val="001910AC"/>
    <w:rsid w:val="001911F4"/>
    <w:rsid w:val="0019143E"/>
    <w:rsid w:val="001919DA"/>
    <w:rsid w:val="00191A02"/>
    <w:rsid w:val="00191B61"/>
    <w:rsid w:val="00191BF1"/>
    <w:rsid w:val="00191C98"/>
    <w:rsid w:val="00191CCC"/>
    <w:rsid w:val="00191E2D"/>
    <w:rsid w:val="001921B2"/>
    <w:rsid w:val="001927C6"/>
    <w:rsid w:val="00192852"/>
    <w:rsid w:val="001928BF"/>
    <w:rsid w:val="001929C1"/>
    <w:rsid w:val="001929E8"/>
    <w:rsid w:val="00192A2A"/>
    <w:rsid w:val="00192AEA"/>
    <w:rsid w:val="00192B0A"/>
    <w:rsid w:val="00192D67"/>
    <w:rsid w:val="00192D74"/>
    <w:rsid w:val="00192DD6"/>
    <w:rsid w:val="00192F3E"/>
    <w:rsid w:val="001930F8"/>
    <w:rsid w:val="00193146"/>
    <w:rsid w:val="00193555"/>
    <w:rsid w:val="001935AE"/>
    <w:rsid w:val="00193607"/>
    <w:rsid w:val="00193AE8"/>
    <w:rsid w:val="00193C27"/>
    <w:rsid w:val="00193D99"/>
    <w:rsid w:val="00194E78"/>
    <w:rsid w:val="00194EBB"/>
    <w:rsid w:val="001951A7"/>
    <w:rsid w:val="001955C3"/>
    <w:rsid w:val="0019563E"/>
    <w:rsid w:val="00195701"/>
    <w:rsid w:val="0019593B"/>
    <w:rsid w:val="00195A71"/>
    <w:rsid w:val="00195C8F"/>
    <w:rsid w:val="00195CCB"/>
    <w:rsid w:val="00196039"/>
    <w:rsid w:val="00196152"/>
    <w:rsid w:val="0019667D"/>
    <w:rsid w:val="0019672D"/>
    <w:rsid w:val="00196891"/>
    <w:rsid w:val="00196A16"/>
    <w:rsid w:val="00196A1D"/>
    <w:rsid w:val="00196BCE"/>
    <w:rsid w:val="00197369"/>
    <w:rsid w:val="001973D9"/>
    <w:rsid w:val="00197566"/>
    <w:rsid w:val="0019768E"/>
    <w:rsid w:val="001978A6"/>
    <w:rsid w:val="00197A86"/>
    <w:rsid w:val="00197B6A"/>
    <w:rsid w:val="00197C8D"/>
    <w:rsid w:val="00197CB7"/>
    <w:rsid w:val="00197F7C"/>
    <w:rsid w:val="001A00E8"/>
    <w:rsid w:val="001A0276"/>
    <w:rsid w:val="001A06A8"/>
    <w:rsid w:val="001A0702"/>
    <w:rsid w:val="001A08D1"/>
    <w:rsid w:val="001A0A11"/>
    <w:rsid w:val="001A121E"/>
    <w:rsid w:val="001A13BB"/>
    <w:rsid w:val="001A13E8"/>
    <w:rsid w:val="001A14D1"/>
    <w:rsid w:val="001A14D3"/>
    <w:rsid w:val="001A1BE7"/>
    <w:rsid w:val="001A1E95"/>
    <w:rsid w:val="001A1F7F"/>
    <w:rsid w:val="001A2080"/>
    <w:rsid w:val="001A257B"/>
    <w:rsid w:val="001A27D9"/>
    <w:rsid w:val="001A2822"/>
    <w:rsid w:val="001A291A"/>
    <w:rsid w:val="001A29C0"/>
    <w:rsid w:val="001A2BD6"/>
    <w:rsid w:val="001A2C88"/>
    <w:rsid w:val="001A3208"/>
    <w:rsid w:val="001A3267"/>
    <w:rsid w:val="001A3304"/>
    <w:rsid w:val="001A330B"/>
    <w:rsid w:val="001A33A1"/>
    <w:rsid w:val="001A3690"/>
    <w:rsid w:val="001A36E4"/>
    <w:rsid w:val="001A372F"/>
    <w:rsid w:val="001A3AE7"/>
    <w:rsid w:val="001A3C4A"/>
    <w:rsid w:val="001A424A"/>
    <w:rsid w:val="001A43AD"/>
    <w:rsid w:val="001A4F70"/>
    <w:rsid w:val="001A5161"/>
    <w:rsid w:val="001A5851"/>
    <w:rsid w:val="001A5920"/>
    <w:rsid w:val="001A5B5C"/>
    <w:rsid w:val="001A5D4A"/>
    <w:rsid w:val="001A6169"/>
    <w:rsid w:val="001A619D"/>
    <w:rsid w:val="001A61EC"/>
    <w:rsid w:val="001A61F8"/>
    <w:rsid w:val="001A62E9"/>
    <w:rsid w:val="001A661B"/>
    <w:rsid w:val="001A6A0E"/>
    <w:rsid w:val="001A6B57"/>
    <w:rsid w:val="001A6BEC"/>
    <w:rsid w:val="001A7038"/>
    <w:rsid w:val="001A715D"/>
    <w:rsid w:val="001A71E2"/>
    <w:rsid w:val="001A7223"/>
    <w:rsid w:val="001A7297"/>
    <w:rsid w:val="001A7C09"/>
    <w:rsid w:val="001A7C0B"/>
    <w:rsid w:val="001A7FBF"/>
    <w:rsid w:val="001B01B2"/>
    <w:rsid w:val="001B05FD"/>
    <w:rsid w:val="001B064B"/>
    <w:rsid w:val="001B0665"/>
    <w:rsid w:val="001B0773"/>
    <w:rsid w:val="001B0818"/>
    <w:rsid w:val="001B0F85"/>
    <w:rsid w:val="001B1103"/>
    <w:rsid w:val="001B12AB"/>
    <w:rsid w:val="001B1B96"/>
    <w:rsid w:val="001B1BC3"/>
    <w:rsid w:val="001B1C99"/>
    <w:rsid w:val="001B1DD5"/>
    <w:rsid w:val="001B1DFD"/>
    <w:rsid w:val="001B2334"/>
    <w:rsid w:val="001B246A"/>
    <w:rsid w:val="001B2A16"/>
    <w:rsid w:val="001B2A41"/>
    <w:rsid w:val="001B2EBD"/>
    <w:rsid w:val="001B30EC"/>
    <w:rsid w:val="001B3772"/>
    <w:rsid w:val="001B38E2"/>
    <w:rsid w:val="001B3B16"/>
    <w:rsid w:val="001B3F40"/>
    <w:rsid w:val="001B3F66"/>
    <w:rsid w:val="001B40C4"/>
    <w:rsid w:val="001B452F"/>
    <w:rsid w:val="001B4582"/>
    <w:rsid w:val="001B45AD"/>
    <w:rsid w:val="001B46E4"/>
    <w:rsid w:val="001B48C4"/>
    <w:rsid w:val="001B4946"/>
    <w:rsid w:val="001B4A90"/>
    <w:rsid w:val="001B4CB0"/>
    <w:rsid w:val="001B4CB1"/>
    <w:rsid w:val="001B4F0E"/>
    <w:rsid w:val="001B5055"/>
    <w:rsid w:val="001B549E"/>
    <w:rsid w:val="001B5588"/>
    <w:rsid w:val="001B5F53"/>
    <w:rsid w:val="001B5F60"/>
    <w:rsid w:val="001B5F7A"/>
    <w:rsid w:val="001B624E"/>
    <w:rsid w:val="001B63A9"/>
    <w:rsid w:val="001B697A"/>
    <w:rsid w:val="001B6B65"/>
    <w:rsid w:val="001B6DF4"/>
    <w:rsid w:val="001B6EAB"/>
    <w:rsid w:val="001B74DA"/>
    <w:rsid w:val="001B77A4"/>
    <w:rsid w:val="001B77AA"/>
    <w:rsid w:val="001B77D3"/>
    <w:rsid w:val="001B7F88"/>
    <w:rsid w:val="001B7FA0"/>
    <w:rsid w:val="001C0430"/>
    <w:rsid w:val="001C0A88"/>
    <w:rsid w:val="001C0AB5"/>
    <w:rsid w:val="001C11AB"/>
    <w:rsid w:val="001C121D"/>
    <w:rsid w:val="001C1260"/>
    <w:rsid w:val="001C130D"/>
    <w:rsid w:val="001C15C3"/>
    <w:rsid w:val="001C165E"/>
    <w:rsid w:val="001C16C7"/>
    <w:rsid w:val="001C17D7"/>
    <w:rsid w:val="001C1BF7"/>
    <w:rsid w:val="001C1D16"/>
    <w:rsid w:val="001C1DF9"/>
    <w:rsid w:val="001C21B9"/>
    <w:rsid w:val="001C24B2"/>
    <w:rsid w:val="001C2531"/>
    <w:rsid w:val="001C26D7"/>
    <w:rsid w:val="001C274C"/>
    <w:rsid w:val="001C2A89"/>
    <w:rsid w:val="001C2C9D"/>
    <w:rsid w:val="001C2D9F"/>
    <w:rsid w:val="001C2F2B"/>
    <w:rsid w:val="001C30F1"/>
    <w:rsid w:val="001C3104"/>
    <w:rsid w:val="001C384D"/>
    <w:rsid w:val="001C3A8C"/>
    <w:rsid w:val="001C3C8F"/>
    <w:rsid w:val="001C3CD3"/>
    <w:rsid w:val="001C40BE"/>
    <w:rsid w:val="001C40E4"/>
    <w:rsid w:val="001C42D1"/>
    <w:rsid w:val="001C4376"/>
    <w:rsid w:val="001C47EC"/>
    <w:rsid w:val="001C49A9"/>
    <w:rsid w:val="001C49C2"/>
    <w:rsid w:val="001C4D87"/>
    <w:rsid w:val="001C4E6D"/>
    <w:rsid w:val="001C5788"/>
    <w:rsid w:val="001C58C9"/>
    <w:rsid w:val="001C5A46"/>
    <w:rsid w:val="001C5DD1"/>
    <w:rsid w:val="001C6257"/>
    <w:rsid w:val="001C670D"/>
    <w:rsid w:val="001C69B6"/>
    <w:rsid w:val="001C6A20"/>
    <w:rsid w:val="001C6CBE"/>
    <w:rsid w:val="001C6EFE"/>
    <w:rsid w:val="001C7343"/>
    <w:rsid w:val="001C7851"/>
    <w:rsid w:val="001C7ACC"/>
    <w:rsid w:val="001C7B15"/>
    <w:rsid w:val="001C7C98"/>
    <w:rsid w:val="001D0155"/>
    <w:rsid w:val="001D0168"/>
    <w:rsid w:val="001D04D3"/>
    <w:rsid w:val="001D0982"/>
    <w:rsid w:val="001D0EC2"/>
    <w:rsid w:val="001D125F"/>
    <w:rsid w:val="001D12FB"/>
    <w:rsid w:val="001D131E"/>
    <w:rsid w:val="001D159C"/>
    <w:rsid w:val="001D1B3F"/>
    <w:rsid w:val="001D1BB4"/>
    <w:rsid w:val="001D20DA"/>
    <w:rsid w:val="001D2551"/>
    <w:rsid w:val="001D29B6"/>
    <w:rsid w:val="001D2B5D"/>
    <w:rsid w:val="001D2BE1"/>
    <w:rsid w:val="001D3123"/>
    <w:rsid w:val="001D35E8"/>
    <w:rsid w:val="001D36C8"/>
    <w:rsid w:val="001D3DAA"/>
    <w:rsid w:val="001D4123"/>
    <w:rsid w:val="001D4378"/>
    <w:rsid w:val="001D4623"/>
    <w:rsid w:val="001D4770"/>
    <w:rsid w:val="001D4777"/>
    <w:rsid w:val="001D4B2F"/>
    <w:rsid w:val="001D4EC2"/>
    <w:rsid w:val="001D4F6A"/>
    <w:rsid w:val="001D5169"/>
    <w:rsid w:val="001D55D5"/>
    <w:rsid w:val="001D5756"/>
    <w:rsid w:val="001D5BD3"/>
    <w:rsid w:val="001D5E0B"/>
    <w:rsid w:val="001D5EBB"/>
    <w:rsid w:val="001D5F41"/>
    <w:rsid w:val="001D5F59"/>
    <w:rsid w:val="001D5FA3"/>
    <w:rsid w:val="001D60C2"/>
    <w:rsid w:val="001D62F3"/>
    <w:rsid w:val="001D6364"/>
    <w:rsid w:val="001D6B61"/>
    <w:rsid w:val="001D6DDD"/>
    <w:rsid w:val="001D6E67"/>
    <w:rsid w:val="001D6FA3"/>
    <w:rsid w:val="001D6FF9"/>
    <w:rsid w:val="001D71C1"/>
    <w:rsid w:val="001D7727"/>
    <w:rsid w:val="001D7B97"/>
    <w:rsid w:val="001D7CCA"/>
    <w:rsid w:val="001D7D7F"/>
    <w:rsid w:val="001E005C"/>
    <w:rsid w:val="001E050B"/>
    <w:rsid w:val="001E0638"/>
    <w:rsid w:val="001E0666"/>
    <w:rsid w:val="001E0861"/>
    <w:rsid w:val="001E09DF"/>
    <w:rsid w:val="001E0C8E"/>
    <w:rsid w:val="001E0CD6"/>
    <w:rsid w:val="001E0E83"/>
    <w:rsid w:val="001E0E91"/>
    <w:rsid w:val="001E1067"/>
    <w:rsid w:val="001E1800"/>
    <w:rsid w:val="001E19C6"/>
    <w:rsid w:val="001E1A42"/>
    <w:rsid w:val="001E290A"/>
    <w:rsid w:val="001E2AE7"/>
    <w:rsid w:val="001E3313"/>
    <w:rsid w:val="001E3824"/>
    <w:rsid w:val="001E3A4A"/>
    <w:rsid w:val="001E3CB4"/>
    <w:rsid w:val="001E3CB6"/>
    <w:rsid w:val="001E3E1F"/>
    <w:rsid w:val="001E3E6D"/>
    <w:rsid w:val="001E3E9B"/>
    <w:rsid w:val="001E40C5"/>
    <w:rsid w:val="001E4804"/>
    <w:rsid w:val="001E4C08"/>
    <w:rsid w:val="001E4C1A"/>
    <w:rsid w:val="001E4DE6"/>
    <w:rsid w:val="001E4FA3"/>
    <w:rsid w:val="001E5212"/>
    <w:rsid w:val="001E5762"/>
    <w:rsid w:val="001E5818"/>
    <w:rsid w:val="001E5995"/>
    <w:rsid w:val="001E5A37"/>
    <w:rsid w:val="001E5E3A"/>
    <w:rsid w:val="001E6363"/>
    <w:rsid w:val="001E6477"/>
    <w:rsid w:val="001E6593"/>
    <w:rsid w:val="001E6622"/>
    <w:rsid w:val="001E670E"/>
    <w:rsid w:val="001E68FA"/>
    <w:rsid w:val="001E69C0"/>
    <w:rsid w:val="001E69DE"/>
    <w:rsid w:val="001E6CFD"/>
    <w:rsid w:val="001E7352"/>
    <w:rsid w:val="001E754E"/>
    <w:rsid w:val="001E7ABF"/>
    <w:rsid w:val="001E7B18"/>
    <w:rsid w:val="001E7BFD"/>
    <w:rsid w:val="001E7E9C"/>
    <w:rsid w:val="001F0087"/>
    <w:rsid w:val="001F0396"/>
    <w:rsid w:val="001F0492"/>
    <w:rsid w:val="001F058F"/>
    <w:rsid w:val="001F0605"/>
    <w:rsid w:val="001F07B5"/>
    <w:rsid w:val="001F0871"/>
    <w:rsid w:val="001F0B5B"/>
    <w:rsid w:val="001F0BEF"/>
    <w:rsid w:val="001F14B4"/>
    <w:rsid w:val="001F1500"/>
    <w:rsid w:val="001F1592"/>
    <w:rsid w:val="001F15D1"/>
    <w:rsid w:val="001F167D"/>
    <w:rsid w:val="001F171E"/>
    <w:rsid w:val="001F1E89"/>
    <w:rsid w:val="001F206D"/>
    <w:rsid w:val="001F251F"/>
    <w:rsid w:val="001F256C"/>
    <w:rsid w:val="001F259E"/>
    <w:rsid w:val="001F26C7"/>
    <w:rsid w:val="001F2768"/>
    <w:rsid w:val="001F2822"/>
    <w:rsid w:val="001F29A4"/>
    <w:rsid w:val="001F2B1D"/>
    <w:rsid w:val="001F2C01"/>
    <w:rsid w:val="001F2C45"/>
    <w:rsid w:val="001F2D59"/>
    <w:rsid w:val="001F31C7"/>
    <w:rsid w:val="001F3327"/>
    <w:rsid w:val="001F3605"/>
    <w:rsid w:val="001F3A38"/>
    <w:rsid w:val="001F3C30"/>
    <w:rsid w:val="001F3D77"/>
    <w:rsid w:val="001F3E5D"/>
    <w:rsid w:val="001F3E86"/>
    <w:rsid w:val="001F3FEA"/>
    <w:rsid w:val="001F406D"/>
    <w:rsid w:val="001F44C9"/>
    <w:rsid w:val="001F464C"/>
    <w:rsid w:val="001F4769"/>
    <w:rsid w:val="001F4AD3"/>
    <w:rsid w:val="001F4BC8"/>
    <w:rsid w:val="001F4CF2"/>
    <w:rsid w:val="001F4DD6"/>
    <w:rsid w:val="001F4F5E"/>
    <w:rsid w:val="001F52D9"/>
    <w:rsid w:val="001F532E"/>
    <w:rsid w:val="001F54DC"/>
    <w:rsid w:val="001F58A9"/>
    <w:rsid w:val="001F5C09"/>
    <w:rsid w:val="001F5C1D"/>
    <w:rsid w:val="001F6101"/>
    <w:rsid w:val="001F6201"/>
    <w:rsid w:val="001F6331"/>
    <w:rsid w:val="001F678B"/>
    <w:rsid w:val="001F6ABE"/>
    <w:rsid w:val="001F6EC2"/>
    <w:rsid w:val="001F713F"/>
    <w:rsid w:val="001F722A"/>
    <w:rsid w:val="001F78BF"/>
    <w:rsid w:val="001F7C24"/>
    <w:rsid w:val="001F7F90"/>
    <w:rsid w:val="001F7F92"/>
    <w:rsid w:val="002000E7"/>
    <w:rsid w:val="002003E0"/>
    <w:rsid w:val="002004D0"/>
    <w:rsid w:val="002004E2"/>
    <w:rsid w:val="00200558"/>
    <w:rsid w:val="002008A7"/>
    <w:rsid w:val="00200BF5"/>
    <w:rsid w:val="00200CD2"/>
    <w:rsid w:val="00201136"/>
    <w:rsid w:val="002012DF"/>
    <w:rsid w:val="0020169D"/>
    <w:rsid w:val="00201CC2"/>
    <w:rsid w:val="00201CE0"/>
    <w:rsid w:val="00201DC7"/>
    <w:rsid w:val="00201F0E"/>
    <w:rsid w:val="0020203F"/>
    <w:rsid w:val="002021BB"/>
    <w:rsid w:val="0020230D"/>
    <w:rsid w:val="002026AE"/>
    <w:rsid w:val="002029C6"/>
    <w:rsid w:val="00202F48"/>
    <w:rsid w:val="00203033"/>
    <w:rsid w:val="0020309B"/>
    <w:rsid w:val="002030D6"/>
    <w:rsid w:val="00203305"/>
    <w:rsid w:val="002033D1"/>
    <w:rsid w:val="002033F3"/>
    <w:rsid w:val="002035EA"/>
    <w:rsid w:val="00203758"/>
    <w:rsid w:val="00203786"/>
    <w:rsid w:val="00203813"/>
    <w:rsid w:val="0020384D"/>
    <w:rsid w:val="00203891"/>
    <w:rsid w:val="00203B5B"/>
    <w:rsid w:val="00203C74"/>
    <w:rsid w:val="00203E58"/>
    <w:rsid w:val="002042A3"/>
    <w:rsid w:val="00204440"/>
    <w:rsid w:val="0020449E"/>
    <w:rsid w:val="0020464C"/>
    <w:rsid w:val="00204684"/>
    <w:rsid w:val="0020493D"/>
    <w:rsid w:val="00204A76"/>
    <w:rsid w:val="00204D75"/>
    <w:rsid w:val="00204D99"/>
    <w:rsid w:val="00204F77"/>
    <w:rsid w:val="002050A4"/>
    <w:rsid w:val="002050FA"/>
    <w:rsid w:val="002051A4"/>
    <w:rsid w:val="002051B9"/>
    <w:rsid w:val="002052F8"/>
    <w:rsid w:val="002054BB"/>
    <w:rsid w:val="00205749"/>
    <w:rsid w:val="0020574C"/>
    <w:rsid w:val="00205969"/>
    <w:rsid w:val="00205C8D"/>
    <w:rsid w:val="00205CE4"/>
    <w:rsid w:val="002060BC"/>
    <w:rsid w:val="00206120"/>
    <w:rsid w:val="002065DA"/>
    <w:rsid w:val="00206602"/>
    <w:rsid w:val="002069FA"/>
    <w:rsid w:val="00206CF2"/>
    <w:rsid w:val="00206E5C"/>
    <w:rsid w:val="00206F07"/>
    <w:rsid w:val="00206FF6"/>
    <w:rsid w:val="002070AB"/>
    <w:rsid w:val="00207221"/>
    <w:rsid w:val="00207664"/>
    <w:rsid w:val="00207808"/>
    <w:rsid w:val="00207852"/>
    <w:rsid w:val="002078B5"/>
    <w:rsid w:val="00207912"/>
    <w:rsid w:val="002079EB"/>
    <w:rsid w:val="0021019F"/>
    <w:rsid w:val="002102D6"/>
    <w:rsid w:val="002104BF"/>
    <w:rsid w:val="00210764"/>
    <w:rsid w:val="0021082A"/>
    <w:rsid w:val="00210CED"/>
    <w:rsid w:val="00210D61"/>
    <w:rsid w:val="002112AC"/>
    <w:rsid w:val="002113ED"/>
    <w:rsid w:val="002114A6"/>
    <w:rsid w:val="00211B41"/>
    <w:rsid w:val="00211D6C"/>
    <w:rsid w:val="00211F85"/>
    <w:rsid w:val="00212139"/>
    <w:rsid w:val="002123D8"/>
    <w:rsid w:val="0021256D"/>
    <w:rsid w:val="0021257B"/>
    <w:rsid w:val="002125DC"/>
    <w:rsid w:val="002127E8"/>
    <w:rsid w:val="00212B51"/>
    <w:rsid w:val="00212CF2"/>
    <w:rsid w:val="00212EEF"/>
    <w:rsid w:val="002132FB"/>
    <w:rsid w:val="00213E33"/>
    <w:rsid w:val="00213FBF"/>
    <w:rsid w:val="00213FF2"/>
    <w:rsid w:val="00214007"/>
    <w:rsid w:val="002141F7"/>
    <w:rsid w:val="0021428D"/>
    <w:rsid w:val="002144CF"/>
    <w:rsid w:val="00214802"/>
    <w:rsid w:val="002148F7"/>
    <w:rsid w:val="0021496C"/>
    <w:rsid w:val="00214ED4"/>
    <w:rsid w:val="00214FFC"/>
    <w:rsid w:val="0021500D"/>
    <w:rsid w:val="0021507F"/>
    <w:rsid w:val="002151EC"/>
    <w:rsid w:val="002154EE"/>
    <w:rsid w:val="0021558D"/>
    <w:rsid w:val="00215B8E"/>
    <w:rsid w:val="00215CA2"/>
    <w:rsid w:val="00215CB8"/>
    <w:rsid w:val="00215F8B"/>
    <w:rsid w:val="0021614F"/>
    <w:rsid w:val="002163B5"/>
    <w:rsid w:val="00216782"/>
    <w:rsid w:val="00216A16"/>
    <w:rsid w:val="00216AA9"/>
    <w:rsid w:val="00216BF0"/>
    <w:rsid w:val="00216D07"/>
    <w:rsid w:val="00216E52"/>
    <w:rsid w:val="00216E75"/>
    <w:rsid w:val="0021715E"/>
    <w:rsid w:val="0021734E"/>
    <w:rsid w:val="002176BC"/>
    <w:rsid w:val="0021771E"/>
    <w:rsid w:val="00217A90"/>
    <w:rsid w:val="00217CF5"/>
    <w:rsid w:val="00220048"/>
    <w:rsid w:val="002203E3"/>
    <w:rsid w:val="002204A8"/>
    <w:rsid w:val="00220670"/>
    <w:rsid w:val="00220754"/>
    <w:rsid w:val="00220ABF"/>
    <w:rsid w:val="00220E10"/>
    <w:rsid w:val="00220F2A"/>
    <w:rsid w:val="00220F33"/>
    <w:rsid w:val="00220F4D"/>
    <w:rsid w:val="00220F60"/>
    <w:rsid w:val="00220F9A"/>
    <w:rsid w:val="002210D3"/>
    <w:rsid w:val="00221967"/>
    <w:rsid w:val="00221ADB"/>
    <w:rsid w:val="00221DF8"/>
    <w:rsid w:val="00221F06"/>
    <w:rsid w:val="00222367"/>
    <w:rsid w:val="00222382"/>
    <w:rsid w:val="0022257F"/>
    <w:rsid w:val="00222C4A"/>
    <w:rsid w:val="002231BE"/>
    <w:rsid w:val="002231DF"/>
    <w:rsid w:val="0022320E"/>
    <w:rsid w:val="00223236"/>
    <w:rsid w:val="0022335D"/>
    <w:rsid w:val="002235B1"/>
    <w:rsid w:val="002239AB"/>
    <w:rsid w:val="00223B36"/>
    <w:rsid w:val="0022402A"/>
    <w:rsid w:val="0022468F"/>
    <w:rsid w:val="00224877"/>
    <w:rsid w:val="00224969"/>
    <w:rsid w:val="00224D53"/>
    <w:rsid w:val="00224E93"/>
    <w:rsid w:val="00224EDF"/>
    <w:rsid w:val="00225028"/>
    <w:rsid w:val="0022533C"/>
    <w:rsid w:val="0022552D"/>
    <w:rsid w:val="0022572D"/>
    <w:rsid w:val="00225746"/>
    <w:rsid w:val="002257BA"/>
    <w:rsid w:val="0022596D"/>
    <w:rsid w:val="002259CC"/>
    <w:rsid w:val="002259D9"/>
    <w:rsid w:val="00225DAB"/>
    <w:rsid w:val="00225DF1"/>
    <w:rsid w:val="0022611E"/>
    <w:rsid w:val="002264F6"/>
    <w:rsid w:val="00226612"/>
    <w:rsid w:val="002266AB"/>
    <w:rsid w:val="002266FB"/>
    <w:rsid w:val="00226751"/>
    <w:rsid w:val="002267D3"/>
    <w:rsid w:val="00226C09"/>
    <w:rsid w:val="00226DA9"/>
    <w:rsid w:val="002271B2"/>
    <w:rsid w:val="002272CB"/>
    <w:rsid w:val="002273B4"/>
    <w:rsid w:val="00227773"/>
    <w:rsid w:val="00227B50"/>
    <w:rsid w:val="00227CFC"/>
    <w:rsid w:val="00227D9E"/>
    <w:rsid w:val="00227ECF"/>
    <w:rsid w:val="002300A2"/>
    <w:rsid w:val="00230340"/>
    <w:rsid w:val="00230591"/>
    <w:rsid w:val="00230769"/>
    <w:rsid w:val="002308ED"/>
    <w:rsid w:val="002308FE"/>
    <w:rsid w:val="0023094F"/>
    <w:rsid w:val="002309A6"/>
    <w:rsid w:val="00230A23"/>
    <w:rsid w:val="00230C63"/>
    <w:rsid w:val="00230E81"/>
    <w:rsid w:val="00230FDD"/>
    <w:rsid w:val="002312DF"/>
    <w:rsid w:val="00231322"/>
    <w:rsid w:val="00231418"/>
    <w:rsid w:val="00231777"/>
    <w:rsid w:val="00231C97"/>
    <w:rsid w:val="00231DF6"/>
    <w:rsid w:val="00232011"/>
    <w:rsid w:val="002323D4"/>
    <w:rsid w:val="00232528"/>
    <w:rsid w:val="00232D35"/>
    <w:rsid w:val="00232D3C"/>
    <w:rsid w:val="00232E7D"/>
    <w:rsid w:val="00232E9D"/>
    <w:rsid w:val="00232F18"/>
    <w:rsid w:val="00232F43"/>
    <w:rsid w:val="00233226"/>
    <w:rsid w:val="0023324F"/>
    <w:rsid w:val="002332AD"/>
    <w:rsid w:val="00233333"/>
    <w:rsid w:val="0023336E"/>
    <w:rsid w:val="00233506"/>
    <w:rsid w:val="0023381E"/>
    <w:rsid w:val="0023382C"/>
    <w:rsid w:val="002339D0"/>
    <w:rsid w:val="00233C7F"/>
    <w:rsid w:val="002344EF"/>
    <w:rsid w:val="0023456A"/>
    <w:rsid w:val="002345DA"/>
    <w:rsid w:val="002348AA"/>
    <w:rsid w:val="00234B2D"/>
    <w:rsid w:val="00234B85"/>
    <w:rsid w:val="00234F27"/>
    <w:rsid w:val="00234F57"/>
    <w:rsid w:val="0023528C"/>
    <w:rsid w:val="00235404"/>
    <w:rsid w:val="002355A3"/>
    <w:rsid w:val="00235AA0"/>
    <w:rsid w:val="002364B2"/>
    <w:rsid w:val="00236546"/>
    <w:rsid w:val="002368FE"/>
    <w:rsid w:val="00236C70"/>
    <w:rsid w:val="00236EC1"/>
    <w:rsid w:val="002372CC"/>
    <w:rsid w:val="00237399"/>
    <w:rsid w:val="00237ACD"/>
    <w:rsid w:val="00237AF6"/>
    <w:rsid w:val="00237C11"/>
    <w:rsid w:val="00237E30"/>
    <w:rsid w:val="00237F41"/>
    <w:rsid w:val="002404A9"/>
    <w:rsid w:val="00240CFB"/>
    <w:rsid w:val="00240E27"/>
    <w:rsid w:val="00240F71"/>
    <w:rsid w:val="00241303"/>
    <w:rsid w:val="002413EB"/>
    <w:rsid w:val="00241406"/>
    <w:rsid w:val="0024147E"/>
    <w:rsid w:val="00241491"/>
    <w:rsid w:val="00241969"/>
    <w:rsid w:val="00241CCF"/>
    <w:rsid w:val="00241EA8"/>
    <w:rsid w:val="00242028"/>
    <w:rsid w:val="002420D5"/>
    <w:rsid w:val="0024216C"/>
    <w:rsid w:val="00242199"/>
    <w:rsid w:val="002421A0"/>
    <w:rsid w:val="002421A7"/>
    <w:rsid w:val="00242713"/>
    <w:rsid w:val="002429EA"/>
    <w:rsid w:val="00242AC0"/>
    <w:rsid w:val="00242D74"/>
    <w:rsid w:val="00243237"/>
    <w:rsid w:val="00243316"/>
    <w:rsid w:val="0024340E"/>
    <w:rsid w:val="0024344F"/>
    <w:rsid w:val="0024389D"/>
    <w:rsid w:val="0024390C"/>
    <w:rsid w:val="00243A21"/>
    <w:rsid w:val="00243B35"/>
    <w:rsid w:val="002443AF"/>
    <w:rsid w:val="00244440"/>
    <w:rsid w:val="00244502"/>
    <w:rsid w:val="00244515"/>
    <w:rsid w:val="0024475B"/>
    <w:rsid w:val="00244A86"/>
    <w:rsid w:val="00244ADC"/>
    <w:rsid w:val="00244F51"/>
    <w:rsid w:val="00245094"/>
    <w:rsid w:val="002456DE"/>
    <w:rsid w:val="0024583A"/>
    <w:rsid w:val="00245D5A"/>
    <w:rsid w:val="00245E17"/>
    <w:rsid w:val="002460AE"/>
    <w:rsid w:val="00246AF8"/>
    <w:rsid w:val="00246F3E"/>
    <w:rsid w:val="002470AF"/>
    <w:rsid w:val="002471BB"/>
    <w:rsid w:val="002471DD"/>
    <w:rsid w:val="00247603"/>
    <w:rsid w:val="002476F7"/>
    <w:rsid w:val="0024781A"/>
    <w:rsid w:val="002478D8"/>
    <w:rsid w:val="00247CE3"/>
    <w:rsid w:val="00247D36"/>
    <w:rsid w:val="0025000F"/>
    <w:rsid w:val="002500B5"/>
    <w:rsid w:val="002500F8"/>
    <w:rsid w:val="002505C3"/>
    <w:rsid w:val="00250610"/>
    <w:rsid w:val="00250792"/>
    <w:rsid w:val="00250ADA"/>
    <w:rsid w:val="00250C1B"/>
    <w:rsid w:val="00250C75"/>
    <w:rsid w:val="002512C5"/>
    <w:rsid w:val="002513E1"/>
    <w:rsid w:val="002514EC"/>
    <w:rsid w:val="00251837"/>
    <w:rsid w:val="002518EF"/>
    <w:rsid w:val="00251CB6"/>
    <w:rsid w:val="00252210"/>
    <w:rsid w:val="00252408"/>
    <w:rsid w:val="00252561"/>
    <w:rsid w:val="00252594"/>
    <w:rsid w:val="002525AC"/>
    <w:rsid w:val="00252695"/>
    <w:rsid w:val="002528D5"/>
    <w:rsid w:val="00252C5D"/>
    <w:rsid w:val="00252E44"/>
    <w:rsid w:val="00252E77"/>
    <w:rsid w:val="00252FE4"/>
    <w:rsid w:val="002535BA"/>
    <w:rsid w:val="002537FB"/>
    <w:rsid w:val="00253A33"/>
    <w:rsid w:val="00253D30"/>
    <w:rsid w:val="00253D33"/>
    <w:rsid w:val="00253E76"/>
    <w:rsid w:val="00253F9C"/>
    <w:rsid w:val="00254087"/>
    <w:rsid w:val="002540C0"/>
    <w:rsid w:val="002542F2"/>
    <w:rsid w:val="00254CD2"/>
    <w:rsid w:val="0025504B"/>
    <w:rsid w:val="0025506C"/>
    <w:rsid w:val="0025530B"/>
    <w:rsid w:val="00255350"/>
    <w:rsid w:val="00255356"/>
    <w:rsid w:val="002553BB"/>
    <w:rsid w:val="00255506"/>
    <w:rsid w:val="002556F6"/>
    <w:rsid w:val="00255929"/>
    <w:rsid w:val="00255A6B"/>
    <w:rsid w:val="00255F2F"/>
    <w:rsid w:val="0025604C"/>
    <w:rsid w:val="00256373"/>
    <w:rsid w:val="002566C7"/>
    <w:rsid w:val="00256904"/>
    <w:rsid w:val="00256A89"/>
    <w:rsid w:val="00256AA6"/>
    <w:rsid w:val="00256CD1"/>
    <w:rsid w:val="0025728C"/>
    <w:rsid w:val="0025775B"/>
    <w:rsid w:val="00257816"/>
    <w:rsid w:val="002579F5"/>
    <w:rsid w:val="00257E89"/>
    <w:rsid w:val="0026009E"/>
    <w:rsid w:val="002600C6"/>
    <w:rsid w:val="002601A8"/>
    <w:rsid w:val="002601A9"/>
    <w:rsid w:val="0026044E"/>
    <w:rsid w:val="0026047C"/>
    <w:rsid w:val="0026050C"/>
    <w:rsid w:val="00260810"/>
    <w:rsid w:val="00260B7C"/>
    <w:rsid w:val="002610AE"/>
    <w:rsid w:val="0026140D"/>
    <w:rsid w:val="002615ED"/>
    <w:rsid w:val="00261AB7"/>
    <w:rsid w:val="00261BBB"/>
    <w:rsid w:val="00261EA8"/>
    <w:rsid w:val="00261FC6"/>
    <w:rsid w:val="00262105"/>
    <w:rsid w:val="00262120"/>
    <w:rsid w:val="00262B7F"/>
    <w:rsid w:val="00262CBE"/>
    <w:rsid w:val="00262E13"/>
    <w:rsid w:val="0026329C"/>
    <w:rsid w:val="002632C5"/>
    <w:rsid w:val="002633A3"/>
    <w:rsid w:val="0026357E"/>
    <w:rsid w:val="002635DF"/>
    <w:rsid w:val="00263C53"/>
    <w:rsid w:val="00263C7D"/>
    <w:rsid w:val="002643F7"/>
    <w:rsid w:val="0026459E"/>
    <w:rsid w:val="002645BE"/>
    <w:rsid w:val="00264711"/>
    <w:rsid w:val="00264CB1"/>
    <w:rsid w:val="00264D0B"/>
    <w:rsid w:val="002654FC"/>
    <w:rsid w:val="00265A7A"/>
    <w:rsid w:val="00265F6D"/>
    <w:rsid w:val="002663D9"/>
    <w:rsid w:val="00266B40"/>
    <w:rsid w:val="00266B58"/>
    <w:rsid w:val="00266FFB"/>
    <w:rsid w:val="002676E0"/>
    <w:rsid w:val="0026770A"/>
    <w:rsid w:val="00267C66"/>
    <w:rsid w:val="00267FA4"/>
    <w:rsid w:val="00270215"/>
    <w:rsid w:val="002705D0"/>
    <w:rsid w:val="00270831"/>
    <w:rsid w:val="00270F1F"/>
    <w:rsid w:val="0027156D"/>
    <w:rsid w:val="00271612"/>
    <w:rsid w:val="00271995"/>
    <w:rsid w:val="00271D6C"/>
    <w:rsid w:val="00271D76"/>
    <w:rsid w:val="002720EC"/>
    <w:rsid w:val="002724A9"/>
    <w:rsid w:val="002726C2"/>
    <w:rsid w:val="00272968"/>
    <w:rsid w:val="00272AB0"/>
    <w:rsid w:val="00272B91"/>
    <w:rsid w:val="00272BAB"/>
    <w:rsid w:val="00273521"/>
    <w:rsid w:val="002738EA"/>
    <w:rsid w:val="00273920"/>
    <w:rsid w:val="002739E6"/>
    <w:rsid w:val="00273C83"/>
    <w:rsid w:val="00274460"/>
    <w:rsid w:val="0027480E"/>
    <w:rsid w:val="00274960"/>
    <w:rsid w:val="00274B94"/>
    <w:rsid w:val="0027508C"/>
    <w:rsid w:val="002756E6"/>
    <w:rsid w:val="002757AF"/>
    <w:rsid w:val="00275A9D"/>
    <w:rsid w:val="00275CC1"/>
    <w:rsid w:val="00275F43"/>
    <w:rsid w:val="00275FA5"/>
    <w:rsid w:val="00276345"/>
    <w:rsid w:val="00276354"/>
    <w:rsid w:val="0027694C"/>
    <w:rsid w:val="00276B24"/>
    <w:rsid w:val="00276BF5"/>
    <w:rsid w:val="00276CF3"/>
    <w:rsid w:val="00276E8F"/>
    <w:rsid w:val="00277432"/>
    <w:rsid w:val="00277668"/>
    <w:rsid w:val="002776DD"/>
    <w:rsid w:val="00277710"/>
    <w:rsid w:val="00277750"/>
    <w:rsid w:val="00277752"/>
    <w:rsid w:val="00277A29"/>
    <w:rsid w:val="00277CC1"/>
    <w:rsid w:val="00277D41"/>
    <w:rsid w:val="0028009E"/>
    <w:rsid w:val="0028013D"/>
    <w:rsid w:val="0028040E"/>
    <w:rsid w:val="0028068D"/>
    <w:rsid w:val="002807B5"/>
    <w:rsid w:val="002808BE"/>
    <w:rsid w:val="00280E62"/>
    <w:rsid w:val="00281133"/>
    <w:rsid w:val="00281550"/>
    <w:rsid w:val="0028171C"/>
    <w:rsid w:val="00281819"/>
    <w:rsid w:val="00281C6A"/>
    <w:rsid w:val="00281D3D"/>
    <w:rsid w:val="00281F9C"/>
    <w:rsid w:val="002820E3"/>
    <w:rsid w:val="00282128"/>
    <w:rsid w:val="00282379"/>
    <w:rsid w:val="0028243C"/>
    <w:rsid w:val="0028261F"/>
    <w:rsid w:val="002827AA"/>
    <w:rsid w:val="002828C5"/>
    <w:rsid w:val="00282AF8"/>
    <w:rsid w:val="00282CC9"/>
    <w:rsid w:val="00282E40"/>
    <w:rsid w:val="00282EF4"/>
    <w:rsid w:val="00283591"/>
    <w:rsid w:val="002839CD"/>
    <w:rsid w:val="00283AE1"/>
    <w:rsid w:val="00284100"/>
    <w:rsid w:val="002841A3"/>
    <w:rsid w:val="0028435B"/>
    <w:rsid w:val="002845FE"/>
    <w:rsid w:val="0028489C"/>
    <w:rsid w:val="00284B26"/>
    <w:rsid w:val="00284BAF"/>
    <w:rsid w:val="00284C25"/>
    <w:rsid w:val="00284CCF"/>
    <w:rsid w:val="00284CF7"/>
    <w:rsid w:val="0028502D"/>
    <w:rsid w:val="002851B2"/>
    <w:rsid w:val="0028535D"/>
    <w:rsid w:val="00285491"/>
    <w:rsid w:val="00285768"/>
    <w:rsid w:val="002857A7"/>
    <w:rsid w:val="00285A33"/>
    <w:rsid w:val="00285AF9"/>
    <w:rsid w:val="00285B4D"/>
    <w:rsid w:val="00285D87"/>
    <w:rsid w:val="002863F5"/>
    <w:rsid w:val="00286435"/>
    <w:rsid w:val="0028668A"/>
    <w:rsid w:val="0028699A"/>
    <w:rsid w:val="00286B12"/>
    <w:rsid w:val="00286C4C"/>
    <w:rsid w:val="00286DD8"/>
    <w:rsid w:val="002871D4"/>
    <w:rsid w:val="002873A6"/>
    <w:rsid w:val="00287764"/>
    <w:rsid w:val="002878C7"/>
    <w:rsid w:val="002879D4"/>
    <w:rsid w:val="00287A9E"/>
    <w:rsid w:val="00287BD0"/>
    <w:rsid w:val="00290448"/>
    <w:rsid w:val="002904E9"/>
    <w:rsid w:val="0029053D"/>
    <w:rsid w:val="0029089A"/>
    <w:rsid w:val="002908EE"/>
    <w:rsid w:val="002909C0"/>
    <w:rsid w:val="00290D21"/>
    <w:rsid w:val="00291054"/>
    <w:rsid w:val="00291094"/>
    <w:rsid w:val="00291359"/>
    <w:rsid w:val="00291557"/>
    <w:rsid w:val="00291560"/>
    <w:rsid w:val="00291611"/>
    <w:rsid w:val="002919E2"/>
    <w:rsid w:val="00291A77"/>
    <w:rsid w:val="00291AB7"/>
    <w:rsid w:val="00291ADC"/>
    <w:rsid w:val="00291CFD"/>
    <w:rsid w:val="002922D7"/>
    <w:rsid w:val="00292613"/>
    <w:rsid w:val="00292696"/>
    <w:rsid w:val="00292A06"/>
    <w:rsid w:val="00292C4C"/>
    <w:rsid w:val="00292D7C"/>
    <w:rsid w:val="00292D91"/>
    <w:rsid w:val="00293246"/>
    <w:rsid w:val="00293268"/>
    <w:rsid w:val="002933CB"/>
    <w:rsid w:val="00293CB1"/>
    <w:rsid w:val="002940EF"/>
    <w:rsid w:val="002943AA"/>
    <w:rsid w:val="00294539"/>
    <w:rsid w:val="0029457C"/>
    <w:rsid w:val="0029458B"/>
    <w:rsid w:val="00294791"/>
    <w:rsid w:val="00294A70"/>
    <w:rsid w:val="00294A77"/>
    <w:rsid w:val="00294A9B"/>
    <w:rsid w:val="00294BC3"/>
    <w:rsid w:val="00295547"/>
    <w:rsid w:val="002956B2"/>
    <w:rsid w:val="00295910"/>
    <w:rsid w:val="00295A83"/>
    <w:rsid w:val="00295C91"/>
    <w:rsid w:val="00295E1F"/>
    <w:rsid w:val="0029607F"/>
    <w:rsid w:val="0029621E"/>
    <w:rsid w:val="002962A0"/>
    <w:rsid w:val="00296321"/>
    <w:rsid w:val="0029635F"/>
    <w:rsid w:val="00296B99"/>
    <w:rsid w:val="00296C87"/>
    <w:rsid w:val="00296D2B"/>
    <w:rsid w:val="002970BA"/>
    <w:rsid w:val="00297149"/>
    <w:rsid w:val="002972F1"/>
    <w:rsid w:val="00297687"/>
    <w:rsid w:val="0029796F"/>
    <w:rsid w:val="00297B5A"/>
    <w:rsid w:val="00297BC8"/>
    <w:rsid w:val="00297ECC"/>
    <w:rsid w:val="002A0162"/>
    <w:rsid w:val="002A03C7"/>
    <w:rsid w:val="002A05C9"/>
    <w:rsid w:val="002A08BC"/>
    <w:rsid w:val="002A0F64"/>
    <w:rsid w:val="002A0FA6"/>
    <w:rsid w:val="002A15BD"/>
    <w:rsid w:val="002A1989"/>
    <w:rsid w:val="002A19BD"/>
    <w:rsid w:val="002A1A68"/>
    <w:rsid w:val="002A1CFE"/>
    <w:rsid w:val="002A1EA4"/>
    <w:rsid w:val="002A1EAD"/>
    <w:rsid w:val="002A2245"/>
    <w:rsid w:val="002A2308"/>
    <w:rsid w:val="002A2424"/>
    <w:rsid w:val="002A26D0"/>
    <w:rsid w:val="002A2A03"/>
    <w:rsid w:val="002A2BA5"/>
    <w:rsid w:val="002A2FEA"/>
    <w:rsid w:val="002A30B5"/>
    <w:rsid w:val="002A30C2"/>
    <w:rsid w:val="002A35BE"/>
    <w:rsid w:val="002A370C"/>
    <w:rsid w:val="002A379D"/>
    <w:rsid w:val="002A3DD7"/>
    <w:rsid w:val="002A4AD4"/>
    <w:rsid w:val="002A5161"/>
    <w:rsid w:val="002A5187"/>
    <w:rsid w:val="002A54C4"/>
    <w:rsid w:val="002A555B"/>
    <w:rsid w:val="002A55E4"/>
    <w:rsid w:val="002A567A"/>
    <w:rsid w:val="002A570A"/>
    <w:rsid w:val="002A5757"/>
    <w:rsid w:val="002A5D52"/>
    <w:rsid w:val="002A5E64"/>
    <w:rsid w:val="002A615C"/>
    <w:rsid w:val="002A654A"/>
    <w:rsid w:val="002A6BBB"/>
    <w:rsid w:val="002A74E9"/>
    <w:rsid w:val="002A75FB"/>
    <w:rsid w:val="002A766E"/>
    <w:rsid w:val="002A7AA7"/>
    <w:rsid w:val="002B0109"/>
    <w:rsid w:val="002B021F"/>
    <w:rsid w:val="002B0AAC"/>
    <w:rsid w:val="002B0D2A"/>
    <w:rsid w:val="002B0D7F"/>
    <w:rsid w:val="002B0DD8"/>
    <w:rsid w:val="002B0E9B"/>
    <w:rsid w:val="002B0F42"/>
    <w:rsid w:val="002B1196"/>
    <w:rsid w:val="002B123D"/>
    <w:rsid w:val="002B12B2"/>
    <w:rsid w:val="002B153D"/>
    <w:rsid w:val="002B1CA7"/>
    <w:rsid w:val="002B1FE3"/>
    <w:rsid w:val="002B2114"/>
    <w:rsid w:val="002B2159"/>
    <w:rsid w:val="002B258B"/>
    <w:rsid w:val="002B296F"/>
    <w:rsid w:val="002B2FD0"/>
    <w:rsid w:val="002B30A7"/>
    <w:rsid w:val="002B3285"/>
    <w:rsid w:val="002B32F8"/>
    <w:rsid w:val="002B3302"/>
    <w:rsid w:val="002B39B0"/>
    <w:rsid w:val="002B3ABA"/>
    <w:rsid w:val="002B3CC6"/>
    <w:rsid w:val="002B3EFC"/>
    <w:rsid w:val="002B3F56"/>
    <w:rsid w:val="002B40C8"/>
    <w:rsid w:val="002B40F5"/>
    <w:rsid w:val="002B43E6"/>
    <w:rsid w:val="002B4458"/>
    <w:rsid w:val="002B467F"/>
    <w:rsid w:val="002B4A5E"/>
    <w:rsid w:val="002B4B6D"/>
    <w:rsid w:val="002B4BDC"/>
    <w:rsid w:val="002B4C03"/>
    <w:rsid w:val="002B4CDC"/>
    <w:rsid w:val="002B4E76"/>
    <w:rsid w:val="002B508A"/>
    <w:rsid w:val="002B56DE"/>
    <w:rsid w:val="002B585E"/>
    <w:rsid w:val="002B5A6D"/>
    <w:rsid w:val="002B5B5B"/>
    <w:rsid w:val="002B5D05"/>
    <w:rsid w:val="002B5F27"/>
    <w:rsid w:val="002B5F4D"/>
    <w:rsid w:val="002B60E7"/>
    <w:rsid w:val="002B61BD"/>
    <w:rsid w:val="002B64F0"/>
    <w:rsid w:val="002B6525"/>
    <w:rsid w:val="002B65A3"/>
    <w:rsid w:val="002B68C5"/>
    <w:rsid w:val="002B7001"/>
    <w:rsid w:val="002B701D"/>
    <w:rsid w:val="002B70A8"/>
    <w:rsid w:val="002B747A"/>
    <w:rsid w:val="002B74B7"/>
    <w:rsid w:val="002B74CC"/>
    <w:rsid w:val="002B7947"/>
    <w:rsid w:val="002B79B8"/>
    <w:rsid w:val="002B7B12"/>
    <w:rsid w:val="002B7CE8"/>
    <w:rsid w:val="002B7FA2"/>
    <w:rsid w:val="002B7FB2"/>
    <w:rsid w:val="002C0274"/>
    <w:rsid w:val="002C028D"/>
    <w:rsid w:val="002C04BB"/>
    <w:rsid w:val="002C0674"/>
    <w:rsid w:val="002C0745"/>
    <w:rsid w:val="002C08E9"/>
    <w:rsid w:val="002C0C53"/>
    <w:rsid w:val="002C0F55"/>
    <w:rsid w:val="002C0FB6"/>
    <w:rsid w:val="002C1288"/>
    <w:rsid w:val="002C1376"/>
    <w:rsid w:val="002C1828"/>
    <w:rsid w:val="002C1B98"/>
    <w:rsid w:val="002C1D8D"/>
    <w:rsid w:val="002C1FB0"/>
    <w:rsid w:val="002C25F3"/>
    <w:rsid w:val="002C2763"/>
    <w:rsid w:val="002C282B"/>
    <w:rsid w:val="002C2960"/>
    <w:rsid w:val="002C2E35"/>
    <w:rsid w:val="002C2E90"/>
    <w:rsid w:val="002C2FA0"/>
    <w:rsid w:val="002C2FED"/>
    <w:rsid w:val="002C317C"/>
    <w:rsid w:val="002C3294"/>
    <w:rsid w:val="002C3314"/>
    <w:rsid w:val="002C33E6"/>
    <w:rsid w:val="002C347F"/>
    <w:rsid w:val="002C34B3"/>
    <w:rsid w:val="002C3583"/>
    <w:rsid w:val="002C3588"/>
    <w:rsid w:val="002C380F"/>
    <w:rsid w:val="002C3AD1"/>
    <w:rsid w:val="002C3CD8"/>
    <w:rsid w:val="002C3D98"/>
    <w:rsid w:val="002C3D9D"/>
    <w:rsid w:val="002C4273"/>
    <w:rsid w:val="002C43FA"/>
    <w:rsid w:val="002C458C"/>
    <w:rsid w:val="002C4DDC"/>
    <w:rsid w:val="002C4E51"/>
    <w:rsid w:val="002C508C"/>
    <w:rsid w:val="002C519B"/>
    <w:rsid w:val="002C545C"/>
    <w:rsid w:val="002C5DDF"/>
    <w:rsid w:val="002C5E8F"/>
    <w:rsid w:val="002C5EB2"/>
    <w:rsid w:val="002C5EE8"/>
    <w:rsid w:val="002C63D5"/>
    <w:rsid w:val="002C663D"/>
    <w:rsid w:val="002C6BC6"/>
    <w:rsid w:val="002C6CE3"/>
    <w:rsid w:val="002C752D"/>
    <w:rsid w:val="002C763A"/>
    <w:rsid w:val="002C7943"/>
    <w:rsid w:val="002C7C4C"/>
    <w:rsid w:val="002C7E32"/>
    <w:rsid w:val="002C7F0F"/>
    <w:rsid w:val="002C7FEA"/>
    <w:rsid w:val="002D02B2"/>
    <w:rsid w:val="002D0568"/>
    <w:rsid w:val="002D0692"/>
    <w:rsid w:val="002D0AAC"/>
    <w:rsid w:val="002D0C52"/>
    <w:rsid w:val="002D0DBD"/>
    <w:rsid w:val="002D101B"/>
    <w:rsid w:val="002D1140"/>
    <w:rsid w:val="002D117F"/>
    <w:rsid w:val="002D12E7"/>
    <w:rsid w:val="002D130D"/>
    <w:rsid w:val="002D1540"/>
    <w:rsid w:val="002D1573"/>
    <w:rsid w:val="002D18CA"/>
    <w:rsid w:val="002D19A8"/>
    <w:rsid w:val="002D1B77"/>
    <w:rsid w:val="002D1B7A"/>
    <w:rsid w:val="002D1D11"/>
    <w:rsid w:val="002D1D2D"/>
    <w:rsid w:val="002D1E5E"/>
    <w:rsid w:val="002D226B"/>
    <w:rsid w:val="002D2364"/>
    <w:rsid w:val="002D26ED"/>
    <w:rsid w:val="002D3401"/>
    <w:rsid w:val="002D3568"/>
    <w:rsid w:val="002D3D22"/>
    <w:rsid w:val="002D4068"/>
    <w:rsid w:val="002D440A"/>
    <w:rsid w:val="002D4731"/>
    <w:rsid w:val="002D4749"/>
    <w:rsid w:val="002D475D"/>
    <w:rsid w:val="002D4817"/>
    <w:rsid w:val="002D4AEF"/>
    <w:rsid w:val="002D4B64"/>
    <w:rsid w:val="002D4BCB"/>
    <w:rsid w:val="002D4BEF"/>
    <w:rsid w:val="002D4BFC"/>
    <w:rsid w:val="002D4C9D"/>
    <w:rsid w:val="002D4E0F"/>
    <w:rsid w:val="002D4ED3"/>
    <w:rsid w:val="002D5124"/>
    <w:rsid w:val="002D5AD0"/>
    <w:rsid w:val="002D5BFA"/>
    <w:rsid w:val="002D5F78"/>
    <w:rsid w:val="002D5F97"/>
    <w:rsid w:val="002D6024"/>
    <w:rsid w:val="002D6260"/>
    <w:rsid w:val="002D6964"/>
    <w:rsid w:val="002D71AB"/>
    <w:rsid w:val="002D72D0"/>
    <w:rsid w:val="002D74ED"/>
    <w:rsid w:val="002D79C0"/>
    <w:rsid w:val="002D7D49"/>
    <w:rsid w:val="002D7F5D"/>
    <w:rsid w:val="002E034F"/>
    <w:rsid w:val="002E0517"/>
    <w:rsid w:val="002E06B3"/>
    <w:rsid w:val="002E0919"/>
    <w:rsid w:val="002E0B33"/>
    <w:rsid w:val="002E0C9A"/>
    <w:rsid w:val="002E0F84"/>
    <w:rsid w:val="002E1333"/>
    <w:rsid w:val="002E13FC"/>
    <w:rsid w:val="002E1407"/>
    <w:rsid w:val="002E1500"/>
    <w:rsid w:val="002E1977"/>
    <w:rsid w:val="002E1A1D"/>
    <w:rsid w:val="002E1D55"/>
    <w:rsid w:val="002E1E84"/>
    <w:rsid w:val="002E1F00"/>
    <w:rsid w:val="002E2008"/>
    <w:rsid w:val="002E2009"/>
    <w:rsid w:val="002E2089"/>
    <w:rsid w:val="002E24CC"/>
    <w:rsid w:val="002E25B5"/>
    <w:rsid w:val="002E2BCB"/>
    <w:rsid w:val="002E2EC2"/>
    <w:rsid w:val="002E2FC5"/>
    <w:rsid w:val="002E3015"/>
    <w:rsid w:val="002E309A"/>
    <w:rsid w:val="002E38E0"/>
    <w:rsid w:val="002E3C8D"/>
    <w:rsid w:val="002E3F6D"/>
    <w:rsid w:val="002E4163"/>
    <w:rsid w:val="002E41AC"/>
    <w:rsid w:val="002E42F1"/>
    <w:rsid w:val="002E4337"/>
    <w:rsid w:val="002E43D6"/>
    <w:rsid w:val="002E44E0"/>
    <w:rsid w:val="002E4591"/>
    <w:rsid w:val="002E462E"/>
    <w:rsid w:val="002E468E"/>
    <w:rsid w:val="002E472E"/>
    <w:rsid w:val="002E4753"/>
    <w:rsid w:val="002E4B8C"/>
    <w:rsid w:val="002E4D36"/>
    <w:rsid w:val="002E5286"/>
    <w:rsid w:val="002E559D"/>
    <w:rsid w:val="002E5773"/>
    <w:rsid w:val="002E584F"/>
    <w:rsid w:val="002E5E64"/>
    <w:rsid w:val="002E61D9"/>
    <w:rsid w:val="002E6DCA"/>
    <w:rsid w:val="002E7244"/>
    <w:rsid w:val="002E7307"/>
    <w:rsid w:val="002E74A3"/>
    <w:rsid w:val="002E74FA"/>
    <w:rsid w:val="002E7602"/>
    <w:rsid w:val="002E7712"/>
    <w:rsid w:val="002E7A92"/>
    <w:rsid w:val="002E7B84"/>
    <w:rsid w:val="002E7BF6"/>
    <w:rsid w:val="002E7C02"/>
    <w:rsid w:val="002E7D57"/>
    <w:rsid w:val="002E7E5C"/>
    <w:rsid w:val="002F014E"/>
    <w:rsid w:val="002F01E5"/>
    <w:rsid w:val="002F040E"/>
    <w:rsid w:val="002F04E5"/>
    <w:rsid w:val="002F07B5"/>
    <w:rsid w:val="002F07B6"/>
    <w:rsid w:val="002F0842"/>
    <w:rsid w:val="002F10C6"/>
    <w:rsid w:val="002F13E4"/>
    <w:rsid w:val="002F20E8"/>
    <w:rsid w:val="002F211E"/>
    <w:rsid w:val="002F22C3"/>
    <w:rsid w:val="002F23A7"/>
    <w:rsid w:val="002F25B5"/>
    <w:rsid w:val="002F25C2"/>
    <w:rsid w:val="002F263B"/>
    <w:rsid w:val="002F28B1"/>
    <w:rsid w:val="002F2A57"/>
    <w:rsid w:val="002F2AE2"/>
    <w:rsid w:val="002F2D70"/>
    <w:rsid w:val="002F3199"/>
    <w:rsid w:val="002F38B7"/>
    <w:rsid w:val="002F3B02"/>
    <w:rsid w:val="002F3CEF"/>
    <w:rsid w:val="002F42EB"/>
    <w:rsid w:val="002F43F1"/>
    <w:rsid w:val="002F504D"/>
    <w:rsid w:val="002F5058"/>
    <w:rsid w:val="002F51B0"/>
    <w:rsid w:val="002F5481"/>
    <w:rsid w:val="002F553E"/>
    <w:rsid w:val="002F56D8"/>
    <w:rsid w:val="002F570D"/>
    <w:rsid w:val="002F579E"/>
    <w:rsid w:val="002F5A6F"/>
    <w:rsid w:val="002F5BBA"/>
    <w:rsid w:val="002F5F88"/>
    <w:rsid w:val="002F61DB"/>
    <w:rsid w:val="002F61F5"/>
    <w:rsid w:val="002F6496"/>
    <w:rsid w:val="002F64E5"/>
    <w:rsid w:val="002F661D"/>
    <w:rsid w:val="002F6B52"/>
    <w:rsid w:val="002F6B65"/>
    <w:rsid w:val="002F6C2D"/>
    <w:rsid w:val="002F715E"/>
    <w:rsid w:val="002F7440"/>
    <w:rsid w:val="002F77DB"/>
    <w:rsid w:val="002F7E31"/>
    <w:rsid w:val="0030005F"/>
    <w:rsid w:val="00300663"/>
    <w:rsid w:val="00300735"/>
    <w:rsid w:val="003007DE"/>
    <w:rsid w:val="00300832"/>
    <w:rsid w:val="003008F7"/>
    <w:rsid w:val="003009A1"/>
    <w:rsid w:val="00300AF0"/>
    <w:rsid w:val="00300B96"/>
    <w:rsid w:val="00300BCC"/>
    <w:rsid w:val="00300BF0"/>
    <w:rsid w:val="00300F02"/>
    <w:rsid w:val="00301595"/>
    <w:rsid w:val="0030176E"/>
    <w:rsid w:val="00301919"/>
    <w:rsid w:val="00301A8F"/>
    <w:rsid w:val="00301CD6"/>
    <w:rsid w:val="00301E02"/>
    <w:rsid w:val="00301FC9"/>
    <w:rsid w:val="003021E4"/>
    <w:rsid w:val="003028A3"/>
    <w:rsid w:val="00302B80"/>
    <w:rsid w:val="00302BA5"/>
    <w:rsid w:val="00302FB4"/>
    <w:rsid w:val="00303105"/>
    <w:rsid w:val="00303139"/>
    <w:rsid w:val="003031A0"/>
    <w:rsid w:val="00303661"/>
    <w:rsid w:val="00303678"/>
    <w:rsid w:val="0030384B"/>
    <w:rsid w:val="00303898"/>
    <w:rsid w:val="00303C66"/>
    <w:rsid w:val="00303D94"/>
    <w:rsid w:val="00303DC0"/>
    <w:rsid w:val="00303EE1"/>
    <w:rsid w:val="00303EE6"/>
    <w:rsid w:val="00304353"/>
    <w:rsid w:val="003043D1"/>
    <w:rsid w:val="003044B2"/>
    <w:rsid w:val="003044DE"/>
    <w:rsid w:val="00304512"/>
    <w:rsid w:val="003045C1"/>
    <w:rsid w:val="003046A8"/>
    <w:rsid w:val="00304896"/>
    <w:rsid w:val="00304A98"/>
    <w:rsid w:val="00304B3A"/>
    <w:rsid w:val="00304CA4"/>
    <w:rsid w:val="00304DDF"/>
    <w:rsid w:val="00304E03"/>
    <w:rsid w:val="00304E7E"/>
    <w:rsid w:val="00305154"/>
    <w:rsid w:val="00305292"/>
    <w:rsid w:val="003054F9"/>
    <w:rsid w:val="0030569F"/>
    <w:rsid w:val="003058C1"/>
    <w:rsid w:val="00305972"/>
    <w:rsid w:val="003059D8"/>
    <w:rsid w:val="00305CA5"/>
    <w:rsid w:val="00305E0D"/>
    <w:rsid w:val="00305E9A"/>
    <w:rsid w:val="003063D9"/>
    <w:rsid w:val="003065EF"/>
    <w:rsid w:val="003067F5"/>
    <w:rsid w:val="00306C22"/>
    <w:rsid w:val="00306DC0"/>
    <w:rsid w:val="003071B5"/>
    <w:rsid w:val="00307463"/>
    <w:rsid w:val="0030778C"/>
    <w:rsid w:val="00307E2C"/>
    <w:rsid w:val="00307EC3"/>
    <w:rsid w:val="00307F25"/>
    <w:rsid w:val="0031001F"/>
    <w:rsid w:val="00310096"/>
    <w:rsid w:val="003100C8"/>
    <w:rsid w:val="00310296"/>
    <w:rsid w:val="00310551"/>
    <w:rsid w:val="00310AC3"/>
    <w:rsid w:val="00310C71"/>
    <w:rsid w:val="00310D94"/>
    <w:rsid w:val="00310F09"/>
    <w:rsid w:val="00310FC2"/>
    <w:rsid w:val="00311605"/>
    <w:rsid w:val="00311A13"/>
    <w:rsid w:val="00311A76"/>
    <w:rsid w:val="00311F66"/>
    <w:rsid w:val="00311FFA"/>
    <w:rsid w:val="003120C8"/>
    <w:rsid w:val="00312467"/>
    <w:rsid w:val="003124A8"/>
    <w:rsid w:val="003125B0"/>
    <w:rsid w:val="00312953"/>
    <w:rsid w:val="00312A81"/>
    <w:rsid w:val="00312AB8"/>
    <w:rsid w:val="0031308F"/>
    <w:rsid w:val="0031333B"/>
    <w:rsid w:val="00313363"/>
    <w:rsid w:val="00313402"/>
    <w:rsid w:val="00313411"/>
    <w:rsid w:val="00313443"/>
    <w:rsid w:val="0031346F"/>
    <w:rsid w:val="00313653"/>
    <w:rsid w:val="00313797"/>
    <w:rsid w:val="0031396F"/>
    <w:rsid w:val="00313A45"/>
    <w:rsid w:val="00313D4B"/>
    <w:rsid w:val="00313D57"/>
    <w:rsid w:val="00313E82"/>
    <w:rsid w:val="00313F09"/>
    <w:rsid w:val="00313F59"/>
    <w:rsid w:val="003140C0"/>
    <w:rsid w:val="003142E8"/>
    <w:rsid w:val="00314786"/>
    <w:rsid w:val="0031480A"/>
    <w:rsid w:val="0031489D"/>
    <w:rsid w:val="003149AF"/>
    <w:rsid w:val="00314BC2"/>
    <w:rsid w:val="00314BD8"/>
    <w:rsid w:val="00314E64"/>
    <w:rsid w:val="0031512B"/>
    <w:rsid w:val="00315193"/>
    <w:rsid w:val="00315254"/>
    <w:rsid w:val="0031531A"/>
    <w:rsid w:val="003157BF"/>
    <w:rsid w:val="00315969"/>
    <w:rsid w:val="00315A6F"/>
    <w:rsid w:val="00315E61"/>
    <w:rsid w:val="003162CA"/>
    <w:rsid w:val="00316501"/>
    <w:rsid w:val="00316A15"/>
    <w:rsid w:val="00316B50"/>
    <w:rsid w:val="00316BA2"/>
    <w:rsid w:val="00316E7A"/>
    <w:rsid w:val="00317047"/>
    <w:rsid w:val="003172F6"/>
    <w:rsid w:val="003173E9"/>
    <w:rsid w:val="0031773B"/>
    <w:rsid w:val="0031787E"/>
    <w:rsid w:val="00317A80"/>
    <w:rsid w:val="00317AE9"/>
    <w:rsid w:val="00317B3B"/>
    <w:rsid w:val="00317E48"/>
    <w:rsid w:val="00317EAD"/>
    <w:rsid w:val="00317FBE"/>
    <w:rsid w:val="003200F0"/>
    <w:rsid w:val="00320250"/>
    <w:rsid w:val="00320251"/>
    <w:rsid w:val="0032028B"/>
    <w:rsid w:val="003203F0"/>
    <w:rsid w:val="003206C9"/>
    <w:rsid w:val="003208AF"/>
    <w:rsid w:val="003208EF"/>
    <w:rsid w:val="00320B88"/>
    <w:rsid w:val="00320BD9"/>
    <w:rsid w:val="00320C86"/>
    <w:rsid w:val="003210B5"/>
    <w:rsid w:val="003211D1"/>
    <w:rsid w:val="003215F7"/>
    <w:rsid w:val="00321B3F"/>
    <w:rsid w:val="00321B94"/>
    <w:rsid w:val="00321C0E"/>
    <w:rsid w:val="00321D71"/>
    <w:rsid w:val="00321E9A"/>
    <w:rsid w:val="003220D1"/>
    <w:rsid w:val="003222C8"/>
    <w:rsid w:val="003226AC"/>
    <w:rsid w:val="003228D8"/>
    <w:rsid w:val="00322C06"/>
    <w:rsid w:val="00322CDC"/>
    <w:rsid w:val="003230F0"/>
    <w:rsid w:val="00323327"/>
    <w:rsid w:val="00323383"/>
    <w:rsid w:val="003234DC"/>
    <w:rsid w:val="0032385D"/>
    <w:rsid w:val="00323D8F"/>
    <w:rsid w:val="00323F8E"/>
    <w:rsid w:val="00324234"/>
    <w:rsid w:val="00324283"/>
    <w:rsid w:val="0032430C"/>
    <w:rsid w:val="00324355"/>
    <w:rsid w:val="003248B9"/>
    <w:rsid w:val="00324D14"/>
    <w:rsid w:val="003250F7"/>
    <w:rsid w:val="00325217"/>
    <w:rsid w:val="003253F8"/>
    <w:rsid w:val="0032545B"/>
    <w:rsid w:val="003255A7"/>
    <w:rsid w:val="0032567F"/>
    <w:rsid w:val="00325CA5"/>
    <w:rsid w:val="00325DA4"/>
    <w:rsid w:val="00325FD8"/>
    <w:rsid w:val="0032623A"/>
    <w:rsid w:val="00326376"/>
    <w:rsid w:val="0032641F"/>
    <w:rsid w:val="00326627"/>
    <w:rsid w:val="003268B6"/>
    <w:rsid w:val="00326D9E"/>
    <w:rsid w:val="00326FDD"/>
    <w:rsid w:val="003271F4"/>
    <w:rsid w:val="003272A8"/>
    <w:rsid w:val="00327350"/>
    <w:rsid w:val="0032745D"/>
    <w:rsid w:val="003276D7"/>
    <w:rsid w:val="00327CEA"/>
    <w:rsid w:val="00327D13"/>
    <w:rsid w:val="00327DFF"/>
    <w:rsid w:val="00327F96"/>
    <w:rsid w:val="0033035F"/>
    <w:rsid w:val="0033044D"/>
    <w:rsid w:val="00330762"/>
    <w:rsid w:val="0033099D"/>
    <w:rsid w:val="00330A36"/>
    <w:rsid w:val="00330A56"/>
    <w:rsid w:val="00330B56"/>
    <w:rsid w:val="00330B7A"/>
    <w:rsid w:val="00330D72"/>
    <w:rsid w:val="00330E9A"/>
    <w:rsid w:val="00330EBD"/>
    <w:rsid w:val="00331042"/>
    <w:rsid w:val="00331386"/>
    <w:rsid w:val="003314E4"/>
    <w:rsid w:val="00331BB6"/>
    <w:rsid w:val="00331D57"/>
    <w:rsid w:val="00332100"/>
    <w:rsid w:val="0033233F"/>
    <w:rsid w:val="003323BB"/>
    <w:rsid w:val="00332630"/>
    <w:rsid w:val="003326D6"/>
    <w:rsid w:val="003326DD"/>
    <w:rsid w:val="00332809"/>
    <w:rsid w:val="00332B8F"/>
    <w:rsid w:val="00332DF2"/>
    <w:rsid w:val="00332EC0"/>
    <w:rsid w:val="003333D7"/>
    <w:rsid w:val="00333775"/>
    <w:rsid w:val="0033379E"/>
    <w:rsid w:val="0033389D"/>
    <w:rsid w:val="00333F88"/>
    <w:rsid w:val="00333FE6"/>
    <w:rsid w:val="003340B9"/>
    <w:rsid w:val="00334214"/>
    <w:rsid w:val="00334316"/>
    <w:rsid w:val="003343FE"/>
    <w:rsid w:val="00334522"/>
    <w:rsid w:val="00334577"/>
    <w:rsid w:val="00334601"/>
    <w:rsid w:val="003348A7"/>
    <w:rsid w:val="00334ACF"/>
    <w:rsid w:val="00334C97"/>
    <w:rsid w:val="00334D74"/>
    <w:rsid w:val="00335354"/>
    <w:rsid w:val="003356B5"/>
    <w:rsid w:val="0033573C"/>
    <w:rsid w:val="00335826"/>
    <w:rsid w:val="00335B99"/>
    <w:rsid w:val="00335CC3"/>
    <w:rsid w:val="00335D15"/>
    <w:rsid w:val="00335F38"/>
    <w:rsid w:val="0033609E"/>
    <w:rsid w:val="00336143"/>
    <w:rsid w:val="003361A3"/>
    <w:rsid w:val="003363A0"/>
    <w:rsid w:val="003366B8"/>
    <w:rsid w:val="0033685B"/>
    <w:rsid w:val="00336A7E"/>
    <w:rsid w:val="00337105"/>
    <w:rsid w:val="003374C4"/>
    <w:rsid w:val="003375C8"/>
    <w:rsid w:val="00337696"/>
    <w:rsid w:val="00337837"/>
    <w:rsid w:val="00337849"/>
    <w:rsid w:val="0033795D"/>
    <w:rsid w:val="00337D4A"/>
    <w:rsid w:val="00337FDD"/>
    <w:rsid w:val="00337FE8"/>
    <w:rsid w:val="00340164"/>
    <w:rsid w:val="00340175"/>
    <w:rsid w:val="00340311"/>
    <w:rsid w:val="00340936"/>
    <w:rsid w:val="00340968"/>
    <w:rsid w:val="00340A68"/>
    <w:rsid w:val="00340C0E"/>
    <w:rsid w:val="00340F51"/>
    <w:rsid w:val="00340FC1"/>
    <w:rsid w:val="00341410"/>
    <w:rsid w:val="003418B2"/>
    <w:rsid w:val="003418FD"/>
    <w:rsid w:val="00341A0B"/>
    <w:rsid w:val="00341A3D"/>
    <w:rsid w:val="00341A40"/>
    <w:rsid w:val="00341E1A"/>
    <w:rsid w:val="00341F19"/>
    <w:rsid w:val="00341F3E"/>
    <w:rsid w:val="003424A3"/>
    <w:rsid w:val="00342509"/>
    <w:rsid w:val="0034263B"/>
    <w:rsid w:val="0034264A"/>
    <w:rsid w:val="0034290D"/>
    <w:rsid w:val="00342B7C"/>
    <w:rsid w:val="00342E45"/>
    <w:rsid w:val="00342E50"/>
    <w:rsid w:val="00342EAB"/>
    <w:rsid w:val="00342F63"/>
    <w:rsid w:val="003436D0"/>
    <w:rsid w:val="003436FC"/>
    <w:rsid w:val="0034373B"/>
    <w:rsid w:val="003438D8"/>
    <w:rsid w:val="00343DAA"/>
    <w:rsid w:val="00343DC4"/>
    <w:rsid w:val="00343F2F"/>
    <w:rsid w:val="003440A8"/>
    <w:rsid w:val="003440AF"/>
    <w:rsid w:val="0034415D"/>
    <w:rsid w:val="003443BB"/>
    <w:rsid w:val="0034462C"/>
    <w:rsid w:val="0034463C"/>
    <w:rsid w:val="003446DF"/>
    <w:rsid w:val="00344A3A"/>
    <w:rsid w:val="00344A3C"/>
    <w:rsid w:val="00344AA7"/>
    <w:rsid w:val="00344B61"/>
    <w:rsid w:val="00344F2F"/>
    <w:rsid w:val="00345604"/>
    <w:rsid w:val="00345800"/>
    <w:rsid w:val="00345C56"/>
    <w:rsid w:val="00345F9F"/>
    <w:rsid w:val="003462E0"/>
    <w:rsid w:val="0034640B"/>
    <w:rsid w:val="0034662A"/>
    <w:rsid w:val="003468C7"/>
    <w:rsid w:val="00346A6C"/>
    <w:rsid w:val="00346E4E"/>
    <w:rsid w:val="00346E56"/>
    <w:rsid w:val="00346E5C"/>
    <w:rsid w:val="00346EE2"/>
    <w:rsid w:val="00347099"/>
    <w:rsid w:val="003471BC"/>
    <w:rsid w:val="003473C0"/>
    <w:rsid w:val="00347477"/>
    <w:rsid w:val="00347621"/>
    <w:rsid w:val="003477E1"/>
    <w:rsid w:val="00347954"/>
    <w:rsid w:val="00347C78"/>
    <w:rsid w:val="00347D77"/>
    <w:rsid w:val="00350037"/>
    <w:rsid w:val="00350259"/>
    <w:rsid w:val="00350346"/>
    <w:rsid w:val="00350716"/>
    <w:rsid w:val="0035083F"/>
    <w:rsid w:val="00350B09"/>
    <w:rsid w:val="00350C04"/>
    <w:rsid w:val="00350F33"/>
    <w:rsid w:val="00350FEA"/>
    <w:rsid w:val="00351089"/>
    <w:rsid w:val="00351374"/>
    <w:rsid w:val="00351530"/>
    <w:rsid w:val="003518FA"/>
    <w:rsid w:val="00351B37"/>
    <w:rsid w:val="00351F5E"/>
    <w:rsid w:val="0035200B"/>
    <w:rsid w:val="0035223C"/>
    <w:rsid w:val="003522C1"/>
    <w:rsid w:val="0035237F"/>
    <w:rsid w:val="003524E1"/>
    <w:rsid w:val="00352683"/>
    <w:rsid w:val="003527FD"/>
    <w:rsid w:val="003528BC"/>
    <w:rsid w:val="00352933"/>
    <w:rsid w:val="0035297E"/>
    <w:rsid w:val="0035307C"/>
    <w:rsid w:val="00353358"/>
    <w:rsid w:val="0035381A"/>
    <w:rsid w:val="0035396E"/>
    <w:rsid w:val="00353F19"/>
    <w:rsid w:val="0035400F"/>
    <w:rsid w:val="003547B3"/>
    <w:rsid w:val="00354819"/>
    <w:rsid w:val="0035486A"/>
    <w:rsid w:val="00354901"/>
    <w:rsid w:val="00354980"/>
    <w:rsid w:val="00354A91"/>
    <w:rsid w:val="00354C06"/>
    <w:rsid w:val="00355297"/>
    <w:rsid w:val="00355595"/>
    <w:rsid w:val="00355662"/>
    <w:rsid w:val="00355C4E"/>
    <w:rsid w:val="00355E8E"/>
    <w:rsid w:val="00356182"/>
    <w:rsid w:val="0035625A"/>
    <w:rsid w:val="00356337"/>
    <w:rsid w:val="00356418"/>
    <w:rsid w:val="00356869"/>
    <w:rsid w:val="003568C5"/>
    <w:rsid w:val="0035696D"/>
    <w:rsid w:val="00356991"/>
    <w:rsid w:val="003569A3"/>
    <w:rsid w:val="00356A32"/>
    <w:rsid w:val="00356AC3"/>
    <w:rsid w:val="00356AD0"/>
    <w:rsid w:val="00356B07"/>
    <w:rsid w:val="00356CE1"/>
    <w:rsid w:val="00356F75"/>
    <w:rsid w:val="00356F99"/>
    <w:rsid w:val="003570BA"/>
    <w:rsid w:val="00357442"/>
    <w:rsid w:val="003576F3"/>
    <w:rsid w:val="00357B90"/>
    <w:rsid w:val="00357BAD"/>
    <w:rsid w:val="00357E13"/>
    <w:rsid w:val="00357FAE"/>
    <w:rsid w:val="00360246"/>
    <w:rsid w:val="00360455"/>
    <w:rsid w:val="003609B8"/>
    <w:rsid w:val="003609CE"/>
    <w:rsid w:val="00360E39"/>
    <w:rsid w:val="00361144"/>
    <w:rsid w:val="003616BF"/>
    <w:rsid w:val="00361863"/>
    <w:rsid w:val="003618BB"/>
    <w:rsid w:val="00361C3B"/>
    <w:rsid w:val="00361D15"/>
    <w:rsid w:val="00361E06"/>
    <w:rsid w:val="0036232B"/>
    <w:rsid w:val="00362556"/>
    <w:rsid w:val="00362BCF"/>
    <w:rsid w:val="00362C72"/>
    <w:rsid w:val="00362E6F"/>
    <w:rsid w:val="00362F67"/>
    <w:rsid w:val="00363059"/>
    <w:rsid w:val="003630A0"/>
    <w:rsid w:val="003632A0"/>
    <w:rsid w:val="0036333D"/>
    <w:rsid w:val="003633BF"/>
    <w:rsid w:val="0036345E"/>
    <w:rsid w:val="003636AD"/>
    <w:rsid w:val="003639A9"/>
    <w:rsid w:val="00363B1E"/>
    <w:rsid w:val="00363DD2"/>
    <w:rsid w:val="00363FDA"/>
    <w:rsid w:val="00364190"/>
    <w:rsid w:val="003643E0"/>
    <w:rsid w:val="003644B4"/>
    <w:rsid w:val="00364C19"/>
    <w:rsid w:val="00364E6B"/>
    <w:rsid w:val="0036507C"/>
    <w:rsid w:val="0036511F"/>
    <w:rsid w:val="0036519A"/>
    <w:rsid w:val="00365237"/>
    <w:rsid w:val="003653FC"/>
    <w:rsid w:val="003655CF"/>
    <w:rsid w:val="00365619"/>
    <w:rsid w:val="00365802"/>
    <w:rsid w:val="00365A4C"/>
    <w:rsid w:val="00365A69"/>
    <w:rsid w:val="00365B12"/>
    <w:rsid w:val="00365B4E"/>
    <w:rsid w:val="00365CBD"/>
    <w:rsid w:val="003660E6"/>
    <w:rsid w:val="0036620D"/>
    <w:rsid w:val="00366247"/>
    <w:rsid w:val="003662CC"/>
    <w:rsid w:val="003664AC"/>
    <w:rsid w:val="00366BB9"/>
    <w:rsid w:val="00366C70"/>
    <w:rsid w:val="00366F98"/>
    <w:rsid w:val="00367342"/>
    <w:rsid w:val="003678CC"/>
    <w:rsid w:val="003679B3"/>
    <w:rsid w:val="00367A9D"/>
    <w:rsid w:val="00367C1C"/>
    <w:rsid w:val="00367D85"/>
    <w:rsid w:val="00367EF5"/>
    <w:rsid w:val="00367F3C"/>
    <w:rsid w:val="003705A1"/>
    <w:rsid w:val="00370889"/>
    <w:rsid w:val="00370A57"/>
    <w:rsid w:val="00370C26"/>
    <w:rsid w:val="00370EEE"/>
    <w:rsid w:val="00370F2C"/>
    <w:rsid w:val="00371152"/>
    <w:rsid w:val="0037125D"/>
    <w:rsid w:val="003712A5"/>
    <w:rsid w:val="003717E8"/>
    <w:rsid w:val="003718A3"/>
    <w:rsid w:val="00371A65"/>
    <w:rsid w:val="00371AB5"/>
    <w:rsid w:val="00371E22"/>
    <w:rsid w:val="003720DB"/>
    <w:rsid w:val="00372376"/>
    <w:rsid w:val="003726BB"/>
    <w:rsid w:val="00372AAA"/>
    <w:rsid w:val="00372D11"/>
    <w:rsid w:val="00372D95"/>
    <w:rsid w:val="003731D3"/>
    <w:rsid w:val="0037328D"/>
    <w:rsid w:val="00373308"/>
    <w:rsid w:val="0037330D"/>
    <w:rsid w:val="00373492"/>
    <w:rsid w:val="003734E7"/>
    <w:rsid w:val="003735E0"/>
    <w:rsid w:val="003735ED"/>
    <w:rsid w:val="0037376F"/>
    <w:rsid w:val="00373853"/>
    <w:rsid w:val="003738E6"/>
    <w:rsid w:val="00373EEC"/>
    <w:rsid w:val="0037432F"/>
    <w:rsid w:val="00374914"/>
    <w:rsid w:val="0037562D"/>
    <w:rsid w:val="00375E21"/>
    <w:rsid w:val="00375F03"/>
    <w:rsid w:val="00375F63"/>
    <w:rsid w:val="0037606D"/>
    <w:rsid w:val="0037608C"/>
    <w:rsid w:val="00376117"/>
    <w:rsid w:val="00376147"/>
    <w:rsid w:val="0037636F"/>
    <w:rsid w:val="00376823"/>
    <w:rsid w:val="003769DE"/>
    <w:rsid w:val="00376A11"/>
    <w:rsid w:val="00376E54"/>
    <w:rsid w:val="00377159"/>
    <w:rsid w:val="00377555"/>
    <w:rsid w:val="0037761D"/>
    <w:rsid w:val="0037768D"/>
    <w:rsid w:val="0037769D"/>
    <w:rsid w:val="003778B7"/>
    <w:rsid w:val="00377C72"/>
    <w:rsid w:val="00377D24"/>
    <w:rsid w:val="00377EB0"/>
    <w:rsid w:val="0038039B"/>
    <w:rsid w:val="0038041F"/>
    <w:rsid w:val="00380803"/>
    <w:rsid w:val="003808FF"/>
    <w:rsid w:val="003814C5"/>
    <w:rsid w:val="00381854"/>
    <w:rsid w:val="00381A78"/>
    <w:rsid w:val="00381A89"/>
    <w:rsid w:val="00381B76"/>
    <w:rsid w:val="00381D5D"/>
    <w:rsid w:val="00381E87"/>
    <w:rsid w:val="003823E5"/>
    <w:rsid w:val="0038241A"/>
    <w:rsid w:val="0038253C"/>
    <w:rsid w:val="0038256C"/>
    <w:rsid w:val="00382787"/>
    <w:rsid w:val="00382AA8"/>
    <w:rsid w:val="00382FB3"/>
    <w:rsid w:val="0038301D"/>
    <w:rsid w:val="003831F8"/>
    <w:rsid w:val="0038331C"/>
    <w:rsid w:val="00383528"/>
    <w:rsid w:val="00383B84"/>
    <w:rsid w:val="00383C72"/>
    <w:rsid w:val="003843C2"/>
    <w:rsid w:val="003848D4"/>
    <w:rsid w:val="00384958"/>
    <w:rsid w:val="00384A0B"/>
    <w:rsid w:val="00384A0E"/>
    <w:rsid w:val="00384A80"/>
    <w:rsid w:val="00384A9C"/>
    <w:rsid w:val="00384FE3"/>
    <w:rsid w:val="0038530A"/>
    <w:rsid w:val="003855C1"/>
    <w:rsid w:val="0038569F"/>
    <w:rsid w:val="003856DF"/>
    <w:rsid w:val="003859C5"/>
    <w:rsid w:val="00385BF8"/>
    <w:rsid w:val="00385D1B"/>
    <w:rsid w:val="00385DFB"/>
    <w:rsid w:val="00385E7C"/>
    <w:rsid w:val="003860A0"/>
    <w:rsid w:val="003862D5"/>
    <w:rsid w:val="003863E7"/>
    <w:rsid w:val="003864BF"/>
    <w:rsid w:val="003867D0"/>
    <w:rsid w:val="003870BD"/>
    <w:rsid w:val="0038729D"/>
    <w:rsid w:val="00387654"/>
    <w:rsid w:val="00387813"/>
    <w:rsid w:val="00387874"/>
    <w:rsid w:val="0038791F"/>
    <w:rsid w:val="00387F16"/>
    <w:rsid w:val="003902E1"/>
    <w:rsid w:val="0039032F"/>
    <w:rsid w:val="0039047D"/>
    <w:rsid w:val="00390511"/>
    <w:rsid w:val="003905BE"/>
    <w:rsid w:val="0039072B"/>
    <w:rsid w:val="003907BD"/>
    <w:rsid w:val="00390BE2"/>
    <w:rsid w:val="00390D19"/>
    <w:rsid w:val="00390D65"/>
    <w:rsid w:val="003911B0"/>
    <w:rsid w:val="00391289"/>
    <w:rsid w:val="003914DE"/>
    <w:rsid w:val="00391B28"/>
    <w:rsid w:val="00391E0A"/>
    <w:rsid w:val="00392418"/>
    <w:rsid w:val="00392464"/>
    <w:rsid w:val="00392598"/>
    <w:rsid w:val="00392603"/>
    <w:rsid w:val="00392B94"/>
    <w:rsid w:val="00392EAC"/>
    <w:rsid w:val="00393273"/>
    <w:rsid w:val="00393811"/>
    <w:rsid w:val="003939C3"/>
    <w:rsid w:val="00393CEE"/>
    <w:rsid w:val="003940E0"/>
    <w:rsid w:val="0039413F"/>
    <w:rsid w:val="003941AA"/>
    <w:rsid w:val="00394314"/>
    <w:rsid w:val="00394428"/>
    <w:rsid w:val="0039495F"/>
    <w:rsid w:val="003949FE"/>
    <w:rsid w:val="00394BCC"/>
    <w:rsid w:val="00394C01"/>
    <w:rsid w:val="00394D0A"/>
    <w:rsid w:val="00394DDB"/>
    <w:rsid w:val="00394E75"/>
    <w:rsid w:val="00395038"/>
    <w:rsid w:val="00395065"/>
    <w:rsid w:val="003950B6"/>
    <w:rsid w:val="003952F2"/>
    <w:rsid w:val="00395344"/>
    <w:rsid w:val="00395460"/>
    <w:rsid w:val="003954F2"/>
    <w:rsid w:val="00395963"/>
    <w:rsid w:val="00395BDF"/>
    <w:rsid w:val="00395C72"/>
    <w:rsid w:val="00396926"/>
    <w:rsid w:val="00396B32"/>
    <w:rsid w:val="0039707E"/>
    <w:rsid w:val="003972F6"/>
    <w:rsid w:val="003975AC"/>
    <w:rsid w:val="0039783A"/>
    <w:rsid w:val="00397AF3"/>
    <w:rsid w:val="00397B51"/>
    <w:rsid w:val="003A00B8"/>
    <w:rsid w:val="003A0145"/>
    <w:rsid w:val="003A0334"/>
    <w:rsid w:val="003A0524"/>
    <w:rsid w:val="003A07BD"/>
    <w:rsid w:val="003A0B94"/>
    <w:rsid w:val="003A0CC2"/>
    <w:rsid w:val="003A0F5D"/>
    <w:rsid w:val="003A1000"/>
    <w:rsid w:val="003A1034"/>
    <w:rsid w:val="003A116B"/>
    <w:rsid w:val="003A13FD"/>
    <w:rsid w:val="003A1679"/>
    <w:rsid w:val="003A167E"/>
    <w:rsid w:val="003A1BC1"/>
    <w:rsid w:val="003A1E95"/>
    <w:rsid w:val="003A1F04"/>
    <w:rsid w:val="003A213D"/>
    <w:rsid w:val="003A23D0"/>
    <w:rsid w:val="003A253E"/>
    <w:rsid w:val="003A2689"/>
    <w:rsid w:val="003A29B6"/>
    <w:rsid w:val="003A2AEA"/>
    <w:rsid w:val="003A2B7D"/>
    <w:rsid w:val="003A2C7C"/>
    <w:rsid w:val="003A3031"/>
    <w:rsid w:val="003A3032"/>
    <w:rsid w:val="003A3167"/>
    <w:rsid w:val="003A369D"/>
    <w:rsid w:val="003A36A3"/>
    <w:rsid w:val="003A3A7B"/>
    <w:rsid w:val="003A3C32"/>
    <w:rsid w:val="003A3DD4"/>
    <w:rsid w:val="003A4165"/>
    <w:rsid w:val="003A41AE"/>
    <w:rsid w:val="003A44F0"/>
    <w:rsid w:val="003A4993"/>
    <w:rsid w:val="003A49B1"/>
    <w:rsid w:val="003A49B8"/>
    <w:rsid w:val="003A4C6D"/>
    <w:rsid w:val="003A4DBD"/>
    <w:rsid w:val="003A4DBE"/>
    <w:rsid w:val="003A4E14"/>
    <w:rsid w:val="003A4E58"/>
    <w:rsid w:val="003A51D1"/>
    <w:rsid w:val="003A55F2"/>
    <w:rsid w:val="003A576C"/>
    <w:rsid w:val="003A589D"/>
    <w:rsid w:val="003A5CF1"/>
    <w:rsid w:val="003A635D"/>
    <w:rsid w:val="003A65A6"/>
    <w:rsid w:val="003A6675"/>
    <w:rsid w:val="003A66E0"/>
    <w:rsid w:val="003A67E7"/>
    <w:rsid w:val="003A69B3"/>
    <w:rsid w:val="003A72F3"/>
    <w:rsid w:val="003A74AC"/>
    <w:rsid w:val="003A750D"/>
    <w:rsid w:val="003A7961"/>
    <w:rsid w:val="003A7AE0"/>
    <w:rsid w:val="003A7ECE"/>
    <w:rsid w:val="003B030C"/>
    <w:rsid w:val="003B03F8"/>
    <w:rsid w:val="003B0628"/>
    <w:rsid w:val="003B0696"/>
    <w:rsid w:val="003B086E"/>
    <w:rsid w:val="003B0A78"/>
    <w:rsid w:val="003B1142"/>
    <w:rsid w:val="003B117D"/>
    <w:rsid w:val="003B12D6"/>
    <w:rsid w:val="003B1335"/>
    <w:rsid w:val="003B19EC"/>
    <w:rsid w:val="003B1A76"/>
    <w:rsid w:val="003B2197"/>
    <w:rsid w:val="003B2342"/>
    <w:rsid w:val="003B235D"/>
    <w:rsid w:val="003B236E"/>
    <w:rsid w:val="003B23AF"/>
    <w:rsid w:val="003B24A2"/>
    <w:rsid w:val="003B2569"/>
    <w:rsid w:val="003B273C"/>
    <w:rsid w:val="003B2BE5"/>
    <w:rsid w:val="003B2E78"/>
    <w:rsid w:val="003B2F8A"/>
    <w:rsid w:val="003B3498"/>
    <w:rsid w:val="003B354E"/>
    <w:rsid w:val="003B35D4"/>
    <w:rsid w:val="003B36C3"/>
    <w:rsid w:val="003B39F8"/>
    <w:rsid w:val="003B3AD4"/>
    <w:rsid w:val="003B3C0A"/>
    <w:rsid w:val="003B3D14"/>
    <w:rsid w:val="003B4253"/>
    <w:rsid w:val="003B436C"/>
    <w:rsid w:val="003B4438"/>
    <w:rsid w:val="003B49E8"/>
    <w:rsid w:val="003B51FD"/>
    <w:rsid w:val="003B53A8"/>
    <w:rsid w:val="003B55B0"/>
    <w:rsid w:val="003B55C3"/>
    <w:rsid w:val="003B5663"/>
    <w:rsid w:val="003B56E2"/>
    <w:rsid w:val="003B5A7E"/>
    <w:rsid w:val="003B5D20"/>
    <w:rsid w:val="003B5FA0"/>
    <w:rsid w:val="003B643C"/>
    <w:rsid w:val="003B6765"/>
    <w:rsid w:val="003B72CE"/>
    <w:rsid w:val="003B73DA"/>
    <w:rsid w:val="003B7C77"/>
    <w:rsid w:val="003C01C7"/>
    <w:rsid w:val="003C040A"/>
    <w:rsid w:val="003C09D3"/>
    <w:rsid w:val="003C0B89"/>
    <w:rsid w:val="003C0D08"/>
    <w:rsid w:val="003C0DEE"/>
    <w:rsid w:val="003C0F70"/>
    <w:rsid w:val="003C1430"/>
    <w:rsid w:val="003C1504"/>
    <w:rsid w:val="003C178E"/>
    <w:rsid w:val="003C1B22"/>
    <w:rsid w:val="003C1C1D"/>
    <w:rsid w:val="003C1F9B"/>
    <w:rsid w:val="003C2074"/>
    <w:rsid w:val="003C234D"/>
    <w:rsid w:val="003C23A6"/>
    <w:rsid w:val="003C2485"/>
    <w:rsid w:val="003C28FB"/>
    <w:rsid w:val="003C32DC"/>
    <w:rsid w:val="003C33DC"/>
    <w:rsid w:val="003C3440"/>
    <w:rsid w:val="003C3702"/>
    <w:rsid w:val="003C37E4"/>
    <w:rsid w:val="003C38FD"/>
    <w:rsid w:val="003C3A72"/>
    <w:rsid w:val="003C4178"/>
    <w:rsid w:val="003C4218"/>
    <w:rsid w:val="003C42EE"/>
    <w:rsid w:val="003C44BD"/>
    <w:rsid w:val="003C45E0"/>
    <w:rsid w:val="003C4668"/>
    <w:rsid w:val="003C4B19"/>
    <w:rsid w:val="003C4B51"/>
    <w:rsid w:val="003C4C70"/>
    <w:rsid w:val="003C512A"/>
    <w:rsid w:val="003C65CE"/>
    <w:rsid w:val="003C65E0"/>
    <w:rsid w:val="003C6632"/>
    <w:rsid w:val="003C6A9F"/>
    <w:rsid w:val="003C6B1C"/>
    <w:rsid w:val="003C6B8D"/>
    <w:rsid w:val="003C6B9C"/>
    <w:rsid w:val="003C6BE2"/>
    <w:rsid w:val="003C7101"/>
    <w:rsid w:val="003C7141"/>
    <w:rsid w:val="003C71FF"/>
    <w:rsid w:val="003C723C"/>
    <w:rsid w:val="003C75CE"/>
    <w:rsid w:val="003C7655"/>
    <w:rsid w:val="003C7857"/>
    <w:rsid w:val="003C79FA"/>
    <w:rsid w:val="003C7C1E"/>
    <w:rsid w:val="003C7D3E"/>
    <w:rsid w:val="003C7D9D"/>
    <w:rsid w:val="003D009B"/>
    <w:rsid w:val="003D014A"/>
    <w:rsid w:val="003D0163"/>
    <w:rsid w:val="003D018F"/>
    <w:rsid w:val="003D030D"/>
    <w:rsid w:val="003D09A8"/>
    <w:rsid w:val="003D09DE"/>
    <w:rsid w:val="003D0B2F"/>
    <w:rsid w:val="003D0BD8"/>
    <w:rsid w:val="003D0CC7"/>
    <w:rsid w:val="003D12F4"/>
    <w:rsid w:val="003D1414"/>
    <w:rsid w:val="003D16D3"/>
    <w:rsid w:val="003D1D1B"/>
    <w:rsid w:val="003D2470"/>
    <w:rsid w:val="003D28B6"/>
    <w:rsid w:val="003D2AAC"/>
    <w:rsid w:val="003D2D9E"/>
    <w:rsid w:val="003D2ED9"/>
    <w:rsid w:val="003D2F68"/>
    <w:rsid w:val="003D2F87"/>
    <w:rsid w:val="003D2FC5"/>
    <w:rsid w:val="003D3026"/>
    <w:rsid w:val="003D32A6"/>
    <w:rsid w:val="003D36F6"/>
    <w:rsid w:val="003D3884"/>
    <w:rsid w:val="003D3BCA"/>
    <w:rsid w:val="003D3CB8"/>
    <w:rsid w:val="003D3D71"/>
    <w:rsid w:val="003D3E77"/>
    <w:rsid w:val="003D3EE2"/>
    <w:rsid w:val="003D417A"/>
    <w:rsid w:val="003D461F"/>
    <w:rsid w:val="003D47D1"/>
    <w:rsid w:val="003D48F2"/>
    <w:rsid w:val="003D4A45"/>
    <w:rsid w:val="003D4BC9"/>
    <w:rsid w:val="003D4CC7"/>
    <w:rsid w:val="003D4D26"/>
    <w:rsid w:val="003D4DBD"/>
    <w:rsid w:val="003D507B"/>
    <w:rsid w:val="003D507F"/>
    <w:rsid w:val="003D52A3"/>
    <w:rsid w:val="003D5364"/>
    <w:rsid w:val="003D547A"/>
    <w:rsid w:val="003D549F"/>
    <w:rsid w:val="003D5754"/>
    <w:rsid w:val="003D5760"/>
    <w:rsid w:val="003D57CD"/>
    <w:rsid w:val="003D58AF"/>
    <w:rsid w:val="003D58DF"/>
    <w:rsid w:val="003D5906"/>
    <w:rsid w:val="003D59CA"/>
    <w:rsid w:val="003D5A85"/>
    <w:rsid w:val="003D5CEA"/>
    <w:rsid w:val="003D5E9B"/>
    <w:rsid w:val="003D5F82"/>
    <w:rsid w:val="003D6219"/>
    <w:rsid w:val="003D62AB"/>
    <w:rsid w:val="003D6416"/>
    <w:rsid w:val="003D642B"/>
    <w:rsid w:val="003D6790"/>
    <w:rsid w:val="003D6947"/>
    <w:rsid w:val="003D6E90"/>
    <w:rsid w:val="003D6EDC"/>
    <w:rsid w:val="003D7066"/>
    <w:rsid w:val="003D7128"/>
    <w:rsid w:val="003D7710"/>
    <w:rsid w:val="003D78AC"/>
    <w:rsid w:val="003D7AEF"/>
    <w:rsid w:val="003D7DBC"/>
    <w:rsid w:val="003D7DD7"/>
    <w:rsid w:val="003D7FE9"/>
    <w:rsid w:val="003E031B"/>
    <w:rsid w:val="003E037B"/>
    <w:rsid w:val="003E0772"/>
    <w:rsid w:val="003E0918"/>
    <w:rsid w:val="003E0C5C"/>
    <w:rsid w:val="003E0D53"/>
    <w:rsid w:val="003E0F96"/>
    <w:rsid w:val="003E1089"/>
    <w:rsid w:val="003E1140"/>
    <w:rsid w:val="003E1598"/>
    <w:rsid w:val="003E17DA"/>
    <w:rsid w:val="003E19DD"/>
    <w:rsid w:val="003E1A1C"/>
    <w:rsid w:val="003E1A3D"/>
    <w:rsid w:val="003E1B7C"/>
    <w:rsid w:val="003E1C72"/>
    <w:rsid w:val="003E1D2E"/>
    <w:rsid w:val="003E2054"/>
    <w:rsid w:val="003E216B"/>
    <w:rsid w:val="003E22E8"/>
    <w:rsid w:val="003E24A1"/>
    <w:rsid w:val="003E2798"/>
    <w:rsid w:val="003E28B3"/>
    <w:rsid w:val="003E2C1F"/>
    <w:rsid w:val="003E2F59"/>
    <w:rsid w:val="003E3061"/>
    <w:rsid w:val="003E306E"/>
    <w:rsid w:val="003E311D"/>
    <w:rsid w:val="003E32C8"/>
    <w:rsid w:val="003E3395"/>
    <w:rsid w:val="003E33C6"/>
    <w:rsid w:val="003E355A"/>
    <w:rsid w:val="003E3564"/>
    <w:rsid w:val="003E38B0"/>
    <w:rsid w:val="003E3A77"/>
    <w:rsid w:val="003E3AC6"/>
    <w:rsid w:val="003E3D73"/>
    <w:rsid w:val="003E425D"/>
    <w:rsid w:val="003E48D8"/>
    <w:rsid w:val="003E494F"/>
    <w:rsid w:val="003E4C65"/>
    <w:rsid w:val="003E4DA9"/>
    <w:rsid w:val="003E4DDD"/>
    <w:rsid w:val="003E5024"/>
    <w:rsid w:val="003E514E"/>
    <w:rsid w:val="003E5705"/>
    <w:rsid w:val="003E570B"/>
    <w:rsid w:val="003E5827"/>
    <w:rsid w:val="003E583B"/>
    <w:rsid w:val="003E59F1"/>
    <w:rsid w:val="003E5D86"/>
    <w:rsid w:val="003E5DA7"/>
    <w:rsid w:val="003E5DD0"/>
    <w:rsid w:val="003E5E99"/>
    <w:rsid w:val="003E5EF8"/>
    <w:rsid w:val="003E5FBE"/>
    <w:rsid w:val="003E60D5"/>
    <w:rsid w:val="003E6370"/>
    <w:rsid w:val="003E639B"/>
    <w:rsid w:val="003E64C2"/>
    <w:rsid w:val="003E650C"/>
    <w:rsid w:val="003E66CD"/>
    <w:rsid w:val="003E6A14"/>
    <w:rsid w:val="003E6C60"/>
    <w:rsid w:val="003E6CF4"/>
    <w:rsid w:val="003E6D33"/>
    <w:rsid w:val="003E6F5B"/>
    <w:rsid w:val="003E701C"/>
    <w:rsid w:val="003E71F3"/>
    <w:rsid w:val="003E7491"/>
    <w:rsid w:val="003E7D60"/>
    <w:rsid w:val="003F0046"/>
    <w:rsid w:val="003F0381"/>
    <w:rsid w:val="003F03B1"/>
    <w:rsid w:val="003F03E1"/>
    <w:rsid w:val="003F049F"/>
    <w:rsid w:val="003F065E"/>
    <w:rsid w:val="003F095A"/>
    <w:rsid w:val="003F0BD3"/>
    <w:rsid w:val="003F1002"/>
    <w:rsid w:val="003F1490"/>
    <w:rsid w:val="003F17AE"/>
    <w:rsid w:val="003F1B3F"/>
    <w:rsid w:val="003F1C79"/>
    <w:rsid w:val="003F1C92"/>
    <w:rsid w:val="003F1D3E"/>
    <w:rsid w:val="003F1DC6"/>
    <w:rsid w:val="003F1E8E"/>
    <w:rsid w:val="003F1EBE"/>
    <w:rsid w:val="003F1EFB"/>
    <w:rsid w:val="003F1FED"/>
    <w:rsid w:val="003F211C"/>
    <w:rsid w:val="003F23BF"/>
    <w:rsid w:val="003F2501"/>
    <w:rsid w:val="003F259A"/>
    <w:rsid w:val="003F2EA7"/>
    <w:rsid w:val="003F2FB4"/>
    <w:rsid w:val="003F30F1"/>
    <w:rsid w:val="003F345D"/>
    <w:rsid w:val="003F34C7"/>
    <w:rsid w:val="003F36A4"/>
    <w:rsid w:val="003F36A6"/>
    <w:rsid w:val="003F36D6"/>
    <w:rsid w:val="003F37AE"/>
    <w:rsid w:val="003F3827"/>
    <w:rsid w:val="003F3935"/>
    <w:rsid w:val="003F397F"/>
    <w:rsid w:val="003F3A71"/>
    <w:rsid w:val="003F3B2B"/>
    <w:rsid w:val="003F3D05"/>
    <w:rsid w:val="003F3FD6"/>
    <w:rsid w:val="003F411F"/>
    <w:rsid w:val="003F4154"/>
    <w:rsid w:val="003F462F"/>
    <w:rsid w:val="003F47EA"/>
    <w:rsid w:val="003F47FA"/>
    <w:rsid w:val="003F4868"/>
    <w:rsid w:val="003F495F"/>
    <w:rsid w:val="003F4988"/>
    <w:rsid w:val="003F4C07"/>
    <w:rsid w:val="003F4FDD"/>
    <w:rsid w:val="003F528E"/>
    <w:rsid w:val="003F530F"/>
    <w:rsid w:val="003F57E7"/>
    <w:rsid w:val="003F5A38"/>
    <w:rsid w:val="003F5DDE"/>
    <w:rsid w:val="003F5E0A"/>
    <w:rsid w:val="003F5E66"/>
    <w:rsid w:val="003F6059"/>
    <w:rsid w:val="003F613B"/>
    <w:rsid w:val="003F6344"/>
    <w:rsid w:val="003F68EF"/>
    <w:rsid w:val="003F6BFE"/>
    <w:rsid w:val="003F6F0C"/>
    <w:rsid w:val="003F702D"/>
    <w:rsid w:val="003F7097"/>
    <w:rsid w:val="003F75ED"/>
    <w:rsid w:val="003F7854"/>
    <w:rsid w:val="003F7946"/>
    <w:rsid w:val="004000EB"/>
    <w:rsid w:val="004003BE"/>
    <w:rsid w:val="0040056A"/>
    <w:rsid w:val="004005FD"/>
    <w:rsid w:val="00400B86"/>
    <w:rsid w:val="00400C39"/>
    <w:rsid w:val="00400C92"/>
    <w:rsid w:val="00400DFC"/>
    <w:rsid w:val="0040109E"/>
    <w:rsid w:val="004010B3"/>
    <w:rsid w:val="004010B9"/>
    <w:rsid w:val="0040151E"/>
    <w:rsid w:val="00401906"/>
    <w:rsid w:val="00401A09"/>
    <w:rsid w:val="00401B04"/>
    <w:rsid w:val="00401BA6"/>
    <w:rsid w:val="004020F4"/>
    <w:rsid w:val="0040224D"/>
    <w:rsid w:val="0040226D"/>
    <w:rsid w:val="00402629"/>
    <w:rsid w:val="0040262F"/>
    <w:rsid w:val="0040284B"/>
    <w:rsid w:val="00402916"/>
    <w:rsid w:val="004029AB"/>
    <w:rsid w:val="00402C18"/>
    <w:rsid w:val="00402C2D"/>
    <w:rsid w:val="00402EA4"/>
    <w:rsid w:val="00403024"/>
    <w:rsid w:val="00403190"/>
    <w:rsid w:val="00403270"/>
    <w:rsid w:val="004032AF"/>
    <w:rsid w:val="004035DE"/>
    <w:rsid w:val="004037B0"/>
    <w:rsid w:val="00403A3D"/>
    <w:rsid w:val="00403DF8"/>
    <w:rsid w:val="00403E05"/>
    <w:rsid w:val="00404602"/>
    <w:rsid w:val="0040473D"/>
    <w:rsid w:val="00404D06"/>
    <w:rsid w:val="00404E57"/>
    <w:rsid w:val="00404ED3"/>
    <w:rsid w:val="00404EEC"/>
    <w:rsid w:val="00404FFE"/>
    <w:rsid w:val="004050E0"/>
    <w:rsid w:val="00405863"/>
    <w:rsid w:val="00405AF9"/>
    <w:rsid w:val="00405ECF"/>
    <w:rsid w:val="00405F00"/>
    <w:rsid w:val="00405F93"/>
    <w:rsid w:val="00406075"/>
    <w:rsid w:val="00406087"/>
    <w:rsid w:val="00406096"/>
    <w:rsid w:val="0040610D"/>
    <w:rsid w:val="0040630F"/>
    <w:rsid w:val="00406CE9"/>
    <w:rsid w:val="004071B2"/>
    <w:rsid w:val="00407540"/>
    <w:rsid w:val="00407BFF"/>
    <w:rsid w:val="004100C2"/>
    <w:rsid w:val="00410355"/>
    <w:rsid w:val="00410847"/>
    <w:rsid w:val="004108D2"/>
    <w:rsid w:val="0041096D"/>
    <w:rsid w:val="00410A4B"/>
    <w:rsid w:val="00410BA3"/>
    <w:rsid w:val="00410BFE"/>
    <w:rsid w:val="00410FF0"/>
    <w:rsid w:val="00411800"/>
    <w:rsid w:val="00411B71"/>
    <w:rsid w:val="0041226F"/>
    <w:rsid w:val="004122C0"/>
    <w:rsid w:val="004122D8"/>
    <w:rsid w:val="00412401"/>
    <w:rsid w:val="004124BF"/>
    <w:rsid w:val="00412717"/>
    <w:rsid w:val="00412733"/>
    <w:rsid w:val="00412AA5"/>
    <w:rsid w:val="00412AF7"/>
    <w:rsid w:val="00412B7C"/>
    <w:rsid w:val="0041342B"/>
    <w:rsid w:val="004138B6"/>
    <w:rsid w:val="004138FE"/>
    <w:rsid w:val="00413B2B"/>
    <w:rsid w:val="00413FA8"/>
    <w:rsid w:val="004144D2"/>
    <w:rsid w:val="00414780"/>
    <w:rsid w:val="004147AD"/>
    <w:rsid w:val="00414CCE"/>
    <w:rsid w:val="00414D30"/>
    <w:rsid w:val="00414E8F"/>
    <w:rsid w:val="004150FA"/>
    <w:rsid w:val="0041569B"/>
    <w:rsid w:val="0041579B"/>
    <w:rsid w:val="00415BCB"/>
    <w:rsid w:val="00415BF3"/>
    <w:rsid w:val="00415C9C"/>
    <w:rsid w:val="00415CBA"/>
    <w:rsid w:val="00415CCE"/>
    <w:rsid w:val="00415D71"/>
    <w:rsid w:val="0041601B"/>
    <w:rsid w:val="00416330"/>
    <w:rsid w:val="00416382"/>
    <w:rsid w:val="00416610"/>
    <w:rsid w:val="00416B4D"/>
    <w:rsid w:val="00416BD1"/>
    <w:rsid w:val="00417248"/>
    <w:rsid w:val="0041725D"/>
    <w:rsid w:val="004175A5"/>
    <w:rsid w:val="00417A94"/>
    <w:rsid w:val="00417C7E"/>
    <w:rsid w:val="00417DD0"/>
    <w:rsid w:val="00417DF6"/>
    <w:rsid w:val="00420297"/>
    <w:rsid w:val="004202AA"/>
    <w:rsid w:val="0042038D"/>
    <w:rsid w:val="00420551"/>
    <w:rsid w:val="004206CC"/>
    <w:rsid w:val="0042087A"/>
    <w:rsid w:val="00420930"/>
    <w:rsid w:val="00420990"/>
    <w:rsid w:val="00420E9B"/>
    <w:rsid w:val="00420EC0"/>
    <w:rsid w:val="004210C4"/>
    <w:rsid w:val="00421153"/>
    <w:rsid w:val="00421896"/>
    <w:rsid w:val="00421AF6"/>
    <w:rsid w:val="00421C3F"/>
    <w:rsid w:val="00421E13"/>
    <w:rsid w:val="00422186"/>
    <w:rsid w:val="00422357"/>
    <w:rsid w:val="00422623"/>
    <w:rsid w:val="0042263C"/>
    <w:rsid w:val="00422ADC"/>
    <w:rsid w:val="00422B24"/>
    <w:rsid w:val="00422DF1"/>
    <w:rsid w:val="004231FC"/>
    <w:rsid w:val="00423320"/>
    <w:rsid w:val="0042342A"/>
    <w:rsid w:val="0042375A"/>
    <w:rsid w:val="0042389E"/>
    <w:rsid w:val="004238D3"/>
    <w:rsid w:val="00423A00"/>
    <w:rsid w:val="00423B81"/>
    <w:rsid w:val="00423BE6"/>
    <w:rsid w:val="004247AB"/>
    <w:rsid w:val="004248E8"/>
    <w:rsid w:val="00424B03"/>
    <w:rsid w:val="00425112"/>
    <w:rsid w:val="00425677"/>
    <w:rsid w:val="00425760"/>
    <w:rsid w:val="004258F8"/>
    <w:rsid w:val="004259C0"/>
    <w:rsid w:val="00425AFB"/>
    <w:rsid w:val="00425BED"/>
    <w:rsid w:val="00426212"/>
    <w:rsid w:val="0042640B"/>
    <w:rsid w:val="0042658B"/>
    <w:rsid w:val="00426B07"/>
    <w:rsid w:val="00426F31"/>
    <w:rsid w:val="00426F7D"/>
    <w:rsid w:val="004270B5"/>
    <w:rsid w:val="00427647"/>
    <w:rsid w:val="004277BC"/>
    <w:rsid w:val="00427835"/>
    <w:rsid w:val="00427B17"/>
    <w:rsid w:val="00427D00"/>
    <w:rsid w:val="00427D6C"/>
    <w:rsid w:val="00430087"/>
    <w:rsid w:val="00430240"/>
    <w:rsid w:val="00430477"/>
    <w:rsid w:val="00430524"/>
    <w:rsid w:val="0043063C"/>
    <w:rsid w:val="0043095A"/>
    <w:rsid w:val="00430A8A"/>
    <w:rsid w:val="00431239"/>
    <w:rsid w:val="00431280"/>
    <w:rsid w:val="0043147E"/>
    <w:rsid w:val="00431637"/>
    <w:rsid w:val="004317DB"/>
    <w:rsid w:val="004318C8"/>
    <w:rsid w:val="00431C70"/>
    <w:rsid w:val="00431D61"/>
    <w:rsid w:val="0043230F"/>
    <w:rsid w:val="00432486"/>
    <w:rsid w:val="0043249F"/>
    <w:rsid w:val="00432503"/>
    <w:rsid w:val="00432809"/>
    <w:rsid w:val="004328B9"/>
    <w:rsid w:val="00432992"/>
    <w:rsid w:val="00432A61"/>
    <w:rsid w:val="00432C48"/>
    <w:rsid w:val="00432CBB"/>
    <w:rsid w:val="00432F44"/>
    <w:rsid w:val="00433337"/>
    <w:rsid w:val="004333A4"/>
    <w:rsid w:val="00433401"/>
    <w:rsid w:val="0043384B"/>
    <w:rsid w:val="004339D1"/>
    <w:rsid w:val="00433AB9"/>
    <w:rsid w:val="00433D0D"/>
    <w:rsid w:val="00433E83"/>
    <w:rsid w:val="00433E9D"/>
    <w:rsid w:val="00433F5A"/>
    <w:rsid w:val="00434095"/>
    <w:rsid w:val="0043418B"/>
    <w:rsid w:val="004346C8"/>
    <w:rsid w:val="004348D1"/>
    <w:rsid w:val="004349E7"/>
    <w:rsid w:val="00434C23"/>
    <w:rsid w:val="00434C50"/>
    <w:rsid w:val="00434DA4"/>
    <w:rsid w:val="00434FB2"/>
    <w:rsid w:val="00435066"/>
    <w:rsid w:val="004351C2"/>
    <w:rsid w:val="00435619"/>
    <w:rsid w:val="00435804"/>
    <w:rsid w:val="004361A0"/>
    <w:rsid w:val="004361D8"/>
    <w:rsid w:val="00436519"/>
    <w:rsid w:val="00436BD6"/>
    <w:rsid w:val="00436C98"/>
    <w:rsid w:val="00437237"/>
    <w:rsid w:val="00437331"/>
    <w:rsid w:val="0043741D"/>
    <w:rsid w:val="00437519"/>
    <w:rsid w:val="00437590"/>
    <w:rsid w:val="004377B1"/>
    <w:rsid w:val="004377BA"/>
    <w:rsid w:val="00437896"/>
    <w:rsid w:val="004379BC"/>
    <w:rsid w:val="00437B08"/>
    <w:rsid w:val="00437C93"/>
    <w:rsid w:val="00440242"/>
    <w:rsid w:val="00440ABE"/>
    <w:rsid w:val="00440B52"/>
    <w:rsid w:val="00440C4E"/>
    <w:rsid w:val="00440CEA"/>
    <w:rsid w:val="00440D45"/>
    <w:rsid w:val="00440F5A"/>
    <w:rsid w:val="00441225"/>
    <w:rsid w:val="0044167A"/>
    <w:rsid w:val="004416FE"/>
    <w:rsid w:val="004418C8"/>
    <w:rsid w:val="00441C71"/>
    <w:rsid w:val="00441E02"/>
    <w:rsid w:val="0044222C"/>
    <w:rsid w:val="00442577"/>
    <w:rsid w:val="00442A02"/>
    <w:rsid w:val="00442BF5"/>
    <w:rsid w:val="00442D73"/>
    <w:rsid w:val="00442DA0"/>
    <w:rsid w:val="00442FAB"/>
    <w:rsid w:val="00443429"/>
    <w:rsid w:val="004435B0"/>
    <w:rsid w:val="00443849"/>
    <w:rsid w:val="004438E1"/>
    <w:rsid w:val="004439B5"/>
    <w:rsid w:val="00443A36"/>
    <w:rsid w:val="00443DAF"/>
    <w:rsid w:val="00443DB2"/>
    <w:rsid w:val="00443FD1"/>
    <w:rsid w:val="00444071"/>
    <w:rsid w:val="0044407B"/>
    <w:rsid w:val="00444277"/>
    <w:rsid w:val="0044444A"/>
    <w:rsid w:val="00444797"/>
    <w:rsid w:val="00444C25"/>
    <w:rsid w:val="00444C83"/>
    <w:rsid w:val="00444DCF"/>
    <w:rsid w:val="00444F30"/>
    <w:rsid w:val="00444FB2"/>
    <w:rsid w:val="00445600"/>
    <w:rsid w:val="00445B32"/>
    <w:rsid w:val="00445FDD"/>
    <w:rsid w:val="004460C5"/>
    <w:rsid w:val="00446130"/>
    <w:rsid w:val="004464C4"/>
    <w:rsid w:val="004464DD"/>
    <w:rsid w:val="00446C1E"/>
    <w:rsid w:val="00446EE9"/>
    <w:rsid w:val="00447177"/>
    <w:rsid w:val="00447300"/>
    <w:rsid w:val="004473FA"/>
    <w:rsid w:val="004475BF"/>
    <w:rsid w:val="004477B9"/>
    <w:rsid w:val="00447B8D"/>
    <w:rsid w:val="00447C0E"/>
    <w:rsid w:val="00447CCC"/>
    <w:rsid w:val="00447CD5"/>
    <w:rsid w:val="00450283"/>
    <w:rsid w:val="004506A6"/>
    <w:rsid w:val="004506F7"/>
    <w:rsid w:val="00450915"/>
    <w:rsid w:val="00450D4C"/>
    <w:rsid w:val="00450F8E"/>
    <w:rsid w:val="00451382"/>
    <w:rsid w:val="00451386"/>
    <w:rsid w:val="0045160D"/>
    <w:rsid w:val="00451668"/>
    <w:rsid w:val="0045180E"/>
    <w:rsid w:val="00451E00"/>
    <w:rsid w:val="004520B9"/>
    <w:rsid w:val="0045260D"/>
    <w:rsid w:val="004528C1"/>
    <w:rsid w:val="0045290D"/>
    <w:rsid w:val="00452A21"/>
    <w:rsid w:val="00452AE9"/>
    <w:rsid w:val="00452BE2"/>
    <w:rsid w:val="004532F4"/>
    <w:rsid w:val="004534C4"/>
    <w:rsid w:val="004535BA"/>
    <w:rsid w:val="004536B6"/>
    <w:rsid w:val="0045389F"/>
    <w:rsid w:val="00453A62"/>
    <w:rsid w:val="00454289"/>
    <w:rsid w:val="00454648"/>
    <w:rsid w:val="004546BD"/>
    <w:rsid w:val="004549E5"/>
    <w:rsid w:val="00455066"/>
    <w:rsid w:val="0045522F"/>
    <w:rsid w:val="004552DC"/>
    <w:rsid w:val="0045535E"/>
    <w:rsid w:val="004553EF"/>
    <w:rsid w:val="00455607"/>
    <w:rsid w:val="0045568E"/>
    <w:rsid w:val="00455790"/>
    <w:rsid w:val="0045590A"/>
    <w:rsid w:val="004559EB"/>
    <w:rsid w:val="00455D47"/>
    <w:rsid w:val="00455DB5"/>
    <w:rsid w:val="00455E5A"/>
    <w:rsid w:val="004561D6"/>
    <w:rsid w:val="00456278"/>
    <w:rsid w:val="00456337"/>
    <w:rsid w:val="0045647F"/>
    <w:rsid w:val="00456631"/>
    <w:rsid w:val="00456BDF"/>
    <w:rsid w:val="00456CEA"/>
    <w:rsid w:val="00457919"/>
    <w:rsid w:val="00457A40"/>
    <w:rsid w:val="00457B80"/>
    <w:rsid w:val="00457BAE"/>
    <w:rsid w:val="00457C55"/>
    <w:rsid w:val="00457E26"/>
    <w:rsid w:val="00457F84"/>
    <w:rsid w:val="00460A04"/>
    <w:rsid w:val="00460BA1"/>
    <w:rsid w:val="00460FAB"/>
    <w:rsid w:val="00461514"/>
    <w:rsid w:val="0046182D"/>
    <w:rsid w:val="00461A3F"/>
    <w:rsid w:val="00461A54"/>
    <w:rsid w:val="00461A6C"/>
    <w:rsid w:val="00461A6D"/>
    <w:rsid w:val="00461B07"/>
    <w:rsid w:val="00461BB0"/>
    <w:rsid w:val="00461DCF"/>
    <w:rsid w:val="00461DDF"/>
    <w:rsid w:val="00461EE5"/>
    <w:rsid w:val="00462308"/>
    <w:rsid w:val="00462379"/>
    <w:rsid w:val="004625FB"/>
    <w:rsid w:val="0046277E"/>
    <w:rsid w:val="004627EC"/>
    <w:rsid w:val="00462886"/>
    <w:rsid w:val="004628F3"/>
    <w:rsid w:val="00462A78"/>
    <w:rsid w:val="00462D0A"/>
    <w:rsid w:val="00462D54"/>
    <w:rsid w:val="004630E3"/>
    <w:rsid w:val="004631B6"/>
    <w:rsid w:val="00463350"/>
    <w:rsid w:val="0046336F"/>
    <w:rsid w:val="004634BB"/>
    <w:rsid w:val="004635AD"/>
    <w:rsid w:val="00463AF2"/>
    <w:rsid w:val="00463B87"/>
    <w:rsid w:val="004640A1"/>
    <w:rsid w:val="004642C0"/>
    <w:rsid w:val="0046444C"/>
    <w:rsid w:val="004644B4"/>
    <w:rsid w:val="004644E8"/>
    <w:rsid w:val="0046452E"/>
    <w:rsid w:val="0046454C"/>
    <w:rsid w:val="00465221"/>
    <w:rsid w:val="00465437"/>
    <w:rsid w:val="00465596"/>
    <w:rsid w:val="00465859"/>
    <w:rsid w:val="004658F6"/>
    <w:rsid w:val="00465A81"/>
    <w:rsid w:val="00465FED"/>
    <w:rsid w:val="004660D4"/>
    <w:rsid w:val="004660DA"/>
    <w:rsid w:val="0046617D"/>
    <w:rsid w:val="004663BA"/>
    <w:rsid w:val="004664D1"/>
    <w:rsid w:val="004664DE"/>
    <w:rsid w:val="00466854"/>
    <w:rsid w:val="00466B22"/>
    <w:rsid w:val="00466FE0"/>
    <w:rsid w:val="0046707E"/>
    <w:rsid w:val="004671E7"/>
    <w:rsid w:val="004672E1"/>
    <w:rsid w:val="00467320"/>
    <w:rsid w:val="004676DD"/>
    <w:rsid w:val="004677BC"/>
    <w:rsid w:val="004678B9"/>
    <w:rsid w:val="004679D4"/>
    <w:rsid w:val="00467AF6"/>
    <w:rsid w:val="004704B3"/>
    <w:rsid w:val="00470616"/>
    <w:rsid w:val="004708C4"/>
    <w:rsid w:val="00470B0B"/>
    <w:rsid w:val="0047103F"/>
    <w:rsid w:val="004711F8"/>
    <w:rsid w:val="0047134C"/>
    <w:rsid w:val="00471BD7"/>
    <w:rsid w:val="00471CA1"/>
    <w:rsid w:val="00471EA4"/>
    <w:rsid w:val="00472096"/>
    <w:rsid w:val="004726BB"/>
    <w:rsid w:val="00472AE2"/>
    <w:rsid w:val="00472AF7"/>
    <w:rsid w:val="00472CEA"/>
    <w:rsid w:val="00472DC3"/>
    <w:rsid w:val="004736CC"/>
    <w:rsid w:val="004736D1"/>
    <w:rsid w:val="004737AD"/>
    <w:rsid w:val="0047386C"/>
    <w:rsid w:val="004738AB"/>
    <w:rsid w:val="004738D9"/>
    <w:rsid w:val="00473FF0"/>
    <w:rsid w:val="00474264"/>
    <w:rsid w:val="00474551"/>
    <w:rsid w:val="004745E1"/>
    <w:rsid w:val="004745EC"/>
    <w:rsid w:val="00474658"/>
    <w:rsid w:val="004747EA"/>
    <w:rsid w:val="00474871"/>
    <w:rsid w:val="004748AE"/>
    <w:rsid w:val="004748BA"/>
    <w:rsid w:val="00475085"/>
    <w:rsid w:val="004751E3"/>
    <w:rsid w:val="0047536B"/>
    <w:rsid w:val="00475402"/>
    <w:rsid w:val="00475497"/>
    <w:rsid w:val="00475548"/>
    <w:rsid w:val="004756CF"/>
    <w:rsid w:val="00475A17"/>
    <w:rsid w:val="00475A9F"/>
    <w:rsid w:val="00475ADF"/>
    <w:rsid w:val="00475D69"/>
    <w:rsid w:val="00476407"/>
    <w:rsid w:val="00476AC0"/>
    <w:rsid w:val="00476E4D"/>
    <w:rsid w:val="00476F3A"/>
    <w:rsid w:val="00477B06"/>
    <w:rsid w:val="00477C80"/>
    <w:rsid w:val="00477DBC"/>
    <w:rsid w:val="00480056"/>
    <w:rsid w:val="00480115"/>
    <w:rsid w:val="004801A5"/>
    <w:rsid w:val="004808F6"/>
    <w:rsid w:val="00480935"/>
    <w:rsid w:val="00480CC6"/>
    <w:rsid w:val="00480E4E"/>
    <w:rsid w:val="00480F5D"/>
    <w:rsid w:val="00480F75"/>
    <w:rsid w:val="00481097"/>
    <w:rsid w:val="0048129E"/>
    <w:rsid w:val="00481360"/>
    <w:rsid w:val="004813A1"/>
    <w:rsid w:val="00481500"/>
    <w:rsid w:val="00481507"/>
    <w:rsid w:val="004816DB"/>
    <w:rsid w:val="004819E6"/>
    <w:rsid w:val="00481F38"/>
    <w:rsid w:val="004821FC"/>
    <w:rsid w:val="004825AD"/>
    <w:rsid w:val="0048261C"/>
    <w:rsid w:val="004827C8"/>
    <w:rsid w:val="00482842"/>
    <w:rsid w:val="004828AE"/>
    <w:rsid w:val="00482919"/>
    <w:rsid w:val="00482C55"/>
    <w:rsid w:val="0048348D"/>
    <w:rsid w:val="00483644"/>
    <w:rsid w:val="00483BAC"/>
    <w:rsid w:val="00483DA4"/>
    <w:rsid w:val="0048403E"/>
    <w:rsid w:val="004841A8"/>
    <w:rsid w:val="004842A6"/>
    <w:rsid w:val="0048437E"/>
    <w:rsid w:val="00484534"/>
    <w:rsid w:val="004846F9"/>
    <w:rsid w:val="00484816"/>
    <w:rsid w:val="00484A09"/>
    <w:rsid w:val="00484AB3"/>
    <w:rsid w:val="00484B33"/>
    <w:rsid w:val="00484E33"/>
    <w:rsid w:val="00484FBF"/>
    <w:rsid w:val="0048526B"/>
    <w:rsid w:val="0048541E"/>
    <w:rsid w:val="00485627"/>
    <w:rsid w:val="00485A26"/>
    <w:rsid w:val="00485F1B"/>
    <w:rsid w:val="00486658"/>
    <w:rsid w:val="004868AE"/>
    <w:rsid w:val="00486AE2"/>
    <w:rsid w:val="00486B4F"/>
    <w:rsid w:val="00486BBA"/>
    <w:rsid w:val="00486C7B"/>
    <w:rsid w:val="00486E22"/>
    <w:rsid w:val="00486F4C"/>
    <w:rsid w:val="004873B5"/>
    <w:rsid w:val="004875B0"/>
    <w:rsid w:val="0048761F"/>
    <w:rsid w:val="00487732"/>
    <w:rsid w:val="00487752"/>
    <w:rsid w:val="004878CB"/>
    <w:rsid w:val="00487E2D"/>
    <w:rsid w:val="00487F93"/>
    <w:rsid w:val="004900F4"/>
    <w:rsid w:val="0049132E"/>
    <w:rsid w:val="00491514"/>
    <w:rsid w:val="004917F2"/>
    <w:rsid w:val="00491A48"/>
    <w:rsid w:val="00492170"/>
    <w:rsid w:val="0049241E"/>
    <w:rsid w:val="0049249B"/>
    <w:rsid w:val="00492C47"/>
    <w:rsid w:val="00492CA4"/>
    <w:rsid w:val="00492D8D"/>
    <w:rsid w:val="00492ECA"/>
    <w:rsid w:val="00492F96"/>
    <w:rsid w:val="004930A9"/>
    <w:rsid w:val="00493284"/>
    <w:rsid w:val="00493772"/>
    <w:rsid w:val="0049383C"/>
    <w:rsid w:val="00493931"/>
    <w:rsid w:val="00493971"/>
    <w:rsid w:val="00493A5B"/>
    <w:rsid w:val="00494265"/>
    <w:rsid w:val="00494410"/>
    <w:rsid w:val="00494777"/>
    <w:rsid w:val="00494B87"/>
    <w:rsid w:val="00494D6B"/>
    <w:rsid w:val="00494F2F"/>
    <w:rsid w:val="0049575D"/>
    <w:rsid w:val="00495932"/>
    <w:rsid w:val="00495AB6"/>
    <w:rsid w:val="00495CD0"/>
    <w:rsid w:val="00495D8B"/>
    <w:rsid w:val="00495D9B"/>
    <w:rsid w:val="00495ECA"/>
    <w:rsid w:val="00495F9F"/>
    <w:rsid w:val="00496015"/>
    <w:rsid w:val="004962CC"/>
    <w:rsid w:val="0049639E"/>
    <w:rsid w:val="0049651D"/>
    <w:rsid w:val="004965C2"/>
    <w:rsid w:val="00496606"/>
    <w:rsid w:val="004967B1"/>
    <w:rsid w:val="004968FC"/>
    <w:rsid w:val="00496DB1"/>
    <w:rsid w:val="00497013"/>
    <w:rsid w:val="00497185"/>
    <w:rsid w:val="004974D0"/>
    <w:rsid w:val="004975FC"/>
    <w:rsid w:val="004978B6"/>
    <w:rsid w:val="00497B99"/>
    <w:rsid w:val="00497D3A"/>
    <w:rsid w:val="00497E2A"/>
    <w:rsid w:val="00497F60"/>
    <w:rsid w:val="004A0001"/>
    <w:rsid w:val="004A01A2"/>
    <w:rsid w:val="004A03BA"/>
    <w:rsid w:val="004A03BF"/>
    <w:rsid w:val="004A0C7C"/>
    <w:rsid w:val="004A0E0C"/>
    <w:rsid w:val="004A12DE"/>
    <w:rsid w:val="004A1388"/>
    <w:rsid w:val="004A14B1"/>
    <w:rsid w:val="004A152C"/>
    <w:rsid w:val="004A1990"/>
    <w:rsid w:val="004A1E2A"/>
    <w:rsid w:val="004A1F88"/>
    <w:rsid w:val="004A229F"/>
    <w:rsid w:val="004A2534"/>
    <w:rsid w:val="004A2727"/>
    <w:rsid w:val="004A2741"/>
    <w:rsid w:val="004A2DE7"/>
    <w:rsid w:val="004A2E01"/>
    <w:rsid w:val="004A2E8D"/>
    <w:rsid w:val="004A2F9A"/>
    <w:rsid w:val="004A3031"/>
    <w:rsid w:val="004A35D7"/>
    <w:rsid w:val="004A374B"/>
    <w:rsid w:val="004A3887"/>
    <w:rsid w:val="004A38F6"/>
    <w:rsid w:val="004A4413"/>
    <w:rsid w:val="004A4452"/>
    <w:rsid w:val="004A452C"/>
    <w:rsid w:val="004A45B7"/>
    <w:rsid w:val="004A47FA"/>
    <w:rsid w:val="004A4928"/>
    <w:rsid w:val="004A4D38"/>
    <w:rsid w:val="004A50D5"/>
    <w:rsid w:val="004A51CC"/>
    <w:rsid w:val="004A5548"/>
    <w:rsid w:val="004A58A2"/>
    <w:rsid w:val="004A58F8"/>
    <w:rsid w:val="004A5C05"/>
    <w:rsid w:val="004A5F71"/>
    <w:rsid w:val="004A6018"/>
    <w:rsid w:val="004A603D"/>
    <w:rsid w:val="004A6208"/>
    <w:rsid w:val="004A623F"/>
    <w:rsid w:val="004A6318"/>
    <w:rsid w:val="004A6E4E"/>
    <w:rsid w:val="004A6F96"/>
    <w:rsid w:val="004A7016"/>
    <w:rsid w:val="004A7361"/>
    <w:rsid w:val="004A768A"/>
    <w:rsid w:val="004A7702"/>
    <w:rsid w:val="004A7757"/>
    <w:rsid w:val="004A7A5D"/>
    <w:rsid w:val="004A7ABC"/>
    <w:rsid w:val="004A7BEF"/>
    <w:rsid w:val="004A7C3C"/>
    <w:rsid w:val="004A7C87"/>
    <w:rsid w:val="004A7D48"/>
    <w:rsid w:val="004A7E0A"/>
    <w:rsid w:val="004B006F"/>
    <w:rsid w:val="004B06F8"/>
    <w:rsid w:val="004B0A20"/>
    <w:rsid w:val="004B0B76"/>
    <w:rsid w:val="004B0D80"/>
    <w:rsid w:val="004B1292"/>
    <w:rsid w:val="004B12C1"/>
    <w:rsid w:val="004B1615"/>
    <w:rsid w:val="004B1769"/>
    <w:rsid w:val="004B1D55"/>
    <w:rsid w:val="004B2140"/>
    <w:rsid w:val="004B292A"/>
    <w:rsid w:val="004B29D1"/>
    <w:rsid w:val="004B2E37"/>
    <w:rsid w:val="004B32E9"/>
    <w:rsid w:val="004B3732"/>
    <w:rsid w:val="004B37E3"/>
    <w:rsid w:val="004B3BB8"/>
    <w:rsid w:val="004B3CCB"/>
    <w:rsid w:val="004B3E3E"/>
    <w:rsid w:val="004B3EDE"/>
    <w:rsid w:val="004B3F1C"/>
    <w:rsid w:val="004B41F3"/>
    <w:rsid w:val="004B442C"/>
    <w:rsid w:val="004B4513"/>
    <w:rsid w:val="004B4517"/>
    <w:rsid w:val="004B4579"/>
    <w:rsid w:val="004B4643"/>
    <w:rsid w:val="004B4670"/>
    <w:rsid w:val="004B46B5"/>
    <w:rsid w:val="004B4804"/>
    <w:rsid w:val="004B4A38"/>
    <w:rsid w:val="004B5513"/>
    <w:rsid w:val="004B55D0"/>
    <w:rsid w:val="004B5813"/>
    <w:rsid w:val="004B5D6B"/>
    <w:rsid w:val="004B6167"/>
    <w:rsid w:val="004B618A"/>
    <w:rsid w:val="004B63D0"/>
    <w:rsid w:val="004B6448"/>
    <w:rsid w:val="004B6846"/>
    <w:rsid w:val="004B6C64"/>
    <w:rsid w:val="004B6D8C"/>
    <w:rsid w:val="004B70D2"/>
    <w:rsid w:val="004B710A"/>
    <w:rsid w:val="004B71F6"/>
    <w:rsid w:val="004B741D"/>
    <w:rsid w:val="004B7650"/>
    <w:rsid w:val="004B7D43"/>
    <w:rsid w:val="004B7D68"/>
    <w:rsid w:val="004B7F37"/>
    <w:rsid w:val="004C024E"/>
    <w:rsid w:val="004C0387"/>
    <w:rsid w:val="004C0409"/>
    <w:rsid w:val="004C0414"/>
    <w:rsid w:val="004C0543"/>
    <w:rsid w:val="004C06EA"/>
    <w:rsid w:val="004C086A"/>
    <w:rsid w:val="004C088D"/>
    <w:rsid w:val="004C093C"/>
    <w:rsid w:val="004C09B2"/>
    <w:rsid w:val="004C0C5D"/>
    <w:rsid w:val="004C0E83"/>
    <w:rsid w:val="004C0FB1"/>
    <w:rsid w:val="004C13A2"/>
    <w:rsid w:val="004C198E"/>
    <w:rsid w:val="004C19CC"/>
    <w:rsid w:val="004C19E6"/>
    <w:rsid w:val="004C1BA6"/>
    <w:rsid w:val="004C1BE4"/>
    <w:rsid w:val="004C2217"/>
    <w:rsid w:val="004C2536"/>
    <w:rsid w:val="004C29A4"/>
    <w:rsid w:val="004C2D7C"/>
    <w:rsid w:val="004C3517"/>
    <w:rsid w:val="004C3670"/>
    <w:rsid w:val="004C37CD"/>
    <w:rsid w:val="004C3B21"/>
    <w:rsid w:val="004C3BDF"/>
    <w:rsid w:val="004C3C75"/>
    <w:rsid w:val="004C3E75"/>
    <w:rsid w:val="004C3F03"/>
    <w:rsid w:val="004C4325"/>
    <w:rsid w:val="004C44B7"/>
    <w:rsid w:val="004C47EE"/>
    <w:rsid w:val="004C48F1"/>
    <w:rsid w:val="004C4C24"/>
    <w:rsid w:val="004C554F"/>
    <w:rsid w:val="004C55A6"/>
    <w:rsid w:val="004C5728"/>
    <w:rsid w:val="004C57D3"/>
    <w:rsid w:val="004C5B49"/>
    <w:rsid w:val="004C5C01"/>
    <w:rsid w:val="004C5D5E"/>
    <w:rsid w:val="004C6228"/>
    <w:rsid w:val="004C62DA"/>
    <w:rsid w:val="004C62F4"/>
    <w:rsid w:val="004C6608"/>
    <w:rsid w:val="004C66E2"/>
    <w:rsid w:val="004C6F6D"/>
    <w:rsid w:val="004C720D"/>
    <w:rsid w:val="004C74D7"/>
    <w:rsid w:val="004D017B"/>
    <w:rsid w:val="004D020A"/>
    <w:rsid w:val="004D03A9"/>
    <w:rsid w:val="004D03AE"/>
    <w:rsid w:val="004D0B31"/>
    <w:rsid w:val="004D0C41"/>
    <w:rsid w:val="004D0F63"/>
    <w:rsid w:val="004D1113"/>
    <w:rsid w:val="004D14E9"/>
    <w:rsid w:val="004D1BEF"/>
    <w:rsid w:val="004D20E6"/>
    <w:rsid w:val="004D2E19"/>
    <w:rsid w:val="004D2F47"/>
    <w:rsid w:val="004D3141"/>
    <w:rsid w:val="004D3553"/>
    <w:rsid w:val="004D3806"/>
    <w:rsid w:val="004D3A4D"/>
    <w:rsid w:val="004D3BA8"/>
    <w:rsid w:val="004D434E"/>
    <w:rsid w:val="004D4847"/>
    <w:rsid w:val="004D49AC"/>
    <w:rsid w:val="004D4AF6"/>
    <w:rsid w:val="004D4E4D"/>
    <w:rsid w:val="004D4F94"/>
    <w:rsid w:val="004D528C"/>
    <w:rsid w:val="004D5294"/>
    <w:rsid w:val="004D535D"/>
    <w:rsid w:val="004D537B"/>
    <w:rsid w:val="004D55F9"/>
    <w:rsid w:val="004D570C"/>
    <w:rsid w:val="004D5A58"/>
    <w:rsid w:val="004D5C0A"/>
    <w:rsid w:val="004D5EA2"/>
    <w:rsid w:val="004D5F31"/>
    <w:rsid w:val="004D5F65"/>
    <w:rsid w:val="004D6234"/>
    <w:rsid w:val="004D6696"/>
    <w:rsid w:val="004D6713"/>
    <w:rsid w:val="004D67F5"/>
    <w:rsid w:val="004D690B"/>
    <w:rsid w:val="004D6A20"/>
    <w:rsid w:val="004D6CCE"/>
    <w:rsid w:val="004D6D56"/>
    <w:rsid w:val="004D6FBA"/>
    <w:rsid w:val="004D72CF"/>
    <w:rsid w:val="004D7301"/>
    <w:rsid w:val="004D7364"/>
    <w:rsid w:val="004D74EC"/>
    <w:rsid w:val="004D7667"/>
    <w:rsid w:val="004D7792"/>
    <w:rsid w:val="004D7929"/>
    <w:rsid w:val="004D792A"/>
    <w:rsid w:val="004D7B1A"/>
    <w:rsid w:val="004D7B7F"/>
    <w:rsid w:val="004D7DD5"/>
    <w:rsid w:val="004E00E6"/>
    <w:rsid w:val="004E013A"/>
    <w:rsid w:val="004E015E"/>
    <w:rsid w:val="004E0247"/>
    <w:rsid w:val="004E09ED"/>
    <w:rsid w:val="004E0B73"/>
    <w:rsid w:val="004E0B85"/>
    <w:rsid w:val="004E0EAE"/>
    <w:rsid w:val="004E1179"/>
    <w:rsid w:val="004E1362"/>
    <w:rsid w:val="004E14BD"/>
    <w:rsid w:val="004E14F4"/>
    <w:rsid w:val="004E1581"/>
    <w:rsid w:val="004E1658"/>
    <w:rsid w:val="004E174B"/>
    <w:rsid w:val="004E1987"/>
    <w:rsid w:val="004E1E74"/>
    <w:rsid w:val="004E1EA8"/>
    <w:rsid w:val="004E1F4D"/>
    <w:rsid w:val="004E2117"/>
    <w:rsid w:val="004E2231"/>
    <w:rsid w:val="004E2536"/>
    <w:rsid w:val="004E256B"/>
    <w:rsid w:val="004E2700"/>
    <w:rsid w:val="004E285F"/>
    <w:rsid w:val="004E29B8"/>
    <w:rsid w:val="004E2A15"/>
    <w:rsid w:val="004E2ACC"/>
    <w:rsid w:val="004E2CBC"/>
    <w:rsid w:val="004E2D0C"/>
    <w:rsid w:val="004E2E43"/>
    <w:rsid w:val="004E2F0D"/>
    <w:rsid w:val="004E33D2"/>
    <w:rsid w:val="004E33F1"/>
    <w:rsid w:val="004E374E"/>
    <w:rsid w:val="004E37FA"/>
    <w:rsid w:val="004E394F"/>
    <w:rsid w:val="004E3BD5"/>
    <w:rsid w:val="004E3E8B"/>
    <w:rsid w:val="004E4118"/>
    <w:rsid w:val="004E44F2"/>
    <w:rsid w:val="004E46FD"/>
    <w:rsid w:val="004E47A7"/>
    <w:rsid w:val="004E48FF"/>
    <w:rsid w:val="004E4B16"/>
    <w:rsid w:val="004E4EA5"/>
    <w:rsid w:val="004E5456"/>
    <w:rsid w:val="004E556B"/>
    <w:rsid w:val="004E5B44"/>
    <w:rsid w:val="004E5E2C"/>
    <w:rsid w:val="004E5F2B"/>
    <w:rsid w:val="004E5F98"/>
    <w:rsid w:val="004E60B5"/>
    <w:rsid w:val="004E61C1"/>
    <w:rsid w:val="004E632D"/>
    <w:rsid w:val="004E6461"/>
    <w:rsid w:val="004E6521"/>
    <w:rsid w:val="004E669C"/>
    <w:rsid w:val="004E6AAA"/>
    <w:rsid w:val="004E6DE0"/>
    <w:rsid w:val="004E6E82"/>
    <w:rsid w:val="004E7037"/>
    <w:rsid w:val="004E729A"/>
    <w:rsid w:val="004E76B9"/>
    <w:rsid w:val="004E7B52"/>
    <w:rsid w:val="004E7D44"/>
    <w:rsid w:val="004E7DB0"/>
    <w:rsid w:val="004E7EF1"/>
    <w:rsid w:val="004F0008"/>
    <w:rsid w:val="004F030F"/>
    <w:rsid w:val="004F0C39"/>
    <w:rsid w:val="004F0CBB"/>
    <w:rsid w:val="004F0D52"/>
    <w:rsid w:val="004F0D7F"/>
    <w:rsid w:val="004F0FB3"/>
    <w:rsid w:val="004F106A"/>
    <w:rsid w:val="004F111E"/>
    <w:rsid w:val="004F1141"/>
    <w:rsid w:val="004F1586"/>
    <w:rsid w:val="004F1DBA"/>
    <w:rsid w:val="004F1E95"/>
    <w:rsid w:val="004F1F14"/>
    <w:rsid w:val="004F2587"/>
    <w:rsid w:val="004F297C"/>
    <w:rsid w:val="004F2A7D"/>
    <w:rsid w:val="004F2D06"/>
    <w:rsid w:val="004F2DC8"/>
    <w:rsid w:val="004F2E45"/>
    <w:rsid w:val="004F304E"/>
    <w:rsid w:val="004F3228"/>
    <w:rsid w:val="004F339D"/>
    <w:rsid w:val="004F364E"/>
    <w:rsid w:val="004F3A5E"/>
    <w:rsid w:val="004F3B54"/>
    <w:rsid w:val="004F3CFC"/>
    <w:rsid w:val="004F3EBC"/>
    <w:rsid w:val="004F409D"/>
    <w:rsid w:val="004F41E3"/>
    <w:rsid w:val="004F446D"/>
    <w:rsid w:val="004F44E4"/>
    <w:rsid w:val="004F480F"/>
    <w:rsid w:val="004F4A0A"/>
    <w:rsid w:val="004F517B"/>
    <w:rsid w:val="004F52FF"/>
    <w:rsid w:val="004F58EE"/>
    <w:rsid w:val="004F61E7"/>
    <w:rsid w:val="004F62F0"/>
    <w:rsid w:val="004F6694"/>
    <w:rsid w:val="004F66C3"/>
    <w:rsid w:val="004F66EF"/>
    <w:rsid w:val="004F6774"/>
    <w:rsid w:val="004F6908"/>
    <w:rsid w:val="004F6BBA"/>
    <w:rsid w:val="004F6C6B"/>
    <w:rsid w:val="004F6E0B"/>
    <w:rsid w:val="004F6FF2"/>
    <w:rsid w:val="004F70B5"/>
    <w:rsid w:val="004F7349"/>
    <w:rsid w:val="004F7368"/>
    <w:rsid w:val="004F7488"/>
    <w:rsid w:val="004F770A"/>
    <w:rsid w:val="004F789E"/>
    <w:rsid w:val="004F79D4"/>
    <w:rsid w:val="004F79D8"/>
    <w:rsid w:val="004F7B89"/>
    <w:rsid w:val="004F7D36"/>
    <w:rsid w:val="004F7DA1"/>
    <w:rsid w:val="00500241"/>
    <w:rsid w:val="00500248"/>
    <w:rsid w:val="0050036B"/>
    <w:rsid w:val="00500413"/>
    <w:rsid w:val="00500594"/>
    <w:rsid w:val="005007B5"/>
    <w:rsid w:val="00500A47"/>
    <w:rsid w:val="00500A63"/>
    <w:rsid w:val="00500A93"/>
    <w:rsid w:val="00500CFE"/>
    <w:rsid w:val="00500D1B"/>
    <w:rsid w:val="00500EB6"/>
    <w:rsid w:val="0050116A"/>
    <w:rsid w:val="005012F1"/>
    <w:rsid w:val="00501359"/>
    <w:rsid w:val="00501601"/>
    <w:rsid w:val="00501736"/>
    <w:rsid w:val="00501842"/>
    <w:rsid w:val="00501AB8"/>
    <w:rsid w:val="00501C57"/>
    <w:rsid w:val="00501CB1"/>
    <w:rsid w:val="00501CC0"/>
    <w:rsid w:val="00502193"/>
    <w:rsid w:val="0050237B"/>
    <w:rsid w:val="005027F3"/>
    <w:rsid w:val="00502818"/>
    <w:rsid w:val="00502965"/>
    <w:rsid w:val="00502988"/>
    <w:rsid w:val="00502B22"/>
    <w:rsid w:val="005030AE"/>
    <w:rsid w:val="005031D8"/>
    <w:rsid w:val="005034FD"/>
    <w:rsid w:val="00503660"/>
    <w:rsid w:val="005036D2"/>
    <w:rsid w:val="005037F1"/>
    <w:rsid w:val="00503B15"/>
    <w:rsid w:val="00503BB9"/>
    <w:rsid w:val="00503C4F"/>
    <w:rsid w:val="00503E30"/>
    <w:rsid w:val="00503E86"/>
    <w:rsid w:val="00503EE5"/>
    <w:rsid w:val="00503F79"/>
    <w:rsid w:val="00503F7E"/>
    <w:rsid w:val="00503FF0"/>
    <w:rsid w:val="00504005"/>
    <w:rsid w:val="00504014"/>
    <w:rsid w:val="0050483A"/>
    <w:rsid w:val="00504849"/>
    <w:rsid w:val="00504A7A"/>
    <w:rsid w:val="00504B1E"/>
    <w:rsid w:val="00504D61"/>
    <w:rsid w:val="0050517B"/>
    <w:rsid w:val="0050528D"/>
    <w:rsid w:val="005052DB"/>
    <w:rsid w:val="0050555D"/>
    <w:rsid w:val="005055E1"/>
    <w:rsid w:val="00505627"/>
    <w:rsid w:val="0050574B"/>
    <w:rsid w:val="005061BF"/>
    <w:rsid w:val="00506599"/>
    <w:rsid w:val="00506815"/>
    <w:rsid w:val="00506D32"/>
    <w:rsid w:val="00506F8E"/>
    <w:rsid w:val="005076D0"/>
    <w:rsid w:val="00507CB7"/>
    <w:rsid w:val="00507CEA"/>
    <w:rsid w:val="00507E74"/>
    <w:rsid w:val="00507EB0"/>
    <w:rsid w:val="005101FB"/>
    <w:rsid w:val="00510468"/>
    <w:rsid w:val="00510C7F"/>
    <w:rsid w:val="00510CCB"/>
    <w:rsid w:val="005111D5"/>
    <w:rsid w:val="00511226"/>
    <w:rsid w:val="0051128B"/>
    <w:rsid w:val="00511621"/>
    <w:rsid w:val="00511A1B"/>
    <w:rsid w:val="00511CBB"/>
    <w:rsid w:val="00511EEB"/>
    <w:rsid w:val="005120BD"/>
    <w:rsid w:val="00512105"/>
    <w:rsid w:val="0051213B"/>
    <w:rsid w:val="0051258E"/>
    <w:rsid w:val="00512EF0"/>
    <w:rsid w:val="00512F0E"/>
    <w:rsid w:val="005134E9"/>
    <w:rsid w:val="00513590"/>
    <w:rsid w:val="005135D1"/>
    <w:rsid w:val="0051387B"/>
    <w:rsid w:val="005139CB"/>
    <w:rsid w:val="00513A46"/>
    <w:rsid w:val="00513BED"/>
    <w:rsid w:val="00514134"/>
    <w:rsid w:val="00514212"/>
    <w:rsid w:val="00514305"/>
    <w:rsid w:val="00514566"/>
    <w:rsid w:val="00514A52"/>
    <w:rsid w:val="00514F76"/>
    <w:rsid w:val="00515031"/>
    <w:rsid w:val="0051508C"/>
    <w:rsid w:val="005151AD"/>
    <w:rsid w:val="00515315"/>
    <w:rsid w:val="0051590A"/>
    <w:rsid w:val="00515A13"/>
    <w:rsid w:val="00515C13"/>
    <w:rsid w:val="00515C2E"/>
    <w:rsid w:val="00515EF2"/>
    <w:rsid w:val="00515F94"/>
    <w:rsid w:val="00516022"/>
    <w:rsid w:val="00516328"/>
    <w:rsid w:val="005163C3"/>
    <w:rsid w:val="00516D7C"/>
    <w:rsid w:val="005172D1"/>
    <w:rsid w:val="0051732C"/>
    <w:rsid w:val="0051763A"/>
    <w:rsid w:val="0051794E"/>
    <w:rsid w:val="00517AAA"/>
    <w:rsid w:val="00517DD7"/>
    <w:rsid w:val="005200B5"/>
    <w:rsid w:val="005201EE"/>
    <w:rsid w:val="0052026A"/>
    <w:rsid w:val="00520352"/>
    <w:rsid w:val="005203EA"/>
    <w:rsid w:val="00520436"/>
    <w:rsid w:val="00520567"/>
    <w:rsid w:val="005207BE"/>
    <w:rsid w:val="005207CB"/>
    <w:rsid w:val="005209AE"/>
    <w:rsid w:val="005209DC"/>
    <w:rsid w:val="00520E49"/>
    <w:rsid w:val="00521099"/>
    <w:rsid w:val="0052112C"/>
    <w:rsid w:val="0052134A"/>
    <w:rsid w:val="00521534"/>
    <w:rsid w:val="00521615"/>
    <w:rsid w:val="0052163C"/>
    <w:rsid w:val="005216CA"/>
    <w:rsid w:val="00521990"/>
    <w:rsid w:val="00521D14"/>
    <w:rsid w:val="00521D17"/>
    <w:rsid w:val="00521D89"/>
    <w:rsid w:val="00521FD3"/>
    <w:rsid w:val="005221F2"/>
    <w:rsid w:val="00522282"/>
    <w:rsid w:val="00522382"/>
    <w:rsid w:val="005224E7"/>
    <w:rsid w:val="00523174"/>
    <w:rsid w:val="00523198"/>
    <w:rsid w:val="00523B2B"/>
    <w:rsid w:val="00523F6F"/>
    <w:rsid w:val="00523FF0"/>
    <w:rsid w:val="0052401B"/>
    <w:rsid w:val="0052418C"/>
    <w:rsid w:val="00524704"/>
    <w:rsid w:val="005248D1"/>
    <w:rsid w:val="00524EE2"/>
    <w:rsid w:val="00524FE4"/>
    <w:rsid w:val="00525219"/>
    <w:rsid w:val="0052556A"/>
    <w:rsid w:val="00525890"/>
    <w:rsid w:val="00525AEF"/>
    <w:rsid w:val="00525B85"/>
    <w:rsid w:val="00525D05"/>
    <w:rsid w:val="00525EF8"/>
    <w:rsid w:val="00526131"/>
    <w:rsid w:val="005262A0"/>
    <w:rsid w:val="005264B0"/>
    <w:rsid w:val="005269CF"/>
    <w:rsid w:val="00526AE8"/>
    <w:rsid w:val="005277C7"/>
    <w:rsid w:val="005277E6"/>
    <w:rsid w:val="00527876"/>
    <w:rsid w:val="00527C87"/>
    <w:rsid w:val="00527CFC"/>
    <w:rsid w:val="0053013C"/>
    <w:rsid w:val="0053029A"/>
    <w:rsid w:val="005304B1"/>
    <w:rsid w:val="00530740"/>
    <w:rsid w:val="005308EF"/>
    <w:rsid w:val="00530C24"/>
    <w:rsid w:val="00530CEC"/>
    <w:rsid w:val="0053100E"/>
    <w:rsid w:val="005310C3"/>
    <w:rsid w:val="0053147E"/>
    <w:rsid w:val="00531573"/>
    <w:rsid w:val="00531614"/>
    <w:rsid w:val="00531741"/>
    <w:rsid w:val="00531880"/>
    <w:rsid w:val="00532148"/>
    <w:rsid w:val="0053225B"/>
    <w:rsid w:val="00532438"/>
    <w:rsid w:val="005324E2"/>
    <w:rsid w:val="00532607"/>
    <w:rsid w:val="0053293F"/>
    <w:rsid w:val="00532F2D"/>
    <w:rsid w:val="00533050"/>
    <w:rsid w:val="005332AC"/>
    <w:rsid w:val="00533350"/>
    <w:rsid w:val="0053337D"/>
    <w:rsid w:val="005337A8"/>
    <w:rsid w:val="00533851"/>
    <w:rsid w:val="005339BC"/>
    <w:rsid w:val="00533A5B"/>
    <w:rsid w:val="00533B4F"/>
    <w:rsid w:val="00533CA6"/>
    <w:rsid w:val="00533E4D"/>
    <w:rsid w:val="00533FA4"/>
    <w:rsid w:val="005346C3"/>
    <w:rsid w:val="005349E8"/>
    <w:rsid w:val="00534A68"/>
    <w:rsid w:val="00534BDD"/>
    <w:rsid w:val="00534EA1"/>
    <w:rsid w:val="00535033"/>
    <w:rsid w:val="005350F0"/>
    <w:rsid w:val="00535558"/>
    <w:rsid w:val="005357A6"/>
    <w:rsid w:val="0053592A"/>
    <w:rsid w:val="005364B4"/>
    <w:rsid w:val="00536512"/>
    <w:rsid w:val="005365E5"/>
    <w:rsid w:val="00536785"/>
    <w:rsid w:val="00536A7C"/>
    <w:rsid w:val="00536C04"/>
    <w:rsid w:val="00536CDB"/>
    <w:rsid w:val="00536E88"/>
    <w:rsid w:val="00536F56"/>
    <w:rsid w:val="00536FE0"/>
    <w:rsid w:val="0053704B"/>
    <w:rsid w:val="005372CA"/>
    <w:rsid w:val="0053732A"/>
    <w:rsid w:val="0053757C"/>
    <w:rsid w:val="00537605"/>
    <w:rsid w:val="00537710"/>
    <w:rsid w:val="00537730"/>
    <w:rsid w:val="005378B3"/>
    <w:rsid w:val="005401E0"/>
    <w:rsid w:val="00540342"/>
    <w:rsid w:val="005404F1"/>
    <w:rsid w:val="005405AD"/>
    <w:rsid w:val="005406BA"/>
    <w:rsid w:val="00540782"/>
    <w:rsid w:val="00540A6C"/>
    <w:rsid w:val="00540B62"/>
    <w:rsid w:val="00540B88"/>
    <w:rsid w:val="00540E43"/>
    <w:rsid w:val="00540F4F"/>
    <w:rsid w:val="00540FB3"/>
    <w:rsid w:val="00540FF4"/>
    <w:rsid w:val="0054119F"/>
    <w:rsid w:val="00541309"/>
    <w:rsid w:val="00541328"/>
    <w:rsid w:val="0054133A"/>
    <w:rsid w:val="0054170A"/>
    <w:rsid w:val="005419C6"/>
    <w:rsid w:val="00541B2E"/>
    <w:rsid w:val="00541B76"/>
    <w:rsid w:val="00541BE1"/>
    <w:rsid w:val="00541BE8"/>
    <w:rsid w:val="00541E90"/>
    <w:rsid w:val="00541FEE"/>
    <w:rsid w:val="0054211C"/>
    <w:rsid w:val="005422D0"/>
    <w:rsid w:val="005422D8"/>
    <w:rsid w:val="00542463"/>
    <w:rsid w:val="005425C4"/>
    <w:rsid w:val="005425F5"/>
    <w:rsid w:val="0054261A"/>
    <w:rsid w:val="005426F2"/>
    <w:rsid w:val="005428D8"/>
    <w:rsid w:val="00542921"/>
    <w:rsid w:val="00542A8C"/>
    <w:rsid w:val="00542B02"/>
    <w:rsid w:val="00542B27"/>
    <w:rsid w:val="00542CE1"/>
    <w:rsid w:val="00542F4F"/>
    <w:rsid w:val="00543144"/>
    <w:rsid w:val="0054330B"/>
    <w:rsid w:val="005434D7"/>
    <w:rsid w:val="005437B9"/>
    <w:rsid w:val="005437D0"/>
    <w:rsid w:val="00543845"/>
    <w:rsid w:val="00543923"/>
    <w:rsid w:val="00543E33"/>
    <w:rsid w:val="00543EBF"/>
    <w:rsid w:val="00543F41"/>
    <w:rsid w:val="005441B6"/>
    <w:rsid w:val="005443DE"/>
    <w:rsid w:val="005444C8"/>
    <w:rsid w:val="005448B2"/>
    <w:rsid w:val="00544AA1"/>
    <w:rsid w:val="005450D1"/>
    <w:rsid w:val="00545147"/>
    <w:rsid w:val="00545377"/>
    <w:rsid w:val="0054537D"/>
    <w:rsid w:val="005456CC"/>
    <w:rsid w:val="0054579E"/>
    <w:rsid w:val="005459E0"/>
    <w:rsid w:val="00545A12"/>
    <w:rsid w:val="0054601C"/>
    <w:rsid w:val="00546367"/>
    <w:rsid w:val="005469DF"/>
    <w:rsid w:val="00546A8C"/>
    <w:rsid w:val="00546B51"/>
    <w:rsid w:val="00546B7F"/>
    <w:rsid w:val="00546D20"/>
    <w:rsid w:val="00546FF9"/>
    <w:rsid w:val="0054701F"/>
    <w:rsid w:val="0054731F"/>
    <w:rsid w:val="0054746C"/>
    <w:rsid w:val="005474D3"/>
    <w:rsid w:val="00547595"/>
    <w:rsid w:val="005475B6"/>
    <w:rsid w:val="005476E1"/>
    <w:rsid w:val="00547919"/>
    <w:rsid w:val="00547A6F"/>
    <w:rsid w:val="00547D88"/>
    <w:rsid w:val="00550518"/>
    <w:rsid w:val="00550911"/>
    <w:rsid w:val="00550DD5"/>
    <w:rsid w:val="00550F3C"/>
    <w:rsid w:val="005510FA"/>
    <w:rsid w:val="0055132B"/>
    <w:rsid w:val="00551770"/>
    <w:rsid w:val="005517F3"/>
    <w:rsid w:val="00551836"/>
    <w:rsid w:val="00551A7B"/>
    <w:rsid w:val="00551A9F"/>
    <w:rsid w:val="00551AC0"/>
    <w:rsid w:val="00551C0A"/>
    <w:rsid w:val="00551D5A"/>
    <w:rsid w:val="00552130"/>
    <w:rsid w:val="005524AE"/>
    <w:rsid w:val="00552899"/>
    <w:rsid w:val="005528CC"/>
    <w:rsid w:val="00552A2D"/>
    <w:rsid w:val="00552ACA"/>
    <w:rsid w:val="00552BC6"/>
    <w:rsid w:val="00552D77"/>
    <w:rsid w:val="00553267"/>
    <w:rsid w:val="005532B6"/>
    <w:rsid w:val="00553462"/>
    <w:rsid w:val="005534D3"/>
    <w:rsid w:val="0055351E"/>
    <w:rsid w:val="005535AC"/>
    <w:rsid w:val="005539F5"/>
    <w:rsid w:val="00553A23"/>
    <w:rsid w:val="00553F16"/>
    <w:rsid w:val="00553FE9"/>
    <w:rsid w:val="005543C4"/>
    <w:rsid w:val="00554D59"/>
    <w:rsid w:val="00554F01"/>
    <w:rsid w:val="00554F37"/>
    <w:rsid w:val="00554F91"/>
    <w:rsid w:val="005554DE"/>
    <w:rsid w:val="005555DE"/>
    <w:rsid w:val="00555F69"/>
    <w:rsid w:val="00556497"/>
    <w:rsid w:val="00556639"/>
    <w:rsid w:val="00556790"/>
    <w:rsid w:val="00556822"/>
    <w:rsid w:val="005568BA"/>
    <w:rsid w:val="00556AEA"/>
    <w:rsid w:val="00556B9E"/>
    <w:rsid w:val="00556BC0"/>
    <w:rsid w:val="00557043"/>
    <w:rsid w:val="005571CC"/>
    <w:rsid w:val="0055720D"/>
    <w:rsid w:val="0055723A"/>
    <w:rsid w:val="005573FE"/>
    <w:rsid w:val="005574E2"/>
    <w:rsid w:val="005576E8"/>
    <w:rsid w:val="00557736"/>
    <w:rsid w:val="00557857"/>
    <w:rsid w:val="0055795A"/>
    <w:rsid w:val="00557D22"/>
    <w:rsid w:val="00557DA7"/>
    <w:rsid w:val="005600A0"/>
    <w:rsid w:val="005603EB"/>
    <w:rsid w:val="00560536"/>
    <w:rsid w:val="00560553"/>
    <w:rsid w:val="00560747"/>
    <w:rsid w:val="005609C1"/>
    <w:rsid w:val="00560A3A"/>
    <w:rsid w:val="005613B8"/>
    <w:rsid w:val="00561B51"/>
    <w:rsid w:val="00561EF1"/>
    <w:rsid w:val="005620FC"/>
    <w:rsid w:val="00562188"/>
    <w:rsid w:val="005623B4"/>
    <w:rsid w:val="0056249E"/>
    <w:rsid w:val="00562B7A"/>
    <w:rsid w:val="00562B8F"/>
    <w:rsid w:val="00562C1E"/>
    <w:rsid w:val="00562CF6"/>
    <w:rsid w:val="00562D05"/>
    <w:rsid w:val="00562FED"/>
    <w:rsid w:val="005630B8"/>
    <w:rsid w:val="005630D6"/>
    <w:rsid w:val="005631BC"/>
    <w:rsid w:val="005631E5"/>
    <w:rsid w:val="005632CA"/>
    <w:rsid w:val="005632E5"/>
    <w:rsid w:val="005634DE"/>
    <w:rsid w:val="0056352B"/>
    <w:rsid w:val="0056364F"/>
    <w:rsid w:val="005637E3"/>
    <w:rsid w:val="005637ED"/>
    <w:rsid w:val="00563E64"/>
    <w:rsid w:val="00563FD0"/>
    <w:rsid w:val="005640D4"/>
    <w:rsid w:val="005640E8"/>
    <w:rsid w:val="005640F9"/>
    <w:rsid w:val="0056410F"/>
    <w:rsid w:val="0056416F"/>
    <w:rsid w:val="00564348"/>
    <w:rsid w:val="00564422"/>
    <w:rsid w:val="00564882"/>
    <w:rsid w:val="00564A5C"/>
    <w:rsid w:val="00564AD6"/>
    <w:rsid w:val="00564C6C"/>
    <w:rsid w:val="00564D44"/>
    <w:rsid w:val="00564DDC"/>
    <w:rsid w:val="00564F9C"/>
    <w:rsid w:val="005653D8"/>
    <w:rsid w:val="00565A5E"/>
    <w:rsid w:val="00565B16"/>
    <w:rsid w:val="00565C0E"/>
    <w:rsid w:val="00565C2B"/>
    <w:rsid w:val="00565D60"/>
    <w:rsid w:val="00565E16"/>
    <w:rsid w:val="00565F37"/>
    <w:rsid w:val="00566060"/>
    <w:rsid w:val="005661B5"/>
    <w:rsid w:val="00566478"/>
    <w:rsid w:val="005665D6"/>
    <w:rsid w:val="005665DF"/>
    <w:rsid w:val="0056686D"/>
    <w:rsid w:val="005668F3"/>
    <w:rsid w:val="00566A95"/>
    <w:rsid w:val="0056700C"/>
    <w:rsid w:val="00567031"/>
    <w:rsid w:val="005671A3"/>
    <w:rsid w:val="0056727F"/>
    <w:rsid w:val="005673E0"/>
    <w:rsid w:val="0056749E"/>
    <w:rsid w:val="005675B2"/>
    <w:rsid w:val="00567778"/>
    <w:rsid w:val="00567E21"/>
    <w:rsid w:val="00567E26"/>
    <w:rsid w:val="005703CF"/>
    <w:rsid w:val="0057078D"/>
    <w:rsid w:val="00570A61"/>
    <w:rsid w:val="00570EA2"/>
    <w:rsid w:val="0057122F"/>
    <w:rsid w:val="005712BA"/>
    <w:rsid w:val="005712F2"/>
    <w:rsid w:val="00571430"/>
    <w:rsid w:val="00571501"/>
    <w:rsid w:val="00571550"/>
    <w:rsid w:val="005715BC"/>
    <w:rsid w:val="0057178F"/>
    <w:rsid w:val="005717FC"/>
    <w:rsid w:val="005719E2"/>
    <w:rsid w:val="00571BEA"/>
    <w:rsid w:val="00571D2B"/>
    <w:rsid w:val="0057218F"/>
    <w:rsid w:val="00572786"/>
    <w:rsid w:val="00572B5D"/>
    <w:rsid w:val="0057303B"/>
    <w:rsid w:val="005731CD"/>
    <w:rsid w:val="0057322F"/>
    <w:rsid w:val="005732A1"/>
    <w:rsid w:val="0057339F"/>
    <w:rsid w:val="0057341E"/>
    <w:rsid w:val="005736D0"/>
    <w:rsid w:val="0057388B"/>
    <w:rsid w:val="00573DA4"/>
    <w:rsid w:val="00573E99"/>
    <w:rsid w:val="00574193"/>
    <w:rsid w:val="00574512"/>
    <w:rsid w:val="00574699"/>
    <w:rsid w:val="00574741"/>
    <w:rsid w:val="0057479A"/>
    <w:rsid w:val="00574936"/>
    <w:rsid w:val="00574950"/>
    <w:rsid w:val="005749B7"/>
    <w:rsid w:val="00574A07"/>
    <w:rsid w:val="00574C63"/>
    <w:rsid w:val="00574F1B"/>
    <w:rsid w:val="00574F57"/>
    <w:rsid w:val="005754A6"/>
    <w:rsid w:val="005755DE"/>
    <w:rsid w:val="005758E3"/>
    <w:rsid w:val="00575CCE"/>
    <w:rsid w:val="00575F8D"/>
    <w:rsid w:val="005760EA"/>
    <w:rsid w:val="00576478"/>
    <w:rsid w:val="005764F2"/>
    <w:rsid w:val="00576DA0"/>
    <w:rsid w:val="00576DB2"/>
    <w:rsid w:val="00576E66"/>
    <w:rsid w:val="00576E70"/>
    <w:rsid w:val="00576FC3"/>
    <w:rsid w:val="005770D8"/>
    <w:rsid w:val="00577281"/>
    <w:rsid w:val="005772AB"/>
    <w:rsid w:val="0057736C"/>
    <w:rsid w:val="0057749A"/>
    <w:rsid w:val="00577588"/>
    <w:rsid w:val="00577A3A"/>
    <w:rsid w:val="00577A8B"/>
    <w:rsid w:val="00577DF6"/>
    <w:rsid w:val="00577E0C"/>
    <w:rsid w:val="00577FB0"/>
    <w:rsid w:val="00577FEC"/>
    <w:rsid w:val="005800E2"/>
    <w:rsid w:val="005801FD"/>
    <w:rsid w:val="005802E8"/>
    <w:rsid w:val="0058062C"/>
    <w:rsid w:val="00580A8B"/>
    <w:rsid w:val="00580AB7"/>
    <w:rsid w:val="00580C4E"/>
    <w:rsid w:val="00581101"/>
    <w:rsid w:val="0058148F"/>
    <w:rsid w:val="00581768"/>
    <w:rsid w:val="0058183F"/>
    <w:rsid w:val="00581C23"/>
    <w:rsid w:val="00581FD1"/>
    <w:rsid w:val="005820A3"/>
    <w:rsid w:val="005825B9"/>
    <w:rsid w:val="00582740"/>
    <w:rsid w:val="00582814"/>
    <w:rsid w:val="005828A6"/>
    <w:rsid w:val="00582910"/>
    <w:rsid w:val="00582B8E"/>
    <w:rsid w:val="00582E2E"/>
    <w:rsid w:val="00582F04"/>
    <w:rsid w:val="005832D2"/>
    <w:rsid w:val="005833FA"/>
    <w:rsid w:val="0058355B"/>
    <w:rsid w:val="0058379C"/>
    <w:rsid w:val="00583A9B"/>
    <w:rsid w:val="00583E3C"/>
    <w:rsid w:val="00583EF5"/>
    <w:rsid w:val="00584019"/>
    <w:rsid w:val="005840A1"/>
    <w:rsid w:val="0058432E"/>
    <w:rsid w:val="00584403"/>
    <w:rsid w:val="00584482"/>
    <w:rsid w:val="0058481C"/>
    <w:rsid w:val="005848C0"/>
    <w:rsid w:val="00584AB8"/>
    <w:rsid w:val="00584E05"/>
    <w:rsid w:val="005851E9"/>
    <w:rsid w:val="00585208"/>
    <w:rsid w:val="005853AD"/>
    <w:rsid w:val="005855E6"/>
    <w:rsid w:val="0058560B"/>
    <w:rsid w:val="005858AE"/>
    <w:rsid w:val="00585AB3"/>
    <w:rsid w:val="00585CBA"/>
    <w:rsid w:val="00585D67"/>
    <w:rsid w:val="00585E0F"/>
    <w:rsid w:val="00585E4C"/>
    <w:rsid w:val="00585ED4"/>
    <w:rsid w:val="00586025"/>
    <w:rsid w:val="00586318"/>
    <w:rsid w:val="005863F3"/>
    <w:rsid w:val="00586454"/>
    <w:rsid w:val="005869B3"/>
    <w:rsid w:val="00586F62"/>
    <w:rsid w:val="0058731A"/>
    <w:rsid w:val="0058732D"/>
    <w:rsid w:val="00587420"/>
    <w:rsid w:val="00587535"/>
    <w:rsid w:val="00587607"/>
    <w:rsid w:val="00587835"/>
    <w:rsid w:val="00587B8B"/>
    <w:rsid w:val="00587F00"/>
    <w:rsid w:val="005900C6"/>
    <w:rsid w:val="00590F7A"/>
    <w:rsid w:val="00591036"/>
    <w:rsid w:val="005921AB"/>
    <w:rsid w:val="00592834"/>
    <w:rsid w:val="0059299C"/>
    <w:rsid w:val="00592A30"/>
    <w:rsid w:val="00592A5C"/>
    <w:rsid w:val="005930DC"/>
    <w:rsid w:val="00593719"/>
    <w:rsid w:val="00593738"/>
    <w:rsid w:val="00593A4A"/>
    <w:rsid w:val="00593AC0"/>
    <w:rsid w:val="00593CE9"/>
    <w:rsid w:val="00593EB3"/>
    <w:rsid w:val="00593FBA"/>
    <w:rsid w:val="00594214"/>
    <w:rsid w:val="0059449B"/>
    <w:rsid w:val="005948C4"/>
    <w:rsid w:val="00594B8D"/>
    <w:rsid w:val="00594BBC"/>
    <w:rsid w:val="00594C18"/>
    <w:rsid w:val="00594E67"/>
    <w:rsid w:val="00594F62"/>
    <w:rsid w:val="005952F2"/>
    <w:rsid w:val="00595AC6"/>
    <w:rsid w:val="00595D1A"/>
    <w:rsid w:val="00595E60"/>
    <w:rsid w:val="00595F1D"/>
    <w:rsid w:val="00596122"/>
    <w:rsid w:val="0059634B"/>
    <w:rsid w:val="00596625"/>
    <w:rsid w:val="00596997"/>
    <w:rsid w:val="00596AE6"/>
    <w:rsid w:val="00596AFB"/>
    <w:rsid w:val="00596BA1"/>
    <w:rsid w:val="00596D76"/>
    <w:rsid w:val="005971E4"/>
    <w:rsid w:val="0059720C"/>
    <w:rsid w:val="00597282"/>
    <w:rsid w:val="005972E1"/>
    <w:rsid w:val="005977E9"/>
    <w:rsid w:val="005A01A2"/>
    <w:rsid w:val="005A04FA"/>
    <w:rsid w:val="005A0718"/>
    <w:rsid w:val="005A0769"/>
    <w:rsid w:val="005A0834"/>
    <w:rsid w:val="005A083E"/>
    <w:rsid w:val="005A0AEE"/>
    <w:rsid w:val="005A0B9F"/>
    <w:rsid w:val="005A0F75"/>
    <w:rsid w:val="005A1269"/>
    <w:rsid w:val="005A12E3"/>
    <w:rsid w:val="005A1735"/>
    <w:rsid w:val="005A21FA"/>
    <w:rsid w:val="005A2680"/>
    <w:rsid w:val="005A2B5B"/>
    <w:rsid w:val="005A2C02"/>
    <w:rsid w:val="005A2D88"/>
    <w:rsid w:val="005A2E59"/>
    <w:rsid w:val="005A3584"/>
    <w:rsid w:val="005A360F"/>
    <w:rsid w:val="005A3810"/>
    <w:rsid w:val="005A384E"/>
    <w:rsid w:val="005A3FA3"/>
    <w:rsid w:val="005A431E"/>
    <w:rsid w:val="005A44B8"/>
    <w:rsid w:val="005A453E"/>
    <w:rsid w:val="005A488A"/>
    <w:rsid w:val="005A4B86"/>
    <w:rsid w:val="005A4C70"/>
    <w:rsid w:val="005A4FF0"/>
    <w:rsid w:val="005A5526"/>
    <w:rsid w:val="005A55AB"/>
    <w:rsid w:val="005A56C6"/>
    <w:rsid w:val="005A5961"/>
    <w:rsid w:val="005A5972"/>
    <w:rsid w:val="005A5F49"/>
    <w:rsid w:val="005A6797"/>
    <w:rsid w:val="005A6911"/>
    <w:rsid w:val="005A6955"/>
    <w:rsid w:val="005A70A9"/>
    <w:rsid w:val="005A724A"/>
    <w:rsid w:val="005A72BA"/>
    <w:rsid w:val="005A733B"/>
    <w:rsid w:val="005A7A3B"/>
    <w:rsid w:val="005A7A78"/>
    <w:rsid w:val="005A7AAE"/>
    <w:rsid w:val="005A7CED"/>
    <w:rsid w:val="005A7E1E"/>
    <w:rsid w:val="005B0333"/>
    <w:rsid w:val="005B045D"/>
    <w:rsid w:val="005B05EF"/>
    <w:rsid w:val="005B0647"/>
    <w:rsid w:val="005B0726"/>
    <w:rsid w:val="005B0B85"/>
    <w:rsid w:val="005B0C48"/>
    <w:rsid w:val="005B10D2"/>
    <w:rsid w:val="005B1159"/>
    <w:rsid w:val="005B145B"/>
    <w:rsid w:val="005B1675"/>
    <w:rsid w:val="005B1855"/>
    <w:rsid w:val="005B1983"/>
    <w:rsid w:val="005B1C70"/>
    <w:rsid w:val="005B1C86"/>
    <w:rsid w:val="005B1CC5"/>
    <w:rsid w:val="005B205D"/>
    <w:rsid w:val="005B218F"/>
    <w:rsid w:val="005B2240"/>
    <w:rsid w:val="005B253F"/>
    <w:rsid w:val="005B280D"/>
    <w:rsid w:val="005B299A"/>
    <w:rsid w:val="005B2A3B"/>
    <w:rsid w:val="005B2B41"/>
    <w:rsid w:val="005B2F0E"/>
    <w:rsid w:val="005B30A2"/>
    <w:rsid w:val="005B31FD"/>
    <w:rsid w:val="005B3255"/>
    <w:rsid w:val="005B3906"/>
    <w:rsid w:val="005B3996"/>
    <w:rsid w:val="005B3B80"/>
    <w:rsid w:val="005B3BC0"/>
    <w:rsid w:val="005B3F78"/>
    <w:rsid w:val="005B4262"/>
    <w:rsid w:val="005B4533"/>
    <w:rsid w:val="005B46C9"/>
    <w:rsid w:val="005B4AD2"/>
    <w:rsid w:val="005B4C77"/>
    <w:rsid w:val="005B4D57"/>
    <w:rsid w:val="005B4D73"/>
    <w:rsid w:val="005B5076"/>
    <w:rsid w:val="005B528F"/>
    <w:rsid w:val="005B5341"/>
    <w:rsid w:val="005B56DF"/>
    <w:rsid w:val="005B56E3"/>
    <w:rsid w:val="005B5872"/>
    <w:rsid w:val="005B5972"/>
    <w:rsid w:val="005B5CD4"/>
    <w:rsid w:val="005B6229"/>
    <w:rsid w:val="005B65CA"/>
    <w:rsid w:val="005B6D8C"/>
    <w:rsid w:val="005B6E19"/>
    <w:rsid w:val="005B6E57"/>
    <w:rsid w:val="005B6E99"/>
    <w:rsid w:val="005B7226"/>
    <w:rsid w:val="005B7499"/>
    <w:rsid w:val="005B758B"/>
    <w:rsid w:val="005B7E57"/>
    <w:rsid w:val="005B7FDB"/>
    <w:rsid w:val="005C005A"/>
    <w:rsid w:val="005C01AC"/>
    <w:rsid w:val="005C04FB"/>
    <w:rsid w:val="005C05AB"/>
    <w:rsid w:val="005C0690"/>
    <w:rsid w:val="005C0F66"/>
    <w:rsid w:val="005C117B"/>
    <w:rsid w:val="005C15E4"/>
    <w:rsid w:val="005C1607"/>
    <w:rsid w:val="005C1D48"/>
    <w:rsid w:val="005C232A"/>
    <w:rsid w:val="005C257D"/>
    <w:rsid w:val="005C26D0"/>
    <w:rsid w:val="005C2844"/>
    <w:rsid w:val="005C28AE"/>
    <w:rsid w:val="005C2C2F"/>
    <w:rsid w:val="005C2E93"/>
    <w:rsid w:val="005C330E"/>
    <w:rsid w:val="005C3442"/>
    <w:rsid w:val="005C34A1"/>
    <w:rsid w:val="005C3797"/>
    <w:rsid w:val="005C39B7"/>
    <w:rsid w:val="005C3C23"/>
    <w:rsid w:val="005C3C24"/>
    <w:rsid w:val="005C3C51"/>
    <w:rsid w:val="005C3D68"/>
    <w:rsid w:val="005C4278"/>
    <w:rsid w:val="005C428D"/>
    <w:rsid w:val="005C42E0"/>
    <w:rsid w:val="005C4381"/>
    <w:rsid w:val="005C488A"/>
    <w:rsid w:val="005C4916"/>
    <w:rsid w:val="005C4B8E"/>
    <w:rsid w:val="005C4C54"/>
    <w:rsid w:val="005C4D4E"/>
    <w:rsid w:val="005C4E39"/>
    <w:rsid w:val="005C4EB1"/>
    <w:rsid w:val="005C5236"/>
    <w:rsid w:val="005C54EE"/>
    <w:rsid w:val="005C5601"/>
    <w:rsid w:val="005C5707"/>
    <w:rsid w:val="005C5C14"/>
    <w:rsid w:val="005C5D18"/>
    <w:rsid w:val="005C5E37"/>
    <w:rsid w:val="005C5F38"/>
    <w:rsid w:val="005C5F6E"/>
    <w:rsid w:val="005C6151"/>
    <w:rsid w:val="005C6228"/>
    <w:rsid w:val="005C653F"/>
    <w:rsid w:val="005C65F5"/>
    <w:rsid w:val="005C69DD"/>
    <w:rsid w:val="005C6AFC"/>
    <w:rsid w:val="005C6B52"/>
    <w:rsid w:val="005C6BB2"/>
    <w:rsid w:val="005C6DC6"/>
    <w:rsid w:val="005C6FC1"/>
    <w:rsid w:val="005C6FDF"/>
    <w:rsid w:val="005C707D"/>
    <w:rsid w:val="005C73C2"/>
    <w:rsid w:val="005C73E8"/>
    <w:rsid w:val="005C7484"/>
    <w:rsid w:val="005C75AF"/>
    <w:rsid w:val="005C7947"/>
    <w:rsid w:val="005C7C67"/>
    <w:rsid w:val="005C7DE4"/>
    <w:rsid w:val="005D034C"/>
    <w:rsid w:val="005D040C"/>
    <w:rsid w:val="005D0428"/>
    <w:rsid w:val="005D0471"/>
    <w:rsid w:val="005D06D4"/>
    <w:rsid w:val="005D0C6B"/>
    <w:rsid w:val="005D0E48"/>
    <w:rsid w:val="005D14A0"/>
    <w:rsid w:val="005D1870"/>
    <w:rsid w:val="005D189F"/>
    <w:rsid w:val="005D1BAD"/>
    <w:rsid w:val="005D1DF4"/>
    <w:rsid w:val="005D20C7"/>
    <w:rsid w:val="005D24CC"/>
    <w:rsid w:val="005D268C"/>
    <w:rsid w:val="005D2777"/>
    <w:rsid w:val="005D27EC"/>
    <w:rsid w:val="005D2B79"/>
    <w:rsid w:val="005D2F0A"/>
    <w:rsid w:val="005D31A0"/>
    <w:rsid w:val="005D32D4"/>
    <w:rsid w:val="005D32FC"/>
    <w:rsid w:val="005D343B"/>
    <w:rsid w:val="005D3A59"/>
    <w:rsid w:val="005D3C95"/>
    <w:rsid w:val="005D3CEE"/>
    <w:rsid w:val="005D3E8B"/>
    <w:rsid w:val="005D4046"/>
    <w:rsid w:val="005D40BB"/>
    <w:rsid w:val="005D4295"/>
    <w:rsid w:val="005D43E5"/>
    <w:rsid w:val="005D466E"/>
    <w:rsid w:val="005D48C8"/>
    <w:rsid w:val="005D496F"/>
    <w:rsid w:val="005D4B69"/>
    <w:rsid w:val="005D4BD1"/>
    <w:rsid w:val="005D4C2D"/>
    <w:rsid w:val="005D4E12"/>
    <w:rsid w:val="005D4F85"/>
    <w:rsid w:val="005D4FA6"/>
    <w:rsid w:val="005D512C"/>
    <w:rsid w:val="005D5248"/>
    <w:rsid w:val="005D5289"/>
    <w:rsid w:val="005D5393"/>
    <w:rsid w:val="005D58DF"/>
    <w:rsid w:val="005D5ADE"/>
    <w:rsid w:val="005D5C20"/>
    <w:rsid w:val="005D5E0D"/>
    <w:rsid w:val="005D5EC0"/>
    <w:rsid w:val="005D6682"/>
    <w:rsid w:val="005D6AA2"/>
    <w:rsid w:val="005D6C38"/>
    <w:rsid w:val="005D6CEE"/>
    <w:rsid w:val="005D6F0B"/>
    <w:rsid w:val="005D7044"/>
    <w:rsid w:val="005D7157"/>
    <w:rsid w:val="005D72EE"/>
    <w:rsid w:val="005D766F"/>
    <w:rsid w:val="005D76DB"/>
    <w:rsid w:val="005D7727"/>
    <w:rsid w:val="005D7CD7"/>
    <w:rsid w:val="005D7D48"/>
    <w:rsid w:val="005D7DAD"/>
    <w:rsid w:val="005D7F63"/>
    <w:rsid w:val="005E00A4"/>
    <w:rsid w:val="005E0357"/>
    <w:rsid w:val="005E049D"/>
    <w:rsid w:val="005E0EDE"/>
    <w:rsid w:val="005E102C"/>
    <w:rsid w:val="005E13F8"/>
    <w:rsid w:val="005E1A7B"/>
    <w:rsid w:val="005E1AD0"/>
    <w:rsid w:val="005E20AA"/>
    <w:rsid w:val="005E2245"/>
    <w:rsid w:val="005E244B"/>
    <w:rsid w:val="005E2629"/>
    <w:rsid w:val="005E2BD5"/>
    <w:rsid w:val="005E2D89"/>
    <w:rsid w:val="005E2EF1"/>
    <w:rsid w:val="005E30A6"/>
    <w:rsid w:val="005E33D8"/>
    <w:rsid w:val="005E3773"/>
    <w:rsid w:val="005E3777"/>
    <w:rsid w:val="005E378F"/>
    <w:rsid w:val="005E3BA4"/>
    <w:rsid w:val="005E3C1B"/>
    <w:rsid w:val="005E3CB4"/>
    <w:rsid w:val="005E3DE7"/>
    <w:rsid w:val="005E3F52"/>
    <w:rsid w:val="005E4191"/>
    <w:rsid w:val="005E44E9"/>
    <w:rsid w:val="005E458F"/>
    <w:rsid w:val="005E4ABF"/>
    <w:rsid w:val="005E4AC4"/>
    <w:rsid w:val="005E4BE1"/>
    <w:rsid w:val="005E4CE8"/>
    <w:rsid w:val="005E4D36"/>
    <w:rsid w:val="005E4E0C"/>
    <w:rsid w:val="005E4E7B"/>
    <w:rsid w:val="005E4F3F"/>
    <w:rsid w:val="005E51DC"/>
    <w:rsid w:val="005E5387"/>
    <w:rsid w:val="005E53E6"/>
    <w:rsid w:val="005E53F5"/>
    <w:rsid w:val="005E54C8"/>
    <w:rsid w:val="005E578B"/>
    <w:rsid w:val="005E5A95"/>
    <w:rsid w:val="005E5D3E"/>
    <w:rsid w:val="005E5DE6"/>
    <w:rsid w:val="005E6045"/>
    <w:rsid w:val="005E6156"/>
    <w:rsid w:val="005E61B0"/>
    <w:rsid w:val="005E6233"/>
    <w:rsid w:val="005E672F"/>
    <w:rsid w:val="005E67FA"/>
    <w:rsid w:val="005E6FED"/>
    <w:rsid w:val="005E724C"/>
    <w:rsid w:val="005E72C9"/>
    <w:rsid w:val="005E73F0"/>
    <w:rsid w:val="005E7770"/>
    <w:rsid w:val="005E77A4"/>
    <w:rsid w:val="005E79BA"/>
    <w:rsid w:val="005E7A39"/>
    <w:rsid w:val="005E7D5B"/>
    <w:rsid w:val="005E7D6A"/>
    <w:rsid w:val="005E7EB5"/>
    <w:rsid w:val="005F004B"/>
    <w:rsid w:val="005F022E"/>
    <w:rsid w:val="005F0892"/>
    <w:rsid w:val="005F0945"/>
    <w:rsid w:val="005F0B78"/>
    <w:rsid w:val="005F0C6C"/>
    <w:rsid w:val="005F1137"/>
    <w:rsid w:val="005F179C"/>
    <w:rsid w:val="005F1AEC"/>
    <w:rsid w:val="005F1BE6"/>
    <w:rsid w:val="005F1DDF"/>
    <w:rsid w:val="005F1F37"/>
    <w:rsid w:val="005F21CF"/>
    <w:rsid w:val="005F22CF"/>
    <w:rsid w:val="005F299F"/>
    <w:rsid w:val="005F2B73"/>
    <w:rsid w:val="005F2E7B"/>
    <w:rsid w:val="005F2F56"/>
    <w:rsid w:val="005F327D"/>
    <w:rsid w:val="005F331F"/>
    <w:rsid w:val="005F336E"/>
    <w:rsid w:val="005F3566"/>
    <w:rsid w:val="005F3598"/>
    <w:rsid w:val="005F3609"/>
    <w:rsid w:val="005F3B6C"/>
    <w:rsid w:val="005F3DD8"/>
    <w:rsid w:val="005F43DA"/>
    <w:rsid w:val="005F443B"/>
    <w:rsid w:val="005F4A9A"/>
    <w:rsid w:val="005F4AF5"/>
    <w:rsid w:val="005F4E73"/>
    <w:rsid w:val="005F53B8"/>
    <w:rsid w:val="005F558B"/>
    <w:rsid w:val="005F5849"/>
    <w:rsid w:val="005F5899"/>
    <w:rsid w:val="005F5999"/>
    <w:rsid w:val="005F59AE"/>
    <w:rsid w:val="005F5EAC"/>
    <w:rsid w:val="005F64D8"/>
    <w:rsid w:val="005F6516"/>
    <w:rsid w:val="005F6518"/>
    <w:rsid w:val="005F6863"/>
    <w:rsid w:val="005F686A"/>
    <w:rsid w:val="005F6895"/>
    <w:rsid w:val="005F6BF4"/>
    <w:rsid w:val="005F73E8"/>
    <w:rsid w:val="005F75E5"/>
    <w:rsid w:val="005F773D"/>
    <w:rsid w:val="005F7957"/>
    <w:rsid w:val="005F7CE5"/>
    <w:rsid w:val="005F7D73"/>
    <w:rsid w:val="005F7EEA"/>
    <w:rsid w:val="00600023"/>
    <w:rsid w:val="00600024"/>
    <w:rsid w:val="00600193"/>
    <w:rsid w:val="0060020C"/>
    <w:rsid w:val="00600329"/>
    <w:rsid w:val="00600BEE"/>
    <w:rsid w:val="00600C82"/>
    <w:rsid w:val="00600D32"/>
    <w:rsid w:val="0060140D"/>
    <w:rsid w:val="006014D5"/>
    <w:rsid w:val="0060164F"/>
    <w:rsid w:val="006017C0"/>
    <w:rsid w:val="00601A6E"/>
    <w:rsid w:val="00601AAF"/>
    <w:rsid w:val="00601BEC"/>
    <w:rsid w:val="00602104"/>
    <w:rsid w:val="00602337"/>
    <w:rsid w:val="00602942"/>
    <w:rsid w:val="00602CFA"/>
    <w:rsid w:val="00602F39"/>
    <w:rsid w:val="00602F74"/>
    <w:rsid w:val="006030AF"/>
    <w:rsid w:val="006032F0"/>
    <w:rsid w:val="00603390"/>
    <w:rsid w:val="00603A3B"/>
    <w:rsid w:val="0060413D"/>
    <w:rsid w:val="0060414F"/>
    <w:rsid w:val="00604194"/>
    <w:rsid w:val="0060419B"/>
    <w:rsid w:val="006043E5"/>
    <w:rsid w:val="006049BB"/>
    <w:rsid w:val="00604B4E"/>
    <w:rsid w:val="00604CE3"/>
    <w:rsid w:val="00604CE4"/>
    <w:rsid w:val="00604D4F"/>
    <w:rsid w:val="0060502A"/>
    <w:rsid w:val="00605365"/>
    <w:rsid w:val="00605692"/>
    <w:rsid w:val="00605755"/>
    <w:rsid w:val="0060590A"/>
    <w:rsid w:val="0060597D"/>
    <w:rsid w:val="00605BA7"/>
    <w:rsid w:val="00605D98"/>
    <w:rsid w:val="00606131"/>
    <w:rsid w:val="00606596"/>
    <w:rsid w:val="00606662"/>
    <w:rsid w:val="00606B4D"/>
    <w:rsid w:val="006070A1"/>
    <w:rsid w:val="0060721C"/>
    <w:rsid w:val="00607373"/>
    <w:rsid w:val="0060739E"/>
    <w:rsid w:val="006076FC"/>
    <w:rsid w:val="006078B5"/>
    <w:rsid w:val="00607901"/>
    <w:rsid w:val="00607C0E"/>
    <w:rsid w:val="00607C73"/>
    <w:rsid w:val="00607E46"/>
    <w:rsid w:val="00607F53"/>
    <w:rsid w:val="00610036"/>
    <w:rsid w:val="006103AB"/>
    <w:rsid w:val="0061049B"/>
    <w:rsid w:val="006106E8"/>
    <w:rsid w:val="00610B8D"/>
    <w:rsid w:val="00610E48"/>
    <w:rsid w:val="00611325"/>
    <w:rsid w:val="006114E7"/>
    <w:rsid w:val="006115FD"/>
    <w:rsid w:val="006117B2"/>
    <w:rsid w:val="00611811"/>
    <w:rsid w:val="0061194F"/>
    <w:rsid w:val="00611991"/>
    <w:rsid w:val="00611B8A"/>
    <w:rsid w:val="00611CB8"/>
    <w:rsid w:val="00611EE0"/>
    <w:rsid w:val="0061228A"/>
    <w:rsid w:val="0061250B"/>
    <w:rsid w:val="0061268F"/>
    <w:rsid w:val="00612702"/>
    <w:rsid w:val="006129DD"/>
    <w:rsid w:val="00612A67"/>
    <w:rsid w:val="00612B41"/>
    <w:rsid w:val="00612B9A"/>
    <w:rsid w:val="00612D0F"/>
    <w:rsid w:val="00612DFE"/>
    <w:rsid w:val="0061303F"/>
    <w:rsid w:val="00613620"/>
    <w:rsid w:val="006138CD"/>
    <w:rsid w:val="00613FA7"/>
    <w:rsid w:val="00613FE3"/>
    <w:rsid w:val="00614218"/>
    <w:rsid w:val="006142EA"/>
    <w:rsid w:val="006148C8"/>
    <w:rsid w:val="00614A6B"/>
    <w:rsid w:val="00614C09"/>
    <w:rsid w:val="006151B2"/>
    <w:rsid w:val="0061577E"/>
    <w:rsid w:val="00615951"/>
    <w:rsid w:val="00615C99"/>
    <w:rsid w:val="00615D79"/>
    <w:rsid w:val="00615E6A"/>
    <w:rsid w:val="006160CB"/>
    <w:rsid w:val="00616211"/>
    <w:rsid w:val="0061621D"/>
    <w:rsid w:val="0061679E"/>
    <w:rsid w:val="00616891"/>
    <w:rsid w:val="0061692A"/>
    <w:rsid w:val="00616B05"/>
    <w:rsid w:val="00617250"/>
    <w:rsid w:val="00617368"/>
    <w:rsid w:val="006173E9"/>
    <w:rsid w:val="0061794B"/>
    <w:rsid w:val="00617A90"/>
    <w:rsid w:val="00617B3B"/>
    <w:rsid w:val="00617BE7"/>
    <w:rsid w:val="00617BF8"/>
    <w:rsid w:val="00617D12"/>
    <w:rsid w:val="00617D35"/>
    <w:rsid w:val="006200C0"/>
    <w:rsid w:val="0062031E"/>
    <w:rsid w:val="006204BB"/>
    <w:rsid w:val="00620753"/>
    <w:rsid w:val="006207C7"/>
    <w:rsid w:val="00620985"/>
    <w:rsid w:val="006209E4"/>
    <w:rsid w:val="00620B37"/>
    <w:rsid w:val="00620D41"/>
    <w:rsid w:val="00620E09"/>
    <w:rsid w:val="00620F82"/>
    <w:rsid w:val="0062115A"/>
    <w:rsid w:val="00621285"/>
    <w:rsid w:val="0062144B"/>
    <w:rsid w:val="00621470"/>
    <w:rsid w:val="00621878"/>
    <w:rsid w:val="0062188E"/>
    <w:rsid w:val="00622433"/>
    <w:rsid w:val="00622452"/>
    <w:rsid w:val="00622588"/>
    <w:rsid w:val="006226FF"/>
    <w:rsid w:val="00622DDB"/>
    <w:rsid w:val="00623045"/>
    <w:rsid w:val="00623428"/>
    <w:rsid w:val="0062344E"/>
    <w:rsid w:val="0062372F"/>
    <w:rsid w:val="00623944"/>
    <w:rsid w:val="00623994"/>
    <w:rsid w:val="00623C5A"/>
    <w:rsid w:val="0062473B"/>
    <w:rsid w:val="006247B3"/>
    <w:rsid w:val="00624976"/>
    <w:rsid w:val="00624A13"/>
    <w:rsid w:val="00624ACE"/>
    <w:rsid w:val="00624E85"/>
    <w:rsid w:val="006253E1"/>
    <w:rsid w:val="0062563A"/>
    <w:rsid w:val="00626025"/>
    <w:rsid w:val="00626303"/>
    <w:rsid w:val="006263DC"/>
    <w:rsid w:val="006266E3"/>
    <w:rsid w:val="00626E01"/>
    <w:rsid w:val="00626E98"/>
    <w:rsid w:val="0062713E"/>
    <w:rsid w:val="00627454"/>
    <w:rsid w:val="0062761A"/>
    <w:rsid w:val="00627654"/>
    <w:rsid w:val="0062765D"/>
    <w:rsid w:val="00627D40"/>
    <w:rsid w:val="00627E42"/>
    <w:rsid w:val="006301F0"/>
    <w:rsid w:val="0063048C"/>
    <w:rsid w:val="00630A92"/>
    <w:rsid w:val="00630DAB"/>
    <w:rsid w:val="00630EB2"/>
    <w:rsid w:val="00631035"/>
    <w:rsid w:val="00631254"/>
    <w:rsid w:val="00631769"/>
    <w:rsid w:val="006318A4"/>
    <w:rsid w:val="00631948"/>
    <w:rsid w:val="00631C01"/>
    <w:rsid w:val="00631C10"/>
    <w:rsid w:val="00631CE7"/>
    <w:rsid w:val="00631EF7"/>
    <w:rsid w:val="00632272"/>
    <w:rsid w:val="006322CC"/>
    <w:rsid w:val="00632422"/>
    <w:rsid w:val="006326CB"/>
    <w:rsid w:val="00632879"/>
    <w:rsid w:val="00632A5E"/>
    <w:rsid w:val="00632C4C"/>
    <w:rsid w:val="00632CF3"/>
    <w:rsid w:val="00632E73"/>
    <w:rsid w:val="00632EF6"/>
    <w:rsid w:val="00632F2B"/>
    <w:rsid w:val="006330BC"/>
    <w:rsid w:val="006332F8"/>
    <w:rsid w:val="006335BB"/>
    <w:rsid w:val="0063373B"/>
    <w:rsid w:val="006339E4"/>
    <w:rsid w:val="006342C4"/>
    <w:rsid w:val="00634310"/>
    <w:rsid w:val="0063457C"/>
    <w:rsid w:val="0063472A"/>
    <w:rsid w:val="006347A4"/>
    <w:rsid w:val="00634DF7"/>
    <w:rsid w:val="00634E28"/>
    <w:rsid w:val="00635288"/>
    <w:rsid w:val="00635BE2"/>
    <w:rsid w:val="00635C13"/>
    <w:rsid w:val="00635CA6"/>
    <w:rsid w:val="00635D01"/>
    <w:rsid w:val="00636065"/>
    <w:rsid w:val="0063694F"/>
    <w:rsid w:val="00636973"/>
    <w:rsid w:val="006369EE"/>
    <w:rsid w:val="00636ACA"/>
    <w:rsid w:val="00636BEC"/>
    <w:rsid w:val="00636D85"/>
    <w:rsid w:val="00636DFC"/>
    <w:rsid w:val="00636FE2"/>
    <w:rsid w:val="0063706B"/>
    <w:rsid w:val="006370A2"/>
    <w:rsid w:val="0063723D"/>
    <w:rsid w:val="00637410"/>
    <w:rsid w:val="0063768D"/>
    <w:rsid w:val="0063792F"/>
    <w:rsid w:val="00637A7D"/>
    <w:rsid w:val="00637B91"/>
    <w:rsid w:val="00637BA6"/>
    <w:rsid w:val="00637C41"/>
    <w:rsid w:val="00637C46"/>
    <w:rsid w:val="00637C92"/>
    <w:rsid w:val="00637EBF"/>
    <w:rsid w:val="00640BA6"/>
    <w:rsid w:val="00640D91"/>
    <w:rsid w:val="00641A17"/>
    <w:rsid w:val="00641A2F"/>
    <w:rsid w:val="00641A8E"/>
    <w:rsid w:val="00641B15"/>
    <w:rsid w:val="00641B61"/>
    <w:rsid w:val="00641E05"/>
    <w:rsid w:val="00642132"/>
    <w:rsid w:val="00642335"/>
    <w:rsid w:val="006423A2"/>
    <w:rsid w:val="00642530"/>
    <w:rsid w:val="00642746"/>
    <w:rsid w:val="00642793"/>
    <w:rsid w:val="00642BBC"/>
    <w:rsid w:val="00642E91"/>
    <w:rsid w:val="00642ECA"/>
    <w:rsid w:val="00643043"/>
    <w:rsid w:val="0064307D"/>
    <w:rsid w:val="00643205"/>
    <w:rsid w:val="00643346"/>
    <w:rsid w:val="006433A5"/>
    <w:rsid w:val="006433B0"/>
    <w:rsid w:val="00643444"/>
    <w:rsid w:val="0064350A"/>
    <w:rsid w:val="00643BB7"/>
    <w:rsid w:val="00643C2D"/>
    <w:rsid w:val="00643FC9"/>
    <w:rsid w:val="00644157"/>
    <w:rsid w:val="00644703"/>
    <w:rsid w:val="006448FB"/>
    <w:rsid w:val="00644C7E"/>
    <w:rsid w:val="00644D13"/>
    <w:rsid w:val="0064510F"/>
    <w:rsid w:val="00645577"/>
    <w:rsid w:val="0064575D"/>
    <w:rsid w:val="00645777"/>
    <w:rsid w:val="00645860"/>
    <w:rsid w:val="00645991"/>
    <w:rsid w:val="00645AAB"/>
    <w:rsid w:val="00645DD7"/>
    <w:rsid w:val="00645E7E"/>
    <w:rsid w:val="00645F15"/>
    <w:rsid w:val="0064603D"/>
    <w:rsid w:val="006460C2"/>
    <w:rsid w:val="00646147"/>
    <w:rsid w:val="00646170"/>
    <w:rsid w:val="00646644"/>
    <w:rsid w:val="00646683"/>
    <w:rsid w:val="006469AD"/>
    <w:rsid w:val="00646BA8"/>
    <w:rsid w:val="00646FB7"/>
    <w:rsid w:val="00647100"/>
    <w:rsid w:val="00647182"/>
    <w:rsid w:val="00647678"/>
    <w:rsid w:val="00647A02"/>
    <w:rsid w:val="00647D58"/>
    <w:rsid w:val="00647DBA"/>
    <w:rsid w:val="006509F9"/>
    <w:rsid w:val="00650AEF"/>
    <w:rsid w:val="00650B4D"/>
    <w:rsid w:val="00650D40"/>
    <w:rsid w:val="00650D53"/>
    <w:rsid w:val="00650E03"/>
    <w:rsid w:val="0065182A"/>
    <w:rsid w:val="00651A94"/>
    <w:rsid w:val="00651AC1"/>
    <w:rsid w:val="00651C73"/>
    <w:rsid w:val="00651CDA"/>
    <w:rsid w:val="00651DD3"/>
    <w:rsid w:val="00652071"/>
    <w:rsid w:val="006520A6"/>
    <w:rsid w:val="006523E8"/>
    <w:rsid w:val="006523F2"/>
    <w:rsid w:val="0065242E"/>
    <w:rsid w:val="00652484"/>
    <w:rsid w:val="00652487"/>
    <w:rsid w:val="00652512"/>
    <w:rsid w:val="00652818"/>
    <w:rsid w:val="006528AA"/>
    <w:rsid w:val="006528DF"/>
    <w:rsid w:val="00652BBF"/>
    <w:rsid w:val="00652D39"/>
    <w:rsid w:val="00652DB9"/>
    <w:rsid w:val="00652F42"/>
    <w:rsid w:val="0065319E"/>
    <w:rsid w:val="006535FE"/>
    <w:rsid w:val="006541B7"/>
    <w:rsid w:val="00654B4B"/>
    <w:rsid w:val="00654BE3"/>
    <w:rsid w:val="00654D3B"/>
    <w:rsid w:val="006552BE"/>
    <w:rsid w:val="0065532E"/>
    <w:rsid w:val="006557A0"/>
    <w:rsid w:val="00655C75"/>
    <w:rsid w:val="00655C9C"/>
    <w:rsid w:val="00655D28"/>
    <w:rsid w:val="00655D8C"/>
    <w:rsid w:val="00655EA3"/>
    <w:rsid w:val="006560DD"/>
    <w:rsid w:val="0065626C"/>
    <w:rsid w:val="00656329"/>
    <w:rsid w:val="00656956"/>
    <w:rsid w:val="006569A5"/>
    <w:rsid w:val="00656CD2"/>
    <w:rsid w:val="00656E8C"/>
    <w:rsid w:val="00657249"/>
    <w:rsid w:val="0065728F"/>
    <w:rsid w:val="006574DC"/>
    <w:rsid w:val="0065763F"/>
    <w:rsid w:val="006576E3"/>
    <w:rsid w:val="0065776A"/>
    <w:rsid w:val="00660460"/>
    <w:rsid w:val="00660485"/>
    <w:rsid w:val="00660835"/>
    <w:rsid w:val="0066085F"/>
    <w:rsid w:val="006609BE"/>
    <w:rsid w:val="00660F7E"/>
    <w:rsid w:val="00661100"/>
    <w:rsid w:val="006612F6"/>
    <w:rsid w:val="00661354"/>
    <w:rsid w:val="006613CC"/>
    <w:rsid w:val="00661499"/>
    <w:rsid w:val="006615E7"/>
    <w:rsid w:val="00661997"/>
    <w:rsid w:val="0066258A"/>
    <w:rsid w:val="0066264A"/>
    <w:rsid w:val="0066267D"/>
    <w:rsid w:val="006626CE"/>
    <w:rsid w:val="006626EF"/>
    <w:rsid w:val="00662784"/>
    <w:rsid w:val="00662828"/>
    <w:rsid w:val="006628C1"/>
    <w:rsid w:val="00662BA0"/>
    <w:rsid w:val="00662D03"/>
    <w:rsid w:val="00662D90"/>
    <w:rsid w:val="00662E6E"/>
    <w:rsid w:val="0066329F"/>
    <w:rsid w:val="006634FD"/>
    <w:rsid w:val="00663569"/>
    <w:rsid w:val="006637DE"/>
    <w:rsid w:val="00663CB2"/>
    <w:rsid w:val="00663CEB"/>
    <w:rsid w:val="00663E01"/>
    <w:rsid w:val="0066498C"/>
    <w:rsid w:val="00664AD4"/>
    <w:rsid w:val="00664C94"/>
    <w:rsid w:val="00664E87"/>
    <w:rsid w:val="00665011"/>
    <w:rsid w:val="00665062"/>
    <w:rsid w:val="006653FB"/>
    <w:rsid w:val="00665447"/>
    <w:rsid w:val="00665672"/>
    <w:rsid w:val="0066599B"/>
    <w:rsid w:val="00665D39"/>
    <w:rsid w:val="00666143"/>
    <w:rsid w:val="00666172"/>
    <w:rsid w:val="006662AA"/>
    <w:rsid w:val="0066667D"/>
    <w:rsid w:val="00666685"/>
    <w:rsid w:val="0066671D"/>
    <w:rsid w:val="006667B5"/>
    <w:rsid w:val="00666B1C"/>
    <w:rsid w:val="00666B36"/>
    <w:rsid w:val="00666D2C"/>
    <w:rsid w:val="00666F07"/>
    <w:rsid w:val="0066742A"/>
    <w:rsid w:val="00667955"/>
    <w:rsid w:val="00667A58"/>
    <w:rsid w:val="00667D24"/>
    <w:rsid w:val="0067037A"/>
    <w:rsid w:val="00670431"/>
    <w:rsid w:val="00670D3B"/>
    <w:rsid w:val="00670EEA"/>
    <w:rsid w:val="00670F24"/>
    <w:rsid w:val="00670FB2"/>
    <w:rsid w:val="0067106B"/>
    <w:rsid w:val="0067126F"/>
    <w:rsid w:val="00671459"/>
    <w:rsid w:val="00671637"/>
    <w:rsid w:val="00671F49"/>
    <w:rsid w:val="00671FDD"/>
    <w:rsid w:val="0067206B"/>
    <w:rsid w:val="0067257E"/>
    <w:rsid w:val="00672606"/>
    <w:rsid w:val="0067282F"/>
    <w:rsid w:val="00672A46"/>
    <w:rsid w:val="00672A8C"/>
    <w:rsid w:val="00672BFA"/>
    <w:rsid w:val="00672CCD"/>
    <w:rsid w:val="00672D2C"/>
    <w:rsid w:val="00672D39"/>
    <w:rsid w:val="006731C5"/>
    <w:rsid w:val="006733AD"/>
    <w:rsid w:val="006739AA"/>
    <w:rsid w:val="00673A23"/>
    <w:rsid w:val="00673B93"/>
    <w:rsid w:val="00673BA7"/>
    <w:rsid w:val="00673E56"/>
    <w:rsid w:val="00674060"/>
    <w:rsid w:val="00674529"/>
    <w:rsid w:val="00674A12"/>
    <w:rsid w:val="00674C09"/>
    <w:rsid w:val="00674D65"/>
    <w:rsid w:val="00674E92"/>
    <w:rsid w:val="00674F13"/>
    <w:rsid w:val="00675035"/>
    <w:rsid w:val="0067546F"/>
    <w:rsid w:val="00675476"/>
    <w:rsid w:val="006758BA"/>
    <w:rsid w:val="00675CA0"/>
    <w:rsid w:val="0067626D"/>
    <w:rsid w:val="006764D1"/>
    <w:rsid w:val="006766E0"/>
    <w:rsid w:val="0067671F"/>
    <w:rsid w:val="00676D7E"/>
    <w:rsid w:val="00676DBE"/>
    <w:rsid w:val="00676F32"/>
    <w:rsid w:val="006770A6"/>
    <w:rsid w:val="006773BB"/>
    <w:rsid w:val="0067740B"/>
    <w:rsid w:val="006774B6"/>
    <w:rsid w:val="006775E8"/>
    <w:rsid w:val="006775ED"/>
    <w:rsid w:val="0067785E"/>
    <w:rsid w:val="0067790D"/>
    <w:rsid w:val="00677933"/>
    <w:rsid w:val="00677B33"/>
    <w:rsid w:val="00677CB8"/>
    <w:rsid w:val="0068029E"/>
    <w:rsid w:val="006804B3"/>
    <w:rsid w:val="00680598"/>
    <w:rsid w:val="00680625"/>
    <w:rsid w:val="00680B35"/>
    <w:rsid w:val="00680B7E"/>
    <w:rsid w:val="00680C3B"/>
    <w:rsid w:val="00680CC0"/>
    <w:rsid w:val="00680D5D"/>
    <w:rsid w:val="00680E47"/>
    <w:rsid w:val="0068105A"/>
    <w:rsid w:val="00681189"/>
    <w:rsid w:val="00681310"/>
    <w:rsid w:val="00681457"/>
    <w:rsid w:val="00681529"/>
    <w:rsid w:val="006817FD"/>
    <w:rsid w:val="00681A1F"/>
    <w:rsid w:val="00681AAE"/>
    <w:rsid w:val="00681F6A"/>
    <w:rsid w:val="0068208D"/>
    <w:rsid w:val="006820BA"/>
    <w:rsid w:val="00682138"/>
    <w:rsid w:val="006821D9"/>
    <w:rsid w:val="00682244"/>
    <w:rsid w:val="0068228F"/>
    <w:rsid w:val="006826DF"/>
    <w:rsid w:val="006829F1"/>
    <w:rsid w:val="006829F7"/>
    <w:rsid w:val="00682B1B"/>
    <w:rsid w:val="00682C29"/>
    <w:rsid w:val="00682C4F"/>
    <w:rsid w:val="00682CC3"/>
    <w:rsid w:val="00682D55"/>
    <w:rsid w:val="00682DD8"/>
    <w:rsid w:val="00682E0C"/>
    <w:rsid w:val="00682FEE"/>
    <w:rsid w:val="00683287"/>
    <w:rsid w:val="00683523"/>
    <w:rsid w:val="00683545"/>
    <w:rsid w:val="00683647"/>
    <w:rsid w:val="0068386C"/>
    <w:rsid w:val="00683D8D"/>
    <w:rsid w:val="00683F26"/>
    <w:rsid w:val="006840D1"/>
    <w:rsid w:val="006844BB"/>
    <w:rsid w:val="00684657"/>
    <w:rsid w:val="00684851"/>
    <w:rsid w:val="006848D6"/>
    <w:rsid w:val="00684911"/>
    <w:rsid w:val="00684BC1"/>
    <w:rsid w:val="00684BFD"/>
    <w:rsid w:val="00684FA6"/>
    <w:rsid w:val="00685183"/>
    <w:rsid w:val="00685962"/>
    <w:rsid w:val="00685A4C"/>
    <w:rsid w:val="00685B11"/>
    <w:rsid w:val="006862EC"/>
    <w:rsid w:val="00686357"/>
    <w:rsid w:val="00686576"/>
    <w:rsid w:val="006865C2"/>
    <w:rsid w:val="00686834"/>
    <w:rsid w:val="00686CD8"/>
    <w:rsid w:val="00686D9F"/>
    <w:rsid w:val="00686F10"/>
    <w:rsid w:val="00687083"/>
    <w:rsid w:val="00687311"/>
    <w:rsid w:val="00687771"/>
    <w:rsid w:val="00687848"/>
    <w:rsid w:val="00687890"/>
    <w:rsid w:val="00687B43"/>
    <w:rsid w:val="00687CDC"/>
    <w:rsid w:val="00687CE1"/>
    <w:rsid w:val="00687EB9"/>
    <w:rsid w:val="00687EF9"/>
    <w:rsid w:val="0069013A"/>
    <w:rsid w:val="00690456"/>
    <w:rsid w:val="00690795"/>
    <w:rsid w:val="0069099B"/>
    <w:rsid w:val="006909C6"/>
    <w:rsid w:val="00690A6E"/>
    <w:rsid w:val="00690E77"/>
    <w:rsid w:val="00690FA0"/>
    <w:rsid w:val="00691003"/>
    <w:rsid w:val="0069139F"/>
    <w:rsid w:val="0069149D"/>
    <w:rsid w:val="0069168A"/>
    <w:rsid w:val="00691777"/>
    <w:rsid w:val="00691802"/>
    <w:rsid w:val="00691892"/>
    <w:rsid w:val="006918E8"/>
    <w:rsid w:val="00691924"/>
    <w:rsid w:val="00691A9E"/>
    <w:rsid w:val="00691C4D"/>
    <w:rsid w:val="00691F1A"/>
    <w:rsid w:val="00691F4B"/>
    <w:rsid w:val="006920BB"/>
    <w:rsid w:val="006922C8"/>
    <w:rsid w:val="00692436"/>
    <w:rsid w:val="0069253D"/>
    <w:rsid w:val="0069274F"/>
    <w:rsid w:val="00692786"/>
    <w:rsid w:val="006927B7"/>
    <w:rsid w:val="00692914"/>
    <w:rsid w:val="006929D4"/>
    <w:rsid w:val="00692D6D"/>
    <w:rsid w:val="00692E74"/>
    <w:rsid w:val="0069355C"/>
    <w:rsid w:val="0069369D"/>
    <w:rsid w:val="00693B5F"/>
    <w:rsid w:val="00693C65"/>
    <w:rsid w:val="00693C99"/>
    <w:rsid w:val="006943A7"/>
    <w:rsid w:val="006943C3"/>
    <w:rsid w:val="00694432"/>
    <w:rsid w:val="00694A15"/>
    <w:rsid w:val="00695063"/>
    <w:rsid w:val="00695151"/>
    <w:rsid w:val="00695193"/>
    <w:rsid w:val="0069537D"/>
    <w:rsid w:val="0069552A"/>
    <w:rsid w:val="006959A6"/>
    <w:rsid w:val="006959FA"/>
    <w:rsid w:val="00695DD6"/>
    <w:rsid w:val="006960A5"/>
    <w:rsid w:val="0069664B"/>
    <w:rsid w:val="006966FB"/>
    <w:rsid w:val="00696830"/>
    <w:rsid w:val="00696A08"/>
    <w:rsid w:val="00696B98"/>
    <w:rsid w:val="00696CF7"/>
    <w:rsid w:val="00696E72"/>
    <w:rsid w:val="00696F9B"/>
    <w:rsid w:val="0069710C"/>
    <w:rsid w:val="00697200"/>
    <w:rsid w:val="00697233"/>
    <w:rsid w:val="00697348"/>
    <w:rsid w:val="00697503"/>
    <w:rsid w:val="0069799E"/>
    <w:rsid w:val="00697E1B"/>
    <w:rsid w:val="006A0545"/>
    <w:rsid w:val="006A0614"/>
    <w:rsid w:val="006A0709"/>
    <w:rsid w:val="006A073E"/>
    <w:rsid w:val="006A0844"/>
    <w:rsid w:val="006A0945"/>
    <w:rsid w:val="006A0D14"/>
    <w:rsid w:val="006A0EC1"/>
    <w:rsid w:val="006A0ED6"/>
    <w:rsid w:val="006A0EE6"/>
    <w:rsid w:val="006A0FB4"/>
    <w:rsid w:val="006A1126"/>
    <w:rsid w:val="006A1204"/>
    <w:rsid w:val="006A1732"/>
    <w:rsid w:val="006A1810"/>
    <w:rsid w:val="006A19F2"/>
    <w:rsid w:val="006A1C8D"/>
    <w:rsid w:val="006A2295"/>
    <w:rsid w:val="006A25A7"/>
    <w:rsid w:val="006A2B9E"/>
    <w:rsid w:val="006A2C53"/>
    <w:rsid w:val="006A2C65"/>
    <w:rsid w:val="006A3354"/>
    <w:rsid w:val="006A3438"/>
    <w:rsid w:val="006A35BD"/>
    <w:rsid w:val="006A3A0C"/>
    <w:rsid w:val="006A3F3A"/>
    <w:rsid w:val="006A3FAF"/>
    <w:rsid w:val="006A418E"/>
    <w:rsid w:val="006A43B5"/>
    <w:rsid w:val="006A45B0"/>
    <w:rsid w:val="006A4638"/>
    <w:rsid w:val="006A475C"/>
    <w:rsid w:val="006A49E4"/>
    <w:rsid w:val="006A4DFF"/>
    <w:rsid w:val="006A53EE"/>
    <w:rsid w:val="006A556B"/>
    <w:rsid w:val="006A58C6"/>
    <w:rsid w:val="006A59B7"/>
    <w:rsid w:val="006A5B6F"/>
    <w:rsid w:val="006A5EBE"/>
    <w:rsid w:val="006A6046"/>
    <w:rsid w:val="006A61D3"/>
    <w:rsid w:val="006A61F2"/>
    <w:rsid w:val="006A6610"/>
    <w:rsid w:val="006A6A1C"/>
    <w:rsid w:val="006A6A63"/>
    <w:rsid w:val="006A6CAA"/>
    <w:rsid w:val="006A6DFD"/>
    <w:rsid w:val="006A71D1"/>
    <w:rsid w:val="006A7311"/>
    <w:rsid w:val="006A736D"/>
    <w:rsid w:val="006A777B"/>
    <w:rsid w:val="006A7B98"/>
    <w:rsid w:val="006A7BB4"/>
    <w:rsid w:val="006A7D11"/>
    <w:rsid w:val="006A7F1D"/>
    <w:rsid w:val="006B014B"/>
    <w:rsid w:val="006B0166"/>
    <w:rsid w:val="006B020C"/>
    <w:rsid w:val="006B025C"/>
    <w:rsid w:val="006B02B1"/>
    <w:rsid w:val="006B076A"/>
    <w:rsid w:val="006B0BB1"/>
    <w:rsid w:val="006B0CAB"/>
    <w:rsid w:val="006B1D09"/>
    <w:rsid w:val="006B1DB3"/>
    <w:rsid w:val="006B2490"/>
    <w:rsid w:val="006B281D"/>
    <w:rsid w:val="006B293E"/>
    <w:rsid w:val="006B29F8"/>
    <w:rsid w:val="006B2A0C"/>
    <w:rsid w:val="006B2ACB"/>
    <w:rsid w:val="006B2D81"/>
    <w:rsid w:val="006B2E5F"/>
    <w:rsid w:val="006B2EFE"/>
    <w:rsid w:val="006B2FE6"/>
    <w:rsid w:val="006B3139"/>
    <w:rsid w:val="006B3270"/>
    <w:rsid w:val="006B32E6"/>
    <w:rsid w:val="006B350A"/>
    <w:rsid w:val="006B3662"/>
    <w:rsid w:val="006B38C1"/>
    <w:rsid w:val="006B3C72"/>
    <w:rsid w:val="006B3D61"/>
    <w:rsid w:val="006B3E41"/>
    <w:rsid w:val="006B3F6F"/>
    <w:rsid w:val="006B4039"/>
    <w:rsid w:val="006B40AF"/>
    <w:rsid w:val="006B444F"/>
    <w:rsid w:val="006B4642"/>
    <w:rsid w:val="006B48E6"/>
    <w:rsid w:val="006B4B06"/>
    <w:rsid w:val="006B4C5D"/>
    <w:rsid w:val="006B51A7"/>
    <w:rsid w:val="006B54D0"/>
    <w:rsid w:val="006B5577"/>
    <w:rsid w:val="006B55A7"/>
    <w:rsid w:val="006B57B3"/>
    <w:rsid w:val="006B5B5A"/>
    <w:rsid w:val="006B62A0"/>
    <w:rsid w:val="006B641E"/>
    <w:rsid w:val="006B6627"/>
    <w:rsid w:val="006B68DD"/>
    <w:rsid w:val="006B68EB"/>
    <w:rsid w:val="006B6992"/>
    <w:rsid w:val="006B6AB6"/>
    <w:rsid w:val="006B6CD8"/>
    <w:rsid w:val="006B6D3A"/>
    <w:rsid w:val="006B7082"/>
    <w:rsid w:val="006B76C4"/>
    <w:rsid w:val="006B7AC0"/>
    <w:rsid w:val="006B7C55"/>
    <w:rsid w:val="006B7D70"/>
    <w:rsid w:val="006C005C"/>
    <w:rsid w:val="006C00F1"/>
    <w:rsid w:val="006C0246"/>
    <w:rsid w:val="006C0248"/>
    <w:rsid w:val="006C0487"/>
    <w:rsid w:val="006C0493"/>
    <w:rsid w:val="006C097D"/>
    <w:rsid w:val="006C09DA"/>
    <w:rsid w:val="006C0A3C"/>
    <w:rsid w:val="006C0D39"/>
    <w:rsid w:val="006C0D89"/>
    <w:rsid w:val="006C0E66"/>
    <w:rsid w:val="006C0EE2"/>
    <w:rsid w:val="006C1143"/>
    <w:rsid w:val="006C118D"/>
    <w:rsid w:val="006C11A2"/>
    <w:rsid w:val="006C148D"/>
    <w:rsid w:val="006C15F0"/>
    <w:rsid w:val="006C1B12"/>
    <w:rsid w:val="006C1D69"/>
    <w:rsid w:val="006C21EB"/>
    <w:rsid w:val="006C2509"/>
    <w:rsid w:val="006C262E"/>
    <w:rsid w:val="006C2D31"/>
    <w:rsid w:val="006C3310"/>
    <w:rsid w:val="006C3323"/>
    <w:rsid w:val="006C33D8"/>
    <w:rsid w:val="006C3508"/>
    <w:rsid w:val="006C380C"/>
    <w:rsid w:val="006C3991"/>
    <w:rsid w:val="006C3AE9"/>
    <w:rsid w:val="006C417E"/>
    <w:rsid w:val="006C4222"/>
    <w:rsid w:val="006C4D9E"/>
    <w:rsid w:val="006C4F94"/>
    <w:rsid w:val="006C509B"/>
    <w:rsid w:val="006C51EC"/>
    <w:rsid w:val="006C5583"/>
    <w:rsid w:val="006C5A6B"/>
    <w:rsid w:val="006C5F2B"/>
    <w:rsid w:val="006C64AB"/>
    <w:rsid w:val="006C6677"/>
    <w:rsid w:val="006C68B4"/>
    <w:rsid w:val="006C6975"/>
    <w:rsid w:val="006C69CA"/>
    <w:rsid w:val="006C6B3D"/>
    <w:rsid w:val="006C6DB0"/>
    <w:rsid w:val="006C6F71"/>
    <w:rsid w:val="006C76AE"/>
    <w:rsid w:val="006C7852"/>
    <w:rsid w:val="006C7BBE"/>
    <w:rsid w:val="006C7BE7"/>
    <w:rsid w:val="006C7C9E"/>
    <w:rsid w:val="006D0C2B"/>
    <w:rsid w:val="006D0DB4"/>
    <w:rsid w:val="006D11BE"/>
    <w:rsid w:val="006D1359"/>
    <w:rsid w:val="006D1368"/>
    <w:rsid w:val="006D1AD5"/>
    <w:rsid w:val="006D1C24"/>
    <w:rsid w:val="006D2010"/>
    <w:rsid w:val="006D20F5"/>
    <w:rsid w:val="006D2171"/>
    <w:rsid w:val="006D2225"/>
    <w:rsid w:val="006D2497"/>
    <w:rsid w:val="006D26DE"/>
    <w:rsid w:val="006D26E1"/>
    <w:rsid w:val="006D2B30"/>
    <w:rsid w:val="006D2C48"/>
    <w:rsid w:val="006D2D4D"/>
    <w:rsid w:val="006D2EE2"/>
    <w:rsid w:val="006D30EC"/>
    <w:rsid w:val="006D324D"/>
    <w:rsid w:val="006D3317"/>
    <w:rsid w:val="006D33D2"/>
    <w:rsid w:val="006D341F"/>
    <w:rsid w:val="006D34A6"/>
    <w:rsid w:val="006D39DD"/>
    <w:rsid w:val="006D39EC"/>
    <w:rsid w:val="006D3C9B"/>
    <w:rsid w:val="006D40AC"/>
    <w:rsid w:val="006D412B"/>
    <w:rsid w:val="006D41BD"/>
    <w:rsid w:val="006D4290"/>
    <w:rsid w:val="006D4494"/>
    <w:rsid w:val="006D4583"/>
    <w:rsid w:val="006D47E5"/>
    <w:rsid w:val="006D487C"/>
    <w:rsid w:val="006D4B92"/>
    <w:rsid w:val="006D4CE3"/>
    <w:rsid w:val="006D4D02"/>
    <w:rsid w:val="006D4DD7"/>
    <w:rsid w:val="006D513A"/>
    <w:rsid w:val="006D5223"/>
    <w:rsid w:val="006D536F"/>
    <w:rsid w:val="006D5393"/>
    <w:rsid w:val="006D53DE"/>
    <w:rsid w:val="006D54FA"/>
    <w:rsid w:val="006D577C"/>
    <w:rsid w:val="006D5B54"/>
    <w:rsid w:val="006D5D32"/>
    <w:rsid w:val="006D5DFB"/>
    <w:rsid w:val="006D657F"/>
    <w:rsid w:val="006D67C2"/>
    <w:rsid w:val="006D69D6"/>
    <w:rsid w:val="006D6BE0"/>
    <w:rsid w:val="006D6D88"/>
    <w:rsid w:val="006D6DEB"/>
    <w:rsid w:val="006D6FB6"/>
    <w:rsid w:val="006D723B"/>
    <w:rsid w:val="006D732F"/>
    <w:rsid w:val="006D746A"/>
    <w:rsid w:val="006D7567"/>
    <w:rsid w:val="006D7694"/>
    <w:rsid w:val="006D7954"/>
    <w:rsid w:val="006D79F5"/>
    <w:rsid w:val="006D7A0F"/>
    <w:rsid w:val="006D7A44"/>
    <w:rsid w:val="006E01B6"/>
    <w:rsid w:val="006E0468"/>
    <w:rsid w:val="006E05EA"/>
    <w:rsid w:val="006E0C8C"/>
    <w:rsid w:val="006E1332"/>
    <w:rsid w:val="006E1341"/>
    <w:rsid w:val="006E15EA"/>
    <w:rsid w:val="006E16B0"/>
    <w:rsid w:val="006E1D32"/>
    <w:rsid w:val="006E1EE4"/>
    <w:rsid w:val="006E22C0"/>
    <w:rsid w:val="006E26BA"/>
    <w:rsid w:val="006E2902"/>
    <w:rsid w:val="006E2A32"/>
    <w:rsid w:val="006E2C1C"/>
    <w:rsid w:val="006E3128"/>
    <w:rsid w:val="006E367A"/>
    <w:rsid w:val="006E36C4"/>
    <w:rsid w:val="006E37EE"/>
    <w:rsid w:val="006E3E70"/>
    <w:rsid w:val="006E4007"/>
    <w:rsid w:val="006E4320"/>
    <w:rsid w:val="006E44C1"/>
    <w:rsid w:val="006E4886"/>
    <w:rsid w:val="006E4ABF"/>
    <w:rsid w:val="006E4CBD"/>
    <w:rsid w:val="006E4D06"/>
    <w:rsid w:val="006E50D2"/>
    <w:rsid w:val="006E55B7"/>
    <w:rsid w:val="006E569C"/>
    <w:rsid w:val="006E5856"/>
    <w:rsid w:val="006E5943"/>
    <w:rsid w:val="006E5A3E"/>
    <w:rsid w:val="006E5ADD"/>
    <w:rsid w:val="006E5C81"/>
    <w:rsid w:val="006E5D8D"/>
    <w:rsid w:val="006E5E0B"/>
    <w:rsid w:val="006E5E69"/>
    <w:rsid w:val="006E6256"/>
    <w:rsid w:val="006E65AD"/>
    <w:rsid w:val="006E7036"/>
    <w:rsid w:val="006E72E3"/>
    <w:rsid w:val="006E7551"/>
    <w:rsid w:val="006E787F"/>
    <w:rsid w:val="006E7B16"/>
    <w:rsid w:val="006E7BFB"/>
    <w:rsid w:val="006F0055"/>
    <w:rsid w:val="006F00FF"/>
    <w:rsid w:val="006F0107"/>
    <w:rsid w:val="006F01CE"/>
    <w:rsid w:val="006F0335"/>
    <w:rsid w:val="006F048B"/>
    <w:rsid w:val="006F07F2"/>
    <w:rsid w:val="006F0CFD"/>
    <w:rsid w:val="006F0E05"/>
    <w:rsid w:val="006F0E84"/>
    <w:rsid w:val="006F12C6"/>
    <w:rsid w:val="006F1720"/>
    <w:rsid w:val="006F1E49"/>
    <w:rsid w:val="006F1E98"/>
    <w:rsid w:val="006F1EA6"/>
    <w:rsid w:val="006F22FC"/>
    <w:rsid w:val="006F2608"/>
    <w:rsid w:val="006F2758"/>
    <w:rsid w:val="006F2984"/>
    <w:rsid w:val="006F2CE9"/>
    <w:rsid w:val="006F2E45"/>
    <w:rsid w:val="006F3316"/>
    <w:rsid w:val="006F3414"/>
    <w:rsid w:val="006F35BE"/>
    <w:rsid w:val="006F35E4"/>
    <w:rsid w:val="006F39DD"/>
    <w:rsid w:val="006F3A95"/>
    <w:rsid w:val="006F3C97"/>
    <w:rsid w:val="006F3DEE"/>
    <w:rsid w:val="006F4045"/>
    <w:rsid w:val="006F4190"/>
    <w:rsid w:val="006F4218"/>
    <w:rsid w:val="006F439E"/>
    <w:rsid w:val="006F450F"/>
    <w:rsid w:val="006F467F"/>
    <w:rsid w:val="006F4B0B"/>
    <w:rsid w:val="006F4B90"/>
    <w:rsid w:val="006F4ED8"/>
    <w:rsid w:val="006F511C"/>
    <w:rsid w:val="006F52E2"/>
    <w:rsid w:val="006F53EE"/>
    <w:rsid w:val="006F549E"/>
    <w:rsid w:val="006F56E5"/>
    <w:rsid w:val="006F5802"/>
    <w:rsid w:val="006F5867"/>
    <w:rsid w:val="006F5BEB"/>
    <w:rsid w:val="006F5E29"/>
    <w:rsid w:val="006F6180"/>
    <w:rsid w:val="006F61A8"/>
    <w:rsid w:val="006F61C1"/>
    <w:rsid w:val="006F6337"/>
    <w:rsid w:val="006F6760"/>
    <w:rsid w:val="006F67D2"/>
    <w:rsid w:val="006F6BBC"/>
    <w:rsid w:val="006F6D41"/>
    <w:rsid w:val="006F72ED"/>
    <w:rsid w:val="006F7559"/>
    <w:rsid w:val="006F788E"/>
    <w:rsid w:val="006F78A3"/>
    <w:rsid w:val="006F78C4"/>
    <w:rsid w:val="006F7EFF"/>
    <w:rsid w:val="007001A6"/>
    <w:rsid w:val="0070083C"/>
    <w:rsid w:val="007008D5"/>
    <w:rsid w:val="00700B5D"/>
    <w:rsid w:val="00700CCD"/>
    <w:rsid w:val="00701092"/>
    <w:rsid w:val="00701548"/>
    <w:rsid w:val="00701591"/>
    <w:rsid w:val="00701B4D"/>
    <w:rsid w:val="007020EF"/>
    <w:rsid w:val="007024A5"/>
    <w:rsid w:val="007024DB"/>
    <w:rsid w:val="007025B9"/>
    <w:rsid w:val="00702823"/>
    <w:rsid w:val="00702A96"/>
    <w:rsid w:val="00702BA8"/>
    <w:rsid w:val="00702F06"/>
    <w:rsid w:val="00703035"/>
    <w:rsid w:val="00703103"/>
    <w:rsid w:val="00703428"/>
    <w:rsid w:val="0070342E"/>
    <w:rsid w:val="007037BF"/>
    <w:rsid w:val="00703A4A"/>
    <w:rsid w:val="00703AC9"/>
    <w:rsid w:val="00703C95"/>
    <w:rsid w:val="00703D52"/>
    <w:rsid w:val="00703E9C"/>
    <w:rsid w:val="00703EFF"/>
    <w:rsid w:val="00703F27"/>
    <w:rsid w:val="007040CC"/>
    <w:rsid w:val="00704107"/>
    <w:rsid w:val="007041A1"/>
    <w:rsid w:val="007041E8"/>
    <w:rsid w:val="00704AC3"/>
    <w:rsid w:val="00704D82"/>
    <w:rsid w:val="00704DD4"/>
    <w:rsid w:val="00704E9B"/>
    <w:rsid w:val="0070561B"/>
    <w:rsid w:val="00705A34"/>
    <w:rsid w:val="00705B43"/>
    <w:rsid w:val="00705C7C"/>
    <w:rsid w:val="00705CD8"/>
    <w:rsid w:val="00705CD9"/>
    <w:rsid w:val="00705CED"/>
    <w:rsid w:val="00705D4E"/>
    <w:rsid w:val="00705FD6"/>
    <w:rsid w:val="00706039"/>
    <w:rsid w:val="007061AF"/>
    <w:rsid w:val="00706265"/>
    <w:rsid w:val="007062FE"/>
    <w:rsid w:val="0070648F"/>
    <w:rsid w:val="007066A6"/>
    <w:rsid w:val="0070680F"/>
    <w:rsid w:val="00706963"/>
    <w:rsid w:val="0070698B"/>
    <w:rsid w:val="00706B22"/>
    <w:rsid w:val="00706DFE"/>
    <w:rsid w:val="007071C2"/>
    <w:rsid w:val="00707454"/>
    <w:rsid w:val="00707578"/>
    <w:rsid w:val="007076C0"/>
    <w:rsid w:val="00707807"/>
    <w:rsid w:val="00707820"/>
    <w:rsid w:val="007078C3"/>
    <w:rsid w:val="007079B6"/>
    <w:rsid w:val="00707F6A"/>
    <w:rsid w:val="007105C8"/>
    <w:rsid w:val="0071074D"/>
    <w:rsid w:val="00710788"/>
    <w:rsid w:val="007107A2"/>
    <w:rsid w:val="007107AC"/>
    <w:rsid w:val="007107E1"/>
    <w:rsid w:val="00711170"/>
    <w:rsid w:val="00711214"/>
    <w:rsid w:val="0071147A"/>
    <w:rsid w:val="00711B8A"/>
    <w:rsid w:val="00711CBA"/>
    <w:rsid w:val="00711D11"/>
    <w:rsid w:val="00711FF1"/>
    <w:rsid w:val="00712089"/>
    <w:rsid w:val="007123FF"/>
    <w:rsid w:val="007125E9"/>
    <w:rsid w:val="00712714"/>
    <w:rsid w:val="0071271F"/>
    <w:rsid w:val="00712DD1"/>
    <w:rsid w:val="00712F25"/>
    <w:rsid w:val="00713086"/>
    <w:rsid w:val="00713249"/>
    <w:rsid w:val="00713419"/>
    <w:rsid w:val="00713701"/>
    <w:rsid w:val="007139D0"/>
    <w:rsid w:val="00713AF2"/>
    <w:rsid w:val="00713E2B"/>
    <w:rsid w:val="00713F9C"/>
    <w:rsid w:val="00714186"/>
    <w:rsid w:val="00714199"/>
    <w:rsid w:val="007141AA"/>
    <w:rsid w:val="007142B5"/>
    <w:rsid w:val="007142F7"/>
    <w:rsid w:val="007144C2"/>
    <w:rsid w:val="00714833"/>
    <w:rsid w:val="00714B27"/>
    <w:rsid w:val="00714F2F"/>
    <w:rsid w:val="007151AE"/>
    <w:rsid w:val="007156CD"/>
    <w:rsid w:val="007156E4"/>
    <w:rsid w:val="00715725"/>
    <w:rsid w:val="00715975"/>
    <w:rsid w:val="00715D3F"/>
    <w:rsid w:val="00715ECF"/>
    <w:rsid w:val="00716885"/>
    <w:rsid w:val="007168BB"/>
    <w:rsid w:val="00716DE5"/>
    <w:rsid w:val="00716FCD"/>
    <w:rsid w:val="00717066"/>
    <w:rsid w:val="007172F5"/>
    <w:rsid w:val="007174BD"/>
    <w:rsid w:val="00717596"/>
    <w:rsid w:val="00717766"/>
    <w:rsid w:val="007177E4"/>
    <w:rsid w:val="00717837"/>
    <w:rsid w:val="007178D6"/>
    <w:rsid w:val="00717BD5"/>
    <w:rsid w:val="0072007C"/>
    <w:rsid w:val="00720087"/>
    <w:rsid w:val="00720339"/>
    <w:rsid w:val="007205F1"/>
    <w:rsid w:val="007207AB"/>
    <w:rsid w:val="00720811"/>
    <w:rsid w:val="007209C6"/>
    <w:rsid w:val="007209CD"/>
    <w:rsid w:val="00720A30"/>
    <w:rsid w:val="00720AC0"/>
    <w:rsid w:val="00720B89"/>
    <w:rsid w:val="00720BDD"/>
    <w:rsid w:val="00720BFA"/>
    <w:rsid w:val="00720F9E"/>
    <w:rsid w:val="00721250"/>
    <w:rsid w:val="007216E5"/>
    <w:rsid w:val="00721B25"/>
    <w:rsid w:val="00721B78"/>
    <w:rsid w:val="00721C84"/>
    <w:rsid w:val="00721CEC"/>
    <w:rsid w:val="00721E24"/>
    <w:rsid w:val="00721F9F"/>
    <w:rsid w:val="00722263"/>
    <w:rsid w:val="00722697"/>
    <w:rsid w:val="007226B4"/>
    <w:rsid w:val="00722C6B"/>
    <w:rsid w:val="00723037"/>
    <w:rsid w:val="00723259"/>
    <w:rsid w:val="0072365F"/>
    <w:rsid w:val="00723756"/>
    <w:rsid w:val="0072392A"/>
    <w:rsid w:val="00723A7E"/>
    <w:rsid w:val="00723A98"/>
    <w:rsid w:val="00723BE2"/>
    <w:rsid w:val="00723E20"/>
    <w:rsid w:val="00723E55"/>
    <w:rsid w:val="00723EA9"/>
    <w:rsid w:val="0072421B"/>
    <w:rsid w:val="007242EB"/>
    <w:rsid w:val="00724418"/>
    <w:rsid w:val="0072443E"/>
    <w:rsid w:val="007244AC"/>
    <w:rsid w:val="00724731"/>
    <w:rsid w:val="007248A3"/>
    <w:rsid w:val="00724BA5"/>
    <w:rsid w:val="00724DAF"/>
    <w:rsid w:val="00724E97"/>
    <w:rsid w:val="00724F87"/>
    <w:rsid w:val="00724FFD"/>
    <w:rsid w:val="007253A8"/>
    <w:rsid w:val="0072540D"/>
    <w:rsid w:val="0072543C"/>
    <w:rsid w:val="007254BB"/>
    <w:rsid w:val="00725624"/>
    <w:rsid w:val="0072581E"/>
    <w:rsid w:val="00725929"/>
    <w:rsid w:val="0072595E"/>
    <w:rsid w:val="00725BF5"/>
    <w:rsid w:val="00726131"/>
    <w:rsid w:val="00726852"/>
    <w:rsid w:val="00726AD4"/>
    <w:rsid w:val="00726D67"/>
    <w:rsid w:val="00726E09"/>
    <w:rsid w:val="00727018"/>
    <w:rsid w:val="007270ED"/>
    <w:rsid w:val="007271BE"/>
    <w:rsid w:val="007271D3"/>
    <w:rsid w:val="00727289"/>
    <w:rsid w:val="007272B6"/>
    <w:rsid w:val="00727588"/>
    <w:rsid w:val="0072767B"/>
    <w:rsid w:val="00727AFD"/>
    <w:rsid w:val="00727BB1"/>
    <w:rsid w:val="00727D8A"/>
    <w:rsid w:val="00727E5C"/>
    <w:rsid w:val="00727EF8"/>
    <w:rsid w:val="00727F6F"/>
    <w:rsid w:val="0073076F"/>
    <w:rsid w:val="007307B8"/>
    <w:rsid w:val="00730AB1"/>
    <w:rsid w:val="00730B1D"/>
    <w:rsid w:val="007311A6"/>
    <w:rsid w:val="0073153B"/>
    <w:rsid w:val="00731B54"/>
    <w:rsid w:val="00731D01"/>
    <w:rsid w:val="00731E17"/>
    <w:rsid w:val="00731E8B"/>
    <w:rsid w:val="00731FB6"/>
    <w:rsid w:val="007320ED"/>
    <w:rsid w:val="00732880"/>
    <w:rsid w:val="00732C21"/>
    <w:rsid w:val="00732D0A"/>
    <w:rsid w:val="00733052"/>
    <w:rsid w:val="00733074"/>
    <w:rsid w:val="007331A3"/>
    <w:rsid w:val="00733618"/>
    <w:rsid w:val="007336DE"/>
    <w:rsid w:val="00733B1B"/>
    <w:rsid w:val="00733B74"/>
    <w:rsid w:val="00733D7E"/>
    <w:rsid w:val="00733F25"/>
    <w:rsid w:val="00733F41"/>
    <w:rsid w:val="007341C5"/>
    <w:rsid w:val="0073422F"/>
    <w:rsid w:val="007343B2"/>
    <w:rsid w:val="007343F0"/>
    <w:rsid w:val="007345FC"/>
    <w:rsid w:val="0073472C"/>
    <w:rsid w:val="007347E0"/>
    <w:rsid w:val="00734AC2"/>
    <w:rsid w:val="00734B5F"/>
    <w:rsid w:val="00734D03"/>
    <w:rsid w:val="00734D4B"/>
    <w:rsid w:val="00734E0B"/>
    <w:rsid w:val="00734FB8"/>
    <w:rsid w:val="00734FD7"/>
    <w:rsid w:val="007351CC"/>
    <w:rsid w:val="00735467"/>
    <w:rsid w:val="0073568A"/>
    <w:rsid w:val="00735917"/>
    <w:rsid w:val="0073598C"/>
    <w:rsid w:val="00735C69"/>
    <w:rsid w:val="00736367"/>
    <w:rsid w:val="00736393"/>
    <w:rsid w:val="00736422"/>
    <w:rsid w:val="007364F7"/>
    <w:rsid w:val="007368AF"/>
    <w:rsid w:val="00736AE9"/>
    <w:rsid w:val="00736CB5"/>
    <w:rsid w:val="00736D5B"/>
    <w:rsid w:val="00736F40"/>
    <w:rsid w:val="007370F7"/>
    <w:rsid w:val="007371D3"/>
    <w:rsid w:val="007373F8"/>
    <w:rsid w:val="007374CC"/>
    <w:rsid w:val="007378CD"/>
    <w:rsid w:val="00737D5E"/>
    <w:rsid w:val="007407CA"/>
    <w:rsid w:val="00740C29"/>
    <w:rsid w:val="00740DDC"/>
    <w:rsid w:val="00740F70"/>
    <w:rsid w:val="0074109E"/>
    <w:rsid w:val="00741361"/>
    <w:rsid w:val="00741420"/>
    <w:rsid w:val="007415E7"/>
    <w:rsid w:val="0074161F"/>
    <w:rsid w:val="0074211B"/>
    <w:rsid w:val="0074218D"/>
    <w:rsid w:val="0074231C"/>
    <w:rsid w:val="007423BA"/>
    <w:rsid w:val="00742A20"/>
    <w:rsid w:val="00742BC5"/>
    <w:rsid w:val="00743239"/>
    <w:rsid w:val="007434F6"/>
    <w:rsid w:val="00743825"/>
    <w:rsid w:val="00743972"/>
    <w:rsid w:val="00743CC0"/>
    <w:rsid w:val="00743D49"/>
    <w:rsid w:val="00743FBB"/>
    <w:rsid w:val="00744067"/>
    <w:rsid w:val="0074408E"/>
    <w:rsid w:val="007440FB"/>
    <w:rsid w:val="007441BB"/>
    <w:rsid w:val="007443C4"/>
    <w:rsid w:val="007443D8"/>
    <w:rsid w:val="00744874"/>
    <w:rsid w:val="00744BB3"/>
    <w:rsid w:val="00744EE5"/>
    <w:rsid w:val="00744FBE"/>
    <w:rsid w:val="0074512D"/>
    <w:rsid w:val="0074513B"/>
    <w:rsid w:val="00745161"/>
    <w:rsid w:val="0074530E"/>
    <w:rsid w:val="00745439"/>
    <w:rsid w:val="007456C4"/>
    <w:rsid w:val="007459E1"/>
    <w:rsid w:val="00745A61"/>
    <w:rsid w:val="00745C29"/>
    <w:rsid w:val="00745CC4"/>
    <w:rsid w:val="00745DC0"/>
    <w:rsid w:val="00746013"/>
    <w:rsid w:val="007465FE"/>
    <w:rsid w:val="0074665B"/>
    <w:rsid w:val="007467CE"/>
    <w:rsid w:val="0074683D"/>
    <w:rsid w:val="0074687E"/>
    <w:rsid w:val="007468A2"/>
    <w:rsid w:val="007468AE"/>
    <w:rsid w:val="00746D99"/>
    <w:rsid w:val="00747439"/>
    <w:rsid w:val="007475E5"/>
    <w:rsid w:val="00747CB3"/>
    <w:rsid w:val="00747E7D"/>
    <w:rsid w:val="00750180"/>
    <w:rsid w:val="007504EA"/>
    <w:rsid w:val="007513CE"/>
    <w:rsid w:val="007516A4"/>
    <w:rsid w:val="007518D2"/>
    <w:rsid w:val="0075214B"/>
    <w:rsid w:val="0075257A"/>
    <w:rsid w:val="007527DA"/>
    <w:rsid w:val="00752AD2"/>
    <w:rsid w:val="0075307E"/>
    <w:rsid w:val="00753162"/>
    <w:rsid w:val="0075321F"/>
    <w:rsid w:val="007532F0"/>
    <w:rsid w:val="0075345B"/>
    <w:rsid w:val="007534B2"/>
    <w:rsid w:val="007535B2"/>
    <w:rsid w:val="0075374A"/>
    <w:rsid w:val="00753B26"/>
    <w:rsid w:val="00753B9C"/>
    <w:rsid w:val="00753C67"/>
    <w:rsid w:val="00753CCD"/>
    <w:rsid w:val="0075450E"/>
    <w:rsid w:val="00754B42"/>
    <w:rsid w:val="00754BF7"/>
    <w:rsid w:val="00754D7D"/>
    <w:rsid w:val="00754D8D"/>
    <w:rsid w:val="00754E8A"/>
    <w:rsid w:val="00754EA5"/>
    <w:rsid w:val="00755082"/>
    <w:rsid w:val="007558E1"/>
    <w:rsid w:val="007559E1"/>
    <w:rsid w:val="00755E2F"/>
    <w:rsid w:val="00755E8E"/>
    <w:rsid w:val="00755FA3"/>
    <w:rsid w:val="0075604D"/>
    <w:rsid w:val="00756910"/>
    <w:rsid w:val="00756942"/>
    <w:rsid w:val="00756991"/>
    <w:rsid w:val="00756A1F"/>
    <w:rsid w:val="00756B26"/>
    <w:rsid w:val="00756D60"/>
    <w:rsid w:val="00756D7B"/>
    <w:rsid w:val="007570D1"/>
    <w:rsid w:val="007574FC"/>
    <w:rsid w:val="00757656"/>
    <w:rsid w:val="00757747"/>
    <w:rsid w:val="007577D1"/>
    <w:rsid w:val="00757A90"/>
    <w:rsid w:val="00757B2D"/>
    <w:rsid w:val="00757CA6"/>
    <w:rsid w:val="00757D7B"/>
    <w:rsid w:val="00757FC4"/>
    <w:rsid w:val="00760464"/>
    <w:rsid w:val="0076052E"/>
    <w:rsid w:val="00760750"/>
    <w:rsid w:val="00760917"/>
    <w:rsid w:val="00760D20"/>
    <w:rsid w:val="00760E8B"/>
    <w:rsid w:val="00760FFE"/>
    <w:rsid w:val="00761605"/>
    <w:rsid w:val="0076172D"/>
    <w:rsid w:val="00761E11"/>
    <w:rsid w:val="00762474"/>
    <w:rsid w:val="007624DB"/>
    <w:rsid w:val="0076251A"/>
    <w:rsid w:val="00762568"/>
    <w:rsid w:val="00762783"/>
    <w:rsid w:val="00762998"/>
    <w:rsid w:val="007629E2"/>
    <w:rsid w:val="00762B2D"/>
    <w:rsid w:val="00763078"/>
    <w:rsid w:val="00763140"/>
    <w:rsid w:val="00763385"/>
    <w:rsid w:val="007635DA"/>
    <w:rsid w:val="00763880"/>
    <w:rsid w:val="00763995"/>
    <w:rsid w:val="00763A89"/>
    <w:rsid w:val="00763DC8"/>
    <w:rsid w:val="00763F47"/>
    <w:rsid w:val="00763FB9"/>
    <w:rsid w:val="0076403D"/>
    <w:rsid w:val="0076424C"/>
    <w:rsid w:val="00764753"/>
    <w:rsid w:val="0076488C"/>
    <w:rsid w:val="00764995"/>
    <w:rsid w:val="00764BBA"/>
    <w:rsid w:val="00764F02"/>
    <w:rsid w:val="00764F15"/>
    <w:rsid w:val="007650CB"/>
    <w:rsid w:val="007651B2"/>
    <w:rsid w:val="00765BC5"/>
    <w:rsid w:val="00765D83"/>
    <w:rsid w:val="00765E26"/>
    <w:rsid w:val="007662A3"/>
    <w:rsid w:val="00766340"/>
    <w:rsid w:val="00766492"/>
    <w:rsid w:val="0076659E"/>
    <w:rsid w:val="007665EA"/>
    <w:rsid w:val="00766686"/>
    <w:rsid w:val="00766B84"/>
    <w:rsid w:val="00766E42"/>
    <w:rsid w:val="0076706E"/>
    <w:rsid w:val="007671E1"/>
    <w:rsid w:val="00767800"/>
    <w:rsid w:val="0076780C"/>
    <w:rsid w:val="00767953"/>
    <w:rsid w:val="00767B51"/>
    <w:rsid w:val="00767C07"/>
    <w:rsid w:val="00767CEF"/>
    <w:rsid w:val="00767E21"/>
    <w:rsid w:val="00767E4B"/>
    <w:rsid w:val="00767E5D"/>
    <w:rsid w:val="00770176"/>
    <w:rsid w:val="00770229"/>
    <w:rsid w:val="0077036D"/>
    <w:rsid w:val="00770537"/>
    <w:rsid w:val="00770757"/>
    <w:rsid w:val="00771487"/>
    <w:rsid w:val="0077175F"/>
    <w:rsid w:val="00771A94"/>
    <w:rsid w:val="00771AD0"/>
    <w:rsid w:val="00771C87"/>
    <w:rsid w:val="00772082"/>
    <w:rsid w:val="007721B3"/>
    <w:rsid w:val="00772350"/>
    <w:rsid w:val="0077249F"/>
    <w:rsid w:val="007726AD"/>
    <w:rsid w:val="00772897"/>
    <w:rsid w:val="00772B49"/>
    <w:rsid w:val="00772D5E"/>
    <w:rsid w:val="0077306F"/>
    <w:rsid w:val="00773371"/>
    <w:rsid w:val="0077340B"/>
    <w:rsid w:val="00773907"/>
    <w:rsid w:val="00773C6C"/>
    <w:rsid w:val="00773CFE"/>
    <w:rsid w:val="00773F0E"/>
    <w:rsid w:val="00773FC7"/>
    <w:rsid w:val="007742D9"/>
    <w:rsid w:val="00774392"/>
    <w:rsid w:val="00774662"/>
    <w:rsid w:val="007746C5"/>
    <w:rsid w:val="007747A6"/>
    <w:rsid w:val="007748CF"/>
    <w:rsid w:val="007749A2"/>
    <w:rsid w:val="00774A42"/>
    <w:rsid w:val="00774A98"/>
    <w:rsid w:val="00774B12"/>
    <w:rsid w:val="00774C26"/>
    <w:rsid w:val="00774D6A"/>
    <w:rsid w:val="00774DEB"/>
    <w:rsid w:val="0077543B"/>
    <w:rsid w:val="00775680"/>
    <w:rsid w:val="0077570B"/>
    <w:rsid w:val="007758FC"/>
    <w:rsid w:val="00775B8F"/>
    <w:rsid w:val="00775C64"/>
    <w:rsid w:val="00775E78"/>
    <w:rsid w:val="0077630D"/>
    <w:rsid w:val="0077637C"/>
    <w:rsid w:val="0077661C"/>
    <w:rsid w:val="00776774"/>
    <w:rsid w:val="00776853"/>
    <w:rsid w:val="00776917"/>
    <w:rsid w:val="007769B1"/>
    <w:rsid w:val="007769D4"/>
    <w:rsid w:val="00776A6E"/>
    <w:rsid w:val="00776A6F"/>
    <w:rsid w:val="00776B60"/>
    <w:rsid w:val="00777045"/>
    <w:rsid w:val="007776EB"/>
    <w:rsid w:val="0077774F"/>
    <w:rsid w:val="00777861"/>
    <w:rsid w:val="00777C27"/>
    <w:rsid w:val="00777FC3"/>
    <w:rsid w:val="0078031A"/>
    <w:rsid w:val="00780322"/>
    <w:rsid w:val="007803DE"/>
    <w:rsid w:val="007807AE"/>
    <w:rsid w:val="00780B66"/>
    <w:rsid w:val="00780C47"/>
    <w:rsid w:val="00780FA9"/>
    <w:rsid w:val="00781042"/>
    <w:rsid w:val="007815D0"/>
    <w:rsid w:val="007817BB"/>
    <w:rsid w:val="007819F0"/>
    <w:rsid w:val="00781CB2"/>
    <w:rsid w:val="0078205E"/>
    <w:rsid w:val="0078228F"/>
    <w:rsid w:val="007824F8"/>
    <w:rsid w:val="0078260B"/>
    <w:rsid w:val="00782627"/>
    <w:rsid w:val="00782646"/>
    <w:rsid w:val="00782762"/>
    <w:rsid w:val="0078292C"/>
    <w:rsid w:val="00782BE8"/>
    <w:rsid w:val="00782DDE"/>
    <w:rsid w:val="00783096"/>
    <w:rsid w:val="0078320B"/>
    <w:rsid w:val="00783259"/>
    <w:rsid w:val="0078358C"/>
    <w:rsid w:val="0078379D"/>
    <w:rsid w:val="007839DB"/>
    <w:rsid w:val="00783A46"/>
    <w:rsid w:val="00783AFA"/>
    <w:rsid w:val="00783D26"/>
    <w:rsid w:val="00783D72"/>
    <w:rsid w:val="00783FD9"/>
    <w:rsid w:val="007840B5"/>
    <w:rsid w:val="0078457B"/>
    <w:rsid w:val="007848F9"/>
    <w:rsid w:val="00784A90"/>
    <w:rsid w:val="00784E9F"/>
    <w:rsid w:val="00785026"/>
    <w:rsid w:val="00785281"/>
    <w:rsid w:val="007856D7"/>
    <w:rsid w:val="007859B5"/>
    <w:rsid w:val="00786182"/>
    <w:rsid w:val="0078642F"/>
    <w:rsid w:val="0078644E"/>
    <w:rsid w:val="00786455"/>
    <w:rsid w:val="00786543"/>
    <w:rsid w:val="00786852"/>
    <w:rsid w:val="007868BA"/>
    <w:rsid w:val="007868E6"/>
    <w:rsid w:val="00786CCE"/>
    <w:rsid w:val="00786D2C"/>
    <w:rsid w:val="00786E32"/>
    <w:rsid w:val="00786E9C"/>
    <w:rsid w:val="00786F71"/>
    <w:rsid w:val="007875F8"/>
    <w:rsid w:val="007878A3"/>
    <w:rsid w:val="00787E63"/>
    <w:rsid w:val="00787F9E"/>
    <w:rsid w:val="0079000F"/>
    <w:rsid w:val="00790068"/>
    <w:rsid w:val="00790454"/>
    <w:rsid w:val="00790659"/>
    <w:rsid w:val="00790815"/>
    <w:rsid w:val="00790853"/>
    <w:rsid w:val="0079085E"/>
    <w:rsid w:val="007908BD"/>
    <w:rsid w:val="00790AC3"/>
    <w:rsid w:val="00790CA7"/>
    <w:rsid w:val="00790D13"/>
    <w:rsid w:val="00790F93"/>
    <w:rsid w:val="007911FA"/>
    <w:rsid w:val="00791287"/>
    <w:rsid w:val="00791471"/>
    <w:rsid w:val="00791583"/>
    <w:rsid w:val="007915A7"/>
    <w:rsid w:val="0079186E"/>
    <w:rsid w:val="0079195A"/>
    <w:rsid w:val="00791A26"/>
    <w:rsid w:val="00791A8B"/>
    <w:rsid w:val="00791CE2"/>
    <w:rsid w:val="00791CF7"/>
    <w:rsid w:val="00791E16"/>
    <w:rsid w:val="0079241B"/>
    <w:rsid w:val="0079242D"/>
    <w:rsid w:val="00792458"/>
    <w:rsid w:val="007925B9"/>
    <w:rsid w:val="007928EB"/>
    <w:rsid w:val="007929FF"/>
    <w:rsid w:val="00792FF4"/>
    <w:rsid w:val="00793683"/>
    <w:rsid w:val="0079374C"/>
    <w:rsid w:val="007937A5"/>
    <w:rsid w:val="00793855"/>
    <w:rsid w:val="007938E3"/>
    <w:rsid w:val="007939D3"/>
    <w:rsid w:val="00793CEC"/>
    <w:rsid w:val="00793E6F"/>
    <w:rsid w:val="0079400A"/>
    <w:rsid w:val="00794026"/>
    <w:rsid w:val="007940A5"/>
    <w:rsid w:val="0079410D"/>
    <w:rsid w:val="0079419E"/>
    <w:rsid w:val="00794481"/>
    <w:rsid w:val="0079452F"/>
    <w:rsid w:val="00794989"/>
    <w:rsid w:val="00794BB1"/>
    <w:rsid w:val="00794D79"/>
    <w:rsid w:val="00794FFE"/>
    <w:rsid w:val="00795058"/>
    <w:rsid w:val="00795075"/>
    <w:rsid w:val="007950ED"/>
    <w:rsid w:val="007951B3"/>
    <w:rsid w:val="00795562"/>
    <w:rsid w:val="00795774"/>
    <w:rsid w:val="00795AE5"/>
    <w:rsid w:val="00795AFD"/>
    <w:rsid w:val="00795F74"/>
    <w:rsid w:val="00795FFD"/>
    <w:rsid w:val="007961D7"/>
    <w:rsid w:val="007961EE"/>
    <w:rsid w:val="0079633A"/>
    <w:rsid w:val="0079669D"/>
    <w:rsid w:val="00796857"/>
    <w:rsid w:val="00796A0C"/>
    <w:rsid w:val="00796A85"/>
    <w:rsid w:val="00796D45"/>
    <w:rsid w:val="00796D8D"/>
    <w:rsid w:val="00796DCA"/>
    <w:rsid w:val="00796EA6"/>
    <w:rsid w:val="00797117"/>
    <w:rsid w:val="00797277"/>
    <w:rsid w:val="00797AAC"/>
    <w:rsid w:val="00797C5F"/>
    <w:rsid w:val="00797D83"/>
    <w:rsid w:val="00797D90"/>
    <w:rsid w:val="00797FB7"/>
    <w:rsid w:val="007A008C"/>
    <w:rsid w:val="007A0137"/>
    <w:rsid w:val="007A063D"/>
    <w:rsid w:val="007A0A93"/>
    <w:rsid w:val="007A0AC4"/>
    <w:rsid w:val="007A0BCB"/>
    <w:rsid w:val="007A0F57"/>
    <w:rsid w:val="007A1088"/>
    <w:rsid w:val="007A11F2"/>
    <w:rsid w:val="007A12B7"/>
    <w:rsid w:val="007A16DA"/>
    <w:rsid w:val="007A1A40"/>
    <w:rsid w:val="007A2388"/>
    <w:rsid w:val="007A238A"/>
    <w:rsid w:val="007A2A55"/>
    <w:rsid w:val="007A2FCD"/>
    <w:rsid w:val="007A3148"/>
    <w:rsid w:val="007A3262"/>
    <w:rsid w:val="007A32BE"/>
    <w:rsid w:val="007A334F"/>
    <w:rsid w:val="007A3450"/>
    <w:rsid w:val="007A365F"/>
    <w:rsid w:val="007A3717"/>
    <w:rsid w:val="007A3BD9"/>
    <w:rsid w:val="007A3BE9"/>
    <w:rsid w:val="007A3D02"/>
    <w:rsid w:val="007A474C"/>
    <w:rsid w:val="007A493E"/>
    <w:rsid w:val="007A4A9E"/>
    <w:rsid w:val="007A52F1"/>
    <w:rsid w:val="007A5712"/>
    <w:rsid w:val="007A5834"/>
    <w:rsid w:val="007A5865"/>
    <w:rsid w:val="007A5969"/>
    <w:rsid w:val="007A5D1E"/>
    <w:rsid w:val="007A5F78"/>
    <w:rsid w:val="007A5F93"/>
    <w:rsid w:val="007A6079"/>
    <w:rsid w:val="007A6603"/>
    <w:rsid w:val="007A674D"/>
    <w:rsid w:val="007A68FB"/>
    <w:rsid w:val="007A69AF"/>
    <w:rsid w:val="007A6D9F"/>
    <w:rsid w:val="007A74CA"/>
    <w:rsid w:val="007A76C0"/>
    <w:rsid w:val="007A77E1"/>
    <w:rsid w:val="007A7819"/>
    <w:rsid w:val="007A79E5"/>
    <w:rsid w:val="007A7ABE"/>
    <w:rsid w:val="007B00A9"/>
    <w:rsid w:val="007B020B"/>
    <w:rsid w:val="007B02FE"/>
    <w:rsid w:val="007B03B6"/>
    <w:rsid w:val="007B0A6A"/>
    <w:rsid w:val="007B0C04"/>
    <w:rsid w:val="007B0C43"/>
    <w:rsid w:val="007B0DB1"/>
    <w:rsid w:val="007B0F44"/>
    <w:rsid w:val="007B15C1"/>
    <w:rsid w:val="007B165E"/>
    <w:rsid w:val="007B169A"/>
    <w:rsid w:val="007B1AF4"/>
    <w:rsid w:val="007B1DE7"/>
    <w:rsid w:val="007B1EF2"/>
    <w:rsid w:val="007B2404"/>
    <w:rsid w:val="007B254E"/>
    <w:rsid w:val="007B26B7"/>
    <w:rsid w:val="007B2821"/>
    <w:rsid w:val="007B287F"/>
    <w:rsid w:val="007B29EC"/>
    <w:rsid w:val="007B2C5D"/>
    <w:rsid w:val="007B2FB8"/>
    <w:rsid w:val="007B3073"/>
    <w:rsid w:val="007B3221"/>
    <w:rsid w:val="007B32C4"/>
    <w:rsid w:val="007B342C"/>
    <w:rsid w:val="007B38D8"/>
    <w:rsid w:val="007B3980"/>
    <w:rsid w:val="007B3983"/>
    <w:rsid w:val="007B3AC1"/>
    <w:rsid w:val="007B3E6C"/>
    <w:rsid w:val="007B3E6F"/>
    <w:rsid w:val="007B3F1E"/>
    <w:rsid w:val="007B3FC2"/>
    <w:rsid w:val="007B4080"/>
    <w:rsid w:val="007B4114"/>
    <w:rsid w:val="007B434C"/>
    <w:rsid w:val="007B43FF"/>
    <w:rsid w:val="007B4DA6"/>
    <w:rsid w:val="007B4FAE"/>
    <w:rsid w:val="007B5057"/>
    <w:rsid w:val="007B508A"/>
    <w:rsid w:val="007B50F9"/>
    <w:rsid w:val="007B5182"/>
    <w:rsid w:val="007B56D5"/>
    <w:rsid w:val="007B5B4A"/>
    <w:rsid w:val="007B5CCE"/>
    <w:rsid w:val="007B60E2"/>
    <w:rsid w:val="007B6163"/>
    <w:rsid w:val="007B6197"/>
    <w:rsid w:val="007B62CA"/>
    <w:rsid w:val="007B630E"/>
    <w:rsid w:val="007B6826"/>
    <w:rsid w:val="007B69CA"/>
    <w:rsid w:val="007B6A50"/>
    <w:rsid w:val="007B6C77"/>
    <w:rsid w:val="007B6E3C"/>
    <w:rsid w:val="007B7180"/>
    <w:rsid w:val="007B7293"/>
    <w:rsid w:val="007B73AA"/>
    <w:rsid w:val="007B7445"/>
    <w:rsid w:val="007B77CB"/>
    <w:rsid w:val="007B7998"/>
    <w:rsid w:val="007B7C33"/>
    <w:rsid w:val="007C051E"/>
    <w:rsid w:val="007C0599"/>
    <w:rsid w:val="007C0E3F"/>
    <w:rsid w:val="007C1039"/>
    <w:rsid w:val="007C13FB"/>
    <w:rsid w:val="007C1B10"/>
    <w:rsid w:val="007C1BA1"/>
    <w:rsid w:val="007C1BBD"/>
    <w:rsid w:val="007C1C50"/>
    <w:rsid w:val="007C1CA4"/>
    <w:rsid w:val="007C2446"/>
    <w:rsid w:val="007C2856"/>
    <w:rsid w:val="007C28E0"/>
    <w:rsid w:val="007C2B9E"/>
    <w:rsid w:val="007C2BE9"/>
    <w:rsid w:val="007C2C83"/>
    <w:rsid w:val="007C2D21"/>
    <w:rsid w:val="007C2DDA"/>
    <w:rsid w:val="007C3368"/>
    <w:rsid w:val="007C3A2D"/>
    <w:rsid w:val="007C3EFB"/>
    <w:rsid w:val="007C3FFB"/>
    <w:rsid w:val="007C4045"/>
    <w:rsid w:val="007C42EF"/>
    <w:rsid w:val="007C4471"/>
    <w:rsid w:val="007C454E"/>
    <w:rsid w:val="007C4568"/>
    <w:rsid w:val="007C49EE"/>
    <w:rsid w:val="007C4A1C"/>
    <w:rsid w:val="007C4BF3"/>
    <w:rsid w:val="007C5044"/>
    <w:rsid w:val="007C5341"/>
    <w:rsid w:val="007C5563"/>
    <w:rsid w:val="007C57C9"/>
    <w:rsid w:val="007C58F5"/>
    <w:rsid w:val="007C603C"/>
    <w:rsid w:val="007C60AC"/>
    <w:rsid w:val="007C63E7"/>
    <w:rsid w:val="007C67A2"/>
    <w:rsid w:val="007C697A"/>
    <w:rsid w:val="007C6CC6"/>
    <w:rsid w:val="007C6DB0"/>
    <w:rsid w:val="007C6ECB"/>
    <w:rsid w:val="007C707C"/>
    <w:rsid w:val="007C71C3"/>
    <w:rsid w:val="007C73B7"/>
    <w:rsid w:val="007C746B"/>
    <w:rsid w:val="007C772A"/>
    <w:rsid w:val="007C7820"/>
    <w:rsid w:val="007C7982"/>
    <w:rsid w:val="007C79DB"/>
    <w:rsid w:val="007D0061"/>
    <w:rsid w:val="007D03BE"/>
    <w:rsid w:val="007D0403"/>
    <w:rsid w:val="007D051D"/>
    <w:rsid w:val="007D117E"/>
    <w:rsid w:val="007D1194"/>
    <w:rsid w:val="007D15D3"/>
    <w:rsid w:val="007D164D"/>
    <w:rsid w:val="007D1823"/>
    <w:rsid w:val="007D1A02"/>
    <w:rsid w:val="007D1F42"/>
    <w:rsid w:val="007D208D"/>
    <w:rsid w:val="007D2198"/>
    <w:rsid w:val="007D23B5"/>
    <w:rsid w:val="007D2432"/>
    <w:rsid w:val="007D24D0"/>
    <w:rsid w:val="007D2E98"/>
    <w:rsid w:val="007D2EF6"/>
    <w:rsid w:val="007D30A1"/>
    <w:rsid w:val="007D3308"/>
    <w:rsid w:val="007D3389"/>
    <w:rsid w:val="007D36D8"/>
    <w:rsid w:val="007D390F"/>
    <w:rsid w:val="007D41F4"/>
    <w:rsid w:val="007D4325"/>
    <w:rsid w:val="007D4494"/>
    <w:rsid w:val="007D48E8"/>
    <w:rsid w:val="007D490F"/>
    <w:rsid w:val="007D49F5"/>
    <w:rsid w:val="007D4BFF"/>
    <w:rsid w:val="007D4F02"/>
    <w:rsid w:val="007D4F9F"/>
    <w:rsid w:val="007D4FAD"/>
    <w:rsid w:val="007D5216"/>
    <w:rsid w:val="007D5323"/>
    <w:rsid w:val="007D5375"/>
    <w:rsid w:val="007D562D"/>
    <w:rsid w:val="007D598C"/>
    <w:rsid w:val="007D5991"/>
    <w:rsid w:val="007D5F76"/>
    <w:rsid w:val="007D60C4"/>
    <w:rsid w:val="007D61D3"/>
    <w:rsid w:val="007D6560"/>
    <w:rsid w:val="007D658D"/>
    <w:rsid w:val="007D6A4B"/>
    <w:rsid w:val="007D6B0A"/>
    <w:rsid w:val="007D6C78"/>
    <w:rsid w:val="007D6D6B"/>
    <w:rsid w:val="007D6E16"/>
    <w:rsid w:val="007D6F6C"/>
    <w:rsid w:val="007D7D47"/>
    <w:rsid w:val="007D7F7A"/>
    <w:rsid w:val="007E005F"/>
    <w:rsid w:val="007E01A1"/>
    <w:rsid w:val="007E01D5"/>
    <w:rsid w:val="007E0500"/>
    <w:rsid w:val="007E061F"/>
    <w:rsid w:val="007E0965"/>
    <w:rsid w:val="007E0D42"/>
    <w:rsid w:val="007E0D49"/>
    <w:rsid w:val="007E0E94"/>
    <w:rsid w:val="007E0FEC"/>
    <w:rsid w:val="007E10BF"/>
    <w:rsid w:val="007E10C4"/>
    <w:rsid w:val="007E12D8"/>
    <w:rsid w:val="007E12DB"/>
    <w:rsid w:val="007E15BF"/>
    <w:rsid w:val="007E178A"/>
    <w:rsid w:val="007E18CA"/>
    <w:rsid w:val="007E1B05"/>
    <w:rsid w:val="007E1BD1"/>
    <w:rsid w:val="007E1FC5"/>
    <w:rsid w:val="007E28E1"/>
    <w:rsid w:val="007E29DC"/>
    <w:rsid w:val="007E2B0F"/>
    <w:rsid w:val="007E2B34"/>
    <w:rsid w:val="007E2C31"/>
    <w:rsid w:val="007E2EDB"/>
    <w:rsid w:val="007E30C5"/>
    <w:rsid w:val="007E310E"/>
    <w:rsid w:val="007E314B"/>
    <w:rsid w:val="007E3187"/>
    <w:rsid w:val="007E36DC"/>
    <w:rsid w:val="007E381E"/>
    <w:rsid w:val="007E3884"/>
    <w:rsid w:val="007E3957"/>
    <w:rsid w:val="007E39D4"/>
    <w:rsid w:val="007E3CBC"/>
    <w:rsid w:val="007E3F75"/>
    <w:rsid w:val="007E4053"/>
    <w:rsid w:val="007E40FE"/>
    <w:rsid w:val="007E4111"/>
    <w:rsid w:val="007E41BB"/>
    <w:rsid w:val="007E4740"/>
    <w:rsid w:val="007E47AC"/>
    <w:rsid w:val="007E47E0"/>
    <w:rsid w:val="007E48A3"/>
    <w:rsid w:val="007E4C44"/>
    <w:rsid w:val="007E4C6E"/>
    <w:rsid w:val="007E4D13"/>
    <w:rsid w:val="007E54A1"/>
    <w:rsid w:val="007E5578"/>
    <w:rsid w:val="007E55F4"/>
    <w:rsid w:val="007E5806"/>
    <w:rsid w:val="007E59D0"/>
    <w:rsid w:val="007E5A42"/>
    <w:rsid w:val="007E5DA0"/>
    <w:rsid w:val="007E649E"/>
    <w:rsid w:val="007E64CB"/>
    <w:rsid w:val="007E659E"/>
    <w:rsid w:val="007E65D6"/>
    <w:rsid w:val="007E6D4A"/>
    <w:rsid w:val="007E6E85"/>
    <w:rsid w:val="007E6E88"/>
    <w:rsid w:val="007E6FD6"/>
    <w:rsid w:val="007E7074"/>
    <w:rsid w:val="007E70F8"/>
    <w:rsid w:val="007E725D"/>
    <w:rsid w:val="007E745F"/>
    <w:rsid w:val="007E74C2"/>
    <w:rsid w:val="007E7832"/>
    <w:rsid w:val="007E7D75"/>
    <w:rsid w:val="007E7F34"/>
    <w:rsid w:val="007F0029"/>
    <w:rsid w:val="007F00DD"/>
    <w:rsid w:val="007F021F"/>
    <w:rsid w:val="007F0B4B"/>
    <w:rsid w:val="007F12B8"/>
    <w:rsid w:val="007F1412"/>
    <w:rsid w:val="007F1779"/>
    <w:rsid w:val="007F1D58"/>
    <w:rsid w:val="007F1E6A"/>
    <w:rsid w:val="007F1EFF"/>
    <w:rsid w:val="007F1F32"/>
    <w:rsid w:val="007F233B"/>
    <w:rsid w:val="007F2622"/>
    <w:rsid w:val="007F28F3"/>
    <w:rsid w:val="007F2AF9"/>
    <w:rsid w:val="007F2E3D"/>
    <w:rsid w:val="007F3820"/>
    <w:rsid w:val="007F3847"/>
    <w:rsid w:val="007F3A62"/>
    <w:rsid w:val="007F3B76"/>
    <w:rsid w:val="007F3CAD"/>
    <w:rsid w:val="007F4294"/>
    <w:rsid w:val="007F442B"/>
    <w:rsid w:val="007F4471"/>
    <w:rsid w:val="007F44C8"/>
    <w:rsid w:val="007F45B4"/>
    <w:rsid w:val="007F48BF"/>
    <w:rsid w:val="007F4CD7"/>
    <w:rsid w:val="007F4DE7"/>
    <w:rsid w:val="007F4FF6"/>
    <w:rsid w:val="007F52C5"/>
    <w:rsid w:val="007F578C"/>
    <w:rsid w:val="007F5A1E"/>
    <w:rsid w:val="007F5D44"/>
    <w:rsid w:val="007F5E3C"/>
    <w:rsid w:val="007F619A"/>
    <w:rsid w:val="007F6233"/>
    <w:rsid w:val="007F65DB"/>
    <w:rsid w:val="007F6709"/>
    <w:rsid w:val="007F6A11"/>
    <w:rsid w:val="007F6F50"/>
    <w:rsid w:val="007F76CE"/>
    <w:rsid w:val="007F795C"/>
    <w:rsid w:val="007F7995"/>
    <w:rsid w:val="007F79A7"/>
    <w:rsid w:val="007F7C26"/>
    <w:rsid w:val="007F7D54"/>
    <w:rsid w:val="007F7DF7"/>
    <w:rsid w:val="007F7E5C"/>
    <w:rsid w:val="007F7EFD"/>
    <w:rsid w:val="007F7F56"/>
    <w:rsid w:val="0080001A"/>
    <w:rsid w:val="00800337"/>
    <w:rsid w:val="008003CE"/>
    <w:rsid w:val="008006CF"/>
    <w:rsid w:val="0080086A"/>
    <w:rsid w:val="008009F0"/>
    <w:rsid w:val="00800BEF"/>
    <w:rsid w:val="00800D59"/>
    <w:rsid w:val="008017BC"/>
    <w:rsid w:val="0080188D"/>
    <w:rsid w:val="00801AF6"/>
    <w:rsid w:val="00801B8F"/>
    <w:rsid w:val="00801BA0"/>
    <w:rsid w:val="00801D57"/>
    <w:rsid w:val="00802024"/>
    <w:rsid w:val="0080283E"/>
    <w:rsid w:val="0080296C"/>
    <w:rsid w:val="0080299C"/>
    <w:rsid w:val="00802ABF"/>
    <w:rsid w:val="00802C58"/>
    <w:rsid w:val="0080316D"/>
    <w:rsid w:val="00803251"/>
    <w:rsid w:val="008033F9"/>
    <w:rsid w:val="00803A9C"/>
    <w:rsid w:val="00803B49"/>
    <w:rsid w:val="00803D89"/>
    <w:rsid w:val="0080416F"/>
    <w:rsid w:val="00804203"/>
    <w:rsid w:val="008042D3"/>
    <w:rsid w:val="008043B8"/>
    <w:rsid w:val="008046CE"/>
    <w:rsid w:val="0080496E"/>
    <w:rsid w:val="00804A91"/>
    <w:rsid w:val="00804D01"/>
    <w:rsid w:val="00804F7B"/>
    <w:rsid w:val="00804F9C"/>
    <w:rsid w:val="008051DA"/>
    <w:rsid w:val="008053DD"/>
    <w:rsid w:val="00805778"/>
    <w:rsid w:val="008059AE"/>
    <w:rsid w:val="008059F0"/>
    <w:rsid w:val="00805BFA"/>
    <w:rsid w:val="00805CA8"/>
    <w:rsid w:val="00805E05"/>
    <w:rsid w:val="00805E97"/>
    <w:rsid w:val="0080602E"/>
    <w:rsid w:val="008061F3"/>
    <w:rsid w:val="008063C3"/>
    <w:rsid w:val="00806815"/>
    <w:rsid w:val="008069BC"/>
    <w:rsid w:val="00806E26"/>
    <w:rsid w:val="00807243"/>
    <w:rsid w:val="00807616"/>
    <w:rsid w:val="008076DA"/>
    <w:rsid w:val="0080787F"/>
    <w:rsid w:val="00807C4A"/>
    <w:rsid w:val="0081008B"/>
    <w:rsid w:val="00810107"/>
    <w:rsid w:val="00810166"/>
    <w:rsid w:val="00810477"/>
    <w:rsid w:val="008104F9"/>
    <w:rsid w:val="00810659"/>
    <w:rsid w:val="00810858"/>
    <w:rsid w:val="00810C79"/>
    <w:rsid w:val="00810F90"/>
    <w:rsid w:val="00810FE3"/>
    <w:rsid w:val="008115F7"/>
    <w:rsid w:val="00811987"/>
    <w:rsid w:val="00811A85"/>
    <w:rsid w:val="00811ACC"/>
    <w:rsid w:val="00811AD3"/>
    <w:rsid w:val="008124E8"/>
    <w:rsid w:val="00812791"/>
    <w:rsid w:val="0081289E"/>
    <w:rsid w:val="008129DA"/>
    <w:rsid w:val="00812CED"/>
    <w:rsid w:val="00812DF1"/>
    <w:rsid w:val="00812F8A"/>
    <w:rsid w:val="0081304B"/>
    <w:rsid w:val="0081334A"/>
    <w:rsid w:val="00813366"/>
    <w:rsid w:val="008133FA"/>
    <w:rsid w:val="00813487"/>
    <w:rsid w:val="008134E9"/>
    <w:rsid w:val="00813C1D"/>
    <w:rsid w:val="00813EDC"/>
    <w:rsid w:val="00813FEF"/>
    <w:rsid w:val="00814535"/>
    <w:rsid w:val="00814707"/>
    <w:rsid w:val="00814876"/>
    <w:rsid w:val="008148BC"/>
    <w:rsid w:val="00814A66"/>
    <w:rsid w:val="00814B44"/>
    <w:rsid w:val="00814C4F"/>
    <w:rsid w:val="00814DB6"/>
    <w:rsid w:val="00815930"/>
    <w:rsid w:val="00815B79"/>
    <w:rsid w:val="00815CEB"/>
    <w:rsid w:val="00815EE4"/>
    <w:rsid w:val="00815F61"/>
    <w:rsid w:val="0081611E"/>
    <w:rsid w:val="00816491"/>
    <w:rsid w:val="00816859"/>
    <w:rsid w:val="00816C94"/>
    <w:rsid w:val="00816E90"/>
    <w:rsid w:val="008175AE"/>
    <w:rsid w:val="008176E4"/>
    <w:rsid w:val="0081798E"/>
    <w:rsid w:val="00817D15"/>
    <w:rsid w:val="00817E3D"/>
    <w:rsid w:val="00820119"/>
    <w:rsid w:val="00820389"/>
    <w:rsid w:val="008203EC"/>
    <w:rsid w:val="00820795"/>
    <w:rsid w:val="00820808"/>
    <w:rsid w:val="00820880"/>
    <w:rsid w:val="008208E6"/>
    <w:rsid w:val="00820A86"/>
    <w:rsid w:val="00820B29"/>
    <w:rsid w:val="00820BBD"/>
    <w:rsid w:val="00820DB4"/>
    <w:rsid w:val="00821279"/>
    <w:rsid w:val="00821349"/>
    <w:rsid w:val="0082158E"/>
    <w:rsid w:val="008215B5"/>
    <w:rsid w:val="00821733"/>
    <w:rsid w:val="00821919"/>
    <w:rsid w:val="00821D43"/>
    <w:rsid w:val="00822470"/>
    <w:rsid w:val="00822722"/>
    <w:rsid w:val="0082286B"/>
    <w:rsid w:val="00822A07"/>
    <w:rsid w:val="00822EAF"/>
    <w:rsid w:val="00822F56"/>
    <w:rsid w:val="008230E7"/>
    <w:rsid w:val="008232B5"/>
    <w:rsid w:val="00823450"/>
    <w:rsid w:val="00823688"/>
    <w:rsid w:val="008237AF"/>
    <w:rsid w:val="00823B65"/>
    <w:rsid w:val="00823BEA"/>
    <w:rsid w:val="00823C14"/>
    <w:rsid w:val="00823D6B"/>
    <w:rsid w:val="00823FA0"/>
    <w:rsid w:val="0082421B"/>
    <w:rsid w:val="008244E8"/>
    <w:rsid w:val="00824764"/>
    <w:rsid w:val="00824B76"/>
    <w:rsid w:val="00824EEB"/>
    <w:rsid w:val="00825088"/>
    <w:rsid w:val="00825167"/>
    <w:rsid w:val="008252E2"/>
    <w:rsid w:val="008259DB"/>
    <w:rsid w:val="00825AB8"/>
    <w:rsid w:val="00825C22"/>
    <w:rsid w:val="008261C1"/>
    <w:rsid w:val="0082678A"/>
    <w:rsid w:val="00826835"/>
    <w:rsid w:val="008269A7"/>
    <w:rsid w:val="00826A47"/>
    <w:rsid w:val="00826C54"/>
    <w:rsid w:val="00826D5D"/>
    <w:rsid w:val="00826F11"/>
    <w:rsid w:val="00826F6A"/>
    <w:rsid w:val="00826FF5"/>
    <w:rsid w:val="008272EF"/>
    <w:rsid w:val="0082759B"/>
    <w:rsid w:val="00827659"/>
    <w:rsid w:val="0082794E"/>
    <w:rsid w:val="0082798F"/>
    <w:rsid w:val="00827A78"/>
    <w:rsid w:val="00827DA0"/>
    <w:rsid w:val="00827DBD"/>
    <w:rsid w:val="00830132"/>
    <w:rsid w:val="008301D2"/>
    <w:rsid w:val="0083049A"/>
    <w:rsid w:val="0083094C"/>
    <w:rsid w:val="00830C79"/>
    <w:rsid w:val="00830E62"/>
    <w:rsid w:val="00831179"/>
    <w:rsid w:val="008315FF"/>
    <w:rsid w:val="008317F3"/>
    <w:rsid w:val="00831B13"/>
    <w:rsid w:val="00831D95"/>
    <w:rsid w:val="00831E00"/>
    <w:rsid w:val="00831EA8"/>
    <w:rsid w:val="00831F59"/>
    <w:rsid w:val="00831F99"/>
    <w:rsid w:val="00832086"/>
    <w:rsid w:val="0083254B"/>
    <w:rsid w:val="00832F5A"/>
    <w:rsid w:val="00832FF3"/>
    <w:rsid w:val="0083300F"/>
    <w:rsid w:val="008334B0"/>
    <w:rsid w:val="00833549"/>
    <w:rsid w:val="00833960"/>
    <w:rsid w:val="00833BFE"/>
    <w:rsid w:val="0083414F"/>
    <w:rsid w:val="00834164"/>
    <w:rsid w:val="00834369"/>
    <w:rsid w:val="008343B4"/>
    <w:rsid w:val="00834475"/>
    <w:rsid w:val="00834691"/>
    <w:rsid w:val="00834790"/>
    <w:rsid w:val="008349CF"/>
    <w:rsid w:val="00834E7B"/>
    <w:rsid w:val="00834E80"/>
    <w:rsid w:val="0083506F"/>
    <w:rsid w:val="008356D8"/>
    <w:rsid w:val="008358B3"/>
    <w:rsid w:val="00835B87"/>
    <w:rsid w:val="00835CDB"/>
    <w:rsid w:val="00835FE7"/>
    <w:rsid w:val="00836252"/>
    <w:rsid w:val="00836307"/>
    <w:rsid w:val="00836319"/>
    <w:rsid w:val="00836381"/>
    <w:rsid w:val="008364BB"/>
    <w:rsid w:val="0083657C"/>
    <w:rsid w:val="008369C4"/>
    <w:rsid w:val="00836A01"/>
    <w:rsid w:val="00836AE3"/>
    <w:rsid w:val="008370E5"/>
    <w:rsid w:val="0083718D"/>
    <w:rsid w:val="00837384"/>
    <w:rsid w:val="008375AF"/>
    <w:rsid w:val="00837628"/>
    <w:rsid w:val="00837998"/>
    <w:rsid w:val="00837F63"/>
    <w:rsid w:val="008401F8"/>
    <w:rsid w:val="00840520"/>
    <w:rsid w:val="00840620"/>
    <w:rsid w:val="0084077F"/>
    <w:rsid w:val="00840802"/>
    <w:rsid w:val="00840A92"/>
    <w:rsid w:val="00840A93"/>
    <w:rsid w:val="00840D1A"/>
    <w:rsid w:val="0084146E"/>
    <w:rsid w:val="00841620"/>
    <w:rsid w:val="008417ED"/>
    <w:rsid w:val="00841899"/>
    <w:rsid w:val="008418DB"/>
    <w:rsid w:val="008418F4"/>
    <w:rsid w:val="00841AF3"/>
    <w:rsid w:val="00841D43"/>
    <w:rsid w:val="00841DFA"/>
    <w:rsid w:val="00841E0F"/>
    <w:rsid w:val="0084230A"/>
    <w:rsid w:val="00842C1C"/>
    <w:rsid w:val="00842D95"/>
    <w:rsid w:val="00842DAE"/>
    <w:rsid w:val="00843038"/>
    <w:rsid w:val="00843251"/>
    <w:rsid w:val="00843639"/>
    <w:rsid w:val="00843937"/>
    <w:rsid w:val="00843B1D"/>
    <w:rsid w:val="00843F0C"/>
    <w:rsid w:val="00843F11"/>
    <w:rsid w:val="00844476"/>
    <w:rsid w:val="008444E8"/>
    <w:rsid w:val="00844569"/>
    <w:rsid w:val="008446A2"/>
    <w:rsid w:val="00844853"/>
    <w:rsid w:val="00844A5F"/>
    <w:rsid w:val="00844BDB"/>
    <w:rsid w:val="00844CA4"/>
    <w:rsid w:val="00844D57"/>
    <w:rsid w:val="00844EF8"/>
    <w:rsid w:val="008450B8"/>
    <w:rsid w:val="0084543E"/>
    <w:rsid w:val="00845A49"/>
    <w:rsid w:val="00845C89"/>
    <w:rsid w:val="00845F6C"/>
    <w:rsid w:val="00846401"/>
    <w:rsid w:val="00846421"/>
    <w:rsid w:val="0084653C"/>
    <w:rsid w:val="00846611"/>
    <w:rsid w:val="008467A6"/>
    <w:rsid w:val="008468BF"/>
    <w:rsid w:val="00846CF2"/>
    <w:rsid w:val="00847119"/>
    <w:rsid w:val="00847152"/>
    <w:rsid w:val="0084721F"/>
    <w:rsid w:val="0084723F"/>
    <w:rsid w:val="00847D9F"/>
    <w:rsid w:val="008501B1"/>
    <w:rsid w:val="0085023F"/>
    <w:rsid w:val="0085024F"/>
    <w:rsid w:val="008502D9"/>
    <w:rsid w:val="00850676"/>
    <w:rsid w:val="00850B95"/>
    <w:rsid w:val="00850BA0"/>
    <w:rsid w:val="00850C3A"/>
    <w:rsid w:val="00850FCA"/>
    <w:rsid w:val="00850FDA"/>
    <w:rsid w:val="00851059"/>
    <w:rsid w:val="008513D5"/>
    <w:rsid w:val="008519A6"/>
    <w:rsid w:val="008519F4"/>
    <w:rsid w:val="008519FE"/>
    <w:rsid w:val="00851A2F"/>
    <w:rsid w:val="00851A7B"/>
    <w:rsid w:val="00852020"/>
    <w:rsid w:val="0085207F"/>
    <w:rsid w:val="00852115"/>
    <w:rsid w:val="00852213"/>
    <w:rsid w:val="00852431"/>
    <w:rsid w:val="0085245A"/>
    <w:rsid w:val="008527C9"/>
    <w:rsid w:val="00852815"/>
    <w:rsid w:val="008528E2"/>
    <w:rsid w:val="008529CD"/>
    <w:rsid w:val="00852ECB"/>
    <w:rsid w:val="00853092"/>
    <w:rsid w:val="008531BF"/>
    <w:rsid w:val="0085378F"/>
    <w:rsid w:val="00853953"/>
    <w:rsid w:val="0085395F"/>
    <w:rsid w:val="00853A98"/>
    <w:rsid w:val="00853A9E"/>
    <w:rsid w:val="00853E04"/>
    <w:rsid w:val="00853E5A"/>
    <w:rsid w:val="00854149"/>
    <w:rsid w:val="008543F0"/>
    <w:rsid w:val="0085440C"/>
    <w:rsid w:val="0085449C"/>
    <w:rsid w:val="008549DC"/>
    <w:rsid w:val="00854B8F"/>
    <w:rsid w:val="00854C05"/>
    <w:rsid w:val="00854FFC"/>
    <w:rsid w:val="008554D3"/>
    <w:rsid w:val="00855633"/>
    <w:rsid w:val="0085595A"/>
    <w:rsid w:val="00855C16"/>
    <w:rsid w:val="00855D48"/>
    <w:rsid w:val="008561DD"/>
    <w:rsid w:val="008562F5"/>
    <w:rsid w:val="00856464"/>
    <w:rsid w:val="008565D7"/>
    <w:rsid w:val="008568BC"/>
    <w:rsid w:val="00856F33"/>
    <w:rsid w:val="00856F68"/>
    <w:rsid w:val="00857598"/>
    <w:rsid w:val="00857633"/>
    <w:rsid w:val="0085767E"/>
    <w:rsid w:val="008576A9"/>
    <w:rsid w:val="00857833"/>
    <w:rsid w:val="00857A7B"/>
    <w:rsid w:val="00860CFC"/>
    <w:rsid w:val="00860DE8"/>
    <w:rsid w:val="00860EDE"/>
    <w:rsid w:val="00860FC1"/>
    <w:rsid w:val="008611E7"/>
    <w:rsid w:val="0086121F"/>
    <w:rsid w:val="00861441"/>
    <w:rsid w:val="00861487"/>
    <w:rsid w:val="00861754"/>
    <w:rsid w:val="00861789"/>
    <w:rsid w:val="008617FB"/>
    <w:rsid w:val="008618F0"/>
    <w:rsid w:val="00861A43"/>
    <w:rsid w:val="00861D44"/>
    <w:rsid w:val="00861DEA"/>
    <w:rsid w:val="00861E45"/>
    <w:rsid w:val="00861EA3"/>
    <w:rsid w:val="00861F65"/>
    <w:rsid w:val="00862003"/>
    <w:rsid w:val="008620ED"/>
    <w:rsid w:val="008623B3"/>
    <w:rsid w:val="00862556"/>
    <w:rsid w:val="00862592"/>
    <w:rsid w:val="00862ABA"/>
    <w:rsid w:val="00862ABF"/>
    <w:rsid w:val="0086303B"/>
    <w:rsid w:val="008631E0"/>
    <w:rsid w:val="0086335A"/>
    <w:rsid w:val="0086377B"/>
    <w:rsid w:val="008637FD"/>
    <w:rsid w:val="00863E32"/>
    <w:rsid w:val="00863F79"/>
    <w:rsid w:val="00863FB0"/>
    <w:rsid w:val="00864413"/>
    <w:rsid w:val="008646BA"/>
    <w:rsid w:val="00864814"/>
    <w:rsid w:val="0086495F"/>
    <w:rsid w:val="00864B27"/>
    <w:rsid w:val="00864B6A"/>
    <w:rsid w:val="00864C7D"/>
    <w:rsid w:val="00864CCB"/>
    <w:rsid w:val="00864CF2"/>
    <w:rsid w:val="008650AA"/>
    <w:rsid w:val="00865357"/>
    <w:rsid w:val="0086570A"/>
    <w:rsid w:val="008657EA"/>
    <w:rsid w:val="008657F1"/>
    <w:rsid w:val="0086607D"/>
    <w:rsid w:val="00866126"/>
    <w:rsid w:val="00866482"/>
    <w:rsid w:val="008666FE"/>
    <w:rsid w:val="008669A8"/>
    <w:rsid w:val="00866AFC"/>
    <w:rsid w:val="00866DE9"/>
    <w:rsid w:val="00866EAE"/>
    <w:rsid w:val="008672B1"/>
    <w:rsid w:val="0086749C"/>
    <w:rsid w:val="00867533"/>
    <w:rsid w:val="0086769D"/>
    <w:rsid w:val="00867EFD"/>
    <w:rsid w:val="00867FE9"/>
    <w:rsid w:val="00870016"/>
    <w:rsid w:val="008702BE"/>
    <w:rsid w:val="00870468"/>
    <w:rsid w:val="008704AB"/>
    <w:rsid w:val="00870544"/>
    <w:rsid w:val="008707CC"/>
    <w:rsid w:val="00870BB2"/>
    <w:rsid w:val="00870F45"/>
    <w:rsid w:val="00871010"/>
    <w:rsid w:val="0087105C"/>
    <w:rsid w:val="0087118A"/>
    <w:rsid w:val="00871198"/>
    <w:rsid w:val="008711AC"/>
    <w:rsid w:val="008714E4"/>
    <w:rsid w:val="008715C3"/>
    <w:rsid w:val="00871694"/>
    <w:rsid w:val="008716C8"/>
    <w:rsid w:val="008717A0"/>
    <w:rsid w:val="008717AD"/>
    <w:rsid w:val="008717BA"/>
    <w:rsid w:val="00871915"/>
    <w:rsid w:val="008719A2"/>
    <w:rsid w:val="00871C14"/>
    <w:rsid w:val="00871EB0"/>
    <w:rsid w:val="00872544"/>
    <w:rsid w:val="00872557"/>
    <w:rsid w:val="008728D1"/>
    <w:rsid w:val="00872B8F"/>
    <w:rsid w:val="00872F19"/>
    <w:rsid w:val="00872F80"/>
    <w:rsid w:val="008733A0"/>
    <w:rsid w:val="00873463"/>
    <w:rsid w:val="0087352B"/>
    <w:rsid w:val="00873AE8"/>
    <w:rsid w:val="00873E47"/>
    <w:rsid w:val="00873FC8"/>
    <w:rsid w:val="00874182"/>
    <w:rsid w:val="008743B1"/>
    <w:rsid w:val="0087444B"/>
    <w:rsid w:val="00874483"/>
    <w:rsid w:val="0087492E"/>
    <w:rsid w:val="00874986"/>
    <w:rsid w:val="00875242"/>
    <w:rsid w:val="0087550F"/>
    <w:rsid w:val="00875A00"/>
    <w:rsid w:val="00875A7B"/>
    <w:rsid w:val="00875AAE"/>
    <w:rsid w:val="00875D26"/>
    <w:rsid w:val="00875D3F"/>
    <w:rsid w:val="00875D8B"/>
    <w:rsid w:val="00875DD4"/>
    <w:rsid w:val="008763C6"/>
    <w:rsid w:val="008764B0"/>
    <w:rsid w:val="0087651C"/>
    <w:rsid w:val="008766B6"/>
    <w:rsid w:val="008766EA"/>
    <w:rsid w:val="0087679B"/>
    <w:rsid w:val="00876874"/>
    <w:rsid w:val="00876BD4"/>
    <w:rsid w:val="00876BE2"/>
    <w:rsid w:val="00876D68"/>
    <w:rsid w:val="0087709A"/>
    <w:rsid w:val="00877181"/>
    <w:rsid w:val="008773E9"/>
    <w:rsid w:val="008774B0"/>
    <w:rsid w:val="008775A5"/>
    <w:rsid w:val="008775C8"/>
    <w:rsid w:val="0087766B"/>
    <w:rsid w:val="00877968"/>
    <w:rsid w:val="00877ECD"/>
    <w:rsid w:val="008801C9"/>
    <w:rsid w:val="00880356"/>
    <w:rsid w:val="008808ED"/>
    <w:rsid w:val="00881036"/>
    <w:rsid w:val="008810CC"/>
    <w:rsid w:val="00881107"/>
    <w:rsid w:val="008812AA"/>
    <w:rsid w:val="00881373"/>
    <w:rsid w:val="008814EB"/>
    <w:rsid w:val="00881B44"/>
    <w:rsid w:val="00881E17"/>
    <w:rsid w:val="00881E57"/>
    <w:rsid w:val="008821B1"/>
    <w:rsid w:val="008825E3"/>
    <w:rsid w:val="00882850"/>
    <w:rsid w:val="00882991"/>
    <w:rsid w:val="00882BE4"/>
    <w:rsid w:val="00882D4D"/>
    <w:rsid w:val="00882DC2"/>
    <w:rsid w:val="008830D3"/>
    <w:rsid w:val="0088344D"/>
    <w:rsid w:val="0088347D"/>
    <w:rsid w:val="0088353F"/>
    <w:rsid w:val="0088364F"/>
    <w:rsid w:val="00883AEA"/>
    <w:rsid w:val="00883DA8"/>
    <w:rsid w:val="00883ECD"/>
    <w:rsid w:val="00884087"/>
    <w:rsid w:val="0088449B"/>
    <w:rsid w:val="008844CE"/>
    <w:rsid w:val="00884C90"/>
    <w:rsid w:val="00884DF8"/>
    <w:rsid w:val="00884E24"/>
    <w:rsid w:val="008851C6"/>
    <w:rsid w:val="0088544B"/>
    <w:rsid w:val="00885474"/>
    <w:rsid w:val="00885506"/>
    <w:rsid w:val="0088556F"/>
    <w:rsid w:val="00885F3A"/>
    <w:rsid w:val="0088609C"/>
    <w:rsid w:val="0088634E"/>
    <w:rsid w:val="00886534"/>
    <w:rsid w:val="00886583"/>
    <w:rsid w:val="00886622"/>
    <w:rsid w:val="00886899"/>
    <w:rsid w:val="00886954"/>
    <w:rsid w:val="00886B06"/>
    <w:rsid w:val="00886B0E"/>
    <w:rsid w:val="00886BBC"/>
    <w:rsid w:val="00886EE4"/>
    <w:rsid w:val="0088702A"/>
    <w:rsid w:val="00887090"/>
    <w:rsid w:val="008870AE"/>
    <w:rsid w:val="008877F3"/>
    <w:rsid w:val="00887DB5"/>
    <w:rsid w:val="0089011E"/>
    <w:rsid w:val="0089082B"/>
    <w:rsid w:val="00890E59"/>
    <w:rsid w:val="00890FA2"/>
    <w:rsid w:val="00891064"/>
    <w:rsid w:val="00891121"/>
    <w:rsid w:val="0089121B"/>
    <w:rsid w:val="00891697"/>
    <w:rsid w:val="008916A7"/>
    <w:rsid w:val="008919F0"/>
    <w:rsid w:val="00891AD7"/>
    <w:rsid w:val="00891D77"/>
    <w:rsid w:val="008922F4"/>
    <w:rsid w:val="0089255A"/>
    <w:rsid w:val="00892864"/>
    <w:rsid w:val="00892CB1"/>
    <w:rsid w:val="00892CE7"/>
    <w:rsid w:val="00892D44"/>
    <w:rsid w:val="008933C3"/>
    <w:rsid w:val="00893549"/>
    <w:rsid w:val="0089362A"/>
    <w:rsid w:val="008936BB"/>
    <w:rsid w:val="008937FD"/>
    <w:rsid w:val="00893AEF"/>
    <w:rsid w:val="00893C04"/>
    <w:rsid w:val="00893C32"/>
    <w:rsid w:val="00893C4F"/>
    <w:rsid w:val="00893D9A"/>
    <w:rsid w:val="00893D9B"/>
    <w:rsid w:val="008940A0"/>
    <w:rsid w:val="00894287"/>
    <w:rsid w:val="008943D6"/>
    <w:rsid w:val="00894762"/>
    <w:rsid w:val="00894D87"/>
    <w:rsid w:val="00894EC6"/>
    <w:rsid w:val="00895180"/>
    <w:rsid w:val="00895536"/>
    <w:rsid w:val="0089554C"/>
    <w:rsid w:val="00895784"/>
    <w:rsid w:val="008958FC"/>
    <w:rsid w:val="00895A2E"/>
    <w:rsid w:val="00895BA2"/>
    <w:rsid w:val="00895DCD"/>
    <w:rsid w:val="00895F59"/>
    <w:rsid w:val="00895F7E"/>
    <w:rsid w:val="008963AE"/>
    <w:rsid w:val="008965B1"/>
    <w:rsid w:val="00896B60"/>
    <w:rsid w:val="00896D8F"/>
    <w:rsid w:val="00896E18"/>
    <w:rsid w:val="00896E53"/>
    <w:rsid w:val="00896E82"/>
    <w:rsid w:val="00896FC5"/>
    <w:rsid w:val="008975F7"/>
    <w:rsid w:val="0089776F"/>
    <w:rsid w:val="00897780"/>
    <w:rsid w:val="00897983"/>
    <w:rsid w:val="00897AE4"/>
    <w:rsid w:val="00897D5D"/>
    <w:rsid w:val="008A0167"/>
    <w:rsid w:val="008A026D"/>
    <w:rsid w:val="008A0501"/>
    <w:rsid w:val="008A06C9"/>
    <w:rsid w:val="008A0A59"/>
    <w:rsid w:val="008A0C1F"/>
    <w:rsid w:val="008A0F93"/>
    <w:rsid w:val="008A0FB3"/>
    <w:rsid w:val="008A11D3"/>
    <w:rsid w:val="008A1244"/>
    <w:rsid w:val="008A12EB"/>
    <w:rsid w:val="008A1335"/>
    <w:rsid w:val="008A1501"/>
    <w:rsid w:val="008A157E"/>
    <w:rsid w:val="008A18AF"/>
    <w:rsid w:val="008A18BD"/>
    <w:rsid w:val="008A1936"/>
    <w:rsid w:val="008A1A50"/>
    <w:rsid w:val="008A1ACC"/>
    <w:rsid w:val="008A1D5E"/>
    <w:rsid w:val="008A1FA3"/>
    <w:rsid w:val="008A20BA"/>
    <w:rsid w:val="008A260A"/>
    <w:rsid w:val="008A29A4"/>
    <w:rsid w:val="008A2BDC"/>
    <w:rsid w:val="008A2CAD"/>
    <w:rsid w:val="008A2E00"/>
    <w:rsid w:val="008A2F1D"/>
    <w:rsid w:val="008A31F2"/>
    <w:rsid w:val="008A335A"/>
    <w:rsid w:val="008A3449"/>
    <w:rsid w:val="008A3566"/>
    <w:rsid w:val="008A36E0"/>
    <w:rsid w:val="008A37F1"/>
    <w:rsid w:val="008A4250"/>
    <w:rsid w:val="008A431B"/>
    <w:rsid w:val="008A4492"/>
    <w:rsid w:val="008A4AD8"/>
    <w:rsid w:val="008A4CC2"/>
    <w:rsid w:val="008A4D5A"/>
    <w:rsid w:val="008A4DD5"/>
    <w:rsid w:val="008A4E0D"/>
    <w:rsid w:val="008A4E69"/>
    <w:rsid w:val="008A5092"/>
    <w:rsid w:val="008A54F9"/>
    <w:rsid w:val="008A5899"/>
    <w:rsid w:val="008A599E"/>
    <w:rsid w:val="008A5A0D"/>
    <w:rsid w:val="008A5B1E"/>
    <w:rsid w:val="008A5EC1"/>
    <w:rsid w:val="008A6051"/>
    <w:rsid w:val="008A61D8"/>
    <w:rsid w:val="008A6712"/>
    <w:rsid w:val="008A6AA7"/>
    <w:rsid w:val="008A6DB0"/>
    <w:rsid w:val="008A732F"/>
    <w:rsid w:val="008A79FC"/>
    <w:rsid w:val="008A7BF3"/>
    <w:rsid w:val="008B01F1"/>
    <w:rsid w:val="008B0233"/>
    <w:rsid w:val="008B02C9"/>
    <w:rsid w:val="008B02EF"/>
    <w:rsid w:val="008B034E"/>
    <w:rsid w:val="008B07EA"/>
    <w:rsid w:val="008B07FE"/>
    <w:rsid w:val="008B088F"/>
    <w:rsid w:val="008B0A2E"/>
    <w:rsid w:val="008B0C29"/>
    <w:rsid w:val="008B1080"/>
    <w:rsid w:val="008B1259"/>
    <w:rsid w:val="008B1519"/>
    <w:rsid w:val="008B165B"/>
    <w:rsid w:val="008B1951"/>
    <w:rsid w:val="008B21B7"/>
    <w:rsid w:val="008B2303"/>
    <w:rsid w:val="008B2484"/>
    <w:rsid w:val="008B2592"/>
    <w:rsid w:val="008B2946"/>
    <w:rsid w:val="008B2B51"/>
    <w:rsid w:val="008B2CC0"/>
    <w:rsid w:val="008B2DBC"/>
    <w:rsid w:val="008B3049"/>
    <w:rsid w:val="008B354B"/>
    <w:rsid w:val="008B3769"/>
    <w:rsid w:val="008B3A4B"/>
    <w:rsid w:val="008B3FB7"/>
    <w:rsid w:val="008B41D9"/>
    <w:rsid w:val="008B4557"/>
    <w:rsid w:val="008B4604"/>
    <w:rsid w:val="008B47D7"/>
    <w:rsid w:val="008B49BD"/>
    <w:rsid w:val="008B4D03"/>
    <w:rsid w:val="008B4E41"/>
    <w:rsid w:val="008B510E"/>
    <w:rsid w:val="008B5809"/>
    <w:rsid w:val="008B59D1"/>
    <w:rsid w:val="008B5A6A"/>
    <w:rsid w:val="008B60E6"/>
    <w:rsid w:val="008B61C6"/>
    <w:rsid w:val="008B6413"/>
    <w:rsid w:val="008B6707"/>
    <w:rsid w:val="008B678B"/>
    <w:rsid w:val="008B67F9"/>
    <w:rsid w:val="008B6A40"/>
    <w:rsid w:val="008B6A43"/>
    <w:rsid w:val="008B6A9F"/>
    <w:rsid w:val="008B6FE1"/>
    <w:rsid w:val="008B7009"/>
    <w:rsid w:val="008B73AB"/>
    <w:rsid w:val="008B74E4"/>
    <w:rsid w:val="008B7547"/>
    <w:rsid w:val="008B7842"/>
    <w:rsid w:val="008B796B"/>
    <w:rsid w:val="008B7ACD"/>
    <w:rsid w:val="008B7B55"/>
    <w:rsid w:val="008B7C32"/>
    <w:rsid w:val="008C025D"/>
    <w:rsid w:val="008C0F9F"/>
    <w:rsid w:val="008C109E"/>
    <w:rsid w:val="008C12FF"/>
    <w:rsid w:val="008C13FF"/>
    <w:rsid w:val="008C167F"/>
    <w:rsid w:val="008C1766"/>
    <w:rsid w:val="008C1CAC"/>
    <w:rsid w:val="008C1DB3"/>
    <w:rsid w:val="008C20AF"/>
    <w:rsid w:val="008C2182"/>
    <w:rsid w:val="008C21DA"/>
    <w:rsid w:val="008C2317"/>
    <w:rsid w:val="008C234D"/>
    <w:rsid w:val="008C2353"/>
    <w:rsid w:val="008C23FA"/>
    <w:rsid w:val="008C26A9"/>
    <w:rsid w:val="008C27F0"/>
    <w:rsid w:val="008C28A9"/>
    <w:rsid w:val="008C2D5F"/>
    <w:rsid w:val="008C2E71"/>
    <w:rsid w:val="008C31B1"/>
    <w:rsid w:val="008C33ED"/>
    <w:rsid w:val="008C379B"/>
    <w:rsid w:val="008C3D3A"/>
    <w:rsid w:val="008C3DEA"/>
    <w:rsid w:val="008C4034"/>
    <w:rsid w:val="008C41A5"/>
    <w:rsid w:val="008C42E7"/>
    <w:rsid w:val="008C47D6"/>
    <w:rsid w:val="008C48F9"/>
    <w:rsid w:val="008C4C49"/>
    <w:rsid w:val="008C4C6F"/>
    <w:rsid w:val="008C4CE2"/>
    <w:rsid w:val="008C4E20"/>
    <w:rsid w:val="008C4E6B"/>
    <w:rsid w:val="008C5056"/>
    <w:rsid w:val="008C52EB"/>
    <w:rsid w:val="008C53DD"/>
    <w:rsid w:val="008C586A"/>
    <w:rsid w:val="008C58D7"/>
    <w:rsid w:val="008C5B3A"/>
    <w:rsid w:val="008C5DEF"/>
    <w:rsid w:val="008C5F04"/>
    <w:rsid w:val="008C5FDD"/>
    <w:rsid w:val="008C64FB"/>
    <w:rsid w:val="008C657A"/>
    <w:rsid w:val="008C6BCF"/>
    <w:rsid w:val="008C6C75"/>
    <w:rsid w:val="008C6CAF"/>
    <w:rsid w:val="008C71BB"/>
    <w:rsid w:val="008C7220"/>
    <w:rsid w:val="008C722D"/>
    <w:rsid w:val="008C7252"/>
    <w:rsid w:val="008C727F"/>
    <w:rsid w:val="008C76BA"/>
    <w:rsid w:val="008C798D"/>
    <w:rsid w:val="008C7D46"/>
    <w:rsid w:val="008D0055"/>
    <w:rsid w:val="008D0139"/>
    <w:rsid w:val="008D04BE"/>
    <w:rsid w:val="008D064B"/>
    <w:rsid w:val="008D083C"/>
    <w:rsid w:val="008D0B5F"/>
    <w:rsid w:val="008D0BDA"/>
    <w:rsid w:val="008D0DA0"/>
    <w:rsid w:val="008D0F5F"/>
    <w:rsid w:val="008D1039"/>
    <w:rsid w:val="008D142E"/>
    <w:rsid w:val="008D15C6"/>
    <w:rsid w:val="008D1689"/>
    <w:rsid w:val="008D19DC"/>
    <w:rsid w:val="008D1A16"/>
    <w:rsid w:val="008D1AD7"/>
    <w:rsid w:val="008D1B70"/>
    <w:rsid w:val="008D1E31"/>
    <w:rsid w:val="008D1E58"/>
    <w:rsid w:val="008D1FCC"/>
    <w:rsid w:val="008D215D"/>
    <w:rsid w:val="008D2956"/>
    <w:rsid w:val="008D2AD8"/>
    <w:rsid w:val="008D2AEB"/>
    <w:rsid w:val="008D2AF6"/>
    <w:rsid w:val="008D2C78"/>
    <w:rsid w:val="008D302A"/>
    <w:rsid w:val="008D3050"/>
    <w:rsid w:val="008D35F5"/>
    <w:rsid w:val="008D37E6"/>
    <w:rsid w:val="008D37F4"/>
    <w:rsid w:val="008D3B32"/>
    <w:rsid w:val="008D3DCD"/>
    <w:rsid w:val="008D43B1"/>
    <w:rsid w:val="008D43BF"/>
    <w:rsid w:val="008D43C3"/>
    <w:rsid w:val="008D471D"/>
    <w:rsid w:val="008D47B1"/>
    <w:rsid w:val="008D48CE"/>
    <w:rsid w:val="008D4D1F"/>
    <w:rsid w:val="008D4EE5"/>
    <w:rsid w:val="008D4FA1"/>
    <w:rsid w:val="008D50C2"/>
    <w:rsid w:val="008D515A"/>
    <w:rsid w:val="008D542C"/>
    <w:rsid w:val="008D5549"/>
    <w:rsid w:val="008D569D"/>
    <w:rsid w:val="008D581F"/>
    <w:rsid w:val="008D592D"/>
    <w:rsid w:val="008D5AC4"/>
    <w:rsid w:val="008D5E68"/>
    <w:rsid w:val="008D6026"/>
    <w:rsid w:val="008D65A9"/>
    <w:rsid w:val="008D65F7"/>
    <w:rsid w:val="008D672B"/>
    <w:rsid w:val="008D6AE2"/>
    <w:rsid w:val="008D6D6C"/>
    <w:rsid w:val="008D6F39"/>
    <w:rsid w:val="008D6F62"/>
    <w:rsid w:val="008D7069"/>
    <w:rsid w:val="008D7255"/>
    <w:rsid w:val="008D7442"/>
    <w:rsid w:val="008D7BB5"/>
    <w:rsid w:val="008D7BFC"/>
    <w:rsid w:val="008D7DDF"/>
    <w:rsid w:val="008D7EF1"/>
    <w:rsid w:val="008D7F60"/>
    <w:rsid w:val="008E01B5"/>
    <w:rsid w:val="008E0228"/>
    <w:rsid w:val="008E0513"/>
    <w:rsid w:val="008E071C"/>
    <w:rsid w:val="008E0904"/>
    <w:rsid w:val="008E0A13"/>
    <w:rsid w:val="008E0BB0"/>
    <w:rsid w:val="008E0BC2"/>
    <w:rsid w:val="008E1061"/>
    <w:rsid w:val="008E1392"/>
    <w:rsid w:val="008E187E"/>
    <w:rsid w:val="008E1BC4"/>
    <w:rsid w:val="008E1C8C"/>
    <w:rsid w:val="008E1DD3"/>
    <w:rsid w:val="008E2380"/>
    <w:rsid w:val="008E238C"/>
    <w:rsid w:val="008E274D"/>
    <w:rsid w:val="008E279F"/>
    <w:rsid w:val="008E2835"/>
    <w:rsid w:val="008E2D01"/>
    <w:rsid w:val="008E2D2C"/>
    <w:rsid w:val="008E2D74"/>
    <w:rsid w:val="008E2DA6"/>
    <w:rsid w:val="008E334D"/>
    <w:rsid w:val="008E346C"/>
    <w:rsid w:val="008E3508"/>
    <w:rsid w:val="008E36A0"/>
    <w:rsid w:val="008E3BB6"/>
    <w:rsid w:val="008E3DAC"/>
    <w:rsid w:val="008E3FEC"/>
    <w:rsid w:val="008E4235"/>
    <w:rsid w:val="008E4263"/>
    <w:rsid w:val="008E44F9"/>
    <w:rsid w:val="008E4862"/>
    <w:rsid w:val="008E49E5"/>
    <w:rsid w:val="008E5057"/>
    <w:rsid w:val="008E519F"/>
    <w:rsid w:val="008E5540"/>
    <w:rsid w:val="008E5662"/>
    <w:rsid w:val="008E575F"/>
    <w:rsid w:val="008E579B"/>
    <w:rsid w:val="008E5A03"/>
    <w:rsid w:val="008E5EA2"/>
    <w:rsid w:val="008E5FA9"/>
    <w:rsid w:val="008E60E7"/>
    <w:rsid w:val="008E65C1"/>
    <w:rsid w:val="008E660D"/>
    <w:rsid w:val="008E6691"/>
    <w:rsid w:val="008E680B"/>
    <w:rsid w:val="008E69FF"/>
    <w:rsid w:val="008E6C1C"/>
    <w:rsid w:val="008E6DE6"/>
    <w:rsid w:val="008E6F76"/>
    <w:rsid w:val="008E73C5"/>
    <w:rsid w:val="008E7857"/>
    <w:rsid w:val="008E793E"/>
    <w:rsid w:val="008E79BC"/>
    <w:rsid w:val="008E79C0"/>
    <w:rsid w:val="008E7EC7"/>
    <w:rsid w:val="008E7FD5"/>
    <w:rsid w:val="008F01D8"/>
    <w:rsid w:val="008F03D8"/>
    <w:rsid w:val="008F0575"/>
    <w:rsid w:val="008F066C"/>
    <w:rsid w:val="008F068B"/>
    <w:rsid w:val="008F07B5"/>
    <w:rsid w:val="008F07CF"/>
    <w:rsid w:val="008F0DF7"/>
    <w:rsid w:val="008F1129"/>
    <w:rsid w:val="008F13B7"/>
    <w:rsid w:val="008F1C9C"/>
    <w:rsid w:val="008F253F"/>
    <w:rsid w:val="008F28E1"/>
    <w:rsid w:val="008F28FD"/>
    <w:rsid w:val="008F2970"/>
    <w:rsid w:val="008F2C78"/>
    <w:rsid w:val="008F31FA"/>
    <w:rsid w:val="008F33B7"/>
    <w:rsid w:val="008F3444"/>
    <w:rsid w:val="008F3622"/>
    <w:rsid w:val="008F3752"/>
    <w:rsid w:val="008F384E"/>
    <w:rsid w:val="008F38B8"/>
    <w:rsid w:val="008F38D2"/>
    <w:rsid w:val="008F391B"/>
    <w:rsid w:val="008F3AD1"/>
    <w:rsid w:val="008F3B13"/>
    <w:rsid w:val="008F3CEC"/>
    <w:rsid w:val="008F3DD6"/>
    <w:rsid w:val="008F3E35"/>
    <w:rsid w:val="008F3E49"/>
    <w:rsid w:val="008F466A"/>
    <w:rsid w:val="008F4C58"/>
    <w:rsid w:val="008F507A"/>
    <w:rsid w:val="008F5090"/>
    <w:rsid w:val="008F5095"/>
    <w:rsid w:val="008F52A3"/>
    <w:rsid w:val="008F55D9"/>
    <w:rsid w:val="008F5763"/>
    <w:rsid w:val="008F57F7"/>
    <w:rsid w:val="008F5FB0"/>
    <w:rsid w:val="008F61AE"/>
    <w:rsid w:val="008F63E6"/>
    <w:rsid w:val="008F658F"/>
    <w:rsid w:val="008F67CB"/>
    <w:rsid w:val="008F6C1B"/>
    <w:rsid w:val="008F72A9"/>
    <w:rsid w:val="008F72CE"/>
    <w:rsid w:val="008F7355"/>
    <w:rsid w:val="008F737F"/>
    <w:rsid w:val="008F7562"/>
    <w:rsid w:val="008F767A"/>
    <w:rsid w:val="008F7933"/>
    <w:rsid w:val="008F79D1"/>
    <w:rsid w:val="008F7CA4"/>
    <w:rsid w:val="008F7E2B"/>
    <w:rsid w:val="009005CA"/>
    <w:rsid w:val="00900B3E"/>
    <w:rsid w:val="00900B46"/>
    <w:rsid w:val="00900B77"/>
    <w:rsid w:val="00900DD0"/>
    <w:rsid w:val="00900E17"/>
    <w:rsid w:val="00901199"/>
    <w:rsid w:val="0090130E"/>
    <w:rsid w:val="00901432"/>
    <w:rsid w:val="0090165F"/>
    <w:rsid w:val="0090199E"/>
    <w:rsid w:val="0090219E"/>
    <w:rsid w:val="009021DA"/>
    <w:rsid w:val="00902250"/>
    <w:rsid w:val="009022EC"/>
    <w:rsid w:val="00902484"/>
    <w:rsid w:val="009025A8"/>
    <w:rsid w:val="0090265E"/>
    <w:rsid w:val="00902EE2"/>
    <w:rsid w:val="0090318F"/>
    <w:rsid w:val="009033A8"/>
    <w:rsid w:val="0090361A"/>
    <w:rsid w:val="00903848"/>
    <w:rsid w:val="0090396B"/>
    <w:rsid w:val="00903A35"/>
    <w:rsid w:val="00903B30"/>
    <w:rsid w:val="0090458B"/>
    <w:rsid w:val="00904A3F"/>
    <w:rsid w:val="00904B9C"/>
    <w:rsid w:val="00904D3E"/>
    <w:rsid w:val="00905145"/>
    <w:rsid w:val="00905347"/>
    <w:rsid w:val="009053FD"/>
    <w:rsid w:val="009054F3"/>
    <w:rsid w:val="00905568"/>
    <w:rsid w:val="00905787"/>
    <w:rsid w:val="00905F0B"/>
    <w:rsid w:val="00906063"/>
    <w:rsid w:val="009061E3"/>
    <w:rsid w:val="009062A6"/>
    <w:rsid w:val="0090649D"/>
    <w:rsid w:val="0090655A"/>
    <w:rsid w:val="0090659F"/>
    <w:rsid w:val="00906600"/>
    <w:rsid w:val="00906885"/>
    <w:rsid w:val="00906952"/>
    <w:rsid w:val="00906AC7"/>
    <w:rsid w:val="00906B35"/>
    <w:rsid w:val="00907244"/>
    <w:rsid w:val="0090740C"/>
    <w:rsid w:val="009079AA"/>
    <w:rsid w:val="00907A2B"/>
    <w:rsid w:val="00907C2C"/>
    <w:rsid w:val="00907E0E"/>
    <w:rsid w:val="009100E1"/>
    <w:rsid w:val="00910210"/>
    <w:rsid w:val="00910432"/>
    <w:rsid w:val="009106B6"/>
    <w:rsid w:val="00910D1E"/>
    <w:rsid w:val="00910E2D"/>
    <w:rsid w:val="00910F07"/>
    <w:rsid w:val="00911111"/>
    <w:rsid w:val="009112E7"/>
    <w:rsid w:val="00911309"/>
    <w:rsid w:val="00911525"/>
    <w:rsid w:val="00911D9A"/>
    <w:rsid w:val="0091206B"/>
    <w:rsid w:val="009120A0"/>
    <w:rsid w:val="00912499"/>
    <w:rsid w:val="00912699"/>
    <w:rsid w:val="009127E1"/>
    <w:rsid w:val="009128D4"/>
    <w:rsid w:val="00912A4E"/>
    <w:rsid w:val="00912B60"/>
    <w:rsid w:val="00912CC6"/>
    <w:rsid w:val="00912D83"/>
    <w:rsid w:val="00912D84"/>
    <w:rsid w:val="00912DAF"/>
    <w:rsid w:val="00912F1C"/>
    <w:rsid w:val="00912FD8"/>
    <w:rsid w:val="00913144"/>
    <w:rsid w:val="009131BB"/>
    <w:rsid w:val="009132D7"/>
    <w:rsid w:val="009132FE"/>
    <w:rsid w:val="00913413"/>
    <w:rsid w:val="009135A0"/>
    <w:rsid w:val="00913712"/>
    <w:rsid w:val="00913840"/>
    <w:rsid w:val="00913AAF"/>
    <w:rsid w:val="00913B10"/>
    <w:rsid w:val="00913EBC"/>
    <w:rsid w:val="00913FFF"/>
    <w:rsid w:val="0091425A"/>
    <w:rsid w:val="009145A5"/>
    <w:rsid w:val="00914B81"/>
    <w:rsid w:val="00914CB7"/>
    <w:rsid w:val="009151A8"/>
    <w:rsid w:val="009151D1"/>
    <w:rsid w:val="009151F8"/>
    <w:rsid w:val="00915345"/>
    <w:rsid w:val="00915528"/>
    <w:rsid w:val="009156A3"/>
    <w:rsid w:val="009157DF"/>
    <w:rsid w:val="009158B5"/>
    <w:rsid w:val="0091597E"/>
    <w:rsid w:val="00915F2D"/>
    <w:rsid w:val="00915FB3"/>
    <w:rsid w:val="0091612F"/>
    <w:rsid w:val="0091634E"/>
    <w:rsid w:val="009164F2"/>
    <w:rsid w:val="0091671A"/>
    <w:rsid w:val="0091683E"/>
    <w:rsid w:val="00917749"/>
    <w:rsid w:val="00917855"/>
    <w:rsid w:val="00917878"/>
    <w:rsid w:val="009178FA"/>
    <w:rsid w:val="009179C1"/>
    <w:rsid w:val="00917D74"/>
    <w:rsid w:val="00917E54"/>
    <w:rsid w:val="00917F8E"/>
    <w:rsid w:val="00920064"/>
    <w:rsid w:val="00920150"/>
    <w:rsid w:val="009201C3"/>
    <w:rsid w:val="00920216"/>
    <w:rsid w:val="009202A1"/>
    <w:rsid w:val="009202C5"/>
    <w:rsid w:val="0092097F"/>
    <w:rsid w:val="00920A15"/>
    <w:rsid w:val="00920DCD"/>
    <w:rsid w:val="009216C4"/>
    <w:rsid w:val="00921ACD"/>
    <w:rsid w:val="00921BCC"/>
    <w:rsid w:val="00921DBE"/>
    <w:rsid w:val="00921E7D"/>
    <w:rsid w:val="009222D9"/>
    <w:rsid w:val="009224E8"/>
    <w:rsid w:val="00922631"/>
    <w:rsid w:val="009229AF"/>
    <w:rsid w:val="00922B52"/>
    <w:rsid w:val="00922D39"/>
    <w:rsid w:val="00923004"/>
    <w:rsid w:val="00923106"/>
    <w:rsid w:val="00923407"/>
    <w:rsid w:val="00923625"/>
    <w:rsid w:val="009240E1"/>
    <w:rsid w:val="0092410C"/>
    <w:rsid w:val="009245E3"/>
    <w:rsid w:val="00924659"/>
    <w:rsid w:val="009247BE"/>
    <w:rsid w:val="0092493A"/>
    <w:rsid w:val="009249B5"/>
    <w:rsid w:val="009249CF"/>
    <w:rsid w:val="009249E5"/>
    <w:rsid w:val="00924A3B"/>
    <w:rsid w:val="00924A54"/>
    <w:rsid w:val="0092507A"/>
    <w:rsid w:val="00925286"/>
    <w:rsid w:val="009252E1"/>
    <w:rsid w:val="009253E9"/>
    <w:rsid w:val="00925C99"/>
    <w:rsid w:val="00925CC6"/>
    <w:rsid w:val="00925DC0"/>
    <w:rsid w:val="00926033"/>
    <w:rsid w:val="00926378"/>
    <w:rsid w:val="0092641B"/>
    <w:rsid w:val="009268DC"/>
    <w:rsid w:val="00926A39"/>
    <w:rsid w:val="00926C88"/>
    <w:rsid w:val="00926D9B"/>
    <w:rsid w:val="0092708B"/>
    <w:rsid w:val="009272A6"/>
    <w:rsid w:val="00927327"/>
    <w:rsid w:val="009276C0"/>
    <w:rsid w:val="00927C1D"/>
    <w:rsid w:val="00930098"/>
    <w:rsid w:val="00930161"/>
    <w:rsid w:val="009303CA"/>
    <w:rsid w:val="00930585"/>
    <w:rsid w:val="0093096D"/>
    <w:rsid w:val="00930D4A"/>
    <w:rsid w:val="00930EE4"/>
    <w:rsid w:val="00930FBC"/>
    <w:rsid w:val="0093119D"/>
    <w:rsid w:val="00931B13"/>
    <w:rsid w:val="00931BD1"/>
    <w:rsid w:val="00931DEB"/>
    <w:rsid w:val="00931ECC"/>
    <w:rsid w:val="0093257F"/>
    <w:rsid w:val="00932A94"/>
    <w:rsid w:val="00933090"/>
    <w:rsid w:val="00933208"/>
    <w:rsid w:val="00933446"/>
    <w:rsid w:val="0093362E"/>
    <w:rsid w:val="00933637"/>
    <w:rsid w:val="00933711"/>
    <w:rsid w:val="0093376D"/>
    <w:rsid w:val="009338C9"/>
    <w:rsid w:val="00933A31"/>
    <w:rsid w:val="00933AD4"/>
    <w:rsid w:val="00933C1D"/>
    <w:rsid w:val="00933CDD"/>
    <w:rsid w:val="00934722"/>
    <w:rsid w:val="009352BE"/>
    <w:rsid w:val="00935468"/>
    <w:rsid w:val="00935479"/>
    <w:rsid w:val="00935512"/>
    <w:rsid w:val="0093580C"/>
    <w:rsid w:val="00936322"/>
    <w:rsid w:val="0093643E"/>
    <w:rsid w:val="009366AB"/>
    <w:rsid w:val="00936DF5"/>
    <w:rsid w:val="00937280"/>
    <w:rsid w:val="00937281"/>
    <w:rsid w:val="009372E3"/>
    <w:rsid w:val="00937727"/>
    <w:rsid w:val="0093782D"/>
    <w:rsid w:val="00937B01"/>
    <w:rsid w:val="00937F08"/>
    <w:rsid w:val="00940193"/>
    <w:rsid w:val="009402D6"/>
    <w:rsid w:val="00940376"/>
    <w:rsid w:val="00940676"/>
    <w:rsid w:val="009407B2"/>
    <w:rsid w:val="00940A05"/>
    <w:rsid w:val="00941192"/>
    <w:rsid w:val="00941332"/>
    <w:rsid w:val="009413C2"/>
    <w:rsid w:val="0094166E"/>
    <w:rsid w:val="00941D0B"/>
    <w:rsid w:val="009421F4"/>
    <w:rsid w:val="00942891"/>
    <w:rsid w:val="0094290B"/>
    <w:rsid w:val="00942C58"/>
    <w:rsid w:val="00942F24"/>
    <w:rsid w:val="00943390"/>
    <w:rsid w:val="009435F0"/>
    <w:rsid w:val="00943646"/>
    <w:rsid w:val="00943CA2"/>
    <w:rsid w:val="00943F81"/>
    <w:rsid w:val="00943FDA"/>
    <w:rsid w:val="00944005"/>
    <w:rsid w:val="009440A9"/>
    <w:rsid w:val="00944121"/>
    <w:rsid w:val="009445C3"/>
    <w:rsid w:val="00944852"/>
    <w:rsid w:val="00944998"/>
    <w:rsid w:val="00944A02"/>
    <w:rsid w:val="00944AD4"/>
    <w:rsid w:val="00944C98"/>
    <w:rsid w:val="00944FA2"/>
    <w:rsid w:val="00945252"/>
    <w:rsid w:val="00945442"/>
    <w:rsid w:val="009454BC"/>
    <w:rsid w:val="0094582D"/>
    <w:rsid w:val="00945D8B"/>
    <w:rsid w:val="0094617F"/>
    <w:rsid w:val="00946195"/>
    <w:rsid w:val="00946399"/>
    <w:rsid w:val="00946423"/>
    <w:rsid w:val="00946450"/>
    <w:rsid w:val="00946B4C"/>
    <w:rsid w:val="00946B8E"/>
    <w:rsid w:val="00946CD1"/>
    <w:rsid w:val="00946CE1"/>
    <w:rsid w:val="00947CFE"/>
    <w:rsid w:val="00947DBC"/>
    <w:rsid w:val="009500E7"/>
    <w:rsid w:val="0095023E"/>
    <w:rsid w:val="009506AF"/>
    <w:rsid w:val="009507BF"/>
    <w:rsid w:val="009508DA"/>
    <w:rsid w:val="00950BB0"/>
    <w:rsid w:val="00950CD8"/>
    <w:rsid w:val="0095114F"/>
    <w:rsid w:val="00951203"/>
    <w:rsid w:val="0095145F"/>
    <w:rsid w:val="00951878"/>
    <w:rsid w:val="009518FE"/>
    <w:rsid w:val="00951978"/>
    <w:rsid w:val="00951A02"/>
    <w:rsid w:val="00951CDB"/>
    <w:rsid w:val="00951ED2"/>
    <w:rsid w:val="0095219A"/>
    <w:rsid w:val="00952223"/>
    <w:rsid w:val="009523E7"/>
    <w:rsid w:val="00952672"/>
    <w:rsid w:val="0095276A"/>
    <w:rsid w:val="00952B93"/>
    <w:rsid w:val="0095302E"/>
    <w:rsid w:val="0095309B"/>
    <w:rsid w:val="009530BA"/>
    <w:rsid w:val="0095332F"/>
    <w:rsid w:val="00953398"/>
    <w:rsid w:val="00953559"/>
    <w:rsid w:val="00953568"/>
    <w:rsid w:val="00953B24"/>
    <w:rsid w:val="00953D97"/>
    <w:rsid w:val="009542CC"/>
    <w:rsid w:val="00954357"/>
    <w:rsid w:val="009547B3"/>
    <w:rsid w:val="009548F4"/>
    <w:rsid w:val="00954944"/>
    <w:rsid w:val="00954BBD"/>
    <w:rsid w:val="00955232"/>
    <w:rsid w:val="009553C8"/>
    <w:rsid w:val="009557E5"/>
    <w:rsid w:val="00955BC2"/>
    <w:rsid w:val="00955DBC"/>
    <w:rsid w:val="00955F66"/>
    <w:rsid w:val="009561B9"/>
    <w:rsid w:val="00956521"/>
    <w:rsid w:val="0095656E"/>
    <w:rsid w:val="0095670E"/>
    <w:rsid w:val="00956931"/>
    <w:rsid w:val="00956A66"/>
    <w:rsid w:val="00956DF5"/>
    <w:rsid w:val="009570A4"/>
    <w:rsid w:val="0095765F"/>
    <w:rsid w:val="00957AE5"/>
    <w:rsid w:val="00957B58"/>
    <w:rsid w:val="00957D0E"/>
    <w:rsid w:val="00957DE6"/>
    <w:rsid w:val="00957FCC"/>
    <w:rsid w:val="0096050C"/>
    <w:rsid w:val="009605CA"/>
    <w:rsid w:val="00960847"/>
    <w:rsid w:val="0096095C"/>
    <w:rsid w:val="00960B22"/>
    <w:rsid w:val="00960C98"/>
    <w:rsid w:val="00961250"/>
    <w:rsid w:val="00961485"/>
    <w:rsid w:val="00961537"/>
    <w:rsid w:val="00961603"/>
    <w:rsid w:val="0096166E"/>
    <w:rsid w:val="009619B5"/>
    <w:rsid w:val="00961A88"/>
    <w:rsid w:val="00962146"/>
    <w:rsid w:val="0096259A"/>
    <w:rsid w:val="009625FA"/>
    <w:rsid w:val="009626AD"/>
    <w:rsid w:val="009629EA"/>
    <w:rsid w:val="00962C3B"/>
    <w:rsid w:val="00962D4C"/>
    <w:rsid w:val="00963370"/>
    <w:rsid w:val="00963511"/>
    <w:rsid w:val="0096361A"/>
    <w:rsid w:val="00963884"/>
    <w:rsid w:val="00963964"/>
    <w:rsid w:val="009639C5"/>
    <w:rsid w:val="009639DE"/>
    <w:rsid w:val="00963A3C"/>
    <w:rsid w:val="00963B4E"/>
    <w:rsid w:val="00964348"/>
    <w:rsid w:val="009645BF"/>
    <w:rsid w:val="009645F1"/>
    <w:rsid w:val="009646C6"/>
    <w:rsid w:val="009649A4"/>
    <w:rsid w:val="00964A6F"/>
    <w:rsid w:val="00964B37"/>
    <w:rsid w:val="00965396"/>
    <w:rsid w:val="009654A5"/>
    <w:rsid w:val="0096570B"/>
    <w:rsid w:val="00965803"/>
    <w:rsid w:val="00965A36"/>
    <w:rsid w:val="009661C9"/>
    <w:rsid w:val="009663F4"/>
    <w:rsid w:val="009665C2"/>
    <w:rsid w:val="00966822"/>
    <w:rsid w:val="0096683C"/>
    <w:rsid w:val="009669B6"/>
    <w:rsid w:val="00966D7B"/>
    <w:rsid w:val="00966E0E"/>
    <w:rsid w:val="00967006"/>
    <w:rsid w:val="0096711D"/>
    <w:rsid w:val="0096729D"/>
    <w:rsid w:val="009673B0"/>
    <w:rsid w:val="009677EF"/>
    <w:rsid w:val="00967873"/>
    <w:rsid w:val="00967CD5"/>
    <w:rsid w:val="00967FE7"/>
    <w:rsid w:val="00970027"/>
    <w:rsid w:val="00970319"/>
    <w:rsid w:val="009706AF"/>
    <w:rsid w:val="00970793"/>
    <w:rsid w:val="00970807"/>
    <w:rsid w:val="00970CCE"/>
    <w:rsid w:val="00970FAB"/>
    <w:rsid w:val="00971399"/>
    <w:rsid w:val="0097154D"/>
    <w:rsid w:val="009716AA"/>
    <w:rsid w:val="00971737"/>
    <w:rsid w:val="0097177B"/>
    <w:rsid w:val="0097190E"/>
    <w:rsid w:val="00971A36"/>
    <w:rsid w:val="00971A84"/>
    <w:rsid w:val="009722CD"/>
    <w:rsid w:val="009722E3"/>
    <w:rsid w:val="00972373"/>
    <w:rsid w:val="00972402"/>
    <w:rsid w:val="009725D0"/>
    <w:rsid w:val="00972DA8"/>
    <w:rsid w:val="00972F40"/>
    <w:rsid w:val="009734D1"/>
    <w:rsid w:val="00973805"/>
    <w:rsid w:val="0097387C"/>
    <w:rsid w:val="00973975"/>
    <w:rsid w:val="009739E9"/>
    <w:rsid w:val="00973BA3"/>
    <w:rsid w:val="00973C31"/>
    <w:rsid w:val="00973F32"/>
    <w:rsid w:val="00973FB1"/>
    <w:rsid w:val="00974019"/>
    <w:rsid w:val="009742DE"/>
    <w:rsid w:val="00974549"/>
    <w:rsid w:val="00974691"/>
    <w:rsid w:val="00974B4C"/>
    <w:rsid w:val="00974BA4"/>
    <w:rsid w:val="00974C7C"/>
    <w:rsid w:val="00974DD8"/>
    <w:rsid w:val="00975285"/>
    <w:rsid w:val="009757FE"/>
    <w:rsid w:val="009759D6"/>
    <w:rsid w:val="00975A49"/>
    <w:rsid w:val="00975C45"/>
    <w:rsid w:val="00975C7D"/>
    <w:rsid w:val="00975D1C"/>
    <w:rsid w:val="00975D99"/>
    <w:rsid w:val="00975E35"/>
    <w:rsid w:val="00975FCD"/>
    <w:rsid w:val="00976534"/>
    <w:rsid w:val="0097686B"/>
    <w:rsid w:val="00976951"/>
    <w:rsid w:val="00976B93"/>
    <w:rsid w:val="00976C37"/>
    <w:rsid w:val="00976E11"/>
    <w:rsid w:val="00976EE7"/>
    <w:rsid w:val="00977343"/>
    <w:rsid w:val="0097737E"/>
    <w:rsid w:val="009773C0"/>
    <w:rsid w:val="0097772D"/>
    <w:rsid w:val="00977766"/>
    <w:rsid w:val="00977D92"/>
    <w:rsid w:val="00977E1F"/>
    <w:rsid w:val="00977F2D"/>
    <w:rsid w:val="00980185"/>
    <w:rsid w:val="009803A3"/>
    <w:rsid w:val="009804EF"/>
    <w:rsid w:val="00980512"/>
    <w:rsid w:val="00980586"/>
    <w:rsid w:val="00980846"/>
    <w:rsid w:val="00980C2D"/>
    <w:rsid w:val="00980C30"/>
    <w:rsid w:val="00981495"/>
    <w:rsid w:val="0098149D"/>
    <w:rsid w:val="009815B4"/>
    <w:rsid w:val="00981695"/>
    <w:rsid w:val="00981B20"/>
    <w:rsid w:val="00981B9B"/>
    <w:rsid w:val="00981CEB"/>
    <w:rsid w:val="00981EB2"/>
    <w:rsid w:val="00981F2E"/>
    <w:rsid w:val="0098243A"/>
    <w:rsid w:val="00982570"/>
    <w:rsid w:val="009827A6"/>
    <w:rsid w:val="009829B1"/>
    <w:rsid w:val="009829DA"/>
    <w:rsid w:val="00982A5A"/>
    <w:rsid w:val="00982B56"/>
    <w:rsid w:val="00983208"/>
    <w:rsid w:val="009832DA"/>
    <w:rsid w:val="009835DA"/>
    <w:rsid w:val="00983823"/>
    <w:rsid w:val="009839B4"/>
    <w:rsid w:val="00983FCA"/>
    <w:rsid w:val="00984729"/>
    <w:rsid w:val="009847B3"/>
    <w:rsid w:val="0098482A"/>
    <w:rsid w:val="0098489E"/>
    <w:rsid w:val="00984A89"/>
    <w:rsid w:val="00984D37"/>
    <w:rsid w:val="009851D3"/>
    <w:rsid w:val="00985521"/>
    <w:rsid w:val="009856A4"/>
    <w:rsid w:val="00985798"/>
    <w:rsid w:val="00985A88"/>
    <w:rsid w:val="00985EE8"/>
    <w:rsid w:val="00986075"/>
    <w:rsid w:val="009862AB"/>
    <w:rsid w:val="009866F5"/>
    <w:rsid w:val="00986770"/>
    <w:rsid w:val="0098682D"/>
    <w:rsid w:val="00986AEC"/>
    <w:rsid w:val="00986C50"/>
    <w:rsid w:val="00986D09"/>
    <w:rsid w:val="00986D23"/>
    <w:rsid w:val="0098738A"/>
    <w:rsid w:val="0098759A"/>
    <w:rsid w:val="00987997"/>
    <w:rsid w:val="009879F2"/>
    <w:rsid w:val="00987B18"/>
    <w:rsid w:val="00987C59"/>
    <w:rsid w:val="00987DB5"/>
    <w:rsid w:val="00987E11"/>
    <w:rsid w:val="00987F09"/>
    <w:rsid w:val="00990086"/>
    <w:rsid w:val="009901F2"/>
    <w:rsid w:val="00990249"/>
    <w:rsid w:val="00990253"/>
    <w:rsid w:val="0099052A"/>
    <w:rsid w:val="00990544"/>
    <w:rsid w:val="0099057D"/>
    <w:rsid w:val="00990639"/>
    <w:rsid w:val="009907F9"/>
    <w:rsid w:val="0099086D"/>
    <w:rsid w:val="00990A94"/>
    <w:rsid w:val="00990C46"/>
    <w:rsid w:val="00990E1F"/>
    <w:rsid w:val="00990F3F"/>
    <w:rsid w:val="00991050"/>
    <w:rsid w:val="0099121C"/>
    <w:rsid w:val="0099122C"/>
    <w:rsid w:val="009916DC"/>
    <w:rsid w:val="009918AA"/>
    <w:rsid w:val="00991B03"/>
    <w:rsid w:val="00991C16"/>
    <w:rsid w:val="00991DC4"/>
    <w:rsid w:val="0099218A"/>
    <w:rsid w:val="009923DE"/>
    <w:rsid w:val="009924BF"/>
    <w:rsid w:val="0099306C"/>
    <w:rsid w:val="00993477"/>
    <w:rsid w:val="009935D1"/>
    <w:rsid w:val="00993752"/>
    <w:rsid w:val="00993AAC"/>
    <w:rsid w:val="00993B2F"/>
    <w:rsid w:val="00993DE0"/>
    <w:rsid w:val="00993EC6"/>
    <w:rsid w:val="00994508"/>
    <w:rsid w:val="009948BB"/>
    <w:rsid w:val="00994A3F"/>
    <w:rsid w:val="00995246"/>
    <w:rsid w:val="009953BC"/>
    <w:rsid w:val="00995471"/>
    <w:rsid w:val="0099551D"/>
    <w:rsid w:val="00995735"/>
    <w:rsid w:val="009957F6"/>
    <w:rsid w:val="00995AAC"/>
    <w:rsid w:val="00995CAE"/>
    <w:rsid w:val="00995CF5"/>
    <w:rsid w:val="00995FEA"/>
    <w:rsid w:val="009960F2"/>
    <w:rsid w:val="0099617E"/>
    <w:rsid w:val="0099657F"/>
    <w:rsid w:val="0099661F"/>
    <w:rsid w:val="0099662F"/>
    <w:rsid w:val="00996698"/>
    <w:rsid w:val="00996763"/>
    <w:rsid w:val="0099698D"/>
    <w:rsid w:val="00996C4F"/>
    <w:rsid w:val="00996D4B"/>
    <w:rsid w:val="009970E9"/>
    <w:rsid w:val="00997683"/>
    <w:rsid w:val="0099772D"/>
    <w:rsid w:val="00997D94"/>
    <w:rsid w:val="009A0009"/>
    <w:rsid w:val="009A009C"/>
    <w:rsid w:val="009A0142"/>
    <w:rsid w:val="009A01D2"/>
    <w:rsid w:val="009A03D4"/>
    <w:rsid w:val="009A0667"/>
    <w:rsid w:val="009A0A53"/>
    <w:rsid w:val="009A0AAD"/>
    <w:rsid w:val="009A0CBE"/>
    <w:rsid w:val="009A0CCC"/>
    <w:rsid w:val="009A0DBE"/>
    <w:rsid w:val="009A15C3"/>
    <w:rsid w:val="009A1688"/>
    <w:rsid w:val="009A1884"/>
    <w:rsid w:val="009A1895"/>
    <w:rsid w:val="009A1BDB"/>
    <w:rsid w:val="009A1D31"/>
    <w:rsid w:val="009A1F42"/>
    <w:rsid w:val="009A1FA8"/>
    <w:rsid w:val="009A222B"/>
    <w:rsid w:val="009A23C1"/>
    <w:rsid w:val="009A23E5"/>
    <w:rsid w:val="009A2469"/>
    <w:rsid w:val="009A283E"/>
    <w:rsid w:val="009A2B79"/>
    <w:rsid w:val="009A2D0A"/>
    <w:rsid w:val="009A2F79"/>
    <w:rsid w:val="009A2F90"/>
    <w:rsid w:val="009A342C"/>
    <w:rsid w:val="009A360C"/>
    <w:rsid w:val="009A3620"/>
    <w:rsid w:val="009A371D"/>
    <w:rsid w:val="009A3A68"/>
    <w:rsid w:val="009A3E87"/>
    <w:rsid w:val="009A3EE7"/>
    <w:rsid w:val="009A41F2"/>
    <w:rsid w:val="009A4240"/>
    <w:rsid w:val="009A42D6"/>
    <w:rsid w:val="009A4679"/>
    <w:rsid w:val="009A4769"/>
    <w:rsid w:val="009A4AA8"/>
    <w:rsid w:val="009A4B86"/>
    <w:rsid w:val="009A4BA4"/>
    <w:rsid w:val="009A4CC2"/>
    <w:rsid w:val="009A4CD7"/>
    <w:rsid w:val="009A4D35"/>
    <w:rsid w:val="009A4D65"/>
    <w:rsid w:val="009A4F9E"/>
    <w:rsid w:val="009A53F5"/>
    <w:rsid w:val="009A5402"/>
    <w:rsid w:val="009A547B"/>
    <w:rsid w:val="009A5522"/>
    <w:rsid w:val="009A572F"/>
    <w:rsid w:val="009A578E"/>
    <w:rsid w:val="009A5B84"/>
    <w:rsid w:val="009A6147"/>
    <w:rsid w:val="009A7050"/>
    <w:rsid w:val="009A70A7"/>
    <w:rsid w:val="009A717E"/>
    <w:rsid w:val="009A730A"/>
    <w:rsid w:val="009A751F"/>
    <w:rsid w:val="009A75A6"/>
    <w:rsid w:val="009A77A9"/>
    <w:rsid w:val="009A79D0"/>
    <w:rsid w:val="009A7C8C"/>
    <w:rsid w:val="009A7C9B"/>
    <w:rsid w:val="009A7CD9"/>
    <w:rsid w:val="009A7D14"/>
    <w:rsid w:val="009B005E"/>
    <w:rsid w:val="009B00F2"/>
    <w:rsid w:val="009B046D"/>
    <w:rsid w:val="009B0637"/>
    <w:rsid w:val="009B078E"/>
    <w:rsid w:val="009B085D"/>
    <w:rsid w:val="009B0B9D"/>
    <w:rsid w:val="009B0DFB"/>
    <w:rsid w:val="009B0EB8"/>
    <w:rsid w:val="009B1100"/>
    <w:rsid w:val="009B1119"/>
    <w:rsid w:val="009B11BA"/>
    <w:rsid w:val="009B1601"/>
    <w:rsid w:val="009B16AD"/>
    <w:rsid w:val="009B16E9"/>
    <w:rsid w:val="009B184D"/>
    <w:rsid w:val="009B1B6C"/>
    <w:rsid w:val="009B1E76"/>
    <w:rsid w:val="009B1F41"/>
    <w:rsid w:val="009B22B0"/>
    <w:rsid w:val="009B22EC"/>
    <w:rsid w:val="009B22F9"/>
    <w:rsid w:val="009B23D3"/>
    <w:rsid w:val="009B240A"/>
    <w:rsid w:val="009B24DA"/>
    <w:rsid w:val="009B38D6"/>
    <w:rsid w:val="009B398F"/>
    <w:rsid w:val="009B3ADE"/>
    <w:rsid w:val="009B3B3C"/>
    <w:rsid w:val="009B4215"/>
    <w:rsid w:val="009B422E"/>
    <w:rsid w:val="009B443A"/>
    <w:rsid w:val="009B444C"/>
    <w:rsid w:val="009B4F46"/>
    <w:rsid w:val="009B50F2"/>
    <w:rsid w:val="009B5241"/>
    <w:rsid w:val="009B5428"/>
    <w:rsid w:val="009B549D"/>
    <w:rsid w:val="009B55B7"/>
    <w:rsid w:val="009B561C"/>
    <w:rsid w:val="009B5C81"/>
    <w:rsid w:val="009B5DAD"/>
    <w:rsid w:val="009B60EB"/>
    <w:rsid w:val="009B621B"/>
    <w:rsid w:val="009B63C6"/>
    <w:rsid w:val="009B6497"/>
    <w:rsid w:val="009B649B"/>
    <w:rsid w:val="009B6AE4"/>
    <w:rsid w:val="009B6B7E"/>
    <w:rsid w:val="009B6C8B"/>
    <w:rsid w:val="009B7234"/>
    <w:rsid w:val="009B74DF"/>
    <w:rsid w:val="009B7601"/>
    <w:rsid w:val="009B7828"/>
    <w:rsid w:val="009B7938"/>
    <w:rsid w:val="009B7AB2"/>
    <w:rsid w:val="009B7C14"/>
    <w:rsid w:val="009B7E9F"/>
    <w:rsid w:val="009B7F43"/>
    <w:rsid w:val="009C0158"/>
    <w:rsid w:val="009C0449"/>
    <w:rsid w:val="009C0805"/>
    <w:rsid w:val="009C08C5"/>
    <w:rsid w:val="009C0A57"/>
    <w:rsid w:val="009C0CB5"/>
    <w:rsid w:val="009C0DC1"/>
    <w:rsid w:val="009C11AC"/>
    <w:rsid w:val="009C1267"/>
    <w:rsid w:val="009C12DB"/>
    <w:rsid w:val="009C141D"/>
    <w:rsid w:val="009C177F"/>
    <w:rsid w:val="009C17C4"/>
    <w:rsid w:val="009C1AB2"/>
    <w:rsid w:val="009C1BD3"/>
    <w:rsid w:val="009C1CEF"/>
    <w:rsid w:val="009C1E06"/>
    <w:rsid w:val="009C1FF8"/>
    <w:rsid w:val="009C2034"/>
    <w:rsid w:val="009C21C4"/>
    <w:rsid w:val="009C2472"/>
    <w:rsid w:val="009C2603"/>
    <w:rsid w:val="009C2A10"/>
    <w:rsid w:val="009C2BB9"/>
    <w:rsid w:val="009C2FC1"/>
    <w:rsid w:val="009C3057"/>
    <w:rsid w:val="009C33AA"/>
    <w:rsid w:val="009C33FB"/>
    <w:rsid w:val="009C34F0"/>
    <w:rsid w:val="009C3960"/>
    <w:rsid w:val="009C3DD1"/>
    <w:rsid w:val="009C3E30"/>
    <w:rsid w:val="009C4286"/>
    <w:rsid w:val="009C42C1"/>
    <w:rsid w:val="009C4369"/>
    <w:rsid w:val="009C4468"/>
    <w:rsid w:val="009C4579"/>
    <w:rsid w:val="009C460F"/>
    <w:rsid w:val="009C4784"/>
    <w:rsid w:val="009C491D"/>
    <w:rsid w:val="009C4B53"/>
    <w:rsid w:val="009C4C38"/>
    <w:rsid w:val="009C4D62"/>
    <w:rsid w:val="009C4D89"/>
    <w:rsid w:val="009C4D97"/>
    <w:rsid w:val="009C50C8"/>
    <w:rsid w:val="009C5490"/>
    <w:rsid w:val="009C54DD"/>
    <w:rsid w:val="009C5512"/>
    <w:rsid w:val="009C556E"/>
    <w:rsid w:val="009C56E7"/>
    <w:rsid w:val="009C5802"/>
    <w:rsid w:val="009C59C9"/>
    <w:rsid w:val="009C5C21"/>
    <w:rsid w:val="009C60A9"/>
    <w:rsid w:val="009C61DD"/>
    <w:rsid w:val="009C6773"/>
    <w:rsid w:val="009C6945"/>
    <w:rsid w:val="009C7184"/>
    <w:rsid w:val="009C783B"/>
    <w:rsid w:val="009C79FD"/>
    <w:rsid w:val="009C7E5B"/>
    <w:rsid w:val="009D0000"/>
    <w:rsid w:val="009D00A0"/>
    <w:rsid w:val="009D00FA"/>
    <w:rsid w:val="009D0495"/>
    <w:rsid w:val="009D073B"/>
    <w:rsid w:val="009D0E90"/>
    <w:rsid w:val="009D1001"/>
    <w:rsid w:val="009D1368"/>
    <w:rsid w:val="009D13D2"/>
    <w:rsid w:val="009D1465"/>
    <w:rsid w:val="009D183E"/>
    <w:rsid w:val="009D1AE7"/>
    <w:rsid w:val="009D1F39"/>
    <w:rsid w:val="009D2542"/>
    <w:rsid w:val="009D2594"/>
    <w:rsid w:val="009D281C"/>
    <w:rsid w:val="009D2BC4"/>
    <w:rsid w:val="009D2C0B"/>
    <w:rsid w:val="009D2C9E"/>
    <w:rsid w:val="009D3641"/>
    <w:rsid w:val="009D367C"/>
    <w:rsid w:val="009D38EF"/>
    <w:rsid w:val="009D3CCD"/>
    <w:rsid w:val="009D3D02"/>
    <w:rsid w:val="009D3EC6"/>
    <w:rsid w:val="009D434C"/>
    <w:rsid w:val="009D4685"/>
    <w:rsid w:val="009D499C"/>
    <w:rsid w:val="009D4A5D"/>
    <w:rsid w:val="009D4A90"/>
    <w:rsid w:val="009D4C32"/>
    <w:rsid w:val="009D4E34"/>
    <w:rsid w:val="009D4F6E"/>
    <w:rsid w:val="009D5081"/>
    <w:rsid w:val="009D50B1"/>
    <w:rsid w:val="009D51E5"/>
    <w:rsid w:val="009D5247"/>
    <w:rsid w:val="009D53C5"/>
    <w:rsid w:val="009D5599"/>
    <w:rsid w:val="009D5602"/>
    <w:rsid w:val="009D5822"/>
    <w:rsid w:val="009D5C55"/>
    <w:rsid w:val="009D603F"/>
    <w:rsid w:val="009D6154"/>
    <w:rsid w:val="009D6156"/>
    <w:rsid w:val="009D6532"/>
    <w:rsid w:val="009D6621"/>
    <w:rsid w:val="009D6823"/>
    <w:rsid w:val="009D69A5"/>
    <w:rsid w:val="009D6AE2"/>
    <w:rsid w:val="009D6D5A"/>
    <w:rsid w:val="009D7008"/>
    <w:rsid w:val="009D7106"/>
    <w:rsid w:val="009D731C"/>
    <w:rsid w:val="009D7682"/>
    <w:rsid w:val="009D797C"/>
    <w:rsid w:val="009D79CF"/>
    <w:rsid w:val="009D7B35"/>
    <w:rsid w:val="009D7B37"/>
    <w:rsid w:val="009E01C0"/>
    <w:rsid w:val="009E035D"/>
    <w:rsid w:val="009E05BD"/>
    <w:rsid w:val="009E063D"/>
    <w:rsid w:val="009E0AE2"/>
    <w:rsid w:val="009E0C8E"/>
    <w:rsid w:val="009E0E72"/>
    <w:rsid w:val="009E0F7C"/>
    <w:rsid w:val="009E1783"/>
    <w:rsid w:val="009E1DEC"/>
    <w:rsid w:val="009E1EEC"/>
    <w:rsid w:val="009E2083"/>
    <w:rsid w:val="009E219E"/>
    <w:rsid w:val="009E23C1"/>
    <w:rsid w:val="009E26C0"/>
    <w:rsid w:val="009E27D9"/>
    <w:rsid w:val="009E2801"/>
    <w:rsid w:val="009E2955"/>
    <w:rsid w:val="009E2AA4"/>
    <w:rsid w:val="009E2D3A"/>
    <w:rsid w:val="009E2FD5"/>
    <w:rsid w:val="009E3240"/>
    <w:rsid w:val="009E3384"/>
    <w:rsid w:val="009E4368"/>
    <w:rsid w:val="009E47D4"/>
    <w:rsid w:val="009E48C7"/>
    <w:rsid w:val="009E4AA3"/>
    <w:rsid w:val="009E4B1C"/>
    <w:rsid w:val="009E4C79"/>
    <w:rsid w:val="009E5093"/>
    <w:rsid w:val="009E51D1"/>
    <w:rsid w:val="009E525F"/>
    <w:rsid w:val="009E540A"/>
    <w:rsid w:val="009E55F4"/>
    <w:rsid w:val="009E5B90"/>
    <w:rsid w:val="009E5D89"/>
    <w:rsid w:val="009E5E2C"/>
    <w:rsid w:val="009E5F21"/>
    <w:rsid w:val="009E6132"/>
    <w:rsid w:val="009E6748"/>
    <w:rsid w:val="009E67C3"/>
    <w:rsid w:val="009E6E28"/>
    <w:rsid w:val="009E6F29"/>
    <w:rsid w:val="009E705B"/>
    <w:rsid w:val="009E7140"/>
    <w:rsid w:val="009E7250"/>
    <w:rsid w:val="009E7473"/>
    <w:rsid w:val="009E7482"/>
    <w:rsid w:val="009E755D"/>
    <w:rsid w:val="009E7843"/>
    <w:rsid w:val="009E78A3"/>
    <w:rsid w:val="009E78B5"/>
    <w:rsid w:val="009E7A31"/>
    <w:rsid w:val="009E7ACA"/>
    <w:rsid w:val="009E7BE7"/>
    <w:rsid w:val="009F0131"/>
    <w:rsid w:val="009F01FE"/>
    <w:rsid w:val="009F02A2"/>
    <w:rsid w:val="009F02D5"/>
    <w:rsid w:val="009F0491"/>
    <w:rsid w:val="009F05BA"/>
    <w:rsid w:val="009F068C"/>
    <w:rsid w:val="009F085D"/>
    <w:rsid w:val="009F0A0C"/>
    <w:rsid w:val="009F0B0F"/>
    <w:rsid w:val="009F0E74"/>
    <w:rsid w:val="009F0E83"/>
    <w:rsid w:val="009F0EAA"/>
    <w:rsid w:val="009F10C4"/>
    <w:rsid w:val="009F1320"/>
    <w:rsid w:val="009F1AE8"/>
    <w:rsid w:val="009F1FDD"/>
    <w:rsid w:val="009F2124"/>
    <w:rsid w:val="009F2163"/>
    <w:rsid w:val="009F278A"/>
    <w:rsid w:val="009F28A0"/>
    <w:rsid w:val="009F2947"/>
    <w:rsid w:val="009F2BA8"/>
    <w:rsid w:val="009F2FA2"/>
    <w:rsid w:val="009F31A5"/>
    <w:rsid w:val="009F3485"/>
    <w:rsid w:val="009F3896"/>
    <w:rsid w:val="009F39DC"/>
    <w:rsid w:val="009F3AAE"/>
    <w:rsid w:val="009F3CAD"/>
    <w:rsid w:val="009F3EE5"/>
    <w:rsid w:val="009F4266"/>
    <w:rsid w:val="009F42A3"/>
    <w:rsid w:val="009F4373"/>
    <w:rsid w:val="009F487B"/>
    <w:rsid w:val="009F4A63"/>
    <w:rsid w:val="009F4C0D"/>
    <w:rsid w:val="009F518C"/>
    <w:rsid w:val="009F52A8"/>
    <w:rsid w:val="009F539F"/>
    <w:rsid w:val="009F5445"/>
    <w:rsid w:val="009F54A0"/>
    <w:rsid w:val="009F5522"/>
    <w:rsid w:val="009F5561"/>
    <w:rsid w:val="009F55C6"/>
    <w:rsid w:val="009F5675"/>
    <w:rsid w:val="009F5682"/>
    <w:rsid w:val="009F573A"/>
    <w:rsid w:val="009F575B"/>
    <w:rsid w:val="009F5908"/>
    <w:rsid w:val="009F5A55"/>
    <w:rsid w:val="009F5E58"/>
    <w:rsid w:val="009F6073"/>
    <w:rsid w:val="009F6153"/>
    <w:rsid w:val="009F62D4"/>
    <w:rsid w:val="009F6542"/>
    <w:rsid w:val="009F6A6F"/>
    <w:rsid w:val="009F6A77"/>
    <w:rsid w:val="009F701D"/>
    <w:rsid w:val="009F72B1"/>
    <w:rsid w:val="009F7303"/>
    <w:rsid w:val="009F7669"/>
    <w:rsid w:val="009F78D0"/>
    <w:rsid w:val="009F7AD1"/>
    <w:rsid w:val="009F7DA3"/>
    <w:rsid w:val="009F7DA5"/>
    <w:rsid w:val="009F7E47"/>
    <w:rsid w:val="009F7E63"/>
    <w:rsid w:val="009F7F68"/>
    <w:rsid w:val="009F7FBA"/>
    <w:rsid w:val="00A00119"/>
    <w:rsid w:val="00A00154"/>
    <w:rsid w:val="00A00160"/>
    <w:rsid w:val="00A0022D"/>
    <w:rsid w:val="00A0038F"/>
    <w:rsid w:val="00A00452"/>
    <w:rsid w:val="00A006D1"/>
    <w:rsid w:val="00A00B08"/>
    <w:rsid w:val="00A00ECF"/>
    <w:rsid w:val="00A00F23"/>
    <w:rsid w:val="00A01147"/>
    <w:rsid w:val="00A01499"/>
    <w:rsid w:val="00A014A6"/>
    <w:rsid w:val="00A016AB"/>
    <w:rsid w:val="00A01724"/>
    <w:rsid w:val="00A01ADE"/>
    <w:rsid w:val="00A01FA9"/>
    <w:rsid w:val="00A023DB"/>
    <w:rsid w:val="00A0277B"/>
    <w:rsid w:val="00A028AC"/>
    <w:rsid w:val="00A02BF7"/>
    <w:rsid w:val="00A03249"/>
    <w:rsid w:val="00A033CE"/>
    <w:rsid w:val="00A03884"/>
    <w:rsid w:val="00A0389C"/>
    <w:rsid w:val="00A03D25"/>
    <w:rsid w:val="00A03E06"/>
    <w:rsid w:val="00A03E59"/>
    <w:rsid w:val="00A04031"/>
    <w:rsid w:val="00A04038"/>
    <w:rsid w:val="00A04067"/>
    <w:rsid w:val="00A041FE"/>
    <w:rsid w:val="00A0448D"/>
    <w:rsid w:val="00A04595"/>
    <w:rsid w:val="00A0483C"/>
    <w:rsid w:val="00A0487F"/>
    <w:rsid w:val="00A04D88"/>
    <w:rsid w:val="00A04ECE"/>
    <w:rsid w:val="00A050B9"/>
    <w:rsid w:val="00A053B9"/>
    <w:rsid w:val="00A0540B"/>
    <w:rsid w:val="00A0548E"/>
    <w:rsid w:val="00A055A8"/>
    <w:rsid w:val="00A056C8"/>
    <w:rsid w:val="00A05771"/>
    <w:rsid w:val="00A05CDF"/>
    <w:rsid w:val="00A06184"/>
    <w:rsid w:val="00A06296"/>
    <w:rsid w:val="00A0658C"/>
    <w:rsid w:val="00A0689D"/>
    <w:rsid w:val="00A06A18"/>
    <w:rsid w:val="00A06E15"/>
    <w:rsid w:val="00A06EDC"/>
    <w:rsid w:val="00A06F70"/>
    <w:rsid w:val="00A07137"/>
    <w:rsid w:val="00A071D4"/>
    <w:rsid w:val="00A074EB"/>
    <w:rsid w:val="00A07742"/>
    <w:rsid w:val="00A07C2A"/>
    <w:rsid w:val="00A07D1B"/>
    <w:rsid w:val="00A07E08"/>
    <w:rsid w:val="00A07E9E"/>
    <w:rsid w:val="00A1013A"/>
    <w:rsid w:val="00A10651"/>
    <w:rsid w:val="00A10835"/>
    <w:rsid w:val="00A10BBD"/>
    <w:rsid w:val="00A10D9A"/>
    <w:rsid w:val="00A11277"/>
    <w:rsid w:val="00A113AE"/>
    <w:rsid w:val="00A113BB"/>
    <w:rsid w:val="00A11609"/>
    <w:rsid w:val="00A1179A"/>
    <w:rsid w:val="00A11A8F"/>
    <w:rsid w:val="00A1203D"/>
    <w:rsid w:val="00A121BC"/>
    <w:rsid w:val="00A124A3"/>
    <w:rsid w:val="00A1277A"/>
    <w:rsid w:val="00A129DE"/>
    <w:rsid w:val="00A12DB2"/>
    <w:rsid w:val="00A12DD0"/>
    <w:rsid w:val="00A132D8"/>
    <w:rsid w:val="00A13333"/>
    <w:rsid w:val="00A13559"/>
    <w:rsid w:val="00A13B42"/>
    <w:rsid w:val="00A13BF3"/>
    <w:rsid w:val="00A1423D"/>
    <w:rsid w:val="00A144FE"/>
    <w:rsid w:val="00A14A64"/>
    <w:rsid w:val="00A14A68"/>
    <w:rsid w:val="00A14C27"/>
    <w:rsid w:val="00A14D0A"/>
    <w:rsid w:val="00A14EA8"/>
    <w:rsid w:val="00A15488"/>
    <w:rsid w:val="00A15496"/>
    <w:rsid w:val="00A155F6"/>
    <w:rsid w:val="00A1581E"/>
    <w:rsid w:val="00A1584B"/>
    <w:rsid w:val="00A15A0F"/>
    <w:rsid w:val="00A15D6D"/>
    <w:rsid w:val="00A15ED6"/>
    <w:rsid w:val="00A160A6"/>
    <w:rsid w:val="00A160FF"/>
    <w:rsid w:val="00A16178"/>
    <w:rsid w:val="00A16A42"/>
    <w:rsid w:val="00A16B6B"/>
    <w:rsid w:val="00A16C71"/>
    <w:rsid w:val="00A17437"/>
    <w:rsid w:val="00A1754E"/>
    <w:rsid w:val="00A17808"/>
    <w:rsid w:val="00A17D38"/>
    <w:rsid w:val="00A17D59"/>
    <w:rsid w:val="00A17D82"/>
    <w:rsid w:val="00A205E7"/>
    <w:rsid w:val="00A20912"/>
    <w:rsid w:val="00A20AAF"/>
    <w:rsid w:val="00A20CE5"/>
    <w:rsid w:val="00A2138A"/>
    <w:rsid w:val="00A2142E"/>
    <w:rsid w:val="00A219C2"/>
    <w:rsid w:val="00A21A79"/>
    <w:rsid w:val="00A21B30"/>
    <w:rsid w:val="00A21BA9"/>
    <w:rsid w:val="00A21DA6"/>
    <w:rsid w:val="00A21F0B"/>
    <w:rsid w:val="00A2211F"/>
    <w:rsid w:val="00A22440"/>
    <w:rsid w:val="00A22B94"/>
    <w:rsid w:val="00A22C2C"/>
    <w:rsid w:val="00A22C53"/>
    <w:rsid w:val="00A22D4C"/>
    <w:rsid w:val="00A22DCB"/>
    <w:rsid w:val="00A22F56"/>
    <w:rsid w:val="00A2329A"/>
    <w:rsid w:val="00A23436"/>
    <w:rsid w:val="00A2343E"/>
    <w:rsid w:val="00A2376C"/>
    <w:rsid w:val="00A23D50"/>
    <w:rsid w:val="00A23FB6"/>
    <w:rsid w:val="00A24048"/>
    <w:rsid w:val="00A24211"/>
    <w:rsid w:val="00A2459C"/>
    <w:rsid w:val="00A246E5"/>
    <w:rsid w:val="00A24CA1"/>
    <w:rsid w:val="00A24DDE"/>
    <w:rsid w:val="00A2505A"/>
    <w:rsid w:val="00A2517F"/>
    <w:rsid w:val="00A252ED"/>
    <w:rsid w:val="00A25491"/>
    <w:rsid w:val="00A25680"/>
    <w:rsid w:val="00A257A4"/>
    <w:rsid w:val="00A25ADC"/>
    <w:rsid w:val="00A25C94"/>
    <w:rsid w:val="00A25CD1"/>
    <w:rsid w:val="00A263D2"/>
    <w:rsid w:val="00A264B0"/>
    <w:rsid w:val="00A264BC"/>
    <w:rsid w:val="00A264E2"/>
    <w:rsid w:val="00A26637"/>
    <w:rsid w:val="00A2685B"/>
    <w:rsid w:val="00A26D0C"/>
    <w:rsid w:val="00A26EB8"/>
    <w:rsid w:val="00A27703"/>
    <w:rsid w:val="00A27F2B"/>
    <w:rsid w:val="00A301B0"/>
    <w:rsid w:val="00A302CE"/>
    <w:rsid w:val="00A302F6"/>
    <w:rsid w:val="00A303EA"/>
    <w:rsid w:val="00A30458"/>
    <w:rsid w:val="00A304B0"/>
    <w:rsid w:val="00A304FE"/>
    <w:rsid w:val="00A30659"/>
    <w:rsid w:val="00A307A5"/>
    <w:rsid w:val="00A30954"/>
    <w:rsid w:val="00A30A8B"/>
    <w:rsid w:val="00A31085"/>
    <w:rsid w:val="00A31100"/>
    <w:rsid w:val="00A313D4"/>
    <w:rsid w:val="00A317FE"/>
    <w:rsid w:val="00A318FB"/>
    <w:rsid w:val="00A31AAE"/>
    <w:rsid w:val="00A31D16"/>
    <w:rsid w:val="00A31F9F"/>
    <w:rsid w:val="00A31FC2"/>
    <w:rsid w:val="00A320EA"/>
    <w:rsid w:val="00A32536"/>
    <w:rsid w:val="00A326DE"/>
    <w:rsid w:val="00A32743"/>
    <w:rsid w:val="00A33133"/>
    <w:rsid w:val="00A3390E"/>
    <w:rsid w:val="00A339C3"/>
    <w:rsid w:val="00A33C7E"/>
    <w:rsid w:val="00A33D37"/>
    <w:rsid w:val="00A3401D"/>
    <w:rsid w:val="00A340CB"/>
    <w:rsid w:val="00A34408"/>
    <w:rsid w:val="00A3483F"/>
    <w:rsid w:val="00A34948"/>
    <w:rsid w:val="00A349F3"/>
    <w:rsid w:val="00A34D4C"/>
    <w:rsid w:val="00A34E49"/>
    <w:rsid w:val="00A3505D"/>
    <w:rsid w:val="00A3530F"/>
    <w:rsid w:val="00A3542B"/>
    <w:rsid w:val="00A3560E"/>
    <w:rsid w:val="00A35CCF"/>
    <w:rsid w:val="00A35F7C"/>
    <w:rsid w:val="00A36105"/>
    <w:rsid w:val="00A363A7"/>
    <w:rsid w:val="00A363E9"/>
    <w:rsid w:val="00A365C8"/>
    <w:rsid w:val="00A3677A"/>
    <w:rsid w:val="00A3685F"/>
    <w:rsid w:val="00A36B54"/>
    <w:rsid w:val="00A3711A"/>
    <w:rsid w:val="00A3752E"/>
    <w:rsid w:val="00A378F6"/>
    <w:rsid w:val="00A37E99"/>
    <w:rsid w:val="00A37EB0"/>
    <w:rsid w:val="00A400F2"/>
    <w:rsid w:val="00A4043F"/>
    <w:rsid w:val="00A40645"/>
    <w:rsid w:val="00A4068B"/>
    <w:rsid w:val="00A406DB"/>
    <w:rsid w:val="00A40875"/>
    <w:rsid w:val="00A40AF5"/>
    <w:rsid w:val="00A40BC7"/>
    <w:rsid w:val="00A40C58"/>
    <w:rsid w:val="00A40E2B"/>
    <w:rsid w:val="00A40FDE"/>
    <w:rsid w:val="00A410BA"/>
    <w:rsid w:val="00A4155F"/>
    <w:rsid w:val="00A41560"/>
    <w:rsid w:val="00A41742"/>
    <w:rsid w:val="00A418A5"/>
    <w:rsid w:val="00A41B84"/>
    <w:rsid w:val="00A41BA1"/>
    <w:rsid w:val="00A4207A"/>
    <w:rsid w:val="00A42708"/>
    <w:rsid w:val="00A42AEE"/>
    <w:rsid w:val="00A42E63"/>
    <w:rsid w:val="00A42F7D"/>
    <w:rsid w:val="00A430D8"/>
    <w:rsid w:val="00A4318F"/>
    <w:rsid w:val="00A435AC"/>
    <w:rsid w:val="00A4366A"/>
    <w:rsid w:val="00A43A69"/>
    <w:rsid w:val="00A43D08"/>
    <w:rsid w:val="00A43E07"/>
    <w:rsid w:val="00A44289"/>
    <w:rsid w:val="00A445D2"/>
    <w:rsid w:val="00A44700"/>
    <w:rsid w:val="00A4473C"/>
    <w:rsid w:val="00A44842"/>
    <w:rsid w:val="00A449EF"/>
    <w:rsid w:val="00A44C25"/>
    <w:rsid w:val="00A44C28"/>
    <w:rsid w:val="00A44EC3"/>
    <w:rsid w:val="00A454D7"/>
    <w:rsid w:val="00A45502"/>
    <w:rsid w:val="00A45E6B"/>
    <w:rsid w:val="00A460E1"/>
    <w:rsid w:val="00A46358"/>
    <w:rsid w:val="00A46376"/>
    <w:rsid w:val="00A46748"/>
    <w:rsid w:val="00A4697E"/>
    <w:rsid w:val="00A46B34"/>
    <w:rsid w:val="00A46CCC"/>
    <w:rsid w:val="00A46DC4"/>
    <w:rsid w:val="00A46E37"/>
    <w:rsid w:val="00A470A6"/>
    <w:rsid w:val="00A472DC"/>
    <w:rsid w:val="00A47495"/>
    <w:rsid w:val="00A47625"/>
    <w:rsid w:val="00A47858"/>
    <w:rsid w:val="00A47BCB"/>
    <w:rsid w:val="00A47F57"/>
    <w:rsid w:val="00A47FAA"/>
    <w:rsid w:val="00A5026F"/>
    <w:rsid w:val="00A50381"/>
    <w:rsid w:val="00A50502"/>
    <w:rsid w:val="00A5051A"/>
    <w:rsid w:val="00A505EA"/>
    <w:rsid w:val="00A5063F"/>
    <w:rsid w:val="00A5080A"/>
    <w:rsid w:val="00A50A9E"/>
    <w:rsid w:val="00A50B2E"/>
    <w:rsid w:val="00A50DF8"/>
    <w:rsid w:val="00A50F16"/>
    <w:rsid w:val="00A514DB"/>
    <w:rsid w:val="00A516F5"/>
    <w:rsid w:val="00A5198C"/>
    <w:rsid w:val="00A51EAB"/>
    <w:rsid w:val="00A52307"/>
    <w:rsid w:val="00A52413"/>
    <w:rsid w:val="00A52496"/>
    <w:rsid w:val="00A52548"/>
    <w:rsid w:val="00A528F8"/>
    <w:rsid w:val="00A52A0B"/>
    <w:rsid w:val="00A52B74"/>
    <w:rsid w:val="00A52FB3"/>
    <w:rsid w:val="00A530B0"/>
    <w:rsid w:val="00A53F5D"/>
    <w:rsid w:val="00A54174"/>
    <w:rsid w:val="00A54417"/>
    <w:rsid w:val="00A549E0"/>
    <w:rsid w:val="00A54C47"/>
    <w:rsid w:val="00A54F98"/>
    <w:rsid w:val="00A5517B"/>
    <w:rsid w:val="00A5551A"/>
    <w:rsid w:val="00A55985"/>
    <w:rsid w:val="00A55C29"/>
    <w:rsid w:val="00A55C51"/>
    <w:rsid w:val="00A55D6D"/>
    <w:rsid w:val="00A562D8"/>
    <w:rsid w:val="00A56420"/>
    <w:rsid w:val="00A56A50"/>
    <w:rsid w:val="00A56C74"/>
    <w:rsid w:val="00A57105"/>
    <w:rsid w:val="00A5731C"/>
    <w:rsid w:val="00A57321"/>
    <w:rsid w:val="00A57658"/>
    <w:rsid w:val="00A57665"/>
    <w:rsid w:val="00A57672"/>
    <w:rsid w:val="00A57864"/>
    <w:rsid w:val="00A57A68"/>
    <w:rsid w:val="00A57B31"/>
    <w:rsid w:val="00A57BBA"/>
    <w:rsid w:val="00A57C6C"/>
    <w:rsid w:val="00A600E2"/>
    <w:rsid w:val="00A600E4"/>
    <w:rsid w:val="00A600F3"/>
    <w:rsid w:val="00A60110"/>
    <w:rsid w:val="00A601E7"/>
    <w:rsid w:val="00A602A5"/>
    <w:rsid w:val="00A60C57"/>
    <w:rsid w:val="00A60CAC"/>
    <w:rsid w:val="00A60D8F"/>
    <w:rsid w:val="00A6104C"/>
    <w:rsid w:val="00A61194"/>
    <w:rsid w:val="00A61239"/>
    <w:rsid w:val="00A6196D"/>
    <w:rsid w:val="00A6211C"/>
    <w:rsid w:val="00A62173"/>
    <w:rsid w:val="00A62193"/>
    <w:rsid w:val="00A6231F"/>
    <w:rsid w:val="00A6238E"/>
    <w:rsid w:val="00A62529"/>
    <w:rsid w:val="00A625FC"/>
    <w:rsid w:val="00A627C3"/>
    <w:rsid w:val="00A6293B"/>
    <w:rsid w:val="00A62AC5"/>
    <w:rsid w:val="00A62DEE"/>
    <w:rsid w:val="00A62E00"/>
    <w:rsid w:val="00A6300E"/>
    <w:rsid w:val="00A6408A"/>
    <w:rsid w:val="00A644FB"/>
    <w:rsid w:val="00A64A19"/>
    <w:rsid w:val="00A64A93"/>
    <w:rsid w:val="00A64BD4"/>
    <w:rsid w:val="00A64C1B"/>
    <w:rsid w:val="00A65068"/>
    <w:rsid w:val="00A6519A"/>
    <w:rsid w:val="00A651C6"/>
    <w:rsid w:val="00A65429"/>
    <w:rsid w:val="00A65517"/>
    <w:rsid w:val="00A655C8"/>
    <w:rsid w:val="00A6567E"/>
    <w:rsid w:val="00A65A2B"/>
    <w:rsid w:val="00A65B9F"/>
    <w:rsid w:val="00A65D76"/>
    <w:rsid w:val="00A65E91"/>
    <w:rsid w:val="00A65F1B"/>
    <w:rsid w:val="00A66001"/>
    <w:rsid w:val="00A66170"/>
    <w:rsid w:val="00A662A9"/>
    <w:rsid w:val="00A662BE"/>
    <w:rsid w:val="00A663EF"/>
    <w:rsid w:val="00A66647"/>
    <w:rsid w:val="00A66714"/>
    <w:rsid w:val="00A66A17"/>
    <w:rsid w:val="00A66CAD"/>
    <w:rsid w:val="00A66DE1"/>
    <w:rsid w:val="00A67001"/>
    <w:rsid w:val="00A671AE"/>
    <w:rsid w:val="00A673A9"/>
    <w:rsid w:val="00A673EC"/>
    <w:rsid w:val="00A6796E"/>
    <w:rsid w:val="00A679B8"/>
    <w:rsid w:val="00A67D50"/>
    <w:rsid w:val="00A67E6C"/>
    <w:rsid w:val="00A67EE3"/>
    <w:rsid w:val="00A67F8A"/>
    <w:rsid w:val="00A70170"/>
    <w:rsid w:val="00A702E4"/>
    <w:rsid w:val="00A70385"/>
    <w:rsid w:val="00A703F5"/>
    <w:rsid w:val="00A70898"/>
    <w:rsid w:val="00A70CC3"/>
    <w:rsid w:val="00A7101A"/>
    <w:rsid w:val="00A711E3"/>
    <w:rsid w:val="00A717A9"/>
    <w:rsid w:val="00A719DF"/>
    <w:rsid w:val="00A71CDE"/>
    <w:rsid w:val="00A71D5D"/>
    <w:rsid w:val="00A71E4F"/>
    <w:rsid w:val="00A71FA3"/>
    <w:rsid w:val="00A7212A"/>
    <w:rsid w:val="00A7246C"/>
    <w:rsid w:val="00A725AE"/>
    <w:rsid w:val="00A72831"/>
    <w:rsid w:val="00A72A62"/>
    <w:rsid w:val="00A72DB1"/>
    <w:rsid w:val="00A72EB6"/>
    <w:rsid w:val="00A730EB"/>
    <w:rsid w:val="00A7357B"/>
    <w:rsid w:val="00A73990"/>
    <w:rsid w:val="00A73A33"/>
    <w:rsid w:val="00A73C04"/>
    <w:rsid w:val="00A73D50"/>
    <w:rsid w:val="00A73E03"/>
    <w:rsid w:val="00A73EBD"/>
    <w:rsid w:val="00A7410C"/>
    <w:rsid w:val="00A7444F"/>
    <w:rsid w:val="00A746A3"/>
    <w:rsid w:val="00A74811"/>
    <w:rsid w:val="00A749DC"/>
    <w:rsid w:val="00A74E6F"/>
    <w:rsid w:val="00A7531A"/>
    <w:rsid w:val="00A7578A"/>
    <w:rsid w:val="00A7596F"/>
    <w:rsid w:val="00A75A79"/>
    <w:rsid w:val="00A75E6F"/>
    <w:rsid w:val="00A7650F"/>
    <w:rsid w:val="00A765F1"/>
    <w:rsid w:val="00A76670"/>
    <w:rsid w:val="00A76AB9"/>
    <w:rsid w:val="00A76C23"/>
    <w:rsid w:val="00A76FD7"/>
    <w:rsid w:val="00A77300"/>
    <w:rsid w:val="00A7769D"/>
    <w:rsid w:val="00A77ACF"/>
    <w:rsid w:val="00A77C80"/>
    <w:rsid w:val="00A80061"/>
    <w:rsid w:val="00A800B1"/>
    <w:rsid w:val="00A8033A"/>
    <w:rsid w:val="00A80398"/>
    <w:rsid w:val="00A80441"/>
    <w:rsid w:val="00A80591"/>
    <w:rsid w:val="00A80708"/>
    <w:rsid w:val="00A80771"/>
    <w:rsid w:val="00A8090B"/>
    <w:rsid w:val="00A80986"/>
    <w:rsid w:val="00A80B21"/>
    <w:rsid w:val="00A80B46"/>
    <w:rsid w:val="00A80B8E"/>
    <w:rsid w:val="00A8105B"/>
    <w:rsid w:val="00A8108B"/>
    <w:rsid w:val="00A8109B"/>
    <w:rsid w:val="00A81141"/>
    <w:rsid w:val="00A817C8"/>
    <w:rsid w:val="00A817CC"/>
    <w:rsid w:val="00A817EF"/>
    <w:rsid w:val="00A818AC"/>
    <w:rsid w:val="00A81AB0"/>
    <w:rsid w:val="00A81CB7"/>
    <w:rsid w:val="00A81CC8"/>
    <w:rsid w:val="00A81DE9"/>
    <w:rsid w:val="00A825E1"/>
    <w:rsid w:val="00A82A48"/>
    <w:rsid w:val="00A82B4A"/>
    <w:rsid w:val="00A830CA"/>
    <w:rsid w:val="00A833FF"/>
    <w:rsid w:val="00A83405"/>
    <w:rsid w:val="00A83471"/>
    <w:rsid w:val="00A8395C"/>
    <w:rsid w:val="00A83E69"/>
    <w:rsid w:val="00A8424D"/>
    <w:rsid w:val="00A8441D"/>
    <w:rsid w:val="00A84472"/>
    <w:rsid w:val="00A84695"/>
    <w:rsid w:val="00A84746"/>
    <w:rsid w:val="00A848EF"/>
    <w:rsid w:val="00A8499C"/>
    <w:rsid w:val="00A84ABE"/>
    <w:rsid w:val="00A84E27"/>
    <w:rsid w:val="00A85077"/>
    <w:rsid w:val="00A850CC"/>
    <w:rsid w:val="00A8519C"/>
    <w:rsid w:val="00A8531D"/>
    <w:rsid w:val="00A85364"/>
    <w:rsid w:val="00A85523"/>
    <w:rsid w:val="00A8558F"/>
    <w:rsid w:val="00A856BA"/>
    <w:rsid w:val="00A856CC"/>
    <w:rsid w:val="00A85DD0"/>
    <w:rsid w:val="00A85FC4"/>
    <w:rsid w:val="00A866B9"/>
    <w:rsid w:val="00A86F0A"/>
    <w:rsid w:val="00A8716D"/>
    <w:rsid w:val="00A871A3"/>
    <w:rsid w:val="00A8724B"/>
    <w:rsid w:val="00A872D2"/>
    <w:rsid w:val="00A8739F"/>
    <w:rsid w:val="00A87414"/>
    <w:rsid w:val="00A878B7"/>
    <w:rsid w:val="00A87BA9"/>
    <w:rsid w:val="00A87BC1"/>
    <w:rsid w:val="00A87C31"/>
    <w:rsid w:val="00A87E78"/>
    <w:rsid w:val="00A90191"/>
    <w:rsid w:val="00A90246"/>
    <w:rsid w:val="00A9068D"/>
    <w:rsid w:val="00A907FB"/>
    <w:rsid w:val="00A90A11"/>
    <w:rsid w:val="00A90C1E"/>
    <w:rsid w:val="00A90CCA"/>
    <w:rsid w:val="00A90FA6"/>
    <w:rsid w:val="00A91228"/>
    <w:rsid w:val="00A9129B"/>
    <w:rsid w:val="00A91773"/>
    <w:rsid w:val="00A9181F"/>
    <w:rsid w:val="00A9193E"/>
    <w:rsid w:val="00A91B8B"/>
    <w:rsid w:val="00A91C9A"/>
    <w:rsid w:val="00A92206"/>
    <w:rsid w:val="00A9225F"/>
    <w:rsid w:val="00A9273F"/>
    <w:rsid w:val="00A9285C"/>
    <w:rsid w:val="00A92DFE"/>
    <w:rsid w:val="00A92F13"/>
    <w:rsid w:val="00A92FB4"/>
    <w:rsid w:val="00A931A3"/>
    <w:rsid w:val="00A935E3"/>
    <w:rsid w:val="00A937C3"/>
    <w:rsid w:val="00A93856"/>
    <w:rsid w:val="00A93A1A"/>
    <w:rsid w:val="00A93A1F"/>
    <w:rsid w:val="00A93A99"/>
    <w:rsid w:val="00A93C50"/>
    <w:rsid w:val="00A94134"/>
    <w:rsid w:val="00A94485"/>
    <w:rsid w:val="00A9464F"/>
    <w:rsid w:val="00A94771"/>
    <w:rsid w:val="00A95250"/>
    <w:rsid w:val="00A95315"/>
    <w:rsid w:val="00A955CF"/>
    <w:rsid w:val="00A958BA"/>
    <w:rsid w:val="00A959EC"/>
    <w:rsid w:val="00A9611C"/>
    <w:rsid w:val="00A96265"/>
    <w:rsid w:val="00A96322"/>
    <w:rsid w:val="00A9648F"/>
    <w:rsid w:val="00A9673E"/>
    <w:rsid w:val="00A96792"/>
    <w:rsid w:val="00A96808"/>
    <w:rsid w:val="00A9691E"/>
    <w:rsid w:val="00A96AC4"/>
    <w:rsid w:val="00A96CE1"/>
    <w:rsid w:val="00A96F38"/>
    <w:rsid w:val="00A970BD"/>
    <w:rsid w:val="00A970DA"/>
    <w:rsid w:val="00A970F6"/>
    <w:rsid w:val="00A971A6"/>
    <w:rsid w:val="00A9739A"/>
    <w:rsid w:val="00A9740F"/>
    <w:rsid w:val="00A9760B"/>
    <w:rsid w:val="00A976DB"/>
    <w:rsid w:val="00A97C4B"/>
    <w:rsid w:val="00A97D10"/>
    <w:rsid w:val="00A97DA9"/>
    <w:rsid w:val="00A97F70"/>
    <w:rsid w:val="00AA0041"/>
    <w:rsid w:val="00AA0127"/>
    <w:rsid w:val="00AA0512"/>
    <w:rsid w:val="00AA067E"/>
    <w:rsid w:val="00AA06B9"/>
    <w:rsid w:val="00AA07A0"/>
    <w:rsid w:val="00AA0949"/>
    <w:rsid w:val="00AA09BC"/>
    <w:rsid w:val="00AA0C17"/>
    <w:rsid w:val="00AA10A7"/>
    <w:rsid w:val="00AA10EE"/>
    <w:rsid w:val="00AA112F"/>
    <w:rsid w:val="00AA1867"/>
    <w:rsid w:val="00AA18B4"/>
    <w:rsid w:val="00AA1AA6"/>
    <w:rsid w:val="00AA1B87"/>
    <w:rsid w:val="00AA20F5"/>
    <w:rsid w:val="00AA28F0"/>
    <w:rsid w:val="00AA2936"/>
    <w:rsid w:val="00AA2BED"/>
    <w:rsid w:val="00AA2D52"/>
    <w:rsid w:val="00AA3001"/>
    <w:rsid w:val="00AA31F6"/>
    <w:rsid w:val="00AA3211"/>
    <w:rsid w:val="00AA3769"/>
    <w:rsid w:val="00AA3CEA"/>
    <w:rsid w:val="00AA3D54"/>
    <w:rsid w:val="00AA3E44"/>
    <w:rsid w:val="00AA3EAB"/>
    <w:rsid w:val="00AA3F34"/>
    <w:rsid w:val="00AA4020"/>
    <w:rsid w:val="00AA438E"/>
    <w:rsid w:val="00AA460A"/>
    <w:rsid w:val="00AA4707"/>
    <w:rsid w:val="00AA48C7"/>
    <w:rsid w:val="00AA4A38"/>
    <w:rsid w:val="00AA4D89"/>
    <w:rsid w:val="00AA4EB7"/>
    <w:rsid w:val="00AA5005"/>
    <w:rsid w:val="00AA5052"/>
    <w:rsid w:val="00AA5276"/>
    <w:rsid w:val="00AA5312"/>
    <w:rsid w:val="00AA560C"/>
    <w:rsid w:val="00AA5666"/>
    <w:rsid w:val="00AA592B"/>
    <w:rsid w:val="00AA5938"/>
    <w:rsid w:val="00AA5EB3"/>
    <w:rsid w:val="00AA5EBA"/>
    <w:rsid w:val="00AA5FAE"/>
    <w:rsid w:val="00AA60ED"/>
    <w:rsid w:val="00AA6543"/>
    <w:rsid w:val="00AA688A"/>
    <w:rsid w:val="00AA6B2A"/>
    <w:rsid w:val="00AA6CB6"/>
    <w:rsid w:val="00AA6D66"/>
    <w:rsid w:val="00AA6E53"/>
    <w:rsid w:val="00AA6FF1"/>
    <w:rsid w:val="00AA739F"/>
    <w:rsid w:val="00AA78E6"/>
    <w:rsid w:val="00AA78EC"/>
    <w:rsid w:val="00AA7A2C"/>
    <w:rsid w:val="00AA7A9C"/>
    <w:rsid w:val="00AB016A"/>
    <w:rsid w:val="00AB03E2"/>
    <w:rsid w:val="00AB0635"/>
    <w:rsid w:val="00AB08AA"/>
    <w:rsid w:val="00AB0969"/>
    <w:rsid w:val="00AB0984"/>
    <w:rsid w:val="00AB09F9"/>
    <w:rsid w:val="00AB0B79"/>
    <w:rsid w:val="00AB0BAA"/>
    <w:rsid w:val="00AB0C78"/>
    <w:rsid w:val="00AB0FC8"/>
    <w:rsid w:val="00AB0FD1"/>
    <w:rsid w:val="00AB119B"/>
    <w:rsid w:val="00AB128A"/>
    <w:rsid w:val="00AB17C6"/>
    <w:rsid w:val="00AB19CB"/>
    <w:rsid w:val="00AB1BBB"/>
    <w:rsid w:val="00AB1BF4"/>
    <w:rsid w:val="00AB1FBA"/>
    <w:rsid w:val="00AB266C"/>
    <w:rsid w:val="00AB292B"/>
    <w:rsid w:val="00AB293F"/>
    <w:rsid w:val="00AB2B1C"/>
    <w:rsid w:val="00AB2D52"/>
    <w:rsid w:val="00AB2FE3"/>
    <w:rsid w:val="00AB30FD"/>
    <w:rsid w:val="00AB31A7"/>
    <w:rsid w:val="00AB34C2"/>
    <w:rsid w:val="00AB353F"/>
    <w:rsid w:val="00AB38ED"/>
    <w:rsid w:val="00AB39E6"/>
    <w:rsid w:val="00AB3BF1"/>
    <w:rsid w:val="00AB3C2B"/>
    <w:rsid w:val="00AB3C88"/>
    <w:rsid w:val="00AB4732"/>
    <w:rsid w:val="00AB4AB9"/>
    <w:rsid w:val="00AB50A4"/>
    <w:rsid w:val="00AB54BC"/>
    <w:rsid w:val="00AB558E"/>
    <w:rsid w:val="00AB5803"/>
    <w:rsid w:val="00AB58E4"/>
    <w:rsid w:val="00AB5BED"/>
    <w:rsid w:val="00AB5C02"/>
    <w:rsid w:val="00AB5C85"/>
    <w:rsid w:val="00AB5DF2"/>
    <w:rsid w:val="00AB5E8D"/>
    <w:rsid w:val="00AB6166"/>
    <w:rsid w:val="00AB6342"/>
    <w:rsid w:val="00AB6383"/>
    <w:rsid w:val="00AB6419"/>
    <w:rsid w:val="00AB6479"/>
    <w:rsid w:val="00AB676F"/>
    <w:rsid w:val="00AB6CED"/>
    <w:rsid w:val="00AB6D97"/>
    <w:rsid w:val="00AB7048"/>
    <w:rsid w:val="00AB70A3"/>
    <w:rsid w:val="00AB71A0"/>
    <w:rsid w:val="00AB786A"/>
    <w:rsid w:val="00AB7E78"/>
    <w:rsid w:val="00AB7EAF"/>
    <w:rsid w:val="00AC001B"/>
    <w:rsid w:val="00AC006B"/>
    <w:rsid w:val="00AC00DC"/>
    <w:rsid w:val="00AC0150"/>
    <w:rsid w:val="00AC0211"/>
    <w:rsid w:val="00AC0AEF"/>
    <w:rsid w:val="00AC0B31"/>
    <w:rsid w:val="00AC0B74"/>
    <w:rsid w:val="00AC10AE"/>
    <w:rsid w:val="00AC1182"/>
    <w:rsid w:val="00AC119F"/>
    <w:rsid w:val="00AC1228"/>
    <w:rsid w:val="00AC1382"/>
    <w:rsid w:val="00AC14DB"/>
    <w:rsid w:val="00AC1534"/>
    <w:rsid w:val="00AC1563"/>
    <w:rsid w:val="00AC1586"/>
    <w:rsid w:val="00AC1B2A"/>
    <w:rsid w:val="00AC1C1A"/>
    <w:rsid w:val="00AC1C36"/>
    <w:rsid w:val="00AC1D44"/>
    <w:rsid w:val="00AC20F6"/>
    <w:rsid w:val="00AC2882"/>
    <w:rsid w:val="00AC2A71"/>
    <w:rsid w:val="00AC2CEE"/>
    <w:rsid w:val="00AC3037"/>
    <w:rsid w:val="00AC3038"/>
    <w:rsid w:val="00AC31B1"/>
    <w:rsid w:val="00AC33E5"/>
    <w:rsid w:val="00AC35DF"/>
    <w:rsid w:val="00AC36D0"/>
    <w:rsid w:val="00AC37FE"/>
    <w:rsid w:val="00AC3877"/>
    <w:rsid w:val="00AC3899"/>
    <w:rsid w:val="00AC3A86"/>
    <w:rsid w:val="00AC3BE5"/>
    <w:rsid w:val="00AC3E14"/>
    <w:rsid w:val="00AC400E"/>
    <w:rsid w:val="00AC44C4"/>
    <w:rsid w:val="00AC473D"/>
    <w:rsid w:val="00AC5160"/>
    <w:rsid w:val="00AC52A0"/>
    <w:rsid w:val="00AC5392"/>
    <w:rsid w:val="00AC55E5"/>
    <w:rsid w:val="00AC5D2A"/>
    <w:rsid w:val="00AC5EE2"/>
    <w:rsid w:val="00AC5FC2"/>
    <w:rsid w:val="00AC61BF"/>
    <w:rsid w:val="00AC6360"/>
    <w:rsid w:val="00AC683A"/>
    <w:rsid w:val="00AC69BC"/>
    <w:rsid w:val="00AC6DC3"/>
    <w:rsid w:val="00AC7490"/>
    <w:rsid w:val="00AC754C"/>
    <w:rsid w:val="00AC7674"/>
    <w:rsid w:val="00AC790B"/>
    <w:rsid w:val="00AC79D4"/>
    <w:rsid w:val="00AC7A1F"/>
    <w:rsid w:val="00AC7A55"/>
    <w:rsid w:val="00AC7FC7"/>
    <w:rsid w:val="00AC7FFD"/>
    <w:rsid w:val="00AD02CB"/>
    <w:rsid w:val="00AD05DE"/>
    <w:rsid w:val="00AD06BB"/>
    <w:rsid w:val="00AD09AC"/>
    <w:rsid w:val="00AD0BEC"/>
    <w:rsid w:val="00AD0D00"/>
    <w:rsid w:val="00AD0E89"/>
    <w:rsid w:val="00AD0FD6"/>
    <w:rsid w:val="00AD1391"/>
    <w:rsid w:val="00AD1451"/>
    <w:rsid w:val="00AD1706"/>
    <w:rsid w:val="00AD1DF0"/>
    <w:rsid w:val="00AD2208"/>
    <w:rsid w:val="00AD22E9"/>
    <w:rsid w:val="00AD27A3"/>
    <w:rsid w:val="00AD2843"/>
    <w:rsid w:val="00AD2AF5"/>
    <w:rsid w:val="00AD2C6A"/>
    <w:rsid w:val="00AD2FFF"/>
    <w:rsid w:val="00AD3015"/>
    <w:rsid w:val="00AD314E"/>
    <w:rsid w:val="00AD315B"/>
    <w:rsid w:val="00AD33C7"/>
    <w:rsid w:val="00AD390B"/>
    <w:rsid w:val="00AD3BC7"/>
    <w:rsid w:val="00AD3C2A"/>
    <w:rsid w:val="00AD40B5"/>
    <w:rsid w:val="00AD4133"/>
    <w:rsid w:val="00AD41B0"/>
    <w:rsid w:val="00AD46A9"/>
    <w:rsid w:val="00AD4A34"/>
    <w:rsid w:val="00AD4BE3"/>
    <w:rsid w:val="00AD4C78"/>
    <w:rsid w:val="00AD50AF"/>
    <w:rsid w:val="00AD5781"/>
    <w:rsid w:val="00AD593A"/>
    <w:rsid w:val="00AD59F6"/>
    <w:rsid w:val="00AD5AAB"/>
    <w:rsid w:val="00AD5AEA"/>
    <w:rsid w:val="00AD5B82"/>
    <w:rsid w:val="00AD5C47"/>
    <w:rsid w:val="00AD5EF5"/>
    <w:rsid w:val="00AD5F5B"/>
    <w:rsid w:val="00AD601E"/>
    <w:rsid w:val="00AD63A9"/>
    <w:rsid w:val="00AD6897"/>
    <w:rsid w:val="00AD693C"/>
    <w:rsid w:val="00AD6A38"/>
    <w:rsid w:val="00AD6B58"/>
    <w:rsid w:val="00AD6CEC"/>
    <w:rsid w:val="00AD6E86"/>
    <w:rsid w:val="00AD6EDE"/>
    <w:rsid w:val="00AD7287"/>
    <w:rsid w:val="00AD72D0"/>
    <w:rsid w:val="00AD79FB"/>
    <w:rsid w:val="00AD7AD1"/>
    <w:rsid w:val="00AD7FDE"/>
    <w:rsid w:val="00AE00F5"/>
    <w:rsid w:val="00AE02B9"/>
    <w:rsid w:val="00AE04DC"/>
    <w:rsid w:val="00AE0668"/>
    <w:rsid w:val="00AE08B9"/>
    <w:rsid w:val="00AE09CD"/>
    <w:rsid w:val="00AE0B12"/>
    <w:rsid w:val="00AE0B66"/>
    <w:rsid w:val="00AE0B94"/>
    <w:rsid w:val="00AE107A"/>
    <w:rsid w:val="00AE10ED"/>
    <w:rsid w:val="00AE1181"/>
    <w:rsid w:val="00AE1259"/>
    <w:rsid w:val="00AE134D"/>
    <w:rsid w:val="00AE1626"/>
    <w:rsid w:val="00AE1B4F"/>
    <w:rsid w:val="00AE1DDA"/>
    <w:rsid w:val="00AE1DF6"/>
    <w:rsid w:val="00AE1FC9"/>
    <w:rsid w:val="00AE212F"/>
    <w:rsid w:val="00AE2193"/>
    <w:rsid w:val="00AE24BE"/>
    <w:rsid w:val="00AE25C9"/>
    <w:rsid w:val="00AE27FF"/>
    <w:rsid w:val="00AE286C"/>
    <w:rsid w:val="00AE295A"/>
    <w:rsid w:val="00AE2CD4"/>
    <w:rsid w:val="00AE38AA"/>
    <w:rsid w:val="00AE4368"/>
    <w:rsid w:val="00AE4576"/>
    <w:rsid w:val="00AE47B7"/>
    <w:rsid w:val="00AE4BCF"/>
    <w:rsid w:val="00AE4E91"/>
    <w:rsid w:val="00AE4EC7"/>
    <w:rsid w:val="00AE5077"/>
    <w:rsid w:val="00AE509B"/>
    <w:rsid w:val="00AE5120"/>
    <w:rsid w:val="00AE53FF"/>
    <w:rsid w:val="00AE544E"/>
    <w:rsid w:val="00AE55C7"/>
    <w:rsid w:val="00AE5926"/>
    <w:rsid w:val="00AE5944"/>
    <w:rsid w:val="00AE59A3"/>
    <w:rsid w:val="00AE5A51"/>
    <w:rsid w:val="00AE5B29"/>
    <w:rsid w:val="00AE5CDB"/>
    <w:rsid w:val="00AE5D5B"/>
    <w:rsid w:val="00AE5F9F"/>
    <w:rsid w:val="00AE611B"/>
    <w:rsid w:val="00AE6251"/>
    <w:rsid w:val="00AE6566"/>
    <w:rsid w:val="00AE6818"/>
    <w:rsid w:val="00AE6A0D"/>
    <w:rsid w:val="00AE6A82"/>
    <w:rsid w:val="00AE725C"/>
    <w:rsid w:val="00AE76DD"/>
    <w:rsid w:val="00AE7C9B"/>
    <w:rsid w:val="00AE7F78"/>
    <w:rsid w:val="00AF00FF"/>
    <w:rsid w:val="00AF0423"/>
    <w:rsid w:val="00AF060D"/>
    <w:rsid w:val="00AF0673"/>
    <w:rsid w:val="00AF07B3"/>
    <w:rsid w:val="00AF0817"/>
    <w:rsid w:val="00AF083B"/>
    <w:rsid w:val="00AF0A56"/>
    <w:rsid w:val="00AF1225"/>
    <w:rsid w:val="00AF15B4"/>
    <w:rsid w:val="00AF15F0"/>
    <w:rsid w:val="00AF190F"/>
    <w:rsid w:val="00AF1C67"/>
    <w:rsid w:val="00AF1E34"/>
    <w:rsid w:val="00AF1EC0"/>
    <w:rsid w:val="00AF225C"/>
    <w:rsid w:val="00AF24CF"/>
    <w:rsid w:val="00AF27CF"/>
    <w:rsid w:val="00AF28CE"/>
    <w:rsid w:val="00AF29D4"/>
    <w:rsid w:val="00AF2B4F"/>
    <w:rsid w:val="00AF2DE0"/>
    <w:rsid w:val="00AF2F37"/>
    <w:rsid w:val="00AF3D26"/>
    <w:rsid w:val="00AF4144"/>
    <w:rsid w:val="00AF4707"/>
    <w:rsid w:val="00AF4835"/>
    <w:rsid w:val="00AF4A31"/>
    <w:rsid w:val="00AF4DDB"/>
    <w:rsid w:val="00AF5330"/>
    <w:rsid w:val="00AF5784"/>
    <w:rsid w:val="00AF5ADA"/>
    <w:rsid w:val="00AF5B8E"/>
    <w:rsid w:val="00AF5C60"/>
    <w:rsid w:val="00AF5CAF"/>
    <w:rsid w:val="00AF5D63"/>
    <w:rsid w:val="00AF5E51"/>
    <w:rsid w:val="00AF61E1"/>
    <w:rsid w:val="00AF66B8"/>
    <w:rsid w:val="00AF6731"/>
    <w:rsid w:val="00AF6DD1"/>
    <w:rsid w:val="00AF7176"/>
    <w:rsid w:val="00AF7276"/>
    <w:rsid w:val="00AF7440"/>
    <w:rsid w:val="00AF7857"/>
    <w:rsid w:val="00AF78D8"/>
    <w:rsid w:val="00AF79A7"/>
    <w:rsid w:val="00AF7B35"/>
    <w:rsid w:val="00B000BE"/>
    <w:rsid w:val="00B00445"/>
    <w:rsid w:val="00B00B3F"/>
    <w:rsid w:val="00B00BF6"/>
    <w:rsid w:val="00B00BF7"/>
    <w:rsid w:val="00B00D90"/>
    <w:rsid w:val="00B010F1"/>
    <w:rsid w:val="00B01104"/>
    <w:rsid w:val="00B01172"/>
    <w:rsid w:val="00B0149B"/>
    <w:rsid w:val="00B014BF"/>
    <w:rsid w:val="00B01516"/>
    <w:rsid w:val="00B016BE"/>
    <w:rsid w:val="00B01F5F"/>
    <w:rsid w:val="00B0289C"/>
    <w:rsid w:val="00B02ADF"/>
    <w:rsid w:val="00B02B66"/>
    <w:rsid w:val="00B02CB2"/>
    <w:rsid w:val="00B02CCC"/>
    <w:rsid w:val="00B02E9D"/>
    <w:rsid w:val="00B02F78"/>
    <w:rsid w:val="00B032BB"/>
    <w:rsid w:val="00B03493"/>
    <w:rsid w:val="00B03528"/>
    <w:rsid w:val="00B03868"/>
    <w:rsid w:val="00B03C1A"/>
    <w:rsid w:val="00B03E75"/>
    <w:rsid w:val="00B04188"/>
    <w:rsid w:val="00B04215"/>
    <w:rsid w:val="00B04400"/>
    <w:rsid w:val="00B04A30"/>
    <w:rsid w:val="00B04BA5"/>
    <w:rsid w:val="00B05103"/>
    <w:rsid w:val="00B0546A"/>
    <w:rsid w:val="00B0570A"/>
    <w:rsid w:val="00B0607E"/>
    <w:rsid w:val="00B061D5"/>
    <w:rsid w:val="00B061F9"/>
    <w:rsid w:val="00B06325"/>
    <w:rsid w:val="00B065B1"/>
    <w:rsid w:val="00B065D5"/>
    <w:rsid w:val="00B06B1B"/>
    <w:rsid w:val="00B06CCB"/>
    <w:rsid w:val="00B06E4C"/>
    <w:rsid w:val="00B06F2B"/>
    <w:rsid w:val="00B06F7A"/>
    <w:rsid w:val="00B0708A"/>
    <w:rsid w:val="00B07901"/>
    <w:rsid w:val="00B07B3F"/>
    <w:rsid w:val="00B07E4E"/>
    <w:rsid w:val="00B1011C"/>
    <w:rsid w:val="00B10191"/>
    <w:rsid w:val="00B104FC"/>
    <w:rsid w:val="00B10720"/>
    <w:rsid w:val="00B10900"/>
    <w:rsid w:val="00B10999"/>
    <w:rsid w:val="00B109B3"/>
    <w:rsid w:val="00B109EC"/>
    <w:rsid w:val="00B10A17"/>
    <w:rsid w:val="00B10CFD"/>
    <w:rsid w:val="00B10F5D"/>
    <w:rsid w:val="00B1138E"/>
    <w:rsid w:val="00B11B91"/>
    <w:rsid w:val="00B11F07"/>
    <w:rsid w:val="00B11F7C"/>
    <w:rsid w:val="00B11FA9"/>
    <w:rsid w:val="00B12104"/>
    <w:rsid w:val="00B12337"/>
    <w:rsid w:val="00B1241F"/>
    <w:rsid w:val="00B12703"/>
    <w:rsid w:val="00B12B95"/>
    <w:rsid w:val="00B12C3A"/>
    <w:rsid w:val="00B12D56"/>
    <w:rsid w:val="00B12F4F"/>
    <w:rsid w:val="00B12FFF"/>
    <w:rsid w:val="00B13053"/>
    <w:rsid w:val="00B1307E"/>
    <w:rsid w:val="00B13106"/>
    <w:rsid w:val="00B132C6"/>
    <w:rsid w:val="00B132EF"/>
    <w:rsid w:val="00B1341B"/>
    <w:rsid w:val="00B1399A"/>
    <w:rsid w:val="00B13B80"/>
    <w:rsid w:val="00B13BEA"/>
    <w:rsid w:val="00B13DB5"/>
    <w:rsid w:val="00B13ED1"/>
    <w:rsid w:val="00B142A9"/>
    <w:rsid w:val="00B14634"/>
    <w:rsid w:val="00B146B7"/>
    <w:rsid w:val="00B14773"/>
    <w:rsid w:val="00B1491C"/>
    <w:rsid w:val="00B14D65"/>
    <w:rsid w:val="00B14F38"/>
    <w:rsid w:val="00B14F4F"/>
    <w:rsid w:val="00B14F7F"/>
    <w:rsid w:val="00B14FE9"/>
    <w:rsid w:val="00B15087"/>
    <w:rsid w:val="00B1527B"/>
    <w:rsid w:val="00B15384"/>
    <w:rsid w:val="00B156B3"/>
    <w:rsid w:val="00B15849"/>
    <w:rsid w:val="00B15870"/>
    <w:rsid w:val="00B158F8"/>
    <w:rsid w:val="00B15BCB"/>
    <w:rsid w:val="00B15BEC"/>
    <w:rsid w:val="00B15E11"/>
    <w:rsid w:val="00B15E1C"/>
    <w:rsid w:val="00B16183"/>
    <w:rsid w:val="00B16CE7"/>
    <w:rsid w:val="00B16E10"/>
    <w:rsid w:val="00B16E6E"/>
    <w:rsid w:val="00B174D0"/>
    <w:rsid w:val="00B174E8"/>
    <w:rsid w:val="00B1778A"/>
    <w:rsid w:val="00B177CF"/>
    <w:rsid w:val="00B1788E"/>
    <w:rsid w:val="00B17A52"/>
    <w:rsid w:val="00B17B2F"/>
    <w:rsid w:val="00B17DB0"/>
    <w:rsid w:val="00B20441"/>
    <w:rsid w:val="00B20662"/>
    <w:rsid w:val="00B20796"/>
    <w:rsid w:val="00B20BE7"/>
    <w:rsid w:val="00B21187"/>
    <w:rsid w:val="00B21338"/>
    <w:rsid w:val="00B21A88"/>
    <w:rsid w:val="00B21E15"/>
    <w:rsid w:val="00B21E53"/>
    <w:rsid w:val="00B21EF6"/>
    <w:rsid w:val="00B22105"/>
    <w:rsid w:val="00B2214A"/>
    <w:rsid w:val="00B221DF"/>
    <w:rsid w:val="00B22228"/>
    <w:rsid w:val="00B226B0"/>
    <w:rsid w:val="00B22809"/>
    <w:rsid w:val="00B22A45"/>
    <w:rsid w:val="00B22B8A"/>
    <w:rsid w:val="00B2309E"/>
    <w:rsid w:val="00B230EC"/>
    <w:rsid w:val="00B233E7"/>
    <w:rsid w:val="00B2347B"/>
    <w:rsid w:val="00B23511"/>
    <w:rsid w:val="00B2358B"/>
    <w:rsid w:val="00B235B7"/>
    <w:rsid w:val="00B23764"/>
    <w:rsid w:val="00B238A9"/>
    <w:rsid w:val="00B23AD3"/>
    <w:rsid w:val="00B23B95"/>
    <w:rsid w:val="00B241BE"/>
    <w:rsid w:val="00B24300"/>
    <w:rsid w:val="00B245AD"/>
    <w:rsid w:val="00B24652"/>
    <w:rsid w:val="00B246C1"/>
    <w:rsid w:val="00B247B6"/>
    <w:rsid w:val="00B24BC4"/>
    <w:rsid w:val="00B24C92"/>
    <w:rsid w:val="00B24C98"/>
    <w:rsid w:val="00B24EAC"/>
    <w:rsid w:val="00B24FC1"/>
    <w:rsid w:val="00B25136"/>
    <w:rsid w:val="00B254C7"/>
    <w:rsid w:val="00B25505"/>
    <w:rsid w:val="00B255EF"/>
    <w:rsid w:val="00B2582A"/>
    <w:rsid w:val="00B2588B"/>
    <w:rsid w:val="00B259A4"/>
    <w:rsid w:val="00B259F7"/>
    <w:rsid w:val="00B25D08"/>
    <w:rsid w:val="00B264E1"/>
    <w:rsid w:val="00B26535"/>
    <w:rsid w:val="00B266C7"/>
    <w:rsid w:val="00B268FA"/>
    <w:rsid w:val="00B26D27"/>
    <w:rsid w:val="00B2723D"/>
    <w:rsid w:val="00B27724"/>
    <w:rsid w:val="00B27DB8"/>
    <w:rsid w:val="00B27F24"/>
    <w:rsid w:val="00B27FBA"/>
    <w:rsid w:val="00B3028E"/>
    <w:rsid w:val="00B302A3"/>
    <w:rsid w:val="00B306D9"/>
    <w:rsid w:val="00B30A6E"/>
    <w:rsid w:val="00B30AEC"/>
    <w:rsid w:val="00B30C32"/>
    <w:rsid w:val="00B30F9F"/>
    <w:rsid w:val="00B3112F"/>
    <w:rsid w:val="00B31375"/>
    <w:rsid w:val="00B31DCE"/>
    <w:rsid w:val="00B31F98"/>
    <w:rsid w:val="00B31FD5"/>
    <w:rsid w:val="00B32067"/>
    <w:rsid w:val="00B328A5"/>
    <w:rsid w:val="00B328A9"/>
    <w:rsid w:val="00B32AFA"/>
    <w:rsid w:val="00B32E40"/>
    <w:rsid w:val="00B32EF2"/>
    <w:rsid w:val="00B331B7"/>
    <w:rsid w:val="00B331E2"/>
    <w:rsid w:val="00B33477"/>
    <w:rsid w:val="00B3361F"/>
    <w:rsid w:val="00B33701"/>
    <w:rsid w:val="00B337F4"/>
    <w:rsid w:val="00B339DE"/>
    <w:rsid w:val="00B33A4C"/>
    <w:rsid w:val="00B33D73"/>
    <w:rsid w:val="00B33E1D"/>
    <w:rsid w:val="00B34186"/>
    <w:rsid w:val="00B341E6"/>
    <w:rsid w:val="00B34545"/>
    <w:rsid w:val="00B3489D"/>
    <w:rsid w:val="00B34ADF"/>
    <w:rsid w:val="00B34D2F"/>
    <w:rsid w:val="00B350DD"/>
    <w:rsid w:val="00B35183"/>
    <w:rsid w:val="00B3529D"/>
    <w:rsid w:val="00B358A6"/>
    <w:rsid w:val="00B35C64"/>
    <w:rsid w:val="00B364CB"/>
    <w:rsid w:val="00B3684A"/>
    <w:rsid w:val="00B36AEE"/>
    <w:rsid w:val="00B36D05"/>
    <w:rsid w:val="00B36FEE"/>
    <w:rsid w:val="00B373AC"/>
    <w:rsid w:val="00B37591"/>
    <w:rsid w:val="00B37764"/>
    <w:rsid w:val="00B37806"/>
    <w:rsid w:val="00B37B06"/>
    <w:rsid w:val="00B37D6D"/>
    <w:rsid w:val="00B4044C"/>
    <w:rsid w:val="00B4045A"/>
    <w:rsid w:val="00B405BB"/>
    <w:rsid w:val="00B40850"/>
    <w:rsid w:val="00B40B6B"/>
    <w:rsid w:val="00B40CAD"/>
    <w:rsid w:val="00B40EE9"/>
    <w:rsid w:val="00B40FE2"/>
    <w:rsid w:val="00B41058"/>
    <w:rsid w:val="00B41098"/>
    <w:rsid w:val="00B4122C"/>
    <w:rsid w:val="00B413C0"/>
    <w:rsid w:val="00B41664"/>
    <w:rsid w:val="00B416EE"/>
    <w:rsid w:val="00B417C7"/>
    <w:rsid w:val="00B41D82"/>
    <w:rsid w:val="00B42074"/>
    <w:rsid w:val="00B420CB"/>
    <w:rsid w:val="00B42721"/>
    <w:rsid w:val="00B42BB3"/>
    <w:rsid w:val="00B42CB6"/>
    <w:rsid w:val="00B42DA6"/>
    <w:rsid w:val="00B434E3"/>
    <w:rsid w:val="00B43546"/>
    <w:rsid w:val="00B435F3"/>
    <w:rsid w:val="00B43717"/>
    <w:rsid w:val="00B43A0C"/>
    <w:rsid w:val="00B43CC3"/>
    <w:rsid w:val="00B43D4D"/>
    <w:rsid w:val="00B43DFB"/>
    <w:rsid w:val="00B43E31"/>
    <w:rsid w:val="00B43EE1"/>
    <w:rsid w:val="00B44128"/>
    <w:rsid w:val="00B443AD"/>
    <w:rsid w:val="00B443B7"/>
    <w:rsid w:val="00B44413"/>
    <w:rsid w:val="00B4450B"/>
    <w:rsid w:val="00B445BC"/>
    <w:rsid w:val="00B446C5"/>
    <w:rsid w:val="00B4470B"/>
    <w:rsid w:val="00B449AB"/>
    <w:rsid w:val="00B449B0"/>
    <w:rsid w:val="00B44B28"/>
    <w:rsid w:val="00B4506F"/>
    <w:rsid w:val="00B455DA"/>
    <w:rsid w:val="00B459AC"/>
    <w:rsid w:val="00B45ACE"/>
    <w:rsid w:val="00B45B07"/>
    <w:rsid w:val="00B45C4A"/>
    <w:rsid w:val="00B45DD4"/>
    <w:rsid w:val="00B461D6"/>
    <w:rsid w:val="00B4626D"/>
    <w:rsid w:val="00B46567"/>
    <w:rsid w:val="00B46655"/>
    <w:rsid w:val="00B469CA"/>
    <w:rsid w:val="00B46C05"/>
    <w:rsid w:val="00B46D81"/>
    <w:rsid w:val="00B46DDE"/>
    <w:rsid w:val="00B46FA0"/>
    <w:rsid w:val="00B47279"/>
    <w:rsid w:val="00B47324"/>
    <w:rsid w:val="00B475AA"/>
    <w:rsid w:val="00B47616"/>
    <w:rsid w:val="00B47626"/>
    <w:rsid w:val="00B47AC6"/>
    <w:rsid w:val="00B47C6F"/>
    <w:rsid w:val="00B47D75"/>
    <w:rsid w:val="00B47E7B"/>
    <w:rsid w:val="00B50409"/>
    <w:rsid w:val="00B50542"/>
    <w:rsid w:val="00B508DE"/>
    <w:rsid w:val="00B50930"/>
    <w:rsid w:val="00B509A6"/>
    <w:rsid w:val="00B50BAD"/>
    <w:rsid w:val="00B51194"/>
    <w:rsid w:val="00B511B5"/>
    <w:rsid w:val="00B5149F"/>
    <w:rsid w:val="00B51643"/>
    <w:rsid w:val="00B51BB1"/>
    <w:rsid w:val="00B51CDC"/>
    <w:rsid w:val="00B51D39"/>
    <w:rsid w:val="00B51D74"/>
    <w:rsid w:val="00B51F20"/>
    <w:rsid w:val="00B5269E"/>
    <w:rsid w:val="00B52A2A"/>
    <w:rsid w:val="00B52A8B"/>
    <w:rsid w:val="00B52B81"/>
    <w:rsid w:val="00B52EC6"/>
    <w:rsid w:val="00B530C3"/>
    <w:rsid w:val="00B53120"/>
    <w:rsid w:val="00B531A6"/>
    <w:rsid w:val="00B5367E"/>
    <w:rsid w:val="00B53C04"/>
    <w:rsid w:val="00B53E77"/>
    <w:rsid w:val="00B54247"/>
    <w:rsid w:val="00B546FE"/>
    <w:rsid w:val="00B549A2"/>
    <w:rsid w:val="00B550BF"/>
    <w:rsid w:val="00B562F2"/>
    <w:rsid w:val="00B563DB"/>
    <w:rsid w:val="00B56517"/>
    <w:rsid w:val="00B56951"/>
    <w:rsid w:val="00B56980"/>
    <w:rsid w:val="00B56B82"/>
    <w:rsid w:val="00B56C3F"/>
    <w:rsid w:val="00B56CD3"/>
    <w:rsid w:val="00B56E0D"/>
    <w:rsid w:val="00B57201"/>
    <w:rsid w:val="00B572B0"/>
    <w:rsid w:val="00B5753D"/>
    <w:rsid w:val="00B575FC"/>
    <w:rsid w:val="00B577E0"/>
    <w:rsid w:val="00B578EB"/>
    <w:rsid w:val="00B600E4"/>
    <w:rsid w:val="00B6022E"/>
    <w:rsid w:val="00B6028A"/>
    <w:rsid w:val="00B6058A"/>
    <w:rsid w:val="00B6079E"/>
    <w:rsid w:val="00B60812"/>
    <w:rsid w:val="00B60DEF"/>
    <w:rsid w:val="00B61841"/>
    <w:rsid w:val="00B61EC8"/>
    <w:rsid w:val="00B621C9"/>
    <w:rsid w:val="00B624AB"/>
    <w:rsid w:val="00B624EC"/>
    <w:rsid w:val="00B625AC"/>
    <w:rsid w:val="00B627E9"/>
    <w:rsid w:val="00B62C42"/>
    <w:rsid w:val="00B6339F"/>
    <w:rsid w:val="00B633EB"/>
    <w:rsid w:val="00B635FB"/>
    <w:rsid w:val="00B63735"/>
    <w:rsid w:val="00B638AB"/>
    <w:rsid w:val="00B63A52"/>
    <w:rsid w:val="00B63A61"/>
    <w:rsid w:val="00B63BB6"/>
    <w:rsid w:val="00B63CE4"/>
    <w:rsid w:val="00B64318"/>
    <w:rsid w:val="00B6463A"/>
    <w:rsid w:val="00B6490B"/>
    <w:rsid w:val="00B64A23"/>
    <w:rsid w:val="00B64D6F"/>
    <w:rsid w:val="00B64DEB"/>
    <w:rsid w:val="00B64F20"/>
    <w:rsid w:val="00B65404"/>
    <w:rsid w:val="00B655C1"/>
    <w:rsid w:val="00B655C2"/>
    <w:rsid w:val="00B65678"/>
    <w:rsid w:val="00B6575E"/>
    <w:rsid w:val="00B65A5F"/>
    <w:rsid w:val="00B65A7B"/>
    <w:rsid w:val="00B65C43"/>
    <w:rsid w:val="00B664A1"/>
    <w:rsid w:val="00B664C8"/>
    <w:rsid w:val="00B664D0"/>
    <w:rsid w:val="00B665A5"/>
    <w:rsid w:val="00B665FB"/>
    <w:rsid w:val="00B66680"/>
    <w:rsid w:val="00B667A3"/>
    <w:rsid w:val="00B66941"/>
    <w:rsid w:val="00B66D96"/>
    <w:rsid w:val="00B66F81"/>
    <w:rsid w:val="00B6778B"/>
    <w:rsid w:val="00B67DCF"/>
    <w:rsid w:val="00B67ED1"/>
    <w:rsid w:val="00B702B4"/>
    <w:rsid w:val="00B704E0"/>
    <w:rsid w:val="00B7086B"/>
    <w:rsid w:val="00B70884"/>
    <w:rsid w:val="00B70E22"/>
    <w:rsid w:val="00B71194"/>
    <w:rsid w:val="00B711CB"/>
    <w:rsid w:val="00B71307"/>
    <w:rsid w:val="00B719A9"/>
    <w:rsid w:val="00B71B3B"/>
    <w:rsid w:val="00B71DD3"/>
    <w:rsid w:val="00B71E99"/>
    <w:rsid w:val="00B71F38"/>
    <w:rsid w:val="00B72394"/>
    <w:rsid w:val="00B724B1"/>
    <w:rsid w:val="00B724C7"/>
    <w:rsid w:val="00B724D2"/>
    <w:rsid w:val="00B72594"/>
    <w:rsid w:val="00B7278F"/>
    <w:rsid w:val="00B728FC"/>
    <w:rsid w:val="00B72A68"/>
    <w:rsid w:val="00B72BC5"/>
    <w:rsid w:val="00B73027"/>
    <w:rsid w:val="00B734DE"/>
    <w:rsid w:val="00B73630"/>
    <w:rsid w:val="00B73704"/>
    <w:rsid w:val="00B73721"/>
    <w:rsid w:val="00B73981"/>
    <w:rsid w:val="00B739A5"/>
    <w:rsid w:val="00B73B50"/>
    <w:rsid w:val="00B73DA8"/>
    <w:rsid w:val="00B73F1B"/>
    <w:rsid w:val="00B741FD"/>
    <w:rsid w:val="00B74435"/>
    <w:rsid w:val="00B745DA"/>
    <w:rsid w:val="00B74680"/>
    <w:rsid w:val="00B748DD"/>
    <w:rsid w:val="00B74A09"/>
    <w:rsid w:val="00B74CB3"/>
    <w:rsid w:val="00B750FC"/>
    <w:rsid w:val="00B75917"/>
    <w:rsid w:val="00B75991"/>
    <w:rsid w:val="00B759E7"/>
    <w:rsid w:val="00B761EB"/>
    <w:rsid w:val="00B76245"/>
    <w:rsid w:val="00B76A2C"/>
    <w:rsid w:val="00B76C1B"/>
    <w:rsid w:val="00B76F4C"/>
    <w:rsid w:val="00B770AC"/>
    <w:rsid w:val="00B770D4"/>
    <w:rsid w:val="00B7770C"/>
    <w:rsid w:val="00B77710"/>
    <w:rsid w:val="00B778A2"/>
    <w:rsid w:val="00B77DE1"/>
    <w:rsid w:val="00B77F6A"/>
    <w:rsid w:val="00B802BF"/>
    <w:rsid w:val="00B80329"/>
    <w:rsid w:val="00B803B4"/>
    <w:rsid w:val="00B80402"/>
    <w:rsid w:val="00B806FD"/>
    <w:rsid w:val="00B80959"/>
    <w:rsid w:val="00B80A08"/>
    <w:rsid w:val="00B810CA"/>
    <w:rsid w:val="00B81137"/>
    <w:rsid w:val="00B81160"/>
    <w:rsid w:val="00B8126D"/>
    <w:rsid w:val="00B813A8"/>
    <w:rsid w:val="00B815A1"/>
    <w:rsid w:val="00B81661"/>
    <w:rsid w:val="00B81B01"/>
    <w:rsid w:val="00B81CAE"/>
    <w:rsid w:val="00B81D3C"/>
    <w:rsid w:val="00B81DDE"/>
    <w:rsid w:val="00B81EF1"/>
    <w:rsid w:val="00B82978"/>
    <w:rsid w:val="00B82A3F"/>
    <w:rsid w:val="00B82BFB"/>
    <w:rsid w:val="00B82CEF"/>
    <w:rsid w:val="00B82DC6"/>
    <w:rsid w:val="00B82E1A"/>
    <w:rsid w:val="00B83055"/>
    <w:rsid w:val="00B83379"/>
    <w:rsid w:val="00B83540"/>
    <w:rsid w:val="00B8362A"/>
    <w:rsid w:val="00B836D3"/>
    <w:rsid w:val="00B837C3"/>
    <w:rsid w:val="00B83D61"/>
    <w:rsid w:val="00B83E1C"/>
    <w:rsid w:val="00B8400E"/>
    <w:rsid w:val="00B842D9"/>
    <w:rsid w:val="00B843CF"/>
    <w:rsid w:val="00B8446F"/>
    <w:rsid w:val="00B8454E"/>
    <w:rsid w:val="00B84CDA"/>
    <w:rsid w:val="00B84DC1"/>
    <w:rsid w:val="00B84E20"/>
    <w:rsid w:val="00B850CA"/>
    <w:rsid w:val="00B851CF"/>
    <w:rsid w:val="00B855AE"/>
    <w:rsid w:val="00B8585E"/>
    <w:rsid w:val="00B85F4F"/>
    <w:rsid w:val="00B86097"/>
    <w:rsid w:val="00B860E4"/>
    <w:rsid w:val="00B861B6"/>
    <w:rsid w:val="00B86369"/>
    <w:rsid w:val="00B86817"/>
    <w:rsid w:val="00B8694C"/>
    <w:rsid w:val="00B86A84"/>
    <w:rsid w:val="00B86FC8"/>
    <w:rsid w:val="00B87105"/>
    <w:rsid w:val="00B8740C"/>
    <w:rsid w:val="00B874E1"/>
    <w:rsid w:val="00B875EA"/>
    <w:rsid w:val="00B87D4D"/>
    <w:rsid w:val="00B87E75"/>
    <w:rsid w:val="00B87EFE"/>
    <w:rsid w:val="00B87FAC"/>
    <w:rsid w:val="00B90015"/>
    <w:rsid w:val="00B90170"/>
    <w:rsid w:val="00B901C9"/>
    <w:rsid w:val="00B90206"/>
    <w:rsid w:val="00B9024D"/>
    <w:rsid w:val="00B90325"/>
    <w:rsid w:val="00B90351"/>
    <w:rsid w:val="00B906E4"/>
    <w:rsid w:val="00B90EE4"/>
    <w:rsid w:val="00B91007"/>
    <w:rsid w:val="00B91091"/>
    <w:rsid w:val="00B916F5"/>
    <w:rsid w:val="00B917DF"/>
    <w:rsid w:val="00B918AC"/>
    <w:rsid w:val="00B91A0C"/>
    <w:rsid w:val="00B91EDE"/>
    <w:rsid w:val="00B91FFA"/>
    <w:rsid w:val="00B924EA"/>
    <w:rsid w:val="00B925E9"/>
    <w:rsid w:val="00B926E2"/>
    <w:rsid w:val="00B926E3"/>
    <w:rsid w:val="00B927AA"/>
    <w:rsid w:val="00B92A50"/>
    <w:rsid w:val="00B92C67"/>
    <w:rsid w:val="00B9332F"/>
    <w:rsid w:val="00B938FC"/>
    <w:rsid w:val="00B9396C"/>
    <w:rsid w:val="00B93A78"/>
    <w:rsid w:val="00B93C3D"/>
    <w:rsid w:val="00B93C86"/>
    <w:rsid w:val="00B93CA1"/>
    <w:rsid w:val="00B93D92"/>
    <w:rsid w:val="00B93FAA"/>
    <w:rsid w:val="00B94125"/>
    <w:rsid w:val="00B9419E"/>
    <w:rsid w:val="00B9458E"/>
    <w:rsid w:val="00B9493E"/>
    <w:rsid w:val="00B94B14"/>
    <w:rsid w:val="00B94D19"/>
    <w:rsid w:val="00B95019"/>
    <w:rsid w:val="00B95147"/>
    <w:rsid w:val="00B952CF"/>
    <w:rsid w:val="00B959EC"/>
    <w:rsid w:val="00B95A69"/>
    <w:rsid w:val="00B95B13"/>
    <w:rsid w:val="00B95C4D"/>
    <w:rsid w:val="00B95E74"/>
    <w:rsid w:val="00B95F03"/>
    <w:rsid w:val="00B9647E"/>
    <w:rsid w:val="00B96A95"/>
    <w:rsid w:val="00B96B04"/>
    <w:rsid w:val="00B96F41"/>
    <w:rsid w:val="00B97647"/>
    <w:rsid w:val="00B97C12"/>
    <w:rsid w:val="00B97E1F"/>
    <w:rsid w:val="00BA010A"/>
    <w:rsid w:val="00BA0241"/>
    <w:rsid w:val="00BA02FD"/>
    <w:rsid w:val="00BA04C2"/>
    <w:rsid w:val="00BA0943"/>
    <w:rsid w:val="00BA0DBA"/>
    <w:rsid w:val="00BA0E7C"/>
    <w:rsid w:val="00BA101F"/>
    <w:rsid w:val="00BA11C6"/>
    <w:rsid w:val="00BA17CE"/>
    <w:rsid w:val="00BA1896"/>
    <w:rsid w:val="00BA19A6"/>
    <w:rsid w:val="00BA1D7C"/>
    <w:rsid w:val="00BA1E3F"/>
    <w:rsid w:val="00BA1E45"/>
    <w:rsid w:val="00BA2208"/>
    <w:rsid w:val="00BA22D6"/>
    <w:rsid w:val="00BA2302"/>
    <w:rsid w:val="00BA24C8"/>
    <w:rsid w:val="00BA279F"/>
    <w:rsid w:val="00BA2DA9"/>
    <w:rsid w:val="00BA2EC2"/>
    <w:rsid w:val="00BA31F6"/>
    <w:rsid w:val="00BA32E9"/>
    <w:rsid w:val="00BA34C1"/>
    <w:rsid w:val="00BA3567"/>
    <w:rsid w:val="00BA36AB"/>
    <w:rsid w:val="00BA389B"/>
    <w:rsid w:val="00BA3A3E"/>
    <w:rsid w:val="00BA3C1D"/>
    <w:rsid w:val="00BA3CA3"/>
    <w:rsid w:val="00BA3F19"/>
    <w:rsid w:val="00BA42E0"/>
    <w:rsid w:val="00BA42F7"/>
    <w:rsid w:val="00BA4520"/>
    <w:rsid w:val="00BA4678"/>
    <w:rsid w:val="00BA469A"/>
    <w:rsid w:val="00BA4C78"/>
    <w:rsid w:val="00BA5099"/>
    <w:rsid w:val="00BA564A"/>
    <w:rsid w:val="00BA5767"/>
    <w:rsid w:val="00BA5AAE"/>
    <w:rsid w:val="00BA607C"/>
    <w:rsid w:val="00BA6102"/>
    <w:rsid w:val="00BA61FD"/>
    <w:rsid w:val="00BA6200"/>
    <w:rsid w:val="00BA639E"/>
    <w:rsid w:val="00BA64E5"/>
    <w:rsid w:val="00BA6642"/>
    <w:rsid w:val="00BA6683"/>
    <w:rsid w:val="00BA6C1E"/>
    <w:rsid w:val="00BA6CFD"/>
    <w:rsid w:val="00BA6D85"/>
    <w:rsid w:val="00BA706C"/>
    <w:rsid w:val="00BA74B5"/>
    <w:rsid w:val="00BA751A"/>
    <w:rsid w:val="00BA7827"/>
    <w:rsid w:val="00BA7B39"/>
    <w:rsid w:val="00BA7BAA"/>
    <w:rsid w:val="00BA7C99"/>
    <w:rsid w:val="00BA7D6B"/>
    <w:rsid w:val="00BB036C"/>
    <w:rsid w:val="00BB03E0"/>
    <w:rsid w:val="00BB0511"/>
    <w:rsid w:val="00BB0621"/>
    <w:rsid w:val="00BB0CC6"/>
    <w:rsid w:val="00BB0CF6"/>
    <w:rsid w:val="00BB0E9A"/>
    <w:rsid w:val="00BB1344"/>
    <w:rsid w:val="00BB145F"/>
    <w:rsid w:val="00BB159F"/>
    <w:rsid w:val="00BB1767"/>
    <w:rsid w:val="00BB1B0F"/>
    <w:rsid w:val="00BB1D5F"/>
    <w:rsid w:val="00BB21F2"/>
    <w:rsid w:val="00BB2270"/>
    <w:rsid w:val="00BB231E"/>
    <w:rsid w:val="00BB2591"/>
    <w:rsid w:val="00BB27BB"/>
    <w:rsid w:val="00BB2801"/>
    <w:rsid w:val="00BB29E8"/>
    <w:rsid w:val="00BB2D8C"/>
    <w:rsid w:val="00BB2DC1"/>
    <w:rsid w:val="00BB3467"/>
    <w:rsid w:val="00BB387C"/>
    <w:rsid w:val="00BB3A3C"/>
    <w:rsid w:val="00BB40CD"/>
    <w:rsid w:val="00BB4343"/>
    <w:rsid w:val="00BB4358"/>
    <w:rsid w:val="00BB436D"/>
    <w:rsid w:val="00BB43A8"/>
    <w:rsid w:val="00BB4875"/>
    <w:rsid w:val="00BB4892"/>
    <w:rsid w:val="00BB4922"/>
    <w:rsid w:val="00BB4C16"/>
    <w:rsid w:val="00BB4E96"/>
    <w:rsid w:val="00BB4F59"/>
    <w:rsid w:val="00BB5043"/>
    <w:rsid w:val="00BB51CA"/>
    <w:rsid w:val="00BB5275"/>
    <w:rsid w:val="00BB54CA"/>
    <w:rsid w:val="00BB54DC"/>
    <w:rsid w:val="00BB56F6"/>
    <w:rsid w:val="00BB5A0E"/>
    <w:rsid w:val="00BB69A0"/>
    <w:rsid w:val="00BB6C7A"/>
    <w:rsid w:val="00BB6E60"/>
    <w:rsid w:val="00BB70A2"/>
    <w:rsid w:val="00BB70DB"/>
    <w:rsid w:val="00BB746B"/>
    <w:rsid w:val="00BB7A42"/>
    <w:rsid w:val="00BB7F32"/>
    <w:rsid w:val="00BC0043"/>
    <w:rsid w:val="00BC053A"/>
    <w:rsid w:val="00BC07DE"/>
    <w:rsid w:val="00BC083D"/>
    <w:rsid w:val="00BC0CCE"/>
    <w:rsid w:val="00BC0E1B"/>
    <w:rsid w:val="00BC0E58"/>
    <w:rsid w:val="00BC0F0C"/>
    <w:rsid w:val="00BC0FB2"/>
    <w:rsid w:val="00BC1407"/>
    <w:rsid w:val="00BC1469"/>
    <w:rsid w:val="00BC1612"/>
    <w:rsid w:val="00BC178A"/>
    <w:rsid w:val="00BC18B2"/>
    <w:rsid w:val="00BC22B1"/>
    <w:rsid w:val="00BC255B"/>
    <w:rsid w:val="00BC26DB"/>
    <w:rsid w:val="00BC282D"/>
    <w:rsid w:val="00BC2C20"/>
    <w:rsid w:val="00BC2C5D"/>
    <w:rsid w:val="00BC2D8A"/>
    <w:rsid w:val="00BC2F00"/>
    <w:rsid w:val="00BC3148"/>
    <w:rsid w:val="00BC326E"/>
    <w:rsid w:val="00BC32D9"/>
    <w:rsid w:val="00BC33B4"/>
    <w:rsid w:val="00BC3665"/>
    <w:rsid w:val="00BC39A1"/>
    <w:rsid w:val="00BC3DF7"/>
    <w:rsid w:val="00BC3E21"/>
    <w:rsid w:val="00BC3E8C"/>
    <w:rsid w:val="00BC4070"/>
    <w:rsid w:val="00BC40B2"/>
    <w:rsid w:val="00BC443D"/>
    <w:rsid w:val="00BC4535"/>
    <w:rsid w:val="00BC4583"/>
    <w:rsid w:val="00BC49BE"/>
    <w:rsid w:val="00BC4A16"/>
    <w:rsid w:val="00BC4BDA"/>
    <w:rsid w:val="00BC4D18"/>
    <w:rsid w:val="00BC4DD5"/>
    <w:rsid w:val="00BC4E67"/>
    <w:rsid w:val="00BC552E"/>
    <w:rsid w:val="00BC5851"/>
    <w:rsid w:val="00BC5B0D"/>
    <w:rsid w:val="00BC5C21"/>
    <w:rsid w:val="00BC5C57"/>
    <w:rsid w:val="00BC5C97"/>
    <w:rsid w:val="00BC60F8"/>
    <w:rsid w:val="00BC615B"/>
    <w:rsid w:val="00BC64F8"/>
    <w:rsid w:val="00BC665C"/>
    <w:rsid w:val="00BC6861"/>
    <w:rsid w:val="00BC6B44"/>
    <w:rsid w:val="00BC6D71"/>
    <w:rsid w:val="00BC7384"/>
    <w:rsid w:val="00BC75C0"/>
    <w:rsid w:val="00BC7674"/>
    <w:rsid w:val="00BC7988"/>
    <w:rsid w:val="00BC7BDA"/>
    <w:rsid w:val="00BC7BE5"/>
    <w:rsid w:val="00BC7C1F"/>
    <w:rsid w:val="00BC7C34"/>
    <w:rsid w:val="00BC7C7E"/>
    <w:rsid w:val="00BC7C88"/>
    <w:rsid w:val="00BC7DD3"/>
    <w:rsid w:val="00BC7E52"/>
    <w:rsid w:val="00BC7FAD"/>
    <w:rsid w:val="00BD026D"/>
    <w:rsid w:val="00BD02E1"/>
    <w:rsid w:val="00BD0361"/>
    <w:rsid w:val="00BD090B"/>
    <w:rsid w:val="00BD0A26"/>
    <w:rsid w:val="00BD0A68"/>
    <w:rsid w:val="00BD0B0C"/>
    <w:rsid w:val="00BD0BE2"/>
    <w:rsid w:val="00BD0E85"/>
    <w:rsid w:val="00BD1002"/>
    <w:rsid w:val="00BD13A7"/>
    <w:rsid w:val="00BD193A"/>
    <w:rsid w:val="00BD1A25"/>
    <w:rsid w:val="00BD1CC4"/>
    <w:rsid w:val="00BD1E12"/>
    <w:rsid w:val="00BD2069"/>
    <w:rsid w:val="00BD2077"/>
    <w:rsid w:val="00BD21E1"/>
    <w:rsid w:val="00BD235C"/>
    <w:rsid w:val="00BD2414"/>
    <w:rsid w:val="00BD248D"/>
    <w:rsid w:val="00BD24C5"/>
    <w:rsid w:val="00BD24DE"/>
    <w:rsid w:val="00BD25BF"/>
    <w:rsid w:val="00BD2C3D"/>
    <w:rsid w:val="00BD2D17"/>
    <w:rsid w:val="00BD2DDC"/>
    <w:rsid w:val="00BD31C8"/>
    <w:rsid w:val="00BD3214"/>
    <w:rsid w:val="00BD357F"/>
    <w:rsid w:val="00BD3BBE"/>
    <w:rsid w:val="00BD3C3F"/>
    <w:rsid w:val="00BD3F1C"/>
    <w:rsid w:val="00BD411E"/>
    <w:rsid w:val="00BD4500"/>
    <w:rsid w:val="00BD4505"/>
    <w:rsid w:val="00BD4680"/>
    <w:rsid w:val="00BD479C"/>
    <w:rsid w:val="00BD4A3C"/>
    <w:rsid w:val="00BD4B60"/>
    <w:rsid w:val="00BD4C8D"/>
    <w:rsid w:val="00BD5216"/>
    <w:rsid w:val="00BD5377"/>
    <w:rsid w:val="00BD53BE"/>
    <w:rsid w:val="00BD5846"/>
    <w:rsid w:val="00BD5B84"/>
    <w:rsid w:val="00BD646B"/>
    <w:rsid w:val="00BD64A6"/>
    <w:rsid w:val="00BD64CA"/>
    <w:rsid w:val="00BD64FE"/>
    <w:rsid w:val="00BD6581"/>
    <w:rsid w:val="00BD667B"/>
    <w:rsid w:val="00BD6714"/>
    <w:rsid w:val="00BD68E0"/>
    <w:rsid w:val="00BD6C9A"/>
    <w:rsid w:val="00BD6E74"/>
    <w:rsid w:val="00BD6E91"/>
    <w:rsid w:val="00BD7257"/>
    <w:rsid w:val="00BD757B"/>
    <w:rsid w:val="00BD77A2"/>
    <w:rsid w:val="00BD791B"/>
    <w:rsid w:val="00BD7A5A"/>
    <w:rsid w:val="00BE0122"/>
    <w:rsid w:val="00BE013D"/>
    <w:rsid w:val="00BE059D"/>
    <w:rsid w:val="00BE064A"/>
    <w:rsid w:val="00BE09AA"/>
    <w:rsid w:val="00BE0C3A"/>
    <w:rsid w:val="00BE0D07"/>
    <w:rsid w:val="00BE0DFE"/>
    <w:rsid w:val="00BE1161"/>
    <w:rsid w:val="00BE12D5"/>
    <w:rsid w:val="00BE172A"/>
    <w:rsid w:val="00BE1A32"/>
    <w:rsid w:val="00BE1C31"/>
    <w:rsid w:val="00BE1F42"/>
    <w:rsid w:val="00BE20D9"/>
    <w:rsid w:val="00BE2182"/>
    <w:rsid w:val="00BE253C"/>
    <w:rsid w:val="00BE2BCA"/>
    <w:rsid w:val="00BE2E8A"/>
    <w:rsid w:val="00BE2FA6"/>
    <w:rsid w:val="00BE30AB"/>
    <w:rsid w:val="00BE3180"/>
    <w:rsid w:val="00BE36E0"/>
    <w:rsid w:val="00BE36F0"/>
    <w:rsid w:val="00BE39C5"/>
    <w:rsid w:val="00BE3BB5"/>
    <w:rsid w:val="00BE3F77"/>
    <w:rsid w:val="00BE40C9"/>
    <w:rsid w:val="00BE4584"/>
    <w:rsid w:val="00BE4851"/>
    <w:rsid w:val="00BE48F6"/>
    <w:rsid w:val="00BE499D"/>
    <w:rsid w:val="00BE4F14"/>
    <w:rsid w:val="00BE4F64"/>
    <w:rsid w:val="00BE50BD"/>
    <w:rsid w:val="00BE5334"/>
    <w:rsid w:val="00BE5596"/>
    <w:rsid w:val="00BE55EB"/>
    <w:rsid w:val="00BE566D"/>
    <w:rsid w:val="00BE5AF6"/>
    <w:rsid w:val="00BE5CE0"/>
    <w:rsid w:val="00BE61C1"/>
    <w:rsid w:val="00BE626A"/>
    <w:rsid w:val="00BE6281"/>
    <w:rsid w:val="00BE6285"/>
    <w:rsid w:val="00BE667D"/>
    <w:rsid w:val="00BE675F"/>
    <w:rsid w:val="00BE6823"/>
    <w:rsid w:val="00BE69D3"/>
    <w:rsid w:val="00BE6AD8"/>
    <w:rsid w:val="00BE6C7A"/>
    <w:rsid w:val="00BE6D86"/>
    <w:rsid w:val="00BE7033"/>
    <w:rsid w:val="00BE71EE"/>
    <w:rsid w:val="00BE7231"/>
    <w:rsid w:val="00BE7379"/>
    <w:rsid w:val="00BE7503"/>
    <w:rsid w:val="00BE7B74"/>
    <w:rsid w:val="00BE7C75"/>
    <w:rsid w:val="00BE7E24"/>
    <w:rsid w:val="00BE7E76"/>
    <w:rsid w:val="00BE7F61"/>
    <w:rsid w:val="00BE7FA4"/>
    <w:rsid w:val="00BF0383"/>
    <w:rsid w:val="00BF04BC"/>
    <w:rsid w:val="00BF053C"/>
    <w:rsid w:val="00BF066F"/>
    <w:rsid w:val="00BF089E"/>
    <w:rsid w:val="00BF0AAB"/>
    <w:rsid w:val="00BF0D09"/>
    <w:rsid w:val="00BF0D25"/>
    <w:rsid w:val="00BF0E27"/>
    <w:rsid w:val="00BF10D7"/>
    <w:rsid w:val="00BF10F7"/>
    <w:rsid w:val="00BF1440"/>
    <w:rsid w:val="00BF15FA"/>
    <w:rsid w:val="00BF1976"/>
    <w:rsid w:val="00BF2088"/>
    <w:rsid w:val="00BF2194"/>
    <w:rsid w:val="00BF235A"/>
    <w:rsid w:val="00BF2409"/>
    <w:rsid w:val="00BF2497"/>
    <w:rsid w:val="00BF265B"/>
    <w:rsid w:val="00BF281E"/>
    <w:rsid w:val="00BF2862"/>
    <w:rsid w:val="00BF286D"/>
    <w:rsid w:val="00BF295D"/>
    <w:rsid w:val="00BF2AAE"/>
    <w:rsid w:val="00BF2B55"/>
    <w:rsid w:val="00BF2BD4"/>
    <w:rsid w:val="00BF2DE7"/>
    <w:rsid w:val="00BF3016"/>
    <w:rsid w:val="00BF30EF"/>
    <w:rsid w:val="00BF362B"/>
    <w:rsid w:val="00BF38AB"/>
    <w:rsid w:val="00BF3A3A"/>
    <w:rsid w:val="00BF4006"/>
    <w:rsid w:val="00BF419D"/>
    <w:rsid w:val="00BF4364"/>
    <w:rsid w:val="00BF44A4"/>
    <w:rsid w:val="00BF487F"/>
    <w:rsid w:val="00BF48CC"/>
    <w:rsid w:val="00BF48CF"/>
    <w:rsid w:val="00BF4CC3"/>
    <w:rsid w:val="00BF4D9D"/>
    <w:rsid w:val="00BF4EDA"/>
    <w:rsid w:val="00BF5034"/>
    <w:rsid w:val="00BF5075"/>
    <w:rsid w:val="00BF507C"/>
    <w:rsid w:val="00BF5088"/>
    <w:rsid w:val="00BF559B"/>
    <w:rsid w:val="00BF58F2"/>
    <w:rsid w:val="00BF599B"/>
    <w:rsid w:val="00BF5A56"/>
    <w:rsid w:val="00BF5AAA"/>
    <w:rsid w:val="00BF5D73"/>
    <w:rsid w:val="00BF5EBA"/>
    <w:rsid w:val="00BF5FB4"/>
    <w:rsid w:val="00BF606E"/>
    <w:rsid w:val="00BF609D"/>
    <w:rsid w:val="00BF66C5"/>
    <w:rsid w:val="00BF6724"/>
    <w:rsid w:val="00BF6805"/>
    <w:rsid w:val="00BF696C"/>
    <w:rsid w:val="00BF6A26"/>
    <w:rsid w:val="00BF6C3A"/>
    <w:rsid w:val="00BF71A7"/>
    <w:rsid w:val="00BF739C"/>
    <w:rsid w:val="00BF771D"/>
    <w:rsid w:val="00BF7AE1"/>
    <w:rsid w:val="00BF7C90"/>
    <w:rsid w:val="00C0008D"/>
    <w:rsid w:val="00C00263"/>
    <w:rsid w:val="00C00277"/>
    <w:rsid w:val="00C0032A"/>
    <w:rsid w:val="00C006AA"/>
    <w:rsid w:val="00C0080F"/>
    <w:rsid w:val="00C00920"/>
    <w:rsid w:val="00C00B0A"/>
    <w:rsid w:val="00C00D14"/>
    <w:rsid w:val="00C00F73"/>
    <w:rsid w:val="00C00FEA"/>
    <w:rsid w:val="00C010C6"/>
    <w:rsid w:val="00C010DC"/>
    <w:rsid w:val="00C01243"/>
    <w:rsid w:val="00C01557"/>
    <w:rsid w:val="00C01782"/>
    <w:rsid w:val="00C017D6"/>
    <w:rsid w:val="00C017F4"/>
    <w:rsid w:val="00C01A0B"/>
    <w:rsid w:val="00C01A75"/>
    <w:rsid w:val="00C01B2E"/>
    <w:rsid w:val="00C01BE5"/>
    <w:rsid w:val="00C0205D"/>
    <w:rsid w:val="00C02497"/>
    <w:rsid w:val="00C0260F"/>
    <w:rsid w:val="00C026C2"/>
    <w:rsid w:val="00C02D33"/>
    <w:rsid w:val="00C0338D"/>
    <w:rsid w:val="00C03611"/>
    <w:rsid w:val="00C03BE5"/>
    <w:rsid w:val="00C0407C"/>
    <w:rsid w:val="00C043CC"/>
    <w:rsid w:val="00C048F7"/>
    <w:rsid w:val="00C04A70"/>
    <w:rsid w:val="00C04CB2"/>
    <w:rsid w:val="00C05589"/>
    <w:rsid w:val="00C056C8"/>
    <w:rsid w:val="00C05A38"/>
    <w:rsid w:val="00C05A51"/>
    <w:rsid w:val="00C05A6D"/>
    <w:rsid w:val="00C05BB6"/>
    <w:rsid w:val="00C05F12"/>
    <w:rsid w:val="00C05FE2"/>
    <w:rsid w:val="00C0673F"/>
    <w:rsid w:val="00C06820"/>
    <w:rsid w:val="00C06AAD"/>
    <w:rsid w:val="00C06DE2"/>
    <w:rsid w:val="00C06E91"/>
    <w:rsid w:val="00C06F0A"/>
    <w:rsid w:val="00C07142"/>
    <w:rsid w:val="00C07194"/>
    <w:rsid w:val="00C072A2"/>
    <w:rsid w:val="00C075C2"/>
    <w:rsid w:val="00C07640"/>
    <w:rsid w:val="00C077C0"/>
    <w:rsid w:val="00C07863"/>
    <w:rsid w:val="00C07AC1"/>
    <w:rsid w:val="00C07AE0"/>
    <w:rsid w:val="00C07CF9"/>
    <w:rsid w:val="00C07E8F"/>
    <w:rsid w:val="00C10090"/>
    <w:rsid w:val="00C10404"/>
    <w:rsid w:val="00C10514"/>
    <w:rsid w:val="00C106D1"/>
    <w:rsid w:val="00C109B8"/>
    <w:rsid w:val="00C109E7"/>
    <w:rsid w:val="00C10D5D"/>
    <w:rsid w:val="00C10F36"/>
    <w:rsid w:val="00C10F98"/>
    <w:rsid w:val="00C10FF3"/>
    <w:rsid w:val="00C11058"/>
    <w:rsid w:val="00C11119"/>
    <w:rsid w:val="00C1139B"/>
    <w:rsid w:val="00C11432"/>
    <w:rsid w:val="00C1143B"/>
    <w:rsid w:val="00C11608"/>
    <w:rsid w:val="00C11682"/>
    <w:rsid w:val="00C11891"/>
    <w:rsid w:val="00C118EF"/>
    <w:rsid w:val="00C1235B"/>
    <w:rsid w:val="00C12B50"/>
    <w:rsid w:val="00C12B7F"/>
    <w:rsid w:val="00C12C67"/>
    <w:rsid w:val="00C13121"/>
    <w:rsid w:val="00C13394"/>
    <w:rsid w:val="00C13564"/>
    <w:rsid w:val="00C13753"/>
    <w:rsid w:val="00C1388A"/>
    <w:rsid w:val="00C13942"/>
    <w:rsid w:val="00C13988"/>
    <w:rsid w:val="00C139E3"/>
    <w:rsid w:val="00C13B44"/>
    <w:rsid w:val="00C13BB7"/>
    <w:rsid w:val="00C13C47"/>
    <w:rsid w:val="00C13EA5"/>
    <w:rsid w:val="00C13F24"/>
    <w:rsid w:val="00C13FC8"/>
    <w:rsid w:val="00C1410A"/>
    <w:rsid w:val="00C14307"/>
    <w:rsid w:val="00C14489"/>
    <w:rsid w:val="00C144CE"/>
    <w:rsid w:val="00C1458F"/>
    <w:rsid w:val="00C14B5A"/>
    <w:rsid w:val="00C14B89"/>
    <w:rsid w:val="00C14D76"/>
    <w:rsid w:val="00C15236"/>
    <w:rsid w:val="00C152B3"/>
    <w:rsid w:val="00C1541C"/>
    <w:rsid w:val="00C15538"/>
    <w:rsid w:val="00C15654"/>
    <w:rsid w:val="00C1583D"/>
    <w:rsid w:val="00C15C01"/>
    <w:rsid w:val="00C15C5B"/>
    <w:rsid w:val="00C15C8D"/>
    <w:rsid w:val="00C15F7D"/>
    <w:rsid w:val="00C16186"/>
    <w:rsid w:val="00C16304"/>
    <w:rsid w:val="00C1640F"/>
    <w:rsid w:val="00C16B95"/>
    <w:rsid w:val="00C16C26"/>
    <w:rsid w:val="00C16E11"/>
    <w:rsid w:val="00C16E69"/>
    <w:rsid w:val="00C1731C"/>
    <w:rsid w:val="00C177E7"/>
    <w:rsid w:val="00C1789C"/>
    <w:rsid w:val="00C178F6"/>
    <w:rsid w:val="00C17AB1"/>
    <w:rsid w:val="00C20016"/>
    <w:rsid w:val="00C20101"/>
    <w:rsid w:val="00C20399"/>
    <w:rsid w:val="00C206D0"/>
    <w:rsid w:val="00C20712"/>
    <w:rsid w:val="00C2077C"/>
    <w:rsid w:val="00C20E64"/>
    <w:rsid w:val="00C20E76"/>
    <w:rsid w:val="00C212A4"/>
    <w:rsid w:val="00C2159B"/>
    <w:rsid w:val="00C2159D"/>
    <w:rsid w:val="00C219A9"/>
    <w:rsid w:val="00C21A4C"/>
    <w:rsid w:val="00C21CAE"/>
    <w:rsid w:val="00C21FE3"/>
    <w:rsid w:val="00C220C9"/>
    <w:rsid w:val="00C220F8"/>
    <w:rsid w:val="00C227C3"/>
    <w:rsid w:val="00C2283B"/>
    <w:rsid w:val="00C22884"/>
    <w:rsid w:val="00C22942"/>
    <w:rsid w:val="00C22A36"/>
    <w:rsid w:val="00C22B34"/>
    <w:rsid w:val="00C23065"/>
    <w:rsid w:val="00C236DC"/>
    <w:rsid w:val="00C2376D"/>
    <w:rsid w:val="00C238F2"/>
    <w:rsid w:val="00C23ACF"/>
    <w:rsid w:val="00C23BC1"/>
    <w:rsid w:val="00C23C93"/>
    <w:rsid w:val="00C241E0"/>
    <w:rsid w:val="00C243CC"/>
    <w:rsid w:val="00C244A7"/>
    <w:rsid w:val="00C244E8"/>
    <w:rsid w:val="00C245E4"/>
    <w:rsid w:val="00C24892"/>
    <w:rsid w:val="00C249B3"/>
    <w:rsid w:val="00C24A9A"/>
    <w:rsid w:val="00C24AF5"/>
    <w:rsid w:val="00C24E3D"/>
    <w:rsid w:val="00C25111"/>
    <w:rsid w:val="00C252E0"/>
    <w:rsid w:val="00C25455"/>
    <w:rsid w:val="00C254AA"/>
    <w:rsid w:val="00C257ED"/>
    <w:rsid w:val="00C25BCF"/>
    <w:rsid w:val="00C25CA7"/>
    <w:rsid w:val="00C25E7E"/>
    <w:rsid w:val="00C25F26"/>
    <w:rsid w:val="00C26049"/>
    <w:rsid w:val="00C26102"/>
    <w:rsid w:val="00C26608"/>
    <w:rsid w:val="00C26711"/>
    <w:rsid w:val="00C267A7"/>
    <w:rsid w:val="00C26D30"/>
    <w:rsid w:val="00C26D45"/>
    <w:rsid w:val="00C26EA7"/>
    <w:rsid w:val="00C270B2"/>
    <w:rsid w:val="00C27134"/>
    <w:rsid w:val="00C272CF"/>
    <w:rsid w:val="00C273A3"/>
    <w:rsid w:val="00C273E3"/>
    <w:rsid w:val="00C2756C"/>
    <w:rsid w:val="00C277C6"/>
    <w:rsid w:val="00C27B55"/>
    <w:rsid w:val="00C27C3B"/>
    <w:rsid w:val="00C27C80"/>
    <w:rsid w:val="00C27F44"/>
    <w:rsid w:val="00C27FF4"/>
    <w:rsid w:val="00C30562"/>
    <w:rsid w:val="00C30591"/>
    <w:rsid w:val="00C30977"/>
    <w:rsid w:val="00C309D7"/>
    <w:rsid w:val="00C30AB9"/>
    <w:rsid w:val="00C30B11"/>
    <w:rsid w:val="00C30C15"/>
    <w:rsid w:val="00C30C3F"/>
    <w:rsid w:val="00C30DB4"/>
    <w:rsid w:val="00C30E4C"/>
    <w:rsid w:val="00C30EF9"/>
    <w:rsid w:val="00C30F52"/>
    <w:rsid w:val="00C31089"/>
    <w:rsid w:val="00C311E3"/>
    <w:rsid w:val="00C3138E"/>
    <w:rsid w:val="00C313D9"/>
    <w:rsid w:val="00C313F2"/>
    <w:rsid w:val="00C31AE8"/>
    <w:rsid w:val="00C31CCC"/>
    <w:rsid w:val="00C31DA6"/>
    <w:rsid w:val="00C31E28"/>
    <w:rsid w:val="00C31EF2"/>
    <w:rsid w:val="00C32795"/>
    <w:rsid w:val="00C3297B"/>
    <w:rsid w:val="00C329EF"/>
    <w:rsid w:val="00C33375"/>
    <w:rsid w:val="00C333BA"/>
    <w:rsid w:val="00C33562"/>
    <w:rsid w:val="00C335A0"/>
    <w:rsid w:val="00C337BA"/>
    <w:rsid w:val="00C33998"/>
    <w:rsid w:val="00C33AC4"/>
    <w:rsid w:val="00C33B9E"/>
    <w:rsid w:val="00C33F9B"/>
    <w:rsid w:val="00C342B4"/>
    <w:rsid w:val="00C34B4B"/>
    <w:rsid w:val="00C34BBD"/>
    <w:rsid w:val="00C34C42"/>
    <w:rsid w:val="00C34CE3"/>
    <w:rsid w:val="00C34E9A"/>
    <w:rsid w:val="00C34F93"/>
    <w:rsid w:val="00C34FA6"/>
    <w:rsid w:val="00C34FFB"/>
    <w:rsid w:val="00C35058"/>
    <w:rsid w:val="00C3537A"/>
    <w:rsid w:val="00C359BE"/>
    <w:rsid w:val="00C35BEF"/>
    <w:rsid w:val="00C35DEB"/>
    <w:rsid w:val="00C35F69"/>
    <w:rsid w:val="00C3649F"/>
    <w:rsid w:val="00C364B2"/>
    <w:rsid w:val="00C36659"/>
    <w:rsid w:val="00C366DB"/>
    <w:rsid w:val="00C36779"/>
    <w:rsid w:val="00C36843"/>
    <w:rsid w:val="00C36994"/>
    <w:rsid w:val="00C36B4F"/>
    <w:rsid w:val="00C37290"/>
    <w:rsid w:val="00C3729F"/>
    <w:rsid w:val="00C372AD"/>
    <w:rsid w:val="00C4021B"/>
    <w:rsid w:val="00C402C9"/>
    <w:rsid w:val="00C40513"/>
    <w:rsid w:val="00C40702"/>
    <w:rsid w:val="00C4095C"/>
    <w:rsid w:val="00C415CE"/>
    <w:rsid w:val="00C416CD"/>
    <w:rsid w:val="00C41A1A"/>
    <w:rsid w:val="00C41A28"/>
    <w:rsid w:val="00C41B04"/>
    <w:rsid w:val="00C41CCF"/>
    <w:rsid w:val="00C41DE6"/>
    <w:rsid w:val="00C41F22"/>
    <w:rsid w:val="00C42254"/>
    <w:rsid w:val="00C427FE"/>
    <w:rsid w:val="00C429D7"/>
    <w:rsid w:val="00C42A21"/>
    <w:rsid w:val="00C42C06"/>
    <w:rsid w:val="00C43380"/>
    <w:rsid w:val="00C4355B"/>
    <w:rsid w:val="00C43680"/>
    <w:rsid w:val="00C43FA3"/>
    <w:rsid w:val="00C444AF"/>
    <w:rsid w:val="00C446B1"/>
    <w:rsid w:val="00C4498C"/>
    <w:rsid w:val="00C44B7A"/>
    <w:rsid w:val="00C44DBC"/>
    <w:rsid w:val="00C45083"/>
    <w:rsid w:val="00C450E6"/>
    <w:rsid w:val="00C458DB"/>
    <w:rsid w:val="00C45915"/>
    <w:rsid w:val="00C45BCB"/>
    <w:rsid w:val="00C45BFE"/>
    <w:rsid w:val="00C45F2E"/>
    <w:rsid w:val="00C45F63"/>
    <w:rsid w:val="00C464EB"/>
    <w:rsid w:val="00C46732"/>
    <w:rsid w:val="00C46A4F"/>
    <w:rsid w:val="00C46C79"/>
    <w:rsid w:val="00C46DDB"/>
    <w:rsid w:val="00C46E1D"/>
    <w:rsid w:val="00C47078"/>
    <w:rsid w:val="00C47118"/>
    <w:rsid w:val="00C479F2"/>
    <w:rsid w:val="00C47A1E"/>
    <w:rsid w:val="00C47A9B"/>
    <w:rsid w:val="00C47D53"/>
    <w:rsid w:val="00C47DAB"/>
    <w:rsid w:val="00C47F30"/>
    <w:rsid w:val="00C502E5"/>
    <w:rsid w:val="00C503AC"/>
    <w:rsid w:val="00C50752"/>
    <w:rsid w:val="00C5077F"/>
    <w:rsid w:val="00C50869"/>
    <w:rsid w:val="00C508E6"/>
    <w:rsid w:val="00C508F9"/>
    <w:rsid w:val="00C50AA9"/>
    <w:rsid w:val="00C50B97"/>
    <w:rsid w:val="00C50C0F"/>
    <w:rsid w:val="00C50F15"/>
    <w:rsid w:val="00C51106"/>
    <w:rsid w:val="00C511B5"/>
    <w:rsid w:val="00C515D3"/>
    <w:rsid w:val="00C51751"/>
    <w:rsid w:val="00C51774"/>
    <w:rsid w:val="00C517C8"/>
    <w:rsid w:val="00C5188B"/>
    <w:rsid w:val="00C519B5"/>
    <w:rsid w:val="00C51A2A"/>
    <w:rsid w:val="00C51BE8"/>
    <w:rsid w:val="00C51CBA"/>
    <w:rsid w:val="00C51EF7"/>
    <w:rsid w:val="00C51F97"/>
    <w:rsid w:val="00C51FCC"/>
    <w:rsid w:val="00C520E5"/>
    <w:rsid w:val="00C52331"/>
    <w:rsid w:val="00C526D4"/>
    <w:rsid w:val="00C527B6"/>
    <w:rsid w:val="00C5289E"/>
    <w:rsid w:val="00C52A79"/>
    <w:rsid w:val="00C52B67"/>
    <w:rsid w:val="00C52EE0"/>
    <w:rsid w:val="00C52F1D"/>
    <w:rsid w:val="00C530C5"/>
    <w:rsid w:val="00C5316E"/>
    <w:rsid w:val="00C5319F"/>
    <w:rsid w:val="00C5348F"/>
    <w:rsid w:val="00C53893"/>
    <w:rsid w:val="00C53956"/>
    <w:rsid w:val="00C5399A"/>
    <w:rsid w:val="00C53D49"/>
    <w:rsid w:val="00C53ECB"/>
    <w:rsid w:val="00C54452"/>
    <w:rsid w:val="00C54603"/>
    <w:rsid w:val="00C5463D"/>
    <w:rsid w:val="00C5468A"/>
    <w:rsid w:val="00C54B7E"/>
    <w:rsid w:val="00C54CCB"/>
    <w:rsid w:val="00C54DCA"/>
    <w:rsid w:val="00C54EAE"/>
    <w:rsid w:val="00C551ED"/>
    <w:rsid w:val="00C5522D"/>
    <w:rsid w:val="00C558B5"/>
    <w:rsid w:val="00C559EC"/>
    <w:rsid w:val="00C55D91"/>
    <w:rsid w:val="00C55EFD"/>
    <w:rsid w:val="00C56015"/>
    <w:rsid w:val="00C56061"/>
    <w:rsid w:val="00C560F7"/>
    <w:rsid w:val="00C565B1"/>
    <w:rsid w:val="00C56AA9"/>
    <w:rsid w:val="00C56B8A"/>
    <w:rsid w:val="00C56CBB"/>
    <w:rsid w:val="00C57493"/>
    <w:rsid w:val="00C575EE"/>
    <w:rsid w:val="00C57648"/>
    <w:rsid w:val="00C576D4"/>
    <w:rsid w:val="00C577A1"/>
    <w:rsid w:val="00C578BD"/>
    <w:rsid w:val="00C57D4A"/>
    <w:rsid w:val="00C6001B"/>
    <w:rsid w:val="00C60359"/>
    <w:rsid w:val="00C6068F"/>
    <w:rsid w:val="00C606AB"/>
    <w:rsid w:val="00C60991"/>
    <w:rsid w:val="00C609FF"/>
    <w:rsid w:val="00C60AF8"/>
    <w:rsid w:val="00C60BB8"/>
    <w:rsid w:val="00C60D3B"/>
    <w:rsid w:val="00C60E1C"/>
    <w:rsid w:val="00C617F7"/>
    <w:rsid w:val="00C61873"/>
    <w:rsid w:val="00C61AA7"/>
    <w:rsid w:val="00C61DBE"/>
    <w:rsid w:val="00C61E0A"/>
    <w:rsid w:val="00C61E0D"/>
    <w:rsid w:val="00C62020"/>
    <w:rsid w:val="00C62154"/>
    <w:rsid w:val="00C62250"/>
    <w:rsid w:val="00C6286A"/>
    <w:rsid w:val="00C62959"/>
    <w:rsid w:val="00C62A4D"/>
    <w:rsid w:val="00C62C36"/>
    <w:rsid w:val="00C62E6C"/>
    <w:rsid w:val="00C63140"/>
    <w:rsid w:val="00C631A0"/>
    <w:rsid w:val="00C63531"/>
    <w:rsid w:val="00C63C5D"/>
    <w:rsid w:val="00C63D3E"/>
    <w:rsid w:val="00C63D7E"/>
    <w:rsid w:val="00C63DF4"/>
    <w:rsid w:val="00C63E2B"/>
    <w:rsid w:val="00C63E9A"/>
    <w:rsid w:val="00C64403"/>
    <w:rsid w:val="00C6486C"/>
    <w:rsid w:val="00C64912"/>
    <w:rsid w:val="00C64992"/>
    <w:rsid w:val="00C649D8"/>
    <w:rsid w:val="00C64C64"/>
    <w:rsid w:val="00C64ED8"/>
    <w:rsid w:val="00C657F7"/>
    <w:rsid w:val="00C65B59"/>
    <w:rsid w:val="00C65B76"/>
    <w:rsid w:val="00C65EB0"/>
    <w:rsid w:val="00C6604F"/>
    <w:rsid w:val="00C661C1"/>
    <w:rsid w:val="00C66256"/>
    <w:rsid w:val="00C6628F"/>
    <w:rsid w:val="00C6675F"/>
    <w:rsid w:val="00C66886"/>
    <w:rsid w:val="00C66BAD"/>
    <w:rsid w:val="00C66E90"/>
    <w:rsid w:val="00C66FF1"/>
    <w:rsid w:val="00C678A1"/>
    <w:rsid w:val="00C67BBD"/>
    <w:rsid w:val="00C67BCF"/>
    <w:rsid w:val="00C70081"/>
    <w:rsid w:val="00C70241"/>
    <w:rsid w:val="00C7068A"/>
    <w:rsid w:val="00C7077A"/>
    <w:rsid w:val="00C70850"/>
    <w:rsid w:val="00C70963"/>
    <w:rsid w:val="00C70B89"/>
    <w:rsid w:val="00C70D5C"/>
    <w:rsid w:val="00C70DD0"/>
    <w:rsid w:val="00C7119C"/>
    <w:rsid w:val="00C7127A"/>
    <w:rsid w:val="00C7138E"/>
    <w:rsid w:val="00C7164B"/>
    <w:rsid w:val="00C718D6"/>
    <w:rsid w:val="00C71A03"/>
    <w:rsid w:val="00C71CED"/>
    <w:rsid w:val="00C71EE0"/>
    <w:rsid w:val="00C71FC3"/>
    <w:rsid w:val="00C720BD"/>
    <w:rsid w:val="00C721F5"/>
    <w:rsid w:val="00C7221D"/>
    <w:rsid w:val="00C72258"/>
    <w:rsid w:val="00C724E9"/>
    <w:rsid w:val="00C72643"/>
    <w:rsid w:val="00C728A8"/>
    <w:rsid w:val="00C72A5D"/>
    <w:rsid w:val="00C72AC3"/>
    <w:rsid w:val="00C72B1B"/>
    <w:rsid w:val="00C72E10"/>
    <w:rsid w:val="00C732B2"/>
    <w:rsid w:val="00C73572"/>
    <w:rsid w:val="00C73B26"/>
    <w:rsid w:val="00C73E5A"/>
    <w:rsid w:val="00C740C5"/>
    <w:rsid w:val="00C74148"/>
    <w:rsid w:val="00C7438B"/>
    <w:rsid w:val="00C7467E"/>
    <w:rsid w:val="00C75051"/>
    <w:rsid w:val="00C75179"/>
    <w:rsid w:val="00C75491"/>
    <w:rsid w:val="00C7552D"/>
    <w:rsid w:val="00C757A2"/>
    <w:rsid w:val="00C758D7"/>
    <w:rsid w:val="00C759C0"/>
    <w:rsid w:val="00C75A36"/>
    <w:rsid w:val="00C75B38"/>
    <w:rsid w:val="00C75D97"/>
    <w:rsid w:val="00C760AC"/>
    <w:rsid w:val="00C76126"/>
    <w:rsid w:val="00C76505"/>
    <w:rsid w:val="00C767EE"/>
    <w:rsid w:val="00C767F3"/>
    <w:rsid w:val="00C7683E"/>
    <w:rsid w:val="00C7692F"/>
    <w:rsid w:val="00C76983"/>
    <w:rsid w:val="00C769B0"/>
    <w:rsid w:val="00C76B3B"/>
    <w:rsid w:val="00C76BC8"/>
    <w:rsid w:val="00C76C4B"/>
    <w:rsid w:val="00C76F61"/>
    <w:rsid w:val="00C76F8F"/>
    <w:rsid w:val="00C7704E"/>
    <w:rsid w:val="00C7732B"/>
    <w:rsid w:val="00C775D5"/>
    <w:rsid w:val="00C7760B"/>
    <w:rsid w:val="00C77622"/>
    <w:rsid w:val="00C77875"/>
    <w:rsid w:val="00C779C7"/>
    <w:rsid w:val="00C77A33"/>
    <w:rsid w:val="00C77D27"/>
    <w:rsid w:val="00C77E89"/>
    <w:rsid w:val="00C77FA0"/>
    <w:rsid w:val="00C801FA"/>
    <w:rsid w:val="00C80332"/>
    <w:rsid w:val="00C804B8"/>
    <w:rsid w:val="00C808ED"/>
    <w:rsid w:val="00C80D06"/>
    <w:rsid w:val="00C80D4D"/>
    <w:rsid w:val="00C80E93"/>
    <w:rsid w:val="00C80EFD"/>
    <w:rsid w:val="00C80F6D"/>
    <w:rsid w:val="00C8124E"/>
    <w:rsid w:val="00C81580"/>
    <w:rsid w:val="00C81BA2"/>
    <w:rsid w:val="00C81D5C"/>
    <w:rsid w:val="00C81F92"/>
    <w:rsid w:val="00C8213D"/>
    <w:rsid w:val="00C8213F"/>
    <w:rsid w:val="00C824DC"/>
    <w:rsid w:val="00C82578"/>
    <w:rsid w:val="00C82A78"/>
    <w:rsid w:val="00C82DBD"/>
    <w:rsid w:val="00C83046"/>
    <w:rsid w:val="00C83058"/>
    <w:rsid w:val="00C83066"/>
    <w:rsid w:val="00C83098"/>
    <w:rsid w:val="00C833B6"/>
    <w:rsid w:val="00C83427"/>
    <w:rsid w:val="00C83751"/>
    <w:rsid w:val="00C8379E"/>
    <w:rsid w:val="00C838E1"/>
    <w:rsid w:val="00C83CDD"/>
    <w:rsid w:val="00C83E46"/>
    <w:rsid w:val="00C83EF1"/>
    <w:rsid w:val="00C84012"/>
    <w:rsid w:val="00C842C0"/>
    <w:rsid w:val="00C84377"/>
    <w:rsid w:val="00C84454"/>
    <w:rsid w:val="00C84527"/>
    <w:rsid w:val="00C845C1"/>
    <w:rsid w:val="00C84606"/>
    <w:rsid w:val="00C846D4"/>
    <w:rsid w:val="00C84C8A"/>
    <w:rsid w:val="00C84E44"/>
    <w:rsid w:val="00C851B3"/>
    <w:rsid w:val="00C85253"/>
    <w:rsid w:val="00C8549C"/>
    <w:rsid w:val="00C85508"/>
    <w:rsid w:val="00C85646"/>
    <w:rsid w:val="00C85842"/>
    <w:rsid w:val="00C85B7A"/>
    <w:rsid w:val="00C85BC9"/>
    <w:rsid w:val="00C85CE0"/>
    <w:rsid w:val="00C85EFF"/>
    <w:rsid w:val="00C85F71"/>
    <w:rsid w:val="00C86008"/>
    <w:rsid w:val="00C86035"/>
    <w:rsid w:val="00C8628F"/>
    <w:rsid w:val="00C8646F"/>
    <w:rsid w:val="00C866D2"/>
    <w:rsid w:val="00C869E9"/>
    <w:rsid w:val="00C86EF3"/>
    <w:rsid w:val="00C86FAB"/>
    <w:rsid w:val="00C8706B"/>
    <w:rsid w:val="00C8731C"/>
    <w:rsid w:val="00C874FC"/>
    <w:rsid w:val="00C87528"/>
    <w:rsid w:val="00C879A8"/>
    <w:rsid w:val="00C879D8"/>
    <w:rsid w:val="00C87B0E"/>
    <w:rsid w:val="00C87BAF"/>
    <w:rsid w:val="00C87D97"/>
    <w:rsid w:val="00C87DA2"/>
    <w:rsid w:val="00C87DE0"/>
    <w:rsid w:val="00C87ECE"/>
    <w:rsid w:val="00C9009D"/>
    <w:rsid w:val="00C90231"/>
    <w:rsid w:val="00C90249"/>
    <w:rsid w:val="00C9033E"/>
    <w:rsid w:val="00C9093F"/>
    <w:rsid w:val="00C909C7"/>
    <w:rsid w:val="00C90A0F"/>
    <w:rsid w:val="00C90BF6"/>
    <w:rsid w:val="00C90E5B"/>
    <w:rsid w:val="00C910AD"/>
    <w:rsid w:val="00C91121"/>
    <w:rsid w:val="00C91314"/>
    <w:rsid w:val="00C913C9"/>
    <w:rsid w:val="00C914A1"/>
    <w:rsid w:val="00C916A3"/>
    <w:rsid w:val="00C91A30"/>
    <w:rsid w:val="00C91CED"/>
    <w:rsid w:val="00C926EE"/>
    <w:rsid w:val="00C929AF"/>
    <w:rsid w:val="00C92A58"/>
    <w:rsid w:val="00C92ACF"/>
    <w:rsid w:val="00C92CB7"/>
    <w:rsid w:val="00C92FC5"/>
    <w:rsid w:val="00C9301E"/>
    <w:rsid w:val="00C9315D"/>
    <w:rsid w:val="00C93510"/>
    <w:rsid w:val="00C9353A"/>
    <w:rsid w:val="00C93874"/>
    <w:rsid w:val="00C93B1E"/>
    <w:rsid w:val="00C93C11"/>
    <w:rsid w:val="00C93C6F"/>
    <w:rsid w:val="00C93C83"/>
    <w:rsid w:val="00C93D71"/>
    <w:rsid w:val="00C93D9C"/>
    <w:rsid w:val="00C942A5"/>
    <w:rsid w:val="00C94561"/>
    <w:rsid w:val="00C9462E"/>
    <w:rsid w:val="00C94737"/>
    <w:rsid w:val="00C94AA1"/>
    <w:rsid w:val="00C94C7B"/>
    <w:rsid w:val="00C94C82"/>
    <w:rsid w:val="00C94E40"/>
    <w:rsid w:val="00C950AB"/>
    <w:rsid w:val="00C95346"/>
    <w:rsid w:val="00C95462"/>
    <w:rsid w:val="00C955E6"/>
    <w:rsid w:val="00C95635"/>
    <w:rsid w:val="00C956E0"/>
    <w:rsid w:val="00C958A7"/>
    <w:rsid w:val="00C95A0D"/>
    <w:rsid w:val="00C95AC4"/>
    <w:rsid w:val="00C95ACF"/>
    <w:rsid w:val="00C95F3D"/>
    <w:rsid w:val="00C95FEC"/>
    <w:rsid w:val="00C9660E"/>
    <w:rsid w:val="00C9694B"/>
    <w:rsid w:val="00C96D10"/>
    <w:rsid w:val="00C9701D"/>
    <w:rsid w:val="00C97159"/>
    <w:rsid w:val="00C971F8"/>
    <w:rsid w:val="00C9731D"/>
    <w:rsid w:val="00C9753E"/>
    <w:rsid w:val="00C977E9"/>
    <w:rsid w:val="00C977F9"/>
    <w:rsid w:val="00C97CEF"/>
    <w:rsid w:val="00C97D77"/>
    <w:rsid w:val="00C97F4C"/>
    <w:rsid w:val="00CA0038"/>
    <w:rsid w:val="00CA010D"/>
    <w:rsid w:val="00CA0498"/>
    <w:rsid w:val="00CA04BE"/>
    <w:rsid w:val="00CA0715"/>
    <w:rsid w:val="00CA0A33"/>
    <w:rsid w:val="00CA0AF6"/>
    <w:rsid w:val="00CA0C87"/>
    <w:rsid w:val="00CA0D35"/>
    <w:rsid w:val="00CA146C"/>
    <w:rsid w:val="00CA14A0"/>
    <w:rsid w:val="00CA14F0"/>
    <w:rsid w:val="00CA193B"/>
    <w:rsid w:val="00CA1971"/>
    <w:rsid w:val="00CA1D99"/>
    <w:rsid w:val="00CA1E3A"/>
    <w:rsid w:val="00CA2139"/>
    <w:rsid w:val="00CA238E"/>
    <w:rsid w:val="00CA2614"/>
    <w:rsid w:val="00CA26F4"/>
    <w:rsid w:val="00CA2777"/>
    <w:rsid w:val="00CA2C26"/>
    <w:rsid w:val="00CA2EE0"/>
    <w:rsid w:val="00CA3015"/>
    <w:rsid w:val="00CA3081"/>
    <w:rsid w:val="00CA3237"/>
    <w:rsid w:val="00CA3644"/>
    <w:rsid w:val="00CA3885"/>
    <w:rsid w:val="00CA3C6D"/>
    <w:rsid w:val="00CA4088"/>
    <w:rsid w:val="00CA43AC"/>
    <w:rsid w:val="00CA4511"/>
    <w:rsid w:val="00CA456F"/>
    <w:rsid w:val="00CA4867"/>
    <w:rsid w:val="00CA4BDD"/>
    <w:rsid w:val="00CA4C58"/>
    <w:rsid w:val="00CA509E"/>
    <w:rsid w:val="00CA50C0"/>
    <w:rsid w:val="00CA513A"/>
    <w:rsid w:val="00CA516B"/>
    <w:rsid w:val="00CA51A7"/>
    <w:rsid w:val="00CA5229"/>
    <w:rsid w:val="00CA529F"/>
    <w:rsid w:val="00CA5409"/>
    <w:rsid w:val="00CA54DA"/>
    <w:rsid w:val="00CA5D1C"/>
    <w:rsid w:val="00CA61A4"/>
    <w:rsid w:val="00CA61D5"/>
    <w:rsid w:val="00CA62A2"/>
    <w:rsid w:val="00CA660B"/>
    <w:rsid w:val="00CA67B5"/>
    <w:rsid w:val="00CA68B0"/>
    <w:rsid w:val="00CA69FD"/>
    <w:rsid w:val="00CA6AAD"/>
    <w:rsid w:val="00CA6D31"/>
    <w:rsid w:val="00CA72D1"/>
    <w:rsid w:val="00CA7510"/>
    <w:rsid w:val="00CA75B9"/>
    <w:rsid w:val="00CA7BF9"/>
    <w:rsid w:val="00CB0371"/>
    <w:rsid w:val="00CB03CD"/>
    <w:rsid w:val="00CB04D9"/>
    <w:rsid w:val="00CB0740"/>
    <w:rsid w:val="00CB0B82"/>
    <w:rsid w:val="00CB0C90"/>
    <w:rsid w:val="00CB1A33"/>
    <w:rsid w:val="00CB1B49"/>
    <w:rsid w:val="00CB1CB1"/>
    <w:rsid w:val="00CB1D13"/>
    <w:rsid w:val="00CB2006"/>
    <w:rsid w:val="00CB212A"/>
    <w:rsid w:val="00CB22FF"/>
    <w:rsid w:val="00CB2340"/>
    <w:rsid w:val="00CB2504"/>
    <w:rsid w:val="00CB25F2"/>
    <w:rsid w:val="00CB2888"/>
    <w:rsid w:val="00CB2A52"/>
    <w:rsid w:val="00CB2AA4"/>
    <w:rsid w:val="00CB2DA1"/>
    <w:rsid w:val="00CB2F1F"/>
    <w:rsid w:val="00CB304A"/>
    <w:rsid w:val="00CB306C"/>
    <w:rsid w:val="00CB31B1"/>
    <w:rsid w:val="00CB3400"/>
    <w:rsid w:val="00CB349B"/>
    <w:rsid w:val="00CB36F0"/>
    <w:rsid w:val="00CB3774"/>
    <w:rsid w:val="00CB38AB"/>
    <w:rsid w:val="00CB39E8"/>
    <w:rsid w:val="00CB3B40"/>
    <w:rsid w:val="00CB3D84"/>
    <w:rsid w:val="00CB3FB9"/>
    <w:rsid w:val="00CB3FC3"/>
    <w:rsid w:val="00CB40E9"/>
    <w:rsid w:val="00CB41DB"/>
    <w:rsid w:val="00CB41EB"/>
    <w:rsid w:val="00CB43F0"/>
    <w:rsid w:val="00CB49F9"/>
    <w:rsid w:val="00CB4BCB"/>
    <w:rsid w:val="00CB4BEF"/>
    <w:rsid w:val="00CB4D4D"/>
    <w:rsid w:val="00CB4FAD"/>
    <w:rsid w:val="00CB5006"/>
    <w:rsid w:val="00CB5025"/>
    <w:rsid w:val="00CB522A"/>
    <w:rsid w:val="00CB547C"/>
    <w:rsid w:val="00CB54D7"/>
    <w:rsid w:val="00CB557F"/>
    <w:rsid w:val="00CB577D"/>
    <w:rsid w:val="00CB5935"/>
    <w:rsid w:val="00CB5EAB"/>
    <w:rsid w:val="00CB6233"/>
    <w:rsid w:val="00CB63BC"/>
    <w:rsid w:val="00CB670A"/>
    <w:rsid w:val="00CB6764"/>
    <w:rsid w:val="00CB6832"/>
    <w:rsid w:val="00CB69D2"/>
    <w:rsid w:val="00CB6D20"/>
    <w:rsid w:val="00CB6D7C"/>
    <w:rsid w:val="00CB6E17"/>
    <w:rsid w:val="00CB70C8"/>
    <w:rsid w:val="00CB71BD"/>
    <w:rsid w:val="00CB7443"/>
    <w:rsid w:val="00CB7500"/>
    <w:rsid w:val="00CB7520"/>
    <w:rsid w:val="00CB7551"/>
    <w:rsid w:val="00CB7669"/>
    <w:rsid w:val="00CB7701"/>
    <w:rsid w:val="00CB777E"/>
    <w:rsid w:val="00CB799D"/>
    <w:rsid w:val="00CB7AAD"/>
    <w:rsid w:val="00CB7B2E"/>
    <w:rsid w:val="00CB7C8E"/>
    <w:rsid w:val="00CB7F18"/>
    <w:rsid w:val="00CC005C"/>
    <w:rsid w:val="00CC0239"/>
    <w:rsid w:val="00CC0265"/>
    <w:rsid w:val="00CC0464"/>
    <w:rsid w:val="00CC0B91"/>
    <w:rsid w:val="00CC0C2F"/>
    <w:rsid w:val="00CC0C3C"/>
    <w:rsid w:val="00CC0C43"/>
    <w:rsid w:val="00CC0E7A"/>
    <w:rsid w:val="00CC0EC1"/>
    <w:rsid w:val="00CC12F5"/>
    <w:rsid w:val="00CC130A"/>
    <w:rsid w:val="00CC167A"/>
    <w:rsid w:val="00CC1AFF"/>
    <w:rsid w:val="00CC1C7A"/>
    <w:rsid w:val="00CC1F6A"/>
    <w:rsid w:val="00CC2400"/>
    <w:rsid w:val="00CC243B"/>
    <w:rsid w:val="00CC2444"/>
    <w:rsid w:val="00CC289B"/>
    <w:rsid w:val="00CC2A6F"/>
    <w:rsid w:val="00CC2BE6"/>
    <w:rsid w:val="00CC2D22"/>
    <w:rsid w:val="00CC2E65"/>
    <w:rsid w:val="00CC3174"/>
    <w:rsid w:val="00CC3600"/>
    <w:rsid w:val="00CC39D0"/>
    <w:rsid w:val="00CC3A09"/>
    <w:rsid w:val="00CC3B72"/>
    <w:rsid w:val="00CC3F96"/>
    <w:rsid w:val="00CC3FE0"/>
    <w:rsid w:val="00CC415E"/>
    <w:rsid w:val="00CC42B0"/>
    <w:rsid w:val="00CC430C"/>
    <w:rsid w:val="00CC4A8F"/>
    <w:rsid w:val="00CC4B47"/>
    <w:rsid w:val="00CC4C2B"/>
    <w:rsid w:val="00CC4D7F"/>
    <w:rsid w:val="00CC501A"/>
    <w:rsid w:val="00CC517A"/>
    <w:rsid w:val="00CC51B5"/>
    <w:rsid w:val="00CC51D5"/>
    <w:rsid w:val="00CC53E2"/>
    <w:rsid w:val="00CC56B1"/>
    <w:rsid w:val="00CC5716"/>
    <w:rsid w:val="00CC5993"/>
    <w:rsid w:val="00CC5E31"/>
    <w:rsid w:val="00CC6255"/>
    <w:rsid w:val="00CC655F"/>
    <w:rsid w:val="00CC6570"/>
    <w:rsid w:val="00CC6622"/>
    <w:rsid w:val="00CC6C24"/>
    <w:rsid w:val="00CC6DAD"/>
    <w:rsid w:val="00CC6E95"/>
    <w:rsid w:val="00CC72AB"/>
    <w:rsid w:val="00CC73FC"/>
    <w:rsid w:val="00CC7829"/>
    <w:rsid w:val="00CC796F"/>
    <w:rsid w:val="00CC7AE0"/>
    <w:rsid w:val="00CC7AE5"/>
    <w:rsid w:val="00CC7D47"/>
    <w:rsid w:val="00CD034F"/>
    <w:rsid w:val="00CD0418"/>
    <w:rsid w:val="00CD0491"/>
    <w:rsid w:val="00CD08F0"/>
    <w:rsid w:val="00CD0A9B"/>
    <w:rsid w:val="00CD0C1F"/>
    <w:rsid w:val="00CD0D46"/>
    <w:rsid w:val="00CD0E71"/>
    <w:rsid w:val="00CD165B"/>
    <w:rsid w:val="00CD16E5"/>
    <w:rsid w:val="00CD196D"/>
    <w:rsid w:val="00CD1970"/>
    <w:rsid w:val="00CD1BB3"/>
    <w:rsid w:val="00CD1C05"/>
    <w:rsid w:val="00CD1C8E"/>
    <w:rsid w:val="00CD2182"/>
    <w:rsid w:val="00CD2251"/>
    <w:rsid w:val="00CD2550"/>
    <w:rsid w:val="00CD280C"/>
    <w:rsid w:val="00CD292E"/>
    <w:rsid w:val="00CD2944"/>
    <w:rsid w:val="00CD2EB6"/>
    <w:rsid w:val="00CD3424"/>
    <w:rsid w:val="00CD37F4"/>
    <w:rsid w:val="00CD3853"/>
    <w:rsid w:val="00CD3A3B"/>
    <w:rsid w:val="00CD4245"/>
    <w:rsid w:val="00CD436F"/>
    <w:rsid w:val="00CD43D6"/>
    <w:rsid w:val="00CD45F1"/>
    <w:rsid w:val="00CD46E0"/>
    <w:rsid w:val="00CD470A"/>
    <w:rsid w:val="00CD4A37"/>
    <w:rsid w:val="00CD4DEE"/>
    <w:rsid w:val="00CD5178"/>
    <w:rsid w:val="00CD5182"/>
    <w:rsid w:val="00CD5388"/>
    <w:rsid w:val="00CD570A"/>
    <w:rsid w:val="00CD5927"/>
    <w:rsid w:val="00CD5A8B"/>
    <w:rsid w:val="00CD5C65"/>
    <w:rsid w:val="00CD5D51"/>
    <w:rsid w:val="00CD6161"/>
    <w:rsid w:val="00CD62A6"/>
    <w:rsid w:val="00CD6307"/>
    <w:rsid w:val="00CD63AB"/>
    <w:rsid w:val="00CD6640"/>
    <w:rsid w:val="00CD6848"/>
    <w:rsid w:val="00CD7080"/>
    <w:rsid w:val="00CD710A"/>
    <w:rsid w:val="00CD71EE"/>
    <w:rsid w:val="00CD74A2"/>
    <w:rsid w:val="00CD74AB"/>
    <w:rsid w:val="00CD77AC"/>
    <w:rsid w:val="00CD77F0"/>
    <w:rsid w:val="00CD793C"/>
    <w:rsid w:val="00CD7B37"/>
    <w:rsid w:val="00CD7C8F"/>
    <w:rsid w:val="00CE01AA"/>
    <w:rsid w:val="00CE04C0"/>
    <w:rsid w:val="00CE0534"/>
    <w:rsid w:val="00CE079C"/>
    <w:rsid w:val="00CE0874"/>
    <w:rsid w:val="00CE0955"/>
    <w:rsid w:val="00CE0CE7"/>
    <w:rsid w:val="00CE1628"/>
    <w:rsid w:val="00CE1AE0"/>
    <w:rsid w:val="00CE1B23"/>
    <w:rsid w:val="00CE1BC5"/>
    <w:rsid w:val="00CE1C05"/>
    <w:rsid w:val="00CE1E49"/>
    <w:rsid w:val="00CE1F70"/>
    <w:rsid w:val="00CE2003"/>
    <w:rsid w:val="00CE21CF"/>
    <w:rsid w:val="00CE25C3"/>
    <w:rsid w:val="00CE26BB"/>
    <w:rsid w:val="00CE332A"/>
    <w:rsid w:val="00CE362A"/>
    <w:rsid w:val="00CE367E"/>
    <w:rsid w:val="00CE37F2"/>
    <w:rsid w:val="00CE396E"/>
    <w:rsid w:val="00CE397D"/>
    <w:rsid w:val="00CE39F3"/>
    <w:rsid w:val="00CE3C2F"/>
    <w:rsid w:val="00CE40F0"/>
    <w:rsid w:val="00CE4360"/>
    <w:rsid w:val="00CE4627"/>
    <w:rsid w:val="00CE4832"/>
    <w:rsid w:val="00CE48E7"/>
    <w:rsid w:val="00CE4B4F"/>
    <w:rsid w:val="00CE4FC3"/>
    <w:rsid w:val="00CE506E"/>
    <w:rsid w:val="00CE531D"/>
    <w:rsid w:val="00CE53C8"/>
    <w:rsid w:val="00CE547D"/>
    <w:rsid w:val="00CE5492"/>
    <w:rsid w:val="00CE5560"/>
    <w:rsid w:val="00CE56FC"/>
    <w:rsid w:val="00CE57D9"/>
    <w:rsid w:val="00CE5A13"/>
    <w:rsid w:val="00CE5B66"/>
    <w:rsid w:val="00CE5C89"/>
    <w:rsid w:val="00CE5C9B"/>
    <w:rsid w:val="00CE5EAA"/>
    <w:rsid w:val="00CE6282"/>
    <w:rsid w:val="00CE64A3"/>
    <w:rsid w:val="00CE67E7"/>
    <w:rsid w:val="00CE6ABD"/>
    <w:rsid w:val="00CE6F5D"/>
    <w:rsid w:val="00CE6F61"/>
    <w:rsid w:val="00CE724B"/>
    <w:rsid w:val="00CE725E"/>
    <w:rsid w:val="00CE760D"/>
    <w:rsid w:val="00CE767B"/>
    <w:rsid w:val="00CE7791"/>
    <w:rsid w:val="00CE78CF"/>
    <w:rsid w:val="00CE7B6D"/>
    <w:rsid w:val="00CE7E0A"/>
    <w:rsid w:val="00CF005B"/>
    <w:rsid w:val="00CF01EC"/>
    <w:rsid w:val="00CF0854"/>
    <w:rsid w:val="00CF0A5F"/>
    <w:rsid w:val="00CF0DDD"/>
    <w:rsid w:val="00CF1BE4"/>
    <w:rsid w:val="00CF1D2A"/>
    <w:rsid w:val="00CF1D6E"/>
    <w:rsid w:val="00CF1FF4"/>
    <w:rsid w:val="00CF23C1"/>
    <w:rsid w:val="00CF23F0"/>
    <w:rsid w:val="00CF254D"/>
    <w:rsid w:val="00CF27D4"/>
    <w:rsid w:val="00CF2B93"/>
    <w:rsid w:val="00CF2BB9"/>
    <w:rsid w:val="00CF2D3C"/>
    <w:rsid w:val="00CF3032"/>
    <w:rsid w:val="00CF3175"/>
    <w:rsid w:val="00CF40C5"/>
    <w:rsid w:val="00CF416C"/>
    <w:rsid w:val="00CF4233"/>
    <w:rsid w:val="00CF4475"/>
    <w:rsid w:val="00CF44E2"/>
    <w:rsid w:val="00CF46B6"/>
    <w:rsid w:val="00CF49AD"/>
    <w:rsid w:val="00CF50DF"/>
    <w:rsid w:val="00CF50FB"/>
    <w:rsid w:val="00CF5342"/>
    <w:rsid w:val="00CF586F"/>
    <w:rsid w:val="00CF5946"/>
    <w:rsid w:val="00CF5AF2"/>
    <w:rsid w:val="00CF5D30"/>
    <w:rsid w:val="00CF5EE2"/>
    <w:rsid w:val="00CF5F95"/>
    <w:rsid w:val="00CF5FFB"/>
    <w:rsid w:val="00CF6076"/>
    <w:rsid w:val="00CF6365"/>
    <w:rsid w:val="00CF66C6"/>
    <w:rsid w:val="00CF6B2D"/>
    <w:rsid w:val="00CF6D0D"/>
    <w:rsid w:val="00CF6FBD"/>
    <w:rsid w:val="00CF7503"/>
    <w:rsid w:val="00CF76C1"/>
    <w:rsid w:val="00CF778A"/>
    <w:rsid w:val="00CF77CC"/>
    <w:rsid w:val="00CF77D3"/>
    <w:rsid w:val="00CF78E1"/>
    <w:rsid w:val="00CF7B03"/>
    <w:rsid w:val="00CF7B0E"/>
    <w:rsid w:val="00CF7DD2"/>
    <w:rsid w:val="00D003F9"/>
    <w:rsid w:val="00D00458"/>
    <w:rsid w:val="00D005BC"/>
    <w:rsid w:val="00D00615"/>
    <w:rsid w:val="00D00696"/>
    <w:rsid w:val="00D007C9"/>
    <w:rsid w:val="00D00A19"/>
    <w:rsid w:val="00D00A72"/>
    <w:rsid w:val="00D0140D"/>
    <w:rsid w:val="00D01646"/>
    <w:rsid w:val="00D017C1"/>
    <w:rsid w:val="00D01855"/>
    <w:rsid w:val="00D01A9F"/>
    <w:rsid w:val="00D01F0F"/>
    <w:rsid w:val="00D01F21"/>
    <w:rsid w:val="00D0203D"/>
    <w:rsid w:val="00D02133"/>
    <w:rsid w:val="00D02149"/>
    <w:rsid w:val="00D021EC"/>
    <w:rsid w:val="00D02395"/>
    <w:rsid w:val="00D0247F"/>
    <w:rsid w:val="00D024CE"/>
    <w:rsid w:val="00D0297E"/>
    <w:rsid w:val="00D02AA0"/>
    <w:rsid w:val="00D02B4C"/>
    <w:rsid w:val="00D02C66"/>
    <w:rsid w:val="00D02D1A"/>
    <w:rsid w:val="00D02EA2"/>
    <w:rsid w:val="00D032A5"/>
    <w:rsid w:val="00D0341E"/>
    <w:rsid w:val="00D0366B"/>
    <w:rsid w:val="00D03695"/>
    <w:rsid w:val="00D03854"/>
    <w:rsid w:val="00D03DB6"/>
    <w:rsid w:val="00D03DCF"/>
    <w:rsid w:val="00D0403E"/>
    <w:rsid w:val="00D043E1"/>
    <w:rsid w:val="00D049D5"/>
    <w:rsid w:val="00D052A2"/>
    <w:rsid w:val="00D0530E"/>
    <w:rsid w:val="00D05577"/>
    <w:rsid w:val="00D057F5"/>
    <w:rsid w:val="00D05979"/>
    <w:rsid w:val="00D05ED0"/>
    <w:rsid w:val="00D05EEC"/>
    <w:rsid w:val="00D06242"/>
    <w:rsid w:val="00D06726"/>
    <w:rsid w:val="00D0698C"/>
    <w:rsid w:val="00D06C57"/>
    <w:rsid w:val="00D06CA8"/>
    <w:rsid w:val="00D06D44"/>
    <w:rsid w:val="00D06EA5"/>
    <w:rsid w:val="00D06F7A"/>
    <w:rsid w:val="00D07145"/>
    <w:rsid w:val="00D074E5"/>
    <w:rsid w:val="00D07574"/>
    <w:rsid w:val="00D07698"/>
    <w:rsid w:val="00D079DF"/>
    <w:rsid w:val="00D07A32"/>
    <w:rsid w:val="00D07ACE"/>
    <w:rsid w:val="00D07AE1"/>
    <w:rsid w:val="00D07C2A"/>
    <w:rsid w:val="00D07F78"/>
    <w:rsid w:val="00D1008B"/>
    <w:rsid w:val="00D1051C"/>
    <w:rsid w:val="00D105F6"/>
    <w:rsid w:val="00D10A36"/>
    <w:rsid w:val="00D10D72"/>
    <w:rsid w:val="00D11386"/>
    <w:rsid w:val="00D117DF"/>
    <w:rsid w:val="00D11D12"/>
    <w:rsid w:val="00D12005"/>
    <w:rsid w:val="00D12299"/>
    <w:rsid w:val="00D12542"/>
    <w:rsid w:val="00D125B7"/>
    <w:rsid w:val="00D12659"/>
    <w:rsid w:val="00D12697"/>
    <w:rsid w:val="00D1274F"/>
    <w:rsid w:val="00D127BD"/>
    <w:rsid w:val="00D12925"/>
    <w:rsid w:val="00D12A46"/>
    <w:rsid w:val="00D13113"/>
    <w:rsid w:val="00D133DB"/>
    <w:rsid w:val="00D136BC"/>
    <w:rsid w:val="00D1390C"/>
    <w:rsid w:val="00D13B28"/>
    <w:rsid w:val="00D140DC"/>
    <w:rsid w:val="00D141E7"/>
    <w:rsid w:val="00D1421B"/>
    <w:rsid w:val="00D14553"/>
    <w:rsid w:val="00D145AD"/>
    <w:rsid w:val="00D14823"/>
    <w:rsid w:val="00D1485A"/>
    <w:rsid w:val="00D148EA"/>
    <w:rsid w:val="00D1490B"/>
    <w:rsid w:val="00D14B01"/>
    <w:rsid w:val="00D14E72"/>
    <w:rsid w:val="00D14FE1"/>
    <w:rsid w:val="00D15003"/>
    <w:rsid w:val="00D150D5"/>
    <w:rsid w:val="00D1530B"/>
    <w:rsid w:val="00D15666"/>
    <w:rsid w:val="00D1574E"/>
    <w:rsid w:val="00D1576D"/>
    <w:rsid w:val="00D157FC"/>
    <w:rsid w:val="00D1597D"/>
    <w:rsid w:val="00D159A5"/>
    <w:rsid w:val="00D15B18"/>
    <w:rsid w:val="00D16202"/>
    <w:rsid w:val="00D16AD9"/>
    <w:rsid w:val="00D16E9D"/>
    <w:rsid w:val="00D1729B"/>
    <w:rsid w:val="00D172B1"/>
    <w:rsid w:val="00D17685"/>
    <w:rsid w:val="00D178A4"/>
    <w:rsid w:val="00D17924"/>
    <w:rsid w:val="00D17C96"/>
    <w:rsid w:val="00D17F71"/>
    <w:rsid w:val="00D200A7"/>
    <w:rsid w:val="00D203B7"/>
    <w:rsid w:val="00D206C8"/>
    <w:rsid w:val="00D20806"/>
    <w:rsid w:val="00D209A5"/>
    <w:rsid w:val="00D20A1C"/>
    <w:rsid w:val="00D20B1D"/>
    <w:rsid w:val="00D20BCE"/>
    <w:rsid w:val="00D20CB5"/>
    <w:rsid w:val="00D20E9C"/>
    <w:rsid w:val="00D21069"/>
    <w:rsid w:val="00D211A3"/>
    <w:rsid w:val="00D211CD"/>
    <w:rsid w:val="00D2122B"/>
    <w:rsid w:val="00D212DF"/>
    <w:rsid w:val="00D2161B"/>
    <w:rsid w:val="00D21A59"/>
    <w:rsid w:val="00D21C6E"/>
    <w:rsid w:val="00D21CC3"/>
    <w:rsid w:val="00D21D80"/>
    <w:rsid w:val="00D22041"/>
    <w:rsid w:val="00D222CE"/>
    <w:rsid w:val="00D2240D"/>
    <w:rsid w:val="00D224BA"/>
    <w:rsid w:val="00D2267A"/>
    <w:rsid w:val="00D2299B"/>
    <w:rsid w:val="00D22C8C"/>
    <w:rsid w:val="00D22E57"/>
    <w:rsid w:val="00D22FAA"/>
    <w:rsid w:val="00D22FB1"/>
    <w:rsid w:val="00D22FB5"/>
    <w:rsid w:val="00D23038"/>
    <w:rsid w:val="00D2322A"/>
    <w:rsid w:val="00D235F6"/>
    <w:rsid w:val="00D23DDF"/>
    <w:rsid w:val="00D2406B"/>
    <w:rsid w:val="00D242DB"/>
    <w:rsid w:val="00D2433E"/>
    <w:rsid w:val="00D24395"/>
    <w:rsid w:val="00D24495"/>
    <w:rsid w:val="00D24849"/>
    <w:rsid w:val="00D249BD"/>
    <w:rsid w:val="00D24C49"/>
    <w:rsid w:val="00D24F41"/>
    <w:rsid w:val="00D2506C"/>
    <w:rsid w:val="00D25481"/>
    <w:rsid w:val="00D2587F"/>
    <w:rsid w:val="00D258E2"/>
    <w:rsid w:val="00D25DB0"/>
    <w:rsid w:val="00D25F49"/>
    <w:rsid w:val="00D25F5D"/>
    <w:rsid w:val="00D26135"/>
    <w:rsid w:val="00D261E7"/>
    <w:rsid w:val="00D262DB"/>
    <w:rsid w:val="00D26CB5"/>
    <w:rsid w:val="00D26D18"/>
    <w:rsid w:val="00D26E23"/>
    <w:rsid w:val="00D27288"/>
    <w:rsid w:val="00D27729"/>
    <w:rsid w:val="00D27935"/>
    <w:rsid w:val="00D27982"/>
    <w:rsid w:val="00D27A49"/>
    <w:rsid w:val="00D27D77"/>
    <w:rsid w:val="00D27DE8"/>
    <w:rsid w:val="00D27E1B"/>
    <w:rsid w:val="00D27F48"/>
    <w:rsid w:val="00D301D6"/>
    <w:rsid w:val="00D306C1"/>
    <w:rsid w:val="00D307A6"/>
    <w:rsid w:val="00D307E5"/>
    <w:rsid w:val="00D3084A"/>
    <w:rsid w:val="00D30990"/>
    <w:rsid w:val="00D30AEA"/>
    <w:rsid w:val="00D30AED"/>
    <w:rsid w:val="00D30B68"/>
    <w:rsid w:val="00D30CF5"/>
    <w:rsid w:val="00D30DD7"/>
    <w:rsid w:val="00D31009"/>
    <w:rsid w:val="00D310A2"/>
    <w:rsid w:val="00D31125"/>
    <w:rsid w:val="00D31389"/>
    <w:rsid w:val="00D31397"/>
    <w:rsid w:val="00D3139D"/>
    <w:rsid w:val="00D31423"/>
    <w:rsid w:val="00D3143C"/>
    <w:rsid w:val="00D3145D"/>
    <w:rsid w:val="00D314B1"/>
    <w:rsid w:val="00D3169A"/>
    <w:rsid w:val="00D31762"/>
    <w:rsid w:val="00D3179A"/>
    <w:rsid w:val="00D31812"/>
    <w:rsid w:val="00D3188E"/>
    <w:rsid w:val="00D31B1B"/>
    <w:rsid w:val="00D31C43"/>
    <w:rsid w:val="00D31CF6"/>
    <w:rsid w:val="00D31F9A"/>
    <w:rsid w:val="00D32085"/>
    <w:rsid w:val="00D3257D"/>
    <w:rsid w:val="00D325FC"/>
    <w:rsid w:val="00D326BB"/>
    <w:rsid w:val="00D3287D"/>
    <w:rsid w:val="00D32AE8"/>
    <w:rsid w:val="00D32D28"/>
    <w:rsid w:val="00D33023"/>
    <w:rsid w:val="00D33342"/>
    <w:rsid w:val="00D33426"/>
    <w:rsid w:val="00D334F7"/>
    <w:rsid w:val="00D3368B"/>
    <w:rsid w:val="00D33C9C"/>
    <w:rsid w:val="00D33D60"/>
    <w:rsid w:val="00D33E04"/>
    <w:rsid w:val="00D33FDE"/>
    <w:rsid w:val="00D342E3"/>
    <w:rsid w:val="00D34576"/>
    <w:rsid w:val="00D348CA"/>
    <w:rsid w:val="00D34915"/>
    <w:rsid w:val="00D34AE2"/>
    <w:rsid w:val="00D34B6D"/>
    <w:rsid w:val="00D34D30"/>
    <w:rsid w:val="00D34DBC"/>
    <w:rsid w:val="00D350FB"/>
    <w:rsid w:val="00D35347"/>
    <w:rsid w:val="00D35523"/>
    <w:rsid w:val="00D355A3"/>
    <w:rsid w:val="00D3566E"/>
    <w:rsid w:val="00D35E24"/>
    <w:rsid w:val="00D35E70"/>
    <w:rsid w:val="00D362B6"/>
    <w:rsid w:val="00D36402"/>
    <w:rsid w:val="00D36457"/>
    <w:rsid w:val="00D36DEE"/>
    <w:rsid w:val="00D36E34"/>
    <w:rsid w:val="00D370A5"/>
    <w:rsid w:val="00D371DD"/>
    <w:rsid w:val="00D371F8"/>
    <w:rsid w:val="00D372F4"/>
    <w:rsid w:val="00D37A76"/>
    <w:rsid w:val="00D37A98"/>
    <w:rsid w:val="00D37DE3"/>
    <w:rsid w:val="00D37EF6"/>
    <w:rsid w:val="00D37FD8"/>
    <w:rsid w:val="00D401D7"/>
    <w:rsid w:val="00D4046E"/>
    <w:rsid w:val="00D40472"/>
    <w:rsid w:val="00D4055F"/>
    <w:rsid w:val="00D41161"/>
    <w:rsid w:val="00D41376"/>
    <w:rsid w:val="00D413F1"/>
    <w:rsid w:val="00D41649"/>
    <w:rsid w:val="00D41967"/>
    <w:rsid w:val="00D41C41"/>
    <w:rsid w:val="00D41CDA"/>
    <w:rsid w:val="00D41EA8"/>
    <w:rsid w:val="00D41FA1"/>
    <w:rsid w:val="00D4212C"/>
    <w:rsid w:val="00D421AB"/>
    <w:rsid w:val="00D423EB"/>
    <w:rsid w:val="00D4295F"/>
    <w:rsid w:val="00D429FE"/>
    <w:rsid w:val="00D42C0A"/>
    <w:rsid w:val="00D42E4C"/>
    <w:rsid w:val="00D430DF"/>
    <w:rsid w:val="00D433C1"/>
    <w:rsid w:val="00D43567"/>
    <w:rsid w:val="00D438F3"/>
    <w:rsid w:val="00D43E1F"/>
    <w:rsid w:val="00D43FD0"/>
    <w:rsid w:val="00D44374"/>
    <w:rsid w:val="00D4465B"/>
    <w:rsid w:val="00D4492D"/>
    <w:rsid w:val="00D449E8"/>
    <w:rsid w:val="00D44C29"/>
    <w:rsid w:val="00D44CDD"/>
    <w:rsid w:val="00D44D04"/>
    <w:rsid w:val="00D44E8D"/>
    <w:rsid w:val="00D44FF5"/>
    <w:rsid w:val="00D4519A"/>
    <w:rsid w:val="00D452A2"/>
    <w:rsid w:val="00D45320"/>
    <w:rsid w:val="00D453F8"/>
    <w:rsid w:val="00D4550D"/>
    <w:rsid w:val="00D45A15"/>
    <w:rsid w:val="00D46060"/>
    <w:rsid w:val="00D46096"/>
    <w:rsid w:val="00D4634B"/>
    <w:rsid w:val="00D46719"/>
    <w:rsid w:val="00D4676D"/>
    <w:rsid w:val="00D468A6"/>
    <w:rsid w:val="00D46918"/>
    <w:rsid w:val="00D46A2F"/>
    <w:rsid w:val="00D46A79"/>
    <w:rsid w:val="00D46DD9"/>
    <w:rsid w:val="00D471BF"/>
    <w:rsid w:val="00D4752F"/>
    <w:rsid w:val="00D47656"/>
    <w:rsid w:val="00D47722"/>
    <w:rsid w:val="00D47821"/>
    <w:rsid w:val="00D47D78"/>
    <w:rsid w:val="00D47DED"/>
    <w:rsid w:val="00D47FF7"/>
    <w:rsid w:val="00D50044"/>
    <w:rsid w:val="00D50059"/>
    <w:rsid w:val="00D5037C"/>
    <w:rsid w:val="00D5048A"/>
    <w:rsid w:val="00D5063A"/>
    <w:rsid w:val="00D50762"/>
    <w:rsid w:val="00D50874"/>
    <w:rsid w:val="00D50997"/>
    <w:rsid w:val="00D50C0C"/>
    <w:rsid w:val="00D50E62"/>
    <w:rsid w:val="00D50EAD"/>
    <w:rsid w:val="00D5112F"/>
    <w:rsid w:val="00D5155F"/>
    <w:rsid w:val="00D5174E"/>
    <w:rsid w:val="00D51766"/>
    <w:rsid w:val="00D5180E"/>
    <w:rsid w:val="00D51894"/>
    <w:rsid w:val="00D51D50"/>
    <w:rsid w:val="00D51E6D"/>
    <w:rsid w:val="00D52041"/>
    <w:rsid w:val="00D52078"/>
    <w:rsid w:val="00D5221B"/>
    <w:rsid w:val="00D5227A"/>
    <w:rsid w:val="00D522B2"/>
    <w:rsid w:val="00D527B4"/>
    <w:rsid w:val="00D52E90"/>
    <w:rsid w:val="00D52EBE"/>
    <w:rsid w:val="00D52F94"/>
    <w:rsid w:val="00D52FC6"/>
    <w:rsid w:val="00D53454"/>
    <w:rsid w:val="00D535E1"/>
    <w:rsid w:val="00D53621"/>
    <w:rsid w:val="00D53677"/>
    <w:rsid w:val="00D5367F"/>
    <w:rsid w:val="00D538A4"/>
    <w:rsid w:val="00D53CD8"/>
    <w:rsid w:val="00D53D83"/>
    <w:rsid w:val="00D53FBE"/>
    <w:rsid w:val="00D541C8"/>
    <w:rsid w:val="00D5444C"/>
    <w:rsid w:val="00D545A5"/>
    <w:rsid w:val="00D54BFA"/>
    <w:rsid w:val="00D54FB0"/>
    <w:rsid w:val="00D550AC"/>
    <w:rsid w:val="00D55136"/>
    <w:rsid w:val="00D55188"/>
    <w:rsid w:val="00D554D2"/>
    <w:rsid w:val="00D554E5"/>
    <w:rsid w:val="00D5559D"/>
    <w:rsid w:val="00D555EB"/>
    <w:rsid w:val="00D55678"/>
    <w:rsid w:val="00D5577A"/>
    <w:rsid w:val="00D557D3"/>
    <w:rsid w:val="00D55ABB"/>
    <w:rsid w:val="00D55CC5"/>
    <w:rsid w:val="00D55D17"/>
    <w:rsid w:val="00D55F9C"/>
    <w:rsid w:val="00D56126"/>
    <w:rsid w:val="00D5652F"/>
    <w:rsid w:val="00D569B3"/>
    <w:rsid w:val="00D56D20"/>
    <w:rsid w:val="00D56DB1"/>
    <w:rsid w:val="00D56F7A"/>
    <w:rsid w:val="00D57113"/>
    <w:rsid w:val="00D571EE"/>
    <w:rsid w:val="00D573A5"/>
    <w:rsid w:val="00D5746B"/>
    <w:rsid w:val="00D57504"/>
    <w:rsid w:val="00D5761B"/>
    <w:rsid w:val="00D57881"/>
    <w:rsid w:val="00D57955"/>
    <w:rsid w:val="00D57EAF"/>
    <w:rsid w:val="00D57F63"/>
    <w:rsid w:val="00D60480"/>
    <w:rsid w:val="00D6084F"/>
    <w:rsid w:val="00D608EE"/>
    <w:rsid w:val="00D60CA4"/>
    <w:rsid w:val="00D61191"/>
    <w:rsid w:val="00D61318"/>
    <w:rsid w:val="00D619BC"/>
    <w:rsid w:val="00D61A44"/>
    <w:rsid w:val="00D61BB3"/>
    <w:rsid w:val="00D61E2A"/>
    <w:rsid w:val="00D61EDC"/>
    <w:rsid w:val="00D61F40"/>
    <w:rsid w:val="00D620B6"/>
    <w:rsid w:val="00D62B60"/>
    <w:rsid w:val="00D62D56"/>
    <w:rsid w:val="00D62DCF"/>
    <w:rsid w:val="00D62EE2"/>
    <w:rsid w:val="00D63004"/>
    <w:rsid w:val="00D63081"/>
    <w:rsid w:val="00D63416"/>
    <w:rsid w:val="00D63459"/>
    <w:rsid w:val="00D6345A"/>
    <w:rsid w:val="00D635AB"/>
    <w:rsid w:val="00D63A40"/>
    <w:rsid w:val="00D63CF9"/>
    <w:rsid w:val="00D63ED1"/>
    <w:rsid w:val="00D64079"/>
    <w:rsid w:val="00D645F7"/>
    <w:rsid w:val="00D64B30"/>
    <w:rsid w:val="00D64D04"/>
    <w:rsid w:val="00D64EE1"/>
    <w:rsid w:val="00D6509A"/>
    <w:rsid w:val="00D65355"/>
    <w:rsid w:val="00D65526"/>
    <w:rsid w:val="00D656D9"/>
    <w:rsid w:val="00D66154"/>
    <w:rsid w:val="00D66305"/>
    <w:rsid w:val="00D66431"/>
    <w:rsid w:val="00D66890"/>
    <w:rsid w:val="00D669F5"/>
    <w:rsid w:val="00D66D7F"/>
    <w:rsid w:val="00D6710E"/>
    <w:rsid w:val="00D67230"/>
    <w:rsid w:val="00D6750F"/>
    <w:rsid w:val="00D67AF6"/>
    <w:rsid w:val="00D70307"/>
    <w:rsid w:val="00D707AA"/>
    <w:rsid w:val="00D70987"/>
    <w:rsid w:val="00D70B4C"/>
    <w:rsid w:val="00D70C74"/>
    <w:rsid w:val="00D71069"/>
    <w:rsid w:val="00D71543"/>
    <w:rsid w:val="00D715CF"/>
    <w:rsid w:val="00D71605"/>
    <w:rsid w:val="00D71937"/>
    <w:rsid w:val="00D71DC2"/>
    <w:rsid w:val="00D71FC8"/>
    <w:rsid w:val="00D7205A"/>
    <w:rsid w:val="00D728D6"/>
    <w:rsid w:val="00D729B5"/>
    <w:rsid w:val="00D72A41"/>
    <w:rsid w:val="00D72B12"/>
    <w:rsid w:val="00D732F5"/>
    <w:rsid w:val="00D73595"/>
    <w:rsid w:val="00D73762"/>
    <w:rsid w:val="00D737C2"/>
    <w:rsid w:val="00D7388E"/>
    <w:rsid w:val="00D738A5"/>
    <w:rsid w:val="00D739F5"/>
    <w:rsid w:val="00D73A84"/>
    <w:rsid w:val="00D73CFB"/>
    <w:rsid w:val="00D73F8B"/>
    <w:rsid w:val="00D7404C"/>
    <w:rsid w:val="00D74072"/>
    <w:rsid w:val="00D7446F"/>
    <w:rsid w:val="00D747D4"/>
    <w:rsid w:val="00D7485C"/>
    <w:rsid w:val="00D75230"/>
    <w:rsid w:val="00D75284"/>
    <w:rsid w:val="00D75339"/>
    <w:rsid w:val="00D7537F"/>
    <w:rsid w:val="00D755C7"/>
    <w:rsid w:val="00D756EF"/>
    <w:rsid w:val="00D759B9"/>
    <w:rsid w:val="00D75A58"/>
    <w:rsid w:val="00D75DB4"/>
    <w:rsid w:val="00D76195"/>
    <w:rsid w:val="00D7621F"/>
    <w:rsid w:val="00D7648B"/>
    <w:rsid w:val="00D76544"/>
    <w:rsid w:val="00D768B8"/>
    <w:rsid w:val="00D769E5"/>
    <w:rsid w:val="00D76C72"/>
    <w:rsid w:val="00D77370"/>
    <w:rsid w:val="00D777AE"/>
    <w:rsid w:val="00D77D11"/>
    <w:rsid w:val="00D77DF9"/>
    <w:rsid w:val="00D80025"/>
    <w:rsid w:val="00D80050"/>
    <w:rsid w:val="00D80140"/>
    <w:rsid w:val="00D80268"/>
    <w:rsid w:val="00D805CE"/>
    <w:rsid w:val="00D80954"/>
    <w:rsid w:val="00D8097D"/>
    <w:rsid w:val="00D80CB4"/>
    <w:rsid w:val="00D81109"/>
    <w:rsid w:val="00D811F6"/>
    <w:rsid w:val="00D8143A"/>
    <w:rsid w:val="00D8146B"/>
    <w:rsid w:val="00D81A55"/>
    <w:rsid w:val="00D81A5D"/>
    <w:rsid w:val="00D81BC6"/>
    <w:rsid w:val="00D81D49"/>
    <w:rsid w:val="00D81D98"/>
    <w:rsid w:val="00D826CF"/>
    <w:rsid w:val="00D82BB6"/>
    <w:rsid w:val="00D82D73"/>
    <w:rsid w:val="00D82E54"/>
    <w:rsid w:val="00D82FC5"/>
    <w:rsid w:val="00D83270"/>
    <w:rsid w:val="00D832CE"/>
    <w:rsid w:val="00D833BF"/>
    <w:rsid w:val="00D8351A"/>
    <w:rsid w:val="00D83DBA"/>
    <w:rsid w:val="00D83FF1"/>
    <w:rsid w:val="00D8430A"/>
    <w:rsid w:val="00D84424"/>
    <w:rsid w:val="00D8442B"/>
    <w:rsid w:val="00D846D8"/>
    <w:rsid w:val="00D84877"/>
    <w:rsid w:val="00D848CD"/>
    <w:rsid w:val="00D84C4B"/>
    <w:rsid w:val="00D84D3F"/>
    <w:rsid w:val="00D850D7"/>
    <w:rsid w:val="00D8511B"/>
    <w:rsid w:val="00D852B3"/>
    <w:rsid w:val="00D853B6"/>
    <w:rsid w:val="00D85610"/>
    <w:rsid w:val="00D856B1"/>
    <w:rsid w:val="00D85733"/>
    <w:rsid w:val="00D85CC4"/>
    <w:rsid w:val="00D85FE4"/>
    <w:rsid w:val="00D860C0"/>
    <w:rsid w:val="00D864D4"/>
    <w:rsid w:val="00D86839"/>
    <w:rsid w:val="00D868CD"/>
    <w:rsid w:val="00D86A27"/>
    <w:rsid w:val="00D86B86"/>
    <w:rsid w:val="00D86BB2"/>
    <w:rsid w:val="00D86C24"/>
    <w:rsid w:val="00D86DA2"/>
    <w:rsid w:val="00D86DE5"/>
    <w:rsid w:val="00D86E08"/>
    <w:rsid w:val="00D87144"/>
    <w:rsid w:val="00D87149"/>
    <w:rsid w:val="00D874D9"/>
    <w:rsid w:val="00D874F2"/>
    <w:rsid w:val="00D8753A"/>
    <w:rsid w:val="00D877DD"/>
    <w:rsid w:val="00D878FA"/>
    <w:rsid w:val="00D87BF4"/>
    <w:rsid w:val="00D87E4F"/>
    <w:rsid w:val="00D87F08"/>
    <w:rsid w:val="00D9015A"/>
    <w:rsid w:val="00D903CE"/>
    <w:rsid w:val="00D905F3"/>
    <w:rsid w:val="00D906D0"/>
    <w:rsid w:val="00D9093A"/>
    <w:rsid w:val="00D90A64"/>
    <w:rsid w:val="00D90C6C"/>
    <w:rsid w:val="00D90CCC"/>
    <w:rsid w:val="00D913C1"/>
    <w:rsid w:val="00D9147E"/>
    <w:rsid w:val="00D91ACB"/>
    <w:rsid w:val="00D91BC7"/>
    <w:rsid w:val="00D91E20"/>
    <w:rsid w:val="00D922A5"/>
    <w:rsid w:val="00D92507"/>
    <w:rsid w:val="00D9271A"/>
    <w:rsid w:val="00D927A8"/>
    <w:rsid w:val="00D92940"/>
    <w:rsid w:val="00D92CDA"/>
    <w:rsid w:val="00D92EAA"/>
    <w:rsid w:val="00D92FAB"/>
    <w:rsid w:val="00D9305F"/>
    <w:rsid w:val="00D93077"/>
    <w:rsid w:val="00D93462"/>
    <w:rsid w:val="00D93504"/>
    <w:rsid w:val="00D936BF"/>
    <w:rsid w:val="00D93AFC"/>
    <w:rsid w:val="00D93D34"/>
    <w:rsid w:val="00D93FF7"/>
    <w:rsid w:val="00D94267"/>
    <w:rsid w:val="00D94328"/>
    <w:rsid w:val="00D9438D"/>
    <w:rsid w:val="00D944A1"/>
    <w:rsid w:val="00D94512"/>
    <w:rsid w:val="00D94922"/>
    <w:rsid w:val="00D94965"/>
    <w:rsid w:val="00D94CC6"/>
    <w:rsid w:val="00D94DC9"/>
    <w:rsid w:val="00D952BF"/>
    <w:rsid w:val="00D955D2"/>
    <w:rsid w:val="00D95651"/>
    <w:rsid w:val="00D957F2"/>
    <w:rsid w:val="00D959B4"/>
    <w:rsid w:val="00D95CF1"/>
    <w:rsid w:val="00D95F59"/>
    <w:rsid w:val="00D961A9"/>
    <w:rsid w:val="00D96A98"/>
    <w:rsid w:val="00D96DC3"/>
    <w:rsid w:val="00D970B3"/>
    <w:rsid w:val="00D9714F"/>
    <w:rsid w:val="00D97382"/>
    <w:rsid w:val="00D978C3"/>
    <w:rsid w:val="00D97B39"/>
    <w:rsid w:val="00DA054B"/>
    <w:rsid w:val="00DA079D"/>
    <w:rsid w:val="00DA0870"/>
    <w:rsid w:val="00DA0CD9"/>
    <w:rsid w:val="00DA119B"/>
    <w:rsid w:val="00DA1210"/>
    <w:rsid w:val="00DA1263"/>
    <w:rsid w:val="00DA151F"/>
    <w:rsid w:val="00DA1681"/>
    <w:rsid w:val="00DA1699"/>
    <w:rsid w:val="00DA1872"/>
    <w:rsid w:val="00DA1A09"/>
    <w:rsid w:val="00DA1AC9"/>
    <w:rsid w:val="00DA1D63"/>
    <w:rsid w:val="00DA2126"/>
    <w:rsid w:val="00DA2147"/>
    <w:rsid w:val="00DA2325"/>
    <w:rsid w:val="00DA24F9"/>
    <w:rsid w:val="00DA2B40"/>
    <w:rsid w:val="00DA2DEF"/>
    <w:rsid w:val="00DA2EFD"/>
    <w:rsid w:val="00DA2F1A"/>
    <w:rsid w:val="00DA2F52"/>
    <w:rsid w:val="00DA30F0"/>
    <w:rsid w:val="00DA3126"/>
    <w:rsid w:val="00DA32AD"/>
    <w:rsid w:val="00DA34EC"/>
    <w:rsid w:val="00DA35A6"/>
    <w:rsid w:val="00DA3C45"/>
    <w:rsid w:val="00DA4208"/>
    <w:rsid w:val="00DA4236"/>
    <w:rsid w:val="00DA42CB"/>
    <w:rsid w:val="00DA449A"/>
    <w:rsid w:val="00DA466A"/>
    <w:rsid w:val="00DA49B8"/>
    <w:rsid w:val="00DA4ACB"/>
    <w:rsid w:val="00DA4F62"/>
    <w:rsid w:val="00DA52D7"/>
    <w:rsid w:val="00DA536C"/>
    <w:rsid w:val="00DA583B"/>
    <w:rsid w:val="00DA5B98"/>
    <w:rsid w:val="00DA5CEE"/>
    <w:rsid w:val="00DA5CFA"/>
    <w:rsid w:val="00DA5F19"/>
    <w:rsid w:val="00DA6594"/>
    <w:rsid w:val="00DA688B"/>
    <w:rsid w:val="00DA69E3"/>
    <w:rsid w:val="00DA6A09"/>
    <w:rsid w:val="00DA6AFF"/>
    <w:rsid w:val="00DA6C63"/>
    <w:rsid w:val="00DA6E2E"/>
    <w:rsid w:val="00DA6E37"/>
    <w:rsid w:val="00DA7147"/>
    <w:rsid w:val="00DA74E3"/>
    <w:rsid w:val="00DA77FA"/>
    <w:rsid w:val="00DA78AE"/>
    <w:rsid w:val="00DA7C37"/>
    <w:rsid w:val="00DA7F41"/>
    <w:rsid w:val="00DB00E7"/>
    <w:rsid w:val="00DB031E"/>
    <w:rsid w:val="00DB033A"/>
    <w:rsid w:val="00DB051B"/>
    <w:rsid w:val="00DB088B"/>
    <w:rsid w:val="00DB094E"/>
    <w:rsid w:val="00DB0979"/>
    <w:rsid w:val="00DB0B28"/>
    <w:rsid w:val="00DB0C29"/>
    <w:rsid w:val="00DB0C3C"/>
    <w:rsid w:val="00DB0CAD"/>
    <w:rsid w:val="00DB0E2A"/>
    <w:rsid w:val="00DB152B"/>
    <w:rsid w:val="00DB155E"/>
    <w:rsid w:val="00DB1745"/>
    <w:rsid w:val="00DB17FC"/>
    <w:rsid w:val="00DB1B28"/>
    <w:rsid w:val="00DB1E6A"/>
    <w:rsid w:val="00DB20F3"/>
    <w:rsid w:val="00DB210F"/>
    <w:rsid w:val="00DB24BE"/>
    <w:rsid w:val="00DB250E"/>
    <w:rsid w:val="00DB269F"/>
    <w:rsid w:val="00DB2816"/>
    <w:rsid w:val="00DB2871"/>
    <w:rsid w:val="00DB2EF8"/>
    <w:rsid w:val="00DB2F68"/>
    <w:rsid w:val="00DB302F"/>
    <w:rsid w:val="00DB33F7"/>
    <w:rsid w:val="00DB34C2"/>
    <w:rsid w:val="00DB3517"/>
    <w:rsid w:val="00DB39BD"/>
    <w:rsid w:val="00DB3BBE"/>
    <w:rsid w:val="00DB3D0E"/>
    <w:rsid w:val="00DB3EFF"/>
    <w:rsid w:val="00DB3FEC"/>
    <w:rsid w:val="00DB4428"/>
    <w:rsid w:val="00DB461F"/>
    <w:rsid w:val="00DB4985"/>
    <w:rsid w:val="00DB5169"/>
    <w:rsid w:val="00DB5207"/>
    <w:rsid w:val="00DB54B6"/>
    <w:rsid w:val="00DB552E"/>
    <w:rsid w:val="00DB5611"/>
    <w:rsid w:val="00DB5B42"/>
    <w:rsid w:val="00DB5E6F"/>
    <w:rsid w:val="00DB5EA8"/>
    <w:rsid w:val="00DB61BA"/>
    <w:rsid w:val="00DB65D2"/>
    <w:rsid w:val="00DB6727"/>
    <w:rsid w:val="00DB67A8"/>
    <w:rsid w:val="00DB6A5D"/>
    <w:rsid w:val="00DB6A7F"/>
    <w:rsid w:val="00DB6C33"/>
    <w:rsid w:val="00DB6D09"/>
    <w:rsid w:val="00DB6D1D"/>
    <w:rsid w:val="00DB6DD7"/>
    <w:rsid w:val="00DB6EA8"/>
    <w:rsid w:val="00DB6F66"/>
    <w:rsid w:val="00DB7197"/>
    <w:rsid w:val="00DB76C1"/>
    <w:rsid w:val="00DB79A5"/>
    <w:rsid w:val="00DB7E95"/>
    <w:rsid w:val="00DB7F14"/>
    <w:rsid w:val="00DC001A"/>
    <w:rsid w:val="00DC01C7"/>
    <w:rsid w:val="00DC02F3"/>
    <w:rsid w:val="00DC036F"/>
    <w:rsid w:val="00DC042E"/>
    <w:rsid w:val="00DC043E"/>
    <w:rsid w:val="00DC0596"/>
    <w:rsid w:val="00DC05F1"/>
    <w:rsid w:val="00DC0723"/>
    <w:rsid w:val="00DC0839"/>
    <w:rsid w:val="00DC085C"/>
    <w:rsid w:val="00DC0869"/>
    <w:rsid w:val="00DC0917"/>
    <w:rsid w:val="00DC11E0"/>
    <w:rsid w:val="00DC12C7"/>
    <w:rsid w:val="00DC1389"/>
    <w:rsid w:val="00DC1772"/>
    <w:rsid w:val="00DC1866"/>
    <w:rsid w:val="00DC18B5"/>
    <w:rsid w:val="00DC1987"/>
    <w:rsid w:val="00DC1990"/>
    <w:rsid w:val="00DC2094"/>
    <w:rsid w:val="00DC22D0"/>
    <w:rsid w:val="00DC22EB"/>
    <w:rsid w:val="00DC260C"/>
    <w:rsid w:val="00DC2768"/>
    <w:rsid w:val="00DC2937"/>
    <w:rsid w:val="00DC29A2"/>
    <w:rsid w:val="00DC29DC"/>
    <w:rsid w:val="00DC2B36"/>
    <w:rsid w:val="00DC2B5D"/>
    <w:rsid w:val="00DC2DA0"/>
    <w:rsid w:val="00DC2DEF"/>
    <w:rsid w:val="00DC2E88"/>
    <w:rsid w:val="00DC2EE1"/>
    <w:rsid w:val="00DC31B0"/>
    <w:rsid w:val="00DC3334"/>
    <w:rsid w:val="00DC3755"/>
    <w:rsid w:val="00DC3C12"/>
    <w:rsid w:val="00DC44F4"/>
    <w:rsid w:val="00DC463A"/>
    <w:rsid w:val="00DC46BE"/>
    <w:rsid w:val="00DC4791"/>
    <w:rsid w:val="00DC4949"/>
    <w:rsid w:val="00DC49F6"/>
    <w:rsid w:val="00DC4B37"/>
    <w:rsid w:val="00DC4C4A"/>
    <w:rsid w:val="00DC4D96"/>
    <w:rsid w:val="00DC5126"/>
    <w:rsid w:val="00DC5476"/>
    <w:rsid w:val="00DC56A2"/>
    <w:rsid w:val="00DC5A14"/>
    <w:rsid w:val="00DC5B3B"/>
    <w:rsid w:val="00DC5C17"/>
    <w:rsid w:val="00DC6032"/>
    <w:rsid w:val="00DC64B3"/>
    <w:rsid w:val="00DC64DE"/>
    <w:rsid w:val="00DC66F5"/>
    <w:rsid w:val="00DC6777"/>
    <w:rsid w:val="00DC6836"/>
    <w:rsid w:val="00DC700D"/>
    <w:rsid w:val="00DC703A"/>
    <w:rsid w:val="00DC706E"/>
    <w:rsid w:val="00DC71A1"/>
    <w:rsid w:val="00DC71FD"/>
    <w:rsid w:val="00DC7258"/>
    <w:rsid w:val="00DC743A"/>
    <w:rsid w:val="00DC765D"/>
    <w:rsid w:val="00DC77DA"/>
    <w:rsid w:val="00DC78BC"/>
    <w:rsid w:val="00DC7905"/>
    <w:rsid w:val="00DC798A"/>
    <w:rsid w:val="00DC7E4D"/>
    <w:rsid w:val="00DD0239"/>
    <w:rsid w:val="00DD04D6"/>
    <w:rsid w:val="00DD09EE"/>
    <w:rsid w:val="00DD1106"/>
    <w:rsid w:val="00DD119F"/>
    <w:rsid w:val="00DD1658"/>
    <w:rsid w:val="00DD1967"/>
    <w:rsid w:val="00DD2492"/>
    <w:rsid w:val="00DD2965"/>
    <w:rsid w:val="00DD2A5E"/>
    <w:rsid w:val="00DD2C21"/>
    <w:rsid w:val="00DD2C80"/>
    <w:rsid w:val="00DD2E60"/>
    <w:rsid w:val="00DD2EEC"/>
    <w:rsid w:val="00DD3593"/>
    <w:rsid w:val="00DD35A0"/>
    <w:rsid w:val="00DD3943"/>
    <w:rsid w:val="00DD3BEB"/>
    <w:rsid w:val="00DD3EC6"/>
    <w:rsid w:val="00DD3FDE"/>
    <w:rsid w:val="00DD43A8"/>
    <w:rsid w:val="00DD44E9"/>
    <w:rsid w:val="00DD4B94"/>
    <w:rsid w:val="00DD4C53"/>
    <w:rsid w:val="00DD4C85"/>
    <w:rsid w:val="00DD4FD8"/>
    <w:rsid w:val="00DD5041"/>
    <w:rsid w:val="00DD53E6"/>
    <w:rsid w:val="00DD5874"/>
    <w:rsid w:val="00DD58F6"/>
    <w:rsid w:val="00DD5A06"/>
    <w:rsid w:val="00DD5A13"/>
    <w:rsid w:val="00DD5BD3"/>
    <w:rsid w:val="00DD5E18"/>
    <w:rsid w:val="00DD5E3B"/>
    <w:rsid w:val="00DD611B"/>
    <w:rsid w:val="00DD6615"/>
    <w:rsid w:val="00DD674E"/>
    <w:rsid w:val="00DD67D0"/>
    <w:rsid w:val="00DD6876"/>
    <w:rsid w:val="00DD690B"/>
    <w:rsid w:val="00DD6939"/>
    <w:rsid w:val="00DD6940"/>
    <w:rsid w:val="00DD7405"/>
    <w:rsid w:val="00DD7734"/>
    <w:rsid w:val="00DD7BEB"/>
    <w:rsid w:val="00DE004F"/>
    <w:rsid w:val="00DE0331"/>
    <w:rsid w:val="00DE065C"/>
    <w:rsid w:val="00DE09EA"/>
    <w:rsid w:val="00DE0C9D"/>
    <w:rsid w:val="00DE0D0E"/>
    <w:rsid w:val="00DE0F62"/>
    <w:rsid w:val="00DE1080"/>
    <w:rsid w:val="00DE12A7"/>
    <w:rsid w:val="00DE193A"/>
    <w:rsid w:val="00DE1A8F"/>
    <w:rsid w:val="00DE1D37"/>
    <w:rsid w:val="00DE1D56"/>
    <w:rsid w:val="00DE2071"/>
    <w:rsid w:val="00DE217C"/>
    <w:rsid w:val="00DE2283"/>
    <w:rsid w:val="00DE22DD"/>
    <w:rsid w:val="00DE24FA"/>
    <w:rsid w:val="00DE25A3"/>
    <w:rsid w:val="00DE25B7"/>
    <w:rsid w:val="00DE26F8"/>
    <w:rsid w:val="00DE2988"/>
    <w:rsid w:val="00DE2B14"/>
    <w:rsid w:val="00DE2BE8"/>
    <w:rsid w:val="00DE2BEC"/>
    <w:rsid w:val="00DE2C0C"/>
    <w:rsid w:val="00DE2E4F"/>
    <w:rsid w:val="00DE2EF8"/>
    <w:rsid w:val="00DE2FD5"/>
    <w:rsid w:val="00DE3423"/>
    <w:rsid w:val="00DE3948"/>
    <w:rsid w:val="00DE415D"/>
    <w:rsid w:val="00DE43E1"/>
    <w:rsid w:val="00DE4A2F"/>
    <w:rsid w:val="00DE4C34"/>
    <w:rsid w:val="00DE4C6B"/>
    <w:rsid w:val="00DE51B3"/>
    <w:rsid w:val="00DE53F9"/>
    <w:rsid w:val="00DE58C6"/>
    <w:rsid w:val="00DE59B0"/>
    <w:rsid w:val="00DE59E3"/>
    <w:rsid w:val="00DE5AAA"/>
    <w:rsid w:val="00DE5BE5"/>
    <w:rsid w:val="00DE5E06"/>
    <w:rsid w:val="00DE5F70"/>
    <w:rsid w:val="00DE62EE"/>
    <w:rsid w:val="00DE63B5"/>
    <w:rsid w:val="00DE6474"/>
    <w:rsid w:val="00DE68EB"/>
    <w:rsid w:val="00DE6B40"/>
    <w:rsid w:val="00DE6B72"/>
    <w:rsid w:val="00DE6B84"/>
    <w:rsid w:val="00DE7092"/>
    <w:rsid w:val="00DE713A"/>
    <w:rsid w:val="00DE71E7"/>
    <w:rsid w:val="00DE73F6"/>
    <w:rsid w:val="00DE74B0"/>
    <w:rsid w:val="00DE7514"/>
    <w:rsid w:val="00DE77EE"/>
    <w:rsid w:val="00DE7D12"/>
    <w:rsid w:val="00DE7E1A"/>
    <w:rsid w:val="00DF0026"/>
    <w:rsid w:val="00DF0169"/>
    <w:rsid w:val="00DF048B"/>
    <w:rsid w:val="00DF0521"/>
    <w:rsid w:val="00DF0538"/>
    <w:rsid w:val="00DF08D3"/>
    <w:rsid w:val="00DF09FE"/>
    <w:rsid w:val="00DF0AD1"/>
    <w:rsid w:val="00DF0B59"/>
    <w:rsid w:val="00DF0BD9"/>
    <w:rsid w:val="00DF1171"/>
    <w:rsid w:val="00DF12B2"/>
    <w:rsid w:val="00DF1379"/>
    <w:rsid w:val="00DF1392"/>
    <w:rsid w:val="00DF16B5"/>
    <w:rsid w:val="00DF2225"/>
    <w:rsid w:val="00DF254C"/>
    <w:rsid w:val="00DF25AE"/>
    <w:rsid w:val="00DF274A"/>
    <w:rsid w:val="00DF2B79"/>
    <w:rsid w:val="00DF2F8D"/>
    <w:rsid w:val="00DF30AD"/>
    <w:rsid w:val="00DF3161"/>
    <w:rsid w:val="00DF316A"/>
    <w:rsid w:val="00DF36CD"/>
    <w:rsid w:val="00DF3700"/>
    <w:rsid w:val="00DF37AC"/>
    <w:rsid w:val="00DF38DC"/>
    <w:rsid w:val="00DF3A4F"/>
    <w:rsid w:val="00DF3D67"/>
    <w:rsid w:val="00DF3DEC"/>
    <w:rsid w:val="00DF3DF6"/>
    <w:rsid w:val="00DF3F44"/>
    <w:rsid w:val="00DF4236"/>
    <w:rsid w:val="00DF4658"/>
    <w:rsid w:val="00DF4660"/>
    <w:rsid w:val="00DF4854"/>
    <w:rsid w:val="00DF4BE7"/>
    <w:rsid w:val="00DF4E08"/>
    <w:rsid w:val="00DF4E3E"/>
    <w:rsid w:val="00DF4ED1"/>
    <w:rsid w:val="00DF4F0A"/>
    <w:rsid w:val="00DF5028"/>
    <w:rsid w:val="00DF5162"/>
    <w:rsid w:val="00DF53F1"/>
    <w:rsid w:val="00DF586D"/>
    <w:rsid w:val="00DF5932"/>
    <w:rsid w:val="00DF5A4B"/>
    <w:rsid w:val="00DF5AD8"/>
    <w:rsid w:val="00DF5BBF"/>
    <w:rsid w:val="00DF5EC8"/>
    <w:rsid w:val="00DF62A0"/>
    <w:rsid w:val="00DF685A"/>
    <w:rsid w:val="00DF6E81"/>
    <w:rsid w:val="00DF6F86"/>
    <w:rsid w:val="00DF723E"/>
    <w:rsid w:val="00DF731A"/>
    <w:rsid w:val="00DF73A1"/>
    <w:rsid w:val="00DF73D7"/>
    <w:rsid w:val="00DF7808"/>
    <w:rsid w:val="00DF7B99"/>
    <w:rsid w:val="00DF7CB5"/>
    <w:rsid w:val="00E001A6"/>
    <w:rsid w:val="00E002F4"/>
    <w:rsid w:val="00E0045E"/>
    <w:rsid w:val="00E00561"/>
    <w:rsid w:val="00E00B6A"/>
    <w:rsid w:val="00E00F6A"/>
    <w:rsid w:val="00E01115"/>
    <w:rsid w:val="00E012BB"/>
    <w:rsid w:val="00E013FF"/>
    <w:rsid w:val="00E01483"/>
    <w:rsid w:val="00E01617"/>
    <w:rsid w:val="00E018EB"/>
    <w:rsid w:val="00E019C5"/>
    <w:rsid w:val="00E01AB9"/>
    <w:rsid w:val="00E01C0D"/>
    <w:rsid w:val="00E02AF2"/>
    <w:rsid w:val="00E02C14"/>
    <w:rsid w:val="00E02CFD"/>
    <w:rsid w:val="00E02F0F"/>
    <w:rsid w:val="00E02F57"/>
    <w:rsid w:val="00E032AB"/>
    <w:rsid w:val="00E036D8"/>
    <w:rsid w:val="00E03788"/>
    <w:rsid w:val="00E0386D"/>
    <w:rsid w:val="00E039ED"/>
    <w:rsid w:val="00E03B5C"/>
    <w:rsid w:val="00E03D8D"/>
    <w:rsid w:val="00E03EB0"/>
    <w:rsid w:val="00E03F97"/>
    <w:rsid w:val="00E0453E"/>
    <w:rsid w:val="00E04655"/>
    <w:rsid w:val="00E0470D"/>
    <w:rsid w:val="00E04849"/>
    <w:rsid w:val="00E04A68"/>
    <w:rsid w:val="00E04A97"/>
    <w:rsid w:val="00E04BCD"/>
    <w:rsid w:val="00E04E84"/>
    <w:rsid w:val="00E05446"/>
    <w:rsid w:val="00E0556C"/>
    <w:rsid w:val="00E055A5"/>
    <w:rsid w:val="00E05715"/>
    <w:rsid w:val="00E05930"/>
    <w:rsid w:val="00E05C4C"/>
    <w:rsid w:val="00E05ECB"/>
    <w:rsid w:val="00E063B9"/>
    <w:rsid w:val="00E064D3"/>
    <w:rsid w:val="00E066F3"/>
    <w:rsid w:val="00E06708"/>
    <w:rsid w:val="00E0684A"/>
    <w:rsid w:val="00E0692B"/>
    <w:rsid w:val="00E06A24"/>
    <w:rsid w:val="00E06AF9"/>
    <w:rsid w:val="00E07079"/>
    <w:rsid w:val="00E072BB"/>
    <w:rsid w:val="00E07441"/>
    <w:rsid w:val="00E075C3"/>
    <w:rsid w:val="00E0768B"/>
    <w:rsid w:val="00E07818"/>
    <w:rsid w:val="00E07ABF"/>
    <w:rsid w:val="00E07C1E"/>
    <w:rsid w:val="00E07E51"/>
    <w:rsid w:val="00E10053"/>
    <w:rsid w:val="00E10074"/>
    <w:rsid w:val="00E101D2"/>
    <w:rsid w:val="00E10413"/>
    <w:rsid w:val="00E10730"/>
    <w:rsid w:val="00E10CC7"/>
    <w:rsid w:val="00E11473"/>
    <w:rsid w:val="00E114B4"/>
    <w:rsid w:val="00E11670"/>
    <w:rsid w:val="00E11904"/>
    <w:rsid w:val="00E11CC5"/>
    <w:rsid w:val="00E11D83"/>
    <w:rsid w:val="00E11DEA"/>
    <w:rsid w:val="00E12043"/>
    <w:rsid w:val="00E12188"/>
    <w:rsid w:val="00E12190"/>
    <w:rsid w:val="00E12827"/>
    <w:rsid w:val="00E129FA"/>
    <w:rsid w:val="00E12A4D"/>
    <w:rsid w:val="00E12CB8"/>
    <w:rsid w:val="00E12FB0"/>
    <w:rsid w:val="00E130C7"/>
    <w:rsid w:val="00E1365D"/>
    <w:rsid w:val="00E1396E"/>
    <w:rsid w:val="00E13F36"/>
    <w:rsid w:val="00E14136"/>
    <w:rsid w:val="00E1470F"/>
    <w:rsid w:val="00E14939"/>
    <w:rsid w:val="00E149B7"/>
    <w:rsid w:val="00E14A4C"/>
    <w:rsid w:val="00E14AF3"/>
    <w:rsid w:val="00E14C44"/>
    <w:rsid w:val="00E14FE9"/>
    <w:rsid w:val="00E15134"/>
    <w:rsid w:val="00E152AC"/>
    <w:rsid w:val="00E152F9"/>
    <w:rsid w:val="00E15543"/>
    <w:rsid w:val="00E158ED"/>
    <w:rsid w:val="00E1594E"/>
    <w:rsid w:val="00E15A36"/>
    <w:rsid w:val="00E15B5F"/>
    <w:rsid w:val="00E15C9F"/>
    <w:rsid w:val="00E1613A"/>
    <w:rsid w:val="00E16448"/>
    <w:rsid w:val="00E165E3"/>
    <w:rsid w:val="00E166F2"/>
    <w:rsid w:val="00E16777"/>
    <w:rsid w:val="00E168FC"/>
    <w:rsid w:val="00E16A56"/>
    <w:rsid w:val="00E16F81"/>
    <w:rsid w:val="00E1704E"/>
    <w:rsid w:val="00E17279"/>
    <w:rsid w:val="00E17936"/>
    <w:rsid w:val="00E17A92"/>
    <w:rsid w:val="00E17D9F"/>
    <w:rsid w:val="00E2015B"/>
    <w:rsid w:val="00E20301"/>
    <w:rsid w:val="00E20357"/>
    <w:rsid w:val="00E2040E"/>
    <w:rsid w:val="00E20705"/>
    <w:rsid w:val="00E208B9"/>
    <w:rsid w:val="00E20A92"/>
    <w:rsid w:val="00E20B8B"/>
    <w:rsid w:val="00E21008"/>
    <w:rsid w:val="00E212B9"/>
    <w:rsid w:val="00E214AC"/>
    <w:rsid w:val="00E21546"/>
    <w:rsid w:val="00E217DC"/>
    <w:rsid w:val="00E21A41"/>
    <w:rsid w:val="00E21CFA"/>
    <w:rsid w:val="00E21E05"/>
    <w:rsid w:val="00E21ED1"/>
    <w:rsid w:val="00E2206F"/>
    <w:rsid w:val="00E225C5"/>
    <w:rsid w:val="00E22A41"/>
    <w:rsid w:val="00E22AAD"/>
    <w:rsid w:val="00E22F11"/>
    <w:rsid w:val="00E231EF"/>
    <w:rsid w:val="00E23423"/>
    <w:rsid w:val="00E23591"/>
    <w:rsid w:val="00E238D5"/>
    <w:rsid w:val="00E23969"/>
    <w:rsid w:val="00E239C5"/>
    <w:rsid w:val="00E23FA3"/>
    <w:rsid w:val="00E2428B"/>
    <w:rsid w:val="00E24CD7"/>
    <w:rsid w:val="00E24CED"/>
    <w:rsid w:val="00E24E6D"/>
    <w:rsid w:val="00E24EEB"/>
    <w:rsid w:val="00E251DA"/>
    <w:rsid w:val="00E25476"/>
    <w:rsid w:val="00E25608"/>
    <w:rsid w:val="00E2567C"/>
    <w:rsid w:val="00E260BA"/>
    <w:rsid w:val="00E26132"/>
    <w:rsid w:val="00E2661A"/>
    <w:rsid w:val="00E26EFD"/>
    <w:rsid w:val="00E27199"/>
    <w:rsid w:val="00E2737A"/>
    <w:rsid w:val="00E2740E"/>
    <w:rsid w:val="00E27554"/>
    <w:rsid w:val="00E279D7"/>
    <w:rsid w:val="00E27B3E"/>
    <w:rsid w:val="00E27BA4"/>
    <w:rsid w:val="00E27D1D"/>
    <w:rsid w:val="00E27E5F"/>
    <w:rsid w:val="00E27EBD"/>
    <w:rsid w:val="00E27EC7"/>
    <w:rsid w:val="00E27F24"/>
    <w:rsid w:val="00E27FFD"/>
    <w:rsid w:val="00E3010C"/>
    <w:rsid w:val="00E3026A"/>
    <w:rsid w:val="00E30331"/>
    <w:rsid w:val="00E30421"/>
    <w:rsid w:val="00E3059E"/>
    <w:rsid w:val="00E305D5"/>
    <w:rsid w:val="00E30A53"/>
    <w:rsid w:val="00E30ECC"/>
    <w:rsid w:val="00E3116A"/>
    <w:rsid w:val="00E31183"/>
    <w:rsid w:val="00E311B9"/>
    <w:rsid w:val="00E313EF"/>
    <w:rsid w:val="00E3148B"/>
    <w:rsid w:val="00E315B9"/>
    <w:rsid w:val="00E31675"/>
    <w:rsid w:val="00E31735"/>
    <w:rsid w:val="00E318FD"/>
    <w:rsid w:val="00E31964"/>
    <w:rsid w:val="00E31A35"/>
    <w:rsid w:val="00E31A78"/>
    <w:rsid w:val="00E31A92"/>
    <w:rsid w:val="00E31C64"/>
    <w:rsid w:val="00E31F5F"/>
    <w:rsid w:val="00E32536"/>
    <w:rsid w:val="00E3286C"/>
    <w:rsid w:val="00E329EB"/>
    <w:rsid w:val="00E32CE4"/>
    <w:rsid w:val="00E32F33"/>
    <w:rsid w:val="00E32F66"/>
    <w:rsid w:val="00E3323B"/>
    <w:rsid w:val="00E3337D"/>
    <w:rsid w:val="00E33506"/>
    <w:rsid w:val="00E33844"/>
    <w:rsid w:val="00E3386F"/>
    <w:rsid w:val="00E33EAD"/>
    <w:rsid w:val="00E34357"/>
    <w:rsid w:val="00E34619"/>
    <w:rsid w:val="00E348CC"/>
    <w:rsid w:val="00E3500B"/>
    <w:rsid w:val="00E35496"/>
    <w:rsid w:val="00E3555E"/>
    <w:rsid w:val="00E35604"/>
    <w:rsid w:val="00E357B2"/>
    <w:rsid w:val="00E358A4"/>
    <w:rsid w:val="00E359C1"/>
    <w:rsid w:val="00E359C9"/>
    <w:rsid w:val="00E35D86"/>
    <w:rsid w:val="00E35E2B"/>
    <w:rsid w:val="00E35EEE"/>
    <w:rsid w:val="00E36082"/>
    <w:rsid w:val="00E3610D"/>
    <w:rsid w:val="00E36465"/>
    <w:rsid w:val="00E36753"/>
    <w:rsid w:val="00E3690D"/>
    <w:rsid w:val="00E36981"/>
    <w:rsid w:val="00E36A80"/>
    <w:rsid w:val="00E36FEC"/>
    <w:rsid w:val="00E371C0"/>
    <w:rsid w:val="00E371EF"/>
    <w:rsid w:val="00E375CE"/>
    <w:rsid w:val="00E3768F"/>
    <w:rsid w:val="00E3788A"/>
    <w:rsid w:val="00E37CE1"/>
    <w:rsid w:val="00E37D8D"/>
    <w:rsid w:val="00E37F30"/>
    <w:rsid w:val="00E40048"/>
    <w:rsid w:val="00E401B2"/>
    <w:rsid w:val="00E402D8"/>
    <w:rsid w:val="00E404B1"/>
    <w:rsid w:val="00E40798"/>
    <w:rsid w:val="00E40866"/>
    <w:rsid w:val="00E40924"/>
    <w:rsid w:val="00E40F71"/>
    <w:rsid w:val="00E4105C"/>
    <w:rsid w:val="00E41073"/>
    <w:rsid w:val="00E414D7"/>
    <w:rsid w:val="00E4150C"/>
    <w:rsid w:val="00E41893"/>
    <w:rsid w:val="00E419E7"/>
    <w:rsid w:val="00E41B30"/>
    <w:rsid w:val="00E41BA5"/>
    <w:rsid w:val="00E41BB9"/>
    <w:rsid w:val="00E41DAA"/>
    <w:rsid w:val="00E41F42"/>
    <w:rsid w:val="00E421AF"/>
    <w:rsid w:val="00E42510"/>
    <w:rsid w:val="00E42775"/>
    <w:rsid w:val="00E42849"/>
    <w:rsid w:val="00E4286F"/>
    <w:rsid w:val="00E42CB1"/>
    <w:rsid w:val="00E42FFD"/>
    <w:rsid w:val="00E430DA"/>
    <w:rsid w:val="00E4333A"/>
    <w:rsid w:val="00E43447"/>
    <w:rsid w:val="00E434FE"/>
    <w:rsid w:val="00E4358A"/>
    <w:rsid w:val="00E439C7"/>
    <w:rsid w:val="00E43BAB"/>
    <w:rsid w:val="00E43CF2"/>
    <w:rsid w:val="00E44285"/>
    <w:rsid w:val="00E44A7D"/>
    <w:rsid w:val="00E44B02"/>
    <w:rsid w:val="00E45023"/>
    <w:rsid w:val="00E4515A"/>
    <w:rsid w:val="00E45AAF"/>
    <w:rsid w:val="00E45B55"/>
    <w:rsid w:val="00E45D52"/>
    <w:rsid w:val="00E462EE"/>
    <w:rsid w:val="00E46683"/>
    <w:rsid w:val="00E46A74"/>
    <w:rsid w:val="00E46AAC"/>
    <w:rsid w:val="00E46DC8"/>
    <w:rsid w:val="00E4709C"/>
    <w:rsid w:val="00E471B3"/>
    <w:rsid w:val="00E4722C"/>
    <w:rsid w:val="00E473FB"/>
    <w:rsid w:val="00E474B7"/>
    <w:rsid w:val="00E47C2D"/>
    <w:rsid w:val="00E47D2C"/>
    <w:rsid w:val="00E47EA6"/>
    <w:rsid w:val="00E5010C"/>
    <w:rsid w:val="00E5037B"/>
    <w:rsid w:val="00E503BE"/>
    <w:rsid w:val="00E50534"/>
    <w:rsid w:val="00E50561"/>
    <w:rsid w:val="00E50702"/>
    <w:rsid w:val="00E50745"/>
    <w:rsid w:val="00E50EF4"/>
    <w:rsid w:val="00E50FA9"/>
    <w:rsid w:val="00E51237"/>
    <w:rsid w:val="00E51925"/>
    <w:rsid w:val="00E51A87"/>
    <w:rsid w:val="00E51AEC"/>
    <w:rsid w:val="00E51F09"/>
    <w:rsid w:val="00E51F89"/>
    <w:rsid w:val="00E51FD7"/>
    <w:rsid w:val="00E5221C"/>
    <w:rsid w:val="00E52748"/>
    <w:rsid w:val="00E527A0"/>
    <w:rsid w:val="00E5283D"/>
    <w:rsid w:val="00E52A04"/>
    <w:rsid w:val="00E52AAB"/>
    <w:rsid w:val="00E52BB3"/>
    <w:rsid w:val="00E53488"/>
    <w:rsid w:val="00E5375A"/>
    <w:rsid w:val="00E539D1"/>
    <w:rsid w:val="00E53A14"/>
    <w:rsid w:val="00E53CEE"/>
    <w:rsid w:val="00E53CFF"/>
    <w:rsid w:val="00E54129"/>
    <w:rsid w:val="00E5470B"/>
    <w:rsid w:val="00E54951"/>
    <w:rsid w:val="00E5516D"/>
    <w:rsid w:val="00E5543A"/>
    <w:rsid w:val="00E5552E"/>
    <w:rsid w:val="00E55607"/>
    <w:rsid w:val="00E5571F"/>
    <w:rsid w:val="00E55730"/>
    <w:rsid w:val="00E558EB"/>
    <w:rsid w:val="00E5592F"/>
    <w:rsid w:val="00E559CA"/>
    <w:rsid w:val="00E562B1"/>
    <w:rsid w:val="00E5691F"/>
    <w:rsid w:val="00E56B18"/>
    <w:rsid w:val="00E56E89"/>
    <w:rsid w:val="00E56FFF"/>
    <w:rsid w:val="00E57098"/>
    <w:rsid w:val="00E57158"/>
    <w:rsid w:val="00E57363"/>
    <w:rsid w:val="00E574E2"/>
    <w:rsid w:val="00E57BAF"/>
    <w:rsid w:val="00E57C73"/>
    <w:rsid w:val="00E57FA0"/>
    <w:rsid w:val="00E600D3"/>
    <w:rsid w:val="00E600DA"/>
    <w:rsid w:val="00E60247"/>
    <w:rsid w:val="00E6041D"/>
    <w:rsid w:val="00E6053B"/>
    <w:rsid w:val="00E6057E"/>
    <w:rsid w:val="00E6058D"/>
    <w:rsid w:val="00E606FE"/>
    <w:rsid w:val="00E60809"/>
    <w:rsid w:val="00E60AC6"/>
    <w:rsid w:val="00E60B18"/>
    <w:rsid w:val="00E60D0A"/>
    <w:rsid w:val="00E60EB7"/>
    <w:rsid w:val="00E61000"/>
    <w:rsid w:val="00E61212"/>
    <w:rsid w:val="00E61237"/>
    <w:rsid w:val="00E612C3"/>
    <w:rsid w:val="00E613B5"/>
    <w:rsid w:val="00E6164D"/>
    <w:rsid w:val="00E61676"/>
    <w:rsid w:val="00E61808"/>
    <w:rsid w:val="00E6185D"/>
    <w:rsid w:val="00E61D73"/>
    <w:rsid w:val="00E6202B"/>
    <w:rsid w:val="00E6216D"/>
    <w:rsid w:val="00E62360"/>
    <w:rsid w:val="00E626F1"/>
    <w:rsid w:val="00E6272F"/>
    <w:rsid w:val="00E627A8"/>
    <w:rsid w:val="00E62816"/>
    <w:rsid w:val="00E62B83"/>
    <w:rsid w:val="00E62C4F"/>
    <w:rsid w:val="00E62DE1"/>
    <w:rsid w:val="00E62F17"/>
    <w:rsid w:val="00E62F60"/>
    <w:rsid w:val="00E63E26"/>
    <w:rsid w:val="00E6443B"/>
    <w:rsid w:val="00E64481"/>
    <w:rsid w:val="00E645B5"/>
    <w:rsid w:val="00E645ED"/>
    <w:rsid w:val="00E64849"/>
    <w:rsid w:val="00E64D52"/>
    <w:rsid w:val="00E64E0C"/>
    <w:rsid w:val="00E65289"/>
    <w:rsid w:val="00E65461"/>
    <w:rsid w:val="00E654B8"/>
    <w:rsid w:val="00E656E6"/>
    <w:rsid w:val="00E6572D"/>
    <w:rsid w:val="00E65A2E"/>
    <w:rsid w:val="00E65D70"/>
    <w:rsid w:val="00E65E81"/>
    <w:rsid w:val="00E66395"/>
    <w:rsid w:val="00E663C5"/>
    <w:rsid w:val="00E66464"/>
    <w:rsid w:val="00E66567"/>
    <w:rsid w:val="00E665E8"/>
    <w:rsid w:val="00E66639"/>
    <w:rsid w:val="00E66C21"/>
    <w:rsid w:val="00E66CA9"/>
    <w:rsid w:val="00E66CC5"/>
    <w:rsid w:val="00E67531"/>
    <w:rsid w:val="00E67ABA"/>
    <w:rsid w:val="00E67C88"/>
    <w:rsid w:val="00E67D01"/>
    <w:rsid w:val="00E67D59"/>
    <w:rsid w:val="00E67E51"/>
    <w:rsid w:val="00E67EAB"/>
    <w:rsid w:val="00E67EF1"/>
    <w:rsid w:val="00E70057"/>
    <w:rsid w:val="00E70411"/>
    <w:rsid w:val="00E70518"/>
    <w:rsid w:val="00E70626"/>
    <w:rsid w:val="00E707D9"/>
    <w:rsid w:val="00E7080C"/>
    <w:rsid w:val="00E7099B"/>
    <w:rsid w:val="00E70A9B"/>
    <w:rsid w:val="00E70B59"/>
    <w:rsid w:val="00E70BBE"/>
    <w:rsid w:val="00E70D49"/>
    <w:rsid w:val="00E70D4F"/>
    <w:rsid w:val="00E70E4E"/>
    <w:rsid w:val="00E70FAD"/>
    <w:rsid w:val="00E7129C"/>
    <w:rsid w:val="00E71A10"/>
    <w:rsid w:val="00E71D0F"/>
    <w:rsid w:val="00E71E00"/>
    <w:rsid w:val="00E72171"/>
    <w:rsid w:val="00E72206"/>
    <w:rsid w:val="00E72AB5"/>
    <w:rsid w:val="00E72CB4"/>
    <w:rsid w:val="00E72D0D"/>
    <w:rsid w:val="00E72F5A"/>
    <w:rsid w:val="00E72F6C"/>
    <w:rsid w:val="00E73022"/>
    <w:rsid w:val="00E7302D"/>
    <w:rsid w:val="00E73132"/>
    <w:rsid w:val="00E73261"/>
    <w:rsid w:val="00E735F9"/>
    <w:rsid w:val="00E736C5"/>
    <w:rsid w:val="00E7371C"/>
    <w:rsid w:val="00E7375E"/>
    <w:rsid w:val="00E737F5"/>
    <w:rsid w:val="00E73C17"/>
    <w:rsid w:val="00E73E6E"/>
    <w:rsid w:val="00E742BA"/>
    <w:rsid w:val="00E7456E"/>
    <w:rsid w:val="00E74BF1"/>
    <w:rsid w:val="00E75508"/>
    <w:rsid w:val="00E7598A"/>
    <w:rsid w:val="00E75A18"/>
    <w:rsid w:val="00E75C04"/>
    <w:rsid w:val="00E764D3"/>
    <w:rsid w:val="00E76910"/>
    <w:rsid w:val="00E769D5"/>
    <w:rsid w:val="00E76C8E"/>
    <w:rsid w:val="00E76E0D"/>
    <w:rsid w:val="00E76E18"/>
    <w:rsid w:val="00E771C8"/>
    <w:rsid w:val="00E7725B"/>
    <w:rsid w:val="00E77291"/>
    <w:rsid w:val="00E7745A"/>
    <w:rsid w:val="00E7757C"/>
    <w:rsid w:val="00E775A0"/>
    <w:rsid w:val="00E7763D"/>
    <w:rsid w:val="00E7781C"/>
    <w:rsid w:val="00E778D7"/>
    <w:rsid w:val="00E77BC5"/>
    <w:rsid w:val="00E77C5D"/>
    <w:rsid w:val="00E77D36"/>
    <w:rsid w:val="00E77E61"/>
    <w:rsid w:val="00E77E9C"/>
    <w:rsid w:val="00E77FDA"/>
    <w:rsid w:val="00E80366"/>
    <w:rsid w:val="00E80437"/>
    <w:rsid w:val="00E804AD"/>
    <w:rsid w:val="00E80595"/>
    <w:rsid w:val="00E80720"/>
    <w:rsid w:val="00E80756"/>
    <w:rsid w:val="00E80C24"/>
    <w:rsid w:val="00E81317"/>
    <w:rsid w:val="00E81372"/>
    <w:rsid w:val="00E817EF"/>
    <w:rsid w:val="00E8222C"/>
    <w:rsid w:val="00E82363"/>
    <w:rsid w:val="00E8281A"/>
    <w:rsid w:val="00E8281B"/>
    <w:rsid w:val="00E82912"/>
    <w:rsid w:val="00E82D37"/>
    <w:rsid w:val="00E82EDF"/>
    <w:rsid w:val="00E83053"/>
    <w:rsid w:val="00E8313E"/>
    <w:rsid w:val="00E8329D"/>
    <w:rsid w:val="00E83579"/>
    <w:rsid w:val="00E8371B"/>
    <w:rsid w:val="00E83910"/>
    <w:rsid w:val="00E83DBE"/>
    <w:rsid w:val="00E84C28"/>
    <w:rsid w:val="00E84F7A"/>
    <w:rsid w:val="00E852C3"/>
    <w:rsid w:val="00E85605"/>
    <w:rsid w:val="00E8572A"/>
    <w:rsid w:val="00E8572D"/>
    <w:rsid w:val="00E85A14"/>
    <w:rsid w:val="00E85E84"/>
    <w:rsid w:val="00E85F7A"/>
    <w:rsid w:val="00E85FE0"/>
    <w:rsid w:val="00E8697D"/>
    <w:rsid w:val="00E86B02"/>
    <w:rsid w:val="00E86D59"/>
    <w:rsid w:val="00E86D68"/>
    <w:rsid w:val="00E86F01"/>
    <w:rsid w:val="00E872F9"/>
    <w:rsid w:val="00E8763F"/>
    <w:rsid w:val="00E87741"/>
    <w:rsid w:val="00E87786"/>
    <w:rsid w:val="00E877C4"/>
    <w:rsid w:val="00E87A3F"/>
    <w:rsid w:val="00E87E98"/>
    <w:rsid w:val="00E87EFA"/>
    <w:rsid w:val="00E9012B"/>
    <w:rsid w:val="00E903CF"/>
    <w:rsid w:val="00E90470"/>
    <w:rsid w:val="00E90DBA"/>
    <w:rsid w:val="00E90E41"/>
    <w:rsid w:val="00E91557"/>
    <w:rsid w:val="00E91609"/>
    <w:rsid w:val="00E9185D"/>
    <w:rsid w:val="00E91B7A"/>
    <w:rsid w:val="00E91EB4"/>
    <w:rsid w:val="00E91FFD"/>
    <w:rsid w:val="00E920F8"/>
    <w:rsid w:val="00E922C0"/>
    <w:rsid w:val="00E92C1C"/>
    <w:rsid w:val="00E92DE6"/>
    <w:rsid w:val="00E931DF"/>
    <w:rsid w:val="00E93292"/>
    <w:rsid w:val="00E933B9"/>
    <w:rsid w:val="00E93653"/>
    <w:rsid w:val="00E93793"/>
    <w:rsid w:val="00E93DF6"/>
    <w:rsid w:val="00E93ECF"/>
    <w:rsid w:val="00E940A8"/>
    <w:rsid w:val="00E94140"/>
    <w:rsid w:val="00E942D6"/>
    <w:rsid w:val="00E94463"/>
    <w:rsid w:val="00E94550"/>
    <w:rsid w:val="00E946E8"/>
    <w:rsid w:val="00E94B82"/>
    <w:rsid w:val="00E94D5D"/>
    <w:rsid w:val="00E95169"/>
    <w:rsid w:val="00E95205"/>
    <w:rsid w:val="00E953A9"/>
    <w:rsid w:val="00E9546F"/>
    <w:rsid w:val="00E9549B"/>
    <w:rsid w:val="00E954F1"/>
    <w:rsid w:val="00E9565E"/>
    <w:rsid w:val="00E95C9F"/>
    <w:rsid w:val="00E95CE4"/>
    <w:rsid w:val="00E96377"/>
    <w:rsid w:val="00E96598"/>
    <w:rsid w:val="00E96796"/>
    <w:rsid w:val="00E96D80"/>
    <w:rsid w:val="00E96EE1"/>
    <w:rsid w:val="00E97319"/>
    <w:rsid w:val="00E97382"/>
    <w:rsid w:val="00E97431"/>
    <w:rsid w:val="00E977ED"/>
    <w:rsid w:val="00E978D0"/>
    <w:rsid w:val="00E97912"/>
    <w:rsid w:val="00E97A67"/>
    <w:rsid w:val="00E97BAD"/>
    <w:rsid w:val="00E97C97"/>
    <w:rsid w:val="00E97E0B"/>
    <w:rsid w:val="00EA0165"/>
    <w:rsid w:val="00EA0221"/>
    <w:rsid w:val="00EA0397"/>
    <w:rsid w:val="00EA0435"/>
    <w:rsid w:val="00EA0630"/>
    <w:rsid w:val="00EA0709"/>
    <w:rsid w:val="00EA099B"/>
    <w:rsid w:val="00EA09DF"/>
    <w:rsid w:val="00EA0E92"/>
    <w:rsid w:val="00EA0EDD"/>
    <w:rsid w:val="00EA10DA"/>
    <w:rsid w:val="00EA1122"/>
    <w:rsid w:val="00EA11EA"/>
    <w:rsid w:val="00EA15F8"/>
    <w:rsid w:val="00EA203A"/>
    <w:rsid w:val="00EA2227"/>
    <w:rsid w:val="00EA2430"/>
    <w:rsid w:val="00EA2442"/>
    <w:rsid w:val="00EA24BE"/>
    <w:rsid w:val="00EA2516"/>
    <w:rsid w:val="00EA2596"/>
    <w:rsid w:val="00EA30FA"/>
    <w:rsid w:val="00EA3213"/>
    <w:rsid w:val="00EA326B"/>
    <w:rsid w:val="00EA3777"/>
    <w:rsid w:val="00EA3B07"/>
    <w:rsid w:val="00EA3B4C"/>
    <w:rsid w:val="00EA3B76"/>
    <w:rsid w:val="00EA3CA8"/>
    <w:rsid w:val="00EA3E08"/>
    <w:rsid w:val="00EA3E5A"/>
    <w:rsid w:val="00EA4458"/>
    <w:rsid w:val="00EA451F"/>
    <w:rsid w:val="00EA45B7"/>
    <w:rsid w:val="00EA51F2"/>
    <w:rsid w:val="00EA52B1"/>
    <w:rsid w:val="00EA555F"/>
    <w:rsid w:val="00EA55ED"/>
    <w:rsid w:val="00EA5861"/>
    <w:rsid w:val="00EA5972"/>
    <w:rsid w:val="00EA5BEE"/>
    <w:rsid w:val="00EA5C78"/>
    <w:rsid w:val="00EA60F1"/>
    <w:rsid w:val="00EA642B"/>
    <w:rsid w:val="00EA64F0"/>
    <w:rsid w:val="00EA658A"/>
    <w:rsid w:val="00EA6871"/>
    <w:rsid w:val="00EA6CCA"/>
    <w:rsid w:val="00EA6D53"/>
    <w:rsid w:val="00EA71A5"/>
    <w:rsid w:val="00EA7298"/>
    <w:rsid w:val="00EA754E"/>
    <w:rsid w:val="00EA7687"/>
    <w:rsid w:val="00EA7B92"/>
    <w:rsid w:val="00EA7C4E"/>
    <w:rsid w:val="00EA7CE9"/>
    <w:rsid w:val="00EA7D96"/>
    <w:rsid w:val="00EB0362"/>
    <w:rsid w:val="00EB03E6"/>
    <w:rsid w:val="00EB0751"/>
    <w:rsid w:val="00EB07D6"/>
    <w:rsid w:val="00EB0B7E"/>
    <w:rsid w:val="00EB0C56"/>
    <w:rsid w:val="00EB0CB1"/>
    <w:rsid w:val="00EB0F80"/>
    <w:rsid w:val="00EB1135"/>
    <w:rsid w:val="00EB1489"/>
    <w:rsid w:val="00EB14D1"/>
    <w:rsid w:val="00EB1555"/>
    <w:rsid w:val="00EB15AC"/>
    <w:rsid w:val="00EB17C2"/>
    <w:rsid w:val="00EB1873"/>
    <w:rsid w:val="00EB19CC"/>
    <w:rsid w:val="00EB1DBF"/>
    <w:rsid w:val="00EB20A2"/>
    <w:rsid w:val="00EB2371"/>
    <w:rsid w:val="00EB2A39"/>
    <w:rsid w:val="00EB2AC3"/>
    <w:rsid w:val="00EB2B3C"/>
    <w:rsid w:val="00EB2B5A"/>
    <w:rsid w:val="00EB32BC"/>
    <w:rsid w:val="00EB3477"/>
    <w:rsid w:val="00EB38A3"/>
    <w:rsid w:val="00EB3A96"/>
    <w:rsid w:val="00EB408D"/>
    <w:rsid w:val="00EB4299"/>
    <w:rsid w:val="00EB4991"/>
    <w:rsid w:val="00EB4AEC"/>
    <w:rsid w:val="00EB4E22"/>
    <w:rsid w:val="00EB4E57"/>
    <w:rsid w:val="00EB4E92"/>
    <w:rsid w:val="00EB506C"/>
    <w:rsid w:val="00EB50D5"/>
    <w:rsid w:val="00EB51EB"/>
    <w:rsid w:val="00EB53F9"/>
    <w:rsid w:val="00EB54D6"/>
    <w:rsid w:val="00EB5733"/>
    <w:rsid w:val="00EB57F0"/>
    <w:rsid w:val="00EB5B53"/>
    <w:rsid w:val="00EB5C7B"/>
    <w:rsid w:val="00EB5F30"/>
    <w:rsid w:val="00EB5FBC"/>
    <w:rsid w:val="00EB6118"/>
    <w:rsid w:val="00EB6307"/>
    <w:rsid w:val="00EB639F"/>
    <w:rsid w:val="00EB63DE"/>
    <w:rsid w:val="00EB673B"/>
    <w:rsid w:val="00EB6A6E"/>
    <w:rsid w:val="00EB6BD9"/>
    <w:rsid w:val="00EB6E21"/>
    <w:rsid w:val="00EB6E27"/>
    <w:rsid w:val="00EB6F3D"/>
    <w:rsid w:val="00EB7094"/>
    <w:rsid w:val="00EB71EC"/>
    <w:rsid w:val="00EB7757"/>
    <w:rsid w:val="00EB7823"/>
    <w:rsid w:val="00EB793B"/>
    <w:rsid w:val="00EB7958"/>
    <w:rsid w:val="00EB7A6F"/>
    <w:rsid w:val="00EB7B57"/>
    <w:rsid w:val="00EB7CF0"/>
    <w:rsid w:val="00EC0561"/>
    <w:rsid w:val="00EC065C"/>
    <w:rsid w:val="00EC0711"/>
    <w:rsid w:val="00EC090D"/>
    <w:rsid w:val="00EC09F7"/>
    <w:rsid w:val="00EC0C42"/>
    <w:rsid w:val="00EC0D70"/>
    <w:rsid w:val="00EC0DC6"/>
    <w:rsid w:val="00EC1302"/>
    <w:rsid w:val="00EC17A2"/>
    <w:rsid w:val="00EC18A4"/>
    <w:rsid w:val="00EC18CA"/>
    <w:rsid w:val="00EC1C69"/>
    <w:rsid w:val="00EC1F2C"/>
    <w:rsid w:val="00EC2074"/>
    <w:rsid w:val="00EC226A"/>
    <w:rsid w:val="00EC2461"/>
    <w:rsid w:val="00EC2CF2"/>
    <w:rsid w:val="00EC2D29"/>
    <w:rsid w:val="00EC302C"/>
    <w:rsid w:val="00EC3047"/>
    <w:rsid w:val="00EC33DA"/>
    <w:rsid w:val="00EC348F"/>
    <w:rsid w:val="00EC38D6"/>
    <w:rsid w:val="00EC3AA2"/>
    <w:rsid w:val="00EC3D1C"/>
    <w:rsid w:val="00EC3DB8"/>
    <w:rsid w:val="00EC3E0D"/>
    <w:rsid w:val="00EC4402"/>
    <w:rsid w:val="00EC4582"/>
    <w:rsid w:val="00EC4649"/>
    <w:rsid w:val="00EC46A7"/>
    <w:rsid w:val="00EC4C05"/>
    <w:rsid w:val="00EC4C72"/>
    <w:rsid w:val="00EC4D74"/>
    <w:rsid w:val="00EC4F8E"/>
    <w:rsid w:val="00EC55FC"/>
    <w:rsid w:val="00EC56B8"/>
    <w:rsid w:val="00EC5939"/>
    <w:rsid w:val="00EC5D64"/>
    <w:rsid w:val="00EC5DE4"/>
    <w:rsid w:val="00EC5E28"/>
    <w:rsid w:val="00EC5FF6"/>
    <w:rsid w:val="00EC637F"/>
    <w:rsid w:val="00EC6446"/>
    <w:rsid w:val="00EC681C"/>
    <w:rsid w:val="00EC6973"/>
    <w:rsid w:val="00EC6B1F"/>
    <w:rsid w:val="00EC6CC5"/>
    <w:rsid w:val="00EC7179"/>
    <w:rsid w:val="00EC7331"/>
    <w:rsid w:val="00EC7375"/>
    <w:rsid w:val="00EC7A3A"/>
    <w:rsid w:val="00ED03A5"/>
    <w:rsid w:val="00ED03A8"/>
    <w:rsid w:val="00ED0507"/>
    <w:rsid w:val="00ED099F"/>
    <w:rsid w:val="00ED0B42"/>
    <w:rsid w:val="00ED0C9F"/>
    <w:rsid w:val="00ED0CBA"/>
    <w:rsid w:val="00ED0CFF"/>
    <w:rsid w:val="00ED0F7D"/>
    <w:rsid w:val="00ED11C0"/>
    <w:rsid w:val="00ED1277"/>
    <w:rsid w:val="00ED139A"/>
    <w:rsid w:val="00ED13DD"/>
    <w:rsid w:val="00ED17C4"/>
    <w:rsid w:val="00ED188B"/>
    <w:rsid w:val="00ED19A2"/>
    <w:rsid w:val="00ED1A36"/>
    <w:rsid w:val="00ED1D3A"/>
    <w:rsid w:val="00ED1E58"/>
    <w:rsid w:val="00ED1F17"/>
    <w:rsid w:val="00ED2010"/>
    <w:rsid w:val="00ED2254"/>
    <w:rsid w:val="00ED2457"/>
    <w:rsid w:val="00ED26A8"/>
    <w:rsid w:val="00ED2D57"/>
    <w:rsid w:val="00ED2E0D"/>
    <w:rsid w:val="00ED3474"/>
    <w:rsid w:val="00ED3694"/>
    <w:rsid w:val="00ED3736"/>
    <w:rsid w:val="00ED38BB"/>
    <w:rsid w:val="00ED3B7B"/>
    <w:rsid w:val="00ED3D91"/>
    <w:rsid w:val="00ED3E83"/>
    <w:rsid w:val="00ED3F60"/>
    <w:rsid w:val="00ED415E"/>
    <w:rsid w:val="00ED455F"/>
    <w:rsid w:val="00ED4AF2"/>
    <w:rsid w:val="00ED50F3"/>
    <w:rsid w:val="00ED5302"/>
    <w:rsid w:val="00ED5626"/>
    <w:rsid w:val="00ED57FF"/>
    <w:rsid w:val="00ED592F"/>
    <w:rsid w:val="00ED5AC6"/>
    <w:rsid w:val="00ED5B7C"/>
    <w:rsid w:val="00ED5F74"/>
    <w:rsid w:val="00ED6020"/>
    <w:rsid w:val="00ED6034"/>
    <w:rsid w:val="00ED6458"/>
    <w:rsid w:val="00ED65B8"/>
    <w:rsid w:val="00ED672A"/>
    <w:rsid w:val="00ED68E8"/>
    <w:rsid w:val="00ED6AE1"/>
    <w:rsid w:val="00ED6D0A"/>
    <w:rsid w:val="00ED7001"/>
    <w:rsid w:val="00ED71B9"/>
    <w:rsid w:val="00ED744F"/>
    <w:rsid w:val="00ED7529"/>
    <w:rsid w:val="00ED7600"/>
    <w:rsid w:val="00ED78D1"/>
    <w:rsid w:val="00EE0224"/>
    <w:rsid w:val="00EE02E5"/>
    <w:rsid w:val="00EE0578"/>
    <w:rsid w:val="00EE05F0"/>
    <w:rsid w:val="00EE0F54"/>
    <w:rsid w:val="00EE134E"/>
    <w:rsid w:val="00EE1568"/>
    <w:rsid w:val="00EE15FC"/>
    <w:rsid w:val="00EE1FB9"/>
    <w:rsid w:val="00EE2400"/>
    <w:rsid w:val="00EE2436"/>
    <w:rsid w:val="00EE2ACC"/>
    <w:rsid w:val="00EE2DA9"/>
    <w:rsid w:val="00EE2DE2"/>
    <w:rsid w:val="00EE2E53"/>
    <w:rsid w:val="00EE3418"/>
    <w:rsid w:val="00EE356F"/>
    <w:rsid w:val="00EE3606"/>
    <w:rsid w:val="00EE36CD"/>
    <w:rsid w:val="00EE37D5"/>
    <w:rsid w:val="00EE3A1B"/>
    <w:rsid w:val="00EE3CB7"/>
    <w:rsid w:val="00EE3F82"/>
    <w:rsid w:val="00EE410E"/>
    <w:rsid w:val="00EE41A4"/>
    <w:rsid w:val="00EE4349"/>
    <w:rsid w:val="00EE4453"/>
    <w:rsid w:val="00EE45FD"/>
    <w:rsid w:val="00EE4650"/>
    <w:rsid w:val="00EE46A7"/>
    <w:rsid w:val="00EE47A3"/>
    <w:rsid w:val="00EE4936"/>
    <w:rsid w:val="00EE4973"/>
    <w:rsid w:val="00EE49EE"/>
    <w:rsid w:val="00EE4AD8"/>
    <w:rsid w:val="00EE4D22"/>
    <w:rsid w:val="00EE4FFE"/>
    <w:rsid w:val="00EE55E7"/>
    <w:rsid w:val="00EE5C78"/>
    <w:rsid w:val="00EE60FF"/>
    <w:rsid w:val="00EE613B"/>
    <w:rsid w:val="00EE642F"/>
    <w:rsid w:val="00EE64C5"/>
    <w:rsid w:val="00EE6826"/>
    <w:rsid w:val="00EE6A6B"/>
    <w:rsid w:val="00EE6ABF"/>
    <w:rsid w:val="00EE6D4C"/>
    <w:rsid w:val="00EE6D59"/>
    <w:rsid w:val="00EE70FD"/>
    <w:rsid w:val="00EE7199"/>
    <w:rsid w:val="00EE74C5"/>
    <w:rsid w:val="00EE773F"/>
    <w:rsid w:val="00EE7747"/>
    <w:rsid w:val="00EE7A43"/>
    <w:rsid w:val="00EE7B51"/>
    <w:rsid w:val="00EE7CC8"/>
    <w:rsid w:val="00EE7CF0"/>
    <w:rsid w:val="00EE7D8F"/>
    <w:rsid w:val="00EF0009"/>
    <w:rsid w:val="00EF0093"/>
    <w:rsid w:val="00EF02CF"/>
    <w:rsid w:val="00EF0749"/>
    <w:rsid w:val="00EF08BF"/>
    <w:rsid w:val="00EF0AE9"/>
    <w:rsid w:val="00EF0BBE"/>
    <w:rsid w:val="00EF0DD0"/>
    <w:rsid w:val="00EF0E0E"/>
    <w:rsid w:val="00EF0F90"/>
    <w:rsid w:val="00EF1404"/>
    <w:rsid w:val="00EF185C"/>
    <w:rsid w:val="00EF1ADC"/>
    <w:rsid w:val="00EF1D01"/>
    <w:rsid w:val="00EF208C"/>
    <w:rsid w:val="00EF20A6"/>
    <w:rsid w:val="00EF21B5"/>
    <w:rsid w:val="00EF264F"/>
    <w:rsid w:val="00EF2778"/>
    <w:rsid w:val="00EF27E0"/>
    <w:rsid w:val="00EF2C7E"/>
    <w:rsid w:val="00EF346B"/>
    <w:rsid w:val="00EF3EA4"/>
    <w:rsid w:val="00EF3FA1"/>
    <w:rsid w:val="00EF448C"/>
    <w:rsid w:val="00EF48D7"/>
    <w:rsid w:val="00EF4BE6"/>
    <w:rsid w:val="00EF4CA5"/>
    <w:rsid w:val="00EF4F0A"/>
    <w:rsid w:val="00EF5115"/>
    <w:rsid w:val="00EF51A3"/>
    <w:rsid w:val="00EF52FC"/>
    <w:rsid w:val="00EF545F"/>
    <w:rsid w:val="00EF5640"/>
    <w:rsid w:val="00EF56CC"/>
    <w:rsid w:val="00EF58E1"/>
    <w:rsid w:val="00EF5FBE"/>
    <w:rsid w:val="00EF608B"/>
    <w:rsid w:val="00EF6767"/>
    <w:rsid w:val="00EF67BA"/>
    <w:rsid w:val="00EF6C30"/>
    <w:rsid w:val="00EF6CDB"/>
    <w:rsid w:val="00EF6E89"/>
    <w:rsid w:val="00EF72CF"/>
    <w:rsid w:val="00EF7541"/>
    <w:rsid w:val="00EF7562"/>
    <w:rsid w:val="00EF7949"/>
    <w:rsid w:val="00EF7A97"/>
    <w:rsid w:val="00EF7AAF"/>
    <w:rsid w:val="00EF7B7B"/>
    <w:rsid w:val="00EF7C04"/>
    <w:rsid w:val="00EF7CB0"/>
    <w:rsid w:val="00EF7E24"/>
    <w:rsid w:val="00EF7FB9"/>
    <w:rsid w:val="00F000D5"/>
    <w:rsid w:val="00F00154"/>
    <w:rsid w:val="00F00350"/>
    <w:rsid w:val="00F0046C"/>
    <w:rsid w:val="00F0069C"/>
    <w:rsid w:val="00F009A4"/>
    <w:rsid w:val="00F009CE"/>
    <w:rsid w:val="00F00C4A"/>
    <w:rsid w:val="00F00CD8"/>
    <w:rsid w:val="00F00E05"/>
    <w:rsid w:val="00F00F7A"/>
    <w:rsid w:val="00F010BE"/>
    <w:rsid w:val="00F011F2"/>
    <w:rsid w:val="00F013BB"/>
    <w:rsid w:val="00F01433"/>
    <w:rsid w:val="00F01503"/>
    <w:rsid w:val="00F019D2"/>
    <w:rsid w:val="00F01D82"/>
    <w:rsid w:val="00F01DC2"/>
    <w:rsid w:val="00F02144"/>
    <w:rsid w:val="00F02821"/>
    <w:rsid w:val="00F028DB"/>
    <w:rsid w:val="00F029B2"/>
    <w:rsid w:val="00F029F0"/>
    <w:rsid w:val="00F033C6"/>
    <w:rsid w:val="00F03553"/>
    <w:rsid w:val="00F036EF"/>
    <w:rsid w:val="00F03B72"/>
    <w:rsid w:val="00F03DE1"/>
    <w:rsid w:val="00F04368"/>
    <w:rsid w:val="00F0498B"/>
    <w:rsid w:val="00F04B2D"/>
    <w:rsid w:val="00F05175"/>
    <w:rsid w:val="00F0535B"/>
    <w:rsid w:val="00F055F3"/>
    <w:rsid w:val="00F05913"/>
    <w:rsid w:val="00F059BD"/>
    <w:rsid w:val="00F0646E"/>
    <w:rsid w:val="00F0668E"/>
    <w:rsid w:val="00F068D8"/>
    <w:rsid w:val="00F06A9E"/>
    <w:rsid w:val="00F06AA0"/>
    <w:rsid w:val="00F06B12"/>
    <w:rsid w:val="00F06C45"/>
    <w:rsid w:val="00F06C98"/>
    <w:rsid w:val="00F06F54"/>
    <w:rsid w:val="00F06F8D"/>
    <w:rsid w:val="00F0700F"/>
    <w:rsid w:val="00F0723F"/>
    <w:rsid w:val="00F07342"/>
    <w:rsid w:val="00F07774"/>
    <w:rsid w:val="00F07971"/>
    <w:rsid w:val="00F07982"/>
    <w:rsid w:val="00F079CE"/>
    <w:rsid w:val="00F07EFC"/>
    <w:rsid w:val="00F10130"/>
    <w:rsid w:val="00F1015A"/>
    <w:rsid w:val="00F10408"/>
    <w:rsid w:val="00F10504"/>
    <w:rsid w:val="00F10B28"/>
    <w:rsid w:val="00F10C69"/>
    <w:rsid w:val="00F10EFE"/>
    <w:rsid w:val="00F10F7A"/>
    <w:rsid w:val="00F10F8D"/>
    <w:rsid w:val="00F110E6"/>
    <w:rsid w:val="00F1110F"/>
    <w:rsid w:val="00F115D6"/>
    <w:rsid w:val="00F11805"/>
    <w:rsid w:val="00F11A1A"/>
    <w:rsid w:val="00F1204E"/>
    <w:rsid w:val="00F120A7"/>
    <w:rsid w:val="00F1220C"/>
    <w:rsid w:val="00F1234C"/>
    <w:rsid w:val="00F1267B"/>
    <w:rsid w:val="00F127B1"/>
    <w:rsid w:val="00F12800"/>
    <w:rsid w:val="00F12D34"/>
    <w:rsid w:val="00F12F27"/>
    <w:rsid w:val="00F13155"/>
    <w:rsid w:val="00F13896"/>
    <w:rsid w:val="00F13AE5"/>
    <w:rsid w:val="00F13BCE"/>
    <w:rsid w:val="00F13D94"/>
    <w:rsid w:val="00F1422B"/>
    <w:rsid w:val="00F142C3"/>
    <w:rsid w:val="00F1441E"/>
    <w:rsid w:val="00F1477A"/>
    <w:rsid w:val="00F15339"/>
    <w:rsid w:val="00F154BD"/>
    <w:rsid w:val="00F15ABB"/>
    <w:rsid w:val="00F15F07"/>
    <w:rsid w:val="00F1630C"/>
    <w:rsid w:val="00F1633B"/>
    <w:rsid w:val="00F167E2"/>
    <w:rsid w:val="00F16F15"/>
    <w:rsid w:val="00F1719D"/>
    <w:rsid w:val="00F173C5"/>
    <w:rsid w:val="00F1744A"/>
    <w:rsid w:val="00F177D0"/>
    <w:rsid w:val="00F17E72"/>
    <w:rsid w:val="00F17FC1"/>
    <w:rsid w:val="00F201AA"/>
    <w:rsid w:val="00F20428"/>
    <w:rsid w:val="00F2055D"/>
    <w:rsid w:val="00F2072D"/>
    <w:rsid w:val="00F2073A"/>
    <w:rsid w:val="00F207E0"/>
    <w:rsid w:val="00F20966"/>
    <w:rsid w:val="00F20B61"/>
    <w:rsid w:val="00F20E8F"/>
    <w:rsid w:val="00F2109F"/>
    <w:rsid w:val="00F210BE"/>
    <w:rsid w:val="00F21477"/>
    <w:rsid w:val="00F217AD"/>
    <w:rsid w:val="00F21953"/>
    <w:rsid w:val="00F224FC"/>
    <w:rsid w:val="00F229A3"/>
    <w:rsid w:val="00F22A6C"/>
    <w:rsid w:val="00F22B82"/>
    <w:rsid w:val="00F22D6D"/>
    <w:rsid w:val="00F22F0A"/>
    <w:rsid w:val="00F23112"/>
    <w:rsid w:val="00F23302"/>
    <w:rsid w:val="00F2350F"/>
    <w:rsid w:val="00F23823"/>
    <w:rsid w:val="00F23B11"/>
    <w:rsid w:val="00F23B43"/>
    <w:rsid w:val="00F23B57"/>
    <w:rsid w:val="00F23E74"/>
    <w:rsid w:val="00F23E78"/>
    <w:rsid w:val="00F23ED4"/>
    <w:rsid w:val="00F23F90"/>
    <w:rsid w:val="00F24212"/>
    <w:rsid w:val="00F249EE"/>
    <w:rsid w:val="00F24A61"/>
    <w:rsid w:val="00F24BC4"/>
    <w:rsid w:val="00F24E27"/>
    <w:rsid w:val="00F24E74"/>
    <w:rsid w:val="00F24F2F"/>
    <w:rsid w:val="00F25049"/>
    <w:rsid w:val="00F2523B"/>
    <w:rsid w:val="00F25483"/>
    <w:rsid w:val="00F2554C"/>
    <w:rsid w:val="00F255CD"/>
    <w:rsid w:val="00F25CD7"/>
    <w:rsid w:val="00F25FDE"/>
    <w:rsid w:val="00F2636C"/>
    <w:rsid w:val="00F268B0"/>
    <w:rsid w:val="00F268F1"/>
    <w:rsid w:val="00F2698D"/>
    <w:rsid w:val="00F26ACE"/>
    <w:rsid w:val="00F26B4D"/>
    <w:rsid w:val="00F26BCD"/>
    <w:rsid w:val="00F26EDE"/>
    <w:rsid w:val="00F26FC1"/>
    <w:rsid w:val="00F27150"/>
    <w:rsid w:val="00F27171"/>
    <w:rsid w:val="00F2726D"/>
    <w:rsid w:val="00F272A5"/>
    <w:rsid w:val="00F275E6"/>
    <w:rsid w:val="00F27835"/>
    <w:rsid w:val="00F2799D"/>
    <w:rsid w:val="00F27C73"/>
    <w:rsid w:val="00F27FCB"/>
    <w:rsid w:val="00F30072"/>
    <w:rsid w:val="00F30195"/>
    <w:rsid w:val="00F30271"/>
    <w:rsid w:val="00F30284"/>
    <w:rsid w:val="00F304A4"/>
    <w:rsid w:val="00F30806"/>
    <w:rsid w:val="00F308C3"/>
    <w:rsid w:val="00F30964"/>
    <w:rsid w:val="00F30A73"/>
    <w:rsid w:val="00F30DB6"/>
    <w:rsid w:val="00F30F41"/>
    <w:rsid w:val="00F310AC"/>
    <w:rsid w:val="00F31408"/>
    <w:rsid w:val="00F315F5"/>
    <w:rsid w:val="00F316D1"/>
    <w:rsid w:val="00F3176F"/>
    <w:rsid w:val="00F317E0"/>
    <w:rsid w:val="00F31AE5"/>
    <w:rsid w:val="00F31B41"/>
    <w:rsid w:val="00F31B7D"/>
    <w:rsid w:val="00F31D8C"/>
    <w:rsid w:val="00F31F3B"/>
    <w:rsid w:val="00F32028"/>
    <w:rsid w:val="00F32724"/>
    <w:rsid w:val="00F3298D"/>
    <w:rsid w:val="00F32A5D"/>
    <w:rsid w:val="00F3307B"/>
    <w:rsid w:val="00F3337C"/>
    <w:rsid w:val="00F33555"/>
    <w:rsid w:val="00F3361D"/>
    <w:rsid w:val="00F336EB"/>
    <w:rsid w:val="00F338DB"/>
    <w:rsid w:val="00F33B50"/>
    <w:rsid w:val="00F33D31"/>
    <w:rsid w:val="00F33E68"/>
    <w:rsid w:val="00F33F0A"/>
    <w:rsid w:val="00F33FDF"/>
    <w:rsid w:val="00F3402F"/>
    <w:rsid w:val="00F34175"/>
    <w:rsid w:val="00F341AD"/>
    <w:rsid w:val="00F34230"/>
    <w:rsid w:val="00F34617"/>
    <w:rsid w:val="00F3469E"/>
    <w:rsid w:val="00F34831"/>
    <w:rsid w:val="00F349FC"/>
    <w:rsid w:val="00F34DA7"/>
    <w:rsid w:val="00F34F81"/>
    <w:rsid w:val="00F35201"/>
    <w:rsid w:val="00F353B1"/>
    <w:rsid w:val="00F35675"/>
    <w:rsid w:val="00F35E87"/>
    <w:rsid w:val="00F3625D"/>
    <w:rsid w:val="00F3632B"/>
    <w:rsid w:val="00F368D9"/>
    <w:rsid w:val="00F369D0"/>
    <w:rsid w:val="00F369FA"/>
    <w:rsid w:val="00F36D96"/>
    <w:rsid w:val="00F36EB4"/>
    <w:rsid w:val="00F36ECC"/>
    <w:rsid w:val="00F36F13"/>
    <w:rsid w:val="00F37032"/>
    <w:rsid w:val="00F37209"/>
    <w:rsid w:val="00F37233"/>
    <w:rsid w:val="00F376BD"/>
    <w:rsid w:val="00F37AD2"/>
    <w:rsid w:val="00F37B91"/>
    <w:rsid w:val="00F40336"/>
    <w:rsid w:val="00F4040A"/>
    <w:rsid w:val="00F40B07"/>
    <w:rsid w:val="00F41129"/>
    <w:rsid w:val="00F41317"/>
    <w:rsid w:val="00F416E2"/>
    <w:rsid w:val="00F416E7"/>
    <w:rsid w:val="00F419F4"/>
    <w:rsid w:val="00F41A2E"/>
    <w:rsid w:val="00F41FC9"/>
    <w:rsid w:val="00F42035"/>
    <w:rsid w:val="00F423E1"/>
    <w:rsid w:val="00F42A5B"/>
    <w:rsid w:val="00F42A72"/>
    <w:rsid w:val="00F42D2D"/>
    <w:rsid w:val="00F43948"/>
    <w:rsid w:val="00F43ABA"/>
    <w:rsid w:val="00F44080"/>
    <w:rsid w:val="00F440E9"/>
    <w:rsid w:val="00F44125"/>
    <w:rsid w:val="00F44154"/>
    <w:rsid w:val="00F443B4"/>
    <w:rsid w:val="00F44447"/>
    <w:rsid w:val="00F44616"/>
    <w:rsid w:val="00F447CD"/>
    <w:rsid w:val="00F44827"/>
    <w:rsid w:val="00F44BE5"/>
    <w:rsid w:val="00F44D41"/>
    <w:rsid w:val="00F44E5A"/>
    <w:rsid w:val="00F45002"/>
    <w:rsid w:val="00F450C0"/>
    <w:rsid w:val="00F45110"/>
    <w:rsid w:val="00F4519A"/>
    <w:rsid w:val="00F4521E"/>
    <w:rsid w:val="00F4534C"/>
    <w:rsid w:val="00F45510"/>
    <w:rsid w:val="00F455DC"/>
    <w:rsid w:val="00F456F9"/>
    <w:rsid w:val="00F457D8"/>
    <w:rsid w:val="00F45904"/>
    <w:rsid w:val="00F45BB8"/>
    <w:rsid w:val="00F46087"/>
    <w:rsid w:val="00F4630F"/>
    <w:rsid w:val="00F464B7"/>
    <w:rsid w:val="00F4655F"/>
    <w:rsid w:val="00F466DA"/>
    <w:rsid w:val="00F46741"/>
    <w:rsid w:val="00F46916"/>
    <w:rsid w:val="00F469A8"/>
    <w:rsid w:val="00F46FB0"/>
    <w:rsid w:val="00F47266"/>
    <w:rsid w:val="00F47640"/>
    <w:rsid w:val="00F47705"/>
    <w:rsid w:val="00F4789C"/>
    <w:rsid w:val="00F478C0"/>
    <w:rsid w:val="00F47C16"/>
    <w:rsid w:val="00F47C26"/>
    <w:rsid w:val="00F47C58"/>
    <w:rsid w:val="00F47CCB"/>
    <w:rsid w:val="00F47D6B"/>
    <w:rsid w:val="00F47DFA"/>
    <w:rsid w:val="00F5022B"/>
    <w:rsid w:val="00F5048D"/>
    <w:rsid w:val="00F50491"/>
    <w:rsid w:val="00F5052B"/>
    <w:rsid w:val="00F507B7"/>
    <w:rsid w:val="00F50804"/>
    <w:rsid w:val="00F50A93"/>
    <w:rsid w:val="00F50B5D"/>
    <w:rsid w:val="00F51088"/>
    <w:rsid w:val="00F514E6"/>
    <w:rsid w:val="00F514FA"/>
    <w:rsid w:val="00F51843"/>
    <w:rsid w:val="00F51A39"/>
    <w:rsid w:val="00F51A76"/>
    <w:rsid w:val="00F51AAB"/>
    <w:rsid w:val="00F51BE7"/>
    <w:rsid w:val="00F51EB3"/>
    <w:rsid w:val="00F520F9"/>
    <w:rsid w:val="00F5248D"/>
    <w:rsid w:val="00F52819"/>
    <w:rsid w:val="00F529D2"/>
    <w:rsid w:val="00F52AB5"/>
    <w:rsid w:val="00F52B32"/>
    <w:rsid w:val="00F52F8F"/>
    <w:rsid w:val="00F53257"/>
    <w:rsid w:val="00F533CF"/>
    <w:rsid w:val="00F534B8"/>
    <w:rsid w:val="00F534CD"/>
    <w:rsid w:val="00F5363D"/>
    <w:rsid w:val="00F5367E"/>
    <w:rsid w:val="00F53935"/>
    <w:rsid w:val="00F53B73"/>
    <w:rsid w:val="00F53C92"/>
    <w:rsid w:val="00F53ED0"/>
    <w:rsid w:val="00F540F6"/>
    <w:rsid w:val="00F5414A"/>
    <w:rsid w:val="00F54569"/>
    <w:rsid w:val="00F54661"/>
    <w:rsid w:val="00F54693"/>
    <w:rsid w:val="00F548A0"/>
    <w:rsid w:val="00F54ADD"/>
    <w:rsid w:val="00F54C75"/>
    <w:rsid w:val="00F54DC4"/>
    <w:rsid w:val="00F54EBD"/>
    <w:rsid w:val="00F552EE"/>
    <w:rsid w:val="00F55680"/>
    <w:rsid w:val="00F5577B"/>
    <w:rsid w:val="00F55A47"/>
    <w:rsid w:val="00F55B2F"/>
    <w:rsid w:val="00F55C78"/>
    <w:rsid w:val="00F55D6F"/>
    <w:rsid w:val="00F55E1D"/>
    <w:rsid w:val="00F55EAB"/>
    <w:rsid w:val="00F55F6A"/>
    <w:rsid w:val="00F5609D"/>
    <w:rsid w:val="00F56A34"/>
    <w:rsid w:val="00F56B52"/>
    <w:rsid w:val="00F56D14"/>
    <w:rsid w:val="00F57CF9"/>
    <w:rsid w:val="00F57D34"/>
    <w:rsid w:val="00F6025F"/>
    <w:rsid w:val="00F60341"/>
    <w:rsid w:val="00F603E4"/>
    <w:rsid w:val="00F60586"/>
    <w:rsid w:val="00F605C7"/>
    <w:rsid w:val="00F60778"/>
    <w:rsid w:val="00F609E1"/>
    <w:rsid w:val="00F60ABE"/>
    <w:rsid w:val="00F60C02"/>
    <w:rsid w:val="00F61098"/>
    <w:rsid w:val="00F610CC"/>
    <w:rsid w:val="00F61903"/>
    <w:rsid w:val="00F619E9"/>
    <w:rsid w:val="00F61D13"/>
    <w:rsid w:val="00F61D40"/>
    <w:rsid w:val="00F61D7B"/>
    <w:rsid w:val="00F61EB3"/>
    <w:rsid w:val="00F61F4B"/>
    <w:rsid w:val="00F61F4F"/>
    <w:rsid w:val="00F62222"/>
    <w:rsid w:val="00F62675"/>
    <w:rsid w:val="00F62BA2"/>
    <w:rsid w:val="00F62BD9"/>
    <w:rsid w:val="00F62E14"/>
    <w:rsid w:val="00F62EC8"/>
    <w:rsid w:val="00F630A9"/>
    <w:rsid w:val="00F63288"/>
    <w:rsid w:val="00F6337F"/>
    <w:rsid w:val="00F63554"/>
    <w:rsid w:val="00F636AB"/>
    <w:rsid w:val="00F636BC"/>
    <w:rsid w:val="00F639F3"/>
    <w:rsid w:val="00F63B02"/>
    <w:rsid w:val="00F64846"/>
    <w:rsid w:val="00F64E14"/>
    <w:rsid w:val="00F64F89"/>
    <w:rsid w:val="00F65065"/>
    <w:rsid w:val="00F65076"/>
    <w:rsid w:val="00F656F3"/>
    <w:rsid w:val="00F6598F"/>
    <w:rsid w:val="00F65B88"/>
    <w:rsid w:val="00F65DDF"/>
    <w:rsid w:val="00F660F5"/>
    <w:rsid w:val="00F661B9"/>
    <w:rsid w:val="00F667A2"/>
    <w:rsid w:val="00F668F2"/>
    <w:rsid w:val="00F66BD4"/>
    <w:rsid w:val="00F671B5"/>
    <w:rsid w:val="00F672A3"/>
    <w:rsid w:val="00F6751D"/>
    <w:rsid w:val="00F6752A"/>
    <w:rsid w:val="00F676FA"/>
    <w:rsid w:val="00F67777"/>
    <w:rsid w:val="00F6799E"/>
    <w:rsid w:val="00F67A3D"/>
    <w:rsid w:val="00F67C55"/>
    <w:rsid w:val="00F67DD2"/>
    <w:rsid w:val="00F7008A"/>
    <w:rsid w:val="00F702D2"/>
    <w:rsid w:val="00F70649"/>
    <w:rsid w:val="00F7078D"/>
    <w:rsid w:val="00F707EA"/>
    <w:rsid w:val="00F70A4B"/>
    <w:rsid w:val="00F70D6A"/>
    <w:rsid w:val="00F70E55"/>
    <w:rsid w:val="00F70FB7"/>
    <w:rsid w:val="00F71337"/>
    <w:rsid w:val="00F713A6"/>
    <w:rsid w:val="00F715FF"/>
    <w:rsid w:val="00F71725"/>
    <w:rsid w:val="00F717CF"/>
    <w:rsid w:val="00F71846"/>
    <w:rsid w:val="00F71DBF"/>
    <w:rsid w:val="00F71E1A"/>
    <w:rsid w:val="00F71E53"/>
    <w:rsid w:val="00F71F1B"/>
    <w:rsid w:val="00F72182"/>
    <w:rsid w:val="00F726E6"/>
    <w:rsid w:val="00F727D2"/>
    <w:rsid w:val="00F72866"/>
    <w:rsid w:val="00F729CA"/>
    <w:rsid w:val="00F72AD9"/>
    <w:rsid w:val="00F72CE3"/>
    <w:rsid w:val="00F72EE6"/>
    <w:rsid w:val="00F73375"/>
    <w:rsid w:val="00F73507"/>
    <w:rsid w:val="00F73BE0"/>
    <w:rsid w:val="00F73D39"/>
    <w:rsid w:val="00F73E1C"/>
    <w:rsid w:val="00F7413E"/>
    <w:rsid w:val="00F74394"/>
    <w:rsid w:val="00F74550"/>
    <w:rsid w:val="00F7482F"/>
    <w:rsid w:val="00F748CC"/>
    <w:rsid w:val="00F749A1"/>
    <w:rsid w:val="00F74CF1"/>
    <w:rsid w:val="00F74DAD"/>
    <w:rsid w:val="00F74F81"/>
    <w:rsid w:val="00F7524C"/>
    <w:rsid w:val="00F75293"/>
    <w:rsid w:val="00F756DB"/>
    <w:rsid w:val="00F75E7D"/>
    <w:rsid w:val="00F75FDF"/>
    <w:rsid w:val="00F76507"/>
    <w:rsid w:val="00F76627"/>
    <w:rsid w:val="00F76772"/>
    <w:rsid w:val="00F76E21"/>
    <w:rsid w:val="00F76E7E"/>
    <w:rsid w:val="00F76ED8"/>
    <w:rsid w:val="00F770F5"/>
    <w:rsid w:val="00F77258"/>
    <w:rsid w:val="00F77306"/>
    <w:rsid w:val="00F77505"/>
    <w:rsid w:val="00F77555"/>
    <w:rsid w:val="00F7764B"/>
    <w:rsid w:val="00F777F5"/>
    <w:rsid w:val="00F7791B"/>
    <w:rsid w:val="00F77A93"/>
    <w:rsid w:val="00F77AC5"/>
    <w:rsid w:val="00F77D22"/>
    <w:rsid w:val="00F80214"/>
    <w:rsid w:val="00F80221"/>
    <w:rsid w:val="00F805DC"/>
    <w:rsid w:val="00F80649"/>
    <w:rsid w:val="00F806F0"/>
    <w:rsid w:val="00F80B8B"/>
    <w:rsid w:val="00F80B97"/>
    <w:rsid w:val="00F80BBE"/>
    <w:rsid w:val="00F80C50"/>
    <w:rsid w:val="00F80FC4"/>
    <w:rsid w:val="00F8171C"/>
    <w:rsid w:val="00F8183D"/>
    <w:rsid w:val="00F81932"/>
    <w:rsid w:val="00F8195B"/>
    <w:rsid w:val="00F81B4E"/>
    <w:rsid w:val="00F81FF1"/>
    <w:rsid w:val="00F82038"/>
    <w:rsid w:val="00F82142"/>
    <w:rsid w:val="00F823CE"/>
    <w:rsid w:val="00F82460"/>
    <w:rsid w:val="00F8286B"/>
    <w:rsid w:val="00F82B54"/>
    <w:rsid w:val="00F82FF4"/>
    <w:rsid w:val="00F83368"/>
    <w:rsid w:val="00F83583"/>
    <w:rsid w:val="00F83B22"/>
    <w:rsid w:val="00F83E0E"/>
    <w:rsid w:val="00F8489E"/>
    <w:rsid w:val="00F84B8E"/>
    <w:rsid w:val="00F84E9D"/>
    <w:rsid w:val="00F85123"/>
    <w:rsid w:val="00F852C3"/>
    <w:rsid w:val="00F8545D"/>
    <w:rsid w:val="00F859E2"/>
    <w:rsid w:val="00F85DB5"/>
    <w:rsid w:val="00F86101"/>
    <w:rsid w:val="00F8620A"/>
    <w:rsid w:val="00F86422"/>
    <w:rsid w:val="00F864E2"/>
    <w:rsid w:val="00F865A8"/>
    <w:rsid w:val="00F86A68"/>
    <w:rsid w:val="00F86AFD"/>
    <w:rsid w:val="00F86BF5"/>
    <w:rsid w:val="00F86DA9"/>
    <w:rsid w:val="00F86E33"/>
    <w:rsid w:val="00F8708D"/>
    <w:rsid w:val="00F870B7"/>
    <w:rsid w:val="00F873CD"/>
    <w:rsid w:val="00F879E1"/>
    <w:rsid w:val="00F87E6C"/>
    <w:rsid w:val="00F9007A"/>
    <w:rsid w:val="00F90369"/>
    <w:rsid w:val="00F905E0"/>
    <w:rsid w:val="00F90604"/>
    <w:rsid w:val="00F90877"/>
    <w:rsid w:val="00F90C07"/>
    <w:rsid w:val="00F90E1E"/>
    <w:rsid w:val="00F90F27"/>
    <w:rsid w:val="00F90F2B"/>
    <w:rsid w:val="00F91102"/>
    <w:rsid w:val="00F9116A"/>
    <w:rsid w:val="00F911B8"/>
    <w:rsid w:val="00F9146D"/>
    <w:rsid w:val="00F916B0"/>
    <w:rsid w:val="00F91761"/>
    <w:rsid w:val="00F918F7"/>
    <w:rsid w:val="00F91CEB"/>
    <w:rsid w:val="00F91E76"/>
    <w:rsid w:val="00F91F04"/>
    <w:rsid w:val="00F921D7"/>
    <w:rsid w:val="00F92452"/>
    <w:rsid w:val="00F9256A"/>
    <w:rsid w:val="00F92615"/>
    <w:rsid w:val="00F92E6F"/>
    <w:rsid w:val="00F92EA3"/>
    <w:rsid w:val="00F92FB9"/>
    <w:rsid w:val="00F9322E"/>
    <w:rsid w:val="00F935F0"/>
    <w:rsid w:val="00F936B8"/>
    <w:rsid w:val="00F936C6"/>
    <w:rsid w:val="00F93737"/>
    <w:rsid w:val="00F93835"/>
    <w:rsid w:val="00F9394C"/>
    <w:rsid w:val="00F939F6"/>
    <w:rsid w:val="00F93A67"/>
    <w:rsid w:val="00F93BF8"/>
    <w:rsid w:val="00F93C0C"/>
    <w:rsid w:val="00F93CC8"/>
    <w:rsid w:val="00F93E11"/>
    <w:rsid w:val="00F93EE3"/>
    <w:rsid w:val="00F93EEC"/>
    <w:rsid w:val="00F940B7"/>
    <w:rsid w:val="00F945C4"/>
    <w:rsid w:val="00F94637"/>
    <w:rsid w:val="00F94D38"/>
    <w:rsid w:val="00F94E7C"/>
    <w:rsid w:val="00F95146"/>
    <w:rsid w:val="00F952F1"/>
    <w:rsid w:val="00F95404"/>
    <w:rsid w:val="00F95431"/>
    <w:rsid w:val="00F955EE"/>
    <w:rsid w:val="00F9576B"/>
    <w:rsid w:val="00F957BE"/>
    <w:rsid w:val="00F95A8B"/>
    <w:rsid w:val="00F95C4D"/>
    <w:rsid w:val="00F95CFE"/>
    <w:rsid w:val="00F95E34"/>
    <w:rsid w:val="00F9628F"/>
    <w:rsid w:val="00F962AC"/>
    <w:rsid w:val="00F9641D"/>
    <w:rsid w:val="00F96432"/>
    <w:rsid w:val="00F9646F"/>
    <w:rsid w:val="00F965DB"/>
    <w:rsid w:val="00F9661C"/>
    <w:rsid w:val="00F969F9"/>
    <w:rsid w:val="00F97019"/>
    <w:rsid w:val="00F970CC"/>
    <w:rsid w:val="00F9743D"/>
    <w:rsid w:val="00F97619"/>
    <w:rsid w:val="00F97644"/>
    <w:rsid w:val="00F979FC"/>
    <w:rsid w:val="00F97CC9"/>
    <w:rsid w:val="00F97E47"/>
    <w:rsid w:val="00F97E81"/>
    <w:rsid w:val="00FA00B1"/>
    <w:rsid w:val="00FA0229"/>
    <w:rsid w:val="00FA02EB"/>
    <w:rsid w:val="00FA0396"/>
    <w:rsid w:val="00FA09D2"/>
    <w:rsid w:val="00FA0B6E"/>
    <w:rsid w:val="00FA0B72"/>
    <w:rsid w:val="00FA100B"/>
    <w:rsid w:val="00FA1293"/>
    <w:rsid w:val="00FA1365"/>
    <w:rsid w:val="00FA16CB"/>
    <w:rsid w:val="00FA1A0E"/>
    <w:rsid w:val="00FA1A25"/>
    <w:rsid w:val="00FA1BE8"/>
    <w:rsid w:val="00FA1CA5"/>
    <w:rsid w:val="00FA1D8A"/>
    <w:rsid w:val="00FA2561"/>
    <w:rsid w:val="00FA2575"/>
    <w:rsid w:val="00FA2923"/>
    <w:rsid w:val="00FA2BC2"/>
    <w:rsid w:val="00FA2C37"/>
    <w:rsid w:val="00FA2E36"/>
    <w:rsid w:val="00FA2E94"/>
    <w:rsid w:val="00FA309C"/>
    <w:rsid w:val="00FA3294"/>
    <w:rsid w:val="00FA32F2"/>
    <w:rsid w:val="00FA343F"/>
    <w:rsid w:val="00FA395B"/>
    <w:rsid w:val="00FA3A93"/>
    <w:rsid w:val="00FA3AAF"/>
    <w:rsid w:val="00FA3F06"/>
    <w:rsid w:val="00FA4516"/>
    <w:rsid w:val="00FA4A8C"/>
    <w:rsid w:val="00FA5059"/>
    <w:rsid w:val="00FA513E"/>
    <w:rsid w:val="00FA53B3"/>
    <w:rsid w:val="00FA53DD"/>
    <w:rsid w:val="00FA565F"/>
    <w:rsid w:val="00FA58C9"/>
    <w:rsid w:val="00FA5967"/>
    <w:rsid w:val="00FA596D"/>
    <w:rsid w:val="00FA5B0A"/>
    <w:rsid w:val="00FA5CF4"/>
    <w:rsid w:val="00FA5E55"/>
    <w:rsid w:val="00FA6115"/>
    <w:rsid w:val="00FA6963"/>
    <w:rsid w:val="00FA69BA"/>
    <w:rsid w:val="00FA6B4D"/>
    <w:rsid w:val="00FA6C41"/>
    <w:rsid w:val="00FA6CEC"/>
    <w:rsid w:val="00FA6D2F"/>
    <w:rsid w:val="00FA70F3"/>
    <w:rsid w:val="00FA7108"/>
    <w:rsid w:val="00FA726A"/>
    <w:rsid w:val="00FA7316"/>
    <w:rsid w:val="00FB00CD"/>
    <w:rsid w:val="00FB0452"/>
    <w:rsid w:val="00FB058E"/>
    <w:rsid w:val="00FB0620"/>
    <w:rsid w:val="00FB072F"/>
    <w:rsid w:val="00FB0934"/>
    <w:rsid w:val="00FB0FE4"/>
    <w:rsid w:val="00FB0FFE"/>
    <w:rsid w:val="00FB14CD"/>
    <w:rsid w:val="00FB1502"/>
    <w:rsid w:val="00FB1534"/>
    <w:rsid w:val="00FB1C42"/>
    <w:rsid w:val="00FB1CA5"/>
    <w:rsid w:val="00FB1D3E"/>
    <w:rsid w:val="00FB1E28"/>
    <w:rsid w:val="00FB1EA4"/>
    <w:rsid w:val="00FB235C"/>
    <w:rsid w:val="00FB26C5"/>
    <w:rsid w:val="00FB2948"/>
    <w:rsid w:val="00FB2BD6"/>
    <w:rsid w:val="00FB2D60"/>
    <w:rsid w:val="00FB2EF9"/>
    <w:rsid w:val="00FB2F38"/>
    <w:rsid w:val="00FB2F45"/>
    <w:rsid w:val="00FB3125"/>
    <w:rsid w:val="00FB3129"/>
    <w:rsid w:val="00FB31A9"/>
    <w:rsid w:val="00FB33A9"/>
    <w:rsid w:val="00FB3756"/>
    <w:rsid w:val="00FB3A22"/>
    <w:rsid w:val="00FB3A56"/>
    <w:rsid w:val="00FB3BCF"/>
    <w:rsid w:val="00FB3D0F"/>
    <w:rsid w:val="00FB3E5B"/>
    <w:rsid w:val="00FB407B"/>
    <w:rsid w:val="00FB40F5"/>
    <w:rsid w:val="00FB4474"/>
    <w:rsid w:val="00FB44D3"/>
    <w:rsid w:val="00FB451D"/>
    <w:rsid w:val="00FB4A6E"/>
    <w:rsid w:val="00FB4ADB"/>
    <w:rsid w:val="00FB4B9E"/>
    <w:rsid w:val="00FB4E7E"/>
    <w:rsid w:val="00FB4F96"/>
    <w:rsid w:val="00FB5537"/>
    <w:rsid w:val="00FB5694"/>
    <w:rsid w:val="00FB5A43"/>
    <w:rsid w:val="00FB5B89"/>
    <w:rsid w:val="00FB5FB7"/>
    <w:rsid w:val="00FB62E3"/>
    <w:rsid w:val="00FB6594"/>
    <w:rsid w:val="00FB6777"/>
    <w:rsid w:val="00FB689C"/>
    <w:rsid w:val="00FB68C3"/>
    <w:rsid w:val="00FB696D"/>
    <w:rsid w:val="00FB6A3F"/>
    <w:rsid w:val="00FB6C37"/>
    <w:rsid w:val="00FB6DFB"/>
    <w:rsid w:val="00FB71F2"/>
    <w:rsid w:val="00FB732A"/>
    <w:rsid w:val="00FB7375"/>
    <w:rsid w:val="00FB7431"/>
    <w:rsid w:val="00FB767A"/>
    <w:rsid w:val="00FB7694"/>
    <w:rsid w:val="00FB7703"/>
    <w:rsid w:val="00FB7A4F"/>
    <w:rsid w:val="00FB7FF0"/>
    <w:rsid w:val="00FC0088"/>
    <w:rsid w:val="00FC01DE"/>
    <w:rsid w:val="00FC0447"/>
    <w:rsid w:val="00FC0498"/>
    <w:rsid w:val="00FC06DC"/>
    <w:rsid w:val="00FC08CE"/>
    <w:rsid w:val="00FC0E77"/>
    <w:rsid w:val="00FC0F19"/>
    <w:rsid w:val="00FC0F9C"/>
    <w:rsid w:val="00FC1083"/>
    <w:rsid w:val="00FC113E"/>
    <w:rsid w:val="00FC121F"/>
    <w:rsid w:val="00FC12F7"/>
    <w:rsid w:val="00FC13AA"/>
    <w:rsid w:val="00FC177C"/>
    <w:rsid w:val="00FC1D6C"/>
    <w:rsid w:val="00FC1E63"/>
    <w:rsid w:val="00FC1FA8"/>
    <w:rsid w:val="00FC202C"/>
    <w:rsid w:val="00FC220A"/>
    <w:rsid w:val="00FC2785"/>
    <w:rsid w:val="00FC2A17"/>
    <w:rsid w:val="00FC2A53"/>
    <w:rsid w:val="00FC2B1A"/>
    <w:rsid w:val="00FC2EBD"/>
    <w:rsid w:val="00FC2ED6"/>
    <w:rsid w:val="00FC2FEC"/>
    <w:rsid w:val="00FC2FF1"/>
    <w:rsid w:val="00FC300D"/>
    <w:rsid w:val="00FC3120"/>
    <w:rsid w:val="00FC32A2"/>
    <w:rsid w:val="00FC34B1"/>
    <w:rsid w:val="00FC358F"/>
    <w:rsid w:val="00FC381B"/>
    <w:rsid w:val="00FC3A68"/>
    <w:rsid w:val="00FC3B46"/>
    <w:rsid w:val="00FC3E80"/>
    <w:rsid w:val="00FC4069"/>
    <w:rsid w:val="00FC41A7"/>
    <w:rsid w:val="00FC4207"/>
    <w:rsid w:val="00FC426E"/>
    <w:rsid w:val="00FC432F"/>
    <w:rsid w:val="00FC4735"/>
    <w:rsid w:val="00FC4B48"/>
    <w:rsid w:val="00FC547A"/>
    <w:rsid w:val="00FC5549"/>
    <w:rsid w:val="00FC5581"/>
    <w:rsid w:val="00FC5816"/>
    <w:rsid w:val="00FC5BCC"/>
    <w:rsid w:val="00FC5C1C"/>
    <w:rsid w:val="00FC5D91"/>
    <w:rsid w:val="00FC5E56"/>
    <w:rsid w:val="00FC5F7C"/>
    <w:rsid w:val="00FC6049"/>
    <w:rsid w:val="00FC606A"/>
    <w:rsid w:val="00FC606D"/>
    <w:rsid w:val="00FC6096"/>
    <w:rsid w:val="00FC62B0"/>
    <w:rsid w:val="00FC64A4"/>
    <w:rsid w:val="00FC6C48"/>
    <w:rsid w:val="00FC6CD5"/>
    <w:rsid w:val="00FC6E59"/>
    <w:rsid w:val="00FC6EA6"/>
    <w:rsid w:val="00FC7065"/>
    <w:rsid w:val="00FC7375"/>
    <w:rsid w:val="00FC769B"/>
    <w:rsid w:val="00FC7BAF"/>
    <w:rsid w:val="00FC7BD6"/>
    <w:rsid w:val="00FC7CF6"/>
    <w:rsid w:val="00FC7F91"/>
    <w:rsid w:val="00FD00E7"/>
    <w:rsid w:val="00FD01D2"/>
    <w:rsid w:val="00FD0663"/>
    <w:rsid w:val="00FD06F9"/>
    <w:rsid w:val="00FD09FF"/>
    <w:rsid w:val="00FD0A53"/>
    <w:rsid w:val="00FD0CFF"/>
    <w:rsid w:val="00FD1243"/>
    <w:rsid w:val="00FD1614"/>
    <w:rsid w:val="00FD1C58"/>
    <w:rsid w:val="00FD1D77"/>
    <w:rsid w:val="00FD1E17"/>
    <w:rsid w:val="00FD2304"/>
    <w:rsid w:val="00FD2317"/>
    <w:rsid w:val="00FD23A8"/>
    <w:rsid w:val="00FD2682"/>
    <w:rsid w:val="00FD2AB1"/>
    <w:rsid w:val="00FD2D6D"/>
    <w:rsid w:val="00FD2EE4"/>
    <w:rsid w:val="00FD32C7"/>
    <w:rsid w:val="00FD34CC"/>
    <w:rsid w:val="00FD3873"/>
    <w:rsid w:val="00FD3F2E"/>
    <w:rsid w:val="00FD45EC"/>
    <w:rsid w:val="00FD461F"/>
    <w:rsid w:val="00FD46E9"/>
    <w:rsid w:val="00FD47B2"/>
    <w:rsid w:val="00FD4BF0"/>
    <w:rsid w:val="00FD4C62"/>
    <w:rsid w:val="00FD51B5"/>
    <w:rsid w:val="00FD5694"/>
    <w:rsid w:val="00FD5AF5"/>
    <w:rsid w:val="00FD5C28"/>
    <w:rsid w:val="00FD5E2C"/>
    <w:rsid w:val="00FD5E67"/>
    <w:rsid w:val="00FD617A"/>
    <w:rsid w:val="00FD64A0"/>
    <w:rsid w:val="00FD6595"/>
    <w:rsid w:val="00FD6711"/>
    <w:rsid w:val="00FD6785"/>
    <w:rsid w:val="00FD6887"/>
    <w:rsid w:val="00FD6A12"/>
    <w:rsid w:val="00FD6C68"/>
    <w:rsid w:val="00FD7321"/>
    <w:rsid w:val="00FD7623"/>
    <w:rsid w:val="00FD76AA"/>
    <w:rsid w:val="00FD7811"/>
    <w:rsid w:val="00FD7A3F"/>
    <w:rsid w:val="00FE02BB"/>
    <w:rsid w:val="00FE031A"/>
    <w:rsid w:val="00FE0573"/>
    <w:rsid w:val="00FE0879"/>
    <w:rsid w:val="00FE0A4F"/>
    <w:rsid w:val="00FE0C55"/>
    <w:rsid w:val="00FE0EF9"/>
    <w:rsid w:val="00FE1549"/>
    <w:rsid w:val="00FE171D"/>
    <w:rsid w:val="00FE1963"/>
    <w:rsid w:val="00FE1985"/>
    <w:rsid w:val="00FE1EBC"/>
    <w:rsid w:val="00FE1F36"/>
    <w:rsid w:val="00FE2310"/>
    <w:rsid w:val="00FE2495"/>
    <w:rsid w:val="00FE2FC5"/>
    <w:rsid w:val="00FE2FE6"/>
    <w:rsid w:val="00FE31D4"/>
    <w:rsid w:val="00FE33A2"/>
    <w:rsid w:val="00FE379E"/>
    <w:rsid w:val="00FE3A91"/>
    <w:rsid w:val="00FE3C9C"/>
    <w:rsid w:val="00FE3CAC"/>
    <w:rsid w:val="00FE3EFE"/>
    <w:rsid w:val="00FE3F0C"/>
    <w:rsid w:val="00FE4292"/>
    <w:rsid w:val="00FE42F9"/>
    <w:rsid w:val="00FE48D8"/>
    <w:rsid w:val="00FE4A59"/>
    <w:rsid w:val="00FE4A7D"/>
    <w:rsid w:val="00FE4E78"/>
    <w:rsid w:val="00FE504D"/>
    <w:rsid w:val="00FE506B"/>
    <w:rsid w:val="00FE50EF"/>
    <w:rsid w:val="00FE559C"/>
    <w:rsid w:val="00FE56D5"/>
    <w:rsid w:val="00FE5A1B"/>
    <w:rsid w:val="00FE5A5A"/>
    <w:rsid w:val="00FE5A9B"/>
    <w:rsid w:val="00FE5CAF"/>
    <w:rsid w:val="00FE6046"/>
    <w:rsid w:val="00FE6133"/>
    <w:rsid w:val="00FE6209"/>
    <w:rsid w:val="00FE6438"/>
    <w:rsid w:val="00FE64A6"/>
    <w:rsid w:val="00FE69B0"/>
    <w:rsid w:val="00FE69B9"/>
    <w:rsid w:val="00FE6CC9"/>
    <w:rsid w:val="00FE7198"/>
    <w:rsid w:val="00FE73E6"/>
    <w:rsid w:val="00FE7722"/>
    <w:rsid w:val="00FE7A8C"/>
    <w:rsid w:val="00FE7C05"/>
    <w:rsid w:val="00FE7E74"/>
    <w:rsid w:val="00FE7F7E"/>
    <w:rsid w:val="00FF0219"/>
    <w:rsid w:val="00FF07F9"/>
    <w:rsid w:val="00FF0947"/>
    <w:rsid w:val="00FF0E9E"/>
    <w:rsid w:val="00FF1016"/>
    <w:rsid w:val="00FF1589"/>
    <w:rsid w:val="00FF15BF"/>
    <w:rsid w:val="00FF1B02"/>
    <w:rsid w:val="00FF1C0F"/>
    <w:rsid w:val="00FF1D6A"/>
    <w:rsid w:val="00FF22E1"/>
    <w:rsid w:val="00FF2327"/>
    <w:rsid w:val="00FF257C"/>
    <w:rsid w:val="00FF25E3"/>
    <w:rsid w:val="00FF2618"/>
    <w:rsid w:val="00FF2732"/>
    <w:rsid w:val="00FF28DC"/>
    <w:rsid w:val="00FF2FDE"/>
    <w:rsid w:val="00FF3A66"/>
    <w:rsid w:val="00FF3ADA"/>
    <w:rsid w:val="00FF3AEB"/>
    <w:rsid w:val="00FF3B31"/>
    <w:rsid w:val="00FF3BB2"/>
    <w:rsid w:val="00FF3CF3"/>
    <w:rsid w:val="00FF3DC6"/>
    <w:rsid w:val="00FF408B"/>
    <w:rsid w:val="00FF41E6"/>
    <w:rsid w:val="00FF4341"/>
    <w:rsid w:val="00FF4447"/>
    <w:rsid w:val="00FF459F"/>
    <w:rsid w:val="00FF45A3"/>
    <w:rsid w:val="00FF464C"/>
    <w:rsid w:val="00FF4A07"/>
    <w:rsid w:val="00FF4B6E"/>
    <w:rsid w:val="00FF4C13"/>
    <w:rsid w:val="00FF4F31"/>
    <w:rsid w:val="00FF524D"/>
    <w:rsid w:val="00FF525D"/>
    <w:rsid w:val="00FF536C"/>
    <w:rsid w:val="00FF57F9"/>
    <w:rsid w:val="00FF591F"/>
    <w:rsid w:val="00FF59B9"/>
    <w:rsid w:val="00FF646E"/>
    <w:rsid w:val="00FF655E"/>
    <w:rsid w:val="00FF674C"/>
    <w:rsid w:val="00FF6A91"/>
    <w:rsid w:val="00FF6DC5"/>
    <w:rsid w:val="00FF6DCB"/>
    <w:rsid w:val="00FF6E5D"/>
    <w:rsid w:val="00FF6EB2"/>
    <w:rsid w:val="00FF720E"/>
    <w:rsid w:val="00FF732C"/>
    <w:rsid w:val="00FF73E0"/>
    <w:rsid w:val="00FF74E9"/>
    <w:rsid w:val="00FF7820"/>
    <w:rsid w:val="00FF7A70"/>
    <w:rsid w:val="00FF7B80"/>
    <w:rsid w:val="00FF7BB5"/>
    <w:rsid w:val="00FF7CD0"/>
    <w:rsid w:val="00FF7DC2"/>
    <w:rsid w:val="01101675"/>
    <w:rsid w:val="01EA3ACD"/>
    <w:rsid w:val="02E5725D"/>
    <w:rsid w:val="033065FE"/>
    <w:rsid w:val="0341645D"/>
    <w:rsid w:val="03985F30"/>
    <w:rsid w:val="052E656D"/>
    <w:rsid w:val="058A40EC"/>
    <w:rsid w:val="05AF5900"/>
    <w:rsid w:val="063A78C0"/>
    <w:rsid w:val="06652463"/>
    <w:rsid w:val="0760215E"/>
    <w:rsid w:val="080E1CDC"/>
    <w:rsid w:val="082D6FB0"/>
    <w:rsid w:val="099E1F14"/>
    <w:rsid w:val="09A17C56"/>
    <w:rsid w:val="09D33507"/>
    <w:rsid w:val="0A1D1D24"/>
    <w:rsid w:val="0A583F07"/>
    <w:rsid w:val="0AE020D6"/>
    <w:rsid w:val="0B112BB9"/>
    <w:rsid w:val="0BD55995"/>
    <w:rsid w:val="0CC71781"/>
    <w:rsid w:val="0D1F128F"/>
    <w:rsid w:val="0E7019A5"/>
    <w:rsid w:val="0EB94C71"/>
    <w:rsid w:val="10F20D97"/>
    <w:rsid w:val="11186A50"/>
    <w:rsid w:val="116D185C"/>
    <w:rsid w:val="1198193E"/>
    <w:rsid w:val="12303925"/>
    <w:rsid w:val="124318AA"/>
    <w:rsid w:val="12E12E71"/>
    <w:rsid w:val="13AA7D91"/>
    <w:rsid w:val="14A14FAE"/>
    <w:rsid w:val="14AD5701"/>
    <w:rsid w:val="14F95BE6"/>
    <w:rsid w:val="152B4878"/>
    <w:rsid w:val="16AE6A0C"/>
    <w:rsid w:val="16C805D0"/>
    <w:rsid w:val="17156BCD"/>
    <w:rsid w:val="188F715A"/>
    <w:rsid w:val="18DA283C"/>
    <w:rsid w:val="19017DC9"/>
    <w:rsid w:val="19504DF9"/>
    <w:rsid w:val="19517462"/>
    <w:rsid w:val="196F11D7"/>
    <w:rsid w:val="19EC54DE"/>
    <w:rsid w:val="19FE07AD"/>
    <w:rsid w:val="1A044015"/>
    <w:rsid w:val="1AD667BD"/>
    <w:rsid w:val="1B3C77DE"/>
    <w:rsid w:val="1C8E5E18"/>
    <w:rsid w:val="1EDF295B"/>
    <w:rsid w:val="1F127786"/>
    <w:rsid w:val="1F1C595D"/>
    <w:rsid w:val="1FC3227C"/>
    <w:rsid w:val="1FF266BE"/>
    <w:rsid w:val="21110DC5"/>
    <w:rsid w:val="21787096"/>
    <w:rsid w:val="21D42471"/>
    <w:rsid w:val="21E420F2"/>
    <w:rsid w:val="226A4C31"/>
    <w:rsid w:val="229D06EB"/>
    <w:rsid w:val="237F470C"/>
    <w:rsid w:val="24F37160"/>
    <w:rsid w:val="25130EF4"/>
    <w:rsid w:val="251D41DD"/>
    <w:rsid w:val="25367FC9"/>
    <w:rsid w:val="256F6284"/>
    <w:rsid w:val="25787665"/>
    <w:rsid w:val="2624159B"/>
    <w:rsid w:val="2685028B"/>
    <w:rsid w:val="26B80661"/>
    <w:rsid w:val="26D7660D"/>
    <w:rsid w:val="278E13C2"/>
    <w:rsid w:val="27BC5F2F"/>
    <w:rsid w:val="284B6299"/>
    <w:rsid w:val="292518B2"/>
    <w:rsid w:val="29DB1937"/>
    <w:rsid w:val="2A9E191C"/>
    <w:rsid w:val="2AB949A8"/>
    <w:rsid w:val="2B150495"/>
    <w:rsid w:val="2B2A31B0"/>
    <w:rsid w:val="2BC43604"/>
    <w:rsid w:val="2CA40304"/>
    <w:rsid w:val="2E8452CD"/>
    <w:rsid w:val="2ED753FC"/>
    <w:rsid w:val="2EDA0858"/>
    <w:rsid w:val="2F212B1B"/>
    <w:rsid w:val="2FA64655"/>
    <w:rsid w:val="31ED4F37"/>
    <w:rsid w:val="31FD161E"/>
    <w:rsid w:val="33806774"/>
    <w:rsid w:val="338319FA"/>
    <w:rsid w:val="341964B7"/>
    <w:rsid w:val="34A75871"/>
    <w:rsid w:val="34A9783B"/>
    <w:rsid w:val="35066A3B"/>
    <w:rsid w:val="358160C2"/>
    <w:rsid w:val="358D4A67"/>
    <w:rsid w:val="35CB1DC7"/>
    <w:rsid w:val="36485BF8"/>
    <w:rsid w:val="379753A2"/>
    <w:rsid w:val="38601D19"/>
    <w:rsid w:val="388D2FD0"/>
    <w:rsid w:val="38F82B3F"/>
    <w:rsid w:val="38FB43DD"/>
    <w:rsid w:val="396C7089"/>
    <w:rsid w:val="3A4B4EF0"/>
    <w:rsid w:val="3AEC0481"/>
    <w:rsid w:val="3B60677A"/>
    <w:rsid w:val="3C6F3118"/>
    <w:rsid w:val="3CE138EA"/>
    <w:rsid w:val="3D7F55DD"/>
    <w:rsid w:val="3D8449A1"/>
    <w:rsid w:val="3E1D4DF6"/>
    <w:rsid w:val="3EA11583"/>
    <w:rsid w:val="3EAD1CD6"/>
    <w:rsid w:val="3F3C12AC"/>
    <w:rsid w:val="3F9B1F3E"/>
    <w:rsid w:val="3FDF05B5"/>
    <w:rsid w:val="41A67F74"/>
    <w:rsid w:val="41AE22F1"/>
    <w:rsid w:val="41F8595E"/>
    <w:rsid w:val="42BC2E2F"/>
    <w:rsid w:val="42CE66BF"/>
    <w:rsid w:val="434846C3"/>
    <w:rsid w:val="43996CCD"/>
    <w:rsid w:val="443640EC"/>
    <w:rsid w:val="44BC7116"/>
    <w:rsid w:val="44F00B6E"/>
    <w:rsid w:val="45894A35"/>
    <w:rsid w:val="45D40490"/>
    <w:rsid w:val="46B207D1"/>
    <w:rsid w:val="46E5094D"/>
    <w:rsid w:val="470D1EAB"/>
    <w:rsid w:val="47C00CCC"/>
    <w:rsid w:val="49382AE4"/>
    <w:rsid w:val="4A5E2A1E"/>
    <w:rsid w:val="4AA541A9"/>
    <w:rsid w:val="4B0E1D4E"/>
    <w:rsid w:val="4B756271"/>
    <w:rsid w:val="4BF86D41"/>
    <w:rsid w:val="4BFE0015"/>
    <w:rsid w:val="4C465518"/>
    <w:rsid w:val="4C681932"/>
    <w:rsid w:val="4D0C6761"/>
    <w:rsid w:val="4D1473C4"/>
    <w:rsid w:val="4D5A40F4"/>
    <w:rsid w:val="4D5C3245"/>
    <w:rsid w:val="4E323FA5"/>
    <w:rsid w:val="4E5F29CE"/>
    <w:rsid w:val="4FB80A58"/>
    <w:rsid w:val="4FC73FE6"/>
    <w:rsid w:val="503F0BFC"/>
    <w:rsid w:val="50CD6207"/>
    <w:rsid w:val="50FB4B23"/>
    <w:rsid w:val="523C3645"/>
    <w:rsid w:val="524644C3"/>
    <w:rsid w:val="52495D62"/>
    <w:rsid w:val="529E1C09"/>
    <w:rsid w:val="52D65847"/>
    <w:rsid w:val="531B14AC"/>
    <w:rsid w:val="556E620B"/>
    <w:rsid w:val="55741347"/>
    <w:rsid w:val="558570B1"/>
    <w:rsid w:val="56D93B58"/>
    <w:rsid w:val="578176F0"/>
    <w:rsid w:val="57AE0B41"/>
    <w:rsid w:val="57D4431F"/>
    <w:rsid w:val="58150BC0"/>
    <w:rsid w:val="5A1D1FAE"/>
    <w:rsid w:val="5ABE7C65"/>
    <w:rsid w:val="5B88001D"/>
    <w:rsid w:val="5BBB382C"/>
    <w:rsid w:val="5BC70423"/>
    <w:rsid w:val="5BFE5E0F"/>
    <w:rsid w:val="5C2A1931"/>
    <w:rsid w:val="5C8005D2"/>
    <w:rsid w:val="5D096819"/>
    <w:rsid w:val="5D6D6DA8"/>
    <w:rsid w:val="5E3653EC"/>
    <w:rsid w:val="5E8E347A"/>
    <w:rsid w:val="5EB91294"/>
    <w:rsid w:val="5EC24ED2"/>
    <w:rsid w:val="5EFD6EAF"/>
    <w:rsid w:val="5F0E6369"/>
    <w:rsid w:val="5FFF7FE5"/>
    <w:rsid w:val="600F2399"/>
    <w:rsid w:val="607516DB"/>
    <w:rsid w:val="607B7A2E"/>
    <w:rsid w:val="624122C4"/>
    <w:rsid w:val="63310878"/>
    <w:rsid w:val="641016B0"/>
    <w:rsid w:val="647629E6"/>
    <w:rsid w:val="64B82FFF"/>
    <w:rsid w:val="66252916"/>
    <w:rsid w:val="662841B4"/>
    <w:rsid w:val="677D22DE"/>
    <w:rsid w:val="67B13D35"/>
    <w:rsid w:val="68A67612"/>
    <w:rsid w:val="68AA7102"/>
    <w:rsid w:val="68C674E3"/>
    <w:rsid w:val="68DA1F54"/>
    <w:rsid w:val="692F585A"/>
    <w:rsid w:val="694A61EF"/>
    <w:rsid w:val="69E1409F"/>
    <w:rsid w:val="6A4A1D1D"/>
    <w:rsid w:val="6AB2229E"/>
    <w:rsid w:val="6AE628BD"/>
    <w:rsid w:val="6B841E8D"/>
    <w:rsid w:val="6C180827"/>
    <w:rsid w:val="6DDB5FB0"/>
    <w:rsid w:val="6F5B58E3"/>
    <w:rsid w:val="6FA64291"/>
    <w:rsid w:val="6FAC3760"/>
    <w:rsid w:val="6FB11C40"/>
    <w:rsid w:val="708E2E66"/>
    <w:rsid w:val="709D12FB"/>
    <w:rsid w:val="71902C0D"/>
    <w:rsid w:val="719A3A8C"/>
    <w:rsid w:val="71CA25C3"/>
    <w:rsid w:val="72CC71A4"/>
    <w:rsid w:val="72D8486C"/>
    <w:rsid w:val="7300719E"/>
    <w:rsid w:val="73025D8D"/>
    <w:rsid w:val="746F7452"/>
    <w:rsid w:val="74ED1053"/>
    <w:rsid w:val="75BE41ED"/>
    <w:rsid w:val="75C335B1"/>
    <w:rsid w:val="761626F1"/>
    <w:rsid w:val="768371E5"/>
    <w:rsid w:val="76F507BA"/>
    <w:rsid w:val="779F1DFC"/>
    <w:rsid w:val="77AA2C74"/>
    <w:rsid w:val="780305DD"/>
    <w:rsid w:val="781A5F59"/>
    <w:rsid w:val="781C7DB2"/>
    <w:rsid w:val="783E1615"/>
    <w:rsid w:val="78FF0DA4"/>
    <w:rsid w:val="790363CB"/>
    <w:rsid w:val="79077C59"/>
    <w:rsid w:val="79BF6786"/>
    <w:rsid w:val="7B7470FC"/>
    <w:rsid w:val="7BA479E1"/>
    <w:rsid w:val="7C39281F"/>
    <w:rsid w:val="7CBE0F77"/>
    <w:rsid w:val="7D0D15B6"/>
    <w:rsid w:val="7D7B0C16"/>
    <w:rsid w:val="7E3E5A94"/>
    <w:rsid w:val="7E590F57"/>
    <w:rsid w:val="7E74402E"/>
    <w:rsid w:val="7EB361E0"/>
    <w:rsid w:val="7ED00AED"/>
    <w:rsid w:val="7F08472B"/>
    <w:rsid w:val="7F4219EB"/>
    <w:rsid w:val="7F857B2A"/>
    <w:rsid w:val="7FBB354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52"/>
    <w:semiHidden/>
    <w:unhideWhenUsed/>
    <w:qFormat/>
    <w:uiPriority w:val="99"/>
    <w:pPr>
      <w:jc w:val="left"/>
    </w:pPr>
  </w:style>
  <w:style w:type="paragraph" w:styleId="3">
    <w:name w:val="Body Text"/>
    <w:basedOn w:val="1"/>
    <w:next w:val="1"/>
    <w:qFormat/>
    <w:uiPriority w:val="0"/>
    <w:pPr>
      <w:spacing w:after="120"/>
    </w:pPr>
    <w:rPr>
      <w:rFonts w:ascii="Times New Roman" w:hAnsi="Times New Roman" w:eastAsia="宋体" w:cs="Times New Roman"/>
      <w:sz w:val="28"/>
      <w:szCs w:val="24"/>
    </w:rPr>
  </w:style>
  <w:style w:type="paragraph" w:styleId="4">
    <w:name w:val="Body Text Indent"/>
    <w:basedOn w:val="1"/>
    <w:qFormat/>
    <w:uiPriority w:val="0"/>
    <w:pPr>
      <w:tabs>
        <w:tab w:val="left" w:pos="0"/>
        <w:tab w:val="left" w:pos="567"/>
        <w:tab w:val="left" w:pos="6237"/>
        <w:tab w:val="left" w:pos="7371"/>
        <w:tab w:val="center" w:pos="8505"/>
      </w:tabs>
      <w:spacing w:line="300" w:lineRule="exact"/>
      <w:ind w:left="302" w:hanging="302" w:hangingChars="302"/>
      <w:jc w:val="left"/>
    </w:pPr>
    <w:rPr>
      <w:rFonts w:ascii="@(使用中文字体)" w:hAnsi="Times New Roman" w:eastAsia="@(使用中文字体)" w:cs="@(使用中文字体)"/>
      <w:szCs w:val="20"/>
    </w:rPr>
  </w:style>
  <w:style w:type="paragraph" w:styleId="5">
    <w:name w:val="Date"/>
    <w:basedOn w:val="1"/>
    <w:next w:val="1"/>
    <w:link w:val="21"/>
    <w:semiHidden/>
    <w:unhideWhenUsed/>
    <w:qFormat/>
    <w:uiPriority w:val="99"/>
    <w:pPr>
      <w:ind w:left="100" w:leftChars="2500"/>
    </w:pPr>
  </w:style>
  <w:style w:type="paragraph" w:styleId="6">
    <w:name w:val="Balloon Text"/>
    <w:basedOn w:val="1"/>
    <w:link w:val="40"/>
    <w:semiHidden/>
    <w:unhideWhenUsed/>
    <w:qFormat/>
    <w:uiPriority w:val="99"/>
    <w:rPr>
      <w:sz w:val="18"/>
      <w:szCs w:val="18"/>
    </w:rPr>
  </w:style>
  <w:style w:type="paragraph" w:styleId="7">
    <w:name w:val="footer"/>
    <w:basedOn w:val="1"/>
    <w:link w:val="19"/>
    <w:unhideWhenUsed/>
    <w:qFormat/>
    <w:uiPriority w:val="99"/>
    <w:pPr>
      <w:tabs>
        <w:tab w:val="center" w:pos="4153"/>
        <w:tab w:val="right" w:pos="8306"/>
      </w:tabs>
      <w:snapToGrid w:val="0"/>
      <w:jc w:val="left"/>
    </w:pPr>
    <w:rPr>
      <w:sz w:val="18"/>
      <w:szCs w:val="18"/>
    </w:rPr>
  </w:style>
  <w:style w:type="paragraph" w:styleId="8">
    <w:name w:val="header"/>
    <w:basedOn w:val="1"/>
    <w:link w:val="18"/>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annotation subject"/>
    <w:basedOn w:val="2"/>
    <w:next w:val="2"/>
    <w:link w:val="53"/>
    <w:semiHidden/>
    <w:unhideWhenUsed/>
    <w:qFormat/>
    <w:uiPriority w:val="99"/>
    <w:rPr>
      <w:b/>
      <w:bCs/>
    </w:rPr>
  </w:style>
  <w:style w:type="paragraph" w:styleId="10">
    <w:name w:val="Body Text First Indent 2"/>
    <w:basedOn w:val="4"/>
    <w:qFormat/>
    <w:uiPriority w:val="0"/>
    <w:pPr>
      <w:ind w:firstLine="420" w:firstLineChars="200"/>
    </w:pPr>
  </w:style>
  <w:style w:type="table" w:styleId="12">
    <w:name w:val="Table Grid"/>
    <w:basedOn w:val="11"/>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14">
    <w:name w:val="Strong"/>
    <w:basedOn w:val="13"/>
    <w:qFormat/>
    <w:uiPriority w:val="22"/>
    <w:rPr>
      <w:b/>
      <w:bCs/>
    </w:rPr>
  </w:style>
  <w:style w:type="character" w:styleId="15">
    <w:name w:val="FollowedHyperlink"/>
    <w:basedOn w:val="13"/>
    <w:semiHidden/>
    <w:unhideWhenUsed/>
    <w:qFormat/>
    <w:uiPriority w:val="99"/>
    <w:rPr>
      <w:color w:val="800080"/>
      <w:u w:val="single"/>
    </w:rPr>
  </w:style>
  <w:style w:type="character" w:styleId="16">
    <w:name w:val="Hyperlink"/>
    <w:basedOn w:val="13"/>
    <w:semiHidden/>
    <w:unhideWhenUsed/>
    <w:qFormat/>
    <w:uiPriority w:val="99"/>
    <w:rPr>
      <w:color w:val="0000FF"/>
      <w:u w:val="single"/>
    </w:rPr>
  </w:style>
  <w:style w:type="character" w:styleId="17">
    <w:name w:val="annotation reference"/>
    <w:basedOn w:val="13"/>
    <w:semiHidden/>
    <w:unhideWhenUsed/>
    <w:qFormat/>
    <w:uiPriority w:val="99"/>
    <w:rPr>
      <w:sz w:val="21"/>
      <w:szCs w:val="21"/>
    </w:rPr>
  </w:style>
  <w:style w:type="character" w:customStyle="1" w:styleId="18">
    <w:name w:val="页眉 字符"/>
    <w:basedOn w:val="13"/>
    <w:link w:val="8"/>
    <w:qFormat/>
    <w:uiPriority w:val="99"/>
    <w:rPr>
      <w:sz w:val="18"/>
      <w:szCs w:val="18"/>
    </w:rPr>
  </w:style>
  <w:style w:type="character" w:customStyle="1" w:styleId="19">
    <w:name w:val="页脚 字符"/>
    <w:basedOn w:val="13"/>
    <w:link w:val="7"/>
    <w:qFormat/>
    <w:uiPriority w:val="99"/>
    <w:rPr>
      <w:sz w:val="18"/>
      <w:szCs w:val="18"/>
    </w:rPr>
  </w:style>
  <w:style w:type="paragraph" w:customStyle="1" w:styleId="20">
    <w:name w:val="样式 标题 5 + 右侧:  -0.18 字符"/>
    <w:basedOn w:val="1"/>
    <w:qFormat/>
    <w:uiPriority w:val="0"/>
    <w:pPr>
      <w:tabs>
        <w:tab w:val="left" w:pos="1008"/>
      </w:tabs>
      <w:ind w:left="1008" w:hanging="1008"/>
    </w:pPr>
    <w:rPr>
      <w:rFonts w:ascii="Times New Roman" w:hAnsi="Times New Roman" w:eastAsia="宋体" w:cs="Times New Roman"/>
      <w:szCs w:val="24"/>
    </w:rPr>
  </w:style>
  <w:style w:type="character" w:customStyle="1" w:styleId="21">
    <w:name w:val="日期 字符"/>
    <w:basedOn w:val="13"/>
    <w:link w:val="5"/>
    <w:semiHidden/>
    <w:qFormat/>
    <w:uiPriority w:val="99"/>
  </w:style>
  <w:style w:type="paragraph" w:customStyle="1" w:styleId="22">
    <w:name w:val="font5"/>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3">
    <w:name w:val="font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4">
    <w:name w:val="font7"/>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5">
    <w:name w:val="font8"/>
    <w:basedOn w:val="1"/>
    <w:qFormat/>
    <w:uiPriority w:val="0"/>
    <w:pPr>
      <w:widowControl/>
      <w:spacing w:before="100" w:beforeAutospacing="1" w:after="100" w:afterAutospacing="1"/>
      <w:jc w:val="left"/>
    </w:pPr>
    <w:rPr>
      <w:rFonts w:ascii="Tahoma" w:hAnsi="Tahoma" w:eastAsia="宋体" w:cs="Tahoma"/>
      <w:kern w:val="0"/>
      <w:sz w:val="28"/>
      <w:szCs w:val="28"/>
    </w:rPr>
  </w:style>
  <w:style w:type="paragraph" w:customStyle="1" w:styleId="26">
    <w:name w:val="font9"/>
    <w:basedOn w:val="1"/>
    <w:qFormat/>
    <w:uiPriority w:val="0"/>
    <w:pPr>
      <w:widowControl/>
      <w:spacing w:before="100" w:beforeAutospacing="1" w:after="100" w:afterAutospacing="1"/>
      <w:jc w:val="left"/>
    </w:pPr>
    <w:rPr>
      <w:rFonts w:ascii="Tahoma" w:hAnsi="Tahoma" w:eastAsia="宋体" w:cs="Tahoma"/>
      <w:kern w:val="0"/>
      <w:sz w:val="24"/>
      <w:szCs w:val="24"/>
    </w:rPr>
  </w:style>
  <w:style w:type="paragraph" w:customStyle="1" w:styleId="27">
    <w:name w:val="font10"/>
    <w:basedOn w:val="1"/>
    <w:qFormat/>
    <w:uiPriority w:val="0"/>
    <w:pPr>
      <w:widowControl/>
      <w:spacing w:before="100" w:beforeAutospacing="1" w:after="100" w:afterAutospacing="1"/>
      <w:jc w:val="left"/>
    </w:pPr>
    <w:rPr>
      <w:rFonts w:ascii="Times New Roman" w:hAnsi="Times New Roman" w:eastAsia="宋体" w:cs="Times New Roman"/>
      <w:kern w:val="0"/>
      <w:sz w:val="24"/>
      <w:szCs w:val="24"/>
    </w:rPr>
  </w:style>
  <w:style w:type="paragraph" w:customStyle="1" w:styleId="28">
    <w:name w:val="font11"/>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9">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30">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31">
    <w:name w:val="xl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eastAsia="宋体" w:cs="宋体"/>
      <w:kern w:val="0"/>
      <w:sz w:val="20"/>
      <w:szCs w:val="20"/>
    </w:rPr>
  </w:style>
  <w:style w:type="paragraph" w:customStyle="1" w:styleId="32">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eastAsia="宋体" w:cs="宋体"/>
      <w:kern w:val="0"/>
      <w:sz w:val="24"/>
      <w:szCs w:val="24"/>
    </w:rPr>
  </w:style>
  <w:style w:type="paragraph" w:customStyle="1" w:styleId="33">
    <w:name w:val="xl7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right"/>
    </w:pPr>
    <w:rPr>
      <w:rFonts w:ascii="宋体" w:hAnsi="宋体" w:eastAsia="宋体" w:cs="宋体"/>
      <w:kern w:val="0"/>
      <w:sz w:val="24"/>
      <w:szCs w:val="24"/>
    </w:rPr>
  </w:style>
  <w:style w:type="paragraph" w:customStyle="1" w:styleId="34">
    <w:name w:val="xl7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eastAsia="宋体" w:cs="宋体"/>
      <w:kern w:val="0"/>
      <w:sz w:val="22"/>
    </w:rPr>
  </w:style>
  <w:style w:type="paragraph" w:customStyle="1" w:styleId="35">
    <w:name w:val="xl72"/>
    <w:basedOn w:val="1"/>
    <w:qFormat/>
    <w:uiPriority w:val="0"/>
    <w:pPr>
      <w:widowControl/>
      <w:shd w:val="clear" w:color="000000" w:fill="FFFFFF"/>
      <w:spacing w:before="100" w:beforeAutospacing="1" w:after="100" w:afterAutospacing="1"/>
      <w:jc w:val="left"/>
    </w:pPr>
    <w:rPr>
      <w:rFonts w:ascii="微软雅黑" w:hAnsi="微软雅黑" w:eastAsia="微软雅黑" w:cs="宋体"/>
      <w:kern w:val="0"/>
      <w:sz w:val="18"/>
      <w:szCs w:val="18"/>
    </w:rPr>
  </w:style>
  <w:style w:type="paragraph" w:customStyle="1" w:styleId="36">
    <w:name w:val="xl73"/>
    <w:basedOn w:val="1"/>
    <w:qFormat/>
    <w:uiPriority w:val="0"/>
    <w:pPr>
      <w:widowControl/>
      <w:shd w:val="clear" w:color="000000" w:fill="FFFFFF"/>
      <w:spacing w:before="100" w:beforeAutospacing="1" w:after="100" w:afterAutospacing="1"/>
      <w:jc w:val="left"/>
    </w:pPr>
    <w:rPr>
      <w:rFonts w:ascii="宋体" w:hAnsi="宋体" w:eastAsia="宋体" w:cs="宋体"/>
      <w:kern w:val="0"/>
      <w:sz w:val="20"/>
      <w:szCs w:val="20"/>
    </w:rPr>
  </w:style>
  <w:style w:type="paragraph" w:customStyle="1" w:styleId="37">
    <w:name w:val="xl74"/>
    <w:basedOn w:val="1"/>
    <w:qFormat/>
    <w:uiPriority w:val="0"/>
    <w:pPr>
      <w:widowControl/>
      <w:shd w:val="clear" w:color="000000" w:fill="FFFFFF"/>
      <w:spacing w:before="100" w:beforeAutospacing="1" w:after="100" w:afterAutospacing="1"/>
      <w:jc w:val="left"/>
      <w:textAlignment w:val="center"/>
    </w:pPr>
    <w:rPr>
      <w:rFonts w:ascii="宋体" w:hAnsi="宋体" w:eastAsia="宋体" w:cs="宋体"/>
      <w:kern w:val="0"/>
      <w:sz w:val="20"/>
      <w:szCs w:val="20"/>
    </w:rPr>
  </w:style>
  <w:style w:type="paragraph" w:customStyle="1" w:styleId="38">
    <w:name w:val="xl75"/>
    <w:basedOn w:val="1"/>
    <w:qFormat/>
    <w:uiPriority w:val="0"/>
    <w:pPr>
      <w:widowControl/>
      <w:shd w:val="clear" w:color="000000" w:fill="FFFFFF"/>
      <w:spacing w:before="100" w:beforeAutospacing="1" w:after="100" w:afterAutospacing="1"/>
      <w:jc w:val="left"/>
    </w:pPr>
    <w:rPr>
      <w:rFonts w:ascii="宋体" w:hAnsi="宋体" w:eastAsia="宋体" w:cs="宋体"/>
      <w:kern w:val="0"/>
      <w:sz w:val="24"/>
      <w:szCs w:val="24"/>
    </w:rPr>
  </w:style>
  <w:style w:type="paragraph" w:customStyle="1" w:styleId="39">
    <w:name w:val="xl76"/>
    <w:basedOn w:val="1"/>
    <w:qFormat/>
    <w:uiPriority w:val="0"/>
    <w:pPr>
      <w:widowControl/>
      <w:shd w:val="clear" w:color="000000" w:fill="FFFFFF"/>
      <w:spacing w:before="100" w:beforeAutospacing="1" w:after="100" w:afterAutospacing="1"/>
      <w:jc w:val="left"/>
    </w:pPr>
    <w:rPr>
      <w:rFonts w:ascii="Tahoma" w:hAnsi="Tahoma" w:eastAsia="宋体" w:cs="Tahoma"/>
      <w:kern w:val="0"/>
      <w:sz w:val="20"/>
      <w:szCs w:val="20"/>
    </w:rPr>
  </w:style>
  <w:style w:type="character" w:customStyle="1" w:styleId="40">
    <w:name w:val="批注框文本 字符"/>
    <w:basedOn w:val="13"/>
    <w:link w:val="6"/>
    <w:semiHidden/>
    <w:qFormat/>
    <w:uiPriority w:val="99"/>
    <w:rPr>
      <w:sz w:val="18"/>
      <w:szCs w:val="18"/>
    </w:rPr>
  </w:style>
  <w:style w:type="table" w:customStyle="1" w:styleId="41">
    <w:name w:val="网格型3"/>
    <w:basedOn w:val="11"/>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42">
    <w:name w:val="网格型2"/>
    <w:basedOn w:val="11"/>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43">
    <w:name w:val="网格型1"/>
    <w:basedOn w:val="11"/>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customStyle="1" w:styleId="44">
    <w:name w:val="正文1"/>
    <w:basedOn w:val="1"/>
    <w:next w:val="1"/>
    <w:qFormat/>
    <w:uiPriority w:val="0"/>
    <w:pPr>
      <w:spacing w:before="156"/>
      <w:ind w:firstLine="510" w:firstLineChars="200"/>
    </w:pPr>
  </w:style>
  <w:style w:type="character" w:customStyle="1" w:styleId="45">
    <w:name w:val="font51"/>
    <w:basedOn w:val="13"/>
    <w:qFormat/>
    <w:uiPriority w:val="0"/>
    <w:rPr>
      <w:rFonts w:hint="eastAsia" w:ascii="宋体" w:hAnsi="宋体" w:eastAsia="宋体" w:cs="宋体"/>
      <w:color w:val="FF0000"/>
      <w:sz w:val="21"/>
      <w:szCs w:val="21"/>
      <w:u w:val="none"/>
    </w:rPr>
  </w:style>
  <w:style w:type="character" w:customStyle="1" w:styleId="46">
    <w:name w:val="font41"/>
    <w:basedOn w:val="13"/>
    <w:qFormat/>
    <w:uiPriority w:val="0"/>
    <w:rPr>
      <w:rFonts w:hint="eastAsia" w:ascii="宋体" w:hAnsi="宋体" w:eastAsia="宋体" w:cs="宋体"/>
      <w:color w:val="000000"/>
      <w:sz w:val="18"/>
      <w:szCs w:val="18"/>
      <w:u w:val="none"/>
    </w:rPr>
  </w:style>
  <w:style w:type="character" w:customStyle="1" w:styleId="47">
    <w:name w:val="font21"/>
    <w:basedOn w:val="13"/>
    <w:qFormat/>
    <w:uiPriority w:val="0"/>
    <w:rPr>
      <w:rFonts w:hint="eastAsia" w:ascii="宋体" w:hAnsi="宋体" w:eastAsia="宋体" w:cs="宋体"/>
      <w:color w:val="000000"/>
      <w:sz w:val="21"/>
      <w:szCs w:val="21"/>
      <w:u w:val="none"/>
    </w:rPr>
  </w:style>
  <w:style w:type="character" w:customStyle="1" w:styleId="48">
    <w:name w:val="font31"/>
    <w:basedOn w:val="13"/>
    <w:qFormat/>
    <w:uiPriority w:val="0"/>
    <w:rPr>
      <w:rFonts w:hint="eastAsia" w:ascii="宋体" w:hAnsi="宋体" w:eastAsia="宋体" w:cs="宋体"/>
      <w:b/>
      <w:bCs/>
      <w:color w:val="000000"/>
      <w:sz w:val="18"/>
      <w:szCs w:val="18"/>
      <w:u w:val="none"/>
    </w:rPr>
  </w:style>
  <w:style w:type="character" w:customStyle="1" w:styleId="49">
    <w:name w:val="font71"/>
    <w:basedOn w:val="13"/>
    <w:qFormat/>
    <w:uiPriority w:val="0"/>
    <w:rPr>
      <w:rFonts w:hint="eastAsia" w:ascii="宋体" w:hAnsi="宋体" w:eastAsia="宋体" w:cs="宋体"/>
      <w:color w:val="000000"/>
      <w:sz w:val="18"/>
      <w:szCs w:val="18"/>
      <w:u w:val="none"/>
    </w:rPr>
  </w:style>
  <w:style w:type="character" w:customStyle="1" w:styleId="50">
    <w:name w:val="font61"/>
    <w:basedOn w:val="13"/>
    <w:qFormat/>
    <w:uiPriority w:val="0"/>
    <w:rPr>
      <w:rFonts w:hint="eastAsia" w:ascii="宋体" w:hAnsi="宋体" w:eastAsia="宋体" w:cs="宋体"/>
      <w:b/>
      <w:bCs/>
      <w:color w:val="000000"/>
      <w:sz w:val="18"/>
      <w:szCs w:val="18"/>
      <w:u w:val="none"/>
    </w:rPr>
  </w:style>
  <w:style w:type="character" w:customStyle="1" w:styleId="51">
    <w:name w:val="font81"/>
    <w:basedOn w:val="13"/>
    <w:qFormat/>
    <w:uiPriority w:val="0"/>
    <w:rPr>
      <w:rFonts w:hint="eastAsia" w:ascii="宋体" w:hAnsi="宋体" w:eastAsia="宋体" w:cs="宋体"/>
      <w:color w:val="000000"/>
      <w:sz w:val="18"/>
      <w:szCs w:val="18"/>
      <w:u w:val="none"/>
    </w:rPr>
  </w:style>
  <w:style w:type="character" w:customStyle="1" w:styleId="52">
    <w:name w:val="批注文字 字符"/>
    <w:basedOn w:val="13"/>
    <w:link w:val="2"/>
    <w:semiHidden/>
    <w:qFormat/>
    <w:uiPriority w:val="99"/>
    <w:rPr>
      <w:rFonts w:asciiTheme="minorHAnsi" w:hAnsiTheme="minorHAnsi" w:eastAsiaTheme="minorEastAsia" w:cstheme="minorBidi"/>
      <w:kern w:val="2"/>
      <w:sz w:val="21"/>
      <w:szCs w:val="22"/>
    </w:rPr>
  </w:style>
  <w:style w:type="character" w:customStyle="1" w:styleId="53">
    <w:name w:val="批注主题 字符"/>
    <w:basedOn w:val="52"/>
    <w:link w:val="9"/>
    <w:semiHidden/>
    <w:qFormat/>
    <w:uiPriority w:val="99"/>
    <w:rPr>
      <w:rFonts w:asciiTheme="minorHAnsi" w:hAnsiTheme="minorHAnsi" w:eastAsiaTheme="minorEastAsia" w:cstheme="minorBidi"/>
      <w:b/>
      <w:bCs/>
      <w:kern w:val="2"/>
      <w:sz w:val="21"/>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5741F9-42FA-404A-8C97-8335F726E488}">
  <ds:schemaRefs/>
</ds:datastoreItem>
</file>

<file path=docProps/app.xml><?xml version="1.0" encoding="utf-8"?>
<Properties xmlns="http://schemas.openxmlformats.org/officeDocument/2006/extended-properties" xmlns:vt="http://schemas.openxmlformats.org/officeDocument/2006/docPropsVTypes">
  <Template>Normal</Template>
  <Pages>104</Pages>
  <Words>12903</Words>
  <Characters>73553</Characters>
  <Lines>612</Lines>
  <Paragraphs>172</Paragraphs>
  <TotalTime>44</TotalTime>
  <ScaleCrop>false</ScaleCrop>
  <LinksUpToDate>false</LinksUpToDate>
  <CharactersWithSpaces>86284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2020-10-21T15:20:00Z</dcterms:created>
  <dc:creator>虞圣韡</dc:creator>
  <cp:lastModifiedBy>火辣辣的太阳</cp:lastModifiedBy>
  <cp:lastPrinted>2021-06-03T10:01:00Z</cp:lastPrinted>
  <dcterms:modified xsi:type="dcterms:W3CDTF">2023-10-17T05:44:26Z</dcterms:modified>
  <cp:revision>16867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432148F3CE454C2D991CD90C62AFAF74_13</vt:lpwstr>
  </property>
</Properties>
</file>