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tabs>
          <w:tab w:val="right" w:leader="dot" w:pos="8313"/>
        </w:tabs>
        <w:spacing w:line="600" w:lineRule="auto"/>
        <w:rPr>
          <w:rFonts w:hint="eastAsia"/>
        </w:rPr>
      </w:pPr>
      <w:bookmarkStart w:id="185" w:name="_GoBack"/>
      <w:bookmarkEnd w:id="185"/>
      <w:r>
        <w:rPr>
          <w:rFonts w:hint="eastAsia" w:ascii="仿宋" w:hAnsi="仿宋" w:eastAsia="仿宋" w:cs="仿宋"/>
          <w:color w:val="000000"/>
          <w:sz w:val="30"/>
          <w:szCs w:val="30"/>
        </w:rPr>
        <w:fldChar w:fldCharType="begin"/>
      </w:r>
      <w:r>
        <w:rPr>
          <w:rFonts w:hint="eastAsia" w:ascii="仿宋" w:hAnsi="仿宋" w:eastAsia="仿宋" w:cs="仿宋"/>
          <w:color w:val="000000"/>
          <w:sz w:val="30"/>
          <w:szCs w:val="30"/>
        </w:rPr>
        <w:instrText xml:space="preserve">TOC \o "1-3" \h \z \u </w:instrText>
      </w:r>
      <w:r>
        <w:rPr>
          <w:rFonts w:hint="eastAsia" w:ascii="仿宋" w:hAnsi="仿宋" w:eastAsia="仿宋" w:cs="仿宋"/>
          <w:color w:val="000000"/>
          <w:sz w:val="30"/>
          <w:szCs w:val="30"/>
        </w:rPr>
        <w:fldChar w:fldCharType="separate"/>
      </w:r>
      <w:r>
        <w:rPr>
          <w:rFonts w:hint="eastAsia"/>
          <w:sz w:val="30"/>
          <w:szCs w:val="30"/>
        </w:rPr>
        <w:fldChar w:fldCharType="end"/>
      </w:r>
    </w:p>
    <w:p>
      <w:pPr>
        <w:spacing w:line="360" w:lineRule="auto"/>
        <w:jc w:val="center"/>
        <w:rPr>
          <w:rFonts w:hint="eastAsia" w:ascii="仿宋" w:hAnsi="仿宋" w:eastAsia="仿宋" w:cs="仿宋"/>
          <w:color w:val="000000"/>
          <w:szCs w:val="21"/>
        </w:rPr>
      </w:pPr>
    </w:p>
    <w:p>
      <w:pPr>
        <w:snapToGrid w:val="0"/>
        <w:spacing w:before="120" w:beforeLines="50" w:line="360" w:lineRule="auto"/>
        <w:rPr>
          <w:rFonts w:hint="eastAsia" w:ascii="仿宋" w:hAnsi="仿宋" w:eastAsia="仿宋" w:cs="仿宋"/>
          <w:color w:val="000000"/>
          <w:szCs w:val="21"/>
        </w:rPr>
      </w:pPr>
    </w:p>
    <w:p>
      <w:pPr>
        <w:spacing w:before="157"/>
        <w:ind w:right="155" w:rightChars="74"/>
        <w:jc w:val="center"/>
        <w:rPr>
          <w:rFonts w:hint="eastAsia" w:ascii="仿宋" w:hAnsi="仿宋" w:eastAsia="仿宋" w:cs="仿宋"/>
          <w:b/>
          <w:sz w:val="48"/>
        </w:rPr>
      </w:pPr>
      <w:r>
        <w:rPr>
          <w:rFonts w:hint="eastAsia" w:ascii="仿宋" w:hAnsi="仿宋" w:eastAsia="仿宋" w:cs="仿宋"/>
          <w:b/>
          <w:sz w:val="48"/>
        </w:rPr>
        <w:t>政府采购项目</w:t>
      </w:r>
    </w:p>
    <w:p>
      <w:pPr>
        <w:pStyle w:val="13"/>
        <w:spacing w:before="2"/>
        <w:ind w:right="155" w:rightChars="74"/>
        <w:rPr>
          <w:rFonts w:hint="eastAsia" w:ascii="仿宋" w:hAnsi="仿宋" w:eastAsia="仿宋" w:cs="仿宋"/>
          <w:b/>
          <w:sz w:val="68"/>
        </w:rPr>
      </w:pPr>
    </w:p>
    <w:p>
      <w:pPr>
        <w:ind w:right="155" w:rightChars="74"/>
        <w:jc w:val="center"/>
        <w:rPr>
          <w:rFonts w:hint="eastAsia" w:ascii="仿宋" w:hAnsi="仿宋" w:eastAsia="仿宋" w:cs="仿宋"/>
          <w:b/>
          <w:sz w:val="72"/>
        </w:rPr>
      </w:pPr>
      <w:r>
        <w:rPr>
          <w:rFonts w:hint="eastAsia" w:ascii="仿宋" w:hAnsi="仿宋" w:eastAsia="仿宋" w:cs="仿宋"/>
          <w:b/>
          <w:sz w:val="72"/>
        </w:rPr>
        <w:t>公开招标采购文件</w:t>
      </w:r>
    </w:p>
    <w:p>
      <w:pPr>
        <w:spacing w:before="129"/>
        <w:ind w:right="155" w:rightChars="74"/>
        <w:jc w:val="center"/>
        <w:rPr>
          <w:rFonts w:hint="eastAsia" w:ascii="仿宋" w:hAnsi="仿宋" w:eastAsia="仿宋" w:cs="仿宋"/>
          <w:sz w:val="30"/>
        </w:rPr>
      </w:pPr>
      <w:r>
        <w:rPr>
          <w:rFonts w:hint="eastAsia" w:ascii="仿宋" w:hAnsi="仿宋" w:eastAsia="仿宋" w:cs="仿宋"/>
          <w:sz w:val="30"/>
        </w:rPr>
        <w:t>（电子招投标版）</w:t>
      </w:r>
    </w:p>
    <w:p>
      <w:pPr>
        <w:pStyle w:val="13"/>
        <w:ind w:right="155" w:rightChars="74"/>
        <w:rPr>
          <w:rFonts w:hint="eastAsia" w:ascii="仿宋" w:hAnsi="仿宋" w:eastAsia="仿宋" w:cs="仿宋"/>
          <w:sz w:val="30"/>
        </w:rPr>
      </w:pPr>
    </w:p>
    <w:p>
      <w:pPr>
        <w:pStyle w:val="13"/>
        <w:ind w:right="155" w:rightChars="74"/>
        <w:rPr>
          <w:rFonts w:hint="eastAsia" w:ascii="仿宋" w:hAnsi="仿宋" w:eastAsia="仿宋" w:cs="仿宋"/>
          <w:sz w:val="30"/>
        </w:rPr>
      </w:pPr>
    </w:p>
    <w:p>
      <w:pPr>
        <w:pStyle w:val="13"/>
        <w:ind w:right="155" w:rightChars="74"/>
        <w:rPr>
          <w:rFonts w:hint="eastAsia" w:ascii="仿宋" w:hAnsi="仿宋" w:eastAsia="仿宋" w:cs="仿宋"/>
          <w:sz w:val="30"/>
        </w:rPr>
      </w:pPr>
    </w:p>
    <w:p>
      <w:pPr>
        <w:pStyle w:val="13"/>
        <w:spacing w:before="9"/>
        <w:ind w:right="155" w:rightChars="74"/>
        <w:rPr>
          <w:rFonts w:hint="eastAsia" w:ascii="仿宋" w:hAnsi="仿宋" w:eastAsia="仿宋" w:cs="仿宋"/>
          <w:sz w:val="39"/>
        </w:rPr>
      </w:pPr>
    </w:p>
    <w:p>
      <w:pPr>
        <w:spacing w:line="439" w:lineRule="auto"/>
        <w:ind w:left="357" w:right="155" w:rightChars="74"/>
        <w:rPr>
          <w:rFonts w:hint="eastAsia" w:ascii="仿宋" w:hAnsi="仿宋" w:eastAsia="仿宋" w:cs="仿宋"/>
          <w:b/>
          <w:spacing w:val="-19"/>
          <w:w w:val="95"/>
          <w:sz w:val="30"/>
          <w:lang w:eastAsia="zh-CN"/>
        </w:rPr>
      </w:pPr>
      <w:r>
        <w:rPr>
          <w:rFonts w:hint="eastAsia" w:ascii="仿宋" w:hAnsi="仿宋" w:eastAsia="仿宋" w:cs="仿宋"/>
          <w:b/>
          <w:spacing w:val="-19"/>
          <w:w w:val="95"/>
          <w:sz w:val="30"/>
        </w:rPr>
        <w:t>项目编号：</w:t>
      </w:r>
      <w:r>
        <w:rPr>
          <w:rFonts w:hint="eastAsia" w:ascii="仿宋" w:hAnsi="仿宋" w:eastAsia="仿宋" w:cs="仿宋"/>
          <w:b/>
          <w:spacing w:val="-19"/>
          <w:w w:val="95"/>
          <w:sz w:val="30"/>
          <w:lang w:eastAsia="zh-CN"/>
        </w:rPr>
        <w:t>NBXC-2023-08</w:t>
      </w:r>
    </w:p>
    <w:p>
      <w:pPr>
        <w:spacing w:line="439" w:lineRule="auto"/>
        <w:ind w:left="357" w:right="155" w:rightChars="74"/>
        <w:rPr>
          <w:rFonts w:hint="eastAsia" w:ascii="仿宋" w:hAnsi="仿宋" w:eastAsia="仿宋" w:cs="仿宋"/>
          <w:b/>
          <w:w w:val="95"/>
          <w:sz w:val="30"/>
        </w:rPr>
      </w:pPr>
      <w:r>
        <w:rPr>
          <w:rFonts w:hint="eastAsia" w:ascii="仿宋" w:hAnsi="仿宋" w:eastAsia="仿宋" w:cs="仿宋"/>
          <w:b/>
          <w:w w:val="95"/>
          <w:sz w:val="30"/>
        </w:rPr>
        <w:t>项目名称：余姚市第四人民医院保安服务项目</w:t>
      </w:r>
    </w:p>
    <w:p>
      <w:pPr>
        <w:spacing w:line="439" w:lineRule="auto"/>
        <w:ind w:left="357" w:right="155" w:rightChars="74"/>
        <w:rPr>
          <w:rFonts w:hint="eastAsia" w:ascii="仿宋" w:hAnsi="仿宋" w:eastAsia="仿宋" w:cs="仿宋"/>
          <w:b/>
          <w:spacing w:val="-19"/>
          <w:w w:val="95"/>
          <w:sz w:val="30"/>
        </w:rPr>
      </w:pPr>
      <w:r>
        <w:rPr>
          <w:rFonts w:hint="eastAsia" w:ascii="仿宋" w:hAnsi="仿宋" w:eastAsia="仿宋" w:cs="仿宋"/>
          <w:b/>
          <w:spacing w:val="-19"/>
          <w:w w:val="95"/>
          <w:sz w:val="30"/>
        </w:rPr>
        <w:t>采购人：余姚市第四人民医院</w:t>
      </w:r>
    </w:p>
    <w:p>
      <w:pPr>
        <w:spacing w:line="439" w:lineRule="auto"/>
        <w:ind w:left="357" w:right="155" w:rightChars="74"/>
        <w:rPr>
          <w:rFonts w:hint="eastAsia" w:ascii="仿宋" w:hAnsi="仿宋" w:eastAsia="仿宋" w:cs="仿宋"/>
          <w:b/>
          <w:w w:val="95"/>
          <w:sz w:val="30"/>
        </w:rPr>
      </w:pPr>
      <w:r>
        <w:rPr>
          <w:rFonts w:hint="eastAsia" w:ascii="仿宋" w:hAnsi="仿宋" w:eastAsia="仿宋" w:cs="仿宋"/>
          <w:b/>
          <w:w w:val="95"/>
          <w:sz w:val="30"/>
        </w:rPr>
        <w:t>采购代理机构：宁波旭诚工程项目管理有限公司</w:t>
      </w:r>
    </w:p>
    <w:p>
      <w:pPr>
        <w:spacing w:line="439" w:lineRule="auto"/>
        <w:ind w:left="357" w:right="155" w:rightChars="74"/>
        <w:rPr>
          <w:rFonts w:hint="eastAsia" w:ascii="仿宋" w:hAnsi="仿宋" w:eastAsia="仿宋" w:cs="仿宋"/>
          <w:b/>
          <w:sz w:val="30"/>
        </w:rPr>
      </w:pPr>
      <w:r>
        <w:rPr>
          <w:rFonts w:hint="eastAsia" w:ascii="仿宋" w:hAnsi="仿宋" w:eastAsia="仿宋" w:cs="仿宋"/>
          <w:b/>
          <w:spacing w:val="-1"/>
          <w:sz w:val="30"/>
        </w:rPr>
        <w:t>编制时间：</w:t>
      </w:r>
      <w:r>
        <w:rPr>
          <w:rFonts w:hint="eastAsia" w:ascii="仿宋" w:hAnsi="仿宋" w:eastAsia="仿宋" w:cs="仿宋"/>
          <w:b/>
          <w:sz w:val="30"/>
        </w:rPr>
        <w:t>2023年</w:t>
      </w:r>
      <w:r>
        <w:rPr>
          <w:rFonts w:hint="eastAsia" w:ascii="仿宋" w:hAnsi="仿宋" w:eastAsia="仿宋" w:cs="仿宋"/>
          <w:b/>
          <w:sz w:val="30"/>
          <w:lang w:val="en-US" w:eastAsia="zh-CN"/>
        </w:rPr>
        <w:t>3</w:t>
      </w:r>
      <w:r>
        <w:rPr>
          <w:rFonts w:hint="eastAsia" w:ascii="仿宋" w:hAnsi="仿宋" w:eastAsia="仿宋" w:cs="仿宋"/>
          <w:b/>
          <w:sz w:val="30"/>
        </w:rPr>
        <w:t>月</w:t>
      </w:r>
    </w:p>
    <w:p>
      <w:pPr>
        <w:snapToGrid w:val="0"/>
        <w:spacing w:before="120" w:beforeLines="50" w:line="360" w:lineRule="auto"/>
        <w:rPr>
          <w:rFonts w:hint="eastAsia" w:ascii="仿宋" w:hAnsi="仿宋" w:eastAsia="仿宋" w:cs="仿宋"/>
          <w:color w:val="000000"/>
          <w:szCs w:val="21"/>
        </w:rPr>
      </w:pPr>
    </w:p>
    <w:p>
      <w:pPr>
        <w:snapToGrid w:val="0"/>
        <w:spacing w:before="120" w:beforeLines="50" w:line="360" w:lineRule="auto"/>
        <w:rPr>
          <w:rFonts w:hint="eastAsia" w:ascii="仿宋" w:hAnsi="仿宋" w:eastAsia="仿宋" w:cs="仿宋"/>
          <w:color w:val="000000"/>
          <w:szCs w:val="21"/>
        </w:rPr>
      </w:pPr>
    </w:p>
    <w:p>
      <w:pPr>
        <w:pStyle w:val="2"/>
        <w:snapToGrid w:val="0"/>
        <w:spacing w:before="120" w:beforeLines="0" w:after="120" w:afterLines="0" w:line="360" w:lineRule="auto"/>
        <w:rPr>
          <w:rFonts w:hint="eastAsia" w:ascii="仿宋" w:hAnsi="仿宋" w:eastAsia="仿宋" w:cs="仿宋"/>
          <w:b/>
          <w:bCs/>
          <w:color w:val="000000"/>
          <w:w w:val="95"/>
          <w:sz w:val="21"/>
          <w:szCs w:val="21"/>
        </w:rPr>
      </w:pPr>
    </w:p>
    <w:p>
      <w:pPr>
        <w:pStyle w:val="2"/>
        <w:spacing w:before="120" w:beforeLines="0" w:after="120" w:afterLines="0" w:line="360" w:lineRule="auto"/>
        <w:jc w:val="center"/>
        <w:rPr>
          <w:rFonts w:hint="eastAsia" w:ascii="仿宋" w:hAnsi="仿宋" w:eastAsia="仿宋" w:cs="仿宋"/>
          <w:color w:val="000000"/>
          <w:sz w:val="21"/>
          <w:szCs w:val="21"/>
        </w:rPr>
        <w:sectPr>
          <w:headerReference r:id="rId3" w:type="default"/>
          <w:footerReference r:id="rId4" w:type="default"/>
          <w:pgSz w:w="11907" w:h="16839"/>
          <w:pgMar w:top="1440" w:right="1797" w:bottom="1440" w:left="1797" w:header="851" w:footer="992" w:gutter="0"/>
          <w:cols w:space="720" w:num="1"/>
          <w:docGrid w:linePitch="312" w:charSpace="0"/>
        </w:sect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目  录</w:t>
      </w:r>
    </w:p>
    <w:p>
      <w:pPr>
        <w:pStyle w:val="29"/>
        <w:tabs>
          <w:tab w:val="right" w:leader="dot" w:pos="8313"/>
        </w:tabs>
      </w:pPr>
      <w:r>
        <w:rPr>
          <w:rFonts w:hint="eastAsia" w:ascii="仿宋" w:hAnsi="仿宋" w:eastAsia="仿宋" w:cs="仿宋"/>
          <w:color w:val="000000"/>
          <w:szCs w:val="30"/>
        </w:rPr>
        <w:fldChar w:fldCharType="begin"/>
      </w:r>
      <w:r>
        <w:rPr>
          <w:rFonts w:hint="eastAsia" w:ascii="仿宋" w:hAnsi="仿宋" w:eastAsia="仿宋" w:cs="仿宋"/>
          <w:szCs w:val="30"/>
        </w:rPr>
        <w:instrText xml:space="preserve"> HYPERLINK \l _Toc2518 </w:instrText>
      </w:r>
      <w:r>
        <w:rPr>
          <w:rFonts w:hint="eastAsia" w:ascii="仿宋" w:hAnsi="仿宋" w:eastAsia="仿宋" w:cs="仿宋"/>
          <w:szCs w:val="30"/>
        </w:rPr>
        <w:fldChar w:fldCharType="separate"/>
      </w:r>
      <w:r>
        <w:rPr>
          <w:rFonts w:hint="eastAsia" w:ascii="仿宋" w:hAnsi="仿宋" w:eastAsia="仿宋" w:cs="仿宋"/>
          <w:szCs w:val="21"/>
        </w:rPr>
        <w:t>第一章  公开招标采购公告</w:t>
      </w:r>
      <w:r>
        <w:tab/>
      </w:r>
      <w:r>
        <w:rPr>
          <w:rFonts w:hint="eastAsia"/>
        </w:rPr>
        <w:t>3</w:t>
      </w:r>
      <w:r>
        <w:rPr>
          <w:rFonts w:hint="eastAsia" w:ascii="仿宋" w:hAnsi="仿宋" w:eastAsia="仿宋" w:cs="仿宋"/>
          <w:color w:val="000000"/>
          <w:szCs w:val="30"/>
        </w:rPr>
        <w:fldChar w:fldCharType="end"/>
      </w:r>
    </w:p>
    <w:p>
      <w:pPr>
        <w:pStyle w:val="35"/>
        <w:tabs>
          <w:tab w:val="right" w:leader="dot" w:pos="8313"/>
        </w:tabs>
      </w:pPr>
    </w:p>
    <w:p>
      <w:pPr>
        <w:pStyle w:val="29"/>
        <w:tabs>
          <w:tab w:val="right" w:leader="dot" w:pos="8313"/>
        </w:tabs>
      </w:pPr>
      <w:r>
        <w:rPr>
          <w:rFonts w:hint="eastAsia"/>
        </w:rPr>
        <w:fldChar w:fldCharType="begin"/>
      </w:r>
      <w:r>
        <w:rPr>
          <w:rFonts w:hint="eastAsia"/>
        </w:rPr>
        <w:instrText xml:space="preserve"> HYPERLINK \l _Toc2967 </w:instrText>
      </w:r>
      <w:r>
        <w:rPr>
          <w:rFonts w:hint="eastAsia"/>
        </w:rPr>
        <w:fldChar w:fldCharType="separate"/>
      </w:r>
      <w:r>
        <w:rPr>
          <w:rFonts w:hint="eastAsia" w:ascii="仿宋" w:hAnsi="仿宋" w:eastAsia="仿宋" w:cs="仿宋"/>
          <w:szCs w:val="21"/>
        </w:rPr>
        <w:t xml:space="preserve">第二章  </w:t>
      </w:r>
      <w:r>
        <w:rPr>
          <w:rFonts w:hint="eastAsia" w:ascii="仿宋" w:hAnsi="仿宋" w:eastAsia="仿宋" w:cs="仿宋"/>
          <w:bCs/>
          <w:szCs w:val="21"/>
        </w:rPr>
        <w:t>采购内容及技术要求</w:t>
      </w:r>
      <w:r>
        <w:tab/>
      </w:r>
      <w:r>
        <w:rPr>
          <w:rFonts w:hint="eastAsia"/>
        </w:rPr>
        <w:t>6</w:t>
      </w:r>
      <w:r>
        <w:rPr>
          <w:rFonts w:hint="eastAsia"/>
        </w:rPr>
        <w:fldChar w:fldCharType="end"/>
      </w:r>
    </w:p>
    <w:p>
      <w:pPr>
        <w:pStyle w:val="35"/>
        <w:tabs>
          <w:tab w:val="right" w:leader="dot" w:pos="8313"/>
        </w:tabs>
      </w:pPr>
    </w:p>
    <w:p>
      <w:pPr>
        <w:pStyle w:val="29"/>
        <w:tabs>
          <w:tab w:val="right" w:leader="dot" w:pos="8313"/>
        </w:tabs>
      </w:pPr>
      <w:r>
        <w:rPr>
          <w:rFonts w:hint="eastAsia"/>
        </w:rPr>
        <w:fldChar w:fldCharType="begin"/>
      </w:r>
      <w:r>
        <w:rPr>
          <w:rFonts w:hint="eastAsia"/>
        </w:rPr>
        <w:instrText xml:space="preserve"> HYPERLINK \l _Toc22359 </w:instrText>
      </w:r>
      <w:r>
        <w:rPr>
          <w:rFonts w:hint="eastAsia"/>
        </w:rPr>
        <w:fldChar w:fldCharType="separate"/>
      </w:r>
      <w:r>
        <w:rPr>
          <w:rFonts w:hint="eastAsia" w:ascii="仿宋" w:hAnsi="仿宋" w:eastAsia="仿宋" w:cs="仿宋"/>
          <w:szCs w:val="21"/>
        </w:rPr>
        <w:t>第三章  供应商须知</w:t>
      </w:r>
      <w:r>
        <w:tab/>
      </w:r>
      <w:r>
        <w:rPr>
          <w:rFonts w:hint="eastAsia"/>
        </w:rPr>
        <w:t>9</w:t>
      </w:r>
      <w:r>
        <w:rPr>
          <w:rFonts w:hint="eastAsia"/>
        </w:rPr>
        <w:fldChar w:fldCharType="end"/>
      </w:r>
    </w:p>
    <w:p>
      <w:pPr>
        <w:pStyle w:val="35"/>
        <w:tabs>
          <w:tab w:val="right" w:leader="dot" w:pos="8313"/>
        </w:tabs>
      </w:pPr>
    </w:p>
    <w:p>
      <w:pPr>
        <w:pStyle w:val="29"/>
        <w:tabs>
          <w:tab w:val="right" w:leader="dot" w:pos="8313"/>
        </w:tabs>
        <w:rPr>
          <w:rFonts w:hint="eastAsia"/>
        </w:rPr>
      </w:pPr>
      <w:r>
        <w:rPr>
          <w:rFonts w:hint="eastAsia"/>
        </w:rPr>
        <w:fldChar w:fldCharType="begin"/>
      </w:r>
      <w:r>
        <w:rPr>
          <w:rFonts w:hint="eastAsia"/>
        </w:rPr>
        <w:instrText xml:space="preserve"> HYPERLINK \l _Toc26494 </w:instrText>
      </w:r>
      <w:r>
        <w:rPr>
          <w:rFonts w:hint="eastAsia"/>
        </w:rPr>
        <w:fldChar w:fldCharType="separate"/>
      </w:r>
      <w:r>
        <w:rPr>
          <w:rFonts w:hint="eastAsia" w:ascii="仿宋" w:hAnsi="仿宋" w:eastAsia="仿宋" w:cs="仿宋"/>
          <w:szCs w:val="21"/>
        </w:rPr>
        <w:t>第四章  评标办法及评分标准</w:t>
      </w:r>
      <w:r>
        <w:tab/>
      </w:r>
      <w:r>
        <w:rPr>
          <w:rFonts w:hint="eastAsia"/>
        </w:rPr>
        <w:t>2</w:t>
      </w:r>
      <w:r>
        <w:rPr>
          <w:rFonts w:hint="eastAsia"/>
        </w:rPr>
        <w:fldChar w:fldCharType="end"/>
      </w:r>
      <w:r>
        <w:rPr>
          <w:rFonts w:hint="eastAsia"/>
        </w:rPr>
        <w:t>4</w:t>
      </w:r>
    </w:p>
    <w:p>
      <w:pPr>
        <w:pStyle w:val="35"/>
        <w:tabs>
          <w:tab w:val="right" w:leader="dot" w:pos="8313"/>
        </w:tabs>
      </w:pPr>
    </w:p>
    <w:p>
      <w:pPr>
        <w:pStyle w:val="29"/>
        <w:tabs>
          <w:tab w:val="right" w:leader="dot" w:pos="8313"/>
        </w:tabs>
        <w:rPr>
          <w:rFonts w:hint="eastAsia"/>
        </w:rPr>
      </w:pPr>
      <w:r>
        <w:rPr>
          <w:rFonts w:hint="eastAsia"/>
        </w:rPr>
        <w:fldChar w:fldCharType="begin"/>
      </w:r>
      <w:r>
        <w:rPr>
          <w:rFonts w:hint="eastAsia"/>
        </w:rPr>
        <w:instrText xml:space="preserve"> HYPERLINK \l _Toc14735 </w:instrText>
      </w:r>
      <w:r>
        <w:rPr>
          <w:rFonts w:hint="eastAsia"/>
        </w:rPr>
        <w:fldChar w:fldCharType="separate"/>
      </w:r>
      <w:r>
        <w:rPr>
          <w:rFonts w:hint="eastAsia" w:ascii="仿宋" w:hAnsi="仿宋" w:eastAsia="仿宋" w:cs="仿宋"/>
          <w:bCs/>
          <w:szCs w:val="21"/>
        </w:rPr>
        <w:t>第五章 合同主要条款</w:t>
      </w:r>
      <w:r>
        <w:tab/>
      </w:r>
      <w:r>
        <w:rPr>
          <w:rFonts w:hint="eastAsia"/>
        </w:rPr>
        <w:t>3</w:t>
      </w:r>
      <w:r>
        <w:rPr>
          <w:rFonts w:hint="eastAsia"/>
        </w:rPr>
        <w:fldChar w:fldCharType="end"/>
      </w:r>
      <w:r>
        <w:rPr>
          <w:rFonts w:hint="eastAsia"/>
        </w:rPr>
        <w:t>0</w:t>
      </w:r>
    </w:p>
    <w:p>
      <w:pPr>
        <w:pStyle w:val="29"/>
        <w:tabs>
          <w:tab w:val="right" w:leader="dot" w:pos="8313"/>
        </w:tabs>
        <w:rPr>
          <w:rFonts w:hint="eastAsia"/>
        </w:rPr>
      </w:pPr>
    </w:p>
    <w:p>
      <w:pPr>
        <w:pStyle w:val="29"/>
        <w:tabs>
          <w:tab w:val="right" w:leader="dot" w:pos="8313"/>
        </w:tabs>
        <w:rPr>
          <w:rFonts w:hint="eastAsia"/>
        </w:rPr>
      </w:pPr>
      <w:r>
        <w:rPr>
          <w:rFonts w:hint="eastAsia"/>
        </w:rPr>
        <w:fldChar w:fldCharType="begin"/>
      </w:r>
      <w:r>
        <w:rPr>
          <w:rFonts w:hint="eastAsia"/>
        </w:rPr>
        <w:instrText xml:space="preserve"> HYPERLINK \l _Toc6680 </w:instrText>
      </w:r>
      <w:r>
        <w:rPr>
          <w:rFonts w:hint="eastAsia"/>
        </w:rPr>
        <w:fldChar w:fldCharType="separate"/>
      </w:r>
      <w:r>
        <w:rPr>
          <w:rFonts w:hint="eastAsia" w:ascii="仿宋" w:hAnsi="仿宋" w:eastAsia="仿宋" w:cs="仿宋"/>
          <w:szCs w:val="21"/>
        </w:rPr>
        <w:t>第六章　投标文件格式</w:t>
      </w:r>
      <w:r>
        <w:tab/>
      </w:r>
      <w:r>
        <w:rPr>
          <w:rFonts w:hint="eastAsia"/>
        </w:rPr>
        <w:t>3</w:t>
      </w:r>
      <w:r>
        <w:rPr>
          <w:rFonts w:hint="eastAsia"/>
        </w:rPr>
        <w:fldChar w:fldCharType="end"/>
      </w:r>
      <w:r>
        <w:rPr>
          <w:rFonts w:hint="eastAsia"/>
        </w:rPr>
        <w:t>3</w:t>
      </w: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bookmarkStart w:id="0" w:name="_Toc12671"/>
      <w:bookmarkStart w:id="1" w:name="_Toc2518"/>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rPr>
          <w:rFonts w:hint="eastAsia" w:ascii="仿宋" w:hAnsi="仿宋" w:eastAsia="仿宋" w:cs="仿宋"/>
          <w:color w:val="000000"/>
          <w:szCs w:val="21"/>
        </w:rPr>
      </w:pPr>
    </w:p>
    <w:p>
      <w:pPr>
        <w:pStyle w:val="124"/>
        <w:rPr>
          <w:rFonts w:hint="eastAsia"/>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第一章  公开招标采购公告</w:t>
      </w:r>
      <w:bookmarkEnd w:id="0"/>
      <w:bookmarkEnd w:id="1"/>
    </w:p>
    <w:p>
      <w:pPr>
        <w:pStyle w:val="3"/>
        <w:tabs>
          <w:tab w:val="left" w:pos="0"/>
          <w:tab w:val="left" w:pos="3165"/>
          <w:tab w:val="center" w:pos="4153"/>
        </w:tabs>
        <w:autoSpaceDE w:val="0"/>
        <w:autoSpaceDN w:val="0"/>
        <w:adjustRightInd w:val="0"/>
        <w:spacing w:line="360" w:lineRule="auto"/>
        <w:rPr>
          <w:rFonts w:hint="eastAsia" w:ascii="仿宋" w:hAnsi="仿宋" w:eastAsia="仿宋" w:cs="仿宋"/>
          <w:color w:val="000000"/>
          <w:sz w:val="21"/>
          <w:szCs w:val="21"/>
        </w:rPr>
      </w:pPr>
      <w:bookmarkStart w:id="2" w:name="_Toc28359001"/>
      <w:bookmarkStart w:id="3" w:name="_Toc22995"/>
      <w:bookmarkStart w:id="4" w:name="_Toc35393789"/>
      <w:bookmarkStart w:id="5" w:name="_Toc31794"/>
      <w:r>
        <w:rPr>
          <w:rFonts w:hint="eastAsia" w:ascii="仿宋" w:hAnsi="仿宋" w:eastAsia="仿宋" w:cs="仿宋"/>
          <w:color w:val="000000"/>
          <w:sz w:val="21"/>
          <w:szCs w:val="21"/>
        </w:rPr>
        <w:t>招标公告</w:t>
      </w:r>
      <w:bookmarkEnd w:id="2"/>
      <w:bookmarkEnd w:id="3"/>
      <w:bookmarkEnd w:id="4"/>
      <w:bookmarkEnd w:id="5"/>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u w:val="single"/>
        </w:rPr>
        <w:t>余姚市第四人民医院保安服务项目</w:t>
      </w:r>
      <w:r>
        <w:rPr>
          <w:rFonts w:hint="eastAsia" w:ascii="仿宋" w:hAnsi="仿宋" w:eastAsia="仿宋" w:cs="仿宋"/>
          <w:color w:val="000000"/>
          <w:szCs w:val="21"/>
        </w:rPr>
        <w:t>的潜在投标人应在</w:t>
      </w:r>
      <w:r>
        <w:rPr>
          <w:rFonts w:hint="eastAsia" w:ascii="仿宋" w:hAnsi="仿宋" w:eastAsia="仿宋" w:cs="仿宋"/>
          <w:b/>
          <w:bCs/>
          <w:color w:val="000000"/>
          <w:szCs w:val="21"/>
          <w:u w:val="single"/>
        </w:rPr>
        <w:t>（政采云平台（http://zfcg.czt.zj.gov.cn）</w:t>
      </w:r>
      <w:r>
        <w:rPr>
          <w:rFonts w:hint="eastAsia" w:ascii="仿宋" w:hAnsi="仿宋" w:eastAsia="仿宋" w:cs="仿宋"/>
          <w:color w:val="000000"/>
          <w:szCs w:val="21"/>
        </w:rPr>
        <w:t>获取招标文件，并于</w:t>
      </w:r>
      <w:r>
        <w:rPr>
          <w:rFonts w:hint="eastAsia" w:ascii="仿宋" w:hAnsi="仿宋" w:eastAsia="仿宋" w:cs="仿宋"/>
          <w:b/>
          <w:bCs/>
          <w:color w:val="000000"/>
          <w:szCs w:val="21"/>
          <w:u w:val="thick" w:color="FF0000"/>
        </w:rPr>
        <w:t>2023年</w:t>
      </w:r>
      <w:r>
        <w:rPr>
          <w:rFonts w:hint="eastAsia" w:ascii="仿宋" w:hAnsi="仿宋" w:eastAsia="仿宋" w:cs="仿宋"/>
          <w:b/>
          <w:bCs/>
          <w:color w:val="000000"/>
          <w:szCs w:val="21"/>
          <w:u w:val="thick" w:color="FF0000"/>
          <w:lang w:val="en-US" w:eastAsia="zh-CN"/>
        </w:rPr>
        <w:t>4</w:t>
      </w:r>
      <w:r>
        <w:rPr>
          <w:rFonts w:hint="eastAsia" w:ascii="仿宋" w:hAnsi="仿宋" w:eastAsia="仿宋" w:cs="仿宋"/>
          <w:b/>
          <w:bCs/>
          <w:color w:val="000000"/>
          <w:szCs w:val="21"/>
          <w:u w:val="thick" w:color="FF0000"/>
        </w:rPr>
        <w:t>月</w:t>
      </w:r>
      <w:r>
        <w:rPr>
          <w:rFonts w:hint="eastAsia" w:ascii="仿宋" w:hAnsi="仿宋" w:eastAsia="仿宋" w:cs="仿宋"/>
          <w:b/>
          <w:bCs/>
          <w:color w:val="000000"/>
          <w:szCs w:val="21"/>
          <w:u w:val="thick" w:color="FF0000"/>
          <w:lang w:val="en-US" w:eastAsia="zh-CN"/>
        </w:rPr>
        <w:t>7</w:t>
      </w:r>
      <w:r>
        <w:rPr>
          <w:rFonts w:hint="eastAsia" w:ascii="仿宋" w:hAnsi="仿宋" w:eastAsia="仿宋" w:cs="仿宋"/>
          <w:b/>
          <w:bCs/>
          <w:color w:val="000000"/>
          <w:szCs w:val="21"/>
          <w:u w:val="thick" w:color="FF0000"/>
        </w:rPr>
        <w:t>日</w:t>
      </w:r>
      <w:r>
        <w:rPr>
          <w:rFonts w:hint="eastAsia" w:ascii="仿宋" w:hAnsi="仿宋" w:eastAsia="仿宋" w:cs="仿宋"/>
          <w:b/>
          <w:bCs/>
          <w:color w:val="000000"/>
          <w:szCs w:val="21"/>
          <w:u w:val="thick" w:color="FF0000"/>
          <w:lang w:eastAsia="zh-CN"/>
        </w:rPr>
        <w:t>下</w:t>
      </w:r>
      <w:r>
        <w:rPr>
          <w:rFonts w:hint="eastAsia" w:ascii="仿宋" w:hAnsi="仿宋" w:eastAsia="仿宋" w:cs="仿宋"/>
          <w:b/>
          <w:bCs/>
          <w:color w:val="000000"/>
          <w:szCs w:val="21"/>
          <w:u w:val="thick" w:color="FF0000"/>
        </w:rPr>
        <w:t>午</w:t>
      </w:r>
      <w:r>
        <w:rPr>
          <w:rFonts w:hint="eastAsia" w:ascii="仿宋" w:hAnsi="仿宋" w:eastAsia="仿宋" w:cs="仿宋"/>
          <w:b/>
          <w:bCs/>
          <w:color w:val="000000"/>
          <w:szCs w:val="21"/>
          <w:u w:val="thick" w:color="FF0000"/>
          <w:lang w:val="en-US" w:eastAsia="zh-CN"/>
        </w:rPr>
        <w:t>14</w:t>
      </w:r>
      <w:r>
        <w:rPr>
          <w:rFonts w:hint="eastAsia" w:ascii="仿宋" w:hAnsi="仿宋" w:eastAsia="仿宋" w:cs="仿宋"/>
          <w:b/>
          <w:bCs/>
          <w:color w:val="000000"/>
          <w:szCs w:val="21"/>
          <w:u w:val="thick" w:color="FF0000"/>
        </w:rPr>
        <w:t>点00分</w:t>
      </w:r>
      <w:r>
        <w:rPr>
          <w:rFonts w:hint="eastAsia" w:ascii="仿宋" w:hAnsi="仿宋" w:eastAsia="仿宋" w:cs="仿宋"/>
          <w:bCs/>
          <w:color w:val="000000"/>
          <w:szCs w:val="21"/>
          <w:u w:val="single"/>
        </w:rPr>
        <w:t>（</w:t>
      </w:r>
      <w:r>
        <w:rPr>
          <w:rFonts w:hint="eastAsia" w:ascii="仿宋" w:hAnsi="仿宋" w:eastAsia="仿宋" w:cs="仿宋"/>
          <w:bCs/>
          <w:color w:val="000000"/>
          <w:szCs w:val="21"/>
        </w:rPr>
        <w:t>北京时间）前递交电子投标文件</w:t>
      </w:r>
      <w:r>
        <w:rPr>
          <w:rFonts w:hint="eastAsia" w:ascii="仿宋" w:hAnsi="仿宋" w:eastAsia="仿宋" w:cs="仿宋"/>
          <w:color w:val="000000"/>
          <w:szCs w:val="21"/>
        </w:rPr>
        <w:t>。</w:t>
      </w:r>
    </w:p>
    <w:p>
      <w:pPr>
        <w:pStyle w:val="4"/>
        <w:spacing w:line="360" w:lineRule="auto"/>
        <w:rPr>
          <w:rFonts w:hint="eastAsia" w:ascii="仿宋" w:hAnsi="仿宋" w:eastAsia="仿宋" w:cs="仿宋"/>
          <w:b w:val="0"/>
          <w:color w:val="000000"/>
          <w:sz w:val="21"/>
          <w:szCs w:val="21"/>
        </w:rPr>
      </w:pPr>
      <w:bookmarkStart w:id="6" w:name="_Toc28359002"/>
      <w:bookmarkStart w:id="7" w:name="_Toc3456"/>
      <w:bookmarkStart w:id="8" w:name="_Toc35393790"/>
      <w:bookmarkStart w:id="9" w:name="_Toc28359079"/>
      <w:bookmarkStart w:id="10" w:name="_Toc21655"/>
      <w:bookmarkStart w:id="11" w:name="_Toc35393621"/>
      <w:bookmarkStart w:id="12" w:name="_Hlk24379207"/>
      <w:r>
        <w:rPr>
          <w:rFonts w:hint="eastAsia" w:ascii="仿宋" w:hAnsi="仿宋" w:eastAsia="仿宋" w:cs="仿宋"/>
          <w:b w:val="0"/>
          <w:color w:val="000000"/>
          <w:sz w:val="21"/>
          <w:szCs w:val="21"/>
        </w:rPr>
        <w:t>一、项目基本情况</w:t>
      </w:r>
      <w:bookmarkEnd w:id="6"/>
      <w:bookmarkEnd w:id="7"/>
      <w:bookmarkEnd w:id="8"/>
      <w:bookmarkEnd w:id="9"/>
      <w:bookmarkEnd w:id="10"/>
      <w:bookmarkEnd w:id="11"/>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项目编号：</w:t>
      </w:r>
      <w:r>
        <w:rPr>
          <w:rFonts w:hint="eastAsia" w:ascii="仿宋" w:hAnsi="仿宋" w:eastAsia="仿宋" w:cs="仿宋"/>
          <w:color w:val="000000"/>
          <w:szCs w:val="21"/>
          <w:lang w:eastAsia="zh-CN"/>
        </w:rPr>
        <w:t>NBXC-2023-08</w:t>
      </w:r>
      <w:r>
        <w:rPr>
          <w:rFonts w:hint="eastAsia" w:ascii="仿宋" w:hAnsi="仿宋" w:eastAsia="仿宋" w:cs="仿宋"/>
          <w:color w:val="000000"/>
          <w:szCs w:val="21"/>
        </w:rPr>
        <w:t> </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项目名称：余姚市第四人民医院保安服务项目</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预算金额（元）：7500000  </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最高限价（元）：7500000</w:t>
      </w:r>
    </w:p>
    <w:bookmarkEnd w:id="12"/>
    <w:p>
      <w:pPr>
        <w:wordWrap w:val="0"/>
        <w:spacing w:line="400" w:lineRule="exact"/>
        <w:ind w:firstLine="420" w:firstLineChars="200"/>
        <w:rPr>
          <w:rFonts w:hint="eastAsia" w:ascii="仿宋" w:hAnsi="仿宋" w:eastAsia="仿宋" w:cs="仿宋"/>
          <w:color w:val="000000"/>
          <w:kern w:val="0"/>
          <w:szCs w:val="21"/>
        </w:rPr>
      </w:pPr>
      <w:bookmarkStart w:id="13" w:name="_Toc28359003"/>
      <w:bookmarkStart w:id="14" w:name="_Toc35393791"/>
      <w:bookmarkStart w:id="15" w:name="_Toc28359080"/>
      <w:bookmarkStart w:id="16" w:name="_Toc35393622"/>
      <w:r>
        <w:rPr>
          <w:rFonts w:hint="eastAsia" w:ascii="仿宋" w:hAnsi="仿宋" w:eastAsia="仿宋" w:cs="仿宋"/>
          <w:color w:val="000000"/>
          <w:kern w:val="0"/>
          <w:szCs w:val="21"/>
        </w:rPr>
        <w:t>采购需求：</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标项一</w:t>
      </w:r>
      <w:r>
        <w:rPr>
          <w:rFonts w:hint="eastAsia" w:ascii="仿宋" w:hAnsi="仿宋" w:eastAsia="仿宋" w:cs="仿宋"/>
          <w:color w:val="000000"/>
          <w:szCs w:val="21"/>
        </w:rPr>
        <w:br w:type="textWrapping"/>
      </w:r>
      <w:r>
        <w:rPr>
          <w:rFonts w:hint="eastAsia" w:ascii="仿宋" w:hAnsi="仿宋" w:eastAsia="仿宋" w:cs="仿宋"/>
          <w:color w:val="000000"/>
          <w:szCs w:val="21"/>
        </w:rPr>
        <w:t>    标项名称: 余姚市第四人民医院保安服务项目 </w:t>
      </w:r>
      <w:r>
        <w:rPr>
          <w:rFonts w:hint="eastAsia" w:ascii="仿宋" w:hAnsi="仿宋" w:eastAsia="仿宋" w:cs="仿宋"/>
          <w:color w:val="000000"/>
          <w:szCs w:val="21"/>
        </w:rPr>
        <w:br w:type="textWrapping"/>
      </w:r>
      <w:r>
        <w:rPr>
          <w:rFonts w:hint="eastAsia" w:ascii="仿宋" w:hAnsi="仿宋" w:eastAsia="仿宋" w:cs="仿宋"/>
          <w:color w:val="000000"/>
          <w:szCs w:val="21"/>
        </w:rPr>
        <w:t>    数量: 不限  </w:t>
      </w:r>
      <w:r>
        <w:rPr>
          <w:rFonts w:hint="eastAsia" w:ascii="仿宋" w:hAnsi="仿宋" w:eastAsia="仿宋" w:cs="仿宋"/>
          <w:color w:val="000000"/>
          <w:szCs w:val="21"/>
        </w:rPr>
        <w:br w:type="textWrapping"/>
      </w:r>
      <w:r>
        <w:rPr>
          <w:rFonts w:hint="eastAsia" w:ascii="仿宋" w:hAnsi="仿宋" w:eastAsia="仿宋" w:cs="仿宋"/>
          <w:color w:val="000000"/>
          <w:szCs w:val="21"/>
        </w:rPr>
        <w:t>    预算金额（元）: 7500000 </w:t>
      </w:r>
      <w:r>
        <w:rPr>
          <w:rFonts w:hint="eastAsia" w:ascii="仿宋" w:hAnsi="仿宋" w:eastAsia="仿宋" w:cs="仿宋"/>
          <w:color w:val="000000"/>
          <w:szCs w:val="21"/>
        </w:rPr>
        <w:br w:type="textWrapping"/>
      </w:r>
      <w:r>
        <w:rPr>
          <w:rFonts w:hint="eastAsia" w:ascii="仿宋" w:hAnsi="仿宋" w:eastAsia="仿宋" w:cs="仿宋"/>
          <w:color w:val="000000"/>
          <w:szCs w:val="21"/>
        </w:rPr>
        <w:t>    简要规格描述或项目基本概况介绍、用途：余姚市第四人民医院保安服务项目详见采购需求 </w:t>
      </w:r>
      <w:r>
        <w:rPr>
          <w:rFonts w:hint="eastAsia" w:ascii="仿宋" w:hAnsi="仿宋" w:eastAsia="仿宋" w:cs="仿宋"/>
          <w:color w:val="000000"/>
          <w:szCs w:val="21"/>
        </w:rPr>
        <w:br w:type="textWrapping"/>
      </w:r>
      <w:r>
        <w:rPr>
          <w:rFonts w:hint="eastAsia" w:ascii="仿宋" w:hAnsi="仿宋" w:eastAsia="仿宋" w:cs="仿宋"/>
          <w:color w:val="000000"/>
          <w:szCs w:val="21"/>
        </w:rPr>
        <w:t>    备注： </w:t>
      </w:r>
    </w:p>
    <w:p>
      <w:pPr>
        <w:wordWrap w:val="0"/>
        <w:spacing w:line="40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合同履行期限：标项1 三年。合同一年一签，每年经采购人考核合格，方可签订下一年度合同</w:t>
      </w:r>
    </w:p>
    <w:p>
      <w:pPr>
        <w:wordWrap w:val="0"/>
        <w:spacing w:line="400" w:lineRule="exact"/>
        <w:ind w:firstLine="422" w:firstLineChars="200"/>
        <w:rPr>
          <w:rFonts w:hint="eastAsia" w:ascii="仿宋" w:hAnsi="仿宋" w:eastAsia="仿宋" w:cs="仿宋"/>
          <w:b/>
          <w:kern w:val="0"/>
          <w:szCs w:val="21"/>
        </w:rPr>
      </w:pPr>
      <w:r>
        <w:rPr>
          <w:rFonts w:hint="eastAsia" w:ascii="仿宋" w:hAnsi="仿宋" w:eastAsia="仿宋" w:cs="仿宋"/>
          <w:b/>
          <w:kern w:val="0"/>
          <w:szCs w:val="21"/>
        </w:rPr>
        <w:t>本项目（是）接受联合体投标。</w:t>
      </w:r>
    </w:p>
    <w:p>
      <w:pPr>
        <w:pStyle w:val="4"/>
        <w:spacing w:line="360" w:lineRule="auto"/>
        <w:rPr>
          <w:rFonts w:hint="eastAsia" w:ascii="仿宋" w:hAnsi="仿宋" w:eastAsia="仿宋" w:cs="仿宋"/>
          <w:b w:val="0"/>
          <w:color w:val="000000"/>
          <w:sz w:val="21"/>
          <w:szCs w:val="21"/>
        </w:rPr>
      </w:pPr>
      <w:bookmarkStart w:id="17" w:name="_Toc23385"/>
      <w:bookmarkStart w:id="18" w:name="_Toc10744"/>
      <w:r>
        <w:rPr>
          <w:rFonts w:hint="eastAsia" w:ascii="仿宋" w:hAnsi="仿宋" w:eastAsia="仿宋" w:cs="仿宋"/>
          <w:b w:val="0"/>
          <w:color w:val="000000"/>
          <w:sz w:val="21"/>
          <w:szCs w:val="21"/>
        </w:rPr>
        <w:t>二、申请人的资格要求</w:t>
      </w:r>
      <w:bookmarkEnd w:id="13"/>
      <w:bookmarkEnd w:id="14"/>
      <w:bookmarkEnd w:id="15"/>
      <w:bookmarkEnd w:id="16"/>
      <w:bookmarkEnd w:id="17"/>
      <w:bookmarkEnd w:id="18"/>
    </w:p>
    <w:p>
      <w:pPr>
        <w:pStyle w:val="2"/>
        <w:spacing w:before="120" w:after="120" w:line="360" w:lineRule="auto"/>
        <w:ind w:firstLine="315" w:firstLineChars="150"/>
        <w:rPr>
          <w:rFonts w:hint="eastAsia" w:ascii="仿宋" w:hAnsi="仿宋" w:eastAsia="仿宋" w:cs="仿宋"/>
          <w:color w:val="000000"/>
          <w:sz w:val="21"/>
          <w:szCs w:val="21"/>
        </w:rPr>
      </w:pPr>
      <w:r>
        <w:rPr>
          <w:rFonts w:hint="eastAsia" w:ascii="仿宋" w:hAnsi="仿宋" w:eastAsia="仿宋" w:cs="仿宋"/>
          <w:color w:val="000000"/>
          <w:sz w:val="21"/>
          <w:szCs w:val="21"/>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20" w:firstLineChars="200"/>
        <w:rPr>
          <w:rFonts w:hint="eastAsia" w:ascii="仿宋" w:hAnsi="仿宋" w:eastAsia="仿宋" w:cs="仿宋"/>
          <w:color w:val="000000"/>
          <w:szCs w:val="21"/>
        </w:rPr>
      </w:pPr>
      <w:bookmarkStart w:id="19" w:name="_Toc28359081"/>
      <w:bookmarkStart w:id="20" w:name="_Toc28359004"/>
      <w:r>
        <w:rPr>
          <w:rFonts w:hint="eastAsia" w:ascii="仿宋" w:hAnsi="仿宋" w:eastAsia="仿宋" w:cs="仿宋"/>
          <w:color w:val="000000"/>
          <w:szCs w:val="21"/>
        </w:rPr>
        <w:t>2.落实政府采购政策需满足的资格要求：</w:t>
      </w:r>
      <w:r>
        <w:rPr>
          <w:rFonts w:hint="eastAsia" w:ascii="仿宋" w:hAnsi="仿宋" w:eastAsia="仿宋" w:cs="宋体"/>
          <w:szCs w:val="21"/>
          <w:lang w:eastAsia="zh-CN"/>
        </w:rPr>
        <w:t>供应商为中小企业/小微企业</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3.本项目的特定资格要求：</w:t>
      </w:r>
      <w:r>
        <w:rPr>
          <w:rFonts w:hint="eastAsia" w:ascii="仿宋" w:hAnsi="仿宋" w:eastAsia="仿宋" w:cs="仿宋"/>
          <w:b/>
          <w:bCs/>
          <w:color w:val="000000"/>
          <w:szCs w:val="21"/>
        </w:rPr>
        <w:t>具有有效的保安服务许可证。</w:t>
      </w:r>
    </w:p>
    <w:p>
      <w:pPr>
        <w:pStyle w:val="4"/>
        <w:spacing w:line="360" w:lineRule="auto"/>
        <w:rPr>
          <w:rFonts w:hint="eastAsia" w:ascii="仿宋" w:hAnsi="仿宋" w:eastAsia="仿宋" w:cs="仿宋"/>
          <w:b w:val="0"/>
          <w:bCs w:val="0"/>
          <w:color w:val="000000"/>
          <w:sz w:val="21"/>
          <w:szCs w:val="21"/>
        </w:rPr>
      </w:pPr>
      <w:bookmarkStart w:id="21" w:name="_Toc1735"/>
      <w:bookmarkStart w:id="22" w:name="_Toc10992"/>
      <w:bookmarkStart w:id="23" w:name="_Toc35393623"/>
      <w:bookmarkStart w:id="24" w:name="_Toc35393792"/>
      <w:r>
        <w:rPr>
          <w:rFonts w:hint="eastAsia" w:ascii="仿宋" w:hAnsi="仿宋" w:eastAsia="仿宋" w:cs="仿宋"/>
          <w:b w:val="0"/>
          <w:bCs w:val="0"/>
          <w:color w:val="000000"/>
          <w:sz w:val="21"/>
          <w:szCs w:val="21"/>
        </w:rPr>
        <w:t>三、获取招标文件</w:t>
      </w:r>
      <w:bookmarkEnd w:id="19"/>
      <w:bookmarkEnd w:id="20"/>
      <w:bookmarkEnd w:id="21"/>
      <w:bookmarkEnd w:id="22"/>
      <w:bookmarkEnd w:id="23"/>
      <w:bookmarkEnd w:id="24"/>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时间：2023年</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17</w:t>
      </w:r>
      <w:r>
        <w:rPr>
          <w:rFonts w:hint="eastAsia" w:ascii="仿宋" w:hAnsi="仿宋" w:eastAsia="仿宋" w:cs="仿宋"/>
          <w:color w:val="000000"/>
          <w:szCs w:val="21"/>
        </w:rPr>
        <w:t>日至2023年</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24</w:t>
      </w:r>
      <w:r>
        <w:rPr>
          <w:rFonts w:hint="eastAsia" w:ascii="仿宋" w:hAnsi="仿宋" w:eastAsia="仿宋" w:cs="仿宋"/>
          <w:color w:val="000000"/>
          <w:szCs w:val="21"/>
        </w:rPr>
        <w:t>日，每天上午00:00至12:00，下午12:00至23:59（北京时间，线上获取法定节假日均可，线下获取文件法定节假日除外）</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地点（网址）：政府采购云平台（https://www.zcygov.cn/）。</w:t>
      </w:r>
    </w:p>
    <w:p>
      <w:pPr>
        <w:widowControl/>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方式：供应商登录政采云平台https://www.zcygov.cn/在线申请获取采购文件（进入“项目采购”应用，在获取采购文件菜单中选择项目，申请获取采购文件） </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售价（元）：0</w:t>
      </w:r>
    </w:p>
    <w:p>
      <w:pPr>
        <w:pStyle w:val="4"/>
        <w:spacing w:line="360" w:lineRule="auto"/>
        <w:rPr>
          <w:rFonts w:hint="eastAsia" w:ascii="仿宋" w:hAnsi="仿宋" w:eastAsia="仿宋" w:cs="仿宋"/>
          <w:b w:val="0"/>
          <w:color w:val="000000"/>
          <w:sz w:val="21"/>
          <w:szCs w:val="21"/>
        </w:rPr>
      </w:pPr>
      <w:bookmarkStart w:id="25" w:name="_Toc28359005"/>
      <w:bookmarkStart w:id="26" w:name="_Toc28359082"/>
      <w:bookmarkStart w:id="27" w:name="_Toc4011"/>
      <w:bookmarkStart w:id="28" w:name="_Toc5510"/>
      <w:bookmarkStart w:id="29" w:name="_Toc35393624"/>
      <w:bookmarkStart w:id="30" w:name="_Toc35393793"/>
      <w:r>
        <w:rPr>
          <w:rFonts w:hint="eastAsia" w:ascii="仿宋" w:hAnsi="仿宋" w:eastAsia="仿宋" w:cs="仿宋"/>
          <w:b w:val="0"/>
          <w:color w:val="000000"/>
          <w:sz w:val="21"/>
          <w:szCs w:val="21"/>
        </w:rPr>
        <w:t>四、提交投标文件</w:t>
      </w:r>
      <w:bookmarkEnd w:id="25"/>
      <w:bookmarkEnd w:id="26"/>
      <w:r>
        <w:rPr>
          <w:rFonts w:hint="eastAsia" w:ascii="仿宋" w:hAnsi="仿宋" w:eastAsia="仿宋" w:cs="仿宋"/>
          <w:b w:val="0"/>
          <w:color w:val="000000"/>
          <w:sz w:val="21"/>
          <w:szCs w:val="21"/>
        </w:rPr>
        <w:t>截止时间、开标时间和地点</w:t>
      </w:r>
      <w:bookmarkEnd w:id="27"/>
      <w:bookmarkEnd w:id="28"/>
      <w:bookmarkEnd w:id="29"/>
      <w:bookmarkEnd w:id="30"/>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提交投标文件截止时间：2023年</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日</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:00（北京时间）</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投标地点（网址）：政采云平台（http://zfcg.czt.zj.gov.cn），本项目实行电子招投标，无须投标人到现场 </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开标时间：2023年</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月</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日</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:00</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开标地点（网址）：政采云平台https://www.zcygov.cn/</w:t>
      </w:r>
      <w:bookmarkStart w:id="31" w:name="_Toc28359084"/>
      <w:bookmarkStart w:id="32" w:name="_Toc35393625"/>
      <w:bookmarkStart w:id="33" w:name="_Toc35393794"/>
      <w:bookmarkStart w:id="34" w:name="_Toc28359007"/>
    </w:p>
    <w:p>
      <w:pPr>
        <w:pStyle w:val="4"/>
        <w:spacing w:line="360" w:lineRule="auto"/>
        <w:rPr>
          <w:rFonts w:hint="eastAsia" w:ascii="仿宋" w:hAnsi="仿宋" w:eastAsia="仿宋" w:cs="仿宋"/>
          <w:b w:val="0"/>
          <w:bCs w:val="0"/>
          <w:color w:val="000000"/>
          <w:sz w:val="21"/>
          <w:szCs w:val="21"/>
        </w:rPr>
      </w:pPr>
      <w:bookmarkStart w:id="35" w:name="_Toc31459"/>
      <w:bookmarkStart w:id="36" w:name="_Toc13625"/>
      <w:r>
        <w:rPr>
          <w:rFonts w:hint="eastAsia" w:ascii="仿宋" w:hAnsi="仿宋" w:eastAsia="仿宋" w:cs="仿宋"/>
          <w:b w:val="0"/>
          <w:bCs w:val="0"/>
          <w:color w:val="000000"/>
          <w:sz w:val="21"/>
          <w:szCs w:val="21"/>
        </w:rPr>
        <w:t>五、公告期限</w:t>
      </w:r>
      <w:bookmarkEnd w:id="31"/>
      <w:bookmarkEnd w:id="32"/>
      <w:bookmarkEnd w:id="33"/>
      <w:bookmarkEnd w:id="34"/>
      <w:bookmarkEnd w:id="35"/>
      <w:bookmarkEnd w:id="36"/>
    </w:p>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自本公告发布之日起5个工作日。</w:t>
      </w:r>
    </w:p>
    <w:p>
      <w:pPr>
        <w:pStyle w:val="4"/>
        <w:spacing w:line="360" w:lineRule="auto"/>
        <w:rPr>
          <w:rFonts w:hint="eastAsia" w:ascii="仿宋" w:hAnsi="仿宋" w:eastAsia="仿宋" w:cs="仿宋"/>
          <w:b w:val="0"/>
          <w:bCs w:val="0"/>
          <w:color w:val="000000"/>
          <w:sz w:val="21"/>
          <w:szCs w:val="21"/>
        </w:rPr>
      </w:pPr>
      <w:bookmarkStart w:id="37" w:name="_Toc35393626"/>
      <w:bookmarkStart w:id="38" w:name="_Toc26959"/>
      <w:bookmarkStart w:id="39" w:name="_Toc2013"/>
      <w:bookmarkStart w:id="40" w:name="_Toc35393795"/>
      <w:r>
        <w:rPr>
          <w:rFonts w:hint="eastAsia" w:ascii="仿宋" w:hAnsi="仿宋" w:eastAsia="仿宋" w:cs="仿宋"/>
          <w:b w:val="0"/>
          <w:bCs w:val="0"/>
          <w:color w:val="000000"/>
          <w:sz w:val="21"/>
          <w:szCs w:val="21"/>
        </w:rPr>
        <w:t>六、其他补充事宜</w:t>
      </w:r>
      <w:bookmarkEnd w:id="37"/>
      <w:bookmarkEnd w:id="38"/>
      <w:bookmarkEnd w:id="39"/>
      <w:bookmarkEnd w:id="40"/>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000000"/>
          <w:szCs w:val="21"/>
        </w:rPr>
        <w:br w:type="textWrapping"/>
      </w:r>
      <w:r>
        <w:rPr>
          <w:rFonts w:hint="eastAsia" w:ascii="仿宋" w:hAnsi="仿宋" w:eastAsia="仿宋" w:cs="仿宋"/>
          <w:color w:val="000000"/>
          <w:szCs w:val="21"/>
        </w:rPr>
        <w:t>    2.其他事项：本次政府采购活动有关信息在浙江政府采购网、宁波市公共资源交易网余姚市分网发布，视同送达所有潜在供应商</w:t>
      </w:r>
    </w:p>
    <w:p>
      <w:pPr>
        <w:pStyle w:val="4"/>
        <w:spacing w:line="360" w:lineRule="auto"/>
        <w:rPr>
          <w:rFonts w:hint="eastAsia" w:ascii="仿宋" w:hAnsi="仿宋" w:eastAsia="仿宋" w:cs="仿宋"/>
          <w:b w:val="0"/>
          <w:color w:val="000000"/>
          <w:sz w:val="21"/>
          <w:szCs w:val="21"/>
        </w:rPr>
      </w:pPr>
      <w:bookmarkStart w:id="41" w:name="_Toc28359085"/>
      <w:bookmarkStart w:id="42" w:name="_Toc28284"/>
      <w:bookmarkStart w:id="43" w:name="_Toc35393627"/>
      <w:bookmarkStart w:id="44" w:name="_Toc25714"/>
      <w:bookmarkStart w:id="45" w:name="_Toc35393796"/>
      <w:bookmarkStart w:id="46" w:name="_Toc28359008"/>
      <w:r>
        <w:rPr>
          <w:rFonts w:hint="eastAsia" w:ascii="仿宋" w:hAnsi="仿宋" w:eastAsia="仿宋" w:cs="仿宋"/>
          <w:b w:val="0"/>
          <w:color w:val="000000"/>
          <w:sz w:val="21"/>
          <w:szCs w:val="21"/>
        </w:rPr>
        <w:t>七、对本次招标提出询问，请按以下方式联系。</w:t>
      </w:r>
      <w:bookmarkEnd w:id="41"/>
      <w:bookmarkEnd w:id="42"/>
      <w:bookmarkEnd w:id="43"/>
      <w:bookmarkEnd w:id="44"/>
      <w:bookmarkEnd w:id="45"/>
      <w:bookmarkEnd w:id="46"/>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1.采购人信息</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名称：余姚市第四人民医院</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地址：余姚市泗门镇河塍路1号</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项目联系人（询问）：冯老师</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项目联系方式（询问）：</w:t>
      </w:r>
      <w:r>
        <w:rPr>
          <w:rFonts w:hint="eastAsia" w:ascii="仿宋" w:hAnsi="仿宋" w:eastAsia="仿宋"/>
          <w:szCs w:val="21"/>
        </w:rPr>
        <w:t>0574-62121774</w:t>
      </w:r>
      <w:r>
        <w:rPr>
          <w:rFonts w:hint="eastAsia" w:ascii="仿宋" w:hAnsi="仿宋" w:eastAsia="仿宋" w:cs="仿宋"/>
          <w:color w:val="000000"/>
          <w:szCs w:val="21"/>
        </w:rPr>
        <w:t xml:space="preserve">  </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 xml:space="preserve">质疑联系人：杨老师 </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质疑联系方式：</w:t>
      </w:r>
      <w:r>
        <w:rPr>
          <w:rFonts w:hint="eastAsia" w:ascii="仿宋" w:hAnsi="仿宋" w:eastAsia="仿宋"/>
          <w:szCs w:val="21"/>
        </w:rPr>
        <w:t>0574-62121774</w:t>
      </w:r>
      <w:r>
        <w:rPr>
          <w:rFonts w:hint="eastAsia" w:ascii="仿宋" w:hAnsi="仿宋" w:eastAsia="仿宋" w:cs="仿宋"/>
          <w:color w:val="000000"/>
          <w:szCs w:val="21"/>
        </w:rPr>
        <w:t xml:space="preserve">   </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2.采购代理机构信息</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名称：宁波旭诚工程项目管理有限公司</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地址：余姚市城东路88号油漆市场四#楼4楼</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项目联系人（询问）：徐工</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项目联系方式（询问）：15867807842</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质疑联系人：龚流芳</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质疑联系方式：13738420999</w:t>
      </w:r>
    </w:p>
    <w:p>
      <w:pPr>
        <w:pStyle w:val="43"/>
        <w:spacing w:line="360" w:lineRule="auto"/>
        <w:ind w:left="0" w:firstLine="384"/>
        <w:rPr>
          <w:rFonts w:hint="eastAsia" w:ascii="仿宋" w:hAnsi="仿宋" w:eastAsia="仿宋" w:cs="仿宋"/>
          <w:color w:val="000000"/>
          <w:szCs w:val="21"/>
        </w:rPr>
      </w:pP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3.同级政府采购监督管理部门</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名称：余姚市财政局</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地址：余姚市南滨江路118号</w:t>
      </w:r>
    </w:p>
    <w:p>
      <w:pPr>
        <w:pStyle w:val="43"/>
        <w:spacing w:line="360" w:lineRule="auto"/>
        <w:ind w:left="0" w:firstLine="384"/>
        <w:rPr>
          <w:rFonts w:hint="eastAsia" w:ascii="仿宋" w:hAnsi="仿宋" w:eastAsia="仿宋" w:cs="仿宋"/>
          <w:color w:val="000000"/>
          <w:szCs w:val="21"/>
        </w:rPr>
      </w:pPr>
      <w:r>
        <w:rPr>
          <w:rFonts w:hint="eastAsia" w:ascii="仿宋" w:hAnsi="仿宋" w:eastAsia="仿宋" w:cs="仿宋"/>
          <w:color w:val="000000"/>
          <w:szCs w:val="21"/>
        </w:rPr>
        <w:t>联系人：303办公室</w:t>
      </w:r>
    </w:p>
    <w:p>
      <w:pPr>
        <w:pStyle w:val="43"/>
        <w:spacing w:line="360" w:lineRule="auto"/>
        <w:ind w:left="0" w:firstLine="384"/>
        <w:rPr>
          <w:rFonts w:hint="eastAsia" w:ascii="仿宋" w:hAnsi="仿宋" w:eastAsia="仿宋" w:cs="仿宋"/>
          <w:color w:val="000000"/>
          <w:sz w:val="21"/>
          <w:szCs w:val="21"/>
        </w:rPr>
      </w:pPr>
      <w:r>
        <w:rPr>
          <w:rFonts w:hint="eastAsia" w:ascii="仿宋" w:hAnsi="仿宋" w:eastAsia="仿宋" w:cs="仿宋"/>
          <w:color w:val="000000"/>
          <w:szCs w:val="21"/>
        </w:rPr>
        <w:t>监督投诉电话：0574-62713103</w:t>
      </w:r>
    </w:p>
    <w:p>
      <w:pPr>
        <w:pStyle w:val="43"/>
        <w:spacing w:line="360" w:lineRule="auto"/>
        <w:ind w:firstLine="404"/>
        <w:rPr>
          <w:rFonts w:hint="eastAsia" w:ascii="仿宋" w:hAnsi="仿宋" w:eastAsia="仿宋" w:cs="仿宋"/>
          <w:color w:val="000000"/>
          <w:sz w:val="21"/>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pStyle w:val="124"/>
        <w:rPr>
          <w:rFonts w:hint="eastAsia" w:ascii="仿宋" w:hAnsi="仿宋" w:eastAsia="仿宋" w:cs="仿宋"/>
          <w:color w:val="000000"/>
          <w:szCs w:val="21"/>
        </w:rPr>
      </w:pPr>
    </w:p>
    <w:p>
      <w:pPr>
        <w:pStyle w:val="113"/>
        <w:rPr>
          <w:rFonts w:hint="eastAsia" w:ascii="仿宋" w:hAnsi="仿宋" w:eastAsia="仿宋" w:cs="仿宋"/>
          <w:color w:val="000000"/>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pStyle w:val="17"/>
        <w:ind w:left="1470" w:right="1470"/>
        <w:rPr>
          <w:rFonts w:hint="eastAsia" w:ascii="仿宋" w:hAnsi="仿宋" w:eastAsia="仿宋" w:cs="仿宋"/>
          <w:color w:val="000000"/>
          <w:szCs w:val="21"/>
        </w:rPr>
      </w:pPr>
    </w:p>
    <w:p>
      <w:pPr>
        <w:pStyle w:val="17"/>
        <w:ind w:left="1470" w:right="147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snapToGrid w:val="0"/>
        <w:spacing w:line="360" w:lineRule="auto"/>
        <w:ind w:left="238"/>
        <w:jc w:val="center"/>
        <w:outlineLvl w:val="0"/>
        <w:rPr>
          <w:rFonts w:hint="eastAsia" w:ascii="仿宋" w:hAnsi="仿宋" w:eastAsia="仿宋" w:cs="仿宋"/>
          <w:color w:val="000000"/>
          <w:szCs w:val="21"/>
        </w:rPr>
      </w:pPr>
    </w:p>
    <w:p>
      <w:pPr>
        <w:numPr>
          <w:ilvl w:val="0"/>
          <w:numId w:val="5"/>
        </w:numPr>
        <w:snapToGrid w:val="0"/>
        <w:spacing w:line="360" w:lineRule="auto"/>
        <w:ind w:left="238"/>
        <w:jc w:val="center"/>
        <w:outlineLvl w:val="0"/>
        <w:rPr>
          <w:rFonts w:hint="eastAsia" w:ascii="仿宋" w:hAnsi="仿宋" w:eastAsia="仿宋" w:cs="仿宋"/>
          <w:bCs/>
          <w:color w:val="000000"/>
          <w:szCs w:val="21"/>
        </w:rPr>
      </w:pPr>
      <w:bookmarkStart w:id="47" w:name="_Toc2967"/>
      <w:bookmarkStart w:id="48" w:name="_Toc21530"/>
      <w:r>
        <w:rPr>
          <w:rFonts w:hint="eastAsia" w:ascii="仿宋" w:hAnsi="仿宋" w:eastAsia="仿宋" w:cs="仿宋"/>
          <w:color w:val="000000"/>
          <w:szCs w:val="21"/>
        </w:rPr>
        <w:t xml:space="preserve"> </w:t>
      </w:r>
      <w:r>
        <w:rPr>
          <w:rFonts w:hint="eastAsia" w:ascii="仿宋" w:hAnsi="仿宋" w:eastAsia="仿宋" w:cs="仿宋"/>
          <w:bCs/>
          <w:color w:val="000000"/>
          <w:szCs w:val="21"/>
        </w:rPr>
        <w:t>采购内容及技术要求</w:t>
      </w:r>
      <w:bookmarkEnd w:id="47"/>
      <w:bookmarkEnd w:id="48"/>
    </w:p>
    <w:p>
      <w:pPr>
        <w:pStyle w:val="124"/>
        <w:numPr>
          <w:ilvl w:val="0"/>
          <w:numId w:val="0"/>
        </w:numPr>
        <w:rPr>
          <w:rFonts w:hint="eastAsia"/>
          <w:sz w:val="21"/>
          <w:szCs w:val="21"/>
        </w:rPr>
      </w:pPr>
      <w:r>
        <w:rPr>
          <w:rFonts w:hint="eastAsia" w:ascii="仿宋" w:hAnsi="仿宋" w:eastAsia="仿宋" w:cs="仿宋"/>
          <w:b/>
          <w:color w:val="000000"/>
          <w:sz w:val="21"/>
          <w:szCs w:val="21"/>
          <w:highlight w:val="none"/>
          <w:shd w:val="clear" w:color="auto" w:fill="BEBEBE"/>
        </w:rPr>
        <w:t>本章所有内容是实施本项目的最低标准，供应商如有负偏离或者不响应的，作无效标处理。</w:t>
      </w:r>
    </w:p>
    <w:p>
      <w:pPr>
        <w:spacing w:line="276" w:lineRule="auto"/>
        <w:rPr>
          <w:rFonts w:hint="eastAsia" w:ascii="仿宋" w:hAnsi="仿宋" w:eastAsia="仿宋" w:cs="仿宋"/>
          <w:b/>
          <w:kern w:val="0"/>
          <w:szCs w:val="21"/>
        </w:rPr>
      </w:pPr>
      <w:bookmarkStart w:id="49" w:name="_Toc17932"/>
      <w:bookmarkStart w:id="50" w:name="_Toc22359"/>
      <w:r>
        <w:rPr>
          <w:rFonts w:hint="eastAsia" w:ascii="仿宋" w:hAnsi="仿宋" w:eastAsia="仿宋" w:cs="仿宋"/>
          <w:b/>
          <w:kern w:val="0"/>
          <w:szCs w:val="21"/>
        </w:rPr>
        <w:t>一、</w:t>
      </w:r>
      <w:r>
        <w:rPr>
          <w:rFonts w:hint="eastAsia" w:ascii="仿宋" w:hAnsi="仿宋" w:eastAsia="仿宋" w:cs="仿宋"/>
          <w:bCs/>
          <w:color w:val="000000"/>
          <w:szCs w:val="21"/>
        </w:rPr>
        <w:t>采购内容服务要求</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88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cs="新宋体"/>
                <w:sz w:val="24"/>
              </w:rPr>
            </w:pPr>
            <w:r>
              <w:rPr>
                <w:rFonts w:hint="eastAsia" w:ascii="宋体" w:hAnsi="宋体" w:cs="新宋体"/>
                <w:sz w:val="24"/>
                <w:lang w:bidi="ar"/>
              </w:rPr>
              <w:t>序号</w:t>
            </w:r>
          </w:p>
        </w:tc>
        <w:tc>
          <w:tcPr>
            <w:tcW w:w="6885"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cs="新宋体"/>
                <w:b/>
                <w:bCs/>
                <w:sz w:val="24"/>
              </w:rPr>
            </w:pPr>
            <w:r>
              <w:rPr>
                <w:rFonts w:hint="eastAsia" w:ascii="宋体" w:hAnsi="宋体" w:cs="新宋体"/>
                <w:b/>
                <w:bCs/>
                <w:sz w:val="24"/>
                <w:lang w:bidi="ar"/>
              </w:rPr>
              <w:t>服务及其它条款要求</w:t>
            </w:r>
          </w:p>
        </w:tc>
        <w:tc>
          <w:tcPr>
            <w:tcW w:w="162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新宋体"/>
                <w:sz w:val="24"/>
              </w:rPr>
            </w:pPr>
            <w:r>
              <w:rPr>
                <w:rFonts w:hint="eastAsia" w:ascii="宋体" w:hAnsi="宋体" w:cs="新宋体"/>
                <w:sz w:val="24"/>
                <w:lang w:bidi="ar"/>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
                <w:bCs/>
                <w:szCs w:val="21"/>
              </w:rPr>
            </w:pPr>
            <w:r>
              <w:rPr>
                <w:rFonts w:hint="eastAsia" w:ascii="仿宋" w:hAnsi="仿宋" w:eastAsia="仿宋" w:cs="仿宋"/>
                <w:b/>
                <w:kern w:val="0"/>
                <w:szCs w:val="21"/>
              </w:rPr>
              <w:t>项目概况</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1.1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仿宋"/>
                <w:color w:val="000000"/>
                <w:sz w:val="24"/>
              </w:rPr>
            </w:pPr>
            <w:r>
              <w:rPr>
                <w:rFonts w:hint="eastAsia" w:ascii="仿宋" w:hAnsi="仿宋" w:eastAsia="仿宋" w:cs="仿宋"/>
                <w:kern w:val="0"/>
                <w:szCs w:val="21"/>
              </w:rPr>
              <w:t>项目名称：余姚市第四人民医院保安服务项目</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1.2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bCs/>
                <w:szCs w:val="21"/>
              </w:rPr>
            </w:pPr>
            <w:r>
              <w:rPr>
                <w:rFonts w:hint="eastAsia" w:ascii="仿宋" w:hAnsi="仿宋" w:eastAsia="仿宋" w:cs="仿宋"/>
                <w:kern w:val="0"/>
                <w:szCs w:val="21"/>
              </w:rPr>
              <w:t>坐落位置：余姚市泗门镇河塍路1号</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仿宋" w:hAnsi="仿宋" w:eastAsia="仿宋" w:cs="仿宋"/>
                <w:b/>
                <w:szCs w:val="21"/>
              </w:rPr>
              <w:t>委托服务范围</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医院、促进中心、宿舍场地、南部院区等范围以内的治安和保卫</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涉及治安巡逻、消防安全、消防设备巡查、门卫服务、防火、防盗、防爆、防破坏、财产安全等一切安全保卫工作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院内车辆停放管理工作及岗亭收费工作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2.4</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医疗纠纷、突发事件的医护人员和财产的保护工作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2.5</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院正门口20米内的治安秩序工作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2.6</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医院内的各种消防设施、器材管理工作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2.7</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医院内报纸、信件、邮件、包裹等的登记及收发工作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2.8</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医院急救电话的接听并转告工作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2.9</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监控消防室的治安和保卫，上岗人员必须持有消防员上岗证</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2.10</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color w:val="000000"/>
                <w:sz w:val="24"/>
              </w:rPr>
            </w:pPr>
            <w:r>
              <w:rPr>
                <w:rFonts w:hint="eastAsia" w:ascii="仿宋" w:hAnsi="仿宋" w:eastAsia="仿宋" w:cs="仿宋"/>
                <w:bCs/>
                <w:szCs w:val="21"/>
              </w:rPr>
              <w:t>其他医院要求的服务工作</w:t>
            </w:r>
            <w:r>
              <w:rPr>
                <w:rFonts w:hint="eastAsia" w:ascii="宋体" w:hAnsi="宋体" w:cs="仿宋"/>
                <w:color w:val="000000"/>
                <w:sz w:val="24"/>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cs="仿宋"/>
                <w:color w:val="000000"/>
                <w:sz w:val="24"/>
              </w:rPr>
            </w:pPr>
            <w:r>
              <w:rPr>
                <w:rFonts w:hint="eastAsia" w:ascii="仿宋" w:hAnsi="仿宋" w:eastAsia="仿宋" w:cs="仿宋"/>
                <w:b/>
                <w:szCs w:val="21"/>
              </w:rPr>
              <w:t>服务总体要求与综合目标</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3.1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rPr>
            </w:pPr>
            <w:r>
              <w:rPr>
                <w:rFonts w:hint="eastAsia" w:ascii="仿宋" w:hAnsi="仿宋" w:eastAsia="仿宋" w:cs="仿宋"/>
                <w:b/>
                <w:szCs w:val="21"/>
              </w:rPr>
              <w:t>服务总体要求:</w:t>
            </w:r>
          </w:p>
          <w:p>
            <w:pPr>
              <w:spacing w:line="276" w:lineRule="auto"/>
              <w:rPr>
                <w:rFonts w:hint="eastAsia" w:ascii="仿宋" w:hAnsi="仿宋" w:eastAsia="仿宋" w:cs="仿宋"/>
                <w:szCs w:val="21"/>
              </w:rPr>
            </w:pPr>
            <w:r>
              <w:rPr>
                <w:rFonts w:hint="eastAsia" w:ascii="仿宋" w:hAnsi="仿宋" w:eastAsia="仿宋" w:cs="仿宋"/>
                <w:szCs w:val="21"/>
              </w:rPr>
              <w:t>（1）乙方需按《招标文件》的规定及《投标文件》中的响应方案，制定安保管理具体服务方案，实施运作，并能严格按照既定管理目标管理。</w:t>
            </w:r>
          </w:p>
          <w:p>
            <w:pPr>
              <w:spacing w:line="276" w:lineRule="auto"/>
              <w:rPr>
                <w:rFonts w:hint="eastAsia" w:ascii="仿宋" w:hAnsi="仿宋" w:eastAsia="仿宋" w:cs="仿宋"/>
                <w:szCs w:val="21"/>
              </w:rPr>
            </w:pPr>
            <w:r>
              <w:rPr>
                <w:rFonts w:hint="eastAsia" w:ascii="仿宋" w:hAnsi="仿宋" w:eastAsia="仿宋" w:cs="仿宋"/>
                <w:szCs w:val="21"/>
              </w:rPr>
              <w:t>（2）乙方须认真履行职责，严格按招标项目中的质量做好各项工作。各岗位人员不得顶替调换，确保相对稳定，服务人员要在岗在位，各尽其责，保证符合各项服务的质量标准。</w:t>
            </w:r>
          </w:p>
          <w:p>
            <w:pPr>
              <w:spacing w:line="276" w:lineRule="auto"/>
              <w:rPr>
                <w:rFonts w:hint="eastAsia" w:ascii="仿宋" w:hAnsi="仿宋" w:eastAsia="仿宋" w:cs="仿宋"/>
                <w:szCs w:val="21"/>
              </w:rPr>
            </w:pPr>
            <w:r>
              <w:rPr>
                <w:rFonts w:hint="eastAsia" w:ascii="仿宋" w:hAnsi="仿宋" w:eastAsia="仿宋" w:cs="仿宋"/>
                <w:szCs w:val="21"/>
              </w:rPr>
              <w:t>（3）由乙方按国家规定支付上岗人员的各项工资、津贴、社会保险及其他相关费用，业主单位每月有权对社会保险的交纳情况进行检查。</w:t>
            </w:r>
          </w:p>
          <w:p>
            <w:pPr>
              <w:spacing w:line="276" w:lineRule="auto"/>
              <w:rPr>
                <w:rFonts w:hint="eastAsia" w:ascii="仿宋" w:hAnsi="仿宋" w:eastAsia="仿宋" w:cs="仿宋"/>
                <w:szCs w:val="21"/>
              </w:rPr>
            </w:pPr>
            <w:r>
              <w:rPr>
                <w:rFonts w:hint="eastAsia" w:ascii="仿宋" w:hAnsi="仿宋" w:eastAsia="仿宋" w:cs="仿宋"/>
                <w:szCs w:val="21"/>
              </w:rPr>
              <w:t>（4）乙方必须对上岗人员按规定进行岗位培训等，并对上岗人员定期进行职业道德教育，教育其端正服务态度、提高服务质量、遵守业主单位的各项规章制度及工作规范，维护业主单位的形象，服从领导。对不遵守劳动纪律、工作作风拖拉的员工，经查实后酌情处理，情节严重的业主单位有权更换。</w:t>
            </w:r>
          </w:p>
          <w:p>
            <w:pPr>
              <w:spacing w:line="276" w:lineRule="auto"/>
              <w:rPr>
                <w:rFonts w:hint="eastAsia" w:ascii="仿宋" w:hAnsi="仿宋" w:eastAsia="仿宋" w:cs="仿宋"/>
                <w:szCs w:val="21"/>
              </w:rPr>
            </w:pPr>
            <w:r>
              <w:rPr>
                <w:rFonts w:hint="eastAsia" w:ascii="仿宋" w:hAnsi="仿宋" w:eastAsia="仿宋" w:cs="仿宋"/>
                <w:szCs w:val="21"/>
              </w:rPr>
              <w:t>（5）乙方应制定完善的各项内部管理制度，派专职督导人员进行现场管理，并落实好各项制度。</w:t>
            </w:r>
          </w:p>
          <w:p>
            <w:pPr>
              <w:widowControl/>
              <w:wordWrap w:val="0"/>
              <w:spacing w:line="360" w:lineRule="exact"/>
              <w:rPr>
                <w:rFonts w:ascii="宋体" w:hAnsi="宋体" w:cs="仿宋"/>
                <w:color w:val="000000"/>
                <w:sz w:val="24"/>
              </w:rPr>
            </w:pPr>
            <w:r>
              <w:rPr>
                <w:rFonts w:hint="eastAsia" w:ascii="仿宋" w:hAnsi="仿宋" w:eastAsia="仿宋" w:cs="仿宋"/>
                <w:szCs w:val="21"/>
              </w:rPr>
              <w:t>（6）甲方有权对乙方各项工作质量进行定期与不定期考核</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3.2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rPr>
            </w:pPr>
            <w:r>
              <w:rPr>
                <w:rFonts w:hint="eastAsia" w:ascii="仿宋" w:hAnsi="仿宋" w:eastAsia="仿宋" w:cs="仿宋"/>
                <w:b/>
                <w:szCs w:val="21"/>
              </w:rPr>
              <w:t>服务的综合目标:</w:t>
            </w:r>
          </w:p>
          <w:p>
            <w:pPr>
              <w:spacing w:line="276" w:lineRule="auto"/>
              <w:rPr>
                <w:rFonts w:hint="eastAsia" w:ascii="仿宋" w:hAnsi="仿宋" w:eastAsia="仿宋" w:cs="仿宋"/>
                <w:szCs w:val="21"/>
              </w:rPr>
            </w:pPr>
            <w:r>
              <w:rPr>
                <w:rFonts w:hint="eastAsia" w:ascii="仿宋" w:hAnsi="仿宋" w:eastAsia="仿宋" w:cs="仿宋"/>
                <w:szCs w:val="21"/>
              </w:rPr>
              <w:t>（1）严格执行《保安服务管理条例》中华人民共和国国务院令第564号</w:t>
            </w:r>
          </w:p>
          <w:p>
            <w:pPr>
              <w:spacing w:line="276" w:lineRule="auto"/>
              <w:rPr>
                <w:rFonts w:hint="eastAsia" w:ascii="仿宋" w:hAnsi="仿宋" w:eastAsia="仿宋" w:cs="仿宋"/>
                <w:szCs w:val="21"/>
              </w:rPr>
            </w:pPr>
            <w:r>
              <w:rPr>
                <w:rFonts w:hint="eastAsia" w:ascii="仿宋" w:hAnsi="仿宋" w:eastAsia="仿宋" w:cs="仿宋"/>
                <w:szCs w:val="21"/>
              </w:rPr>
              <w:t>（2）严格执行《公安部关于保安服务公司规范管理的若干规定》（公通字[2000]13号）</w:t>
            </w:r>
          </w:p>
          <w:p>
            <w:pPr>
              <w:spacing w:line="276" w:lineRule="auto"/>
              <w:rPr>
                <w:rFonts w:hint="eastAsia" w:ascii="仿宋" w:hAnsi="仿宋" w:eastAsia="仿宋" w:cs="仿宋"/>
                <w:szCs w:val="21"/>
              </w:rPr>
            </w:pPr>
            <w:r>
              <w:rPr>
                <w:rFonts w:hint="eastAsia" w:ascii="仿宋" w:hAnsi="仿宋" w:eastAsia="仿宋" w:cs="仿宋"/>
                <w:szCs w:val="21"/>
              </w:rPr>
              <w:t>（3）达到《余姚市第四人民医院保安保卫考核》评分标准90分以上。</w:t>
            </w:r>
          </w:p>
          <w:p>
            <w:pPr>
              <w:spacing w:line="276" w:lineRule="auto"/>
              <w:rPr>
                <w:rFonts w:hint="eastAsia" w:ascii="仿宋" w:hAnsi="仿宋" w:eastAsia="仿宋" w:cs="仿宋"/>
                <w:szCs w:val="21"/>
              </w:rPr>
            </w:pPr>
            <w:r>
              <w:rPr>
                <w:rFonts w:hint="eastAsia" w:ascii="仿宋" w:hAnsi="仿宋" w:eastAsia="仿宋" w:cs="仿宋"/>
                <w:szCs w:val="21"/>
              </w:rPr>
              <w:t>（4）达到余姚市文明卫生单位的要求。</w:t>
            </w:r>
          </w:p>
          <w:p>
            <w:pPr>
              <w:spacing w:line="276" w:lineRule="auto"/>
              <w:rPr>
                <w:rFonts w:hint="eastAsia" w:ascii="宋体" w:hAnsi="宋体" w:cs="仿宋"/>
                <w:color w:val="000000"/>
                <w:sz w:val="24"/>
              </w:rPr>
            </w:pPr>
            <w:r>
              <w:rPr>
                <w:rFonts w:hint="eastAsia" w:ascii="仿宋" w:hAnsi="仿宋" w:eastAsia="仿宋" w:cs="仿宋"/>
                <w:szCs w:val="21"/>
              </w:rPr>
              <w:t>（5）达到余姚市综合治理先进单位的要求。</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cs="仿宋"/>
                <w:color w:val="000000"/>
                <w:sz w:val="24"/>
              </w:rPr>
            </w:pPr>
            <w:r>
              <w:rPr>
                <w:rFonts w:hint="eastAsia" w:ascii="仿宋" w:hAnsi="仿宋" w:eastAsia="仿宋" w:cs="仿宋"/>
                <w:b/>
                <w:szCs w:val="21"/>
                <w:lang w:val="zh-CN"/>
              </w:rPr>
              <w:t>服务质量标准</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人员着装：</w:t>
            </w:r>
          </w:p>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1</w:t>
            </w:r>
            <w:r>
              <w:rPr>
                <w:rFonts w:hint="eastAsia" w:ascii="仿宋" w:hAnsi="仿宋" w:eastAsia="仿宋" w:cs="仿宋"/>
                <w:b/>
                <w:szCs w:val="21"/>
                <w:lang w:val="zh-CN"/>
              </w:rPr>
              <w:t>）保安人员须着装标准保安制服，特勤人员须着装标准特勤制服。</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）除不宜或者不需要着装的情形外，在工作时间必须着保安制服。因私外出时应着便服；着保安制服时，要按规定佩带保安标志。</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）保安制服不准与便服混穿，不同季节的保安制服不准混穿；在驻勤单位除工作外，着装时可以不戴帽子。</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）着保安制服应干净整洁，不准披衣、敞怀、挽袖、卷裤腿、歪戴帽子、穿拖鞋或赤足。</w:t>
            </w:r>
          </w:p>
          <w:p>
            <w:pPr>
              <w:widowControl/>
              <w:wordWrap w:val="0"/>
              <w:spacing w:line="360" w:lineRule="exact"/>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）爱护和妥善保管保安制服和保安标志。严禁将保安制服和保安标志变卖、赠送或借给他人；着装参加重要活动时，只准配戴领导机关统一颁发的勋章、.奖章和证章，不准配戴或其徽章和饰物。</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仪容仪表：</w:t>
            </w:r>
          </w:p>
          <w:p>
            <w:pPr>
              <w:spacing w:line="276" w:lineRule="auto"/>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）值勤时要仪表端庄，精神饱满；男性保安不准留长发、大鬓角和胡须，女性保安发辫不得过肩；不得染发、染指甲，不得化浓妆、戴首饰。</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礼节：</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）在下列场合行举手礼：着装遇领导时；站岗、值勤、交接班时；纠正违章时；受到领导接见、慰问时；领导视察、检查工作时；参加外事活动与外宾接触时；着装在大会上发言开始和结束时；接受颁奖时。</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）在参加集会、大型活动奏国歌、升国旗时，要自行立正行注目礼。</w:t>
            </w:r>
          </w:p>
          <w:p>
            <w:pPr>
              <w:spacing w:line="276" w:lineRule="auto"/>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）对日常接触的上级领导可以不敬礼。</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4.4</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举止：</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）精神饱满，姿态端正，动作规范，举止文明。</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）着装外出工作、值勤和出入公共场所时，不准袖手或将手插入衣兜。不准搭肩、挽臂、边走边吸烟、吃东西、嘻笑打闹。不准随地吐痰、乱扔废弃物。</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）不准着制服在公共场所饮酒，严禁酗酒。</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）要自觉遵守公共秩序和社会公德。</w:t>
            </w:r>
          </w:p>
          <w:p>
            <w:pPr>
              <w:widowControl/>
              <w:wordWrap w:val="0"/>
              <w:spacing w:line="360" w:lineRule="exact"/>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）要尊重少数民族的风俗习惯。</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4.5</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语言：</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在工作中使用语言要简洁准确、文明规范，接触群众时，说话要和气，使用“你好、请、您、对不起、谢谢、再见”等礼貌语言。要注意称谓的使用。在与少数民族、宗教人士、外籍人士交谈时，不准使用对方禁忌的语言。</w:t>
            </w:r>
          </w:p>
          <w:p>
            <w:pPr>
              <w:widowControl/>
              <w:wordWrap w:val="0"/>
              <w:spacing w:line="360" w:lineRule="exact"/>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）值勤时应讲普通话。</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4.6</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岗位纪律：</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）严格在法律规定的范围内开展保安服务工作，不准超越职责权限。</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）严格履行岗位职责，不准做与保安服务无关的事情。</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）不准刁难群众。</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）不准脱岗、空岗、睡岗，不准迟到、早退。</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）遵守医院单位内部的各项规章制度，对医院单位内部的机密事项，不准随意打听、记录、传播。</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6</w:t>
            </w:r>
            <w:r>
              <w:rPr>
                <w:rFonts w:hint="eastAsia" w:ascii="仿宋" w:hAnsi="仿宋" w:eastAsia="仿宋" w:cs="仿宋"/>
                <w:bCs/>
                <w:szCs w:val="21"/>
                <w:lang w:val="zh-CN"/>
              </w:rPr>
              <w:t>）未经允许不准运用医院物品和接受医院赠送的礼品。</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7</w:t>
            </w:r>
            <w:r>
              <w:rPr>
                <w:rFonts w:hint="eastAsia" w:ascii="仿宋" w:hAnsi="仿宋" w:eastAsia="仿宋" w:cs="仿宋"/>
                <w:bCs/>
                <w:szCs w:val="21"/>
                <w:lang w:val="zh-CN"/>
              </w:rPr>
              <w:t>）要爱护公物。</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8</w:t>
            </w:r>
            <w:r>
              <w:rPr>
                <w:rFonts w:hint="eastAsia" w:ascii="仿宋" w:hAnsi="仿宋" w:eastAsia="仿宋" w:cs="仿宋"/>
                <w:bCs/>
                <w:szCs w:val="21"/>
                <w:lang w:val="zh-CN"/>
              </w:rPr>
              <w:t>）有重要情况要妥善处置并及时上报。不准迟报、漏报、隐瞒不服。</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9</w:t>
            </w:r>
            <w:r>
              <w:rPr>
                <w:rFonts w:hint="eastAsia" w:ascii="仿宋" w:hAnsi="仿宋" w:eastAsia="仿宋" w:cs="仿宋"/>
                <w:bCs/>
                <w:szCs w:val="21"/>
                <w:lang w:val="zh-CN"/>
              </w:rPr>
              <w:t>）要认真填写值班记录，做好交接班工作。</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10</w:t>
            </w:r>
            <w:r>
              <w:rPr>
                <w:rFonts w:hint="eastAsia" w:ascii="仿宋" w:hAnsi="仿宋" w:eastAsia="仿宋" w:cs="仿宋"/>
                <w:bCs/>
                <w:szCs w:val="21"/>
                <w:lang w:val="zh-CN"/>
              </w:rPr>
              <w:t>）不准饮酒后上班。</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11</w:t>
            </w:r>
            <w:r>
              <w:rPr>
                <w:rFonts w:hint="eastAsia" w:ascii="仿宋" w:hAnsi="仿宋" w:eastAsia="仿宋" w:cs="仿宋"/>
                <w:bCs/>
                <w:szCs w:val="21"/>
                <w:lang w:val="zh-CN"/>
              </w:rPr>
              <w:t>）不准在岗亭就餐。</w:t>
            </w:r>
          </w:p>
          <w:p>
            <w:pPr>
              <w:spacing w:line="276" w:lineRule="auto"/>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12</w:t>
            </w:r>
            <w:r>
              <w:rPr>
                <w:rFonts w:hint="eastAsia" w:ascii="仿宋" w:hAnsi="仿宋" w:eastAsia="仿宋" w:cs="仿宋"/>
                <w:bCs/>
                <w:szCs w:val="21"/>
                <w:lang w:val="zh-CN"/>
              </w:rPr>
              <w:t>）不准在上班时间吸烟。</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4.7</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卫生：</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）要自觉维护环境卫生，保持值勤区域整齐清洁。</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）内务卫生：床单、被褥整齐干净，床下无杂物；地面无烟头、无痰迹、无纸屑；门窗洁净，玻璃明亮；生活用品摆放整齐，统一规范；不准饲养宠物，不准私自张贴、悬挂图片、画报。</w:t>
            </w:r>
          </w:p>
          <w:p>
            <w:pPr>
              <w:spacing w:line="276" w:lineRule="auto"/>
              <w:rPr>
                <w:rFonts w:ascii="宋体" w:hAnsi="宋体"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岗亭卫生: 地面无烟头、无痰迹、无纸屑,医院报刊、包裹、信件放置整齐。</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rPr>
              <w:t>4.8</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特勤巡逻服务：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特勤人员对特定区域、地段和目标进行的巡查、警戒、保卫医院安全。通过巡逻，震慑不法分子，使其打消对医院不法侵害的企图；通过巡逻，发现可疑人员，对其进行询问，对有作案嫌疑的，送交有关部门处理。</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）对正在发生的不法侵害行为，应采取相应措施，予以制止，将不法行为人送交公安机关或有关部门处理。</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）检查、发现、报告并及时消除各种不安全隐患。防止火灾、爆炸等事故或抢劫、盗窃等不法侵害案件的发生。</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）在巡逻过程中，对已经发生的不法侵害案件或灾害事故，应及时报告公安机关或有关部门并保护现场。</w:t>
            </w:r>
          </w:p>
          <w:p>
            <w:pPr>
              <w:widowControl/>
              <w:wordWrap w:val="0"/>
              <w:spacing w:line="360" w:lineRule="exact"/>
              <w:rPr>
                <w:rFonts w:ascii="宋体" w:hAnsi="宋体" w:cs="仿宋"/>
                <w:color w:val="000000"/>
                <w:sz w:val="24"/>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4.9</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门卫服务：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）保安人员对医院单位出入口进行把守、验证、检查，保卫医院安全；查验出入人员的证件，办理登记手续，禁止无关人员进入。</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）根据医院的要求，对出入的人员、车辆携带或装运的物品进行查验，防止医院单位财物流失。</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）指挥、疏导出入车辆，清理无关人员，维护出入口的正常秩序。</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）及时发现不法行为人，截获赃物，做好治安防范工作。</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）协助医院单位做好来访接待工作。</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6</w:t>
            </w:r>
            <w:r>
              <w:rPr>
                <w:rFonts w:hint="eastAsia" w:ascii="仿宋" w:hAnsi="仿宋" w:eastAsia="仿宋" w:cs="仿宋"/>
                <w:bCs/>
                <w:szCs w:val="21"/>
                <w:lang w:val="zh-CN"/>
              </w:rPr>
              <w:t>）接听急救电话并做好救护车驾驶员及随车医生的通知工作。</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7</w:t>
            </w:r>
            <w:r>
              <w:rPr>
                <w:rFonts w:hint="eastAsia" w:ascii="仿宋" w:hAnsi="仿宋" w:eastAsia="仿宋" w:cs="仿宋"/>
                <w:bCs/>
                <w:szCs w:val="21"/>
                <w:lang w:val="zh-CN"/>
              </w:rPr>
              <w:t>）医院报纸、信件、包裹等的收发、登记、通知工作。</w:t>
            </w:r>
          </w:p>
          <w:p>
            <w:pPr>
              <w:widowControl/>
              <w:wordWrap w:val="0"/>
              <w:spacing w:line="360" w:lineRule="exact"/>
              <w:rPr>
                <w:rFonts w:hint="eastAsia" w:ascii="宋体" w:hAnsi="宋体" w:eastAsia="仿宋" w:cs="仿宋"/>
                <w:color w:val="000000"/>
                <w:sz w:val="24"/>
              </w:rPr>
            </w:pPr>
            <w:r>
              <w:rPr>
                <w:rFonts w:hint="eastAsia" w:ascii="仿宋" w:hAnsi="仿宋" w:eastAsia="仿宋" w:cs="仿宋"/>
                <w:bCs/>
                <w:szCs w:val="21"/>
                <w:lang w:val="zh-CN"/>
              </w:rPr>
              <w:t>（</w:t>
            </w:r>
            <w:r>
              <w:rPr>
                <w:rFonts w:hint="eastAsia" w:ascii="仿宋" w:hAnsi="仿宋" w:eastAsia="仿宋" w:cs="仿宋"/>
                <w:bCs/>
                <w:szCs w:val="21"/>
              </w:rPr>
              <w:t>8</w:t>
            </w:r>
            <w:r>
              <w:rPr>
                <w:rFonts w:hint="eastAsia" w:ascii="仿宋" w:hAnsi="仿宋" w:eastAsia="仿宋" w:cs="仿宋"/>
                <w:bCs/>
                <w:szCs w:val="21"/>
                <w:lang w:val="zh-CN"/>
              </w:rPr>
              <w:t>）医院宿舍安全管理。</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4.10</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特勤守护服务：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）特勤人员对特定的目标进行看护和守卫，保卫医院安全。</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）维护守卫区域的正常秩序。及时制止无关人员进入守卫范围。</w:t>
            </w:r>
          </w:p>
          <w:p>
            <w:pPr>
              <w:spacing w:line="276" w:lineRule="auto"/>
              <w:rPr>
                <w:rFonts w:hint="eastAsia" w:ascii="宋体" w:hAnsi="宋体"/>
                <w:b/>
                <w:szCs w:val="21"/>
                <w:lang w:bidi="ar"/>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）做好防火、防盗、防抢、防爆炸等工作。</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4.11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押运服务：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）特勤人员采取随财物守卫方式，保卫医院的财物运输安全。</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）防止押运财物被盗、被抢或遭受其他不法侵害。</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）对押送财物置放、运输的条件、环境等情况，进行巡视检查，防止发生挤压、丢失等情况。</w:t>
            </w:r>
          </w:p>
          <w:p>
            <w:pPr>
              <w:spacing w:line="276" w:lineRule="auto"/>
              <w:rPr>
                <w:rFonts w:hint="eastAsia" w:ascii="宋体" w:hAnsi="宋体"/>
                <w:b/>
                <w:szCs w:val="21"/>
                <w:lang w:bidi="ar"/>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）对押送的财物要进行清点、核对，防止出现差错。</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4.12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技术防范服务：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）特勤人员运用科技手段和设备，为医院指定的区域和目标，设计、安装各种报警器材并定期维护，提供接警、先期处警和其他相关的技防服务业务，保卫医院安全。</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）防止医院单位遭受不法侵害。</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）接到入网医院的报警信息，应迅速赶赴现场进行先期处置。</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）对正在发生的不法侵害行为，应采取措施制止，对不法行为人应立即送交公安机关处理。</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）对于误报警应迅速给予排除。</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6</w:t>
            </w:r>
            <w:r>
              <w:rPr>
                <w:rFonts w:hint="eastAsia" w:ascii="仿宋" w:hAnsi="仿宋" w:eastAsia="仿宋" w:cs="仿宋"/>
                <w:bCs/>
                <w:szCs w:val="21"/>
                <w:lang w:val="zh-CN"/>
              </w:rPr>
              <w:t>）对联网报警医院的技防设备，应定期进行巡检维护，防止设备出现故障。</w:t>
            </w:r>
          </w:p>
          <w:p>
            <w:pPr>
              <w:spacing w:line="276" w:lineRule="auto"/>
              <w:rPr>
                <w:rFonts w:hint="eastAsia" w:ascii="宋体" w:hAnsi="宋体"/>
                <w:b/>
                <w:szCs w:val="21"/>
                <w:lang w:bidi="ar"/>
              </w:rPr>
            </w:pPr>
            <w:r>
              <w:rPr>
                <w:rFonts w:hint="eastAsia" w:ascii="仿宋" w:hAnsi="仿宋" w:eastAsia="仿宋" w:cs="仿宋"/>
                <w:bCs/>
                <w:szCs w:val="21"/>
                <w:lang w:val="zh-CN"/>
              </w:rPr>
              <w:t>（</w:t>
            </w:r>
            <w:r>
              <w:rPr>
                <w:rFonts w:hint="eastAsia" w:ascii="仿宋" w:hAnsi="仿宋" w:eastAsia="仿宋" w:cs="仿宋"/>
                <w:bCs/>
                <w:szCs w:val="21"/>
              </w:rPr>
              <w:t>7</w:t>
            </w:r>
            <w:r>
              <w:rPr>
                <w:rFonts w:hint="eastAsia" w:ascii="仿宋" w:hAnsi="仿宋" w:eastAsia="仿宋" w:cs="仿宋"/>
                <w:bCs/>
                <w:szCs w:val="21"/>
                <w:lang w:val="zh-CN"/>
              </w:rPr>
              <w:t>）技防设备的安装，应严格遵照有关技术规范和标准进行。</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4.13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lang w:val="zh-CN"/>
              </w:rPr>
            </w:pPr>
            <w:r>
              <w:rPr>
                <w:rFonts w:hint="eastAsia" w:ascii="仿宋" w:hAnsi="仿宋" w:eastAsia="仿宋" w:cs="仿宋"/>
                <w:b/>
                <w:szCs w:val="21"/>
                <w:lang w:val="zh-CN"/>
              </w:rPr>
              <w:t>车辆停放管理及收费服务：</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）车辆管理人员必须认真指挥及疏导进出医院的车辆停放。</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）车辆收费人员必须按照医院智能停车系统收费标准收费，收费时必须提供正规票据；</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）车辆管理人员管理车辆的停放及疏导；</w:t>
            </w:r>
          </w:p>
          <w:p>
            <w:pPr>
              <w:spacing w:line="276" w:lineRule="auto"/>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4</w:t>
            </w:r>
            <w:r>
              <w:rPr>
                <w:rFonts w:hint="eastAsia" w:ascii="仿宋" w:hAnsi="仿宋" w:eastAsia="仿宋" w:cs="仿宋"/>
                <w:bCs/>
                <w:szCs w:val="21"/>
                <w:lang w:val="zh-CN"/>
              </w:rPr>
              <w:t>）如上级单位、兄弟单位及相关人员、特种车辆等出入医院，禁止收取费用。</w:t>
            </w:r>
          </w:p>
          <w:p>
            <w:pPr>
              <w:pStyle w:val="13"/>
              <w:spacing w:line="276" w:lineRule="auto"/>
              <w:rPr>
                <w:rFonts w:hint="eastAsia" w:ascii="宋体" w:hAnsi="宋体"/>
                <w:b/>
                <w:szCs w:val="21"/>
                <w:lang w:bidi="ar"/>
              </w:rPr>
            </w:pPr>
            <w:r>
              <w:rPr>
                <w:rFonts w:hint="eastAsia" w:ascii="仿宋" w:hAnsi="仿宋" w:eastAsia="仿宋" w:cs="仿宋"/>
                <w:b/>
                <w:sz w:val="21"/>
                <w:szCs w:val="21"/>
                <w:lang w:val="zh-CN"/>
              </w:rPr>
              <w:t>（</w:t>
            </w:r>
            <w:r>
              <w:rPr>
                <w:rFonts w:hint="eastAsia" w:ascii="仿宋" w:hAnsi="仿宋" w:eastAsia="仿宋" w:cs="仿宋"/>
                <w:b/>
                <w:sz w:val="21"/>
                <w:szCs w:val="21"/>
              </w:rPr>
              <w:t>5</w:t>
            </w:r>
            <w:r>
              <w:rPr>
                <w:rFonts w:hint="eastAsia" w:ascii="仿宋" w:hAnsi="仿宋" w:eastAsia="仿宋" w:cs="仿宋"/>
                <w:b/>
                <w:sz w:val="21"/>
                <w:szCs w:val="21"/>
                <w:lang w:val="zh-CN"/>
              </w:rPr>
              <w:t>）、门岗停车收费由乙方代收，收取费用归院方所有。</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5</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
                <w:szCs w:val="21"/>
                <w:lang w:bidi="ar"/>
              </w:rPr>
            </w:pPr>
            <w:r>
              <w:rPr>
                <w:rFonts w:hint="eastAsia" w:ascii="仿宋" w:hAnsi="仿宋" w:eastAsia="仿宋" w:cs="仿宋"/>
                <w:b/>
                <w:kern w:val="0"/>
                <w:szCs w:val="21"/>
                <w:lang w:val="zh-CN"/>
              </w:rPr>
              <w:t>最低</w:t>
            </w:r>
            <w:r>
              <w:rPr>
                <w:rFonts w:hint="eastAsia" w:ascii="仿宋" w:hAnsi="仿宋" w:eastAsia="仿宋" w:cs="仿宋"/>
                <w:b/>
                <w:szCs w:val="21"/>
                <w:lang w:val="zh-CN"/>
              </w:rPr>
              <w:t>人员配备要求</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5.1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left"/>
              <w:rPr>
                <w:rFonts w:hint="eastAsia" w:ascii="宋体" w:hAnsi="宋体" w:eastAsia="仿宋"/>
                <w:b/>
                <w:szCs w:val="21"/>
                <w:lang w:bidi="ar"/>
              </w:rPr>
            </w:pPr>
            <w:r>
              <w:rPr>
                <w:rFonts w:hint="eastAsia" w:ascii="仿宋" w:hAnsi="仿宋" w:eastAsia="仿宋" w:cs="仿宋"/>
                <w:bCs/>
                <w:szCs w:val="21"/>
                <w:lang w:val="zh-CN"/>
              </w:rPr>
              <w:t>最低人员配备要求表</w:t>
            </w:r>
            <w:r>
              <w:rPr>
                <w:rFonts w:hint="eastAsia" w:ascii="仿宋" w:hAnsi="仿宋" w:eastAsia="仿宋" w:cs="仿宋"/>
                <w:bCs/>
                <w:szCs w:val="21"/>
              </w:rPr>
              <w:t>,详见附表</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rPr>
            </w:pPr>
            <w:r>
              <w:rPr>
                <w:rFonts w:hint="eastAsia" w:ascii="宋体" w:hAnsi="宋体"/>
                <w:bCs/>
                <w:szCs w:val="21"/>
                <w:lang w:bidi="ar"/>
              </w:rPr>
              <w:t>6</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仿宋" w:hAnsi="仿宋" w:eastAsia="仿宋" w:cs="仿宋"/>
                <w:b/>
                <w:szCs w:val="21"/>
                <w:lang w:val="zh-CN"/>
              </w:rPr>
              <w:t>其他服务要求</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6.1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bCs/>
                <w:sz w:val="24"/>
              </w:rPr>
            </w:pPr>
            <w:r>
              <w:rPr>
                <w:rFonts w:hint="eastAsia" w:ascii="仿宋" w:hAnsi="仿宋" w:eastAsia="仿宋" w:cs="仿宋"/>
                <w:bCs/>
                <w:szCs w:val="21"/>
              </w:rPr>
              <w:t>乙方</w:t>
            </w:r>
            <w:r>
              <w:rPr>
                <w:rFonts w:hint="eastAsia" w:ascii="仿宋" w:hAnsi="仿宋" w:eastAsia="仿宋" w:cs="仿宋"/>
                <w:bCs/>
                <w:kern w:val="0"/>
                <w:szCs w:val="21"/>
                <w:lang w:bidi="ar"/>
              </w:rPr>
              <w:t>拟派人员须具有</w:t>
            </w:r>
            <w:r>
              <w:rPr>
                <w:rFonts w:hint="eastAsia" w:ascii="仿宋" w:hAnsi="仿宋" w:eastAsia="仿宋" w:cs="仿宋"/>
                <w:bCs/>
                <w:spacing w:val="-10"/>
                <w:kern w:val="0"/>
                <w:szCs w:val="21"/>
                <w:lang w:bidi="ar"/>
              </w:rPr>
              <w:t>有效的</w:t>
            </w:r>
            <w:r>
              <w:rPr>
                <w:rFonts w:hint="eastAsia" w:ascii="仿宋" w:hAnsi="仿宋" w:eastAsia="仿宋" w:cs="仿宋"/>
                <w:bCs/>
                <w:kern w:val="0"/>
                <w:szCs w:val="21"/>
                <w:lang w:bidi="ar"/>
              </w:rPr>
              <w:t>保安员证且具有消防员职业资格证（包括有效的消防行业职业技能培训证书）的人数不少于5人，</w:t>
            </w:r>
            <w:r>
              <w:rPr>
                <w:rFonts w:hint="eastAsia" w:ascii="仿宋" w:hAnsi="仿宋" w:eastAsia="仿宋" w:cs="仿宋"/>
                <w:bCs/>
                <w:szCs w:val="21"/>
              </w:rPr>
              <w:t>投标文件中提供由投标人或联合体牵头人或联合体成员为其缴纳的社会保险缴纳证明复印件（须由社保机构出具并盖章，带社保机构电子章的电子件无需再次到社保机构盖章确认）</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6.2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bCs/>
                <w:sz w:val="24"/>
              </w:rPr>
            </w:pPr>
            <w:r>
              <w:rPr>
                <w:rFonts w:hint="eastAsia" w:ascii="仿宋" w:hAnsi="仿宋" w:eastAsia="仿宋" w:cs="仿宋"/>
                <w:bCs/>
                <w:szCs w:val="21"/>
              </w:rPr>
              <w:t>甲方对乙方拟派人员上岗前</w:t>
            </w:r>
            <w:r>
              <w:rPr>
                <w:rFonts w:hint="eastAsia" w:ascii="仿宋" w:hAnsi="仿宋" w:eastAsia="仿宋" w:cs="仿宋"/>
                <w:bCs/>
                <w:szCs w:val="21"/>
                <w:lang w:eastAsia="zh-CN"/>
              </w:rPr>
              <w:t>根据采购合同</w:t>
            </w:r>
            <w:r>
              <w:rPr>
                <w:rFonts w:hint="eastAsia" w:ascii="仿宋" w:hAnsi="仿宋" w:eastAsia="仿宋" w:cs="仿宋"/>
                <w:bCs/>
                <w:szCs w:val="21"/>
              </w:rPr>
              <w:t>进行审核，审核不通过的乙方无理由更换（建议乙方拟派人员招聘时邀请院方代表共同参与面试，退伍军人优先）。</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ascii="宋体" w:hAnsi="宋体"/>
                <w:bCs/>
                <w:szCs w:val="21"/>
              </w:rPr>
            </w:pPr>
            <w:r>
              <w:rPr>
                <w:rFonts w:hint="eastAsia" w:ascii="宋体" w:hAnsi="宋体"/>
                <w:bCs/>
                <w:szCs w:val="21"/>
                <w:lang w:bidi="ar"/>
              </w:rPr>
              <w:t>6.3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ascii="宋体" w:hAnsi="宋体" w:cs="仿宋"/>
                <w:bCs/>
                <w:sz w:val="24"/>
              </w:rPr>
            </w:pPr>
            <w:r>
              <w:rPr>
                <w:rFonts w:hint="eastAsia" w:ascii="仿宋" w:hAnsi="仿宋" w:eastAsia="仿宋" w:cs="仿宋"/>
                <w:bCs/>
                <w:szCs w:val="21"/>
              </w:rPr>
              <w:t>特勤人员年龄要求45周岁以下，男性，退伍军人优先，每月至少拉练一次，配备防爆设施。</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6.4</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Cs/>
                <w:szCs w:val="21"/>
              </w:rPr>
            </w:pPr>
            <w:r>
              <w:rPr>
                <w:rFonts w:hint="eastAsia" w:ascii="仿宋" w:hAnsi="仿宋" w:eastAsia="仿宋" w:cs="仿宋"/>
                <w:bCs/>
                <w:szCs w:val="21"/>
              </w:rPr>
              <w:t>乙方拟派人员无犯罪前科，发现乙方人员涉及赌博、**、酗酒等行为，甲方有权要求乙方更换人员。</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6.5</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szCs w:val="21"/>
              </w:rPr>
            </w:pPr>
            <w:r>
              <w:rPr>
                <w:rFonts w:hint="eastAsia" w:ascii="仿宋" w:hAnsi="仿宋" w:eastAsia="仿宋" w:cs="仿宋"/>
                <w:bCs/>
                <w:szCs w:val="21"/>
              </w:rPr>
              <w:t>乙方拟派人员若有对甲方不利言行，甲方有权要求乙方更换人员。</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6.6</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szCs w:val="21"/>
              </w:rPr>
            </w:pPr>
            <w:r>
              <w:rPr>
                <w:rFonts w:hint="eastAsia" w:ascii="仿宋" w:hAnsi="仿宋" w:eastAsia="仿宋" w:cs="仿宋"/>
                <w:bCs/>
                <w:szCs w:val="21"/>
                <w:lang w:val="zh-CN"/>
              </w:rPr>
              <w:t>乙方所有工作人员归乙方项目主管管理，乙方所有工作人员医疗保险及发生的各种工伤、安全事故等均由乙方负责。</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6.7</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rPr>
            </w:pPr>
            <w:r>
              <w:rPr>
                <w:rFonts w:hint="eastAsia" w:ascii="仿宋" w:hAnsi="仿宋" w:eastAsia="仿宋" w:cs="仿宋"/>
                <w:bCs/>
                <w:szCs w:val="21"/>
                <w:lang w:val="zh-CN"/>
              </w:rPr>
              <w:t>乙方要加强保卫人员和保安员的培训、管理，每年至少开展2次专门培训和考核。培训内容应当包括必要的法律基础知识和一定的应急处置能力，并根据岗位实际需要，掌握安全防范系统操作和维护技能，切实提高保卫人员、保安员的业务素质和工作水平。</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6.8</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 w:hAnsi="仿宋" w:eastAsia="仿宋" w:cs="仿宋"/>
                <w:b/>
                <w:szCs w:val="21"/>
              </w:rPr>
            </w:pPr>
            <w:r>
              <w:rPr>
                <w:rFonts w:hint="eastAsia" w:ascii="仿宋" w:hAnsi="仿宋" w:eastAsia="仿宋" w:cs="仿宋"/>
                <w:bCs/>
                <w:szCs w:val="21"/>
              </w:rPr>
              <w:t>乙</w:t>
            </w:r>
            <w:r>
              <w:rPr>
                <w:rFonts w:hint="eastAsia" w:ascii="仿宋" w:hAnsi="仿宋" w:eastAsia="仿宋" w:cs="仿宋"/>
                <w:bCs/>
                <w:szCs w:val="21"/>
                <w:lang w:val="zh-CN"/>
              </w:rPr>
              <w:t>方要建立门卫制度，严格各出入口的管理，加强对进出人员、车辆的检查，及时发现可疑情况，医院内发生案事件后，要立即报警，在保证自身安全的前提下对实施违法犯罪的人员进行堵截，防止其逃跑。医院供水、供电、供气、供热、供氧、“毒、麻、精、放”药（物）品、易燃易爆物品存放库房等重点要害部位、夜间值班科室要实施24小时值班守护制度，安排专人值守。公司要加强安全防范动态管理，组织保卫人员、保安员定时和随时巡查，第一时间掌握安全总体情况。其中，医院出入口、停车场、门（急）诊、住院部、候诊区和缴费区等人员活动密集场所要有针对性的加强巡查，夜间巡查时应当至少2人同行，并做好巡查记录。巡查中发现可疑人员、可疑物品要进行先期处置，对违法犯罪行为要及时制止,并立即报警，做好现场保护措施，配合公安机关开展相关工作。</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6.9</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szCs w:val="21"/>
              </w:rPr>
            </w:pPr>
            <w:r>
              <w:rPr>
                <w:rFonts w:hint="eastAsia" w:ascii="仿宋" w:hAnsi="仿宋" w:eastAsia="仿宋" w:cs="仿宋"/>
                <w:b/>
                <w:szCs w:val="21"/>
              </w:rPr>
              <w:t>乙</w:t>
            </w:r>
            <w:r>
              <w:rPr>
                <w:rFonts w:hint="eastAsia" w:ascii="仿宋" w:hAnsi="仿宋" w:eastAsia="仿宋" w:cs="仿宋"/>
                <w:b/>
                <w:szCs w:val="21"/>
                <w:lang w:val="zh-CN"/>
              </w:rPr>
              <w:t>方要为在岗保卫人员配备必要的通讯设备和防护器械</w:t>
            </w:r>
            <w:r>
              <w:rPr>
                <w:rFonts w:hint="eastAsia" w:ascii="仿宋" w:hAnsi="仿宋" w:eastAsia="仿宋" w:cs="仿宋"/>
                <w:bCs/>
                <w:szCs w:val="21"/>
                <w:lang w:val="zh-CN"/>
              </w:rPr>
              <w:t>。通讯设备包括固定电话、移动电话和对讲机等，对讲机为必配设备。医院规模较大、周边治安情况复杂的，可视情在医院重点部位配备安检设备，加大对携带管制刀具等危险物品进入医疗机构的查缴力度。</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7</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仿宋" w:hAnsi="仿宋" w:eastAsia="仿宋" w:cs="仿宋"/>
                <w:b/>
                <w:szCs w:val="21"/>
                <w:lang w:val="zh-CN"/>
              </w:rPr>
            </w:pPr>
            <w:r>
              <w:rPr>
                <w:rFonts w:hint="eastAsia" w:ascii="仿宋" w:hAnsi="仿宋" w:eastAsia="仿宋" w:cs="仿宋"/>
                <w:b/>
                <w:szCs w:val="21"/>
                <w:lang w:val="zh-CN"/>
              </w:rPr>
              <w:t>商务条款</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7.1</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szCs w:val="21"/>
                <w:lang w:val="zh-CN"/>
              </w:rPr>
            </w:pPr>
            <w:r>
              <w:rPr>
                <w:rFonts w:hint="eastAsia" w:ascii="仿宋" w:hAnsi="仿宋" w:eastAsia="仿宋" w:cs="仿宋"/>
                <w:color w:val="000000"/>
                <w:kern w:val="0"/>
                <w:szCs w:val="21"/>
              </w:rPr>
              <w:t>合同履行期限： 三年。合同一年一签，每年经采购人考核合格，方可签订下一年度合同</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7.2</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szCs w:val="21"/>
                <w:lang w:val="zh-CN"/>
              </w:rPr>
            </w:pPr>
            <w:r>
              <w:rPr>
                <w:rFonts w:hint="eastAsia" w:ascii="仿宋" w:hAnsi="仿宋" w:eastAsia="仿宋" w:cs="仿宋"/>
                <w:color w:val="000000"/>
                <w:kern w:val="0"/>
                <w:szCs w:val="21"/>
              </w:rPr>
              <w:t>预算金额及最高限价：7500000</w:t>
            </w:r>
            <w:r>
              <w:rPr>
                <w:rFonts w:hint="eastAsia" w:ascii="仿宋" w:hAnsi="仿宋" w:eastAsia="仿宋" w:cs="仿宋"/>
                <w:color w:val="000000"/>
                <w:szCs w:val="21"/>
              </w:rPr>
              <w:t>元/三年，投标人的投标报价超过预算价（最高限价）的，作无效标处理</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jc w:val="center"/>
              <w:rPr>
                <w:rFonts w:hint="eastAsia" w:ascii="宋体" w:hAnsi="宋体"/>
                <w:bCs/>
                <w:szCs w:val="21"/>
                <w:lang w:bidi="ar"/>
              </w:rPr>
            </w:pPr>
            <w:r>
              <w:rPr>
                <w:rFonts w:hint="eastAsia" w:ascii="宋体" w:hAnsi="宋体"/>
                <w:bCs/>
                <w:szCs w:val="21"/>
                <w:lang w:bidi="ar"/>
              </w:rPr>
              <w:t>7.3</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exact"/>
              <w:rPr>
                <w:rFonts w:hint="eastAsia" w:ascii="仿宋" w:hAnsi="仿宋" w:eastAsia="仿宋" w:cs="仿宋"/>
                <w:b/>
                <w:bCs/>
                <w:color w:val="000000"/>
                <w:szCs w:val="21"/>
              </w:rPr>
            </w:pPr>
            <w:r>
              <w:rPr>
                <w:rFonts w:hint="eastAsia" w:ascii="仿宋" w:hAnsi="仿宋" w:eastAsia="仿宋" w:cs="仿宋"/>
                <w:szCs w:val="21"/>
              </w:rPr>
              <w:t>承包费用由院方确认工作完成的情况下，每月按照医院对中标方的考核结果进行发放，发放金额为月度总金额的90%（如考核结果为90以下，则按考核标准进行相应扣罚），余款（合同价总金额的10%）以医院对中标方的年度考核为准，进行发放</w:t>
            </w:r>
            <w:r>
              <w:rPr>
                <w:rFonts w:hint="eastAsia" w:ascii="仿宋" w:hAnsi="仿宋" w:eastAsia="仿宋" w:cs="仿宋"/>
                <w:bCs/>
                <w:szCs w:val="21"/>
              </w:rPr>
              <w:t>。</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sz w:val="18"/>
                <w:szCs w:val="18"/>
                <w:highlight w:val="yellow"/>
              </w:rPr>
            </w:pPr>
          </w:p>
        </w:tc>
      </w:tr>
    </w:tbl>
    <w:p>
      <w:pPr>
        <w:spacing w:line="276" w:lineRule="auto"/>
        <w:rPr>
          <w:rFonts w:hint="eastAsia" w:ascii="仿宋" w:hAnsi="仿宋" w:eastAsia="仿宋" w:cs="仿宋"/>
          <w:b/>
          <w:kern w:val="0"/>
          <w:szCs w:val="21"/>
          <w:lang w:val="zh-CN"/>
        </w:rPr>
      </w:pPr>
    </w:p>
    <w:p>
      <w:pPr>
        <w:spacing w:line="276" w:lineRule="auto"/>
        <w:rPr>
          <w:rFonts w:hint="eastAsia" w:ascii="仿宋" w:hAnsi="仿宋" w:eastAsia="仿宋" w:cs="仿宋"/>
          <w:b/>
          <w:kern w:val="0"/>
          <w:szCs w:val="21"/>
          <w:lang w:val="zh-CN"/>
        </w:rPr>
      </w:pPr>
    </w:p>
    <w:p>
      <w:pPr>
        <w:spacing w:line="276" w:lineRule="auto"/>
        <w:rPr>
          <w:rFonts w:hint="eastAsia" w:ascii="仿宋" w:hAnsi="仿宋" w:eastAsia="仿宋" w:cs="仿宋"/>
          <w:b/>
          <w:kern w:val="0"/>
          <w:szCs w:val="21"/>
          <w:lang w:val="zh-CN"/>
        </w:rPr>
      </w:pPr>
      <w:r>
        <w:rPr>
          <w:rFonts w:hint="eastAsia" w:ascii="仿宋" w:hAnsi="仿宋" w:eastAsia="仿宋" w:cs="仿宋"/>
          <w:b/>
          <w:kern w:val="0"/>
          <w:szCs w:val="21"/>
          <w:lang w:val="zh-CN"/>
        </w:rPr>
        <w:t>最低</w:t>
      </w:r>
      <w:r>
        <w:rPr>
          <w:rFonts w:hint="eastAsia" w:ascii="仿宋" w:hAnsi="仿宋" w:eastAsia="仿宋" w:cs="仿宋"/>
          <w:b/>
          <w:szCs w:val="21"/>
          <w:lang w:val="zh-CN"/>
        </w:rPr>
        <w:t>人员配备要求表</w:t>
      </w:r>
      <w:r>
        <w:rPr>
          <w:rFonts w:hint="eastAsia" w:ascii="仿宋" w:hAnsi="仿宋" w:eastAsia="仿宋" w:cs="仿宋"/>
          <w:b/>
          <w:kern w:val="0"/>
          <w:szCs w:val="21"/>
          <w:lang w:val="zh-CN"/>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8"/>
        <w:gridCol w:w="3079"/>
        <w:gridCol w:w="992"/>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308"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岗位名称</w:t>
            </w:r>
          </w:p>
        </w:tc>
        <w:tc>
          <w:tcPr>
            <w:tcW w:w="3079"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工作范围及职责</w:t>
            </w:r>
          </w:p>
        </w:tc>
        <w:tc>
          <w:tcPr>
            <w:tcW w:w="99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班次</w:t>
            </w:r>
          </w:p>
        </w:tc>
        <w:tc>
          <w:tcPr>
            <w:tcW w:w="709" w:type="dxa"/>
            <w:noWrap w:val="0"/>
            <w:vAlign w:val="center"/>
          </w:tcPr>
          <w:p>
            <w:pPr>
              <w:widowControl/>
              <w:jc w:val="center"/>
              <w:textAlignment w:val="center"/>
              <w:rPr>
                <w:rFonts w:hint="eastAsia" w:ascii="仿宋" w:hAnsi="仿宋" w:eastAsia="仿宋" w:cs="仿宋"/>
                <w:spacing w:val="-2"/>
                <w:szCs w:val="21"/>
              </w:rPr>
            </w:pPr>
            <w:r>
              <w:rPr>
                <w:rFonts w:hint="eastAsia" w:ascii="仿宋" w:hAnsi="仿宋" w:eastAsia="仿宋" w:cs="仿宋"/>
                <w:kern w:val="0"/>
                <w:szCs w:val="21"/>
                <w:lang w:bidi="ar"/>
              </w:rPr>
              <w:t>人数</w:t>
            </w:r>
          </w:p>
        </w:tc>
        <w:tc>
          <w:tcPr>
            <w:tcW w:w="226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130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项目经理</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保安人员管理、安保人员纠纷处置，与院方协调</w:t>
            </w:r>
          </w:p>
        </w:tc>
        <w:tc>
          <w:tcPr>
            <w:tcW w:w="992"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长期驻院</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268"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男性55周岁以下，女性50周岁以下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保安队长</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保安人员管理、安保人员纠纷处置，日常工作安排</w:t>
            </w:r>
          </w:p>
        </w:tc>
        <w:tc>
          <w:tcPr>
            <w:tcW w:w="99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 w:val="21"/>
                <w:szCs w:val="21"/>
              </w:rPr>
              <w:t>长期驻院</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268" w:type="dxa"/>
            <w:noWrap w:val="0"/>
            <w:vAlign w:val="center"/>
          </w:tcPr>
          <w:p>
            <w:pPr>
              <w:pStyle w:val="2"/>
              <w:spacing w:before="120" w:after="120"/>
              <w:jc w:val="center"/>
              <w:rPr>
                <w:rFonts w:hint="eastAsia" w:ascii="仿宋" w:hAnsi="仿宋" w:eastAsia="仿宋" w:cs="仿宋"/>
                <w:sz w:val="21"/>
                <w:szCs w:val="21"/>
              </w:rPr>
            </w:pPr>
            <w:r>
              <w:rPr>
                <w:rFonts w:hint="eastAsia" w:ascii="仿宋" w:hAnsi="仿宋" w:eastAsia="仿宋" w:cs="仿宋"/>
                <w:sz w:val="21"/>
                <w:szCs w:val="21"/>
              </w:rPr>
              <w:t>50周岁以下，退伍军人优先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消控室（特勤）</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日常信息安全，做好突发事件的应急响应调度和处理</w:t>
            </w:r>
          </w:p>
        </w:tc>
        <w:tc>
          <w:tcPr>
            <w:tcW w:w="99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268" w:type="dxa"/>
            <w:noWrap w:val="0"/>
            <w:vAlign w:val="center"/>
          </w:tcPr>
          <w:p>
            <w:pPr>
              <w:spacing w:before="120" w:after="120"/>
              <w:jc w:val="center"/>
              <w:rPr>
                <w:rFonts w:hint="eastAsia" w:ascii="仿宋" w:hAnsi="仿宋" w:eastAsia="仿宋" w:cs="仿宋"/>
                <w:b/>
                <w:bCs/>
                <w:szCs w:val="21"/>
              </w:rPr>
            </w:pPr>
            <w:r>
              <w:rPr>
                <w:rFonts w:hint="eastAsia" w:ascii="仿宋" w:hAnsi="仿宋" w:eastAsia="仿宋" w:cs="仿宋"/>
                <w:b/>
                <w:bCs/>
                <w:szCs w:val="21"/>
              </w:rPr>
              <w:t>45周岁以下，持有消控证上岗证，退伍军人优先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4</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门卫收发</w:t>
            </w:r>
          </w:p>
        </w:tc>
        <w:tc>
          <w:tcPr>
            <w:tcW w:w="3079"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门卫管理，邮件接收、信息转达</w:t>
            </w:r>
          </w:p>
        </w:tc>
        <w:tc>
          <w:tcPr>
            <w:tcW w:w="99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5</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西岗亭收费员</w:t>
            </w:r>
          </w:p>
        </w:tc>
        <w:tc>
          <w:tcPr>
            <w:tcW w:w="3079"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西岗亭收费员</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6</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南岗亭收费员</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南岗亭收费员</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二班制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7</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车辆管理员</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停车场车辆管理</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7:30-23:00</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西门口治安员、测温</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入口安保、秩序维护及各楼巡查、应急处置，进出人员测量体温</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7</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9</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宿舍管理员</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宿舍安保管理、卫生清洁</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24小时二班制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10</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公共卫生科管理员</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公共卫生科管理、秩序维护、应急处理</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按上班时间提前、推迟各10分钟</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11</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老年公寓分院区人员</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分院区开设后安保管理、门岗管理、楼层巡逻、应急处置</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6</w:t>
            </w:r>
          </w:p>
        </w:tc>
        <w:tc>
          <w:tcPr>
            <w:tcW w:w="2268" w:type="dxa"/>
            <w:noWrap w:val="0"/>
            <w:vAlign w:val="center"/>
          </w:tcPr>
          <w:p>
            <w:pPr>
              <w:spacing w:before="120" w:after="120"/>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12</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中医馆</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中医馆入口安保、秩序维护及各楼巡查</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13</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南门口治安员、测温(特勤）</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入口安保、秩序维护及各楼巡查、应急处置，进出人员测量体温</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早中二班制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14</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行政楼特勤人员(特勤）</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行政楼出入口秩序维护、医疗纠纷处理时维持次序、行政楼巡逻及其他应急处理</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按上班时间提前、推迟各10分钟</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268"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45周岁以下，男性，退伍军人优先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15</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急诊门口(特勤）</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急诊出入口秩序维护、医疗纠纷处理时维持次序、急诊门口巡逻及其他应急处理</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2268"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45周岁以下，男性，退伍军人优先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16</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住院部</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住院部出入口秩序维护、医疗纠纷处理时维持次序、住院部巡逻及其他应急处理</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5</w:t>
            </w:r>
          </w:p>
        </w:tc>
        <w:tc>
          <w:tcPr>
            <w:tcW w:w="2268" w:type="dxa"/>
            <w:noWrap w:val="0"/>
            <w:vAlign w:val="center"/>
          </w:tcPr>
          <w:p>
            <w:pPr>
              <w:spacing w:before="120" w:after="120"/>
              <w:jc w:val="center"/>
              <w:rPr>
                <w:rFonts w:hint="eastAsia" w:ascii="仿宋" w:hAnsi="仿宋" w:eastAsia="仿宋" w:cs="仿宋"/>
                <w:szCs w:val="21"/>
              </w:rPr>
            </w:pPr>
            <w:r>
              <w:rPr>
                <w:rFonts w:hint="eastAsia" w:ascii="仿宋" w:hAnsi="仿宋" w:eastAsia="仿宋" w:cs="仿宋"/>
                <w:szCs w:val="21"/>
              </w:rPr>
              <w:t>55周岁以下，男性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17</w:t>
            </w:r>
          </w:p>
        </w:tc>
        <w:tc>
          <w:tcPr>
            <w:tcW w:w="1308"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核酸挂号</w:t>
            </w:r>
          </w:p>
        </w:tc>
        <w:tc>
          <w:tcPr>
            <w:tcW w:w="307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核酸挂号</w:t>
            </w:r>
          </w:p>
        </w:tc>
        <w:tc>
          <w:tcPr>
            <w:tcW w:w="99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按采购人要求</w:t>
            </w:r>
          </w:p>
        </w:tc>
        <w:tc>
          <w:tcPr>
            <w:tcW w:w="709"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268" w:type="dxa"/>
            <w:noWrap w:val="0"/>
            <w:vAlign w:val="center"/>
          </w:tcPr>
          <w:p>
            <w:pPr>
              <w:spacing w:before="120" w:after="12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w:t>
            </w:r>
          </w:p>
        </w:tc>
        <w:tc>
          <w:tcPr>
            <w:tcW w:w="1308"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合计</w:t>
            </w:r>
          </w:p>
        </w:tc>
        <w:tc>
          <w:tcPr>
            <w:tcW w:w="3079" w:type="dxa"/>
            <w:noWrap w:val="0"/>
            <w:vAlign w:val="center"/>
          </w:tcPr>
          <w:p>
            <w:pPr>
              <w:widowControl/>
              <w:jc w:val="center"/>
              <w:textAlignment w:val="center"/>
              <w:rPr>
                <w:rFonts w:hint="eastAsia" w:ascii="仿宋" w:hAnsi="仿宋" w:eastAsia="仿宋" w:cs="仿宋"/>
                <w:color w:val="000000"/>
                <w:kern w:val="0"/>
                <w:szCs w:val="21"/>
                <w:lang w:bidi="ar"/>
              </w:rPr>
            </w:pPr>
          </w:p>
        </w:tc>
        <w:tc>
          <w:tcPr>
            <w:tcW w:w="992" w:type="dxa"/>
            <w:noWrap w:val="0"/>
            <w:vAlign w:val="center"/>
          </w:tcPr>
          <w:p>
            <w:pPr>
              <w:widowControl/>
              <w:jc w:val="center"/>
              <w:textAlignment w:val="center"/>
              <w:rPr>
                <w:rFonts w:hint="eastAsia" w:ascii="仿宋" w:hAnsi="仿宋" w:eastAsia="仿宋" w:cs="仿宋"/>
                <w:kern w:val="0"/>
                <w:szCs w:val="21"/>
                <w:lang w:bidi="ar"/>
              </w:rPr>
            </w:pPr>
          </w:p>
        </w:tc>
        <w:tc>
          <w:tcPr>
            <w:tcW w:w="709"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58</w:t>
            </w:r>
          </w:p>
        </w:tc>
        <w:tc>
          <w:tcPr>
            <w:tcW w:w="2268" w:type="dxa"/>
            <w:noWrap w:val="0"/>
            <w:vAlign w:val="center"/>
          </w:tcPr>
          <w:p>
            <w:pPr>
              <w:pStyle w:val="2"/>
              <w:spacing w:before="120" w:after="12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noWrap w:val="0"/>
            <w:vAlign w:val="center"/>
          </w:tcPr>
          <w:p>
            <w:pPr>
              <w:pStyle w:val="2"/>
              <w:tabs>
                <w:tab w:val="left" w:pos="0"/>
              </w:tabs>
              <w:spacing w:before="120" w:after="120"/>
              <w:jc w:val="center"/>
              <w:rPr>
                <w:rFonts w:hint="eastAsia" w:ascii="仿宋" w:hAnsi="仿宋" w:eastAsia="仿宋" w:cs="仿宋"/>
                <w:b/>
                <w:sz w:val="21"/>
                <w:szCs w:val="21"/>
              </w:rPr>
            </w:pPr>
            <w:r>
              <w:rPr>
                <w:rFonts w:hint="eastAsia" w:ascii="仿宋" w:hAnsi="仿宋" w:eastAsia="仿宋" w:cs="仿宋"/>
                <w:b/>
                <w:sz w:val="21"/>
                <w:szCs w:val="21"/>
              </w:rPr>
              <w:t>19</w:t>
            </w:r>
          </w:p>
        </w:tc>
        <w:tc>
          <w:tcPr>
            <w:tcW w:w="8356" w:type="dxa"/>
            <w:gridSpan w:val="5"/>
            <w:noWrap w:val="0"/>
            <w:vAlign w:val="center"/>
          </w:tcPr>
          <w:p>
            <w:pPr>
              <w:pStyle w:val="2"/>
              <w:spacing w:before="120" w:after="120"/>
              <w:jc w:val="center"/>
              <w:rPr>
                <w:rFonts w:hint="eastAsia" w:ascii="仿宋" w:hAnsi="仿宋" w:eastAsia="仿宋" w:cs="仿宋"/>
                <w:b/>
                <w:sz w:val="21"/>
                <w:szCs w:val="21"/>
              </w:rPr>
            </w:pPr>
            <w:r>
              <w:rPr>
                <w:rFonts w:hint="eastAsia" w:ascii="仿宋" w:hAnsi="仿宋" w:eastAsia="仿宋" w:cs="仿宋"/>
                <w:b/>
                <w:kern w:val="0"/>
                <w:sz w:val="21"/>
                <w:szCs w:val="21"/>
                <w:lang w:bidi="ar"/>
              </w:rPr>
              <w:t>注：监控消防室上岗人员必须持有消防员上岗证，其他保安人员须持相应岗位证书</w:t>
            </w:r>
          </w:p>
        </w:tc>
      </w:tr>
    </w:tbl>
    <w:p>
      <w:pPr>
        <w:spacing w:line="276" w:lineRule="auto"/>
        <w:ind w:firstLine="310" w:firstLineChars="147"/>
        <w:rPr>
          <w:rFonts w:hint="eastAsia" w:ascii="仿宋" w:hAnsi="仿宋" w:eastAsia="仿宋" w:cs="仿宋"/>
          <w:b/>
          <w:kern w:val="0"/>
          <w:szCs w:val="21"/>
        </w:rPr>
      </w:pPr>
    </w:p>
    <w:p>
      <w:pPr>
        <w:spacing w:line="276" w:lineRule="auto"/>
        <w:ind w:firstLine="310" w:firstLineChars="147"/>
        <w:rPr>
          <w:rFonts w:hint="eastAsia" w:ascii="仿宋" w:hAnsi="仿宋" w:eastAsia="仿宋" w:cs="仿宋"/>
          <w:b/>
          <w:kern w:val="0"/>
          <w:szCs w:val="21"/>
        </w:rPr>
      </w:pPr>
    </w:p>
    <w:p>
      <w:pPr>
        <w:spacing w:line="276" w:lineRule="auto"/>
        <w:ind w:firstLine="310" w:firstLineChars="147"/>
        <w:rPr>
          <w:rFonts w:hint="eastAsia" w:ascii="仿宋" w:hAnsi="仿宋" w:eastAsia="仿宋" w:cs="仿宋"/>
          <w:b/>
          <w:kern w:val="0"/>
          <w:szCs w:val="21"/>
        </w:rPr>
      </w:pPr>
      <w:r>
        <w:rPr>
          <w:rFonts w:hint="eastAsia" w:ascii="仿宋" w:hAnsi="仿宋" w:eastAsia="仿宋" w:cs="仿宋"/>
          <w:b/>
          <w:kern w:val="0"/>
          <w:szCs w:val="21"/>
        </w:rPr>
        <w:t>考核标准及附件</w:t>
      </w:r>
      <w:r>
        <w:rPr>
          <w:rFonts w:hint="eastAsia" w:ascii="仿宋" w:hAnsi="仿宋" w:eastAsia="仿宋" w:cs="仿宋"/>
          <w:b/>
          <w:bCs/>
          <w:szCs w:val="21"/>
        </w:rPr>
        <w:t>《余姚市第四人民医院保安保卫考核》</w:t>
      </w:r>
      <w:r>
        <w:rPr>
          <w:rFonts w:hint="eastAsia" w:ascii="仿宋" w:hAnsi="仿宋" w:eastAsia="仿宋" w:cs="仿宋"/>
          <w:b/>
          <w:kern w:val="0"/>
          <w:szCs w:val="21"/>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7.1</w:t>
            </w:r>
          </w:p>
        </w:tc>
        <w:tc>
          <w:tcPr>
            <w:tcW w:w="8221" w:type="dxa"/>
            <w:noWrap w:val="0"/>
            <w:vAlign w:val="top"/>
          </w:tcPr>
          <w:p>
            <w:pPr>
              <w:rPr>
                <w:rFonts w:hint="eastAsia" w:ascii="仿宋" w:hAnsi="仿宋" w:eastAsia="仿宋" w:cs="仿宋"/>
                <w:b/>
                <w:bCs/>
                <w:szCs w:val="21"/>
              </w:rPr>
            </w:pPr>
            <w:r>
              <w:rPr>
                <w:rFonts w:hint="eastAsia" w:ascii="仿宋" w:hAnsi="仿宋" w:eastAsia="仿宋" w:cs="仿宋"/>
                <w:b/>
                <w:bCs/>
                <w:szCs w:val="21"/>
              </w:rPr>
              <w:t>保安服务考核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日常督查、巡查由甲方实施（两人以上---含两人督查）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①</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日常巡查中发现问题当面告知当事人（或乙方管理员）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②</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现场填写督查回执，并交当事人签字（或乙方管理员），告知乙方负责人；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③</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做好督查记录，并在下次结算时兑现督查奖罚结果。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日常月考核：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①</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日常月考核由甲方组织，甲方应派三人以上参加，考核时通知乙方，并由乙方派人员共同参加考核；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②</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日常月考核为综合考核；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③</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考核分值及考核目标，90分以下每降低1分扣1000元；</w:t>
            </w:r>
            <w:r>
              <w:rPr>
                <w:rFonts w:hint="eastAsia" w:ascii="仿宋" w:hAnsi="仿宋" w:eastAsia="仿宋" w:cs="仿宋"/>
                <w:b/>
                <w:bCs/>
                <w:szCs w:val="21"/>
              </w:rPr>
              <w:t>（详见《余姚市第四人民医院保安保卫考核》)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④</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做好考核结果记录，参加考核人员签名，并在下次结算承包款时兑现考核奖罚结果；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年终综合考核：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jc w:val="center"/>
              <w:rPr>
                <w:rFonts w:hint="eastAsia" w:ascii="仿宋" w:hAnsi="仿宋" w:eastAsia="仿宋" w:cs="仿宋"/>
                <w:szCs w:val="21"/>
              </w:rPr>
            </w:pP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由日常月考核累计平分和甲乙双方现场检查和乙方满意度测评和反馈意见方式进行</w:t>
            </w:r>
            <w:r>
              <w:rPr>
                <w:rFonts w:hint="eastAsia" w:ascii="仿宋" w:hAnsi="仿宋" w:eastAsia="仿宋" w:cs="仿宋"/>
                <w:b/>
                <w:bCs/>
                <w:szCs w:val="21"/>
              </w:rPr>
              <w:t>（详见《余姚市第四人民医院保安保卫考核》）</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380" w:lineRule="exact"/>
              <w:jc w:val="center"/>
              <w:rPr>
                <w:rFonts w:hint="eastAsia" w:ascii="仿宋" w:hAnsi="仿宋" w:eastAsia="仿宋" w:cs="仿宋"/>
                <w:b/>
                <w:bCs/>
                <w:szCs w:val="21"/>
              </w:rPr>
            </w:pPr>
            <w:r>
              <w:rPr>
                <w:rFonts w:hint="eastAsia" w:ascii="仿宋" w:hAnsi="仿宋" w:eastAsia="仿宋" w:cs="仿宋"/>
                <w:b/>
                <w:bCs/>
                <w:szCs w:val="21"/>
              </w:rPr>
              <w:t>7.2</w:t>
            </w:r>
          </w:p>
        </w:tc>
        <w:tc>
          <w:tcPr>
            <w:tcW w:w="8221" w:type="dxa"/>
            <w:noWrap w:val="0"/>
            <w:vAlign w:val="top"/>
          </w:tcPr>
          <w:p>
            <w:pPr>
              <w:spacing w:line="380" w:lineRule="exact"/>
              <w:rPr>
                <w:rFonts w:hint="eastAsia" w:ascii="仿宋" w:hAnsi="仿宋" w:eastAsia="仿宋" w:cs="仿宋"/>
                <w:szCs w:val="21"/>
              </w:rPr>
            </w:pPr>
            <w:r>
              <w:rPr>
                <w:rFonts w:hint="eastAsia" w:ascii="仿宋" w:hAnsi="仿宋" w:eastAsia="仿宋" w:cs="仿宋"/>
                <w:b/>
                <w:bCs/>
                <w:szCs w:val="21"/>
              </w:rPr>
              <w:t>有关其他扣罚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①</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在工作场所喝酒、打牌、下棋、洗衣服或办其他个人私事的，发现一起扣100元；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②</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上班执勤时不按规定着装（穿制服、戴帽子、戴工作证），每发现一次扣罚20元。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③</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穿制服外出、或者带醉意（面红耳赤、口吐酒气、语无伦次，行动摇摆）上班的每发现一起扣100元；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④</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上班执勤时有迟到、早退、串岗、离岗（脱离岗位十分钟，且在勤务区域内找不到人者）、打瞌睡的每发现一起扣100元，造成严重后果的,劝退工作人员且处罚5000元。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⑤</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上班执勤时与无关人员闲聊、抽烟、吃东西、看书报、听音乐、坐卧、打电话（十分钟以上）或做与工作无关的事的每发现一起扣100元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⑥</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上班执勤过程中，乱调对讲机频道，或者在对讲机中开玩笑、聊天、说粗（脏）话、骂人的每发现一起扣100元；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⑦</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偷拿医院和病人财物，经查实每发现一起扣1000元；情节严重的移交有关部门处理。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⑧</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收取小费或私自处理病人遗留财物的，经查实，退回所收小费及遗留财物并每一起扣500元；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⑨</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聚众闹事、打架斗殴，每发现一起扣1000元。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⑩</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与医护人员顶撞或与病人、病人家属发生争吵的，每发现一起扣200元；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⑪</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上班执勤时对客人、贵宾、医院（部门）领导礼节礼貌不好、顶撞、谩骂、威胁的每发现一起扣200元。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⑫</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不按规定进行执勤登记，交接班不清楚，不在规定的地点交接班，有问题接班时未发现的（由接班人负责）每发现一起扣100元；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⑬</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在上班执勤中对进入医院内的小商小贩坐视不管、听之任之，违反规定的每发现一起扣20元；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⑭</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医院发生各种突发事件，保安人员在一定时间内未赶到现场，未尽到相应职责，每发现一起扣罚100元。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⑮</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不履行岗位职责，擅自放行医院物品出门，造成医院损失，发现一起经查实按物品同等价格处罚。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jc w:val="center"/>
              <w:rPr>
                <w:rFonts w:hint="eastAsia" w:ascii="仿宋" w:hAnsi="仿宋" w:eastAsia="仿宋" w:cs="仿宋"/>
                <w:szCs w:val="21"/>
              </w:rPr>
            </w:pPr>
            <w:r>
              <w:rPr>
                <w:rFonts w:hint="eastAsia" w:ascii="仿宋" w:hAnsi="仿宋" w:eastAsia="仿宋" w:cs="仿宋"/>
                <w:szCs w:val="21"/>
              </w:rPr>
              <w:t>⑯</w:t>
            </w:r>
          </w:p>
        </w:tc>
        <w:tc>
          <w:tcPr>
            <w:tcW w:w="8221" w:type="dxa"/>
            <w:noWrap w:val="0"/>
            <w:vAlign w:val="top"/>
          </w:tcPr>
          <w:p>
            <w:pPr>
              <w:rPr>
                <w:rFonts w:hint="eastAsia" w:ascii="仿宋" w:hAnsi="仿宋" w:eastAsia="仿宋" w:cs="仿宋"/>
                <w:szCs w:val="21"/>
              </w:rPr>
            </w:pPr>
            <w:r>
              <w:rPr>
                <w:rFonts w:hint="eastAsia" w:ascii="仿宋" w:hAnsi="仿宋" w:eastAsia="仿宋" w:cs="仿宋"/>
                <w:szCs w:val="21"/>
              </w:rPr>
              <w:t>人为损坏（甩、砸、碰、私自拆装等）对讲机的，还需按照损坏部件和程度照价赔偿（或接班时不检查对方人员对讲机状况，若出现问题由接班人负责），同时每发现一起扣100元；</w:t>
            </w:r>
          </w:p>
        </w:tc>
      </w:tr>
    </w:tbl>
    <w:p>
      <w:pPr>
        <w:pStyle w:val="13"/>
        <w:rPr>
          <w:rFonts w:hint="eastAsia" w:ascii="仿宋" w:hAnsi="仿宋" w:eastAsia="仿宋" w:cs="仿宋"/>
          <w:b/>
          <w:kern w:val="0"/>
          <w:sz w:val="21"/>
          <w:szCs w:val="21"/>
        </w:rPr>
      </w:pPr>
    </w:p>
    <w:p>
      <w:pPr>
        <w:pStyle w:val="13"/>
        <w:rPr>
          <w:rFonts w:hint="eastAsia" w:ascii="仿宋" w:hAnsi="仿宋" w:eastAsia="仿宋" w:cs="仿宋"/>
          <w:b/>
          <w:kern w:val="0"/>
          <w:sz w:val="21"/>
          <w:szCs w:val="21"/>
        </w:rPr>
      </w:pPr>
      <w:r>
        <w:rPr>
          <w:rFonts w:hint="eastAsia" w:ascii="仿宋" w:hAnsi="仿宋" w:eastAsia="仿宋" w:cs="仿宋"/>
          <w:b/>
          <w:kern w:val="0"/>
          <w:sz w:val="21"/>
          <w:szCs w:val="21"/>
        </w:rPr>
        <w:t>附件：</w:t>
      </w:r>
      <w:r>
        <w:rPr>
          <w:rFonts w:hint="eastAsia" w:ascii="仿宋" w:hAnsi="仿宋" w:eastAsia="仿宋" w:cs="仿宋"/>
          <w:b/>
          <w:bCs/>
          <w:sz w:val="21"/>
          <w:szCs w:val="21"/>
        </w:rPr>
        <w:t>《余姚市第四人民医院保安保卫考核》</w:t>
      </w:r>
    </w:p>
    <w:p>
      <w:pPr>
        <w:jc w:val="center"/>
        <w:rPr>
          <w:rFonts w:hint="eastAsia" w:ascii="仿宋" w:hAnsi="仿宋" w:eastAsia="仿宋" w:cs="仿宋"/>
          <w:szCs w:val="21"/>
        </w:rPr>
      </w:pPr>
      <w:r>
        <w:rPr>
          <w:rFonts w:hint="eastAsia" w:ascii="仿宋" w:hAnsi="仿宋" w:eastAsia="仿宋" w:cs="仿宋"/>
          <w:szCs w:val="21"/>
        </w:rPr>
        <w:t>余姚市第四人民医院保安保卫考核</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48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ascii="仿宋" w:hAnsi="仿宋" w:eastAsia="仿宋" w:cs="仿宋"/>
                <w:szCs w:val="21"/>
              </w:rPr>
            </w:pPr>
            <w:r>
              <w:rPr>
                <w:rFonts w:hint="eastAsia" w:ascii="仿宋" w:hAnsi="仿宋" w:eastAsia="仿宋" w:cs="仿宋"/>
                <w:szCs w:val="21"/>
              </w:rPr>
              <w:t>考核项目（分值）</w:t>
            </w:r>
          </w:p>
        </w:tc>
        <w:tc>
          <w:tcPr>
            <w:tcW w:w="5940"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考核内容</w:t>
            </w:r>
          </w:p>
        </w:tc>
        <w:tc>
          <w:tcPr>
            <w:tcW w:w="900" w:type="dxa"/>
            <w:noWrap w:val="0"/>
            <w:vAlign w:val="center"/>
          </w:tcPr>
          <w:p>
            <w:pPr>
              <w:jc w:val="center"/>
              <w:rPr>
                <w:rFonts w:hint="eastAsia" w:ascii="仿宋" w:hAnsi="仿宋" w:eastAsia="仿宋" w:cs="仿宋"/>
                <w:szCs w:val="21"/>
              </w:rPr>
            </w:pPr>
            <w:r>
              <w:rPr>
                <w:rFonts w:hint="eastAsia" w:ascii="仿宋" w:hAnsi="仿宋" w:eastAsia="仿宋" w:cs="仿宋"/>
                <w:szCs w:val="21"/>
              </w:rPr>
              <w:t>扣分</w:t>
            </w:r>
          </w:p>
        </w:tc>
        <w:tc>
          <w:tcPr>
            <w:tcW w:w="900" w:type="dxa"/>
            <w:noWrap w:val="0"/>
            <w:vAlign w:val="center"/>
          </w:tcPr>
          <w:p>
            <w:pPr>
              <w:jc w:val="center"/>
              <w:rPr>
                <w:rFonts w:hint="eastAsia" w:ascii="仿宋" w:hAnsi="仿宋" w:eastAsia="仿宋" w:cs="仿宋"/>
                <w:szCs w:val="21"/>
              </w:rPr>
            </w:pPr>
            <w:r>
              <w:rPr>
                <w:rFonts w:hint="eastAsia" w:ascii="仿宋" w:hAnsi="仿宋" w:eastAsia="仿宋" w:cs="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36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工作目标80</w:t>
            </w:r>
          </w:p>
        </w:tc>
        <w:tc>
          <w:tcPr>
            <w:tcW w:w="1080" w:type="dxa"/>
            <w:noWrap w:val="0"/>
            <w:vAlign w:val="center"/>
          </w:tcPr>
          <w:p>
            <w:pPr>
              <w:jc w:val="center"/>
              <w:rPr>
                <w:rFonts w:hint="eastAsia" w:ascii="仿宋" w:hAnsi="仿宋" w:eastAsia="仿宋" w:cs="仿宋"/>
                <w:szCs w:val="21"/>
              </w:rPr>
            </w:pPr>
            <w:r>
              <w:rPr>
                <w:rFonts w:hint="eastAsia" w:ascii="仿宋" w:hAnsi="仿宋" w:eastAsia="仿宋" w:cs="仿宋"/>
                <w:szCs w:val="21"/>
              </w:rPr>
              <w:t>平安、**（30）</w:t>
            </w:r>
          </w:p>
        </w:tc>
        <w:tc>
          <w:tcPr>
            <w:tcW w:w="4860" w:type="dxa"/>
            <w:noWrap w:val="0"/>
            <w:vAlign w:val="center"/>
          </w:tcPr>
          <w:p>
            <w:pPr>
              <w:rPr>
                <w:rFonts w:hint="eastAsia" w:ascii="仿宋" w:hAnsi="仿宋" w:eastAsia="仿宋" w:cs="仿宋"/>
                <w:szCs w:val="21"/>
              </w:rPr>
            </w:pPr>
            <w:r>
              <w:rPr>
                <w:rFonts w:hint="eastAsia" w:ascii="仿宋" w:hAnsi="仿宋" w:eastAsia="仿宋" w:cs="仿宋"/>
                <w:szCs w:val="21"/>
              </w:rPr>
              <w:t>平安医院暗访等被通报扣15分；发生医患纠纷或冲突时因保安未及时到场致医护人员被打扣30分，虽在场但未尽到保护职责扣20分；发生医院财产失窃事件扣10分。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8" w:type="dxa"/>
            <w:vMerge w:val="continue"/>
            <w:noWrap w:val="0"/>
            <w:vAlign w:val="center"/>
          </w:tcPr>
          <w:p>
            <w:pPr>
              <w:jc w:val="center"/>
              <w:rPr>
                <w:rFonts w:hint="eastAsia" w:ascii="仿宋" w:hAnsi="仿宋" w:eastAsia="仿宋" w:cs="仿宋"/>
                <w:szCs w:val="21"/>
              </w:rPr>
            </w:pPr>
          </w:p>
        </w:tc>
        <w:tc>
          <w:tcPr>
            <w:tcW w:w="1080" w:type="dxa"/>
            <w:noWrap w:val="0"/>
            <w:vAlign w:val="center"/>
          </w:tcPr>
          <w:p>
            <w:pPr>
              <w:jc w:val="center"/>
              <w:rPr>
                <w:rFonts w:hint="eastAsia" w:ascii="仿宋" w:hAnsi="仿宋" w:eastAsia="仿宋" w:cs="仿宋"/>
                <w:szCs w:val="21"/>
              </w:rPr>
            </w:pPr>
            <w:r>
              <w:rPr>
                <w:rFonts w:hint="eastAsia" w:ascii="仿宋" w:hAnsi="仿宋" w:eastAsia="仿宋" w:cs="仿宋"/>
                <w:szCs w:val="21"/>
              </w:rPr>
              <w:t>消防管理（20）</w:t>
            </w:r>
          </w:p>
        </w:tc>
        <w:tc>
          <w:tcPr>
            <w:tcW w:w="4860" w:type="dxa"/>
            <w:noWrap w:val="0"/>
            <w:vAlign w:val="center"/>
          </w:tcPr>
          <w:p>
            <w:pPr>
              <w:rPr>
                <w:rFonts w:hint="eastAsia" w:ascii="仿宋" w:hAnsi="仿宋" w:eastAsia="仿宋" w:cs="仿宋"/>
                <w:szCs w:val="21"/>
              </w:rPr>
            </w:pPr>
            <w:r>
              <w:rPr>
                <w:rFonts w:hint="eastAsia" w:ascii="仿宋" w:hAnsi="仿宋" w:eastAsia="仿宋" w:cs="仿宋"/>
                <w:szCs w:val="21"/>
              </w:rPr>
              <w:t>发生火情时未形成3分钟到场处置力量扣5分，造成后果扣20分。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368" w:type="dxa"/>
            <w:vMerge w:val="continue"/>
            <w:noWrap w:val="0"/>
            <w:vAlign w:val="center"/>
          </w:tcPr>
          <w:p>
            <w:pPr>
              <w:jc w:val="center"/>
              <w:rPr>
                <w:rFonts w:hint="eastAsia" w:ascii="仿宋" w:hAnsi="仿宋" w:eastAsia="仿宋" w:cs="仿宋"/>
                <w:szCs w:val="21"/>
              </w:rPr>
            </w:pPr>
          </w:p>
        </w:tc>
        <w:tc>
          <w:tcPr>
            <w:tcW w:w="1080" w:type="dxa"/>
            <w:noWrap w:val="0"/>
            <w:vAlign w:val="center"/>
          </w:tcPr>
          <w:p>
            <w:pPr>
              <w:jc w:val="center"/>
              <w:rPr>
                <w:rFonts w:hint="eastAsia" w:ascii="仿宋" w:hAnsi="仿宋" w:eastAsia="仿宋" w:cs="仿宋"/>
                <w:szCs w:val="21"/>
              </w:rPr>
            </w:pPr>
            <w:r>
              <w:rPr>
                <w:rFonts w:hint="eastAsia" w:ascii="仿宋" w:hAnsi="仿宋" w:eastAsia="仿宋" w:cs="仿宋"/>
                <w:szCs w:val="21"/>
              </w:rPr>
              <w:t>车辆管理（20）</w:t>
            </w:r>
          </w:p>
        </w:tc>
        <w:tc>
          <w:tcPr>
            <w:tcW w:w="4860" w:type="dxa"/>
            <w:noWrap w:val="0"/>
            <w:vAlign w:val="center"/>
          </w:tcPr>
          <w:p>
            <w:pPr>
              <w:rPr>
                <w:rFonts w:hint="eastAsia" w:ascii="仿宋" w:hAnsi="仿宋" w:eastAsia="仿宋" w:cs="仿宋"/>
                <w:szCs w:val="21"/>
              </w:rPr>
            </w:pPr>
            <w:r>
              <w:rPr>
                <w:rFonts w:hint="eastAsia" w:ascii="仿宋" w:hAnsi="仿宋" w:eastAsia="仿宋" w:cs="仿宋"/>
                <w:szCs w:val="21"/>
              </w:rPr>
              <w:t>车辆秩序混乱每发现1次扣0.5分；车辆收费未提供发票扣0.5分；上交金额与报表不符且无正当理由每次扣1分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Merge w:val="continue"/>
            <w:noWrap w:val="0"/>
            <w:vAlign w:val="center"/>
          </w:tcPr>
          <w:p>
            <w:pPr>
              <w:jc w:val="center"/>
              <w:rPr>
                <w:rFonts w:hint="eastAsia" w:ascii="仿宋" w:hAnsi="仿宋" w:eastAsia="仿宋" w:cs="仿宋"/>
                <w:szCs w:val="21"/>
              </w:rPr>
            </w:pPr>
          </w:p>
        </w:tc>
        <w:tc>
          <w:tcPr>
            <w:tcW w:w="1080" w:type="dxa"/>
            <w:noWrap w:val="0"/>
            <w:vAlign w:val="center"/>
          </w:tcPr>
          <w:p>
            <w:pPr>
              <w:jc w:val="center"/>
              <w:rPr>
                <w:rFonts w:hint="eastAsia" w:ascii="仿宋" w:hAnsi="仿宋" w:eastAsia="仿宋" w:cs="仿宋"/>
                <w:szCs w:val="21"/>
              </w:rPr>
            </w:pPr>
            <w:r>
              <w:rPr>
                <w:rFonts w:hint="eastAsia" w:ascii="仿宋" w:hAnsi="仿宋" w:eastAsia="仿宋" w:cs="仿宋"/>
                <w:szCs w:val="21"/>
              </w:rPr>
              <w:t>工作记录（5）</w:t>
            </w:r>
          </w:p>
        </w:tc>
        <w:tc>
          <w:tcPr>
            <w:tcW w:w="4860" w:type="dxa"/>
            <w:noWrap w:val="0"/>
            <w:vAlign w:val="center"/>
          </w:tcPr>
          <w:p>
            <w:pPr>
              <w:rPr>
                <w:rFonts w:hint="eastAsia" w:ascii="仿宋" w:hAnsi="仿宋" w:eastAsia="仿宋" w:cs="仿宋"/>
                <w:szCs w:val="21"/>
              </w:rPr>
            </w:pPr>
            <w:r>
              <w:rPr>
                <w:rFonts w:hint="eastAsia" w:ascii="仿宋" w:hAnsi="仿宋" w:eastAsia="仿宋" w:cs="仿宋"/>
                <w:szCs w:val="21"/>
              </w:rPr>
              <w:t>各种工作记录不全1种扣0.5分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68" w:type="dxa"/>
            <w:vMerge w:val="continue"/>
            <w:noWrap w:val="0"/>
            <w:vAlign w:val="center"/>
          </w:tcPr>
          <w:p>
            <w:pPr>
              <w:jc w:val="center"/>
              <w:rPr>
                <w:rFonts w:hint="eastAsia" w:ascii="仿宋" w:hAnsi="仿宋" w:eastAsia="仿宋" w:cs="仿宋"/>
                <w:szCs w:val="21"/>
              </w:rPr>
            </w:pPr>
          </w:p>
        </w:tc>
        <w:tc>
          <w:tcPr>
            <w:tcW w:w="1080" w:type="dxa"/>
            <w:noWrap w:val="0"/>
            <w:vAlign w:val="center"/>
          </w:tcPr>
          <w:p>
            <w:pPr>
              <w:jc w:val="center"/>
              <w:rPr>
                <w:rFonts w:hint="eastAsia" w:ascii="仿宋" w:hAnsi="仿宋" w:eastAsia="仿宋" w:cs="仿宋"/>
                <w:szCs w:val="21"/>
              </w:rPr>
            </w:pPr>
            <w:r>
              <w:rPr>
                <w:rFonts w:hint="eastAsia" w:ascii="仿宋" w:hAnsi="仿宋" w:eastAsia="仿宋" w:cs="仿宋"/>
                <w:szCs w:val="21"/>
              </w:rPr>
              <w:t>仪容仪表（5）</w:t>
            </w:r>
          </w:p>
        </w:tc>
        <w:tc>
          <w:tcPr>
            <w:tcW w:w="4860" w:type="dxa"/>
            <w:noWrap w:val="0"/>
            <w:vAlign w:val="center"/>
          </w:tcPr>
          <w:p>
            <w:pPr>
              <w:rPr>
                <w:rFonts w:hint="eastAsia" w:ascii="仿宋" w:hAnsi="仿宋" w:eastAsia="仿宋" w:cs="仿宋"/>
                <w:szCs w:val="21"/>
              </w:rPr>
            </w:pPr>
            <w:r>
              <w:rPr>
                <w:rFonts w:hint="eastAsia" w:ascii="仿宋" w:hAnsi="仿宋" w:eastAsia="仿宋" w:cs="仿宋"/>
                <w:szCs w:val="21"/>
              </w:rPr>
              <w:t>未穿戴装备或仪表不正每发现1次扣0.5分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noWrap w:val="0"/>
            <w:vAlign w:val="center"/>
          </w:tcPr>
          <w:p>
            <w:pPr>
              <w:jc w:val="center"/>
              <w:rPr>
                <w:rFonts w:hint="eastAsia" w:ascii="仿宋" w:hAnsi="仿宋" w:eastAsia="仿宋" w:cs="仿宋"/>
                <w:szCs w:val="21"/>
              </w:rPr>
            </w:pPr>
            <w:r>
              <w:rPr>
                <w:rFonts w:hint="eastAsia" w:ascii="仿宋" w:hAnsi="仿宋" w:eastAsia="仿宋" w:cs="仿宋"/>
                <w:szCs w:val="21"/>
              </w:rPr>
              <w:t>投诉10</w:t>
            </w:r>
          </w:p>
        </w:tc>
        <w:tc>
          <w:tcPr>
            <w:tcW w:w="5940" w:type="dxa"/>
            <w:gridSpan w:val="2"/>
            <w:noWrap w:val="0"/>
            <w:vAlign w:val="center"/>
          </w:tcPr>
          <w:p>
            <w:pPr>
              <w:rPr>
                <w:rFonts w:hint="eastAsia" w:ascii="仿宋" w:hAnsi="仿宋" w:eastAsia="仿宋" w:cs="仿宋"/>
                <w:szCs w:val="21"/>
              </w:rPr>
            </w:pPr>
            <w:r>
              <w:rPr>
                <w:rFonts w:hint="eastAsia" w:ascii="仿宋" w:hAnsi="仿宋" w:eastAsia="仿宋" w:cs="仿宋"/>
                <w:szCs w:val="21"/>
              </w:rPr>
              <w:t>每被投诉一起扣1分，投诉情况属实扣200元</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8" w:type="dxa"/>
            <w:noWrap w:val="0"/>
            <w:vAlign w:val="center"/>
          </w:tcPr>
          <w:p>
            <w:pPr>
              <w:jc w:val="center"/>
              <w:rPr>
                <w:rFonts w:hint="eastAsia" w:ascii="仿宋" w:hAnsi="仿宋" w:eastAsia="仿宋" w:cs="仿宋"/>
                <w:szCs w:val="21"/>
              </w:rPr>
            </w:pPr>
            <w:r>
              <w:rPr>
                <w:rFonts w:hint="eastAsia" w:ascii="仿宋" w:hAnsi="仿宋" w:eastAsia="仿宋" w:cs="仿宋"/>
                <w:szCs w:val="21"/>
              </w:rPr>
              <w:t>科室满意度10</w:t>
            </w:r>
          </w:p>
        </w:tc>
        <w:tc>
          <w:tcPr>
            <w:tcW w:w="5940" w:type="dxa"/>
            <w:gridSpan w:val="2"/>
            <w:noWrap w:val="0"/>
            <w:vAlign w:val="center"/>
          </w:tcPr>
          <w:p>
            <w:pPr>
              <w:rPr>
                <w:rFonts w:hint="eastAsia" w:ascii="仿宋" w:hAnsi="仿宋" w:eastAsia="仿宋" w:cs="仿宋"/>
                <w:szCs w:val="21"/>
              </w:rPr>
            </w:pPr>
            <w:r>
              <w:rPr>
                <w:rFonts w:hint="eastAsia" w:ascii="仿宋" w:hAnsi="仿宋" w:eastAsia="仿宋" w:cs="仿宋"/>
                <w:szCs w:val="21"/>
              </w:rPr>
              <w:t>科室平均满意度在95以上每上升1分加1分，90以下每下降1分扣1分</w:t>
            </w: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68" w:type="dxa"/>
            <w:noWrap w:val="0"/>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5940" w:type="dxa"/>
            <w:gridSpan w:val="2"/>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c>
          <w:tcPr>
            <w:tcW w:w="900" w:type="dxa"/>
            <w:noWrap w:val="0"/>
            <w:vAlign w:val="center"/>
          </w:tcPr>
          <w:p>
            <w:pPr>
              <w:jc w:val="center"/>
              <w:rPr>
                <w:rFonts w:hint="eastAsia" w:ascii="仿宋" w:hAnsi="仿宋" w:eastAsia="仿宋" w:cs="仿宋"/>
                <w:szCs w:val="21"/>
              </w:rPr>
            </w:pPr>
          </w:p>
        </w:tc>
      </w:tr>
    </w:tbl>
    <w:p>
      <w:pPr>
        <w:rPr>
          <w:rFonts w:hint="eastAsia" w:ascii="仿宋" w:hAnsi="仿宋" w:eastAsia="仿宋" w:cs="仿宋"/>
          <w:szCs w:val="21"/>
        </w:rPr>
      </w:pPr>
      <w:r>
        <w:rPr>
          <w:rFonts w:hint="eastAsia" w:ascii="仿宋" w:hAnsi="仿宋" w:eastAsia="仿宋" w:cs="仿宋"/>
          <w:szCs w:val="21"/>
        </w:rPr>
        <w:t xml:space="preserve">      考核人员：                                 年        月</w:t>
      </w: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p>
    <w:p>
      <w:pPr>
        <w:pStyle w:val="121"/>
        <w:ind w:left="0" w:leftChars="0" w:firstLine="0"/>
        <w:jc w:val="center"/>
        <w:outlineLvl w:val="0"/>
        <w:rPr>
          <w:rFonts w:hint="eastAsia" w:ascii="仿宋" w:hAnsi="仿宋" w:eastAsia="仿宋" w:cs="仿宋"/>
          <w:color w:val="000000"/>
          <w:szCs w:val="21"/>
        </w:rPr>
      </w:pPr>
      <w:r>
        <w:rPr>
          <w:rFonts w:hint="eastAsia" w:ascii="仿宋" w:hAnsi="仿宋" w:eastAsia="仿宋" w:cs="仿宋"/>
          <w:color w:val="000000"/>
          <w:szCs w:val="21"/>
        </w:rPr>
        <w:t>第三章  供应商须知</w:t>
      </w:r>
      <w:bookmarkEnd w:id="49"/>
      <w:bookmarkEnd w:id="50"/>
    </w:p>
    <w:p>
      <w:pPr>
        <w:snapToGrid w:val="0"/>
        <w:spacing w:line="360" w:lineRule="auto"/>
        <w:ind w:left="238"/>
        <w:jc w:val="center"/>
        <w:outlineLvl w:val="1"/>
        <w:rPr>
          <w:rFonts w:hint="eastAsia" w:ascii="仿宋" w:hAnsi="仿宋" w:eastAsia="仿宋" w:cs="仿宋"/>
          <w:b/>
          <w:color w:val="000000"/>
          <w:szCs w:val="21"/>
        </w:rPr>
      </w:pPr>
      <w:bookmarkStart w:id="51" w:name="_Toc29562"/>
      <w:bookmarkStart w:id="52" w:name="_Toc18530"/>
      <w:r>
        <w:rPr>
          <w:rFonts w:hint="eastAsia" w:ascii="仿宋" w:hAnsi="仿宋" w:eastAsia="仿宋" w:cs="仿宋"/>
          <w:b/>
          <w:color w:val="000000"/>
          <w:szCs w:val="21"/>
        </w:rPr>
        <w:t>前附表</w:t>
      </w:r>
      <w:bookmarkEnd w:id="51"/>
      <w:bookmarkEnd w:id="52"/>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项目名称：</w:t>
            </w:r>
            <w:r>
              <w:rPr>
                <w:rFonts w:hint="eastAsia" w:ascii="仿宋" w:hAnsi="仿宋" w:eastAsia="仿宋" w:cs="仿宋"/>
                <w:color w:val="000000"/>
                <w:szCs w:val="21"/>
              </w:rPr>
              <w:t>余姚市第四人民医院保安服务项目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rPr>
            </w:pPr>
            <w:r>
              <w:rPr>
                <w:rFonts w:hint="eastAsia" w:ascii="仿宋" w:hAnsi="仿宋" w:eastAsia="仿宋" w:cs="仿宋"/>
                <w:b/>
                <w:bCs/>
                <w:color w:val="000000"/>
                <w:szCs w:val="21"/>
              </w:rPr>
              <w:t>预算金额及最高限价：</w:t>
            </w:r>
            <w:r>
              <w:rPr>
                <w:rFonts w:hint="eastAsia" w:ascii="仿宋" w:hAnsi="仿宋" w:eastAsia="仿宋" w:cs="仿宋"/>
                <w:color w:val="000000"/>
                <w:szCs w:val="21"/>
              </w:rPr>
              <w:t>详见招标公告，投标人的投标报价超过预算价（最高限价）的，作无效标处理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color w:val="000000"/>
                <w:szCs w:val="21"/>
              </w:rPr>
            </w:pPr>
            <w:r>
              <w:rPr>
                <w:rFonts w:hint="eastAsia" w:ascii="仿宋" w:hAnsi="仿宋" w:eastAsia="仿宋" w:cs="仿宋"/>
                <w:b/>
                <w:color w:val="000000"/>
                <w:szCs w:val="21"/>
              </w:rPr>
              <w:t>采购需求：</w:t>
            </w:r>
            <w:r>
              <w:rPr>
                <w:rFonts w:hint="eastAsia" w:ascii="仿宋" w:hAnsi="仿宋" w:eastAsia="仿宋" w:cs="仿宋"/>
                <w:color w:val="000000"/>
                <w:szCs w:val="21"/>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招标范围：</w:t>
            </w:r>
            <w:r>
              <w:rPr>
                <w:rFonts w:hint="eastAsia" w:ascii="仿宋" w:hAnsi="仿宋" w:eastAsia="仿宋" w:cs="仿宋"/>
                <w:color w:val="000000"/>
                <w:szCs w:val="21"/>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投标报价及费用：</w:t>
            </w:r>
          </w:p>
          <w:p>
            <w:pPr>
              <w:pStyle w:val="108"/>
              <w:spacing w:line="360" w:lineRule="auto"/>
              <w:ind w:left="0" w:firstLine="0"/>
              <w:rPr>
                <w:rFonts w:hint="eastAsia" w:ascii="仿宋" w:hAnsi="仿宋" w:eastAsia="仿宋" w:cs="仿宋"/>
                <w:color w:val="000000"/>
                <w:szCs w:val="21"/>
              </w:rPr>
            </w:pPr>
            <w:r>
              <w:rPr>
                <w:rFonts w:hint="eastAsia" w:ascii="仿宋" w:hAnsi="仿宋" w:eastAsia="仿宋" w:cs="仿宋"/>
                <w:color w:val="000000"/>
                <w:szCs w:val="21"/>
              </w:rPr>
              <w:t>1．本项目投标应以人民币报价；</w:t>
            </w:r>
          </w:p>
          <w:p>
            <w:pPr>
              <w:pStyle w:val="108"/>
              <w:spacing w:line="360" w:lineRule="auto"/>
              <w:ind w:left="0" w:firstLine="0"/>
              <w:rPr>
                <w:rFonts w:hint="eastAsia" w:ascii="仿宋" w:hAnsi="仿宋" w:eastAsia="仿宋" w:cs="仿宋"/>
                <w:color w:val="000000"/>
                <w:szCs w:val="21"/>
              </w:rPr>
            </w:pPr>
            <w:r>
              <w:rPr>
                <w:rFonts w:hint="eastAsia" w:ascii="仿宋" w:hAnsi="仿宋" w:eastAsia="仿宋" w:cs="仿宋"/>
                <w:color w:val="000000"/>
                <w:szCs w:val="21"/>
              </w:rPr>
              <w:t>2．投标报价：应包含项目所需全部货物、服务，不得缺漏，是履行合同的最终价格</w:t>
            </w:r>
            <w:r>
              <w:rPr>
                <w:rFonts w:hint="eastAsia" w:ascii="仿宋" w:hAnsi="仿宋" w:eastAsia="仿宋" w:cs="仿宋"/>
                <w:color w:val="000000"/>
                <w:szCs w:val="21"/>
                <w:lang w:eastAsia="zh-CN"/>
              </w:rPr>
              <w:t>【报价包括：实行一次性包干，即采用包工包料，劳务支出、安全保险、劳保福利、服务范围内加班费、工作餐费、一切耗品材料（除医用垃圾袋）、器械损耗、所有税费、管理费及国家所规定的各种保险金等一切费用。】</w:t>
            </w:r>
            <w:r>
              <w:rPr>
                <w:rFonts w:hint="eastAsia" w:ascii="仿宋" w:hAnsi="仿宋" w:eastAsia="仿宋" w:cs="仿宋"/>
                <w:color w:val="000000"/>
                <w:szCs w:val="21"/>
              </w:rPr>
              <w:t>。</w:t>
            </w:r>
          </w:p>
          <w:p>
            <w:pPr>
              <w:pStyle w:val="108"/>
              <w:spacing w:line="360" w:lineRule="auto"/>
              <w:ind w:left="0" w:firstLine="0"/>
              <w:rPr>
                <w:rFonts w:hint="eastAsia" w:ascii="仿宋" w:hAnsi="仿宋" w:eastAsia="仿宋" w:cs="仿宋"/>
                <w:color w:val="000000"/>
                <w:szCs w:val="21"/>
              </w:rPr>
            </w:pPr>
            <w:r>
              <w:rPr>
                <w:rFonts w:hint="eastAsia" w:ascii="仿宋" w:hAnsi="仿宋" w:eastAsia="仿宋" w:cs="仿宋"/>
                <w:color w:val="000000"/>
                <w:szCs w:val="21"/>
              </w:rPr>
              <w:t>3．不论投标结果如何，供应商均应自行承担所有与投标有关的全部费用。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投标保证金：</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color w:val="000000"/>
                <w:szCs w:val="21"/>
              </w:rPr>
            </w:pPr>
            <w:r>
              <w:rPr>
                <w:rFonts w:hint="eastAsia" w:ascii="仿宋" w:hAnsi="仿宋" w:eastAsia="仿宋" w:cs="仿宋"/>
                <w:b/>
                <w:color w:val="000000"/>
                <w:szCs w:val="21"/>
              </w:rPr>
              <w:t>现场踏勘（如有）：</w:t>
            </w:r>
            <w:r>
              <w:rPr>
                <w:rFonts w:hint="eastAsia" w:ascii="仿宋" w:hAnsi="仿宋" w:eastAsia="仿宋" w:cs="仿宋"/>
                <w:color w:val="000000"/>
                <w:szCs w:val="21"/>
              </w:rPr>
              <w:t>本项目不统一组织现场勘踏，供应商可自行前往，费用自理。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中标候选人确定：</w:t>
            </w:r>
            <w:r>
              <w:rPr>
                <w:rFonts w:hint="eastAsia" w:ascii="仿宋" w:hAnsi="仿宋" w:eastAsia="仿宋" w:cs="仿宋"/>
                <w:color w:val="000000"/>
                <w:szCs w:val="21"/>
              </w:rPr>
              <w:t>1．投标文件满足招标文件全部实质性要求，且按照评审因素的量化指标评审得分最高的供应商为排名第一的中标候选人。若总得分相同的，按投标报价由低到高顺序排列；若总得分且投标报价相同的，采取随机抽取的方式确定。</w:t>
            </w: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bCs/>
                <w:color w:val="000000"/>
                <w:szCs w:val="21"/>
              </w:rPr>
              <w:t>2</w:t>
            </w:r>
            <w:r>
              <w:rPr>
                <w:rFonts w:hint="eastAsia" w:ascii="仿宋" w:hAnsi="仿宋" w:eastAsia="仿宋" w:cs="仿宋"/>
                <w:color w:val="000000"/>
                <w:szCs w:val="21"/>
              </w:rPr>
              <w:t>．若排名第一的中标候选人因投标过程中所提供的资料有失实、弄虚作假的或放弃中标或因不可抗力提出不能履行合同或未按规定提交履约保证金的，采购人可以确定排名第二的中标候选人为中标供应商或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9</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000000"/>
                <w:szCs w:val="21"/>
              </w:rPr>
            </w:pPr>
            <w:r>
              <w:rPr>
                <w:rFonts w:hint="eastAsia" w:ascii="仿宋" w:hAnsi="仿宋" w:eastAsia="仿宋" w:cs="仿宋"/>
                <w:b/>
                <w:color w:val="000000"/>
                <w:szCs w:val="21"/>
              </w:rPr>
              <w:t>投标文件组成：</w:t>
            </w:r>
            <w:r>
              <w:rPr>
                <w:rFonts w:hint="eastAsia" w:ascii="仿宋" w:hAnsi="仿宋" w:eastAsia="仿宋" w:cs="仿宋"/>
                <w:bCs/>
                <w:color w:val="000000"/>
                <w:szCs w:val="21"/>
              </w:rPr>
              <w:t>资格证明部分、商务技术部分、投标报价部份组成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投标截止时间及地点：</w:t>
            </w:r>
            <w:r>
              <w:rPr>
                <w:rFonts w:hint="eastAsia" w:ascii="仿宋" w:hAnsi="仿宋" w:eastAsia="仿宋" w:cs="仿宋"/>
                <w:color w:val="000000"/>
                <w:szCs w:val="21"/>
              </w:rPr>
              <w:t>详见《公开招标采购公告》</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供应商应于</w:t>
            </w:r>
            <w:r>
              <w:rPr>
                <w:rFonts w:hint="eastAsia" w:ascii="仿宋" w:hAnsi="仿宋" w:eastAsia="仿宋" w:cs="仿宋"/>
                <w:b/>
                <w:color w:val="000000"/>
                <w:szCs w:val="21"/>
              </w:rPr>
              <w:t>投标截止时间</w:t>
            </w:r>
            <w:r>
              <w:rPr>
                <w:rFonts w:hint="eastAsia" w:ascii="仿宋" w:hAnsi="仿宋" w:eastAsia="仿宋" w:cs="仿宋"/>
                <w:color w:val="000000"/>
                <w:szCs w:val="21"/>
              </w:rPr>
              <w:t>（北京时间）前完成“电子加密投标文件（后缀jmbs，下同）”的传输递交（上传递交至“政府采购云平台”）。投标截止时间后递交“电子加密投标文件”将被政采云平台拒收。【本项目通过“政府采购云平台（www.zcygov.cn）”实行在线投标响应（电子投标），投标人应先安装“政采云电子交易客户端”，并按照本招标文件和“政府采购云平台”的要求，通过“政采云电子交易客户端”编制并加密投标文件。】</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开标时间及地点：</w:t>
            </w:r>
            <w:r>
              <w:rPr>
                <w:rFonts w:hint="eastAsia" w:ascii="仿宋" w:hAnsi="仿宋" w:eastAsia="仿宋" w:cs="仿宋"/>
                <w:color w:val="000000"/>
                <w:szCs w:val="21"/>
              </w:rPr>
              <w:t>详见《公开招标采购公告》。</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开标时间后将开启标书解密，解密开始后的</w:t>
            </w:r>
            <w:r>
              <w:rPr>
                <w:rFonts w:hint="eastAsia" w:ascii="仿宋" w:hAnsi="仿宋" w:eastAsia="仿宋" w:cs="仿宋"/>
                <w:color w:val="000000"/>
                <w:szCs w:val="21"/>
                <w:u w:val="single"/>
              </w:rPr>
              <w:t>半小时内</w:t>
            </w:r>
            <w:r>
              <w:rPr>
                <w:rFonts w:hint="eastAsia" w:ascii="仿宋" w:hAnsi="仿宋" w:eastAsia="仿宋" w:cs="仿宋"/>
                <w:color w:val="000000"/>
                <w:szCs w:val="21"/>
              </w:rPr>
              <w:t>供应商可以登录“政府采购云平台”按《供应商政府采购项目电子交易操作指南》对“电子加密投标文件”进行解密。若投标人在该规定时间内无法解密或解密失败的则作放弃投标处理。解密投标文件必须有CA锁，路径：登入政采云平台—用户中心—项目采购—开标评标。</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注：</w:t>
            </w:r>
            <w:r>
              <w:rPr>
                <w:rFonts w:hint="eastAsia" w:ascii="仿宋" w:hAnsi="仿宋" w:eastAsia="仿宋" w:cs="仿宋"/>
                <w:color w:val="000000"/>
                <w:szCs w:val="21"/>
                <w:lang w:eastAsia="ar-SA"/>
              </w:rPr>
              <w:t>本项目采用不见面</w:t>
            </w:r>
            <w:r>
              <w:rPr>
                <w:rFonts w:hint="eastAsia" w:ascii="仿宋" w:hAnsi="仿宋" w:eastAsia="仿宋" w:cs="仿宋"/>
                <w:color w:val="000000"/>
                <w:szCs w:val="21"/>
              </w:rPr>
              <w:t>开标</w:t>
            </w:r>
            <w:r>
              <w:rPr>
                <w:rFonts w:hint="eastAsia" w:ascii="仿宋" w:hAnsi="仿宋" w:eastAsia="仿宋" w:cs="仿宋"/>
                <w:color w:val="000000"/>
                <w:szCs w:val="21"/>
                <w:lang w:eastAsia="ar-SA"/>
              </w:rPr>
              <w:t>，通过“政府采购项目电子交易平台”实施电子化方式采购。</w:t>
            </w:r>
            <w:r>
              <w:rPr>
                <w:rFonts w:hint="eastAsia" w:ascii="仿宋" w:hAnsi="仿宋" w:eastAsia="仿宋" w:cs="仿宋"/>
                <w:color w:val="000000"/>
                <w:szCs w:val="21"/>
              </w:rPr>
              <w:t>投标人的法定代表人或其授权代表人无须来开标现场，但必须保障“</w:t>
            </w:r>
            <w:r>
              <w:rPr>
                <w:rFonts w:hint="eastAsia" w:ascii="仿宋" w:hAnsi="仿宋" w:eastAsia="仿宋" w:cs="仿宋"/>
                <w:color w:val="000000"/>
                <w:szCs w:val="21"/>
                <w:lang w:eastAsia="ar-SA"/>
              </w:rPr>
              <w:t>政府采购项目电子交易平台</w:t>
            </w:r>
            <w:r>
              <w:rPr>
                <w:rFonts w:hint="eastAsia" w:ascii="仿宋" w:hAnsi="仿宋" w:eastAsia="仿宋" w:cs="仿宋"/>
                <w:color w:val="000000"/>
                <w:szCs w:val="21"/>
              </w:rPr>
              <w:t>”实施及通讯的顺畅。在开标时间后直至评审结果公布，供应商应当全程保持通讯正常，且全程登入</w:t>
            </w:r>
            <w:r>
              <w:rPr>
                <w:rFonts w:hint="eastAsia" w:ascii="仿宋" w:hAnsi="仿宋" w:eastAsia="仿宋" w:cs="仿宋"/>
                <w:color w:val="000000"/>
                <w:szCs w:val="21"/>
                <w:lang w:eastAsia="ar-SA"/>
              </w:rPr>
              <w:t>“政采云”平台</w:t>
            </w:r>
            <w:r>
              <w:rPr>
                <w:rFonts w:hint="eastAsia" w:ascii="仿宋" w:hAnsi="仿宋" w:eastAsia="仿宋" w:cs="仿宋"/>
                <w:color w:val="000000"/>
                <w:szCs w:val="21"/>
              </w:rPr>
              <w:t>，备好CA锁，随时响应采购过程中的询标、答疑等，否则自行承担所有不利后果。</w:t>
            </w:r>
          </w:p>
          <w:p>
            <w:pPr>
              <w:snapToGrid w:val="0"/>
              <w:spacing w:line="360" w:lineRule="auto"/>
              <w:rPr>
                <w:rFonts w:hint="eastAsia" w:ascii="仿宋" w:hAnsi="仿宋" w:eastAsia="仿宋" w:cs="仿宋"/>
                <w:color w:val="000000"/>
                <w:szCs w:val="21"/>
              </w:rPr>
            </w:pPr>
            <w:r>
              <w:rPr>
                <w:rFonts w:hint="eastAsia" w:ascii="仿宋" w:hAnsi="仿宋" w:eastAsia="仿宋" w:cs="仿宋"/>
                <w:b/>
                <w:bCs/>
                <w:color w:val="000000"/>
                <w:szCs w:val="21"/>
              </w:rPr>
              <w:t>【请各供应商提前进行专题学习，熟悉操作，避免影响采购活动。浙江省“电子交易/不见面开评标”学习专题（网址</w:t>
            </w:r>
            <w:r>
              <w:rPr>
                <w:rFonts w:hint="eastAsia" w:ascii="仿宋" w:hAnsi="仿宋" w:eastAsia="仿宋" w:cs="仿宋"/>
                <w:b/>
                <w:bCs/>
                <w:color w:val="000000"/>
                <w:szCs w:val="21"/>
              </w:rPr>
              <w:fldChar w:fldCharType="begin"/>
            </w:r>
            <w:r>
              <w:rPr>
                <w:rFonts w:hint="eastAsia" w:ascii="仿宋" w:hAnsi="仿宋" w:eastAsia="仿宋" w:cs="仿宋"/>
                <w:b/>
                <w:bCs/>
                <w:color w:val="000000"/>
                <w:szCs w:val="21"/>
              </w:rPr>
              <w:instrText xml:space="preserve"> HYPERLINK "https://edu.zcygov.cn/luban/e-biding" </w:instrText>
            </w:r>
            <w:r>
              <w:rPr>
                <w:rFonts w:hint="eastAsia" w:ascii="仿宋" w:hAnsi="仿宋" w:eastAsia="仿宋" w:cs="仿宋"/>
                <w:b/>
                <w:bCs/>
                <w:color w:val="000000"/>
                <w:szCs w:val="21"/>
              </w:rPr>
              <w:fldChar w:fldCharType="separate"/>
            </w:r>
            <w:r>
              <w:rPr>
                <w:rFonts w:hint="eastAsia" w:ascii="仿宋" w:hAnsi="仿宋" w:eastAsia="仿宋" w:cs="仿宋"/>
                <w:b/>
                <w:bCs/>
                <w:color w:val="000000"/>
                <w:szCs w:val="21"/>
                <w:u w:val="single"/>
              </w:rPr>
              <w:t>https://edu.zcygov.cn/luban/e-biding</w:t>
            </w:r>
            <w:r>
              <w:rPr>
                <w:rFonts w:hint="eastAsia" w:ascii="仿宋" w:hAnsi="仿宋" w:eastAsia="仿宋" w:cs="仿宋"/>
                <w:b/>
                <w:bCs/>
                <w:color w:val="000000"/>
                <w:szCs w:val="21"/>
                <w:u w:val="single"/>
              </w:rPr>
              <w:fldChar w:fldCharType="end"/>
            </w:r>
            <w:r>
              <w:rPr>
                <w:rFonts w:hint="eastAsia" w:ascii="仿宋" w:hAnsi="仿宋" w:eastAsia="仿宋" w:cs="仿宋"/>
                <w:b/>
                <w:bCs/>
                <w:color w:val="000000"/>
                <w:szCs w:val="21"/>
              </w:rPr>
              <w:t>），政采云平台客服电话: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仿宋" w:hAnsi="仿宋" w:eastAsia="仿宋" w:cs="仿宋"/>
                <w:color w:val="000000"/>
                <w:szCs w:val="21"/>
              </w:rPr>
            </w:pPr>
            <w:r>
              <w:rPr>
                <w:rFonts w:hint="eastAsia" w:ascii="仿宋" w:hAnsi="仿宋" w:eastAsia="仿宋" w:cs="仿宋"/>
                <w:b/>
                <w:color w:val="000000"/>
                <w:szCs w:val="21"/>
              </w:rPr>
              <w:t>评标办法及评分标准：</w:t>
            </w:r>
            <w:r>
              <w:rPr>
                <w:rFonts w:hint="eastAsia" w:ascii="仿宋" w:hAnsi="仿宋" w:eastAsia="仿宋" w:cs="仿宋"/>
                <w:color w:val="000000"/>
                <w:szCs w:val="21"/>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13</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仿宋" w:hAnsi="仿宋" w:eastAsia="仿宋" w:cs="仿宋"/>
                <w:color w:val="000000"/>
                <w:szCs w:val="21"/>
              </w:rPr>
            </w:pPr>
            <w:r>
              <w:rPr>
                <w:rFonts w:hint="eastAsia" w:ascii="仿宋" w:hAnsi="仿宋" w:eastAsia="仿宋" w:cs="仿宋"/>
                <w:b/>
                <w:color w:val="000000"/>
                <w:szCs w:val="21"/>
              </w:rPr>
              <w:t>中标结果公告：</w:t>
            </w:r>
            <w:r>
              <w:rPr>
                <w:rFonts w:hint="eastAsia" w:ascii="仿宋" w:hAnsi="仿宋" w:eastAsia="仿宋" w:cs="仿宋"/>
                <w:color w:val="000000"/>
                <w:szCs w:val="21"/>
              </w:rPr>
              <w:t>采购单位自中标供应商确定之日起2个工作日内，在</w:t>
            </w:r>
            <w:r>
              <w:rPr>
                <w:rFonts w:hint="eastAsia" w:ascii="仿宋" w:hAnsi="仿宋" w:eastAsia="仿宋" w:cs="仿宋"/>
                <w:color w:val="000000"/>
                <w:kern w:val="0"/>
                <w:szCs w:val="21"/>
              </w:rPr>
              <w:t>宁波政府采购网（www.nbzfcg.cn）和</w:t>
            </w:r>
            <w:r>
              <w:rPr>
                <w:rFonts w:hint="eastAsia" w:ascii="仿宋" w:hAnsi="仿宋" w:eastAsia="仿宋" w:cs="仿宋"/>
                <w:color w:val="000000"/>
                <w:szCs w:val="21"/>
              </w:rPr>
              <w:t>宁波市公共资源交易服务网余姚分网</w:t>
            </w:r>
            <w:r>
              <w:rPr>
                <w:rFonts w:hint="eastAsia" w:ascii="仿宋" w:hAnsi="仿宋" w:eastAsia="仿宋" w:cs="仿宋"/>
                <w:color w:val="000000"/>
                <w:kern w:val="0"/>
                <w:szCs w:val="21"/>
              </w:rPr>
              <w:t>（www.yyztb.gov.cn）</w:t>
            </w:r>
            <w:r>
              <w:rPr>
                <w:rFonts w:hint="eastAsia" w:ascii="仿宋" w:hAnsi="仿宋" w:eastAsia="仿宋" w:cs="仿宋"/>
                <w:color w:val="000000"/>
                <w:szCs w:val="21"/>
              </w:rPr>
              <w:t>等网站或媒体上公告中标结果，同时向中标供应商发出中标通知书。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14</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仿宋" w:hAnsi="仿宋" w:eastAsia="仿宋" w:cs="仿宋"/>
                <w:color w:val="000000"/>
                <w:szCs w:val="21"/>
              </w:rPr>
            </w:pPr>
            <w:r>
              <w:rPr>
                <w:rFonts w:hint="eastAsia" w:ascii="仿宋" w:hAnsi="仿宋" w:eastAsia="仿宋" w:cs="仿宋"/>
                <w:b/>
                <w:color w:val="000000"/>
                <w:szCs w:val="21"/>
              </w:rPr>
              <w:t>投标保证金退还（不计息）：</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15</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仿宋" w:hAnsi="仿宋" w:eastAsia="仿宋" w:cs="仿宋"/>
                <w:color w:val="000000"/>
                <w:szCs w:val="21"/>
              </w:rPr>
            </w:pPr>
            <w:r>
              <w:rPr>
                <w:rFonts w:hint="eastAsia" w:ascii="仿宋" w:hAnsi="仿宋" w:eastAsia="仿宋" w:cs="仿宋"/>
                <w:b/>
                <w:color w:val="000000"/>
                <w:szCs w:val="21"/>
              </w:rPr>
              <w:t>签订合同时间：</w:t>
            </w:r>
            <w:r>
              <w:rPr>
                <w:rFonts w:hint="eastAsia" w:ascii="仿宋" w:hAnsi="仿宋" w:eastAsia="仿宋" w:cs="仿宋"/>
                <w:color w:val="000000"/>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16</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120" w:beforeLines="50" w:line="360" w:lineRule="auto"/>
              <w:textAlignment w:val="bottom"/>
              <w:rPr>
                <w:rFonts w:hint="eastAsia" w:ascii="仿宋" w:hAnsi="仿宋" w:eastAsia="仿宋" w:cs="仿宋"/>
                <w:color w:val="000000"/>
                <w:szCs w:val="21"/>
              </w:rPr>
            </w:pPr>
            <w:r>
              <w:rPr>
                <w:rFonts w:hint="eastAsia" w:ascii="仿宋" w:hAnsi="仿宋" w:eastAsia="仿宋" w:cs="仿宋"/>
                <w:b/>
                <w:color w:val="000000"/>
                <w:szCs w:val="21"/>
              </w:rPr>
              <w:t>履约保证金的收取及退还:</w:t>
            </w:r>
            <w:r>
              <w:rPr>
                <w:rFonts w:hint="eastAsia" w:ascii="仿宋" w:hAnsi="仿宋" w:eastAsia="仿宋" w:cs="仿宋"/>
                <w:bCs/>
                <w:color w:val="000000"/>
                <w:szCs w:val="21"/>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17</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投标文件有效期：</w:t>
            </w:r>
            <w:r>
              <w:rPr>
                <w:rFonts w:hint="eastAsia" w:ascii="仿宋" w:hAnsi="仿宋" w:eastAsia="仿宋" w:cs="仿宋"/>
                <w:color w:val="000000"/>
                <w:szCs w:val="21"/>
                <w:u w:val="single"/>
              </w:rPr>
              <w:t xml:space="preserve"> 90 </w:t>
            </w:r>
            <w:r>
              <w:rPr>
                <w:rFonts w:hint="eastAsia" w:ascii="仿宋" w:hAnsi="仿宋" w:eastAsia="仿宋" w:cs="仿宋"/>
                <w:color w:val="000000"/>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18</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招标代理服务费：</w:t>
            </w:r>
          </w:p>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1、招标代理费用收费标准：本次采购代理费由成交人支付，采购代理费金额为：28500元</w:t>
            </w:r>
          </w:p>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2、收款账号：</w:t>
            </w:r>
          </w:p>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开户单位名称：宁波旭诚工程项目管理有限公司</w:t>
            </w:r>
          </w:p>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开户银行：温州银行股份有限公司宁波余姚支行</w:t>
            </w:r>
          </w:p>
          <w:p>
            <w:pPr>
              <w:snapToGrid w:val="0"/>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开户银行账号：9020 2012 0190 0031 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19</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Cs w:val="21"/>
              </w:rPr>
            </w:pPr>
            <w:r>
              <w:rPr>
                <w:rFonts w:hint="eastAsia" w:ascii="仿宋" w:hAnsi="仿宋" w:eastAsia="仿宋" w:cs="仿宋"/>
                <w:b/>
                <w:color w:val="000000"/>
                <w:szCs w:val="21"/>
              </w:rPr>
              <w:t>解释：</w:t>
            </w:r>
            <w:r>
              <w:rPr>
                <w:rFonts w:hint="eastAsia" w:ascii="仿宋" w:hAnsi="仿宋" w:eastAsia="仿宋" w:cs="仿宋"/>
                <w:color w:val="000000"/>
                <w:szCs w:val="21"/>
              </w:rPr>
              <w:t>本采购文件的解释权属于采购单位。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20</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auto"/>
              <w:rPr>
                <w:rFonts w:hint="eastAsia" w:ascii="仿宋" w:hAnsi="仿宋" w:eastAsia="仿宋" w:cs="仿宋"/>
                <w:b/>
                <w:bCs/>
                <w:color w:val="000000"/>
                <w:szCs w:val="21"/>
              </w:rPr>
            </w:pPr>
            <w:r>
              <w:rPr>
                <w:rFonts w:hint="eastAsia" w:ascii="仿宋" w:hAnsi="仿宋" w:eastAsia="仿宋" w:cs="仿宋"/>
                <w:b/>
                <w:bCs/>
                <w:color w:val="000000"/>
                <w:szCs w:val="21"/>
              </w:rPr>
              <w:t>在线投标响应（电子投标）说明：</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1、本项目通过“政府采购云平台（https://www.zcygov.cn/）”实行在线投标响应（电子投标），供应商应先安装“政采云电子交易客户端”，并按照本项目采购文件和“政府采购云平台”的要求，通过“政采云电子交易客户端”编制并加密投标文件。未按规定加密的投标文件，“政府采购云平台”将予以拒收。</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“政采云电子交易客户端”请自行前往“浙江政府采购网-下载专区-电子交易客户端”进行下载；电子投标具体操作流程详见本公告附件《供应商政府采购项目电子交易操作指南》； 通过“政府采购云平台”参与在线投标时如遇平台技术问题详询 400-881-7190。</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特别提醒：请使用 windows7 及以上 64 位操作系统，不适用于 mac 或 linux 桌面系统。</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 CA 数字证书，如未申领的供应商，请注意申领所需时间，以下二种申领流程均可：</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（1）请自行前往“浙江政府采购网-下载专区-电子交易客户端-CA 驱动和申领流程”进行查阅；（操作指南链接https://service.zcygov.cn/#/knowledges/cm2eqWwBFdiHxlNd_otq/lwV6GXABiyELHE-oVMj3? keyword=CA）</w:t>
            </w:r>
          </w:p>
          <w:p>
            <w:pPr>
              <w:wordWrap w:val="0"/>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2）请自行登录余姚招投标项目专用数字证书用户自助申报系统（网址http://www.tseal.cn/tcloud/yyztb.xhtml?statusCode=303）完成“数字证书”及电子公章办理工作（发证单位杭州天谷信息科技有限公司咨询电话：400-0878-198），用于电子投标。</w:t>
            </w:r>
          </w:p>
          <w:p>
            <w:pPr>
              <w:wordWrap w:val="0"/>
              <w:snapToGrid w:val="0"/>
              <w:spacing w:line="360" w:lineRule="auto"/>
              <w:rPr>
                <w:rFonts w:hint="eastAsia" w:ascii="仿宋" w:hAnsi="仿宋" w:eastAsia="仿宋" w:cs="仿宋"/>
                <w:b/>
                <w:color w:val="000000"/>
                <w:szCs w:val="21"/>
              </w:rPr>
            </w:pPr>
            <w:r>
              <w:rPr>
                <w:rFonts w:hint="eastAsia" w:ascii="仿宋" w:hAnsi="仿宋" w:eastAsia="仿宋" w:cs="仿宋"/>
                <w:color w:val="000000"/>
                <w:szCs w:val="21"/>
              </w:rPr>
              <w:t>特别提醒：请各投标（响应）人提前进行专题学习，熟悉操作，避免影响采购活动。浙江省“电子交易/不见面开评标”学习专题（网址 https://edu.zcygov.cn/luban/e-biding）， 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rPr>
                <w:rFonts w:hint="eastAsia" w:ascii="仿宋" w:hAnsi="仿宋" w:eastAsia="仿宋" w:cs="仿宋"/>
                <w:b/>
                <w:bCs/>
                <w:color w:val="000000"/>
                <w:szCs w:val="21"/>
              </w:rPr>
            </w:pPr>
            <w:r>
              <w:rPr>
                <w:rFonts w:hint="eastAsia" w:ascii="仿宋" w:hAnsi="仿宋" w:eastAsia="仿宋" w:cs="仿宋"/>
                <w:b/>
                <w:bCs/>
                <w:color w:val="000000"/>
                <w:szCs w:val="21"/>
              </w:rPr>
              <w:t>其他事项说明：</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1、供应商需按照《浙江省政府采购供应商注册及诚信管理暂行办法》的规定在“浙江政府采购网(http://www.zjzfcg.gov.cn)”政采云平台注册登记，成为浙江省政府采购注册供应商。如未注册的供应商，请注意注册所需时间。</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2、本次政府采购活动有关信息在浙江政府采购网（http://www.zjzfcg.gov.cn）和宁波市公共资源交易服务网余姚分网（http://www.yyztb.gov.cn）上公布，视同送达所有潜在供应商。</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3、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4、因未注册入库、未办理CA数字证书等原因造成无法投标或投标失败等后果由供应商自行承担。</w:t>
            </w:r>
          </w:p>
          <w:p>
            <w:pPr>
              <w:snapToGrid w:val="0"/>
              <w:spacing w:line="360" w:lineRule="auto"/>
              <w:ind w:firstLine="420"/>
              <w:rPr>
                <w:rFonts w:hint="eastAsia" w:ascii="仿宋" w:hAnsi="仿宋" w:eastAsia="仿宋" w:cs="仿宋"/>
                <w:color w:val="000000"/>
                <w:szCs w:val="21"/>
              </w:rPr>
            </w:pPr>
            <w:r>
              <w:rPr>
                <w:rFonts w:hint="eastAsia" w:ascii="仿宋" w:hAnsi="仿宋" w:eastAsia="仿宋" w:cs="仿宋"/>
                <w:color w:val="000000"/>
                <w:szCs w:val="21"/>
              </w:rPr>
              <w:t>5、本公告与招标文件内容如有不一致，以招标文件为准。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rPr>
                <w:rFonts w:hint="eastAsia" w:ascii="仿宋" w:hAnsi="仿宋" w:eastAsia="仿宋" w:cs="仿宋"/>
                <w:color w:val="000000"/>
                <w:szCs w:val="21"/>
              </w:rPr>
            </w:pPr>
            <w:r>
              <w:rPr>
                <w:rFonts w:hint="eastAsia" w:ascii="仿宋" w:hAnsi="仿宋" w:eastAsia="仿宋" w:cs="仿宋"/>
                <w:b/>
                <w:bCs/>
                <w:color w:val="000000"/>
                <w:szCs w:val="21"/>
              </w:rPr>
              <w:t>落实的政策：</w:t>
            </w:r>
          </w:p>
          <w:p>
            <w:pPr>
              <w:snapToGrid w:val="0"/>
              <w:ind w:firstLine="420"/>
              <w:rPr>
                <w:rFonts w:hint="eastAsia" w:ascii="仿宋" w:hAnsi="仿宋" w:eastAsia="仿宋" w:cs="仿宋"/>
                <w:color w:val="000000"/>
                <w:szCs w:val="21"/>
                <w:lang w:eastAsia="zh-CN"/>
              </w:rPr>
            </w:pPr>
            <w:r>
              <w:rPr>
                <w:rFonts w:hint="eastAsia" w:ascii="仿宋" w:hAnsi="仿宋" w:eastAsia="仿宋" w:cs="仿宋"/>
                <w:color w:val="000000"/>
                <w:szCs w:val="21"/>
              </w:rPr>
              <w:t>1.本项目</w:t>
            </w:r>
            <w:r>
              <w:rPr>
                <w:rFonts w:hint="eastAsia" w:ascii="仿宋" w:hAnsi="仿宋" w:eastAsia="仿宋" w:cs="仿宋"/>
                <w:color w:val="000000"/>
                <w:szCs w:val="21"/>
                <w:lang w:eastAsia="zh-CN"/>
              </w:rPr>
              <w:t>专门面向中小企业</w:t>
            </w:r>
          </w:p>
          <w:p>
            <w:pPr>
              <w:snapToGrid w:val="0"/>
              <w:ind w:firstLine="420"/>
              <w:rPr>
                <w:rFonts w:hint="eastAsia" w:ascii="仿宋" w:hAnsi="仿宋" w:eastAsia="仿宋" w:cs="仿宋"/>
                <w:color w:val="000000"/>
                <w:szCs w:val="21"/>
              </w:rPr>
            </w:pPr>
            <w:r>
              <w:rPr>
                <w:rFonts w:hint="eastAsia" w:ascii="仿宋" w:hAnsi="仿宋" w:eastAsia="仿宋" w:cs="仿宋"/>
                <w:color w:val="000000"/>
                <w:szCs w:val="21"/>
              </w:rPr>
              <w:t>2.对按规定提供证明材料的国家认定的不发达地区和少数民族地区的供应商进行政策加分。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23</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bCs/>
                <w:color w:val="000000"/>
                <w:szCs w:val="21"/>
              </w:rPr>
            </w:pPr>
            <w:r>
              <w:rPr>
                <w:rFonts w:hint="eastAsia" w:ascii="仿宋" w:hAnsi="仿宋" w:eastAsia="仿宋" w:cs="仿宋"/>
                <w:color w:val="000000"/>
                <w:szCs w:val="21"/>
              </w:rPr>
              <w:t>本项目所属行业：</w:t>
            </w:r>
            <w:r>
              <w:rPr>
                <w:rFonts w:hint="eastAsia" w:ascii="仿宋" w:hAnsi="仿宋" w:eastAsia="仿宋" w:cs="仿宋"/>
                <w:color w:val="000000"/>
              </w:rPr>
              <w:t>根据工信部联企业[2011]300号文件，本项目所属行业为</w:t>
            </w:r>
            <w:r>
              <w:rPr>
                <w:rFonts w:hint="eastAsia" w:ascii="仿宋" w:hAnsi="仿宋" w:eastAsia="仿宋" w:cs="仿宋"/>
                <w:b/>
                <w:bCs/>
                <w:color w:val="000000"/>
                <w:u w:val="single"/>
              </w:rPr>
              <w:t>其他未列明行业</w:t>
            </w:r>
          </w:p>
        </w:tc>
      </w:tr>
    </w:tbl>
    <w:p>
      <w:pPr>
        <w:spacing w:line="360" w:lineRule="auto"/>
        <w:ind w:firstLine="422" w:firstLineChars="200"/>
        <w:rPr>
          <w:rFonts w:hint="eastAsia" w:ascii="仿宋" w:hAnsi="仿宋" w:eastAsia="仿宋" w:cs="仿宋"/>
          <w:b/>
          <w:snapToGrid w:val="0"/>
          <w:color w:val="000000"/>
          <w:kern w:val="0"/>
          <w:szCs w:val="21"/>
        </w:rPr>
      </w:pPr>
      <w:r>
        <w:rPr>
          <w:rFonts w:hint="eastAsia" w:ascii="仿宋" w:hAnsi="仿宋" w:eastAsia="仿宋" w:cs="仿宋"/>
          <w:b/>
          <w:snapToGrid w:val="0"/>
          <w:color w:val="000000"/>
          <w:kern w:val="0"/>
          <w:szCs w:val="21"/>
        </w:rPr>
        <w:t>注：本前附表内打有“*”</w:t>
      </w:r>
      <w:r>
        <w:rPr>
          <w:rFonts w:hint="eastAsia" w:ascii="仿宋" w:hAnsi="仿宋" w:eastAsia="仿宋" w:cs="仿宋"/>
          <w:color w:val="000000"/>
          <w:szCs w:val="21"/>
        </w:rPr>
        <w:t xml:space="preserve"> </w:t>
      </w:r>
      <w:r>
        <w:rPr>
          <w:rFonts w:hint="eastAsia" w:ascii="仿宋" w:hAnsi="仿宋" w:eastAsia="仿宋" w:cs="仿宋"/>
          <w:b/>
          <w:snapToGrid w:val="0"/>
          <w:color w:val="000000"/>
          <w:kern w:val="0"/>
          <w:szCs w:val="21"/>
        </w:rPr>
        <w:t>号的条款为“实质性要求”条款，投标文件对这些条款的任何负偏离将视为没有对采购文件的实质性要求做出响应，将被认定为无效投标。</w:t>
      </w:r>
    </w:p>
    <w:p>
      <w:pPr>
        <w:pStyle w:val="2"/>
        <w:snapToGrid w:val="0"/>
        <w:spacing w:before="0" w:beforeLines="0" w:after="0" w:afterLines="0" w:line="360" w:lineRule="auto"/>
        <w:rPr>
          <w:rFonts w:hint="eastAsia" w:ascii="仿宋" w:hAnsi="仿宋" w:eastAsia="仿宋" w:cs="仿宋"/>
          <w:color w:val="000000"/>
          <w:sz w:val="21"/>
          <w:szCs w:val="21"/>
        </w:rPr>
      </w:pPr>
    </w:p>
    <w:p>
      <w:pPr>
        <w:pStyle w:val="2"/>
        <w:snapToGrid w:val="0"/>
        <w:spacing w:before="0" w:beforeLines="0" w:after="0" w:afterLines="0" w:line="360" w:lineRule="auto"/>
        <w:ind w:firstLine="420" w:firstLineChars="200"/>
        <w:outlineLvl w:val="1"/>
        <w:rPr>
          <w:rFonts w:hint="eastAsia" w:ascii="仿宋" w:hAnsi="仿宋" w:eastAsia="仿宋" w:cs="仿宋"/>
          <w:b/>
          <w:color w:val="000000"/>
          <w:sz w:val="21"/>
          <w:szCs w:val="21"/>
        </w:rPr>
      </w:pPr>
      <w:r>
        <w:rPr>
          <w:rFonts w:hint="eastAsia" w:ascii="仿宋" w:hAnsi="仿宋" w:eastAsia="仿宋" w:cs="仿宋"/>
          <w:color w:val="000000"/>
          <w:sz w:val="21"/>
          <w:szCs w:val="21"/>
        </w:rPr>
        <w:br w:type="page"/>
      </w:r>
      <w:bookmarkStart w:id="53" w:name="_Toc6752"/>
      <w:bookmarkStart w:id="54" w:name="_Toc24589"/>
      <w:r>
        <w:rPr>
          <w:rFonts w:hint="eastAsia" w:ascii="仿宋" w:hAnsi="仿宋" w:eastAsia="仿宋" w:cs="仿宋"/>
          <w:b/>
          <w:color w:val="000000"/>
          <w:sz w:val="21"/>
          <w:szCs w:val="21"/>
        </w:rPr>
        <w:t>一、总则</w:t>
      </w:r>
      <w:bookmarkEnd w:id="53"/>
      <w:bookmarkEnd w:id="54"/>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（一）适用范围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本采购文件适用于余姚市第四人民医院保安服务项目的招标、投标、评标、定标、验收、合同履约、付款等行为（法律、法规另有规定的，从其规定）。</w:t>
      </w:r>
    </w:p>
    <w:p>
      <w:pPr>
        <w:snapToGrid w:val="0"/>
        <w:spacing w:line="360" w:lineRule="auto"/>
        <w:ind w:firstLine="310" w:firstLineChars="147"/>
        <w:jc w:val="left"/>
        <w:rPr>
          <w:rFonts w:hint="eastAsia" w:ascii="仿宋" w:hAnsi="仿宋" w:eastAsia="仿宋" w:cs="仿宋"/>
          <w:b/>
          <w:color w:val="000000"/>
          <w:szCs w:val="21"/>
        </w:rPr>
      </w:pPr>
      <w:r>
        <w:rPr>
          <w:rFonts w:hint="eastAsia" w:ascii="仿宋" w:hAnsi="仿宋" w:eastAsia="仿宋" w:cs="仿宋"/>
          <w:b/>
          <w:color w:val="000000"/>
          <w:szCs w:val="21"/>
        </w:rPr>
        <w:t>（二）定义</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1.“采购人、采购单位、业主、甲方、发包人”系指余姚市第四人民医院。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2.“采购代理机构”系指宁波旭诚工程项目管理有限公司。</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3．“供应商”系指向招标方提交投标文件的单位或个人。</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4.“产品”系指供方按采购文件规定，须向采购人提供的一切设备、货物、保险、税金、备品备件、工具、手册及其它有关技术资料和材料。</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5.“服务”系指采购文件规定供应商须承担的安装、调试、维修、技术协助、校准、培训、技术指导以及其他类似的义务。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6.“项目”系指供应商按采购文件规定向采购人提供的产品和服务。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7.“书面形式”包括信函、传真、电报等。</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8.“*”系指实质性要求条款。</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（三）招标方式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本次招标采用公开招标方式进行。</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（四）投标委托</w:t>
      </w:r>
    </w:p>
    <w:p>
      <w:pPr>
        <w:pStyle w:val="14"/>
        <w:snapToGrid w:val="0"/>
        <w:spacing w:line="360" w:lineRule="auto"/>
        <w:ind w:firstLine="404" w:firstLineChars="200"/>
        <w:jc w:val="left"/>
        <w:rPr>
          <w:rFonts w:hint="eastAsia" w:ascii="仿宋" w:hAnsi="仿宋" w:eastAsia="仿宋" w:cs="仿宋"/>
          <w:color w:val="000000"/>
          <w:sz w:val="21"/>
          <w:szCs w:val="21"/>
        </w:rPr>
      </w:pPr>
      <w:r>
        <w:rPr>
          <w:rFonts w:hint="eastAsia" w:ascii="仿宋" w:hAnsi="仿宋" w:eastAsia="仿宋" w:cs="仿宋"/>
          <w:color w:val="000000"/>
          <w:sz w:val="21"/>
          <w:szCs w:val="21"/>
        </w:rPr>
        <w:t>供应商代表须携带有效身份证件。如供应商代表不是法定代表人，须有法定代表人出具的授权委托书（正本用原件，副本用复印件，格式见第六章投标文件格式）。</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（五）投标费用</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不论投标结果如何，供应商均应自行承担所有与投标有关的全部费用（采购文件有相反规定除外）。</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（六）联合体投标</w:t>
      </w:r>
    </w:p>
    <w:p>
      <w:pPr>
        <w:snapToGrid w:val="0"/>
        <w:spacing w:line="360" w:lineRule="auto"/>
        <w:ind w:firstLine="630" w:firstLineChars="300"/>
        <w:jc w:val="left"/>
        <w:rPr>
          <w:rFonts w:hint="eastAsia" w:ascii="仿宋" w:hAnsi="仿宋" w:eastAsia="仿宋" w:cs="仿宋"/>
          <w:color w:val="000000"/>
          <w:szCs w:val="21"/>
        </w:rPr>
      </w:pPr>
      <w:r>
        <w:rPr>
          <w:rFonts w:hint="eastAsia" w:ascii="仿宋" w:hAnsi="仿宋" w:eastAsia="仿宋" w:cs="仿宋"/>
          <w:color w:val="000000"/>
          <w:szCs w:val="21"/>
        </w:rPr>
        <w:t>本项目（是）接受联合体投标。</w:t>
      </w:r>
    </w:p>
    <w:p>
      <w:pPr>
        <w:snapToGrid w:val="0"/>
        <w:spacing w:line="360" w:lineRule="auto"/>
        <w:ind w:firstLine="413" w:firstLineChars="196"/>
        <w:rPr>
          <w:rFonts w:hint="eastAsia" w:ascii="仿宋" w:hAnsi="仿宋" w:eastAsia="仿宋" w:cs="仿宋"/>
          <w:b/>
          <w:color w:val="000000"/>
          <w:kern w:val="0"/>
          <w:szCs w:val="21"/>
        </w:rPr>
      </w:pPr>
      <w:r>
        <w:rPr>
          <w:rFonts w:hint="eastAsia" w:ascii="仿宋" w:hAnsi="仿宋" w:eastAsia="仿宋" w:cs="仿宋"/>
          <w:b/>
          <w:color w:val="000000"/>
          <w:szCs w:val="21"/>
        </w:rPr>
        <w:t>（七）</w:t>
      </w:r>
      <w:r>
        <w:rPr>
          <w:rFonts w:hint="eastAsia" w:ascii="仿宋" w:hAnsi="仿宋" w:eastAsia="仿宋" w:cs="仿宋"/>
          <w:b/>
          <w:color w:val="000000"/>
          <w:kern w:val="0"/>
          <w:szCs w:val="21"/>
        </w:rPr>
        <w:t>转包与分包</w:t>
      </w:r>
    </w:p>
    <w:p>
      <w:pPr>
        <w:pStyle w:val="14"/>
        <w:spacing w:line="360" w:lineRule="auto"/>
        <w:ind w:firstLine="404"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成交后以合理分包方式履行政府采购合同的，提供分包意向协议</w:t>
      </w:r>
    </w:p>
    <w:p>
      <w:pPr>
        <w:snapToGrid w:val="0"/>
        <w:spacing w:line="360" w:lineRule="auto"/>
        <w:ind w:firstLine="422" w:firstLineChars="200"/>
        <w:rPr>
          <w:rFonts w:hint="eastAsia" w:ascii="仿宋" w:hAnsi="仿宋" w:eastAsia="仿宋" w:cs="仿宋"/>
          <w:b/>
          <w:color w:val="000000"/>
          <w:kern w:val="0"/>
          <w:szCs w:val="21"/>
        </w:rPr>
      </w:pPr>
      <w:r>
        <w:rPr>
          <w:rFonts w:hint="eastAsia" w:ascii="仿宋" w:hAnsi="仿宋" w:eastAsia="仿宋" w:cs="仿宋"/>
          <w:b/>
          <w:color w:val="000000"/>
          <w:szCs w:val="21"/>
        </w:rPr>
        <w:t>（八）知识产权</w:t>
      </w:r>
    </w:p>
    <w:p>
      <w:pPr>
        <w:pStyle w:val="14"/>
        <w:spacing w:line="360" w:lineRule="auto"/>
        <w:ind w:firstLine="404"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4"/>
        <w:spacing w:line="360" w:lineRule="auto"/>
        <w:ind w:firstLine="404"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2.采购人享有本项目实施过程中产生的知识成果及知识产权。</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03" w:firstLineChars="192"/>
        <w:rPr>
          <w:rFonts w:hint="eastAsia" w:ascii="仿宋" w:hAnsi="仿宋" w:eastAsia="仿宋" w:cs="仿宋"/>
          <w:color w:val="000000"/>
          <w:szCs w:val="21"/>
        </w:rPr>
      </w:pPr>
      <w:r>
        <w:rPr>
          <w:rFonts w:hint="eastAsia" w:ascii="仿宋" w:hAnsi="仿宋" w:eastAsia="仿宋" w:cs="仿宋"/>
          <w:color w:val="000000"/>
          <w:szCs w:val="21"/>
        </w:rPr>
        <w:t>4.如采用供应商所不拥有的知识产权，则在投标报价中必须包括合法获取该知识产权的相关费用。</w:t>
      </w:r>
    </w:p>
    <w:p>
      <w:pPr>
        <w:spacing w:line="360" w:lineRule="auto"/>
        <w:ind w:firstLine="405" w:firstLineChars="192"/>
        <w:rPr>
          <w:rFonts w:hint="eastAsia" w:ascii="仿宋" w:hAnsi="仿宋" w:eastAsia="仿宋" w:cs="仿宋"/>
          <w:b/>
          <w:color w:val="000000"/>
          <w:szCs w:val="21"/>
        </w:rPr>
      </w:pPr>
      <w:r>
        <w:rPr>
          <w:rFonts w:hint="eastAsia" w:ascii="仿宋" w:hAnsi="仿宋" w:eastAsia="仿宋" w:cs="仿宋"/>
          <w:b/>
          <w:color w:val="000000"/>
          <w:szCs w:val="21"/>
        </w:rPr>
        <w:t>（九）服务内容</w:t>
      </w:r>
    </w:p>
    <w:p>
      <w:pPr>
        <w:spacing w:line="360" w:lineRule="auto"/>
        <w:ind w:firstLine="403" w:firstLineChars="192"/>
        <w:rPr>
          <w:rFonts w:hint="eastAsia" w:ascii="仿宋" w:hAnsi="仿宋" w:eastAsia="仿宋" w:cs="仿宋"/>
          <w:color w:val="000000"/>
          <w:szCs w:val="21"/>
        </w:rPr>
      </w:pPr>
      <w:r>
        <w:rPr>
          <w:rFonts w:hint="eastAsia" w:ascii="仿宋" w:hAnsi="仿宋" w:eastAsia="仿宋" w:cs="仿宋"/>
          <w:color w:val="000000"/>
          <w:szCs w:val="21"/>
        </w:rPr>
        <w:t>供应商按照招标文件的要求提供服务，服务内容详见采购需求。</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（十）特别说明：</w:t>
      </w:r>
    </w:p>
    <w:p>
      <w:pPr>
        <w:widowControl/>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1．</w:t>
      </w:r>
      <w:r>
        <w:rPr>
          <w:rFonts w:hint="eastAsia" w:ascii="仿宋" w:hAnsi="仿宋" w:eastAsia="仿宋" w:cs="仿宋"/>
          <w:color w:val="000000"/>
          <w:kern w:val="0"/>
          <w:szCs w:val="21"/>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widowControl/>
        <w:spacing w:line="360" w:lineRule="auto"/>
        <w:ind w:firstLine="210" w:firstLineChars="1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多家代理商或经销商参加投标，如其中两家或两家以上供应商存在分级代理或代销关系，且提供的是其所代理品牌产品的，评审时，按上述规定确定其中一家为有效供应商。</w:t>
      </w:r>
    </w:p>
    <w:p>
      <w:pPr>
        <w:widowControl/>
        <w:spacing w:line="360" w:lineRule="auto"/>
        <w:ind w:firstLine="210" w:firstLineChars="1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同一家原生产厂商授权多家代理商参加投标的，评审时，按上述规定确定其中一家为有效供应商。</w:t>
      </w:r>
    </w:p>
    <w:p>
      <w:pPr>
        <w:widowControl/>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rPr>
        <w:t>．</w:t>
      </w:r>
      <w:r>
        <w:rPr>
          <w:rFonts w:hint="eastAsia" w:ascii="仿宋" w:hAnsi="仿宋" w:eastAsia="仿宋" w:cs="仿宋"/>
          <w:color w:val="000000"/>
          <w:kern w:val="0"/>
          <w:szCs w:val="21"/>
        </w:rPr>
        <w:t>使用综合评分法的采购项目，提供相同品牌产品且通过资格审查、符合性审查的不同供应商参加同一合同项下投标的，</w:t>
      </w:r>
      <w:r>
        <w:rPr>
          <w:rFonts w:hint="eastAsia" w:ascii="仿宋" w:hAnsi="仿宋" w:eastAsia="仿宋" w:cs="仿宋"/>
          <w:bCs/>
          <w:color w:val="000000"/>
          <w:kern w:val="0"/>
          <w:szCs w:val="21"/>
        </w:rPr>
        <w:t>按一家供应商计算</w:t>
      </w:r>
      <w:r>
        <w:rPr>
          <w:rFonts w:hint="eastAsia" w:ascii="仿宋" w:hAnsi="仿宋" w:eastAsia="仿宋" w:cs="仿宋"/>
          <w:color w:val="000000"/>
          <w:kern w:val="0"/>
          <w:szCs w:val="21"/>
        </w:rPr>
        <w:t>，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widowControl/>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非单一产品采购项目，采购人应当根据采购项目技术构成、产品价格比重等合理确定核心产品，并在招标文件中载明。多家供应商提供的核心产品品牌相同的，按前述规定处理。</w:t>
      </w:r>
    </w:p>
    <w:p>
      <w:pPr>
        <w:pStyle w:val="118"/>
        <w:spacing w:line="360" w:lineRule="auto"/>
        <w:ind w:left="1"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3．2家以上的供应商不得在同一合同项下的采购项目中，同时委托同一个自然人、同一家庭的人员、同一单位的人员作为其代理人，否则，其投标文件作为无效处理。</w:t>
      </w:r>
    </w:p>
    <w:p>
      <w:pPr>
        <w:pStyle w:val="2"/>
        <w:snapToGrid w:val="0"/>
        <w:spacing w:before="0" w:beforeLines="0" w:after="0" w:afterLines="0" w:line="360" w:lineRule="auto"/>
        <w:ind w:left="2" w:leftChars="1"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4．供应商投标所使用的资格、信誉、荣誉、业绩与企业认证必须为本法人所拥有。供应商投标所使用的采购项目实施人员必须为本法人员工（或必须为本法人或控股公司正式员工）。</w:t>
      </w:r>
    </w:p>
    <w:p>
      <w:pPr>
        <w:pStyle w:val="2"/>
        <w:snapToGrid w:val="0"/>
        <w:spacing w:before="0" w:beforeLines="0" w:after="0" w:afterLines="0" w:line="360" w:lineRule="auto"/>
        <w:ind w:left="2" w:leftChars="1"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5．供应商应仔细阅读采购文件的所有内容，按照采购文件的要求提交投标文件，并对所提供的全部资料的真实性承担法律责任。</w:t>
      </w:r>
    </w:p>
    <w:p>
      <w:pPr>
        <w:pStyle w:val="2"/>
        <w:snapToGrid w:val="0"/>
        <w:spacing w:before="0" w:beforeLines="0" w:after="0" w:afterLines="0" w:line="360" w:lineRule="auto"/>
        <w:ind w:left="2" w:leftChars="1" w:firstLine="420" w:firstLineChars="200"/>
        <w:rPr>
          <w:rFonts w:hint="eastAsia" w:ascii="仿宋" w:hAnsi="仿宋" w:eastAsia="仿宋" w:cs="仿宋"/>
          <w:b/>
          <w:color w:val="000000"/>
          <w:sz w:val="21"/>
          <w:szCs w:val="21"/>
        </w:rPr>
      </w:pPr>
      <w:r>
        <w:rPr>
          <w:rFonts w:hint="eastAsia" w:ascii="仿宋" w:hAnsi="仿宋" w:eastAsia="仿宋" w:cs="仿宋"/>
          <w:color w:val="000000"/>
          <w:sz w:val="21"/>
          <w:szCs w:val="21"/>
        </w:rPr>
        <w:t>6．供应商在投标活动中提供虚假材料、失实材料,其投标无效，并报监管部门查处；中标后发现的,中标供应商须赔偿采购人损失，且民事赔偿并不免除违法供应商的行政与刑事责任。</w:t>
      </w:r>
    </w:p>
    <w:p>
      <w:pPr>
        <w:pStyle w:val="2"/>
        <w:snapToGrid w:val="0"/>
        <w:spacing w:before="0" w:beforeLines="0" w:after="0" w:afterLines="0" w:line="360" w:lineRule="auto"/>
        <w:ind w:firstLine="413" w:firstLineChars="196"/>
        <w:outlineLvl w:val="1"/>
        <w:rPr>
          <w:rFonts w:hint="eastAsia" w:ascii="仿宋" w:hAnsi="仿宋" w:eastAsia="仿宋" w:cs="仿宋"/>
          <w:b/>
          <w:color w:val="000000"/>
          <w:sz w:val="21"/>
          <w:szCs w:val="21"/>
        </w:rPr>
      </w:pPr>
      <w:bookmarkStart w:id="55" w:name="_Toc11605"/>
      <w:bookmarkStart w:id="56" w:name="_Toc26572"/>
      <w:r>
        <w:rPr>
          <w:rFonts w:hint="eastAsia" w:ascii="仿宋" w:hAnsi="仿宋" w:eastAsia="仿宋" w:cs="仿宋"/>
          <w:b/>
          <w:color w:val="000000"/>
          <w:sz w:val="21"/>
          <w:szCs w:val="21"/>
        </w:rPr>
        <w:t>二、采购文件</w:t>
      </w:r>
      <w:bookmarkEnd w:id="55"/>
      <w:bookmarkEnd w:id="56"/>
    </w:p>
    <w:p>
      <w:pPr>
        <w:snapToGrid w:val="0"/>
        <w:spacing w:line="360" w:lineRule="auto"/>
        <w:ind w:firstLine="411" w:firstLineChars="196"/>
        <w:jc w:val="left"/>
        <w:rPr>
          <w:rFonts w:hint="eastAsia" w:ascii="仿宋" w:hAnsi="仿宋" w:eastAsia="仿宋" w:cs="仿宋"/>
          <w:color w:val="000000"/>
          <w:szCs w:val="21"/>
        </w:rPr>
      </w:pPr>
      <w:r>
        <w:rPr>
          <w:rFonts w:hint="eastAsia" w:ascii="仿宋" w:hAnsi="仿宋" w:eastAsia="仿宋" w:cs="仿宋"/>
          <w:color w:val="000000"/>
          <w:szCs w:val="21"/>
        </w:rPr>
        <w:t>采购文件是供应商编制投标文件的依据，是评标委员会评判依据和标准。采购文件也是采购人与中标供应商签订合同的基础。</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（一）采购文件的构成。本采购文件由以下部份组成：</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1.招标公告</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2.招标需求</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3.供应商须知</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4.评标办法及标准</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5.合同主要条款</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6.投标文件格式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7.本项目采购文件的澄清、答复、修改、补充的内容</w:t>
      </w:r>
    </w:p>
    <w:p>
      <w:pPr>
        <w:snapToGrid w:val="0"/>
        <w:spacing w:line="360" w:lineRule="auto"/>
        <w:ind w:firstLine="413" w:firstLineChars="196"/>
        <w:jc w:val="left"/>
        <w:rPr>
          <w:rFonts w:hint="eastAsia" w:ascii="仿宋" w:hAnsi="仿宋" w:eastAsia="仿宋" w:cs="仿宋"/>
          <w:b/>
          <w:color w:val="000000"/>
          <w:szCs w:val="21"/>
        </w:rPr>
      </w:pPr>
      <w:r>
        <w:rPr>
          <w:rFonts w:hint="eastAsia" w:ascii="仿宋" w:hAnsi="仿宋" w:eastAsia="仿宋" w:cs="仿宋"/>
          <w:b/>
          <w:color w:val="000000"/>
          <w:szCs w:val="21"/>
        </w:rPr>
        <w:t>（二）供应商的风险</w:t>
      </w:r>
    </w:p>
    <w:p>
      <w:pPr>
        <w:pStyle w:val="34"/>
        <w:spacing w:line="360" w:lineRule="auto"/>
        <w:ind w:firstLine="420"/>
        <w:rPr>
          <w:rFonts w:hint="eastAsia" w:ascii="仿宋" w:hAnsi="仿宋" w:eastAsia="仿宋" w:cs="仿宋"/>
          <w:sz w:val="21"/>
          <w:szCs w:val="21"/>
        </w:rPr>
      </w:pPr>
      <w:r>
        <w:rPr>
          <w:rFonts w:hint="eastAsia" w:ascii="仿宋" w:hAnsi="仿宋" w:eastAsia="仿宋" w:cs="仿宋"/>
          <w:sz w:val="21"/>
          <w:szCs w:val="21"/>
        </w:rPr>
        <w:t>1．供应商没有按照采购文件要求提供全部资料，或者供应商没有对采购文件在各方面作出实质性响应是供应商的风险，并可能导致其投标被拒绝或评定为无效投标。</w:t>
      </w:r>
    </w:p>
    <w:p>
      <w:pPr>
        <w:pStyle w:val="34"/>
        <w:spacing w:line="360" w:lineRule="auto"/>
        <w:ind w:firstLine="420"/>
        <w:rPr>
          <w:rFonts w:hint="eastAsia" w:ascii="仿宋" w:hAnsi="仿宋" w:eastAsia="仿宋" w:cs="仿宋"/>
          <w:sz w:val="21"/>
          <w:szCs w:val="21"/>
        </w:rPr>
      </w:pPr>
      <w:r>
        <w:rPr>
          <w:rFonts w:hint="eastAsia" w:ascii="仿宋" w:hAnsi="仿宋" w:eastAsia="仿宋" w:cs="仿宋"/>
          <w:sz w:val="21"/>
          <w:szCs w:val="21"/>
        </w:rPr>
        <w:t>2．采购文件中标注“</w:t>
      </w:r>
      <w:r>
        <w:rPr>
          <w:rFonts w:hint="eastAsia" w:ascii="仿宋" w:hAnsi="仿宋" w:eastAsia="仿宋" w:cs="仿宋"/>
          <w:b/>
          <w:sz w:val="21"/>
          <w:szCs w:val="21"/>
        </w:rPr>
        <w:t>*</w:t>
      </w:r>
      <w:r>
        <w:rPr>
          <w:rFonts w:hint="eastAsia" w:ascii="仿宋" w:hAnsi="仿宋" w:eastAsia="仿宋" w:cs="仿宋"/>
          <w:sz w:val="21"/>
          <w:szCs w:val="21"/>
        </w:rPr>
        <w:t>”号的为要求供应商作实质性响应的重要商务或技术条款，供应商的投标对任何带“</w:t>
      </w:r>
      <w:r>
        <w:rPr>
          <w:rFonts w:hint="eastAsia" w:ascii="仿宋" w:hAnsi="仿宋" w:eastAsia="仿宋" w:cs="仿宋"/>
          <w:b/>
          <w:sz w:val="21"/>
          <w:szCs w:val="21"/>
        </w:rPr>
        <w:t>*</w:t>
      </w:r>
      <w:r>
        <w:rPr>
          <w:rFonts w:hint="eastAsia" w:ascii="仿宋" w:hAnsi="仿宋" w:eastAsia="仿宋" w:cs="仿宋"/>
          <w:sz w:val="21"/>
          <w:szCs w:val="21"/>
        </w:rPr>
        <w:t>”号的重要商务或技术条款的偏离或未作实质性响应都将直接导致投标被拒绝或评定为无效投标。</w:t>
      </w:r>
    </w:p>
    <w:p>
      <w:pPr>
        <w:pStyle w:val="7"/>
        <w:widowControl w:val="0"/>
        <w:numPr>
          <w:ilvl w:val="0"/>
          <w:numId w:val="0"/>
        </w:numPr>
        <w:snapToGrid w:val="0"/>
        <w:spacing w:after="0" w:afterLines="0" w:line="360" w:lineRule="auto"/>
        <w:ind w:firstLine="413" w:firstLineChars="196"/>
        <w:rPr>
          <w:rFonts w:hint="eastAsia" w:ascii="仿宋" w:hAnsi="仿宋" w:eastAsia="仿宋" w:cs="仿宋"/>
          <w:b/>
          <w:color w:val="000000"/>
          <w:sz w:val="21"/>
          <w:szCs w:val="21"/>
        </w:rPr>
      </w:pPr>
      <w:r>
        <w:rPr>
          <w:rFonts w:hint="eastAsia" w:ascii="仿宋" w:hAnsi="仿宋" w:eastAsia="仿宋" w:cs="仿宋"/>
          <w:b/>
          <w:color w:val="000000"/>
          <w:sz w:val="21"/>
          <w:szCs w:val="21"/>
        </w:rPr>
        <w:t>（三）采购文件的澄清与修改（包含答复或补充等形式）</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bCs/>
          <w:color w:val="000000"/>
          <w:sz w:val="21"/>
          <w:szCs w:val="21"/>
        </w:rPr>
        <w:t>供应商应认真阅读本采购文件，发现其中有误或有不合理要求的，供应商应以书面形式要求采购单位澄清</w:t>
      </w:r>
      <w:r>
        <w:rPr>
          <w:rFonts w:hint="eastAsia" w:ascii="仿宋" w:hAnsi="仿宋" w:eastAsia="仿宋" w:cs="仿宋"/>
          <w:color w:val="000000"/>
          <w:sz w:val="21"/>
          <w:szCs w:val="21"/>
        </w:rPr>
        <w:t>。采购单位可以对已发出的采购文件进行必要澄清、修改，澄清、修改的内容可能影响投标文件编制的，采购单位应当在投标截止时间至少15日前（含15日），在财政部门指定的政府采购信息发布媒体上发布更正公告；不足15日的，采购单位应当顺延提交投标文件的截止时间。</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2．采购文件澄清、修改的内容为采购文件的组成部分。当采购文件与采购文件的澄清、修改通知就同一内容的表述不一致时，以最后发出的书面文件为准。</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3．采购文件的澄清、修改以法定形式发布。</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4.没有提出质疑且又参与了该项目投标的供应商将被视为完全认同招标文件。</w:t>
      </w:r>
    </w:p>
    <w:p>
      <w:pPr>
        <w:pStyle w:val="2"/>
        <w:snapToGrid w:val="0"/>
        <w:spacing w:before="0" w:beforeLines="0" w:after="0" w:afterLines="0" w:line="360" w:lineRule="auto"/>
        <w:ind w:firstLine="413" w:firstLineChars="196"/>
        <w:outlineLvl w:val="1"/>
        <w:rPr>
          <w:rFonts w:hint="eastAsia" w:ascii="仿宋" w:hAnsi="仿宋" w:eastAsia="仿宋" w:cs="仿宋"/>
          <w:b/>
          <w:color w:val="000000"/>
          <w:sz w:val="21"/>
          <w:szCs w:val="21"/>
        </w:rPr>
      </w:pPr>
      <w:bookmarkStart w:id="57" w:name="_Toc2587"/>
      <w:bookmarkStart w:id="58" w:name="_Toc19094"/>
      <w:r>
        <w:rPr>
          <w:rFonts w:hint="eastAsia" w:ascii="仿宋" w:hAnsi="仿宋" w:eastAsia="仿宋" w:cs="仿宋"/>
          <w:b/>
          <w:color w:val="000000"/>
          <w:sz w:val="21"/>
          <w:szCs w:val="21"/>
        </w:rPr>
        <w:t>三、投标文件的编制</w:t>
      </w:r>
      <w:bookmarkEnd w:id="57"/>
      <w:bookmarkEnd w:id="58"/>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（一）投标文件文件的形式</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本项目采用不见面招投标，通过“政府采购项目电子交易平台”实施电子化方式采购，投标文件形式为电子投标文件。</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（二）电子投标文件制作说明</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（1）投标人应按照采购文件和政采云平台的要求编制、加密并递交电子投标文件。</w:t>
      </w:r>
      <w:r>
        <w:rPr>
          <w:rFonts w:hint="eastAsia" w:ascii="仿宋" w:hAnsi="仿宋" w:eastAsia="仿宋" w:cs="仿宋"/>
          <w:b/>
          <w:bCs/>
          <w:color w:val="000000"/>
          <w:szCs w:val="21"/>
        </w:rPr>
        <w:t>电子投标文件中所须加盖公章部分均采用CA签章。需要由法定代表人或其委托代理人签字的，采用先打印成纸质文件，完成签字后通过扫描或拍照方式上传至政采云平台。扫描或拍照不清晰所引起的后果由供应商负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投标人在使用“政府采购项目电子交易平台”的过程中遇到涉及平台使用的任何问题，可致电政采云平台技术支持热线咨询，联系方式：400-881-7190。</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政采云平台电子投标工具请投标人自行在“浙江省政府采购网”上下载并安装，（“20190830政采云电子交易客户端”下载网址：http://www.zjzfcg.gov.cn/bidClientTemplate/2019-08-30/12975.html），电子投标具体流程详见“政府采购项目电子交易管理操作指南-供应商”（网址https://service.zcygov.cn/#/knowledges/CW1EtGwBFdiHxlNd6I3m/6IMVAG0BFdiHxlNdQ8Na）。投标人登陆政采云账号，点链接就可以跳转到操作指南的界面。</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(3)请使用win7及以上64位操作系统，请勿使用mac电脑。</w:t>
      </w:r>
    </w:p>
    <w:p>
      <w:pPr>
        <w:snapToGrid w:val="0"/>
        <w:spacing w:line="360" w:lineRule="auto"/>
        <w:ind w:firstLine="413" w:firstLineChars="196"/>
        <w:jc w:val="left"/>
        <w:outlineLvl w:val="1"/>
        <w:rPr>
          <w:rFonts w:hint="eastAsia" w:ascii="仿宋" w:hAnsi="仿宋" w:eastAsia="仿宋" w:cs="仿宋"/>
          <w:b/>
          <w:color w:val="000000"/>
          <w:szCs w:val="21"/>
        </w:rPr>
      </w:pPr>
      <w:bookmarkStart w:id="59" w:name="_Toc20649"/>
      <w:bookmarkStart w:id="60" w:name="_Toc23993"/>
      <w:r>
        <w:rPr>
          <w:rFonts w:hint="eastAsia" w:ascii="仿宋" w:hAnsi="仿宋" w:eastAsia="仿宋" w:cs="仿宋"/>
          <w:b/>
          <w:color w:val="000000"/>
          <w:szCs w:val="21"/>
        </w:rPr>
        <w:t>（三）投标文件的组成</w:t>
      </w:r>
      <w:bookmarkEnd w:id="59"/>
      <w:bookmarkEnd w:id="60"/>
    </w:p>
    <w:p>
      <w:pPr>
        <w:snapToGrid w:val="0"/>
        <w:spacing w:line="360" w:lineRule="auto"/>
        <w:ind w:firstLine="422" w:firstLineChars="200"/>
        <w:jc w:val="left"/>
        <w:rPr>
          <w:rFonts w:hint="eastAsia" w:ascii="仿宋" w:hAnsi="仿宋" w:eastAsia="仿宋" w:cs="仿宋"/>
          <w:b/>
          <w:color w:val="000000"/>
          <w:szCs w:val="21"/>
          <w:u w:val="single"/>
        </w:rPr>
      </w:pPr>
      <w:r>
        <w:rPr>
          <w:rFonts w:hint="eastAsia" w:ascii="仿宋" w:hAnsi="仿宋" w:eastAsia="仿宋" w:cs="仿宋"/>
          <w:b/>
          <w:color w:val="000000"/>
          <w:szCs w:val="21"/>
        </w:rPr>
        <w:t>投标文件由资格证明部分、商务技术部分、投标报价部份组成。</w:t>
      </w:r>
    </w:p>
    <w:p>
      <w:pPr>
        <w:spacing w:line="360" w:lineRule="auto"/>
        <w:ind w:firstLine="422" w:firstLineChars="200"/>
        <w:outlineLvl w:val="1"/>
        <w:rPr>
          <w:rFonts w:hint="eastAsia" w:ascii="仿宋" w:hAnsi="仿宋" w:eastAsia="仿宋" w:cs="仿宋"/>
          <w:b/>
          <w:color w:val="000000"/>
          <w:szCs w:val="21"/>
        </w:rPr>
      </w:pPr>
      <w:bookmarkStart w:id="61" w:name="_Toc13583"/>
      <w:bookmarkStart w:id="62" w:name="_Toc19709"/>
      <w:r>
        <w:rPr>
          <w:rFonts w:hint="eastAsia" w:ascii="仿宋" w:hAnsi="仿宋" w:eastAsia="仿宋" w:cs="仿宋"/>
          <w:b/>
          <w:color w:val="000000"/>
          <w:szCs w:val="21"/>
        </w:rPr>
        <w:t>1、资格证明材料部分：</w:t>
      </w:r>
      <w:bookmarkEnd w:id="61"/>
      <w:bookmarkEnd w:id="62"/>
    </w:p>
    <w:p>
      <w:pPr>
        <w:snapToGrid w:val="0"/>
        <w:spacing w:line="360" w:lineRule="auto"/>
        <w:ind w:firstLine="420" w:firstLineChars="200"/>
        <w:outlineLvl w:val="2"/>
        <w:rPr>
          <w:rFonts w:hint="eastAsia" w:ascii="仿宋" w:hAnsi="仿宋" w:eastAsia="仿宋" w:cs="仿宋"/>
          <w:color w:val="000000"/>
          <w:szCs w:val="21"/>
        </w:rPr>
      </w:pPr>
      <w:bookmarkStart w:id="63" w:name="_Toc7865"/>
      <w:bookmarkStart w:id="64" w:name="_Toc18558"/>
      <w:r>
        <w:rPr>
          <w:rFonts w:hint="eastAsia" w:ascii="仿宋" w:hAnsi="仿宋" w:eastAsia="仿宋" w:cs="仿宋"/>
          <w:color w:val="000000"/>
          <w:szCs w:val="21"/>
        </w:rPr>
        <w:t>*（1）法人营业执照（副本）或事业单位法人证书（副本）营业执照的复印件；</w:t>
      </w:r>
      <w:bookmarkEnd w:id="63"/>
      <w:bookmarkEnd w:id="64"/>
    </w:p>
    <w:p>
      <w:pPr>
        <w:snapToGrid w:val="0"/>
        <w:spacing w:line="360" w:lineRule="auto"/>
        <w:ind w:firstLine="420" w:firstLineChars="200"/>
        <w:outlineLvl w:val="2"/>
        <w:rPr>
          <w:rFonts w:hint="eastAsia" w:ascii="仿宋" w:hAnsi="仿宋" w:eastAsia="仿宋" w:cs="仿宋"/>
          <w:color w:val="000000"/>
          <w:szCs w:val="21"/>
        </w:rPr>
      </w:pPr>
      <w:bookmarkStart w:id="65" w:name="_Toc7881"/>
      <w:bookmarkStart w:id="66" w:name="_Toc29010"/>
      <w:r>
        <w:rPr>
          <w:rFonts w:hint="eastAsia" w:ascii="仿宋" w:hAnsi="仿宋" w:eastAsia="仿宋" w:cs="仿宋"/>
          <w:color w:val="000000"/>
          <w:szCs w:val="21"/>
        </w:rPr>
        <w:t>*（2）具有良好的商业信誉和健全的财务会计制度的声明书；（附件一-1）</w:t>
      </w:r>
      <w:bookmarkEnd w:id="65"/>
      <w:bookmarkEnd w:id="66"/>
    </w:p>
    <w:p>
      <w:pPr>
        <w:snapToGrid w:val="0"/>
        <w:spacing w:line="360" w:lineRule="auto"/>
        <w:ind w:firstLine="420" w:firstLineChars="200"/>
        <w:outlineLvl w:val="2"/>
        <w:rPr>
          <w:rFonts w:hint="eastAsia" w:ascii="仿宋" w:hAnsi="仿宋" w:eastAsia="仿宋" w:cs="仿宋"/>
          <w:color w:val="000000"/>
          <w:szCs w:val="21"/>
        </w:rPr>
      </w:pPr>
      <w:bookmarkStart w:id="67" w:name="_Toc4944"/>
      <w:bookmarkStart w:id="68" w:name="_Toc3663"/>
      <w:r>
        <w:rPr>
          <w:rFonts w:hint="eastAsia" w:ascii="仿宋" w:hAnsi="仿宋" w:eastAsia="仿宋" w:cs="仿宋"/>
          <w:color w:val="000000"/>
          <w:szCs w:val="21"/>
        </w:rPr>
        <w:t>*（3）具有履行合同所必需的设备和专业技术能力的声明书；（附件一-2）</w:t>
      </w:r>
      <w:bookmarkEnd w:id="67"/>
      <w:bookmarkEnd w:id="68"/>
    </w:p>
    <w:p>
      <w:pPr>
        <w:snapToGrid w:val="0"/>
        <w:spacing w:line="360" w:lineRule="auto"/>
        <w:ind w:firstLine="420" w:firstLineChars="200"/>
        <w:outlineLvl w:val="2"/>
        <w:rPr>
          <w:rFonts w:hint="eastAsia" w:ascii="仿宋" w:hAnsi="仿宋" w:eastAsia="仿宋" w:cs="仿宋"/>
          <w:color w:val="000000"/>
          <w:szCs w:val="21"/>
        </w:rPr>
      </w:pPr>
      <w:bookmarkStart w:id="69" w:name="_Toc29807"/>
      <w:bookmarkStart w:id="70" w:name="_Toc5113"/>
      <w:r>
        <w:rPr>
          <w:rFonts w:hint="eastAsia" w:ascii="仿宋" w:hAnsi="仿宋" w:eastAsia="仿宋" w:cs="仿宋"/>
          <w:color w:val="000000"/>
          <w:szCs w:val="21"/>
        </w:rPr>
        <w:t>*（4）有依法缴纳税收和社会保障资金的良好记录的声明书；（附件一-3）</w:t>
      </w:r>
      <w:bookmarkEnd w:id="69"/>
      <w:bookmarkEnd w:id="70"/>
    </w:p>
    <w:p>
      <w:pPr>
        <w:snapToGrid w:val="0"/>
        <w:spacing w:line="360" w:lineRule="auto"/>
        <w:ind w:firstLine="420" w:firstLineChars="200"/>
        <w:outlineLvl w:val="2"/>
        <w:rPr>
          <w:rFonts w:hint="eastAsia" w:ascii="仿宋" w:hAnsi="仿宋" w:eastAsia="仿宋" w:cs="仿宋"/>
          <w:color w:val="000000"/>
          <w:szCs w:val="21"/>
        </w:rPr>
      </w:pPr>
      <w:bookmarkStart w:id="71" w:name="_Toc27127"/>
      <w:bookmarkStart w:id="72" w:name="_Toc22647"/>
      <w:r>
        <w:rPr>
          <w:rFonts w:hint="eastAsia" w:ascii="仿宋" w:hAnsi="仿宋" w:eastAsia="仿宋" w:cs="仿宋"/>
          <w:color w:val="000000"/>
          <w:szCs w:val="21"/>
        </w:rPr>
        <w:t>*（5）参加采购活动前三年内，在经营活动中没有重大违法记录的声明书；（附件一-4）</w:t>
      </w:r>
      <w:bookmarkEnd w:id="71"/>
      <w:bookmarkEnd w:id="72"/>
    </w:p>
    <w:p>
      <w:pPr>
        <w:snapToGrid w:val="0"/>
        <w:spacing w:line="360" w:lineRule="auto"/>
        <w:ind w:firstLine="420" w:firstLineChars="200"/>
        <w:outlineLvl w:val="2"/>
        <w:rPr>
          <w:rFonts w:hint="eastAsia" w:ascii="仿宋" w:hAnsi="仿宋" w:eastAsia="仿宋" w:cs="仿宋"/>
          <w:color w:val="000000"/>
          <w:szCs w:val="21"/>
        </w:rPr>
      </w:pPr>
      <w:bookmarkStart w:id="73" w:name="_Toc18431"/>
      <w:bookmarkStart w:id="74" w:name="_Toc16403"/>
      <w:r>
        <w:rPr>
          <w:rFonts w:hint="eastAsia" w:ascii="仿宋" w:hAnsi="仿宋" w:eastAsia="仿宋" w:cs="仿宋"/>
          <w:color w:val="000000"/>
          <w:szCs w:val="21"/>
        </w:rPr>
        <w:t>*（6）未被“信用中国”（www.creditchina.gov.cn）、中国政府采购网（www.ccgp.gov.cn）列入失信被执行人、重大税收违法案件当事人名单、政府采购严重违法失信行为记录名单的声明书；（附件一-5）</w:t>
      </w:r>
      <w:bookmarkEnd w:id="73"/>
      <w:bookmarkEnd w:id="74"/>
    </w:p>
    <w:p>
      <w:pPr>
        <w:snapToGrid w:val="0"/>
        <w:spacing w:line="360" w:lineRule="auto"/>
        <w:ind w:firstLine="420" w:firstLineChars="200"/>
        <w:outlineLvl w:val="2"/>
        <w:rPr>
          <w:rFonts w:hint="eastAsia" w:ascii="仿宋" w:hAnsi="仿宋" w:eastAsia="仿宋" w:cs="仿宋"/>
          <w:color w:val="000000"/>
          <w:szCs w:val="21"/>
        </w:rPr>
      </w:pPr>
      <w:bookmarkStart w:id="75" w:name="_Toc5642"/>
      <w:bookmarkStart w:id="76" w:name="_Toc2385"/>
      <w:r>
        <w:rPr>
          <w:rFonts w:hint="eastAsia" w:ascii="仿宋" w:hAnsi="仿宋" w:eastAsia="仿宋" w:cs="仿宋"/>
          <w:color w:val="000000"/>
          <w:szCs w:val="21"/>
        </w:rPr>
        <w:t>*（7）法定代表人的身份证明（附件二-1）。如果供应商派委托代理人参加投标的，另提供法定代表人授权书（附件二-2）。</w:t>
      </w:r>
      <w:bookmarkEnd w:id="75"/>
      <w:bookmarkEnd w:id="76"/>
    </w:p>
    <w:p>
      <w:pPr>
        <w:snapToGrid w:val="0"/>
        <w:spacing w:line="360" w:lineRule="auto"/>
        <w:ind w:firstLine="420" w:firstLineChars="200"/>
        <w:outlineLvl w:val="2"/>
        <w:rPr>
          <w:rFonts w:hint="eastAsia" w:ascii="仿宋" w:hAnsi="仿宋" w:eastAsia="仿宋" w:cs="仿宋"/>
          <w:color w:val="000000"/>
          <w:szCs w:val="21"/>
        </w:rPr>
      </w:pPr>
      <w:bookmarkStart w:id="77" w:name="_Toc6896"/>
      <w:bookmarkStart w:id="78" w:name="_Toc15317"/>
      <w:r>
        <w:rPr>
          <w:rFonts w:hint="eastAsia" w:ascii="仿宋" w:hAnsi="仿宋" w:eastAsia="仿宋" w:cs="仿宋"/>
          <w:color w:val="000000"/>
          <w:szCs w:val="21"/>
        </w:rPr>
        <w:t>*（8）联合体协议书（投标人以联合体方式响应的必须提供联合体协议书，否则作无效标处理）（附件三）</w:t>
      </w:r>
    </w:p>
    <w:p>
      <w:pPr>
        <w:snapToGrid w:val="0"/>
        <w:spacing w:line="360" w:lineRule="auto"/>
        <w:ind w:firstLine="420" w:firstLineChars="200"/>
        <w:outlineLvl w:val="2"/>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auto"/>
          <w:lang w:val="en-US" w:eastAsia="zh-CN"/>
        </w:rPr>
        <w:t>(9)</w:t>
      </w:r>
      <w:r>
        <w:rPr>
          <w:rFonts w:hint="eastAsia" w:ascii="仿宋" w:hAnsi="仿宋" w:eastAsia="仿宋" w:cs="仿宋"/>
          <w:color w:val="auto"/>
        </w:rPr>
        <w:t>中小企业声明函</w:t>
      </w:r>
      <w:r>
        <w:rPr>
          <w:rFonts w:hint="eastAsia" w:ascii="仿宋" w:hAnsi="仿宋" w:eastAsia="仿宋" w:cs="仿宋"/>
          <w:color w:val="auto"/>
          <w:lang w:eastAsia="zh-CN"/>
        </w:rPr>
        <w:t>（</w:t>
      </w:r>
      <w:r>
        <w:rPr>
          <w:rFonts w:hint="eastAsia" w:ascii="仿宋" w:hAnsi="仿宋" w:eastAsia="仿宋" w:cs="仿宋"/>
          <w:color w:val="auto"/>
          <w:lang w:val="en-US" w:eastAsia="zh-CN"/>
        </w:rPr>
        <w:t>或</w:t>
      </w:r>
      <w:r>
        <w:rPr>
          <w:rFonts w:hint="eastAsia" w:ascii="仿宋" w:hAnsi="仿宋" w:eastAsia="仿宋" w:cs="仿宋"/>
          <w:color w:val="auto"/>
        </w:rPr>
        <w:t>残疾人福利性单位声明函</w:t>
      </w:r>
      <w:r>
        <w:rPr>
          <w:rFonts w:hint="eastAsia" w:ascii="仿宋" w:hAnsi="仿宋" w:eastAsia="仿宋" w:cs="仿宋"/>
          <w:color w:val="auto"/>
          <w:lang w:val="en-US" w:eastAsia="zh-CN"/>
        </w:rPr>
        <w:t>或</w:t>
      </w:r>
      <w:r>
        <w:rPr>
          <w:rFonts w:hint="eastAsia" w:ascii="仿宋" w:hAnsi="仿宋" w:eastAsia="仿宋" w:cs="仿宋"/>
          <w:color w:val="auto"/>
        </w:rPr>
        <w:t>监狱企业的证明文件</w:t>
      </w:r>
      <w:r>
        <w:rPr>
          <w:rFonts w:hint="eastAsia" w:ascii="仿宋" w:hAnsi="仿宋" w:eastAsia="仿宋" w:cs="仿宋"/>
          <w:color w:val="auto"/>
          <w:lang w:eastAsia="zh-CN"/>
        </w:rPr>
        <w:t>）</w:t>
      </w:r>
      <w:r>
        <w:rPr>
          <w:rFonts w:hint="eastAsia" w:ascii="仿宋" w:hAnsi="仿宋" w:eastAsia="仿宋" w:cs="仿宋"/>
          <w:bCs/>
          <w:color w:val="auto"/>
          <w:szCs w:val="21"/>
        </w:rPr>
        <w:t>（若联合体投标，则联合体</w:t>
      </w:r>
      <w:r>
        <w:rPr>
          <w:rFonts w:hint="eastAsia" w:ascii="仿宋" w:hAnsi="仿宋" w:eastAsia="仿宋" w:cs="仿宋"/>
          <w:bCs/>
          <w:color w:val="auto"/>
          <w:szCs w:val="21"/>
          <w:lang w:val="en-US" w:eastAsia="zh-CN"/>
        </w:rPr>
        <w:t>各</w:t>
      </w:r>
      <w:r>
        <w:rPr>
          <w:rFonts w:hint="eastAsia" w:ascii="仿宋" w:hAnsi="仿宋" w:eastAsia="仿宋" w:cs="仿宋"/>
          <w:bCs/>
          <w:color w:val="auto"/>
          <w:szCs w:val="21"/>
        </w:rPr>
        <w:t>成员</w:t>
      </w:r>
      <w:r>
        <w:rPr>
          <w:rFonts w:hint="eastAsia" w:ascii="仿宋" w:hAnsi="仿宋" w:eastAsia="仿宋" w:cs="仿宋"/>
          <w:bCs/>
          <w:color w:val="auto"/>
          <w:szCs w:val="21"/>
          <w:lang w:val="en-US" w:eastAsia="zh-CN"/>
        </w:rPr>
        <w:t>中须提供其中一类</w:t>
      </w:r>
      <w:r>
        <w:rPr>
          <w:rFonts w:hint="eastAsia" w:ascii="仿宋" w:hAnsi="仿宋" w:eastAsia="仿宋" w:cs="仿宋"/>
          <w:color w:val="auto"/>
          <w:lang w:val="en-US" w:eastAsia="zh-CN"/>
        </w:rPr>
        <w:t>并</w:t>
      </w:r>
      <w:r>
        <w:rPr>
          <w:rFonts w:hint="eastAsia" w:ascii="仿宋" w:hAnsi="仿宋" w:eastAsia="仿宋" w:cs="仿宋"/>
          <w:bCs/>
          <w:color w:val="auto"/>
          <w:szCs w:val="21"/>
        </w:rPr>
        <w:t>按要求</w:t>
      </w:r>
      <w:r>
        <w:rPr>
          <w:rFonts w:hint="eastAsia" w:ascii="仿宋" w:hAnsi="仿宋" w:eastAsia="仿宋" w:cs="仿宋"/>
          <w:color w:val="auto"/>
        </w:rPr>
        <w:t>签章</w:t>
      </w:r>
      <w:r>
        <w:rPr>
          <w:rFonts w:hint="eastAsia" w:ascii="仿宋" w:hAnsi="仿宋" w:eastAsia="仿宋" w:cs="仿宋"/>
          <w:bCs/>
          <w:color w:val="auto"/>
          <w:szCs w:val="21"/>
        </w:rPr>
        <w:t>，格式见附件</w:t>
      </w:r>
      <w:r>
        <w:rPr>
          <w:rFonts w:hint="eastAsia" w:ascii="仿宋" w:hAnsi="仿宋" w:eastAsia="仿宋" w:cs="仿宋"/>
          <w:bCs/>
          <w:color w:val="auto"/>
          <w:szCs w:val="21"/>
          <w:lang w:eastAsia="zh-CN"/>
        </w:rPr>
        <w:t>，</w:t>
      </w:r>
      <w:r>
        <w:rPr>
          <w:rFonts w:hint="eastAsia" w:ascii="仿宋" w:hAnsi="仿宋" w:eastAsia="仿宋" w:cs="仿宋"/>
          <w:color w:val="auto"/>
        </w:rPr>
        <w:t>按要求</w:t>
      </w:r>
      <w:r>
        <w:rPr>
          <w:rFonts w:hint="eastAsia" w:ascii="仿宋" w:hAnsi="仿宋" w:eastAsia="仿宋" w:cs="仿宋"/>
          <w:color w:val="auto"/>
          <w:lang w:val="en-US" w:eastAsia="zh-CN"/>
        </w:rPr>
        <w:t>提供并</w:t>
      </w:r>
      <w:r>
        <w:rPr>
          <w:rFonts w:hint="eastAsia" w:ascii="仿宋" w:hAnsi="仿宋" w:eastAsia="仿宋" w:cs="仿宋"/>
          <w:color w:val="auto"/>
        </w:rPr>
        <w:t>签章</w:t>
      </w:r>
      <w:r>
        <w:rPr>
          <w:rFonts w:hint="eastAsia" w:ascii="仿宋" w:hAnsi="仿宋" w:eastAsia="仿宋" w:cs="仿宋"/>
          <w:bCs/>
          <w:color w:val="auto"/>
          <w:szCs w:val="21"/>
        </w:rPr>
        <w:t>）</w:t>
      </w:r>
      <w:r>
        <w:rPr>
          <w:rFonts w:hint="eastAsia" w:ascii="仿宋" w:hAnsi="仿宋" w:eastAsia="仿宋" w:cs="仿宋"/>
          <w:color w:val="000000"/>
          <w:szCs w:val="21"/>
        </w:rPr>
        <w:t>（附件</w:t>
      </w:r>
      <w:r>
        <w:rPr>
          <w:rFonts w:hint="eastAsia" w:ascii="仿宋" w:hAnsi="仿宋" w:eastAsia="仿宋" w:cs="仿宋"/>
          <w:color w:val="000000"/>
          <w:szCs w:val="21"/>
          <w:lang w:eastAsia="zh-CN"/>
        </w:rPr>
        <w:t>四</w:t>
      </w:r>
      <w:r>
        <w:rPr>
          <w:rFonts w:hint="eastAsia" w:ascii="仿宋" w:hAnsi="仿宋" w:eastAsia="仿宋" w:cs="仿宋"/>
          <w:color w:val="000000"/>
          <w:szCs w:val="21"/>
        </w:rPr>
        <w:t>）；</w:t>
      </w:r>
      <w:bookmarkEnd w:id="77"/>
      <w:bookmarkEnd w:id="78"/>
    </w:p>
    <w:p>
      <w:pPr>
        <w:snapToGrid w:val="0"/>
        <w:spacing w:line="360" w:lineRule="auto"/>
        <w:ind w:firstLine="420" w:firstLineChars="200"/>
        <w:outlineLvl w:val="2"/>
        <w:rPr>
          <w:rFonts w:hint="eastAsia" w:ascii="仿宋" w:hAnsi="仿宋" w:eastAsia="仿宋" w:cs="仿宋"/>
          <w:color w:val="FF0000"/>
          <w:lang w:val="zh-CN"/>
        </w:rPr>
      </w:pPr>
      <w:bookmarkStart w:id="79" w:name="_Toc25286"/>
      <w:bookmarkStart w:id="80" w:name="_Toc4599"/>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w:t>
      </w:r>
      <w:r>
        <w:rPr>
          <w:rFonts w:hint="eastAsia" w:ascii="仿宋" w:hAnsi="仿宋" w:eastAsia="仿宋" w:cs="仿宋"/>
          <w:color w:val="FF0000"/>
          <w:lang w:val="zh-CN"/>
        </w:rPr>
        <w:t>有效的保安服务许可证证书复印件</w:t>
      </w:r>
      <w:bookmarkEnd w:id="79"/>
      <w:bookmarkEnd w:id="80"/>
    </w:p>
    <w:p>
      <w:pPr>
        <w:pStyle w:val="17"/>
        <w:ind w:left="0" w:leftChars="0" w:right="1470" w:firstLine="420" w:firstLineChars="200"/>
        <w:rPr>
          <w:rFonts w:hint="eastAsia"/>
        </w:rPr>
      </w:pPr>
      <w:bookmarkStart w:id="81" w:name="_Toc4796"/>
      <w:bookmarkStart w:id="82" w:name="_Toc27545"/>
      <w:r>
        <w:rPr>
          <w:rFonts w:hint="eastAsia" w:ascii="仿宋" w:hAnsi="仿宋" w:eastAsia="仿宋" w:cs="仿宋"/>
          <w:color w:val="000000"/>
          <w:szCs w:val="21"/>
        </w:rPr>
        <w:t>（1</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）投标人认为需提供的其他资格审查资料。</w:t>
      </w:r>
      <w:bookmarkEnd w:id="81"/>
      <w:bookmarkEnd w:id="82"/>
    </w:p>
    <w:p>
      <w:pPr>
        <w:numPr>
          <w:ilvl w:val="0"/>
          <w:numId w:val="6"/>
        </w:numPr>
        <w:spacing w:line="360" w:lineRule="auto"/>
        <w:ind w:firstLine="422" w:firstLineChars="200"/>
        <w:outlineLvl w:val="1"/>
        <w:rPr>
          <w:rFonts w:hint="eastAsia" w:ascii="仿宋" w:hAnsi="仿宋" w:eastAsia="仿宋" w:cs="仿宋"/>
          <w:b/>
          <w:color w:val="000000"/>
          <w:szCs w:val="21"/>
        </w:rPr>
      </w:pPr>
      <w:bookmarkStart w:id="83" w:name="_Toc14589"/>
      <w:bookmarkStart w:id="84" w:name="_Toc3791"/>
      <w:r>
        <w:rPr>
          <w:rFonts w:hint="eastAsia" w:ascii="仿宋" w:hAnsi="仿宋" w:eastAsia="仿宋" w:cs="仿宋"/>
          <w:b/>
          <w:color w:val="000000"/>
          <w:szCs w:val="21"/>
        </w:rPr>
        <w:t>商务技术部分</w:t>
      </w:r>
      <w:bookmarkEnd w:id="83"/>
      <w:bookmarkEnd w:id="84"/>
    </w:p>
    <w:p>
      <w:pPr>
        <w:snapToGrid w:val="0"/>
        <w:spacing w:line="360" w:lineRule="auto"/>
        <w:ind w:firstLine="424" w:firstLineChars="202"/>
        <w:jc w:val="left"/>
        <w:outlineLvl w:val="2"/>
        <w:rPr>
          <w:rFonts w:hint="eastAsia" w:ascii="仿宋" w:hAnsi="仿宋" w:eastAsia="仿宋" w:cs="仿宋"/>
          <w:color w:val="000000"/>
          <w:szCs w:val="21"/>
        </w:rPr>
      </w:pPr>
      <w:bookmarkStart w:id="85" w:name="_Toc16578"/>
      <w:bookmarkStart w:id="86" w:name="_Toc25292"/>
      <w:r>
        <w:rPr>
          <w:rFonts w:hint="eastAsia" w:ascii="仿宋" w:hAnsi="仿宋" w:eastAsia="仿宋" w:cs="仿宋"/>
          <w:color w:val="000000"/>
          <w:szCs w:val="21"/>
        </w:rPr>
        <w:t>*（1）投标人情况表（附件</w:t>
      </w:r>
      <w:r>
        <w:rPr>
          <w:rFonts w:hint="eastAsia" w:ascii="仿宋" w:hAnsi="仿宋" w:eastAsia="仿宋" w:cs="仿宋"/>
          <w:color w:val="000000"/>
          <w:szCs w:val="21"/>
          <w:lang w:eastAsia="zh-CN"/>
        </w:rPr>
        <w:t>五</w:t>
      </w:r>
      <w:r>
        <w:rPr>
          <w:rFonts w:hint="eastAsia" w:ascii="仿宋" w:hAnsi="仿宋" w:eastAsia="仿宋" w:cs="仿宋"/>
          <w:color w:val="000000"/>
          <w:szCs w:val="21"/>
        </w:rPr>
        <w:t>）；</w:t>
      </w:r>
      <w:bookmarkEnd w:id="85"/>
      <w:bookmarkEnd w:id="86"/>
    </w:p>
    <w:p>
      <w:pPr>
        <w:snapToGrid w:val="0"/>
        <w:spacing w:line="360" w:lineRule="auto"/>
        <w:ind w:firstLine="424" w:firstLineChars="202"/>
        <w:jc w:val="left"/>
        <w:outlineLvl w:val="2"/>
        <w:rPr>
          <w:rFonts w:hint="eastAsia" w:ascii="仿宋" w:hAnsi="仿宋" w:eastAsia="仿宋" w:cs="仿宋"/>
          <w:color w:val="000000"/>
          <w:szCs w:val="21"/>
        </w:rPr>
      </w:pPr>
      <w:bookmarkStart w:id="87" w:name="_Toc8968"/>
      <w:bookmarkStart w:id="88" w:name="_Toc1063"/>
      <w:r>
        <w:rPr>
          <w:rFonts w:hint="eastAsia" w:ascii="仿宋" w:hAnsi="仿宋" w:eastAsia="仿宋" w:cs="仿宋"/>
          <w:color w:val="000000"/>
          <w:szCs w:val="21"/>
        </w:rPr>
        <w:t>*（2）技术要求及合同条款偏离表（附件</w:t>
      </w:r>
      <w:r>
        <w:rPr>
          <w:rFonts w:hint="eastAsia" w:ascii="仿宋" w:hAnsi="仿宋" w:eastAsia="仿宋" w:cs="仿宋"/>
          <w:color w:val="000000"/>
          <w:szCs w:val="21"/>
          <w:lang w:eastAsia="zh-CN"/>
        </w:rPr>
        <w:t>六</w:t>
      </w:r>
      <w:r>
        <w:rPr>
          <w:rFonts w:hint="eastAsia" w:ascii="仿宋" w:hAnsi="仿宋" w:eastAsia="仿宋" w:cs="仿宋"/>
          <w:color w:val="000000"/>
          <w:szCs w:val="21"/>
        </w:rPr>
        <w:t>）；</w:t>
      </w:r>
      <w:bookmarkEnd w:id="87"/>
      <w:bookmarkEnd w:id="88"/>
    </w:p>
    <w:p>
      <w:pPr>
        <w:numPr>
          <w:ilvl w:val="0"/>
          <w:numId w:val="7"/>
        </w:numPr>
        <w:snapToGrid w:val="0"/>
        <w:spacing w:line="360" w:lineRule="auto"/>
        <w:ind w:firstLine="424" w:firstLineChars="202"/>
        <w:jc w:val="left"/>
        <w:outlineLvl w:val="2"/>
        <w:rPr>
          <w:rFonts w:hint="eastAsia" w:ascii="仿宋" w:hAnsi="仿宋" w:eastAsia="仿宋" w:cs="仿宋"/>
          <w:color w:val="000000"/>
          <w:szCs w:val="21"/>
        </w:rPr>
      </w:pPr>
      <w:bookmarkStart w:id="89" w:name="_Toc5090"/>
      <w:bookmarkStart w:id="90" w:name="_Toc1428"/>
      <w:r>
        <w:rPr>
          <w:rFonts w:hint="eastAsia" w:ascii="仿宋" w:hAnsi="仿宋" w:eastAsia="仿宋" w:cs="仿宋"/>
          <w:color w:val="000000"/>
          <w:szCs w:val="21"/>
        </w:rPr>
        <w:t>其他评分需要提供的商务技术资料，方案、证书、证明等（详见评审内容）；</w:t>
      </w:r>
      <w:bookmarkEnd w:id="89"/>
      <w:bookmarkEnd w:id="90"/>
    </w:p>
    <w:p>
      <w:pPr>
        <w:numPr>
          <w:ilvl w:val="0"/>
          <w:numId w:val="7"/>
        </w:numPr>
        <w:snapToGrid w:val="0"/>
        <w:spacing w:line="360" w:lineRule="auto"/>
        <w:ind w:firstLine="424" w:firstLineChars="202"/>
        <w:jc w:val="left"/>
        <w:outlineLvl w:val="2"/>
        <w:rPr>
          <w:rFonts w:hint="eastAsia" w:ascii="仿宋" w:hAnsi="仿宋" w:eastAsia="仿宋" w:cs="仿宋"/>
          <w:color w:val="000000"/>
          <w:szCs w:val="21"/>
        </w:rPr>
      </w:pPr>
      <w:bookmarkStart w:id="91" w:name="_Toc22658"/>
      <w:bookmarkStart w:id="92" w:name="_Toc11518"/>
      <w:r>
        <w:rPr>
          <w:rFonts w:hint="eastAsia" w:ascii="仿宋" w:hAnsi="仿宋" w:eastAsia="仿宋" w:cs="仿宋"/>
          <w:color w:val="000000"/>
          <w:szCs w:val="21"/>
        </w:rPr>
        <w:t>分包意向协议</w:t>
      </w:r>
      <w:r>
        <w:rPr>
          <w:rFonts w:hint="eastAsia" w:ascii="仿宋" w:hAnsi="仿宋" w:eastAsia="仿宋" w:cs="仿宋"/>
          <w:b/>
          <w:bCs/>
          <w:color w:val="000000"/>
          <w:szCs w:val="21"/>
        </w:rPr>
        <w:t>（成交后以合理分包方式履行政府采购合同的，提供分包意向协议）</w:t>
      </w:r>
      <w:r>
        <w:rPr>
          <w:rFonts w:hint="eastAsia" w:ascii="仿宋" w:hAnsi="仿宋" w:eastAsia="仿宋" w:cs="仿宋"/>
          <w:color w:val="000000"/>
          <w:szCs w:val="21"/>
        </w:rPr>
        <w:t>（附件</w:t>
      </w:r>
      <w:r>
        <w:rPr>
          <w:rFonts w:hint="eastAsia" w:ascii="仿宋" w:hAnsi="仿宋" w:eastAsia="仿宋" w:cs="仿宋"/>
          <w:color w:val="000000"/>
          <w:szCs w:val="21"/>
          <w:lang w:eastAsia="zh-CN"/>
        </w:rPr>
        <w:t>七</w:t>
      </w:r>
      <w:r>
        <w:rPr>
          <w:rFonts w:hint="eastAsia" w:ascii="仿宋" w:hAnsi="仿宋" w:eastAsia="仿宋" w:cs="仿宋"/>
          <w:color w:val="000000"/>
          <w:szCs w:val="21"/>
        </w:rPr>
        <w:t>）</w:t>
      </w:r>
      <w:bookmarkEnd w:id="91"/>
      <w:bookmarkEnd w:id="92"/>
    </w:p>
    <w:p>
      <w:pPr>
        <w:spacing w:line="360" w:lineRule="auto"/>
        <w:ind w:firstLine="422" w:firstLineChars="200"/>
        <w:outlineLvl w:val="1"/>
        <w:rPr>
          <w:rFonts w:hint="eastAsia" w:ascii="仿宋" w:hAnsi="仿宋" w:eastAsia="仿宋" w:cs="仿宋"/>
          <w:color w:val="000000"/>
        </w:rPr>
      </w:pPr>
      <w:bookmarkStart w:id="93" w:name="_Toc774"/>
      <w:bookmarkStart w:id="94" w:name="_Toc18080"/>
      <w:r>
        <w:rPr>
          <w:rFonts w:hint="eastAsia" w:ascii="仿宋" w:hAnsi="仿宋" w:eastAsia="仿宋" w:cs="仿宋"/>
          <w:b/>
          <w:color w:val="000000"/>
          <w:szCs w:val="21"/>
        </w:rPr>
        <w:t>3.报价部分：</w:t>
      </w:r>
      <w:bookmarkEnd w:id="93"/>
      <w:bookmarkEnd w:id="94"/>
    </w:p>
    <w:p>
      <w:pPr>
        <w:spacing w:line="360" w:lineRule="auto"/>
        <w:ind w:firstLine="424" w:firstLineChars="202"/>
        <w:outlineLvl w:val="2"/>
        <w:rPr>
          <w:rFonts w:hint="eastAsia" w:ascii="仿宋" w:hAnsi="仿宋" w:eastAsia="仿宋" w:cs="仿宋"/>
          <w:color w:val="000000"/>
          <w:szCs w:val="21"/>
        </w:rPr>
      </w:pPr>
      <w:bookmarkStart w:id="95" w:name="_Toc4875"/>
      <w:bookmarkStart w:id="96" w:name="_Toc24252"/>
      <w:r>
        <w:rPr>
          <w:rFonts w:hint="eastAsia" w:ascii="仿宋" w:hAnsi="仿宋" w:eastAsia="仿宋" w:cs="仿宋"/>
          <w:color w:val="000000"/>
          <w:szCs w:val="21"/>
        </w:rPr>
        <w:t>*（1）投标函(附件</w:t>
      </w:r>
      <w:r>
        <w:rPr>
          <w:rFonts w:hint="eastAsia" w:ascii="仿宋" w:hAnsi="仿宋" w:eastAsia="仿宋" w:cs="仿宋"/>
          <w:color w:val="000000"/>
          <w:szCs w:val="21"/>
          <w:lang w:eastAsia="zh-CN"/>
        </w:rPr>
        <w:t>八</w:t>
      </w:r>
      <w:r>
        <w:rPr>
          <w:rFonts w:hint="eastAsia" w:ascii="仿宋" w:hAnsi="仿宋" w:eastAsia="仿宋" w:cs="仿宋"/>
          <w:color w:val="000000"/>
          <w:szCs w:val="21"/>
        </w:rPr>
        <w:t>)；</w:t>
      </w:r>
      <w:bookmarkEnd w:id="95"/>
      <w:bookmarkEnd w:id="96"/>
    </w:p>
    <w:p>
      <w:pPr>
        <w:spacing w:line="360" w:lineRule="auto"/>
        <w:ind w:firstLine="424" w:firstLineChars="202"/>
        <w:outlineLvl w:val="2"/>
        <w:rPr>
          <w:rFonts w:hint="eastAsia" w:ascii="仿宋" w:hAnsi="仿宋" w:eastAsia="仿宋" w:cs="仿宋"/>
          <w:color w:val="000000"/>
          <w:szCs w:val="21"/>
        </w:rPr>
      </w:pPr>
      <w:bookmarkStart w:id="97" w:name="_Toc18752"/>
      <w:bookmarkStart w:id="98" w:name="_Toc10822"/>
      <w:r>
        <w:rPr>
          <w:rFonts w:hint="eastAsia" w:ascii="仿宋" w:hAnsi="仿宋" w:eastAsia="仿宋" w:cs="仿宋"/>
          <w:color w:val="000000"/>
          <w:szCs w:val="21"/>
        </w:rPr>
        <w:t>*（2）开标一览表（附件</w:t>
      </w:r>
      <w:r>
        <w:rPr>
          <w:rFonts w:hint="eastAsia" w:ascii="仿宋" w:hAnsi="仿宋" w:eastAsia="仿宋" w:cs="仿宋"/>
          <w:color w:val="000000"/>
          <w:szCs w:val="21"/>
          <w:lang w:eastAsia="zh-CN"/>
        </w:rPr>
        <w:t>九</w:t>
      </w:r>
      <w:r>
        <w:rPr>
          <w:rFonts w:hint="eastAsia" w:ascii="仿宋" w:hAnsi="仿宋" w:eastAsia="仿宋" w:cs="仿宋"/>
          <w:color w:val="000000"/>
          <w:szCs w:val="21"/>
        </w:rPr>
        <w:t>）；</w:t>
      </w:r>
      <w:bookmarkEnd w:id="97"/>
      <w:bookmarkEnd w:id="98"/>
    </w:p>
    <w:p>
      <w:pPr>
        <w:pStyle w:val="108"/>
        <w:spacing w:line="360" w:lineRule="auto"/>
        <w:ind w:left="0" w:firstLine="420" w:firstLineChars="200"/>
        <w:outlineLvl w:val="2"/>
        <w:rPr>
          <w:rFonts w:hint="eastAsia" w:ascii="仿宋" w:hAnsi="仿宋" w:eastAsia="仿宋" w:cs="仿宋"/>
          <w:color w:val="000000"/>
        </w:rPr>
      </w:pPr>
      <w:bookmarkStart w:id="99" w:name="_Toc6741"/>
      <w:bookmarkStart w:id="100" w:name="_Toc24045"/>
      <w:r>
        <w:rPr>
          <w:rFonts w:hint="eastAsia" w:ascii="仿宋" w:hAnsi="仿宋" w:eastAsia="仿宋" w:cs="仿宋"/>
          <w:color w:val="000000"/>
          <w:szCs w:val="21"/>
        </w:rPr>
        <w:t>*（3）投标分项报价表（附件</w:t>
      </w:r>
      <w:r>
        <w:rPr>
          <w:rFonts w:hint="eastAsia" w:ascii="仿宋" w:hAnsi="仿宋" w:eastAsia="仿宋" w:cs="仿宋"/>
          <w:color w:val="000000"/>
          <w:szCs w:val="21"/>
          <w:lang w:eastAsia="zh-CN"/>
        </w:rPr>
        <w:t>十</w:t>
      </w:r>
      <w:r>
        <w:rPr>
          <w:rFonts w:hint="eastAsia" w:ascii="仿宋" w:hAnsi="仿宋" w:eastAsia="仿宋" w:cs="仿宋"/>
          <w:color w:val="000000"/>
          <w:szCs w:val="21"/>
        </w:rPr>
        <w:t>）；</w:t>
      </w:r>
      <w:bookmarkEnd w:id="99"/>
      <w:bookmarkEnd w:id="100"/>
    </w:p>
    <w:p>
      <w:pPr>
        <w:snapToGrid w:val="0"/>
        <w:spacing w:line="360" w:lineRule="auto"/>
        <w:ind w:firstLine="420" w:firstLineChars="200"/>
        <w:outlineLvl w:val="2"/>
        <w:rPr>
          <w:rFonts w:hint="eastAsia" w:ascii="仿宋" w:hAnsi="仿宋" w:eastAsia="仿宋" w:cs="仿宋"/>
          <w:color w:val="000000"/>
          <w:szCs w:val="21"/>
        </w:rPr>
      </w:pPr>
      <w:bookmarkStart w:id="101" w:name="_Toc7411"/>
      <w:bookmarkStart w:id="102" w:name="_Toc17940"/>
      <w:r>
        <w:rPr>
          <w:rFonts w:hint="eastAsia" w:ascii="仿宋" w:hAnsi="仿宋" w:eastAsia="仿宋" w:cs="仿宋"/>
          <w:color w:val="000000"/>
          <w:szCs w:val="21"/>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)其他需提供的报价资料</w:t>
      </w:r>
      <w:bookmarkEnd w:id="101"/>
      <w:bookmarkEnd w:id="102"/>
    </w:p>
    <w:p>
      <w:pPr>
        <w:spacing w:line="360" w:lineRule="auto"/>
        <w:ind w:firstLine="413" w:firstLineChars="196"/>
        <w:outlineLvl w:val="1"/>
        <w:rPr>
          <w:rFonts w:hint="eastAsia" w:ascii="仿宋" w:hAnsi="仿宋" w:eastAsia="仿宋" w:cs="仿宋"/>
          <w:b/>
          <w:color w:val="000000"/>
          <w:szCs w:val="21"/>
        </w:rPr>
      </w:pPr>
      <w:bookmarkStart w:id="103" w:name="_Toc16366"/>
      <w:bookmarkStart w:id="104" w:name="_Toc13123"/>
      <w:r>
        <w:rPr>
          <w:rFonts w:hint="eastAsia" w:ascii="仿宋" w:hAnsi="仿宋" w:eastAsia="仿宋" w:cs="仿宋"/>
          <w:b/>
          <w:color w:val="000000"/>
          <w:szCs w:val="21"/>
        </w:rPr>
        <w:t>（四）投标文件的语言及计量</w:t>
      </w:r>
      <w:bookmarkEnd w:id="103"/>
      <w:bookmarkEnd w:id="104"/>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22" w:firstLineChars="200"/>
        <w:outlineLvl w:val="1"/>
        <w:rPr>
          <w:rFonts w:hint="eastAsia" w:ascii="仿宋" w:hAnsi="仿宋" w:eastAsia="仿宋" w:cs="仿宋"/>
          <w:b/>
          <w:color w:val="000000"/>
          <w:szCs w:val="21"/>
        </w:rPr>
      </w:pPr>
      <w:bookmarkStart w:id="105" w:name="_Toc11740"/>
      <w:bookmarkStart w:id="106" w:name="_Toc29000"/>
      <w:r>
        <w:rPr>
          <w:rFonts w:hint="eastAsia" w:ascii="仿宋" w:hAnsi="仿宋" w:eastAsia="仿宋" w:cs="仿宋"/>
          <w:b/>
          <w:color w:val="000000"/>
          <w:szCs w:val="21"/>
        </w:rPr>
        <w:t>（五）投标报价</w:t>
      </w:r>
      <w:bookmarkEnd w:id="105"/>
      <w:bookmarkEnd w:id="106"/>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1．投标报价应按采购文件中相关附表格式填写。</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2．投标报价是履行合同的最终价格，具体详见第三章供应商须知。</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3．投标文件只允许有一个报价，有选择的或有条件的报价将不予接受。</w:t>
      </w:r>
    </w:p>
    <w:p>
      <w:pPr>
        <w:spacing w:line="360" w:lineRule="auto"/>
        <w:ind w:firstLine="422" w:firstLineChars="200"/>
        <w:outlineLvl w:val="1"/>
        <w:rPr>
          <w:rFonts w:hint="eastAsia" w:ascii="仿宋" w:hAnsi="仿宋" w:eastAsia="仿宋" w:cs="仿宋"/>
          <w:b/>
          <w:color w:val="000000"/>
          <w:szCs w:val="21"/>
        </w:rPr>
      </w:pPr>
      <w:bookmarkStart w:id="107" w:name="_Toc7941"/>
      <w:bookmarkStart w:id="108" w:name="_Toc32082"/>
      <w:r>
        <w:rPr>
          <w:rFonts w:hint="eastAsia" w:ascii="仿宋" w:hAnsi="仿宋" w:eastAsia="仿宋" w:cs="仿宋"/>
          <w:b/>
          <w:color w:val="000000"/>
          <w:szCs w:val="21"/>
        </w:rPr>
        <w:t>（六）投标文件的有效期</w:t>
      </w:r>
      <w:bookmarkEnd w:id="107"/>
      <w:bookmarkEnd w:id="108"/>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1．自投标截止日起90天投标文件应保持有效。有效期不足的投标文件将被拒绝。</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2．在特殊情况下，采购人可与供应商协商延长投标书的有效期，这种要求和答复均以书面形式进行。</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3．供应商可拒绝接受延期要求而不会导致投标保证金被没收。同意延长有效期的供应商需要相应延长投标保证金（如有）的有效期，但不能修改投标文件。</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4．中标供应商的投标文件自开标之日起至合同履行完毕止均应保持有效。</w:t>
      </w:r>
    </w:p>
    <w:p>
      <w:pPr>
        <w:spacing w:line="360" w:lineRule="auto"/>
        <w:ind w:firstLine="422" w:firstLineChars="200"/>
        <w:outlineLvl w:val="1"/>
        <w:rPr>
          <w:rFonts w:hint="eastAsia" w:ascii="仿宋" w:hAnsi="仿宋" w:eastAsia="仿宋" w:cs="仿宋"/>
          <w:b/>
          <w:color w:val="000000"/>
          <w:szCs w:val="21"/>
        </w:rPr>
      </w:pPr>
      <w:bookmarkStart w:id="109" w:name="_Toc35"/>
      <w:bookmarkStart w:id="110" w:name="_Toc24159"/>
      <w:r>
        <w:rPr>
          <w:rFonts w:hint="eastAsia" w:ascii="仿宋" w:hAnsi="仿宋" w:eastAsia="仿宋" w:cs="仿宋"/>
          <w:b/>
          <w:color w:val="000000"/>
          <w:szCs w:val="21"/>
        </w:rPr>
        <w:t>（七）投标保证金（如有，则适用以下条款）</w:t>
      </w:r>
      <w:bookmarkEnd w:id="109"/>
      <w:bookmarkEnd w:id="110"/>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1．供应商须按规定提交投标保证金。否则，其投标将被拒绝。</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2．保证金形式：转账支票、银行汇票、电汇等。汇款人名称应当与供应商的名称相一致。</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3．保证金退还：采购单位自中标通知书发出起5个工作日内退还未中标供应商的投标保证金；自政府采购合同签订之日起5个工作日内退还中标供应商的投标保证金（如有）</w:t>
      </w:r>
      <w:r>
        <w:rPr>
          <w:rFonts w:hint="eastAsia" w:ascii="仿宋" w:hAnsi="仿宋" w:eastAsia="仿宋" w:cs="仿宋"/>
          <w:bCs/>
          <w:color w:val="000000"/>
          <w:szCs w:val="21"/>
        </w:rPr>
        <w:t>（注：因供应商自身原因造成的保证金延迟退还或者供应商和采购代理机构书面协商可以延迟退还的，采购代理机构不承担相应责任；供应商因涉嫌违法违规，按照规定应当不予退还保证金的，有关部门处理认定违法违规行为期间不计入退还保证金时限之内）。</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4．保证金不计息。</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5．供应商有下列情形之一的，投标保证金（如有）将不予退还：</w:t>
      </w:r>
    </w:p>
    <w:p>
      <w:pPr>
        <w:spacing w:line="360" w:lineRule="auto"/>
        <w:ind w:firstLine="411" w:firstLineChars="196"/>
        <w:rPr>
          <w:rFonts w:hint="eastAsia" w:ascii="仿宋" w:hAnsi="仿宋" w:eastAsia="仿宋" w:cs="仿宋"/>
          <w:bCs/>
          <w:color w:val="000000"/>
          <w:szCs w:val="21"/>
        </w:rPr>
      </w:pPr>
      <w:r>
        <w:rPr>
          <w:rFonts w:hint="eastAsia" w:ascii="仿宋" w:hAnsi="仿宋" w:eastAsia="仿宋" w:cs="仿宋"/>
          <w:bCs/>
          <w:color w:val="000000"/>
          <w:szCs w:val="21"/>
        </w:rPr>
        <w:t>（1）供应商在投标有效期内撤回投标文件的；</w:t>
      </w:r>
    </w:p>
    <w:p>
      <w:pPr>
        <w:spacing w:line="360" w:lineRule="auto"/>
        <w:ind w:firstLine="411" w:firstLineChars="196"/>
        <w:rPr>
          <w:rFonts w:hint="eastAsia" w:ascii="仿宋" w:hAnsi="仿宋" w:eastAsia="仿宋" w:cs="仿宋"/>
          <w:bCs/>
          <w:color w:val="000000"/>
          <w:szCs w:val="21"/>
        </w:rPr>
      </w:pPr>
      <w:r>
        <w:rPr>
          <w:rFonts w:hint="eastAsia" w:ascii="仿宋" w:hAnsi="仿宋" w:eastAsia="仿宋" w:cs="仿宋"/>
          <w:bCs/>
          <w:color w:val="000000"/>
          <w:szCs w:val="21"/>
        </w:rPr>
        <w:t>（2）在采购人确定中标人以前放弃中标候选资格的；</w:t>
      </w:r>
    </w:p>
    <w:p>
      <w:pPr>
        <w:spacing w:line="360" w:lineRule="auto"/>
        <w:ind w:firstLine="411" w:firstLineChars="196"/>
        <w:rPr>
          <w:rFonts w:hint="eastAsia" w:ascii="仿宋" w:hAnsi="仿宋" w:eastAsia="仿宋" w:cs="仿宋"/>
          <w:bCs/>
          <w:color w:val="000000"/>
          <w:szCs w:val="21"/>
        </w:rPr>
      </w:pPr>
      <w:r>
        <w:rPr>
          <w:rFonts w:hint="eastAsia" w:ascii="仿宋" w:hAnsi="仿宋" w:eastAsia="仿宋" w:cs="仿宋"/>
          <w:bCs/>
          <w:color w:val="000000"/>
          <w:szCs w:val="21"/>
        </w:rPr>
        <w:t>（3）中标后放弃中标、不领取或者不接收中标通知书的；</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（4）中标供应商无正当理由不与采购人签订合同的；</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（5）由于中标人的原因未能按照采购文件的规定交纳履约保证金的；</w:t>
      </w:r>
    </w:p>
    <w:p>
      <w:pPr>
        <w:spacing w:line="360" w:lineRule="auto"/>
        <w:ind w:firstLine="411" w:firstLineChars="196"/>
        <w:rPr>
          <w:rFonts w:hint="eastAsia" w:ascii="仿宋" w:hAnsi="仿宋" w:eastAsia="仿宋" w:cs="仿宋"/>
          <w:bCs/>
          <w:color w:val="000000"/>
          <w:szCs w:val="21"/>
        </w:rPr>
      </w:pPr>
      <w:r>
        <w:rPr>
          <w:rFonts w:hint="eastAsia" w:ascii="仿宋" w:hAnsi="仿宋" w:eastAsia="仿宋" w:cs="仿宋"/>
          <w:bCs/>
          <w:color w:val="000000"/>
          <w:szCs w:val="21"/>
        </w:rPr>
        <w:t>（6）供应商在投标过程中弄虚作假，提供失实、虚假材料的；</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（7）将中标项目转让给他人或者在投标文件中未说明且未经采购单位同意，将中标项目分包给他人的；</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（8）拒绝履行合同义务的；</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（9）其他严重扰乱招投标程序的。</w:t>
      </w:r>
    </w:p>
    <w:p>
      <w:pPr>
        <w:spacing w:line="360" w:lineRule="auto"/>
        <w:ind w:firstLine="422" w:firstLineChars="200"/>
        <w:outlineLvl w:val="1"/>
        <w:rPr>
          <w:rFonts w:hint="eastAsia" w:ascii="仿宋" w:hAnsi="仿宋" w:eastAsia="仿宋" w:cs="仿宋"/>
          <w:b/>
          <w:color w:val="000000"/>
          <w:szCs w:val="21"/>
        </w:rPr>
      </w:pPr>
      <w:bookmarkStart w:id="111" w:name="_Toc23760"/>
      <w:bookmarkStart w:id="112" w:name="_Toc22341"/>
      <w:r>
        <w:rPr>
          <w:rFonts w:hint="eastAsia" w:ascii="仿宋" w:hAnsi="仿宋" w:eastAsia="仿宋" w:cs="仿宋"/>
          <w:b/>
          <w:color w:val="000000"/>
          <w:szCs w:val="21"/>
        </w:rPr>
        <w:t>（八）投标文件的签署和份数</w:t>
      </w:r>
      <w:bookmarkEnd w:id="111"/>
      <w:bookmarkEnd w:id="112"/>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1．供应商应按本采购文件规定的格式和顺序编制、制作电子投标文件并标注页码，投标文件内容不完整、编排混乱导致投标文件被误读、漏读或者查找不到相关内容的，是供应商的责任。</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2．供应商制作一份电子投标文件，包含资格证明部分、商务技术部分、投标报价部分。电子投标文件即为正本，无副本。</w:t>
      </w:r>
    </w:p>
    <w:p>
      <w:pPr>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3．投标文件中所须加盖公章部分均采用CA签章。需要由法定代表人（或企业负责人或经营者）或其委托代理人签字的，采用先打印成纸质文件，完成签字后通过扫描或拍照方式上传至政采云平台。扫描或拍照不清晰所引起的后果由供应商负责。</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4．投标文件不得涂改，投标文件因字迹潦草或表达不清所引起的后果由供应商负责。</w:t>
      </w:r>
    </w:p>
    <w:p>
      <w:pPr>
        <w:spacing w:line="360" w:lineRule="auto"/>
        <w:ind w:firstLine="422" w:firstLineChars="200"/>
        <w:outlineLvl w:val="1"/>
        <w:rPr>
          <w:rFonts w:hint="eastAsia" w:ascii="仿宋" w:hAnsi="仿宋" w:eastAsia="仿宋" w:cs="仿宋"/>
          <w:b/>
          <w:color w:val="000000"/>
          <w:szCs w:val="21"/>
        </w:rPr>
      </w:pPr>
      <w:bookmarkStart w:id="113" w:name="_Toc10604"/>
      <w:bookmarkStart w:id="114" w:name="_Toc22924"/>
      <w:r>
        <w:rPr>
          <w:rFonts w:hint="eastAsia" w:ascii="仿宋" w:hAnsi="仿宋" w:eastAsia="仿宋" w:cs="仿宋"/>
          <w:b/>
          <w:color w:val="000000"/>
          <w:szCs w:val="21"/>
        </w:rPr>
        <w:t>（九）投标文件的递交、修改和撤回</w:t>
      </w:r>
      <w:bookmarkEnd w:id="113"/>
      <w:bookmarkEnd w:id="114"/>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1．投标人按照本招标文件和“政府采购云平台”的要求，通过“政采云电子交易客户端”编制并加密投标文件，在投标截止时间前递交至“政府采购云平台（www.zcygov.cn）”。</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p>
      <w:pPr>
        <w:spacing w:line="360" w:lineRule="auto"/>
        <w:ind w:firstLine="422" w:firstLineChars="200"/>
        <w:outlineLvl w:val="1"/>
        <w:rPr>
          <w:rFonts w:hint="eastAsia" w:ascii="仿宋" w:hAnsi="仿宋" w:eastAsia="仿宋" w:cs="仿宋"/>
          <w:b/>
          <w:color w:val="000000"/>
          <w:szCs w:val="21"/>
        </w:rPr>
      </w:pPr>
      <w:bookmarkStart w:id="115" w:name="_Toc13183"/>
      <w:bookmarkStart w:id="116" w:name="_Toc2147"/>
      <w:r>
        <w:rPr>
          <w:rFonts w:hint="eastAsia" w:ascii="仿宋" w:hAnsi="仿宋" w:eastAsia="仿宋" w:cs="仿宋"/>
          <w:b/>
          <w:color w:val="000000"/>
          <w:szCs w:val="21"/>
        </w:rPr>
        <w:t>（十）投标无效的情形</w:t>
      </w:r>
      <w:bookmarkEnd w:id="115"/>
      <w:bookmarkEnd w:id="116"/>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实质上没有响应采购文件要求的投标将被视为无效投标。</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1．在资格审查与符合性审查时，如发现下列情形之一的，投标文件将被视为无效：</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（1）未按照采购文件的规定提交投标保证金的（如有）；</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（2）未提供带“*”的投标资料。</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（3）不符合采购文件规定的资格要求的；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（4）投标文件格式不规范、项目不齐全，未按招标文件要求签署、盖章的；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（5）投标文件中提供的内容或资料存在失实、虚假的；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（7）未实质性响应采购文件要求</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（8）投标文件有采购人不能接受的附加条件的；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（9）提供的电子投标文件无法读取的。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（10）单位负责人为同一人或者存在直接控股、管理关系的不同供应商，参加同一合同项下的政府采购活动，所有相关供应商的投标文件皆无效。</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（11）除单一来源采购项目外，为采购项目提供整体设计、规范编制或者项目管理、监理、检测等服务的供应商，参加该采购项目的其他采购活动，其投标无效。</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2．在商务技术评审时，如发现下列情形之一的，投标文件将被视为无效：</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（1）未提供或未如实提供投标货物的技术参数，或者投标文件标明的响应或偏离与事实不符或虚假投标的；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（2）明显不符合采购文件要求的规格型号、质量标准、服务标准，或者与采购文件中标“</w:t>
      </w:r>
      <w:r>
        <w:rPr>
          <w:rFonts w:hint="eastAsia" w:ascii="仿宋" w:hAnsi="仿宋" w:eastAsia="仿宋" w:cs="仿宋"/>
          <w:b/>
          <w:color w:val="000000"/>
          <w:szCs w:val="21"/>
        </w:rPr>
        <w:t>*</w:t>
      </w:r>
      <w:r>
        <w:rPr>
          <w:rFonts w:hint="eastAsia" w:ascii="仿宋" w:hAnsi="仿宋" w:eastAsia="仿宋" w:cs="仿宋"/>
          <w:color w:val="000000"/>
          <w:szCs w:val="21"/>
        </w:rPr>
        <w:t>”的技术指标、主要功能项目、服务标准发生实质性负偏离的；或者未标注“</w:t>
      </w:r>
      <w:r>
        <w:rPr>
          <w:rFonts w:hint="eastAsia" w:ascii="仿宋" w:hAnsi="仿宋" w:eastAsia="仿宋" w:cs="仿宋"/>
          <w:b/>
          <w:color w:val="000000"/>
          <w:szCs w:val="21"/>
        </w:rPr>
        <w:t>*</w:t>
      </w:r>
      <w:r>
        <w:rPr>
          <w:rFonts w:hint="eastAsia" w:ascii="仿宋" w:hAnsi="仿宋" w:eastAsia="仿宋" w:cs="仿宋"/>
          <w:color w:val="000000"/>
          <w:szCs w:val="21"/>
        </w:rPr>
        <w:t>”的条款负偏离达到或者超过采购文件规定数量的；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（3）与其他参加本次投标供应商的投标文件（技术文件）的文字表述内容相同或者差错相同，经投标人澄清后，评委仍认定存在串标嫌疑的；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3．在报价评审时，如发现下列情形之一的，投标文件将被视为无效：</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（1）未采用人民币报价或者未按照采购文件标明的币种报价的；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（2）报价超出最高限价，采购人不能支付的；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（3）投标报价具有选择性的；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评标委员会认为投标报价明显过低或明显低于其他通过符合性审查投标供应商的报价，有可能影响产品质量或者不能诚信履约的，应当要求其在评标现场合理的时间（30分钟）内提供成本测算资料，必要时提交相关证明材料；供应商不能证明其报价合理性的，评标委员会应当将其作为无效投标处理。</w:t>
      </w:r>
    </w:p>
    <w:p>
      <w:pPr>
        <w:spacing w:line="360" w:lineRule="auto"/>
        <w:ind w:firstLine="525" w:firstLineChars="250"/>
        <w:rPr>
          <w:rFonts w:hint="eastAsia" w:ascii="仿宋" w:hAnsi="仿宋" w:eastAsia="仿宋" w:cs="仿宋"/>
          <w:color w:val="000000"/>
          <w:szCs w:val="21"/>
        </w:rPr>
      </w:pPr>
      <w:r>
        <w:rPr>
          <w:rFonts w:hint="eastAsia" w:ascii="仿宋" w:hAnsi="仿宋" w:eastAsia="仿宋" w:cs="仿宋"/>
          <w:color w:val="000000"/>
          <w:szCs w:val="21"/>
        </w:rPr>
        <w:t>4．符合采购文件中第四章“评标办法及评分标准”规定的投标无效条件的。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5．被拒绝或放弃的投标文件视为无效投标。</w:t>
      </w:r>
    </w:p>
    <w:p>
      <w:pPr>
        <w:pStyle w:val="14"/>
        <w:snapToGrid w:val="0"/>
        <w:spacing w:line="360" w:lineRule="auto"/>
        <w:ind w:firstLine="398" w:firstLineChars="196"/>
        <w:outlineLvl w:val="1"/>
        <w:rPr>
          <w:rFonts w:hint="eastAsia" w:ascii="仿宋" w:hAnsi="仿宋" w:eastAsia="仿宋" w:cs="仿宋"/>
          <w:b/>
          <w:snapToGrid w:val="0"/>
          <w:color w:val="000000"/>
          <w:sz w:val="21"/>
          <w:szCs w:val="21"/>
        </w:rPr>
      </w:pPr>
      <w:bookmarkStart w:id="117" w:name="_Toc11909"/>
      <w:bookmarkStart w:id="118" w:name="_Toc13510"/>
      <w:r>
        <w:rPr>
          <w:rFonts w:hint="eastAsia" w:ascii="仿宋" w:hAnsi="仿宋" w:eastAsia="仿宋" w:cs="仿宋"/>
          <w:b/>
          <w:color w:val="000000"/>
          <w:sz w:val="21"/>
          <w:szCs w:val="21"/>
        </w:rPr>
        <w:t>四、开标</w:t>
      </w:r>
      <w:bookmarkEnd w:id="117"/>
      <w:bookmarkEnd w:id="118"/>
    </w:p>
    <w:p>
      <w:pPr>
        <w:pStyle w:val="2"/>
        <w:snapToGrid w:val="0"/>
        <w:spacing w:before="0" w:beforeLines="0" w:after="0" w:afterLines="0" w:line="360" w:lineRule="auto"/>
        <w:ind w:firstLine="413" w:firstLineChars="196"/>
        <w:rPr>
          <w:rFonts w:hint="eastAsia" w:ascii="仿宋" w:hAnsi="仿宋" w:eastAsia="仿宋" w:cs="仿宋"/>
          <w:b/>
          <w:color w:val="000000"/>
          <w:sz w:val="21"/>
          <w:szCs w:val="21"/>
        </w:rPr>
      </w:pPr>
      <w:r>
        <w:rPr>
          <w:rFonts w:hint="eastAsia" w:ascii="仿宋" w:hAnsi="仿宋" w:eastAsia="仿宋" w:cs="仿宋"/>
          <w:b/>
          <w:color w:val="000000"/>
          <w:sz w:val="21"/>
          <w:szCs w:val="21"/>
        </w:rPr>
        <w:t>（一）开标准备</w:t>
      </w:r>
    </w:p>
    <w:p>
      <w:pPr>
        <w:pStyle w:val="2"/>
        <w:snapToGrid w:val="0"/>
        <w:spacing w:before="0" w:beforeLines="0" w:after="0" w:afterLines="0"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color w:val="000000"/>
          <w:sz w:val="21"/>
          <w:szCs w:val="21"/>
        </w:rPr>
        <w:t>本项目通过“政府采购项目电子交易平台”实施电子化方式开评标。由代理机构主持。</w:t>
      </w:r>
    </w:p>
    <w:p>
      <w:pPr>
        <w:pStyle w:val="2"/>
        <w:snapToGrid w:val="0"/>
        <w:spacing w:before="0" w:beforeLines="0" w:after="0" w:afterLines="0" w:line="360" w:lineRule="auto"/>
        <w:ind w:firstLine="413" w:firstLineChars="196"/>
        <w:rPr>
          <w:rFonts w:hint="eastAsia" w:ascii="仿宋" w:hAnsi="仿宋" w:eastAsia="仿宋" w:cs="仿宋"/>
          <w:b/>
          <w:color w:val="000000"/>
          <w:sz w:val="21"/>
          <w:szCs w:val="21"/>
        </w:rPr>
      </w:pPr>
      <w:r>
        <w:rPr>
          <w:rFonts w:hint="eastAsia" w:ascii="仿宋" w:hAnsi="仿宋" w:eastAsia="仿宋" w:cs="仿宋"/>
          <w:b/>
          <w:color w:val="000000"/>
          <w:sz w:val="21"/>
          <w:szCs w:val="21"/>
        </w:rPr>
        <w:t>（二）开标程序</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1．开标会议开始，开启标书解密，供应商在规定时间内完成标书解密；</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2．本项目全程采用政采云平台进行电子招投标，依次进行资格审查、符合性审查、商务技术评审、报价评审、得分汇总、得分公布等环节；</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3．评审中，按程序进行询标、澄清、公布无效标情况、公布得分与中标结果等；</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4．投标人在开标开始时间后直至评审结果公布，供应商应当全程保持通讯正常，且全程登入“政采云”平台，备好CA锁，随时响应采购过程中的询标、澄清等，否则自行承担所有不利后果。</w:t>
      </w:r>
    </w:p>
    <w:p>
      <w:pPr>
        <w:pStyle w:val="2"/>
        <w:snapToGrid w:val="0"/>
        <w:spacing w:before="0" w:beforeLines="0" w:after="0" w:afterLines="0" w:line="360" w:lineRule="auto"/>
        <w:ind w:left="669" w:leftChars="218" w:hanging="211" w:hangingChars="100"/>
        <w:outlineLvl w:val="1"/>
        <w:rPr>
          <w:rFonts w:hint="eastAsia" w:ascii="仿宋" w:hAnsi="仿宋" w:eastAsia="仿宋" w:cs="仿宋"/>
          <w:b/>
          <w:color w:val="000000"/>
          <w:sz w:val="21"/>
          <w:szCs w:val="21"/>
        </w:rPr>
      </w:pPr>
      <w:bookmarkStart w:id="119" w:name="_Toc30437"/>
      <w:bookmarkStart w:id="120" w:name="_Toc14104"/>
      <w:r>
        <w:rPr>
          <w:rFonts w:hint="eastAsia" w:ascii="仿宋" w:hAnsi="仿宋" w:eastAsia="仿宋" w:cs="仿宋"/>
          <w:b/>
          <w:color w:val="000000"/>
          <w:sz w:val="21"/>
          <w:szCs w:val="21"/>
        </w:rPr>
        <w:t>五、评标</w:t>
      </w:r>
      <w:bookmarkEnd w:id="119"/>
      <w:bookmarkEnd w:id="120"/>
    </w:p>
    <w:p>
      <w:pPr>
        <w:pStyle w:val="2"/>
        <w:snapToGrid w:val="0"/>
        <w:spacing w:before="0" w:beforeLines="0" w:after="0" w:afterLines="0" w:line="360" w:lineRule="auto"/>
        <w:ind w:firstLine="413" w:firstLineChars="196"/>
        <w:rPr>
          <w:rFonts w:hint="eastAsia" w:ascii="仿宋" w:hAnsi="仿宋" w:eastAsia="仿宋" w:cs="仿宋"/>
          <w:b/>
          <w:color w:val="000000"/>
          <w:sz w:val="21"/>
          <w:szCs w:val="21"/>
        </w:rPr>
      </w:pPr>
      <w:r>
        <w:rPr>
          <w:rFonts w:hint="eastAsia" w:ascii="仿宋" w:hAnsi="仿宋" w:eastAsia="仿宋" w:cs="仿宋"/>
          <w:b/>
          <w:color w:val="000000"/>
          <w:sz w:val="21"/>
          <w:szCs w:val="21"/>
        </w:rPr>
        <w:t>见第四章“评标办法及评分标准”</w:t>
      </w:r>
    </w:p>
    <w:p>
      <w:pPr>
        <w:pStyle w:val="2"/>
        <w:snapToGrid w:val="0"/>
        <w:spacing w:before="0" w:beforeLines="0" w:after="0" w:afterLines="0" w:line="360" w:lineRule="auto"/>
        <w:ind w:firstLine="413" w:firstLineChars="196"/>
        <w:outlineLvl w:val="1"/>
        <w:rPr>
          <w:rFonts w:hint="eastAsia" w:ascii="仿宋" w:hAnsi="仿宋" w:eastAsia="仿宋" w:cs="仿宋"/>
          <w:b/>
          <w:color w:val="000000"/>
          <w:sz w:val="21"/>
          <w:szCs w:val="21"/>
        </w:rPr>
      </w:pPr>
      <w:bookmarkStart w:id="121" w:name="_Toc8671"/>
      <w:bookmarkStart w:id="122" w:name="_Toc17182"/>
      <w:r>
        <w:rPr>
          <w:rFonts w:hint="eastAsia" w:ascii="仿宋" w:hAnsi="仿宋" w:eastAsia="仿宋" w:cs="仿宋"/>
          <w:b/>
          <w:color w:val="000000"/>
          <w:sz w:val="21"/>
          <w:szCs w:val="21"/>
        </w:rPr>
        <w:t>六、定标</w:t>
      </w:r>
      <w:bookmarkEnd w:id="121"/>
      <w:bookmarkEnd w:id="122"/>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（一）定标原则</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采购人或其授权的评标委员会应按照评标报告中推荐的中标候选人排名顺序确定中标供应商。</w:t>
      </w:r>
    </w:p>
    <w:p>
      <w:pPr>
        <w:pStyle w:val="2"/>
        <w:spacing w:before="0" w:beforeLines="0" w:after="0" w:afterLines="0" w:line="360" w:lineRule="auto"/>
        <w:ind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（二）定标程序</w:t>
      </w:r>
    </w:p>
    <w:p>
      <w:pPr>
        <w:pStyle w:val="2"/>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1．采购代理机构应当自评审结束之日起2个工作日内将评审报告送交采购人；</w:t>
      </w:r>
    </w:p>
    <w:p>
      <w:pPr>
        <w:pStyle w:val="2"/>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2．采购人应当自收到评审报告之日起5个工作日内在评审报告推荐的中标候选人中按顺序确定中标供应商；</w:t>
      </w:r>
    </w:p>
    <w:p>
      <w:pPr>
        <w:pStyle w:val="2"/>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3．采购单位自中标供应商确定之日起2个工作日内，在浙江省</w:t>
      </w:r>
      <w:r>
        <w:rPr>
          <w:rFonts w:hint="eastAsia" w:ascii="仿宋" w:hAnsi="仿宋" w:eastAsia="仿宋" w:cs="仿宋"/>
          <w:color w:val="000000"/>
          <w:kern w:val="0"/>
          <w:sz w:val="21"/>
          <w:szCs w:val="21"/>
        </w:rPr>
        <w:t>政府采购网和</w:t>
      </w:r>
      <w:r>
        <w:rPr>
          <w:rFonts w:hint="eastAsia" w:ascii="仿宋" w:hAnsi="仿宋" w:eastAsia="仿宋" w:cs="仿宋"/>
          <w:color w:val="000000"/>
          <w:sz w:val="21"/>
          <w:szCs w:val="21"/>
        </w:rPr>
        <w:t>宁波市公共资源交易服务网余姚分网等网站或媒体上公告中标结果，同时向中标供应商发出中标通知书；</w:t>
      </w:r>
    </w:p>
    <w:p>
      <w:pPr>
        <w:pStyle w:val="2"/>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4．中标供应商拒绝与采购人签订合同或因被质疑、投诉查实等原因取消中标资格的，采购人可以按照评审报告推荐的中标候选人名单排序，确定下一候选人为中标供应商，也可以重新开展政府采购活动；</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5．中标供应商无充分理由放弃中标的，采购人将会同采购代理机构把相关情况报财政部门，财政部门将按规定对违规供应商进行处罚。</w:t>
      </w:r>
    </w:p>
    <w:p>
      <w:pPr>
        <w:snapToGrid w:val="0"/>
        <w:spacing w:line="360" w:lineRule="auto"/>
        <w:ind w:firstLine="465"/>
        <w:outlineLvl w:val="1"/>
        <w:rPr>
          <w:rFonts w:hint="eastAsia" w:ascii="仿宋" w:hAnsi="仿宋" w:eastAsia="仿宋" w:cs="仿宋"/>
          <w:b/>
          <w:color w:val="000000"/>
          <w:szCs w:val="21"/>
        </w:rPr>
      </w:pPr>
      <w:bookmarkStart w:id="123" w:name="_Toc17229"/>
      <w:bookmarkStart w:id="124" w:name="_Toc10693"/>
      <w:r>
        <w:rPr>
          <w:rFonts w:hint="eastAsia" w:ascii="仿宋" w:hAnsi="仿宋" w:eastAsia="仿宋" w:cs="仿宋"/>
          <w:b/>
          <w:color w:val="000000"/>
          <w:szCs w:val="21"/>
        </w:rPr>
        <w:t>七、废标</w:t>
      </w:r>
      <w:bookmarkEnd w:id="123"/>
      <w:bookmarkEnd w:id="124"/>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出现以下情况之一的，应予废标：</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1．符合资格条件的供应商或者对采购文件作实质响应的供应商不足3家的；</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2．出现影响采购公正的违法、违规行为的；</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3．因重大变故，采购任务取消的。</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4.废标后，除采购任务取消情形外，应当重新组织采购。</w:t>
      </w:r>
    </w:p>
    <w:p>
      <w:pPr>
        <w:snapToGrid w:val="0"/>
        <w:spacing w:line="360" w:lineRule="auto"/>
        <w:ind w:firstLine="422" w:firstLineChars="200"/>
        <w:outlineLvl w:val="1"/>
        <w:rPr>
          <w:rFonts w:hint="eastAsia" w:ascii="仿宋" w:hAnsi="仿宋" w:eastAsia="仿宋" w:cs="仿宋"/>
          <w:b/>
          <w:color w:val="000000"/>
          <w:szCs w:val="21"/>
        </w:rPr>
      </w:pPr>
      <w:bookmarkStart w:id="125" w:name="_Toc11230"/>
      <w:bookmarkStart w:id="126" w:name="_Toc19096"/>
      <w:r>
        <w:rPr>
          <w:rFonts w:hint="eastAsia" w:ascii="仿宋" w:hAnsi="仿宋" w:eastAsia="仿宋" w:cs="仿宋"/>
          <w:b/>
          <w:color w:val="000000"/>
          <w:szCs w:val="21"/>
        </w:rPr>
        <w:t>八、投标人应当遵循公平竞争的原则，不得恶意串通，不得妨碍其他投标人的竞争行为，不得损害采购人或者其他投标人的合法权益</w:t>
      </w:r>
      <w:r>
        <w:rPr>
          <w:rFonts w:hint="eastAsia" w:ascii="仿宋" w:hAnsi="仿宋" w:eastAsia="仿宋" w:cs="仿宋"/>
          <w:color w:val="000000"/>
          <w:szCs w:val="21"/>
        </w:rPr>
        <w:t>。</w:t>
      </w:r>
      <w:bookmarkEnd w:id="125"/>
      <w:bookmarkEnd w:id="126"/>
    </w:p>
    <w:p>
      <w:pPr>
        <w:snapToGrid w:val="0"/>
        <w:spacing w:line="360" w:lineRule="auto"/>
        <w:ind w:firstLine="424" w:firstLineChars="202"/>
        <w:rPr>
          <w:rFonts w:hint="eastAsia" w:ascii="仿宋" w:hAnsi="仿宋" w:eastAsia="仿宋" w:cs="仿宋"/>
          <w:color w:val="000000"/>
          <w:szCs w:val="21"/>
        </w:rPr>
      </w:pPr>
      <w:r>
        <w:rPr>
          <w:rFonts w:hint="eastAsia" w:ascii="仿宋" w:hAnsi="仿宋" w:eastAsia="仿宋" w:cs="仿宋"/>
          <w:color w:val="000000"/>
          <w:szCs w:val="21"/>
        </w:rPr>
        <w:t>在评标过程中发现投标人有上述情形的，评标委员会应当认定其投标无效，并书面报告本级财政部门。</w:t>
      </w:r>
    </w:p>
    <w:p>
      <w:pPr>
        <w:snapToGrid w:val="0"/>
        <w:spacing w:line="360" w:lineRule="auto"/>
        <w:ind w:firstLine="413" w:firstLineChars="196"/>
        <w:outlineLvl w:val="1"/>
        <w:rPr>
          <w:rFonts w:hint="eastAsia" w:ascii="仿宋" w:hAnsi="仿宋" w:eastAsia="仿宋" w:cs="仿宋"/>
          <w:b/>
          <w:color w:val="000000"/>
          <w:szCs w:val="21"/>
        </w:rPr>
      </w:pPr>
      <w:bookmarkStart w:id="127" w:name="_Toc12233"/>
      <w:bookmarkStart w:id="128" w:name="_Toc19195"/>
      <w:r>
        <w:rPr>
          <w:rFonts w:hint="eastAsia" w:ascii="仿宋" w:hAnsi="仿宋" w:eastAsia="仿宋" w:cs="仿宋"/>
          <w:b/>
          <w:color w:val="000000"/>
          <w:szCs w:val="21"/>
        </w:rPr>
        <w:t>九、有下列情形之一的，视为投标人串通投标，其投标无效：</w:t>
      </w:r>
      <w:bookmarkEnd w:id="127"/>
      <w:bookmarkEnd w:id="128"/>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（一）不同投标人的投标文件由同一单位或者个人编制；</w:t>
      </w:r>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（二）不同投标人委托同一单位或者个人办理投标事宜；</w:t>
      </w:r>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（三）不同投标人的投标文件载明的项目管理成员或者联系人员为同一人；</w:t>
      </w:r>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（四）不同投标人的投标文件异常一致或者投标报价呈规律性差异；</w:t>
      </w:r>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（五）不同投标人的投标文件相互混装；</w:t>
      </w:r>
    </w:p>
    <w:p>
      <w:pPr>
        <w:snapToGrid w:val="0"/>
        <w:spacing w:line="360" w:lineRule="auto"/>
        <w:ind w:firstLine="411" w:firstLineChars="196"/>
        <w:rPr>
          <w:rFonts w:hint="eastAsia" w:ascii="仿宋" w:hAnsi="仿宋" w:eastAsia="仿宋" w:cs="仿宋"/>
          <w:color w:val="000000"/>
          <w:szCs w:val="21"/>
        </w:rPr>
      </w:pPr>
      <w:r>
        <w:rPr>
          <w:rFonts w:hint="eastAsia" w:ascii="仿宋" w:hAnsi="仿宋" w:eastAsia="仿宋" w:cs="仿宋"/>
          <w:color w:val="000000"/>
          <w:szCs w:val="21"/>
        </w:rPr>
        <w:t>（六）不同投标人的投标保证金（如有）从同一单位或者个人的账户转出。</w:t>
      </w:r>
    </w:p>
    <w:p>
      <w:pPr>
        <w:snapToGrid w:val="0"/>
        <w:spacing w:line="360" w:lineRule="auto"/>
        <w:ind w:firstLine="422" w:firstLineChars="200"/>
        <w:outlineLvl w:val="1"/>
        <w:rPr>
          <w:rFonts w:hint="eastAsia" w:ascii="仿宋" w:hAnsi="仿宋" w:eastAsia="仿宋" w:cs="仿宋"/>
          <w:b/>
          <w:color w:val="000000"/>
          <w:szCs w:val="21"/>
        </w:rPr>
      </w:pPr>
      <w:bookmarkStart w:id="129" w:name="_Toc16031"/>
      <w:bookmarkStart w:id="130" w:name="_Toc15788"/>
      <w:r>
        <w:rPr>
          <w:rFonts w:hint="eastAsia" w:ascii="仿宋" w:hAnsi="仿宋" w:eastAsia="仿宋" w:cs="仿宋"/>
          <w:b/>
          <w:color w:val="000000"/>
          <w:szCs w:val="21"/>
        </w:rPr>
        <w:t>十、质疑和投诉</w:t>
      </w:r>
      <w:bookmarkEnd w:id="129"/>
      <w:bookmarkEnd w:id="130"/>
    </w:p>
    <w:p>
      <w:pPr>
        <w:pStyle w:val="2"/>
        <w:snapToGrid w:val="0"/>
        <w:spacing w:before="0" w:beforeLines="0" w:after="0" w:afterLines="0" w:line="360" w:lineRule="auto"/>
        <w:ind w:firstLine="420" w:firstLineChars="200"/>
        <w:rPr>
          <w:rFonts w:hint="eastAsia" w:ascii="仿宋" w:hAnsi="仿宋" w:eastAsia="仿宋" w:cs="仿宋"/>
          <w:bCs/>
          <w:color w:val="000000"/>
          <w:sz w:val="21"/>
          <w:szCs w:val="21"/>
        </w:rPr>
      </w:pPr>
      <w:bookmarkStart w:id="131" w:name="_Toc441065687"/>
      <w:r>
        <w:rPr>
          <w:rFonts w:hint="eastAsia" w:ascii="仿宋" w:hAnsi="仿宋" w:eastAsia="仿宋" w:cs="仿宋"/>
          <w:bCs/>
          <w:color w:val="000000"/>
          <w:sz w:val="21"/>
          <w:szCs w:val="21"/>
        </w:rPr>
        <w:t>（一）</w:t>
      </w:r>
      <w:r>
        <w:rPr>
          <w:rFonts w:hint="eastAsia" w:ascii="仿宋" w:hAnsi="仿宋" w:eastAsia="仿宋" w:cs="仿宋"/>
          <w:color w:val="000000"/>
          <w:sz w:val="21"/>
          <w:szCs w:val="21"/>
        </w:rPr>
        <w:t>供应商</w:t>
      </w:r>
      <w:r>
        <w:rPr>
          <w:rFonts w:hint="eastAsia" w:ascii="仿宋" w:hAnsi="仿宋" w:eastAsia="仿宋" w:cs="仿宋"/>
          <w:bCs/>
          <w:color w:val="000000"/>
          <w:sz w:val="21"/>
          <w:szCs w:val="21"/>
        </w:rPr>
        <w:t>认为采购文件、招标过程或中标结果使自己的合法权益受到损害的，应当在知道或者应知其权益受到损害之日起七个工作日内，以书面形式向采购人、采购代理机构提出质疑。</w:t>
      </w:r>
      <w:r>
        <w:rPr>
          <w:rFonts w:hint="eastAsia" w:ascii="仿宋" w:hAnsi="仿宋" w:eastAsia="仿宋" w:cs="仿宋"/>
          <w:color w:val="000000"/>
          <w:sz w:val="21"/>
          <w:szCs w:val="21"/>
        </w:rPr>
        <w:t>供应商对采购单位的质疑答复不满意或者采购单位未在规定时间内作出答复的，可以在答复期满后十五个工作日内向同级采购监管部门投诉。</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二）质疑、投诉应当采用书面形式，质疑书、投诉书均应明确阐述采购文件、招标过程或中标结果中使自己合法权益受到损害的实质性内容，提供相关事实、依据和证据及其来源或线索，便于有关单位调查、答复和处理。</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（三）供应商在法定质疑期内必须一次性提出针对同一采购程序环节的质疑。</w:t>
      </w:r>
    </w:p>
    <w:p>
      <w:pPr>
        <w:pStyle w:val="2"/>
        <w:snapToGrid w:val="0"/>
        <w:spacing w:before="0" w:beforeLines="0" w:after="0" w:afterLines="0" w:line="360" w:lineRule="auto"/>
        <w:ind w:firstLine="422" w:firstLineChars="200"/>
        <w:outlineLvl w:val="1"/>
        <w:rPr>
          <w:rFonts w:hint="eastAsia" w:ascii="仿宋" w:hAnsi="仿宋" w:eastAsia="仿宋" w:cs="仿宋"/>
          <w:b/>
          <w:color w:val="000000"/>
          <w:sz w:val="21"/>
          <w:szCs w:val="21"/>
        </w:rPr>
      </w:pPr>
      <w:bookmarkStart w:id="132" w:name="_Toc2059"/>
      <w:bookmarkStart w:id="133" w:name="_Toc29882"/>
      <w:r>
        <w:rPr>
          <w:rFonts w:hint="eastAsia" w:ascii="仿宋" w:hAnsi="仿宋" w:eastAsia="仿宋" w:cs="仿宋"/>
          <w:b/>
          <w:color w:val="000000"/>
          <w:sz w:val="21"/>
          <w:szCs w:val="21"/>
        </w:rPr>
        <w:t>十一、招标代理服务费</w:t>
      </w:r>
      <w:bookmarkEnd w:id="131"/>
      <w:bookmarkEnd w:id="132"/>
      <w:bookmarkEnd w:id="133"/>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中标供应商按“第三章供应商须知”前附表支付代理费。</w:t>
      </w:r>
    </w:p>
    <w:p>
      <w:pPr>
        <w:pStyle w:val="2"/>
        <w:snapToGrid w:val="0"/>
        <w:spacing w:before="0" w:beforeLines="0" w:after="0" w:afterLines="0" w:line="360" w:lineRule="auto"/>
        <w:ind w:firstLine="413" w:firstLineChars="196"/>
        <w:outlineLvl w:val="1"/>
        <w:rPr>
          <w:rFonts w:hint="eastAsia" w:ascii="仿宋" w:hAnsi="仿宋" w:eastAsia="仿宋" w:cs="仿宋"/>
          <w:b/>
          <w:color w:val="000000"/>
          <w:sz w:val="21"/>
          <w:szCs w:val="21"/>
        </w:rPr>
      </w:pPr>
      <w:bookmarkStart w:id="134" w:name="_Toc8738"/>
      <w:bookmarkStart w:id="135" w:name="_Toc14570"/>
      <w:r>
        <w:rPr>
          <w:rFonts w:hint="eastAsia" w:ascii="仿宋" w:hAnsi="仿宋" w:eastAsia="仿宋" w:cs="仿宋"/>
          <w:b/>
          <w:color w:val="000000"/>
          <w:sz w:val="21"/>
          <w:szCs w:val="21"/>
        </w:rPr>
        <w:t>十二、合同授予</w:t>
      </w:r>
      <w:bookmarkEnd w:id="134"/>
      <w:bookmarkEnd w:id="135"/>
    </w:p>
    <w:p>
      <w:pPr>
        <w:snapToGrid w:val="0"/>
        <w:spacing w:line="360" w:lineRule="auto"/>
        <w:ind w:firstLine="413" w:firstLineChars="196"/>
        <w:rPr>
          <w:rFonts w:hint="eastAsia" w:ascii="仿宋" w:hAnsi="仿宋" w:eastAsia="仿宋" w:cs="仿宋"/>
          <w:b/>
          <w:bCs/>
          <w:color w:val="000000"/>
          <w:szCs w:val="21"/>
        </w:rPr>
      </w:pPr>
      <w:r>
        <w:rPr>
          <w:rFonts w:hint="eastAsia" w:ascii="仿宋" w:hAnsi="仿宋" w:eastAsia="仿宋" w:cs="仿宋"/>
          <w:b/>
          <w:bCs/>
          <w:color w:val="000000"/>
          <w:szCs w:val="21"/>
        </w:rPr>
        <w:t>（一）签订合同</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采购人与中标供应商应当在《中标通知书》发出之日起30日内，按照采购文件和中标供应商投标文件的约定签订政府采购合同。采购文件、投标文件及评标过程中的澄清、修改均为合同的有效组成部分。所签订的合同不得对采购文件和中标供应商投标文件作实质性修改。由于中标供应商的原因逾期未与采购人签订政府采购合同的，将视为放弃中标，将被扣罚投标保证金（如有）并取消中标资格，并按规定报监管部门进行处理。</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2．采购人不得向中标供应商提出任何不合理的要求，作为签订合同的条件，不得与中标供应商私下订立背离合同实质性内容的任何协议，所签订的合同不得对采购文件和中标人投标文件确定的事项进行修改。</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3．采购人应当自政府采购合同签订之日起2个工作日内，将政府采购合同在</w:t>
      </w:r>
      <w:r>
        <w:rPr>
          <w:rFonts w:hint="eastAsia" w:ascii="仿宋" w:hAnsi="仿宋" w:eastAsia="仿宋" w:cs="仿宋"/>
          <w:color w:val="000000"/>
          <w:kern w:val="0"/>
          <w:szCs w:val="21"/>
        </w:rPr>
        <w:t>浙江省政府采购网</w:t>
      </w:r>
      <w:r>
        <w:rPr>
          <w:rFonts w:hint="eastAsia" w:ascii="仿宋" w:hAnsi="仿宋" w:eastAsia="仿宋" w:cs="仿宋"/>
          <w:color w:val="000000"/>
          <w:szCs w:val="21"/>
        </w:rPr>
        <w:t>等网站或媒体上公告，但政府采购合同中涉及国家秘密、商业秘密的内容除外。</w:t>
      </w:r>
    </w:p>
    <w:p>
      <w:pPr>
        <w:pStyle w:val="2"/>
        <w:snapToGrid w:val="0"/>
        <w:spacing w:before="0" w:beforeLines="0" w:after="0" w:afterLines="0" w:line="360" w:lineRule="auto"/>
        <w:ind w:firstLine="413" w:firstLineChars="196"/>
        <w:rPr>
          <w:rFonts w:hint="eastAsia" w:ascii="仿宋" w:hAnsi="仿宋" w:eastAsia="仿宋" w:cs="仿宋"/>
          <w:b/>
          <w:color w:val="000000"/>
          <w:sz w:val="21"/>
          <w:szCs w:val="21"/>
        </w:rPr>
      </w:pPr>
      <w:r>
        <w:rPr>
          <w:rFonts w:hint="eastAsia" w:ascii="仿宋" w:hAnsi="仿宋" w:eastAsia="仿宋" w:cs="仿宋"/>
          <w:b/>
          <w:color w:val="000000"/>
          <w:sz w:val="21"/>
          <w:szCs w:val="21"/>
        </w:rPr>
        <w:t>（二）履约保证金（本条款不适用本项目）</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1．中标供应商应根据采购文件约定向采购人足额交纳履约保证金。</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2．签订合同后，如中标供应商不按双方合同约定履约，则没收其全部履约保证金，履约保证金不足以赔偿损失的，按实际损失赔偿。</w:t>
      </w:r>
    </w:p>
    <w:p>
      <w:pPr>
        <w:snapToGrid w:val="0"/>
        <w:spacing w:line="360" w:lineRule="auto"/>
        <w:ind w:firstLine="422" w:firstLineChars="200"/>
        <w:outlineLvl w:val="1"/>
        <w:rPr>
          <w:rFonts w:hint="eastAsia" w:ascii="仿宋" w:hAnsi="仿宋" w:eastAsia="仿宋" w:cs="仿宋"/>
          <w:b/>
          <w:color w:val="000000"/>
          <w:szCs w:val="21"/>
        </w:rPr>
      </w:pPr>
      <w:bookmarkStart w:id="136" w:name="_Toc25187"/>
      <w:bookmarkStart w:id="137" w:name="_Toc29204"/>
      <w:r>
        <w:rPr>
          <w:rFonts w:hint="eastAsia" w:ascii="仿宋" w:hAnsi="仿宋" w:eastAsia="仿宋" w:cs="仿宋"/>
          <w:b/>
          <w:color w:val="000000"/>
          <w:szCs w:val="21"/>
        </w:rPr>
        <w:t>十三、</w:t>
      </w:r>
      <w:r>
        <w:rPr>
          <w:rFonts w:hint="eastAsia" w:ascii="仿宋" w:hAnsi="仿宋" w:eastAsia="仿宋" w:cs="仿宋"/>
          <w:b/>
          <w:color w:val="000000"/>
          <w:kern w:val="44"/>
          <w:szCs w:val="21"/>
        </w:rPr>
        <w:t>有关中小企业声明、监狱企业、残疾人福利性单位的规定</w:t>
      </w:r>
      <w:bookmarkEnd w:id="136"/>
      <w:bookmarkEnd w:id="137"/>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1.根据《政府采购促进中小企业发展管理办法》（财库﹝2020﹞46号）的规定，中小企业的标准为：</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（2）在政府采购活动中，供应商提供的货物、工程或者服务符合下列情形的，享受本办法规定的中小企业扶持政策：</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①.在货物采购项目中，货物由中小企业制造，即货物由中小企业生产且使用该中小企业商号或者注册商标；</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②.在工程采购项目中，工程由中小企业承建，即工程施工单位为中小企业；</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③.在服务采购项目中，服务由中小企业承接，即提供服务的人员为中小企业依照《中华人民共和国劳动合同法》订立劳动合同的从业人员。</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④.在货物采购项目中，供应商提供的货物既有中小企业制造货物，也有大型企业制造货物的，不享受本办法规定的中小企业扶持政策。</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⑤.以联合体形式参加政府采购活动，联合体各方均为中小企业的，联合体视同中小企业。其中，联合体各方均为小微企业的，联合体视同小微企业。</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（3）中小企业参加政府采购活动，应当出具《中小企业声明函》，否则不享受相关中小企业扶持政策。供应商不用提供《中小企业声明函》之外的中小企业身份证明文件。</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2.根据《财政部、司法部关于政府采购支持监狱企业发展有关问题的通知》（财库〔2014〕68号）规定，监狱企业应当符合以下条件：</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（2）监狱企业参加政府采购活动时，视同小型、微型企业，应当提供由省级以上监狱管理局、戒毒管理局（含新疆生产建设兵团）出具的属于监狱企业的证明文件。</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4.本次采购专门面向中小企业。</w:t>
      </w:r>
    </w:p>
    <w:p>
      <w:pPr>
        <w:spacing w:line="360" w:lineRule="auto"/>
        <w:outlineLvl w:val="1"/>
        <w:rPr>
          <w:rFonts w:hint="eastAsia" w:ascii="仿宋" w:hAnsi="仿宋" w:eastAsia="仿宋" w:cs="仿宋"/>
          <w:b/>
          <w:color w:val="000000"/>
          <w:szCs w:val="21"/>
        </w:rPr>
      </w:pPr>
      <w:bookmarkStart w:id="138" w:name="_Toc18867"/>
      <w:bookmarkStart w:id="139" w:name="_Toc18342"/>
      <w:r>
        <w:rPr>
          <w:rFonts w:hint="eastAsia" w:ascii="仿宋" w:hAnsi="仿宋" w:eastAsia="仿宋" w:cs="仿宋"/>
          <w:b/>
          <w:color w:val="000000"/>
          <w:szCs w:val="21"/>
        </w:rPr>
        <w:t>十四、采购方式转换</w:t>
      </w:r>
      <w:bookmarkEnd w:id="138"/>
      <w:bookmarkEnd w:id="139"/>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（一）招标文件存在不合理条款或者招标程序不符合规定的，采购人、采购代理机构改正后依法重新招标；</w:t>
      </w:r>
    </w:p>
    <w:p>
      <w:pPr>
        <w:pStyle w:val="2"/>
        <w:snapToGrid w:val="0"/>
        <w:spacing w:before="0" w:beforeLines="0" w:after="0" w:afterLines="0"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（二）招标文件没有不合理条款、招标程序符合规定，需要采用其他采购方式采购的，采购人应当依法报财政部门批准。</w:t>
      </w:r>
    </w:p>
    <w:p>
      <w:pPr>
        <w:pStyle w:val="2"/>
        <w:snapToGrid w:val="0"/>
        <w:spacing w:before="0" w:beforeLines="0" w:after="0" w:afterLines="0" w:line="360" w:lineRule="auto"/>
        <w:ind w:firstLine="420" w:firstLineChars="200"/>
        <w:jc w:val="center"/>
        <w:rPr>
          <w:rFonts w:hint="eastAsia" w:ascii="仿宋" w:hAnsi="仿宋" w:eastAsia="仿宋" w:cs="仿宋"/>
          <w:color w:val="000000"/>
          <w:sz w:val="21"/>
          <w:szCs w:val="21"/>
        </w:rPr>
        <w:sectPr>
          <w:headerReference r:id="rId5" w:type="default"/>
          <w:footerReference r:id="rId6" w:type="default"/>
          <w:pgSz w:w="11907" w:h="16839"/>
          <w:pgMar w:top="1440" w:right="1797" w:bottom="1440" w:left="1797" w:header="851" w:footer="992" w:gutter="0"/>
          <w:cols w:space="720" w:num="1"/>
          <w:docGrid w:linePitch="312" w:charSpace="0"/>
        </w:sectPr>
      </w:pPr>
    </w:p>
    <w:p>
      <w:pPr>
        <w:pStyle w:val="2"/>
        <w:snapToGrid w:val="0"/>
        <w:spacing w:before="0" w:beforeLines="0" w:after="0" w:afterLines="0" w:line="360" w:lineRule="auto"/>
        <w:jc w:val="center"/>
        <w:outlineLvl w:val="0"/>
        <w:rPr>
          <w:rFonts w:hint="eastAsia" w:ascii="仿宋" w:hAnsi="仿宋" w:eastAsia="仿宋" w:cs="仿宋"/>
          <w:color w:val="000000"/>
          <w:sz w:val="21"/>
          <w:szCs w:val="21"/>
        </w:rPr>
      </w:pPr>
      <w:bookmarkStart w:id="140" w:name="_Toc17971"/>
      <w:bookmarkStart w:id="141" w:name="_Toc26494"/>
      <w:r>
        <w:rPr>
          <w:rFonts w:hint="eastAsia" w:ascii="仿宋" w:hAnsi="仿宋" w:eastAsia="仿宋" w:cs="仿宋"/>
          <w:color w:val="000000"/>
          <w:sz w:val="21"/>
          <w:szCs w:val="21"/>
        </w:rPr>
        <w:t>第四章  评标办法及评分标准</w:t>
      </w:r>
      <w:bookmarkEnd w:id="140"/>
      <w:bookmarkEnd w:id="141"/>
      <w:bookmarkStart w:id="142" w:name="_Toc441065674"/>
    </w:p>
    <w:p>
      <w:pPr>
        <w:pStyle w:val="24"/>
        <w:spacing w:line="360" w:lineRule="auto"/>
        <w:ind w:firstLine="417" w:firstLineChars="199"/>
        <w:rPr>
          <w:rFonts w:hint="eastAsia" w:ascii="仿宋" w:hAnsi="仿宋" w:eastAsia="仿宋" w:cs="仿宋"/>
          <w:b w:val="0"/>
          <w:sz w:val="21"/>
          <w:szCs w:val="21"/>
        </w:rPr>
      </w:pPr>
      <w:r>
        <w:rPr>
          <w:rFonts w:hint="eastAsia" w:ascii="仿宋" w:hAnsi="仿宋" w:eastAsia="仿宋" w:cs="仿宋"/>
          <w:b w:val="0"/>
          <w:sz w:val="21"/>
          <w:szCs w:val="21"/>
        </w:rPr>
        <w:t>本办法严格遵照《中华人民共和国政府采购法》、《中华人民共和国政府采购法实施条例》、《政府采购货物和服务招标投标管理办法》（财政部令第87号），结合项目所在地政府有关政府采购规定和项目的实际情况制定。</w:t>
      </w:r>
      <w:r>
        <w:rPr>
          <w:rFonts w:hint="eastAsia" w:ascii="仿宋" w:hAnsi="仿宋" w:eastAsia="仿宋" w:cs="仿宋"/>
          <w:sz w:val="21"/>
          <w:szCs w:val="21"/>
        </w:rPr>
        <w:t>本评标办法由采购人负责解释。评标过程中遇到情况，由评标委员会集体讨论决定。</w:t>
      </w:r>
      <w:r>
        <w:rPr>
          <w:rFonts w:hint="eastAsia" w:ascii="仿宋" w:hAnsi="仿宋" w:eastAsia="仿宋" w:cs="仿宋"/>
          <w:b w:val="0"/>
          <w:sz w:val="21"/>
          <w:szCs w:val="21"/>
        </w:rPr>
        <w:t xml:space="preserve"> </w:t>
      </w:r>
    </w:p>
    <w:p>
      <w:pPr>
        <w:tabs>
          <w:tab w:val="left" w:pos="0"/>
          <w:tab w:val="left" w:pos="723"/>
        </w:tabs>
        <w:spacing w:line="360" w:lineRule="auto"/>
        <w:ind w:firstLine="413" w:firstLineChars="196"/>
        <w:rPr>
          <w:rFonts w:hint="eastAsia" w:ascii="仿宋" w:hAnsi="仿宋" w:eastAsia="仿宋" w:cs="仿宋"/>
          <w:b/>
          <w:color w:val="000000"/>
          <w:szCs w:val="21"/>
        </w:rPr>
      </w:pPr>
      <w:r>
        <w:rPr>
          <w:rFonts w:hint="eastAsia" w:ascii="仿宋" w:hAnsi="仿宋" w:eastAsia="仿宋" w:cs="仿宋"/>
          <w:b/>
          <w:color w:val="000000"/>
          <w:szCs w:val="21"/>
        </w:rPr>
        <w:t>一、总则</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招标活动遵循公平、公正、科学、择优的原则依法进行，招标活动及当事人接受依法实施的监督。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w:t>
      </w:r>
      <w:r>
        <w:rPr>
          <w:rFonts w:hint="eastAsia" w:ascii="仿宋" w:hAnsi="仿宋" w:eastAsia="仿宋" w:cs="仿宋"/>
          <w:color w:val="000000"/>
          <w:kern w:val="0"/>
          <w:szCs w:val="21"/>
        </w:rPr>
        <w:t>项目</w:t>
      </w:r>
      <w:r>
        <w:rPr>
          <w:rFonts w:hint="eastAsia" w:ascii="仿宋" w:hAnsi="仿宋" w:eastAsia="仿宋" w:cs="仿宋"/>
          <w:color w:val="000000"/>
          <w:szCs w:val="21"/>
        </w:rPr>
        <w:t>采用综合评分法。</w:t>
      </w:r>
      <w:r>
        <w:rPr>
          <w:rFonts w:hint="eastAsia" w:ascii="仿宋" w:hAnsi="仿宋" w:eastAsia="仿宋" w:cs="仿宋"/>
          <w:color w:val="000000"/>
          <w:kern w:val="0"/>
          <w:szCs w:val="21"/>
        </w:rPr>
        <w:t>综合评分法，是指投标文件满足采购文件全部实质性要求且按照评审因素的量化指标评审得分最高的供应商为中标候选人的评标方法。供应商总得分为价格、商务、技术等评定因素分别按照相应权重值计算分项得分后相加，满分为100分。</w:t>
      </w:r>
    </w:p>
    <w:p>
      <w:pPr>
        <w:tabs>
          <w:tab w:val="left" w:pos="0"/>
          <w:tab w:val="left" w:pos="723"/>
        </w:tabs>
        <w:spacing w:line="360" w:lineRule="auto"/>
        <w:ind w:firstLine="413" w:firstLineChars="196"/>
        <w:rPr>
          <w:rFonts w:hint="eastAsia" w:ascii="仿宋" w:hAnsi="仿宋" w:eastAsia="仿宋" w:cs="仿宋"/>
          <w:b/>
          <w:color w:val="000000"/>
          <w:szCs w:val="21"/>
        </w:rPr>
      </w:pPr>
      <w:r>
        <w:rPr>
          <w:rFonts w:hint="eastAsia" w:ascii="仿宋" w:hAnsi="仿宋" w:eastAsia="仿宋" w:cs="仿宋"/>
          <w:b/>
          <w:color w:val="000000"/>
          <w:szCs w:val="21"/>
        </w:rPr>
        <w:t>二、评标组织</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（一）评标工作由采购人或者采购代理机构负责组织，并履行下列职责：</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rPr>
        <w:t>．</w:t>
      </w:r>
      <w:r>
        <w:rPr>
          <w:rFonts w:hint="eastAsia" w:ascii="仿宋" w:hAnsi="仿宋" w:eastAsia="仿宋" w:cs="仿宋"/>
          <w:color w:val="000000"/>
          <w:kern w:val="0"/>
          <w:szCs w:val="21"/>
        </w:rPr>
        <w:t>核对评审专家身份和采购人代表授权函，对评审专家在政府采购活动中的职责履行情况予以记录，并及时将有关违法违规行为向财政部门报告；</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rPr>
        <w:t>．</w:t>
      </w:r>
      <w:r>
        <w:rPr>
          <w:rFonts w:hint="eastAsia" w:ascii="仿宋" w:hAnsi="仿宋" w:eastAsia="仿宋" w:cs="仿宋"/>
          <w:color w:val="000000"/>
          <w:kern w:val="0"/>
          <w:szCs w:val="21"/>
        </w:rPr>
        <w:t>宣布评标纪律；</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rPr>
        <w:t>．</w:t>
      </w:r>
      <w:r>
        <w:rPr>
          <w:rFonts w:hint="eastAsia" w:ascii="仿宋" w:hAnsi="仿宋" w:eastAsia="仿宋" w:cs="仿宋"/>
          <w:color w:val="000000"/>
          <w:kern w:val="0"/>
          <w:szCs w:val="21"/>
        </w:rPr>
        <w:t>公布供应商名单，告知评审专家应当回避的情形；</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4</w:t>
      </w:r>
      <w:r>
        <w:rPr>
          <w:rFonts w:hint="eastAsia" w:ascii="仿宋" w:hAnsi="仿宋" w:eastAsia="仿宋" w:cs="仿宋"/>
          <w:color w:val="000000"/>
          <w:szCs w:val="21"/>
        </w:rPr>
        <w:t>．</w:t>
      </w:r>
      <w:r>
        <w:rPr>
          <w:rFonts w:hint="eastAsia" w:ascii="仿宋" w:hAnsi="仿宋" w:eastAsia="仿宋" w:cs="仿宋"/>
          <w:color w:val="000000"/>
          <w:kern w:val="0"/>
          <w:szCs w:val="21"/>
        </w:rPr>
        <w:t>组织评标委员会推选评标组长，采购人代表不得担任组长；</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5</w:t>
      </w:r>
      <w:r>
        <w:rPr>
          <w:rFonts w:hint="eastAsia" w:ascii="仿宋" w:hAnsi="仿宋" w:eastAsia="仿宋" w:cs="仿宋"/>
          <w:color w:val="000000"/>
          <w:szCs w:val="21"/>
        </w:rPr>
        <w:t>．</w:t>
      </w:r>
      <w:r>
        <w:rPr>
          <w:rFonts w:hint="eastAsia" w:ascii="仿宋" w:hAnsi="仿宋" w:eastAsia="仿宋" w:cs="仿宋"/>
          <w:color w:val="000000"/>
          <w:kern w:val="0"/>
          <w:szCs w:val="21"/>
        </w:rPr>
        <w:t>在评标期间采取必要的通讯管理措施，保证评标活动不受外界干扰；</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6</w:t>
      </w:r>
      <w:r>
        <w:rPr>
          <w:rFonts w:hint="eastAsia" w:ascii="仿宋" w:hAnsi="仿宋" w:eastAsia="仿宋" w:cs="仿宋"/>
          <w:color w:val="000000"/>
          <w:szCs w:val="21"/>
        </w:rPr>
        <w:t>．</w:t>
      </w:r>
      <w:r>
        <w:rPr>
          <w:rFonts w:hint="eastAsia" w:ascii="仿宋" w:hAnsi="仿宋" w:eastAsia="仿宋" w:cs="仿宋"/>
          <w:color w:val="000000"/>
          <w:kern w:val="0"/>
          <w:szCs w:val="21"/>
        </w:rPr>
        <w:t>根据评标委员会的要求介绍政府采购相关政策法规、采购文件；</w:t>
      </w:r>
    </w:p>
    <w:p>
      <w:pPr>
        <w:snapToGrid w:val="0"/>
        <w:spacing w:line="360" w:lineRule="auto"/>
        <w:ind w:firstLine="420" w:firstLineChars="200"/>
        <w:rPr>
          <w:rFonts w:hint="eastAsia" w:ascii="仿宋" w:hAnsi="仿宋" w:eastAsia="仿宋" w:cs="仿宋"/>
          <w:bCs/>
          <w:color w:val="000000"/>
          <w:kern w:val="0"/>
          <w:szCs w:val="21"/>
        </w:rPr>
      </w:pPr>
      <w:r>
        <w:rPr>
          <w:rFonts w:hint="eastAsia" w:ascii="仿宋" w:hAnsi="仿宋" w:eastAsia="仿宋" w:cs="仿宋"/>
          <w:bCs/>
          <w:color w:val="000000"/>
          <w:kern w:val="0"/>
          <w:szCs w:val="21"/>
        </w:rPr>
        <w:t>7</w:t>
      </w:r>
      <w:r>
        <w:rPr>
          <w:rFonts w:hint="eastAsia" w:ascii="仿宋" w:hAnsi="仿宋" w:eastAsia="仿宋" w:cs="仿宋"/>
          <w:color w:val="000000"/>
          <w:szCs w:val="21"/>
        </w:rPr>
        <w:t>．</w:t>
      </w:r>
      <w:r>
        <w:rPr>
          <w:rFonts w:hint="eastAsia" w:ascii="仿宋" w:hAnsi="仿宋" w:eastAsia="仿宋" w:cs="仿宋"/>
          <w:bCs/>
          <w:color w:val="000000"/>
          <w:kern w:val="0"/>
          <w:szCs w:val="21"/>
        </w:rPr>
        <w:t>维护评标秩序，监督评标委员会依照采购文件规定的评标程序、方法和标准进行独立评审，及时制止和纠正采购人代表、评审专家的倾向性言论或者违法违规行为；</w:t>
      </w:r>
    </w:p>
    <w:p>
      <w:pPr>
        <w:snapToGrid w:val="0"/>
        <w:spacing w:line="360" w:lineRule="auto"/>
        <w:ind w:firstLine="420" w:firstLineChars="200"/>
        <w:rPr>
          <w:rFonts w:hint="eastAsia" w:ascii="仿宋" w:hAnsi="仿宋" w:eastAsia="仿宋" w:cs="仿宋"/>
          <w:bCs/>
          <w:color w:val="000000"/>
          <w:kern w:val="0"/>
          <w:szCs w:val="21"/>
        </w:rPr>
      </w:pPr>
      <w:r>
        <w:rPr>
          <w:rFonts w:hint="eastAsia" w:ascii="仿宋" w:hAnsi="仿宋" w:eastAsia="仿宋" w:cs="仿宋"/>
          <w:bCs/>
          <w:color w:val="000000"/>
          <w:kern w:val="0"/>
          <w:szCs w:val="21"/>
        </w:rPr>
        <w:t>8</w:t>
      </w:r>
      <w:r>
        <w:rPr>
          <w:rFonts w:hint="eastAsia" w:ascii="仿宋" w:hAnsi="仿宋" w:eastAsia="仿宋" w:cs="仿宋"/>
          <w:color w:val="000000"/>
          <w:szCs w:val="21"/>
        </w:rPr>
        <w:t>．</w:t>
      </w:r>
      <w:r>
        <w:rPr>
          <w:rFonts w:hint="eastAsia" w:ascii="仿宋" w:hAnsi="仿宋" w:eastAsia="仿宋" w:cs="仿宋"/>
          <w:bCs/>
          <w:color w:val="000000"/>
          <w:kern w:val="0"/>
          <w:szCs w:val="21"/>
        </w:rPr>
        <w:t>核对评标结果，有《政府采购货物和服务招标投标管理办法》（财政部令第87号）第六十四条规定情形的，要求评标委员会复核或者书面说明理由，评标委员会拒绝的，应予记录并向本级财政部门报告；</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w:t>
      </w:r>
      <w:r>
        <w:rPr>
          <w:rFonts w:hint="eastAsia" w:ascii="仿宋" w:hAnsi="仿宋" w:eastAsia="仿宋" w:cs="仿宋"/>
          <w:color w:val="000000"/>
          <w:kern w:val="0"/>
          <w:szCs w:val="21"/>
        </w:rPr>
        <w:t>评审工作完成后，按照规定向评审专家支付劳务报酬和异地评审差旅费，不得向评审专家以外的其他人员支付评审劳务报酬；</w:t>
      </w:r>
    </w:p>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10</w:t>
      </w:r>
      <w:r>
        <w:rPr>
          <w:rFonts w:hint="eastAsia" w:ascii="仿宋" w:hAnsi="仿宋" w:eastAsia="仿宋" w:cs="仿宋"/>
          <w:color w:val="000000"/>
          <w:szCs w:val="21"/>
        </w:rPr>
        <w:t>．</w:t>
      </w:r>
      <w:r>
        <w:rPr>
          <w:rFonts w:hint="eastAsia" w:ascii="仿宋" w:hAnsi="仿宋" w:eastAsia="仿宋" w:cs="仿宋"/>
          <w:color w:val="000000"/>
          <w:kern w:val="0"/>
          <w:szCs w:val="21"/>
        </w:rPr>
        <w:t>处理与评标有关的其他事项。</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（二）</w:t>
      </w:r>
      <w:r>
        <w:rPr>
          <w:rFonts w:hint="eastAsia" w:ascii="仿宋" w:hAnsi="仿宋" w:eastAsia="仿宋" w:cs="仿宋"/>
          <w:color w:val="000000"/>
          <w:szCs w:val="21"/>
        </w:rPr>
        <w:t>评标委员会：采购人和采购机构根据采购项目的内容特点按照规定组建评标委员会。评标委员会由技术、经济方面专家等有关人员组成，负责具体评标事务，并独立履行下列职责：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1．审查、评价投标文件是否符合采购文件的</w:t>
      </w:r>
      <w:r>
        <w:rPr>
          <w:rFonts w:hint="eastAsia" w:ascii="仿宋" w:hAnsi="仿宋" w:eastAsia="仿宋" w:cs="仿宋"/>
          <w:bCs/>
          <w:color w:val="000000"/>
          <w:szCs w:val="21"/>
        </w:rPr>
        <w:t>商务、技术等实质性</w:t>
      </w:r>
      <w:r>
        <w:rPr>
          <w:rFonts w:hint="eastAsia" w:ascii="仿宋" w:hAnsi="仿宋" w:eastAsia="仿宋" w:cs="仿宋"/>
          <w:color w:val="000000"/>
          <w:szCs w:val="21"/>
        </w:rPr>
        <w:t>要求；</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2．要求供应商对投标文件有关事项作出澄清或者说明；</w:t>
      </w:r>
    </w:p>
    <w:p>
      <w:pPr>
        <w:snapToGrid w:val="0"/>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3</w:t>
      </w:r>
      <w:r>
        <w:rPr>
          <w:rFonts w:hint="eastAsia" w:ascii="仿宋" w:hAnsi="仿宋" w:eastAsia="仿宋" w:cs="仿宋"/>
          <w:color w:val="000000"/>
          <w:szCs w:val="21"/>
        </w:rPr>
        <w:t>．</w:t>
      </w:r>
      <w:r>
        <w:rPr>
          <w:rFonts w:hint="eastAsia" w:ascii="仿宋" w:hAnsi="仿宋" w:eastAsia="仿宋" w:cs="仿宋"/>
          <w:bCs/>
          <w:color w:val="000000"/>
          <w:szCs w:val="21"/>
        </w:rPr>
        <w:t>对投标文件进行比较和评价；</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4．确定中标候选人名单，以及根据采购人委托直接确定中标人；</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5．向采购人、采购代理机构或者有关部门报告评标中发现的违法行为。</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tabs>
          <w:tab w:val="left" w:pos="0"/>
          <w:tab w:val="left" w:pos="723"/>
        </w:tabs>
        <w:spacing w:line="360" w:lineRule="auto"/>
        <w:ind w:firstLine="413" w:firstLineChars="196"/>
        <w:rPr>
          <w:rFonts w:hint="eastAsia" w:ascii="仿宋" w:hAnsi="仿宋" w:eastAsia="仿宋" w:cs="仿宋"/>
          <w:b/>
          <w:color w:val="000000"/>
          <w:szCs w:val="21"/>
        </w:rPr>
      </w:pPr>
      <w:r>
        <w:rPr>
          <w:rFonts w:hint="eastAsia" w:ascii="仿宋" w:hAnsi="仿宋" w:eastAsia="仿宋" w:cs="仿宋"/>
          <w:b/>
          <w:color w:val="000000"/>
          <w:szCs w:val="21"/>
        </w:rPr>
        <w:t>三、评标程序</w:t>
      </w:r>
    </w:p>
    <w:bookmarkEnd w:id="142"/>
    <w:p>
      <w:pPr>
        <w:snapToGrid w:val="0"/>
        <w:spacing w:line="360" w:lineRule="auto"/>
        <w:ind w:firstLine="422" w:firstLineChars="200"/>
        <w:rPr>
          <w:rFonts w:hint="eastAsia" w:ascii="仿宋" w:hAnsi="仿宋" w:eastAsia="仿宋" w:cs="仿宋"/>
          <w:b/>
          <w:color w:val="000000"/>
          <w:kern w:val="0"/>
          <w:szCs w:val="21"/>
        </w:rPr>
      </w:pPr>
      <w:r>
        <w:rPr>
          <w:rFonts w:hint="eastAsia" w:ascii="仿宋" w:hAnsi="仿宋" w:eastAsia="仿宋" w:cs="仿宋"/>
          <w:b/>
          <w:color w:val="000000"/>
          <w:kern w:val="0"/>
          <w:szCs w:val="21"/>
        </w:rPr>
        <w:t>（一）资格性检查</w:t>
      </w:r>
    </w:p>
    <w:p>
      <w:pPr>
        <w:snapToGrid w:val="0"/>
        <w:spacing w:line="360" w:lineRule="auto"/>
        <w:ind w:firstLine="422" w:firstLineChars="200"/>
        <w:rPr>
          <w:rFonts w:hint="eastAsia" w:ascii="仿宋" w:hAnsi="仿宋" w:eastAsia="仿宋" w:cs="仿宋"/>
          <w:color w:val="000000"/>
          <w:kern w:val="0"/>
          <w:szCs w:val="21"/>
        </w:rPr>
      </w:pPr>
      <w:r>
        <w:rPr>
          <w:rFonts w:hint="eastAsia" w:ascii="仿宋" w:hAnsi="仿宋" w:eastAsia="仿宋" w:cs="仿宋"/>
          <w:b/>
          <w:color w:val="000000"/>
          <w:kern w:val="0"/>
          <w:szCs w:val="21"/>
        </w:rPr>
        <w:t>采购人或者采购代理机构</w:t>
      </w:r>
      <w:r>
        <w:rPr>
          <w:rFonts w:hint="eastAsia" w:ascii="仿宋" w:hAnsi="仿宋" w:eastAsia="仿宋" w:cs="仿宋"/>
          <w:color w:val="000000"/>
          <w:kern w:val="0"/>
          <w:szCs w:val="21"/>
        </w:rPr>
        <w:t>依据法律法规和采购文件的规定，对投标文件中的资格证明等进行审查，以确定供应商是否具备投标资格。资格性检查资料表如下：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15"/>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noWrap w:val="0"/>
            <w:vAlign w:val="center"/>
          </w:tcPr>
          <w:p>
            <w:pPr>
              <w:spacing w:line="360" w:lineRule="auto"/>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序号</w:t>
            </w:r>
          </w:p>
        </w:tc>
        <w:tc>
          <w:tcPr>
            <w:tcW w:w="3324" w:type="dxa"/>
            <w:gridSpan w:val="2"/>
            <w:noWrap w:val="0"/>
            <w:vAlign w:val="center"/>
          </w:tcPr>
          <w:p>
            <w:pPr>
              <w:spacing w:line="360" w:lineRule="auto"/>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检查因素</w:t>
            </w:r>
          </w:p>
        </w:tc>
        <w:tc>
          <w:tcPr>
            <w:tcW w:w="4748" w:type="dxa"/>
            <w:noWrap w:val="0"/>
            <w:vAlign w:val="center"/>
          </w:tcPr>
          <w:p>
            <w:pPr>
              <w:spacing w:line="360" w:lineRule="auto"/>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676" w:type="dxa"/>
            <w:vMerge w:val="restart"/>
            <w:noWrap w:val="0"/>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709" w:type="dxa"/>
            <w:vMerge w:val="restart"/>
            <w:noWrap w:val="0"/>
            <w:vAlign w:val="center"/>
          </w:tcPr>
          <w:p>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lang w:val="zh-CN"/>
              </w:rPr>
              <w:t>供应商应符合的基本资格条件</w:t>
            </w: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（1）具有独立承担民事责任的能力</w:t>
            </w:r>
          </w:p>
        </w:tc>
        <w:tc>
          <w:tcPr>
            <w:tcW w:w="4748" w:type="dxa"/>
            <w:noWrap w:val="0"/>
            <w:vAlign w:val="center"/>
          </w:tcPr>
          <w:p>
            <w:pPr>
              <w:spacing w:line="360" w:lineRule="auto"/>
              <w:rPr>
                <w:rFonts w:hint="eastAsia" w:ascii="仿宋" w:hAnsi="仿宋" w:eastAsia="仿宋" w:cs="仿宋"/>
                <w:color w:val="000000"/>
              </w:rPr>
            </w:pPr>
            <w:r>
              <w:rPr>
                <w:rFonts w:hint="eastAsia" w:ascii="仿宋" w:hAnsi="仿宋" w:eastAsia="仿宋" w:cs="仿宋"/>
                <w:color w:val="000000"/>
                <w:szCs w:val="21"/>
              </w:rPr>
              <w:t>法人营业执照（副本）或事业单位法人证书（副本）营业执照的复印件；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lang w:val="zh-CN"/>
              </w:rPr>
              <w:t>（2）</w:t>
            </w:r>
            <w:r>
              <w:rPr>
                <w:rFonts w:hint="eastAsia" w:ascii="仿宋" w:hAnsi="仿宋" w:eastAsia="仿宋" w:cs="仿宋"/>
                <w:color w:val="000000"/>
                <w:szCs w:val="21"/>
              </w:rPr>
              <w:t>具有良好的商业信誉和健全的财务会计制度</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rPr>
            </w:pPr>
          </w:p>
        </w:tc>
        <w:tc>
          <w:tcPr>
            <w:tcW w:w="2615" w:type="dxa"/>
            <w:noWrap w:val="0"/>
            <w:vAlign w:val="center"/>
          </w:tcPr>
          <w:p>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lang w:val="zh-CN"/>
              </w:rPr>
              <w:t>（3）具有履行合同所必需的设备和专业技术能力</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lang w:val="zh-CN"/>
              </w:rPr>
              <w:t>（4）有依法缴纳税收和社会保障金的良好记录</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（5）参加采购活动前三年内，在经营活动中没有重大违法记录</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（6）未被“信用中国”（www.creditchina.gov.cn）、中国政府采购网（www.ccgp.gov.cn）列入失信被执行人、重大税收违法案件当事人名单、政府采购严重违法失信行为记录名单</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1、供应商提供书面声明或相关证明材料</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开标当日、采购人或采购代理机构查询“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打印不合格投标人的查询记录网页一并作为资格审查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（7）供应商法定代表人的身份证明</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提供法定代表人的身份证明。</w:t>
            </w:r>
            <w:r>
              <w:rPr>
                <w:rFonts w:hint="eastAsia" w:ascii="仿宋" w:hAnsi="仿宋" w:eastAsia="仿宋" w:cs="仿宋"/>
                <w:b/>
                <w:bCs/>
                <w:color w:val="000000"/>
                <w:szCs w:val="21"/>
              </w:rPr>
              <w:t>如果供应商派委托代理人参加投标的，另提供法定代表人授权书</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spacing w:line="360" w:lineRule="auto"/>
              <w:jc w:val="center"/>
              <w:rPr>
                <w:rFonts w:hint="eastAsia" w:ascii="仿宋" w:hAnsi="仿宋" w:eastAsia="仿宋" w:cs="仿宋"/>
                <w:color w:val="000000"/>
                <w:szCs w:val="21"/>
              </w:rPr>
            </w:pPr>
          </w:p>
        </w:tc>
        <w:tc>
          <w:tcPr>
            <w:tcW w:w="709" w:type="dxa"/>
            <w:vMerge w:val="continue"/>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lang w:val="en-US" w:eastAsia="zh-CN"/>
              </w:rPr>
              <w:t>(8)</w:t>
            </w:r>
            <w:r>
              <w:rPr>
                <w:rFonts w:hint="eastAsia" w:ascii="仿宋" w:hAnsi="仿宋" w:eastAsia="仿宋" w:cs="仿宋"/>
                <w:color w:val="000000"/>
                <w:szCs w:val="21"/>
              </w:rPr>
              <w:t>联合体协议书</w:t>
            </w:r>
          </w:p>
        </w:tc>
        <w:tc>
          <w:tcPr>
            <w:tcW w:w="4748"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供应商以联合体方式响应的必须提供联合体协议书，否则作无效标处理，格式以采购文件为准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676" w:type="dxa"/>
            <w:noWrap w:val="0"/>
            <w:vAlign w:val="center"/>
          </w:tcPr>
          <w:p>
            <w:pPr>
              <w:spacing w:line="360" w:lineRule="auto"/>
              <w:jc w:val="center"/>
              <w:rPr>
                <w:rFonts w:hint="eastAsia" w:ascii="仿宋" w:hAnsi="仿宋" w:eastAsia="仿宋" w:cs="仿宋"/>
                <w:color w:val="000000"/>
                <w:szCs w:val="21"/>
              </w:rPr>
            </w:pPr>
          </w:p>
        </w:tc>
        <w:tc>
          <w:tcPr>
            <w:tcW w:w="709" w:type="dxa"/>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落实政府采购政策需满足的资格要求</w:t>
            </w:r>
          </w:p>
        </w:tc>
        <w:tc>
          <w:tcPr>
            <w:tcW w:w="4748" w:type="dxa"/>
            <w:noWrap w:val="0"/>
            <w:vAlign w:val="center"/>
          </w:tcPr>
          <w:p>
            <w:pPr>
              <w:spacing w:line="360" w:lineRule="auto"/>
              <w:rPr>
                <w:rFonts w:hint="eastAsia" w:ascii="仿宋" w:hAnsi="仿宋" w:eastAsia="仿宋" w:cs="仿宋"/>
                <w:color w:val="000000"/>
                <w:szCs w:val="21"/>
                <w:lang w:val="zh-CN"/>
              </w:rPr>
            </w:pPr>
            <w:r>
              <w:rPr>
                <w:rFonts w:hint="eastAsia" w:ascii="仿宋" w:hAnsi="仿宋" w:eastAsia="仿宋" w:cs="仿宋"/>
                <w:color w:val="auto"/>
                <w:szCs w:val="21"/>
              </w:rPr>
              <w:t>中小企业声明函</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或</w:t>
            </w:r>
            <w:r>
              <w:rPr>
                <w:rFonts w:hint="eastAsia" w:ascii="仿宋" w:hAnsi="仿宋" w:eastAsia="仿宋" w:cs="仿宋"/>
                <w:color w:val="auto"/>
                <w:szCs w:val="21"/>
              </w:rPr>
              <w:t>残疾人福利性单位声明函</w:t>
            </w:r>
            <w:r>
              <w:rPr>
                <w:rFonts w:hint="eastAsia" w:ascii="仿宋" w:hAnsi="仿宋" w:eastAsia="仿宋" w:cs="仿宋"/>
                <w:color w:val="auto"/>
                <w:szCs w:val="21"/>
                <w:lang w:val="en-US" w:eastAsia="zh-CN"/>
              </w:rPr>
              <w:t>或</w:t>
            </w:r>
            <w:r>
              <w:rPr>
                <w:rFonts w:hint="eastAsia" w:ascii="仿宋" w:hAnsi="仿宋" w:eastAsia="仿宋" w:cs="仿宋"/>
                <w:color w:val="auto"/>
                <w:szCs w:val="21"/>
              </w:rPr>
              <w:t>监狱企业的证明文件</w:t>
            </w:r>
            <w:r>
              <w:rPr>
                <w:rFonts w:hint="eastAsia" w:ascii="仿宋" w:hAnsi="仿宋" w:eastAsia="仿宋" w:cs="仿宋"/>
                <w:color w:val="auto"/>
                <w:szCs w:val="21"/>
                <w:lang w:eastAsia="zh-CN"/>
              </w:rPr>
              <w:t>）；</w:t>
            </w:r>
            <w:r>
              <w:rPr>
                <w:rFonts w:hint="eastAsia" w:ascii="仿宋" w:hAnsi="仿宋" w:eastAsia="仿宋" w:cs="仿宋"/>
                <w:color w:val="auto"/>
                <w:szCs w:val="21"/>
              </w:rPr>
              <w:t>（若联合体投标，则联合体</w:t>
            </w:r>
            <w:r>
              <w:rPr>
                <w:rFonts w:hint="eastAsia" w:ascii="仿宋" w:hAnsi="仿宋" w:eastAsia="仿宋" w:cs="仿宋"/>
                <w:color w:val="auto"/>
                <w:szCs w:val="21"/>
                <w:lang w:val="en-US" w:eastAsia="zh-CN"/>
              </w:rPr>
              <w:t>各</w:t>
            </w:r>
            <w:r>
              <w:rPr>
                <w:rFonts w:hint="eastAsia" w:ascii="仿宋" w:hAnsi="仿宋" w:eastAsia="仿宋" w:cs="仿宋"/>
                <w:color w:val="auto"/>
                <w:szCs w:val="21"/>
              </w:rPr>
              <w:t>成员</w:t>
            </w:r>
            <w:r>
              <w:rPr>
                <w:rFonts w:hint="eastAsia" w:ascii="仿宋" w:hAnsi="仿宋" w:eastAsia="仿宋" w:cs="仿宋"/>
                <w:color w:val="auto"/>
                <w:szCs w:val="21"/>
                <w:lang w:val="en-US" w:eastAsia="zh-CN"/>
              </w:rPr>
              <w:t>中须提供其中一类并</w:t>
            </w:r>
            <w:r>
              <w:rPr>
                <w:rFonts w:hint="eastAsia" w:ascii="仿宋" w:hAnsi="仿宋" w:eastAsia="仿宋" w:cs="仿宋"/>
                <w:color w:val="auto"/>
                <w:szCs w:val="21"/>
              </w:rPr>
              <w:t>按要求签章</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676" w:type="dxa"/>
            <w:noWrap w:val="0"/>
            <w:vAlign w:val="center"/>
          </w:tcPr>
          <w:p>
            <w:pPr>
              <w:spacing w:line="360" w:lineRule="auto"/>
              <w:jc w:val="center"/>
              <w:rPr>
                <w:rFonts w:hint="eastAsia" w:ascii="仿宋" w:hAnsi="仿宋" w:eastAsia="仿宋" w:cs="仿宋"/>
                <w:color w:val="000000"/>
                <w:szCs w:val="21"/>
              </w:rPr>
            </w:pPr>
          </w:p>
        </w:tc>
        <w:tc>
          <w:tcPr>
            <w:tcW w:w="709" w:type="dxa"/>
            <w:noWrap w:val="0"/>
            <w:vAlign w:val="center"/>
          </w:tcPr>
          <w:p>
            <w:pPr>
              <w:spacing w:line="360" w:lineRule="auto"/>
              <w:rPr>
                <w:rFonts w:hint="eastAsia" w:ascii="仿宋" w:hAnsi="仿宋" w:eastAsia="仿宋" w:cs="仿宋"/>
                <w:color w:val="000000"/>
                <w:szCs w:val="21"/>
                <w:lang w:val="zh-CN"/>
              </w:rPr>
            </w:pPr>
          </w:p>
        </w:tc>
        <w:tc>
          <w:tcPr>
            <w:tcW w:w="2615"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）特定条件</w:t>
            </w:r>
          </w:p>
        </w:tc>
        <w:tc>
          <w:tcPr>
            <w:tcW w:w="4748" w:type="dxa"/>
            <w:noWrap w:val="0"/>
            <w:vAlign w:val="center"/>
          </w:tcPr>
          <w:p>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lang w:val="zh-CN"/>
              </w:rPr>
              <w:t>有效的保安服务许可证证书复印件</w:t>
            </w:r>
          </w:p>
        </w:tc>
      </w:tr>
    </w:tbl>
    <w:p>
      <w:pPr>
        <w:snapToGrid w:val="0"/>
        <w:spacing w:line="360" w:lineRule="auto"/>
        <w:ind w:firstLine="422" w:firstLineChars="200"/>
        <w:rPr>
          <w:rFonts w:hint="eastAsia" w:ascii="仿宋" w:hAnsi="仿宋" w:eastAsia="仿宋" w:cs="仿宋"/>
          <w:b/>
          <w:color w:val="000000"/>
          <w:kern w:val="0"/>
          <w:szCs w:val="21"/>
        </w:rPr>
      </w:pPr>
      <w:r>
        <w:rPr>
          <w:rFonts w:hint="eastAsia" w:ascii="仿宋" w:hAnsi="仿宋" w:eastAsia="仿宋" w:cs="仿宋"/>
          <w:b/>
          <w:color w:val="000000"/>
          <w:kern w:val="0"/>
          <w:szCs w:val="21"/>
        </w:rPr>
        <w:t>（二）符合性检查</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评标委员会依据采购文件的规定，从投标文件的有效性、完整性和对采购文件的响应程度进行审查，以确定是否对采购文件的实质性要求作出响应。符合性检查资料表如下：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4179" w:type="dxa"/>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审查因素</w:t>
            </w:r>
          </w:p>
        </w:tc>
        <w:tc>
          <w:tcPr>
            <w:tcW w:w="4179" w:type="dxa"/>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1</w:t>
            </w:r>
          </w:p>
        </w:tc>
        <w:tc>
          <w:tcPr>
            <w:tcW w:w="4179" w:type="dxa"/>
            <w:noWrap w:val="0"/>
            <w:vAlign w:val="center"/>
          </w:tcPr>
          <w:p>
            <w:pPr>
              <w:jc w:val="left"/>
              <w:rPr>
                <w:rFonts w:hint="eastAsia" w:ascii="仿宋" w:hAnsi="仿宋" w:eastAsia="仿宋" w:cs="仿宋"/>
                <w:kern w:val="0"/>
                <w:szCs w:val="21"/>
              </w:rPr>
            </w:pPr>
            <w:r>
              <w:rPr>
                <w:rFonts w:hint="eastAsia" w:ascii="仿宋" w:hAnsi="仿宋" w:eastAsia="仿宋" w:cs="仿宋"/>
                <w:kern w:val="0"/>
                <w:szCs w:val="21"/>
              </w:rPr>
              <w:t>供应商名称</w:t>
            </w:r>
          </w:p>
        </w:tc>
        <w:tc>
          <w:tcPr>
            <w:tcW w:w="4179" w:type="dxa"/>
            <w:noWrap w:val="0"/>
            <w:vAlign w:val="center"/>
          </w:tcPr>
          <w:p>
            <w:pPr>
              <w:rPr>
                <w:rFonts w:hint="eastAsia" w:ascii="仿宋" w:hAnsi="仿宋" w:eastAsia="仿宋" w:cs="仿宋"/>
                <w:kern w:val="0"/>
                <w:szCs w:val="21"/>
              </w:rPr>
            </w:pPr>
            <w:r>
              <w:rPr>
                <w:rFonts w:hint="eastAsia" w:ascii="仿宋" w:hAnsi="仿宋" w:eastAsia="仿宋" w:cs="仿宋"/>
                <w:szCs w:val="21"/>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2</w:t>
            </w:r>
          </w:p>
        </w:tc>
        <w:tc>
          <w:tcPr>
            <w:tcW w:w="4179" w:type="dxa"/>
            <w:noWrap w:val="0"/>
            <w:vAlign w:val="center"/>
          </w:tcPr>
          <w:p>
            <w:pPr>
              <w:rPr>
                <w:rFonts w:hint="eastAsia" w:ascii="仿宋" w:hAnsi="仿宋" w:eastAsia="仿宋" w:cs="仿宋"/>
                <w:szCs w:val="21"/>
              </w:rPr>
            </w:pPr>
            <w:r>
              <w:rPr>
                <w:rFonts w:hint="eastAsia" w:ascii="仿宋" w:hAnsi="仿宋" w:eastAsia="仿宋" w:cs="仿宋"/>
                <w:szCs w:val="21"/>
              </w:rPr>
              <w:t>法定代表人身份证明书及授权书</w:t>
            </w:r>
          </w:p>
        </w:tc>
        <w:tc>
          <w:tcPr>
            <w:tcW w:w="4179" w:type="dxa"/>
            <w:noWrap w:val="0"/>
            <w:vAlign w:val="center"/>
          </w:tcPr>
          <w:p>
            <w:pPr>
              <w:rPr>
                <w:rFonts w:hint="eastAsia" w:ascii="仿宋" w:hAnsi="仿宋" w:eastAsia="仿宋" w:cs="仿宋"/>
                <w:szCs w:val="21"/>
              </w:rPr>
            </w:pPr>
            <w:r>
              <w:rPr>
                <w:rFonts w:hint="eastAsia" w:ascii="仿宋" w:hAnsi="仿宋" w:eastAsia="仿宋" w:cs="仿宋"/>
                <w:szCs w:val="21"/>
              </w:rPr>
              <w:t>法定代表人身份证明书及授权书有效，签字、盖章齐全。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3</w:t>
            </w:r>
          </w:p>
        </w:tc>
        <w:tc>
          <w:tcPr>
            <w:tcW w:w="4179" w:type="dxa"/>
            <w:noWrap w:val="0"/>
            <w:vAlign w:val="center"/>
          </w:tcPr>
          <w:p>
            <w:pPr>
              <w:jc w:val="left"/>
              <w:rPr>
                <w:rFonts w:hint="eastAsia" w:ascii="仿宋" w:hAnsi="仿宋" w:eastAsia="仿宋" w:cs="仿宋"/>
                <w:kern w:val="0"/>
                <w:szCs w:val="21"/>
              </w:rPr>
            </w:pPr>
            <w:r>
              <w:rPr>
                <w:rFonts w:hint="eastAsia" w:ascii="仿宋" w:hAnsi="仿宋" w:eastAsia="仿宋" w:cs="仿宋"/>
                <w:kern w:val="0"/>
                <w:szCs w:val="21"/>
              </w:rPr>
              <w:t>响应有效期</w:t>
            </w:r>
          </w:p>
        </w:tc>
        <w:tc>
          <w:tcPr>
            <w:tcW w:w="4179" w:type="dxa"/>
            <w:noWrap w:val="0"/>
            <w:vAlign w:val="center"/>
          </w:tcPr>
          <w:p>
            <w:pPr>
              <w:rPr>
                <w:rFonts w:hint="eastAsia" w:ascii="仿宋" w:hAnsi="仿宋" w:eastAsia="仿宋" w:cs="仿宋"/>
                <w:szCs w:val="21"/>
              </w:rPr>
            </w:pPr>
            <w:r>
              <w:rPr>
                <w:rFonts w:hint="eastAsia" w:ascii="仿宋" w:hAnsi="仿宋" w:eastAsia="仿宋" w:cs="仿宋"/>
                <w:kern w:val="0"/>
                <w:szCs w:val="21"/>
              </w:rPr>
              <w:t>符合采购文件</w:t>
            </w:r>
            <w:r>
              <w:rPr>
                <w:rFonts w:hint="eastAsia" w:ascii="仿宋" w:hAnsi="仿宋" w:eastAsia="仿宋" w:cs="仿宋"/>
                <w:szCs w:val="21"/>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4</w:t>
            </w:r>
          </w:p>
        </w:tc>
        <w:tc>
          <w:tcPr>
            <w:tcW w:w="4179" w:type="dxa"/>
            <w:noWrap w:val="0"/>
            <w:vAlign w:val="center"/>
          </w:tcPr>
          <w:p>
            <w:pPr>
              <w:jc w:val="left"/>
              <w:rPr>
                <w:rFonts w:hint="eastAsia" w:ascii="仿宋" w:hAnsi="仿宋" w:eastAsia="仿宋" w:cs="仿宋"/>
                <w:kern w:val="0"/>
                <w:szCs w:val="21"/>
              </w:rPr>
            </w:pPr>
            <w:r>
              <w:rPr>
                <w:rFonts w:hint="eastAsia" w:ascii="仿宋" w:hAnsi="仿宋" w:eastAsia="仿宋" w:cs="仿宋"/>
                <w:szCs w:val="21"/>
              </w:rPr>
              <w:t>响应文件签署、盖章</w:t>
            </w:r>
          </w:p>
        </w:tc>
        <w:tc>
          <w:tcPr>
            <w:tcW w:w="4179" w:type="dxa"/>
            <w:noWrap w:val="0"/>
            <w:vAlign w:val="center"/>
          </w:tcPr>
          <w:p>
            <w:pPr>
              <w:rPr>
                <w:rFonts w:hint="eastAsia" w:ascii="仿宋" w:hAnsi="仿宋" w:eastAsia="仿宋" w:cs="仿宋"/>
                <w:szCs w:val="21"/>
              </w:rPr>
            </w:pPr>
            <w:r>
              <w:rPr>
                <w:rFonts w:hint="eastAsia" w:ascii="仿宋" w:hAnsi="仿宋" w:eastAsia="仿宋" w:cs="仿宋"/>
                <w:szCs w:val="21"/>
              </w:rPr>
              <w:t>响应文件由供应商在规定位置盖章，响应文件必须由法定代表人或授权代表签署。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5</w:t>
            </w:r>
          </w:p>
        </w:tc>
        <w:tc>
          <w:tcPr>
            <w:tcW w:w="4179" w:type="dxa"/>
            <w:noWrap w:val="0"/>
            <w:vAlign w:val="center"/>
          </w:tcPr>
          <w:p>
            <w:pPr>
              <w:jc w:val="left"/>
              <w:rPr>
                <w:rFonts w:hint="eastAsia" w:ascii="仿宋" w:hAnsi="仿宋" w:eastAsia="仿宋" w:cs="仿宋"/>
                <w:kern w:val="0"/>
                <w:szCs w:val="21"/>
              </w:rPr>
            </w:pPr>
            <w:r>
              <w:rPr>
                <w:rFonts w:hint="eastAsia" w:ascii="仿宋" w:hAnsi="仿宋" w:eastAsia="仿宋" w:cs="仿宋"/>
                <w:szCs w:val="21"/>
              </w:rPr>
              <w:t>响应</w:t>
            </w:r>
            <w:r>
              <w:rPr>
                <w:rFonts w:hint="eastAsia" w:ascii="仿宋" w:hAnsi="仿宋" w:eastAsia="仿宋" w:cs="仿宋"/>
                <w:kern w:val="0"/>
                <w:szCs w:val="21"/>
              </w:rPr>
              <w:t>文件内容</w:t>
            </w:r>
          </w:p>
        </w:tc>
        <w:tc>
          <w:tcPr>
            <w:tcW w:w="4179" w:type="dxa"/>
            <w:noWrap w:val="0"/>
            <w:vAlign w:val="center"/>
          </w:tcPr>
          <w:p>
            <w:pPr>
              <w:rPr>
                <w:rFonts w:hint="eastAsia" w:ascii="仿宋" w:hAnsi="仿宋" w:eastAsia="仿宋" w:cs="仿宋"/>
                <w:kern w:val="0"/>
                <w:szCs w:val="21"/>
              </w:rPr>
            </w:pPr>
            <w:r>
              <w:rPr>
                <w:rFonts w:hint="eastAsia" w:ascii="仿宋" w:hAnsi="仿宋" w:eastAsia="仿宋" w:cs="仿宋"/>
                <w:kern w:val="0"/>
                <w:szCs w:val="21"/>
              </w:rPr>
              <w:t>对采购文件作出实质性响应。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6</w:t>
            </w:r>
          </w:p>
        </w:tc>
        <w:tc>
          <w:tcPr>
            <w:tcW w:w="4179" w:type="dxa"/>
            <w:noWrap w:val="0"/>
            <w:vAlign w:val="center"/>
          </w:tcPr>
          <w:p>
            <w:pPr>
              <w:jc w:val="left"/>
              <w:rPr>
                <w:rFonts w:hint="eastAsia" w:ascii="仿宋" w:hAnsi="仿宋" w:eastAsia="仿宋" w:cs="仿宋"/>
                <w:kern w:val="0"/>
                <w:szCs w:val="21"/>
              </w:rPr>
            </w:pPr>
            <w:r>
              <w:rPr>
                <w:rFonts w:hint="eastAsia" w:ascii="仿宋" w:hAnsi="仿宋" w:eastAsia="仿宋" w:cs="仿宋"/>
                <w:szCs w:val="21"/>
              </w:rPr>
              <w:t>报价有效且唯一</w:t>
            </w:r>
          </w:p>
        </w:tc>
        <w:tc>
          <w:tcPr>
            <w:tcW w:w="4179" w:type="dxa"/>
            <w:noWrap w:val="0"/>
            <w:vAlign w:val="center"/>
          </w:tcPr>
          <w:p>
            <w:pPr>
              <w:rPr>
                <w:rFonts w:hint="eastAsia" w:ascii="仿宋" w:hAnsi="仿宋" w:eastAsia="仿宋" w:cs="仿宋"/>
                <w:kern w:val="0"/>
                <w:szCs w:val="21"/>
              </w:rPr>
            </w:pPr>
            <w:r>
              <w:rPr>
                <w:rFonts w:hint="eastAsia" w:ascii="仿宋" w:hAnsi="仿宋" w:eastAsia="仿宋" w:cs="仿宋"/>
                <w:szCs w:val="21"/>
                <w:lang w:val="zh-CN"/>
              </w:rPr>
              <w:t>只能在采购预算范围内报价，</w:t>
            </w:r>
            <w:r>
              <w:rPr>
                <w:rFonts w:hint="eastAsia" w:ascii="仿宋" w:hAnsi="仿宋" w:eastAsia="仿宋" w:cs="仿宋"/>
                <w:szCs w:val="21"/>
              </w:rPr>
              <w:t>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7</w:t>
            </w:r>
          </w:p>
        </w:tc>
        <w:tc>
          <w:tcPr>
            <w:tcW w:w="4179" w:type="dxa"/>
            <w:noWrap w:val="0"/>
            <w:vAlign w:val="center"/>
          </w:tcPr>
          <w:p>
            <w:pPr>
              <w:jc w:val="left"/>
              <w:rPr>
                <w:rFonts w:hint="eastAsia" w:ascii="仿宋" w:hAnsi="仿宋" w:eastAsia="仿宋" w:cs="仿宋"/>
                <w:szCs w:val="21"/>
              </w:rPr>
            </w:pPr>
            <w:r>
              <w:rPr>
                <w:rFonts w:hint="eastAsia" w:ascii="仿宋" w:hAnsi="仿宋" w:eastAsia="仿宋" w:cs="仿宋"/>
                <w:szCs w:val="21"/>
              </w:rPr>
              <w:t>其他</w:t>
            </w:r>
          </w:p>
        </w:tc>
        <w:tc>
          <w:tcPr>
            <w:tcW w:w="4179" w:type="dxa"/>
            <w:noWrap w:val="0"/>
            <w:vAlign w:val="center"/>
          </w:tcPr>
          <w:p>
            <w:pPr>
              <w:rPr>
                <w:rFonts w:hint="eastAsia" w:ascii="仿宋" w:hAnsi="仿宋" w:eastAsia="仿宋" w:cs="仿宋"/>
                <w:szCs w:val="21"/>
                <w:lang w:val="zh-CN"/>
              </w:rPr>
            </w:pPr>
            <w:r>
              <w:rPr>
                <w:rFonts w:hint="eastAsia" w:ascii="仿宋" w:hAnsi="仿宋" w:eastAsia="仿宋" w:cs="仿宋"/>
                <w:szCs w:val="21"/>
                <w:lang w:val="zh-CN"/>
              </w:rPr>
              <w:t>未出现“</w:t>
            </w:r>
            <w:r>
              <w:rPr>
                <w:rFonts w:hint="eastAsia" w:ascii="仿宋" w:hAnsi="仿宋" w:eastAsia="仿宋" w:cs="仿宋"/>
                <w:szCs w:val="21"/>
              </w:rPr>
              <w:t>无效标的情形</w:t>
            </w:r>
            <w:r>
              <w:rPr>
                <w:rFonts w:hint="eastAsia" w:ascii="仿宋" w:hAnsi="仿宋" w:eastAsia="仿宋" w:cs="仿宋"/>
                <w:szCs w:val="21"/>
                <w:lang w:val="zh-CN"/>
              </w:rPr>
              <w:t>”中的情形。</w:t>
            </w:r>
          </w:p>
        </w:tc>
      </w:tr>
    </w:tbl>
    <w:p>
      <w:pPr>
        <w:snapToGrid w:val="0"/>
        <w:spacing w:line="360" w:lineRule="auto"/>
        <w:ind w:firstLine="422" w:firstLineChars="200"/>
        <w:rPr>
          <w:rFonts w:hint="eastAsia" w:ascii="仿宋" w:hAnsi="仿宋" w:eastAsia="仿宋" w:cs="仿宋"/>
          <w:b/>
          <w:color w:val="000000"/>
          <w:szCs w:val="21"/>
        </w:rPr>
      </w:pP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（三）澄清有关问题</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 对投标文件中含义不明确、同类问题表述不一致或者有明显文字和计算错误的内容，评标委员会可以书面形式（或电子招投标允许的形式）要求供应商作出必要澄清、说明或者纠正。供应商的澄清、说明或者补正应当采用书面形式或符合电子招投标允许的形式。供应商的澄清、说明或者补正不得超出投标文件的范围或者改变投标文件的实质性内容。</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 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供应商确认后产生约束力，供应商不确认的，其投标无效。</w:t>
      </w: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综合评分法：</w:t>
      </w: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（四）比较与评价</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按采购文件中规定的评标方法和标准，对资格性检查和符合性检查合格的投标文件进行商务和技术评估。</w:t>
      </w:r>
    </w:p>
    <w:p>
      <w:pPr>
        <w:tabs>
          <w:tab w:val="left" w:pos="5400"/>
        </w:tabs>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评标委员会各成员独立对每个有效供应商的投标文件按评分标准逐栏进行评价、打分，每栏分值不得超出本栏规定的分值范围，各评分因素分值保留一位小数；然后由评审组长组织评标委员会对各成员打分情况进行核查及复核，个别成员对同一供应商同一评分项的打分偏离较大的，应对供应商的投标文件进行再次核对，确属打分有误的，应及时进行修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复核后，评标委员会汇总每个供应商每项评分因素的得分。评分计算结果按四舍五入法保留二位小数。</w:t>
      </w:r>
    </w:p>
    <w:p>
      <w:pPr>
        <w:snapToGrid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（五）推荐中标候选人</w:t>
      </w:r>
    </w:p>
    <w:p>
      <w:pPr>
        <w:snapToGrid w:val="0"/>
        <w:spacing w:line="36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1．投标文件满足招标文件全部实质性要求，且按照评审因素的量化指标评审得分最高的供应商为排名第一的中标候选人。若总得分相同的，按投标报价由低到高顺序排列；若总得分且投标报价相同的</w:t>
      </w:r>
      <w:r>
        <w:rPr>
          <w:rFonts w:hint="eastAsia" w:ascii="仿宋" w:hAnsi="仿宋" w:eastAsia="仿宋" w:cs="仿宋"/>
          <w:b/>
          <w:bCs/>
          <w:color w:val="000000"/>
          <w:szCs w:val="21"/>
        </w:rPr>
        <w:t>，采取随机抽取的方式确定。</w:t>
      </w:r>
    </w:p>
    <w:p>
      <w:pPr>
        <w:snapToGrid w:val="0"/>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2</w:t>
      </w:r>
      <w:r>
        <w:rPr>
          <w:rFonts w:hint="eastAsia" w:ascii="仿宋" w:hAnsi="仿宋" w:eastAsia="仿宋" w:cs="仿宋"/>
          <w:color w:val="000000"/>
          <w:szCs w:val="21"/>
        </w:rPr>
        <w:t>．若排名第一的中标候选人因投标过程中所提供的资料有失实、弄虚作假的或放弃中标或因不可抗力提出不能履行合同或未按规定提交履约保证金的，采购人可以确定排名第二的中标候选人为中标供应商或重新组织招标。</w:t>
      </w:r>
    </w:p>
    <w:p>
      <w:pPr>
        <w:snapToGrid w:val="0"/>
        <w:spacing w:line="360" w:lineRule="auto"/>
        <w:ind w:firstLine="422" w:firstLineChars="200"/>
        <w:rPr>
          <w:rFonts w:hint="eastAsia" w:ascii="仿宋" w:hAnsi="仿宋" w:eastAsia="仿宋" w:cs="仿宋"/>
          <w:b/>
          <w:color w:val="000000"/>
          <w:szCs w:val="21"/>
        </w:rPr>
      </w:pPr>
      <w:bookmarkStart w:id="143" w:name="_Toc267320057"/>
      <w:bookmarkStart w:id="144" w:name="_Toc441065675"/>
    </w:p>
    <w:p>
      <w:pPr>
        <w:snapToGrid w:val="0"/>
        <w:spacing w:line="360" w:lineRule="auto"/>
        <w:ind w:firstLine="422" w:firstLineChars="200"/>
        <w:rPr>
          <w:rFonts w:hint="eastAsia" w:ascii="仿宋" w:hAnsi="仿宋" w:eastAsia="仿宋" w:cs="仿宋"/>
          <w:b/>
          <w:color w:val="000000"/>
          <w:szCs w:val="21"/>
        </w:rPr>
        <w:sectPr>
          <w:pgSz w:w="11907" w:h="16839"/>
          <w:pgMar w:top="1440" w:right="1797" w:bottom="1440" w:left="1797" w:header="851" w:footer="992" w:gutter="0"/>
          <w:cols w:space="720" w:num="1"/>
          <w:docGrid w:linePitch="312" w:charSpace="0"/>
        </w:sectPr>
      </w:pPr>
    </w:p>
    <w:p>
      <w:pPr>
        <w:numPr>
          <w:ilvl w:val="0"/>
          <w:numId w:val="8"/>
        </w:numPr>
        <w:snapToGrid w:val="0"/>
        <w:spacing w:line="360" w:lineRule="auto"/>
        <w:ind w:firstLine="422"/>
        <w:outlineLvl w:val="1"/>
        <w:rPr>
          <w:rFonts w:hint="eastAsia" w:ascii="仿宋" w:hAnsi="仿宋" w:eastAsia="仿宋" w:cs="仿宋"/>
          <w:b/>
          <w:color w:val="000000"/>
          <w:szCs w:val="21"/>
        </w:rPr>
      </w:pPr>
      <w:bookmarkStart w:id="145" w:name="_Toc24715"/>
      <w:bookmarkStart w:id="146" w:name="_Toc5119"/>
      <w:r>
        <w:rPr>
          <w:rFonts w:hint="eastAsia" w:ascii="仿宋" w:hAnsi="仿宋" w:eastAsia="仿宋" w:cs="仿宋"/>
          <w:b/>
          <w:color w:val="000000"/>
          <w:szCs w:val="21"/>
        </w:rPr>
        <w:t>评分标准</w:t>
      </w:r>
      <w:bookmarkEnd w:id="143"/>
      <w:bookmarkEnd w:id="144"/>
      <w:bookmarkEnd w:id="145"/>
      <w:bookmarkEnd w:id="146"/>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99"/>
        <w:gridCol w:w="9189"/>
        <w:gridCol w:w="51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cantSplit/>
          <w:trHeight w:val="90" w:hRule="atLeast"/>
          <w:jc w:val="center"/>
        </w:trPr>
        <w:tc>
          <w:tcPr>
            <w:tcW w:w="9988" w:type="dxa"/>
            <w:gridSpan w:val="2"/>
            <w:tcBorders>
              <w:top w:val="single" w:color="auto" w:sz="4" w:space="0"/>
              <w:bottom w:val="single" w:color="auto" w:sz="4" w:space="0"/>
              <w:tl2br w:val="single" w:color="auto" w:sz="2" w:space="0"/>
            </w:tcBorders>
            <w:noWrap w:val="0"/>
            <w:vAlign w:val="center"/>
          </w:tcPr>
          <w:p>
            <w:pPr>
              <w:spacing w:line="360" w:lineRule="auto"/>
              <w:ind w:right="210"/>
              <w:jc w:val="right"/>
              <w:rPr>
                <w:rFonts w:hint="eastAsia" w:ascii="仿宋" w:hAnsi="仿宋" w:eastAsia="仿宋" w:cs="仿宋"/>
                <w:sz w:val="21"/>
                <w:szCs w:val="21"/>
              </w:rPr>
            </w:pPr>
            <w:r>
              <w:rPr>
                <w:rFonts w:hint="eastAsia" w:ascii="仿宋" w:hAnsi="仿宋" w:eastAsia="仿宋" w:cs="仿宋"/>
                <w:sz w:val="21"/>
                <w:szCs w:val="21"/>
              </w:rPr>
              <w:t>报价单位</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评审项及分值</w:t>
            </w:r>
          </w:p>
        </w:tc>
        <w:tc>
          <w:tcPr>
            <w:tcW w:w="512" w:type="dxa"/>
            <w:tcBorders>
              <w:top w:val="single" w:color="auto" w:sz="4" w:space="0"/>
              <w:bottom w:val="single" w:color="auto" w:sz="4" w:space="0"/>
            </w:tcBorders>
            <w:noWrap w:val="0"/>
            <w:tcMar>
              <w:left w:w="0" w:type="dxa"/>
              <w:right w:w="0" w:type="dxa"/>
            </w:tcMar>
            <w:vAlign w:val="center"/>
          </w:tcPr>
          <w:p>
            <w:pPr>
              <w:spacing w:line="360" w:lineRule="auto"/>
              <w:ind w:left="-108" w:right="-11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F分值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72" w:hRule="atLeast"/>
          <w:jc w:val="center"/>
        </w:trPr>
        <w:tc>
          <w:tcPr>
            <w:tcW w:w="799" w:type="dxa"/>
            <w:vMerge w:val="restart"/>
            <w:tcBorders>
              <w:top w:val="single" w:color="auto" w:sz="4" w:space="0"/>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r>
              <w:rPr>
                <w:rFonts w:hint="eastAsia" w:ascii="仿宋" w:hAnsi="仿宋" w:eastAsia="仿宋" w:cs="仿宋"/>
                <w:sz w:val="24"/>
                <w:szCs w:val="24"/>
              </w:rPr>
              <w:t>技术及商务服务分70分</w:t>
            </w: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1"/>
                <w:szCs w:val="21"/>
              </w:rPr>
            </w:pPr>
            <w:r>
              <w:rPr>
                <w:rFonts w:hint="eastAsia" w:ascii="仿宋" w:hAnsi="仿宋" w:eastAsia="仿宋" w:cs="仿宋"/>
                <w:b/>
                <w:bCs/>
                <w:sz w:val="21"/>
                <w:szCs w:val="21"/>
              </w:rPr>
              <w:t>服务和商务</w:t>
            </w:r>
            <w:r>
              <w:rPr>
                <w:rFonts w:hint="eastAsia" w:ascii="仿宋" w:hAnsi="仿宋" w:eastAsia="仿宋" w:cs="仿宋"/>
                <w:b/>
                <w:bCs/>
                <w:sz w:val="21"/>
                <w:szCs w:val="21"/>
                <w:lang w:eastAsia="zh-CN"/>
              </w:rPr>
              <w:t>响应</w:t>
            </w:r>
            <w:r>
              <w:rPr>
                <w:rFonts w:hint="eastAsia" w:ascii="仿宋" w:hAnsi="仿宋" w:eastAsia="仿宋" w:cs="仿宋"/>
                <w:b/>
                <w:bCs/>
                <w:sz w:val="21"/>
                <w:szCs w:val="21"/>
                <w:lang w:val="en-US" w:eastAsia="zh-CN"/>
              </w:rPr>
              <w:t>:</w:t>
            </w:r>
            <w:r>
              <w:rPr>
                <w:rFonts w:hint="eastAsia" w:ascii="仿宋" w:hAnsi="仿宋" w:eastAsia="仿宋" w:cs="仿宋"/>
                <w:sz w:val="21"/>
                <w:szCs w:val="21"/>
              </w:rPr>
              <w:t>对招标文件服务条款及商务要求的响应情况评分</w:t>
            </w:r>
            <w:r>
              <w:rPr>
                <w:rFonts w:hint="eastAsia" w:ascii="仿宋" w:hAnsi="仿宋" w:eastAsia="仿宋" w:cs="仿宋"/>
                <w:sz w:val="21"/>
                <w:szCs w:val="21"/>
              </w:rPr>
              <w:tab/>
            </w:r>
            <w:r>
              <w:rPr>
                <w:rFonts w:hint="eastAsia" w:ascii="仿宋" w:hAnsi="仿宋" w:eastAsia="仿宋" w:cs="仿宋"/>
                <w:sz w:val="2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1"/>
                <w:szCs w:val="21"/>
              </w:rPr>
            </w:pPr>
            <w:r>
              <w:rPr>
                <w:rFonts w:hint="eastAsia" w:ascii="仿宋" w:hAnsi="仿宋" w:eastAsia="仿宋" w:cs="仿宋"/>
                <w:sz w:val="21"/>
                <w:szCs w:val="21"/>
              </w:rPr>
              <w:t>对照招标文件，评审投标文件是否响应或偏离情况进行逐条评分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1"/>
                <w:szCs w:val="21"/>
              </w:rPr>
            </w:pPr>
            <w:r>
              <w:rPr>
                <w:rFonts w:hint="eastAsia" w:ascii="仿宋" w:hAnsi="仿宋" w:eastAsia="仿宋" w:cs="仿宋"/>
                <w:sz w:val="21"/>
                <w:szCs w:val="21"/>
              </w:rPr>
              <w:t>服务和商务条款全部满足或完全响应或无偏离的，得基本分</w:t>
            </w:r>
            <w:r>
              <w:rPr>
                <w:rFonts w:hint="eastAsia" w:ascii="仿宋" w:hAnsi="仿宋" w:eastAsia="仿宋" w:cs="仿宋"/>
                <w:sz w:val="21"/>
                <w:szCs w:val="21"/>
                <w:lang w:val="en-US" w:eastAsia="zh-CN"/>
              </w:rPr>
              <w:t>30</w:t>
            </w:r>
            <w:r>
              <w:rPr>
                <w:rFonts w:hint="eastAsia" w:ascii="仿宋" w:hAnsi="仿宋" w:eastAsia="仿宋" w:cs="仿宋"/>
                <w:sz w:val="21"/>
                <w:szCs w:val="21"/>
              </w:rPr>
              <w:t>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1"/>
                <w:szCs w:val="21"/>
              </w:rPr>
            </w:pPr>
            <w:r>
              <w:rPr>
                <w:rFonts w:hint="eastAsia" w:ascii="仿宋" w:hAnsi="仿宋" w:eastAsia="仿宋" w:cs="仿宋"/>
                <w:sz w:val="21"/>
                <w:szCs w:val="21"/>
              </w:rPr>
              <w:t>无数值指标的服务和商务条款，每正偏离一条，加0.5分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1"/>
                <w:szCs w:val="21"/>
              </w:rPr>
            </w:pPr>
            <w:r>
              <w:rPr>
                <w:rFonts w:hint="eastAsia" w:ascii="仿宋" w:hAnsi="仿宋" w:eastAsia="仿宋" w:cs="仿宋"/>
                <w:sz w:val="21"/>
                <w:szCs w:val="21"/>
              </w:rPr>
              <w:t>有数值指标的服务和商务条款，每正偏离1%，加0.1分(按四舍五入保留整数），正偏离满分</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宋体" w:cs="仿宋"/>
                <w:b/>
                <w:bCs/>
                <w:sz w:val="21"/>
                <w:szCs w:val="21"/>
                <w:lang w:val="en-US" w:eastAsia="zh-CN"/>
              </w:rPr>
            </w:pPr>
            <w:r>
              <w:rPr>
                <w:rFonts w:hint="eastAsia" w:ascii="仿宋" w:hAnsi="仿宋" w:eastAsia="仿宋" w:cs="仿宋"/>
                <w:sz w:val="21"/>
                <w:szCs w:val="21"/>
              </w:rPr>
              <w:t>服务和商务条款每负偏离或不响应一条的，按无效响应处理</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72"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bCs/>
                <w:sz w:val="21"/>
                <w:szCs w:val="21"/>
              </w:rPr>
              <w:t>安保服务、</w:t>
            </w:r>
            <w:r>
              <w:rPr>
                <w:rFonts w:hint="eastAsia" w:ascii="仿宋" w:hAnsi="仿宋" w:eastAsia="仿宋" w:cs="仿宋"/>
                <w:b/>
                <w:bCs/>
                <w:sz w:val="21"/>
                <w:szCs w:val="21"/>
                <w:lang w:eastAsia="zh-CN"/>
              </w:rPr>
              <w:t>车辆</w:t>
            </w:r>
            <w:r>
              <w:rPr>
                <w:rFonts w:hint="eastAsia" w:ascii="仿宋" w:hAnsi="仿宋" w:eastAsia="仿宋" w:cs="仿宋"/>
                <w:b/>
                <w:bCs/>
                <w:sz w:val="21"/>
                <w:szCs w:val="21"/>
              </w:rPr>
              <w:t>管理服务管理整体设想、策划：</w:t>
            </w:r>
            <w:r>
              <w:rPr>
                <w:rFonts w:hint="eastAsia" w:ascii="仿宋" w:hAnsi="仿宋" w:eastAsia="仿宋" w:cs="仿宋"/>
                <w:sz w:val="21"/>
                <w:szCs w:val="21"/>
              </w:rPr>
              <w:t>评委根据投标人整体构想思路的创新性（</w:t>
            </w:r>
            <w:r>
              <w:rPr>
                <w:rFonts w:hint="eastAsia" w:ascii="仿宋" w:hAnsi="仿宋" w:eastAsia="仿宋" w:cs="仿宋"/>
                <w:sz w:val="21"/>
                <w:szCs w:val="21"/>
                <w:lang w:val="en-US" w:eastAsia="zh-CN"/>
              </w:rPr>
              <w:t>1</w:t>
            </w:r>
            <w:r>
              <w:rPr>
                <w:rFonts w:hint="eastAsia" w:ascii="仿宋" w:hAnsi="仿宋" w:eastAsia="仿宋" w:cs="仿宋"/>
                <w:sz w:val="21"/>
                <w:szCs w:val="21"/>
              </w:rPr>
              <w:t>分），目标的明确性（</w:t>
            </w:r>
            <w:r>
              <w:rPr>
                <w:rFonts w:hint="eastAsia" w:ascii="仿宋" w:hAnsi="仿宋" w:eastAsia="仿宋" w:cs="仿宋"/>
                <w:sz w:val="21"/>
                <w:szCs w:val="21"/>
                <w:lang w:val="en-US" w:eastAsia="zh-CN"/>
              </w:rPr>
              <w:t>1</w:t>
            </w:r>
            <w:r>
              <w:rPr>
                <w:rFonts w:hint="eastAsia" w:ascii="仿宋" w:hAnsi="仿宋" w:eastAsia="仿宋" w:cs="仿宋"/>
                <w:sz w:val="21"/>
                <w:szCs w:val="21"/>
              </w:rPr>
              <w:t>分），表述的完整性（</w:t>
            </w:r>
            <w:r>
              <w:rPr>
                <w:rFonts w:hint="eastAsia" w:ascii="仿宋" w:hAnsi="仿宋" w:eastAsia="仿宋" w:cs="仿宋"/>
                <w:sz w:val="21"/>
                <w:szCs w:val="21"/>
                <w:lang w:val="en-US" w:eastAsia="zh-CN"/>
              </w:rPr>
              <w:t>1</w:t>
            </w:r>
            <w:r>
              <w:rPr>
                <w:rFonts w:hint="eastAsia" w:ascii="仿宋" w:hAnsi="仿宋" w:eastAsia="仿宋" w:cs="仿宋"/>
                <w:sz w:val="21"/>
                <w:szCs w:val="21"/>
              </w:rPr>
              <w:t>分），管理标准与整体定位的准确性（</w:t>
            </w:r>
            <w:r>
              <w:rPr>
                <w:rFonts w:hint="eastAsia" w:ascii="仿宋" w:hAnsi="仿宋" w:eastAsia="仿宋" w:cs="仿宋"/>
                <w:sz w:val="21"/>
                <w:szCs w:val="21"/>
                <w:lang w:val="en-US" w:eastAsia="zh-CN"/>
              </w:rPr>
              <w:t>1</w:t>
            </w:r>
            <w:r>
              <w:rPr>
                <w:rFonts w:hint="eastAsia" w:ascii="仿宋" w:hAnsi="仿宋" w:eastAsia="仿宋" w:cs="仿宋"/>
                <w:sz w:val="21"/>
                <w:szCs w:val="21"/>
              </w:rPr>
              <w:t>分）进行</w:t>
            </w:r>
            <w:r>
              <w:rPr>
                <w:rFonts w:hint="eastAsia" w:ascii="仿宋" w:hAnsi="仿宋" w:eastAsia="仿宋" w:cs="仿宋"/>
                <w:sz w:val="21"/>
                <w:szCs w:val="21"/>
                <w:lang w:eastAsia="zh-CN"/>
              </w:rPr>
              <w:t>综合</w:t>
            </w:r>
            <w:r>
              <w:rPr>
                <w:rFonts w:hint="eastAsia" w:ascii="仿宋" w:hAnsi="仿宋" w:eastAsia="仿宋" w:cs="仿宋"/>
                <w:sz w:val="21"/>
                <w:szCs w:val="21"/>
              </w:rPr>
              <w:t>打分。</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48"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bCs/>
                <w:sz w:val="21"/>
                <w:szCs w:val="21"/>
              </w:rPr>
              <w:t>安保服务</w:t>
            </w:r>
            <w:r>
              <w:rPr>
                <w:rFonts w:hint="eastAsia" w:ascii="仿宋" w:hAnsi="仿宋" w:eastAsia="仿宋" w:cs="仿宋"/>
                <w:b/>
                <w:bCs/>
                <w:sz w:val="21"/>
                <w:szCs w:val="21"/>
                <w:lang w:eastAsia="zh-CN"/>
              </w:rPr>
              <w:t>、车辆管理服务方案</w:t>
            </w:r>
            <w:r>
              <w:rPr>
                <w:rFonts w:hint="eastAsia" w:ascii="仿宋" w:hAnsi="仿宋" w:eastAsia="仿宋" w:cs="仿宋"/>
                <w:b/>
                <w:bCs/>
                <w:sz w:val="21"/>
                <w:szCs w:val="21"/>
              </w:rPr>
              <w:t>：</w:t>
            </w:r>
            <w:r>
              <w:rPr>
                <w:rFonts w:hint="eastAsia" w:ascii="仿宋" w:hAnsi="仿宋" w:eastAsia="仿宋" w:cs="仿宋"/>
                <w:sz w:val="21"/>
                <w:szCs w:val="21"/>
              </w:rPr>
              <w:t>评委根据投标人安保服务</w:t>
            </w:r>
            <w:r>
              <w:rPr>
                <w:rFonts w:hint="eastAsia" w:ascii="仿宋" w:hAnsi="仿宋" w:eastAsia="仿宋" w:cs="仿宋"/>
                <w:sz w:val="21"/>
                <w:szCs w:val="21"/>
                <w:lang w:eastAsia="zh-CN"/>
              </w:rPr>
              <w:t>、车辆管理服务</w:t>
            </w:r>
            <w:r>
              <w:rPr>
                <w:rFonts w:hint="eastAsia" w:ascii="仿宋" w:hAnsi="仿宋" w:eastAsia="仿宋" w:cs="仿宋"/>
                <w:sz w:val="21"/>
                <w:szCs w:val="21"/>
              </w:rPr>
              <w:t>工作项目、工作范围是否齐全（</w:t>
            </w:r>
            <w:r>
              <w:rPr>
                <w:rFonts w:hint="eastAsia" w:ascii="仿宋" w:hAnsi="仿宋" w:eastAsia="仿宋" w:cs="仿宋"/>
                <w:sz w:val="21"/>
                <w:szCs w:val="21"/>
                <w:lang w:val="en-US" w:eastAsia="zh-CN"/>
              </w:rPr>
              <w:t>1</w:t>
            </w:r>
            <w:r>
              <w:rPr>
                <w:rFonts w:hint="eastAsia" w:ascii="仿宋" w:hAnsi="仿宋" w:eastAsia="仿宋" w:cs="仿宋"/>
                <w:sz w:val="21"/>
                <w:szCs w:val="21"/>
              </w:rPr>
              <w:t>分）；组织设置、岗位配置是否符合本项目的要求（</w:t>
            </w:r>
            <w:r>
              <w:rPr>
                <w:rFonts w:hint="eastAsia" w:ascii="仿宋" w:hAnsi="仿宋" w:eastAsia="仿宋" w:cs="仿宋"/>
                <w:sz w:val="21"/>
                <w:szCs w:val="21"/>
                <w:lang w:val="en-US" w:eastAsia="zh-CN"/>
              </w:rPr>
              <w:t>1</w:t>
            </w:r>
            <w:r>
              <w:rPr>
                <w:rFonts w:hint="eastAsia" w:ascii="仿宋" w:hAnsi="仿宋" w:eastAsia="仿宋" w:cs="仿宋"/>
                <w:sz w:val="21"/>
                <w:szCs w:val="21"/>
              </w:rPr>
              <w:t>分）；人员管理是否合理（</w:t>
            </w:r>
            <w:r>
              <w:rPr>
                <w:rFonts w:hint="eastAsia" w:ascii="仿宋" w:hAnsi="仿宋" w:eastAsia="仿宋" w:cs="仿宋"/>
                <w:sz w:val="21"/>
                <w:szCs w:val="21"/>
                <w:lang w:val="en-US" w:eastAsia="zh-CN"/>
              </w:rPr>
              <w:t>1</w:t>
            </w:r>
            <w:r>
              <w:rPr>
                <w:rFonts w:hint="eastAsia" w:ascii="仿宋" w:hAnsi="仿宋" w:eastAsia="仿宋" w:cs="仿宋"/>
                <w:sz w:val="21"/>
                <w:szCs w:val="21"/>
              </w:rPr>
              <w:t>分）；服务标准设计是否合理（</w:t>
            </w:r>
            <w:r>
              <w:rPr>
                <w:rFonts w:hint="eastAsia" w:ascii="仿宋" w:hAnsi="仿宋" w:eastAsia="仿宋" w:cs="仿宋"/>
                <w:sz w:val="21"/>
                <w:szCs w:val="21"/>
                <w:lang w:val="en-US" w:eastAsia="zh-CN"/>
              </w:rPr>
              <w:t>1</w:t>
            </w:r>
            <w:r>
              <w:rPr>
                <w:rFonts w:hint="eastAsia" w:ascii="仿宋" w:hAnsi="仿宋" w:eastAsia="仿宋" w:cs="仿宋"/>
                <w:sz w:val="21"/>
                <w:szCs w:val="21"/>
              </w:rPr>
              <w:t>分）；与采购人保安要求相符合（</w:t>
            </w:r>
            <w:r>
              <w:rPr>
                <w:rFonts w:hint="eastAsia" w:ascii="仿宋" w:hAnsi="仿宋" w:eastAsia="仿宋" w:cs="仿宋"/>
                <w:sz w:val="21"/>
                <w:szCs w:val="21"/>
                <w:lang w:val="en-US" w:eastAsia="zh-CN"/>
              </w:rPr>
              <w:t>1</w:t>
            </w:r>
            <w:r>
              <w:rPr>
                <w:rFonts w:hint="eastAsia" w:ascii="仿宋" w:hAnsi="仿宋" w:eastAsia="仿宋" w:cs="仿宋"/>
                <w:sz w:val="21"/>
                <w:szCs w:val="21"/>
              </w:rPr>
              <w:t>分）等方面内容进行</w:t>
            </w:r>
            <w:r>
              <w:rPr>
                <w:rFonts w:hint="eastAsia" w:ascii="仿宋" w:hAnsi="仿宋" w:eastAsia="仿宋" w:cs="仿宋"/>
                <w:sz w:val="21"/>
                <w:szCs w:val="21"/>
                <w:lang w:eastAsia="zh-CN"/>
              </w:rPr>
              <w:t>综合</w:t>
            </w:r>
            <w:r>
              <w:rPr>
                <w:rFonts w:hint="eastAsia" w:ascii="仿宋" w:hAnsi="仿宋" w:eastAsia="仿宋" w:cs="仿宋"/>
                <w:sz w:val="21"/>
                <w:szCs w:val="21"/>
              </w:rPr>
              <w:t>打分。</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28"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sz w:val="21"/>
                <w:szCs w:val="21"/>
              </w:rPr>
              <w:t>应急保障服务方案：</w:t>
            </w:r>
            <w:r>
              <w:rPr>
                <w:rFonts w:hint="eastAsia" w:ascii="仿宋" w:hAnsi="仿宋" w:eastAsia="仿宋" w:cs="仿宋"/>
                <w:sz w:val="21"/>
                <w:szCs w:val="21"/>
              </w:rPr>
              <w:t>评委根据投标人提供的应急保障</w:t>
            </w:r>
            <w:r>
              <w:rPr>
                <w:rFonts w:hint="eastAsia" w:ascii="仿宋" w:hAnsi="仿宋" w:eastAsia="仿宋" w:cs="仿宋"/>
                <w:w w:val="100"/>
                <w:sz w:val="21"/>
                <w:szCs w:val="21"/>
              </w:rPr>
              <w:t>或突发事件应对方案</w:t>
            </w:r>
            <w:r>
              <w:rPr>
                <w:rFonts w:hint="eastAsia" w:ascii="仿宋" w:hAnsi="仿宋" w:eastAsia="仿宋" w:cs="仿宋"/>
                <w:color w:val="000000"/>
                <w:sz w:val="21"/>
                <w:szCs w:val="21"/>
              </w:rPr>
              <w:t>（突发事件、防火、防盗、防破坏、防自然灾害事故等）</w:t>
            </w:r>
            <w:r>
              <w:rPr>
                <w:rFonts w:hint="eastAsia" w:ascii="仿宋" w:hAnsi="仿宋" w:eastAsia="仿宋" w:cs="仿宋"/>
                <w:color w:val="000000"/>
                <w:sz w:val="21"/>
                <w:szCs w:val="21"/>
                <w:lang w:eastAsia="zh-CN"/>
              </w:rPr>
              <w:t>切合实际</w:t>
            </w: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适用性（</w:t>
            </w:r>
            <w:r>
              <w:rPr>
                <w:rFonts w:hint="eastAsia" w:ascii="仿宋" w:hAnsi="仿宋" w:eastAsia="仿宋" w:cs="仿宋"/>
                <w:sz w:val="21"/>
                <w:szCs w:val="21"/>
                <w:lang w:val="en-US" w:eastAsia="zh-CN"/>
              </w:rPr>
              <w:t>1</w:t>
            </w:r>
            <w:r>
              <w:rPr>
                <w:rFonts w:hint="eastAsia" w:ascii="仿宋" w:hAnsi="仿宋" w:eastAsia="仿宋" w:cs="仿宋"/>
                <w:sz w:val="21"/>
                <w:szCs w:val="21"/>
              </w:rPr>
              <w:t>分）进行</w:t>
            </w:r>
            <w:r>
              <w:rPr>
                <w:rFonts w:hint="eastAsia" w:ascii="仿宋" w:hAnsi="仿宋" w:eastAsia="仿宋" w:cs="仿宋"/>
                <w:sz w:val="21"/>
                <w:szCs w:val="21"/>
                <w:lang w:eastAsia="zh-CN"/>
              </w:rPr>
              <w:t>综合</w:t>
            </w:r>
            <w:r>
              <w:rPr>
                <w:rFonts w:hint="eastAsia" w:ascii="仿宋" w:hAnsi="仿宋" w:eastAsia="仿宋" w:cs="仿宋"/>
                <w:sz w:val="21"/>
                <w:szCs w:val="21"/>
              </w:rPr>
              <w:t>打分。</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50"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sz w:val="21"/>
                <w:szCs w:val="21"/>
                <w:lang w:eastAsia="zh-CN"/>
              </w:rPr>
              <w:t>管理机构的设置及内部管理制度：</w:t>
            </w:r>
            <w:r>
              <w:rPr>
                <w:rFonts w:hint="eastAsia" w:ascii="仿宋" w:hAnsi="仿宋" w:eastAsia="仿宋" w:cs="仿宋"/>
                <w:sz w:val="21"/>
                <w:szCs w:val="21"/>
              </w:rPr>
              <w:t>评委根据投标人</w:t>
            </w:r>
            <w:r>
              <w:rPr>
                <w:rFonts w:hint="eastAsia" w:ascii="仿宋" w:hAnsi="仿宋" w:eastAsia="仿宋" w:cs="仿宋"/>
                <w:sz w:val="21"/>
                <w:szCs w:val="21"/>
                <w:lang w:eastAsia="zh-CN"/>
              </w:rPr>
              <w:t>管理机构设置合理性（</w:t>
            </w:r>
            <w:r>
              <w:rPr>
                <w:rFonts w:hint="eastAsia" w:ascii="仿宋" w:hAnsi="仿宋" w:eastAsia="仿宋" w:cs="仿宋"/>
                <w:sz w:val="21"/>
                <w:szCs w:val="21"/>
                <w:lang w:val="en-US" w:eastAsia="zh-CN"/>
              </w:rPr>
              <w:t>1分</w:t>
            </w:r>
            <w:r>
              <w:rPr>
                <w:rFonts w:hint="eastAsia" w:ascii="仿宋" w:hAnsi="仿宋" w:eastAsia="仿宋" w:cs="仿宋"/>
                <w:sz w:val="21"/>
                <w:szCs w:val="21"/>
                <w:lang w:eastAsia="zh-CN"/>
              </w:rPr>
              <w:t>）、管理构架和各部门职责</w:t>
            </w:r>
            <w:r>
              <w:rPr>
                <w:rFonts w:hint="eastAsia" w:ascii="仿宋" w:hAnsi="仿宋" w:eastAsia="仿宋" w:cs="仿宋"/>
                <w:sz w:val="21"/>
                <w:szCs w:val="21"/>
              </w:rPr>
              <w:t>的明确性、科学性（</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，投标人的管理、激励、监督、奖惩、自我约束机制、信息反馈渠道及处理机制等是否科学、合理、高效（</w:t>
            </w:r>
            <w:r>
              <w:rPr>
                <w:rFonts w:hint="eastAsia" w:ascii="仿宋" w:hAnsi="仿宋" w:eastAsia="仿宋" w:cs="仿宋"/>
                <w:sz w:val="21"/>
                <w:szCs w:val="21"/>
                <w:lang w:val="en-US" w:eastAsia="zh-CN"/>
              </w:rPr>
              <w:t>1分</w:t>
            </w:r>
            <w:r>
              <w:rPr>
                <w:rFonts w:hint="eastAsia" w:ascii="仿宋" w:hAnsi="仿宋" w:eastAsia="仿宋" w:cs="仿宋"/>
                <w:sz w:val="21"/>
                <w:szCs w:val="21"/>
                <w:lang w:eastAsia="zh-CN"/>
              </w:rPr>
              <w:t>）</w:t>
            </w:r>
            <w:r>
              <w:rPr>
                <w:rFonts w:hint="eastAsia" w:ascii="仿宋" w:hAnsi="仿宋" w:eastAsia="仿宋" w:cs="仿宋"/>
                <w:sz w:val="21"/>
                <w:szCs w:val="21"/>
              </w:rPr>
              <w:t>进行</w:t>
            </w:r>
            <w:r>
              <w:rPr>
                <w:rFonts w:hint="eastAsia" w:ascii="仿宋" w:hAnsi="仿宋" w:eastAsia="仿宋" w:cs="仿宋"/>
                <w:sz w:val="21"/>
                <w:szCs w:val="21"/>
                <w:lang w:eastAsia="zh-CN"/>
              </w:rPr>
              <w:t>综合</w:t>
            </w:r>
            <w:r>
              <w:rPr>
                <w:rFonts w:hint="eastAsia" w:ascii="仿宋" w:hAnsi="仿宋" w:eastAsia="仿宋" w:cs="仿宋"/>
                <w:sz w:val="21"/>
                <w:szCs w:val="21"/>
              </w:rPr>
              <w:t>打分。</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97"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sz w:val="21"/>
                <w:szCs w:val="21"/>
                <w:lang w:eastAsia="zh-CN"/>
              </w:rPr>
              <w:t>投标人企业实力：</w:t>
            </w:r>
            <w:r>
              <w:rPr>
                <w:rFonts w:hint="eastAsia" w:ascii="仿宋" w:hAnsi="仿宋" w:eastAsia="仿宋" w:cs="仿宋"/>
                <w:sz w:val="21"/>
                <w:szCs w:val="21"/>
              </w:rPr>
              <w:t>评委根据投标人</w:t>
            </w:r>
            <w:r>
              <w:rPr>
                <w:rFonts w:hint="eastAsia" w:ascii="仿宋" w:hAnsi="仿宋" w:eastAsia="仿宋" w:cs="仿宋"/>
                <w:sz w:val="21"/>
                <w:szCs w:val="21"/>
                <w:lang w:val="en-US" w:eastAsia="zh-CN"/>
              </w:rPr>
              <w:t>整体经营状况、技术力量、荣誉等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1分</w:t>
            </w:r>
            <w:r>
              <w:rPr>
                <w:rFonts w:hint="eastAsia" w:ascii="仿宋" w:hAnsi="仿宋" w:eastAsia="仿宋" w:cs="仿宋"/>
                <w:sz w:val="21"/>
                <w:szCs w:val="21"/>
                <w:lang w:eastAsia="zh-CN"/>
              </w:rPr>
              <w:t>）进行综合</w:t>
            </w:r>
            <w:r>
              <w:rPr>
                <w:rFonts w:hint="eastAsia" w:ascii="仿宋" w:hAnsi="仿宋" w:eastAsia="仿宋" w:cs="仿宋"/>
                <w:sz w:val="21"/>
                <w:szCs w:val="21"/>
              </w:rPr>
              <w:t>打分</w:t>
            </w:r>
            <w:r>
              <w:rPr>
                <w:rFonts w:hint="eastAsia" w:ascii="仿宋" w:hAnsi="仿宋" w:eastAsia="仿宋" w:cs="仿宋"/>
                <w:sz w:val="21"/>
                <w:szCs w:val="21"/>
                <w:lang w:eastAsia="zh-CN"/>
              </w:rPr>
              <w:t>。</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23"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sz w:val="21"/>
                <w:szCs w:val="21"/>
                <w:lang w:eastAsia="zh-CN"/>
              </w:rPr>
              <w:t>人员培训方案：</w:t>
            </w:r>
            <w:r>
              <w:rPr>
                <w:rFonts w:hint="eastAsia" w:ascii="仿宋" w:hAnsi="仿宋" w:eastAsia="仿宋" w:cs="仿宋"/>
                <w:w w:val="100"/>
                <w:sz w:val="21"/>
                <w:szCs w:val="21"/>
                <w:lang w:eastAsia="zh-CN"/>
              </w:rPr>
              <w:t>根据投标人提供的</w:t>
            </w:r>
            <w:r>
              <w:rPr>
                <w:rFonts w:hint="eastAsia" w:ascii="仿宋" w:hAnsi="仿宋" w:eastAsia="仿宋" w:cs="仿宋"/>
                <w:w w:val="100"/>
                <w:sz w:val="21"/>
                <w:szCs w:val="21"/>
              </w:rPr>
              <w:t>人员培训</w:t>
            </w:r>
            <w:r>
              <w:rPr>
                <w:rFonts w:hint="eastAsia" w:ascii="仿宋" w:hAnsi="仿宋" w:eastAsia="仿宋" w:cs="仿宋"/>
                <w:sz w:val="21"/>
                <w:szCs w:val="21"/>
              </w:rPr>
              <w:t>机制与运行机制</w:t>
            </w:r>
            <w:r>
              <w:rPr>
                <w:rFonts w:hint="eastAsia" w:ascii="仿宋" w:hAnsi="仿宋" w:eastAsia="仿宋" w:cs="仿宋"/>
                <w:sz w:val="21"/>
                <w:szCs w:val="21"/>
                <w:lang w:eastAsia="zh-CN"/>
              </w:rPr>
              <w:t>、培训</w:t>
            </w:r>
            <w:r>
              <w:rPr>
                <w:rFonts w:hint="eastAsia" w:ascii="仿宋" w:hAnsi="仿宋" w:eastAsia="仿宋" w:cs="仿宋"/>
                <w:w w:val="100"/>
                <w:sz w:val="21"/>
                <w:szCs w:val="21"/>
                <w:lang w:eastAsia="zh-CN"/>
              </w:rPr>
              <w:t>管理制度（</w:t>
            </w:r>
            <w:r>
              <w:rPr>
                <w:rFonts w:hint="eastAsia" w:ascii="仿宋" w:hAnsi="仿宋" w:eastAsia="仿宋" w:cs="仿宋"/>
                <w:w w:val="100"/>
                <w:sz w:val="21"/>
                <w:szCs w:val="21"/>
                <w:lang w:val="en-US" w:eastAsia="zh-CN"/>
              </w:rPr>
              <w:t>1分</w:t>
            </w:r>
            <w:r>
              <w:rPr>
                <w:rFonts w:hint="eastAsia" w:ascii="仿宋" w:hAnsi="仿宋" w:eastAsia="仿宋" w:cs="仿宋"/>
                <w:w w:val="100"/>
                <w:sz w:val="21"/>
                <w:szCs w:val="21"/>
                <w:lang w:eastAsia="zh-CN"/>
              </w:rPr>
              <w:t>）</w:t>
            </w:r>
            <w:r>
              <w:rPr>
                <w:rFonts w:hint="eastAsia" w:ascii="仿宋" w:hAnsi="仿宋" w:eastAsia="仿宋" w:cs="仿宋"/>
                <w:w w:val="100"/>
                <w:sz w:val="21"/>
                <w:szCs w:val="21"/>
              </w:rPr>
              <w:t>、针对本项目制定的</w:t>
            </w:r>
            <w:r>
              <w:rPr>
                <w:rFonts w:hint="eastAsia" w:ascii="仿宋" w:hAnsi="仿宋" w:eastAsia="仿宋" w:cs="仿宋"/>
                <w:kern w:val="0"/>
                <w:sz w:val="21"/>
                <w:szCs w:val="21"/>
              </w:rPr>
              <w:t>培训计划的完整性及制度的完善性</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1分</w:t>
            </w:r>
            <w:r>
              <w:rPr>
                <w:rFonts w:hint="eastAsia" w:ascii="仿宋" w:hAnsi="仿宋" w:eastAsia="仿宋" w:cs="仿宋"/>
                <w:kern w:val="0"/>
                <w:sz w:val="21"/>
                <w:szCs w:val="21"/>
                <w:lang w:eastAsia="zh-CN"/>
              </w:rPr>
              <w:t>）</w:t>
            </w:r>
            <w:r>
              <w:rPr>
                <w:rFonts w:hint="eastAsia" w:ascii="仿宋" w:hAnsi="仿宋" w:eastAsia="仿宋" w:cs="仿宋"/>
                <w:w w:val="100"/>
                <w:sz w:val="21"/>
                <w:szCs w:val="21"/>
                <w:lang w:eastAsia="zh-CN"/>
              </w:rPr>
              <w:t>、</w:t>
            </w:r>
            <w:r>
              <w:rPr>
                <w:rFonts w:hint="eastAsia" w:ascii="仿宋" w:hAnsi="仿宋" w:eastAsia="仿宋" w:cs="仿宋"/>
                <w:kern w:val="0"/>
                <w:sz w:val="21"/>
                <w:szCs w:val="21"/>
              </w:rPr>
              <w:t>针对岗位特点的专项技能提升培训计划的完整性及制度的完善性</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1分</w:t>
            </w:r>
            <w:r>
              <w:rPr>
                <w:rFonts w:hint="eastAsia" w:ascii="仿宋" w:hAnsi="仿宋" w:eastAsia="仿宋" w:cs="仿宋"/>
                <w:kern w:val="0"/>
                <w:sz w:val="21"/>
                <w:szCs w:val="21"/>
                <w:lang w:eastAsia="zh-CN"/>
              </w:rPr>
              <w:t>）</w:t>
            </w:r>
            <w:r>
              <w:rPr>
                <w:rFonts w:hint="eastAsia" w:ascii="仿宋" w:hAnsi="仿宋" w:eastAsia="仿宋" w:cs="仿宋"/>
                <w:sz w:val="21"/>
                <w:szCs w:val="21"/>
                <w:lang w:eastAsia="zh-CN"/>
              </w:rPr>
              <w:t>进行综合</w:t>
            </w:r>
            <w:r>
              <w:rPr>
                <w:rFonts w:hint="eastAsia" w:ascii="仿宋" w:hAnsi="仿宋" w:eastAsia="仿宋" w:cs="仿宋"/>
                <w:sz w:val="21"/>
                <w:szCs w:val="21"/>
              </w:rPr>
              <w:t>打分</w:t>
            </w:r>
            <w:r>
              <w:rPr>
                <w:rFonts w:hint="eastAsia" w:ascii="仿宋" w:hAnsi="仿宋" w:eastAsia="仿宋" w:cs="仿宋"/>
                <w:sz w:val="21"/>
                <w:szCs w:val="21"/>
                <w:lang w:eastAsia="zh-CN"/>
              </w:rPr>
              <w:t>。</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7"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w w:val="80"/>
                <w:sz w:val="21"/>
                <w:szCs w:val="21"/>
              </w:rPr>
            </w:pPr>
            <w:r>
              <w:rPr>
                <w:rFonts w:hint="eastAsia" w:ascii="仿宋" w:hAnsi="仿宋" w:eastAsia="仿宋" w:cs="仿宋"/>
                <w:b/>
                <w:sz w:val="21"/>
                <w:szCs w:val="21"/>
                <w:lang w:eastAsia="zh-CN"/>
              </w:rPr>
              <w:t>人员管理方案：</w:t>
            </w:r>
            <w:r>
              <w:rPr>
                <w:rFonts w:hint="eastAsia" w:ascii="仿宋" w:hAnsi="仿宋" w:eastAsia="仿宋" w:cs="仿宋"/>
                <w:sz w:val="21"/>
                <w:szCs w:val="21"/>
                <w:lang w:eastAsia="zh-CN"/>
              </w:rPr>
              <w:t>根据投标人制定人员录用与考核方案，</w:t>
            </w:r>
            <w:r>
              <w:rPr>
                <w:rFonts w:hint="eastAsia" w:ascii="仿宋" w:hAnsi="仿宋" w:eastAsia="仿宋" w:cs="仿宋"/>
                <w:kern w:val="0"/>
                <w:sz w:val="21"/>
                <w:szCs w:val="21"/>
              </w:rPr>
              <w:t>录用人员的基本条件设定合理、录用标准明确</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1分</w:t>
            </w:r>
            <w:r>
              <w:rPr>
                <w:rFonts w:hint="eastAsia" w:ascii="仿宋" w:hAnsi="仿宋" w:eastAsia="仿宋" w:cs="仿宋"/>
                <w:kern w:val="0"/>
                <w:sz w:val="21"/>
                <w:szCs w:val="21"/>
                <w:lang w:eastAsia="zh-CN"/>
              </w:rPr>
              <w:t>）</w:t>
            </w:r>
            <w:r>
              <w:rPr>
                <w:rFonts w:hint="eastAsia" w:ascii="仿宋" w:hAnsi="仿宋" w:eastAsia="仿宋" w:cs="仿宋"/>
                <w:sz w:val="21"/>
                <w:szCs w:val="21"/>
                <w:lang w:eastAsia="zh-CN"/>
              </w:rPr>
              <w:t>；人员上岗标准、仪容仪表、行为、着装等标准统一规范；（</w:t>
            </w:r>
            <w:r>
              <w:rPr>
                <w:rFonts w:hint="eastAsia" w:ascii="仿宋" w:hAnsi="仿宋" w:eastAsia="仿宋" w:cs="仿宋"/>
                <w:sz w:val="21"/>
                <w:szCs w:val="21"/>
                <w:lang w:val="en-US" w:eastAsia="zh-CN"/>
              </w:rPr>
              <w:t>1分</w:t>
            </w:r>
            <w:r>
              <w:rPr>
                <w:rFonts w:hint="eastAsia" w:ascii="仿宋" w:hAnsi="仿宋" w:eastAsia="仿宋" w:cs="仿宋"/>
                <w:sz w:val="21"/>
                <w:szCs w:val="21"/>
                <w:lang w:eastAsia="zh-CN"/>
              </w:rPr>
              <w:t>）进行综合</w:t>
            </w:r>
            <w:r>
              <w:rPr>
                <w:rFonts w:hint="eastAsia" w:ascii="仿宋" w:hAnsi="仿宋" w:eastAsia="仿宋" w:cs="仿宋"/>
                <w:sz w:val="21"/>
                <w:szCs w:val="21"/>
              </w:rPr>
              <w:t>打分</w:t>
            </w:r>
            <w:r>
              <w:rPr>
                <w:rFonts w:hint="eastAsia" w:ascii="仿宋" w:hAnsi="仿宋" w:eastAsia="仿宋" w:cs="仿宋"/>
                <w:sz w:val="21"/>
                <w:szCs w:val="21"/>
                <w:lang w:eastAsia="zh-CN"/>
              </w:rPr>
              <w:t>。</w:t>
            </w:r>
          </w:p>
        </w:tc>
        <w:tc>
          <w:tcPr>
            <w:tcW w:w="512" w:type="dxa"/>
            <w:tcBorders>
              <w:top w:val="single" w:color="auto" w:sz="4" w:space="0"/>
              <w:bottom w:val="single" w:color="auto" w:sz="2"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w w:val="80"/>
                <w:sz w:val="21"/>
                <w:szCs w:val="21"/>
                <w:lang w:val="en-US" w:eastAsia="zh-CN"/>
              </w:rPr>
            </w:pPr>
            <w:r>
              <w:rPr>
                <w:rFonts w:hint="eastAsia" w:ascii="仿宋" w:hAnsi="仿宋" w:eastAsia="仿宋" w:cs="仿宋"/>
                <w:snapToGrid w:val="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snapToGrid w:val="0"/>
              <w:spacing w:line="360" w:lineRule="auto"/>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eastAsia="zh-CN"/>
              </w:rPr>
              <w:t>人员配置：</w:t>
            </w:r>
          </w:p>
          <w:p>
            <w:pPr>
              <w:snapToGrid w:val="0"/>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1、项目负责人：拟派本项目负责人具有退伍军人证的得2分，具有人社部门颁发的二级及以上保安员（师）资格证书的得2分；以上得分可累计，最高得4分。</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2、项目组成员（不包括项目负责人）：</w:t>
            </w:r>
            <w:r>
              <w:rPr>
                <w:rFonts w:hint="eastAsia" w:ascii="仿宋" w:hAnsi="仿宋" w:eastAsia="仿宋" w:cs="仿宋"/>
                <w:sz w:val="21"/>
                <w:szCs w:val="21"/>
              </w:rPr>
              <w:t>项目</w:t>
            </w:r>
            <w:r>
              <w:rPr>
                <w:rFonts w:hint="eastAsia" w:ascii="仿宋" w:hAnsi="仿宋" w:eastAsia="仿宋" w:cs="仿宋"/>
                <w:sz w:val="21"/>
                <w:szCs w:val="21"/>
                <w:lang w:eastAsia="zh-CN"/>
              </w:rPr>
              <w:t>组成员中</w:t>
            </w:r>
            <w:r>
              <w:rPr>
                <w:rFonts w:hint="eastAsia" w:ascii="仿宋" w:hAnsi="仿宋" w:eastAsia="仿宋" w:cs="仿宋"/>
                <w:sz w:val="21"/>
                <w:szCs w:val="21"/>
              </w:rPr>
              <w:t>具有二级及以上</w:t>
            </w:r>
            <w:r>
              <w:rPr>
                <w:rFonts w:hint="eastAsia" w:ascii="仿宋" w:hAnsi="仿宋" w:eastAsia="仿宋" w:cs="仿宋"/>
                <w:sz w:val="21"/>
                <w:szCs w:val="21"/>
                <w:lang w:val="en-US" w:eastAsia="zh-CN"/>
              </w:rPr>
              <w:t>保安员（师）资格证书</w:t>
            </w:r>
            <w:r>
              <w:rPr>
                <w:rFonts w:hint="eastAsia" w:ascii="仿宋" w:hAnsi="仿宋" w:eastAsia="仿宋" w:cs="仿宋"/>
                <w:sz w:val="21"/>
                <w:szCs w:val="21"/>
              </w:rPr>
              <w:t>的</w:t>
            </w:r>
            <w:r>
              <w:rPr>
                <w:rFonts w:hint="eastAsia" w:ascii="仿宋" w:hAnsi="仿宋" w:eastAsia="仿宋" w:cs="仿宋"/>
                <w:sz w:val="21"/>
                <w:szCs w:val="21"/>
                <w:lang w:eastAsia="zh-CN"/>
              </w:rPr>
              <w:t>，</w:t>
            </w:r>
            <w:r>
              <w:rPr>
                <w:rFonts w:hint="eastAsia" w:ascii="仿宋" w:hAnsi="仿宋" w:eastAsia="仿宋" w:cs="仿宋"/>
                <w:sz w:val="21"/>
                <w:szCs w:val="21"/>
              </w:rPr>
              <w:t>每人得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最高得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eastAsia="zh-CN"/>
              </w:rPr>
              <w:t>。</w:t>
            </w:r>
          </w:p>
          <w:p>
            <w:pPr>
              <w:pStyle w:val="108"/>
              <w:spacing w:line="360" w:lineRule="auto"/>
              <w:ind w:left="0" w:firstLine="0"/>
              <w:rPr>
                <w:rFonts w:hint="eastAsia" w:ascii="仿宋" w:hAnsi="仿宋" w:eastAsia="仿宋" w:cs="仿宋"/>
                <w:w w:val="100"/>
                <w:sz w:val="21"/>
                <w:szCs w:val="21"/>
              </w:rPr>
            </w:pPr>
            <w:r>
              <w:rPr>
                <w:rFonts w:hint="eastAsia" w:ascii="仿宋" w:hAnsi="仿宋" w:eastAsia="仿宋" w:cs="仿宋"/>
                <w:sz w:val="21"/>
                <w:szCs w:val="21"/>
                <w:lang w:val="en-US" w:eastAsia="zh-CN"/>
              </w:rPr>
              <w:t>注：投标文件中提供相关证书及</w:t>
            </w:r>
            <w:r>
              <w:rPr>
                <w:rFonts w:hint="eastAsia" w:ascii="仿宋" w:hAnsi="仿宋" w:eastAsia="仿宋" w:cs="仿宋"/>
                <w:bCs/>
                <w:sz w:val="21"/>
                <w:szCs w:val="21"/>
                <w:lang w:eastAsia="zh-CN"/>
              </w:rPr>
              <w:t>由投标人为其缴纳的社会保险缴纳证明复印件</w:t>
            </w:r>
            <w:r>
              <w:rPr>
                <w:rFonts w:hint="eastAsia" w:ascii="仿宋" w:hAnsi="仿宋" w:eastAsia="仿宋" w:cs="仿宋"/>
                <w:sz w:val="21"/>
                <w:szCs w:val="21"/>
                <w:lang w:val="en-US" w:eastAsia="zh-CN"/>
              </w:rPr>
              <w:t>并加盖投标人公章</w:t>
            </w:r>
          </w:p>
        </w:tc>
        <w:tc>
          <w:tcPr>
            <w:tcW w:w="512" w:type="dxa"/>
            <w:tcBorders>
              <w:top w:val="single" w:color="auto" w:sz="4" w:space="0"/>
              <w:bottom w:val="single" w:color="auto" w:sz="2" w:space="0"/>
            </w:tcBorders>
            <w:noWrap w:val="0"/>
            <w:tcMar>
              <w:left w:w="0" w:type="dxa"/>
              <w:right w:w="0" w:type="dxa"/>
            </w:tcMar>
            <w:vAlign w:val="center"/>
          </w:tcPr>
          <w:p>
            <w:pPr>
              <w:spacing w:line="360" w:lineRule="auto"/>
              <w:ind w:left="-108" w:right="-119"/>
              <w:jc w:val="center"/>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40"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snapToGrid w:val="0"/>
              <w:spacing w:line="360" w:lineRule="auto"/>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eastAsia="zh-CN"/>
              </w:rPr>
              <w:t>体系认证：</w:t>
            </w:r>
          </w:p>
          <w:p>
            <w:pPr>
              <w:snapToGrid w:val="0"/>
              <w:spacing w:line="360" w:lineRule="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供应商或联合体牵头人或联合体成员具备有效期内的质量保证体系认证、</w:t>
            </w:r>
            <w:r>
              <w:rPr>
                <w:rFonts w:hint="eastAsia" w:ascii="仿宋" w:hAnsi="仿宋" w:eastAsia="仿宋" w:cs="仿宋"/>
                <w:color w:val="auto"/>
                <w:kern w:val="0"/>
                <w:sz w:val="21"/>
                <w:szCs w:val="21"/>
                <w:lang w:eastAsia="zh-CN"/>
              </w:rPr>
              <w:t>社会责任管理体系认证</w:t>
            </w:r>
            <w:r>
              <w:rPr>
                <w:rFonts w:hint="eastAsia" w:ascii="仿宋" w:hAnsi="仿宋" w:eastAsia="仿宋" w:cs="仿宋"/>
                <w:color w:val="auto"/>
                <w:kern w:val="0"/>
                <w:sz w:val="21"/>
                <w:szCs w:val="21"/>
                <w:lang w:val="en-US" w:eastAsia="zh-CN"/>
              </w:rPr>
              <w:t>、环境管理体系认证、职业健康安全管理体系认证的、企业诚信管理体系认证的，每个得1.0分，最多得5分。</w:t>
            </w:r>
          </w:p>
          <w:p>
            <w:pPr>
              <w:snapToGrid w:val="0"/>
              <w:spacing w:line="360" w:lineRule="auto"/>
              <w:rPr>
                <w:rFonts w:hint="eastAsia" w:ascii="仿宋" w:hAnsi="仿宋" w:eastAsia="仿宋" w:cs="仿宋"/>
                <w:sz w:val="21"/>
                <w:szCs w:val="21"/>
                <w:lang w:val="en-US" w:eastAsia="zh-CN"/>
              </w:rPr>
            </w:pPr>
            <w:r>
              <w:rPr>
                <w:rFonts w:hint="eastAsia" w:ascii="仿宋" w:hAnsi="仿宋" w:eastAsia="仿宋" w:cs="仿宋"/>
                <w:color w:val="auto"/>
                <w:kern w:val="0"/>
                <w:sz w:val="21"/>
                <w:szCs w:val="21"/>
                <w:lang w:val="en-US" w:eastAsia="zh-CN"/>
              </w:rPr>
              <w:t>注：提供证书复印件并加盖公章</w:t>
            </w:r>
          </w:p>
        </w:tc>
        <w:tc>
          <w:tcPr>
            <w:tcW w:w="512" w:type="dxa"/>
            <w:tcBorders>
              <w:top w:val="single" w:color="auto" w:sz="4" w:space="0"/>
              <w:bottom w:val="single" w:color="auto" w:sz="2" w:space="0"/>
            </w:tcBorders>
            <w:noWrap w:val="0"/>
            <w:tcMar>
              <w:left w:w="0" w:type="dxa"/>
              <w:right w:w="0" w:type="dxa"/>
            </w:tcMar>
            <w:vAlign w:val="center"/>
          </w:tcPr>
          <w:p>
            <w:pPr>
              <w:spacing w:line="360" w:lineRule="auto"/>
              <w:ind w:left="-108" w:right="-119"/>
              <w:jc w:val="center"/>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51"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spacing w:line="360" w:lineRule="auto"/>
              <w:jc w:val="both"/>
              <w:rPr>
                <w:rFonts w:hint="eastAsia" w:ascii="仿宋" w:hAnsi="仿宋" w:eastAsia="仿宋" w:cs="仿宋"/>
                <w:sz w:val="21"/>
                <w:szCs w:val="21"/>
                <w:lang w:val="en-US" w:eastAsia="zh-CN"/>
              </w:rPr>
            </w:pPr>
            <w:r>
              <w:rPr>
                <w:rFonts w:hint="eastAsia" w:ascii="仿宋" w:hAnsi="仿宋" w:eastAsia="仿宋" w:cs="仿宋"/>
                <w:b/>
                <w:bCs/>
                <w:sz w:val="21"/>
                <w:szCs w:val="21"/>
                <w:lang w:eastAsia="zh-CN"/>
              </w:rPr>
              <w:t>类似业绩：</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投标人或联合体牵头人或联合体成员提供自2019年1月1日以来的同类项目业绩，每个业绩得1分，本项最高得</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w:t>
            </w:r>
          </w:p>
          <w:p>
            <w:pPr>
              <w:pStyle w:val="108"/>
              <w:spacing w:line="360" w:lineRule="auto"/>
              <w:ind w:left="0" w:firstLine="0"/>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lang w:eastAsia="zh-CN"/>
              </w:rPr>
              <w:t>注</w:t>
            </w:r>
            <w:r>
              <w:rPr>
                <w:rFonts w:hint="eastAsia" w:ascii="仿宋" w:hAnsi="仿宋" w:eastAsia="仿宋" w:cs="仿宋"/>
                <w:color w:val="000000"/>
                <w:kern w:val="0"/>
                <w:sz w:val="21"/>
                <w:szCs w:val="21"/>
              </w:rPr>
              <w:t>：①投标文件中提供同类项目业绩合同复印件；②时间以合同签订日期为准。</w:t>
            </w:r>
          </w:p>
        </w:tc>
        <w:tc>
          <w:tcPr>
            <w:tcW w:w="512" w:type="dxa"/>
            <w:tcBorders>
              <w:top w:val="single" w:color="auto" w:sz="4" w:space="0"/>
              <w:bottom w:val="single" w:color="auto" w:sz="2" w:space="0"/>
            </w:tcBorders>
            <w:noWrap w:val="0"/>
            <w:tcMar>
              <w:left w:w="0" w:type="dxa"/>
              <w:right w:w="0" w:type="dxa"/>
            </w:tcMar>
            <w:vAlign w:val="center"/>
          </w:tcPr>
          <w:p>
            <w:pPr>
              <w:spacing w:line="360" w:lineRule="auto"/>
              <w:ind w:left="-108" w:right="-119"/>
              <w:jc w:val="center"/>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04" w:hRule="atLeast"/>
          <w:jc w:val="center"/>
        </w:trPr>
        <w:tc>
          <w:tcPr>
            <w:tcW w:w="799" w:type="dxa"/>
            <w:vMerge w:val="continue"/>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p>
        </w:tc>
        <w:tc>
          <w:tcPr>
            <w:tcW w:w="9189" w:type="dxa"/>
            <w:tcBorders>
              <w:top w:val="single" w:color="auto" w:sz="4" w:space="0"/>
              <w:left w:val="single" w:color="auto" w:sz="4" w:space="0"/>
              <w:bottom w:val="single" w:color="auto" w:sz="4" w:space="0"/>
            </w:tcBorders>
            <w:noWrap w:val="0"/>
            <w:vAlign w:val="center"/>
          </w:tcPr>
          <w:p>
            <w:pPr>
              <w:spacing w:line="360" w:lineRule="auto"/>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政策采购分：</w:t>
            </w:r>
          </w:p>
          <w:p>
            <w:pPr>
              <w:spacing w:line="360" w:lineRule="auto"/>
              <w:rPr>
                <w:rFonts w:hint="eastAsia" w:ascii="仿宋" w:hAnsi="仿宋" w:eastAsia="仿宋" w:cs="仿宋"/>
                <w:sz w:val="21"/>
                <w:szCs w:val="21"/>
              </w:rPr>
            </w:pPr>
            <w:r>
              <w:rPr>
                <w:rFonts w:hint="eastAsia" w:ascii="仿宋" w:hAnsi="仿宋" w:eastAsia="仿宋" w:cs="仿宋"/>
                <w:sz w:val="21"/>
                <w:szCs w:val="21"/>
              </w:rPr>
              <w:t>（1）投标人或联合体牵头人或联合体成员是国家认定的不发达地区企业的得0.5分。</w:t>
            </w:r>
          </w:p>
          <w:p>
            <w:pPr>
              <w:spacing w:line="360" w:lineRule="auto"/>
              <w:rPr>
                <w:rFonts w:hint="eastAsia" w:ascii="仿宋" w:hAnsi="仿宋" w:eastAsia="仿宋" w:cs="仿宋"/>
                <w:color w:val="000000"/>
                <w:kern w:val="0"/>
                <w:sz w:val="21"/>
                <w:szCs w:val="21"/>
                <w:lang w:eastAsia="zh-CN"/>
              </w:rPr>
            </w:pPr>
            <w:r>
              <w:rPr>
                <w:rFonts w:hint="eastAsia" w:ascii="仿宋" w:hAnsi="仿宋" w:eastAsia="仿宋" w:cs="仿宋"/>
                <w:sz w:val="21"/>
                <w:szCs w:val="21"/>
              </w:rPr>
              <w:t>（2）投标人或联合体牵头人或联合体成员是国家认定的少数民族地区企业的得0.5分。</w:t>
            </w:r>
          </w:p>
        </w:tc>
        <w:tc>
          <w:tcPr>
            <w:tcW w:w="512" w:type="dxa"/>
            <w:tcBorders>
              <w:top w:val="single" w:color="auto" w:sz="4" w:space="0"/>
              <w:bottom w:val="single" w:color="auto" w:sz="2" w:space="0"/>
            </w:tcBorders>
            <w:noWrap w:val="0"/>
            <w:tcMar>
              <w:left w:w="0" w:type="dxa"/>
              <w:right w:w="0" w:type="dxa"/>
            </w:tcMar>
            <w:vAlign w:val="center"/>
          </w:tcPr>
          <w:p>
            <w:pPr>
              <w:spacing w:line="360" w:lineRule="auto"/>
              <w:ind w:left="-108" w:right="-119"/>
              <w:jc w:val="center"/>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647" w:hRule="atLeast"/>
          <w:jc w:val="center"/>
        </w:trPr>
        <w:tc>
          <w:tcPr>
            <w:tcW w:w="799" w:type="dxa"/>
            <w:tcBorders>
              <w:right w:val="single" w:color="auto" w:sz="4" w:space="0"/>
            </w:tcBorders>
            <w:noWrap w:val="0"/>
            <w:textDirection w:val="tbRlV"/>
            <w:vAlign w:val="center"/>
          </w:tcPr>
          <w:p>
            <w:pPr>
              <w:spacing w:line="360" w:lineRule="auto"/>
              <w:ind w:left="113" w:right="113"/>
              <w:jc w:val="center"/>
              <w:rPr>
                <w:rFonts w:hint="eastAsia" w:ascii="仿宋" w:hAnsi="仿宋" w:eastAsia="仿宋" w:cs="仿宋"/>
                <w:sz w:val="21"/>
                <w:szCs w:val="21"/>
              </w:rPr>
            </w:pPr>
            <w:r>
              <w:rPr>
                <w:rFonts w:hint="eastAsia" w:ascii="仿宋" w:hAnsi="仿宋" w:eastAsia="仿宋" w:cs="仿宋"/>
                <w:sz w:val="21"/>
                <w:szCs w:val="21"/>
              </w:rPr>
              <w:t>价格分30分</w:t>
            </w:r>
          </w:p>
        </w:tc>
        <w:tc>
          <w:tcPr>
            <w:tcW w:w="9189" w:type="dxa"/>
            <w:tcBorders>
              <w:left w:val="single" w:color="auto" w:sz="4" w:space="0"/>
              <w:bottom w:val="single" w:color="auto" w:sz="4" w:space="0"/>
            </w:tcBorders>
            <w:noWrap w:val="0"/>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）评审基准价=满足采购文件要求且参加评审的价格中最低的价格为评审基准价，评审基准价得分为满分</w:t>
            </w:r>
            <w:r>
              <w:rPr>
                <w:rFonts w:hint="eastAsia" w:ascii="仿宋" w:hAnsi="仿宋" w:eastAsia="仿宋" w:cs="仿宋"/>
                <w:color w:val="000000"/>
                <w:kern w:val="0"/>
                <w:sz w:val="21"/>
                <w:szCs w:val="21"/>
                <w:lang w:val="en-US" w:eastAsia="zh-CN"/>
              </w:rPr>
              <w:t>30</w:t>
            </w:r>
            <w:r>
              <w:rPr>
                <w:rFonts w:hint="eastAsia" w:ascii="仿宋" w:hAnsi="仿宋" w:eastAsia="仿宋" w:cs="仿宋"/>
                <w:color w:val="000000"/>
                <w:kern w:val="0"/>
                <w:sz w:val="21"/>
                <w:szCs w:val="21"/>
              </w:rPr>
              <w:t>分。</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）报价得分=（评审基准价/参加评审的价格）×</w:t>
            </w:r>
            <w:r>
              <w:rPr>
                <w:rFonts w:hint="eastAsia" w:ascii="仿宋" w:hAnsi="仿宋" w:eastAsia="仿宋" w:cs="仿宋"/>
                <w:color w:val="000000"/>
                <w:kern w:val="0"/>
                <w:sz w:val="21"/>
                <w:szCs w:val="21"/>
                <w:lang w:val="en-US" w:eastAsia="zh-CN"/>
              </w:rPr>
              <w:t>30</w:t>
            </w:r>
            <w:r>
              <w:rPr>
                <w:rFonts w:hint="eastAsia" w:ascii="仿宋" w:hAnsi="仿宋" w:eastAsia="仿宋" w:cs="仿宋"/>
                <w:color w:val="000000"/>
                <w:kern w:val="0"/>
                <w:sz w:val="21"/>
                <w:szCs w:val="21"/>
              </w:rPr>
              <w:t>分。</w:t>
            </w:r>
          </w:p>
          <w:p>
            <w:pPr>
              <w:snapToGrid w:val="0"/>
              <w:spacing w:line="360" w:lineRule="auto"/>
              <w:rPr>
                <w:rFonts w:hint="eastAsia" w:ascii="仿宋" w:hAnsi="仿宋" w:eastAsia="仿宋" w:cs="仿宋"/>
                <w:w w:val="100"/>
                <w:sz w:val="21"/>
                <w:szCs w:val="21"/>
              </w:rPr>
            </w:pPr>
            <w:r>
              <w:rPr>
                <w:rFonts w:hint="eastAsia" w:ascii="仿宋" w:hAnsi="仿宋" w:eastAsia="仿宋" w:cs="仿宋"/>
                <w:snapToGrid w:val="0"/>
                <w:color w:val="auto"/>
                <w:kern w:val="0"/>
                <w:szCs w:val="21"/>
              </w:rPr>
              <w:t>投标报价得分四舍五入保留小数点后二位</w:t>
            </w:r>
          </w:p>
        </w:tc>
        <w:tc>
          <w:tcPr>
            <w:tcW w:w="512" w:type="dxa"/>
            <w:tcBorders>
              <w:top w:val="single" w:color="auto" w:sz="4" w:space="0"/>
              <w:bottom w:val="single" w:color="auto" w:sz="4" w:space="0"/>
            </w:tcBorders>
            <w:noWrap w:val="0"/>
            <w:tcMar>
              <w:left w:w="0" w:type="dxa"/>
              <w:right w:w="0" w:type="dxa"/>
            </w:tcMar>
            <w:vAlign w:val="center"/>
          </w:tcPr>
          <w:p>
            <w:pPr>
              <w:tabs>
                <w:tab w:val="left" w:pos="4929"/>
              </w:tabs>
              <w:spacing w:after="20" w:line="360" w:lineRule="auto"/>
              <w:ind w:left="-108"/>
              <w:jc w:val="center"/>
              <w:rPr>
                <w:rFonts w:hint="eastAsia" w:ascii="仿宋" w:hAnsi="仿宋" w:eastAsia="仿宋" w:cs="仿宋"/>
                <w:w w:val="80"/>
                <w:sz w:val="21"/>
                <w:szCs w:val="21"/>
                <w:lang w:val="en-US" w:eastAsia="zh-CN"/>
              </w:rPr>
            </w:pPr>
            <w:r>
              <w:rPr>
                <w:rFonts w:hint="eastAsia" w:ascii="仿宋" w:hAnsi="仿宋" w:eastAsia="仿宋" w:cs="仿宋"/>
                <w:w w:val="8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84" w:hRule="atLeast"/>
          <w:jc w:val="center"/>
        </w:trPr>
        <w:tc>
          <w:tcPr>
            <w:tcW w:w="9988" w:type="dxa"/>
            <w:gridSpan w:val="2"/>
            <w:tcBorders>
              <w:top w:val="single" w:color="auto" w:sz="4" w:space="0"/>
              <w:bottom w:val="single" w:color="auto" w:sz="4" w:space="0"/>
            </w:tcBorders>
            <w:noWrap w:val="0"/>
            <w:vAlign w:val="center"/>
          </w:tcPr>
          <w:p>
            <w:pPr>
              <w:tabs>
                <w:tab w:val="left" w:pos="6403"/>
              </w:tabs>
              <w:spacing w:line="360" w:lineRule="auto"/>
              <w:jc w:val="center"/>
              <w:rPr>
                <w:rFonts w:hint="eastAsia" w:ascii="仿宋" w:hAnsi="仿宋" w:eastAsia="仿宋" w:cs="仿宋"/>
                <w:sz w:val="21"/>
                <w:szCs w:val="21"/>
              </w:rPr>
            </w:pPr>
            <w:r>
              <w:rPr>
                <w:rFonts w:hint="eastAsia" w:ascii="仿宋" w:hAnsi="仿宋" w:eastAsia="仿宋" w:cs="仿宋"/>
                <w:sz w:val="21"/>
                <w:szCs w:val="21"/>
              </w:rPr>
              <w:t>总分100分</w:t>
            </w:r>
          </w:p>
        </w:tc>
        <w:tc>
          <w:tcPr>
            <w:tcW w:w="512" w:type="dxa"/>
            <w:tcBorders>
              <w:top w:val="single" w:color="auto" w:sz="4" w:space="0"/>
              <w:bottom w:val="single" w:color="auto" w:sz="4" w:space="0"/>
            </w:tcBorders>
            <w:noWrap w:val="0"/>
            <w:tcMar>
              <w:left w:w="0" w:type="dxa"/>
              <w:right w:w="0" w:type="dxa"/>
            </w:tcMar>
            <w:vAlign w:val="center"/>
          </w:tcPr>
          <w:p>
            <w:pPr>
              <w:spacing w:line="360" w:lineRule="auto"/>
              <w:ind w:left="-108" w:right="-119"/>
              <w:jc w:val="center"/>
              <w:rPr>
                <w:rFonts w:hint="eastAsia" w:ascii="仿宋" w:hAnsi="仿宋" w:eastAsia="仿宋" w:cs="仿宋"/>
                <w:sz w:val="21"/>
                <w:szCs w:val="21"/>
              </w:rPr>
            </w:pPr>
          </w:p>
        </w:tc>
      </w:tr>
    </w:tbl>
    <w:p>
      <w:pPr>
        <w:pStyle w:val="114"/>
        <w:rPr>
          <w:rFonts w:hint="eastAsia" w:ascii="仿宋" w:hAnsi="仿宋" w:eastAsia="仿宋" w:cs="仿宋"/>
          <w:color w:val="000000"/>
        </w:rPr>
      </w:pPr>
    </w:p>
    <w:p>
      <w:pPr>
        <w:snapToGrid w:val="0"/>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注：1、商务技术部分评委在上表设定的分值范围内打分(四舍五入保留一位小数)。所有评委分值汇总后平均分值计算四舍五入保留二位小数。</w:t>
      </w:r>
    </w:p>
    <w:p>
      <w:pPr>
        <w:snapToGrid w:val="0"/>
        <w:ind w:firstLine="422" w:firstLineChars="200"/>
        <w:jc w:val="left"/>
        <w:rPr>
          <w:rFonts w:hint="eastAsia" w:ascii="仿宋" w:hAnsi="仿宋" w:eastAsia="仿宋" w:cs="仿宋"/>
          <w:b/>
          <w:color w:val="000000"/>
          <w:szCs w:val="21"/>
        </w:rPr>
      </w:pPr>
      <w:r>
        <w:rPr>
          <w:rFonts w:hint="eastAsia" w:ascii="仿宋" w:hAnsi="仿宋" w:eastAsia="仿宋" w:cs="仿宋"/>
          <w:b/>
          <w:color w:val="000000"/>
          <w:szCs w:val="21"/>
        </w:rPr>
        <w:t>*不合理报价的认定：1、评标委员会认为投标人的报价明显低于其他通过符合性审查投标人的报价 ，有可能影响产品质量或者不能诚信履约的，应当要求其在评标现场合理的时间（半小时）内提供书面说明，必要时提交相关证明材料；投标人不能证明其报价合理性的，评标委员会应当将其作为无效投标处理。</w:t>
      </w:r>
    </w:p>
    <w:p>
      <w:pPr>
        <w:pStyle w:val="114"/>
        <w:rPr>
          <w:rFonts w:hint="eastAsia" w:ascii="仿宋" w:hAnsi="仿宋" w:eastAsia="仿宋" w:cs="仿宋"/>
          <w:b/>
          <w:bCs/>
          <w:color w:val="000000"/>
          <w:sz w:val="21"/>
          <w:szCs w:val="21"/>
        </w:rPr>
        <w:sectPr>
          <w:pgSz w:w="11907" w:h="16839"/>
          <w:pgMar w:top="1440" w:right="1797" w:bottom="1440" w:left="1797" w:header="851" w:footer="992" w:gutter="0"/>
          <w:cols w:space="720" w:num="1"/>
          <w:docGrid w:linePitch="312" w:charSpace="0"/>
        </w:sectPr>
      </w:pPr>
    </w:p>
    <w:p>
      <w:pPr>
        <w:numPr>
          <w:ilvl w:val="0"/>
          <w:numId w:val="9"/>
        </w:numPr>
        <w:adjustRightInd w:val="0"/>
        <w:spacing w:line="360" w:lineRule="auto"/>
        <w:jc w:val="center"/>
        <w:outlineLvl w:val="0"/>
        <w:rPr>
          <w:rFonts w:hint="eastAsia" w:ascii="仿宋" w:hAnsi="仿宋" w:eastAsia="仿宋" w:cs="仿宋"/>
          <w:bCs/>
          <w:color w:val="000000"/>
          <w:szCs w:val="21"/>
        </w:rPr>
      </w:pPr>
      <w:r>
        <w:rPr>
          <w:rFonts w:hint="eastAsia" w:ascii="仿宋" w:hAnsi="仿宋" w:eastAsia="仿宋" w:cs="仿宋"/>
          <w:color w:val="000000"/>
          <w:szCs w:val="21"/>
        </w:rPr>
        <w:t xml:space="preserve"> </w:t>
      </w:r>
      <w:bookmarkStart w:id="147" w:name="_Toc14735"/>
      <w:bookmarkStart w:id="148" w:name="_Toc21550"/>
      <w:r>
        <w:rPr>
          <w:rFonts w:hint="eastAsia" w:ascii="仿宋" w:hAnsi="仿宋" w:eastAsia="仿宋" w:cs="仿宋"/>
          <w:bCs/>
          <w:color w:val="000000"/>
          <w:szCs w:val="21"/>
        </w:rPr>
        <w:t>合同主要条款</w:t>
      </w:r>
      <w:bookmarkEnd w:id="147"/>
      <w:bookmarkEnd w:id="148"/>
    </w:p>
    <w:p>
      <w:pPr>
        <w:spacing w:line="360" w:lineRule="auto"/>
        <w:rPr>
          <w:rFonts w:hint="eastAsia" w:ascii="仿宋" w:hAnsi="仿宋" w:eastAsia="仿宋" w:cs="仿宋"/>
          <w:szCs w:val="21"/>
        </w:rPr>
      </w:pPr>
      <w:bookmarkStart w:id="149" w:name="_Toc266446986"/>
      <w:bookmarkStart w:id="150" w:name="_Toc6680"/>
      <w:bookmarkStart w:id="151" w:name="_Toc6833"/>
      <w:r>
        <w:rPr>
          <w:rFonts w:ascii="宋体" w:hAnsi="宋体"/>
          <w:b/>
          <w:szCs w:val="21"/>
        </w:rPr>
        <w:t>项</w:t>
      </w:r>
      <w:r>
        <w:rPr>
          <w:rFonts w:hint="eastAsia" w:ascii="仿宋" w:hAnsi="仿宋" w:eastAsia="仿宋" w:cs="仿宋"/>
          <w:b/>
          <w:szCs w:val="21"/>
        </w:rPr>
        <w:t>目名称：</w:t>
      </w:r>
      <w:r>
        <w:rPr>
          <w:rFonts w:hint="eastAsia" w:ascii="仿宋" w:hAnsi="仿宋" w:eastAsia="仿宋" w:cs="仿宋"/>
          <w:bCs/>
          <w:szCs w:val="21"/>
          <w:u w:val="single"/>
        </w:rPr>
        <w:t>余姚市第四人民医院保安服务项目</w:t>
      </w:r>
      <w:r>
        <w:rPr>
          <w:rFonts w:hint="eastAsia" w:ascii="仿宋" w:hAnsi="仿宋" w:eastAsia="仿宋" w:cs="仿宋"/>
          <w:bCs/>
          <w:szCs w:val="21"/>
        </w:rPr>
        <w:t xml:space="preserve"> </w:t>
      </w:r>
      <w:r>
        <w:rPr>
          <w:rFonts w:hint="eastAsia" w:ascii="仿宋" w:hAnsi="仿宋" w:eastAsia="仿宋" w:cs="仿宋"/>
          <w:szCs w:val="21"/>
        </w:rPr>
        <w:t xml:space="preserve">   </w:t>
      </w:r>
    </w:p>
    <w:p>
      <w:pPr>
        <w:spacing w:line="360" w:lineRule="auto"/>
        <w:rPr>
          <w:rFonts w:hint="eastAsia" w:ascii="仿宋" w:hAnsi="仿宋" w:eastAsia="仿宋" w:cs="仿宋"/>
          <w:b/>
          <w:szCs w:val="21"/>
          <w:u w:val="single"/>
        </w:rPr>
      </w:pPr>
      <w:r>
        <w:rPr>
          <w:rFonts w:hint="eastAsia" w:ascii="仿宋" w:hAnsi="仿宋" w:eastAsia="仿宋" w:cs="仿宋"/>
          <w:b/>
          <w:szCs w:val="21"/>
        </w:rPr>
        <w:t>项目编号：</w:t>
      </w:r>
      <w:r>
        <w:rPr>
          <w:rFonts w:hint="eastAsia" w:ascii="仿宋" w:hAnsi="仿宋" w:eastAsia="仿宋" w:cs="仿宋"/>
          <w:bCs/>
          <w:szCs w:val="21"/>
          <w:u w:val="single"/>
        </w:rPr>
        <w:t xml:space="preserve">                      </w:t>
      </w:r>
      <w:r>
        <w:rPr>
          <w:rFonts w:hint="eastAsia" w:ascii="仿宋" w:hAnsi="仿宋" w:eastAsia="仿宋" w:cs="仿宋"/>
          <w:b/>
          <w:szCs w:val="21"/>
          <w:u w:val="single"/>
        </w:rPr>
        <w:t xml:space="preserve">  </w:t>
      </w:r>
    </w:p>
    <w:p>
      <w:pPr>
        <w:spacing w:line="360" w:lineRule="auto"/>
        <w:rPr>
          <w:rFonts w:hint="eastAsia" w:ascii="仿宋" w:hAnsi="仿宋" w:eastAsia="仿宋" w:cs="仿宋"/>
          <w:szCs w:val="21"/>
          <w:u w:val="single"/>
        </w:rPr>
      </w:pPr>
      <w:r>
        <w:rPr>
          <w:rFonts w:hint="eastAsia" w:ascii="仿宋" w:hAnsi="仿宋" w:eastAsia="仿宋" w:cs="仿宋"/>
          <w:b/>
          <w:szCs w:val="21"/>
        </w:rPr>
        <w:t>甲方（委托方）：</w:t>
      </w:r>
      <w:r>
        <w:rPr>
          <w:rFonts w:hint="eastAsia" w:ascii="仿宋" w:hAnsi="仿宋" w:eastAsia="仿宋" w:cs="仿宋"/>
          <w:b/>
          <w:szCs w:val="21"/>
          <w:u w:val="single"/>
        </w:rPr>
        <w:t xml:space="preserve"> </w:t>
      </w:r>
      <w:r>
        <w:rPr>
          <w:rFonts w:hint="eastAsia" w:ascii="仿宋" w:hAnsi="仿宋" w:eastAsia="仿宋" w:cs="仿宋"/>
          <w:szCs w:val="21"/>
          <w:u w:val="single"/>
        </w:rPr>
        <w:t xml:space="preserve">余姚市第四人民医院       </w:t>
      </w:r>
    </w:p>
    <w:p>
      <w:pPr>
        <w:spacing w:line="360" w:lineRule="auto"/>
        <w:rPr>
          <w:rFonts w:hint="eastAsia" w:ascii="仿宋" w:hAnsi="仿宋" w:eastAsia="仿宋" w:cs="仿宋"/>
          <w:b/>
          <w:szCs w:val="21"/>
        </w:rPr>
      </w:pPr>
      <w:r>
        <w:rPr>
          <w:rFonts w:hint="eastAsia" w:ascii="仿宋" w:hAnsi="仿宋" w:eastAsia="仿宋" w:cs="仿宋"/>
          <w:b/>
          <w:szCs w:val="21"/>
        </w:rPr>
        <w:t>乙方（受托方）：</w:t>
      </w:r>
      <w:r>
        <w:rPr>
          <w:rFonts w:hint="eastAsia" w:ascii="仿宋" w:hAnsi="仿宋" w:eastAsia="仿宋" w:cs="仿宋"/>
          <w:b/>
          <w:szCs w:val="21"/>
          <w:u w:val="single"/>
        </w:rPr>
        <w:t xml:space="preserve">                          </w:t>
      </w:r>
    </w:p>
    <w:p>
      <w:pPr>
        <w:spacing w:line="276" w:lineRule="auto"/>
        <w:rPr>
          <w:rFonts w:hint="eastAsia" w:ascii="仿宋" w:hAnsi="仿宋" w:eastAsia="仿宋" w:cs="仿宋"/>
          <w:szCs w:val="21"/>
        </w:rPr>
      </w:pPr>
      <w:r>
        <w:rPr>
          <w:rFonts w:hint="eastAsia" w:ascii="仿宋" w:hAnsi="仿宋" w:eastAsia="仿宋" w:cs="仿宋"/>
          <w:szCs w:val="21"/>
        </w:rPr>
        <w:t>甲、乙双方根据</w:t>
      </w:r>
      <w:r>
        <w:rPr>
          <w:rFonts w:hint="eastAsia" w:ascii="仿宋" w:hAnsi="仿宋" w:eastAsia="仿宋" w:cs="仿宋"/>
          <w:szCs w:val="21"/>
          <w:u w:val="single"/>
        </w:rPr>
        <w:t>余姚市第四人民医院保安服务项目</w:t>
      </w:r>
      <w:r>
        <w:rPr>
          <w:rFonts w:hint="eastAsia" w:ascii="仿宋" w:hAnsi="仿宋" w:eastAsia="仿宋" w:cs="仿宋"/>
          <w:szCs w:val="21"/>
        </w:rPr>
        <w:t>招标结果，签署本合同。</w:t>
      </w:r>
    </w:p>
    <w:p>
      <w:pPr>
        <w:spacing w:line="276" w:lineRule="auto"/>
        <w:rPr>
          <w:rFonts w:hint="eastAsia" w:ascii="仿宋" w:hAnsi="仿宋" w:eastAsia="仿宋" w:cs="仿宋"/>
          <w:b/>
          <w:szCs w:val="21"/>
        </w:rPr>
      </w:pPr>
      <w:r>
        <w:rPr>
          <w:rFonts w:hint="eastAsia" w:ascii="仿宋" w:hAnsi="仿宋" w:eastAsia="仿宋" w:cs="仿宋"/>
          <w:b/>
          <w:szCs w:val="21"/>
        </w:rPr>
        <w:t>一、基本情况</w:t>
      </w:r>
    </w:p>
    <w:p>
      <w:pPr>
        <w:spacing w:line="276" w:lineRule="auto"/>
        <w:rPr>
          <w:rFonts w:hint="eastAsia" w:ascii="仿宋" w:hAnsi="仿宋" w:eastAsia="仿宋" w:cs="仿宋"/>
          <w:kern w:val="0"/>
          <w:szCs w:val="21"/>
        </w:rPr>
      </w:pPr>
      <w:r>
        <w:rPr>
          <w:rFonts w:hint="eastAsia" w:ascii="仿宋" w:hAnsi="仿宋" w:eastAsia="仿宋" w:cs="仿宋"/>
          <w:kern w:val="0"/>
          <w:szCs w:val="21"/>
        </w:rPr>
        <w:t>1.1项目名称：余姚市第四人民医院保安服务项目</w:t>
      </w:r>
    </w:p>
    <w:p>
      <w:pPr>
        <w:spacing w:line="276" w:lineRule="auto"/>
        <w:rPr>
          <w:rFonts w:hint="eastAsia" w:ascii="仿宋" w:hAnsi="仿宋" w:eastAsia="仿宋" w:cs="仿宋"/>
          <w:kern w:val="0"/>
          <w:szCs w:val="21"/>
        </w:rPr>
      </w:pPr>
      <w:r>
        <w:rPr>
          <w:rFonts w:hint="eastAsia" w:ascii="仿宋" w:hAnsi="仿宋" w:eastAsia="仿宋" w:cs="仿宋"/>
          <w:kern w:val="0"/>
          <w:szCs w:val="21"/>
        </w:rPr>
        <w:t>1.2坐落位置：余姚市泗门镇河塍路1号</w:t>
      </w:r>
    </w:p>
    <w:p>
      <w:pPr>
        <w:spacing w:line="276" w:lineRule="auto"/>
        <w:rPr>
          <w:rFonts w:hint="eastAsia" w:ascii="仿宋" w:hAnsi="仿宋" w:eastAsia="仿宋" w:cs="仿宋"/>
          <w:b/>
          <w:szCs w:val="21"/>
        </w:rPr>
      </w:pPr>
      <w:r>
        <w:rPr>
          <w:rFonts w:hint="eastAsia" w:ascii="仿宋" w:hAnsi="仿宋" w:eastAsia="仿宋" w:cs="仿宋"/>
          <w:b/>
          <w:szCs w:val="21"/>
        </w:rPr>
        <w:t>二、委托服务范围</w:t>
      </w:r>
    </w:p>
    <w:p>
      <w:pPr>
        <w:spacing w:line="276" w:lineRule="auto"/>
        <w:rPr>
          <w:rFonts w:hint="eastAsia" w:ascii="仿宋" w:hAnsi="仿宋" w:eastAsia="仿宋" w:cs="仿宋"/>
          <w:bCs/>
          <w:szCs w:val="21"/>
        </w:rPr>
      </w:pPr>
      <w:r>
        <w:rPr>
          <w:rFonts w:hint="eastAsia" w:ascii="仿宋" w:hAnsi="仿宋" w:eastAsia="仿宋" w:cs="仿宋"/>
          <w:bCs/>
          <w:szCs w:val="21"/>
        </w:rPr>
        <w:t>2.1医院、促进中心、宿舍场地、南部院区等范围以内的治安和保卫；</w:t>
      </w:r>
    </w:p>
    <w:p>
      <w:pPr>
        <w:spacing w:line="276" w:lineRule="auto"/>
        <w:rPr>
          <w:rFonts w:hint="eastAsia" w:ascii="仿宋" w:hAnsi="仿宋" w:eastAsia="仿宋" w:cs="仿宋"/>
          <w:bCs/>
          <w:szCs w:val="21"/>
        </w:rPr>
      </w:pPr>
      <w:r>
        <w:rPr>
          <w:rFonts w:hint="eastAsia" w:ascii="仿宋" w:hAnsi="仿宋" w:eastAsia="仿宋" w:cs="仿宋"/>
          <w:bCs/>
          <w:szCs w:val="21"/>
        </w:rPr>
        <w:t>2.2涉及治安巡逻、消防安全、消防设备巡查、门卫服务、防火、防盗、防爆、防破坏、财产安全等一切安全保卫工作；</w:t>
      </w:r>
    </w:p>
    <w:p>
      <w:pPr>
        <w:spacing w:line="276" w:lineRule="auto"/>
        <w:rPr>
          <w:rFonts w:hint="eastAsia" w:ascii="仿宋" w:hAnsi="仿宋" w:eastAsia="仿宋" w:cs="仿宋"/>
          <w:bCs/>
          <w:szCs w:val="21"/>
        </w:rPr>
      </w:pPr>
      <w:r>
        <w:rPr>
          <w:rFonts w:hint="eastAsia" w:ascii="仿宋" w:hAnsi="仿宋" w:eastAsia="仿宋" w:cs="仿宋"/>
          <w:bCs/>
          <w:szCs w:val="21"/>
        </w:rPr>
        <w:t>2.3院内车辆停放管理工作及岗亭收费工作；</w:t>
      </w:r>
    </w:p>
    <w:p>
      <w:pPr>
        <w:spacing w:line="276" w:lineRule="auto"/>
        <w:rPr>
          <w:rFonts w:hint="eastAsia" w:ascii="仿宋" w:hAnsi="仿宋" w:eastAsia="仿宋" w:cs="仿宋"/>
          <w:bCs/>
          <w:szCs w:val="21"/>
        </w:rPr>
      </w:pPr>
      <w:r>
        <w:rPr>
          <w:rFonts w:hint="eastAsia" w:ascii="仿宋" w:hAnsi="仿宋" w:eastAsia="仿宋" w:cs="仿宋"/>
          <w:bCs/>
          <w:szCs w:val="21"/>
        </w:rPr>
        <w:t>2.4医疗纠纷、突发事件的医护人员和财产的保护工作；</w:t>
      </w:r>
    </w:p>
    <w:p>
      <w:pPr>
        <w:spacing w:line="276" w:lineRule="auto"/>
        <w:rPr>
          <w:rFonts w:hint="eastAsia" w:ascii="仿宋" w:hAnsi="仿宋" w:eastAsia="仿宋" w:cs="仿宋"/>
          <w:bCs/>
          <w:szCs w:val="21"/>
        </w:rPr>
      </w:pPr>
      <w:r>
        <w:rPr>
          <w:rFonts w:hint="eastAsia" w:ascii="仿宋" w:hAnsi="仿宋" w:eastAsia="仿宋" w:cs="仿宋"/>
          <w:bCs/>
          <w:szCs w:val="21"/>
        </w:rPr>
        <w:t>2.5院正门口20米内的治安秩序工作；</w:t>
      </w:r>
    </w:p>
    <w:p>
      <w:pPr>
        <w:spacing w:line="276" w:lineRule="auto"/>
        <w:rPr>
          <w:rFonts w:hint="eastAsia" w:ascii="仿宋" w:hAnsi="仿宋" w:eastAsia="仿宋" w:cs="仿宋"/>
          <w:bCs/>
          <w:szCs w:val="21"/>
        </w:rPr>
      </w:pPr>
      <w:r>
        <w:rPr>
          <w:rFonts w:hint="eastAsia" w:ascii="仿宋" w:hAnsi="仿宋" w:eastAsia="仿宋" w:cs="仿宋"/>
          <w:bCs/>
          <w:szCs w:val="21"/>
        </w:rPr>
        <w:t>2.6医院内的各种消防设施、器材管理工作；</w:t>
      </w:r>
    </w:p>
    <w:p>
      <w:pPr>
        <w:spacing w:line="276" w:lineRule="auto"/>
        <w:rPr>
          <w:rFonts w:hint="eastAsia" w:ascii="仿宋" w:hAnsi="仿宋" w:eastAsia="仿宋" w:cs="仿宋"/>
          <w:bCs/>
          <w:szCs w:val="21"/>
        </w:rPr>
      </w:pPr>
      <w:r>
        <w:rPr>
          <w:rFonts w:hint="eastAsia" w:ascii="仿宋" w:hAnsi="仿宋" w:eastAsia="仿宋" w:cs="仿宋"/>
          <w:bCs/>
          <w:szCs w:val="21"/>
        </w:rPr>
        <w:t>2.7医院内报纸、信件、邮件、包裹等的登记及收发工作；</w:t>
      </w:r>
    </w:p>
    <w:p>
      <w:pPr>
        <w:spacing w:line="276" w:lineRule="auto"/>
        <w:rPr>
          <w:rFonts w:hint="eastAsia" w:ascii="仿宋" w:hAnsi="仿宋" w:eastAsia="仿宋" w:cs="仿宋"/>
          <w:bCs/>
          <w:szCs w:val="21"/>
        </w:rPr>
      </w:pPr>
      <w:r>
        <w:rPr>
          <w:rFonts w:hint="eastAsia" w:ascii="仿宋" w:hAnsi="仿宋" w:eastAsia="仿宋" w:cs="仿宋"/>
          <w:bCs/>
          <w:szCs w:val="21"/>
        </w:rPr>
        <w:t>2.8医院急救电话的接听并转告工作；</w:t>
      </w:r>
    </w:p>
    <w:p>
      <w:pPr>
        <w:spacing w:line="276" w:lineRule="auto"/>
        <w:rPr>
          <w:rFonts w:hint="eastAsia" w:ascii="仿宋" w:hAnsi="仿宋" w:eastAsia="仿宋" w:cs="仿宋"/>
          <w:bCs/>
          <w:szCs w:val="21"/>
        </w:rPr>
      </w:pPr>
      <w:r>
        <w:rPr>
          <w:rFonts w:hint="eastAsia" w:ascii="仿宋" w:hAnsi="仿宋" w:eastAsia="仿宋" w:cs="仿宋"/>
          <w:bCs/>
          <w:szCs w:val="21"/>
        </w:rPr>
        <w:t>2.9、监控消防室的治安和保卫，上岗人员必须持有消防员上岗证；</w:t>
      </w:r>
    </w:p>
    <w:p>
      <w:pPr>
        <w:spacing w:line="276" w:lineRule="auto"/>
        <w:rPr>
          <w:rFonts w:hint="eastAsia" w:ascii="仿宋" w:hAnsi="仿宋" w:eastAsia="仿宋" w:cs="仿宋"/>
          <w:bCs/>
          <w:szCs w:val="21"/>
        </w:rPr>
      </w:pPr>
      <w:r>
        <w:rPr>
          <w:rFonts w:hint="eastAsia" w:ascii="仿宋" w:hAnsi="仿宋" w:eastAsia="仿宋" w:cs="仿宋"/>
          <w:bCs/>
          <w:szCs w:val="21"/>
        </w:rPr>
        <w:t>3.0其他医院要求的服务工作。</w:t>
      </w:r>
    </w:p>
    <w:p>
      <w:pPr>
        <w:spacing w:line="276" w:lineRule="auto"/>
        <w:rPr>
          <w:rFonts w:hint="eastAsia" w:ascii="仿宋" w:hAnsi="仿宋" w:eastAsia="仿宋" w:cs="仿宋"/>
          <w:b/>
          <w:szCs w:val="21"/>
        </w:rPr>
      </w:pPr>
      <w:r>
        <w:rPr>
          <w:rFonts w:hint="eastAsia" w:ascii="仿宋" w:hAnsi="仿宋" w:eastAsia="仿宋" w:cs="仿宋"/>
          <w:b/>
          <w:szCs w:val="21"/>
        </w:rPr>
        <w:t>三、合同期限</w:t>
      </w:r>
    </w:p>
    <w:p>
      <w:pPr>
        <w:spacing w:line="440" w:lineRule="exact"/>
        <w:rPr>
          <w:rFonts w:hint="eastAsia" w:ascii="仿宋" w:hAnsi="仿宋" w:eastAsia="仿宋" w:cs="仿宋"/>
          <w:bCs/>
          <w:szCs w:val="21"/>
        </w:rPr>
      </w:pPr>
      <w:r>
        <w:rPr>
          <w:rFonts w:hint="eastAsia" w:ascii="仿宋" w:hAnsi="仿宋" w:eastAsia="仿宋" w:cs="仿宋"/>
          <w:bCs/>
          <w:szCs w:val="21"/>
        </w:rPr>
        <w:t>3.1、服务</w:t>
      </w:r>
      <w:r>
        <w:rPr>
          <w:rFonts w:hint="eastAsia" w:ascii="仿宋" w:hAnsi="仿宋" w:eastAsia="仿宋" w:cs="仿宋"/>
          <w:szCs w:val="21"/>
        </w:rPr>
        <w:t>期限：_____年____月____日至_____年____月____日。</w:t>
      </w:r>
    </w:p>
    <w:p>
      <w:pPr>
        <w:spacing w:line="276" w:lineRule="auto"/>
        <w:rPr>
          <w:rFonts w:hint="eastAsia" w:ascii="仿宋" w:hAnsi="仿宋" w:eastAsia="仿宋" w:cs="仿宋"/>
          <w:bCs/>
          <w:szCs w:val="21"/>
        </w:rPr>
      </w:pPr>
      <w:r>
        <w:rPr>
          <w:rFonts w:hint="eastAsia" w:ascii="仿宋" w:hAnsi="仿宋" w:eastAsia="仿宋" w:cs="仿宋"/>
          <w:bCs/>
          <w:szCs w:val="21"/>
        </w:rPr>
        <w:t>3.2、如甲乙任何一方决定在合同期限届满后不再续约的，均应在合同期限届满前三十天以书面形式通知对方，在新保安公司未接收之前，乙方应根据甲方的要求延续提供服务，延续合同期最长不超过3个月，费用标准按原合同规定执行。</w:t>
      </w:r>
    </w:p>
    <w:p>
      <w:pPr>
        <w:spacing w:line="276" w:lineRule="auto"/>
        <w:rPr>
          <w:rFonts w:hint="eastAsia" w:ascii="仿宋" w:hAnsi="仿宋" w:eastAsia="仿宋" w:cs="仿宋"/>
          <w:b/>
          <w:szCs w:val="21"/>
        </w:rPr>
      </w:pPr>
      <w:r>
        <w:rPr>
          <w:rFonts w:hint="eastAsia" w:ascii="仿宋" w:hAnsi="仿宋" w:eastAsia="仿宋" w:cs="仿宋"/>
          <w:b/>
          <w:szCs w:val="21"/>
        </w:rPr>
        <w:t>四、合同价及付款方式（含结算方式）</w:t>
      </w:r>
    </w:p>
    <w:p>
      <w:pPr>
        <w:spacing w:line="276" w:lineRule="auto"/>
        <w:rPr>
          <w:rFonts w:hint="eastAsia" w:ascii="仿宋" w:hAnsi="仿宋" w:eastAsia="仿宋" w:cs="仿宋"/>
          <w:bCs/>
          <w:szCs w:val="21"/>
        </w:rPr>
      </w:pPr>
      <w:r>
        <w:rPr>
          <w:rFonts w:hint="eastAsia" w:ascii="仿宋" w:hAnsi="仿宋" w:eastAsia="仿宋" w:cs="仿宋"/>
          <w:bCs/>
          <w:szCs w:val="21"/>
        </w:rPr>
        <w:t>4.1、合同价为人民币___________ 元整/年；</w:t>
      </w:r>
    </w:p>
    <w:p>
      <w:pPr>
        <w:spacing w:line="276" w:lineRule="auto"/>
        <w:rPr>
          <w:rFonts w:hint="eastAsia" w:ascii="仿宋" w:hAnsi="仿宋" w:eastAsia="仿宋" w:cs="仿宋"/>
          <w:bCs/>
          <w:szCs w:val="21"/>
        </w:rPr>
      </w:pPr>
      <w:r>
        <w:rPr>
          <w:rFonts w:hint="eastAsia" w:ascii="仿宋" w:hAnsi="仿宋" w:eastAsia="仿宋" w:cs="仿宋"/>
          <w:bCs/>
          <w:szCs w:val="21"/>
        </w:rPr>
        <w:t>4.2、支付方式为：</w:t>
      </w:r>
      <w:r>
        <w:rPr>
          <w:rFonts w:hint="eastAsia" w:ascii="仿宋" w:hAnsi="仿宋" w:eastAsia="仿宋" w:cs="仿宋"/>
          <w:szCs w:val="21"/>
        </w:rPr>
        <w:t>承包费用由院方确认工作完成的情况下，每月按照医院对中标方的考核结果进行发放，发放金额为月度总金额的90%（如考核结果为90以下，则按考核标准进行相应扣罚），余款（合同价总金额的10%）以医院对中标方的年度考核为准，进行发放</w:t>
      </w:r>
      <w:r>
        <w:rPr>
          <w:rFonts w:hint="eastAsia" w:ascii="仿宋" w:hAnsi="仿宋" w:eastAsia="仿宋" w:cs="仿宋"/>
          <w:bCs/>
          <w:szCs w:val="21"/>
        </w:rPr>
        <w:t>。</w:t>
      </w:r>
    </w:p>
    <w:p>
      <w:pPr>
        <w:spacing w:line="276" w:lineRule="auto"/>
        <w:rPr>
          <w:rFonts w:hint="eastAsia" w:ascii="仿宋" w:hAnsi="仿宋" w:eastAsia="仿宋" w:cs="仿宋"/>
          <w:b/>
          <w:szCs w:val="21"/>
        </w:rPr>
      </w:pPr>
      <w:r>
        <w:rPr>
          <w:rFonts w:hint="eastAsia" w:ascii="仿宋" w:hAnsi="仿宋" w:eastAsia="仿宋" w:cs="仿宋"/>
          <w:b/>
          <w:szCs w:val="21"/>
        </w:rPr>
        <w:t>4.3、保安公司须根据项目实际情况配置人员，各岗位人员须报甲方书面确认后实施（实施前未经甲方书面确认而引起的经济损失，由保安公司承担），并按相应的综合单价（详见投标文件C2分项报价表）给与结算支付（即服务费根据实际使用人员的数量结算），本条乙方需无条件服从甲方安排且不得有异议。</w:t>
      </w:r>
    </w:p>
    <w:p>
      <w:pPr>
        <w:spacing w:line="276" w:lineRule="auto"/>
        <w:rPr>
          <w:rFonts w:hint="eastAsia" w:ascii="仿宋" w:hAnsi="仿宋" w:eastAsia="仿宋" w:cs="仿宋"/>
          <w:b/>
          <w:szCs w:val="21"/>
        </w:rPr>
      </w:pPr>
      <w:r>
        <w:rPr>
          <w:rFonts w:hint="eastAsia" w:ascii="仿宋" w:hAnsi="仿宋" w:eastAsia="仿宋" w:cs="仿宋"/>
          <w:b/>
          <w:szCs w:val="21"/>
        </w:rPr>
        <w:t>五、考核</w:t>
      </w:r>
    </w:p>
    <w:p>
      <w:pPr>
        <w:spacing w:line="276" w:lineRule="auto"/>
        <w:rPr>
          <w:rFonts w:hint="eastAsia" w:ascii="仿宋" w:hAnsi="仿宋" w:eastAsia="仿宋" w:cs="仿宋"/>
          <w:b/>
          <w:bCs/>
          <w:szCs w:val="21"/>
        </w:rPr>
      </w:pPr>
      <w:r>
        <w:rPr>
          <w:rFonts w:hint="eastAsia" w:ascii="仿宋" w:hAnsi="仿宋" w:eastAsia="仿宋" w:cs="仿宋"/>
          <w:b/>
          <w:bCs/>
          <w:szCs w:val="21"/>
        </w:rPr>
        <w:t>5.1根据服务质量要求、各项分类指标，由甲方实施考核。甲方对乙方进行定期或不定期考核，满分100分，考核基础分为90分（含）。如考核结果为90以下，则按考核标准进行相应扣罚。考核结果为85分以下，采购人有权终止合同。</w:t>
      </w:r>
    </w:p>
    <w:p>
      <w:pPr>
        <w:spacing w:line="276" w:lineRule="auto"/>
        <w:rPr>
          <w:rFonts w:hint="eastAsia" w:ascii="仿宋" w:hAnsi="仿宋" w:eastAsia="仿宋" w:cs="仿宋"/>
          <w:b/>
          <w:szCs w:val="21"/>
        </w:rPr>
      </w:pPr>
      <w:r>
        <w:rPr>
          <w:rFonts w:hint="eastAsia" w:ascii="仿宋" w:hAnsi="仿宋" w:eastAsia="仿宋" w:cs="仿宋"/>
          <w:b/>
          <w:szCs w:val="21"/>
        </w:rPr>
        <w:t>六、人员配备要求</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32"/>
        <w:gridCol w:w="3094"/>
        <w:gridCol w:w="1102"/>
        <w:gridCol w:w="67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32"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岗位名称</w:t>
            </w:r>
          </w:p>
        </w:tc>
        <w:tc>
          <w:tcPr>
            <w:tcW w:w="3094"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工作范围及职责</w:t>
            </w:r>
          </w:p>
        </w:tc>
        <w:tc>
          <w:tcPr>
            <w:tcW w:w="110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班次</w:t>
            </w:r>
          </w:p>
        </w:tc>
        <w:tc>
          <w:tcPr>
            <w:tcW w:w="670" w:type="dxa"/>
            <w:noWrap w:val="0"/>
            <w:vAlign w:val="center"/>
          </w:tcPr>
          <w:p>
            <w:pPr>
              <w:widowControl/>
              <w:jc w:val="center"/>
              <w:textAlignment w:val="center"/>
              <w:rPr>
                <w:rFonts w:hint="eastAsia" w:ascii="仿宋" w:hAnsi="仿宋" w:eastAsia="仿宋" w:cs="仿宋"/>
                <w:spacing w:val="-2"/>
                <w:szCs w:val="21"/>
              </w:rPr>
            </w:pPr>
            <w:r>
              <w:rPr>
                <w:rFonts w:hint="eastAsia" w:ascii="仿宋" w:hAnsi="仿宋" w:eastAsia="仿宋" w:cs="仿宋"/>
                <w:kern w:val="0"/>
                <w:szCs w:val="21"/>
                <w:lang w:bidi="ar"/>
              </w:rPr>
              <w:t>人数</w:t>
            </w:r>
          </w:p>
        </w:tc>
        <w:tc>
          <w:tcPr>
            <w:tcW w:w="231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项目经理</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保安人员管理、安保人员纠纷处置，与院方协调</w:t>
            </w:r>
          </w:p>
        </w:tc>
        <w:tc>
          <w:tcPr>
            <w:tcW w:w="1102"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长期驻院</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31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男性55周岁以下，女性50周岁以下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保安队长</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保安人员管理、安保人员纠纷处置，日常工作安排</w:t>
            </w:r>
          </w:p>
        </w:tc>
        <w:tc>
          <w:tcPr>
            <w:tcW w:w="110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 w:val="21"/>
                <w:szCs w:val="21"/>
              </w:rPr>
              <w:t>长期驻院</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31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50周岁以下，退伍军人优先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消控室（特勤）</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日常信息安全，做好突发事件的应急响应调度和处理</w:t>
            </w:r>
          </w:p>
        </w:tc>
        <w:tc>
          <w:tcPr>
            <w:tcW w:w="110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316" w:type="dxa"/>
            <w:noWrap w:val="0"/>
            <w:vAlign w:val="center"/>
          </w:tcPr>
          <w:p>
            <w:pPr>
              <w:pStyle w:val="2"/>
              <w:jc w:val="center"/>
              <w:rPr>
                <w:rFonts w:hint="eastAsia" w:ascii="仿宋" w:hAnsi="仿宋" w:eastAsia="仿宋" w:cs="仿宋"/>
                <w:b/>
                <w:bCs/>
                <w:sz w:val="21"/>
                <w:szCs w:val="21"/>
              </w:rPr>
            </w:pPr>
            <w:r>
              <w:rPr>
                <w:rFonts w:hint="eastAsia" w:ascii="仿宋" w:hAnsi="仿宋" w:eastAsia="仿宋" w:cs="仿宋"/>
                <w:b/>
                <w:bCs/>
                <w:sz w:val="21"/>
                <w:szCs w:val="21"/>
              </w:rPr>
              <w:t>45周岁以下，持有消控证上岗证，退伍军人优先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4</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门卫收发</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门卫管理，邮件接收、信息转达</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5</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西岗亭收费员</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西岗亭收费员</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6</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南岗亭收费员</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南岗亭收费员</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二班制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7</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车辆管理员</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停车场车辆管理</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7:30-23:00</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西门口治安员、测温</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入口安保、秩序维护及各楼巡查、应急处置，进出人员测量体温</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7</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9</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宿舍管理员</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宿舍安保管理、卫生清洁</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24小时二班制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10</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公共卫生科管理员</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公共卫生科管理、秩序维护、应急处理</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按上班时间提前、推迟各10分钟</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11</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老年公寓分院区人员</w:t>
            </w:r>
          </w:p>
        </w:tc>
        <w:tc>
          <w:tcPr>
            <w:tcW w:w="3094"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分院区开设后安保管理、门岗管理、楼层巡逻、应急处置</w:t>
            </w:r>
          </w:p>
        </w:tc>
        <w:tc>
          <w:tcPr>
            <w:tcW w:w="110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6</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12</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中医馆</w:t>
            </w:r>
          </w:p>
        </w:tc>
        <w:tc>
          <w:tcPr>
            <w:tcW w:w="3094"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color w:val="000000"/>
                <w:kern w:val="0"/>
                <w:szCs w:val="21"/>
                <w:lang w:bidi="ar"/>
              </w:rPr>
              <w:t>中医馆入口安保、秩序维护及各楼巡查</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3</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13</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南门口治安员、测温(特勤）</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入口安保、秩序维护及各楼巡查、应急处置，进出人员测量体温</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早中二班制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2</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14</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行政楼特勤人员(特勤）</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行政楼出入口秩序维护、医疗纠纷处理时维持次序、行政楼巡逻及其他应急处理</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按上班时间提前、推迟各10分钟</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31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45周岁以下，男性，退伍军人优先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15</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急诊门口(特勤）</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急诊出入口秩序维护、医疗纠纷处理时维持次序、急诊门口巡逻及其他应急处理</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8</w:t>
            </w:r>
          </w:p>
        </w:tc>
        <w:tc>
          <w:tcPr>
            <w:tcW w:w="231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45周岁以下，男性，退伍军人优先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16</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住院部</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住院部出入口秩序维护、医疗纠纷处理时维持次序、住院部巡逻及其他应急处理</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三班制</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5</w:t>
            </w:r>
          </w:p>
        </w:tc>
        <w:tc>
          <w:tcPr>
            <w:tcW w:w="2316"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55周岁以下，男性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17</w:t>
            </w:r>
          </w:p>
        </w:tc>
        <w:tc>
          <w:tcPr>
            <w:tcW w:w="1632"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核酸挂号</w:t>
            </w:r>
          </w:p>
        </w:tc>
        <w:tc>
          <w:tcPr>
            <w:tcW w:w="3094"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核酸挂号</w:t>
            </w:r>
          </w:p>
        </w:tc>
        <w:tc>
          <w:tcPr>
            <w:tcW w:w="1102" w:type="dxa"/>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按采购人要求</w:t>
            </w:r>
          </w:p>
        </w:tc>
        <w:tc>
          <w:tcPr>
            <w:tcW w:w="670"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00"/>
                <w:kern w:val="0"/>
                <w:szCs w:val="21"/>
                <w:lang w:bidi="ar"/>
              </w:rPr>
              <w:t>1</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6" w:type="dxa"/>
            <w:noWrap w:val="0"/>
            <w:vAlign w:val="center"/>
          </w:tcPr>
          <w:p>
            <w:pPr>
              <w:pStyle w:val="2"/>
              <w:tabs>
                <w:tab w:val="left" w:pos="0"/>
              </w:tabs>
              <w:jc w:val="center"/>
              <w:rPr>
                <w:rFonts w:hint="eastAsia" w:ascii="仿宋" w:hAnsi="仿宋" w:eastAsia="仿宋" w:cs="仿宋"/>
                <w:sz w:val="21"/>
                <w:szCs w:val="21"/>
              </w:rPr>
            </w:pPr>
            <w:r>
              <w:rPr>
                <w:rFonts w:hint="eastAsia" w:ascii="仿宋" w:hAnsi="仿宋" w:eastAsia="仿宋" w:cs="仿宋"/>
                <w:sz w:val="21"/>
                <w:szCs w:val="21"/>
              </w:rPr>
              <w:t>18</w:t>
            </w:r>
          </w:p>
        </w:tc>
        <w:tc>
          <w:tcPr>
            <w:tcW w:w="5828" w:type="dxa"/>
            <w:gridSpan w:val="3"/>
            <w:noWrap w:val="0"/>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szCs w:val="21"/>
              </w:rPr>
              <w:t>合计</w:t>
            </w:r>
          </w:p>
        </w:tc>
        <w:tc>
          <w:tcPr>
            <w:tcW w:w="670" w:type="dxa"/>
            <w:noWrap w:val="0"/>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58</w:t>
            </w:r>
          </w:p>
        </w:tc>
        <w:tc>
          <w:tcPr>
            <w:tcW w:w="2316" w:type="dxa"/>
            <w:noWrap w:val="0"/>
            <w:vAlign w:val="center"/>
          </w:tcPr>
          <w:p>
            <w:pPr>
              <w:pStyle w:val="2"/>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26" w:type="dxa"/>
            <w:noWrap w:val="0"/>
            <w:vAlign w:val="center"/>
          </w:tcPr>
          <w:p>
            <w:pPr>
              <w:pStyle w:val="2"/>
              <w:tabs>
                <w:tab w:val="left" w:pos="0"/>
              </w:tabs>
              <w:jc w:val="center"/>
              <w:rPr>
                <w:rFonts w:hint="eastAsia" w:ascii="仿宋" w:hAnsi="仿宋" w:eastAsia="仿宋" w:cs="仿宋"/>
                <w:b/>
                <w:sz w:val="21"/>
                <w:szCs w:val="21"/>
              </w:rPr>
            </w:pPr>
            <w:r>
              <w:rPr>
                <w:rFonts w:hint="eastAsia" w:ascii="仿宋" w:hAnsi="仿宋" w:eastAsia="仿宋" w:cs="仿宋"/>
                <w:b/>
                <w:sz w:val="21"/>
                <w:szCs w:val="21"/>
              </w:rPr>
              <w:t>19</w:t>
            </w:r>
          </w:p>
        </w:tc>
        <w:tc>
          <w:tcPr>
            <w:tcW w:w="8814" w:type="dxa"/>
            <w:gridSpan w:val="5"/>
            <w:noWrap w:val="0"/>
            <w:vAlign w:val="center"/>
          </w:tcPr>
          <w:p>
            <w:pPr>
              <w:pStyle w:val="2"/>
              <w:jc w:val="center"/>
              <w:rPr>
                <w:rFonts w:hint="eastAsia" w:ascii="仿宋" w:hAnsi="仿宋" w:eastAsia="仿宋" w:cs="仿宋"/>
                <w:b/>
                <w:sz w:val="21"/>
                <w:szCs w:val="21"/>
                <w:lang w:val="en-US" w:eastAsia="zh-CN"/>
              </w:rPr>
            </w:pPr>
            <w:r>
              <w:rPr>
                <w:rFonts w:hint="eastAsia" w:ascii="仿宋" w:hAnsi="仿宋" w:eastAsia="仿宋" w:cs="仿宋"/>
                <w:b/>
                <w:kern w:val="0"/>
                <w:sz w:val="21"/>
                <w:szCs w:val="21"/>
                <w:lang w:bidi="ar"/>
              </w:rPr>
              <w:t>注：监控消防室上岗人员必须持有消防员上岗证，其他保安人员须持相应岗位证书</w:t>
            </w:r>
            <w:r>
              <w:rPr>
                <w:rFonts w:hint="eastAsia" w:ascii="仿宋" w:hAnsi="仿宋" w:eastAsia="仿宋" w:cs="仿宋"/>
                <w:b/>
                <w:kern w:val="0"/>
                <w:sz w:val="21"/>
                <w:szCs w:val="21"/>
                <w:lang w:val="en-US" w:eastAsia="zh-CN" w:bidi="ar"/>
              </w:rPr>
              <w:t>.</w:t>
            </w:r>
          </w:p>
        </w:tc>
      </w:tr>
    </w:tbl>
    <w:p>
      <w:pPr>
        <w:spacing w:line="276" w:lineRule="auto"/>
        <w:rPr>
          <w:rFonts w:hint="eastAsia" w:ascii="仿宋" w:hAnsi="仿宋" w:eastAsia="仿宋" w:cs="仿宋"/>
          <w:b/>
          <w:szCs w:val="21"/>
        </w:rPr>
      </w:pPr>
      <w:r>
        <w:rPr>
          <w:rFonts w:hint="eastAsia" w:ascii="仿宋" w:hAnsi="仿宋" w:eastAsia="仿宋" w:cs="仿宋"/>
          <w:b/>
          <w:szCs w:val="21"/>
        </w:rPr>
        <w:t>七、履约保证金：本项目无需缴纳</w:t>
      </w:r>
    </w:p>
    <w:p>
      <w:pPr>
        <w:spacing w:line="276" w:lineRule="auto"/>
        <w:rPr>
          <w:rFonts w:hint="eastAsia" w:ascii="仿宋" w:hAnsi="仿宋" w:eastAsia="仿宋" w:cs="仿宋"/>
          <w:b/>
          <w:szCs w:val="21"/>
        </w:rPr>
      </w:pPr>
      <w:r>
        <w:rPr>
          <w:rFonts w:hint="eastAsia" w:ascii="仿宋" w:hAnsi="仿宋" w:eastAsia="仿宋" w:cs="仿宋"/>
          <w:b/>
          <w:szCs w:val="21"/>
        </w:rPr>
        <w:t>八、服务总体要求与综合目标及详细要求</w:t>
      </w:r>
    </w:p>
    <w:p>
      <w:pPr>
        <w:spacing w:line="276" w:lineRule="auto"/>
        <w:rPr>
          <w:rFonts w:hint="eastAsia" w:ascii="仿宋" w:hAnsi="仿宋" w:eastAsia="仿宋" w:cs="仿宋"/>
          <w:b/>
          <w:szCs w:val="21"/>
        </w:rPr>
      </w:pPr>
      <w:r>
        <w:rPr>
          <w:rFonts w:hint="eastAsia" w:ascii="仿宋" w:hAnsi="仿宋" w:eastAsia="仿宋" w:cs="仿宋"/>
          <w:b/>
          <w:szCs w:val="21"/>
        </w:rPr>
        <w:t>8.1、服务总体要求</w:t>
      </w:r>
    </w:p>
    <w:p>
      <w:pPr>
        <w:spacing w:line="276" w:lineRule="auto"/>
        <w:rPr>
          <w:rFonts w:hint="eastAsia" w:ascii="仿宋" w:hAnsi="仿宋" w:eastAsia="仿宋" w:cs="仿宋"/>
          <w:szCs w:val="21"/>
        </w:rPr>
      </w:pPr>
      <w:r>
        <w:rPr>
          <w:rFonts w:hint="eastAsia" w:ascii="仿宋" w:hAnsi="仿宋" w:eastAsia="仿宋" w:cs="仿宋"/>
          <w:szCs w:val="21"/>
        </w:rPr>
        <w:t>（1）乙方需按《招标文件》的规定及《投标文件》中的响应方案，制定安保管理具体服务方案，实施运作，并能严格按照既定管理目标管理。</w:t>
      </w:r>
    </w:p>
    <w:p>
      <w:pPr>
        <w:spacing w:line="276" w:lineRule="auto"/>
        <w:rPr>
          <w:rFonts w:hint="eastAsia" w:ascii="仿宋" w:hAnsi="仿宋" w:eastAsia="仿宋" w:cs="仿宋"/>
          <w:szCs w:val="21"/>
        </w:rPr>
      </w:pPr>
      <w:r>
        <w:rPr>
          <w:rFonts w:hint="eastAsia" w:ascii="仿宋" w:hAnsi="仿宋" w:eastAsia="仿宋" w:cs="仿宋"/>
          <w:szCs w:val="21"/>
        </w:rPr>
        <w:t>（2）乙方须认真履行职责，严格按招标项目中的质量做好各项工作。各岗位人员不得顶替调换，确保相对稳定，服务人员要在岗在位，各尽其责，保证符合各项服务的质量标准。</w:t>
      </w:r>
    </w:p>
    <w:p>
      <w:pPr>
        <w:spacing w:line="276" w:lineRule="auto"/>
        <w:rPr>
          <w:rFonts w:hint="eastAsia" w:ascii="仿宋" w:hAnsi="仿宋" w:eastAsia="仿宋" w:cs="仿宋"/>
          <w:szCs w:val="21"/>
        </w:rPr>
      </w:pPr>
      <w:r>
        <w:rPr>
          <w:rFonts w:hint="eastAsia" w:ascii="仿宋" w:hAnsi="仿宋" w:eastAsia="仿宋" w:cs="仿宋"/>
          <w:szCs w:val="21"/>
        </w:rPr>
        <w:t>（3）由乙方按国家规定支付上岗人员的各项工资、津贴、社会保险及其他相关费用，业主单位每月有权对社会保险的交纳情况进行检查。</w:t>
      </w:r>
    </w:p>
    <w:p>
      <w:pPr>
        <w:spacing w:line="276" w:lineRule="auto"/>
        <w:rPr>
          <w:rFonts w:hint="eastAsia" w:ascii="仿宋" w:hAnsi="仿宋" w:eastAsia="仿宋" w:cs="仿宋"/>
          <w:szCs w:val="21"/>
        </w:rPr>
      </w:pPr>
      <w:r>
        <w:rPr>
          <w:rFonts w:hint="eastAsia" w:ascii="仿宋" w:hAnsi="仿宋" w:eastAsia="仿宋" w:cs="仿宋"/>
          <w:szCs w:val="21"/>
        </w:rPr>
        <w:t>（4）乙方必须对上岗人员按规定进行岗位培训等，并对上岗人员定期进行职业道德教育，教育其端正服务态度、提高服务质量、遵守业主单位的各项规章制度及工作规范，维护业主单位的形象，服从领导。对不遵守劳动纪律、工作作风拖拉的员工，经查实后酌情处理，情节严重的业主单位有权更换。</w:t>
      </w:r>
    </w:p>
    <w:p>
      <w:pPr>
        <w:spacing w:line="276" w:lineRule="auto"/>
        <w:rPr>
          <w:rFonts w:hint="eastAsia" w:ascii="仿宋" w:hAnsi="仿宋" w:eastAsia="仿宋" w:cs="仿宋"/>
          <w:szCs w:val="21"/>
        </w:rPr>
      </w:pPr>
      <w:r>
        <w:rPr>
          <w:rFonts w:hint="eastAsia" w:ascii="仿宋" w:hAnsi="仿宋" w:eastAsia="仿宋" w:cs="仿宋"/>
          <w:szCs w:val="21"/>
        </w:rPr>
        <w:t>（5）乙方应制定完善的各项内部管理制度，派专职督导人员进行现场管理，并落实好各项制度。</w:t>
      </w:r>
    </w:p>
    <w:p>
      <w:pPr>
        <w:spacing w:line="276" w:lineRule="auto"/>
        <w:rPr>
          <w:rFonts w:hint="eastAsia" w:ascii="仿宋" w:hAnsi="仿宋" w:eastAsia="仿宋" w:cs="仿宋"/>
          <w:szCs w:val="21"/>
        </w:rPr>
      </w:pPr>
      <w:r>
        <w:rPr>
          <w:rFonts w:hint="eastAsia" w:ascii="仿宋" w:hAnsi="仿宋" w:eastAsia="仿宋" w:cs="仿宋"/>
          <w:szCs w:val="21"/>
        </w:rPr>
        <w:t>（6）甲方有权对乙方各项工作质量进行定期与不定期考核。</w:t>
      </w:r>
    </w:p>
    <w:p>
      <w:pPr>
        <w:spacing w:line="276" w:lineRule="auto"/>
        <w:rPr>
          <w:rFonts w:hint="eastAsia" w:ascii="仿宋" w:hAnsi="仿宋" w:eastAsia="仿宋" w:cs="仿宋"/>
          <w:b/>
          <w:szCs w:val="21"/>
        </w:rPr>
      </w:pPr>
      <w:r>
        <w:rPr>
          <w:rFonts w:hint="eastAsia" w:ascii="仿宋" w:hAnsi="仿宋" w:eastAsia="仿宋" w:cs="仿宋"/>
          <w:b/>
          <w:szCs w:val="21"/>
        </w:rPr>
        <w:t>8.2、服务的综合目标</w:t>
      </w:r>
    </w:p>
    <w:p>
      <w:pPr>
        <w:spacing w:line="276" w:lineRule="auto"/>
        <w:rPr>
          <w:rFonts w:hint="eastAsia" w:ascii="仿宋" w:hAnsi="仿宋" w:eastAsia="仿宋" w:cs="仿宋"/>
          <w:szCs w:val="21"/>
        </w:rPr>
      </w:pPr>
      <w:r>
        <w:rPr>
          <w:rFonts w:hint="eastAsia" w:ascii="仿宋" w:hAnsi="仿宋" w:eastAsia="仿宋" w:cs="仿宋"/>
          <w:szCs w:val="21"/>
        </w:rPr>
        <w:t>（1）严格执行《保安服务管理条例》中华人民共和国国务院令第564号</w:t>
      </w:r>
    </w:p>
    <w:p>
      <w:pPr>
        <w:spacing w:line="276" w:lineRule="auto"/>
        <w:rPr>
          <w:rFonts w:hint="eastAsia" w:ascii="仿宋" w:hAnsi="仿宋" w:eastAsia="仿宋" w:cs="仿宋"/>
          <w:szCs w:val="21"/>
        </w:rPr>
      </w:pPr>
      <w:r>
        <w:rPr>
          <w:rFonts w:hint="eastAsia" w:ascii="仿宋" w:hAnsi="仿宋" w:eastAsia="仿宋" w:cs="仿宋"/>
          <w:szCs w:val="21"/>
        </w:rPr>
        <w:t>（2）严格执行《公安部关于保安服务公司规范管理的若干规定》（公通字[2000]13号）</w:t>
      </w:r>
    </w:p>
    <w:p>
      <w:pPr>
        <w:spacing w:line="276" w:lineRule="auto"/>
        <w:rPr>
          <w:rFonts w:hint="eastAsia" w:ascii="仿宋" w:hAnsi="仿宋" w:eastAsia="仿宋" w:cs="仿宋"/>
          <w:szCs w:val="21"/>
        </w:rPr>
      </w:pPr>
      <w:r>
        <w:rPr>
          <w:rFonts w:hint="eastAsia" w:ascii="仿宋" w:hAnsi="仿宋" w:eastAsia="仿宋" w:cs="仿宋"/>
          <w:szCs w:val="21"/>
        </w:rPr>
        <w:t>（3）达到《余姚市第四人民医院保安保卫考核》评分标准90分以上。</w:t>
      </w:r>
    </w:p>
    <w:p>
      <w:pPr>
        <w:spacing w:line="276" w:lineRule="auto"/>
        <w:rPr>
          <w:rFonts w:hint="eastAsia" w:ascii="仿宋" w:hAnsi="仿宋" w:eastAsia="仿宋" w:cs="仿宋"/>
          <w:szCs w:val="21"/>
        </w:rPr>
      </w:pPr>
      <w:r>
        <w:rPr>
          <w:rFonts w:hint="eastAsia" w:ascii="仿宋" w:hAnsi="仿宋" w:eastAsia="仿宋" w:cs="仿宋"/>
          <w:szCs w:val="21"/>
        </w:rPr>
        <w:t>（4）达到余姚市文明卫生单位的要求。</w:t>
      </w:r>
    </w:p>
    <w:p>
      <w:pPr>
        <w:spacing w:line="276" w:lineRule="auto"/>
        <w:rPr>
          <w:rFonts w:hint="eastAsia" w:ascii="仿宋" w:hAnsi="仿宋" w:eastAsia="仿宋" w:cs="仿宋"/>
          <w:szCs w:val="21"/>
        </w:rPr>
      </w:pPr>
      <w:r>
        <w:rPr>
          <w:rFonts w:hint="eastAsia" w:ascii="仿宋" w:hAnsi="仿宋" w:eastAsia="仿宋" w:cs="仿宋"/>
          <w:szCs w:val="21"/>
        </w:rPr>
        <w:t>（5）达到余姚市综合治理先进单位的要求。</w:t>
      </w:r>
    </w:p>
    <w:p>
      <w:pPr>
        <w:spacing w:line="276" w:lineRule="auto"/>
        <w:rPr>
          <w:rFonts w:hint="eastAsia" w:ascii="仿宋" w:hAnsi="仿宋" w:eastAsia="仿宋" w:cs="仿宋"/>
          <w:szCs w:val="21"/>
        </w:rPr>
      </w:pPr>
      <w:r>
        <w:rPr>
          <w:rFonts w:hint="eastAsia" w:ascii="仿宋" w:hAnsi="仿宋" w:eastAsia="仿宋" w:cs="仿宋"/>
          <w:b/>
          <w:szCs w:val="21"/>
        </w:rPr>
        <w:t>8.3、</w:t>
      </w:r>
      <w:r>
        <w:rPr>
          <w:rFonts w:hint="eastAsia" w:ascii="仿宋" w:hAnsi="仿宋" w:eastAsia="仿宋" w:cs="仿宋"/>
          <w:b/>
          <w:szCs w:val="21"/>
          <w:lang w:val="zh-CN"/>
        </w:rPr>
        <w:t>服务质量标准</w:t>
      </w:r>
      <w:r>
        <w:rPr>
          <w:rFonts w:hint="eastAsia" w:ascii="仿宋" w:hAnsi="仿宋" w:eastAsia="仿宋" w:cs="仿宋"/>
          <w:b/>
          <w:szCs w:val="21"/>
        </w:rPr>
        <w:t>详见招标文件第五章采购内容及要求</w:t>
      </w:r>
    </w:p>
    <w:p>
      <w:pPr>
        <w:spacing w:line="276" w:lineRule="auto"/>
        <w:rPr>
          <w:rFonts w:hint="eastAsia" w:ascii="仿宋" w:hAnsi="仿宋" w:eastAsia="仿宋" w:cs="仿宋"/>
          <w:b/>
          <w:szCs w:val="21"/>
        </w:rPr>
      </w:pPr>
      <w:r>
        <w:rPr>
          <w:rFonts w:hint="eastAsia" w:ascii="仿宋" w:hAnsi="仿宋" w:eastAsia="仿宋" w:cs="仿宋"/>
          <w:b/>
          <w:szCs w:val="21"/>
        </w:rPr>
        <w:t>九、双方的权利和义务</w:t>
      </w:r>
    </w:p>
    <w:p>
      <w:pPr>
        <w:spacing w:line="276" w:lineRule="auto"/>
        <w:rPr>
          <w:rFonts w:hint="eastAsia" w:ascii="仿宋" w:hAnsi="仿宋" w:eastAsia="仿宋" w:cs="仿宋"/>
          <w:b/>
          <w:szCs w:val="21"/>
        </w:rPr>
      </w:pPr>
      <w:r>
        <w:rPr>
          <w:rFonts w:hint="eastAsia" w:ascii="仿宋" w:hAnsi="仿宋" w:eastAsia="仿宋" w:cs="仿宋"/>
          <w:b/>
          <w:szCs w:val="21"/>
        </w:rPr>
        <w:t>9.1、甲方权利义务</w:t>
      </w:r>
    </w:p>
    <w:p>
      <w:pPr>
        <w:spacing w:line="276" w:lineRule="auto"/>
        <w:rPr>
          <w:rFonts w:hint="eastAsia" w:ascii="仿宋" w:hAnsi="仿宋" w:eastAsia="仿宋" w:cs="仿宋"/>
          <w:szCs w:val="21"/>
        </w:rPr>
      </w:pPr>
      <w:r>
        <w:rPr>
          <w:rFonts w:hint="eastAsia" w:ascii="仿宋" w:hAnsi="仿宋" w:eastAsia="仿宋" w:cs="仿宋"/>
          <w:szCs w:val="21"/>
        </w:rPr>
        <w:t>（1）代表和维护产权人、使用人的合法权益；</w:t>
      </w:r>
    </w:p>
    <w:p>
      <w:pPr>
        <w:spacing w:line="276" w:lineRule="auto"/>
        <w:rPr>
          <w:rFonts w:hint="eastAsia" w:ascii="仿宋" w:hAnsi="仿宋" w:eastAsia="仿宋" w:cs="仿宋"/>
          <w:szCs w:val="21"/>
        </w:rPr>
      </w:pPr>
      <w:r>
        <w:rPr>
          <w:rFonts w:hint="eastAsia" w:ascii="仿宋" w:hAnsi="仿宋" w:eastAsia="仿宋" w:cs="仿宋"/>
          <w:szCs w:val="21"/>
        </w:rPr>
        <w:t>（2）审定乙方制定的安保管理制度及实施细则，并监督使用人遵守；</w:t>
      </w:r>
    </w:p>
    <w:p>
      <w:pPr>
        <w:spacing w:line="276" w:lineRule="auto"/>
        <w:rPr>
          <w:rFonts w:hint="eastAsia" w:ascii="仿宋" w:hAnsi="仿宋" w:eastAsia="仿宋" w:cs="仿宋"/>
          <w:szCs w:val="21"/>
        </w:rPr>
      </w:pPr>
      <w:r>
        <w:rPr>
          <w:rFonts w:hint="eastAsia" w:ascii="仿宋" w:hAnsi="仿宋" w:eastAsia="仿宋" w:cs="仿宋"/>
          <w:szCs w:val="21"/>
        </w:rPr>
        <w:t>（3）审议乙方制订的年度管理计划、资金使用计划；</w:t>
      </w:r>
    </w:p>
    <w:p>
      <w:pPr>
        <w:spacing w:line="276" w:lineRule="auto"/>
        <w:rPr>
          <w:rFonts w:hint="eastAsia" w:ascii="仿宋" w:hAnsi="仿宋" w:eastAsia="仿宋" w:cs="仿宋"/>
          <w:szCs w:val="21"/>
        </w:rPr>
      </w:pPr>
      <w:r>
        <w:rPr>
          <w:rFonts w:hint="eastAsia" w:ascii="仿宋" w:hAnsi="仿宋" w:eastAsia="仿宋" w:cs="仿宋"/>
          <w:szCs w:val="21"/>
        </w:rPr>
        <w:t>（4）负责对乙方执行日常工作的监督及乙方派驻现场的物业管理人员的监督；</w:t>
      </w:r>
    </w:p>
    <w:p>
      <w:pPr>
        <w:spacing w:line="276" w:lineRule="auto"/>
        <w:rPr>
          <w:rFonts w:hint="eastAsia" w:ascii="仿宋" w:hAnsi="仿宋" w:eastAsia="仿宋" w:cs="仿宋"/>
          <w:szCs w:val="21"/>
        </w:rPr>
      </w:pPr>
      <w:r>
        <w:rPr>
          <w:rFonts w:hint="eastAsia" w:ascii="仿宋" w:hAnsi="仿宋" w:eastAsia="仿宋" w:cs="仿宋"/>
          <w:szCs w:val="21"/>
        </w:rPr>
        <w:t>（5）负责对乙方安保管理业务及管理人员的满意率考评。</w:t>
      </w:r>
    </w:p>
    <w:p>
      <w:pPr>
        <w:spacing w:line="276" w:lineRule="auto"/>
        <w:rPr>
          <w:rFonts w:hint="eastAsia" w:ascii="仿宋" w:hAnsi="仿宋" w:eastAsia="仿宋" w:cs="仿宋"/>
          <w:szCs w:val="21"/>
        </w:rPr>
      </w:pPr>
      <w:r>
        <w:rPr>
          <w:rFonts w:hint="eastAsia" w:ascii="仿宋" w:hAnsi="仿宋" w:eastAsia="仿宋" w:cs="仿宋"/>
          <w:szCs w:val="21"/>
        </w:rPr>
        <w:t>（6）检查监督乙方招标文书及管理方案的实施和制度的实行情况；</w:t>
      </w:r>
    </w:p>
    <w:p>
      <w:pPr>
        <w:spacing w:line="276" w:lineRule="auto"/>
        <w:rPr>
          <w:rFonts w:hint="eastAsia" w:ascii="仿宋" w:hAnsi="仿宋" w:eastAsia="仿宋" w:cs="仿宋"/>
          <w:szCs w:val="21"/>
        </w:rPr>
      </w:pPr>
      <w:r>
        <w:rPr>
          <w:rFonts w:hint="eastAsia" w:ascii="仿宋" w:hAnsi="仿宋" w:eastAsia="仿宋" w:cs="仿宋"/>
          <w:szCs w:val="21"/>
        </w:rPr>
        <w:t>（7）按本合同的规定支付安保服务费，并按有关规定提供给乙方必要的管理用房；</w:t>
      </w:r>
    </w:p>
    <w:p>
      <w:pPr>
        <w:spacing w:line="276" w:lineRule="auto"/>
        <w:rPr>
          <w:rFonts w:hint="eastAsia" w:ascii="仿宋" w:hAnsi="仿宋" w:eastAsia="仿宋" w:cs="仿宋"/>
          <w:szCs w:val="21"/>
        </w:rPr>
      </w:pPr>
      <w:r>
        <w:rPr>
          <w:rFonts w:hint="eastAsia" w:ascii="仿宋" w:hAnsi="仿宋" w:eastAsia="仿宋" w:cs="仿宋"/>
          <w:szCs w:val="21"/>
        </w:rPr>
        <w:t>（8）甲方有权抽查安保服务费的使用情况。</w:t>
      </w:r>
    </w:p>
    <w:p>
      <w:pPr>
        <w:spacing w:line="276" w:lineRule="auto"/>
        <w:rPr>
          <w:rFonts w:hint="eastAsia" w:ascii="仿宋" w:hAnsi="仿宋" w:eastAsia="仿宋" w:cs="仿宋"/>
          <w:szCs w:val="21"/>
        </w:rPr>
      </w:pPr>
      <w:r>
        <w:rPr>
          <w:rFonts w:hint="eastAsia" w:ascii="仿宋" w:hAnsi="仿宋" w:eastAsia="仿宋" w:cs="仿宋"/>
          <w:szCs w:val="21"/>
        </w:rPr>
        <w:t>（9）协助乙方做好安保管理工作的宣传教育和文化活动；</w:t>
      </w:r>
    </w:p>
    <w:p>
      <w:pPr>
        <w:spacing w:line="276" w:lineRule="auto"/>
        <w:rPr>
          <w:rFonts w:hint="eastAsia" w:ascii="仿宋" w:hAnsi="仿宋" w:eastAsia="仿宋" w:cs="仿宋"/>
          <w:szCs w:val="21"/>
        </w:rPr>
      </w:pPr>
      <w:r>
        <w:rPr>
          <w:rFonts w:hint="eastAsia" w:ascii="仿宋" w:hAnsi="仿宋" w:eastAsia="仿宋" w:cs="仿宋"/>
          <w:szCs w:val="21"/>
        </w:rPr>
        <w:t>（10）处理合同期间在安保管理工作中需甲方出面协调的问题；</w:t>
      </w:r>
    </w:p>
    <w:p>
      <w:pPr>
        <w:spacing w:line="276" w:lineRule="auto"/>
        <w:rPr>
          <w:rFonts w:hint="eastAsia" w:ascii="仿宋" w:hAnsi="仿宋" w:eastAsia="仿宋" w:cs="仿宋"/>
          <w:szCs w:val="21"/>
        </w:rPr>
      </w:pPr>
      <w:r>
        <w:rPr>
          <w:rFonts w:hint="eastAsia" w:ascii="仿宋" w:hAnsi="仿宋" w:eastAsia="仿宋" w:cs="仿宋"/>
          <w:szCs w:val="21"/>
        </w:rPr>
        <w:t>（11）如因乙方管理不善，造成重大经济损失或管理严重失误，经有关部门认定，甲方有权终止本合同，并追究乙方的经济责任；</w:t>
      </w:r>
    </w:p>
    <w:p>
      <w:pPr>
        <w:spacing w:line="276" w:lineRule="auto"/>
        <w:rPr>
          <w:rFonts w:hint="eastAsia" w:ascii="仿宋" w:hAnsi="仿宋" w:eastAsia="仿宋" w:cs="仿宋"/>
          <w:b/>
          <w:szCs w:val="21"/>
        </w:rPr>
      </w:pPr>
      <w:r>
        <w:rPr>
          <w:rFonts w:hint="eastAsia" w:ascii="仿宋" w:hAnsi="仿宋" w:eastAsia="仿宋" w:cs="仿宋"/>
          <w:b/>
          <w:szCs w:val="21"/>
        </w:rPr>
        <w:t>9.2、乙方权利义务</w:t>
      </w:r>
    </w:p>
    <w:p>
      <w:pPr>
        <w:spacing w:line="276" w:lineRule="auto"/>
        <w:rPr>
          <w:rFonts w:hint="eastAsia" w:ascii="仿宋" w:hAnsi="仿宋" w:eastAsia="仿宋" w:cs="仿宋"/>
          <w:szCs w:val="21"/>
        </w:rPr>
      </w:pPr>
      <w:r>
        <w:rPr>
          <w:rFonts w:hint="eastAsia" w:ascii="仿宋" w:hAnsi="仿宋" w:eastAsia="仿宋" w:cs="仿宋"/>
          <w:szCs w:val="21"/>
        </w:rPr>
        <w:t>（1）根据有关法律、法规及本合同的约定，制定安保管理方案及实施安保管理方案，按投标文件的承诺履行合同,并配合甲方管理人员的业务检查,接受安保监管考核制度的约束,其考核结果作为安保服务费实际支付和下一轮安保合同签订的重要依据；</w:t>
      </w:r>
    </w:p>
    <w:p>
      <w:pPr>
        <w:spacing w:line="276" w:lineRule="auto"/>
        <w:rPr>
          <w:rFonts w:hint="eastAsia" w:ascii="仿宋" w:hAnsi="仿宋" w:eastAsia="仿宋" w:cs="仿宋"/>
          <w:szCs w:val="21"/>
        </w:rPr>
      </w:pPr>
      <w:r>
        <w:rPr>
          <w:rFonts w:hint="eastAsia" w:ascii="仿宋" w:hAnsi="仿宋" w:eastAsia="仿宋" w:cs="仿宋"/>
          <w:szCs w:val="21"/>
        </w:rPr>
        <w:t>（2）需建立健安保管理档案资料，如保安巡岗记录及其他需要记录在案的文档，并做好各项保密工作；</w:t>
      </w:r>
    </w:p>
    <w:p>
      <w:pPr>
        <w:spacing w:line="276" w:lineRule="auto"/>
        <w:rPr>
          <w:rFonts w:hint="eastAsia" w:ascii="仿宋" w:hAnsi="仿宋" w:eastAsia="仿宋" w:cs="仿宋"/>
          <w:szCs w:val="21"/>
        </w:rPr>
      </w:pPr>
      <w:r>
        <w:rPr>
          <w:rFonts w:hint="eastAsia" w:ascii="仿宋" w:hAnsi="仿宋" w:eastAsia="仿宋" w:cs="仿宋"/>
          <w:szCs w:val="21"/>
        </w:rPr>
        <w:t>（3）接受安保管理主管部门和招标方等有关部门的监督、指导；</w:t>
      </w:r>
    </w:p>
    <w:p>
      <w:pPr>
        <w:spacing w:line="276" w:lineRule="auto"/>
        <w:rPr>
          <w:rFonts w:hint="eastAsia" w:ascii="仿宋" w:hAnsi="仿宋" w:eastAsia="仿宋" w:cs="仿宋"/>
          <w:szCs w:val="21"/>
        </w:rPr>
      </w:pPr>
      <w:r>
        <w:rPr>
          <w:rFonts w:hint="eastAsia" w:ascii="仿宋" w:hAnsi="仿宋" w:eastAsia="仿宋" w:cs="仿宋"/>
          <w:szCs w:val="21"/>
        </w:rPr>
        <w:t>（4）应认真听取甲方提出的建议和意见，并接受甲方的考核管理规定，对在安保管理中出现的问题和薄弱环节应立即整改。</w:t>
      </w:r>
    </w:p>
    <w:p>
      <w:pPr>
        <w:spacing w:line="276" w:lineRule="auto"/>
        <w:rPr>
          <w:rFonts w:hint="eastAsia" w:ascii="仿宋" w:hAnsi="仿宋" w:eastAsia="仿宋" w:cs="仿宋"/>
          <w:szCs w:val="21"/>
        </w:rPr>
      </w:pPr>
      <w:r>
        <w:rPr>
          <w:rFonts w:hint="eastAsia" w:ascii="仿宋" w:hAnsi="仿宋" w:eastAsia="仿宋" w:cs="仿宋"/>
          <w:szCs w:val="21"/>
        </w:rPr>
        <w:t>（5）对安保使用人违反法规、规章的行为，根据情节轻重，采取批评、规劝、警告、制止等措施或提请有关部门处理；</w:t>
      </w:r>
    </w:p>
    <w:p>
      <w:pPr>
        <w:spacing w:line="276" w:lineRule="auto"/>
        <w:rPr>
          <w:rFonts w:hint="eastAsia" w:ascii="仿宋" w:hAnsi="仿宋" w:eastAsia="仿宋" w:cs="仿宋"/>
          <w:szCs w:val="21"/>
        </w:rPr>
      </w:pPr>
      <w:r>
        <w:rPr>
          <w:rFonts w:hint="eastAsia" w:ascii="仿宋" w:hAnsi="仿宋" w:eastAsia="仿宋" w:cs="仿宋"/>
          <w:szCs w:val="21"/>
        </w:rPr>
        <w:t>（6）乙方不得将整体或部分安保任务对外转让或发包；</w:t>
      </w:r>
    </w:p>
    <w:p>
      <w:pPr>
        <w:spacing w:line="276" w:lineRule="auto"/>
        <w:rPr>
          <w:rFonts w:hint="eastAsia" w:ascii="仿宋" w:hAnsi="仿宋" w:eastAsia="仿宋" w:cs="仿宋"/>
          <w:b/>
          <w:szCs w:val="21"/>
        </w:rPr>
      </w:pPr>
      <w:r>
        <w:rPr>
          <w:rFonts w:hint="eastAsia" w:ascii="仿宋" w:hAnsi="仿宋" w:eastAsia="仿宋" w:cs="仿宋"/>
          <w:szCs w:val="21"/>
        </w:rPr>
        <w:t>（7）本合同终止时，乙方必须向甲方移交原委托管理的全部安保管理档案、财务等资料；移交其管理范围内的全部公共财产，并接受甲方指定专业机构的移交审核。</w:t>
      </w:r>
    </w:p>
    <w:p>
      <w:pPr>
        <w:spacing w:line="276" w:lineRule="auto"/>
        <w:rPr>
          <w:rFonts w:hint="eastAsia" w:ascii="仿宋" w:hAnsi="仿宋" w:eastAsia="仿宋" w:cs="仿宋"/>
          <w:b/>
          <w:szCs w:val="21"/>
        </w:rPr>
      </w:pPr>
      <w:r>
        <w:rPr>
          <w:rFonts w:hint="eastAsia" w:ascii="仿宋" w:hAnsi="仿宋" w:eastAsia="仿宋" w:cs="仿宋"/>
          <w:b/>
          <w:szCs w:val="21"/>
        </w:rPr>
        <w:t>十、违约责任</w:t>
      </w:r>
    </w:p>
    <w:p>
      <w:pPr>
        <w:spacing w:line="276" w:lineRule="auto"/>
        <w:rPr>
          <w:rFonts w:hint="eastAsia" w:ascii="仿宋" w:hAnsi="仿宋" w:eastAsia="仿宋" w:cs="仿宋"/>
          <w:szCs w:val="21"/>
        </w:rPr>
      </w:pPr>
      <w:r>
        <w:rPr>
          <w:rFonts w:hint="eastAsia" w:ascii="仿宋" w:hAnsi="仿宋" w:eastAsia="仿宋" w:cs="仿宋"/>
          <w:szCs w:val="21"/>
        </w:rPr>
        <w:t>10.1、由于甲方未履行本合同中所约定之内容，使乙方不能完成安保管理目标的，乙方有权要求甲方在一定期限内解决，逾期未解决的，乙方有权终止合同，造成乙方经济损失的，甲方应给予乙方经济赔偿。</w:t>
      </w:r>
    </w:p>
    <w:p>
      <w:pPr>
        <w:spacing w:line="276" w:lineRule="auto"/>
        <w:rPr>
          <w:rFonts w:hint="eastAsia" w:ascii="仿宋" w:hAnsi="仿宋" w:eastAsia="仿宋" w:cs="仿宋"/>
          <w:szCs w:val="21"/>
        </w:rPr>
      </w:pPr>
      <w:r>
        <w:rPr>
          <w:rFonts w:hint="eastAsia" w:ascii="仿宋" w:hAnsi="仿宋" w:eastAsia="仿宋" w:cs="仿宋"/>
          <w:szCs w:val="21"/>
        </w:rPr>
        <w:t>10.2、由于乙方违反本合同中所约定之内容，从而不能完成安保管理服务目标的，甲方有权要求乙方在一定期限内整改，逾期未整改的，甲方有权终止合同，造成甲方经济损失的，乙方应给予甲方经济赔偿。</w:t>
      </w:r>
    </w:p>
    <w:p>
      <w:pPr>
        <w:spacing w:line="276" w:lineRule="auto"/>
        <w:rPr>
          <w:rFonts w:hint="eastAsia" w:ascii="仿宋" w:hAnsi="仿宋" w:eastAsia="仿宋" w:cs="仿宋"/>
          <w:szCs w:val="21"/>
        </w:rPr>
      </w:pPr>
      <w:r>
        <w:rPr>
          <w:rFonts w:hint="eastAsia" w:ascii="仿宋" w:hAnsi="仿宋" w:eastAsia="仿宋" w:cs="仿宋"/>
          <w:szCs w:val="21"/>
        </w:rPr>
        <w:t>10.3、甲乙双方中任何一方无法律依据提前终止合同，造成另一方经济损失的，违约方应赔偿另一方一个月安保管理费作为违约金，造成经济损失的，应给予经济赔偿。</w:t>
      </w:r>
    </w:p>
    <w:p>
      <w:pPr>
        <w:spacing w:line="276" w:lineRule="auto"/>
        <w:rPr>
          <w:rFonts w:hint="eastAsia" w:ascii="仿宋" w:hAnsi="仿宋" w:eastAsia="仿宋" w:cs="仿宋"/>
          <w:szCs w:val="21"/>
        </w:rPr>
      </w:pPr>
      <w:r>
        <w:rPr>
          <w:rFonts w:hint="eastAsia" w:ascii="仿宋" w:hAnsi="仿宋" w:eastAsia="仿宋" w:cs="仿宋"/>
          <w:szCs w:val="21"/>
        </w:rPr>
        <w:t>10.4、争议之解决方式：在本合同执行中如发生争议，甲乙双方应通过友好协商解决，协商不成的，则向所在地有管辖权的人民法院（余姚市人民法院）提起诉讼；</w:t>
      </w:r>
    </w:p>
    <w:p>
      <w:pPr>
        <w:spacing w:line="276" w:lineRule="auto"/>
        <w:rPr>
          <w:rFonts w:hint="eastAsia" w:ascii="仿宋" w:hAnsi="仿宋" w:eastAsia="仿宋" w:cs="仿宋"/>
          <w:b/>
          <w:szCs w:val="21"/>
        </w:rPr>
      </w:pPr>
      <w:r>
        <w:rPr>
          <w:rFonts w:hint="eastAsia" w:ascii="仿宋" w:hAnsi="仿宋" w:eastAsia="仿宋" w:cs="仿宋"/>
          <w:b/>
          <w:szCs w:val="21"/>
        </w:rPr>
        <w:t>十一、合同生效</w:t>
      </w:r>
    </w:p>
    <w:p>
      <w:pPr>
        <w:spacing w:line="276" w:lineRule="auto"/>
        <w:rPr>
          <w:rFonts w:hint="eastAsia" w:ascii="仿宋" w:hAnsi="仿宋" w:eastAsia="仿宋" w:cs="仿宋"/>
          <w:szCs w:val="21"/>
        </w:rPr>
      </w:pPr>
      <w:r>
        <w:rPr>
          <w:rFonts w:hint="eastAsia" w:ascii="仿宋" w:hAnsi="仿宋" w:eastAsia="仿宋" w:cs="仿宋"/>
          <w:szCs w:val="21"/>
        </w:rPr>
        <w:t>11.1、本合同经甲乙双方法定代表人或其委托人签字并加盖公章后生效，双方责任与义务履行完毕，合同终止。</w:t>
      </w:r>
    </w:p>
    <w:p>
      <w:pPr>
        <w:spacing w:line="276" w:lineRule="auto"/>
        <w:rPr>
          <w:rFonts w:hint="eastAsia" w:ascii="仿宋" w:hAnsi="仿宋" w:eastAsia="仿宋" w:cs="仿宋"/>
          <w:szCs w:val="21"/>
        </w:rPr>
      </w:pPr>
      <w:r>
        <w:rPr>
          <w:rFonts w:hint="eastAsia" w:ascii="仿宋" w:hAnsi="仿宋" w:eastAsia="仿宋" w:cs="仿宋"/>
          <w:szCs w:val="21"/>
        </w:rPr>
        <w:t>11.2、自本合同生效之日起20天内，根据甲方委托管理事项，办理完交接验收手续；</w:t>
      </w:r>
    </w:p>
    <w:p>
      <w:pPr>
        <w:spacing w:line="276" w:lineRule="auto"/>
        <w:rPr>
          <w:rFonts w:hint="eastAsia" w:ascii="仿宋" w:hAnsi="仿宋" w:eastAsia="仿宋" w:cs="仿宋"/>
          <w:szCs w:val="21"/>
        </w:rPr>
      </w:pPr>
      <w:r>
        <w:rPr>
          <w:rFonts w:hint="eastAsia" w:ascii="仿宋" w:hAnsi="仿宋" w:eastAsia="仿宋" w:cs="仿宋"/>
          <w:szCs w:val="21"/>
        </w:rPr>
        <w:t>11.3、本合同一式五份，甲乙双方各执贰份，代理机构存档一份。</w:t>
      </w:r>
    </w:p>
    <w:p>
      <w:pPr>
        <w:spacing w:line="276" w:lineRule="auto"/>
        <w:rPr>
          <w:rFonts w:hint="eastAsia" w:ascii="仿宋" w:hAnsi="仿宋" w:eastAsia="仿宋" w:cs="仿宋"/>
          <w:szCs w:val="21"/>
        </w:rPr>
      </w:pPr>
      <w:r>
        <w:rPr>
          <w:rFonts w:hint="eastAsia" w:ascii="仿宋" w:hAnsi="仿宋" w:eastAsia="仿宋" w:cs="仿宋"/>
          <w:szCs w:val="21"/>
        </w:rPr>
        <w:t>11.4、其他未尽事宜，双方协商一致，应增加补充条款。补充条款为本合同的组成部分。</w:t>
      </w:r>
    </w:p>
    <w:p>
      <w:pPr>
        <w:spacing w:line="276" w:lineRule="auto"/>
        <w:rPr>
          <w:rFonts w:hint="eastAsia" w:ascii="仿宋" w:hAnsi="仿宋" w:eastAsia="仿宋" w:cs="仿宋"/>
          <w:szCs w:val="21"/>
        </w:rPr>
      </w:pPr>
      <w:r>
        <w:rPr>
          <w:rFonts w:hint="eastAsia" w:ascii="仿宋" w:hAnsi="仿宋" w:eastAsia="仿宋" w:cs="仿宋"/>
          <w:szCs w:val="21"/>
        </w:rPr>
        <w:t>11.5、相关竞争性招标文件、投标文件与本合同具有同等法律效力。</w:t>
      </w: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甲  方（盖章）：                                  乙  方（盖章）：  </w:t>
      </w:r>
    </w:p>
    <w:p>
      <w:pPr>
        <w:rPr>
          <w:rFonts w:hint="eastAsia" w:ascii="仿宋" w:hAnsi="仿宋" w:eastAsia="仿宋" w:cs="仿宋"/>
          <w:szCs w:val="21"/>
        </w:rPr>
      </w:pPr>
      <w:r>
        <w:rPr>
          <w:rFonts w:hint="eastAsia" w:ascii="仿宋" w:hAnsi="仿宋" w:eastAsia="仿宋" w:cs="仿宋"/>
          <w:szCs w:val="21"/>
        </w:rPr>
        <w:t>法定代表人或受委托人（签字）：               法定代表人或受委托人（签字）：</w:t>
      </w:r>
    </w:p>
    <w:p>
      <w:pPr>
        <w:rPr>
          <w:rFonts w:hint="eastAsia" w:ascii="仿宋" w:hAnsi="仿宋" w:eastAsia="仿宋" w:cs="仿宋"/>
          <w:szCs w:val="21"/>
        </w:rPr>
      </w:pPr>
      <w:r>
        <w:rPr>
          <w:rFonts w:hint="eastAsia" w:ascii="仿宋" w:hAnsi="仿宋" w:eastAsia="仿宋" w:cs="仿宋"/>
          <w:szCs w:val="21"/>
        </w:rPr>
        <w:t xml:space="preserve">电  话：                                          电  话： </w:t>
      </w:r>
    </w:p>
    <w:p>
      <w:pPr>
        <w:rPr>
          <w:rFonts w:hint="eastAsia" w:ascii="仿宋" w:hAnsi="仿宋" w:eastAsia="仿宋" w:cs="仿宋"/>
          <w:szCs w:val="21"/>
        </w:rPr>
      </w:pPr>
      <w:r>
        <w:rPr>
          <w:rFonts w:hint="eastAsia" w:ascii="仿宋" w:hAnsi="仿宋" w:eastAsia="仿宋" w:cs="仿宋"/>
          <w:szCs w:val="21"/>
        </w:rPr>
        <w:t>开户银行：                                        开户银行：</w:t>
      </w:r>
    </w:p>
    <w:p>
      <w:pPr>
        <w:rPr>
          <w:rFonts w:hint="eastAsia" w:ascii="仿宋" w:hAnsi="仿宋" w:eastAsia="仿宋" w:cs="仿宋"/>
          <w:szCs w:val="21"/>
        </w:rPr>
      </w:pPr>
      <w:r>
        <w:rPr>
          <w:rFonts w:hint="eastAsia" w:ascii="仿宋" w:hAnsi="仿宋" w:eastAsia="仿宋" w:cs="仿宋"/>
          <w:szCs w:val="21"/>
        </w:rPr>
        <w:t>帐  号：                                          帐  号：</w:t>
      </w:r>
    </w:p>
    <w:p>
      <w:pPr>
        <w:rPr>
          <w:rFonts w:hint="eastAsia" w:ascii="仿宋" w:hAnsi="仿宋" w:eastAsia="仿宋" w:cs="仿宋"/>
          <w:szCs w:val="21"/>
        </w:rPr>
      </w:pPr>
      <w:r>
        <w:rPr>
          <w:rFonts w:hint="eastAsia" w:ascii="仿宋" w:hAnsi="仿宋" w:eastAsia="仿宋" w:cs="仿宋"/>
          <w:szCs w:val="21"/>
        </w:rPr>
        <w:t>签订地点：                                        签订时间：   年   月   日</w:t>
      </w:r>
    </w:p>
    <w:p>
      <w:pPr>
        <w:pStyle w:val="2"/>
        <w:tabs>
          <w:tab w:val="left" w:pos="2472"/>
        </w:tabs>
        <w:snapToGrid w:val="0"/>
        <w:spacing w:before="0" w:beforeLines="0" w:after="0" w:afterLines="0" w:line="360" w:lineRule="auto"/>
        <w:jc w:val="center"/>
        <w:outlineLvl w:val="0"/>
        <w:rPr>
          <w:rFonts w:hint="eastAsia" w:ascii="仿宋" w:hAnsi="仿宋" w:eastAsia="仿宋" w:cs="仿宋"/>
          <w:color w:val="000000"/>
          <w:sz w:val="21"/>
          <w:szCs w:val="21"/>
        </w:rPr>
      </w:pPr>
      <w:r>
        <w:rPr>
          <w:rFonts w:hint="eastAsia" w:cs="宋体"/>
          <w:bCs/>
          <w:szCs w:val="21"/>
        </w:rPr>
        <w:br w:type="page"/>
      </w:r>
      <w:bookmarkEnd w:id="149"/>
      <w:r>
        <w:rPr>
          <w:rFonts w:hint="eastAsia" w:ascii="仿宋" w:hAnsi="仿宋" w:eastAsia="仿宋" w:cs="仿宋"/>
          <w:color w:val="000000"/>
          <w:sz w:val="21"/>
          <w:szCs w:val="21"/>
        </w:rPr>
        <w:t>第六章　投标文件格式</w:t>
      </w:r>
      <w:bookmarkEnd w:id="150"/>
      <w:bookmarkEnd w:id="151"/>
    </w:p>
    <w:p>
      <w:pPr>
        <w:tabs>
          <w:tab w:val="left" w:pos="720"/>
        </w:tabs>
        <w:spacing w:line="360" w:lineRule="auto"/>
        <w:ind w:left="720" w:hanging="720"/>
        <w:jc w:val="center"/>
        <w:outlineLvl w:val="1"/>
        <w:rPr>
          <w:rFonts w:hint="eastAsia" w:ascii="仿宋" w:hAnsi="仿宋" w:eastAsia="仿宋" w:cs="仿宋"/>
          <w:color w:val="000000"/>
          <w:szCs w:val="21"/>
        </w:rPr>
      </w:pPr>
      <w:bookmarkStart w:id="152" w:name="_Toc26256"/>
      <w:bookmarkStart w:id="153" w:name="_Toc19837"/>
      <w:r>
        <w:rPr>
          <w:rFonts w:hint="eastAsia" w:ascii="仿宋" w:hAnsi="仿宋" w:eastAsia="仿宋" w:cs="仿宋"/>
          <w:color w:val="000000"/>
          <w:szCs w:val="21"/>
        </w:rPr>
        <w:t>一、资格证明材料部分目录（政采云平台上传资料时不要此目录）</w:t>
      </w:r>
      <w:bookmarkEnd w:id="152"/>
      <w:bookmarkEnd w:id="153"/>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711"/>
        <w:gridCol w:w="240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序号</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材料名称</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说  明</w:t>
            </w:r>
          </w:p>
        </w:tc>
        <w:tc>
          <w:tcPr>
            <w:tcW w:w="144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w:t>
            </w:r>
          </w:p>
        </w:tc>
        <w:tc>
          <w:tcPr>
            <w:tcW w:w="4711" w:type="dxa"/>
            <w:noWrap w:val="0"/>
            <w:vAlign w:val="center"/>
          </w:tcPr>
          <w:p>
            <w:pPr>
              <w:spacing w:line="360" w:lineRule="auto"/>
              <w:jc w:val="left"/>
              <w:rPr>
                <w:rFonts w:hint="eastAsia" w:ascii="仿宋" w:hAnsi="仿宋" w:eastAsia="仿宋" w:cs="仿宋"/>
                <w:color w:val="000000"/>
              </w:rPr>
            </w:pPr>
            <w:r>
              <w:rPr>
                <w:rFonts w:hint="eastAsia" w:ascii="仿宋" w:hAnsi="仿宋" w:eastAsia="仿宋" w:cs="仿宋"/>
                <w:color w:val="000000"/>
                <w:szCs w:val="21"/>
              </w:rPr>
              <w:t>法人营业执照（副本）或事业单位法人证书（副本）营业执照的复印件</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加盖单位公章</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2</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具有良好的商业信誉和健全的财务会计制度的声明书</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附件一-1</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3</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具有履行合同所必需的设备和专业技术能力的声明书</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附件一-2</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4</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有依法缴纳税收和社会保障资金的良好记录的声明书</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附件一-3</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5</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参加采购活动前三年内，在经营活动中没有重大违法记录的声明书</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附件一-4</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6</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lang w:eastAsia="ar-SA"/>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000000"/>
                <w:szCs w:val="21"/>
              </w:rPr>
              <w:t>的声明书</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附件一-5</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7</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法定代表人的身份证明（附件二-1）。如果供应商派委托代理人参加投标的，另提供法定代表人授权书（附件二-2）</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附件二-1</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附件二-2</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8</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联合体协议书（投标人以联合体方式响应的必须提供联合体协议书，否则作无效标处理）</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附件三</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9</w:t>
            </w:r>
          </w:p>
        </w:tc>
        <w:tc>
          <w:tcPr>
            <w:tcW w:w="4711" w:type="dxa"/>
            <w:noWrap w:val="0"/>
            <w:vAlign w:val="center"/>
          </w:tcPr>
          <w:p>
            <w:pPr>
              <w:spacing w:line="360" w:lineRule="auto"/>
              <w:jc w:val="left"/>
              <w:rPr>
                <w:rFonts w:hint="eastAsia" w:ascii="仿宋" w:hAnsi="仿宋" w:eastAsia="仿宋" w:cs="仿宋"/>
                <w:color w:val="000000"/>
                <w:szCs w:val="21"/>
                <w:lang w:val="zh-CN"/>
              </w:rPr>
            </w:pPr>
            <w:r>
              <w:rPr>
                <w:rFonts w:hint="eastAsia" w:ascii="仿宋" w:hAnsi="仿宋" w:eastAsia="仿宋" w:cs="仿宋"/>
                <w:color w:val="auto"/>
              </w:rPr>
              <w:t>中小企业声明函</w:t>
            </w:r>
            <w:r>
              <w:rPr>
                <w:rFonts w:hint="eastAsia" w:ascii="仿宋" w:hAnsi="仿宋" w:eastAsia="仿宋" w:cs="仿宋"/>
                <w:color w:val="auto"/>
                <w:lang w:eastAsia="zh-CN"/>
              </w:rPr>
              <w:t>（</w:t>
            </w:r>
            <w:r>
              <w:rPr>
                <w:rFonts w:hint="eastAsia" w:ascii="仿宋" w:hAnsi="仿宋" w:eastAsia="仿宋" w:cs="仿宋"/>
                <w:color w:val="auto"/>
                <w:lang w:val="en-US" w:eastAsia="zh-CN"/>
              </w:rPr>
              <w:t>或</w:t>
            </w:r>
            <w:r>
              <w:rPr>
                <w:rFonts w:hint="eastAsia" w:ascii="仿宋" w:hAnsi="仿宋" w:eastAsia="仿宋" w:cs="仿宋"/>
                <w:color w:val="auto"/>
              </w:rPr>
              <w:t>残疾人福利性单位声明函</w:t>
            </w:r>
            <w:r>
              <w:rPr>
                <w:rFonts w:hint="eastAsia" w:ascii="仿宋" w:hAnsi="仿宋" w:eastAsia="仿宋" w:cs="仿宋"/>
                <w:color w:val="auto"/>
                <w:lang w:val="en-US" w:eastAsia="zh-CN"/>
              </w:rPr>
              <w:t>或</w:t>
            </w:r>
            <w:r>
              <w:rPr>
                <w:rFonts w:hint="eastAsia" w:ascii="仿宋" w:hAnsi="仿宋" w:eastAsia="仿宋" w:cs="仿宋"/>
                <w:color w:val="auto"/>
              </w:rPr>
              <w:t>监狱企业的证明文件</w:t>
            </w:r>
            <w:r>
              <w:rPr>
                <w:rFonts w:hint="eastAsia" w:ascii="仿宋" w:hAnsi="仿宋" w:eastAsia="仿宋" w:cs="仿宋"/>
                <w:color w:val="auto"/>
                <w:lang w:eastAsia="zh-CN"/>
              </w:rPr>
              <w:t>）</w:t>
            </w:r>
          </w:p>
        </w:tc>
        <w:tc>
          <w:tcPr>
            <w:tcW w:w="2402" w:type="dxa"/>
            <w:noWrap w:val="0"/>
            <w:vAlign w:val="center"/>
          </w:tcPr>
          <w:p>
            <w:pPr>
              <w:spacing w:line="360" w:lineRule="auto"/>
              <w:jc w:val="left"/>
              <w:rPr>
                <w:rFonts w:hint="eastAsia" w:ascii="仿宋" w:hAnsi="仿宋" w:eastAsia="仿宋" w:cs="仿宋"/>
                <w:color w:val="000000"/>
                <w:szCs w:val="21"/>
              </w:rPr>
            </w:pP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6"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10</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lang w:val="zh-CN"/>
              </w:rPr>
              <w:t>有效的保安服务许可证证书复印件</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1441" w:type="dxa"/>
            <w:noWrap w:val="0"/>
            <w:vAlign w:val="top"/>
          </w:tcPr>
          <w:p>
            <w:pPr>
              <w:spacing w:line="360" w:lineRule="auto"/>
              <w:jc w:val="left"/>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6" w:type="dxa"/>
            <w:noWrap w:val="0"/>
            <w:vAlign w:val="center"/>
          </w:tcPr>
          <w:p>
            <w:pPr>
              <w:spacing w:line="360" w:lineRule="auto"/>
              <w:jc w:val="lef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w:t>
            </w:r>
          </w:p>
        </w:tc>
        <w:tc>
          <w:tcPr>
            <w:tcW w:w="4711"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投标人认为需提供的其他资格审查资料</w:t>
            </w:r>
          </w:p>
        </w:tc>
        <w:tc>
          <w:tcPr>
            <w:tcW w:w="2402" w:type="dxa"/>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w:t>
            </w:r>
          </w:p>
        </w:tc>
        <w:tc>
          <w:tcPr>
            <w:tcW w:w="1441" w:type="dxa"/>
            <w:noWrap w:val="0"/>
            <w:vAlign w:val="top"/>
          </w:tcPr>
          <w:p>
            <w:pPr>
              <w:spacing w:line="360" w:lineRule="auto"/>
              <w:jc w:val="left"/>
              <w:rPr>
                <w:rFonts w:hint="eastAsia" w:ascii="仿宋" w:hAnsi="仿宋" w:eastAsia="仿宋" w:cs="仿宋"/>
                <w:color w:val="000000"/>
                <w:szCs w:val="21"/>
              </w:rPr>
            </w:pPr>
          </w:p>
        </w:tc>
      </w:tr>
    </w:tbl>
    <w:p>
      <w:pPr>
        <w:spacing w:line="360" w:lineRule="auto"/>
        <w:rPr>
          <w:rFonts w:hint="eastAsia" w:ascii="仿宋" w:hAnsi="仿宋" w:eastAsia="仿宋" w:cs="仿宋"/>
          <w:b/>
          <w:bCs/>
          <w:color w:val="000000"/>
          <w:szCs w:val="21"/>
        </w:rPr>
      </w:pPr>
    </w:p>
    <w:p>
      <w:pPr>
        <w:spacing w:line="360" w:lineRule="auto"/>
        <w:outlineLvl w:val="1"/>
        <w:rPr>
          <w:rFonts w:hint="eastAsia" w:ascii="仿宋" w:hAnsi="仿宋" w:eastAsia="仿宋" w:cs="仿宋"/>
          <w:color w:val="000000"/>
          <w:szCs w:val="21"/>
        </w:rPr>
        <w:sectPr>
          <w:headerReference r:id="rId7" w:type="default"/>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54" w:name="_Toc7525"/>
      <w:bookmarkStart w:id="155" w:name="_Toc3426"/>
      <w:r>
        <w:rPr>
          <w:rFonts w:hint="eastAsia" w:ascii="仿宋" w:hAnsi="仿宋" w:eastAsia="仿宋" w:cs="仿宋"/>
          <w:color w:val="000000"/>
          <w:szCs w:val="21"/>
        </w:rPr>
        <w:t>附件一-1</w:t>
      </w:r>
      <w:bookmarkEnd w:id="154"/>
      <w:bookmarkEnd w:id="155"/>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具有良好的商业信誉和健全的财务会计制度的声明书</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（采购单位名称）：</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我单位具有良好的商业信誉和健全的财务会计制度，特此声明！附相关证明资料。</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供应商（公章）：</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注：相关证明资料由供应商自行提供，不作为强制性资格要求。</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outlineLvl w:val="1"/>
        <w:rPr>
          <w:rFonts w:hint="eastAsia" w:ascii="仿宋" w:hAnsi="仿宋" w:eastAsia="仿宋" w:cs="仿宋"/>
          <w:color w:val="000000"/>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56" w:name="_Toc22404"/>
      <w:bookmarkStart w:id="157" w:name="_Toc15664"/>
      <w:r>
        <w:rPr>
          <w:rFonts w:hint="eastAsia" w:ascii="仿宋" w:hAnsi="仿宋" w:eastAsia="仿宋" w:cs="仿宋"/>
          <w:color w:val="000000"/>
          <w:szCs w:val="21"/>
        </w:rPr>
        <w:t>附件一-2</w:t>
      </w:r>
      <w:bookmarkEnd w:id="156"/>
      <w:bookmarkEnd w:id="157"/>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具有履行合同所必需的设备和专业技术能力的声明书</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（采购单位名称）：</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我单位具有履行合同所必需的设备和专业技术能力，特此声明！附相关证明资料。</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供应商（公章）：</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注：相关证明资料由供应商自行提供，不作为强制性资格要求。</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58" w:name="_Toc17397"/>
      <w:bookmarkStart w:id="159" w:name="_Toc4547"/>
      <w:r>
        <w:rPr>
          <w:rFonts w:hint="eastAsia" w:ascii="仿宋" w:hAnsi="仿宋" w:eastAsia="仿宋" w:cs="仿宋"/>
          <w:color w:val="000000"/>
          <w:szCs w:val="21"/>
        </w:rPr>
        <w:t>附件一-3</w:t>
      </w:r>
      <w:bookmarkEnd w:id="158"/>
      <w:bookmarkEnd w:id="159"/>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有依法缴纳税收和社会保障资金的良好记录的声明书</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（采购单位名称）：</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我单位有依法缴纳税收和社会保障资金的良好记录，特此声明！附相关证明资料。</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供应商（公章）：</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注：相关证明资料由供应商自行提供，不作为强制性资格要求。</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60" w:name="_Toc28197"/>
      <w:bookmarkStart w:id="161" w:name="_Toc10503"/>
      <w:r>
        <w:rPr>
          <w:rFonts w:hint="eastAsia" w:ascii="仿宋" w:hAnsi="仿宋" w:eastAsia="仿宋" w:cs="仿宋"/>
          <w:color w:val="000000"/>
          <w:szCs w:val="21"/>
        </w:rPr>
        <w:t>附件一-4</w:t>
      </w:r>
      <w:bookmarkEnd w:id="160"/>
      <w:bookmarkEnd w:id="161"/>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在经营活动中没有重大违法记录的声明书</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（采购单位名称）：</w:t>
      </w:r>
    </w:p>
    <w:p>
      <w:pPr>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我单位参加政府采购活动前3年内，在经营活动中没有重大违法记录（重大违法记录指供应商因违法经营受到刑事处罚或者责令停产停业、吊销许可证或者执照的行政处罚），特此声明！附相关证明资料。</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供应商（公章）：</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注：相关证明资料由供应商自行提供，不作为强制性资格要求。</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62" w:name="_Toc8508"/>
      <w:bookmarkStart w:id="163" w:name="_Toc8562"/>
      <w:r>
        <w:rPr>
          <w:rFonts w:hint="eastAsia" w:ascii="仿宋" w:hAnsi="仿宋" w:eastAsia="仿宋" w:cs="仿宋"/>
          <w:color w:val="000000"/>
          <w:szCs w:val="21"/>
        </w:rPr>
        <w:t>附件一-5</w:t>
      </w:r>
      <w:bookmarkEnd w:id="162"/>
      <w:bookmarkEnd w:id="163"/>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信用声明书</w:t>
      </w:r>
    </w:p>
    <w:p>
      <w:pPr>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（采购单位名称）：</w:t>
      </w:r>
    </w:p>
    <w:p>
      <w:pPr>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我单位未被“信用中国”（www.creditchina.gov.cn）、中国政府采购网（www.ccgp.gov.cn）列入失信被执行人、重大税收违法案件当事人名单、政府采购严重违法失信行为记录名单，特此声明！附相关证明资料。</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供应商（公章）：</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注：相关证明资料由供应商自行提供，不作为强制性资格要求。</w:t>
      </w:r>
    </w:p>
    <w:p>
      <w:pPr>
        <w:pStyle w:val="114"/>
        <w:rPr>
          <w:rFonts w:hint="eastAsia" w:ascii="仿宋" w:hAnsi="仿宋" w:eastAsia="仿宋" w:cs="仿宋"/>
          <w:color w:val="000000"/>
          <w:szCs w:val="21"/>
        </w:rPr>
      </w:pPr>
    </w:p>
    <w:p>
      <w:pPr>
        <w:pStyle w:val="114"/>
        <w:rPr>
          <w:rFonts w:hint="eastAsia" w:ascii="仿宋" w:hAnsi="仿宋" w:eastAsia="仿宋" w:cs="仿宋"/>
          <w:color w:val="000000"/>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仿宋" w:hAnsi="仿宋" w:eastAsia="仿宋" w:cs="仿宋"/>
          <w:color w:val="000000"/>
          <w:szCs w:val="21"/>
        </w:rPr>
      </w:pPr>
      <w:bookmarkStart w:id="164" w:name="_Toc17915"/>
      <w:bookmarkStart w:id="165" w:name="_Toc12908"/>
      <w:r>
        <w:rPr>
          <w:rFonts w:hint="eastAsia" w:ascii="仿宋" w:hAnsi="仿宋" w:eastAsia="仿宋" w:cs="仿宋"/>
          <w:color w:val="000000"/>
          <w:szCs w:val="21"/>
        </w:rPr>
        <w:t>附件二-1</w:t>
      </w:r>
      <w:bookmarkEnd w:id="164"/>
      <w:bookmarkEnd w:id="165"/>
    </w:p>
    <w:p>
      <w:pPr>
        <w:spacing w:line="360" w:lineRule="auto"/>
        <w:jc w:val="center"/>
        <w:rPr>
          <w:rFonts w:hint="eastAsia" w:ascii="仿宋" w:hAnsi="仿宋" w:eastAsia="仿宋" w:cs="仿宋"/>
          <w:b/>
          <w:color w:val="000000"/>
          <w:spacing w:val="80"/>
          <w:szCs w:val="21"/>
        </w:rPr>
      </w:pPr>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法定代表人（企业负责人）身份证明书</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同志；在我单位任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职务，系我单位法定代表人（企业负责人），特此证明。</w:t>
      </w:r>
      <w:r>
        <w:rPr>
          <w:rFonts w:hint="eastAsia" w:ascii="仿宋" w:hAnsi="仿宋" w:eastAsia="仿宋" w:cs="仿宋"/>
          <w:b/>
          <w:color w:val="000000"/>
          <w:szCs w:val="21"/>
        </w:rPr>
        <w:t>附法定代表人（企业负责人）身份证复印件。</w:t>
      </w:r>
    </w:p>
    <w:p>
      <w:pPr>
        <w:spacing w:line="360" w:lineRule="auto"/>
        <w:ind w:firstLine="2730" w:firstLineChars="1300"/>
        <w:rPr>
          <w:rFonts w:hint="eastAsia" w:ascii="仿宋" w:hAnsi="仿宋" w:eastAsia="仿宋" w:cs="仿宋"/>
          <w:color w:val="000000"/>
          <w:szCs w:val="21"/>
        </w:rPr>
      </w:pPr>
    </w:p>
    <w:p>
      <w:pPr>
        <w:spacing w:line="360" w:lineRule="auto"/>
        <w:ind w:firstLine="2730" w:firstLineChars="1300"/>
        <w:rPr>
          <w:rFonts w:hint="eastAsia" w:ascii="仿宋" w:hAnsi="仿宋" w:eastAsia="仿宋" w:cs="仿宋"/>
          <w:color w:val="000000"/>
          <w:szCs w:val="21"/>
        </w:rPr>
      </w:pPr>
      <w:r>
        <w:rPr>
          <w:rFonts w:hint="eastAsia" w:ascii="仿宋" w:hAnsi="仿宋" w:eastAsia="仿宋" w:cs="仿宋"/>
          <w:color w:val="000000"/>
          <w:szCs w:val="21"/>
        </w:rPr>
        <w:t>供应商全称（单位公章）</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附：法定代表人（企业负责人）身份证号码：</w:t>
      </w:r>
      <w:r>
        <w:rPr>
          <w:rFonts w:hint="eastAsia" w:ascii="仿宋" w:hAnsi="仿宋" w:eastAsia="仿宋" w:cs="仿宋"/>
          <w:color w:val="000000"/>
          <w:szCs w:val="21"/>
          <w:u w:val="single"/>
        </w:rPr>
        <w:t xml:space="preserve">                   </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移动电话：</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重要提示：1、评审期间，应当保持移动电话通讯正常，否则造成不利后果自行负责；2、如若组织开展远程视频通讯时，将通过此微信号码与您通讯。未填写或通讯时无应答，视为放弃视频通讯的权利。</w:t>
      </w:r>
    </w:p>
    <w:p>
      <w:pPr>
        <w:spacing w:line="360" w:lineRule="auto"/>
        <w:outlineLvl w:val="2"/>
        <w:rPr>
          <w:rFonts w:hint="eastAsia" w:ascii="仿宋" w:hAnsi="仿宋" w:eastAsia="仿宋" w:cs="仿宋"/>
          <w:color w:val="000000"/>
          <w:szCs w:val="21"/>
        </w:rPr>
      </w:pPr>
      <w:r>
        <w:rPr>
          <w:rFonts w:hint="eastAsia" w:ascii="仿宋" w:hAnsi="仿宋" w:eastAsia="仿宋" w:cs="仿宋"/>
          <w:color w:val="000000"/>
          <w:szCs w:val="21"/>
        </w:rPr>
        <w:br w:type="page"/>
      </w:r>
      <w:bookmarkStart w:id="166" w:name="_Toc5556"/>
      <w:bookmarkStart w:id="167" w:name="_Toc302"/>
      <w:r>
        <w:rPr>
          <w:rFonts w:hint="eastAsia" w:ascii="仿宋" w:hAnsi="仿宋" w:eastAsia="仿宋" w:cs="仿宋"/>
          <w:color w:val="000000"/>
          <w:szCs w:val="21"/>
        </w:rPr>
        <w:t>附件二-2</w:t>
      </w:r>
      <w:bookmarkEnd w:id="166"/>
      <w:bookmarkEnd w:id="167"/>
    </w:p>
    <w:p>
      <w:pPr>
        <w:tabs>
          <w:tab w:val="left" w:pos="1575"/>
        </w:tabs>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法定代表人（企业负责人）授权书</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pPr>
        <w:wordWrap w:val="0"/>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（供应商全称）法定代表人（企业负责人）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授权</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（其委托代理人姓名）为其委托代理人，参加贵单位组织的</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项目名称）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（采购编号）公开招标采购活动，全权处理公开招标采购活动中的一切事宜。</w:t>
      </w:r>
      <w:r>
        <w:rPr>
          <w:rFonts w:hint="eastAsia" w:ascii="仿宋" w:hAnsi="仿宋" w:eastAsia="仿宋" w:cs="仿宋"/>
          <w:b/>
          <w:color w:val="000000"/>
          <w:szCs w:val="21"/>
        </w:rPr>
        <w:t>附委托代理人身份证复印件。</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pPr>
        <w:spacing w:line="360" w:lineRule="auto"/>
        <w:ind w:firstLine="2310" w:firstLineChars="1100"/>
        <w:rPr>
          <w:rFonts w:hint="eastAsia" w:ascii="仿宋" w:hAnsi="仿宋" w:eastAsia="仿宋" w:cs="仿宋"/>
          <w:color w:val="000000"/>
          <w:szCs w:val="21"/>
        </w:rPr>
      </w:pPr>
      <w:r>
        <w:rPr>
          <w:rFonts w:hint="eastAsia" w:ascii="仿宋" w:hAnsi="仿宋" w:eastAsia="仿宋" w:cs="仿宋"/>
          <w:color w:val="000000"/>
          <w:szCs w:val="21"/>
        </w:rPr>
        <w:t>供应商（单位公章）：</w:t>
      </w:r>
    </w:p>
    <w:p>
      <w:pPr>
        <w:spacing w:line="360" w:lineRule="auto"/>
        <w:ind w:firstLine="2310" w:firstLineChars="1100"/>
        <w:rPr>
          <w:rFonts w:hint="eastAsia" w:ascii="仿宋" w:hAnsi="仿宋" w:eastAsia="仿宋" w:cs="仿宋"/>
          <w:color w:val="000000"/>
          <w:szCs w:val="21"/>
        </w:rPr>
      </w:pPr>
      <w:r>
        <w:rPr>
          <w:rFonts w:hint="eastAsia" w:ascii="仿宋" w:hAnsi="仿宋" w:eastAsia="仿宋" w:cs="仿宋"/>
          <w:color w:val="000000"/>
          <w:szCs w:val="21"/>
        </w:rPr>
        <w:t>法定代表人（企业负责人）（签字或盖章）：</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p>
    <w:p>
      <w:pPr>
        <w:spacing w:line="360" w:lineRule="auto"/>
        <w:ind w:firstLine="3570" w:firstLineChars="1700"/>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附：</w:t>
      </w:r>
    </w:p>
    <w:p>
      <w:pPr>
        <w:spacing w:line="360" w:lineRule="auto"/>
        <w:ind w:firstLine="558" w:firstLineChars="266"/>
        <w:rPr>
          <w:rFonts w:hint="eastAsia" w:ascii="仿宋" w:hAnsi="仿宋" w:eastAsia="仿宋" w:cs="仿宋"/>
          <w:color w:val="000000"/>
          <w:szCs w:val="21"/>
        </w:rPr>
      </w:pPr>
      <w:r>
        <w:rPr>
          <w:rFonts w:hint="eastAsia" w:ascii="仿宋" w:hAnsi="仿宋" w:eastAsia="仿宋" w:cs="仿宋"/>
          <w:color w:val="000000"/>
          <w:szCs w:val="21"/>
        </w:rPr>
        <w:t>委托代理人姓名（签字或盖章）：</w:t>
      </w:r>
    </w:p>
    <w:p>
      <w:pPr>
        <w:spacing w:line="360" w:lineRule="auto"/>
        <w:ind w:firstLine="558" w:firstLineChars="266"/>
        <w:rPr>
          <w:rFonts w:hint="eastAsia" w:ascii="仿宋" w:hAnsi="仿宋" w:eastAsia="仿宋" w:cs="仿宋"/>
          <w:color w:val="000000"/>
          <w:szCs w:val="21"/>
        </w:rPr>
      </w:pPr>
      <w:r>
        <w:rPr>
          <w:rFonts w:hint="eastAsia" w:ascii="仿宋" w:hAnsi="仿宋" w:eastAsia="仿宋" w:cs="仿宋"/>
          <w:color w:val="000000"/>
          <w:szCs w:val="21"/>
        </w:rPr>
        <w:t>职    务：</w:t>
      </w:r>
    </w:p>
    <w:p>
      <w:pPr>
        <w:spacing w:line="360" w:lineRule="auto"/>
        <w:ind w:firstLine="558" w:firstLineChars="266"/>
        <w:rPr>
          <w:rFonts w:hint="eastAsia" w:ascii="仿宋" w:hAnsi="仿宋" w:eastAsia="仿宋" w:cs="仿宋"/>
          <w:color w:val="000000"/>
          <w:szCs w:val="21"/>
        </w:rPr>
      </w:pPr>
      <w:r>
        <w:rPr>
          <w:rFonts w:hint="eastAsia" w:ascii="仿宋" w:hAnsi="仿宋" w:eastAsia="仿宋" w:cs="仿宋"/>
          <w:color w:val="000000"/>
          <w:szCs w:val="21"/>
        </w:rPr>
        <w:t>通信地址：</w:t>
      </w:r>
    </w:p>
    <w:p>
      <w:pPr>
        <w:spacing w:line="360" w:lineRule="auto"/>
        <w:ind w:firstLine="558" w:firstLineChars="266"/>
        <w:rPr>
          <w:rFonts w:hint="eastAsia" w:ascii="仿宋" w:hAnsi="仿宋" w:eastAsia="仿宋" w:cs="仿宋"/>
          <w:color w:val="000000"/>
          <w:szCs w:val="21"/>
        </w:rPr>
      </w:pPr>
      <w:r>
        <w:rPr>
          <w:rFonts w:hint="eastAsia" w:ascii="仿宋" w:hAnsi="仿宋" w:eastAsia="仿宋" w:cs="仿宋"/>
          <w:color w:val="000000"/>
          <w:szCs w:val="21"/>
        </w:rPr>
        <w:t>移动电话：</w:t>
      </w:r>
    </w:p>
    <w:p>
      <w:pPr>
        <w:spacing w:line="360" w:lineRule="auto"/>
        <w:ind w:firstLine="422" w:firstLineChars="200"/>
        <w:rPr>
          <w:rFonts w:hint="eastAsia" w:ascii="仿宋" w:hAnsi="仿宋" w:eastAsia="仿宋" w:cs="仿宋"/>
          <w:color w:val="000000"/>
          <w:szCs w:val="21"/>
        </w:rPr>
      </w:pPr>
      <w:r>
        <w:rPr>
          <w:rFonts w:hint="eastAsia" w:ascii="仿宋" w:hAnsi="仿宋" w:eastAsia="仿宋" w:cs="仿宋"/>
          <w:b/>
          <w:bCs/>
          <w:color w:val="000000"/>
          <w:szCs w:val="21"/>
        </w:rPr>
        <w:t>关于本函的签字说明：1、完整填写本函并打印，线下完成手写签字后，扫描或拍照后上传政采云平台，再进行电子签章。内容必须清晰，否则无效！</w:t>
      </w:r>
    </w:p>
    <w:p>
      <w:pPr>
        <w:spacing w:line="36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重要提示：1、评审期间，应当保持移动电话通讯正常，否则造成不利后果自行负责；2、如若组织开展远程视频通讯时，将通过此微信号码与您通讯。未填写或通讯时无应答，视为放弃视频通讯的权利。</w:t>
      </w:r>
    </w:p>
    <w:p>
      <w:pPr>
        <w:spacing w:line="360" w:lineRule="auto"/>
        <w:rPr>
          <w:rFonts w:hint="eastAsia" w:ascii="仿宋" w:hAnsi="仿宋" w:eastAsia="仿宋" w:cs="仿宋"/>
          <w:color w:val="000000"/>
          <w:szCs w:val="21"/>
        </w:rPr>
      </w:pPr>
    </w:p>
    <w:p>
      <w:pPr>
        <w:spacing w:line="400" w:lineRule="exact"/>
        <w:jc w:val="left"/>
        <w:rPr>
          <w:rFonts w:hint="eastAsia" w:ascii="仿宋" w:hAnsi="仿宋" w:eastAsia="仿宋" w:cs="仿宋"/>
          <w:color w:val="000000"/>
          <w:szCs w:val="21"/>
        </w:rPr>
      </w:pPr>
      <w:r>
        <w:rPr>
          <w:rFonts w:hint="eastAsia" w:ascii="仿宋" w:hAnsi="仿宋" w:eastAsia="仿宋" w:cs="仿宋"/>
          <w:color w:val="000000"/>
          <w:szCs w:val="21"/>
        </w:rPr>
        <w:br w:type="page"/>
      </w:r>
      <w:r>
        <w:rPr>
          <w:rFonts w:hint="eastAsia" w:ascii="仿宋" w:hAnsi="仿宋" w:eastAsia="仿宋" w:cs="仿宋"/>
          <w:color w:val="000000"/>
          <w:szCs w:val="21"/>
        </w:rPr>
        <w:t>附件三</w:t>
      </w:r>
    </w:p>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联合体协议书</w:t>
      </w:r>
    </w:p>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shd w:val="clear" w:color="auto" w:fill="BEBEBE"/>
        </w:rPr>
        <w:t>（投标人以联合体方式响应的必须提供联合体协议书，否则作无效标处理）</w:t>
      </w:r>
    </w:p>
    <w:p>
      <w:pPr>
        <w:spacing w:line="400" w:lineRule="exact"/>
        <w:jc w:val="center"/>
        <w:rPr>
          <w:rFonts w:hint="eastAsia" w:ascii="仿宋" w:hAnsi="仿宋" w:eastAsia="仿宋" w:cs="仿宋"/>
          <w:b/>
          <w:color w:val="000000"/>
          <w:szCs w:val="21"/>
        </w:rPr>
      </w:pP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u w:val="single"/>
        </w:rPr>
        <w:t xml:space="preserve">          （所有成员单位名称）</w:t>
      </w:r>
      <w:r>
        <w:rPr>
          <w:rFonts w:hint="eastAsia" w:ascii="仿宋" w:hAnsi="仿宋" w:eastAsia="仿宋" w:cs="仿宋"/>
          <w:szCs w:val="21"/>
        </w:rPr>
        <w:t>自愿组成</w:t>
      </w:r>
      <w:r>
        <w:rPr>
          <w:rFonts w:hint="eastAsia" w:ascii="仿宋" w:hAnsi="仿宋" w:eastAsia="仿宋" w:cs="仿宋"/>
          <w:szCs w:val="21"/>
          <w:u w:val="single"/>
        </w:rPr>
        <w:t xml:space="preserve">          （联合体名称）</w:t>
      </w:r>
      <w:r>
        <w:rPr>
          <w:rFonts w:hint="eastAsia" w:ascii="仿宋" w:hAnsi="仿宋" w:eastAsia="仿宋" w:cs="仿宋"/>
          <w:szCs w:val="21"/>
        </w:rPr>
        <w:t>联合体，共同参加</w:t>
      </w:r>
      <w:r>
        <w:rPr>
          <w:rFonts w:hint="eastAsia" w:ascii="仿宋" w:hAnsi="仿宋" w:eastAsia="仿宋" w:cs="仿宋"/>
          <w:szCs w:val="21"/>
          <w:u w:val="single"/>
        </w:rPr>
        <w:t xml:space="preserve">          （项目编号）</w:t>
      </w:r>
      <w:r>
        <w:rPr>
          <w:rFonts w:hint="eastAsia" w:ascii="仿宋" w:hAnsi="仿宋" w:eastAsia="仿宋" w:cs="仿宋"/>
          <w:szCs w:val="21"/>
        </w:rPr>
        <w:t>、</w:t>
      </w:r>
      <w:r>
        <w:rPr>
          <w:rFonts w:hint="eastAsia" w:ascii="仿宋" w:hAnsi="仿宋" w:eastAsia="仿宋" w:cs="仿宋"/>
          <w:szCs w:val="21"/>
          <w:u w:val="single"/>
        </w:rPr>
        <w:t xml:space="preserve">          （项目名称）</w:t>
      </w:r>
      <w:r>
        <w:rPr>
          <w:rFonts w:hint="eastAsia" w:ascii="仿宋" w:hAnsi="仿宋" w:eastAsia="仿宋" w:cs="仿宋"/>
          <w:szCs w:val="21"/>
        </w:rPr>
        <w:t>的响应。现就联合体响应事宜订立如下协议。</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 xml:space="preserve">          （某成员单位名称）</w:t>
      </w:r>
      <w:r>
        <w:rPr>
          <w:rFonts w:hint="eastAsia" w:ascii="仿宋" w:hAnsi="仿宋" w:eastAsia="仿宋" w:cs="仿宋"/>
          <w:szCs w:val="21"/>
        </w:rPr>
        <w:t>为</w:t>
      </w:r>
      <w:r>
        <w:rPr>
          <w:rFonts w:hint="eastAsia" w:ascii="仿宋" w:hAnsi="仿宋" w:eastAsia="仿宋" w:cs="仿宋"/>
          <w:szCs w:val="21"/>
          <w:u w:val="single"/>
        </w:rPr>
        <w:t xml:space="preserve">          （联合体名称）</w:t>
      </w:r>
      <w:r>
        <w:rPr>
          <w:rFonts w:hint="eastAsia" w:ascii="仿宋" w:hAnsi="仿宋" w:eastAsia="仿宋" w:cs="仿宋"/>
          <w:szCs w:val="21"/>
        </w:rPr>
        <w:t>牵头人。</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2.联合体牵头人合法代表联合体各成员负责本采购项目响应文件编制，参加采购活动，代表联合体提交和接收相关的资料、信息及指示，并处理与之有关的一切事务，负责合同实施阶段的主办、组织和协调工作。</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3.联合体将严格按照采购文件的各项要求，递交响应文件，履行合同，并对外承担连带责任。</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4.联合体各成员单位内部的职责分工如下：</w:t>
      </w:r>
    </w:p>
    <w:p>
      <w:pPr>
        <w:wordWrap w:val="0"/>
        <w:spacing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（1）</w:t>
      </w:r>
      <w:r>
        <w:rPr>
          <w:rFonts w:hint="eastAsia" w:ascii="仿宋" w:hAnsi="仿宋" w:eastAsia="仿宋" w:cs="仿宋"/>
          <w:szCs w:val="21"/>
          <w:u w:val="single"/>
        </w:rPr>
        <w:t xml:space="preserve">          （联合体牵头人名称）</w:t>
      </w:r>
      <w:r>
        <w:rPr>
          <w:rFonts w:hint="eastAsia" w:ascii="仿宋" w:hAnsi="仿宋" w:eastAsia="仿宋" w:cs="仿宋"/>
          <w:szCs w:val="21"/>
        </w:rPr>
        <w:t>承担的工作和义务为</w:t>
      </w:r>
      <w:r>
        <w:rPr>
          <w:rFonts w:hint="eastAsia" w:ascii="仿宋" w:hAnsi="仿宋" w:eastAsia="仿宋" w:cs="仿宋"/>
          <w:szCs w:val="21"/>
          <w:u w:val="single"/>
        </w:rPr>
        <w:t xml:space="preserve">          </w:t>
      </w:r>
      <w:r>
        <w:rPr>
          <w:rFonts w:hint="eastAsia" w:ascii="仿宋" w:hAnsi="仿宋" w:eastAsia="仿宋" w:cs="仿宋"/>
          <w:szCs w:val="21"/>
        </w:rPr>
        <w:t>，占项目合同金额的</w:t>
      </w:r>
      <w:r>
        <w:rPr>
          <w:rFonts w:hint="eastAsia" w:ascii="仿宋" w:hAnsi="仿宋" w:eastAsia="仿宋" w:cs="仿宋"/>
          <w:szCs w:val="21"/>
          <w:u w:val="single"/>
        </w:rPr>
        <w:t xml:space="preserve">          %</w:t>
      </w:r>
      <w:r>
        <w:rPr>
          <w:rFonts w:hint="eastAsia" w:ascii="仿宋" w:hAnsi="仿宋" w:eastAsia="仿宋" w:cs="仿宋"/>
          <w:szCs w:val="21"/>
        </w:rPr>
        <w:t>。</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 xml:space="preserve">          （联合体成员一名称）</w:t>
      </w:r>
      <w:r>
        <w:rPr>
          <w:rFonts w:hint="eastAsia" w:ascii="仿宋" w:hAnsi="仿宋" w:eastAsia="仿宋" w:cs="仿宋"/>
          <w:szCs w:val="21"/>
        </w:rPr>
        <w:t>承担的工作和义务为</w:t>
      </w:r>
      <w:r>
        <w:rPr>
          <w:rFonts w:hint="eastAsia" w:ascii="仿宋" w:hAnsi="仿宋" w:eastAsia="仿宋" w:cs="仿宋"/>
          <w:szCs w:val="21"/>
          <w:u w:val="single"/>
        </w:rPr>
        <w:t xml:space="preserve">          </w:t>
      </w:r>
      <w:r>
        <w:rPr>
          <w:rFonts w:hint="eastAsia" w:ascii="仿宋" w:hAnsi="仿宋" w:eastAsia="仿宋" w:cs="仿宋"/>
          <w:szCs w:val="21"/>
        </w:rPr>
        <w:t>，占项目合同金额的</w:t>
      </w:r>
      <w:r>
        <w:rPr>
          <w:rFonts w:hint="eastAsia" w:ascii="仿宋" w:hAnsi="仿宋" w:eastAsia="仿宋" w:cs="仿宋"/>
          <w:szCs w:val="21"/>
          <w:u w:val="single"/>
        </w:rPr>
        <w:t xml:space="preserve">          %</w:t>
      </w:r>
      <w:r>
        <w:rPr>
          <w:rFonts w:hint="eastAsia" w:ascii="仿宋" w:hAnsi="仿宋" w:eastAsia="仿宋" w:cs="仿宋"/>
          <w:szCs w:val="21"/>
        </w:rPr>
        <w:t>。</w:t>
      </w:r>
    </w:p>
    <w:p>
      <w:pPr>
        <w:wordWrap w:val="0"/>
        <w:spacing w:line="400" w:lineRule="exact"/>
        <w:ind w:firstLine="422" w:firstLineChars="200"/>
        <w:rPr>
          <w:rFonts w:hint="eastAsia" w:ascii="仿宋" w:hAnsi="仿宋" w:eastAsia="仿宋" w:cs="仿宋"/>
          <w:b/>
          <w:bCs/>
          <w:szCs w:val="21"/>
          <w:u w:val="single"/>
        </w:rPr>
      </w:pPr>
      <w:r>
        <w:rPr>
          <w:rFonts w:hint="eastAsia" w:ascii="仿宋" w:hAnsi="仿宋" w:eastAsia="仿宋" w:cs="仿宋"/>
          <w:b/>
          <w:bCs/>
          <w:szCs w:val="21"/>
        </w:rPr>
        <w:t>......（如有多个联合体成员的，按同格式增加）</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5.本协议书自签署之日起生效，合同履行完毕后自动失效。</w:t>
      </w:r>
    </w:p>
    <w:p>
      <w:pPr>
        <w:spacing w:line="400" w:lineRule="exact"/>
        <w:rPr>
          <w:rFonts w:hint="eastAsia" w:ascii="仿宋" w:hAnsi="仿宋" w:eastAsia="仿宋" w:cs="仿宋"/>
          <w:szCs w:val="21"/>
        </w:rPr>
      </w:pPr>
    </w:p>
    <w:p>
      <w:pPr>
        <w:spacing w:line="400" w:lineRule="exact"/>
        <w:rPr>
          <w:rFonts w:hint="eastAsia" w:ascii="仿宋" w:hAnsi="仿宋" w:eastAsia="仿宋" w:cs="仿宋"/>
          <w:szCs w:val="21"/>
        </w:rPr>
      </w:pP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联合体牵头人（盖电子公章）：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法定代表人或授权代表（签字或盖章）：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联合体成员一（盖电子公章）：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p>
    <w:p>
      <w:pPr>
        <w:spacing w:line="400" w:lineRule="exact"/>
        <w:ind w:firstLine="2530" w:firstLineChars="1200"/>
        <w:rPr>
          <w:rFonts w:hint="eastAsia" w:ascii="仿宋" w:hAnsi="仿宋" w:eastAsia="仿宋" w:cs="仿宋"/>
          <w:b/>
          <w:bCs/>
          <w:szCs w:val="21"/>
        </w:rPr>
      </w:pPr>
      <w:r>
        <w:rPr>
          <w:rFonts w:hint="eastAsia" w:ascii="仿宋" w:hAnsi="仿宋" w:eastAsia="仿宋" w:cs="仿宋"/>
          <w:b/>
          <w:bCs/>
          <w:szCs w:val="21"/>
        </w:rPr>
        <w:t>......（如有多个联合体成员的，按同格式增加）</w:t>
      </w:r>
    </w:p>
    <w:p>
      <w:pPr>
        <w:spacing w:line="400" w:lineRule="exact"/>
        <w:ind w:firstLine="2520" w:firstLineChars="1200"/>
        <w:rPr>
          <w:rFonts w:hint="eastAsia" w:ascii="仿宋" w:hAnsi="仿宋" w:eastAsia="仿宋" w:cs="仿宋"/>
          <w:szCs w:val="21"/>
        </w:rPr>
      </w:pP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124"/>
        <w:rPr>
          <w:rFonts w:hint="eastAsia"/>
        </w:rPr>
      </w:pPr>
    </w:p>
    <w:p>
      <w:pPr>
        <w:snapToGrid w:val="0"/>
        <w:spacing w:before="50" w:after="50" w:line="360" w:lineRule="auto"/>
        <w:ind w:left="-23" w:leftChars="-11" w:right="-214" w:rightChars="-102" w:firstLine="21" w:firstLineChars="10"/>
        <w:jc w:val="left"/>
        <w:outlineLvl w:val="2"/>
        <w:rPr>
          <w:rFonts w:hint="eastAsia" w:ascii="仿宋" w:hAnsi="仿宋" w:eastAsia="仿宋" w:cs="仿宋"/>
          <w:b/>
          <w:color w:val="000000"/>
          <w:kern w:val="0"/>
          <w:szCs w:val="21"/>
        </w:rPr>
      </w:pPr>
    </w:p>
    <w:p>
      <w:pPr>
        <w:pStyle w:val="2"/>
        <w:rPr>
          <w:rFonts w:hint="eastAsia" w:ascii="仿宋" w:hAnsi="仿宋" w:eastAsia="仿宋" w:cs="仿宋"/>
          <w:b/>
          <w:color w:val="000000"/>
          <w:kern w:val="0"/>
          <w:szCs w:val="21"/>
        </w:rPr>
      </w:pPr>
    </w:p>
    <w:p>
      <w:pPr>
        <w:rPr>
          <w:rFonts w:hint="eastAsia" w:ascii="仿宋" w:hAnsi="仿宋" w:eastAsia="仿宋" w:cs="仿宋"/>
          <w:b/>
          <w:color w:val="000000"/>
          <w:kern w:val="0"/>
          <w:szCs w:val="21"/>
        </w:rPr>
      </w:pPr>
    </w:p>
    <w:p>
      <w:pPr>
        <w:pStyle w:val="2"/>
        <w:rPr>
          <w:rFonts w:hint="eastAsia"/>
        </w:rPr>
      </w:pPr>
    </w:p>
    <w:p>
      <w:pPr>
        <w:snapToGrid w:val="0"/>
        <w:spacing w:before="50" w:after="50" w:line="360" w:lineRule="auto"/>
        <w:ind w:left="-23" w:leftChars="-11" w:right="-214" w:rightChars="-102" w:firstLine="21" w:firstLineChars="10"/>
        <w:jc w:val="left"/>
        <w:outlineLvl w:val="2"/>
        <w:rPr>
          <w:rFonts w:hint="eastAsia" w:ascii="仿宋" w:hAnsi="仿宋" w:eastAsia="仿宋" w:cs="仿宋"/>
          <w:b/>
          <w:color w:val="000000"/>
          <w:kern w:val="0"/>
          <w:szCs w:val="21"/>
        </w:rPr>
      </w:pPr>
    </w:p>
    <w:p>
      <w:pPr>
        <w:snapToGrid w:val="0"/>
        <w:spacing w:before="50" w:after="50" w:line="360" w:lineRule="auto"/>
        <w:ind w:left="-23" w:leftChars="-11" w:right="-214" w:rightChars="-102" w:firstLine="21" w:firstLineChars="10"/>
        <w:jc w:val="left"/>
        <w:outlineLvl w:val="2"/>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rPr>
        <w:t>附件</w:t>
      </w:r>
      <w:r>
        <w:rPr>
          <w:rFonts w:hint="eastAsia" w:ascii="仿宋" w:hAnsi="仿宋" w:eastAsia="仿宋" w:cs="仿宋"/>
          <w:b/>
          <w:color w:val="000000"/>
          <w:kern w:val="0"/>
          <w:szCs w:val="21"/>
          <w:lang w:eastAsia="zh-CN"/>
        </w:rPr>
        <w:t>四</w:t>
      </w:r>
    </w:p>
    <w:p>
      <w:pPr>
        <w:spacing w:line="360" w:lineRule="auto"/>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rPr>
        <w:t>中小企业声明函</w:t>
      </w:r>
      <w:r>
        <w:rPr>
          <w:rFonts w:hint="eastAsia" w:ascii="仿宋" w:hAnsi="仿宋" w:eastAsia="仿宋" w:cs="仿宋"/>
          <w:b/>
          <w:color w:val="000000"/>
          <w:szCs w:val="21"/>
          <w:lang w:val="en-US" w:eastAsia="zh-CN"/>
        </w:rPr>
        <w:t xml:space="preserve"> </w:t>
      </w:r>
    </w:p>
    <w:p>
      <w:pPr>
        <w:wordWrap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本公司郑重声明，根据《政府采购促进中小企业发展管理办法》（财库﹝2020﹞46号）的规定，本公司参加</w:t>
      </w:r>
      <w:r>
        <w:rPr>
          <w:rFonts w:hint="eastAsia" w:ascii="仿宋" w:hAnsi="仿宋" w:eastAsia="仿宋" w:cs="仿宋"/>
          <w:color w:val="000000"/>
          <w:szCs w:val="21"/>
          <w:u w:val="single"/>
        </w:rPr>
        <w:t xml:space="preserve">        （采购单位名称）  </w:t>
      </w:r>
      <w:r>
        <w:rPr>
          <w:rFonts w:hint="eastAsia" w:ascii="仿宋" w:hAnsi="仿宋" w:eastAsia="仿宋" w:cs="仿宋"/>
          <w:color w:val="000000"/>
          <w:szCs w:val="21"/>
        </w:rPr>
        <w:t>的</w:t>
      </w:r>
      <w:r>
        <w:rPr>
          <w:rFonts w:hint="eastAsia" w:ascii="仿宋" w:hAnsi="仿宋" w:eastAsia="仿宋" w:cs="仿宋"/>
          <w:color w:val="000000"/>
          <w:szCs w:val="21"/>
          <w:u w:val="single"/>
        </w:rPr>
        <w:t xml:space="preserve">                               （采购项目名称）      </w:t>
      </w:r>
      <w:r>
        <w:rPr>
          <w:rFonts w:hint="eastAsia" w:ascii="仿宋" w:hAnsi="仿宋" w:eastAsia="仿宋" w:cs="仿宋"/>
          <w:color w:val="000000"/>
          <w:szCs w:val="21"/>
        </w:rPr>
        <w:t>采购活动，服务全部由符合政策要求的中小企业承接。相关企业的具体情况如下：</w:t>
      </w:r>
    </w:p>
    <w:p>
      <w:pPr>
        <w:wordWrap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u w:val="single"/>
        </w:rPr>
        <w:t xml:space="preserve">                          （采购项目名称）  </w:t>
      </w:r>
      <w:r>
        <w:rPr>
          <w:rFonts w:hint="eastAsia" w:ascii="仿宋" w:hAnsi="仿宋" w:eastAsia="仿宋" w:cs="仿宋"/>
          <w:color w:val="000000"/>
          <w:szCs w:val="21"/>
        </w:rPr>
        <w:t>，属于</w:t>
      </w:r>
      <w:r>
        <w:rPr>
          <w:rFonts w:hint="eastAsia" w:ascii="仿宋" w:hAnsi="仿宋" w:eastAsia="仿宋" w:cs="仿宋"/>
          <w:color w:val="000000"/>
          <w:szCs w:val="21"/>
          <w:u w:val="single"/>
        </w:rPr>
        <w:t xml:space="preserve">   </w:t>
      </w:r>
      <w:r>
        <w:rPr>
          <w:rFonts w:hint="eastAsia" w:ascii="仿宋" w:hAnsi="仿宋" w:eastAsia="仿宋" w:cs="仿宋"/>
          <w:color w:val="000000"/>
          <w:u w:val="single"/>
        </w:rPr>
        <w:t>其他未列明行业</w:t>
      </w:r>
      <w:r>
        <w:rPr>
          <w:rFonts w:hint="eastAsia" w:ascii="仿宋" w:hAnsi="仿宋" w:eastAsia="仿宋" w:cs="仿宋"/>
          <w:color w:val="000000"/>
          <w:szCs w:val="21"/>
        </w:rPr>
        <w:t>；承接企业为</w:t>
      </w:r>
      <w:r>
        <w:rPr>
          <w:rFonts w:hint="eastAsia" w:ascii="仿宋" w:hAnsi="仿宋" w:eastAsia="仿宋" w:cs="仿宋"/>
          <w:color w:val="000000"/>
          <w:szCs w:val="21"/>
          <w:u w:val="single"/>
        </w:rPr>
        <w:t xml:space="preserve">          （供应商名称）</w:t>
      </w:r>
      <w:r>
        <w:rPr>
          <w:rFonts w:hint="eastAsia" w:ascii="仿宋" w:hAnsi="仿宋" w:eastAsia="仿宋" w:cs="仿宋"/>
          <w:color w:val="000000"/>
          <w:szCs w:val="21"/>
        </w:rPr>
        <w:t>，从业人员</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人，营业收入为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万元，资产总额为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万元，属于</w:t>
      </w:r>
      <w:r>
        <w:rPr>
          <w:rFonts w:hint="eastAsia" w:ascii="仿宋" w:hAnsi="仿宋" w:eastAsia="仿宋" w:cs="仿宋"/>
          <w:color w:val="000000"/>
          <w:szCs w:val="21"/>
          <w:u w:val="single"/>
        </w:rPr>
        <w:t xml:space="preserve">          （中型企业或小型企业或微型企业）</w:t>
      </w:r>
      <w:r>
        <w:rPr>
          <w:rFonts w:hint="eastAsia" w:ascii="仿宋" w:hAnsi="仿宋" w:eastAsia="仿宋" w:cs="仿宋"/>
          <w:color w:val="000000"/>
          <w:szCs w:val="21"/>
        </w:rPr>
        <w:t>。</w:t>
      </w:r>
    </w:p>
    <w:p>
      <w:pPr>
        <w:wordWrap w:val="0"/>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注：从业人员、营业收入、资产总额填报上一年度数据，无上一年度数据的新成立企业可不填报。</w:t>
      </w:r>
    </w:p>
    <w:p>
      <w:pPr>
        <w:wordWrap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以上企业，不属于大企业的分支机构，不存在控股股东为大企业的情形，也不存在与大企业的负责人为同一人的情形。</w:t>
      </w:r>
    </w:p>
    <w:p>
      <w:pPr>
        <w:wordWrap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本企业对上述声明内容的真实性负责。如有虚假，将依法承担相应责任。</w:t>
      </w:r>
    </w:p>
    <w:p>
      <w:pPr>
        <w:wordWrap w:val="0"/>
        <w:spacing w:line="360" w:lineRule="auto"/>
        <w:rPr>
          <w:rFonts w:hint="eastAsia" w:ascii="仿宋" w:hAnsi="仿宋" w:eastAsia="仿宋" w:cs="仿宋"/>
          <w:color w:val="000000"/>
          <w:szCs w:val="21"/>
        </w:rPr>
      </w:pPr>
    </w:p>
    <w:p>
      <w:pPr>
        <w:wordWrap w:val="0"/>
        <w:spacing w:line="360" w:lineRule="auto"/>
        <w:rPr>
          <w:rFonts w:hint="eastAsia" w:ascii="仿宋" w:hAnsi="仿宋" w:eastAsia="仿宋" w:cs="仿宋"/>
          <w:color w:val="000000"/>
          <w:szCs w:val="21"/>
        </w:rPr>
      </w:pPr>
    </w:p>
    <w:p>
      <w:pPr>
        <w:wordWrap w:val="0"/>
        <w:spacing w:line="360" w:lineRule="auto"/>
        <w:ind w:firstLine="2520" w:firstLineChars="1200"/>
        <w:rPr>
          <w:rFonts w:hint="eastAsia" w:ascii="仿宋" w:hAnsi="仿宋" w:eastAsia="仿宋" w:cs="仿宋"/>
          <w:color w:val="000000"/>
          <w:szCs w:val="21"/>
        </w:rPr>
      </w:pPr>
      <w:r>
        <w:rPr>
          <w:rFonts w:hint="eastAsia" w:ascii="仿宋" w:hAnsi="仿宋" w:eastAsia="仿宋" w:cs="仿宋"/>
          <w:color w:val="000000"/>
          <w:szCs w:val="21"/>
        </w:rPr>
        <w:t>供应商名称（盖电子公章）：</w:t>
      </w:r>
      <w:r>
        <w:rPr>
          <w:rFonts w:hint="eastAsia" w:ascii="仿宋" w:hAnsi="仿宋" w:eastAsia="仿宋" w:cs="仿宋"/>
          <w:color w:val="000000"/>
          <w:szCs w:val="21"/>
          <w:u w:val="single"/>
        </w:rPr>
        <w:t xml:space="preserve">          </w:t>
      </w:r>
    </w:p>
    <w:p>
      <w:pPr>
        <w:wordWrap w:val="0"/>
        <w:spacing w:line="360" w:lineRule="auto"/>
        <w:ind w:firstLine="2520" w:firstLineChars="1200"/>
        <w:rPr>
          <w:rFonts w:hint="eastAsia" w:ascii="仿宋" w:hAnsi="仿宋" w:eastAsia="仿宋" w:cs="仿宋"/>
          <w:color w:val="000000"/>
          <w:szCs w:val="21"/>
        </w:rPr>
      </w:pPr>
      <w:r>
        <w:rPr>
          <w:rFonts w:hint="eastAsia" w:ascii="仿宋" w:hAnsi="仿宋" w:eastAsia="仿宋" w:cs="仿宋"/>
          <w:color w:val="000000"/>
          <w:szCs w:val="21"/>
        </w:rPr>
        <w:t>日  期：</w:t>
      </w:r>
      <w:r>
        <w:rPr>
          <w:rFonts w:hint="eastAsia" w:ascii="仿宋" w:hAnsi="仿宋" w:eastAsia="仿宋" w:cs="仿宋"/>
          <w:color w:val="000000"/>
          <w:szCs w:val="21"/>
          <w:u w:val="single"/>
        </w:rPr>
        <w:t xml:space="preserve">          </w:t>
      </w:r>
    </w:p>
    <w:p>
      <w:pPr>
        <w:spacing w:line="360" w:lineRule="auto"/>
        <w:jc w:val="left"/>
        <w:rPr>
          <w:rFonts w:hint="eastAsia" w:ascii="仿宋" w:hAnsi="仿宋" w:eastAsia="仿宋" w:cs="仿宋"/>
          <w:color w:val="000000"/>
          <w:szCs w:val="21"/>
        </w:rPr>
      </w:pPr>
    </w:p>
    <w:p>
      <w:pPr>
        <w:pStyle w:val="114"/>
        <w:rPr>
          <w:rFonts w:hint="eastAsia" w:ascii="仿宋" w:hAnsi="仿宋" w:eastAsia="仿宋" w:cs="仿宋"/>
          <w:color w:val="000000"/>
        </w:rPr>
        <w:sectPr>
          <w:pgSz w:w="11905" w:h="16838"/>
          <w:pgMar w:top="1440" w:right="1803" w:bottom="1440" w:left="1349" w:header="851" w:footer="992" w:gutter="0"/>
          <w:cols w:space="720" w:num="1"/>
          <w:docGrid w:linePitch="312" w:charSpace="0"/>
        </w:sectPr>
      </w:pPr>
    </w:p>
    <w:p>
      <w:pPr>
        <w:spacing w:line="360" w:lineRule="auto"/>
        <w:rPr>
          <w:rFonts w:hint="eastAsia" w:ascii="仿宋" w:hAnsi="仿宋" w:eastAsia="仿宋" w:cs="仿宋"/>
          <w:color w:val="000000"/>
        </w:rPr>
      </w:pPr>
      <w:r>
        <w:rPr>
          <w:rFonts w:hint="eastAsia" w:ascii="仿宋" w:hAnsi="仿宋" w:eastAsia="仿宋" w:cs="仿宋"/>
          <w:color w:val="000000"/>
        </w:rPr>
        <w:t>填写说明：</w:t>
      </w:r>
    </w:p>
    <w:p>
      <w:pPr>
        <w:spacing w:line="360" w:lineRule="auto"/>
        <w:rPr>
          <w:rFonts w:hint="eastAsia" w:ascii="仿宋" w:hAnsi="仿宋" w:eastAsia="仿宋" w:cs="仿宋"/>
          <w:color w:val="000000"/>
        </w:rPr>
      </w:pPr>
      <w:r>
        <w:rPr>
          <w:rFonts w:hint="eastAsia" w:ascii="仿宋" w:hAnsi="仿宋" w:eastAsia="仿宋" w:cs="仿宋"/>
          <w:color w:val="000000"/>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spacing w:line="360" w:lineRule="auto"/>
        <w:rPr>
          <w:rFonts w:hint="eastAsia" w:ascii="仿宋" w:hAnsi="仿宋" w:eastAsia="仿宋" w:cs="仿宋"/>
          <w:color w:val="000000"/>
        </w:rPr>
      </w:pPr>
      <w:r>
        <w:rPr>
          <w:rFonts w:hint="eastAsia" w:ascii="仿宋" w:hAnsi="仿宋" w:eastAsia="仿宋" w:cs="仿宋"/>
          <w:color w:val="000000"/>
        </w:rPr>
        <w:t>2、各行业划型标准为：</w:t>
      </w:r>
    </w:p>
    <w:p>
      <w:pPr>
        <w:spacing w:line="360" w:lineRule="auto"/>
        <w:rPr>
          <w:rFonts w:hint="eastAsia" w:ascii="仿宋" w:hAnsi="仿宋" w:eastAsia="仿宋" w:cs="仿宋"/>
          <w:color w:val="000000"/>
        </w:rPr>
      </w:pPr>
      <w:r>
        <w:rPr>
          <w:rFonts w:hint="eastAsia" w:ascii="仿宋" w:hAnsi="仿宋" w:eastAsia="仿宋" w:cs="仿宋"/>
          <w:color w:val="000000"/>
        </w:rPr>
        <w:t>（1）农、林、牧、渔业。营业收入20000万元以下的为中小微型企业。其中，营业收入500万元及以上的为中型企业，营业收入50万元及以上的为小型企业，营业收入50万元以下的为微型企业。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（16）其他未列明行业。从业人员300人以下的为中小微型企业。其中，从业人员100人及以上的为中型企业；从业人员10人及以上的为小型企业；从业人员10人以下的为微型企业。</w:t>
      </w:r>
    </w:p>
    <w:p>
      <w:pPr>
        <w:spacing w:line="360" w:lineRule="auto"/>
        <w:rPr>
          <w:rFonts w:hint="eastAsia" w:ascii="仿宋" w:hAnsi="仿宋" w:eastAsia="仿宋" w:cs="仿宋"/>
          <w:color w:val="000000"/>
        </w:rPr>
      </w:pPr>
      <w:r>
        <w:rPr>
          <w:rFonts w:hint="eastAsia" w:ascii="仿宋" w:hAnsi="仿宋" w:eastAsia="仿宋" w:cs="仿宋"/>
          <w:color w:val="000000"/>
        </w:rPr>
        <w:t>3、中型企业标准上限即为大型企业标准的下限。</w:t>
      </w:r>
    </w:p>
    <w:p>
      <w:pPr>
        <w:spacing w:line="360" w:lineRule="auto"/>
        <w:jc w:val="left"/>
        <w:rPr>
          <w:rFonts w:hint="eastAsia" w:ascii="仿宋" w:hAnsi="仿宋" w:eastAsia="仿宋" w:cs="仿宋"/>
          <w:b/>
          <w:color w:val="000000"/>
          <w:kern w:val="0"/>
          <w:szCs w:val="21"/>
        </w:rPr>
      </w:pPr>
      <w:r>
        <w:rPr>
          <w:rFonts w:hint="eastAsia" w:ascii="仿宋" w:hAnsi="仿宋" w:eastAsia="仿宋" w:cs="仿宋"/>
          <w:color w:val="000000"/>
        </w:rPr>
        <w:br w:type="page"/>
      </w:r>
      <w:r>
        <w:rPr>
          <w:rFonts w:hint="eastAsia" w:ascii="仿宋" w:hAnsi="仿宋" w:eastAsia="仿宋" w:cs="仿宋"/>
          <w:b/>
          <w:color w:val="000000"/>
          <w:kern w:val="0"/>
          <w:szCs w:val="21"/>
        </w:rPr>
        <w:t>附件</w:t>
      </w:r>
      <w:r>
        <w:rPr>
          <w:rFonts w:hint="eastAsia" w:ascii="仿宋" w:hAnsi="仿宋" w:eastAsia="仿宋" w:cs="仿宋"/>
          <w:b/>
          <w:color w:val="000000"/>
          <w:kern w:val="0"/>
          <w:szCs w:val="21"/>
          <w:lang w:eastAsia="zh-CN"/>
        </w:rPr>
        <w:t>四</w:t>
      </w:r>
      <w:r>
        <w:rPr>
          <w:rFonts w:hint="eastAsia" w:ascii="仿宋" w:hAnsi="仿宋" w:eastAsia="仿宋" w:cs="仿宋"/>
          <w:b/>
          <w:color w:val="000000"/>
          <w:kern w:val="0"/>
          <w:szCs w:val="21"/>
        </w:rPr>
        <w:t>-1</w:t>
      </w:r>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残疾人福利性单位声明函（如满足要求则提供）</w:t>
      </w:r>
    </w:p>
    <w:p>
      <w:pPr>
        <w:wordWrap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项目（采购编号：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本单位对上述声明的真实性负责。如有虚假，将依法承担相应责任。</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ind w:firstLine="2520" w:firstLineChars="1200"/>
        <w:rPr>
          <w:rFonts w:hint="eastAsia" w:ascii="仿宋" w:hAnsi="仿宋" w:eastAsia="仿宋" w:cs="仿宋"/>
          <w:color w:val="000000"/>
          <w:szCs w:val="21"/>
        </w:rPr>
      </w:pPr>
      <w:r>
        <w:rPr>
          <w:rFonts w:hint="eastAsia" w:ascii="仿宋" w:hAnsi="仿宋" w:eastAsia="仿宋" w:cs="仿宋"/>
          <w:color w:val="000000"/>
          <w:szCs w:val="21"/>
        </w:rPr>
        <w:t>供应商名称（盖电子公章）：</w:t>
      </w:r>
      <w:r>
        <w:rPr>
          <w:rFonts w:hint="eastAsia" w:ascii="仿宋" w:hAnsi="仿宋" w:eastAsia="仿宋" w:cs="仿宋"/>
          <w:color w:val="000000"/>
          <w:szCs w:val="21"/>
          <w:u w:val="single"/>
        </w:rPr>
        <w:t xml:space="preserve">          </w:t>
      </w:r>
    </w:p>
    <w:p>
      <w:pPr>
        <w:spacing w:line="360" w:lineRule="auto"/>
        <w:ind w:firstLine="2520" w:firstLineChars="1200"/>
        <w:rPr>
          <w:rFonts w:hint="eastAsia" w:ascii="仿宋" w:hAnsi="仿宋" w:eastAsia="仿宋" w:cs="仿宋"/>
          <w:color w:val="000000"/>
          <w:szCs w:val="21"/>
        </w:rPr>
      </w:pPr>
      <w:r>
        <w:rPr>
          <w:rFonts w:hint="eastAsia" w:ascii="仿宋" w:hAnsi="仿宋" w:eastAsia="仿宋" w:cs="仿宋"/>
          <w:color w:val="000000"/>
          <w:szCs w:val="21"/>
        </w:rPr>
        <w:t>日  期：</w:t>
      </w:r>
      <w:r>
        <w:rPr>
          <w:rFonts w:hint="eastAsia" w:ascii="仿宋" w:hAnsi="仿宋" w:eastAsia="仿宋" w:cs="仿宋"/>
          <w:color w:val="000000"/>
          <w:szCs w:val="21"/>
          <w:u w:val="single"/>
        </w:rPr>
        <w:t xml:space="preserve">          </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填写说明：</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1、本声明是残疾人福利性单位的提供，其他单位无需提供。</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2、享受政府采购支持政策的残疾人福利性单位应当同时满足以下条件：</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（1）安置的残疾人占本单位在职职工人数的比例不低于25%（含25%），并且安置的残疾人人数不少于10人（含10人）；</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（2）依法与安置的每位残疾人签订了一年以上（含一年）的劳动合同或服务协议；</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（3）为安置的每位残疾人按月足额缴纳了基本养老保险、基本医疗保险、失业保险、工伤保险和生育保险等社会保险费；</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（4）通过银行等金融机构向安置的每位残疾人，按月支付了不低于单位所在区县适用的经省级人民政府批准的月最低工资标准的工资；</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（5）提供本单位制造的货物、承担的工程或者服务（以下简称产品），或者提供其他残疾人福利性单位制造的货物（不包括使用非残疾人福利性单位注册商标的货物）。</w:t>
      </w:r>
    </w:p>
    <w:p>
      <w:pPr>
        <w:spacing w:before="480" w:beforeLines="200" w:after="480" w:afterLines="200" w:line="360" w:lineRule="auto"/>
        <w:rPr>
          <w:rFonts w:hint="eastAsia" w:ascii="仿宋" w:hAnsi="仿宋" w:eastAsia="仿宋" w:cs="仿宋"/>
          <w:color w:val="000000"/>
          <w:kern w:val="0"/>
          <w:szCs w:val="21"/>
        </w:rPr>
      </w:pPr>
      <w:r>
        <w:rPr>
          <w:rFonts w:hint="eastAsia" w:ascii="仿宋" w:hAnsi="仿宋" w:eastAsia="仿宋" w:cs="仿宋"/>
          <w:color w:val="000000"/>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8"/>
        <w:spacing w:line="360" w:lineRule="auto"/>
        <w:ind w:left="0" w:firstLine="0"/>
        <w:rPr>
          <w:rFonts w:hint="eastAsia" w:ascii="仿宋" w:hAnsi="仿宋" w:eastAsia="仿宋" w:cs="仿宋"/>
          <w:color w:val="000000"/>
          <w:spacing w:val="20"/>
          <w:szCs w:val="21"/>
        </w:rPr>
      </w:pPr>
    </w:p>
    <w:p>
      <w:pPr>
        <w:snapToGrid w:val="0"/>
        <w:spacing w:before="50" w:after="50" w:line="360" w:lineRule="auto"/>
        <w:ind w:left="-23" w:leftChars="-11" w:right="-214" w:rightChars="-102" w:firstLine="21" w:firstLineChars="10"/>
        <w:jc w:val="left"/>
        <w:outlineLvl w:val="2"/>
        <w:rPr>
          <w:rFonts w:hint="eastAsia" w:ascii="仿宋" w:hAnsi="仿宋" w:eastAsia="仿宋" w:cs="仿宋"/>
          <w:b/>
          <w:color w:val="000000"/>
          <w:kern w:val="0"/>
          <w:szCs w:val="21"/>
        </w:rPr>
      </w:pPr>
    </w:p>
    <w:p>
      <w:pPr>
        <w:spacing w:line="360" w:lineRule="auto"/>
        <w:rPr>
          <w:rFonts w:hint="eastAsia" w:ascii="仿宋" w:hAnsi="仿宋" w:eastAsia="仿宋" w:cs="仿宋"/>
          <w:color w:val="000000"/>
          <w:szCs w:val="21"/>
        </w:rPr>
      </w:pPr>
    </w:p>
    <w:p>
      <w:pPr>
        <w:snapToGrid w:val="0"/>
        <w:spacing w:line="360" w:lineRule="auto"/>
        <w:jc w:val="center"/>
        <w:outlineLvl w:val="1"/>
        <w:rPr>
          <w:rFonts w:hint="eastAsia" w:ascii="仿宋" w:hAnsi="仿宋" w:eastAsia="仿宋" w:cs="仿宋"/>
          <w:b/>
          <w:bCs/>
          <w:color w:val="000000"/>
          <w:szCs w:val="21"/>
        </w:rPr>
      </w:pPr>
    </w:p>
    <w:p>
      <w:pPr>
        <w:snapToGrid w:val="0"/>
        <w:spacing w:line="360" w:lineRule="auto"/>
        <w:jc w:val="center"/>
        <w:outlineLvl w:val="1"/>
        <w:rPr>
          <w:rFonts w:hint="eastAsia" w:ascii="仿宋" w:hAnsi="仿宋" w:eastAsia="仿宋" w:cs="仿宋"/>
          <w:b/>
          <w:bCs/>
          <w:color w:val="000000"/>
          <w:szCs w:val="21"/>
        </w:rPr>
      </w:pPr>
      <w:bookmarkStart w:id="168" w:name="_Toc27741"/>
      <w:bookmarkStart w:id="169" w:name="_Toc25862"/>
      <w:r>
        <w:rPr>
          <w:rFonts w:hint="eastAsia" w:ascii="仿宋" w:hAnsi="仿宋" w:eastAsia="仿宋" w:cs="仿宋"/>
          <w:b/>
          <w:bCs/>
          <w:color w:val="000000"/>
          <w:szCs w:val="21"/>
        </w:rPr>
        <w:t>二、商务技术文件格式</w:t>
      </w:r>
      <w:bookmarkEnd w:id="168"/>
      <w:bookmarkEnd w:id="169"/>
    </w:p>
    <w:p>
      <w:pPr>
        <w:snapToGrid w:val="0"/>
        <w:spacing w:line="360" w:lineRule="auto"/>
        <w:rPr>
          <w:rFonts w:hint="eastAsia" w:ascii="仿宋" w:hAnsi="仿宋" w:eastAsia="仿宋" w:cs="仿宋"/>
          <w:color w:val="000000"/>
          <w:szCs w:val="21"/>
        </w:rPr>
      </w:pPr>
    </w:p>
    <w:p>
      <w:pPr>
        <w:snapToGrid w:val="0"/>
        <w:spacing w:line="360" w:lineRule="auto"/>
        <w:rPr>
          <w:rFonts w:hint="eastAsia" w:ascii="仿宋" w:hAnsi="仿宋" w:eastAsia="仿宋" w:cs="仿宋"/>
          <w:color w:val="000000"/>
          <w:szCs w:val="21"/>
        </w:rPr>
      </w:pPr>
      <w:r>
        <w:rPr>
          <w:rFonts w:hint="eastAsia" w:ascii="仿宋" w:hAnsi="仿宋" w:eastAsia="仿宋" w:cs="仿宋"/>
          <w:b/>
          <w:bCs/>
          <w:color w:val="000000"/>
          <w:szCs w:val="21"/>
        </w:rPr>
        <w:t>1.商务技术文件封面格式：</w:t>
      </w:r>
      <w:r>
        <w:rPr>
          <w:rFonts w:hint="eastAsia" w:ascii="仿宋" w:hAnsi="仿宋" w:eastAsia="仿宋" w:cs="仿宋"/>
          <w:color w:val="000000"/>
          <w:szCs w:val="21"/>
        </w:rPr>
        <w:t xml:space="preserve"> </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b/>
          <w:bCs/>
          <w:color w:val="000000"/>
          <w:szCs w:val="21"/>
        </w:rPr>
        <w:t xml:space="preserve"> </w:t>
      </w:r>
    </w:p>
    <w:p>
      <w:pPr>
        <w:snapToGrid w:val="0"/>
        <w:spacing w:line="360" w:lineRule="auto"/>
        <w:jc w:val="center"/>
        <w:rPr>
          <w:rFonts w:hint="eastAsia" w:ascii="仿宋" w:hAnsi="仿宋" w:eastAsia="仿宋" w:cs="仿宋"/>
          <w:bCs/>
          <w:color w:val="000000"/>
          <w:szCs w:val="21"/>
        </w:rPr>
      </w:pPr>
    </w:p>
    <w:p>
      <w:pPr>
        <w:snapToGrid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商务技术文件</w:t>
      </w:r>
    </w:p>
    <w:p>
      <w:pPr>
        <w:snapToGrid w:val="0"/>
        <w:spacing w:line="360" w:lineRule="auto"/>
        <w:rPr>
          <w:rFonts w:hint="eastAsia" w:ascii="仿宋" w:hAnsi="仿宋" w:eastAsia="仿宋" w:cs="仿宋"/>
          <w:bCs/>
          <w:color w:val="000000"/>
          <w:szCs w:val="21"/>
        </w:rPr>
      </w:pPr>
    </w:p>
    <w:p>
      <w:pPr>
        <w:snapToGrid w:val="0"/>
        <w:spacing w:line="360" w:lineRule="auto"/>
        <w:ind w:firstLine="934" w:firstLineChars="445"/>
        <w:rPr>
          <w:rFonts w:hint="eastAsia" w:ascii="仿宋" w:hAnsi="仿宋" w:eastAsia="仿宋" w:cs="仿宋"/>
          <w:bCs/>
          <w:color w:val="000000"/>
          <w:szCs w:val="21"/>
        </w:rPr>
      </w:pPr>
      <w:r>
        <w:rPr>
          <w:rFonts w:hint="eastAsia" w:ascii="仿宋" w:hAnsi="仿宋" w:eastAsia="仿宋" w:cs="仿宋"/>
          <w:bCs/>
          <w:color w:val="000000"/>
          <w:szCs w:val="21"/>
        </w:rPr>
        <w:t>项目名称：</w:t>
      </w:r>
      <w:r>
        <w:rPr>
          <w:rFonts w:hint="eastAsia" w:ascii="仿宋" w:hAnsi="仿宋" w:eastAsia="仿宋" w:cs="仿宋"/>
          <w:color w:val="000000"/>
          <w:szCs w:val="21"/>
        </w:rPr>
        <w:t xml:space="preserve"> </w:t>
      </w:r>
    </w:p>
    <w:p>
      <w:pPr>
        <w:snapToGrid w:val="0"/>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 xml:space="preserve">     项目编号： </w:t>
      </w:r>
    </w:p>
    <w:p>
      <w:pPr>
        <w:snapToGrid w:val="0"/>
        <w:spacing w:line="360" w:lineRule="auto"/>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 xml:space="preserve">     子   包：</w:t>
      </w:r>
    </w:p>
    <w:p>
      <w:pPr>
        <w:pStyle w:val="8"/>
        <w:snapToGrid w:val="0"/>
        <w:spacing w:line="360" w:lineRule="auto"/>
        <w:ind w:firstLine="873" w:firstLineChars="416"/>
        <w:rPr>
          <w:rFonts w:hint="eastAsia" w:ascii="仿宋" w:hAnsi="仿宋" w:eastAsia="仿宋" w:cs="仿宋"/>
          <w:bCs/>
          <w:color w:val="000000"/>
          <w:szCs w:val="21"/>
        </w:rPr>
      </w:pPr>
      <w:r>
        <w:rPr>
          <w:rFonts w:hint="eastAsia" w:ascii="仿宋" w:hAnsi="仿宋" w:eastAsia="仿宋" w:cs="仿宋"/>
          <w:bCs/>
          <w:color w:val="000000"/>
          <w:szCs w:val="21"/>
        </w:rPr>
        <w:t>供应商名称：</w:t>
      </w:r>
    </w:p>
    <w:p>
      <w:pPr>
        <w:pStyle w:val="8"/>
        <w:snapToGrid w:val="0"/>
        <w:spacing w:line="360" w:lineRule="auto"/>
        <w:ind w:firstLine="873" w:firstLineChars="416"/>
        <w:rPr>
          <w:rFonts w:hint="eastAsia" w:ascii="仿宋" w:hAnsi="仿宋" w:eastAsia="仿宋" w:cs="仿宋"/>
          <w:bCs/>
          <w:color w:val="000000"/>
          <w:szCs w:val="21"/>
        </w:rPr>
      </w:pPr>
      <w:r>
        <w:rPr>
          <w:rFonts w:hint="eastAsia" w:ascii="仿宋" w:hAnsi="仿宋" w:eastAsia="仿宋" w:cs="仿宋"/>
          <w:bCs/>
          <w:color w:val="000000"/>
          <w:szCs w:val="21"/>
        </w:rPr>
        <w:t>供应商地址：</w:t>
      </w:r>
    </w:p>
    <w:p>
      <w:pPr>
        <w:pStyle w:val="8"/>
        <w:snapToGrid w:val="0"/>
        <w:spacing w:line="360" w:lineRule="auto"/>
        <w:ind w:firstLine="840" w:firstLineChars="400"/>
        <w:rPr>
          <w:rFonts w:hint="eastAsia" w:ascii="仿宋" w:hAnsi="仿宋" w:eastAsia="仿宋" w:cs="仿宋"/>
          <w:bCs/>
          <w:color w:val="000000"/>
          <w:szCs w:val="21"/>
        </w:rPr>
      </w:pPr>
    </w:p>
    <w:p>
      <w:pPr>
        <w:snapToGrid w:val="0"/>
        <w:spacing w:line="360" w:lineRule="auto"/>
        <w:ind w:firstLine="3570" w:firstLineChars="1700"/>
        <w:rPr>
          <w:rFonts w:hint="eastAsia" w:ascii="仿宋" w:hAnsi="仿宋" w:eastAsia="仿宋" w:cs="仿宋"/>
          <w:color w:val="000000"/>
          <w:szCs w:val="21"/>
        </w:rPr>
      </w:pPr>
    </w:p>
    <w:p>
      <w:pPr>
        <w:snapToGrid w:val="0"/>
        <w:spacing w:line="360" w:lineRule="auto"/>
        <w:ind w:firstLine="645"/>
        <w:jc w:val="center"/>
        <w:rPr>
          <w:rFonts w:hint="eastAsia" w:ascii="仿宋" w:hAnsi="仿宋" w:eastAsia="仿宋" w:cs="仿宋"/>
          <w:color w:val="000000"/>
          <w:szCs w:val="21"/>
        </w:rPr>
      </w:pPr>
      <w:r>
        <w:rPr>
          <w:rFonts w:hint="eastAsia" w:ascii="仿宋" w:hAnsi="仿宋" w:eastAsia="仿宋" w:cs="仿宋"/>
          <w:color w:val="000000"/>
          <w:szCs w:val="21"/>
        </w:rPr>
        <w:t xml:space="preserve">                        年  月  日</w:t>
      </w:r>
    </w:p>
    <w:p>
      <w:pPr>
        <w:snapToGrid w:val="0"/>
        <w:spacing w:line="360" w:lineRule="auto"/>
        <w:rPr>
          <w:rFonts w:hint="eastAsia" w:ascii="仿宋" w:hAnsi="仿宋" w:eastAsia="仿宋" w:cs="仿宋"/>
          <w:color w:val="000000"/>
          <w:szCs w:val="21"/>
        </w:rPr>
      </w:pP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b/>
          <w:bCs/>
          <w:color w:val="000000"/>
          <w:szCs w:val="21"/>
        </w:rPr>
        <w:t xml:space="preserve"> 商务技术文件目录</w:t>
      </w:r>
    </w:p>
    <w:p>
      <w:pPr>
        <w:snapToGrid w:val="0"/>
        <w:spacing w:line="360" w:lineRule="auto"/>
        <w:ind w:firstLine="424" w:firstLineChars="202"/>
        <w:jc w:val="left"/>
        <w:rPr>
          <w:rFonts w:hint="eastAsia" w:ascii="仿宋" w:hAnsi="仿宋" w:eastAsia="仿宋" w:cs="仿宋"/>
          <w:color w:val="000000"/>
          <w:szCs w:val="21"/>
        </w:rPr>
      </w:pPr>
    </w:p>
    <w:p>
      <w:pPr>
        <w:snapToGrid w:val="0"/>
        <w:spacing w:line="360" w:lineRule="auto"/>
        <w:ind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*（1）投标人情况表（附件</w:t>
      </w:r>
      <w:r>
        <w:rPr>
          <w:rFonts w:hint="eastAsia" w:ascii="仿宋" w:hAnsi="仿宋" w:eastAsia="仿宋" w:cs="仿宋"/>
          <w:color w:val="000000"/>
          <w:szCs w:val="21"/>
          <w:lang w:eastAsia="zh-CN"/>
        </w:rPr>
        <w:t>五</w:t>
      </w:r>
      <w:r>
        <w:rPr>
          <w:rFonts w:hint="eastAsia" w:ascii="仿宋" w:hAnsi="仿宋" w:eastAsia="仿宋" w:cs="仿宋"/>
          <w:color w:val="000000"/>
          <w:szCs w:val="21"/>
        </w:rPr>
        <w:t>）；</w:t>
      </w:r>
    </w:p>
    <w:p>
      <w:pPr>
        <w:snapToGrid w:val="0"/>
        <w:spacing w:line="360" w:lineRule="auto"/>
        <w:ind w:firstLine="424" w:firstLineChars="202"/>
        <w:jc w:val="left"/>
        <w:rPr>
          <w:rFonts w:hint="eastAsia" w:ascii="仿宋" w:hAnsi="仿宋" w:eastAsia="仿宋" w:cs="仿宋"/>
          <w:color w:val="000000"/>
          <w:szCs w:val="21"/>
        </w:rPr>
      </w:pPr>
      <w:r>
        <w:rPr>
          <w:rFonts w:hint="eastAsia" w:ascii="仿宋" w:hAnsi="仿宋" w:eastAsia="仿宋" w:cs="仿宋"/>
          <w:color w:val="000000"/>
          <w:szCs w:val="21"/>
        </w:rPr>
        <w:t>*（2）服务要求及合同条款偏离表（附件</w:t>
      </w:r>
      <w:r>
        <w:rPr>
          <w:rFonts w:hint="eastAsia" w:ascii="仿宋" w:hAnsi="仿宋" w:eastAsia="仿宋" w:cs="仿宋"/>
          <w:color w:val="000000"/>
          <w:szCs w:val="21"/>
          <w:lang w:eastAsia="zh-CN"/>
        </w:rPr>
        <w:t>六</w:t>
      </w:r>
      <w:r>
        <w:rPr>
          <w:rFonts w:hint="eastAsia" w:ascii="仿宋" w:hAnsi="仿宋" w:eastAsia="仿宋" w:cs="仿宋"/>
          <w:color w:val="000000"/>
          <w:szCs w:val="21"/>
        </w:rPr>
        <w:t>）；</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（3）其他评分需要提供的商务技术资料，方案、证书、证明等（详见评审内容）</w:t>
      </w:r>
    </w:p>
    <w:p>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（4）分包意向协议（成交后以合理分包方式履行政府采购合同的，提供分包意向协议）（附件</w:t>
      </w:r>
      <w:r>
        <w:rPr>
          <w:rFonts w:hint="eastAsia" w:ascii="仿宋" w:hAnsi="仿宋" w:eastAsia="仿宋" w:cs="仿宋"/>
          <w:color w:val="000000"/>
          <w:szCs w:val="21"/>
          <w:lang w:eastAsia="zh-CN"/>
        </w:rPr>
        <w:t>七</w:t>
      </w:r>
      <w:r>
        <w:rPr>
          <w:rFonts w:hint="eastAsia" w:ascii="仿宋" w:hAnsi="仿宋" w:eastAsia="仿宋" w:cs="仿宋"/>
          <w:color w:val="000000"/>
          <w:szCs w:val="21"/>
        </w:rPr>
        <w:t>）。</w:t>
      </w:r>
    </w:p>
    <w:p>
      <w:pPr>
        <w:spacing w:line="360" w:lineRule="auto"/>
        <w:ind w:firstLine="422" w:firstLineChars="200"/>
        <w:rPr>
          <w:rFonts w:hint="eastAsia" w:ascii="仿宋" w:hAnsi="仿宋" w:eastAsia="仿宋" w:cs="仿宋"/>
          <w:color w:val="000000"/>
          <w:szCs w:val="21"/>
          <w:lang w:eastAsia="zh-CN"/>
        </w:rPr>
      </w:pPr>
      <w:r>
        <w:rPr>
          <w:rFonts w:hint="eastAsia" w:ascii="仿宋" w:hAnsi="仿宋" w:eastAsia="仿宋" w:cs="仿宋"/>
          <w:b/>
          <w:color w:val="000000"/>
          <w:szCs w:val="21"/>
        </w:rPr>
        <w:t>重要提示：投标文件制作时应当编制目录与页码，便于阅读与查阅。因投标文件编制混乱，导致投标文件的漏读误读，责任由投标人承担，需提供的方案格式自拟。</w:t>
      </w:r>
      <w:r>
        <w:rPr>
          <w:rFonts w:hint="eastAsia" w:ascii="仿宋" w:hAnsi="仿宋" w:eastAsia="仿宋" w:cs="仿宋"/>
          <w:color w:val="000000"/>
          <w:szCs w:val="21"/>
        </w:rPr>
        <w:br w:type="page"/>
      </w:r>
      <w:bookmarkStart w:id="170" w:name="_Toc18758"/>
      <w:bookmarkStart w:id="171" w:name="_Toc8559"/>
      <w:r>
        <w:rPr>
          <w:rFonts w:hint="eastAsia" w:ascii="仿宋" w:hAnsi="仿宋" w:eastAsia="仿宋" w:cs="仿宋"/>
          <w:color w:val="000000"/>
          <w:szCs w:val="21"/>
        </w:rPr>
        <w:t>附件</w:t>
      </w:r>
      <w:bookmarkEnd w:id="170"/>
      <w:bookmarkEnd w:id="171"/>
      <w:r>
        <w:rPr>
          <w:rFonts w:hint="eastAsia" w:ascii="仿宋" w:hAnsi="仿宋" w:eastAsia="仿宋" w:cs="仿宋"/>
          <w:color w:val="000000"/>
          <w:szCs w:val="21"/>
          <w:lang w:eastAsia="zh-CN"/>
        </w:rPr>
        <w:t>五</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投标人情况表</w:t>
      </w:r>
    </w:p>
    <w:tbl>
      <w:tblPr>
        <w:tblStyle w:val="4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投标人名称</w:t>
            </w:r>
          </w:p>
        </w:tc>
        <w:tc>
          <w:tcPr>
            <w:tcW w:w="7302" w:type="dxa"/>
            <w:gridSpan w:val="10"/>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注册地址</w:t>
            </w:r>
          </w:p>
        </w:tc>
        <w:tc>
          <w:tcPr>
            <w:tcW w:w="3647" w:type="dxa"/>
            <w:gridSpan w:val="4"/>
            <w:noWrap w:val="0"/>
            <w:vAlign w:val="center"/>
          </w:tcPr>
          <w:p>
            <w:pPr>
              <w:spacing w:line="360" w:lineRule="auto"/>
              <w:rPr>
                <w:rFonts w:hint="eastAsia" w:ascii="仿宋" w:hAnsi="仿宋" w:eastAsia="仿宋" w:cs="仿宋"/>
                <w:color w:val="000000"/>
                <w:szCs w:val="21"/>
              </w:rPr>
            </w:pPr>
          </w:p>
        </w:tc>
        <w:tc>
          <w:tcPr>
            <w:tcW w:w="1602" w:type="dxa"/>
            <w:gridSpan w:val="3"/>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邮政编码</w:t>
            </w:r>
          </w:p>
        </w:tc>
        <w:tc>
          <w:tcPr>
            <w:tcW w:w="2053" w:type="dxa"/>
            <w:gridSpan w:val="3"/>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restart"/>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联系方式</w:t>
            </w:r>
          </w:p>
        </w:tc>
        <w:tc>
          <w:tcPr>
            <w:tcW w:w="1283" w:type="dxa"/>
            <w:gridSpan w:val="2"/>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tc>
        <w:tc>
          <w:tcPr>
            <w:tcW w:w="2364" w:type="dxa"/>
            <w:gridSpan w:val="2"/>
            <w:noWrap w:val="0"/>
            <w:vAlign w:val="center"/>
          </w:tcPr>
          <w:p>
            <w:pPr>
              <w:spacing w:line="360" w:lineRule="auto"/>
              <w:rPr>
                <w:rFonts w:hint="eastAsia" w:ascii="仿宋" w:hAnsi="仿宋" w:eastAsia="仿宋" w:cs="仿宋"/>
                <w:color w:val="000000"/>
                <w:szCs w:val="21"/>
              </w:rPr>
            </w:pPr>
          </w:p>
        </w:tc>
        <w:tc>
          <w:tcPr>
            <w:tcW w:w="1602" w:type="dxa"/>
            <w:gridSpan w:val="3"/>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电话</w:t>
            </w:r>
          </w:p>
        </w:tc>
        <w:tc>
          <w:tcPr>
            <w:tcW w:w="2053" w:type="dxa"/>
            <w:gridSpan w:val="3"/>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continue"/>
            <w:noWrap w:val="0"/>
            <w:vAlign w:val="center"/>
          </w:tcPr>
          <w:p>
            <w:pPr>
              <w:spacing w:line="360" w:lineRule="auto"/>
              <w:rPr>
                <w:rFonts w:hint="eastAsia" w:ascii="仿宋" w:hAnsi="仿宋" w:eastAsia="仿宋" w:cs="仿宋"/>
                <w:color w:val="000000"/>
                <w:szCs w:val="21"/>
              </w:rPr>
            </w:pPr>
          </w:p>
        </w:tc>
        <w:tc>
          <w:tcPr>
            <w:tcW w:w="1283" w:type="dxa"/>
            <w:gridSpan w:val="2"/>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传真</w:t>
            </w:r>
          </w:p>
        </w:tc>
        <w:tc>
          <w:tcPr>
            <w:tcW w:w="2364" w:type="dxa"/>
            <w:gridSpan w:val="2"/>
            <w:noWrap w:val="0"/>
            <w:vAlign w:val="center"/>
          </w:tcPr>
          <w:p>
            <w:pPr>
              <w:spacing w:line="360" w:lineRule="auto"/>
              <w:rPr>
                <w:rFonts w:hint="eastAsia" w:ascii="仿宋" w:hAnsi="仿宋" w:eastAsia="仿宋" w:cs="仿宋"/>
                <w:color w:val="000000"/>
                <w:szCs w:val="21"/>
              </w:rPr>
            </w:pPr>
          </w:p>
        </w:tc>
        <w:tc>
          <w:tcPr>
            <w:tcW w:w="1602" w:type="dxa"/>
            <w:gridSpan w:val="3"/>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网址</w:t>
            </w:r>
          </w:p>
        </w:tc>
        <w:tc>
          <w:tcPr>
            <w:tcW w:w="2053" w:type="dxa"/>
            <w:gridSpan w:val="3"/>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组织结构</w:t>
            </w:r>
          </w:p>
        </w:tc>
        <w:tc>
          <w:tcPr>
            <w:tcW w:w="7302" w:type="dxa"/>
            <w:gridSpan w:val="10"/>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法定代表人</w:t>
            </w:r>
          </w:p>
        </w:tc>
        <w:tc>
          <w:tcPr>
            <w:tcW w:w="974"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姓名</w:t>
            </w:r>
          </w:p>
        </w:tc>
        <w:tc>
          <w:tcPr>
            <w:tcW w:w="1661" w:type="dxa"/>
            <w:gridSpan w:val="2"/>
            <w:noWrap w:val="0"/>
            <w:vAlign w:val="center"/>
          </w:tcPr>
          <w:p>
            <w:pPr>
              <w:spacing w:line="360" w:lineRule="auto"/>
              <w:rPr>
                <w:rFonts w:hint="eastAsia" w:ascii="仿宋" w:hAnsi="仿宋" w:eastAsia="仿宋" w:cs="仿宋"/>
                <w:color w:val="000000"/>
                <w:szCs w:val="21"/>
              </w:rPr>
            </w:pPr>
          </w:p>
        </w:tc>
        <w:tc>
          <w:tcPr>
            <w:tcW w:w="1361" w:type="dxa"/>
            <w:gridSpan w:val="2"/>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技术职称</w:t>
            </w:r>
          </w:p>
        </w:tc>
        <w:tc>
          <w:tcPr>
            <w:tcW w:w="1074" w:type="dxa"/>
            <w:noWrap w:val="0"/>
            <w:vAlign w:val="center"/>
          </w:tcPr>
          <w:p>
            <w:pPr>
              <w:spacing w:line="360" w:lineRule="auto"/>
              <w:rPr>
                <w:rFonts w:hint="eastAsia" w:ascii="仿宋" w:hAnsi="仿宋" w:eastAsia="仿宋" w:cs="仿宋"/>
                <w:color w:val="000000"/>
                <w:szCs w:val="21"/>
              </w:rPr>
            </w:pPr>
          </w:p>
        </w:tc>
        <w:tc>
          <w:tcPr>
            <w:tcW w:w="816" w:type="dxa"/>
            <w:gridSpan w:val="3"/>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电话</w:t>
            </w:r>
          </w:p>
        </w:tc>
        <w:tc>
          <w:tcPr>
            <w:tcW w:w="1416" w:type="dxa"/>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技术负责人</w:t>
            </w:r>
          </w:p>
        </w:tc>
        <w:tc>
          <w:tcPr>
            <w:tcW w:w="974"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姓名</w:t>
            </w:r>
          </w:p>
        </w:tc>
        <w:tc>
          <w:tcPr>
            <w:tcW w:w="1661" w:type="dxa"/>
            <w:gridSpan w:val="2"/>
            <w:noWrap w:val="0"/>
            <w:vAlign w:val="center"/>
          </w:tcPr>
          <w:p>
            <w:pPr>
              <w:spacing w:line="360" w:lineRule="auto"/>
              <w:rPr>
                <w:rFonts w:hint="eastAsia" w:ascii="仿宋" w:hAnsi="仿宋" w:eastAsia="仿宋" w:cs="仿宋"/>
                <w:color w:val="000000"/>
                <w:szCs w:val="21"/>
              </w:rPr>
            </w:pPr>
          </w:p>
        </w:tc>
        <w:tc>
          <w:tcPr>
            <w:tcW w:w="1361" w:type="dxa"/>
            <w:gridSpan w:val="2"/>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技术职称</w:t>
            </w:r>
          </w:p>
        </w:tc>
        <w:tc>
          <w:tcPr>
            <w:tcW w:w="1074" w:type="dxa"/>
            <w:noWrap w:val="0"/>
            <w:vAlign w:val="center"/>
          </w:tcPr>
          <w:p>
            <w:pPr>
              <w:spacing w:line="360" w:lineRule="auto"/>
              <w:rPr>
                <w:rFonts w:hint="eastAsia" w:ascii="仿宋" w:hAnsi="仿宋" w:eastAsia="仿宋" w:cs="仿宋"/>
                <w:color w:val="000000"/>
                <w:szCs w:val="21"/>
              </w:rPr>
            </w:pPr>
          </w:p>
        </w:tc>
        <w:tc>
          <w:tcPr>
            <w:tcW w:w="816" w:type="dxa"/>
            <w:gridSpan w:val="3"/>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电话</w:t>
            </w:r>
          </w:p>
        </w:tc>
        <w:tc>
          <w:tcPr>
            <w:tcW w:w="1416" w:type="dxa"/>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成立时间</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4667" w:type="dxa"/>
            <w:gridSpan w:val="7"/>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企业资质等级</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1012" w:type="dxa"/>
            <w:vMerge w:val="restart"/>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其中</w:t>
            </w:r>
          </w:p>
        </w:tc>
        <w:tc>
          <w:tcPr>
            <w:tcW w:w="1954" w:type="dxa"/>
            <w:gridSpan w:val="4"/>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高级职称人员</w:t>
            </w:r>
          </w:p>
        </w:tc>
        <w:tc>
          <w:tcPr>
            <w:tcW w:w="1701" w:type="dxa"/>
            <w:gridSpan w:val="2"/>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营业执照号</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1012" w:type="dxa"/>
            <w:vMerge w:val="continue"/>
            <w:noWrap w:val="0"/>
            <w:vAlign w:val="center"/>
          </w:tcPr>
          <w:p>
            <w:pPr>
              <w:spacing w:line="360" w:lineRule="auto"/>
              <w:rPr>
                <w:rFonts w:hint="eastAsia" w:ascii="仿宋" w:hAnsi="仿宋" w:eastAsia="仿宋" w:cs="仿宋"/>
                <w:color w:val="000000"/>
                <w:szCs w:val="21"/>
              </w:rPr>
            </w:pPr>
          </w:p>
        </w:tc>
        <w:tc>
          <w:tcPr>
            <w:tcW w:w="1954" w:type="dxa"/>
            <w:gridSpan w:val="4"/>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中级职称人员</w:t>
            </w:r>
          </w:p>
        </w:tc>
        <w:tc>
          <w:tcPr>
            <w:tcW w:w="1701" w:type="dxa"/>
            <w:gridSpan w:val="2"/>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注册资金</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1012" w:type="dxa"/>
            <w:vMerge w:val="continue"/>
            <w:noWrap w:val="0"/>
            <w:vAlign w:val="center"/>
          </w:tcPr>
          <w:p>
            <w:pPr>
              <w:spacing w:line="360" w:lineRule="auto"/>
              <w:rPr>
                <w:rFonts w:hint="eastAsia" w:ascii="仿宋" w:hAnsi="仿宋" w:eastAsia="仿宋" w:cs="仿宋"/>
                <w:color w:val="000000"/>
                <w:szCs w:val="21"/>
              </w:rPr>
            </w:pPr>
          </w:p>
        </w:tc>
        <w:tc>
          <w:tcPr>
            <w:tcW w:w="1954" w:type="dxa"/>
            <w:gridSpan w:val="4"/>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初级职称人员</w:t>
            </w:r>
          </w:p>
        </w:tc>
        <w:tc>
          <w:tcPr>
            <w:tcW w:w="1701" w:type="dxa"/>
            <w:gridSpan w:val="2"/>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1012" w:type="dxa"/>
            <w:vMerge w:val="continue"/>
            <w:noWrap w:val="0"/>
            <w:vAlign w:val="center"/>
          </w:tcPr>
          <w:p>
            <w:pPr>
              <w:spacing w:line="360" w:lineRule="auto"/>
              <w:rPr>
                <w:rFonts w:hint="eastAsia" w:ascii="仿宋" w:hAnsi="仿宋" w:eastAsia="仿宋" w:cs="仿宋"/>
                <w:color w:val="000000"/>
                <w:szCs w:val="21"/>
              </w:rPr>
            </w:pPr>
          </w:p>
        </w:tc>
        <w:tc>
          <w:tcPr>
            <w:tcW w:w="1954" w:type="dxa"/>
            <w:gridSpan w:val="4"/>
            <w:noWrap w:val="0"/>
            <w:vAlign w:val="center"/>
          </w:tcPr>
          <w:p>
            <w:pPr>
              <w:spacing w:line="360" w:lineRule="auto"/>
              <w:rPr>
                <w:rFonts w:hint="eastAsia" w:ascii="仿宋" w:hAnsi="仿宋" w:eastAsia="仿宋" w:cs="仿宋"/>
                <w:color w:val="000000"/>
                <w:szCs w:val="21"/>
              </w:rPr>
            </w:pPr>
          </w:p>
        </w:tc>
        <w:tc>
          <w:tcPr>
            <w:tcW w:w="1701" w:type="dxa"/>
            <w:gridSpan w:val="2"/>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tc>
        <w:tc>
          <w:tcPr>
            <w:tcW w:w="2635" w:type="dxa"/>
            <w:gridSpan w:val="3"/>
            <w:noWrap w:val="0"/>
            <w:vAlign w:val="center"/>
          </w:tcPr>
          <w:p>
            <w:pPr>
              <w:spacing w:line="360" w:lineRule="auto"/>
              <w:rPr>
                <w:rFonts w:hint="eastAsia" w:ascii="仿宋" w:hAnsi="仿宋" w:eastAsia="仿宋" w:cs="仿宋"/>
                <w:color w:val="000000"/>
                <w:szCs w:val="21"/>
              </w:rPr>
            </w:pPr>
          </w:p>
        </w:tc>
        <w:tc>
          <w:tcPr>
            <w:tcW w:w="1012" w:type="dxa"/>
            <w:vMerge w:val="continue"/>
            <w:noWrap w:val="0"/>
            <w:vAlign w:val="center"/>
          </w:tcPr>
          <w:p>
            <w:pPr>
              <w:spacing w:line="360" w:lineRule="auto"/>
              <w:rPr>
                <w:rFonts w:hint="eastAsia" w:ascii="仿宋" w:hAnsi="仿宋" w:eastAsia="仿宋" w:cs="仿宋"/>
                <w:color w:val="000000"/>
                <w:szCs w:val="21"/>
              </w:rPr>
            </w:pPr>
          </w:p>
        </w:tc>
        <w:tc>
          <w:tcPr>
            <w:tcW w:w="1954" w:type="dxa"/>
            <w:gridSpan w:val="4"/>
            <w:noWrap w:val="0"/>
            <w:vAlign w:val="center"/>
          </w:tcPr>
          <w:p>
            <w:pPr>
              <w:spacing w:line="360" w:lineRule="auto"/>
              <w:rPr>
                <w:rFonts w:hint="eastAsia" w:ascii="仿宋" w:hAnsi="仿宋" w:eastAsia="仿宋" w:cs="仿宋"/>
                <w:color w:val="000000"/>
                <w:szCs w:val="21"/>
              </w:rPr>
            </w:pPr>
          </w:p>
        </w:tc>
        <w:tc>
          <w:tcPr>
            <w:tcW w:w="1701" w:type="dxa"/>
            <w:gridSpan w:val="2"/>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经营范围</w:t>
            </w:r>
          </w:p>
        </w:tc>
        <w:tc>
          <w:tcPr>
            <w:tcW w:w="7302" w:type="dxa"/>
            <w:gridSpan w:val="10"/>
            <w:noWrap w:val="0"/>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71" w:type="dxa"/>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备注</w:t>
            </w:r>
          </w:p>
        </w:tc>
        <w:tc>
          <w:tcPr>
            <w:tcW w:w="7302" w:type="dxa"/>
            <w:gridSpan w:val="10"/>
            <w:noWrap w:val="0"/>
            <w:vAlign w:val="center"/>
          </w:tcPr>
          <w:p>
            <w:pPr>
              <w:spacing w:line="360" w:lineRule="auto"/>
              <w:rPr>
                <w:rFonts w:hint="eastAsia" w:ascii="仿宋" w:hAnsi="仿宋" w:eastAsia="仿宋" w:cs="仿宋"/>
                <w:color w:val="000000"/>
                <w:szCs w:val="21"/>
              </w:rPr>
            </w:pPr>
          </w:p>
        </w:tc>
      </w:tr>
    </w:tbl>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投标人盖章：</w:t>
      </w:r>
      <w:r>
        <w:rPr>
          <w:rFonts w:hint="eastAsia" w:ascii="仿宋" w:hAnsi="仿宋" w:eastAsia="仿宋" w:cs="仿宋"/>
          <w:color w:val="000000"/>
          <w:szCs w:val="21"/>
          <w:u w:val="single"/>
        </w:rPr>
        <w:t xml:space="preserve">   （公章）</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outlineLvl w:val="2"/>
        <w:rPr>
          <w:rFonts w:hint="eastAsia" w:ascii="仿宋" w:hAnsi="仿宋" w:eastAsia="仿宋" w:cs="仿宋"/>
          <w:color w:val="000000"/>
          <w:szCs w:val="21"/>
          <w:lang w:eastAsia="zh-CN"/>
        </w:rPr>
      </w:pPr>
      <w:r>
        <w:rPr>
          <w:rFonts w:hint="eastAsia" w:ascii="仿宋" w:hAnsi="仿宋" w:eastAsia="仿宋" w:cs="仿宋"/>
          <w:color w:val="000000"/>
          <w:szCs w:val="21"/>
        </w:rPr>
        <w:br w:type="page"/>
      </w:r>
      <w:bookmarkStart w:id="172" w:name="_Toc24573"/>
      <w:bookmarkStart w:id="173" w:name="_Toc31543"/>
      <w:r>
        <w:rPr>
          <w:rFonts w:hint="eastAsia" w:ascii="仿宋" w:hAnsi="仿宋" w:eastAsia="仿宋" w:cs="仿宋"/>
          <w:color w:val="000000"/>
          <w:szCs w:val="21"/>
        </w:rPr>
        <w:t>附件</w:t>
      </w:r>
      <w:bookmarkEnd w:id="172"/>
      <w:bookmarkEnd w:id="173"/>
      <w:r>
        <w:rPr>
          <w:rFonts w:hint="eastAsia" w:ascii="仿宋" w:hAnsi="仿宋" w:eastAsia="仿宋" w:cs="仿宋"/>
          <w:color w:val="000000"/>
          <w:szCs w:val="21"/>
          <w:lang w:eastAsia="zh-CN"/>
        </w:rPr>
        <w:t>六</w:t>
      </w:r>
    </w:p>
    <w:p>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技术要求及合同条款偏离表</w:t>
      </w:r>
    </w:p>
    <w:p>
      <w:pPr>
        <w:spacing w:line="360" w:lineRule="auto"/>
        <w:rPr>
          <w:rFonts w:hint="eastAsia" w:ascii="仿宋" w:hAnsi="仿宋" w:eastAsia="仿宋" w:cs="仿宋"/>
          <w:color w:val="000000"/>
          <w:szCs w:val="21"/>
          <w:u w:val="single"/>
        </w:rPr>
      </w:pPr>
      <w:r>
        <w:rPr>
          <w:rFonts w:hint="eastAsia" w:ascii="仿宋" w:hAnsi="仿宋" w:eastAsia="仿宋" w:cs="仿宋"/>
          <w:color w:val="000000"/>
          <w:szCs w:val="21"/>
          <w:u w:val="single"/>
        </w:rPr>
        <w:t xml:space="preserve">项目编号：               项目名称：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5"/>
        <w:gridCol w:w="3037"/>
        <w:gridCol w:w="3263"/>
        <w:gridCol w:w="18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tcBorders>
              <w:top w:val="single" w:color="auto" w:sz="4" w:space="0"/>
              <w:bottom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序号</w:t>
            </w:r>
          </w:p>
        </w:tc>
        <w:tc>
          <w:tcPr>
            <w:tcW w:w="3037" w:type="dxa"/>
            <w:tcBorders>
              <w:top w:val="single" w:color="auto" w:sz="4" w:space="0"/>
              <w:bottom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《招标文件》要求</w:t>
            </w:r>
          </w:p>
        </w:tc>
        <w:tc>
          <w:tcPr>
            <w:tcW w:w="3263" w:type="dxa"/>
            <w:tcBorders>
              <w:top w:val="single" w:color="auto" w:sz="4" w:space="0"/>
              <w:bottom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《投标文件》响应</w:t>
            </w:r>
          </w:p>
        </w:tc>
        <w:tc>
          <w:tcPr>
            <w:tcW w:w="1827" w:type="dxa"/>
            <w:tcBorders>
              <w:top w:val="single" w:color="auto" w:sz="4" w:space="0"/>
              <w:bottom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偏离项详细说明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tcBorders>
              <w:top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tcBorders>
              <w:top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tcBorders>
              <w:top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tcBorders>
              <w:top w:val="single" w:color="auto" w:sz="4" w:space="0"/>
            </w:tcBorders>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shd w:val="clear" w:color="auto" w:fill="FFFFFF"/>
              </w:rPr>
              <w:t>（若存在偏离，注明偏离内容及正负）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noWrap w:val="0"/>
            <w:tcMar>
              <w:left w:w="0" w:type="dxa"/>
              <w:right w:w="0" w:type="dxa"/>
            </w:tcMar>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shd w:val="clear" w:color="auto" w:fill="FFFFFF"/>
              </w:rPr>
              <w:t>（无偏离时此处填写完全响应）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noWrap w:val="0"/>
            <w:tcMar>
              <w:left w:w="0" w:type="dxa"/>
              <w:right w:w="0" w:type="dxa"/>
            </w:tcMar>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noWrap w:val="0"/>
            <w:tcMar>
              <w:left w:w="0" w:type="dxa"/>
              <w:right w:w="0" w:type="dxa"/>
            </w:tcMar>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noWrap w:val="0"/>
            <w:tcMar>
              <w:left w:w="0" w:type="dxa"/>
              <w:right w:w="0" w:type="dxa"/>
            </w:tcMar>
            <w:vAlign w:val="center"/>
          </w:tcPr>
          <w:p>
            <w:pPr>
              <w:spacing w:line="360" w:lineRule="auto"/>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25"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037"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3263" w:type="dxa"/>
            <w:noWrap w:val="0"/>
            <w:tcMar>
              <w:left w:w="0" w:type="dxa"/>
              <w:right w:w="0" w:type="dxa"/>
            </w:tcMar>
            <w:vAlign w:val="center"/>
          </w:tcPr>
          <w:p>
            <w:pPr>
              <w:spacing w:line="360" w:lineRule="auto"/>
              <w:rPr>
                <w:rFonts w:hint="eastAsia" w:ascii="仿宋" w:hAnsi="仿宋" w:eastAsia="仿宋" w:cs="仿宋"/>
                <w:color w:val="000000"/>
                <w:szCs w:val="21"/>
              </w:rPr>
            </w:pPr>
          </w:p>
        </w:tc>
        <w:tc>
          <w:tcPr>
            <w:tcW w:w="1827" w:type="dxa"/>
            <w:noWrap w:val="0"/>
            <w:tcMar>
              <w:left w:w="0" w:type="dxa"/>
              <w:right w:w="0" w:type="dxa"/>
            </w:tcMar>
            <w:vAlign w:val="center"/>
          </w:tcPr>
          <w:p>
            <w:pPr>
              <w:spacing w:line="360" w:lineRule="auto"/>
              <w:rPr>
                <w:rFonts w:hint="eastAsia" w:ascii="仿宋" w:hAnsi="仿宋" w:eastAsia="仿宋" w:cs="仿宋"/>
                <w:color w:val="000000"/>
                <w:szCs w:val="21"/>
              </w:rPr>
            </w:pPr>
          </w:p>
        </w:tc>
      </w:tr>
    </w:tbl>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备注：1、如投标文件对本采购文件中的</w:t>
      </w:r>
      <w:r>
        <w:rPr>
          <w:rFonts w:hint="eastAsia" w:ascii="仿宋" w:hAnsi="仿宋" w:eastAsia="仿宋" w:cs="仿宋"/>
          <w:b/>
          <w:color w:val="000000"/>
          <w:szCs w:val="21"/>
        </w:rPr>
        <w:t>服务要求及合同条款</w:t>
      </w:r>
      <w:r>
        <w:rPr>
          <w:rFonts w:hint="eastAsia" w:ascii="仿宋" w:hAnsi="仿宋" w:eastAsia="仿宋" w:cs="仿宋"/>
          <w:color w:val="000000"/>
          <w:szCs w:val="21"/>
        </w:rPr>
        <w:t>有偏离的，在本表中列明，并注偏离情况说明</w:t>
      </w:r>
      <w:r>
        <w:rPr>
          <w:rFonts w:hint="eastAsia" w:ascii="仿宋" w:hAnsi="仿宋" w:eastAsia="仿宋" w:cs="仿宋"/>
          <w:b/>
          <w:color w:val="000000"/>
          <w:szCs w:val="21"/>
        </w:rPr>
        <w:t>。</w:t>
      </w:r>
    </w:p>
    <w:p>
      <w:pPr>
        <w:spacing w:line="360" w:lineRule="auto"/>
        <w:rPr>
          <w:rFonts w:hint="eastAsia" w:ascii="仿宋" w:hAnsi="仿宋" w:eastAsia="仿宋" w:cs="仿宋"/>
          <w:b/>
          <w:color w:val="000000"/>
          <w:szCs w:val="21"/>
        </w:rPr>
      </w:pPr>
      <w:r>
        <w:rPr>
          <w:rFonts w:hint="eastAsia" w:ascii="仿宋" w:hAnsi="仿宋" w:eastAsia="仿宋" w:cs="仿宋"/>
          <w:b/>
          <w:color w:val="000000"/>
          <w:szCs w:val="21"/>
        </w:rPr>
        <w:t>2、未在本表中填写的，视为完全响应采购文件中的服务要求及合同条款。</w:t>
      </w:r>
    </w:p>
    <w:p>
      <w:pPr>
        <w:spacing w:line="360" w:lineRule="auto"/>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投标人盖章：</w:t>
      </w:r>
      <w:r>
        <w:rPr>
          <w:rFonts w:hint="eastAsia" w:ascii="仿宋" w:hAnsi="仿宋" w:eastAsia="仿宋" w:cs="仿宋"/>
          <w:color w:val="000000"/>
          <w:szCs w:val="21"/>
          <w:u w:val="single"/>
        </w:rPr>
        <w:t xml:space="preserve">   （公章）</w:t>
      </w:r>
    </w:p>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napToGrid w:val="0"/>
        <w:spacing w:before="50" w:line="360" w:lineRule="auto"/>
        <w:jc w:val="left"/>
        <w:rPr>
          <w:rFonts w:hint="eastAsia" w:ascii="仿宋" w:hAnsi="仿宋" w:eastAsia="仿宋" w:cs="仿宋"/>
          <w:color w:val="000000"/>
          <w:szCs w:val="21"/>
        </w:rPr>
      </w:pPr>
      <w:r>
        <w:rPr>
          <w:rFonts w:hint="eastAsia" w:ascii="仿宋" w:hAnsi="仿宋" w:eastAsia="仿宋" w:cs="仿宋"/>
          <w:color w:val="000000"/>
          <w:kern w:val="0"/>
          <w:szCs w:val="21"/>
        </w:rPr>
        <w:t xml:space="preserve">    </w:t>
      </w:r>
    </w:p>
    <w:p>
      <w:pPr>
        <w:snapToGrid w:val="0"/>
        <w:spacing w:before="50" w:line="360" w:lineRule="auto"/>
        <w:jc w:val="left"/>
        <w:rPr>
          <w:rFonts w:hint="eastAsia" w:ascii="仿宋" w:hAnsi="仿宋" w:eastAsia="仿宋" w:cs="仿宋"/>
          <w:color w:val="000000"/>
          <w:szCs w:val="21"/>
        </w:rPr>
      </w:pPr>
    </w:p>
    <w:p>
      <w:pPr>
        <w:snapToGrid w:val="0"/>
        <w:spacing w:before="50" w:line="360" w:lineRule="auto"/>
        <w:jc w:val="left"/>
        <w:rPr>
          <w:rFonts w:hint="eastAsia" w:ascii="仿宋" w:hAnsi="仿宋" w:eastAsia="仿宋" w:cs="仿宋"/>
          <w:color w:val="000000"/>
          <w:szCs w:val="21"/>
        </w:rPr>
      </w:pPr>
    </w:p>
    <w:p>
      <w:pPr>
        <w:spacing w:line="400" w:lineRule="exact"/>
        <w:jc w:val="left"/>
        <w:rPr>
          <w:rFonts w:hint="eastAsia" w:ascii="仿宋" w:hAnsi="仿宋" w:eastAsia="仿宋" w:cs="仿宋"/>
          <w:color w:val="000000"/>
          <w:szCs w:val="21"/>
          <w:lang w:eastAsia="zh-CN"/>
        </w:rPr>
      </w:pPr>
      <w:r>
        <w:rPr>
          <w:rFonts w:hint="eastAsia" w:ascii="仿宋" w:hAnsi="仿宋" w:eastAsia="仿宋" w:cs="仿宋"/>
          <w:color w:val="000000"/>
          <w:szCs w:val="21"/>
        </w:rPr>
        <w:br w:type="page"/>
      </w:r>
      <w:r>
        <w:rPr>
          <w:rFonts w:hint="eastAsia" w:ascii="仿宋" w:hAnsi="仿宋" w:eastAsia="仿宋" w:cs="仿宋"/>
          <w:color w:val="000000"/>
          <w:szCs w:val="21"/>
        </w:rPr>
        <w:t>附件</w:t>
      </w:r>
      <w:r>
        <w:rPr>
          <w:rFonts w:hint="eastAsia" w:ascii="仿宋" w:hAnsi="仿宋" w:eastAsia="仿宋" w:cs="仿宋"/>
          <w:color w:val="000000"/>
          <w:szCs w:val="21"/>
          <w:lang w:eastAsia="zh-CN"/>
        </w:rPr>
        <w:t>七</w:t>
      </w:r>
    </w:p>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分包意向协议</w:t>
      </w:r>
    </w:p>
    <w:p>
      <w:pPr>
        <w:spacing w:line="400" w:lineRule="exact"/>
        <w:jc w:val="center"/>
        <w:rPr>
          <w:rFonts w:hint="eastAsia" w:ascii="仿宋" w:hAnsi="仿宋" w:eastAsia="仿宋" w:cs="仿宋"/>
          <w:b/>
          <w:color w:val="000000"/>
          <w:sz w:val="24"/>
          <w:shd w:val="clear" w:color="auto" w:fill="BEBEBE"/>
        </w:rPr>
      </w:pPr>
      <w:r>
        <w:rPr>
          <w:rFonts w:hint="eastAsia" w:ascii="仿宋" w:hAnsi="仿宋" w:eastAsia="仿宋" w:cs="仿宋"/>
          <w:b/>
          <w:color w:val="000000"/>
          <w:sz w:val="24"/>
          <w:shd w:val="clear" w:color="auto" w:fill="BEBEBE"/>
        </w:rPr>
        <w:t>（成交后以合理分包方式履行政府采购合同的，提供分包意向协议）</w:t>
      </w:r>
    </w:p>
    <w:p>
      <w:pPr>
        <w:wordWrap w:val="0"/>
        <w:spacing w:line="400" w:lineRule="exact"/>
        <w:rPr>
          <w:rFonts w:hint="eastAsia" w:ascii="仿宋" w:hAnsi="仿宋" w:eastAsia="仿宋" w:cs="仿宋"/>
          <w:szCs w:val="21"/>
        </w:rPr>
      </w:pPr>
      <w:r>
        <w:rPr>
          <w:rFonts w:hint="eastAsia" w:ascii="仿宋" w:hAnsi="仿宋" w:eastAsia="仿宋" w:cs="仿宋"/>
          <w:szCs w:val="21"/>
        </w:rPr>
        <w:t>投标人：</w:t>
      </w:r>
      <w:r>
        <w:rPr>
          <w:rFonts w:hint="eastAsia" w:ascii="仿宋" w:hAnsi="仿宋" w:eastAsia="仿宋" w:cs="仿宋"/>
          <w:szCs w:val="21"/>
          <w:u w:val="single"/>
        </w:rPr>
        <w:t xml:space="preserve">          </w:t>
      </w:r>
    </w:p>
    <w:p>
      <w:pPr>
        <w:wordWrap w:val="0"/>
        <w:spacing w:line="400" w:lineRule="exact"/>
        <w:rPr>
          <w:rFonts w:hint="eastAsia" w:ascii="仿宋" w:hAnsi="仿宋" w:eastAsia="仿宋" w:cs="仿宋"/>
          <w:szCs w:val="21"/>
        </w:rPr>
      </w:pPr>
      <w:r>
        <w:rPr>
          <w:rFonts w:hint="eastAsia" w:ascii="仿宋" w:hAnsi="仿宋" w:eastAsia="仿宋" w:cs="仿宋"/>
          <w:szCs w:val="21"/>
        </w:rPr>
        <w:t>分包意向投标人一：</w:t>
      </w:r>
      <w:r>
        <w:rPr>
          <w:rFonts w:hint="eastAsia" w:ascii="仿宋" w:hAnsi="仿宋" w:eastAsia="仿宋" w:cs="仿宋"/>
          <w:szCs w:val="21"/>
          <w:u w:val="single"/>
        </w:rPr>
        <w:t xml:space="preserve">          </w:t>
      </w:r>
    </w:p>
    <w:p>
      <w:pPr>
        <w:wordWrap w:val="0"/>
        <w:spacing w:line="400" w:lineRule="exact"/>
        <w:rPr>
          <w:rFonts w:hint="eastAsia" w:ascii="仿宋" w:hAnsi="仿宋" w:eastAsia="仿宋" w:cs="仿宋"/>
          <w:szCs w:val="21"/>
        </w:rPr>
      </w:pPr>
      <w:r>
        <w:rPr>
          <w:rFonts w:hint="eastAsia" w:ascii="仿宋" w:hAnsi="仿宋" w:eastAsia="仿宋" w:cs="仿宋"/>
          <w:szCs w:val="21"/>
        </w:rPr>
        <w:t>......（如有多个分包意向投标人的，按同格式增加）</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（投标人全称）</w:t>
      </w:r>
      <w:r>
        <w:rPr>
          <w:rFonts w:hint="eastAsia" w:ascii="仿宋" w:hAnsi="仿宋" w:eastAsia="仿宋" w:cs="仿宋"/>
          <w:szCs w:val="21"/>
        </w:rPr>
        <w:t>、</w:t>
      </w:r>
      <w:r>
        <w:rPr>
          <w:rFonts w:hint="eastAsia" w:ascii="仿宋" w:hAnsi="仿宋" w:eastAsia="仿宋" w:cs="仿宋"/>
          <w:szCs w:val="21"/>
          <w:u w:val="single"/>
        </w:rPr>
        <w:t xml:space="preserve">          （分包意向投标人一全称）</w:t>
      </w:r>
      <w:r>
        <w:rPr>
          <w:rFonts w:hint="eastAsia" w:ascii="仿宋" w:hAnsi="仿宋" w:eastAsia="仿宋" w:cs="仿宋"/>
          <w:szCs w:val="21"/>
        </w:rPr>
        <w:t>自愿达成分包意向，参加</w:t>
      </w:r>
      <w:r>
        <w:rPr>
          <w:rFonts w:hint="eastAsia" w:ascii="仿宋" w:hAnsi="仿宋" w:eastAsia="仿宋" w:cs="仿宋"/>
          <w:szCs w:val="21"/>
          <w:u w:val="single"/>
        </w:rPr>
        <w:t xml:space="preserve">          （项目编号）</w:t>
      </w:r>
      <w:r>
        <w:rPr>
          <w:rFonts w:hint="eastAsia" w:ascii="仿宋" w:hAnsi="仿宋" w:eastAsia="仿宋" w:cs="仿宋"/>
          <w:szCs w:val="21"/>
        </w:rPr>
        <w:t>、</w:t>
      </w:r>
      <w:r>
        <w:rPr>
          <w:rFonts w:hint="eastAsia" w:ascii="仿宋" w:hAnsi="仿宋" w:eastAsia="仿宋" w:cs="仿宋"/>
          <w:szCs w:val="21"/>
          <w:u w:val="single"/>
        </w:rPr>
        <w:t xml:space="preserve">          （项目名称）</w:t>
      </w:r>
      <w:r>
        <w:rPr>
          <w:rFonts w:hint="eastAsia" w:ascii="仿宋" w:hAnsi="仿宋" w:eastAsia="仿宋" w:cs="仿宋"/>
          <w:szCs w:val="21"/>
        </w:rPr>
        <w:t>的响应。经各方充分协商一致，就项目的响应和合同实施阶段的有关事务协商一致订立意向如下：</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一、分包意向各方关系</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（投标人全称）</w:t>
      </w:r>
      <w:r>
        <w:rPr>
          <w:rFonts w:hint="eastAsia" w:ascii="仿宋" w:hAnsi="仿宋" w:eastAsia="仿宋" w:cs="仿宋"/>
          <w:szCs w:val="21"/>
        </w:rPr>
        <w:t>为投标人、</w:t>
      </w:r>
      <w:r>
        <w:rPr>
          <w:rFonts w:hint="eastAsia" w:ascii="仿宋" w:hAnsi="仿宋" w:eastAsia="仿宋" w:cs="仿宋"/>
          <w:szCs w:val="21"/>
          <w:u w:val="single"/>
        </w:rPr>
        <w:t xml:space="preserve">          （分包意向投标人一全称）</w:t>
      </w:r>
      <w:r>
        <w:rPr>
          <w:rFonts w:hint="eastAsia" w:ascii="仿宋" w:hAnsi="仿宋" w:eastAsia="仿宋" w:cs="仿宋"/>
          <w:szCs w:val="21"/>
        </w:rPr>
        <w:t>为分包意向投标人，</w:t>
      </w:r>
      <w:r>
        <w:rPr>
          <w:rFonts w:hint="eastAsia" w:ascii="仿宋" w:hAnsi="仿宋" w:eastAsia="仿宋" w:cs="仿宋"/>
          <w:szCs w:val="21"/>
          <w:u w:val="single"/>
        </w:rPr>
        <w:t xml:space="preserve">          （投标人全称）</w:t>
      </w:r>
      <w:r>
        <w:rPr>
          <w:rFonts w:hint="eastAsia" w:ascii="仿宋" w:hAnsi="仿宋" w:eastAsia="仿宋" w:cs="仿宋"/>
          <w:szCs w:val="21"/>
        </w:rPr>
        <w:t>以投标人的身份参加本项目的采购活动，如获得成交资格，与采购人签订政府采购合同。承接分包意向的投标人与</w:t>
      </w:r>
      <w:r>
        <w:rPr>
          <w:rFonts w:hint="eastAsia" w:ascii="仿宋" w:hAnsi="仿宋" w:eastAsia="仿宋" w:cs="仿宋"/>
          <w:szCs w:val="21"/>
          <w:u w:val="single"/>
        </w:rPr>
        <w:t xml:space="preserve">          （投标人全称）</w:t>
      </w:r>
      <w:r>
        <w:rPr>
          <w:rFonts w:hint="eastAsia" w:ascii="仿宋" w:hAnsi="仿宋" w:eastAsia="仿宋" w:cs="仿宋"/>
          <w:szCs w:val="21"/>
        </w:rPr>
        <w:t>签订分包合同。投标人对采购项目和分包项目向采购人负责，分包意向投标人对分包项目向采购人负责，分包意向协议多方承担各自的和连带的法律责任。</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二、分包意向投标人中小微型企业认定</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，属于</w:t>
      </w:r>
      <w:r>
        <w:rPr>
          <w:rFonts w:hint="eastAsia" w:ascii="仿宋" w:hAnsi="仿宋" w:eastAsia="仿宋" w:cs="仿宋"/>
          <w:color w:val="000000"/>
          <w:u w:val="single"/>
        </w:rPr>
        <w:t>其他未列明行业</w:t>
      </w:r>
      <w:r>
        <w:rPr>
          <w:rFonts w:hint="eastAsia" w:ascii="仿宋" w:hAnsi="仿宋" w:eastAsia="仿宋" w:cs="仿宋"/>
          <w:szCs w:val="21"/>
          <w:u w:val="single"/>
        </w:rPr>
        <w:t xml:space="preserve"> </w:t>
      </w:r>
      <w:r>
        <w:rPr>
          <w:rFonts w:hint="eastAsia" w:ascii="仿宋" w:hAnsi="仿宋" w:eastAsia="仿宋" w:cs="仿宋"/>
          <w:szCs w:val="21"/>
        </w:rPr>
        <w:t>；分包意向投标人为</w:t>
      </w:r>
      <w:r>
        <w:rPr>
          <w:rFonts w:hint="eastAsia" w:ascii="仿宋" w:hAnsi="仿宋" w:eastAsia="仿宋" w:cs="仿宋"/>
          <w:szCs w:val="21"/>
          <w:u w:val="single"/>
        </w:rPr>
        <w:t xml:space="preserve">          （分包意向投标人一全称）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（中型企业或小型企业或微型企业）</w:t>
      </w:r>
      <w:r>
        <w:rPr>
          <w:rFonts w:hint="eastAsia" w:ascii="仿宋" w:hAnsi="仿宋" w:eastAsia="仿宋" w:cs="仿宋"/>
          <w:szCs w:val="21"/>
        </w:rPr>
        <w:t xml:space="preserve">。将承担合理分包部分 </w:t>
      </w:r>
      <w:r>
        <w:rPr>
          <w:rFonts w:hint="eastAsia" w:ascii="仿宋" w:hAnsi="仿宋" w:eastAsia="仿宋" w:cs="仿宋"/>
          <w:szCs w:val="21"/>
          <w:u w:val="single"/>
        </w:rPr>
        <w:t xml:space="preserve">         （具体分包的工作内容）</w:t>
      </w:r>
      <w:r>
        <w:rPr>
          <w:rFonts w:hint="eastAsia" w:ascii="仿宋" w:hAnsi="仿宋" w:eastAsia="仿宋" w:cs="仿宋"/>
          <w:szCs w:val="21"/>
        </w:rPr>
        <w:t>，占项目合同金额的</w:t>
      </w:r>
      <w:r>
        <w:rPr>
          <w:rFonts w:hint="eastAsia" w:ascii="仿宋" w:hAnsi="仿宋" w:eastAsia="仿宋" w:cs="仿宋"/>
          <w:szCs w:val="21"/>
          <w:u w:val="single"/>
        </w:rPr>
        <w:t xml:space="preserve">          %</w:t>
      </w:r>
      <w:r>
        <w:rPr>
          <w:rFonts w:hint="eastAsia" w:ascii="仿宋" w:hAnsi="仿宋" w:eastAsia="仿宋" w:cs="仿宋"/>
          <w:szCs w:val="21"/>
        </w:rPr>
        <w:t>。</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三、接受分包合同的中小企业与分包企业之间</w:t>
      </w:r>
      <w:r>
        <w:rPr>
          <w:rFonts w:hint="eastAsia" w:ascii="仿宋" w:hAnsi="仿宋" w:eastAsia="仿宋" w:cs="仿宋"/>
          <w:szCs w:val="21"/>
          <w:u w:val="single"/>
        </w:rPr>
        <w:t xml:space="preserve">          （存在或不存在）</w:t>
      </w:r>
      <w:r>
        <w:rPr>
          <w:rFonts w:hint="eastAsia" w:ascii="仿宋" w:hAnsi="仿宋" w:eastAsia="仿宋" w:cs="仿宋"/>
          <w:szCs w:val="21"/>
        </w:rPr>
        <w:t>直接控股、管理关系的情形。</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四、因违约或过失责任等导致采购人经济损失或被索赔时，投标人无条件优先清偿采购人的一切债务和经济赔偿。</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五、如获得成交资格，分包意向投标人不得以任何理由提出终止本协议。</w:t>
      </w:r>
    </w:p>
    <w:p>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六、本协议自签署之日起生效，如获得成交资格，有效期延续至政府采购合同履行完毕之日。</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投标人（盖电子公章）：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法定代表人或授权代表（签字或盖章）：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分包意向投标人一（盖电子公章）：</w:t>
      </w:r>
      <w:r>
        <w:rPr>
          <w:rFonts w:hint="eastAsia" w:ascii="仿宋" w:hAnsi="仿宋" w:eastAsia="仿宋" w:cs="仿宋"/>
          <w:szCs w:val="21"/>
          <w:u w:val="single"/>
        </w:rPr>
        <w:t xml:space="preserve">          </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p>
    <w:p>
      <w:pPr>
        <w:spacing w:line="400" w:lineRule="exact"/>
        <w:ind w:firstLine="2530" w:firstLineChars="1200"/>
        <w:rPr>
          <w:rFonts w:hint="eastAsia" w:ascii="仿宋" w:hAnsi="仿宋" w:eastAsia="仿宋" w:cs="仿宋"/>
          <w:b/>
          <w:bCs/>
          <w:szCs w:val="21"/>
        </w:rPr>
      </w:pPr>
      <w:r>
        <w:rPr>
          <w:rFonts w:hint="eastAsia" w:ascii="仿宋" w:hAnsi="仿宋" w:eastAsia="仿宋" w:cs="仿宋"/>
          <w:b/>
          <w:bCs/>
          <w:szCs w:val="21"/>
        </w:rPr>
        <w:t>......（如有多个分包意向投标人的，按同格式增加）</w:t>
      </w:r>
    </w:p>
    <w:p>
      <w:pPr>
        <w:spacing w:line="400" w:lineRule="exact"/>
        <w:ind w:firstLine="2520" w:firstLineChars="120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napToGrid w:val="0"/>
        <w:spacing w:before="50" w:after="120" w:afterLines="50" w:line="360" w:lineRule="auto"/>
        <w:jc w:val="center"/>
        <w:outlineLvl w:val="1"/>
        <w:rPr>
          <w:rFonts w:hint="eastAsia" w:ascii="仿宋" w:hAnsi="仿宋" w:eastAsia="仿宋" w:cs="仿宋"/>
          <w:color w:val="000000"/>
          <w:szCs w:val="21"/>
        </w:rPr>
      </w:pPr>
    </w:p>
    <w:p>
      <w:pPr>
        <w:pStyle w:val="103"/>
        <w:rPr>
          <w:rFonts w:hint="eastAsia" w:ascii="仿宋" w:hAnsi="仿宋" w:eastAsia="仿宋" w:cs="仿宋"/>
        </w:rPr>
      </w:pPr>
    </w:p>
    <w:p>
      <w:pPr>
        <w:snapToGrid w:val="0"/>
        <w:spacing w:before="50" w:after="120" w:afterLines="50" w:line="360" w:lineRule="auto"/>
        <w:jc w:val="center"/>
        <w:outlineLvl w:val="1"/>
        <w:rPr>
          <w:rFonts w:hint="eastAsia" w:ascii="仿宋" w:hAnsi="仿宋" w:eastAsia="仿宋" w:cs="仿宋"/>
          <w:color w:val="000000"/>
          <w:szCs w:val="21"/>
        </w:rPr>
      </w:pPr>
      <w:bookmarkStart w:id="174" w:name="_Toc28484"/>
      <w:bookmarkStart w:id="175" w:name="_Toc20980"/>
      <w:r>
        <w:rPr>
          <w:rFonts w:hint="eastAsia" w:ascii="仿宋" w:hAnsi="仿宋" w:eastAsia="仿宋" w:cs="仿宋"/>
          <w:b/>
          <w:color w:val="000000"/>
          <w:szCs w:val="21"/>
        </w:rPr>
        <w:t>三.报价文件格式</w:t>
      </w:r>
      <w:bookmarkEnd w:id="174"/>
      <w:bookmarkEnd w:id="175"/>
    </w:p>
    <w:p>
      <w:pPr>
        <w:snapToGrid w:val="0"/>
        <w:spacing w:before="120" w:beforeLines="50" w:after="50" w:line="360" w:lineRule="auto"/>
        <w:rPr>
          <w:rFonts w:hint="eastAsia" w:ascii="仿宋" w:hAnsi="仿宋" w:eastAsia="仿宋" w:cs="仿宋"/>
          <w:color w:val="000000"/>
          <w:szCs w:val="21"/>
        </w:rPr>
      </w:pPr>
    </w:p>
    <w:p>
      <w:pPr>
        <w:snapToGrid w:val="0"/>
        <w:spacing w:before="120" w:beforeLines="50" w:after="50" w:line="360" w:lineRule="auto"/>
        <w:rPr>
          <w:rFonts w:hint="eastAsia" w:ascii="仿宋" w:hAnsi="仿宋" w:eastAsia="仿宋" w:cs="仿宋"/>
          <w:b/>
          <w:bCs/>
          <w:color w:val="000000"/>
          <w:szCs w:val="21"/>
        </w:rPr>
      </w:pPr>
      <w:r>
        <w:rPr>
          <w:rFonts w:hint="eastAsia" w:ascii="仿宋" w:hAnsi="仿宋" w:eastAsia="仿宋" w:cs="仿宋"/>
          <w:b/>
          <w:bCs/>
          <w:color w:val="000000"/>
          <w:szCs w:val="21"/>
        </w:rPr>
        <w:t xml:space="preserve">1、报价文件封面格式： </w:t>
      </w:r>
    </w:p>
    <w:p>
      <w:pPr>
        <w:snapToGrid w:val="0"/>
        <w:spacing w:before="120" w:beforeLines="50" w:after="50" w:line="360" w:lineRule="auto"/>
        <w:rPr>
          <w:rFonts w:hint="eastAsia" w:ascii="仿宋" w:hAnsi="仿宋" w:eastAsia="仿宋" w:cs="仿宋"/>
          <w:b/>
          <w:bCs/>
          <w:color w:val="000000"/>
          <w:szCs w:val="21"/>
        </w:rPr>
      </w:pPr>
      <w:r>
        <w:rPr>
          <w:rFonts w:hint="eastAsia" w:ascii="仿宋" w:hAnsi="仿宋" w:eastAsia="仿宋" w:cs="仿宋"/>
          <w:color w:val="000000"/>
          <w:szCs w:val="21"/>
        </w:rPr>
        <w:t xml:space="preserve">                                                    </w:t>
      </w:r>
    </w:p>
    <w:p>
      <w:pPr>
        <w:snapToGrid w:val="0"/>
        <w:spacing w:before="120" w:beforeLines="50" w:after="50" w:line="360" w:lineRule="auto"/>
        <w:rPr>
          <w:rFonts w:hint="eastAsia" w:ascii="仿宋" w:hAnsi="仿宋" w:eastAsia="仿宋" w:cs="仿宋"/>
          <w:color w:val="000000"/>
          <w:szCs w:val="21"/>
        </w:rPr>
      </w:pPr>
    </w:p>
    <w:p>
      <w:pPr>
        <w:snapToGrid w:val="0"/>
        <w:spacing w:before="120" w:beforeLines="50" w:after="50"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报 价 文 件</w:t>
      </w:r>
    </w:p>
    <w:p>
      <w:pPr>
        <w:snapToGrid w:val="0"/>
        <w:spacing w:before="120" w:beforeLines="50" w:after="50" w:line="360" w:lineRule="auto"/>
        <w:rPr>
          <w:rFonts w:hint="eastAsia" w:ascii="仿宋" w:hAnsi="仿宋" w:eastAsia="仿宋" w:cs="仿宋"/>
          <w:bCs/>
          <w:color w:val="000000"/>
          <w:szCs w:val="21"/>
        </w:rPr>
      </w:pPr>
    </w:p>
    <w:p>
      <w:pPr>
        <w:snapToGrid w:val="0"/>
        <w:spacing w:before="120" w:beforeLines="50" w:after="50" w:line="360" w:lineRule="auto"/>
        <w:ind w:firstLine="504" w:firstLineChars="240"/>
        <w:rPr>
          <w:rFonts w:hint="eastAsia" w:ascii="仿宋" w:hAnsi="仿宋" w:eastAsia="仿宋" w:cs="仿宋"/>
          <w:bCs/>
          <w:color w:val="000000"/>
          <w:szCs w:val="21"/>
        </w:rPr>
      </w:pPr>
      <w:r>
        <w:rPr>
          <w:rFonts w:hint="eastAsia" w:ascii="仿宋" w:hAnsi="仿宋" w:eastAsia="仿宋" w:cs="仿宋"/>
          <w:bCs/>
          <w:color w:val="000000"/>
          <w:szCs w:val="21"/>
        </w:rPr>
        <w:t>项目名称：</w:t>
      </w:r>
    </w:p>
    <w:p>
      <w:pPr>
        <w:snapToGrid w:val="0"/>
        <w:spacing w:before="120" w:beforeLines="50" w:after="50" w:line="360" w:lineRule="auto"/>
        <w:ind w:firstLine="504" w:firstLineChars="240"/>
        <w:rPr>
          <w:rFonts w:hint="eastAsia" w:ascii="仿宋" w:hAnsi="仿宋" w:eastAsia="仿宋" w:cs="仿宋"/>
          <w:bCs/>
          <w:color w:val="000000"/>
          <w:szCs w:val="21"/>
        </w:rPr>
      </w:pPr>
      <w:r>
        <w:rPr>
          <w:rFonts w:hint="eastAsia" w:ascii="仿宋" w:hAnsi="仿宋" w:eastAsia="仿宋" w:cs="仿宋"/>
          <w:bCs/>
          <w:color w:val="000000"/>
          <w:szCs w:val="21"/>
        </w:rPr>
        <w:t xml:space="preserve">项目编号： </w:t>
      </w:r>
    </w:p>
    <w:p>
      <w:pPr>
        <w:snapToGrid w:val="0"/>
        <w:spacing w:before="120" w:beforeLines="50" w:after="50" w:line="360" w:lineRule="auto"/>
        <w:ind w:firstLine="525" w:firstLineChars="250"/>
        <w:rPr>
          <w:rFonts w:hint="eastAsia" w:ascii="仿宋" w:hAnsi="仿宋" w:eastAsia="仿宋" w:cs="仿宋"/>
          <w:bCs/>
          <w:color w:val="000000"/>
          <w:szCs w:val="21"/>
        </w:rPr>
      </w:pPr>
      <w:r>
        <w:rPr>
          <w:rFonts w:hint="eastAsia" w:ascii="仿宋" w:hAnsi="仿宋" w:eastAsia="仿宋" w:cs="仿宋"/>
          <w:bCs/>
          <w:color w:val="000000"/>
          <w:szCs w:val="21"/>
        </w:rPr>
        <w:t>子   包：</w:t>
      </w:r>
    </w:p>
    <w:p>
      <w:pPr>
        <w:snapToGrid w:val="0"/>
        <w:spacing w:before="120" w:beforeLines="50" w:after="50" w:line="360" w:lineRule="auto"/>
        <w:ind w:firstLine="504" w:firstLineChars="240"/>
        <w:rPr>
          <w:rFonts w:hint="eastAsia" w:ascii="仿宋" w:hAnsi="仿宋" w:eastAsia="仿宋" w:cs="仿宋"/>
          <w:bCs/>
          <w:color w:val="000000"/>
          <w:szCs w:val="21"/>
        </w:rPr>
      </w:pPr>
      <w:r>
        <w:rPr>
          <w:rFonts w:hint="eastAsia" w:ascii="仿宋" w:hAnsi="仿宋" w:eastAsia="仿宋" w:cs="仿宋"/>
          <w:bCs/>
          <w:color w:val="000000"/>
          <w:szCs w:val="21"/>
        </w:rPr>
        <w:t>供应商名称：</w:t>
      </w:r>
    </w:p>
    <w:p>
      <w:pPr>
        <w:pStyle w:val="8"/>
        <w:snapToGrid w:val="0"/>
        <w:spacing w:before="50" w:after="50" w:line="360" w:lineRule="auto"/>
        <w:ind w:firstLine="504" w:firstLineChars="240"/>
        <w:rPr>
          <w:rFonts w:hint="eastAsia" w:ascii="仿宋" w:hAnsi="仿宋" w:eastAsia="仿宋" w:cs="仿宋"/>
          <w:bCs/>
          <w:color w:val="000000"/>
          <w:szCs w:val="21"/>
        </w:rPr>
      </w:pPr>
      <w:r>
        <w:rPr>
          <w:rFonts w:hint="eastAsia" w:ascii="仿宋" w:hAnsi="仿宋" w:eastAsia="仿宋" w:cs="仿宋"/>
          <w:bCs/>
          <w:color w:val="000000"/>
          <w:szCs w:val="21"/>
        </w:rPr>
        <w:t>供应商地址：</w:t>
      </w:r>
    </w:p>
    <w:p>
      <w:pPr>
        <w:snapToGrid w:val="0"/>
        <w:spacing w:before="50" w:after="50"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年  月  日</w:t>
      </w:r>
    </w:p>
    <w:p>
      <w:pPr>
        <w:snapToGrid w:val="0"/>
        <w:spacing w:before="50" w:after="50" w:line="360" w:lineRule="auto"/>
        <w:rPr>
          <w:rFonts w:hint="eastAsia" w:ascii="仿宋" w:hAnsi="仿宋" w:eastAsia="仿宋" w:cs="仿宋"/>
          <w:color w:val="000000"/>
          <w:szCs w:val="21"/>
        </w:rPr>
      </w:pPr>
    </w:p>
    <w:p>
      <w:pPr>
        <w:snapToGrid w:val="0"/>
        <w:spacing w:before="50" w:after="50" w:line="360" w:lineRule="auto"/>
        <w:rPr>
          <w:rFonts w:hint="eastAsia" w:ascii="仿宋" w:hAnsi="仿宋" w:eastAsia="仿宋" w:cs="仿宋"/>
          <w:color w:val="000000"/>
          <w:szCs w:val="21"/>
        </w:rPr>
      </w:pPr>
    </w:p>
    <w:p>
      <w:pPr>
        <w:snapToGrid w:val="0"/>
        <w:spacing w:before="50" w:after="50" w:line="360" w:lineRule="auto"/>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b/>
          <w:bCs/>
          <w:color w:val="000000"/>
          <w:szCs w:val="21"/>
        </w:rPr>
        <w:t>报价文件目录</w:t>
      </w:r>
    </w:p>
    <w:p>
      <w:pPr>
        <w:spacing w:line="360" w:lineRule="auto"/>
        <w:ind w:firstLine="424" w:firstLineChars="202"/>
        <w:rPr>
          <w:rFonts w:hint="eastAsia" w:ascii="仿宋" w:hAnsi="仿宋" w:eastAsia="仿宋" w:cs="仿宋"/>
          <w:color w:val="000000"/>
          <w:szCs w:val="21"/>
        </w:rPr>
      </w:pPr>
      <w:r>
        <w:rPr>
          <w:rFonts w:hint="eastAsia" w:ascii="仿宋" w:hAnsi="仿宋" w:eastAsia="仿宋" w:cs="仿宋"/>
          <w:color w:val="000000"/>
          <w:szCs w:val="21"/>
        </w:rPr>
        <w:t>*（1）投标函(附件</w:t>
      </w:r>
      <w:r>
        <w:rPr>
          <w:rFonts w:hint="eastAsia" w:ascii="仿宋" w:hAnsi="仿宋" w:eastAsia="仿宋" w:cs="仿宋"/>
          <w:color w:val="000000"/>
          <w:szCs w:val="21"/>
          <w:lang w:eastAsia="zh-CN"/>
        </w:rPr>
        <w:t>八</w:t>
      </w:r>
      <w:r>
        <w:rPr>
          <w:rFonts w:hint="eastAsia" w:ascii="仿宋" w:hAnsi="仿宋" w:eastAsia="仿宋" w:cs="仿宋"/>
          <w:color w:val="000000"/>
          <w:szCs w:val="21"/>
        </w:rPr>
        <w:t>)；</w:t>
      </w:r>
    </w:p>
    <w:p>
      <w:pPr>
        <w:spacing w:line="360" w:lineRule="auto"/>
        <w:ind w:firstLine="424" w:firstLineChars="202"/>
        <w:rPr>
          <w:rFonts w:hint="eastAsia" w:ascii="仿宋" w:hAnsi="仿宋" w:eastAsia="仿宋" w:cs="仿宋"/>
          <w:color w:val="000000"/>
          <w:szCs w:val="21"/>
        </w:rPr>
      </w:pPr>
      <w:r>
        <w:rPr>
          <w:rFonts w:hint="eastAsia" w:ascii="仿宋" w:hAnsi="仿宋" w:eastAsia="仿宋" w:cs="仿宋"/>
          <w:color w:val="000000"/>
          <w:szCs w:val="21"/>
        </w:rPr>
        <w:t>*（2）开标一览表（附件</w:t>
      </w:r>
      <w:r>
        <w:rPr>
          <w:rFonts w:hint="eastAsia" w:ascii="仿宋" w:hAnsi="仿宋" w:eastAsia="仿宋" w:cs="仿宋"/>
          <w:color w:val="000000"/>
          <w:szCs w:val="21"/>
          <w:lang w:eastAsia="zh-CN"/>
        </w:rPr>
        <w:t>九</w:t>
      </w:r>
      <w:r>
        <w:rPr>
          <w:rFonts w:hint="eastAsia" w:ascii="仿宋" w:hAnsi="仿宋" w:eastAsia="仿宋" w:cs="仿宋"/>
          <w:color w:val="000000"/>
          <w:szCs w:val="21"/>
        </w:rPr>
        <w:t>）；</w:t>
      </w:r>
    </w:p>
    <w:p>
      <w:pPr>
        <w:pStyle w:val="108"/>
        <w:spacing w:line="360" w:lineRule="auto"/>
        <w:ind w:left="0" w:firstLine="420" w:firstLineChars="200"/>
        <w:rPr>
          <w:rFonts w:hint="eastAsia" w:ascii="仿宋" w:hAnsi="仿宋" w:eastAsia="仿宋" w:cs="仿宋"/>
          <w:color w:val="000000"/>
          <w:szCs w:val="21"/>
        </w:rPr>
      </w:pPr>
      <w:r>
        <w:rPr>
          <w:rFonts w:hint="eastAsia" w:ascii="仿宋" w:hAnsi="仿宋" w:eastAsia="仿宋" w:cs="仿宋"/>
          <w:color w:val="000000"/>
          <w:szCs w:val="21"/>
        </w:rPr>
        <w:t>*（3）投标分项报价表（附件</w:t>
      </w:r>
      <w:r>
        <w:rPr>
          <w:rFonts w:hint="eastAsia" w:ascii="仿宋" w:hAnsi="仿宋" w:eastAsia="仿宋" w:cs="仿宋"/>
          <w:color w:val="000000"/>
          <w:szCs w:val="21"/>
          <w:lang w:eastAsia="zh-CN"/>
        </w:rPr>
        <w:t>十</w:t>
      </w:r>
      <w:r>
        <w:rPr>
          <w:rFonts w:hint="eastAsia" w:ascii="仿宋" w:hAnsi="仿宋" w:eastAsia="仿宋" w:cs="仿宋"/>
          <w:color w:val="000000"/>
          <w:szCs w:val="21"/>
        </w:rPr>
        <w:t>）</w:t>
      </w:r>
    </w:p>
    <w:p>
      <w:pPr>
        <w:tabs>
          <w:tab w:val="left" w:pos="1418"/>
        </w:tabs>
        <w:spacing w:line="360" w:lineRule="auto"/>
        <w:ind w:firstLine="420" w:firstLineChars="200"/>
        <w:contextualSpacing/>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）其他需提供的报价资料。</w:t>
      </w:r>
    </w:p>
    <w:p>
      <w:pPr>
        <w:pStyle w:val="37"/>
        <w:spacing w:after="120" w:line="360" w:lineRule="auto"/>
        <w:ind w:firstLine="420" w:firstLineChars="200"/>
        <w:rPr>
          <w:rFonts w:hint="eastAsia" w:ascii="仿宋" w:hAnsi="仿宋" w:eastAsia="仿宋" w:cs="仿宋"/>
          <w:sz w:val="21"/>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p>
    <w:p>
      <w:pPr>
        <w:pStyle w:val="2"/>
        <w:rPr>
          <w:rFonts w:hint="eastAsia" w:ascii="仿宋" w:hAnsi="仿宋" w:eastAsia="仿宋" w:cs="仿宋"/>
          <w:color w:val="000000"/>
          <w:szCs w:val="21"/>
        </w:rPr>
      </w:pPr>
    </w:p>
    <w:p>
      <w:pPr>
        <w:rPr>
          <w:rFonts w:hint="eastAsia" w:ascii="仿宋" w:hAnsi="仿宋" w:eastAsia="仿宋" w:cs="仿宋"/>
          <w:color w:val="000000"/>
          <w:szCs w:val="21"/>
        </w:rPr>
      </w:pPr>
    </w:p>
    <w:p>
      <w:pPr>
        <w:pStyle w:val="2"/>
        <w:rPr>
          <w:rFonts w:hint="eastAsia"/>
        </w:rPr>
      </w:pPr>
    </w:p>
    <w:p>
      <w:pPr>
        <w:spacing w:line="360" w:lineRule="auto"/>
        <w:rPr>
          <w:rFonts w:hint="eastAsia" w:ascii="仿宋" w:hAnsi="仿宋" w:eastAsia="仿宋" w:cs="仿宋"/>
          <w:color w:val="000000"/>
          <w:szCs w:val="21"/>
        </w:rPr>
      </w:pPr>
    </w:p>
    <w:p>
      <w:pPr>
        <w:spacing w:line="360" w:lineRule="auto"/>
        <w:outlineLvl w:val="2"/>
        <w:rPr>
          <w:rFonts w:hint="eastAsia" w:ascii="仿宋" w:hAnsi="仿宋" w:eastAsia="仿宋" w:cs="仿宋"/>
          <w:color w:val="000000"/>
          <w:szCs w:val="21"/>
          <w:lang w:eastAsia="zh-CN"/>
        </w:rPr>
      </w:pPr>
      <w:bookmarkStart w:id="176" w:name="_Toc24156"/>
      <w:bookmarkStart w:id="177" w:name="_Toc17332"/>
      <w:r>
        <w:rPr>
          <w:rFonts w:hint="eastAsia" w:ascii="仿宋" w:hAnsi="仿宋" w:eastAsia="仿宋" w:cs="仿宋"/>
          <w:color w:val="000000"/>
          <w:szCs w:val="21"/>
        </w:rPr>
        <w:t>附件</w:t>
      </w:r>
      <w:bookmarkEnd w:id="176"/>
      <w:bookmarkEnd w:id="177"/>
      <w:r>
        <w:rPr>
          <w:rFonts w:hint="eastAsia" w:ascii="仿宋" w:hAnsi="仿宋" w:eastAsia="仿宋" w:cs="仿宋"/>
          <w:color w:val="000000"/>
          <w:szCs w:val="21"/>
          <w:lang w:eastAsia="zh-CN"/>
        </w:rPr>
        <w:t>八</w:t>
      </w:r>
    </w:p>
    <w:p>
      <w:pPr>
        <w:spacing w:line="360" w:lineRule="auto"/>
        <w:jc w:val="center"/>
        <w:rPr>
          <w:rFonts w:hint="eastAsia" w:ascii="仿宋" w:hAnsi="仿宋" w:eastAsia="仿宋" w:cs="仿宋"/>
          <w:b/>
          <w:bCs/>
          <w:color w:val="000000"/>
          <w:szCs w:val="21"/>
        </w:rPr>
      </w:pPr>
      <w:bookmarkStart w:id="178" w:name="_Toc479778912"/>
      <w:bookmarkStart w:id="179" w:name="_Toc479778867"/>
      <w:bookmarkStart w:id="180" w:name="_Toc480903681"/>
      <w:r>
        <w:rPr>
          <w:rFonts w:hint="eastAsia" w:ascii="仿宋" w:hAnsi="仿宋" w:eastAsia="仿宋" w:cs="仿宋"/>
          <w:b/>
          <w:bCs/>
          <w:color w:val="000000"/>
          <w:szCs w:val="21"/>
        </w:rPr>
        <w:t>投标函</w:t>
      </w:r>
      <w:bookmarkEnd w:id="178"/>
      <w:bookmarkEnd w:id="179"/>
      <w:bookmarkEnd w:id="180"/>
    </w:p>
    <w:p>
      <w:pPr>
        <w:spacing w:line="360" w:lineRule="auto"/>
        <w:rPr>
          <w:rFonts w:hint="eastAsia" w:ascii="仿宋" w:hAnsi="仿宋" w:eastAsia="仿宋" w:cs="仿宋"/>
          <w:color w:val="000000"/>
          <w:szCs w:val="21"/>
        </w:rPr>
      </w:pPr>
      <w:r>
        <w:rPr>
          <w:rStyle w:val="48"/>
          <w:rFonts w:hint="eastAsia" w:ascii="仿宋" w:hAnsi="仿宋" w:eastAsia="仿宋" w:cs="仿宋"/>
          <w:b w:val="0"/>
          <w:color w:val="000000"/>
          <w:szCs w:val="21"/>
          <w:u w:val="single"/>
        </w:rPr>
        <w:t>余姚市第四人民医院</w:t>
      </w:r>
      <w:r>
        <w:rPr>
          <w:rFonts w:hint="eastAsia" w:ascii="仿宋" w:hAnsi="仿宋" w:eastAsia="仿宋" w:cs="仿宋"/>
          <w:color w:val="000000"/>
          <w:szCs w:val="21"/>
        </w:rPr>
        <w:t xml:space="preserve">： </w:t>
      </w:r>
    </w:p>
    <w:p>
      <w:pPr>
        <w:wordWrap w:val="0"/>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（投标人全称）授权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（其委托代理人姓名）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（职务、职称）为其委托代理人，参加贵方组织的</w:t>
      </w:r>
      <w:r>
        <w:rPr>
          <w:rFonts w:hint="eastAsia" w:ascii="仿宋" w:hAnsi="仿宋" w:eastAsia="仿宋" w:cs="仿宋"/>
          <w:color w:val="000000"/>
          <w:szCs w:val="21"/>
          <w:u w:val="single"/>
        </w:rPr>
        <w:t xml:space="preserve">                       （项目编号、项目名称、标段号）</w:t>
      </w:r>
      <w:r>
        <w:rPr>
          <w:rFonts w:hint="eastAsia" w:ascii="仿宋" w:hAnsi="仿宋" w:eastAsia="仿宋" w:cs="仿宋"/>
          <w:color w:val="000000"/>
          <w:szCs w:val="21"/>
        </w:rPr>
        <w:t>招标的有关活动。为此：</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1.提供投标须知规定的全部投标文件；</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2.我单位已详细审查全部“采购文件”，包括修改文件（如有的话）以及全部参考资料和有关附件，已经了解我单位对于采购文件、采购过程、采购结果有依法进行询问、质疑、投诉的权利及相关渠道和要求。</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3. 我单位在投标之前已经与贵方进行了充分的沟通，完全理解并接受采购文件的各项规定和要求，对采购文件的合理性、合法性不再有异议。</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4.本投标有效期自开标日起</w:t>
      </w:r>
      <w:r>
        <w:rPr>
          <w:rFonts w:hint="eastAsia" w:ascii="仿宋" w:hAnsi="仿宋" w:eastAsia="仿宋" w:cs="仿宋"/>
          <w:color w:val="000000"/>
          <w:szCs w:val="21"/>
          <w:u w:val="single"/>
        </w:rPr>
        <w:t xml:space="preserve"> 90</w:t>
      </w:r>
      <w:r>
        <w:rPr>
          <w:rFonts w:hint="eastAsia" w:ascii="仿宋" w:hAnsi="仿宋" w:eastAsia="仿宋" w:cs="仿宋"/>
          <w:color w:val="000000"/>
          <w:szCs w:val="21"/>
        </w:rPr>
        <w:t>个日历日。</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5.如中标，本投标文件至本项目合同履行完毕止均保持有效，本供应商将按“采购文件”及政府采购法律、法规的规定履行合同责任和义务。</w:t>
      </w: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6.我单位同意按照贵方要求提供与投标有关的一切数据或资料。</w:t>
      </w:r>
    </w:p>
    <w:p>
      <w:pPr>
        <w:pStyle w:val="108"/>
        <w:spacing w:line="360" w:lineRule="auto"/>
        <w:ind w:left="0" w:firstLine="0"/>
        <w:rPr>
          <w:rFonts w:hint="eastAsia" w:ascii="仿宋" w:hAnsi="仿宋" w:eastAsia="仿宋" w:cs="仿宋"/>
          <w:color w:val="000000"/>
          <w:szCs w:val="21"/>
        </w:rPr>
      </w:pPr>
      <w:r>
        <w:rPr>
          <w:rFonts w:hint="eastAsia" w:ascii="仿宋" w:hAnsi="仿宋" w:eastAsia="仿宋" w:cs="仿宋"/>
          <w:color w:val="000000"/>
          <w:szCs w:val="21"/>
        </w:rPr>
        <w:t>7.三年投标报价为人民币（大写）：</w:t>
      </w:r>
      <w:r>
        <w:rPr>
          <w:rFonts w:hint="eastAsia" w:ascii="仿宋" w:hAnsi="仿宋" w:eastAsia="仿宋" w:cs="仿宋"/>
          <w:color w:val="000000"/>
          <w:szCs w:val="21"/>
          <w:u w:val="thick"/>
        </w:rPr>
        <w:t xml:space="preserve">            </w:t>
      </w:r>
      <w:r>
        <w:rPr>
          <w:rFonts w:hint="eastAsia" w:ascii="仿宋" w:hAnsi="仿宋" w:eastAsia="仿宋" w:cs="仿宋"/>
          <w:color w:val="000000"/>
          <w:szCs w:val="21"/>
        </w:rPr>
        <w:t>元，（小写）：</w:t>
      </w:r>
      <w:r>
        <w:rPr>
          <w:rFonts w:hint="eastAsia" w:ascii="仿宋" w:hAnsi="仿宋" w:eastAsia="仿宋" w:cs="仿宋"/>
          <w:color w:val="000000"/>
          <w:szCs w:val="21"/>
          <w:u w:val="thick"/>
        </w:rPr>
        <w:t xml:space="preserve">            </w:t>
      </w:r>
      <w:r>
        <w:rPr>
          <w:rFonts w:hint="eastAsia" w:ascii="仿宋" w:hAnsi="仿宋" w:eastAsia="仿宋" w:cs="仿宋"/>
          <w:color w:val="000000"/>
          <w:szCs w:val="21"/>
        </w:rPr>
        <w:t>元。</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8.与本投标有关的一切往来通讯请寄：</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地  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邮  编：</w:t>
      </w:r>
      <w:r>
        <w:rPr>
          <w:rFonts w:hint="eastAsia" w:ascii="仿宋" w:hAnsi="仿宋" w:eastAsia="仿宋" w:cs="仿宋"/>
          <w:color w:val="000000"/>
          <w:szCs w:val="21"/>
          <w:u w:val="single"/>
        </w:rPr>
        <w:t xml:space="preserve">         </w:t>
      </w:r>
    </w:p>
    <w:p>
      <w:pPr>
        <w:spacing w:line="360" w:lineRule="auto"/>
        <w:rPr>
          <w:rFonts w:hint="eastAsia" w:ascii="仿宋" w:hAnsi="仿宋" w:eastAsia="仿宋" w:cs="仿宋"/>
          <w:color w:val="000000"/>
          <w:szCs w:val="21"/>
          <w:u w:val="single"/>
        </w:rPr>
      </w:pPr>
      <w:r>
        <w:rPr>
          <w:rFonts w:hint="eastAsia" w:ascii="仿宋" w:hAnsi="仿宋" w:eastAsia="仿宋" w:cs="仿宋"/>
          <w:color w:val="000000"/>
          <w:szCs w:val="21"/>
        </w:rPr>
        <w:t>联系人：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电  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传  真：</w:t>
      </w:r>
      <w:r>
        <w:rPr>
          <w:rFonts w:hint="eastAsia" w:ascii="仿宋" w:hAnsi="仿宋" w:eastAsia="仿宋" w:cs="仿宋"/>
          <w:color w:val="000000"/>
          <w:szCs w:val="21"/>
          <w:u w:val="single"/>
        </w:rPr>
        <w:t xml:space="preserve">         </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手  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电子邮箱：</w:t>
      </w:r>
      <w:r>
        <w:rPr>
          <w:rFonts w:hint="eastAsia" w:ascii="仿宋" w:hAnsi="仿宋" w:eastAsia="仿宋" w:cs="仿宋"/>
          <w:color w:val="000000"/>
          <w:szCs w:val="21"/>
          <w:u w:val="single"/>
        </w:rPr>
        <w:t xml:space="preserve">                  </w:t>
      </w: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投标人（公章）：</w:t>
      </w:r>
    </w:p>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二○二</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w:t>
      </w:r>
    </w:p>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sectPr>
          <w:pgSz w:w="11907" w:h="16839"/>
          <w:pgMar w:top="1440" w:right="1797" w:bottom="1440" w:left="1797" w:header="851" w:footer="992" w:gutter="0"/>
          <w:cols w:space="720" w:num="1"/>
          <w:docGrid w:linePitch="312" w:charSpace="0"/>
        </w:sectPr>
      </w:pPr>
    </w:p>
    <w:p>
      <w:pPr>
        <w:spacing w:line="360" w:lineRule="auto"/>
        <w:outlineLvl w:val="2"/>
        <w:rPr>
          <w:rFonts w:hint="eastAsia" w:ascii="仿宋" w:hAnsi="仿宋" w:eastAsia="仿宋" w:cs="仿宋"/>
          <w:color w:val="000000"/>
          <w:szCs w:val="21"/>
          <w:lang w:eastAsia="zh-CN"/>
        </w:rPr>
      </w:pPr>
      <w:bookmarkStart w:id="181" w:name="_Toc4270"/>
      <w:bookmarkStart w:id="182" w:name="_Toc2574"/>
      <w:r>
        <w:rPr>
          <w:rFonts w:hint="eastAsia" w:ascii="仿宋" w:hAnsi="仿宋" w:eastAsia="仿宋" w:cs="仿宋"/>
          <w:color w:val="000000"/>
          <w:szCs w:val="21"/>
        </w:rPr>
        <w:t>附件</w:t>
      </w:r>
      <w:bookmarkEnd w:id="181"/>
      <w:bookmarkEnd w:id="182"/>
      <w:r>
        <w:rPr>
          <w:rFonts w:hint="eastAsia" w:ascii="仿宋" w:hAnsi="仿宋" w:eastAsia="仿宋" w:cs="仿宋"/>
          <w:color w:val="000000"/>
          <w:szCs w:val="21"/>
          <w:lang w:eastAsia="zh-CN"/>
        </w:rPr>
        <w:t>九</w:t>
      </w:r>
    </w:p>
    <w:p>
      <w:pPr>
        <w:snapToGrid w:val="0"/>
        <w:spacing w:before="120" w:beforeLines="50" w:after="50"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开标一览表</w:t>
      </w:r>
    </w:p>
    <w:p>
      <w:pPr>
        <w:adjustRightInd w:val="0"/>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项目名称：</w:t>
      </w:r>
    </w:p>
    <w:p>
      <w:pPr>
        <w:adjustRightInd w:val="0"/>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项目编号：</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jc w:val="center"/>
              <w:rPr>
                <w:rFonts w:hint="eastAsia" w:ascii="仿宋" w:hAnsi="仿宋" w:eastAsia="仿宋" w:cs="仿宋"/>
                <w:szCs w:val="21"/>
              </w:rPr>
            </w:pPr>
            <w:r>
              <w:rPr>
                <w:rFonts w:hint="eastAsia" w:ascii="仿宋" w:hAnsi="仿宋" w:eastAsia="仿宋" w:cs="仿宋"/>
                <w:szCs w:val="21"/>
              </w:rPr>
              <w:t>服务内容</w:t>
            </w:r>
          </w:p>
        </w:tc>
        <w:tc>
          <w:tcPr>
            <w:tcW w:w="2268" w:type="dxa"/>
            <w:noWrap w:val="0"/>
            <w:vAlign w:val="center"/>
          </w:tcPr>
          <w:p>
            <w:pPr>
              <w:jc w:val="center"/>
              <w:rPr>
                <w:rFonts w:hint="eastAsia" w:ascii="仿宋" w:hAnsi="仿宋" w:eastAsia="仿宋" w:cs="仿宋"/>
                <w:szCs w:val="21"/>
              </w:rPr>
            </w:pPr>
            <w:r>
              <w:rPr>
                <w:rFonts w:hint="eastAsia" w:ascii="仿宋" w:hAnsi="仿宋" w:eastAsia="仿宋" w:cs="仿宋"/>
                <w:szCs w:val="21"/>
              </w:rPr>
              <w:t>履行期限</w:t>
            </w:r>
          </w:p>
        </w:tc>
        <w:tc>
          <w:tcPr>
            <w:tcW w:w="2268" w:type="dxa"/>
            <w:noWrap w:val="0"/>
            <w:vAlign w:val="center"/>
          </w:tcPr>
          <w:p>
            <w:pPr>
              <w:jc w:val="center"/>
              <w:rPr>
                <w:rFonts w:hint="eastAsia" w:ascii="仿宋" w:hAnsi="仿宋" w:eastAsia="仿宋" w:cs="仿宋"/>
                <w:szCs w:val="21"/>
              </w:rPr>
            </w:pPr>
            <w:r>
              <w:rPr>
                <w:rFonts w:hint="eastAsia" w:ascii="仿宋" w:hAnsi="仿宋" w:eastAsia="仿宋" w:cs="仿宋"/>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noWrap w:val="0"/>
            <w:vAlign w:val="center"/>
          </w:tcPr>
          <w:p>
            <w:pPr>
              <w:pStyle w:val="2"/>
              <w:snapToGrid w:val="0"/>
              <w:spacing w:before="120" w:after="120" w:line="360" w:lineRule="exact"/>
              <w:jc w:val="center"/>
              <w:rPr>
                <w:rFonts w:hint="eastAsia" w:ascii="仿宋" w:hAnsi="仿宋" w:eastAsia="仿宋" w:cs="仿宋"/>
                <w:sz w:val="21"/>
                <w:szCs w:val="21"/>
              </w:rPr>
            </w:pPr>
            <w:r>
              <w:rPr>
                <w:rFonts w:hint="eastAsia" w:ascii="仿宋" w:hAnsi="仿宋" w:eastAsia="仿宋" w:cs="仿宋"/>
                <w:sz w:val="21"/>
                <w:szCs w:val="21"/>
              </w:rPr>
              <w:t>余姚市第四人民医院保安服务项目</w:t>
            </w:r>
          </w:p>
        </w:tc>
        <w:tc>
          <w:tcPr>
            <w:tcW w:w="2268" w:type="dxa"/>
            <w:noWrap w:val="0"/>
            <w:vAlign w:val="center"/>
          </w:tcPr>
          <w:p>
            <w:pPr>
              <w:spacing w:line="360" w:lineRule="exact"/>
              <w:jc w:val="center"/>
              <w:rPr>
                <w:rFonts w:hint="eastAsia" w:ascii="仿宋" w:hAnsi="仿宋" w:eastAsia="仿宋" w:cs="仿宋"/>
                <w:color w:val="0000FF"/>
                <w:szCs w:val="21"/>
              </w:rPr>
            </w:pPr>
            <w:r>
              <w:rPr>
                <w:rFonts w:hint="eastAsia" w:ascii="仿宋" w:hAnsi="仿宋" w:eastAsia="仿宋" w:cs="仿宋"/>
                <w:szCs w:val="21"/>
              </w:rPr>
              <w:t>三年（合同一年一签）</w:t>
            </w:r>
          </w:p>
        </w:tc>
        <w:tc>
          <w:tcPr>
            <w:tcW w:w="2268" w:type="dxa"/>
            <w:noWrap w:val="0"/>
            <w:vAlign w:val="center"/>
          </w:tcPr>
          <w:p>
            <w:pPr>
              <w:spacing w:line="360" w:lineRule="exact"/>
              <w:jc w:val="center"/>
              <w:rPr>
                <w:rFonts w:hint="eastAsia" w:ascii="仿宋" w:hAnsi="仿宋" w:eastAsia="仿宋" w:cs="仿宋"/>
                <w:szCs w:val="21"/>
                <w:u w:val="single"/>
              </w:rPr>
            </w:pPr>
            <w:r>
              <w:rPr>
                <w:rFonts w:hint="eastAsia" w:ascii="仿宋" w:hAnsi="仿宋" w:eastAsia="仿宋" w:cs="仿宋"/>
                <w:szCs w:val="21"/>
                <w:shd w:val="clear" w:color="auto" w:fill="FFFFFF"/>
              </w:rPr>
              <w:t>¥</w:t>
            </w:r>
            <w:r>
              <w:rPr>
                <w:rFonts w:hint="eastAsia" w:ascii="仿宋" w:hAnsi="仿宋" w:eastAsia="仿宋" w:cs="仿宋"/>
                <w:szCs w:val="21"/>
                <w:u w:val="single"/>
                <w:shd w:val="clear" w:color="auto" w:fill="FFFFFF"/>
              </w:rPr>
              <w:t xml:space="preserve">         </w:t>
            </w:r>
            <w:r>
              <w:rPr>
                <w:rFonts w:hint="eastAsia" w:ascii="仿宋" w:hAnsi="仿宋" w:eastAsia="仿宋" w:cs="仿宋"/>
                <w:szCs w:val="21"/>
                <w:shd w:val="clear" w:color="auto" w:fill="FFFFFF"/>
              </w:rPr>
              <w:t>元</w:t>
            </w:r>
          </w:p>
        </w:tc>
      </w:tr>
    </w:tbl>
    <w:p>
      <w:pPr>
        <w:spacing w:line="360" w:lineRule="auto"/>
        <w:rPr>
          <w:rFonts w:hint="eastAsia" w:ascii="仿宋" w:hAnsi="仿宋" w:eastAsia="仿宋" w:cs="仿宋"/>
          <w:color w:val="000000"/>
          <w:szCs w:val="21"/>
        </w:rPr>
      </w:pP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注：1.本次公开招标预算价（最高限价）为人民币7500000元，超出上述预算价或最高限价的，投标无效。</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2.本表格的“投标报价”应与投标函的“投标报价”一致。</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3.以上价格包含对于招标文件第二章未列出的、但为完成本项目及使其正常运行所必须的设备设施、材料，供应商应进行优化并将此费用包含在投标报价中，采购人不再另行支付</w:t>
      </w:r>
    </w:p>
    <w:p>
      <w:pPr>
        <w:pStyle w:val="14"/>
        <w:spacing w:line="360" w:lineRule="auto"/>
        <w:ind w:right="420" w:firstLine="0"/>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4.投标报价四合五入保留整数</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供应商名称（盖章）： </w:t>
      </w:r>
    </w:p>
    <w:p>
      <w:pPr>
        <w:pStyle w:val="108"/>
        <w:spacing w:line="360" w:lineRule="auto"/>
        <w:ind w:left="0" w:firstLine="0"/>
        <w:jc w:val="left"/>
        <w:rPr>
          <w:rFonts w:hint="eastAsia" w:ascii="仿宋" w:hAnsi="仿宋" w:eastAsia="仿宋" w:cs="仿宋"/>
          <w:color w:val="000000"/>
          <w:szCs w:val="21"/>
        </w:rPr>
      </w:pPr>
      <w:r>
        <w:rPr>
          <w:rFonts w:hint="eastAsia" w:ascii="仿宋" w:hAnsi="仿宋" w:eastAsia="仿宋" w:cs="仿宋"/>
          <w:color w:val="000000"/>
          <w:szCs w:val="21"/>
        </w:rPr>
        <w:t>法定代表人或授权代表人（签字或盖章）：</w:t>
      </w:r>
    </w:p>
    <w:p>
      <w:pPr>
        <w:pStyle w:val="108"/>
        <w:spacing w:line="360" w:lineRule="auto"/>
        <w:ind w:left="0" w:firstLine="0"/>
        <w:jc w:val="left"/>
        <w:rPr>
          <w:rFonts w:hint="eastAsia" w:ascii="仿宋" w:hAnsi="仿宋" w:eastAsia="仿宋" w:cs="仿宋"/>
          <w:color w:val="000000"/>
          <w:szCs w:val="21"/>
        </w:rPr>
      </w:pPr>
    </w:p>
    <w:p>
      <w:pPr>
        <w:spacing w:line="360" w:lineRule="auto"/>
        <w:jc w:val="left"/>
        <w:rPr>
          <w:rFonts w:hint="eastAsia" w:ascii="仿宋" w:hAnsi="仿宋" w:eastAsia="仿宋" w:cs="仿宋"/>
          <w:color w:val="000000"/>
          <w:szCs w:val="21"/>
          <w:lang w:eastAsia="zh-CN"/>
        </w:rPr>
        <w:sectPr>
          <w:pgSz w:w="11905" w:h="16838"/>
          <w:pgMar w:top="1440" w:right="1803" w:bottom="1440" w:left="1803" w:header="851" w:footer="992" w:gutter="0"/>
          <w:cols w:space="720" w:num="1"/>
          <w:docGrid w:linePitch="312" w:charSpace="0"/>
        </w:sectPr>
      </w:pPr>
      <w:r>
        <w:rPr>
          <w:rFonts w:hint="eastAsia" w:ascii="仿宋" w:hAnsi="仿宋" w:eastAsia="仿宋" w:cs="仿宋"/>
          <w:color w:val="000000"/>
          <w:szCs w:val="21"/>
        </w:rPr>
        <w:t xml:space="preserve">日期：    年   月 </w:t>
      </w:r>
      <w:r>
        <w:rPr>
          <w:rFonts w:hint="eastAsia" w:ascii="仿宋" w:hAnsi="仿宋" w:eastAsia="仿宋" w:cs="仿宋"/>
          <w:color w:val="000000"/>
          <w:szCs w:val="21"/>
          <w:lang w:eastAsia="zh-CN"/>
        </w:rPr>
        <w:t>日</w:t>
      </w:r>
    </w:p>
    <w:p>
      <w:pPr>
        <w:jc w:val="left"/>
        <w:rPr>
          <w:rFonts w:hint="eastAsia" w:ascii="仿宋" w:hAnsi="仿宋" w:eastAsia="仿宋" w:cs="仿宋"/>
          <w:b/>
          <w:bCs/>
          <w:color w:val="000000"/>
          <w:szCs w:val="21"/>
        </w:rPr>
      </w:pPr>
      <w:bookmarkStart w:id="183" w:name="_Toc14282"/>
      <w:bookmarkStart w:id="184" w:name="_Toc11180"/>
      <w:r>
        <w:rPr>
          <w:rFonts w:hint="eastAsia" w:ascii="仿宋" w:hAnsi="仿宋" w:eastAsia="仿宋" w:cs="仿宋"/>
          <w:b/>
          <w:bCs/>
          <w:color w:val="000000"/>
          <w:szCs w:val="21"/>
        </w:rPr>
        <w:t>附件</w:t>
      </w:r>
      <w:r>
        <w:rPr>
          <w:rFonts w:hint="eastAsia" w:ascii="仿宋" w:hAnsi="仿宋" w:eastAsia="仿宋" w:cs="仿宋"/>
          <w:b/>
          <w:bCs/>
          <w:color w:val="000000"/>
          <w:szCs w:val="21"/>
          <w:lang w:eastAsia="zh-CN"/>
        </w:rPr>
        <w:t>十</w:t>
      </w:r>
      <w:r>
        <w:rPr>
          <w:rFonts w:hint="eastAsia" w:ascii="仿宋" w:hAnsi="仿宋" w:eastAsia="仿宋" w:cs="仿宋"/>
          <w:b/>
          <w:bCs/>
          <w:color w:val="000000"/>
          <w:szCs w:val="21"/>
        </w:rPr>
        <w:t>：投标分项报价表</w:t>
      </w:r>
      <w:bookmarkEnd w:id="183"/>
      <w:bookmarkEnd w:id="184"/>
    </w:p>
    <w:p>
      <w:pPr>
        <w:snapToGrid w:val="0"/>
        <w:spacing w:before="120" w:beforeLines="50" w:after="50"/>
        <w:jc w:val="center"/>
        <w:rPr>
          <w:rFonts w:hint="eastAsia" w:ascii="仿宋" w:hAnsi="仿宋" w:eastAsia="仿宋" w:cs="仿宋"/>
          <w:b/>
          <w:color w:val="000000"/>
          <w:szCs w:val="21"/>
        </w:rPr>
      </w:pPr>
      <w:r>
        <w:rPr>
          <w:rFonts w:hint="eastAsia" w:ascii="仿宋" w:hAnsi="仿宋" w:eastAsia="仿宋" w:cs="仿宋"/>
          <w:b/>
          <w:color w:val="000000"/>
          <w:szCs w:val="21"/>
        </w:rPr>
        <w:t>投标报价明细表</w:t>
      </w:r>
    </w:p>
    <w:p>
      <w:pPr>
        <w:rPr>
          <w:rFonts w:hint="eastAsia" w:ascii="仿宋" w:hAnsi="仿宋" w:eastAsia="仿宋" w:cs="仿宋"/>
        </w:rPr>
      </w:pPr>
      <w:r>
        <w:rPr>
          <w:rFonts w:hint="eastAsia" w:ascii="仿宋" w:hAnsi="仿宋" w:eastAsia="仿宋" w:cs="仿宋"/>
        </w:rPr>
        <w:t xml:space="preserve">项目编号：                   项目名称：                    </w:t>
      </w:r>
    </w:p>
    <w:p>
      <w:pPr>
        <w:rPr>
          <w:rFonts w:hint="eastAsia" w:ascii="仿宋" w:hAnsi="仿宋" w:eastAsia="仿宋" w:cs="仿宋"/>
        </w:rPr>
      </w:pPr>
      <w:r>
        <w:rPr>
          <w:rFonts w:hint="eastAsia" w:ascii="仿宋" w:hAnsi="仿宋" w:eastAsia="仿宋" w:cs="仿宋"/>
        </w:rPr>
        <w:t>标段号：                    金额单位：人民币（元）</w:t>
      </w:r>
    </w:p>
    <w:tbl>
      <w:tblPr>
        <w:tblStyle w:val="45"/>
        <w:tblW w:w="0" w:type="auto"/>
        <w:tblInd w:w="-51" w:type="dxa"/>
        <w:tblLayout w:type="fixed"/>
        <w:tblCellMar>
          <w:top w:w="0" w:type="dxa"/>
          <w:left w:w="0" w:type="dxa"/>
          <w:bottom w:w="0" w:type="dxa"/>
          <w:right w:w="0" w:type="dxa"/>
        </w:tblCellMar>
      </w:tblPr>
      <w:tblGrid>
        <w:gridCol w:w="807"/>
        <w:gridCol w:w="2513"/>
        <w:gridCol w:w="1040"/>
        <w:gridCol w:w="1920"/>
        <w:gridCol w:w="1929"/>
        <w:gridCol w:w="1921"/>
        <w:gridCol w:w="1776"/>
        <w:gridCol w:w="2814"/>
      </w:tblGrid>
      <w:tr>
        <w:tblPrEx>
          <w:tblCellMar>
            <w:top w:w="0" w:type="dxa"/>
            <w:left w:w="0" w:type="dxa"/>
            <w:bottom w:w="0" w:type="dxa"/>
            <w:right w:w="0" w:type="dxa"/>
          </w:tblCellMar>
        </w:tblPrEx>
        <w:trPr>
          <w:trHeight w:val="937"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序号</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人员岗位</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数量</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a月工资（元/月）</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b社会保险（元/年）</w:t>
            </w: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c其他（高温费、福利费等）（元/年）</w:t>
            </w: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小计</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合计</w:t>
            </w: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项目经理</w:t>
            </w:r>
          </w:p>
        </w:tc>
        <w:tc>
          <w:tcPr>
            <w:tcW w:w="10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1</w:t>
            </w:r>
          </w:p>
        </w:tc>
        <w:tc>
          <w:tcPr>
            <w:tcW w:w="19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=（a*12+b+c）</w:t>
            </w:r>
          </w:p>
        </w:tc>
        <w:tc>
          <w:tcPr>
            <w:tcW w:w="28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=小计*数量</w:t>
            </w: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2</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保安队长</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3</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消控室（特勤）</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4</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门卫收发</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5</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西岗亭收费员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6</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南岗亭收费员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7</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车辆管理员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8</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西门口治安员、测温</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7</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9</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宿舍管理员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10</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公共卫生科管理员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11</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老年公寓分院区人员</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6</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12</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中医馆</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13</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南门口治安员、测温(特勤）</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14</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行政楼特勤人员(特勤）</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15</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急诊门口(特勤）</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16</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住院部</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5</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610"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rPr>
            </w:pPr>
            <w:r>
              <w:rPr>
                <w:rFonts w:hint="eastAsia" w:ascii="仿宋" w:hAnsi="仿宋" w:eastAsia="仿宋" w:cs="仿宋"/>
                <w:color w:val="000000"/>
                <w:kern w:val="0"/>
                <w:sz w:val="22"/>
                <w:szCs w:val="22"/>
                <w:lang w:bidi="ar"/>
              </w:rPr>
              <w:t>17</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核酸挂号</w:t>
            </w:r>
          </w:p>
        </w:tc>
        <w:tc>
          <w:tcPr>
            <w:tcW w:w="1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1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591"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A</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工资总计（58人）</w:t>
            </w:r>
          </w:p>
        </w:tc>
        <w:tc>
          <w:tcPr>
            <w:tcW w:w="85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=（1+2+3+…+12）</w:t>
            </w:r>
          </w:p>
        </w:tc>
      </w:tr>
      <w:tr>
        <w:tblPrEx>
          <w:tblCellMar>
            <w:top w:w="0" w:type="dxa"/>
            <w:left w:w="0" w:type="dxa"/>
            <w:bottom w:w="0" w:type="dxa"/>
            <w:right w:w="0" w:type="dxa"/>
          </w:tblCellMar>
        </w:tblPrEx>
        <w:trPr>
          <w:trHeight w:val="591"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B</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其他费用</w:t>
            </w:r>
          </w:p>
        </w:tc>
        <w:tc>
          <w:tcPr>
            <w:tcW w:w="85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一项包干</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p>
        </w:tc>
      </w:tr>
      <w:tr>
        <w:tblPrEx>
          <w:tblCellMar>
            <w:top w:w="0" w:type="dxa"/>
            <w:left w:w="0" w:type="dxa"/>
            <w:bottom w:w="0" w:type="dxa"/>
            <w:right w:w="0" w:type="dxa"/>
          </w:tblCellMar>
        </w:tblPrEx>
        <w:trPr>
          <w:trHeight w:val="591"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C</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管理费</w:t>
            </w:r>
          </w:p>
        </w:tc>
        <w:tc>
          <w:tcPr>
            <w:tcW w:w="85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=（A+B）*   %</w:t>
            </w:r>
          </w:p>
        </w:tc>
      </w:tr>
      <w:tr>
        <w:tblPrEx>
          <w:tblCellMar>
            <w:top w:w="0" w:type="dxa"/>
            <w:left w:w="0" w:type="dxa"/>
            <w:bottom w:w="0" w:type="dxa"/>
            <w:right w:w="0" w:type="dxa"/>
          </w:tblCellMar>
        </w:tblPrEx>
        <w:trPr>
          <w:trHeight w:val="591"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D</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税金</w:t>
            </w:r>
          </w:p>
        </w:tc>
        <w:tc>
          <w:tcPr>
            <w:tcW w:w="85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=（A+B+C）*   %</w:t>
            </w:r>
          </w:p>
        </w:tc>
      </w:tr>
      <w:tr>
        <w:tblPrEx>
          <w:tblCellMar>
            <w:top w:w="0" w:type="dxa"/>
            <w:left w:w="0" w:type="dxa"/>
            <w:bottom w:w="0" w:type="dxa"/>
            <w:right w:w="0" w:type="dxa"/>
          </w:tblCellMar>
        </w:tblPrEx>
        <w:trPr>
          <w:trHeight w:val="692" w:hRule="atLeast"/>
        </w:trPr>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rPr>
            </w:pPr>
            <w:r>
              <w:rPr>
                <w:rFonts w:hint="eastAsia" w:ascii="仿宋" w:hAnsi="仿宋" w:eastAsia="仿宋" w:cs="仿宋"/>
              </w:rPr>
              <w:t>E</w:t>
            </w:r>
          </w:p>
        </w:tc>
        <w:tc>
          <w:tcPr>
            <w:tcW w:w="2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总价</w:t>
            </w:r>
          </w:p>
        </w:tc>
        <w:tc>
          <w:tcPr>
            <w:tcW w:w="85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w:t>
            </w: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rPr>
              <w:t>=A+B+C+D</w:t>
            </w:r>
          </w:p>
        </w:tc>
      </w:tr>
    </w:tbl>
    <w:p>
      <w:pPr>
        <w:spacing w:line="360" w:lineRule="auto"/>
        <w:ind w:right="480"/>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eastAsia="zh-CN"/>
        </w:rPr>
        <w:t>1、</w:t>
      </w:r>
      <w:r>
        <w:rPr>
          <w:rFonts w:hint="eastAsia" w:ascii="仿宋" w:hAnsi="仿宋" w:eastAsia="仿宋" w:cs="仿宋"/>
        </w:rPr>
        <w:t>人员年工资不得低于21600元/年，社保不得低于10989元/年，否则按无效标处理。</w:t>
      </w:r>
    </w:p>
    <w:p>
      <w:pPr>
        <w:spacing w:line="360" w:lineRule="auto"/>
        <w:ind w:right="480"/>
        <w:rPr>
          <w:rFonts w:hint="eastAsia" w:ascii="仿宋" w:hAnsi="仿宋" w:eastAsia="仿宋" w:cs="仿宋"/>
          <w:lang w:val="en-US" w:eastAsia="zh-CN"/>
        </w:rPr>
      </w:pPr>
      <w:r>
        <w:rPr>
          <w:rFonts w:hint="eastAsia"/>
          <w:lang w:val="en-US" w:eastAsia="zh-CN"/>
        </w:rPr>
        <w:t>2、</w:t>
      </w:r>
      <w:r>
        <w:rPr>
          <w:rFonts w:hint="eastAsia" w:ascii="仿宋" w:hAnsi="仿宋" w:eastAsia="仿宋" w:cs="仿宋"/>
          <w:lang w:eastAsia="zh-CN"/>
        </w:rPr>
        <w:t>人员按采购文件要求配备，包含工资、劳保福利、加班费、社保、工作餐费、高温费、服装费等</w:t>
      </w:r>
    </w:p>
    <w:p>
      <w:pPr>
        <w:spacing w:line="360" w:lineRule="auto"/>
        <w:ind w:right="480"/>
        <w:rPr>
          <w:rFonts w:hint="eastAsia" w:ascii="仿宋" w:hAnsi="仿宋" w:eastAsia="仿宋" w:cs="仿宋"/>
          <w:color w:val="000000"/>
          <w:szCs w:val="21"/>
        </w:rPr>
      </w:pPr>
      <w:r>
        <w:rPr>
          <w:rFonts w:hint="eastAsia" w:ascii="仿宋" w:hAnsi="仿宋" w:eastAsia="仿宋" w:cs="仿宋"/>
          <w:color w:val="000000"/>
          <w:szCs w:val="21"/>
        </w:rPr>
        <w:t>投标人：</w:t>
      </w:r>
      <w:r>
        <w:rPr>
          <w:rFonts w:hint="eastAsia" w:ascii="仿宋" w:hAnsi="仿宋" w:eastAsia="仿宋" w:cs="仿宋"/>
          <w:color w:val="000000"/>
          <w:szCs w:val="21"/>
          <w:u w:val="single"/>
        </w:rPr>
        <w:t>（盖章）　　　　</w:t>
      </w:r>
      <w:r>
        <w:rPr>
          <w:rFonts w:hint="eastAsia" w:ascii="仿宋" w:hAnsi="仿宋" w:eastAsia="仿宋" w:cs="仿宋"/>
          <w:color w:val="000000"/>
          <w:szCs w:val="21"/>
        </w:rPr>
        <w:t xml:space="preserve">　          </w:t>
      </w:r>
    </w:p>
    <w:p>
      <w:pPr>
        <w:spacing w:line="360" w:lineRule="auto"/>
        <w:ind w:right="480"/>
        <w:rPr>
          <w:rFonts w:hint="eastAsia" w:ascii="仿宋" w:hAnsi="仿宋" w:eastAsia="仿宋" w:cs="仿宋"/>
          <w:color w:val="000000"/>
          <w:szCs w:val="21"/>
          <w:u w:val="single"/>
        </w:rPr>
      </w:pPr>
      <w:r>
        <w:rPr>
          <w:rFonts w:hint="eastAsia" w:ascii="仿宋" w:hAnsi="仿宋" w:eastAsia="仿宋" w:cs="仿宋"/>
          <w:color w:val="000000"/>
          <w:szCs w:val="21"/>
        </w:rPr>
        <w:t xml:space="preserve"> 法定代表人或其委托代理人：</w:t>
      </w:r>
      <w:r>
        <w:rPr>
          <w:rFonts w:hint="eastAsia" w:ascii="仿宋" w:hAnsi="仿宋" w:eastAsia="仿宋" w:cs="仿宋"/>
          <w:color w:val="000000"/>
          <w:szCs w:val="21"/>
          <w:u w:val="single"/>
        </w:rPr>
        <w:t>（签字或盖章）</w:t>
      </w:r>
    </w:p>
    <w:p>
      <w:pPr>
        <w:spacing w:line="360" w:lineRule="auto"/>
        <w:ind w:right="480"/>
        <w:rPr>
          <w:rFonts w:hint="eastAsia" w:ascii="仿宋" w:hAnsi="仿宋" w:eastAsia="仿宋" w:cs="仿宋"/>
          <w:color w:val="000000"/>
          <w:spacing w:val="20"/>
          <w:szCs w:val="21"/>
        </w:rPr>
      </w:pPr>
      <w:r>
        <w:rPr>
          <w:rFonts w:hint="eastAsia" w:ascii="仿宋" w:hAnsi="仿宋" w:eastAsia="仿宋" w:cs="仿宋"/>
          <w:color w:val="000000"/>
          <w:szCs w:val="21"/>
        </w:rPr>
        <w:t>日期：　　年　　月　　日</w:t>
      </w:r>
    </w:p>
    <w:sectPr>
      <w:footerReference r:id="rId8" w:type="default"/>
      <w:pgSz w:w="16838" w:h="11905" w:orient="landscape"/>
      <w:pgMar w:top="1803" w:right="1440" w:bottom="1803"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YaHei">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隶变简体">
    <w:altName w:val="宋体"/>
    <w:panose1 w:val="03000509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47955"/>
              <wp:effectExtent l="0" t="0" r="0" b="0"/>
              <wp:wrapNone/>
              <wp:docPr id="3" name="文本框 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pStyle w:val="26"/>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1.65pt;width:72.05pt;mso-position-horizontal:center;mso-position-horizontal-relative:margin;mso-wrap-style:none;z-index:251661312;mso-width-relative:page;mso-height-relative:page;" filled="f" stroked="f" coordsize="21600,21600" o:gfxdata="UEsDBAoAAAAAAIdO4kAAAAAAAAAAAAAAAAAEAAAAZHJzL1BLAwQUAAAACACHTuJAQ7eqt9IAAAAE AQAADwAAAGRycy9kb3ducmV2LnhtbE2PwU7DMBBE70j9B2srcaNO2gqqEKeHSly4URASt228jSPs dWS7afL3uFzgstJoRjNv6/3krBgpxN6zgnJVgCBuve65U/Dx/vKwAxETskbrmRTMFGHfLO5qrLS/ 8huNx9SJXMKxQgUmpaGSMraGHMaVH4izd/bBYcoydFIHvOZyZ+W6KB6lw57zgsGBDoba7+PFKXia Pj0NkQ70dR7bYPp5Z19npe6XZfEMItGU/sJww8/o0GSmk7+wjsIqyI+k33vzttsSxEnBerMB2dTy P3zzA1BLAwQUAAAACACHTuJAUw9hnc8BAACXAwAADgAAAGRycy9lMm9Eb2MueG1srVNLbtswEN0X 6B0I7mvKSd0mguUghZGiQNEWSHoAmqIsAvyBQ1vyBdobdNVN9z2Xz9EhJTlNsskiG2o0HL15781o edUbTfYygHK2ovNZQYm0wtXKbiv6/e7mzQUlELmtuXZWVvQggV6tXr9adr6UZ651upaBIIiFsvMV bWP0JWMgWmk4zJyXFi8bFwyP+Bq2rA68Q3Sj2VlRvGOdC7UPTkgAzK6HSzoihucAuqZRQq6d2Blp 44AapOYRJUGrPNBVZts0UsSvTQMyEl1RVBrziU0w3qSTrZa83AbuWyVGCvw5FB5pMlxZbHqCWvPI yS6oJ1BGieDANXEmnGGDkOwIqpgXj7y5bbmXWQtaDf5kOrwcrPiy/xaIqit6TonlBgd+/PXz+Pvv 8c8Pskj2dB5KrLr1WBf7D67HpZnygMmkum+CSU/UQ/AezT2czJV9JAKTl/NFcb6gRODV/O37y0VG Z/cf+wDxo3SGpKCiAWeXLeX7zxCRCJZOJamXdTdK6zw/bR8ksDBlWGI+MExR7Df9KGfj6gOq6XDs FbW45ZToTxZdTRsyBWEKNlOw80Ft27xCqR/4611EEplb6jDAjo1xXpnyuFtpIf5/z1X3/9Pq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EO3qrfSAAAABAEAAA8AAAAAAAAAAQAgAAAAIgAAAGRycy9k b3ducmV2LnhtbFBLAQIUABQAAAAIAIdO4kBTD2GdzwEAAJcDAAAOAAAAAAAAAAEAIAAAACEBAABk cnMvZTJvRG9jLnhtbFBLBQYAAAAABgAGAFkBAABiBQAAAAA= ">
              <v:fill on="f" focussize="0,0"/>
              <v:stroke on="f"/>
              <v:imagedata o:title=""/>
              <o:lock v:ext="edit" aspectratio="f"/>
              <v:textbox inset="0mm,0mm,0mm,0mm" style="mso-fit-shape-to-text:t;">
                <w:txbxContent>
                  <w:p>
                    <w:pPr>
                      <w:pStyle w:val="26"/>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54</w:t>
                    </w:r>
                    <w:r>
                      <w:rPr>
                        <w:rFonts w:hint="eastAsia"/>
                      </w:rPr>
                      <w:fldChar w:fldCharType="end"/>
                    </w:r>
                    <w:r>
                      <w:rPr>
                        <w:rFonts w:hint="eastAsia"/>
                      </w:rPr>
                      <w:t xml:space="preserve"> 页</w:t>
                    </w:r>
                  </w:p>
                </w:txbxContent>
              </v:textbox>
            </v:shape>
          </w:pict>
        </mc:Fallback>
      </mc:AlternateContent>
    </w:r>
  </w:p>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1470" w:right="1470" w:firstLine="4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pStyle w:val="26"/>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NJ2k0NIAAAAE AQAADwAAAGRycy9kb3ducmV2LnhtbE2PwU7DMBBE70j8g7VI3KiTRkAVsumhEhduFITUmxtv4wh7 Hdlumvw9Lhe4rDSa0czbZjs7KyYKcfCMUK4KEMSd1wP3CJ8frw8bEDEp1sp6JoSFImzb25tG1dpf +J2mfepFLuFYKwST0lhLGTtDTsWVH4mzd/LBqZRl6KUO6pLLnZXroniSTg2cF4waaWeo+96fHcLz /OVpjLSjw2nqghmWjX1bEO/vyuIFRKI5/YXhip/Roc1MR39mHYVFyI+k33v1HqsSxBFhXVUg20b+ h29/AFBLAwQUAAAACACHTuJAIrU60M8BAACXAwAADgAAAGRycy9lMm9Eb2MueG1srVNLbtswEN0X 6B0I7mvZRlwnguWghZGiQNEWSHIAmiItAvyBQ1vyBdobdNVN9z2Xz5EhJTltsskiG2o4M3oz781w dd0ZTQ4igHK2orPJlBJhuauV3VX0/u7m3SUlEJmtmXZWVPQogF6v375Ztb4Uc9c4XYtAEMRC2fqK NjH6siiAN8IwmDgvLAalC4ZFvIZdUQfWIrrRxXw6fV+0LtQ+OC4A0Lvpg3RADC8BdFIqLjaO742w sUcNQrOIlKBRHug6dyul4PGblCAi0RVFpjGfWATtbTqL9YqVu8B8o/jQAntJC084GaYsFj1DbVhk ZB/UMyijeHDgZJxwZ4qeSFYEWcymT7S5bZgXmQtKDf4sOrweLP96+B6Iqit6QYllBgd++vXz9Pvv 6c8PskzytB5KzLr1mBe7j67DpRn9gM7EupPBpC/yIRhHcY9ncUUXCUfn1XI+u1xQwjE0u1heLRYJ pXj82QeIn4QzJBkVDTi7LCk7fIHYp44pqZZ1N0rrPD9t/3MgZvIUqfO+w2TFbtsNdLauPiKbFsde UYtbTon+bFHVtCGjEUZjOxp7H9SuySuU6oH/sI/YRO4tVehhh8I4r8xu2K20EP/ec9bje1o/AF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DSdpNDSAAAABAEAAA8AAAAAAAAAAQAgAAAAIgAAAGRycy9k b3ducmV2LnhtbFBLAQIUABQAAAAIAIdO4kAitTrQzwEAAJcDAAAOAAAAAAAAAAEAIAAAACEBAABk cnMvZTJvRG9jLnhtbFBLBQYAAAAABgAGAFkBAABiBQAAAAA= ">
              <v:fill on="f" focussize="0,0"/>
              <v:stroke on="f"/>
              <v:imagedata o:title=""/>
              <o:lock v:ext="edit" aspectratio="f"/>
              <v:textbox inset="0mm,0mm,0mm,0mm" style="mso-fit-shape-to-text:t;">
                <w:txbxContent>
                  <w:p>
                    <w:pPr>
                      <w:pStyle w:val="26"/>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61</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635" cy="13144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2286635" cy="131445"/>
                      </a:xfrm>
                      <a:prstGeom prst="rect">
                        <a:avLst/>
                      </a:prstGeom>
                      <a:noFill/>
                      <a:ln>
                        <a:noFill/>
                      </a:ln>
                    </wps:spPr>
                    <wps:txbx>
                      <w:txbxContent>
                        <w:p>
                          <w:pPr>
                            <w:pStyle w:val="26"/>
                            <w:ind w:left="1470" w:right="1470" w:firstLine="480"/>
                            <w:jc w:val="center"/>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0.35pt;width:180.05pt;mso-position-horizontal:center;mso-position-horizontal-relative:margin;mso-wrap-style:none;z-index:251659264;mso-width-relative:page;mso-height-relative:page;" filled="f" stroked="f" coordsize="21600,21600" o:gfxdata="UEsDBAoAAAAAAIdO4kAAAAAAAAAAAAAAAAAEAAAAZHJzL1BLAwQUAAAACACHTuJAR3dySdIAAAAE AQAADwAAAGRycy9kb3ducmV2LnhtbE2PwU7DMBBE70j8g7VI3KidIrVViNNDJS7cKAiJ2zbexhH2 OrLdNPl7DBe4rDSa0czbZj97JyaKaQisoVopEMRdMAP3Gt7fnh92IFJGNugCk4aFEuzb25sGaxOu /ErTMfeilHCqUYPNeaylTJ0lj2kVRuLinUP0mIuMvTQRr6XcO7lWaiM9DlwWLI50sNR9HS9ew3b+ CDQmOtDneeqiHZade1m0vr+r1BOITHP+C8MPfkGHtjCdwoVNEk5DeST/3uI9blQF4qRhrbYg20b+ h2+/AVBLAwQUAAAACACHTuJA53raENIBAACbAwAADgAAAGRycy9lMm9Eb2MueG1srVNLbtswEN0X 6B0I7mtJdmIEguWghZGiQNEWSHsAmiItAvyBQ1vyBdobdNVN9z2Xz9EhJTttsskiG2o0M3rz3uNo dTsYTQ4igHK2odWspERY7lpldw399vXuzQ0lEJltmXZWNPQogN6uX79a9b4Wc9c53YpAEMRC3fuG djH6uiiAd8IwmDkvLBalC4ZFfA27og2sR3Sji3lZLovehdYHxwUAZjdjkU6I4TmATkrFxcbxvRE2 jqhBaBZREnTKA11ntlIKHj9LCSIS3VBUGvOJQzDeprNYr1i9C8x3ik8U2HMoPNJkmLI49AK1YZGR fVBPoIziwYGTccadKUYh2RFUUZWPvLnvmBdZC1oN/mI6vBws/3T4EohqcRMosczghZ9+/jj9+nP6 /Z1U5aJKDvUeamy899gah3duSN1THjCZhA8ymPRESQTr6O/x4q8YIuGYnM9vlsvFNSUca9Wiurq6 TjDFw9c+QHwvnCEpaGjA+8u2ssNHiGPruSUNs+5OaY15Vmv7XwIxU6ZI1EeKKYrDdph4b117RDk9 Xn1DLW46JfqDRWfTlpyDcA6252Dvg9p1eY3SPPBv9xFJZG5pwgg7DcY7y+qm/UpL8e977nr4p9Z/ A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Ed3cknSAAAABAEAAA8AAAAAAAAAAQAgAAAAIgAAAGRy cy9kb3ducmV2LnhtbFBLAQIUABQAAAAIAIdO4kDnetoQ0gEAAJsDAAAOAAAAAAAAAAEAIAAAACEB AABkcnMvZTJvRG9jLnhtbFBLBQYAAAAABgAGAFkBAABlBQAAAAA= ">
              <v:fill on="f" focussize="0,0"/>
              <v:stroke on="f"/>
              <v:imagedata o:title=""/>
              <o:lock v:ext="edit" aspectratio="f"/>
              <v:textbox inset="0mm,0mm,0mm,0mm" style="mso-fit-shape-to-text:t;">
                <w:txbxContent>
                  <w:p>
                    <w:pPr>
                      <w:pStyle w:val="26"/>
                      <w:ind w:left="1470" w:right="1470" w:firstLine="480"/>
                      <w:jc w:val="center"/>
                    </w:pPr>
                  </w:p>
                </w:txbxContent>
              </v:textbox>
            </v:shape>
          </w:pict>
        </mc:Fallback>
      </mc:AlternateConten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972185" cy="147955"/>
              <wp:effectExtent l="0" t="0" r="0" b="0"/>
              <wp:wrapNone/>
              <wp:docPr id="2" name="文本框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pStyle w:val="26"/>
                            <w:rPr>
                              <w:rStyle w:val="49"/>
                              <w:rFonts w:hint="eastAsia"/>
                            </w:rPr>
                          </w:pPr>
                          <w:r>
                            <w:rPr>
                              <w:rStyle w:val="49"/>
                              <w:rFonts w:hint="eastAsia"/>
                            </w:rPr>
                            <w:t xml:space="preserve">第 </w:t>
                          </w:r>
                          <w:r>
                            <w:rPr>
                              <w:rFonts w:hint="eastAsia"/>
                            </w:rPr>
                            <w:fldChar w:fldCharType="begin"/>
                          </w:r>
                          <w:r>
                            <w:rPr>
                              <w:rStyle w:val="49"/>
                              <w:rFonts w:hint="eastAsia"/>
                            </w:rPr>
                            <w:instrText xml:space="preserve"> PAGE  \* MERGEFORMAT </w:instrText>
                          </w:r>
                          <w:r>
                            <w:rPr>
                              <w:rFonts w:hint="eastAsia"/>
                            </w:rPr>
                            <w:fldChar w:fldCharType="separate"/>
                          </w:r>
                          <w:r>
                            <w:rPr>
                              <w:rStyle w:val="49"/>
                            </w:rPr>
                            <w:t>61</w:t>
                          </w:r>
                          <w:r>
                            <w:rPr>
                              <w:rFonts w:hint="eastAsia"/>
                            </w:rPr>
                            <w:fldChar w:fldCharType="end"/>
                          </w:r>
                          <w:r>
                            <w:rPr>
                              <w:rStyle w:val="49"/>
                              <w:rFonts w:hint="eastAsia"/>
                            </w:rPr>
                            <w:t xml:space="preserve"> 页 共 </w:t>
                          </w:r>
                          <w:r>
                            <w:rPr>
                              <w:rFonts w:hint="eastAsia"/>
                            </w:rPr>
                            <w:fldChar w:fldCharType="begin"/>
                          </w:r>
                          <w:r>
                            <w:rPr>
                              <w:rStyle w:val="49"/>
                              <w:rFonts w:hint="eastAsia"/>
                            </w:rPr>
                            <w:instrText xml:space="preserve"> NUMPAGES  \* MERGEFORMAT </w:instrText>
                          </w:r>
                          <w:r>
                            <w:rPr>
                              <w:rFonts w:hint="eastAsia"/>
                            </w:rPr>
                            <w:fldChar w:fldCharType="separate"/>
                          </w:r>
                          <w:r>
                            <w:rPr>
                              <w:rStyle w:val="49"/>
                              <w:rFonts w:hint="eastAsia"/>
                            </w:rPr>
                            <w:t>54</w:t>
                          </w:r>
                          <w:r>
                            <w:rPr>
                              <w:rFonts w:hint="eastAsia"/>
                            </w:rPr>
                            <w:fldChar w:fldCharType="end"/>
                          </w:r>
                          <w:r>
                            <w:rPr>
                              <w:rStyle w:val="49"/>
                              <w:rFonts w:hint="eastAsia"/>
                            </w:rPr>
                            <w:t xml:space="preserve"> 页</w:t>
                          </w:r>
                        </w:p>
                      </w:txbxContent>
                    </wps:txbx>
                    <wps:bodyPr wrap="none" lIns="0" tIns="0" rIns="0" bIns="0" upright="0">
                      <a:spAutoFit/>
                    </wps:bodyPr>
                  </wps:wsp>
                </a:graphicData>
              </a:graphic>
            </wp:anchor>
          </w:drawing>
        </mc:Choice>
        <mc:Fallback>
          <w:pict>
            <v:shape id="文本框2" o:spid="_x0000_s1026" o:spt="202" type="#_x0000_t202" style="position:absolute;left:0pt;height:11.65pt;width:76.55pt;mso-position-horizontal:center;mso-position-horizontal-relative:margin;mso-position-vertical:top;mso-wrap-style:none;z-index:251660288;mso-width-relative:page;mso-height-relative:page;" filled="f" stroked="f" coordsize="21600,21600" o:gfxdata="UEsDBAoAAAAAAIdO4kAAAAAAAAAAAAAAAAAEAAAAZHJzL1BLAwQUAAAACACHTuJANJ2k0NIAAAAE AQAADwAAAGRycy9kb3ducmV2LnhtbE2PwU7DMBBE70j8g7VI3KiTRkAVsumhEhduFITUmxtv4wh7 Hdlumvw9Lhe4rDSa0czbZjs7KyYKcfCMUK4KEMSd1wP3CJ8frw8bEDEp1sp6JoSFImzb25tG1dpf +J2mfepFLuFYKwST0lhLGTtDTsWVH4mzd/LBqZRl6KUO6pLLnZXroniSTg2cF4waaWeo+96fHcLz /OVpjLSjw2nqghmWjX1bEO/vyuIFRKI5/YXhip/Roc1MR39mHYVFyI+k33v1HqsSxBFhXVUg20b+ h29/AFBLAwQUAAAACACHTuJAA1g0C84BAACWAwAADgAAAGRycy9lMm9Eb2MueG1srVNLbtswEN0X 6B0I7mvZQt0kguUghZGiQNEWSHMAmiItAvyBQ1vyBdobdNVN9z2Xz9EhJTlpuskiG2o4M3oz781w dd0bTQ4igHK2povZnBJhuWuU3dX0/tvtm0tKIDLbMO2sqOlRAL1ev3616nwlStc63YhAEMRC1fma tjH6qiiAt8IwmDkvLAalC4ZFvIZd0QTWIbrRRTmfvys6FxofHBcA6N0MQToihucAOikVFxvH90bY OKAGoVlEStAqD3Sdu5VS8PhFShCR6Joi05hPLIL2Np3FesWqXWC+VXxsgT2nhSecDFMWi56hNiwy sg/qPyijeHDgZJxxZ4qBSFYEWSzmT7S5a5kXmQtKDf4sOrwcLP98+BqIampaUmKZwYGffv44/fpz +v29TOp0HipMuvOYFvv3rsedmfyAzkS6l8GkL9IhGEdtj2dtRR8JR+fVRbm4XFLCMbR4e3G1XCaU 4uFnHyB+EM6QZNQ04OiyouzwCeKQOqWkWtbdKq3z+LT9x4GYyVOkzocOkxX7bT/S2brmiGw6nHpN LS45JfqjRVHTgkxGmIztZOx9ULs2b1CqB/5mH7GJ3FuqMMCOhXFcmd24WmkfHt9z1sNzWv8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NJ2k0NIAAAAEAQAADwAAAAAAAAABACAAAAAiAAAAZHJzL2Rv d25yZXYueG1sUEsBAhQAFAAAAAgAh07iQANYNAvOAQAAlgMAAA4AAAAAAAAAAQAgAAAAIQEAAGRy cy9lMm9Eb2MueG1sUEsFBgAAAAAGAAYAWQEAAGEFAAAAAA== ">
              <v:fill on="f" focussize="0,0"/>
              <v:stroke on="f"/>
              <v:imagedata o:title=""/>
              <o:lock v:ext="edit" aspectratio="f"/>
              <v:textbox inset="0mm,0mm,0mm,0mm" style="mso-fit-shape-to-text:t;">
                <w:txbxContent>
                  <w:p>
                    <w:pPr>
                      <w:pStyle w:val="26"/>
                      <w:rPr>
                        <w:rStyle w:val="49"/>
                        <w:rFonts w:hint="eastAsia"/>
                      </w:rPr>
                    </w:pPr>
                    <w:r>
                      <w:rPr>
                        <w:rStyle w:val="49"/>
                        <w:rFonts w:hint="eastAsia"/>
                      </w:rPr>
                      <w:t xml:space="preserve">第 </w:t>
                    </w:r>
                    <w:r>
                      <w:rPr>
                        <w:rFonts w:hint="eastAsia"/>
                      </w:rPr>
                      <w:fldChar w:fldCharType="begin"/>
                    </w:r>
                    <w:r>
                      <w:rPr>
                        <w:rStyle w:val="49"/>
                        <w:rFonts w:hint="eastAsia"/>
                      </w:rPr>
                      <w:instrText xml:space="preserve"> PAGE  \* MERGEFORMAT </w:instrText>
                    </w:r>
                    <w:r>
                      <w:rPr>
                        <w:rFonts w:hint="eastAsia"/>
                      </w:rPr>
                      <w:fldChar w:fldCharType="separate"/>
                    </w:r>
                    <w:r>
                      <w:rPr>
                        <w:rStyle w:val="49"/>
                      </w:rPr>
                      <w:t>61</w:t>
                    </w:r>
                    <w:r>
                      <w:rPr>
                        <w:rFonts w:hint="eastAsia"/>
                      </w:rPr>
                      <w:fldChar w:fldCharType="end"/>
                    </w:r>
                    <w:r>
                      <w:rPr>
                        <w:rStyle w:val="49"/>
                        <w:rFonts w:hint="eastAsia"/>
                      </w:rPr>
                      <w:t xml:space="preserve"> 页 共 </w:t>
                    </w:r>
                    <w:r>
                      <w:rPr>
                        <w:rFonts w:hint="eastAsia"/>
                      </w:rPr>
                      <w:fldChar w:fldCharType="begin"/>
                    </w:r>
                    <w:r>
                      <w:rPr>
                        <w:rStyle w:val="49"/>
                        <w:rFonts w:hint="eastAsia"/>
                      </w:rPr>
                      <w:instrText xml:space="preserve"> NUMPAGES  \* MERGEFORMAT </w:instrText>
                    </w:r>
                    <w:r>
                      <w:rPr>
                        <w:rFonts w:hint="eastAsia"/>
                      </w:rPr>
                      <w:fldChar w:fldCharType="separate"/>
                    </w:r>
                    <w:r>
                      <w:rPr>
                        <w:rStyle w:val="49"/>
                        <w:rFonts w:hint="eastAsia"/>
                      </w:rPr>
                      <w:t>54</w:t>
                    </w:r>
                    <w:r>
                      <w:rPr>
                        <w:rFonts w:hint="eastAsia"/>
                      </w:rPr>
                      <w:fldChar w:fldCharType="end"/>
                    </w:r>
                    <w:r>
                      <w:rPr>
                        <w:rStyle w:val="49"/>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sz w:val="21"/>
        <w:szCs w:val="21"/>
      </w:rPr>
    </w:pPr>
    <w:r>
      <w:rPr>
        <w:rFonts w:hint="eastAsia" w:ascii="宋体" w:hAnsi="宋体" w:cs="宋体"/>
        <w:color w:val="000000"/>
        <w:sz w:val="21"/>
        <w:szCs w:val="21"/>
      </w:rPr>
      <w:t>余姚市第四人民医院保安服务项目                             公开招标采购文件</w:t>
    </w:r>
    <w:r>
      <w:rPr>
        <w:rFonts w:hint="eastAsia" w:ascii="宋体" w:hAnsi="宋体" w:cs="宋体"/>
        <w:b/>
        <w:bCs/>
        <w:color w:val="00000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distribute"/>
      <w:rPr>
        <w:rFonts w:hint="eastAsia" w:ascii="宋体" w:hAnsi="宋体" w:eastAsia="宋体"/>
      </w:rPr>
    </w:pPr>
    <w:r>
      <w:rPr>
        <w:rFonts w:hint="eastAsia" w:ascii="宋体" w:hAnsi="宋体" w:cs="宋体"/>
        <w:color w:val="000000"/>
        <w:sz w:val="21"/>
        <w:szCs w:val="21"/>
      </w:rPr>
      <w:t>余姚市第四人民医院保安服务项目                             公开招标采购文件</w:t>
    </w:r>
  </w:p>
  <w:p>
    <w:pPr>
      <w:pStyle w:val="28"/>
      <w:pBdr>
        <w:bottom w:val="none" w:color="auto" w:sz="0"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1462B"/>
    <w:multiLevelType w:val="singleLevel"/>
    <w:tmpl w:val="AF71462B"/>
    <w:lvl w:ilvl="0" w:tentative="0">
      <w:start w:val="2"/>
      <w:numFmt w:val="chineseCounting"/>
      <w:suff w:val="space"/>
      <w:lvlText w:val="第%1章"/>
      <w:lvlJc w:val="left"/>
      <w:rPr>
        <w:rFonts w:hint="eastAsia"/>
      </w:rPr>
    </w:lvl>
  </w:abstractNum>
  <w:abstractNum w:abstractNumId="1">
    <w:nsid w:val="B19D9FE8"/>
    <w:multiLevelType w:val="singleLevel"/>
    <w:tmpl w:val="B19D9FE8"/>
    <w:lvl w:ilvl="0" w:tentative="0">
      <w:start w:val="3"/>
      <w:numFmt w:val="decimal"/>
      <w:suff w:val="nothing"/>
      <w:lvlText w:val="（%1）"/>
      <w:lvlJc w:val="left"/>
    </w:lvl>
  </w:abstractNum>
  <w:abstractNum w:abstractNumId="2">
    <w:nsid w:val="00000005"/>
    <w:multiLevelType w:val="multilevel"/>
    <w:tmpl w:val="00000005"/>
    <w:lvl w:ilvl="0" w:tentative="0">
      <w:start w:val="1"/>
      <w:numFmt w:val="decimal"/>
      <w:pStyle w:val="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112"/>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4">
    <w:nsid w:val="00000018"/>
    <w:multiLevelType w:val="singleLevel"/>
    <w:tmpl w:val="00000018"/>
    <w:lvl w:ilvl="0" w:tentative="0">
      <w:start w:val="1"/>
      <w:numFmt w:val="decimal"/>
      <w:pStyle w:val="15"/>
      <w:lvlText w:val="%1."/>
      <w:lvlJc w:val="left"/>
      <w:pPr>
        <w:tabs>
          <w:tab w:val="left" w:pos="1200"/>
        </w:tabs>
        <w:ind w:left="1200" w:hanging="360"/>
      </w:pPr>
    </w:lvl>
  </w:abstractNum>
  <w:abstractNum w:abstractNumId="5">
    <w:nsid w:val="4F733FBB"/>
    <w:multiLevelType w:val="multilevel"/>
    <w:tmpl w:val="4F733FBB"/>
    <w:lvl w:ilvl="0" w:tentative="0">
      <w:start w:val="1"/>
      <w:numFmt w:val="chineseCountingThousand"/>
      <w:pStyle w:val="18"/>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E240FAE"/>
    <w:multiLevelType w:val="singleLevel"/>
    <w:tmpl w:val="5E240FAE"/>
    <w:lvl w:ilvl="0" w:tentative="0">
      <w:start w:val="2"/>
      <w:numFmt w:val="decimal"/>
      <w:suff w:val="nothing"/>
      <w:lvlText w:val="%1、"/>
      <w:lvlJc w:val="left"/>
    </w:lvl>
  </w:abstractNum>
  <w:abstractNum w:abstractNumId="7">
    <w:nsid w:val="6980A4BA"/>
    <w:multiLevelType w:val="singleLevel"/>
    <w:tmpl w:val="6980A4BA"/>
    <w:lvl w:ilvl="0" w:tentative="0">
      <w:start w:val="4"/>
      <w:numFmt w:val="chineseCounting"/>
      <w:suff w:val="nothing"/>
      <w:lvlText w:val="%1、"/>
      <w:lvlJc w:val="left"/>
      <w:pPr>
        <w:ind w:left="-2"/>
      </w:pPr>
      <w:rPr>
        <w:rFonts w:hint="eastAsia"/>
      </w:rPr>
    </w:lvl>
  </w:abstractNum>
  <w:abstractNum w:abstractNumId="8">
    <w:nsid w:val="7D1765B1"/>
    <w:multiLevelType w:val="singleLevel"/>
    <w:tmpl w:val="7D1765B1"/>
    <w:lvl w:ilvl="0" w:tentative="0">
      <w:start w:val="5"/>
      <w:numFmt w:val="chineseCounting"/>
      <w:suff w:val="space"/>
      <w:lvlText w:val="第%1章"/>
      <w:lvlJc w:val="left"/>
      <w:rPr>
        <w:rFonts w:hint="eastAsia"/>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WJkOTYzN2EzYjdiY2QwN2I4MDcyNmY2NDY1MjIifQ=="/>
  </w:docVars>
  <w:rsids>
    <w:rsidRoot w:val="00172A27"/>
    <w:rsid w:val="00002CFD"/>
    <w:rsid w:val="00002F83"/>
    <w:rsid w:val="00003D9A"/>
    <w:rsid w:val="00004313"/>
    <w:rsid w:val="0000688F"/>
    <w:rsid w:val="000072AC"/>
    <w:rsid w:val="00007CFD"/>
    <w:rsid w:val="00010705"/>
    <w:rsid w:val="0001277D"/>
    <w:rsid w:val="00012C0C"/>
    <w:rsid w:val="0001319B"/>
    <w:rsid w:val="00013F37"/>
    <w:rsid w:val="00014F19"/>
    <w:rsid w:val="0001650C"/>
    <w:rsid w:val="00016DBA"/>
    <w:rsid w:val="0001788F"/>
    <w:rsid w:val="00021019"/>
    <w:rsid w:val="000215A8"/>
    <w:rsid w:val="00021911"/>
    <w:rsid w:val="00023534"/>
    <w:rsid w:val="000238F2"/>
    <w:rsid w:val="0002406A"/>
    <w:rsid w:val="00025300"/>
    <w:rsid w:val="000302AC"/>
    <w:rsid w:val="00030499"/>
    <w:rsid w:val="0003058D"/>
    <w:rsid w:val="00030A12"/>
    <w:rsid w:val="000319B2"/>
    <w:rsid w:val="00034AE6"/>
    <w:rsid w:val="0003532A"/>
    <w:rsid w:val="0003629B"/>
    <w:rsid w:val="00037675"/>
    <w:rsid w:val="00037692"/>
    <w:rsid w:val="000408EB"/>
    <w:rsid w:val="0004339D"/>
    <w:rsid w:val="000462F1"/>
    <w:rsid w:val="0005030D"/>
    <w:rsid w:val="000517BE"/>
    <w:rsid w:val="00051E3C"/>
    <w:rsid w:val="0005223C"/>
    <w:rsid w:val="00053694"/>
    <w:rsid w:val="0005433B"/>
    <w:rsid w:val="00054CEE"/>
    <w:rsid w:val="00056C72"/>
    <w:rsid w:val="00061C5B"/>
    <w:rsid w:val="00062D87"/>
    <w:rsid w:val="000635F7"/>
    <w:rsid w:val="000659AE"/>
    <w:rsid w:val="00065AD3"/>
    <w:rsid w:val="00065EA9"/>
    <w:rsid w:val="00067652"/>
    <w:rsid w:val="00070968"/>
    <w:rsid w:val="0007116E"/>
    <w:rsid w:val="00071354"/>
    <w:rsid w:val="00074098"/>
    <w:rsid w:val="00075D63"/>
    <w:rsid w:val="00075E9D"/>
    <w:rsid w:val="00076869"/>
    <w:rsid w:val="00081855"/>
    <w:rsid w:val="000858B6"/>
    <w:rsid w:val="000861F1"/>
    <w:rsid w:val="00086FF0"/>
    <w:rsid w:val="0009085C"/>
    <w:rsid w:val="00094646"/>
    <w:rsid w:val="00096615"/>
    <w:rsid w:val="000A0CF0"/>
    <w:rsid w:val="000A1434"/>
    <w:rsid w:val="000A1BA4"/>
    <w:rsid w:val="000A20C4"/>
    <w:rsid w:val="000A2137"/>
    <w:rsid w:val="000A236C"/>
    <w:rsid w:val="000A2D67"/>
    <w:rsid w:val="000A41BB"/>
    <w:rsid w:val="000A49F7"/>
    <w:rsid w:val="000A58D9"/>
    <w:rsid w:val="000A6AF9"/>
    <w:rsid w:val="000A6B2B"/>
    <w:rsid w:val="000A6C96"/>
    <w:rsid w:val="000A799D"/>
    <w:rsid w:val="000B0B1A"/>
    <w:rsid w:val="000B188E"/>
    <w:rsid w:val="000B3D25"/>
    <w:rsid w:val="000B4CB7"/>
    <w:rsid w:val="000B532B"/>
    <w:rsid w:val="000B6019"/>
    <w:rsid w:val="000B6F8A"/>
    <w:rsid w:val="000B7AE1"/>
    <w:rsid w:val="000C05A6"/>
    <w:rsid w:val="000C1C08"/>
    <w:rsid w:val="000C1F1C"/>
    <w:rsid w:val="000C2DCD"/>
    <w:rsid w:val="000C36F1"/>
    <w:rsid w:val="000C3DF9"/>
    <w:rsid w:val="000C60FB"/>
    <w:rsid w:val="000C6432"/>
    <w:rsid w:val="000C730C"/>
    <w:rsid w:val="000D0760"/>
    <w:rsid w:val="000D1D7E"/>
    <w:rsid w:val="000D456A"/>
    <w:rsid w:val="000D4BD0"/>
    <w:rsid w:val="000D79C8"/>
    <w:rsid w:val="000D7A39"/>
    <w:rsid w:val="000D7C50"/>
    <w:rsid w:val="000E33C7"/>
    <w:rsid w:val="000E35E6"/>
    <w:rsid w:val="000E454F"/>
    <w:rsid w:val="000E6DCA"/>
    <w:rsid w:val="000F2FE1"/>
    <w:rsid w:val="000F4826"/>
    <w:rsid w:val="000F63F1"/>
    <w:rsid w:val="000F6404"/>
    <w:rsid w:val="000F68B3"/>
    <w:rsid w:val="000F7477"/>
    <w:rsid w:val="000F766E"/>
    <w:rsid w:val="000F7EB1"/>
    <w:rsid w:val="00100330"/>
    <w:rsid w:val="00100FC9"/>
    <w:rsid w:val="001017CF"/>
    <w:rsid w:val="00101ADC"/>
    <w:rsid w:val="00102128"/>
    <w:rsid w:val="00102527"/>
    <w:rsid w:val="0010398D"/>
    <w:rsid w:val="001042BB"/>
    <w:rsid w:val="00104B60"/>
    <w:rsid w:val="001051FC"/>
    <w:rsid w:val="00106F13"/>
    <w:rsid w:val="0010731D"/>
    <w:rsid w:val="0010737F"/>
    <w:rsid w:val="001107D0"/>
    <w:rsid w:val="001119AD"/>
    <w:rsid w:val="0011318E"/>
    <w:rsid w:val="00113C74"/>
    <w:rsid w:val="001149A2"/>
    <w:rsid w:val="00114D8A"/>
    <w:rsid w:val="001150BB"/>
    <w:rsid w:val="00116584"/>
    <w:rsid w:val="001167A1"/>
    <w:rsid w:val="00116921"/>
    <w:rsid w:val="001171B8"/>
    <w:rsid w:val="00120A4F"/>
    <w:rsid w:val="00121100"/>
    <w:rsid w:val="0012162B"/>
    <w:rsid w:val="001218B0"/>
    <w:rsid w:val="00121BDC"/>
    <w:rsid w:val="00121F1A"/>
    <w:rsid w:val="00124503"/>
    <w:rsid w:val="00124797"/>
    <w:rsid w:val="00125B7B"/>
    <w:rsid w:val="001266CF"/>
    <w:rsid w:val="00126B40"/>
    <w:rsid w:val="0012768F"/>
    <w:rsid w:val="0013001F"/>
    <w:rsid w:val="00130877"/>
    <w:rsid w:val="00130D43"/>
    <w:rsid w:val="00130EC1"/>
    <w:rsid w:val="00131261"/>
    <w:rsid w:val="001313FE"/>
    <w:rsid w:val="00134707"/>
    <w:rsid w:val="00135F25"/>
    <w:rsid w:val="00135FE9"/>
    <w:rsid w:val="00137114"/>
    <w:rsid w:val="0013767E"/>
    <w:rsid w:val="001408EF"/>
    <w:rsid w:val="0014389A"/>
    <w:rsid w:val="001443D6"/>
    <w:rsid w:val="0014572F"/>
    <w:rsid w:val="00146266"/>
    <w:rsid w:val="00146978"/>
    <w:rsid w:val="00147900"/>
    <w:rsid w:val="001521CF"/>
    <w:rsid w:val="0015369A"/>
    <w:rsid w:val="001549DF"/>
    <w:rsid w:val="001573F3"/>
    <w:rsid w:val="00160A81"/>
    <w:rsid w:val="00162F34"/>
    <w:rsid w:val="00165FF5"/>
    <w:rsid w:val="001669FF"/>
    <w:rsid w:val="00167D00"/>
    <w:rsid w:val="0017124B"/>
    <w:rsid w:val="00171448"/>
    <w:rsid w:val="00171A55"/>
    <w:rsid w:val="00171D63"/>
    <w:rsid w:val="00172311"/>
    <w:rsid w:val="00172CE7"/>
    <w:rsid w:val="00173AC9"/>
    <w:rsid w:val="00175360"/>
    <w:rsid w:val="00177155"/>
    <w:rsid w:val="00180C9E"/>
    <w:rsid w:val="00181116"/>
    <w:rsid w:val="00181C69"/>
    <w:rsid w:val="00185A66"/>
    <w:rsid w:val="0019283A"/>
    <w:rsid w:val="00193259"/>
    <w:rsid w:val="0019336E"/>
    <w:rsid w:val="00193F0D"/>
    <w:rsid w:val="00194B66"/>
    <w:rsid w:val="00196755"/>
    <w:rsid w:val="00197197"/>
    <w:rsid w:val="001979D3"/>
    <w:rsid w:val="001A059C"/>
    <w:rsid w:val="001A096B"/>
    <w:rsid w:val="001A1540"/>
    <w:rsid w:val="001A17DC"/>
    <w:rsid w:val="001A1A53"/>
    <w:rsid w:val="001A1B3A"/>
    <w:rsid w:val="001A2AF3"/>
    <w:rsid w:val="001A3FFB"/>
    <w:rsid w:val="001A4765"/>
    <w:rsid w:val="001A5834"/>
    <w:rsid w:val="001A688C"/>
    <w:rsid w:val="001A6BD9"/>
    <w:rsid w:val="001B36A9"/>
    <w:rsid w:val="001B6427"/>
    <w:rsid w:val="001B6D88"/>
    <w:rsid w:val="001B748C"/>
    <w:rsid w:val="001C0440"/>
    <w:rsid w:val="001C0893"/>
    <w:rsid w:val="001C1140"/>
    <w:rsid w:val="001C198B"/>
    <w:rsid w:val="001C1A07"/>
    <w:rsid w:val="001C1D7C"/>
    <w:rsid w:val="001C2EE2"/>
    <w:rsid w:val="001C530C"/>
    <w:rsid w:val="001C66B3"/>
    <w:rsid w:val="001D211A"/>
    <w:rsid w:val="001D3DB1"/>
    <w:rsid w:val="001D59DF"/>
    <w:rsid w:val="001D6A1B"/>
    <w:rsid w:val="001D6B84"/>
    <w:rsid w:val="001E095D"/>
    <w:rsid w:val="001E132C"/>
    <w:rsid w:val="001E14C0"/>
    <w:rsid w:val="001E1D7C"/>
    <w:rsid w:val="001E3B0B"/>
    <w:rsid w:val="001E701B"/>
    <w:rsid w:val="001E7340"/>
    <w:rsid w:val="001F066B"/>
    <w:rsid w:val="001F0F9B"/>
    <w:rsid w:val="001F1257"/>
    <w:rsid w:val="001F2C7E"/>
    <w:rsid w:val="001F4CDC"/>
    <w:rsid w:val="001F5346"/>
    <w:rsid w:val="001F5409"/>
    <w:rsid w:val="001F7EA0"/>
    <w:rsid w:val="002015DB"/>
    <w:rsid w:val="00201E9D"/>
    <w:rsid w:val="00203318"/>
    <w:rsid w:val="00207132"/>
    <w:rsid w:val="00211CBC"/>
    <w:rsid w:val="002123F3"/>
    <w:rsid w:val="002127F9"/>
    <w:rsid w:val="00212CBC"/>
    <w:rsid w:val="00212DCE"/>
    <w:rsid w:val="00215893"/>
    <w:rsid w:val="00215FC6"/>
    <w:rsid w:val="00216382"/>
    <w:rsid w:val="00217464"/>
    <w:rsid w:val="00217D0C"/>
    <w:rsid w:val="00220CB4"/>
    <w:rsid w:val="00221255"/>
    <w:rsid w:val="0022312F"/>
    <w:rsid w:val="00223C9F"/>
    <w:rsid w:val="00223D2C"/>
    <w:rsid w:val="002244D0"/>
    <w:rsid w:val="00224FB3"/>
    <w:rsid w:val="00225EAB"/>
    <w:rsid w:val="002263C8"/>
    <w:rsid w:val="00226A28"/>
    <w:rsid w:val="00227655"/>
    <w:rsid w:val="0022795F"/>
    <w:rsid w:val="00230871"/>
    <w:rsid w:val="002313F0"/>
    <w:rsid w:val="0023443F"/>
    <w:rsid w:val="002346DE"/>
    <w:rsid w:val="00235B7A"/>
    <w:rsid w:val="002413B4"/>
    <w:rsid w:val="002413C0"/>
    <w:rsid w:val="00242853"/>
    <w:rsid w:val="00243025"/>
    <w:rsid w:val="00244C25"/>
    <w:rsid w:val="00245C48"/>
    <w:rsid w:val="002465C9"/>
    <w:rsid w:val="00251B8C"/>
    <w:rsid w:val="0025212D"/>
    <w:rsid w:val="002522E5"/>
    <w:rsid w:val="0025246F"/>
    <w:rsid w:val="00253175"/>
    <w:rsid w:val="00254118"/>
    <w:rsid w:val="00255409"/>
    <w:rsid w:val="00255A5F"/>
    <w:rsid w:val="00256E75"/>
    <w:rsid w:val="002570FF"/>
    <w:rsid w:val="00257F11"/>
    <w:rsid w:val="002608CB"/>
    <w:rsid w:val="0026234B"/>
    <w:rsid w:val="00262738"/>
    <w:rsid w:val="00262EC7"/>
    <w:rsid w:val="002631CE"/>
    <w:rsid w:val="0026336C"/>
    <w:rsid w:val="002636D6"/>
    <w:rsid w:val="00265850"/>
    <w:rsid w:val="00266BA8"/>
    <w:rsid w:val="00266D8B"/>
    <w:rsid w:val="00270246"/>
    <w:rsid w:val="0027072E"/>
    <w:rsid w:val="0027129D"/>
    <w:rsid w:val="002712A5"/>
    <w:rsid w:val="00271F04"/>
    <w:rsid w:val="002726A6"/>
    <w:rsid w:val="00272787"/>
    <w:rsid w:val="00274157"/>
    <w:rsid w:val="00275127"/>
    <w:rsid w:val="0027591E"/>
    <w:rsid w:val="00276298"/>
    <w:rsid w:val="00276CC8"/>
    <w:rsid w:val="0027744A"/>
    <w:rsid w:val="00280E18"/>
    <w:rsid w:val="002822E2"/>
    <w:rsid w:val="002834BA"/>
    <w:rsid w:val="002862B5"/>
    <w:rsid w:val="00287404"/>
    <w:rsid w:val="00291213"/>
    <w:rsid w:val="002918B3"/>
    <w:rsid w:val="00292214"/>
    <w:rsid w:val="00292CEC"/>
    <w:rsid w:val="00293962"/>
    <w:rsid w:val="00294D88"/>
    <w:rsid w:val="00295FA9"/>
    <w:rsid w:val="00296B5C"/>
    <w:rsid w:val="00297C07"/>
    <w:rsid w:val="002A002E"/>
    <w:rsid w:val="002A01D5"/>
    <w:rsid w:val="002A095F"/>
    <w:rsid w:val="002A2D51"/>
    <w:rsid w:val="002A33EF"/>
    <w:rsid w:val="002A37A3"/>
    <w:rsid w:val="002A38E1"/>
    <w:rsid w:val="002A3BE8"/>
    <w:rsid w:val="002A3DCD"/>
    <w:rsid w:val="002A57D1"/>
    <w:rsid w:val="002A599F"/>
    <w:rsid w:val="002A62B6"/>
    <w:rsid w:val="002A6A64"/>
    <w:rsid w:val="002A7142"/>
    <w:rsid w:val="002A7375"/>
    <w:rsid w:val="002A7CFA"/>
    <w:rsid w:val="002A7EAC"/>
    <w:rsid w:val="002B11DB"/>
    <w:rsid w:val="002B1281"/>
    <w:rsid w:val="002B154B"/>
    <w:rsid w:val="002B2D14"/>
    <w:rsid w:val="002B4063"/>
    <w:rsid w:val="002B594D"/>
    <w:rsid w:val="002C0B27"/>
    <w:rsid w:val="002C1007"/>
    <w:rsid w:val="002C1AC0"/>
    <w:rsid w:val="002C1FEB"/>
    <w:rsid w:val="002C2A50"/>
    <w:rsid w:val="002C2CB4"/>
    <w:rsid w:val="002C2F47"/>
    <w:rsid w:val="002C392B"/>
    <w:rsid w:val="002C42AE"/>
    <w:rsid w:val="002C6EE9"/>
    <w:rsid w:val="002D0159"/>
    <w:rsid w:val="002D10E8"/>
    <w:rsid w:val="002D166C"/>
    <w:rsid w:val="002D3884"/>
    <w:rsid w:val="002D4570"/>
    <w:rsid w:val="002D4B89"/>
    <w:rsid w:val="002D51B3"/>
    <w:rsid w:val="002D5EF0"/>
    <w:rsid w:val="002D67F7"/>
    <w:rsid w:val="002D6842"/>
    <w:rsid w:val="002D70D7"/>
    <w:rsid w:val="002E0887"/>
    <w:rsid w:val="002E176B"/>
    <w:rsid w:val="002E313D"/>
    <w:rsid w:val="002E3802"/>
    <w:rsid w:val="002E3C9F"/>
    <w:rsid w:val="002E51E8"/>
    <w:rsid w:val="002E6553"/>
    <w:rsid w:val="002E7173"/>
    <w:rsid w:val="002E75CD"/>
    <w:rsid w:val="002F174E"/>
    <w:rsid w:val="002F4462"/>
    <w:rsid w:val="002F62BD"/>
    <w:rsid w:val="002F6BD9"/>
    <w:rsid w:val="002F6EC5"/>
    <w:rsid w:val="00304801"/>
    <w:rsid w:val="00304B62"/>
    <w:rsid w:val="00306C74"/>
    <w:rsid w:val="00306CAF"/>
    <w:rsid w:val="00307258"/>
    <w:rsid w:val="003078FC"/>
    <w:rsid w:val="00307AC3"/>
    <w:rsid w:val="00307FC2"/>
    <w:rsid w:val="003104EE"/>
    <w:rsid w:val="0031204B"/>
    <w:rsid w:val="00315EFC"/>
    <w:rsid w:val="00316D01"/>
    <w:rsid w:val="003175AA"/>
    <w:rsid w:val="00320294"/>
    <w:rsid w:val="00324442"/>
    <w:rsid w:val="00324E15"/>
    <w:rsid w:val="00325DAD"/>
    <w:rsid w:val="003262DC"/>
    <w:rsid w:val="0032787D"/>
    <w:rsid w:val="00331A5D"/>
    <w:rsid w:val="003328E3"/>
    <w:rsid w:val="00332CA0"/>
    <w:rsid w:val="0033503C"/>
    <w:rsid w:val="00335EED"/>
    <w:rsid w:val="00336C74"/>
    <w:rsid w:val="00337190"/>
    <w:rsid w:val="0034005B"/>
    <w:rsid w:val="003408D7"/>
    <w:rsid w:val="0034122C"/>
    <w:rsid w:val="0034211D"/>
    <w:rsid w:val="00342551"/>
    <w:rsid w:val="00344A44"/>
    <w:rsid w:val="003466D7"/>
    <w:rsid w:val="00347349"/>
    <w:rsid w:val="003528D5"/>
    <w:rsid w:val="00352ED3"/>
    <w:rsid w:val="0035579A"/>
    <w:rsid w:val="0035612A"/>
    <w:rsid w:val="00356784"/>
    <w:rsid w:val="003575E5"/>
    <w:rsid w:val="00360500"/>
    <w:rsid w:val="00361C4D"/>
    <w:rsid w:val="00362B08"/>
    <w:rsid w:val="00362F4D"/>
    <w:rsid w:val="00363C8F"/>
    <w:rsid w:val="003655C8"/>
    <w:rsid w:val="0036642B"/>
    <w:rsid w:val="00366FA4"/>
    <w:rsid w:val="00370127"/>
    <w:rsid w:val="0037063F"/>
    <w:rsid w:val="00370AEF"/>
    <w:rsid w:val="003719B9"/>
    <w:rsid w:val="0037229F"/>
    <w:rsid w:val="00372DB3"/>
    <w:rsid w:val="003730BE"/>
    <w:rsid w:val="00376A20"/>
    <w:rsid w:val="00376A7E"/>
    <w:rsid w:val="00377167"/>
    <w:rsid w:val="00380493"/>
    <w:rsid w:val="00381FA7"/>
    <w:rsid w:val="0038292B"/>
    <w:rsid w:val="00382E17"/>
    <w:rsid w:val="003833A7"/>
    <w:rsid w:val="0038344C"/>
    <w:rsid w:val="003842D4"/>
    <w:rsid w:val="00385082"/>
    <w:rsid w:val="0038572B"/>
    <w:rsid w:val="003862A0"/>
    <w:rsid w:val="0038756E"/>
    <w:rsid w:val="00387905"/>
    <w:rsid w:val="003879BE"/>
    <w:rsid w:val="00393665"/>
    <w:rsid w:val="00393686"/>
    <w:rsid w:val="0039379E"/>
    <w:rsid w:val="00394883"/>
    <w:rsid w:val="00395B5F"/>
    <w:rsid w:val="0039676F"/>
    <w:rsid w:val="003A04D8"/>
    <w:rsid w:val="003A2DA0"/>
    <w:rsid w:val="003A3850"/>
    <w:rsid w:val="003A3A7A"/>
    <w:rsid w:val="003A4897"/>
    <w:rsid w:val="003A5368"/>
    <w:rsid w:val="003A7708"/>
    <w:rsid w:val="003A7BB3"/>
    <w:rsid w:val="003B072D"/>
    <w:rsid w:val="003B0920"/>
    <w:rsid w:val="003B0C3E"/>
    <w:rsid w:val="003B1522"/>
    <w:rsid w:val="003B1AFD"/>
    <w:rsid w:val="003B2601"/>
    <w:rsid w:val="003B2F28"/>
    <w:rsid w:val="003B3EA1"/>
    <w:rsid w:val="003B44D2"/>
    <w:rsid w:val="003B5D7C"/>
    <w:rsid w:val="003B7701"/>
    <w:rsid w:val="003B7DB8"/>
    <w:rsid w:val="003C0677"/>
    <w:rsid w:val="003C13ED"/>
    <w:rsid w:val="003C28F7"/>
    <w:rsid w:val="003C4024"/>
    <w:rsid w:val="003C415F"/>
    <w:rsid w:val="003C49BD"/>
    <w:rsid w:val="003C4DDD"/>
    <w:rsid w:val="003C5099"/>
    <w:rsid w:val="003C532C"/>
    <w:rsid w:val="003C7776"/>
    <w:rsid w:val="003D0936"/>
    <w:rsid w:val="003D1ED1"/>
    <w:rsid w:val="003D21E7"/>
    <w:rsid w:val="003D39A8"/>
    <w:rsid w:val="003D4B23"/>
    <w:rsid w:val="003D4DFF"/>
    <w:rsid w:val="003D536E"/>
    <w:rsid w:val="003D58DE"/>
    <w:rsid w:val="003D6631"/>
    <w:rsid w:val="003D78CC"/>
    <w:rsid w:val="003D7CA7"/>
    <w:rsid w:val="003E04D1"/>
    <w:rsid w:val="003E0AE3"/>
    <w:rsid w:val="003E1D1B"/>
    <w:rsid w:val="003E1D2E"/>
    <w:rsid w:val="003E1E61"/>
    <w:rsid w:val="003E3C1A"/>
    <w:rsid w:val="003E4780"/>
    <w:rsid w:val="003E668F"/>
    <w:rsid w:val="003E731B"/>
    <w:rsid w:val="003F0D11"/>
    <w:rsid w:val="003F0F50"/>
    <w:rsid w:val="003F15C0"/>
    <w:rsid w:val="003F185A"/>
    <w:rsid w:val="003F1BD3"/>
    <w:rsid w:val="003F33E4"/>
    <w:rsid w:val="003F4157"/>
    <w:rsid w:val="003F436E"/>
    <w:rsid w:val="003F4787"/>
    <w:rsid w:val="003F5B27"/>
    <w:rsid w:val="00400F5D"/>
    <w:rsid w:val="00401436"/>
    <w:rsid w:val="00403149"/>
    <w:rsid w:val="004040C6"/>
    <w:rsid w:val="00404BFC"/>
    <w:rsid w:val="00404C1B"/>
    <w:rsid w:val="004060EB"/>
    <w:rsid w:val="00406203"/>
    <w:rsid w:val="00406C4A"/>
    <w:rsid w:val="0041175E"/>
    <w:rsid w:val="00411AC6"/>
    <w:rsid w:val="00411B5C"/>
    <w:rsid w:val="00412EE1"/>
    <w:rsid w:val="00413A6E"/>
    <w:rsid w:val="00414336"/>
    <w:rsid w:val="0041498C"/>
    <w:rsid w:val="00415514"/>
    <w:rsid w:val="00420411"/>
    <w:rsid w:val="004215D1"/>
    <w:rsid w:val="00421EA1"/>
    <w:rsid w:val="00422740"/>
    <w:rsid w:val="004230AA"/>
    <w:rsid w:val="004234AD"/>
    <w:rsid w:val="00425F32"/>
    <w:rsid w:val="004261AD"/>
    <w:rsid w:val="00430366"/>
    <w:rsid w:val="00430F2D"/>
    <w:rsid w:val="0043200E"/>
    <w:rsid w:val="004322E4"/>
    <w:rsid w:val="00432679"/>
    <w:rsid w:val="00432D45"/>
    <w:rsid w:val="00434427"/>
    <w:rsid w:val="00434FCA"/>
    <w:rsid w:val="0044014E"/>
    <w:rsid w:val="0044121F"/>
    <w:rsid w:val="004413A8"/>
    <w:rsid w:val="004414C8"/>
    <w:rsid w:val="0044154B"/>
    <w:rsid w:val="00442FF6"/>
    <w:rsid w:val="00444FD1"/>
    <w:rsid w:val="00445462"/>
    <w:rsid w:val="00445B77"/>
    <w:rsid w:val="00446AF0"/>
    <w:rsid w:val="00446BBC"/>
    <w:rsid w:val="004502DB"/>
    <w:rsid w:val="00452C83"/>
    <w:rsid w:val="00453FE0"/>
    <w:rsid w:val="00454411"/>
    <w:rsid w:val="00455EA1"/>
    <w:rsid w:val="00460626"/>
    <w:rsid w:val="00460818"/>
    <w:rsid w:val="00461649"/>
    <w:rsid w:val="00464451"/>
    <w:rsid w:val="004646E6"/>
    <w:rsid w:val="00465110"/>
    <w:rsid w:val="0046753F"/>
    <w:rsid w:val="00467BBB"/>
    <w:rsid w:val="004706D1"/>
    <w:rsid w:val="00470C10"/>
    <w:rsid w:val="00471057"/>
    <w:rsid w:val="00471C28"/>
    <w:rsid w:val="0047293A"/>
    <w:rsid w:val="00473C21"/>
    <w:rsid w:val="00474D7A"/>
    <w:rsid w:val="00474D8D"/>
    <w:rsid w:val="00474F06"/>
    <w:rsid w:val="00476C04"/>
    <w:rsid w:val="00476D35"/>
    <w:rsid w:val="00477768"/>
    <w:rsid w:val="00483190"/>
    <w:rsid w:val="004839E9"/>
    <w:rsid w:val="00483D2D"/>
    <w:rsid w:val="004842C4"/>
    <w:rsid w:val="004844C7"/>
    <w:rsid w:val="00485F9F"/>
    <w:rsid w:val="00486B9F"/>
    <w:rsid w:val="00486F78"/>
    <w:rsid w:val="00487B5C"/>
    <w:rsid w:val="00490FEE"/>
    <w:rsid w:val="004919C1"/>
    <w:rsid w:val="00491E3E"/>
    <w:rsid w:val="00492CF1"/>
    <w:rsid w:val="004940C6"/>
    <w:rsid w:val="0049473A"/>
    <w:rsid w:val="00494D2F"/>
    <w:rsid w:val="00497589"/>
    <w:rsid w:val="004A0A6B"/>
    <w:rsid w:val="004A0B1A"/>
    <w:rsid w:val="004A132F"/>
    <w:rsid w:val="004A1FE1"/>
    <w:rsid w:val="004A2F14"/>
    <w:rsid w:val="004A380F"/>
    <w:rsid w:val="004A383F"/>
    <w:rsid w:val="004A3B99"/>
    <w:rsid w:val="004A3FF7"/>
    <w:rsid w:val="004A4CCF"/>
    <w:rsid w:val="004B0F26"/>
    <w:rsid w:val="004B173B"/>
    <w:rsid w:val="004B1A71"/>
    <w:rsid w:val="004B2007"/>
    <w:rsid w:val="004B208A"/>
    <w:rsid w:val="004B25D2"/>
    <w:rsid w:val="004B35DF"/>
    <w:rsid w:val="004B36D7"/>
    <w:rsid w:val="004B5DB8"/>
    <w:rsid w:val="004C0875"/>
    <w:rsid w:val="004C0DD3"/>
    <w:rsid w:val="004C1696"/>
    <w:rsid w:val="004C2D48"/>
    <w:rsid w:val="004C3212"/>
    <w:rsid w:val="004C6B48"/>
    <w:rsid w:val="004C70DD"/>
    <w:rsid w:val="004C767D"/>
    <w:rsid w:val="004C7D49"/>
    <w:rsid w:val="004D111F"/>
    <w:rsid w:val="004D3A07"/>
    <w:rsid w:val="004D489B"/>
    <w:rsid w:val="004D6644"/>
    <w:rsid w:val="004E36BA"/>
    <w:rsid w:val="004E60D1"/>
    <w:rsid w:val="004E69AD"/>
    <w:rsid w:val="004E75AC"/>
    <w:rsid w:val="004E7985"/>
    <w:rsid w:val="004F119B"/>
    <w:rsid w:val="004F240C"/>
    <w:rsid w:val="004F500F"/>
    <w:rsid w:val="004F66AB"/>
    <w:rsid w:val="004F7F27"/>
    <w:rsid w:val="00501485"/>
    <w:rsid w:val="00503579"/>
    <w:rsid w:val="00504C5F"/>
    <w:rsid w:val="00505619"/>
    <w:rsid w:val="00506652"/>
    <w:rsid w:val="0051198B"/>
    <w:rsid w:val="00512C83"/>
    <w:rsid w:val="0051424F"/>
    <w:rsid w:val="00514DC6"/>
    <w:rsid w:val="00521E0E"/>
    <w:rsid w:val="005226BB"/>
    <w:rsid w:val="005255EC"/>
    <w:rsid w:val="00527DEF"/>
    <w:rsid w:val="0053022B"/>
    <w:rsid w:val="00530B6E"/>
    <w:rsid w:val="00530F95"/>
    <w:rsid w:val="00532CDE"/>
    <w:rsid w:val="00532FA3"/>
    <w:rsid w:val="005330ED"/>
    <w:rsid w:val="005340CD"/>
    <w:rsid w:val="00534281"/>
    <w:rsid w:val="0053481D"/>
    <w:rsid w:val="00535EE7"/>
    <w:rsid w:val="00536E08"/>
    <w:rsid w:val="005370EA"/>
    <w:rsid w:val="0053789F"/>
    <w:rsid w:val="0054036C"/>
    <w:rsid w:val="00540716"/>
    <w:rsid w:val="005408AB"/>
    <w:rsid w:val="0054266D"/>
    <w:rsid w:val="00544475"/>
    <w:rsid w:val="00545F0F"/>
    <w:rsid w:val="00546E6A"/>
    <w:rsid w:val="00547904"/>
    <w:rsid w:val="005502F3"/>
    <w:rsid w:val="0055063B"/>
    <w:rsid w:val="00552690"/>
    <w:rsid w:val="00553BAB"/>
    <w:rsid w:val="00554D20"/>
    <w:rsid w:val="00555480"/>
    <w:rsid w:val="00560E8F"/>
    <w:rsid w:val="00563712"/>
    <w:rsid w:val="00563B3D"/>
    <w:rsid w:val="00563D8A"/>
    <w:rsid w:val="005653C0"/>
    <w:rsid w:val="0056662D"/>
    <w:rsid w:val="00566AEB"/>
    <w:rsid w:val="00567D7E"/>
    <w:rsid w:val="00571B3B"/>
    <w:rsid w:val="00571CEA"/>
    <w:rsid w:val="005723DD"/>
    <w:rsid w:val="005803F4"/>
    <w:rsid w:val="00584135"/>
    <w:rsid w:val="005851BE"/>
    <w:rsid w:val="00587FC5"/>
    <w:rsid w:val="0059128E"/>
    <w:rsid w:val="00591864"/>
    <w:rsid w:val="00593AE6"/>
    <w:rsid w:val="0059554D"/>
    <w:rsid w:val="005957A3"/>
    <w:rsid w:val="0059712E"/>
    <w:rsid w:val="00597B3E"/>
    <w:rsid w:val="005A028F"/>
    <w:rsid w:val="005A0704"/>
    <w:rsid w:val="005A0A72"/>
    <w:rsid w:val="005A1115"/>
    <w:rsid w:val="005A2C03"/>
    <w:rsid w:val="005A2FAC"/>
    <w:rsid w:val="005A373D"/>
    <w:rsid w:val="005A5B3B"/>
    <w:rsid w:val="005A67A4"/>
    <w:rsid w:val="005A6E57"/>
    <w:rsid w:val="005A6FF7"/>
    <w:rsid w:val="005A75A1"/>
    <w:rsid w:val="005B0780"/>
    <w:rsid w:val="005B0CB3"/>
    <w:rsid w:val="005B1193"/>
    <w:rsid w:val="005B250B"/>
    <w:rsid w:val="005B2D1A"/>
    <w:rsid w:val="005B5002"/>
    <w:rsid w:val="005B5BC4"/>
    <w:rsid w:val="005B75BA"/>
    <w:rsid w:val="005C01A3"/>
    <w:rsid w:val="005C089C"/>
    <w:rsid w:val="005C469C"/>
    <w:rsid w:val="005C5907"/>
    <w:rsid w:val="005C5AE9"/>
    <w:rsid w:val="005C60AA"/>
    <w:rsid w:val="005C62C9"/>
    <w:rsid w:val="005C7129"/>
    <w:rsid w:val="005C78F2"/>
    <w:rsid w:val="005C7F29"/>
    <w:rsid w:val="005D0532"/>
    <w:rsid w:val="005D0E74"/>
    <w:rsid w:val="005D1073"/>
    <w:rsid w:val="005D114A"/>
    <w:rsid w:val="005D23AD"/>
    <w:rsid w:val="005D2748"/>
    <w:rsid w:val="005D2956"/>
    <w:rsid w:val="005D3764"/>
    <w:rsid w:val="005D6642"/>
    <w:rsid w:val="005D7133"/>
    <w:rsid w:val="005D7756"/>
    <w:rsid w:val="005E0484"/>
    <w:rsid w:val="005E4519"/>
    <w:rsid w:val="005E488F"/>
    <w:rsid w:val="005E63B1"/>
    <w:rsid w:val="005E6747"/>
    <w:rsid w:val="005E77CB"/>
    <w:rsid w:val="005F12E8"/>
    <w:rsid w:val="005F1866"/>
    <w:rsid w:val="005F241D"/>
    <w:rsid w:val="005F41F5"/>
    <w:rsid w:val="005F5CA3"/>
    <w:rsid w:val="005F6742"/>
    <w:rsid w:val="005F7D81"/>
    <w:rsid w:val="00600518"/>
    <w:rsid w:val="006025C7"/>
    <w:rsid w:val="00603B35"/>
    <w:rsid w:val="006043D3"/>
    <w:rsid w:val="006101C6"/>
    <w:rsid w:val="00610B03"/>
    <w:rsid w:val="0061443B"/>
    <w:rsid w:val="006145D2"/>
    <w:rsid w:val="00614DF1"/>
    <w:rsid w:val="0061755A"/>
    <w:rsid w:val="006178B5"/>
    <w:rsid w:val="006231B3"/>
    <w:rsid w:val="00623E8A"/>
    <w:rsid w:val="00625A62"/>
    <w:rsid w:val="00625AB9"/>
    <w:rsid w:val="006305EC"/>
    <w:rsid w:val="0063177F"/>
    <w:rsid w:val="00631EE8"/>
    <w:rsid w:val="00632E45"/>
    <w:rsid w:val="0063386C"/>
    <w:rsid w:val="00633B9C"/>
    <w:rsid w:val="006356B0"/>
    <w:rsid w:val="00636138"/>
    <w:rsid w:val="006361C9"/>
    <w:rsid w:val="00636C17"/>
    <w:rsid w:val="00641AE4"/>
    <w:rsid w:val="00646739"/>
    <w:rsid w:val="00650342"/>
    <w:rsid w:val="00650A65"/>
    <w:rsid w:val="00650D75"/>
    <w:rsid w:val="00655858"/>
    <w:rsid w:val="006559B3"/>
    <w:rsid w:val="006574DE"/>
    <w:rsid w:val="00660821"/>
    <w:rsid w:val="0066092F"/>
    <w:rsid w:val="006628B6"/>
    <w:rsid w:val="00662FB3"/>
    <w:rsid w:val="00663A1C"/>
    <w:rsid w:val="00665EF8"/>
    <w:rsid w:val="00666A2D"/>
    <w:rsid w:val="006707BE"/>
    <w:rsid w:val="00671196"/>
    <w:rsid w:val="006712DC"/>
    <w:rsid w:val="00671622"/>
    <w:rsid w:val="00673E26"/>
    <w:rsid w:val="0067474E"/>
    <w:rsid w:val="00674833"/>
    <w:rsid w:val="00675820"/>
    <w:rsid w:val="0068058B"/>
    <w:rsid w:val="006808BE"/>
    <w:rsid w:val="00682313"/>
    <w:rsid w:val="00683064"/>
    <w:rsid w:val="006865F1"/>
    <w:rsid w:val="00686CF7"/>
    <w:rsid w:val="00686D2B"/>
    <w:rsid w:val="006870D2"/>
    <w:rsid w:val="00687550"/>
    <w:rsid w:val="006951E6"/>
    <w:rsid w:val="006970B7"/>
    <w:rsid w:val="00697856"/>
    <w:rsid w:val="006A07F4"/>
    <w:rsid w:val="006A0BC1"/>
    <w:rsid w:val="006A0C84"/>
    <w:rsid w:val="006A1441"/>
    <w:rsid w:val="006A16EC"/>
    <w:rsid w:val="006A17AA"/>
    <w:rsid w:val="006A3834"/>
    <w:rsid w:val="006A6384"/>
    <w:rsid w:val="006A6B12"/>
    <w:rsid w:val="006A76D6"/>
    <w:rsid w:val="006A7D6B"/>
    <w:rsid w:val="006B0506"/>
    <w:rsid w:val="006B06C8"/>
    <w:rsid w:val="006B106F"/>
    <w:rsid w:val="006B2B15"/>
    <w:rsid w:val="006B2C91"/>
    <w:rsid w:val="006B4712"/>
    <w:rsid w:val="006B4B35"/>
    <w:rsid w:val="006B7FF5"/>
    <w:rsid w:val="006C0834"/>
    <w:rsid w:val="006C1390"/>
    <w:rsid w:val="006C3614"/>
    <w:rsid w:val="006C3D22"/>
    <w:rsid w:val="006C4AC2"/>
    <w:rsid w:val="006C6610"/>
    <w:rsid w:val="006C6EDE"/>
    <w:rsid w:val="006C7CF4"/>
    <w:rsid w:val="006C7F4B"/>
    <w:rsid w:val="006D00BA"/>
    <w:rsid w:val="006D105A"/>
    <w:rsid w:val="006D191A"/>
    <w:rsid w:val="006D257E"/>
    <w:rsid w:val="006D313D"/>
    <w:rsid w:val="006D36B1"/>
    <w:rsid w:val="006D4145"/>
    <w:rsid w:val="006D41F1"/>
    <w:rsid w:val="006D7266"/>
    <w:rsid w:val="006D77FB"/>
    <w:rsid w:val="006D7D8A"/>
    <w:rsid w:val="006E1D44"/>
    <w:rsid w:val="006E20DA"/>
    <w:rsid w:val="006E2ABC"/>
    <w:rsid w:val="006E4F40"/>
    <w:rsid w:val="006E53E1"/>
    <w:rsid w:val="006E6AF1"/>
    <w:rsid w:val="006E72DC"/>
    <w:rsid w:val="006F0859"/>
    <w:rsid w:val="006F0888"/>
    <w:rsid w:val="006F0C13"/>
    <w:rsid w:val="006F11CB"/>
    <w:rsid w:val="006F191D"/>
    <w:rsid w:val="006F3688"/>
    <w:rsid w:val="006F51C7"/>
    <w:rsid w:val="006F5729"/>
    <w:rsid w:val="006F5EED"/>
    <w:rsid w:val="006F6D95"/>
    <w:rsid w:val="006F730D"/>
    <w:rsid w:val="006F75E2"/>
    <w:rsid w:val="006F7EAC"/>
    <w:rsid w:val="0070193C"/>
    <w:rsid w:val="00702ADD"/>
    <w:rsid w:val="00704C06"/>
    <w:rsid w:val="00705111"/>
    <w:rsid w:val="00705A65"/>
    <w:rsid w:val="00707147"/>
    <w:rsid w:val="00710E19"/>
    <w:rsid w:val="00710FDB"/>
    <w:rsid w:val="0071200D"/>
    <w:rsid w:val="00714E26"/>
    <w:rsid w:val="0071663E"/>
    <w:rsid w:val="007172AC"/>
    <w:rsid w:val="00721557"/>
    <w:rsid w:val="007229C3"/>
    <w:rsid w:val="00722C56"/>
    <w:rsid w:val="007248FA"/>
    <w:rsid w:val="00726728"/>
    <w:rsid w:val="00730636"/>
    <w:rsid w:val="007320B0"/>
    <w:rsid w:val="007321D3"/>
    <w:rsid w:val="00736370"/>
    <w:rsid w:val="00736BE3"/>
    <w:rsid w:val="00741B8C"/>
    <w:rsid w:val="00742CD3"/>
    <w:rsid w:val="00742E0F"/>
    <w:rsid w:val="00743233"/>
    <w:rsid w:val="00744390"/>
    <w:rsid w:val="00744678"/>
    <w:rsid w:val="00746C4B"/>
    <w:rsid w:val="00747F2B"/>
    <w:rsid w:val="007509EE"/>
    <w:rsid w:val="0075182F"/>
    <w:rsid w:val="0075288B"/>
    <w:rsid w:val="00752D04"/>
    <w:rsid w:val="00752DC2"/>
    <w:rsid w:val="0075585F"/>
    <w:rsid w:val="00760C80"/>
    <w:rsid w:val="00762953"/>
    <w:rsid w:val="00767F26"/>
    <w:rsid w:val="007700E3"/>
    <w:rsid w:val="00771BEB"/>
    <w:rsid w:val="007720E5"/>
    <w:rsid w:val="00772647"/>
    <w:rsid w:val="00773D7F"/>
    <w:rsid w:val="00781839"/>
    <w:rsid w:val="00784071"/>
    <w:rsid w:val="007862A4"/>
    <w:rsid w:val="00787040"/>
    <w:rsid w:val="007902D5"/>
    <w:rsid w:val="00792CDB"/>
    <w:rsid w:val="00793267"/>
    <w:rsid w:val="007959B0"/>
    <w:rsid w:val="0079668F"/>
    <w:rsid w:val="00796F29"/>
    <w:rsid w:val="00797DEA"/>
    <w:rsid w:val="007A17B8"/>
    <w:rsid w:val="007A21B2"/>
    <w:rsid w:val="007A266B"/>
    <w:rsid w:val="007A3433"/>
    <w:rsid w:val="007A391E"/>
    <w:rsid w:val="007A5A7F"/>
    <w:rsid w:val="007A61CF"/>
    <w:rsid w:val="007A6529"/>
    <w:rsid w:val="007A79BC"/>
    <w:rsid w:val="007B000E"/>
    <w:rsid w:val="007B32E2"/>
    <w:rsid w:val="007B400C"/>
    <w:rsid w:val="007B4912"/>
    <w:rsid w:val="007B7767"/>
    <w:rsid w:val="007B7EEA"/>
    <w:rsid w:val="007C1C81"/>
    <w:rsid w:val="007C2440"/>
    <w:rsid w:val="007C38DA"/>
    <w:rsid w:val="007C3A6E"/>
    <w:rsid w:val="007C4AFE"/>
    <w:rsid w:val="007C5506"/>
    <w:rsid w:val="007C56F3"/>
    <w:rsid w:val="007C5896"/>
    <w:rsid w:val="007C6586"/>
    <w:rsid w:val="007D4284"/>
    <w:rsid w:val="007D4A88"/>
    <w:rsid w:val="007D5FE7"/>
    <w:rsid w:val="007D64F9"/>
    <w:rsid w:val="007D7558"/>
    <w:rsid w:val="007D7F02"/>
    <w:rsid w:val="007E210A"/>
    <w:rsid w:val="007E3AF3"/>
    <w:rsid w:val="007E624A"/>
    <w:rsid w:val="007E6F21"/>
    <w:rsid w:val="007E77B8"/>
    <w:rsid w:val="007E7B6A"/>
    <w:rsid w:val="007E7EB9"/>
    <w:rsid w:val="007F33AE"/>
    <w:rsid w:val="007F349A"/>
    <w:rsid w:val="007F3B77"/>
    <w:rsid w:val="007F5A45"/>
    <w:rsid w:val="007F6991"/>
    <w:rsid w:val="007F775C"/>
    <w:rsid w:val="0080152F"/>
    <w:rsid w:val="008023C2"/>
    <w:rsid w:val="00805DC9"/>
    <w:rsid w:val="00807426"/>
    <w:rsid w:val="00810862"/>
    <w:rsid w:val="00811374"/>
    <w:rsid w:val="00811543"/>
    <w:rsid w:val="00813928"/>
    <w:rsid w:val="008146A2"/>
    <w:rsid w:val="008169C3"/>
    <w:rsid w:val="008205E0"/>
    <w:rsid w:val="00820EBF"/>
    <w:rsid w:val="008218F3"/>
    <w:rsid w:val="00821D0F"/>
    <w:rsid w:val="00821F91"/>
    <w:rsid w:val="0082244A"/>
    <w:rsid w:val="00826503"/>
    <w:rsid w:val="008266C8"/>
    <w:rsid w:val="00826DC7"/>
    <w:rsid w:val="00827472"/>
    <w:rsid w:val="00827BF8"/>
    <w:rsid w:val="00832F57"/>
    <w:rsid w:val="00833274"/>
    <w:rsid w:val="00833F01"/>
    <w:rsid w:val="00834F8F"/>
    <w:rsid w:val="0083543C"/>
    <w:rsid w:val="00835A2B"/>
    <w:rsid w:val="00836F43"/>
    <w:rsid w:val="00837636"/>
    <w:rsid w:val="00844310"/>
    <w:rsid w:val="0084697C"/>
    <w:rsid w:val="008474B3"/>
    <w:rsid w:val="00850111"/>
    <w:rsid w:val="00850C20"/>
    <w:rsid w:val="008511DB"/>
    <w:rsid w:val="00851342"/>
    <w:rsid w:val="00853500"/>
    <w:rsid w:val="00853D85"/>
    <w:rsid w:val="00855CE2"/>
    <w:rsid w:val="00863CFF"/>
    <w:rsid w:val="00863D8C"/>
    <w:rsid w:val="00865BED"/>
    <w:rsid w:val="00866659"/>
    <w:rsid w:val="00867655"/>
    <w:rsid w:val="00870A78"/>
    <w:rsid w:val="00871B9F"/>
    <w:rsid w:val="00872910"/>
    <w:rsid w:val="00873085"/>
    <w:rsid w:val="008747C4"/>
    <w:rsid w:val="00874E23"/>
    <w:rsid w:val="00875CDC"/>
    <w:rsid w:val="008766E9"/>
    <w:rsid w:val="00876BFF"/>
    <w:rsid w:val="00881FCF"/>
    <w:rsid w:val="00882CFB"/>
    <w:rsid w:val="008837CB"/>
    <w:rsid w:val="00885AEA"/>
    <w:rsid w:val="00886A60"/>
    <w:rsid w:val="00890E72"/>
    <w:rsid w:val="00892915"/>
    <w:rsid w:val="00893B02"/>
    <w:rsid w:val="008976BF"/>
    <w:rsid w:val="008A018A"/>
    <w:rsid w:val="008A0FB0"/>
    <w:rsid w:val="008A114C"/>
    <w:rsid w:val="008A13AF"/>
    <w:rsid w:val="008A1E5D"/>
    <w:rsid w:val="008A22D2"/>
    <w:rsid w:val="008A415D"/>
    <w:rsid w:val="008A53D4"/>
    <w:rsid w:val="008A56DC"/>
    <w:rsid w:val="008A6A41"/>
    <w:rsid w:val="008A6AE1"/>
    <w:rsid w:val="008A6B72"/>
    <w:rsid w:val="008A71EC"/>
    <w:rsid w:val="008B1388"/>
    <w:rsid w:val="008B3F11"/>
    <w:rsid w:val="008B4054"/>
    <w:rsid w:val="008B470C"/>
    <w:rsid w:val="008B4D45"/>
    <w:rsid w:val="008B582B"/>
    <w:rsid w:val="008B5E33"/>
    <w:rsid w:val="008B697C"/>
    <w:rsid w:val="008B7584"/>
    <w:rsid w:val="008B7C77"/>
    <w:rsid w:val="008C071B"/>
    <w:rsid w:val="008C0D73"/>
    <w:rsid w:val="008C1800"/>
    <w:rsid w:val="008C65B0"/>
    <w:rsid w:val="008C6E55"/>
    <w:rsid w:val="008D03AC"/>
    <w:rsid w:val="008D1740"/>
    <w:rsid w:val="008D2294"/>
    <w:rsid w:val="008D4247"/>
    <w:rsid w:val="008D429A"/>
    <w:rsid w:val="008D4E21"/>
    <w:rsid w:val="008D5156"/>
    <w:rsid w:val="008D51BF"/>
    <w:rsid w:val="008D5B0E"/>
    <w:rsid w:val="008D5B66"/>
    <w:rsid w:val="008E1148"/>
    <w:rsid w:val="008E3839"/>
    <w:rsid w:val="008E611D"/>
    <w:rsid w:val="008E687A"/>
    <w:rsid w:val="008E7B91"/>
    <w:rsid w:val="008F04C0"/>
    <w:rsid w:val="008F0771"/>
    <w:rsid w:val="008F0EB9"/>
    <w:rsid w:val="008F2DC4"/>
    <w:rsid w:val="008F3415"/>
    <w:rsid w:val="008F430A"/>
    <w:rsid w:val="008F57AE"/>
    <w:rsid w:val="008F5EA9"/>
    <w:rsid w:val="008F65ED"/>
    <w:rsid w:val="008F6D6E"/>
    <w:rsid w:val="008F7B71"/>
    <w:rsid w:val="00900318"/>
    <w:rsid w:val="009007C7"/>
    <w:rsid w:val="00902A8F"/>
    <w:rsid w:val="009036F2"/>
    <w:rsid w:val="00903D7B"/>
    <w:rsid w:val="00904702"/>
    <w:rsid w:val="00904E5F"/>
    <w:rsid w:val="00905415"/>
    <w:rsid w:val="009054F5"/>
    <w:rsid w:val="00906B50"/>
    <w:rsid w:val="00907ED4"/>
    <w:rsid w:val="009101B8"/>
    <w:rsid w:val="009103CD"/>
    <w:rsid w:val="009112DE"/>
    <w:rsid w:val="00913131"/>
    <w:rsid w:val="00916D03"/>
    <w:rsid w:val="009202C0"/>
    <w:rsid w:val="00920F07"/>
    <w:rsid w:val="0092161C"/>
    <w:rsid w:val="00923384"/>
    <w:rsid w:val="009238F7"/>
    <w:rsid w:val="009239AE"/>
    <w:rsid w:val="00923A29"/>
    <w:rsid w:val="0092449F"/>
    <w:rsid w:val="00924537"/>
    <w:rsid w:val="009248CB"/>
    <w:rsid w:val="00924932"/>
    <w:rsid w:val="00925019"/>
    <w:rsid w:val="009257FB"/>
    <w:rsid w:val="0092661D"/>
    <w:rsid w:val="0092698E"/>
    <w:rsid w:val="0093004B"/>
    <w:rsid w:val="009303BD"/>
    <w:rsid w:val="00931705"/>
    <w:rsid w:val="009319B9"/>
    <w:rsid w:val="00932C36"/>
    <w:rsid w:val="00932EC4"/>
    <w:rsid w:val="009348B7"/>
    <w:rsid w:val="0093568B"/>
    <w:rsid w:val="00937D71"/>
    <w:rsid w:val="009414A9"/>
    <w:rsid w:val="009431CA"/>
    <w:rsid w:val="00943C73"/>
    <w:rsid w:val="009452DA"/>
    <w:rsid w:val="00950A46"/>
    <w:rsid w:val="0095345F"/>
    <w:rsid w:val="0095437F"/>
    <w:rsid w:val="00954399"/>
    <w:rsid w:val="00956ECC"/>
    <w:rsid w:val="00962143"/>
    <w:rsid w:val="00963AA2"/>
    <w:rsid w:val="00963C72"/>
    <w:rsid w:val="009651FB"/>
    <w:rsid w:val="00965B9B"/>
    <w:rsid w:val="00966988"/>
    <w:rsid w:val="00966A81"/>
    <w:rsid w:val="009671F3"/>
    <w:rsid w:val="009703F4"/>
    <w:rsid w:val="009718BA"/>
    <w:rsid w:val="00972146"/>
    <w:rsid w:val="00972E2B"/>
    <w:rsid w:val="00973208"/>
    <w:rsid w:val="00973781"/>
    <w:rsid w:val="0097426C"/>
    <w:rsid w:val="00976379"/>
    <w:rsid w:val="009779A8"/>
    <w:rsid w:val="0098015A"/>
    <w:rsid w:val="009804E0"/>
    <w:rsid w:val="00980EE5"/>
    <w:rsid w:val="009815BE"/>
    <w:rsid w:val="0098171E"/>
    <w:rsid w:val="00984CDA"/>
    <w:rsid w:val="00991FDF"/>
    <w:rsid w:val="009928C1"/>
    <w:rsid w:val="00993CF2"/>
    <w:rsid w:val="00995504"/>
    <w:rsid w:val="0099658D"/>
    <w:rsid w:val="00997114"/>
    <w:rsid w:val="00997BF3"/>
    <w:rsid w:val="00997DE5"/>
    <w:rsid w:val="009A037E"/>
    <w:rsid w:val="009A0726"/>
    <w:rsid w:val="009A08D3"/>
    <w:rsid w:val="009A1B7A"/>
    <w:rsid w:val="009A2EDA"/>
    <w:rsid w:val="009A48B5"/>
    <w:rsid w:val="009A67F2"/>
    <w:rsid w:val="009B0AAF"/>
    <w:rsid w:val="009B1041"/>
    <w:rsid w:val="009B11E5"/>
    <w:rsid w:val="009B215D"/>
    <w:rsid w:val="009B2FBE"/>
    <w:rsid w:val="009B53E1"/>
    <w:rsid w:val="009B55A1"/>
    <w:rsid w:val="009B736E"/>
    <w:rsid w:val="009B73BE"/>
    <w:rsid w:val="009C2933"/>
    <w:rsid w:val="009C2BFB"/>
    <w:rsid w:val="009C31DF"/>
    <w:rsid w:val="009C336B"/>
    <w:rsid w:val="009C4F03"/>
    <w:rsid w:val="009C776C"/>
    <w:rsid w:val="009C7D5F"/>
    <w:rsid w:val="009D2144"/>
    <w:rsid w:val="009D3A5C"/>
    <w:rsid w:val="009D4291"/>
    <w:rsid w:val="009D49CD"/>
    <w:rsid w:val="009D6C85"/>
    <w:rsid w:val="009D7F92"/>
    <w:rsid w:val="009E004A"/>
    <w:rsid w:val="009E1D1F"/>
    <w:rsid w:val="009E469D"/>
    <w:rsid w:val="009E55A8"/>
    <w:rsid w:val="009E61CE"/>
    <w:rsid w:val="009E66BC"/>
    <w:rsid w:val="009E793C"/>
    <w:rsid w:val="009F159A"/>
    <w:rsid w:val="009F1DF3"/>
    <w:rsid w:val="009F241B"/>
    <w:rsid w:val="009F28A6"/>
    <w:rsid w:val="009F384A"/>
    <w:rsid w:val="009F5AA6"/>
    <w:rsid w:val="009F5F88"/>
    <w:rsid w:val="009F6F87"/>
    <w:rsid w:val="009F734C"/>
    <w:rsid w:val="00A00307"/>
    <w:rsid w:val="00A00A26"/>
    <w:rsid w:val="00A02111"/>
    <w:rsid w:val="00A0693B"/>
    <w:rsid w:val="00A06DDC"/>
    <w:rsid w:val="00A11D90"/>
    <w:rsid w:val="00A13723"/>
    <w:rsid w:val="00A13B34"/>
    <w:rsid w:val="00A13C32"/>
    <w:rsid w:val="00A14531"/>
    <w:rsid w:val="00A14B11"/>
    <w:rsid w:val="00A15C51"/>
    <w:rsid w:val="00A17274"/>
    <w:rsid w:val="00A179AB"/>
    <w:rsid w:val="00A20ECF"/>
    <w:rsid w:val="00A21768"/>
    <w:rsid w:val="00A242DD"/>
    <w:rsid w:val="00A24789"/>
    <w:rsid w:val="00A256A6"/>
    <w:rsid w:val="00A26026"/>
    <w:rsid w:val="00A265D9"/>
    <w:rsid w:val="00A26E3C"/>
    <w:rsid w:val="00A30929"/>
    <w:rsid w:val="00A30AAE"/>
    <w:rsid w:val="00A3126F"/>
    <w:rsid w:val="00A32C13"/>
    <w:rsid w:val="00A35583"/>
    <w:rsid w:val="00A36409"/>
    <w:rsid w:val="00A378CF"/>
    <w:rsid w:val="00A4084B"/>
    <w:rsid w:val="00A40972"/>
    <w:rsid w:val="00A417F5"/>
    <w:rsid w:val="00A41B0A"/>
    <w:rsid w:val="00A41E29"/>
    <w:rsid w:val="00A42453"/>
    <w:rsid w:val="00A42B7C"/>
    <w:rsid w:val="00A42F61"/>
    <w:rsid w:val="00A43BCF"/>
    <w:rsid w:val="00A44BB0"/>
    <w:rsid w:val="00A4533D"/>
    <w:rsid w:val="00A5031C"/>
    <w:rsid w:val="00A51DF4"/>
    <w:rsid w:val="00A560D3"/>
    <w:rsid w:val="00A5773B"/>
    <w:rsid w:val="00A57A64"/>
    <w:rsid w:val="00A609E5"/>
    <w:rsid w:val="00A61162"/>
    <w:rsid w:val="00A6289D"/>
    <w:rsid w:val="00A63D27"/>
    <w:rsid w:val="00A648F2"/>
    <w:rsid w:val="00A64A63"/>
    <w:rsid w:val="00A6519A"/>
    <w:rsid w:val="00A66F6E"/>
    <w:rsid w:val="00A66FD7"/>
    <w:rsid w:val="00A67A14"/>
    <w:rsid w:val="00A70AD6"/>
    <w:rsid w:val="00A71AB5"/>
    <w:rsid w:val="00A71D4D"/>
    <w:rsid w:val="00A72A28"/>
    <w:rsid w:val="00A72A2B"/>
    <w:rsid w:val="00A73B06"/>
    <w:rsid w:val="00A73BDC"/>
    <w:rsid w:val="00A7417E"/>
    <w:rsid w:val="00A7567E"/>
    <w:rsid w:val="00A76B3F"/>
    <w:rsid w:val="00A76C43"/>
    <w:rsid w:val="00A8185F"/>
    <w:rsid w:val="00A819B5"/>
    <w:rsid w:val="00A8439F"/>
    <w:rsid w:val="00A85798"/>
    <w:rsid w:val="00A85B90"/>
    <w:rsid w:val="00A8690D"/>
    <w:rsid w:val="00A869E1"/>
    <w:rsid w:val="00A86A33"/>
    <w:rsid w:val="00A86D3B"/>
    <w:rsid w:val="00A86E8A"/>
    <w:rsid w:val="00A872E6"/>
    <w:rsid w:val="00A87A6E"/>
    <w:rsid w:val="00A90B6D"/>
    <w:rsid w:val="00A93F1F"/>
    <w:rsid w:val="00A94401"/>
    <w:rsid w:val="00A9719B"/>
    <w:rsid w:val="00AA1073"/>
    <w:rsid w:val="00AA144D"/>
    <w:rsid w:val="00AA1833"/>
    <w:rsid w:val="00AA4325"/>
    <w:rsid w:val="00AA5A7B"/>
    <w:rsid w:val="00AA7825"/>
    <w:rsid w:val="00AB0783"/>
    <w:rsid w:val="00AB14CE"/>
    <w:rsid w:val="00AB16AB"/>
    <w:rsid w:val="00AB236D"/>
    <w:rsid w:val="00AB23A8"/>
    <w:rsid w:val="00AB29D6"/>
    <w:rsid w:val="00AB5A2F"/>
    <w:rsid w:val="00AC1EFE"/>
    <w:rsid w:val="00AC3C21"/>
    <w:rsid w:val="00AC3C26"/>
    <w:rsid w:val="00AC46E1"/>
    <w:rsid w:val="00AC4905"/>
    <w:rsid w:val="00AC4F69"/>
    <w:rsid w:val="00AC547B"/>
    <w:rsid w:val="00AC739B"/>
    <w:rsid w:val="00AD0108"/>
    <w:rsid w:val="00AD02E5"/>
    <w:rsid w:val="00AD098F"/>
    <w:rsid w:val="00AD0C79"/>
    <w:rsid w:val="00AD1430"/>
    <w:rsid w:val="00AD2502"/>
    <w:rsid w:val="00AD3DBB"/>
    <w:rsid w:val="00AD46F5"/>
    <w:rsid w:val="00AD5902"/>
    <w:rsid w:val="00AD5B8D"/>
    <w:rsid w:val="00AD6B5F"/>
    <w:rsid w:val="00AD6FDB"/>
    <w:rsid w:val="00AD7CA7"/>
    <w:rsid w:val="00AE1266"/>
    <w:rsid w:val="00AE17A9"/>
    <w:rsid w:val="00AE1C09"/>
    <w:rsid w:val="00AE1C0A"/>
    <w:rsid w:val="00AE1F75"/>
    <w:rsid w:val="00AE255E"/>
    <w:rsid w:val="00AE2C00"/>
    <w:rsid w:val="00AE3B93"/>
    <w:rsid w:val="00AE3D91"/>
    <w:rsid w:val="00AE3DF2"/>
    <w:rsid w:val="00AE4A72"/>
    <w:rsid w:val="00AE4EDE"/>
    <w:rsid w:val="00AE5285"/>
    <w:rsid w:val="00AE5660"/>
    <w:rsid w:val="00AF0A25"/>
    <w:rsid w:val="00AF0CF4"/>
    <w:rsid w:val="00AF2CA7"/>
    <w:rsid w:val="00AF3436"/>
    <w:rsid w:val="00AF3942"/>
    <w:rsid w:val="00AF49A4"/>
    <w:rsid w:val="00AF59CC"/>
    <w:rsid w:val="00AF6814"/>
    <w:rsid w:val="00AF7D55"/>
    <w:rsid w:val="00B007AB"/>
    <w:rsid w:val="00B032AE"/>
    <w:rsid w:val="00B04D72"/>
    <w:rsid w:val="00B06057"/>
    <w:rsid w:val="00B107D2"/>
    <w:rsid w:val="00B10B0F"/>
    <w:rsid w:val="00B10D22"/>
    <w:rsid w:val="00B1135F"/>
    <w:rsid w:val="00B11556"/>
    <w:rsid w:val="00B11ECB"/>
    <w:rsid w:val="00B124C9"/>
    <w:rsid w:val="00B12521"/>
    <w:rsid w:val="00B12F23"/>
    <w:rsid w:val="00B12F5E"/>
    <w:rsid w:val="00B12F89"/>
    <w:rsid w:val="00B12FFD"/>
    <w:rsid w:val="00B13058"/>
    <w:rsid w:val="00B13C1D"/>
    <w:rsid w:val="00B13DB5"/>
    <w:rsid w:val="00B149A0"/>
    <w:rsid w:val="00B16788"/>
    <w:rsid w:val="00B17A57"/>
    <w:rsid w:val="00B17FE4"/>
    <w:rsid w:val="00B200C9"/>
    <w:rsid w:val="00B2059A"/>
    <w:rsid w:val="00B20CB8"/>
    <w:rsid w:val="00B22D26"/>
    <w:rsid w:val="00B23CD3"/>
    <w:rsid w:val="00B243C0"/>
    <w:rsid w:val="00B2640F"/>
    <w:rsid w:val="00B26D5B"/>
    <w:rsid w:val="00B27650"/>
    <w:rsid w:val="00B27796"/>
    <w:rsid w:val="00B302F9"/>
    <w:rsid w:val="00B30EA8"/>
    <w:rsid w:val="00B314F0"/>
    <w:rsid w:val="00B32757"/>
    <w:rsid w:val="00B336B8"/>
    <w:rsid w:val="00B33D49"/>
    <w:rsid w:val="00B3443D"/>
    <w:rsid w:val="00B3534A"/>
    <w:rsid w:val="00B35674"/>
    <w:rsid w:val="00B35D24"/>
    <w:rsid w:val="00B375C1"/>
    <w:rsid w:val="00B37D76"/>
    <w:rsid w:val="00B40584"/>
    <w:rsid w:val="00B412DB"/>
    <w:rsid w:val="00B41419"/>
    <w:rsid w:val="00B425CF"/>
    <w:rsid w:val="00B439AC"/>
    <w:rsid w:val="00B445EC"/>
    <w:rsid w:val="00B44C44"/>
    <w:rsid w:val="00B4649E"/>
    <w:rsid w:val="00B50DAB"/>
    <w:rsid w:val="00B512F7"/>
    <w:rsid w:val="00B51F62"/>
    <w:rsid w:val="00B522AF"/>
    <w:rsid w:val="00B52660"/>
    <w:rsid w:val="00B53D87"/>
    <w:rsid w:val="00B544DC"/>
    <w:rsid w:val="00B56981"/>
    <w:rsid w:val="00B56C99"/>
    <w:rsid w:val="00B57B99"/>
    <w:rsid w:val="00B57BBE"/>
    <w:rsid w:val="00B60C20"/>
    <w:rsid w:val="00B61BBC"/>
    <w:rsid w:val="00B6367A"/>
    <w:rsid w:val="00B63C4C"/>
    <w:rsid w:val="00B64058"/>
    <w:rsid w:val="00B64B6C"/>
    <w:rsid w:val="00B6685A"/>
    <w:rsid w:val="00B67C42"/>
    <w:rsid w:val="00B67EE4"/>
    <w:rsid w:val="00B67F5B"/>
    <w:rsid w:val="00B717AE"/>
    <w:rsid w:val="00B721A8"/>
    <w:rsid w:val="00B72576"/>
    <w:rsid w:val="00B72AFA"/>
    <w:rsid w:val="00B74127"/>
    <w:rsid w:val="00B774B9"/>
    <w:rsid w:val="00B80720"/>
    <w:rsid w:val="00B80A22"/>
    <w:rsid w:val="00B812B5"/>
    <w:rsid w:val="00B83800"/>
    <w:rsid w:val="00B84509"/>
    <w:rsid w:val="00B85592"/>
    <w:rsid w:val="00B87B1C"/>
    <w:rsid w:val="00B87ECD"/>
    <w:rsid w:val="00B906C0"/>
    <w:rsid w:val="00B91550"/>
    <w:rsid w:val="00B929D7"/>
    <w:rsid w:val="00B95E4E"/>
    <w:rsid w:val="00B95E85"/>
    <w:rsid w:val="00B96559"/>
    <w:rsid w:val="00B96ECE"/>
    <w:rsid w:val="00B973C8"/>
    <w:rsid w:val="00B97880"/>
    <w:rsid w:val="00BA0F8D"/>
    <w:rsid w:val="00BA19C5"/>
    <w:rsid w:val="00BA1DEF"/>
    <w:rsid w:val="00BA1F47"/>
    <w:rsid w:val="00BA2291"/>
    <w:rsid w:val="00BA2E18"/>
    <w:rsid w:val="00BA4A4F"/>
    <w:rsid w:val="00BA518E"/>
    <w:rsid w:val="00BA5ADD"/>
    <w:rsid w:val="00BA69D5"/>
    <w:rsid w:val="00BA6DB5"/>
    <w:rsid w:val="00BB0789"/>
    <w:rsid w:val="00BB0B39"/>
    <w:rsid w:val="00BB103D"/>
    <w:rsid w:val="00BB24C7"/>
    <w:rsid w:val="00BB2B7E"/>
    <w:rsid w:val="00BB2C78"/>
    <w:rsid w:val="00BB2E26"/>
    <w:rsid w:val="00BB5142"/>
    <w:rsid w:val="00BB665E"/>
    <w:rsid w:val="00BC0091"/>
    <w:rsid w:val="00BC2031"/>
    <w:rsid w:val="00BC212A"/>
    <w:rsid w:val="00BC289D"/>
    <w:rsid w:val="00BC39E2"/>
    <w:rsid w:val="00BC4C61"/>
    <w:rsid w:val="00BC5845"/>
    <w:rsid w:val="00BC5B43"/>
    <w:rsid w:val="00BC5BB4"/>
    <w:rsid w:val="00BC6048"/>
    <w:rsid w:val="00BD0132"/>
    <w:rsid w:val="00BD025B"/>
    <w:rsid w:val="00BD103A"/>
    <w:rsid w:val="00BD2CB1"/>
    <w:rsid w:val="00BD39BF"/>
    <w:rsid w:val="00BD3B6E"/>
    <w:rsid w:val="00BD494E"/>
    <w:rsid w:val="00BD4E5D"/>
    <w:rsid w:val="00BD5996"/>
    <w:rsid w:val="00BD6401"/>
    <w:rsid w:val="00BD770D"/>
    <w:rsid w:val="00BD7D6E"/>
    <w:rsid w:val="00BE1437"/>
    <w:rsid w:val="00BE14F0"/>
    <w:rsid w:val="00BE1877"/>
    <w:rsid w:val="00BE27E3"/>
    <w:rsid w:val="00BE29A2"/>
    <w:rsid w:val="00BE6D50"/>
    <w:rsid w:val="00BE7515"/>
    <w:rsid w:val="00BF0203"/>
    <w:rsid w:val="00BF2C15"/>
    <w:rsid w:val="00BF4E92"/>
    <w:rsid w:val="00BF5908"/>
    <w:rsid w:val="00BF5A1B"/>
    <w:rsid w:val="00BF5A29"/>
    <w:rsid w:val="00BF68E6"/>
    <w:rsid w:val="00C01907"/>
    <w:rsid w:val="00C03287"/>
    <w:rsid w:val="00C049F5"/>
    <w:rsid w:val="00C05184"/>
    <w:rsid w:val="00C05F51"/>
    <w:rsid w:val="00C07535"/>
    <w:rsid w:val="00C076DA"/>
    <w:rsid w:val="00C10ABD"/>
    <w:rsid w:val="00C11247"/>
    <w:rsid w:val="00C11DCF"/>
    <w:rsid w:val="00C15222"/>
    <w:rsid w:val="00C17207"/>
    <w:rsid w:val="00C20CC0"/>
    <w:rsid w:val="00C20E6C"/>
    <w:rsid w:val="00C21B57"/>
    <w:rsid w:val="00C238B6"/>
    <w:rsid w:val="00C2525B"/>
    <w:rsid w:val="00C254CA"/>
    <w:rsid w:val="00C26280"/>
    <w:rsid w:val="00C327C8"/>
    <w:rsid w:val="00C32951"/>
    <w:rsid w:val="00C33AD7"/>
    <w:rsid w:val="00C34353"/>
    <w:rsid w:val="00C34903"/>
    <w:rsid w:val="00C351AB"/>
    <w:rsid w:val="00C37164"/>
    <w:rsid w:val="00C400EC"/>
    <w:rsid w:val="00C42647"/>
    <w:rsid w:val="00C43559"/>
    <w:rsid w:val="00C47C62"/>
    <w:rsid w:val="00C5052E"/>
    <w:rsid w:val="00C5322D"/>
    <w:rsid w:val="00C551A8"/>
    <w:rsid w:val="00C566C4"/>
    <w:rsid w:val="00C56908"/>
    <w:rsid w:val="00C60A45"/>
    <w:rsid w:val="00C61503"/>
    <w:rsid w:val="00C637A7"/>
    <w:rsid w:val="00C63B38"/>
    <w:rsid w:val="00C647E7"/>
    <w:rsid w:val="00C64D78"/>
    <w:rsid w:val="00C659CE"/>
    <w:rsid w:val="00C65D07"/>
    <w:rsid w:val="00C6672A"/>
    <w:rsid w:val="00C6678E"/>
    <w:rsid w:val="00C676A5"/>
    <w:rsid w:val="00C7143D"/>
    <w:rsid w:val="00C718D2"/>
    <w:rsid w:val="00C7215F"/>
    <w:rsid w:val="00C7286B"/>
    <w:rsid w:val="00C72A27"/>
    <w:rsid w:val="00C732C1"/>
    <w:rsid w:val="00C74622"/>
    <w:rsid w:val="00C7553D"/>
    <w:rsid w:val="00C7610F"/>
    <w:rsid w:val="00C76DC1"/>
    <w:rsid w:val="00C81FEB"/>
    <w:rsid w:val="00C82351"/>
    <w:rsid w:val="00C82A60"/>
    <w:rsid w:val="00C82CF5"/>
    <w:rsid w:val="00C87079"/>
    <w:rsid w:val="00C9016C"/>
    <w:rsid w:val="00C90753"/>
    <w:rsid w:val="00C91318"/>
    <w:rsid w:val="00C9275B"/>
    <w:rsid w:val="00C93277"/>
    <w:rsid w:val="00C934BB"/>
    <w:rsid w:val="00C94260"/>
    <w:rsid w:val="00C94D81"/>
    <w:rsid w:val="00C954DA"/>
    <w:rsid w:val="00C9675C"/>
    <w:rsid w:val="00C97F32"/>
    <w:rsid w:val="00CA0F14"/>
    <w:rsid w:val="00CA44C6"/>
    <w:rsid w:val="00CA59EC"/>
    <w:rsid w:val="00CA5C61"/>
    <w:rsid w:val="00CB05CC"/>
    <w:rsid w:val="00CB22AA"/>
    <w:rsid w:val="00CB36FE"/>
    <w:rsid w:val="00CB37B2"/>
    <w:rsid w:val="00CB3928"/>
    <w:rsid w:val="00CB3BF8"/>
    <w:rsid w:val="00CB4043"/>
    <w:rsid w:val="00CB7B49"/>
    <w:rsid w:val="00CC062E"/>
    <w:rsid w:val="00CC29C4"/>
    <w:rsid w:val="00CC4582"/>
    <w:rsid w:val="00CC7E2C"/>
    <w:rsid w:val="00CD03E3"/>
    <w:rsid w:val="00CD1993"/>
    <w:rsid w:val="00CD4942"/>
    <w:rsid w:val="00CD5916"/>
    <w:rsid w:val="00CD7158"/>
    <w:rsid w:val="00CD73DC"/>
    <w:rsid w:val="00CE1627"/>
    <w:rsid w:val="00CE324A"/>
    <w:rsid w:val="00CE613F"/>
    <w:rsid w:val="00CE6612"/>
    <w:rsid w:val="00CE7A28"/>
    <w:rsid w:val="00CF072E"/>
    <w:rsid w:val="00CF098A"/>
    <w:rsid w:val="00CF0C7E"/>
    <w:rsid w:val="00CF11E9"/>
    <w:rsid w:val="00CF1389"/>
    <w:rsid w:val="00CF1D37"/>
    <w:rsid w:val="00CF3549"/>
    <w:rsid w:val="00CF36C6"/>
    <w:rsid w:val="00CF472A"/>
    <w:rsid w:val="00CF50EC"/>
    <w:rsid w:val="00CF6002"/>
    <w:rsid w:val="00CF7A9B"/>
    <w:rsid w:val="00CF7F6A"/>
    <w:rsid w:val="00D0073D"/>
    <w:rsid w:val="00D0296E"/>
    <w:rsid w:val="00D02F30"/>
    <w:rsid w:val="00D04224"/>
    <w:rsid w:val="00D04B8E"/>
    <w:rsid w:val="00D069C1"/>
    <w:rsid w:val="00D10183"/>
    <w:rsid w:val="00D10358"/>
    <w:rsid w:val="00D11897"/>
    <w:rsid w:val="00D12B19"/>
    <w:rsid w:val="00D12E4D"/>
    <w:rsid w:val="00D1483B"/>
    <w:rsid w:val="00D1490A"/>
    <w:rsid w:val="00D14A28"/>
    <w:rsid w:val="00D16D8E"/>
    <w:rsid w:val="00D17CEA"/>
    <w:rsid w:val="00D2091A"/>
    <w:rsid w:val="00D22E92"/>
    <w:rsid w:val="00D24D6D"/>
    <w:rsid w:val="00D262C3"/>
    <w:rsid w:val="00D27820"/>
    <w:rsid w:val="00D30CEE"/>
    <w:rsid w:val="00D32D67"/>
    <w:rsid w:val="00D32E18"/>
    <w:rsid w:val="00D337A2"/>
    <w:rsid w:val="00D33909"/>
    <w:rsid w:val="00D33CA6"/>
    <w:rsid w:val="00D33D9E"/>
    <w:rsid w:val="00D33FD5"/>
    <w:rsid w:val="00D33FFA"/>
    <w:rsid w:val="00D3410F"/>
    <w:rsid w:val="00D341AD"/>
    <w:rsid w:val="00D34FEB"/>
    <w:rsid w:val="00D35540"/>
    <w:rsid w:val="00D358E4"/>
    <w:rsid w:val="00D36180"/>
    <w:rsid w:val="00D36E89"/>
    <w:rsid w:val="00D375E4"/>
    <w:rsid w:val="00D37BDE"/>
    <w:rsid w:val="00D41B87"/>
    <w:rsid w:val="00D41FD9"/>
    <w:rsid w:val="00D42B0E"/>
    <w:rsid w:val="00D43294"/>
    <w:rsid w:val="00D4345E"/>
    <w:rsid w:val="00D43E8E"/>
    <w:rsid w:val="00D4417F"/>
    <w:rsid w:val="00D44CBB"/>
    <w:rsid w:val="00D45772"/>
    <w:rsid w:val="00D46C4E"/>
    <w:rsid w:val="00D52EE8"/>
    <w:rsid w:val="00D55367"/>
    <w:rsid w:val="00D560FF"/>
    <w:rsid w:val="00D56AC0"/>
    <w:rsid w:val="00D578A8"/>
    <w:rsid w:val="00D60965"/>
    <w:rsid w:val="00D624AD"/>
    <w:rsid w:val="00D65008"/>
    <w:rsid w:val="00D650F0"/>
    <w:rsid w:val="00D66142"/>
    <w:rsid w:val="00D66648"/>
    <w:rsid w:val="00D66CD5"/>
    <w:rsid w:val="00D705F9"/>
    <w:rsid w:val="00D7084A"/>
    <w:rsid w:val="00D73AFE"/>
    <w:rsid w:val="00D741AD"/>
    <w:rsid w:val="00D755CD"/>
    <w:rsid w:val="00D758D4"/>
    <w:rsid w:val="00D77281"/>
    <w:rsid w:val="00D773E0"/>
    <w:rsid w:val="00D777D7"/>
    <w:rsid w:val="00D778F7"/>
    <w:rsid w:val="00D779D9"/>
    <w:rsid w:val="00D82B57"/>
    <w:rsid w:val="00D82E03"/>
    <w:rsid w:val="00D83E92"/>
    <w:rsid w:val="00D915B0"/>
    <w:rsid w:val="00D924D6"/>
    <w:rsid w:val="00D92835"/>
    <w:rsid w:val="00D92DEF"/>
    <w:rsid w:val="00D93087"/>
    <w:rsid w:val="00D93169"/>
    <w:rsid w:val="00D939CD"/>
    <w:rsid w:val="00D93E0B"/>
    <w:rsid w:val="00D9524D"/>
    <w:rsid w:val="00D95DDE"/>
    <w:rsid w:val="00D95FF5"/>
    <w:rsid w:val="00D97C5A"/>
    <w:rsid w:val="00DA4BEC"/>
    <w:rsid w:val="00DA6A66"/>
    <w:rsid w:val="00DB00A8"/>
    <w:rsid w:val="00DB07AB"/>
    <w:rsid w:val="00DB1D09"/>
    <w:rsid w:val="00DB40A7"/>
    <w:rsid w:val="00DB6C5B"/>
    <w:rsid w:val="00DB72D8"/>
    <w:rsid w:val="00DB791D"/>
    <w:rsid w:val="00DB7EE8"/>
    <w:rsid w:val="00DC05EE"/>
    <w:rsid w:val="00DC074B"/>
    <w:rsid w:val="00DC1EB4"/>
    <w:rsid w:val="00DC5B1A"/>
    <w:rsid w:val="00DC6FD5"/>
    <w:rsid w:val="00DC7055"/>
    <w:rsid w:val="00DC7317"/>
    <w:rsid w:val="00DD02D0"/>
    <w:rsid w:val="00DD0508"/>
    <w:rsid w:val="00DD0FB4"/>
    <w:rsid w:val="00DD2F37"/>
    <w:rsid w:val="00DD3CBA"/>
    <w:rsid w:val="00DD442E"/>
    <w:rsid w:val="00DD5ED6"/>
    <w:rsid w:val="00DD7D36"/>
    <w:rsid w:val="00DE13A7"/>
    <w:rsid w:val="00DE1B30"/>
    <w:rsid w:val="00DE1DD3"/>
    <w:rsid w:val="00DE3D5F"/>
    <w:rsid w:val="00DE414B"/>
    <w:rsid w:val="00DE559A"/>
    <w:rsid w:val="00DE72B6"/>
    <w:rsid w:val="00DE797F"/>
    <w:rsid w:val="00DF020F"/>
    <w:rsid w:val="00DF2CE4"/>
    <w:rsid w:val="00DF4813"/>
    <w:rsid w:val="00DF731B"/>
    <w:rsid w:val="00E00328"/>
    <w:rsid w:val="00E0082F"/>
    <w:rsid w:val="00E021F6"/>
    <w:rsid w:val="00E0411E"/>
    <w:rsid w:val="00E04788"/>
    <w:rsid w:val="00E04AC0"/>
    <w:rsid w:val="00E05276"/>
    <w:rsid w:val="00E05B0E"/>
    <w:rsid w:val="00E073D1"/>
    <w:rsid w:val="00E102C2"/>
    <w:rsid w:val="00E110A1"/>
    <w:rsid w:val="00E11691"/>
    <w:rsid w:val="00E11930"/>
    <w:rsid w:val="00E22A0E"/>
    <w:rsid w:val="00E22A2F"/>
    <w:rsid w:val="00E232EF"/>
    <w:rsid w:val="00E23448"/>
    <w:rsid w:val="00E24760"/>
    <w:rsid w:val="00E247FB"/>
    <w:rsid w:val="00E259E4"/>
    <w:rsid w:val="00E26A2B"/>
    <w:rsid w:val="00E304E1"/>
    <w:rsid w:val="00E319BF"/>
    <w:rsid w:val="00E32FDE"/>
    <w:rsid w:val="00E36CD0"/>
    <w:rsid w:val="00E36F46"/>
    <w:rsid w:val="00E37782"/>
    <w:rsid w:val="00E4001B"/>
    <w:rsid w:val="00E428B5"/>
    <w:rsid w:val="00E43C63"/>
    <w:rsid w:val="00E44055"/>
    <w:rsid w:val="00E457E6"/>
    <w:rsid w:val="00E4793A"/>
    <w:rsid w:val="00E47CE2"/>
    <w:rsid w:val="00E52708"/>
    <w:rsid w:val="00E52F59"/>
    <w:rsid w:val="00E551D1"/>
    <w:rsid w:val="00E555D6"/>
    <w:rsid w:val="00E559A2"/>
    <w:rsid w:val="00E5632E"/>
    <w:rsid w:val="00E569EF"/>
    <w:rsid w:val="00E60426"/>
    <w:rsid w:val="00E63D81"/>
    <w:rsid w:val="00E65E33"/>
    <w:rsid w:val="00E669CE"/>
    <w:rsid w:val="00E67AD9"/>
    <w:rsid w:val="00E67B18"/>
    <w:rsid w:val="00E70A92"/>
    <w:rsid w:val="00E71798"/>
    <w:rsid w:val="00E71A41"/>
    <w:rsid w:val="00E74570"/>
    <w:rsid w:val="00E75DDF"/>
    <w:rsid w:val="00E76FEF"/>
    <w:rsid w:val="00E77897"/>
    <w:rsid w:val="00E77FBF"/>
    <w:rsid w:val="00E80A24"/>
    <w:rsid w:val="00E81C13"/>
    <w:rsid w:val="00E8204E"/>
    <w:rsid w:val="00E8349E"/>
    <w:rsid w:val="00E83A39"/>
    <w:rsid w:val="00E853DB"/>
    <w:rsid w:val="00E85A4C"/>
    <w:rsid w:val="00E85DDB"/>
    <w:rsid w:val="00E86429"/>
    <w:rsid w:val="00E91761"/>
    <w:rsid w:val="00E91A02"/>
    <w:rsid w:val="00E91DE5"/>
    <w:rsid w:val="00E92C73"/>
    <w:rsid w:val="00E94ED4"/>
    <w:rsid w:val="00E96272"/>
    <w:rsid w:val="00E96B64"/>
    <w:rsid w:val="00EA0E24"/>
    <w:rsid w:val="00EA1488"/>
    <w:rsid w:val="00EA4AFB"/>
    <w:rsid w:val="00EA5207"/>
    <w:rsid w:val="00EA5327"/>
    <w:rsid w:val="00EA55CF"/>
    <w:rsid w:val="00EA5A5A"/>
    <w:rsid w:val="00EA685D"/>
    <w:rsid w:val="00EA710C"/>
    <w:rsid w:val="00EA782B"/>
    <w:rsid w:val="00EB0108"/>
    <w:rsid w:val="00EB0909"/>
    <w:rsid w:val="00EB29B0"/>
    <w:rsid w:val="00EB2AC7"/>
    <w:rsid w:val="00EB4485"/>
    <w:rsid w:val="00EB532D"/>
    <w:rsid w:val="00EB5621"/>
    <w:rsid w:val="00EC00B2"/>
    <w:rsid w:val="00EC1AEC"/>
    <w:rsid w:val="00EC2BDF"/>
    <w:rsid w:val="00EC2E01"/>
    <w:rsid w:val="00EC3910"/>
    <w:rsid w:val="00ED0259"/>
    <w:rsid w:val="00ED4A04"/>
    <w:rsid w:val="00ED60A7"/>
    <w:rsid w:val="00ED6305"/>
    <w:rsid w:val="00ED64E7"/>
    <w:rsid w:val="00ED7D57"/>
    <w:rsid w:val="00EE0F42"/>
    <w:rsid w:val="00EE14C6"/>
    <w:rsid w:val="00EE1BF5"/>
    <w:rsid w:val="00EE4FD3"/>
    <w:rsid w:val="00EE52B9"/>
    <w:rsid w:val="00EF1BF3"/>
    <w:rsid w:val="00EF4EE3"/>
    <w:rsid w:val="00EF5FC7"/>
    <w:rsid w:val="00EF7C3F"/>
    <w:rsid w:val="00F0010C"/>
    <w:rsid w:val="00F00250"/>
    <w:rsid w:val="00F006AA"/>
    <w:rsid w:val="00F01C13"/>
    <w:rsid w:val="00F03266"/>
    <w:rsid w:val="00F07152"/>
    <w:rsid w:val="00F07F70"/>
    <w:rsid w:val="00F10055"/>
    <w:rsid w:val="00F10AA8"/>
    <w:rsid w:val="00F113D6"/>
    <w:rsid w:val="00F11C89"/>
    <w:rsid w:val="00F138B1"/>
    <w:rsid w:val="00F15C3E"/>
    <w:rsid w:val="00F203E3"/>
    <w:rsid w:val="00F20A52"/>
    <w:rsid w:val="00F2172F"/>
    <w:rsid w:val="00F21CA8"/>
    <w:rsid w:val="00F22B07"/>
    <w:rsid w:val="00F24789"/>
    <w:rsid w:val="00F265F9"/>
    <w:rsid w:val="00F26D4E"/>
    <w:rsid w:val="00F2718C"/>
    <w:rsid w:val="00F30495"/>
    <w:rsid w:val="00F30C5A"/>
    <w:rsid w:val="00F36105"/>
    <w:rsid w:val="00F36F3A"/>
    <w:rsid w:val="00F378BE"/>
    <w:rsid w:val="00F433E8"/>
    <w:rsid w:val="00F4459C"/>
    <w:rsid w:val="00F44D4B"/>
    <w:rsid w:val="00F45356"/>
    <w:rsid w:val="00F45B4B"/>
    <w:rsid w:val="00F464B5"/>
    <w:rsid w:val="00F47BD3"/>
    <w:rsid w:val="00F47F6B"/>
    <w:rsid w:val="00F50E2A"/>
    <w:rsid w:val="00F52288"/>
    <w:rsid w:val="00F52AB0"/>
    <w:rsid w:val="00F531ED"/>
    <w:rsid w:val="00F55BA8"/>
    <w:rsid w:val="00F57A5D"/>
    <w:rsid w:val="00F620D5"/>
    <w:rsid w:val="00F62DBB"/>
    <w:rsid w:val="00F63F6C"/>
    <w:rsid w:val="00F66B8F"/>
    <w:rsid w:val="00F70C5C"/>
    <w:rsid w:val="00F71091"/>
    <w:rsid w:val="00F71589"/>
    <w:rsid w:val="00F73803"/>
    <w:rsid w:val="00F73AB5"/>
    <w:rsid w:val="00F73AD5"/>
    <w:rsid w:val="00F742D5"/>
    <w:rsid w:val="00F775BA"/>
    <w:rsid w:val="00F8114A"/>
    <w:rsid w:val="00F82620"/>
    <w:rsid w:val="00F828FA"/>
    <w:rsid w:val="00F84E4D"/>
    <w:rsid w:val="00F8614B"/>
    <w:rsid w:val="00F86236"/>
    <w:rsid w:val="00F87278"/>
    <w:rsid w:val="00F90B1A"/>
    <w:rsid w:val="00F91C27"/>
    <w:rsid w:val="00F92B9B"/>
    <w:rsid w:val="00F95887"/>
    <w:rsid w:val="00F959AC"/>
    <w:rsid w:val="00F95C78"/>
    <w:rsid w:val="00F95DD5"/>
    <w:rsid w:val="00F97598"/>
    <w:rsid w:val="00F97998"/>
    <w:rsid w:val="00F97A26"/>
    <w:rsid w:val="00FA1841"/>
    <w:rsid w:val="00FA2846"/>
    <w:rsid w:val="00FA3132"/>
    <w:rsid w:val="00FA39E3"/>
    <w:rsid w:val="00FA4713"/>
    <w:rsid w:val="00FA47F5"/>
    <w:rsid w:val="00FA4DF3"/>
    <w:rsid w:val="00FA5272"/>
    <w:rsid w:val="00FA642F"/>
    <w:rsid w:val="00FB0C33"/>
    <w:rsid w:val="00FB282E"/>
    <w:rsid w:val="00FB3354"/>
    <w:rsid w:val="00FB3510"/>
    <w:rsid w:val="00FB3AC3"/>
    <w:rsid w:val="00FB3BAA"/>
    <w:rsid w:val="00FC1F16"/>
    <w:rsid w:val="00FC38E3"/>
    <w:rsid w:val="00FC5D7E"/>
    <w:rsid w:val="00FC6179"/>
    <w:rsid w:val="00FC7B65"/>
    <w:rsid w:val="00FD1A1C"/>
    <w:rsid w:val="00FD3066"/>
    <w:rsid w:val="00FD4060"/>
    <w:rsid w:val="00FD625E"/>
    <w:rsid w:val="00FD6929"/>
    <w:rsid w:val="00FD729C"/>
    <w:rsid w:val="00FD7BCF"/>
    <w:rsid w:val="00FD7E59"/>
    <w:rsid w:val="00FE088B"/>
    <w:rsid w:val="00FE1EF0"/>
    <w:rsid w:val="00FE209B"/>
    <w:rsid w:val="00FE342F"/>
    <w:rsid w:val="00FE56CE"/>
    <w:rsid w:val="00FE6C98"/>
    <w:rsid w:val="00FF0848"/>
    <w:rsid w:val="00FF18C6"/>
    <w:rsid w:val="00FF1E13"/>
    <w:rsid w:val="00FF29A0"/>
    <w:rsid w:val="00FF3900"/>
    <w:rsid w:val="00FF5776"/>
    <w:rsid w:val="00FF6059"/>
    <w:rsid w:val="00FF6157"/>
    <w:rsid w:val="00FF63F0"/>
    <w:rsid w:val="00FF6CBE"/>
    <w:rsid w:val="00FF71CC"/>
    <w:rsid w:val="01E1279D"/>
    <w:rsid w:val="023B793D"/>
    <w:rsid w:val="024E1602"/>
    <w:rsid w:val="028E6298"/>
    <w:rsid w:val="02D446BF"/>
    <w:rsid w:val="03403A1E"/>
    <w:rsid w:val="03540E0E"/>
    <w:rsid w:val="03760528"/>
    <w:rsid w:val="03964275"/>
    <w:rsid w:val="03A568D9"/>
    <w:rsid w:val="04024CFF"/>
    <w:rsid w:val="04686A78"/>
    <w:rsid w:val="04A655B4"/>
    <w:rsid w:val="04B92D6D"/>
    <w:rsid w:val="04F63546"/>
    <w:rsid w:val="0510021D"/>
    <w:rsid w:val="05152BFA"/>
    <w:rsid w:val="05472280"/>
    <w:rsid w:val="05697162"/>
    <w:rsid w:val="05A06A77"/>
    <w:rsid w:val="05A12357"/>
    <w:rsid w:val="05CE7CE2"/>
    <w:rsid w:val="05D07707"/>
    <w:rsid w:val="05DC2F18"/>
    <w:rsid w:val="06E54386"/>
    <w:rsid w:val="06EF6C29"/>
    <w:rsid w:val="06F435A0"/>
    <w:rsid w:val="074D3634"/>
    <w:rsid w:val="07502719"/>
    <w:rsid w:val="07802BDD"/>
    <w:rsid w:val="078E56E0"/>
    <w:rsid w:val="07AA5872"/>
    <w:rsid w:val="082239AE"/>
    <w:rsid w:val="087F2AB4"/>
    <w:rsid w:val="089F3C0B"/>
    <w:rsid w:val="08B71074"/>
    <w:rsid w:val="08C10853"/>
    <w:rsid w:val="08CD707A"/>
    <w:rsid w:val="08D17F23"/>
    <w:rsid w:val="08DF48EE"/>
    <w:rsid w:val="08E34EDF"/>
    <w:rsid w:val="09224F6D"/>
    <w:rsid w:val="09437DFE"/>
    <w:rsid w:val="094A15F3"/>
    <w:rsid w:val="094F5EB7"/>
    <w:rsid w:val="097E6863"/>
    <w:rsid w:val="099468C2"/>
    <w:rsid w:val="09C55F8C"/>
    <w:rsid w:val="0A314E05"/>
    <w:rsid w:val="0A5B3425"/>
    <w:rsid w:val="0AF26AD6"/>
    <w:rsid w:val="0B261922"/>
    <w:rsid w:val="0B345A8E"/>
    <w:rsid w:val="0BA17A99"/>
    <w:rsid w:val="0BCE13D0"/>
    <w:rsid w:val="0C35701F"/>
    <w:rsid w:val="0C6226D3"/>
    <w:rsid w:val="0C655D9D"/>
    <w:rsid w:val="0C6B70F0"/>
    <w:rsid w:val="0C973E3B"/>
    <w:rsid w:val="0CF47EA5"/>
    <w:rsid w:val="0D5C046C"/>
    <w:rsid w:val="0D832D5F"/>
    <w:rsid w:val="0DA50EE0"/>
    <w:rsid w:val="0DE3178A"/>
    <w:rsid w:val="0E142BE5"/>
    <w:rsid w:val="0E157B00"/>
    <w:rsid w:val="0E3F4099"/>
    <w:rsid w:val="0E6E2937"/>
    <w:rsid w:val="0E8B6541"/>
    <w:rsid w:val="0E9467CB"/>
    <w:rsid w:val="0EEA6108"/>
    <w:rsid w:val="0F4D4F65"/>
    <w:rsid w:val="0F592628"/>
    <w:rsid w:val="0F5E0B46"/>
    <w:rsid w:val="0F7E2622"/>
    <w:rsid w:val="0FAD1485"/>
    <w:rsid w:val="0FCA5A46"/>
    <w:rsid w:val="0FCC45B0"/>
    <w:rsid w:val="0FCF5DCF"/>
    <w:rsid w:val="101A2510"/>
    <w:rsid w:val="107A3A5D"/>
    <w:rsid w:val="10B97CB8"/>
    <w:rsid w:val="110C29F7"/>
    <w:rsid w:val="113E2756"/>
    <w:rsid w:val="11641C95"/>
    <w:rsid w:val="11687668"/>
    <w:rsid w:val="1169236E"/>
    <w:rsid w:val="116B07EF"/>
    <w:rsid w:val="116D38F9"/>
    <w:rsid w:val="118A5C59"/>
    <w:rsid w:val="11970F35"/>
    <w:rsid w:val="11CB4592"/>
    <w:rsid w:val="11F15AAB"/>
    <w:rsid w:val="11F32AAA"/>
    <w:rsid w:val="12056BEE"/>
    <w:rsid w:val="12186CD7"/>
    <w:rsid w:val="12851776"/>
    <w:rsid w:val="128F1CDE"/>
    <w:rsid w:val="12D4786C"/>
    <w:rsid w:val="12D506E2"/>
    <w:rsid w:val="12EF31E6"/>
    <w:rsid w:val="130758F5"/>
    <w:rsid w:val="131943E8"/>
    <w:rsid w:val="13223906"/>
    <w:rsid w:val="139B1776"/>
    <w:rsid w:val="13AC7CB9"/>
    <w:rsid w:val="13CD0A5D"/>
    <w:rsid w:val="13E42689"/>
    <w:rsid w:val="13F61AD6"/>
    <w:rsid w:val="13FB5047"/>
    <w:rsid w:val="1427013B"/>
    <w:rsid w:val="14763197"/>
    <w:rsid w:val="14787805"/>
    <w:rsid w:val="14AB4244"/>
    <w:rsid w:val="14AF48B2"/>
    <w:rsid w:val="14D56C62"/>
    <w:rsid w:val="14FD36D4"/>
    <w:rsid w:val="155037F5"/>
    <w:rsid w:val="15562C1A"/>
    <w:rsid w:val="15595B38"/>
    <w:rsid w:val="157307A1"/>
    <w:rsid w:val="15AA532F"/>
    <w:rsid w:val="15BC1C89"/>
    <w:rsid w:val="15CB0AB5"/>
    <w:rsid w:val="15CD5792"/>
    <w:rsid w:val="15FF32DC"/>
    <w:rsid w:val="161C40AA"/>
    <w:rsid w:val="16BB3DB2"/>
    <w:rsid w:val="16C5121A"/>
    <w:rsid w:val="16F566F3"/>
    <w:rsid w:val="173B6CE6"/>
    <w:rsid w:val="17813C4E"/>
    <w:rsid w:val="17B641B6"/>
    <w:rsid w:val="17D529B4"/>
    <w:rsid w:val="182135FE"/>
    <w:rsid w:val="18483D5F"/>
    <w:rsid w:val="18B140C4"/>
    <w:rsid w:val="18BC2E0B"/>
    <w:rsid w:val="18C03CBB"/>
    <w:rsid w:val="18D16823"/>
    <w:rsid w:val="18F1274D"/>
    <w:rsid w:val="193041A9"/>
    <w:rsid w:val="193A65AC"/>
    <w:rsid w:val="193C5064"/>
    <w:rsid w:val="19683E8A"/>
    <w:rsid w:val="19EE011B"/>
    <w:rsid w:val="19F5770F"/>
    <w:rsid w:val="19FC7A3C"/>
    <w:rsid w:val="1A176BA1"/>
    <w:rsid w:val="1A18268F"/>
    <w:rsid w:val="1A7B2888"/>
    <w:rsid w:val="1AAE328B"/>
    <w:rsid w:val="1AB4554C"/>
    <w:rsid w:val="1AB83010"/>
    <w:rsid w:val="1AEF5155"/>
    <w:rsid w:val="1B18055C"/>
    <w:rsid w:val="1B995FAC"/>
    <w:rsid w:val="1BB82391"/>
    <w:rsid w:val="1BC70CA3"/>
    <w:rsid w:val="1C060729"/>
    <w:rsid w:val="1C4308D5"/>
    <w:rsid w:val="1C667A8B"/>
    <w:rsid w:val="1C7B60E4"/>
    <w:rsid w:val="1CB21053"/>
    <w:rsid w:val="1CBA2AF4"/>
    <w:rsid w:val="1CF10D17"/>
    <w:rsid w:val="1D2A4451"/>
    <w:rsid w:val="1D3472CE"/>
    <w:rsid w:val="1D4C2790"/>
    <w:rsid w:val="1D8C2614"/>
    <w:rsid w:val="1D980999"/>
    <w:rsid w:val="1D9A4740"/>
    <w:rsid w:val="1DC81A77"/>
    <w:rsid w:val="1DE26774"/>
    <w:rsid w:val="1E0C5DAA"/>
    <w:rsid w:val="1E853C6F"/>
    <w:rsid w:val="1E861DA5"/>
    <w:rsid w:val="1EFD74CA"/>
    <w:rsid w:val="1F137CDD"/>
    <w:rsid w:val="1F673B48"/>
    <w:rsid w:val="1FED641E"/>
    <w:rsid w:val="20660DD0"/>
    <w:rsid w:val="20DE7D53"/>
    <w:rsid w:val="20F64795"/>
    <w:rsid w:val="21050B02"/>
    <w:rsid w:val="213536EA"/>
    <w:rsid w:val="213E564F"/>
    <w:rsid w:val="2143078E"/>
    <w:rsid w:val="214C24DE"/>
    <w:rsid w:val="2194201B"/>
    <w:rsid w:val="21EE5CCB"/>
    <w:rsid w:val="220B3625"/>
    <w:rsid w:val="22165FE2"/>
    <w:rsid w:val="221C48E7"/>
    <w:rsid w:val="22217E19"/>
    <w:rsid w:val="224216D1"/>
    <w:rsid w:val="22AB5497"/>
    <w:rsid w:val="22DD4EF4"/>
    <w:rsid w:val="22EC1B72"/>
    <w:rsid w:val="2314169C"/>
    <w:rsid w:val="23303C47"/>
    <w:rsid w:val="23304C7D"/>
    <w:rsid w:val="233D119A"/>
    <w:rsid w:val="235F4D4A"/>
    <w:rsid w:val="237E440D"/>
    <w:rsid w:val="2394717F"/>
    <w:rsid w:val="23A303DF"/>
    <w:rsid w:val="23EE2347"/>
    <w:rsid w:val="24093385"/>
    <w:rsid w:val="243C3C07"/>
    <w:rsid w:val="24DF4F29"/>
    <w:rsid w:val="24F723FC"/>
    <w:rsid w:val="25026488"/>
    <w:rsid w:val="253D1A19"/>
    <w:rsid w:val="25507F38"/>
    <w:rsid w:val="255619A3"/>
    <w:rsid w:val="255668E5"/>
    <w:rsid w:val="255C269E"/>
    <w:rsid w:val="256857EC"/>
    <w:rsid w:val="256B6F92"/>
    <w:rsid w:val="25B65A19"/>
    <w:rsid w:val="25F9093B"/>
    <w:rsid w:val="26102E8A"/>
    <w:rsid w:val="262B1A1A"/>
    <w:rsid w:val="26460E53"/>
    <w:rsid w:val="264C7221"/>
    <w:rsid w:val="267C30E2"/>
    <w:rsid w:val="268F4AA5"/>
    <w:rsid w:val="269435C8"/>
    <w:rsid w:val="26A723D0"/>
    <w:rsid w:val="26D52556"/>
    <w:rsid w:val="26D94776"/>
    <w:rsid w:val="26DE6138"/>
    <w:rsid w:val="271B1AD6"/>
    <w:rsid w:val="2729058E"/>
    <w:rsid w:val="277145DF"/>
    <w:rsid w:val="27C93A92"/>
    <w:rsid w:val="27E64D5A"/>
    <w:rsid w:val="284D6EC6"/>
    <w:rsid w:val="28C338D0"/>
    <w:rsid w:val="28DA61F7"/>
    <w:rsid w:val="28E93D0E"/>
    <w:rsid w:val="29023A32"/>
    <w:rsid w:val="290355EE"/>
    <w:rsid w:val="29474D78"/>
    <w:rsid w:val="294A2FAB"/>
    <w:rsid w:val="29B561ED"/>
    <w:rsid w:val="29BE1363"/>
    <w:rsid w:val="29C411B7"/>
    <w:rsid w:val="29CB4D52"/>
    <w:rsid w:val="2A5935D4"/>
    <w:rsid w:val="2A640FB4"/>
    <w:rsid w:val="2ACA2E88"/>
    <w:rsid w:val="2AD109F2"/>
    <w:rsid w:val="2B172F20"/>
    <w:rsid w:val="2B590335"/>
    <w:rsid w:val="2B59650F"/>
    <w:rsid w:val="2B5E0D56"/>
    <w:rsid w:val="2B7E1055"/>
    <w:rsid w:val="2B963497"/>
    <w:rsid w:val="2BB60EE7"/>
    <w:rsid w:val="2BFC1D12"/>
    <w:rsid w:val="2C5348BE"/>
    <w:rsid w:val="2C5E6942"/>
    <w:rsid w:val="2C711C39"/>
    <w:rsid w:val="2CAF6BFB"/>
    <w:rsid w:val="2CB40F48"/>
    <w:rsid w:val="2CB72B8B"/>
    <w:rsid w:val="2CD0126E"/>
    <w:rsid w:val="2CD1070C"/>
    <w:rsid w:val="2D127FBE"/>
    <w:rsid w:val="2D5262EA"/>
    <w:rsid w:val="2D58403E"/>
    <w:rsid w:val="2D647402"/>
    <w:rsid w:val="2D697B7C"/>
    <w:rsid w:val="2DAD1F31"/>
    <w:rsid w:val="2DB955DC"/>
    <w:rsid w:val="2DE34ED5"/>
    <w:rsid w:val="2E043F00"/>
    <w:rsid w:val="2E105D8E"/>
    <w:rsid w:val="2E1221D6"/>
    <w:rsid w:val="2E307A0A"/>
    <w:rsid w:val="2E492289"/>
    <w:rsid w:val="2EA25753"/>
    <w:rsid w:val="2F1929D4"/>
    <w:rsid w:val="2F346DC1"/>
    <w:rsid w:val="2F635235"/>
    <w:rsid w:val="302F3016"/>
    <w:rsid w:val="303A599D"/>
    <w:rsid w:val="30A54BDC"/>
    <w:rsid w:val="30BD63E5"/>
    <w:rsid w:val="30FF09D0"/>
    <w:rsid w:val="31170881"/>
    <w:rsid w:val="3168052D"/>
    <w:rsid w:val="317A0529"/>
    <w:rsid w:val="317A6513"/>
    <w:rsid w:val="319D5DA7"/>
    <w:rsid w:val="31A8275E"/>
    <w:rsid w:val="31B16EBE"/>
    <w:rsid w:val="320F5A40"/>
    <w:rsid w:val="32375F92"/>
    <w:rsid w:val="323F2488"/>
    <w:rsid w:val="326C3FE2"/>
    <w:rsid w:val="32710FB3"/>
    <w:rsid w:val="32776201"/>
    <w:rsid w:val="32AA50EE"/>
    <w:rsid w:val="32D620B8"/>
    <w:rsid w:val="33372DEB"/>
    <w:rsid w:val="33490ED7"/>
    <w:rsid w:val="336677AC"/>
    <w:rsid w:val="336C61B9"/>
    <w:rsid w:val="33753C8A"/>
    <w:rsid w:val="338A21B4"/>
    <w:rsid w:val="33914A5B"/>
    <w:rsid w:val="339649AD"/>
    <w:rsid w:val="339C7593"/>
    <w:rsid w:val="33EA218C"/>
    <w:rsid w:val="344C3809"/>
    <w:rsid w:val="34AA77B8"/>
    <w:rsid w:val="34C07585"/>
    <w:rsid w:val="34C27DBA"/>
    <w:rsid w:val="34C50346"/>
    <w:rsid w:val="35122AFE"/>
    <w:rsid w:val="352812D0"/>
    <w:rsid w:val="352B5E42"/>
    <w:rsid w:val="35405AEA"/>
    <w:rsid w:val="35682E0E"/>
    <w:rsid w:val="358839C4"/>
    <w:rsid w:val="358E1B07"/>
    <w:rsid w:val="35967EB9"/>
    <w:rsid w:val="35A57701"/>
    <w:rsid w:val="35B07477"/>
    <w:rsid w:val="35C5017F"/>
    <w:rsid w:val="35CC466A"/>
    <w:rsid w:val="36322459"/>
    <w:rsid w:val="36737097"/>
    <w:rsid w:val="36761B11"/>
    <w:rsid w:val="36764362"/>
    <w:rsid w:val="36824EA8"/>
    <w:rsid w:val="36C302E1"/>
    <w:rsid w:val="36E62CE8"/>
    <w:rsid w:val="371533DD"/>
    <w:rsid w:val="3715749C"/>
    <w:rsid w:val="37267079"/>
    <w:rsid w:val="37267C62"/>
    <w:rsid w:val="372A1AED"/>
    <w:rsid w:val="377E1E1F"/>
    <w:rsid w:val="37871A3B"/>
    <w:rsid w:val="37A22516"/>
    <w:rsid w:val="37FA4AA8"/>
    <w:rsid w:val="3805366E"/>
    <w:rsid w:val="38351EAB"/>
    <w:rsid w:val="383F5494"/>
    <w:rsid w:val="385472D6"/>
    <w:rsid w:val="38606463"/>
    <w:rsid w:val="386F40DC"/>
    <w:rsid w:val="38B12674"/>
    <w:rsid w:val="38BE6FBD"/>
    <w:rsid w:val="38FC6AE5"/>
    <w:rsid w:val="39291610"/>
    <w:rsid w:val="392E1A83"/>
    <w:rsid w:val="39340EA9"/>
    <w:rsid w:val="39C36078"/>
    <w:rsid w:val="39C748E9"/>
    <w:rsid w:val="39CE59FC"/>
    <w:rsid w:val="3A2351B8"/>
    <w:rsid w:val="3A3A7BE5"/>
    <w:rsid w:val="3A4572F8"/>
    <w:rsid w:val="3AB84F22"/>
    <w:rsid w:val="3AC17900"/>
    <w:rsid w:val="3B070EAF"/>
    <w:rsid w:val="3B0D4D5B"/>
    <w:rsid w:val="3B117883"/>
    <w:rsid w:val="3B75483F"/>
    <w:rsid w:val="3B787B94"/>
    <w:rsid w:val="3B85353F"/>
    <w:rsid w:val="3B920CD4"/>
    <w:rsid w:val="3B931BE8"/>
    <w:rsid w:val="3BAE39C1"/>
    <w:rsid w:val="3BE1100F"/>
    <w:rsid w:val="3BF6347F"/>
    <w:rsid w:val="3C08765D"/>
    <w:rsid w:val="3C424D75"/>
    <w:rsid w:val="3C443447"/>
    <w:rsid w:val="3C4B567C"/>
    <w:rsid w:val="3C5F1B24"/>
    <w:rsid w:val="3C607C53"/>
    <w:rsid w:val="3CD13AD2"/>
    <w:rsid w:val="3D235CB1"/>
    <w:rsid w:val="3D4E6A8E"/>
    <w:rsid w:val="3D664677"/>
    <w:rsid w:val="3D9541AE"/>
    <w:rsid w:val="3D9D2DC1"/>
    <w:rsid w:val="3DA0274A"/>
    <w:rsid w:val="3DA11213"/>
    <w:rsid w:val="3DA6799D"/>
    <w:rsid w:val="3E2E4187"/>
    <w:rsid w:val="3E3A69C3"/>
    <w:rsid w:val="3E534945"/>
    <w:rsid w:val="3E9F024B"/>
    <w:rsid w:val="3EBA5BB2"/>
    <w:rsid w:val="3EC07260"/>
    <w:rsid w:val="3EC55013"/>
    <w:rsid w:val="3ECC0007"/>
    <w:rsid w:val="3ED43706"/>
    <w:rsid w:val="3F23593A"/>
    <w:rsid w:val="3F2A058F"/>
    <w:rsid w:val="3F2B1346"/>
    <w:rsid w:val="3F2F2DD2"/>
    <w:rsid w:val="40263FDC"/>
    <w:rsid w:val="402C3F4C"/>
    <w:rsid w:val="4030166B"/>
    <w:rsid w:val="406518F0"/>
    <w:rsid w:val="407745B7"/>
    <w:rsid w:val="40A85AAE"/>
    <w:rsid w:val="411E4358"/>
    <w:rsid w:val="415866C2"/>
    <w:rsid w:val="418C676A"/>
    <w:rsid w:val="41923A3B"/>
    <w:rsid w:val="427D62FC"/>
    <w:rsid w:val="429636B8"/>
    <w:rsid w:val="42F15E21"/>
    <w:rsid w:val="42F95019"/>
    <w:rsid w:val="43096F10"/>
    <w:rsid w:val="43251A47"/>
    <w:rsid w:val="43B707FE"/>
    <w:rsid w:val="43C82E5D"/>
    <w:rsid w:val="44267082"/>
    <w:rsid w:val="442D2C18"/>
    <w:rsid w:val="44814DC5"/>
    <w:rsid w:val="44AE70FC"/>
    <w:rsid w:val="44F16E10"/>
    <w:rsid w:val="45407FCE"/>
    <w:rsid w:val="45735C09"/>
    <w:rsid w:val="45985A61"/>
    <w:rsid w:val="45AE1FA3"/>
    <w:rsid w:val="45C864A4"/>
    <w:rsid w:val="46421C25"/>
    <w:rsid w:val="465E2A30"/>
    <w:rsid w:val="46C0501E"/>
    <w:rsid w:val="46C73F7E"/>
    <w:rsid w:val="471B1761"/>
    <w:rsid w:val="471F4006"/>
    <w:rsid w:val="47480D45"/>
    <w:rsid w:val="47580537"/>
    <w:rsid w:val="477737C9"/>
    <w:rsid w:val="477F3300"/>
    <w:rsid w:val="47851727"/>
    <w:rsid w:val="47EE4786"/>
    <w:rsid w:val="47FB7140"/>
    <w:rsid w:val="47FC73F0"/>
    <w:rsid w:val="48023AFB"/>
    <w:rsid w:val="48BE4AFD"/>
    <w:rsid w:val="48D11B84"/>
    <w:rsid w:val="48EE7F95"/>
    <w:rsid w:val="490C2B5E"/>
    <w:rsid w:val="491A26C7"/>
    <w:rsid w:val="49427C64"/>
    <w:rsid w:val="496A45DA"/>
    <w:rsid w:val="49AD1DAD"/>
    <w:rsid w:val="49B070EE"/>
    <w:rsid w:val="4A3722DB"/>
    <w:rsid w:val="4A5B4CDC"/>
    <w:rsid w:val="4AE82B20"/>
    <w:rsid w:val="4AFF7B28"/>
    <w:rsid w:val="4B1F1179"/>
    <w:rsid w:val="4B1F3C01"/>
    <w:rsid w:val="4B345626"/>
    <w:rsid w:val="4B3E57AD"/>
    <w:rsid w:val="4C485B2A"/>
    <w:rsid w:val="4C7877A5"/>
    <w:rsid w:val="4C7B0E93"/>
    <w:rsid w:val="4CC13A67"/>
    <w:rsid w:val="4CD234C1"/>
    <w:rsid w:val="4CE70AA9"/>
    <w:rsid w:val="4D111A4C"/>
    <w:rsid w:val="4DA44B31"/>
    <w:rsid w:val="4DBC090E"/>
    <w:rsid w:val="4DFB147F"/>
    <w:rsid w:val="4E0475A2"/>
    <w:rsid w:val="4E060E4C"/>
    <w:rsid w:val="4E082815"/>
    <w:rsid w:val="4E15167A"/>
    <w:rsid w:val="4E3B1772"/>
    <w:rsid w:val="4E5B7B3D"/>
    <w:rsid w:val="4E8A1EF9"/>
    <w:rsid w:val="4EC717D3"/>
    <w:rsid w:val="4EFD3D10"/>
    <w:rsid w:val="4F086A3B"/>
    <w:rsid w:val="4F504586"/>
    <w:rsid w:val="4F581DFA"/>
    <w:rsid w:val="4F5C54BA"/>
    <w:rsid w:val="4F651BDB"/>
    <w:rsid w:val="4FBE190F"/>
    <w:rsid w:val="4FE17F6A"/>
    <w:rsid w:val="50102FEC"/>
    <w:rsid w:val="503D63B4"/>
    <w:rsid w:val="506656C3"/>
    <w:rsid w:val="5072143A"/>
    <w:rsid w:val="509E7F8E"/>
    <w:rsid w:val="50DD1BD3"/>
    <w:rsid w:val="510E26E7"/>
    <w:rsid w:val="51247E93"/>
    <w:rsid w:val="516D1E06"/>
    <w:rsid w:val="518B24AA"/>
    <w:rsid w:val="51DB42BA"/>
    <w:rsid w:val="525145BD"/>
    <w:rsid w:val="52931314"/>
    <w:rsid w:val="52B427C6"/>
    <w:rsid w:val="52CA573E"/>
    <w:rsid w:val="52F50B67"/>
    <w:rsid w:val="53057EDB"/>
    <w:rsid w:val="5306124C"/>
    <w:rsid w:val="53353B24"/>
    <w:rsid w:val="53545A20"/>
    <w:rsid w:val="53946E05"/>
    <w:rsid w:val="539E28B3"/>
    <w:rsid w:val="53B57D9C"/>
    <w:rsid w:val="53D321C1"/>
    <w:rsid w:val="53DF077A"/>
    <w:rsid w:val="54131A4D"/>
    <w:rsid w:val="542D79BD"/>
    <w:rsid w:val="54333465"/>
    <w:rsid w:val="54B67B5D"/>
    <w:rsid w:val="54DF6244"/>
    <w:rsid w:val="54E76C80"/>
    <w:rsid w:val="54FE5C21"/>
    <w:rsid w:val="553925CB"/>
    <w:rsid w:val="555058BF"/>
    <w:rsid w:val="555F583C"/>
    <w:rsid w:val="55836C05"/>
    <w:rsid w:val="558F4201"/>
    <w:rsid w:val="56085601"/>
    <w:rsid w:val="562D5AEE"/>
    <w:rsid w:val="56457611"/>
    <w:rsid w:val="56BB411A"/>
    <w:rsid w:val="56CA22D9"/>
    <w:rsid w:val="575604D4"/>
    <w:rsid w:val="57974EF4"/>
    <w:rsid w:val="57A81165"/>
    <w:rsid w:val="57BC4081"/>
    <w:rsid w:val="57D12F6F"/>
    <w:rsid w:val="57F34F52"/>
    <w:rsid w:val="583F6103"/>
    <w:rsid w:val="587D5834"/>
    <w:rsid w:val="58A674A8"/>
    <w:rsid w:val="58A91A9C"/>
    <w:rsid w:val="58FA6567"/>
    <w:rsid w:val="59033022"/>
    <w:rsid w:val="59102B45"/>
    <w:rsid w:val="59395072"/>
    <w:rsid w:val="5953184A"/>
    <w:rsid w:val="59550524"/>
    <w:rsid w:val="5966327A"/>
    <w:rsid w:val="598C27A5"/>
    <w:rsid w:val="59FF3ADA"/>
    <w:rsid w:val="5A313AD1"/>
    <w:rsid w:val="5A694699"/>
    <w:rsid w:val="5A8A36DB"/>
    <w:rsid w:val="5A8F2F29"/>
    <w:rsid w:val="5B3E4ED2"/>
    <w:rsid w:val="5B463612"/>
    <w:rsid w:val="5B515DAA"/>
    <w:rsid w:val="5B6100E4"/>
    <w:rsid w:val="5B627622"/>
    <w:rsid w:val="5B772B8A"/>
    <w:rsid w:val="5BFC0F95"/>
    <w:rsid w:val="5C12628F"/>
    <w:rsid w:val="5C227D76"/>
    <w:rsid w:val="5C5225C1"/>
    <w:rsid w:val="5C597EB9"/>
    <w:rsid w:val="5C671DB5"/>
    <w:rsid w:val="5C6E24FA"/>
    <w:rsid w:val="5C6F523E"/>
    <w:rsid w:val="5C756FB5"/>
    <w:rsid w:val="5CBB669A"/>
    <w:rsid w:val="5CCF0102"/>
    <w:rsid w:val="5D182D61"/>
    <w:rsid w:val="5D3E57D4"/>
    <w:rsid w:val="5D533992"/>
    <w:rsid w:val="5D6E48CE"/>
    <w:rsid w:val="5D775777"/>
    <w:rsid w:val="5DDA5D71"/>
    <w:rsid w:val="5DE61C3D"/>
    <w:rsid w:val="5E347943"/>
    <w:rsid w:val="5E680B21"/>
    <w:rsid w:val="5E83558A"/>
    <w:rsid w:val="5E975716"/>
    <w:rsid w:val="5EA11625"/>
    <w:rsid w:val="5EB80844"/>
    <w:rsid w:val="5ECC1896"/>
    <w:rsid w:val="5F05101B"/>
    <w:rsid w:val="5F154C69"/>
    <w:rsid w:val="5F8F43DE"/>
    <w:rsid w:val="5F9E07DA"/>
    <w:rsid w:val="607538A2"/>
    <w:rsid w:val="60773C48"/>
    <w:rsid w:val="6088035F"/>
    <w:rsid w:val="60C04D95"/>
    <w:rsid w:val="60DD42AF"/>
    <w:rsid w:val="611E505A"/>
    <w:rsid w:val="61232072"/>
    <w:rsid w:val="613362D9"/>
    <w:rsid w:val="613A14EA"/>
    <w:rsid w:val="614355C3"/>
    <w:rsid w:val="614D147E"/>
    <w:rsid w:val="61631F18"/>
    <w:rsid w:val="61C53C85"/>
    <w:rsid w:val="61D74B2B"/>
    <w:rsid w:val="61F52FE8"/>
    <w:rsid w:val="629D747A"/>
    <w:rsid w:val="62BF09BD"/>
    <w:rsid w:val="62E5097D"/>
    <w:rsid w:val="632E0654"/>
    <w:rsid w:val="63384616"/>
    <w:rsid w:val="634D4082"/>
    <w:rsid w:val="63523E57"/>
    <w:rsid w:val="64060086"/>
    <w:rsid w:val="64504296"/>
    <w:rsid w:val="64900231"/>
    <w:rsid w:val="64E25E6D"/>
    <w:rsid w:val="64E66DD4"/>
    <w:rsid w:val="64F0062D"/>
    <w:rsid w:val="65192A45"/>
    <w:rsid w:val="6535576C"/>
    <w:rsid w:val="65381531"/>
    <w:rsid w:val="65463AC9"/>
    <w:rsid w:val="65574EC4"/>
    <w:rsid w:val="655A6664"/>
    <w:rsid w:val="656A3A67"/>
    <w:rsid w:val="657203EB"/>
    <w:rsid w:val="65AF49FC"/>
    <w:rsid w:val="65C20FF6"/>
    <w:rsid w:val="65E3614B"/>
    <w:rsid w:val="65EC43BF"/>
    <w:rsid w:val="66383CCB"/>
    <w:rsid w:val="66647E90"/>
    <w:rsid w:val="66C8304C"/>
    <w:rsid w:val="66C900F4"/>
    <w:rsid w:val="66E1017D"/>
    <w:rsid w:val="66EB13A1"/>
    <w:rsid w:val="66F41B5D"/>
    <w:rsid w:val="6722539A"/>
    <w:rsid w:val="67257236"/>
    <w:rsid w:val="673B738E"/>
    <w:rsid w:val="675A6406"/>
    <w:rsid w:val="67694017"/>
    <w:rsid w:val="67801C63"/>
    <w:rsid w:val="67956FD3"/>
    <w:rsid w:val="67B058B8"/>
    <w:rsid w:val="67FE213B"/>
    <w:rsid w:val="68122EEA"/>
    <w:rsid w:val="68303C0C"/>
    <w:rsid w:val="68377FF2"/>
    <w:rsid w:val="68474AEF"/>
    <w:rsid w:val="68767AAF"/>
    <w:rsid w:val="68893995"/>
    <w:rsid w:val="68B06563"/>
    <w:rsid w:val="68CF0A17"/>
    <w:rsid w:val="68DF10C5"/>
    <w:rsid w:val="69010EE5"/>
    <w:rsid w:val="6909591A"/>
    <w:rsid w:val="692A229E"/>
    <w:rsid w:val="69341903"/>
    <w:rsid w:val="69655218"/>
    <w:rsid w:val="697F247E"/>
    <w:rsid w:val="69CF452C"/>
    <w:rsid w:val="6A0D0E78"/>
    <w:rsid w:val="6A130372"/>
    <w:rsid w:val="6A2326C5"/>
    <w:rsid w:val="6A512B65"/>
    <w:rsid w:val="6A5A6A57"/>
    <w:rsid w:val="6AA849F0"/>
    <w:rsid w:val="6ADB6D45"/>
    <w:rsid w:val="6AF83D0A"/>
    <w:rsid w:val="6AFD7F1F"/>
    <w:rsid w:val="6B1A5AA0"/>
    <w:rsid w:val="6B2246C7"/>
    <w:rsid w:val="6B3C67B1"/>
    <w:rsid w:val="6B4D14E8"/>
    <w:rsid w:val="6B5B75A3"/>
    <w:rsid w:val="6B655E19"/>
    <w:rsid w:val="6BAD4DF8"/>
    <w:rsid w:val="6C27708D"/>
    <w:rsid w:val="6C2D4BD4"/>
    <w:rsid w:val="6C40138D"/>
    <w:rsid w:val="6C6627D9"/>
    <w:rsid w:val="6C7A302A"/>
    <w:rsid w:val="6C82586D"/>
    <w:rsid w:val="6CBD6C81"/>
    <w:rsid w:val="6D003570"/>
    <w:rsid w:val="6D0F4E5F"/>
    <w:rsid w:val="6D5407B7"/>
    <w:rsid w:val="6D5C6A6F"/>
    <w:rsid w:val="6D682BEE"/>
    <w:rsid w:val="6D9E7B92"/>
    <w:rsid w:val="6DA03657"/>
    <w:rsid w:val="6DBC001D"/>
    <w:rsid w:val="6DBD19C6"/>
    <w:rsid w:val="6DC030F6"/>
    <w:rsid w:val="6DDA5F0E"/>
    <w:rsid w:val="6E3D244A"/>
    <w:rsid w:val="6E4C6A47"/>
    <w:rsid w:val="6E942B56"/>
    <w:rsid w:val="6E95027E"/>
    <w:rsid w:val="6E9A5DF4"/>
    <w:rsid w:val="6EC516BC"/>
    <w:rsid w:val="6F272072"/>
    <w:rsid w:val="6F4E7532"/>
    <w:rsid w:val="6FBF5D72"/>
    <w:rsid w:val="6FD86A17"/>
    <w:rsid w:val="70964A06"/>
    <w:rsid w:val="70B35B98"/>
    <w:rsid w:val="70BC1394"/>
    <w:rsid w:val="70C013DE"/>
    <w:rsid w:val="70E878E9"/>
    <w:rsid w:val="71317543"/>
    <w:rsid w:val="713E68F1"/>
    <w:rsid w:val="716A44F3"/>
    <w:rsid w:val="717F5347"/>
    <w:rsid w:val="71864C81"/>
    <w:rsid w:val="71AB5DA7"/>
    <w:rsid w:val="71AC4198"/>
    <w:rsid w:val="71C93DB4"/>
    <w:rsid w:val="71F91ED6"/>
    <w:rsid w:val="722C6E1E"/>
    <w:rsid w:val="727A22A2"/>
    <w:rsid w:val="728166D1"/>
    <w:rsid w:val="729E1F8A"/>
    <w:rsid w:val="72AF5FCC"/>
    <w:rsid w:val="72B10E4E"/>
    <w:rsid w:val="72CE31F3"/>
    <w:rsid w:val="72F932C2"/>
    <w:rsid w:val="73182505"/>
    <w:rsid w:val="733410DC"/>
    <w:rsid w:val="734B47B8"/>
    <w:rsid w:val="73531D7B"/>
    <w:rsid w:val="736F1672"/>
    <w:rsid w:val="73707D30"/>
    <w:rsid w:val="73743652"/>
    <w:rsid w:val="73CC3A0A"/>
    <w:rsid w:val="73F24D6D"/>
    <w:rsid w:val="74376B18"/>
    <w:rsid w:val="74834462"/>
    <w:rsid w:val="74C124D8"/>
    <w:rsid w:val="754B4839"/>
    <w:rsid w:val="758D1DBB"/>
    <w:rsid w:val="759250FD"/>
    <w:rsid w:val="75EE6A05"/>
    <w:rsid w:val="75F232BB"/>
    <w:rsid w:val="76096989"/>
    <w:rsid w:val="761A38A7"/>
    <w:rsid w:val="76251061"/>
    <w:rsid w:val="763B3BFD"/>
    <w:rsid w:val="763C15B6"/>
    <w:rsid w:val="76605321"/>
    <w:rsid w:val="769C7811"/>
    <w:rsid w:val="76C93034"/>
    <w:rsid w:val="76EB52B9"/>
    <w:rsid w:val="76F34442"/>
    <w:rsid w:val="76F7171F"/>
    <w:rsid w:val="77CF62BF"/>
    <w:rsid w:val="77EB5838"/>
    <w:rsid w:val="780E454E"/>
    <w:rsid w:val="781D005E"/>
    <w:rsid w:val="782F2A0C"/>
    <w:rsid w:val="78330AF6"/>
    <w:rsid w:val="785119E9"/>
    <w:rsid w:val="786645E2"/>
    <w:rsid w:val="78966B2B"/>
    <w:rsid w:val="789C478F"/>
    <w:rsid w:val="78B417A8"/>
    <w:rsid w:val="79094B99"/>
    <w:rsid w:val="795B6653"/>
    <w:rsid w:val="795C3BBA"/>
    <w:rsid w:val="79605E78"/>
    <w:rsid w:val="797224E9"/>
    <w:rsid w:val="79885C17"/>
    <w:rsid w:val="798B43A9"/>
    <w:rsid w:val="798E6A3C"/>
    <w:rsid w:val="79B121B1"/>
    <w:rsid w:val="79C64646"/>
    <w:rsid w:val="79D32622"/>
    <w:rsid w:val="7A2A6918"/>
    <w:rsid w:val="7A4018F8"/>
    <w:rsid w:val="7A421DA0"/>
    <w:rsid w:val="7A4C1C1A"/>
    <w:rsid w:val="7A755E69"/>
    <w:rsid w:val="7A764CEA"/>
    <w:rsid w:val="7A7C23CA"/>
    <w:rsid w:val="7AD253C0"/>
    <w:rsid w:val="7B0F5C1C"/>
    <w:rsid w:val="7B2302F0"/>
    <w:rsid w:val="7B320A92"/>
    <w:rsid w:val="7B487DE3"/>
    <w:rsid w:val="7BCD0C9F"/>
    <w:rsid w:val="7BFC30EE"/>
    <w:rsid w:val="7C1E3FCE"/>
    <w:rsid w:val="7C5562DE"/>
    <w:rsid w:val="7C7F346E"/>
    <w:rsid w:val="7C8B2673"/>
    <w:rsid w:val="7CB2168F"/>
    <w:rsid w:val="7CC518D2"/>
    <w:rsid w:val="7CE90779"/>
    <w:rsid w:val="7D031975"/>
    <w:rsid w:val="7D281BA3"/>
    <w:rsid w:val="7DB87E27"/>
    <w:rsid w:val="7DD5334D"/>
    <w:rsid w:val="7DDD460B"/>
    <w:rsid w:val="7E136558"/>
    <w:rsid w:val="7E34603C"/>
    <w:rsid w:val="7E3C615B"/>
    <w:rsid w:val="7E6B5A87"/>
    <w:rsid w:val="7ED93A98"/>
    <w:rsid w:val="7EFE660B"/>
    <w:rsid w:val="7F2B1BD4"/>
    <w:rsid w:val="7F8758A5"/>
    <w:rsid w:val="7FB24A89"/>
    <w:rsid w:val="7FCD1A9D"/>
    <w:rsid w:val="7FF449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spacing w:line="380" w:lineRule="exact"/>
      <w:jc w:val="center"/>
      <w:outlineLvl w:val="0"/>
    </w:pPr>
    <w:rPr>
      <w:rFonts w:ascii="宋体"/>
      <w:b/>
      <w:bCs/>
      <w:sz w:val="28"/>
      <w:szCs w:val="20"/>
    </w:rPr>
  </w:style>
  <w:style w:type="paragraph" w:styleId="4">
    <w:name w:val="heading 2"/>
    <w:basedOn w:val="1"/>
    <w:next w:val="1"/>
    <w:link w:val="64"/>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character" w:default="1" w:styleId="47">
    <w:name w:val="Default Paragraph Font"/>
    <w:uiPriority w:val="0"/>
  </w:style>
  <w:style w:type="table" w:default="1" w:styleId="45">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link w:val="66"/>
    <w:autoRedefine/>
    <w:qFormat/>
    <w:uiPriority w:val="0"/>
    <w:pPr>
      <w:spacing w:before="156" w:beforeLines="50" w:after="156" w:afterLines="50" w:line="400" w:lineRule="exact"/>
    </w:pPr>
    <w:rPr>
      <w:rFonts w:ascii="宋体" w:hAnsi="Courier New"/>
      <w:sz w:val="24"/>
    </w:rPr>
  </w:style>
  <w:style w:type="paragraph" w:styleId="6">
    <w:name w:val="toc 7"/>
    <w:basedOn w:val="1"/>
    <w:next w:val="1"/>
    <w:autoRedefine/>
    <w:qFormat/>
    <w:uiPriority w:val="0"/>
    <w:pPr>
      <w:ind w:left="2520" w:leftChars="1200"/>
    </w:pPr>
  </w:style>
  <w:style w:type="paragraph" w:styleId="7">
    <w:name w:val="List Number"/>
    <w:basedOn w:val="1"/>
    <w:autoRedefine/>
    <w:qFormat/>
    <w:uiPriority w:val="0"/>
    <w:pPr>
      <w:widowControl/>
      <w:numPr>
        <w:ilvl w:val="0"/>
        <w:numId w:val="1"/>
      </w:numPr>
      <w:tabs>
        <w:tab w:val="left" w:pos="454"/>
        <w:tab w:val="left" w:pos="720"/>
        <w:tab w:val="clear" w:pos="900"/>
      </w:tabs>
      <w:spacing w:after="156" w:afterLines="50"/>
      <w:ind w:left="454" w:hanging="284"/>
      <w:jc w:val="left"/>
    </w:pPr>
    <w:rPr>
      <w:kern w:val="0"/>
      <w:sz w:val="24"/>
      <w:szCs w:val="20"/>
    </w:rPr>
  </w:style>
  <w:style w:type="paragraph" w:styleId="8">
    <w:name w:val="Normal Indent"/>
    <w:basedOn w:val="1"/>
    <w:next w:val="1"/>
    <w:link w:val="75"/>
    <w:autoRedefine/>
    <w:qFormat/>
    <w:uiPriority w:val="0"/>
    <w:pPr>
      <w:ind w:firstLine="420"/>
    </w:pPr>
    <w:rPr>
      <w:szCs w:val="20"/>
    </w:rPr>
  </w:style>
  <w:style w:type="paragraph" w:styleId="9">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0">
    <w:name w:val="Document Map"/>
    <w:basedOn w:val="1"/>
    <w:link w:val="62"/>
    <w:semiHidden/>
    <w:qFormat/>
    <w:uiPriority w:val="0"/>
    <w:pPr>
      <w:shd w:val="clear" w:color="auto" w:fill="000080"/>
    </w:pPr>
  </w:style>
  <w:style w:type="paragraph" w:styleId="11">
    <w:name w:val="annotation text"/>
    <w:basedOn w:val="1"/>
    <w:link w:val="73"/>
    <w:qFormat/>
    <w:uiPriority w:val="99"/>
    <w:pPr>
      <w:jc w:val="left"/>
    </w:pPr>
    <w:rPr>
      <w:rFonts w:ascii="宋体" w:hAnsi="宋体"/>
      <w:w w:val="80"/>
      <w:sz w:val="24"/>
    </w:rPr>
  </w:style>
  <w:style w:type="paragraph" w:styleId="12">
    <w:name w:val="Body Text 3"/>
    <w:basedOn w:val="1"/>
    <w:link w:val="72"/>
    <w:autoRedefine/>
    <w:qFormat/>
    <w:uiPriority w:val="0"/>
    <w:pPr>
      <w:snapToGrid w:val="0"/>
      <w:spacing w:before="50" w:beforeLines="0" w:after="50" w:afterLines="0"/>
    </w:pPr>
    <w:rPr>
      <w:rFonts w:hAnsi="宋体" w:eastAsia="仿宋_GB2312"/>
      <w:b/>
      <w:bCs/>
      <w:sz w:val="24"/>
      <w:szCs w:val="20"/>
    </w:rPr>
  </w:style>
  <w:style w:type="paragraph" w:styleId="13">
    <w:name w:val="Body Text"/>
    <w:basedOn w:val="1"/>
    <w:next w:val="1"/>
    <w:link w:val="56"/>
    <w:autoRedefine/>
    <w:qFormat/>
    <w:uiPriority w:val="0"/>
    <w:pPr>
      <w:spacing w:after="120" w:afterLines="0"/>
    </w:pPr>
    <w:rPr>
      <w:sz w:val="28"/>
    </w:rPr>
  </w:style>
  <w:style w:type="paragraph" w:styleId="14">
    <w:name w:val="Body Text Indent"/>
    <w:basedOn w:val="1"/>
    <w:next w:val="1"/>
    <w:link w:val="55"/>
    <w:qFormat/>
    <w:uiPriority w:val="0"/>
    <w:pPr>
      <w:spacing w:line="200" w:lineRule="exact"/>
      <w:ind w:firstLine="301"/>
    </w:pPr>
    <w:rPr>
      <w:rFonts w:ascii="宋体" w:hAnsi="Courier New"/>
      <w:spacing w:val="-4"/>
      <w:sz w:val="18"/>
      <w:szCs w:val="20"/>
    </w:rPr>
  </w:style>
  <w:style w:type="paragraph" w:styleId="15">
    <w:name w:val="List Number 3"/>
    <w:basedOn w:val="1"/>
    <w:autoRedefine/>
    <w:qFormat/>
    <w:uiPriority w:val="0"/>
    <w:pPr>
      <w:numPr>
        <w:ilvl w:val="0"/>
        <w:numId w:val="2"/>
      </w:numPr>
    </w:pPr>
  </w:style>
  <w:style w:type="paragraph" w:styleId="16">
    <w:name w:val="List 2"/>
    <w:basedOn w:val="1"/>
    <w:autoRedefine/>
    <w:qFormat/>
    <w:uiPriority w:val="0"/>
    <w:pPr>
      <w:ind w:left="100" w:leftChars="200" w:hanging="200" w:hangingChars="200"/>
    </w:pPr>
    <w:rPr>
      <w:sz w:val="28"/>
    </w:rPr>
  </w:style>
  <w:style w:type="paragraph" w:styleId="17">
    <w:name w:val="Block Text"/>
    <w:basedOn w:val="1"/>
    <w:unhideWhenUsed/>
    <w:qFormat/>
    <w:uiPriority w:val="99"/>
    <w:pPr>
      <w:spacing w:after="120"/>
      <w:ind w:left="1440" w:leftChars="700" w:right="1440" w:rightChars="700"/>
    </w:pPr>
  </w:style>
  <w:style w:type="paragraph" w:styleId="18">
    <w:name w:val="List Bullet 2"/>
    <w:basedOn w:val="1"/>
    <w:autoRedefine/>
    <w:qFormat/>
    <w:uiPriority w:val="0"/>
    <w:pPr>
      <w:numPr>
        <w:ilvl w:val="0"/>
        <w:numId w:val="3"/>
      </w:numPr>
      <w:tabs>
        <w:tab w:val="left" w:pos="780"/>
      </w:tabs>
      <w:ind w:firstLine="0"/>
    </w:pPr>
    <w:rPr>
      <w:rFonts w:eastAsia="仿宋_GB2312"/>
      <w:szCs w:val="20"/>
    </w:rPr>
  </w:style>
  <w:style w:type="paragraph" w:styleId="19">
    <w:name w:val="index 4"/>
    <w:basedOn w:val="1"/>
    <w:next w:val="1"/>
    <w:autoRedefine/>
    <w:unhideWhenUsed/>
    <w:qFormat/>
    <w:uiPriority w:val="99"/>
    <w:pPr>
      <w:ind w:left="600" w:leftChars="600"/>
    </w:pPr>
  </w:style>
  <w:style w:type="paragraph" w:styleId="20">
    <w:name w:val="toc 5"/>
    <w:basedOn w:val="1"/>
    <w:next w:val="1"/>
    <w:autoRedefine/>
    <w:qFormat/>
    <w:uiPriority w:val="0"/>
    <w:pPr>
      <w:ind w:left="1680" w:leftChars="800"/>
    </w:pPr>
  </w:style>
  <w:style w:type="paragraph" w:styleId="21">
    <w:name w:val="toc 3"/>
    <w:basedOn w:val="1"/>
    <w:next w:val="1"/>
    <w:autoRedefine/>
    <w:uiPriority w:val="0"/>
    <w:pPr>
      <w:ind w:left="840" w:leftChars="400"/>
    </w:pPr>
  </w:style>
  <w:style w:type="paragraph" w:styleId="22">
    <w:name w:val="toc 8"/>
    <w:basedOn w:val="1"/>
    <w:next w:val="1"/>
    <w:autoRedefine/>
    <w:qFormat/>
    <w:uiPriority w:val="0"/>
    <w:pPr>
      <w:ind w:left="2940" w:leftChars="1400"/>
    </w:pPr>
  </w:style>
  <w:style w:type="paragraph" w:styleId="23">
    <w:name w:val="Date"/>
    <w:basedOn w:val="1"/>
    <w:next w:val="1"/>
    <w:link w:val="65"/>
    <w:autoRedefine/>
    <w:qFormat/>
    <w:uiPriority w:val="0"/>
    <w:pPr>
      <w:ind w:leftChars="2500"/>
    </w:pPr>
    <w:rPr>
      <w:rFonts w:eastAsia="楷体_GB2312"/>
      <w:sz w:val="32"/>
      <w:szCs w:val="20"/>
    </w:rPr>
  </w:style>
  <w:style w:type="paragraph" w:styleId="24">
    <w:name w:val="Body Text Indent 2"/>
    <w:basedOn w:val="1"/>
    <w:link w:val="85"/>
    <w:autoRedefine/>
    <w:qFormat/>
    <w:uiPriority w:val="0"/>
    <w:pPr>
      <w:snapToGrid w:val="0"/>
      <w:ind w:firstLine="542" w:firstLineChars="225"/>
    </w:pPr>
    <w:rPr>
      <w:rFonts w:ascii="仿宋_GB2312" w:hAnsi="宋体" w:cs="Arial"/>
      <w:b/>
      <w:bCs/>
      <w:color w:val="000000"/>
      <w:sz w:val="24"/>
    </w:rPr>
  </w:style>
  <w:style w:type="paragraph" w:styleId="25">
    <w:name w:val="Balloon Text"/>
    <w:basedOn w:val="1"/>
    <w:link w:val="88"/>
    <w:qFormat/>
    <w:uiPriority w:val="0"/>
    <w:rPr>
      <w:sz w:val="18"/>
      <w:szCs w:val="18"/>
    </w:rPr>
  </w:style>
  <w:style w:type="paragraph" w:styleId="26">
    <w:name w:val="footer"/>
    <w:basedOn w:val="1"/>
    <w:link w:val="60"/>
    <w:qFormat/>
    <w:uiPriority w:val="0"/>
    <w:pPr>
      <w:tabs>
        <w:tab w:val="center" w:pos="4153"/>
        <w:tab w:val="right" w:pos="8306"/>
      </w:tabs>
      <w:snapToGrid w:val="0"/>
      <w:jc w:val="left"/>
    </w:pPr>
    <w:rPr>
      <w:rFonts w:eastAsia="黑体"/>
      <w:snapToGrid w:val="0"/>
      <w:kern w:val="0"/>
      <w:sz w:val="18"/>
      <w:szCs w:val="18"/>
    </w:rPr>
  </w:style>
  <w:style w:type="paragraph" w:styleId="27">
    <w:name w:val="envelope return"/>
    <w:basedOn w:val="1"/>
    <w:autoRedefine/>
    <w:qFormat/>
    <w:uiPriority w:val="0"/>
    <w:pPr>
      <w:snapToGrid w:val="0"/>
    </w:pPr>
    <w:rPr>
      <w:rFonts w:ascii="Arial" w:hAnsi="Arial"/>
    </w:rPr>
  </w:style>
  <w:style w:type="paragraph" w:styleId="28">
    <w:name w:val="header"/>
    <w:basedOn w:val="1"/>
    <w:link w:val="91"/>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9">
    <w:name w:val="toc 1"/>
    <w:basedOn w:val="1"/>
    <w:next w:val="1"/>
    <w:qFormat/>
    <w:uiPriority w:val="0"/>
  </w:style>
  <w:style w:type="paragraph" w:styleId="30">
    <w:name w:val="toc 4"/>
    <w:basedOn w:val="1"/>
    <w:next w:val="1"/>
    <w:autoRedefine/>
    <w:qFormat/>
    <w:uiPriority w:val="0"/>
    <w:pPr>
      <w:ind w:left="1260" w:leftChars="600"/>
    </w:pPr>
  </w:style>
  <w:style w:type="paragraph" w:styleId="3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toc 6"/>
    <w:basedOn w:val="1"/>
    <w:next w:val="1"/>
    <w:qFormat/>
    <w:uiPriority w:val="0"/>
    <w:pPr>
      <w:ind w:left="2100" w:leftChars="1000"/>
    </w:pPr>
  </w:style>
  <w:style w:type="paragraph" w:styleId="34">
    <w:name w:val="Body Text Indent 3"/>
    <w:basedOn w:val="1"/>
    <w:link w:val="86"/>
    <w:autoRedefine/>
    <w:qFormat/>
    <w:uiPriority w:val="0"/>
    <w:pPr>
      <w:snapToGrid w:val="0"/>
      <w:ind w:firstLine="480" w:firstLineChars="200"/>
      <w:jc w:val="left"/>
    </w:pPr>
    <w:rPr>
      <w:rFonts w:ascii="仿宋_GB2312" w:hAnsi="宋体" w:eastAsia="仿宋_GB2312"/>
      <w:color w:val="000000"/>
      <w:sz w:val="24"/>
    </w:rPr>
  </w:style>
  <w:style w:type="paragraph" w:styleId="35">
    <w:name w:val="toc 2"/>
    <w:basedOn w:val="1"/>
    <w:next w:val="1"/>
    <w:uiPriority w:val="0"/>
    <w:pPr>
      <w:ind w:left="420" w:leftChars="200"/>
    </w:pPr>
  </w:style>
  <w:style w:type="paragraph" w:styleId="36">
    <w:name w:val="toc 9"/>
    <w:basedOn w:val="1"/>
    <w:next w:val="1"/>
    <w:autoRedefine/>
    <w:qFormat/>
    <w:uiPriority w:val="0"/>
    <w:pPr>
      <w:ind w:left="3360" w:leftChars="1600"/>
    </w:pPr>
  </w:style>
  <w:style w:type="paragraph" w:styleId="37">
    <w:name w:val="Body Text 2"/>
    <w:basedOn w:val="1"/>
    <w:link w:val="59"/>
    <w:qFormat/>
    <w:uiPriority w:val="0"/>
    <w:pPr>
      <w:widowControl/>
      <w:snapToGrid w:val="0"/>
      <w:spacing w:before="50" w:beforeLines="0" w:after="156" w:afterLines="50" w:line="400" w:lineRule="exact"/>
      <w:jc w:val="left"/>
    </w:pPr>
    <w:rPr>
      <w:rFonts w:ascii="宋体" w:hAnsi="宋体"/>
      <w:color w:val="000000"/>
      <w:sz w:val="24"/>
    </w:rPr>
  </w:style>
  <w:style w:type="paragraph" w:styleId="38">
    <w:name w:val="HTML Preformatted"/>
    <w:basedOn w:val="1"/>
    <w:link w:val="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0"/>
    <w:autoRedefine/>
    <w:qFormat/>
    <w:uiPriority w:val="99"/>
    <w:pPr>
      <w:spacing w:before="120" w:after="60" w:line="360" w:lineRule="auto"/>
      <w:jc w:val="center"/>
      <w:outlineLvl w:val="0"/>
    </w:pPr>
    <w:rPr>
      <w:rFonts w:ascii="Cambria" w:hAnsi="Cambria" w:eastAsia="黑体" w:cs="Times New Roman"/>
      <w:b/>
      <w:bCs/>
      <w:sz w:val="32"/>
      <w:szCs w:val="32"/>
    </w:rPr>
  </w:style>
  <w:style w:type="paragraph" w:styleId="41">
    <w:name w:val="annotation subject"/>
    <w:basedOn w:val="11"/>
    <w:next w:val="11"/>
    <w:link w:val="58"/>
    <w:autoRedefine/>
    <w:qFormat/>
    <w:uiPriority w:val="0"/>
    <w:rPr>
      <w:rFonts w:ascii="Times New Roman" w:hAnsi="Times New Roman"/>
      <w:b/>
      <w:bCs/>
      <w:w w:val="100"/>
      <w:sz w:val="21"/>
    </w:rPr>
  </w:style>
  <w:style w:type="paragraph" w:styleId="42">
    <w:name w:val="Body Text First Indent"/>
    <w:basedOn w:val="13"/>
    <w:next w:val="1"/>
    <w:qFormat/>
    <w:uiPriority w:val="99"/>
    <w:pPr>
      <w:ind w:firstLine="420" w:firstLineChars="100"/>
    </w:pPr>
    <w:rPr>
      <w:rFonts w:ascii="Times New Roman" w:hAnsi="Times New Roman"/>
      <w:szCs w:val="20"/>
    </w:rPr>
  </w:style>
  <w:style w:type="paragraph" w:styleId="43">
    <w:name w:val="Body Text First Indent 2"/>
    <w:basedOn w:val="14"/>
    <w:next w:val="44"/>
    <w:qFormat/>
    <w:uiPriority w:val="0"/>
    <w:pPr>
      <w:widowControl/>
      <w:tabs>
        <w:tab w:val="left" w:pos="0"/>
        <w:tab w:val="left" w:pos="1260"/>
        <w:tab w:val="left" w:pos="1365"/>
      </w:tabs>
      <w:ind w:left="200" w:firstLine="200" w:firstLineChars="200"/>
      <w:jc w:val="left"/>
    </w:pPr>
    <w:rPr>
      <w:kern w:val="0"/>
      <w:sz w:val="20"/>
    </w:rPr>
  </w:style>
  <w:style w:type="paragraph" w:customStyle="1" w:styleId="4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46">
    <w:name w:val="Table Grid"/>
    <w:basedOn w:val="45"/>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page number"/>
    <w:autoRedefine/>
    <w:qFormat/>
    <w:uiPriority w:val="0"/>
  </w:style>
  <w:style w:type="character" w:styleId="50">
    <w:name w:val="FollowedHyperlink"/>
    <w:qFormat/>
    <w:uiPriority w:val="0"/>
    <w:rPr>
      <w:color w:val="800080"/>
      <w:u w:val="single"/>
    </w:rPr>
  </w:style>
  <w:style w:type="character" w:styleId="51">
    <w:name w:val="Emphasis"/>
    <w:autoRedefine/>
    <w:qFormat/>
    <w:uiPriority w:val="0"/>
    <w:rPr>
      <w:i/>
    </w:rPr>
  </w:style>
  <w:style w:type="character" w:styleId="52">
    <w:name w:val="Hyperlink"/>
    <w:autoRedefine/>
    <w:qFormat/>
    <w:uiPriority w:val="0"/>
    <w:rPr>
      <w:color w:val="0000FF"/>
      <w:u w:val="single"/>
    </w:rPr>
  </w:style>
  <w:style w:type="character" w:styleId="53">
    <w:name w:val="annotation reference"/>
    <w:qFormat/>
    <w:uiPriority w:val="99"/>
    <w:rPr>
      <w:sz w:val="21"/>
      <w:szCs w:val="21"/>
    </w:rPr>
  </w:style>
  <w:style w:type="character" w:customStyle="1" w:styleId="54">
    <w:name w:val=" Char Char16"/>
    <w:qFormat/>
    <w:uiPriority w:val="0"/>
    <w:rPr>
      <w:rFonts w:ascii="宋体" w:hAnsi="Courier New"/>
      <w:spacing w:val="-4"/>
      <w:kern w:val="2"/>
      <w:sz w:val="18"/>
    </w:rPr>
  </w:style>
  <w:style w:type="character" w:customStyle="1" w:styleId="55">
    <w:name w:val="正文文本缩进 字符"/>
    <w:link w:val="14"/>
    <w:qFormat/>
    <w:uiPriority w:val="0"/>
    <w:rPr>
      <w:rFonts w:ascii="宋体" w:hAnsi="Courier New" w:eastAsia="宋体"/>
      <w:spacing w:val="-4"/>
      <w:kern w:val="2"/>
      <w:sz w:val="18"/>
      <w:lang w:val="en-US" w:eastAsia="zh-CN" w:bidi="ar-SA"/>
    </w:rPr>
  </w:style>
  <w:style w:type="character" w:customStyle="1" w:styleId="56">
    <w:name w:val="正文文本 字符"/>
    <w:link w:val="13"/>
    <w:qFormat/>
    <w:uiPriority w:val="0"/>
    <w:rPr>
      <w:kern w:val="2"/>
      <w:sz w:val="28"/>
      <w:szCs w:val="24"/>
    </w:rPr>
  </w:style>
  <w:style w:type="character" w:customStyle="1" w:styleId="57">
    <w:name w:val="日期 Char"/>
    <w:autoRedefine/>
    <w:qFormat/>
    <w:uiPriority w:val="0"/>
    <w:rPr>
      <w:rFonts w:eastAsia="楷体_GB2312"/>
      <w:kern w:val="2"/>
      <w:sz w:val="32"/>
      <w:szCs w:val="24"/>
    </w:rPr>
  </w:style>
  <w:style w:type="character" w:customStyle="1" w:styleId="58">
    <w:name w:val="批注主题 字符"/>
    <w:link w:val="41"/>
    <w:autoRedefine/>
    <w:qFormat/>
    <w:uiPriority w:val="0"/>
    <w:rPr>
      <w:b/>
      <w:bCs/>
      <w:sz w:val="21"/>
    </w:rPr>
  </w:style>
  <w:style w:type="character" w:customStyle="1" w:styleId="59">
    <w:name w:val="正文文本 2 字符"/>
    <w:link w:val="37"/>
    <w:autoRedefine/>
    <w:qFormat/>
    <w:uiPriority w:val="0"/>
    <w:rPr>
      <w:rFonts w:ascii="宋体" w:hAnsi="宋体" w:eastAsia="宋体"/>
      <w:color w:val="000000"/>
      <w:kern w:val="2"/>
      <w:sz w:val="24"/>
      <w:szCs w:val="24"/>
      <w:lang w:val="en-US" w:eastAsia="zh-CN" w:bidi="ar-SA"/>
    </w:rPr>
  </w:style>
  <w:style w:type="character" w:customStyle="1" w:styleId="60">
    <w:name w:val="页脚 字符"/>
    <w:link w:val="26"/>
    <w:autoRedefine/>
    <w:qFormat/>
    <w:uiPriority w:val="0"/>
    <w:rPr>
      <w:rFonts w:eastAsia="黑体"/>
      <w:snapToGrid w:val="0"/>
      <w:sz w:val="18"/>
      <w:szCs w:val="18"/>
    </w:rPr>
  </w:style>
  <w:style w:type="character" w:customStyle="1" w:styleId="61">
    <w:name w:val="标题 3 字符"/>
    <w:link w:val="5"/>
    <w:autoRedefine/>
    <w:qFormat/>
    <w:uiPriority w:val="0"/>
    <w:rPr>
      <w:b/>
      <w:bCs/>
      <w:kern w:val="2"/>
      <w:sz w:val="32"/>
      <w:szCs w:val="32"/>
    </w:rPr>
  </w:style>
  <w:style w:type="character" w:customStyle="1" w:styleId="62">
    <w:name w:val="文档结构图 字符"/>
    <w:link w:val="10"/>
    <w:autoRedefine/>
    <w:semiHidden/>
    <w:qFormat/>
    <w:uiPriority w:val="0"/>
    <w:rPr>
      <w:kern w:val="2"/>
      <w:sz w:val="21"/>
      <w:szCs w:val="24"/>
      <w:shd w:val="clear" w:color="auto" w:fill="000080"/>
    </w:rPr>
  </w:style>
  <w:style w:type="character" w:customStyle="1" w:styleId="63">
    <w:name w:val="font31"/>
    <w:autoRedefine/>
    <w:qFormat/>
    <w:uiPriority w:val="0"/>
    <w:rPr>
      <w:rFonts w:hint="eastAsia" w:ascii="宋体" w:hAnsi="宋体" w:eastAsia="宋体" w:cs="宋体"/>
      <w:color w:val="000000"/>
      <w:sz w:val="22"/>
      <w:szCs w:val="22"/>
      <w:u w:val="none"/>
    </w:rPr>
  </w:style>
  <w:style w:type="character" w:customStyle="1" w:styleId="64">
    <w:name w:val="标题 2 字符"/>
    <w:link w:val="4"/>
    <w:autoRedefine/>
    <w:qFormat/>
    <w:uiPriority w:val="0"/>
    <w:rPr>
      <w:rFonts w:ascii="Arial" w:hAnsi="Arial" w:eastAsia="黑体"/>
      <w:b/>
      <w:bCs/>
      <w:kern w:val="2"/>
      <w:sz w:val="32"/>
      <w:szCs w:val="32"/>
    </w:rPr>
  </w:style>
  <w:style w:type="character" w:customStyle="1" w:styleId="65">
    <w:name w:val="日期 字符"/>
    <w:link w:val="23"/>
    <w:autoRedefine/>
    <w:qFormat/>
    <w:uiPriority w:val="0"/>
    <w:rPr>
      <w:rFonts w:eastAsia="楷体_GB2312"/>
      <w:kern w:val="2"/>
      <w:sz w:val="32"/>
      <w:lang w:val="en-US" w:eastAsia="zh-CN" w:bidi="ar-SA"/>
    </w:rPr>
  </w:style>
  <w:style w:type="character" w:customStyle="1" w:styleId="66">
    <w:name w:val="纯文本 字符"/>
    <w:link w:val="2"/>
    <w:autoRedefine/>
    <w:qFormat/>
    <w:uiPriority w:val="0"/>
    <w:rPr>
      <w:rFonts w:ascii="宋体" w:hAnsi="Courier New" w:eastAsia="宋体"/>
      <w:kern w:val="2"/>
      <w:sz w:val="24"/>
      <w:szCs w:val="24"/>
      <w:lang w:val="en-US" w:eastAsia="zh-CN" w:bidi="ar-SA"/>
    </w:rPr>
  </w:style>
  <w:style w:type="character" w:customStyle="1" w:styleId="67">
    <w:name w:val="纯文本 Char2"/>
    <w:autoRedefine/>
    <w:qFormat/>
    <w:uiPriority w:val="0"/>
    <w:rPr>
      <w:rFonts w:ascii="宋体" w:hAnsi="Courier New" w:eastAsia="宋体"/>
      <w:kern w:val="2"/>
      <w:sz w:val="21"/>
      <w:lang w:val="en-US" w:eastAsia="zh-CN" w:bidi="ar-SA"/>
    </w:rPr>
  </w:style>
  <w:style w:type="character" w:customStyle="1" w:styleId="68">
    <w:name w:val="纯文本 Char1"/>
    <w:link w:val="69"/>
    <w:autoRedefine/>
    <w:qFormat/>
    <w:uiPriority w:val="99"/>
    <w:rPr>
      <w:rFonts w:ascii="宋体" w:hAnsi="Courier New"/>
    </w:rPr>
  </w:style>
  <w:style w:type="paragraph" w:customStyle="1" w:styleId="69">
    <w:name w:val="Plain Text"/>
    <w:basedOn w:val="1"/>
    <w:link w:val="68"/>
    <w:autoRedefine/>
    <w:qFormat/>
    <w:uiPriority w:val="99"/>
    <w:rPr>
      <w:rFonts w:ascii="宋体" w:hAnsi="Courier New"/>
      <w:kern w:val="0"/>
      <w:sz w:val="20"/>
      <w:szCs w:val="20"/>
    </w:rPr>
  </w:style>
  <w:style w:type="character" w:customStyle="1" w:styleId="70">
    <w:name w:val="标题 1 字符"/>
    <w:link w:val="3"/>
    <w:autoRedefine/>
    <w:qFormat/>
    <w:uiPriority w:val="0"/>
    <w:rPr>
      <w:rFonts w:ascii="宋体"/>
      <w:b/>
      <w:bCs/>
      <w:kern w:val="2"/>
      <w:sz w:val="28"/>
    </w:rPr>
  </w:style>
  <w:style w:type="character" w:customStyle="1" w:styleId="71">
    <w:name w:val="font21"/>
    <w:autoRedefine/>
    <w:qFormat/>
    <w:uiPriority w:val="0"/>
    <w:rPr>
      <w:rFonts w:hint="default" w:ascii="Calibri" w:hAnsi="Calibri" w:cs="Calibri"/>
      <w:b/>
      <w:bCs/>
      <w:color w:val="FF0000"/>
      <w:sz w:val="28"/>
      <w:szCs w:val="28"/>
      <w:u w:val="none"/>
    </w:rPr>
  </w:style>
  <w:style w:type="character" w:customStyle="1" w:styleId="72">
    <w:name w:val="正文文本 3 字符"/>
    <w:link w:val="12"/>
    <w:autoRedefine/>
    <w:qFormat/>
    <w:uiPriority w:val="0"/>
    <w:rPr>
      <w:rFonts w:hAnsi="宋体" w:eastAsia="仿宋_GB2312"/>
      <w:b/>
      <w:bCs/>
      <w:kern w:val="2"/>
      <w:sz w:val="24"/>
    </w:rPr>
  </w:style>
  <w:style w:type="character" w:customStyle="1" w:styleId="73">
    <w:name w:val="批注文字 字符"/>
    <w:link w:val="11"/>
    <w:autoRedefine/>
    <w:qFormat/>
    <w:uiPriority w:val="99"/>
    <w:rPr>
      <w:rFonts w:ascii="宋体" w:hAnsi="宋体"/>
      <w:w w:val="80"/>
      <w:kern w:val="2"/>
      <w:sz w:val="24"/>
      <w:szCs w:val="24"/>
    </w:rPr>
  </w:style>
  <w:style w:type="character" w:customStyle="1" w:styleId="74">
    <w:name w:val="font14zd"/>
    <w:autoRedefine/>
    <w:qFormat/>
    <w:uiPriority w:val="0"/>
  </w:style>
  <w:style w:type="character" w:customStyle="1" w:styleId="75">
    <w:name w:val="正文缩进 字符"/>
    <w:link w:val="8"/>
    <w:autoRedefine/>
    <w:qFormat/>
    <w:uiPriority w:val="0"/>
    <w:rPr>
      <w:kern w:val="2"/>
      <w:sz w:val="21"/>
    </w:rPr>
  </w:style>
  <w:style w:type="character" w:customStyle="1" w:styleId="76">
    <w:name w:val="font41"/>
    <w:autoRedefine/>
    <w:qFormat/>
    <w:uiPriority w:val="0"/>
    <w:rPr>
      <w:rFonts w:hint="eastAsia" w:ascii="宋体" w:hAnsi="宋体" w:eastAsia="宋体" w:cs="宋体"/>
      <w:b/>
      <w:bCs/>
      <w:color w:val="000000"/>
      <w:sz w:val="21"/>
      <w:szCs w:val="21"/>
      <w:u w:val="none"/>
    </w:rPr>
  </w:style>
  <w:style w:type="character" w:customStyle="1" w:styleId="77">
    <w:name w:val="Char Char16"/>
    <w:autoRedefine/>
    <w:qFormat/>
    <w:uiPriority w:val="0"/>
    <w:rPr>
      <w:rFonts w:ascii="宋体" w:hAnsi="Courier New"/>
      <w:spacing w:val="-4"/>
      <w:kern w:val="2"/>
      <w:sz w:val="18"/>
    </w:rPr>
  </w:style>
  <w:style w:type="character" w:customStyle="1" w:styleId="78">
    <w:name w:val="font61"/>
    <w:autoRedefine/>
    <w:qFormat/>
    <w:uiPriority w:val="0"/>
    <w:rPr>
      <w:rFonts w:hint="eastAsia" w:ascii="宋体" w:hAnsi="宋体" w:eastAsia="宋体" w:cs="宋体"/>
      <w:b/>
      <w:bCs/>
      <w:color w:val="FF0000"/>
      <w:sz w:val="28"/>
      <w:szCs w:val="28"/>
      <w:u w:val="none"/>
    </w:rPr>
  </w:style>
  <w:style w:type="character" w:customStyle="1" w:styleId="79">
    <w:name w:val="HTML 预设格式 字符"/>
    <w:link w:val="38"/>
    <w:autoRedefine/>
    <w:qFormat/>
    <w:uiPriority w:val="0"/>
    <w:rPr>
      <w:rFonts w:ascii="Arial" w:hAnsi="Arial" w:cs="Arial"/>
      <w:sz w:val="24"/>
      <w:szCs w:val="24"/>
    </w:rPr>
  </w:style>
  <w:style w:type="character" w:customStyle="1" w:styleId="80">
    <w:name w:val="标题 字符"/>
    <w:link w:val="40"/>
    <w:autoRedefine/>
    <w:qFormat/>
    <w:uiPriority w:val="99"/>
    <w:rPr>
      <w:rFonts w:ascii="Cambria" w:hAnsi="Cambria" w:eastAsia="黑体" w:cs="Times New Roman"/>
      <w:b/>
      <w:bCs/>
      <w:kern w:val="2"/>
      <w:sz w:val="32"/>
      <w:szCs w:val="32"/>
    </w:rPr>
  </w:style>
  <w:style w:type="character" w:customStyle="1" w:styleId="81">
    <w:name w:val="正  文 Char"/>
    <w:link w:val="82"/>
    <w:autoRedefine/>
    <w:qFormat/>
    <w:uiPriority w:val="0"/>
    <w:rPr>
      <w:rFonts w:eastAsia="等线"/>
      <w:kern w:val="2"/>
      <w:sz w:val="21"/>
      <w:szCs w:val="24"/>
    </w:rPr>
  </w:style>
  <w:style w:type="paragraph" w:customStyle="1" w:styleId="82">
    <w:name w:val="正  文"/>
    <w:basedOn w:val="1"/>
    <w:link w:val="81"/>
    <w:autoRedefine/>
    <w:qFormat/>
    <w:uiPriority w:val="0"/>
    <w:pPr>
      <w:widowControl w:val="0"/>
      <w:jc w:val="both"/>
    </w:pPr>
    <w:rPr>
      <w:rFonts w:ascii="Times New Roman" w:hAnsi="Times New Roman" w:eastAsia="等线" w:cs="Times New Roman"/>
      <w:kern w:val="2"/>
      <w:sz w:val="21"/>
    </w:rPr>
  </w:style>
  <w:style w:type="character" w:customStyle="1" w:styleId="83">
    <w:name w:val="font51"/>
    <w:autoRedefine/>
    <w:qFormat/>
    <w:uiPriority w:val="0"/>
    <w:rPr>
      <w:rFonts w:hint="default" w:ascii="Calibri" w:hAnsi="Calibri" w:cs="Calibri"/>
      <w:b/>
      <w:bCs/>
      <w:color w:val="FF0000"/>
      <w:sz w:val="28"/>
      <w:szCs w:val="28"/>
      <w:u w:val="none"/>
    </w:rPr>
  </w:style>
  <w:style w:type="character" w:customStyle="1" w:styleId="84">
    <w:name w:val="font11"/>
    <w:autoRedefine/>
    <w:qFormat/>
    <w:uiPriority w:val="0"/>
    <w:rPr>
      <w:rFonts w:hint="eastAsia" w:ascii="宋体" w:hAnsi="宋体" w:eastAsia="宋体" w:cs="宋体"/>
      <w:color w:val="000000"/>
      <w:sz w:val="21"/>
      <w:szCs w:val="21"/>
      <w:u w:val="none"/>
    </w:rPr>
  </w:style>
  <w:style w:type="character" w:customStyle="1" w:styleId="85">
    <w:name w:val="正文文本缩进 2 字符"/>
    <w:link w:val="24"/>
    <w:autoRedefine/>
    <w:qFormat/>
    <w:uiPriority w:val="0"/>
    <w:rPr>
      <w:rFonts w:ascii="仿宋_GB2312" w:hAnsi="宋体" w:cs="Arial"/>
      <w:b/>
      <w:bCs/>
      <w:color w:val="000000"/>
      <w:kern w:val="2"/>
      <w:sz w:val="24"/>
      <w:szCs w:val="24"/>
    </w:rPr>
  </w:style>
  <w:style w:type="character" w:customStyle="1" w:styleId="86">
    <w:name w:val="正文文本缩进 3 字符"/>
    <w:link w:val="34"/>
    <w:autoRedefine/>
    <w:qFormat/>
    <w:uiPriority w:val="0"/>
    <w:rPr>
      <w:rFonts w:ascii="仿宋_GB2312" w:hAnsi="宋体" w:eastAsia="仿宋_GB2312"/>
      <w:color w:val="000000"/>
      <w:kern w:val="2"/>
      <w:sz w:val="24"/>
      <w:szCs w:val="24"/>
    </w:rPr>
  </w:style>
  <w:style w:type="character" w:customStyle="1" w:styleId="87">
    <w:name w:val="fontstyle01"/>
    <w:autoRedefine/>
    <w:qFormat/>
    <w:uiPriority w:val="0"/>
    <w:rPr>
      <w:rFonts w:ascii="MicrosoftYaHei" w:hAnsi="MicrosoftYaHei" w:eastAsia="MicrosoftYaHei" w:cs="MicrosoftYaHei"/>
      <w:color w:val="000000"/>
      <w:sz w:val="24"/>
      <w:szCs w:val="24"/>
    </w:rPr>
  </w:style>
  <w:style w:type="character" w:customStyle="1" w:styleId="88">
    <w:name w:val="批注框文本 字符"/>
    <w:link w:val="25"/>
    <w:autoRedefine/>
    <w:qFormat/>
    <w:uiPriority w:val="0"/>
    <w:rPr>
      <w:kern w:val="2"/>
      <w:sz w:val="18"/>
      <w:szCs w:val="18"/>
    </w:rPr>
  </w:style>
  <w:style w:type="character" w:customStyle="1" w:styleId="89">
    <w:name w:val="列表段落 字符"/>
    <w:link w:val="90"/>
    <w:autoRedefine/>
    <w:qFormat/>
    <w:locked/>
    <w:uiPriority w:val="34"/>
    <w:rPr>
      <w:kern w:val="2"/>
      <w:sz w:val="21"/>
      <w:szCs w:val="24"/>
    </w:rPr>
  </w:style>
  <w:style w:type="paragraph" w:customStyle="1" w:styleId="90">
    <w:name w:val="列表段落"/>
    <w:basedOn w:val="1"/>
    <w:link w:val="89"/>
    <w:autoRedefine/>
    <w:qFormat/>
    <w:uiPriority w:val="34"/>
    <w:pPr>
      <w:ind w:firstLine="420" w:firstLineChars="200"/>
    </w:pPr>
  </w:style>
  <w:style w:type="character" w:customStyle="1" w:styleId="91">
    <w:name w:val="页眉 字符"/>
    <w:link w:val="28"/>
    <w:autoRedefine/>
    <w:qFormat/>
    <w:uiPriority w:val="99"/>
    <w:rPr>
      <w:rFonts w:eastAsia="仿宋_GB2312"/>
      <w:kern w:val="2"/>
      <w:sz w:val="18"/>
    </w:rPr>
  </w:style>
  <w:style w:type="character" w:customStyle="1" w:styleId="92">
    <w:name w:val="apple-converted-space"/>
    <w:autoRedefine/>
    <w:qFormat/>
    <w:uiPriority w:val="0"/>
    <w:rPr>
      <w:rFonts w:ascii="宋体" w:hAnsi="宋体" w:eastAsia="宋体"/>
      <w:i/>
      <w:kern w:val="2"/>
      <w:sz w:val="24"/>
      <w:szCs w:val="24"/>
      <w:lang w:val="en-US" w:eastAsia="zh-CN" w:bidi="ar-SA"/>
    </w:rPr>
  </w:style>
  <w:style w:type="character" w:customStyle="1" w:styleId="93">
    <w:name w:val="样式1 Char"/>
    <w:link w:val="94"/>
    <w:autoRedefine/>
    <w:qFormat/>
    <w:uiPriority w:val="0"/>
    <w:rPr>
      <w:rFonts w:ascii="宋体" w:hAnsi="宋体" w:eastAsia="宋体"/>
      <w:b/>
      <w:color w:val="000000"/>
      <w:kern w:val="2"/>
      <w:sz w:val="32"/>
    </w:rPr>
  </w:style>
  <w:style w:type="paragraph" w:customStyle="1" w:styleId="94">
    <w:name w:val="样式1"/>
    <w:basedOn w:val="5"/>
    <w:link w:val="93"/>
    <w:autoRedefine/>
    <w:qFormat/>
    <w:uiPriority w:val="0"/>
    <w:pPr>
      <w:keepNext w:val="0"/>
      <w:keepLines w:val="0"/>
      <w:widowControl/>
      <w:spacing w:before="0" w:after="0" w:line="360" w:lineRule="auto"/>
      <w:jc w:val="center"/>
    </w:pPr>
    <w:rPr>
      <w:rFonts w:ascii="宋体" w:hAnsi="宋体" w:eastAsia="宋体"/>
      <w:bCs w:val="0"/>
      <w:color w:val="000000"/>
      <w:szCs w:val="20"/>
    </w:rPr>
  </w:style>
  <w:style w:type="paragraph" w:customStyle="1" w:styleId="95">
    <w:name w:val="默认段落字体 Para Char Char Char Char Char Char Char Char Char1 Char Char Char Char"/>
    <w:basedOn w:val="1"/>
    <w:autoRedefine/>
    <w:qFormat/>
    <w:uiPriority w:val="0"/>
    <w:rPr>
      <w:rFonts w:ascii="Tahoma" w:hAnsi="Tahoma"/>
      <w:sz w:val="24"/>
      <w:szCs w:val="20"/>
    </w:rPr>
  </w:style>
  <w:style w:type="paragraph" w:customStyle="1" w:styleId="96">
    <w:name w:val="xl39"/>
    <w:basedOn w:val="1"/>
    <w:next w:val="97"/>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7">
    <w:name w:val="分手多日，近况如何？"/>
    <w:next w:val="1"/>
    <w:autoRedefine/>
    <w:qFormat/>
    <w:uiPriority w:val="99"/>
    <w:pPr>
      <w:widowControl w:val="0"/>
      <w:jc w:val="both"/>
    </w:pPr>
    <w:rPr>
      <w:rFonts w:ascii="Calibri" w:hAnsi="Calibri" w:eastAsia="等线" w:cs="Times New Roman"/>
      <w:sz w:val="21"/>
      <w:szCs w:val="22"/>
      <w:lang w:val="en-US" w:eastAsia="zh-CN" w:bidi="ar-SA"/>
    </w:rPr>
  </w:style>
  <w:style w:type="paragraph" w:customStyle="1" w:styleId="98">
    <w:name w:val="Char"/>
    <w:basedOn w:val="1"/>
    <w:autoRedefine/>
    <w:qFormat/>
    <w:uiPriority w:val="0"/>
    <w:rPr>
      <w:rFonts w:ascii="宋体" w:hAnsi="宋体"/>
      <w:i/>
      <w:sz w:val="24"/>
    </w:rPr>
  </w:style>
  <w:style w:type="paragraph" w:customStyle="1" w:styleId="99">
    <w:name w:val="图例"/>
    <w:basedOn w:val="1"/>
    <w:autoRedefine/>
    <w:qFormat/>
    <w:uiPriority w:val="0"/>
    <w:pPr>
      <w:spacing w:before="120" w:after="120" w:line="360" w:lineRule="auto"/>
      <w:jc w:val="center"/>
    </w:pPr>
    <w:rPr>
      <w:rFonts w:eastAsia="仿宋_GB2312"/>
      <w:b/>
      <w:sz w:val="24"/>
      <w:szCs w:val="20"/>
    </w:rPr>
  </w:style>
  <w:style w:type="paragraph" w:customStyle="1" w:styleId="100">
    <w:name w:val="Table Paragraph"/>
    <w:basedOn w:val="1"/>
    <w:autoRedefine/>
    <w:qFormat/>
    <w:uiPriority w:val="1"/>
    <w:rPr>
      <w:rFonts w:ascii="宋体" w:hAnsi="宋体" w:eastAsia="宋体" w:cs="宋体"/>
      <w:lang w:val="zh-CN" w:eastAsia="zh-CN" w:bidi="zh-CN"/>
    </w:rPr>
  </w:style>
  <w:style w:type="paragraph" w:customStyle="1" w:styleId="101">
    <w:name w:val="正文空2格  1."/>
    <w:basedOn w:val="1"/>
    <w:autoRedefine/>
    <w:qFormat/>
    <w:uiPriority w:val="0"/>
    <w:pPr>
      <w:adjustRightInd w:val="0"/>
      <w:spacing w:line="360" w:lineRule="auto"/>
      <w:ind w:firstLine="480" w:firstLineChars="200"/>
    </w:pPr>
    <w:rPr>
      <w:rFonts w:ascii="宋体" w:eastAsia="仿宋" w:cs="宋体"/>
      <w:kern w:val="0"/>
      <w:sz w:val="28"/>
      <w:szCs w:val="20"/>
    </w:rPr>
  </w:style>
  <w:style w:type="paragraph" w:customStyle="1" w:styleId="102">
    <w:name w:val="默认段落字体 Para Char Char Char Char Char Char Char"/>
    <w:basedOn w:val="10"/>
    <w:autoRedefine/>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10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06">
    <w:name w:val="正文2"/>
    <w:basedOn w:val="1"/>
    <w:autoRedefine/>
    <w:qFormat/>
    <w:uiPriority w:val="0"/>
    <w:pPr>
      <w:spacing w:beforeLines="50" w:afterLines="50" w:line="360" w:lineRule="auto"/>
      <w:ind w:firstLine="480" w:firstLineChars="200"/>
    </w:pPr>
    <w:rPr>
      <w:rFonts w:ascii="宋体" w:hAnsi="宋体"/>
      <w:sz w:val="24"/>
    </w:rPr>
  </w:style>
  <w:style w:type="paragraph" w:customStyle="1" w:styleId="107">
    <w:name w:val="样式 正文2 + 仿宋_GB2312 黑色 段前: 0 磅 行距: 固定值 23 磅"/>
    <w:basedOn w:val="106"/>
    <w:autoRedefine/>
    <w:qFormat/>
    <w:uiPriority w:val="0"/>
    <w:pPr>
      <w:spacing w:line="360" w:lineRule="exact"/>
      <w:ind w:left="-51" w:leftChars="-51" w:firstLine="0" w:firstLineChars="0"/>
    </w:pPr>
    <w:rPr>
      <w:rFonts w:ascii="仿宋_GB2312" w:hAnsi="仿宋_GB2312" w:eastAsia="仿宋_GB2312" w:cs="宋体"/>
      <w:color w:val="000000"/>
    </w:rPr>
  </w:style>
  <w:style w:type="paragraph" w:customStyle="1" w:styleId="108">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09">
    <w:name w:val="列出段落1"/>
    <w:basedOn w:val="1"/>
    <w:autoRedefine/>
    <w:qFormat/>
    <w:uiPriority w:val="0"/>
    <w:pPr>
      <w:ind w:firstLine="420" w:firstLineChars="200"/>
    </w:pPr>
    <w:rPr>
      <w:szCs w:val="20"/>
    </w:rPr>
  </w:style>
  <w:style w:type="paragraph" w:customStyle="1" w:styleId="110">
    <w:name w:val="章正文"/>
    <w:basedOn w:val="1"/>
    <w:autoRedefine/>
    <w:qFormat/>
    <w:locked/>
    <w:uiPriority w:val="99"/>
    <w:pPr>
      <w:spacing w:beforeLines="50" w:after="120" w:line="300" w:lineRule="auto"/>
      <w:ind w:firstLine="480"/>
    </w:pPr>
    <w:rPr>
      <w:rFonts w:ascii="Helvetica" w:hAnsi="Helvetica"/>
      <w:kern w:val="0"/>
    </w:rPr>
  </w:style>
  <w:style w:type="paragraph" w:customStyle="1" w:styleId="11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12">
    <w:name w:val="样式 标题 5 + 右侧:  -0.18 字符"/>
    <w:basedOn w:val="1"/>
    <w:autoRedefine/>
    <w:qFormat/>
    <w:uiPriority w:val="0"/>
    <w:pPr>
      <w:numPr>
        <w:ilvl w:val="4"/>
        <w:numId w:val="4"/>
      </w:numPr>
      <w:ind w:left="1008" w:hanging="1008"/>
    </w:pPr>
  </w:style>
  <w:style w:type="paragraph" w:customStyle="1" w:styleId="113">
    <w:name w:val="自动更正"/>
    <w:next w:val="96"/>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114">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15">
    <w:name w:val="文档正文"/>
    <w:basedOn w:val="1"/>
    <w:autoRedefine/>
    <w:qFormat/>
    <w:uiPriority w:val="0"/>
    <w:pPr>
      <w:ind w:firstLine="0" w:firstLineChars="0"/>
    </w:pPr>
    <w:rPr>
      <w:rFonts w:ascii="Times New Roman" w:hAnsi="Times New Roman" w:eastAsia="宋体" w:cs="Times New Roman"/>
      <w:sz w:val="24"/>
      <w:szCs w:val="20"/>
    </w:rPr>
  </w:style>
  <w:style w:type="paragraph" w:customStyle="1" w:styleId="116">
    <w:name w:val="样式6"/>
    <w:basedOn w:val="1"/>
    <w:autoRedefine/>
    <w:qFormat/>
    <w:uiPriority w:val="0"/>
    <w:pPr>
      <w:spacing w:line="360" w:lineRule="auto"/>
      <w:ind w:firstLine="200" w:firstLineChars="200"/>
      <w:jc w:val="left"/>
    </w:pPr>
    <w:rPr>
      <w:sz w:val="24"/>
    </w:rPr>
  </w:style>
  <w:style w:type="paragraph" w:customStyle="1" w:styleId="117">
    <w:name w:val="Body Text Indent1"/>
    <w:basedOn w:val="1"/>
    <w:autoRedefine/>
    <w:qFormat/>
    <w:uiPriority w:val="0"/>
    <w:pPr>
      <w:ind w:left="420" w:leftChars="200"/>
    </w:pPr>
    <w:rPr>
      <w:rFonts w:ascii="Times New Roman" w:hAnsi="Times New Roman" w:eastAsia="宋体" w:cs="Times New Roman"/>
    </w:rPr>
  </w:style>
  <w:style w:type="paragraph" w:customStyle="1" w:styleId="118">
    <w:name w:val="Normal"/>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9">
    <w:name w:val="正文－恩普"/>
    <w:basedOn w:val="8"/>
    <w:autoRedefine/>
    <w:qFormat/>
    <w:uiPriority w:val="0"/>
    <w:pPr>
      <w:widowControl/>
      <w:spacing w:line="360" w:lineRule="auto"/>
      <w:ind w:firstLine="480" w:firstLineChars="200"/>
      <w:jc w:val="left"/>
    </w:pPr>
    <w:rPr>
      <w:kern w:val="0"/>
      <w:sz w:val="24"/>
    </w:rPr>
  </w:style>
  <w:style w:type="paragraph" w:customStyle="1" w:styleId="120">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21">
    <w:name w:val="Body Text First Indent 21"/>
    <w:basedOn w:val="117"/>
    <w:autoRedefine/>
    <w:qFormat/>
    <w:uiPriority w:val="0"/>
    <w:pPr>
      <w:ind w:left="420" w:leftChars="200" w:firstLine="420"/>
    </w:pPr>
  </w:style>
  <w:style w:type="paragraph" w:customStyle="1" w:styleId="122">
    <w:name w:val="msolistparagraph"/>
    <w:basedOn w:val="1"/>
    <w:autoRedefine/>
    <w:qFormat/>
    <w:uiPriority w:val="0"/>
    <w:pPr>
      <w:ind w:firstLine="420" w:firstLineChars="200"/>
    </w:pPr>
    <w:rPr>
      <w:rFonts w:cs="Times New Roman"/>
    </w:rPr>
  </w:style>
  <w:style w:type="paragraph" w:customStyle="1" w:styleId="123">
    <w:name w:val="纯文本1"/>
    <w:basedOn w:val="1"/>
    <w:autoRedefine/>
    <w:qFormat/>
    <w:uiPriority w:val="0"/>
    <w:rPr>
      <w:rFonts w:ascii="宋体" w:hAnsi="Courier New" w:cs="Courier New"/>
      <w:szCs w:val="21"/>
    </w:rPr>
  </w:style>
  <w:style w:type="paragraph" w:customStyle="1" w:styleId="124">
    <w:name w:val="正文1"/>
    <w:basedOn w:val="21"/>
    <w:next w:val="113"/>
    <w:autoRedefine/>
    <w:qFormat/>
    <w:uiPriority w:val="0"/>
    <w:pPr>
      <w:widowControl w:val="0"/>
      <w:adjustRightInd w:val="0"/>
      <w:spacing w:line="312" w:lineRule="atLeast"/>
      <w:jc w:val="both"/>
      <w:textAlignment w:val="baseline"/>
    </w:pPr>
    <w:rPr>
      <w:rFonts w:ascii="宋体" w:hAnsi="Calibri"/>
      <w:sz w:val="34"/>
      <w:szCs w:val="22"/>
      <w:lang w:val="en-US" w:eastAsia="zh-CN" w:bidi="ar-SA"/>
    </w:rPr>
  </w:style>
  <w:style w:type="table" w:customStyle="1" w:styleId="125">
    <w:name w:val="网格型3"/>
    <w:basedOn w:val="4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6362</Words>
  <Characters>36265</Characters>
  <Lines>302</Lines>
  <Paragraphs>85</Paragraphs>
  <TotalTime>1</TotalTime>
  <ScaleCrop>false</ScaleCrop>
  <LinksUpToDate>false</LinksUpToDate>
  <CharactersWithSpaces>42542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2022-07-18T00:58:00Z</dcterms:created>
  <dc:creator>匿名用户</dc:creator>
  <cp:lastModifiedBy>WPS_1701756769</cp:lastModifiedBy>
  <cp:lastPrinted>2022-08-04T06:07:00Z</cp:lastPrinted>
  <dcterms:modified xsi:type="dcterms:W3CDTF">2024-02-22T08:58:29Z</dcterms:modified>
  <cp:revision>2</cp:revision>
  <dc:title>浙江省政府采购招标文件范本（试行）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211EFE6D9E194CA186A2DC8262FC9A6B_13</vt:lpwstr>
  </property>
</Properties>
</file>