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5FCE9141">
      <w:pPr>
        <w:pStyle w:val="22"/>
        <w:rPr>
          <w:rFonts w:hAnsi="宋体" w:cs="宋体"/>
        </w:rPr>
      </w:pPr>
    </w:p>
    <w:p w14:paraId="077E47B1">
      <w:pPr>
        <w:snapToGrid w:val="0"/>
        <w:spacing w:line="360" w:lineRule="auto"/>
        <w:jc w:val="left"/>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强蛟镇历史遗留矿山整治项目工程</w:t>
      </w:r>
    </w:p>
    <w:p w14:paraId="75D31EFF">
      <w:pPr>
        <w:snapToGrid w:val="0"/>
        <w:spacing w:line="360" w:lineRule="auto"/>
        <w:jc w:val="left"/>
        <w:rPr>
          <w:rFonts w:hint="default" w:ascii="宋体" w:hAnsi="宋体" w:eastAsia="宋体" w:cs="宋体"/>
          <w:sz w:val="30"/>
          <w:szCs w:val="30"/>
          <w:lang w:val="en-US" w:eastAsia="zh-CN"/>
        </w:rPr>
      </w:pPr>
      <w:r>
        <w:rPr>
          <w:rFonts w:hint="eastAsia" w:ascii="宋体" w:hAnsi="宋体" w:cs="宋体"/>
          <w:sz w:val="30"/>
          <w:szCs w:val="30"/>
        </w:rPr>
        <w:t>项目编号：</w:t>
      </w:r>
      <w:r>
        <w:rPr>
          <w:rFonts w:hint="eastAsia" w:ascii="宋体" w:hAnsi="宋体" w:cs="宋体"/>
          <w:sz w:val="30"/>
          <w:szCs w:val="30"/>
          <w:lang w:eastAsia="zh-CN"/>
        </w:rPr>
        <w:t>NBGJ2025-CG0075</w:t>
      </w:r>
    </w:p>
    <w:p w14:paraId="41FE1AFB">
      <w:pPr>
        <w:adjustRightInd/>
        <w:spacing w:line="360" w:lineRule="auto"/>
        <w:rPr>
          <w:rFonts w:ascii="宋体" w:hAnsi="宋体" w:cs="宋体"/>
          <w:sz w:val="28"/>
          <w:szCs w:val="20"/>
        </w:rPr>
      </w:pPr>
    </w:p>
    <w:p w14:paraId="46C36863">
      <w:pPr>
        <w:spacing w:line="360" w:lineRule="auto"/>
        <w:jc w:val="center"/>
        <w:rPr>
          <w:rFonts w:ascii="宋体" w:hAnsi="宋体" w:cs="宋体"/>
          <w:sz w:val="24"/>
        </w:rPr>
      </w:pPr>
    </w:p>
    <w:p w14:paraId="2FA6AF5D">
      <w:pPr>
        <w:spacing w:line="360" w:lineRule="auto"/>
        <w:jc w:val="center"/>
        <w:rPr>
          <w:rFonts w:ascii="宋体" w:hAnsi="宋体" w:cs="宋体"/>
          <w:sz w:val="24"/>
        </w:rPr>
      </w:pPr>
    </w:p>
    <w:p w14:paraId="4FDC381D">
      <w:pPr>
        <w:pStyle w:val="185"/>
        <w:widowControl w:val="0"/>
        <w:spacing w:before="0" w:beforeAutospacing="0" w:after="0" w:afterAutospacing="0" w:line="360" w:lineRule="auto"/>
        <w:textAlignment w:val="auto"/>
        <w:rPr>
          <w:rFonts w:hint="default" w:ascii="宋体" w:eastAsia="宋体" w:cs="宋体"/>
          <w:kern w:val="2"/>
        </w:rPr>
      </w:pPr>
    </w:p>
    <w:p w14:paraId="664CA29A">
      <w:pPr>
        <w:pStyle w:val="185"/>
        <w:widowControl w:val="0"/>
        <w:spacing w:before="0" w:beforeAutospacing="0" w:after="0" w:afterAutospacing="0" w:line="360" w:lineRule="auto"/>
        <w:textAlignment w:val="auto"/>
        <w:rPr>
          <w:rFonts w:hint="default" w:ascii="宋体" w:eastAsia="宋体" w:cs="宋体"/>
          <w:kern w:val="2"/>
        </w:rPr>
      </w:pPr>
    </w:p>
    <w:p w14:paraId="0AFDE278">
      <w:pPr>
        <w:pStyle w:val="185"/>
        <w:widowControl w:val="0"/>
        <w:spacing w:before="0" w:beforeAutospacing="0" w:after="0" w:afterAutospacing="0" w:line="360" w:lineRule="auto"/>
        <w:textAlignment w:val="auto"/>
        <w:rPr>
          <w:rFonts w:hint="default" w:ascii="宋体" w:eastAsia="宋体" w:cs="宋体"/>
          <w:b/>
        </w:rPr>
      </w:pPr>
    </w:p>
    <w:p w14:paraId="14622A2F">
      <w:pPr>
        <w:snapToGrid w:val="0"/>
        <w:spacing w:line="360" w:lineRule="auto"/>
        <w:jc w:val="center"/>
        <w:rPr>
          <w:rFonts w:ascii="宋体" w:hAnsi="宋体" w:cs="宋体"/>
          <w:sz w:val="32"/>
          <w:szCs w:val="32"/>
        </w:rPr>
      </w:pPr>
    </w:p>
    <w:p w14:paraId="554B72E6">
      <w:pPr>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宁海县强蛟镇人民政府</w:t>
      </w:r>
    </w:p>
    <w:p w14:paraId="3CC430F8">
      <w:pPr>
        <w:spacing w:line="360" w:lineRule="auto"/>
        <w:jc w:val="center"/>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宁波工建工程造价咨询有限公司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755FD4B0">
      <w:pPr>
        <w:tabs>
          <w:tab w:val="left" w:pos="2268"/>
        </w:tabs>
        <w:spacing w:line="360" w:lineRule="auto"/>
        <w:jc w:val="center"/>
        <w:rPr>
          <w:rFonts w:ascii="宋体" w:hAnsi="宋体" w:cs="宋体"/>
          <w:sz w:val="24"/>
        </w:rPr>
      </w:pPr>
    </w:p>
    <w:p w14:paraId="1E75BC61">
      <w:pPr>
        <w:pStyle w:val="22"/>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7A3C19D3">
          <w:pPr>
            <w:pStyle w:val="40"/>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rFonts w:hint="eastAsia"/>
              <w:sz w:val="32"/>
              <w:szCs w:val="40"/>
              <w:lang w:val="en-US" w:eastAsia="zh-CN"/>
            </w:rPr>
            <w:t>1</w:t>
          </w:r>
          <w:r>
            <w:rPr>
              <w:sz w:val="32"/>
              <w:szCs w:val="40"/>
            </w:rPr>
            <w:fldChar w:fldCharType="end"/>
          </w:r>
        </w:p>
        <w:p w14:paraId="73EB56F4">
          <w:pPr>
            <w:pStyle w:val="40"/>
            <w:tabs>
              <w:tab w:val="right" w:leader="dot" w:pos="9070"/>
            </w:tabs>
            <w:spacing w:before="120" w:beforeLines="50" w:after="120" w:afterLines="50" w:line="360" w:lineRule="auto"/>
            <w:rPr>
              <w:rFonts w:hint="eastAsia" w:eastAsia="宋体"/>
              <w:sz w:val="32"/>
              <w:szCs w:val="40"/>
              <w:lang w:val="en-US" w:eastAsia="zh-CN"/>
            </w:rPr>
          </w:pPr>
          <w:r>
            <w:fldChar w:fldCharType="begin"/>
          </w:r>
          <w:r>
            <w:instrText xml:space="preserve"> HYPERLINK \l "_Toc15293" </w:instrText>
          </w:r>
          <w:r>
            <w:fldChar w:fldCharType="separate"/>
          </w:r>
          <w:r>
            <w:rPr>
              <w:rFonts w:hint="eastAsia" w:ascii="宋体" w:hAnsi="宋体" w:cs="宋体"/>
              <w:sz w:val="32"/>
              <w:szCs w:val="28"/>
            </w:rPr>
            <w:t>第</w:t>
          </w:r>
          <w:r>
            <w:rPr>
              <w:rFonts w:hint="eastAsia" w:ascii="宋体" w:hAnsi="宋体" w:cs="宋体"/>
              <w:sz w:val="32"/>
              <w:szCs w:val="28"/>
              <w:lang w:val="en-US" w:eastAsia="zh-CN"/>
            </w:rPr>
            <w:t>二</w:t>
          </w:r>
          <w:r>
            <w:rPr>
              <w:rFonts w:hint="eastAsia" w:ascii="宋体" w:hAnsi="宋体" w:cs="宋体"/>
              <w:sz w:val="32"/>
              <w:szCs w:val="28"/>
            </w:rPr>
            <w:t>部分  供应商须知</w:t>
          </w:r>
          <w:r>
            <w:rPr>
              <w:sz w:val="32"/>
              <w:szCs w:val="40"/>
            </w:rPr>
            <w:tab/>
          </w:r>
          <w:r>
            <w:rPr>
              <w:rFonts w:hint="eastAsia"/>
              <w:sz w:val="32"/>
              <w:szCs w:val="40"/>
              <w:lang w:val="en-US" w:eastAsia="zh-CN"/>
            </w:rPr>
            <w:t>6</w:t>
          </w:r>
          <w:r>
            <w:rPr>
              <w:sz w:val="32"/>
              <w:szCs w:val="40"/>
            </w:rPr>
            <w:fldChar w:fldCharType="end"/>
          </w:r>
        </w:p>
        <w:p w14:paraId="1768B055">
          <w:pPr>
            <w:pStyle w:val="40"/>
            <w:tabs>
              <w:tab w:val="right" w:leader="dot" w:pos="9070"/>
            </w:tabs>
            <w:spacing w:before="120" w:beforeLines="50" w:after="120" w:afterLines="50" w:line="360" w:lineRule="auto"/>
            <w:rPr>
              <w:rFonts w:hint="eastAsia" w:eastAsia="宋体"/>
              <w:sz w:val="32"/>
              <w:szCs w:val="40"/>
              <w:lang w:val="en-US" w:eastAsia="zh-CN"/>
            </w:rPr>
          </w:pPr>
          <w:r>
            <w:fldChar w:fldCharType="begin"/>
          </w:r>
          <w:r>
            <w:instrText xml:space="preserve"> HYPERLINK \l "_Toc7028" </w:instrText>
          </w:r>
          <w:r>
            <w:fldChar w:fldCharType="separate"/>
          </w:r>
          <w:r>
            <w:rPr>
              <w:rFonts w:hint="eastAsia" w:ascii="宋体" w:hAnsi="宋体" w:cs="宋体"/>
              <w:sz w:val="32"/>
              <w:szCs w:val="52"/>
            </w:rPr>
            <w:t>第</w:t>
          </w:r>
          <w:r>
            <w:rPr>
              <w:rFonts w:hint="eastAsia" w:ascii="宋体" w:hAnsi="宋体" w:cs="宋体"/>
              <w:sz w:val="32"/>
              <w:szCs w:val="52"/>
              <w:lang w:val="en-US" w:eastAsia="zh-CN"/>
            </w:rPr>
            <w:t>三</w:t>
          </w:r>
          <w:r>
            <w:rPr>
              <w:rFonts w:hint="eastAsia" w:ascii="宋体" w:hAnsi="宋体" w:cs="宋体"/>
              <w:sz w:val="32"/>
              <w:szCs w:val="52"/>
            </w:rPr>
            <w:t>部分  采购需求</w:t>
          </w:r>
          <w:r>
            <w:rPr>
              <w:sz w:val="32"/>
              <w:szCs w:val="40"/>
            </w:rPr>
            <w:tab/>
          </w:r>
          <w:r>
            <w:rPr>
              <w:rFonts w:hint="eastAsia"/>
              <w:sz w:val="32"/>
              <w:szCs w:val="40"/>
              <w:lang w:val="en-US" w:eastAsia="zh-CN"/>
            </w:rPr>
            <w:t>2</w:t>
          </w:r>
          <w:r>
            <w:rPr>
              <w:sz w:val="32"/>
              <w:szCs w:val="40"/>
            </w:rPr>
            <w:fldChar w:fldCharType="end"/>
          </w:r>
          <w:r>
            <w:rPr>
              <w:rFonts w:hint="eastAsia"/>
              <w:sz w:val="32"/>
              <w:szCs w:val="40"/>
              <w:lang w:val="en-US" w:eastAsia="zh-CN"/>
            </w:rPr>
            <w:t>4</w:t>
          </w:r>
        </w:p>
        <w:p w14:paraId="622C0757">
          <w:pPr>
            <w:pStyle w:val="40"/>
            <w:tabs>
              <w:tab w:val="right" w:leader="dot" w:pos="9070"/>
            </w:tabs>
            <w:spacing w:before="120" w:beforeLines="50" w:after="120" w:afterLines="50" w:line="360" w:lineRule="auto"/>
            <w:rPr>
              <w:rFonts w:hint="eastAsia" w:eastAsia="宋体"/>
              <w:sz w:val="32"/>
              <w:szCs w:val="40"/>
              <w:lang w:val="en-US" w:eastAsia="zh-CN"/>
            </w:rPr>
          </w:pPr>
          <w:r>
            <w:fldChar w:fldCharType="begin"/>
          </w:r>
          <w:r>
            <w:instrText xml:space="preserve"> HYPERLINK \l "_Toc14200" </w:instrText>
          </w:r>
          <w:r>
            <w:fldChar w:fldCharType="separate"/>
          </w:r>
          <w:r>
            <w:rPr>
              <w:rFonts w:hint="eastAsia" w:ascii="宋体" w:hAnsi="宋体" w:cs="宋体"/>
              <w:sz w:val="32"/>
              <w:szCs w:val="52"/>
            </w:rPr>
            <w:t>第</w:t>
          </w:r>
          <w:r>
            <w:rPr>
              <w:rFonts w:hint="eastAsia" w:ascii="宋体" w:hAnsi="宋体" w:cs="宋体"/>
              <w:sz w:val="32"/>
              <w:szCs w:val="52"/>
              <w:lang w:val="en-US" w:eastAsia="zh-CN"/>
            </w:rPr>
            <w:t>四</w:t>
          </w:r>
          <w:r>
            <w:rPr>
              <w:rFonts w:hint="eastAsia" w:ascii="宋体" w:hAnsi="宋体" w:cs="宋体"/>
              <w:sz w:val="32"/>
              <w:szCs w:val="52"/>
            </w:rPr>
            <w:t>部分  评审方法及评审标准</w:t>
          </w:r>
          <w:r>
            <w:rPr>
              <w:sz w:val="32"/>
              <w:szCs w:val="40"/>
            </w:rPr>
            <w:tab/>
          </w:r>
          <w:r>
            <w:rPr>
              <w:rFonts w:hint="eastAsia"/>
              <w:sz w:val="32"/>
              <w:szCs w:val="40"/>
              <w:lang w:val="en-US" w:eastAsia="zh-CN"/>
            </w:rPr>
            <w:t>2</w:t>
          </w:r>
          <w:r>
            <w:rPr>
              <w:sz w:val="32"/>
              <w:szCs w:val="40"/>
            </w:rPr>
            <w:fldChar w:fldCharType="end"/>
          </w:r>
          <w:r>
            <w:rPr>
              <w:rFonts w:hint="eastAsia"/>
              <w:sz w:val="32"/>
              <w:szCs w:val="40"/>
              <w:lang w:val="en-US" w:eastAsia="zh-CN"/>
            </w:rPr>
            <w:t>8</w:t>
          </w:r>
        </w:p>
        <w:p w14:paraId="2B628E7C">
          <w:pPr>
            <w:pStyle w:val="40"/>
            <w:tabs>
              <w:tab w:val="right" w:leader="dot" w:pos="9070"/>
            </w:tabs>
            <w:spacing w:before="120" w:beforeLines="50" w:after="120" w:afterLines="50" w:line="360" w:lineRule="auto"/>
            <w:rPr>
              <w:rFonts w:hint="eastAsia" w:eastAsia="宋体"/>
              <w:sz w:val="32"/>
              <w:szCs w:val="40"/>
              <w:lang w:val="en-US" w:eastAsia="zh-CN"/>
            </w:rPr>
          </w:pPr>
          <w:r>
            <w:fldChar w:fldCharType="begin"/>
          </w:r>
          <w:r>
            <w:instrText xml:space="preserve"> HYPERLINK \l "_Toc230" </w:instrText>
          </w:r>
          <w:r>
            <w:fldChar w:fldCharType="separate"/>
          </w:r>
          <w:r>
            <w:rPr>
              <w:rFonts w:hint="eastAsia" w:ascii="宋体" w:hAnsi="宋体" w:cs="宋体"/>
              <w:sz w:val="32"/>
              <w:szCs w:val="52"/>
            </w:rPr>
            <w:t>第</w:t>
          </w:r>
          <w:r>
            <w:rPr>
              <w:rFonts w:hint="eastAsia" w:ascii="宋体" w:hAnsi="宋体" w:cs="宋体"/>
              <w:sz w:val="32"/>
              <w:szCs w:val="52"/>
              <w:lang w:val="en-US" w:eastAsia="zh-CN"/>
            </w:rPr>
            <w:t>五</w:t>
          </w:r>
          <w:r>
            <w:rPr>
              <w:rFonts w:hint="eastAsia" w:ascii="宋体" w:hAnsi="宋体" w:cs="宋体"/>
              <w:sz w:val="32"/>
              <w:szCs w:val="52"/>
            </w:rPr>
            <w:t>部分  拟签订的合同文本</w:t>
          </w:r>
          <w:r>
            <w:rPr>
              <w:sz w:val="32"/>
              <w:szCs w:val="40"/>
            </w:rPr>
            <w:tab/>
          </w:r>
          <w:r>
            <w:rPr>
              <w:rFonts w:hint="eastAsia"/>
              <w:sz w:val="32"/>
              <w:szCs w:val="40"/>
              <w:lang w:val="en-US" w:eastAsia="zh-CN"/>
            </w:rPr>
            <w:t>4</w:t>
          </w:r>
          <w:r>
            <w:rPr>
              <w:sz w:val="32"/>
              <w:szCs w:val="40"/>
            </w:rPr>
            <w:fldChar w:fldCharType="end"/>
          </w:r>
          <w:r>
            <w:rPr>
              <w:rFonts w:hint="eastAsia"/>
              <w:sz w:val="32"/>
              <w:szCs w:val="40"/>
              <w:lang w:val="en-US" w:eastAsia="zh-CN"/>
            </w:rPr>
            <w:t>0</w:t>
          </w:r>
        </w:p>
        <w:p w14:paraId="2564C8EB">
          <w:pPr>
            <w:pStyle w:val="40"/>
            <w:tabs>
              <w:tab w:val="right" w:leader="dot" w:pos="9070"/>
            </w:tabs>
            <w:spacing w:before="120" w:beforeLines="50" w:after="120" w:afterLines="50" w:line="360" w:lineRule="auto"/>
            <w:rPr>
              <w:rFonts w:hint="eastAsia" w:eastAsia="宋体"/>
              <w:sz w:val="32"/>
              <w:szCs w:val="40"/>
              <w:lang w:val="en-US" w:eastAsia="zh-CN"/>
            </w:rPr>
          </w:pPr>
          <w:r>
            <w:fldChar w:fldCharType="begin"/>
          </w:r>
          <w:r>
            <w:instrText xml:space="preserve"> HYPERLINK \l "_Toc8026" </w:instrText>
          </w:r>
          <w:r>
            <w:fldChar w:fldCharType="separate"/>
          </w:r>
          <w:r>
            <w:rPr>
              <w:rFonts w:hint="eastAsia" w:ascii="宋体" w:hAnsi="宋体" w:cs="宋体"/>
              <w:sz w:val="32"/>
              <w:szCs w:val="28"/>
            </w:rPr>
            <w:t>第</w:t>
          </w:r>
          <w:r>
            <w:rPr>
              <w:rFonts w:hint="eastAsia" w:ascii="宋体" w:hAnsi="宋体" w:cs="宋体"/>
              <w:sz w:val="32"/>
              <w:szCs w:val="28"/>
              <w:lang w:val="en-US" w:eastAsia="zh-CN"/>
            </w:rPr>
            <w:t>六</w:t>
          </w:r>
          <w:r>
            <w:rPr>
              <w:rFonts w:hint="eastAsia" w:ascii="宋体" w:hAnsi="宋体" w:cs="宋体"/>
              <w:sz w:val="32"/>
              <w:szCs w:val="28"/>
            </w:rPr>
            <w:t>部分  应提交的有关格式范例</w:t>
          </w:r>
          <w:r>
            <w:rPr>
              <w:sz w:val="32"/>
              <w:szCs w:val="40"/>
            </w:rPr>
            <w:tab/>
          </w:r>
          <w:r>
            <w:rPr>
              <w:rFonts w:hint="eastAsia"/>
              <w:sz w:val="32"/>
              <w:szCs w:val="40"/>
              <w:lang w:val="en-US" w:eastAsia="zh-CN"/>
            </w:rPr>
            <w:t>7</w:t>
          </w:r>
          <w:r>
            <w:rPr>
              <w:sz w:val="32"/>
              <w:szCs w:val="40"/>
            </w:rPr>
            <w:fldChar w:fldCharType="end"/>
          </w:r>
          <w:r>
            <w:rPr>
              <w:rFonts w:hint="eastAsia"/>
              <w:sz w:val="32"/>
              <w:szCs w:val="40"/>
              <w:lang w:val="en-US" w:eastAsia="zh-CN"/>
            </w:rPr>
            <w:t>2</w:t>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3"/>
      </w:pPr>
    </w:p>
    <w:p w14:paraId="65069A5E">
      <w:pPr>
        <w:pStyle w:val="73"/>
      </w:pPr>
    </w:p>
    <w:p w14:paraId="19183630">
      <w:pPr>
        <w:pStyle w:val="73"/>
      </w:pPr>
    </w:p>
    <w:p w14:paraId="6D812578">
      <w:pPr>
        <w:pStyle w:val="73"/>
        <w:sectPr>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强蛟镇历史遗留矿山整治项目工程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获取采购文件，并于</w:t>
      </w:r>
      <w:r>
        <w:rPr>
          <w:rFonts w:hint="eastAsia" w:ascii="宋体" w:hAnsi="宋体" w:cs="宋体"/>
          <w:sz w:val="24"/>
          <w:u w:val="single"/>
        </w:rPr>
        <w:t xml:space="preserve"> </w:t>
      </w:r>
      <w:r>
        <w:rPr>
          <w:rFonts w:hint="eastAsia" w:ascii="宋体" w:hAnsi="宋体" w:cs="宋体"/>
          <w:sz w:val="24"/>
          <w:u w:val="single"/>
          <w:lang w:eastAsia="zh-CN"/>
        </w:rPr>
        <w:t>2025</w:t>
      </w:r>
      <w:r>
        <w:rPr>
          <w:rFonts w:hint="eastAsia" w:ascii="宋体" w:hAnsi="宋体" w:cs="宋体"/>
          <w:bCs/>
          <w:sz w:val="24"/>
          <w:u w:val="single"/>
        </w:rPr>
        <w:t>年</w:t>
      </w:r>
      <w:r>
        <w:rPr>
          <w:rFonts w:hint="eastAsia" w:ascii="宋体" w:hAnsi="宋体" w:cs="宋体"/>
          <w:bCs/>
          <w:sz w:val="24"/>
          <w:u w:val="single"/>
          <w:lang w:val="en-US" w:eastAsia="zh-CN"/>
        </w:rPr>
        <w:t>7</w:t>
      </w:r>
      <w:r>
        <w:rPr>
          <w:rFonts w:hint="eastAsia" w:ascii="宋体" w:hAnsi="宋体" w:cs="宋体"/>
          <w:bCs/>
          <w:sz w:val="24"/>
          <w:u w:val="single"/>
        </w:rPr>
        <w:t>月</w:t>
      </w:r>
      <w:r>
        <w:rPr>
          <w:rFonts w:hint="eastAsia" w:ascii="宋体" w:hAnsi="宋体" w:cs="宋体"/>
          <w:bCs/>
          <w:sz w:val="24"/>
          <w:u w:val="single"/>
          <w:lang w:val="en-US" w:eastAsia="zh-CN"/>
        </w:rPr>
        <w:t>17</w:t>
      </w:r>
      <w:r>
        <w:rPr>
          <w:rFonts w:hint="eastAsia" w:ascii="宋体" w:hAnsi="宋体" w:cs="宋体"/>
          <w:bCs/>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点</w:t>
      </w:r>
      <w:r>
        <w:rPr>
          <w:rFonts w:hint="eastAsia" w:ascii="宋体" w:hAnsi="宋体" w:cs="宋体"/>
          <w:bCs/>
          <w:sz w:val="24"/>
          <w:u w:val="single"/>
          <w:lang w:val="en-US" w:eastAsia="zh-CN"/>
        </w:rPr>
        <w:t>00</w:t>
      </w:r>
      <w:r>
        <w:rPr>
          <w:rFonts w:hint="eastAsia" w:ascii="宋体" w:hAnsi="宋体" w:cs="宋体"/>
          <w:bCs/>
          <w:sz w:val="24"/>
          <w:u w:val="single"/>
        </w:rPr>
        <w:t>分00秒</w:t>
      </w:r>
      <w:r>
        <w:rPr>
          <w:rFonts w:hint="eastAsia" w:ascii="宋体" w:hAnsi="宋体" w:cs="宋体"/>
          <w:bCs/>
          <w:sz w:val="24"/>
        </w:rPr>
        <w:t>（北京时间）前提交响应文件</w:t>
      </w:r>
      <w:r>
        <w:rPr>
          <w:rFonts w:hint="eastAsia" w:ascii="宋体" w:hAnsi="宋体" w:cs="宋体"/>
          <w:sz w:val="24"/>
        </w:rPr>
        <w:t>。</w:t>
      </w:r>
    </w:p>
    <w:p w14:paraId="27CDDAFC">
      <w:pPr>
        <w:tabs>
          <w:tab w:val="left" w:pos="432"/>
        </w:tabs>
        <w:spacing w:line="360" w:lineRule="auto"/>
        <w:ind w:left="432" w:hanging="432"/>
        <w:rPr>
          <w:rFonts w:hint="eastAsia" w:ascii="宋体" w:hAnsi="宋体" w:eastAsia="宋体" w:cs="宋体"/>
          <w:sz w:val="24"/>
        </w:rPr>
      </w:pPr>
      <w:bookmarkStart w:id="5" w:name="_Toc35393798"/>
      <w:bookmarkStart w:id="6" w:name="_Toc35393629"/>
      <w:bookmarkStart w:id="7" w:name="_Toc28359089"/>
      <w:bookmarkStart w:id="8" w:name="_Toc28359012"/>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2D8BBE7E">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cs="宋体"/>
          <w:sz w:val="24"/>
          <w:lang w:eastAsia="zh-CN"/>
        </w:rPr>
        <w:t>NBGJ2025-CG0075</w:t>
      </w:r>
    </w:p>
    <w:p w14:paraId="263F4E5E">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sz w:val="24"/>
        </w:rPr>
        <w:t>项目名称：</w:t>
      </w:r>
      <w:r>
        <w:rPr>
          <w:rFonts w:hint="eastAsia" w:ascii="宋体" w:hAnsi="宋体" w:cs="宋体"/>
          <w:sz w:val="24"/>
          <w:lang w:eastAsia="zh-CN"/>
        </w:rPr>
        <w:t>强蛟镇历史遗留矿山整治项目工程</w:t>
      </w:r>
    </w:p>
    <w:p w14:paraId="2C9660F2">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采购方式：</w:t>
      </w:r>
      <w:r>
        <w:rPr>
          <w:rFonts w:hint="eastAsia" w:ascii="宋体" w:hAnsi="宋体" w:eastAsia="宋体" w:cs="宋体"/>
          <w:sz w:val="24"/>
          <w:lang w:eastAsia="zh-CN"/>
        </w:rPr>
        <w:t>竞争性磋商</w:t>
      </w:r>
    </w:p>
    <w:p w14:paraId="3A631053">
      <w:pPr>
        <w:spacing w:line="360" w:lineRule="auto"/>
        <w:ind w:firstLine="482" w:firstLineChars="200"/>
        <w:rPr>
          <w:rFonts w:hint="default" w:ascii="宋体" w:hAnsi="宋体" w:eastAsia="宋体" w:cs="宋体"/>
          <w:sz w:val="24"/>
          <w:lang w:val="en-US"/>
        </w:rPr>
      </w:pPr>
      <w:r>
        <w:rPr>
          <w:rFonts w:hint="eastAsia" w:ascii="宋体" w:hAnsi="宋体" w:eastAsia="宋体" w:cs="宋体"/>
          <w:b/>
          <w:sz w:val="24"/>
        </w:rPr>
        <w:t>预算金额（元）：</w:t>
      </w:r>
      <w:r>
        <w:rPr>
          <w:rFonts w:hint="eastAsia" w:ascii="宋体" w:hAnsi="宋体" w:cs="宋体"/>
          <w:bCs/>
          <w:sz w:val="24"/>
          <w:lang w:eastAsia="zh-CN"/>
        </w:rPr>
        <w:t>2606840</w:t>
      </w:r>
      <w:r>
        <w:rPr>
          <w:rFonts w:hint="eastAsia" w:ascii="宋体" w:hAnsi="宋体" w:cs="宋体"/>
          <w:bCs/>
          <w:sz w:val="24"/>
          <w:lang w:val="en-US" w:eastAsia="zh-CN"/>
        </w:rPr>
        <w:t>.00</w:t>
      </w:r>
    </w:p>
    <w:p w14:paraId="28B92299">
      <w:pPr>
        <w:spacing w:line="360" w:lineRule="auto"/>
        <w:ind w:firstLine="482" w:firstLineChars="200"/>
        <w:rPr>
          <w:rFonts w:hint="default" w:ascii="宋体" w:hAnsi="宋体" w:eastAsia="宋体" w:cs="宋体"/>
          <w:b/>
          <w:sz w:val="24"/>
          <w:lang w:val="en-US" w:eastAsia="zh-CN"/>
        </w:rPr>
      </w:pPr>
      <w:r>
        <w:rPr>
          <w:rFonts w:hint="eastAsia" w:ascii="宋体" w:hAnsi="宋体" w:eastAsia="宋体" w:cs="宋体"/>
          <w:b/>
          <w:sz w:val="24"/>
        </w:rPr>
        <w:t>最高限价（元）：</w:t>
      </w:r>
      <w:r>
        <w:rPr>
          <w:rFonts w:hint="eastAsia" w:ascii="宋体" w:hAnsi="宋体" w:cs="宋体"/>
          <w:b/>
          <w:sz w:val="24"/>
          <w:lang w:val="en-US" w:eastAsia="zh-CN"/>
        </w:rPr>
        <w:t xml:space="preserve">2481498.00 </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强蛟镇历史遗留矿山整治项目工程</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eastAsia="宋体" w:cs="宋体"/>
          <w:bCs/>
          <w:sz w:val="24"/>
          <w:lang w:val="en-US" w:eastAsia="zh-CN"/>
        </w:rPr>
        <w:t>自开工令发出之日起</w:t>
      </w:r>
      <w:r>
        <w:rPr>
          <w:rFonts w:hint="eastAsia" w:ascii="宋体" w:hAnsi="宋体" w:cs="宋体"/>
          <w:bCs/>
          <w:sz w:val="24"/>
          <w:lang w:val="en-US" w:eastAsia="zh-CN"/>
        </w:rPr>
        <w:t>120日历天</w:t>
      </w:r>
      <w:r>
        <w:rPr>
          <w:rFonts w:hint="eastAsia" w:ascii="宋体" w:hAnsi="宋体" w:eastAsia="宋体" w:cs="宋体"/>
          <w:bCs/>
          <w:sz w:val="24"/>
          <w:lang w:val="en-US" w:eastAsia="zh-CN"/>
        </w:rPr>
        <w:t>内完成</w:t>
      </w:r>
      <w:r>
        <w:rPr>
          <w:rFonts w:hint="eastAsia" w:ascii="宋体" w:hAnsi="宋体" w:eastAsia="宋体" w:cs="宋体"/>
          <w:bCs/>
          <w:sz w:val="24"/>
        </w:rPr>
        <w:t>。</w:t>
      </w:r>
    </w:p>
    <w:p w14:paraId="22F051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本项目接受联合体投标：</w:t>
      </w:r>
      <w:sdt>
        <w:sdtPr>
          <w:rPr>
            <w:rFonts w:hint="eastAsia" w:ascii="宋体" w:hAnsi="宋体" w:eastAsia="宋体" w:cs="宋体"/>
            <w:b/>
            <w:sz w:val="24"/>
          </w:rPr>
          <w:id w:val="2035453831"/>
          <w14:checkbox>
            <w14:checked w14:val="0"/>
            <w14:checkedState w14:val="00FE" w14:font="Wingdings"/>
            <w14:uncheckedState w14:val="2610" w14:font="MS Gothic"/>
          </w14:checkbox>
        </w:sdtPr>
        <w:sdtEndPr>
          <w:rPr>
            <w:rFonts w:hint="eastAsia" w:ascii="宋体" w:hAnsi="宋体" w:eastAsia="宋体" w:cs="宋体"/>
            <w:b/>
            <w:sz w:val="24"/>
          </w:rPr>
        </w:sdtEndPr>
        <w:sdtContent>
          <w:r>
            <w:rPr>
              <w:rFonts w:hint="eastAsia" w:ascii="宋体" w:hAnsi="宋体" w:eastAsia="宋体" w:cs="宋体"/>
              <w:b/>
              <w:kern w:val="2"/>
              <w:sz w:val="24"/>
              <w:szCs w:val="24"/>
              <w:lang w:val="en-US" w:eastAsia="zh-CN" w:bidi="ar-SA"/>
            </w:rPr>
            <w:t>☐</w:t>
          </w:r>
        </w:sdtContent>
      </w:sdt>
      <w:r>
        <w:rPr>
          <w:rFonts w:hint="eastAsia" w:ascii="宋体" w:hAnsi="宋体" w:eastAsia="宋体" w:cs="宋体"/>
          <w:b/>
          <w:sz w:val="24"/>
        </w:rPr>
        <w:t>是，</w:t>
      </w:r>
      <w:sdt>
        <w:sdtPr>
          <w:rPr>
            <w:rFonts w:hint="eastAsia" w:ascii="宋体" w:hAnsi="宋体" w:eastAsia="宋体" w:cs="宋体"/>
            <w:b/>
            <w:sz w:val="24"/>
          </w:rPr>
          <w:id w:val="-1765526721"/>
          <w14:checkbox>
            <w14:checked w14:val="1"/>
            <w14:checkedState w14:val="00FE" w14:font="Wingdings"/>
            <w14:uncheckedState w14:val="2610" w14:font="MS Gothic"/>
          </w14:checkbox>
        </w:sdtPr>
        <w:sdtEndPr>
          <w:rPr>
            <w:rFonts w:hint="eastAsia" w:ascii="宋体" w:hAnsi="宋体" w:eastAsia="宋体" w:cs="宋体"/>
            <w:b/>
            <w:sz w:val="24"/>
          </w:rPr>
        </w:sdtEndPr>
        <w:sdtContent>
          <w:r>
            <w:rPr>
              <w:rFonts w:hint="eastAsia" w:ascii="Wingdings" w:hAnsi="Wingdings" w:eastAsia="宋体" w:cs="宋体"/>
              <w:b/>
              <w:kern w:val="2"/>
              <w:sz w:val="24"/>
              <w:szCs w:val="24"/>
              <w:lang w:val="en-US" w:eastAsia="zh-CN" w:bidi="ar-SA"/>
            </w:rPr>
            <w:t>þ</w:t>
          </w:r>
        </w:sdtContent>
      </w:sdt>
      <w:r>
        <w:rPr>
          <w:rFonts w:hint="eastAsia" w:ascii="宋体" w:hAnsi="宋体" w:eastAsia="宋体" w:cs="宋体"/>
          <w:b/>
          <w:sz w:val="24"/>
        </w:rPr>
        <w:t>否。</w:t>
      </w:r>
    </w:p>
    <w:p w14:paraId="60C45849">
      <w:pPr>
        <w:spacing w:line="360" w:lineRule="auto"/>
        <w:ind w:firstLine="480" w:firstLineChars="200"/>
        <w:rPr>
          <w:rFonts w:hint="eastAsia" w:ascii="宋体" w:hAnsi="宋体" w:eastAsia="宋体" w:cs="宋体"/>
          <w:sz w:val="24"/>
        </w:rPr>
      </w:pPr>
      <w:bookmarkStart w:id="9" w:name="_Toc28359090"/>
      <w:bookmarkStart w:id="10" w:name="_Toc35393799"/>
      <w:bookmarkStart w:id="11" w:name="_Toc28359013"/>
      <w:bookmarkStart w:id="12" w:name="_Toc35393630"/>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p>
    <w:p w14:paraId="38F5AF29">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7AC90A3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5BC80F3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eastAsia="宋体" w:cs="宋体"/>
          <w:b/>
          <w:bCs/>
          <w:color w:val="auto"/>
          <w:sz w:val="24"/>
          <w:u w:val="single"/>
        </w:rPr>
        <w:t>供应商须具备</w:t>
      </w:r>
      <w:r>
        <w:rPr>
          <w:rFonts w:hint="eastAsia" w:ascii="宋体" w:hAnsi="宋体" w:cs="宋体"/>
          <w:b/>
          <w:bCs/>
          <w:color w:val="auto"/>
          <w:sz w:val="24"/>
          <w:u w:val="single"/>
          <w:lang w:eastAsia="zh-CN"/>
        </w:rPr>
        <w:t>地质灾害治理工程施工乙级及以上资质并具有有效的企业安全生产许可证</w:t>
      </w:r>
      <w:r>
        <w:rPr>
          <w:rFonts w:hint="eastAsia" w:ascii="宋体" w:hAnsi="宋体" w:eastAsia="宋体" w:cs="宋体"/>
          <w:b/>
          <w:bCs/>
          <w:sz w:val="24"/>
          <w:u w:val="single"/>
        </w:rPr>
        <w:t>；项目负责人</w:t>
      </w:r>
      <w:r>
        <w:rPr>
          <w:rFonts w:hint="eastAsia" w:ascii="宋体" w:hAnsi="宋体" w:cs="宋体"/>
          <w:b/>
          <w:bCs/>
          <w:sz w:val="24"/>
          <w:u w:val="single"/>
          <w:lang w:eastAsia="zh-CN"/>
        </w:rPr>
        <w:t>需</w:t>
      </w:r>
      <w:r>
        <w:rPr>
          <w:rFonts w:hint="eastAsia" w:ascii="宋体" w:hAnsi="宋体" w:eastAsia="宋体" w:cs="宋体"/>
          <w:b/>
          <w:bCs/>
          <w:sz w:val="24"/>
          <w:u w:val="single"/>
        </w:rPr>
        <w:t>具备市政公用工程专业二级及以上建造师注册证书，并具有有效的安全生产考核合格证（B证）</w:t>
      </w:r>
      <w:r>
        <w:rPr>
          <w:rFonts w:hint="eastAsia" w:ascii="宋体" w:hAnsi="宋体" w:cs="宋体"/>
          <w:b/>
          <w:bCs/>
          <w:sz w:val="24"/>
          <w:u w:val="single"/>
          <w:lang w:eastAsia="zh-CN"/>
        </w:rPr>
        <w:t>。</w:t>
      </w:r>
    </w:p>
    <w:p w14:paraId="14885AB9">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rPr>
      </w:pPr>
      <w:bookmarkStart w:id="14" w:name="_Toc35393800"/>
      <w:bookmarkStart w:id="15" w:name="_Toc28359091"/>
      <w:bookmarkStart w:id="16" w:name="_Toc28359014"/>
      <w:bookmarkStart w:id="17" w:name="_Toc35393631"/>
      <w:r>
        <w:rPr>
          <w:rFonts w:hint="eastAsia" w:ascii="宋体" w:hAnsi="宋体" w:eastAsia="宋体" w:cs="宋体"/>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cs="宋体"/>
          <w:sz w:val="24"/>
          <w:lang w:eastAsia="zh-CN"/>
        </w:rPr>
        <w:t>2025</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27</w:t>
      </w:r>
      <w:r>
        <w:rPr>
          <w:rFonts w:hint="eastAsia" w:ascii="宋体" w:hAnsi="宋体" w:eastAsia="宋体" w:cs="宋体"/>
          <w:sz w:val="24"/>
        </w:rPr>
        <w:t>日至</w:t>
      </w:r>
      <w:r>
        <w:rPr>
          <w:rFonts w:hint="eastAsia" w:ascii="宋体" w:hAnsi="宋体" w:cs="宋体"/>
          <w:sz w:val="24"/>
          <w:lang w:eastAsia="zh-CN"/>
        </w:rPr>
        <w:t>2025</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4</w:t>
      </w:r>
      <w:r>
        <w:rPr>
          <w:rFonts w:hint="eastAsia" w:ascii="宋体" w:hAnsi="宋体" w:eastAsia="宋体" w:cs="宋体"/>
          <w:sz w:val="24"/>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sz w:val="28"/>
          <w:szCs w:val="28"/>
          <w:u w:val="single"/>
        </w:rPr>
      </w:pPr>
      <w:r>
        <w:rPr>
          <w:rFonts w:hint="eastAsia" w:ascii="宋体" w:hAnsi="宋体" w:eastAsia="宋体" w:cs="宋体"/>
          <w:b/>
          <w:sz w:val="24"/>
        </w:rPr>
        <w:t>地点（网址）：</w:t>
      </w:r>
      <w:r>
        <w:rPr>
          <w:rFonts w:hint="eastAsia" w:ascii="宋体" w:hAnsi="宋体" w:eastAsia="宋体" w:cs="宋体"/>
          <w:bCs/>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bCs/>
          <w:color w:val="auto"/>
          <w:sz w:val="24"/>
        </w:rPr>
        <w:t>https://www.zcygov.cn/</w:t>
      </w:r>
      <w:r>
        <w:rPr>
          <w:rStyle w:val="68"/>
          <w:rFonts w:hint="eastAsia" w:ascii="宋体" w:hAnsi="宋体" w:eastAsia="宋体" w:cs="宋体"/>
          <w:bCs/>
          <w:color w:val="auto"/>
          <w:sz w:val="24"/>
        </w:rPr>
        <w:fldChar w:fldCharType="end"/>
      </w:r>
      <w:r>
        <w:rPr>
          <w:rFonts w:hint="eastAsia" w:ascii="宋体" w:hAnsi="宋体" w:eastAsia="宋体" w:cs="宋体"/>
          <w:bCs/>
          <w:sz w:val="24"/>
        </w:rPr>
        <w:t>）</w:t>
      </w:r>
    </w:p>
    <w:p w14:paraId="3274C542">
      <w:pPr>
        <w:spacing w:line="360"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6FA2AD04">
      <w:pPr>
        <w:tabs>
          <w:tab w:val="left" w:pos="432"/>
        </w:tabs>
        <w:spacing w:line="360" w:lineRule="auto"/>
        <w:ind w:left="432" w:hanging="432"/>
        <w:rPr>
          <w:rFonts w:hint="eastAsia" w:ascii="宋体" w:hAnsi="宋体" w:eastAsia="宋体" w:cs="宋体"/>
          <w:sz w:val="24"/>
        </w:rPr>
      </w:pPr>
      <w:bookmarkStart w:id="18" w:name="_Toc35393632"/>
      <w:bookmarkStart w:id="19" w:name="_Toc28359015"/>
      <w:bookmarkStart w:id="20" w:name="_Toc35393801"/>
      <w:bookmarkStart w:id="21" w:name="_Toc28359092"/>
      <w:r>
        <w:rPr>
          <w:rFonts w:hint="eastAsia" w:ascii="宋体" w:hAnsi="宋体" w:eastAsia="宋体" w:cs="宋体"/>
          <w:sz w:val="24"/>
        </w:rPr>
        <w:t>四、响应文件提交</w:t>
      </w:r>
      <w:bookmarkEnd w:id="18"/>
      <w:bookmarkEnd w:id="19"/>
      <w:bookmarkEnd w:id="20"/>
      <w:bookmarkEnd w:id="21"/>
      <w:r>
        <w:rPr>
          <w:rFonts w:hint="eastAsia" w:ascii="宋体" w:hAnsi="宋体" w:eastAsia="宋体" w:cs="宋体"/>
          <w:sz w:val="24"/>
        </w:rPr>
        <w:t>（上传）</w:t>
      </w:r>
    </w:p>
    <w:p w14:paraId="065D9CD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cs="宋体"/>
          <w:sz w:val="24"/>
          <w:u w:val="single"/>
          <w:lang w:eastAsia="zh-CN"/>
        </w:rPr>
        <w:t>2025</w:t>
      </w:r>
      <w:r>
        <w:rPr>
          <w:rFonts w:hint="eastAsia" w:ascii="宋体" w:hAnsi="宋体" w:eastAsia="宋体" w:cs="宋体"/>
          <w:bCs/>
          <w:sz w:val="24"/>
          <w:u w:val="single"/>
        </w:rPr>
        <w:t>年</w:t>
      </w:r>
      <w:r>
        <w:rPr>
          <w:rFonts w:hint="eastAsia" w:ascii="宋体" w:hAnsi="宋体" w:cs="宋体"/>
          <w:bCs/>
          <w:sz w:val="24"/>
          <w:u w:val="single"/>
          <w:lang w:val="en-US" w:eastAsia="zh-CN"/>
        </w:rPr>
        <w:t>7</w:t>
      </w:r>
      <w:r>
        <w:rPr>
          <w:rFonts w:hint="eastAsia" w:ascii="宋体" w:hAnsi="宋体" w:eastAsia="宋体" w:cs="宋体"/>
          <w:bCs/>
          <w:sz w:val="24"/>
          <w:u w:val="single"/>
        </w:rPr>
        <w:t>月</w:t>
      </w:r>
      <w:r>
        <w:rPr>
          <w:rFonts w:hint="eastAsia" w:ascii="宋体" w:hAnsi="宋体" w:cs="宋体"/>
          <w:bCs/>
          <w:sz w:val="24"/>
          <w:u w:val="single"/>
          <w:lang w:val="en-US" w:eastAsia="zh-CN"/>
        </w:rPr>
        <w:t>17</w:t>
      </w:r>
      <w:r>
        <w:rPr>
          <w:rFonts w:hint="eastAsia" w:ascii="宋体" w:hAnsi="宋体" w:eastAsia="宋体" w:cs="宋体"/>
          <w:bCs/>
          <w:sz w:val="24"/>
          <w:u w:val="single"/>
        </w:rPr>
        <w:t>日</w:t>
      </w:r>
      <w:r>
        <w:rPr>
          <w:rFonts w:hint="eastAsia" w:ascii="宋体" w:hAnsi="宋体" w:cs="宋体"/>
          <w:bCs/>
          <w:sz w:val="24"/>
          <w:u w:val="single"/>
          <w:lang w:val="en-US" w:eastAsia="zh-CN"/>
        </w:rPr>
        <w:t>14</w:t>
      </w:r>
      <w:r>
        <w:rPr>
          <w:rFonts w:hint="eastAsia" w:ascii="宋体" w:hAnsi="宋体" w:eastAsia="宋体" w:cs="宋体"/>
          <w:bCs/>
          <w:sz w:val="24"/>
          <w:u w:val="single"/>
        </w:rPr>
        <w:t>点</w:t>
      </w:r>
      <w:r>
        <w:rPr>
          <w:rFonts w:hint="eastAsia" w:ascii="宋体" w:hAnsi="宋体" w:cs="宋体"/>
          <w:bCs/>
          <w:sz w:val="24"/>
          <w:u w:val="single"/>
          <w:lang w:val="en-US" w:eastAsia="zh-CN"/>
        </w:rPr>
        <w:t>00</w:t>
      </w:r>
      <w:r>
        <w:rPr>
          <w:rFonts w:hint="eastAsia" w:ascii="宋体" w:hAnsi="宋体" w:eastAsia="宋体" w:cs="宋体"/>
          <w:bCs/>
          <w:sz w:val="24"/>
          <w:u w:val="single"/>
        </w:rPr>
        <w:t>分00秒</w:t>
      </w:r>
      <w:r>
        <w:rPr>
          <w:rFonts w:hint="eastAsia" w:ascii="宋体" w:hAnsi="宋体" w:eastAsia="宋体" w:cs="宋体"/>
          <w:bCs/>
          <w:sz w:val="24"/>
        </w:rPr>
        <w:t>（北京时间）</w:t>
      </w:r>
    </w:p>
    <w:p w14:paraId="2223623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7F30F095">
      <w:pPr>
        <w:tabs>
          <w:tab w:val="left" w:pos="432"/>
        </w:tabs>
        <w:spacing w:line="360" w:lineRule="auto"/>
        <w:ind w:left="432" w:hanging="432"/>
        <w:rPr>
          <w:rFonts w:hint="eastAsia" w:ascii="宋体" w:hAnsi="宋体" w:eastAsia="宋体" w:cs="宋体"/>
          <w:sz w:val="24"/>
        </w:rPr>
      </w:pPr>
      <w:bookmarkStart w:id="22" w:name="_Toc28359016"/>
      <w:bookmarkStart w:id="23" w:name="_Toc35393633"/>
      <w:bookmarkStart w:id="24" w:name="_Toc28359093"/>
      <w:bookmarkStart w:id="25" w:name="_Toc35393802"/>
      <w:r>
        <w:rPr>
          <w:rFonts w:hint="eastAsia" w:ascii="宋体" w:hAnsi="宋体" w:eastAsia="宋体" w:cs="宋体"/>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cs="宋体"/>
          <w:sz w:val="24"/>
          <w:u w:val="single"/>
          <w:lang w:eastAsia="zh-CN"/>
        </w:rPr>
        <w:t>2025</w:t>
      </w:r>
      <w:r>
        <w:rPr>
          <w:rFonts w:hint="eastAsia" w:ascii="宋体" w:hAnsi="宋体" w:eastAsia="宋体" w:cs="宋体"/>
          <w:bCs/>
          <w:sz w:val="24"/>
          <w:u w:val="single"/>
        </w:rPr>
        <w:t>年</w:t>
      </w:r>
      <w:r>
        <w:rPr>
          <w:rFonts w:hint="eastAsia" w:ascii="宋体" w:hAnsi="宋体" w:cs="宋体"/>
          <w:bCs/>
          <w:sz w:val="24"/>
          <w:u w:val="single"/>
          <w:lang w:val="en-US" w:eastAsia="zh-CN"/>
        </w:rPr>
        <w:t>7</w:t>
      </w:r>
      <w:r>
        <w:rPr>
          <w:rFonts w:hint="eastAsia" w:ascii="宋体" w:hAnsi="宋体" w:eastAsia="宋体" w:cs="宋体"/>
          <w:bCs/>
          <w:sz w:val="24"/>
          <w:u w:val="single"/>
        </w:rPr>
        <w:t>月</w:t>
      </w:r>
      <w:r>
        <w:rPr>
          <w:rFonts w:hint="eastAsia" w:ascii="宋体" w:hAnsi="宋体" w:cs="宋体"/>
          <w:bCs/>
          <w:sz w:val="24"/>
          <w:u w:val="single"/>
          <w:lang w:val="en-US" w:eastAsia="zh-CN"/>
        </w:rPr>
        <w:t>17</w:t>
      </w:r>
      <w:r>
        <w:rPr>
          <w:rFonts w:hint="eastAsia" w:ascii="宋体" w:hAnsi="宋体" w:eastAsia="宋体" w:cs="宋体"/>
          <w:bCs/>
          <w:sz w:val="24"/>
          <w:u w:val="single"/>
        </w:rPr>
        <w:t>日</w:t>
      </w:r>
      <w:r>
        <w:rPr>
          <w:rFonts w:hint="eastAsia" w:ascii="宋体" w:hAnsi="宋体" w:cs="宋体"/>
          <w:bCs/>
          <w:sz w:val="24"/>
          <w:u w:val="single"/>
          <w:lang w:val="en-US" w:eastAsia="zh-CN"/>
        </w:rPr>
        <w:t>14</w:t>
      </w:r>
      <w:r>
        <w:rPr>
          <w:rFonts w:hint="eastAsia" w:ascii="宋体" w:hAnsi="宋体" w:eastAsia="宋体" w:cs="宋体"/>
          <w:bCs/>
          <w:sz w:val="24"/>
          <w:u w:val="single"/>
        </w:rPr>
        <w:t>点</w:t>
      </w:r>
      <w:r>
        <w:rPr>
          <w:rFonts w:hint="eastAsia" w:ascii="宋体" w:hAnsi="宋体" w:cs="宋体"/>
          <w:bCs/>
          <w:sz w:val="24"/>
          <w:u w:val="single"/>
          <w:lang w:val="en-US" w:eastAsia="zh-CN"/>
        </w:rPr>
        <w:t>00</w:t>
      </w:r>
      <w:bookmarkStart w:id="639" w:name="_GoBack"/>
      <w:bookmarkEnd w:id="639"/>
      <w:r>
        <w:rPr>
          <w:rFonts w:hint="eastAsia" w:ascii="宋体" w:hAnsi="宋体" w:eastAsia="宋体" w:cs="宋体"/>
          <w:bCs/>
          <w:sz w:val="24"/>
          <w:u w:val="single"/>
        </w:rPr>
        <w:t>分00秒</w:t>
      </w:r>
      <w:r>
        <w:rPr>
          <w:rFonts w:hint="eastAsia" w:ascii="宋体" w:hAnsi="宋体" w:eastAsia="宋体" w:cs="宋体"/>
          <w:bCs/>
          <w:sz w:val="24"/>
        </w:rPr>
        <w:t>（北京时间）</w:t>
      </w:r>
    </w:p>
    <w:p w14:paraId="61EE041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482518F3">
      <w:pPr>
        <w:tabs>
          <w:tab w:val="left" w:pos="432"/>
        </w:tabs>
        <w:spacing w:line="360" w:lineRule="auto"/>
        <w:ind w:left="432" w:hanging="432"/>
        <w:rPr>
          <w:rFonts w:hint="eastAsia" w:ascii="宋体" w:hAnsi="宋体" w:eastAsia="宋体" w:cs="宋体"/>
          <w:sz w:val="24"/>
        </w:rPr>
      </w:pPr>
      <w:bookmarkStart w:id="26" w:name="_Toc28359094"/>
      <w:bookmarkStart w:id="27" w:name="_Toc35393803"/>
      <w:bookmarkStart w:id="28" w:name="_Toc35393634"/>
      <w:bookmarkStart w:id="29" w:name="_Toc28359017"/>
      <w:r>
        <w:rPr>
          <w:rFonts w:hint="eastAsia" w:ascii="宋体" w:hAnsi="宋体" w:eastAsia="宋体" w:cs="宋体"/>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tabs>
          <w:tab w:val="left" w:pos="432"/>
        </w:tabs>
        <w:spacing w:line="360" w:lineRule="auto"/>
        <w:ind w:left="432" w:hanging="432"/>
        <w:rPr>
          <w:rFonts w:hint="eastAsia" w:ascii="宋体" w:hAnsi="宋体" w:eastAsia="宋体" w:cs="宋体"/>
          <w:sz w:val="24"/>
        </w:rPr>
      </w:pPr>
      <w:bookmarkStart w:id="30" w:name="_Toc35393804"/>
      <w:bookmarkStart w:id="31" w:name="_Toc35393635"/>
      <w:r>
        <w:rPr>
          <w:rFonts w:hint="eastAsia" w:ascii="宋体" w:hAnsi="宋体" w:eastAsia="宋体" w:cs="宋体"/>
          <w:sz w:val="24"/>
        </w:rPr>
        <w:t>七、其他补充事宜</w:t>
      </w:r>
      <w:bookmarkEnd w:id="30"/>
      <w:bookmarkEnd w:id="31"/>
    </w:p>
    <w:p w14:paraId="49A274F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 其他事项：</w:t>
      </w:r>
    </w:p>
    <w:p w14:paraId="03343876">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p>
    <w:p w14:paraId="32565BEC">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在“政采云电子交易客户端”中完成“填写基本信息”、“导入投标文件”、“标书关联”、“标书检查”、“电子签名”、“生成电子标书”等操作。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rPr>
      </w:pPr>
      <w:r>
        <w:rPr>
          <w:rFonts w:hint="eastAsia" w:ascii="宋体" w:hAnsi="宋体" w:eastAsia="宋体" w:cs="宋体"/>
          <w:sz w:val="24"/>
        </w:rPr>
        <w:t>（3）磋商文件公告期限与磋商公告的公告期限一致。</w:t>
      </w:r>
    </w:p>
    <w:p w14:paraId="61290528">
      <w:pPr>
        <w:spacing w:line="360" w:lineRule="auto"/>
        <w:ind w:firstLine="480" w:firstLineChars="200"/>
        <w:rPr>
          <w:rFonts w:hint="eastAsia" w:ascii="宋体" w:hAnsi="宋体" w:eastAsia="宋体" w:cs="宋体"/>
          <w:sz w:val="24"/>
        </w:rPr>
      </w:pPr>
      <w:r>
        <w:rPr>
          <w:rFonts w:hint="eastAsia" w:ascii="宋体" w:hAnsi="宋体" w:eastAsia="宋体" w:cs="宋体"/>
          <w:sz w:val="24"/>
        </w:rPr>
        <w:t>（4）《第一部分  招标公告》中二、申请人的资格要求：第一条中的“</w:t>
      </w:r>
      <w:r>
        <w:rPr>
          <w:rFonts w:hint="eastAsia" w:ascii="宋体" w:hAnsi="宋体" w:cs="宋体"/>
          <w:sz w:val="24"/>
          <w:lang w:eastAsia="zh-CN"/>
        </w:rPr>
        <w:t>重大税收违法失信主体</w:t>
      </w:r>
      <w:r>
        <w:rPr>
          <w:rFonts w:hint="eastAsia" w:ascii="宋体" w:hAnsi="宋体" w:eastAsia="宋体" w:cs="宋体"/>
          <w:sz w:val="24"/>
        </w:rPr>
        <w:t>”即为“重大税收违法失信主体”。</w:t>
      </w:r>
    </w:p>
    <w:p w14:paraId="29E12439">
      <w:pPr>
        <w:tabs>
          <w:tab w:val="left" w:pos="432"/>
        </w:tabs>
        <w:spacing w:line="360" w:lineRule="auto"/>
        <w:ind w:left="432" w:hanging="432"/>
        <w:rPr>
          <w:rFonts w:hint="eastAsia" w:ascii="宋体" w:hAnsi="宋体" w:eastAsia="宋体" w:cs="宋体"/>
          <w:sz w:val="24"/>
        </w:rPr>
      </w:pPr>
      <w:bookmarkStart w:id="32" w:name="_Toc28359095"/>
      <w:bookmarkStart w:id="33" w:name="_Toc35393805"/>
      <w:bookmarkStart w:id="34" w:name="_Toc35393636"/>
      <w:bookmarkStart w:id="35" w:name="_Toc28359018"/>
      <w:r>
        <w:rPr>
          <w:rFonts w:hint="eastAsia" w:ascii="宋体" w:hAnsi="宋体" w:eastAsia="宋体" w:cs="宋体"/>
          <w:sz w:val="24"/>
        </w:rPr>
        <w:t>八、凡对本次采购提出询问、质疑、投诉，请按以下方式联系</w:t>
      </w:r>
      <w:bookmarkEnd w:id="32"/>
      <w:bookmarkEnd w:id="33"/>
      <w:bookmarkEnd w:id="34"/>
      <w:bookmarkEnd w:id="35"/>
    </w:p>
    <w:p w14:paraId="5AB326B2">
      <w:pPr>
        <w:tabs>
          <w:tab w:val="left" w:pos="432"/>
        </w:tabs>
        <w:spacing w:line="360" w:lineRule="auto"/>
        <w:ind w:left="432" w:hanging="432"/>
        <w:rPr>
          <w:rFonts w:hint="eastAsia" w:ascii="宋体" w:hAnsi="宋体" w:eastAsia="宋体" w:cs="宋体"/>
          <w:b/>
          <w:bCs/>
          <w:sz w:val="24"/>
        </w:rPr>
      </w:pPr>
      <w:bookmarkStart w:id="36" w:name="_Toc35393806"/>
      <w:bookmarkStart w:id="37" w:name="_Toc35393637"/>
      <w:bookmarkStart w:id="38" w:name="_Toc28359096"/>
      <w:bookmarkStart w:id="39" w:name="_Toc28359019"/>
      <w:r>
        <w:rPr>
          <w:rFonts w:hint="eastAsia" w:ascii="宋体" w:hAnsi="宋体" w:eastAsia="宋体" w:cs="宋体"/>
          <w:b/>
          <w:bCs/>
          <w:sz w:val="24"/>
        </w:rPr>
        <w:t>1.采购人信息</w:t>
      </w:r>
      <w:bookmarkEnd w:id="36"/>
      <w:bookmarkEnd w:id="37"/>
      <w:bookmarkEnd w:id="38"/>
      <w:bookmarkEnd w:id="39"/>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宁海县强蛟镇人民政府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宁海县强蛟镇</w:t>
      </w:r>
      <w:r>
        <w:rPr>
          <w:rFonts w:hint="eastAsia" w:ascii="宋体" w:hAnsi="宋体" w:eastAsia="宋体" w:cs="宋体"/>
          <w:sz w:val="24"/>
        </w:rPr>
        <w:t xml:space="preserve">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val="en-US" w:eastAsia="zh-CN"/>
        </w:rPr>
        <w:t xml:space="preserve">潘主任 </w:t>
      </w:r>
    </w:p>
    <w:p w14:paraId="74AC310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项目联系方式（询问）：</w:t>
      </w:r>
      <w:r>
        <w:rPr>
          <w:rFonts w:hint="eastAsia" w:ascii="宋体" w:hAnsi="宋体" w:eastAsia="宋体" w:cs="宋体"/>
          <w:sz w:val="24"/>
          <w:lang w:val="en-US" w:eastAsia="zh-CN"/>
        </w:rPr>
        <w:t xml:space="preserve">0574-65199619 </w:t>
      </w:r>
    </w:p>
    <w:p w14:paraId="356B1282">
      <w:pPr>
        <w:spacing w:line="360" w:lineRule="auto"/>
        <w:ind w:firstLine="480" w:firstLineChars="200"/>
        <w:rPr>
          <w:rFonts w:hint="eastAsia" w:ascii="宋体" w:hAnsi="宋体" w:cs="宋体"/>
          <w:sz w:val="24"/>
          <w:lang w:eastAsia="zh-CN"/>
        </w:rPr>
      </w:pPr>
      <w:r>
        <w:rPr>
          <w:rFonts w:hint="eastAsia" w:ascii="宋体" w:hAnsi="宋体" w:eastAsia="宋体" w:cs="宋体"/>
          <w:sz w:val="24"/>
        </w:rPr>
        <w:t>质疑</w:t>
      </w:r>
      <w:r>
        <w:rPr>
          <w:rFonts w:hint="eastAsia" w:ascii="宋体" w:hAnsi="宋体" w:cs="宋体"/>
          <w:sz w:val="24"/>
          <w:lang w:eastAsia="zh-CN"/>
        </w:rPr>
        <w:t>联系人：</w:t>
      </w:r>
      <w:r>
        <w:rPr>
          <w:rFonts w:hint="eastAsia" w:ascii="宋体" w:hAnsi="宋体" w:cs="宋体"/>
          <w:sz w:val="24"/>
          <w:lang w:val="en-US" w:eastAsia="zh-CN"/>
        </w:rPr>
        <w:t>潘主任</w:t>
      </w:r>
    </w:p>
    <w:p w14:paraId="58EAC05E">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eastAsia="zh-CN"/>
        </w:rPr>
        <w:t>质疑联系方式：</w:t>
      </w:r>
      <w:r>
        <w:rPr>
          <w:rFonts w:hint="eastAsia" w:ascii="宋体" w:hAnsi="宋体" w:eastAsia="宋体" w:cs="宋体"/>
          <w:sz w:val="24"/>
          <w:lang w:val="en-US" w:eastAsia="zh-CN"/>
        </w:rPr>
        <w:t>0574-65199619</w:t>
      </w:r>
    </w:p>
    <w:p w14:paraId="496BDC42">
      <w:pPr>
        <w:tabs>
          <w:tab w:val="left" w:pos="432"/>
        </w:tabs>
        <w:spacing w:line="360" w:lineRule="auto"/>
        <w:ind w:left="432" w:hanging="432"/>
        <w:rPr>
          <w:rFonts w:hint="eastAsia" w:ascii="宋体" w:hAnsi="宋体" w:eastAsia="宋体" w:cs="宋体"/>
          <w:b/>
          <w:bCs/>
          <w:sz w:val="24"/>
        </w:rPr>
      </w:pPr>
      <w:bookmarkStart w:id="40" w:name="_Toc28359020"/>
      <w:bookmarkStart w:id="41" w:name="_Toc35393807"/>
      <w:bookmarkStart w:id="42" w:name="_Toc28359097"/>
      <w:bookmarkStart w:id="43" w:name="_Toc35393638"/>
      <w:r>
        <w:rPr>
          <w:rFonts w:hint="eastAsia" w:ascii="宋体" w:hAnsi="宋体" w:eastAsia="宋体" w:cs="宋体"/>
          <w:b/>
          <w:bCs/>
          <w:sz w:val="24"/>
        </w:rPr>
        <w:t>2.采购代理机构信息</w:t>
      </w:r>
      <w:bookmarkEnd w:id="40"/>
      <w:bookmarkEnd w:id="41"/>
      <w:bookmarkEnd w:id="42"/>
      <w:bookmarkEnd w:id="43"/>
      <w:r>
        <w:rPr>
          <w:rFonts w:hint="eastAsia" w:ascii="宋体" w:hAnsi="宋体" w:eastAsia="宋体" w:cs="宋体"/>
          <w:b/>
          <w:bCs/>
          <w:sz w:val="24"/>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lang w:eastAsia="zh-CN"/>
        </w:rPr>
        <w:t>宁波工建工程造价咨询有限公司</w:t>
      </w:r>
      <w:r>
        <w:rPr>
          <w:rFonts w:hint="eastAsia" w:ascii="宋体" w:hAnsi="宋体" w:eastAsia="宋体" w:cs="宋体"/>
          <w:sz w:val="24"/>
        </w:rPr>
        <w:t xml:space="preserve">             </w:t>
      </w:r>
    </w:p>
    <w:p w14:paraId="52D38507">
      <w:pPr>
        <w:spacing w:line="360" w:lineRule="auto"/>
        <w:rPr>
          <w:rFonts w:hint="eastAsia" w:ascii="宋体" w:hAnsi="宋体" w:eastAsia="宋体" w:cs="宋体"/>
          <w:sz w:val="24"/>
          <w:lang w:eastAsia="zh-CN"/>
        </w:rPr>
      </w:pPr>
      <w:r>
        <w:rPr>
          <w:rFonts w:hint="eastAsia" w:ascii="宋体" w:hAnsi="宋体" w:eastAsia="宋体" w:cs="宋体"/>
          <w:sz w:val="24"/>
        </w:rPr>
        <w:t xml:space="preserve">    地    址：</w:t>
      </w:r>
      <w:r>
        <w:rPr>
          <w:rFonts w:hint="eastAsia" w:ascii="宋体" w:hAnsi="宋体" w:eastAsia="宋体" w:cs="宋体"/>
          <w:sz w:val="24"/>
          <w:lang w:eastAsia="zh-CN"/>
        </w:rPr>
        <w:t>宁海县桃源街道兴工三路69号二楼</w:t>
      </w:r>
    </w:p>
    <w:p w14:paraId="4CAC1CDB">
      <w:pPr>
        <w:spacing w:line="360" w:lineRule="auto"/>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eastAsia="宋体" w:cs="宋体"/>
          <w:sz w:val="24"/>
          <w:lang w:eastAsia="zh-CN"/>
        </w:rPr>
        <w:t>0574-65250961</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eastAsia="宋体" w:cs="宋体"/>
          <w:sz w:val="24"/>
          <w:lang w:eastAsia="zh-CN"/>
        </w:rPr>
        <w:t>王洋、周聪燕</w:t>
      </w:r>
      <w:r>
        <w:rPr>
          <w:rFonts w:hint="eastAsia" w:ascii="宋体" w:hAnsi="宋体" w:cs="宋体"/>
          <w:sz w:val="24"/>
          <w:lang w:eastAsia="zh-CN"/>
        </w:rPr>
        <w:t>、周恒</w:t>
      </w:r>
    </w:p>
    <w:p w14:paraId="774A51B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eastAsia="宋体" w:cs="宋体"/>
          <w:sz w:val="24"/>
          <w:lang w:eastAsia="zh-CN"/>
        </w:rPr>
        <w:t>0574-65250961</w:t>
      </w:r>
    </w:p>
    <w:p w14:paraId="4C9E62F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eastAsia="宋体" w:cs="宋体"/>
          <w:sz w:val="24"/>
          <w:lang w:eastAsia="zh-CN"/>
        </w:rPr>
        <w:t>赖静菲</w:t>
      </w:r>
    </w:p>
    <w:p w14:paraId="191172B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eastAsia="宋体" w:cs="宋体"/>
          <w:color w:val="auto"/>
          <w:kern w:val="2"/>
          <w:sz w:val="24"/>
          <w:szCs w:val="24"/>
          <w:highlight w:val="none"/>
          <w:lang w:val="en-US" w:eastAsia="zh-CN" w:bidi="ar-SA"/>
        </w:rPr>
        <w:t>0574-67051519</w:t>
      </w:r>
    </w:p>
    <w:p w14:paraId="5F6B0D6D">
      <w:pPr>
        <w:spacing w:line="360" w:lineRule="auto"/>
        <w:rPr>
          <w:rFonts w:hint="eastAsia" w:ascii="宋体" w:hAnsi="宋体" w:eastAsia="宋体" w:cs="宋体"/>
          <w:b/>
          <w:sz w:val="24"/>
        </w:rPr>
      </w:pPr>
      <w:bookmarkStart w:id="44" w:name="_Toc28359021"/>
      <w:bookmarkStart w:id="45" w:name="_Toc35393639"/>
      <w:bookmarkStart w:id="46" w:name="_Toc35393808"/>
      <w:bookmarkStart w:id="47" w:name="_Toc28359098"/>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4"/>
    <w:bookmarkEnd w:id="45"/>
    <w:bookmarkEnd w:id="46"/>
    <w:bookmarkEnd w:id="47"/>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2"/>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8" w:name="_Toc5867"/>
      <w:r>
        <w:rPr>
          <w:rFonts w:hint="eastAsia" w:ascii="宋体" w:hAnsi="宋体" w:cs="宋体"/>
          <w:b/>
          <w:sz w:val="36"/>
          <w:szCs w:val="20"/>
        </w:rPr>
        <w:t xml:space="preserve">第二部分 </w:t>
      </w:r>
      <w:bookmarkEnd w:id="2"/>
      <w:bookmarkEnd w:id="48"/>
      <w:bookmarkStart w:id="49" w:name="_Toc15293"/>
      <w:r>
        <w:rPr>
          <w:rFonts w:hint="eastAsia" w:ascii="宋体" w:hAnsi="宋体" w:cs="宋体"/>
          <w:b/>
          <w:sz w:val="36"/>
          <w:szCs w:val="20"/>
        </w:rPr>
        <w:t xml:space="preserve">  供应商须知</w:t>
      </w:r>
      <w:bookmarkEnd w:id="3"/>
      <w:bookmarkEnd w:id="49"/>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强蛟镇历史遗留矿山整治项目工程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eastAsia="宋体" w:cs="宋体"/>
                <w:kern w:val="0"/>
                <w:sz w:val="22"/>
                <w:szCs w:val="22"/>
              </w:rPr>
              <w:t>行业；</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eastAsia="宋体" w:cs="宋体"/>
                <w:kern w:val="0"/>
                <w:sz w:val="22"/>
                <w:szCs w:val="22"/>
                <w:u w:val="single"/>
              </w:rPr>
              <w:t>20（编制时可根据项目情况进行调整）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eastAsia="宋体" w:cs="宋体"/>
                <w:kern w:val="0"/>
                <w:sz w:val="22"/>
                <w:szCs w:val="22"/>
                <w:u w:val="single"/>
              </w:rPr>
              <w:t>3（编制时可根据项目情况进行调整）</w:t>
            </w:r>
            <w:r>
              <w:rPr>
                <w:rFonts w:hint="eastAsia" w:ascii="宋体" w:hAnsi="宋体" w:eastAsia="宋体" w:cs="宋体"/>
                <w:kern w:val="0"/>
                <w:sz w:val="22"/>
                <w:szCs w:val="22"/>
              </w:rPr>
              <w:t>人。讲解演示结束后按要求解答评标委员会提问。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有关本项目实施所需的所有费用（含税费）均计入报价。响应文件中价格全部采用人民币报价。</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响应文件出现不是唯一的、有选择性的最后报价的；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最后报价超过磋商文件中规定的预算金额或者最高限价的；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lang w:val="en-US" w:eastAsia="zh-CN"/>
              </w:rPr>
            </w:pPr>
            <w:r>
              <w:rPr>
                <w:rFonts w:hint="eastAsia" w:ascii="宋体" w:hAnsi="宋体" w:cs="宋体"/>
                <w:b/>
                <w:sz w:val="22"/>
                <w:szCs w:val="22"/>
                <w:lang w:eastAsia="zh-CN"/>
              </w:rPr>
              <w:t>供应商的最后投标报价中综合单价</w:t>
            </w:r>
            <w:r>
              <w:rPr>
                <w:rFonts w:hint="eastAsia" w:ascii="宋体" w:hAnsi="宋体" w:cs="宋体"/>
                <w:b/>
                <w:sz w:val="22"/>
                <w:szCs w:val="22"/>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eastAsia="宋体" w:cs="宋体"/>
                <w:color w:val="auto"/>
                <w:sz w:val="22"/>
                <w:szCs w:val="22"/>
                <w:u w:val="single"/>
                <w:lang w:eastAsia="zh-CN"/>
              </w:rPr>
              <w:t>宁波工建工程造价咨询有限公司（宁海县桃源街道兴工三路69号二楼</w:t>
            </w:r>
            <w:r>
              <w:rPr>
                <w:rFonts w:hint="eastAsia" w:ascii="宋体" w:hAnsi="宋体" w:eastAsia="宋体" w:cs="宋体"/>
                <w:color w:val="auto"/>
                <w:sz w:val="22"/>
                <w:szCs w:val="22"/>
                <w:u w:val="single"/>
              </w:rPr>
              <w:t>招标代理部</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收件人：施瑜     联系方式：0574-65250961。</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2060A08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招标代理服务费的收取标准：代理机构按下表中货物招标的标准的（按差额定率累进法计算），根据预算金额，向成交人收取招标代理服务费。</w:t>
            </w:r>
          </w:p>
          <w:tbl>
            <w:tblPr>
              <w:tblStyle w:val="60"/>
              <w:tblW w:w="6570" w:type="dxa"/>
              <w:jc w:val="center"/>
              <w:tblLayout w:type="fixed"/>
              <w:tblCellMar>
                <w:top w:w="15" w:type="dxa"/>
                <w:left w:w="15" w:type="dxa"/>
                <w:bottom w:w="15" w:type="dxa"/>
                <w:right w:w="15" w:type="dxa"/>
              </w:tblCellMar>
            </w:tblPr>
            <w:tblGrid>
              <w:gridCol w:w="2740"/>
              <w:gridCol w:w="1276"/>
              <w:gridCol w:w="1276"/>
              <w:gridCol w:w="1278"/>
            </w:tblGrid>
            <w:tr w14:paraId="3A52D1E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6005002">
                  <w:pPr>
                    <w:keepNext w:val="0"/>
                    <w:keepLines w:val="0"/>
                    <w:pageBreakBefore w:val="0"/>
                    <w:widowControl w:val="0"/>
                    <w:kinsoku/>
                    <w:wordWrap/>
                    <w:overflowPunct/>
                    <w:topLinePunct w:val="0"/>
                    <w:autoSpaceDE/>
                    <w:autoSpaceDN/>
                    <w:bidi w:val="0"/>
                    <w:adjustRightInd w:val="0"/>
                    <w:spacing w:line="400" w:lineRule="exact"/>
                    <w:jc w:val="right"/>
                    <w:textAlignment w:val="auto"/>
                    <w:rPr>
                      <w:rFonts w:hint="eastAsia" w:ascii="宋体" w:hAnsi="宋体" w:eastAsia="宋体" w:cs="宋体"/>
                      <w:kern w:val="0"/>
                      <w:sz w:val="22"/>
                      <w:szCs w:val="22"/>
                    </w:rPr>
                  </w:pPr>
                  <w:r>
                    <w:rPr>
                      <w:rFonts w:hint="eastAsia" w:ascii="宋体" w:hAnsi="宋体" w:eastAsia="宋体" w:cs="宋体"/>
                      <w:kern w:val="0"/>
                      <w:sz w:val="22"/>
                      <w:szCs w:val="22"/>
                    </w:rPr>
                    <w:t>类型</w:t>
                  </w:r>
                </w:p>
                <w:p w14:paraId="20E3161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FFE6B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7F854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D9C2D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工程招标</w:t>
                  </w:r>
                </w:p>
              </w:tc>
            </w:tr>
            <w:tr w14:paraId="04377048">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3A59B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EAEA36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76443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1E286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1.0%</w:t>
                  </w:r>
                </w:p>
              </w:tc>
            </w:tr>
            <w:tr w14:paraId="207A8162">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9734D1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3391730">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000D9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179589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0.7%</w:t>
                  </w:r>
                </w:p>
              </w:tc>
            </w:tr>
            <w:tr w14:paraId="2A27FB6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D272E9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85A2A1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3B27E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47F26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0.55%</w:t>
                  </w:r>
                </w:p>
              </w:tc>
            </w:tr>
            <w:tr w14:paraId="76717C55">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7CC0D1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04682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A1909C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ADF18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0.35%</w:t>
                  </w:r>
                </w:p>
              </w:tc>
            </w:tr>
            <w:tr w14:paraId="5D424C1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5E27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5043F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D762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D7226D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w:t>
                  </w:r>
                </w:p>
              </w:tc>
            </w:tr>
          </w:tbl>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开户银行：</w:t>
            </w:r>
            <w:r>
              <w:rPr>
                <w:rFonts w:hint="eastAsia" w:ascii="宋体" w:hAnsi="宋体" w:eastAsia="宋体" w:cs="宋体"/>
                <w:bCs/>
                <w:color w:val="auto"/>
                <w:sz w:val="22"/>
                <w:szCs w:val="22"/>
                <w:highlight w:val="none"/>
                <w:lang w:val="en-US" w:eastAsia="zh-CN"/>
              </w:rPr>
              <w:t>中国工商银行宁海跃龙支行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账    号：</w:t>
            </w:r>
            <w:r>
              <w:rPr>
                <w:rFonts w:hint="eastAsia" w:ascii="宋体" w:hAnsi="宋体" w:eastAsia="宋体" w:cs="宋体"/>
                <w:bCs/>
                <w:color w:val="auto"/>
                <w:sz w:val="22"/>
                <w:szCs w:val="22"/>
                <w:highlight w:val="none"/>
                <w:lang w:val="en-US" w:eastAsia="zh-CN"/>
              </w:rPr>
              <w:t>3901330309000199655</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户    名：</w:t>
            </w:r>
            <w:r>
              <w:rPr>
                <w:rFonts w:hint="eastAsia" w:ascii="宋体" w:hAnsi="宋体" w:eastAsia="宋体" w:cs="宋体"/>
                <w:kern w:val="0"/>
                <w:sz w:val="22"/>
                <w:szCs w:val="22"/>
                <w:lang w:eastAsia="zh-CN"/>
              </w:rPr>
              <w:t>宁波工建工程造价咨询有限公司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50" w:name="_Toc164416483"/>
      <w:bookmarkStart w:id="51" w:name="第三部分"/>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cs="宋体"/>
          <w:sz w:val="24"/>
        </w:rPr>
        <w:t>联合协议或者分包意向协议约定小微企业的合同份额占到合同总金额30%以上的</w:t>
      </w:r>
      <w:bookmarkEnd w:id="5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3"/>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5"/>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1"/>
        <w:spacing w:line="360" w:lineRule="auto"/>
        <w:rPr>
          <w:rFonts w:hAnsi="宋体" w:cs="宋体"/>
          <w:b/>
          <w:sz w:val="24"/>
          <w:szCs w:val="24"/>
        </w:rPr>
      </w:pPr>
      <w:r>
        <w:rPr>
          <w:rFonts w:hint="eastAsia" w:hAnsi="宋体" w:cs="宋体"/>
          <w:b/>
          <w:sz w:val="24"/>
          <w:szCs w:val="24"/>
        </w:rPr>
        <w:t>5．采购文件的构成</w:t>
      </w:r>
    </w:p>
    <w:p w14:paraId="78E3545A">
      <w:pPr>
        <w:pStyle w:val="31"/>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1"/>
        <w:spacing w:line="360" w:lineRule="auto"/>
        <w:rPr>
          <w:rFonts w:hAnsi="宋体" w:cs="宋体"/>
          <w:b/>
          <w:sz w:val="24"/>
          <w:szCs w:val="24"/>
        </w:rPr>
      </w:pPr>
      <w:r>
        <w:rPr>
          <w:rFonts w:hint="eastAsia" w:hAnsi="宋体" w:cs="宋体"/>
          <w:b/>
          <w:sz w:val="24"/>
          <w:szCs w:val="24"/>
        </w:rPr>
        <w:t>6. 采购文件的澄清、修改</w:t>
      </w:r>
    </w:p>
    <w:p w14:paraId="61D9F755">
      <w:pPr>
        <w:pStyle w:val="395"/>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5"/>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5"/>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5"/>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5"/>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1"/>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1"/>
        <w:spacing w:line="360" w:lineRule="auto"/>
        <w:rPr>
          <w:rFonts w:hAnsi="宋体" w:cs="宋体"/>
          <w:b/>
          <w:sz w:val="24"/>
          <w:szCs w:val="24"/>
        </w:rPr>
      </w:pPr>
      <w:r>
        <w:rPr>
          <w:rFonts w:hint="eastAsia" w:hAnsi="宋体" w:cs="宋体"/>
          <w:b/>
          <w:sz w:val="24"/>
          <w:szCs w:val="24"/>
        </w:rPr>
        <w:t>8.磋商前答疑会或现场考察</w:t>
      </w:r>
    </w:p>
    <w:p w14:paraId="7070F314">
      <w:pPr>
        <w:pStyle w:val="31"/>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rPr>
      </w:pPr>
      <w:r>
        <w:rPr>
          <w:rFonts w:hint="eastAsia" w:hAnsi="宋体" w:cs="宋体"/>
          <w:b/>
          <w:kern w:val="28"/>
          <w:sz w:val="24"/>
          <w:szCs w:val="24"/>
        </w:rPr>
        <w:t>9.磋商保证金</w:t>
      </w:r>
    </w:p>
    <w:p w14:paraId="1EDE11AB">
      <w:pPr>
        <w:pStyle w:val="1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1"/>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1"/>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7124C7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936CF4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53" w:name="_Hlk101259339"/>
      <w:r>
        <w:rPr>
          <w:rFonts w:hint="eastAsia" w:ascii="宋体" w:hAnsi="宋体" w:cs="宋体"/>
          <w:snapToGrid w:val="0"/>
          <w:kern w:val="28"/>
          <w:sz w:val="24"/>
          <w:szCs w:val="20"/>
        </w:rPr>
        <w:t>联合协议</w:t>
      </w:r>
      <w:bookmarkStart w:id="54" w:name="_Hlk101257010"/>
      <w:r>
        <w:rPr>
          <w:rFonts w:hint="eastAsia" w:ascii="宋体" w:hAnsi="宋体" w:cs="宋体"/>
          <w:snapToGrid w:val="0"/>
          <w:kern w:val="28"/>
          <w:sz w:val="24"/>
          <w:szCs w:val="20"/>
        </w:rPr>
        <w:t>（如果有)</w:t>
      </w:r>
      <w:bookmarkEnd w:id="53"/>
      <w:bookmarkEnd w:id="54"/>
      <w:r>
        <w:rPr>
          <w:rFonts w:hint="eastAsia" w:ascii="宋体" w:hAnsi="宋体" w:cs="宋体"/>
          <w:snapToGrid w:val="0"/>
          <w:kern w:val="28"/>
          <w:sz w:val="24"/>
          <w:szCs w:val="20"/>
        </w:rPr>
        <w:t>；</w:t>
      </w:r>
    </w:p>
    <w:p w14:paraId="4556154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906098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56A4299">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2EAA861">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9DDC3D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61DBAAB">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277C5987">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21F2D38">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3FDFFB47">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02C2352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C746FE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5F253D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5"/>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5"/>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5"/>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36F95CE">
      <w:pPr>
        <w:pStyle w:val="395"/>
        <w:snapToGrid w:val="0"/>
        <w:spacing w:before="0"/>
        <w:ind w:firstLine="0" w:firstLineChars="0"/>
        <w:rPr>
          <w:rFonts w:ascii="宋体" w:hAnsi="宋体" w:cs="宋体"/>
          <w:b/>
          <w:szCs w:val="24"/>
        </w:rPr>
      </w:pPr>
    </w:p>
    <w:p w14:paraId="4AF4322A">
      <w:pPr>
        <w:pStyle w:val="395"/>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5"/>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5"/>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5"/>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rPr>
      </w:pPr>
      <w:r>
        <w:rPr>
          <w:rFonts w:hint="eastAsia" w:hAnsi="宋体" w:cs="宋体"/>
          <w:b/>
          <w:sz w:val="24"/>
          <w:szCs w:val="24"/>
        </w:rPr>
        <w:t>15.备份响应文件</w:t>
      </w:r>
    </w:p>
    <w:p w14:paraId="440973CE">
      <w:pPr>
        <w:pStyle w:val="31"/>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1"/>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1"/>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5"/>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3"/>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5"/>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5"/>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5"/>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5"/>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5"/>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5"/>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3"/>
        <w:spacing w:line="360" w:lineRule="auto"/>
        <w:ind w:left="479" w:hanging="479" w:hangingChars="199"/>
        <w:rPr>
          <w:rFonts w:cs="宋体"/>
          <w:b/>
        </w:rPr>
      </w:pPr>
      <w:r>
        <w:rPr>
          <w:rFonts w:hint="eastAsia" w:cs="宋体"/>
          <w:b/>
        </w:rPr>
        <w:t>22. 确定成交供应商</w:t>
      </w:r>
    </w:p>
    <w:p w14:paraId="111AD6D2">
      <w:pPr>
        <w:pStyle w:val="3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5"/>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3"/>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3"/>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5"/>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5"/>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5"/>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3"/>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3"/>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 w14:paraId="12702A9F">
      <w:pPr>
        <w:snapToGrid w:val="0"/>
        <w:spacing w:line="360" w:lineRule="auto"/>
        <w:ind w:firstLine="3357" w:firstLineChars="1045"/>
        <w:rPr>
          <w:rFonts w:ascii="宋体" w:hAnsi="宋体" w:cs="宋体"/>
          <w:b/>
          <w:sz w:val="32"/>
        </w:rPr>
      </w:pP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5"/>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5"/>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5"/>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5"/>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3"/>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5"/>
      <w:bookmarkStart w:id="56" w:name="_Hlt75236101"/>
      <w:bookmarkEnd w:id="56"/>
      <w:bookmarkStart w:id="57" w:name="_Hlt68057669"/>
      <w:bookmarkEnd w:id="57"/>
      <w:bookmarkStart w:id="58" w:name="_Hlt74714665"/>
      <w:bookmarkEnd w:id="58"/>
      <w:bookmarkStart w:id="59" w:name="_Hlt74730295"/>
      <w:bookmarkEnd w:id="59"/>
      <w:bookmarkStart w:id="60" w:name="_Hlt74707468"/>
      <w:bookmarkEnd w:id="60"/>
      <w:bookmarkStart w:id="61" w:name="_Hlt74729768"/>
      <w:bookmarkEnd w:id="61"/>
      <w:bookmarkStart w:id="62" w:name="_Hlt68072990"/>
      <w:bookmarkEnd w:id="62"/>
      <w:bookmarkStart w:id="63" w:name="_Hlt68072998"/>
      <w:bookmarkEnd w:id="63"/>
      <w:bookmarkStart w:id="64" w:name="_Hlt75236011"/>
      <w:bookmarkEnd w:id="64"/>
      <w:bookmarkStart w:id="65" w:name="_Hlt68073093"/>
      <w:bookmarkEnd w:id="65"/>
      <w:bookmarkStart w:id="66" w:name="_Hlt75236290"/>
      <w:bookmarkEnd w:id="66"/>
      <w:bookmarkStart w:id="67" w:name="_Hlt68403820"/>
      <w:bookmarkEnd w:id="67"/>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0"/>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68"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部分  采购需求</w:t>
      </w:r>
      <w:bookmarkEnd w:id="68"/>
    </w:p>
    <w:p w14:paraId="6C8DF15E">
      <w:pPr>
        <w:pStyle w:val="2"/>
        <w:pageBreakBefore w:val="0"/>
        <w:widowControl w:val="0"/>
        <w:numPr>
          <w:ilvl w:val="0"/>
          <w:numId w:val="0"/>
        </w:numPr>
        <w:kinsoku/>
        <w:wordWrap/>
        <w:overflowPunct/>
        <w:topLinePunct w:val="0"/>
        <w:autoSpaceDE/>
        <w:autoSpaceDN/>
        <w:bidi w:val="0"/>
        <w:adjustRightInd w:val="0"/>
        <w:snapToGrid/>
        <w:spacing w:before="0" w:after="0" w:line="440" w:lineRule="exact"/>
        <w:jc w:val="both"/>
        <w:textAlignment w:val="baseline"/>
        <w:rPr>
          <w:rFonts w:hint="eastAsia" w:ascii="宋体" w:hAnsi="宋体" w:cs="宋体"/>
          <w:color w:val="auto"/>
          <w:sz w:val="24"/>
          <w:szCs w:val="24"/>
          <w:highlight w:val="none"/>
          <w:lang w:val="en-US" w:eastAsia="zh-CN"/>
        </w:rPr>
      </w:pPr>
      <w:bookmarkStart w:id="69" w:name="_Toc29324"/>
      <w:bookmarkStart w:id="70" w:name="_Toc14965613"/>
      <w:r>
        <w:rPr>
          <w:rFonts w:hint="eastAsia" w:ascii="宋体" w:hAnsi="宋体" w:eastAsia="宋体" w:cs="宋体"/>
          <w:color w:val="auto"/>
          <w:sz w:val="24"/>
          <w:szCs w:val="24"/>
          <w:highlight w:val="none"/>
          <w:lang w:val="en-US" w:eastAsia="zh-CN"/>
        </w:rPr>
        <w:t>一、</w:t>
      </w:r>
      <w:bookmarkEnd w:id="69"/>
      <w:r>
        <w:rPr>
          <w:rFonts w:hint="eastAsia" w:ascii="宋体" w:hAnsi="宋体" w:cs="宋体"/>
          <w:color w:val="auto"/>
          <w:sz w:val="24"/>
          <w:szCs w:val="24"/>
          <w:highlight w:val="none"/>
          <w:lang w:val="en-US" w:eastAsia="zh-CN"/>
        </w:rPr>
        <w:t>工程概况</w:t>
      </w:r>
    </w:p>
    <w:p w14:paraId="77840C29">
      <w:pPr>
        <w:pStyle w:val="2"/>
        <w:pageBreakBefore w:val="0"/>
        <w:widowControl w:val="0"/>
        <w:numPr>
          <w:ilvl w:val="0"/>
          <w:numId w:val="0"/>
        </w:numPr>
        <w:kinsoku/>
        <w:wordWrap/>
        <w:overflowPunct/>
        <w:topLinePunct w:val="0"/>
        <w:autoSpaceDE/>
        <w:autoSpaceDN/>
        <w:bidi w:val="0"/>
        <w:adjustRightInd w:val="0"/>
        <w:snapToGrid/>
        <w:spacing w:before="0" w:after="0" w:line="360" w:lineRule="auto"/>
        <w:ind w:right="0" w:rightChars="0" w:firstLine="440" w:firstLineChars="200"/>
        <w:jc w:val="both"/>
        <w:textAlignment w:val="baseline"/>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本工程位于宁海县强蛟镇</w:t>
      </w:r>
      <w:r>
        <w:rPr>
          <w:rFonts w:hint="eastAsia" w:ascii="宋体" w:hAnsi="宋体" w:eastAsia="宋体" w:cs="宋体"/>
          <w:b w:val="0"/>
          <w:bCs w:val="0"/>
          <w:color w:val="auto"/>
          <w:kern w:val="2"/>
          <w:sz w:val="22"/>
          <w:szCs w:val="22"/>
          <w:highlight w:val="none"/>
          <w:lang w:val="en-US" w:eastAsia="zh-CN" w:bidi="ar-SA"/>
        </w:rPr>
        <w:t>。</w:t>
      </w:r>
    </w:p>
    <w:p w14:paraId="6EC8DA91">
      <w:pPr>
        <w:pageBreakBefore w:val="0"/>
        <w:widowControl w:val="0"/>
        <w:tabs>
          <w:tab w:val="left" w:pos="900"/>
          <w:tab w:val="left" w:pos="9180"/>
          <w:tab w:val="left" w:pos="9360"/>
        </w:tabs>
        <w:kinsoku/>
        <w:wordWrap/>
        <w:overflowPunct/>
        <w:topLinePunct w:val="0"/>
        <w:autoSpaceDE/>
        <w:autoSpaceDN/>
        <w:bidi w:val="0"/>
        <w:adjustRightInd w:val="0"/>
        <w:snapToGrid/>
        <w:spacing w:line="360" w:lineRule="auto"/>
        <w:ind w:right="0" w:rightChars="0" w:firstLine="440" w:firstLineChars="200"/>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建设规模：本工程共包含7处矿山治理项目，其中加爵科村5处、临港村1处、胜龙村1处。</w:t>
      </w:r>
    </w:p>
    <w:p w14:paraId="37DBCFCF">
      <w:pPr>
        <w:pageBreakBefore w:val="0"/>
        <w:widowControl w:val="0"/>
        <w:tabs>
          <w:tab w:val="left" w:pos="900"/>
          <w:tab w:val="left" w:pos="9180"/>
          <w:tab w:val="left" w:pos="9360"/>
        </w:tabs>
        <w:kinsoku/>
        <w:wordWrap/>
        <w:overflowPunct/>
        <w:topLinePunct w:val="0"/>
        <w:autoSpaceDE/>
        <w:autoSpaceDN/>
        <w:bidi w:val="0"/>
        <w:adjustRightInd w:val="0"/>
        <w:snapToGrid/>
        <w:spacing w:line="360" w:lineRule="auto"/>
        <w:ind w:right="0" w:rightChars="0" w:firstLine="440" w:firstLineChars="200"/>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工程范围：施工图范围内的清坡、浆砌块石挡墙、坡脚排水沟、蓄水池、绿化覆土、苗木绿化、挂网喷播、客土喷播等工程，(具体详见工程量清单)。</w:t>
      </w:r>
    </w:p>
    <w:p w14:paraId="569AC342">
      <w:pPr>
        <w:pageBreakBefore w:val="0"/>
        <w:widowControl w:val="0"/>
        <w:kinsoku/>
        <w:wordWrap/>
        <w:overflowPunct/>
        <w:topLinePunct w:val="0"/>
        <w:autoSpaceDE/>
        <w:autoSpaceDN/>
        <w:bidi w:val="0"/>
        <w:adjustRightInd w:val="0"/>
        <w:snapToGrid/>
        <w:spacing w:line="360" w:lineRule="auto"/>
        <w:ind w:right="0" w:rightChars="0"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质量要求：达到国家和行业施工验收规范，验收合格；</w:t>
      </w:r>
    </w:p>
    <w:p w14:paraId="1EE30C8D">
      <w:pPr>
        <w:pageBreakBefore w:val="0"/>
        <w:widowControl w:val="0"/>
        <w:kinsoku/>
        <w:wordWrap/>
        <w:overflowPunct/>
        <w:topLinePunct w:val="0"/>
        <w:autoSpaceDE/>
        <w:autoSpaceDN/>
        <w:bidi w:val="0"/>
        <w:adjustRightInd w:val="0"/>
        <w:snapToGrid/>
        <w:spacing w:line="360" w:lineRule="auto"/>
        <w:ind w:right="0" w:rightChars="0"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安全要求：合格；</w:t>
      </w:r>
    </w:p>
    <w:p w14:paraId="23353C8C">
      <w:pPr>
        <w:pageBreakBefore w:val="0"/>
        <w:widowControl w:val="0"/>
        <w:kinsoku/>
        <w:wordWrap/>
        <w:overflowPunct/>
        <w:topLinePunct w:val="0"/>
        <w:autoSpaceDE/>
        <w:autoSpaceDN/>
        <w:bidi w:val="0"/>
        <w:snapToGrid/>
        <w:spacing w:line="440" w:lineRule="exact"/>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二、项目管理机构人员配备要求</w:t>
      </w:r>
    </w:p>
    <w:bookmarkEnd w:id="70"/>
    <w:tbl>
      <w:tblPr>
        <w:tblStyle w:val="60"/>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bookmarkStart w:id="71" w:name="_Toc31243"/>
            <w:r>
              <w:rPr>
                <w:rFonts w:hint="eastAsia" w:ascii="宋体" w:hAnsi="宋体" w:eastAsia="宋体" w:cs="宋体"/>
                <w:color w:val="auto"/>
                <w:sz w:val="22"/>
                <w:szCs w:val="22"/>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本工程需设</w:t>
            </w:r>
            <w:r>
              <w:rPr>
                <w:rFonts w:hint="eastAsia" w:ascii="宋体" w:hAnsi="宋体" w:eastAsia="宋体" w:cs="宋体"/>
                <w:color w:val="auto"/>
                <w:sz w:val="22"/>
                <w:szCs w:val="22"/>
                <w:highlight w:val="none"/>
                <w:lang w:eastAsia="zh-CN"/>
              </w:rPr>
              <w:t>施工管理人员</w:t>
            </w:r>
            <w:r>
              <w:rPr>
                <w:rFonts w:hint="eastAsia" w:ascii="宋体" w:hAnsi="宋体" w:eastAsia="宋体" w:cs="宋体"/>
                <w:color w:val="auto"/>
                <w:sz w:val="22"/>
                <w:szCs w:val="22"/>
                <w:highlight w:val="none"/>
              </w:rPr>
              <w:t>的专业岗位</w:t>
            </w:r>
          </w:p>
        </w:tc>
        <w:tc>
          <w:tcPr>
            <w:tcW w:w="477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资格要求</w:t>
            </w:r>
          </w:p>
        </w:tc>
        <w:tc>
          <w:tcPr>
            <w:tcW w:w="1601" w:type="dxa"/>
            <w:noWrap w:val="0"/>
            <w:vAlign w:val="center"/>
          </w:tcPr>
          <w:p w14:paraId="7A42334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数量要求</w:t>
            </w:r>
          </w:p>
          <w:p w14:paraId="2CFDE4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项目</w:t>
            </w:r>
            <w:r>
              <w:rPr>
                <w:rFonts w:hint="eastAsia" w:ascii="宋体" w:hAnsi="宋体" w:eastAsia="宋体" w:cs="宋体"/>
                <w:i w:val="0"/>
                <w:iCs w:val="0"/>
                <w:color w:val="auto"/>
                <w:sz w:val="22"/>
                <w:szCs w:val="22"/>
                <w:highlight w:val="none"/>
                <w:lang w:val="en-US" w:eastAsia="zh-CN"/>
              </w:rPr>
              <w:t>负责人</w:t>
            </w:r>
          </w:p>
        </w:tc>
        <w:tc>
          <w:tcPr>
            <w:tcW w:w="4773" w:type="dxa"/>
            <w:noWrap w:val="0"/>
            <w:vAlign w:val="center"/>
          </w:tcPr>
          <w:p w14:paraId="64CAEFA3">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b w:val="0"/>
                <w:bCs/>
                <w:i w:val="0"/>
                <w:iCs w:val="0"/>
                <w:color w:val="auto"/>
                <w:kern w:val="58"/>
                <w:sz w:val="22"/>
                <w:szCs w:val="22"/>
                <w:highlight w:val="none"/>
                <w:u w:val="none"/>
                <w:lang w:val="en-US" w:eastAsia="zh-CN"/>
              </w:rPr>
              <w:t>具备</w:t>
            </w:r>
            <w:r>
              <w:rPr>
                <w:rFonts w:hint="eastAsia" w:ascii="宋体" w:hAnsi="宋体" w:cs="宋体"/>
                <w:b w:val="0"/>
                <w:bCs/>
                <w:i w:val="0"/>
                <w:iCs w:val="0"/>
                <w:color w:val="auto"/>
                <w:kern w:val="58"/>
                <w:sz w:val="22"/>
                <w:szCs w:val="22"/>
                <w:highlight w:val="none"/>
                <w:u w:val="none"/>
                <w:lang w:val="en-US" w:eastAsia="zh-CN"/>
              </w:rPr>
              <w:t>市政公用</w:t>
            </w:r>
            <w:r>
              <w:rPr>
                <w:rFonts w:hint="eastAsia" w:ascii="宋体" w:hAnsi="宋体" w:eastAsia="宋体" w:cs="宋体"/>
                <w:b w:val="0"/>
                <w:bCs/>
                <w:i w:val="0"/>
                <w:iCs w:val="0"/>
                <w:color w:val="auto"/>
                <w:kern w:val="58"/>
                <w:sz w:val="22"/>
                <w:szCs w:val="22"/>
                <w:highlight w:val="none"/>
                <w:u w:val="none"/>
                <w:lang w:val="en-US" w:eastAsia="zh-CN"/>
              </w:rPr>
              <w:t>工程专业二级及以上建造师注册证书，并具有有效的安全生产考核合格证（B证），且在投标截止日不得在其他任何在建合同工程中担任项目负责人（包括工程总承包项目中的施工负责人）。</w:t>
            </w:r>
          </w:p>
        </w:tc>
        <w:tc>
          <w:tcPr>
            <w:tcW w:w="160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技术负责人</w:t>
            </w:r>
          </w:p>
        </w:tc>
        <w:tc>
          <w:tcPr>
            <w:tcW w:w="4773" w:type="dxa"/>
            <w:noWrap w:val="0"/>
            <w:vAlign w:val="center"/>
          </w:tcPr>
          <w:p w14:paraId="44EB0A29">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具有</w:t>
            </w:r>
            <w:r>
              <w:rPr>
                <w:rFonts w:hint="eastAsia" w:ascii="宋体" w:hAnsi="宋体" w:cs="宋体"/>
                <w:b/>
                <w:bCs w:val="0"/>
                <w:i w:val="0"/>
                <w:iCs w:val="0"/>
                <w:color w:val="auto"/>
                <w:kern w:val="58"/>
                <w:sz w:val="22"/>
                <w:szCs w:val="22"/>
                <w:highlight w:val="none"/>
                <w:u w:val="single"/>
                <w:lang w:val="en-US" w:eastAsia="zh-CN"/>
              </w:rPr>
              <w:t>市政</w:t>
            </w:r>
            <w:r>
              <w:rPr>
                <w:rFonts w:hint="eastAsia" w:ascii="宋体" w:hAnsi="宋体" w:eastAsia="宋体" w:cs="宋体"/>
                <w:b/>
                <w:bCs w:val="0"/>
                <w:i w:val="0"/>
                <w:iCs w:val="0"/>
                <w:color w:val="auto"/>
                <w:kern w:val="58"/>
                <w:sz w:val="22"/>
                <w:szCs w:val="22"/>
                <w:highlight w:val="none"/>
                <w:u w:val="single"/>
                <w:lang w:val="en-US" w:eastAsia="zh-CN"/>
              </w:rPr>
              <w:t>类</w:t>
            </w:r>
            <w:r>
              <w:rPr>
                <w:rFonts w:hint="eastAsia" w:ascii="宋体" w:hAnsi="宋体" w:eastAsia="宋体" w:cs="宋体"/>
                <w:b/>
                <w:bCs w:val="0"/>
                <w:i w:val="0"/>
                <w:iCs w:val="0"/>
                <w:color w:val="auto"/>
                <w:sz w:val="22"/>
                <w:szCs w:val="22"/>
                <w:highlight w:val="none"/>
                <w:u w:val="single"/>
              </w:rPr>
              <w:t>专业</w:t>
            </w:r>
            <w:r>
              <w:rPr>
                <w:rFonts w:hint="eastAsia" w:ascii="宋体" w:hAnsi="宋体" w:eastAsia="宋体" w:cs="宋体"/>
                <w:b w:val="0"/>
                <w:bCs/>
                <w:i w:val="0"/>
                <w:iCs w:val="0"/>
                <w:color w:val="auto"/>
                <w:sz w:val="22"/>
                <w:szCs w:val="22"/>
                <w:highlight w:val="none"/>
                <w:u w:val="none"/>
              </w:rPr>
              <w:t>工程师及以上职称</w:t>
            </w:r>
          </w:p>
        </w:tc>
        <w:tc>
          <w:tcPr>
            <w:tcW w:w="160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kern w:val="2"/>
                <w:sz w:val="22"/>
                <w:szCs w:val="22"/>
                <w:highlight w:val="none"/>
                <w:lang w:val="en-US" w:eastAsia="zh-CN" w:bidi="ar-SA"/>
              </w:rPr>
              <w:t>安全员</w:t>
            </w:r>
          </w:p>
        </w:tc>
        <w:tc>
          <w:tcPr>
            <w:tcW w:w="477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color w:val="000000"/>
                <w:kern w:val="0"/>
                <w:sz w:val="22"/>
                <w:szCs w:val="22"/>
                <w:lang w:val="en-US" w:eastAsia="zh-CN" w:bidi="ar"/>
              </w:rPr>
              <w:t>具备建设行政主管部门核发的《专职安全生产管理人员安全生产考核合格证书》</w:t>
            </w:r>
          </w:p>
        </w:tc>
        <w:tc>
          <w:tcPr>
            <w:tcW w:w="160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施工员</w:t>
            </w:r>
          </w:p>
        </w:tc>
        <w:tc>
          <w:tcPr>
            <w:tcW w:w="477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施工员《浙江省建设专业管理岗位资格证书》（《住房和城乡建设领域施工现场专业人员职业培训合格证》）</w:t>
            </w:r>
          </w:p>
        </w:tc>
        <w:tc>
          <w:tcPr>
            <w:tcW w:w="160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质量员</w:t>
            </w:r>
          </w:p>
        </w:tc>
        <w:tc>
          <w:tcPr>
            <w:tcW w:w="477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质检员《浙江省建设专业管理岗位资格证书》（《住房和城乡建设领域施工现场专业人员职业培训合格证》）</w:t>
            </w:r>
          </w:p>
        </w:tc>
        <w:tc>
          <w:tcPr>
            <w:tcW w:w="160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016FCD33">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2"/>
                <w:szCs w:val="22"/>
                <w:highlight w:val="none"/>
                <w:lang w:val="en-US" w:eastAsia="zh-CN"/>
              </w:rPr>
            </w:pPr>
            <w:bookmarkStart w:id="72" w:name="_Toc20889"/>
            <w:r>
              <w:rPr>
                <w:rFonts w:hint="eastAsia" w:ascii="宋体" w:hAnsi="宋体" w:eastAsia="宋体" w:cs="宋体"/>
                <w:b/>
                <w:bCs/>
                <w:color w:val="auto"/>
                <w:sz w:val="22"/>
                <w:szCs w:val="22"/>
                <w:highlight w:val="none"/>
                <w:lang w:val="en-US" w:eastAsia="zh-CN"/>
              </w:rPr>
              <w:t>注：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tc>
      </w:tr>
      <w:bookmarkEnd w:id="71"/>
      <w:bookmarkEnd w:id="72"/>
    </w:tbl>
    <w:p w14:paraId="308CEAF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40128DF6">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三、项目技术要求</w:t>
      </w:r>
    </w:p>
    <w:p w14:paraId="79E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1.本工程量清单是根据采购文件中包括的、有合同约束力的图纸以及有关工程量清单的国家标准、行业标准、合同条款中约定的工程量计算规则编制。计量采用中华人民共和国法定计量单位。</w:t>
      </w:r>
    </w:p>
    <w:p w14:paraId="3E2EA0E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2.本工程量清单应与采购文件中的竞争性磋商须知、合同条款、技术标准和要求及图纸（如有）等一起阅读和理解。</w:t>
      </w:r>
    </w:p>
    <w:p w14:paraId="5A6BBBE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3.符合合同条款规定的全部费用应认为已被计入有标价的工程量清单所列各子目之中，未列子目不予计量的工作，其费用应视为已分摊在本合同工程的有关子目的单价或总价之中。</w:t>
      </w:r>
    </w:p>
    <w:p w14:paraId="0320F8E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4.供应商按采购文件提供的《工程量清单》格式报价。</w:t>
      </w:r>
    </w:p>
    <w:p w14:paraId="245BBF8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5.本工程要求承包人做好现场安全文明施工；现场悬挂安全文明施工警示牌、对施工造成的道路上的洒落进行清理、材料堆放要求整齐并做好维护等。</w:t>
      </w: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16E5EE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7A2FFCD2">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、工程量清单</w:t>
      </w:r>
    </w:p>
    <w:p w14:paraId="45937C07">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1、编制依据</w:t>
      </w:r>
    </w:p>
    <w:p w14:paraId="2342CF37">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（1）由浙江省工程勘察设计集团有限公司负责设计的强蛟镇历史遗留矿山整治项目工程施工图（2025.3）。</w:t>
      </w:r>
    </w:p>
    <w:p w14:paraId="7EB30AD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计价依据：《浙江省建设工程计价规则(2018)版》、《浙江省市政工程预算定额（2018）版》、《浙江省园林绿化及仿古建筑工程预算定额（2018）版》、《浙江省建设工程施工费用定额（2018）版》、《建设工程工程量清单计价规范（GB50500-2013）》及相关(2018版）定额勘误表。</w:t>
      </w:r>
    </w:p>
    <w:p w14:paraId="06C1EDCE">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（3）取费标准：</w:t>
      </w:r>
    </w:p>
    <w:p w14:paraId="2895A303">
      <w:pPr>
        <w:spacing w:line="500" w:lineRule="exact"/>
        <w:ind w:firstLine="440" w:firstLineChars="200"/>
        <w:rPr>
          <w:rFonts w:hint="eastAsia" w:ascii="宋体" w:hAnsi="宋体" w:eastAsia="宋体" w:cs="宋体"/>
          <w:snapToGrid w:val="0"/>
          <w:sz w:val="22"/>
          <w:szCs w:val="22"/>
          <w:highlight w:val="none"/>
          <w:lang w:val="en-US" w:eastAsia="zh-CN"/>
        </w:rPr>
      </w:pPr>
      <w:r>
        <w:rPr>
          <w:rFonts w:hint="default" w:ascii="宋体" w:hAnsi="宋体" w:eastAsia="宋体" w:cs="宋体"/>
          <w:snapToGrid w:val="0"/>
          <w:sz w:val="22"/>
          <w:szCs w:val="22"/>
          <w:highlight w:val="none"/>
          <w:lang w:val="en-US" w:eastAsia="zh-CN"/>
        </w:rPr>
        <w:t>①</w:t>
      </w:r>
      <w:r>
        <w:rPr>
          <w:rFonts w:hint="eastAsia" w:ascii="宋体" w:hAnsi="宋体" w:eastAsia="宋体" w:cs="宋体"/>
          <w:snapToGrid w:val="0"/>
          <w:sz w:val="22"/>
          <w:szCs w:val="22"/>
          <w:highlight w:val="none"/>
          <w:lang w:val="en-US" w:eastAsia="zh-CN"/>
        </w:rPr>
        <w:t>治理工程按道路、排水、河道护岸、水处理构筑物工程计取，绿化部分按单独绿化工程计取；安全生产责任险保险费按市建管[2024]12号文件计取。</w:t>
      </w:r>
    </w:p>
    <w:p w14:paraId="14C1131C">
      <w:pPr>
        <w:spacing w:line="500" w:lineRule="exact"/>
        <w:ind w:firstLine="440" w:firstLineChars="200"/>
        <w:rPr>
          <w:rFonts w:hint="eastAsia" w:ascii="宋体" w:hAnsi="宋体" w:eastAsia="宋体" w:cs="宋体"/>
          <w:snapToGrid w:val="0"/>
          <w:sz w:val="22"/>
          <w:szCs w:val="22"/>
          <w:highlight w:val="none"/>
          <w:lang w:val="en-US" w:eastAsia="zh-CN"/>
        </w:rPr>
      </w:pPr>
      <w:r>
        <w:rPr>
          <w:rFonts w:hint="default" w:ascii="宋体" w:hAnsi="宋体" w:eastAsia="宋体" w:cs="宋体"/>
          <w:snapToGrid w:val="0"/>
          <w:sz w:val="22"/>
          <w:szCs w:val="22"/>
          <w:highlight w:val="none"/>
          <w:lang w:val="en-US" w:eastAsia="zh-CN"/>
        </w:rPr>
        <w:t>②</w:t>
      </w:r>
      <w:r>
        <w:rPr>
          <w:rFonts w:hint="eastAsia" w:ascii="宋体" w:hAnsi="宋体" w:eastAsia="宋体" w:cs="宋体"/>
          <w:snapToGrid w:val="0"/>
          <w:sz w:val="22"/>
          <w:szCs w:val="22"/>
          <w:highlight w:val="none"/>
          <w:lang w:val="en-US" w:eastAsia="zh-CN"/>
        </w:rPr>
        <w:t>组织措施费（安全文明施工费按非市区工程、冬雨季施工增加费计入，其中安全文明施工费按浙建建发[2022]37号文件增加疫情常态化防控和“智慧工地”增加费调整，其他费未计），规费按标准取费30%计算。</w:t>
      </w:r>
    </w:p>
    <w:p w14:paraId="26867848">
      <w:pPr>
        <w:spacing w:line="500" w:lineRule="exact"/>
        <w:ind w:firstLine="440" w:firstLineChars="200"/>
        <w:rPr>
          <w:rFonts w:hint="eastAsia" w:ascii="宋体" w:hAnsi="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（4）材料价格按宁波市造价信息2025年4月份宁海信息价（缺项部分参照宁波市信息价），园林苗木按2025年3月份信息价计入</w:t>
      </w:r>
      <w:r>
        <w:rPr>
          <w:rFonts w:hint="eastAsia" w:ascii="宋体" w:hAnsi="宋体" w:cs="宋体"/>
          <w:snapToGrid w:val="0"/>
          <w:sz w:val="22"/>
          <w:szCs w:val="22"/>
          <w:highlight w:val="none"/>
          <w:lang w:val="en-US" w:eastAsia="zh-CN"/>
        </w:rPr>
        <w:t>。</w:t>
      </w:r>
    </w:p>
    <w:p w14:paraId="7B004DAE">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（5）人工信息价150-184元（一~三类人工）。</w:t>
      </w:r>
    </w:p>
    <w:p w14:paraId="6A6603CC">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（6）本工程按营改增税率9%计算。</w:t>
      </w:r>
    </w:p>
    <w:p w14:paraId="5F47104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2、其他编制说明：</w:t>
      </w:r>
    </w:p>
    <w:p w14:paraId="5FB8FA74">
      <w:pPr>
        <w:spacing w:line="500" w:lineRule="exact"/>
        <w:ind w:firstLine="440" w:firstLineChars="200"/>
        <w:rPr>
          <w:rFonts w:hint="eastAsia" w:ascii="宋体" w:hAnsi="宋体" w:eastAsia="宋体" w:cs="宋体"/>
          <w:snapToGrid w:val="0"/>
          <w:sz w:val="22"/>
          <w:szCs w:val="22"/>
          <w:highlight w:val="none"/>
          <w:lang w:val="en-US" w:eastAsia="zh-CN"/>
        </w:rPr>
      </w:pPr>
      <w:bookmarkStart w:id="73" w:name="_Toc520653672"/>
      <w:r>
        <w:rPr>
          <w:rFonts w:hint="eastAsia" w:ascii="宋体" w:hAnsi="宋体" w:eastAsia="宋体" w:cs="宋体"/>
          <w:snapToGrid w:val="0"/>
          <w:sz w:val="22"/>
          <w:szCs w:val="22"/>
          <w:highlight w:val="none"/>
          <w:lang w:val="en-US" w:eastAsia="zh-CN"/>
        </w:rPr>
        <w:t>（1）本工程清坡及开挖方量均场内填平考虑，不考虑外运。</w:t>
      </w:r>
    </w:p>
    <w:p w14:paraId="1FF2E7E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（2）本工程混凝土均按商品混凝土计算，模板按砼与模板的接触面积计算。</w:t>
      </w:r>
    </w:p>
    <w:p w14:paraId="1673112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（3）加爵科村白象山东海螺水泥厂南侧废弃矿山、临港村大来头山南侧废弃矿山、胜龙村北东侧（雷鸟科技公司北西侧）废弃矿山三处浆砌块石挡墙主材均以开挖料就地利用考虑，不考虑外购。</w:t>
      </w:r>
    </w:p>
    <w:p w14:paraId="6F4EE93A">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（4）不可预见费按100000元（不含税金）计入</w:t>
      </w:r>
    </w:p>
    <w:p w14:paraId="567CDECA">
      <w:pPr>
        <w:spacing w:line="500" w:lineRule="exact"/>
        <w:ind w:firstLine="440" w:firstLineChars="200"/>
        <w:rPr>
          <w:rFonts w:hint="default"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3、工程量清单（另册）</w:t>
      </w:r>
    </w:p>
    <w:p w14:paraId="0CDFEAF1">
      <w:pPr>
        <w:pStyle w:val="3"/>
        <w:pageBreakBefore w:val="0"/>
        <w:widowControl w:val="0"/>
        <w:numPr>
          <w:ilvl w:val="0"/>
          <w:numId w:val="0"/>
        </w:numPr>
        <w:tabs>
          <w:tab w:val="left" w:pos="578"/>
          <w:tab w:val="clear" w:pos="432"/>
        </w:tabs>
        <w:kinsoku/>
        <w:wordWrap/>
        <w:overflowPunct/>
        <w:topLinePunct w:val="0"/>
        <w:bidi w:val="0"/>
        <w:snapToGrid/>
        <w:spacing w:before="0" w:beforeLines="0" w:after="0" w:afterLines="0" w:line="480" w:lineRule="exact"/>
        <w:ind w:left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六、图纸</w:t>
      </w:r>
      <w:bookmarkEnd w:id="73"/>
      <w:r>
        <w:rPr>
          <w:rFonts w:hint="eastAsia" w:ascii="宋体" w:hAnsi="宋体" w:eastAsia="宋体" w:cs="宋体"/>
          <w:b/>
          <w:bCs/>
          <w:sz w:val="21"/>
          <w:szCs w:val="21"/>
          <w:highlight w:val="none"/>
          <w:lang w:val="en-US" w:eastAsia="zh-CN"/>
        </w:rPr>
        <w:t>及招标控制价</w:t>
      </w:r>
    </w:p>
    <w:p w14:paraId="3DBD427F">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color w:val="auto"/>
          <w:kern w:val="2"/>
          <w:sz w:val="22"/>
          <w:szCs w:val="22"/>
          <w:highlight w:val="none"/>
          <w:lang w:val="en-US" w:eastAsia="zh-CN" w:bidi="ar"/>
        </w:rPr>
        <w:t>由投标人在公告发布网站自行下载。</w:t>
      </w:r>
    </w:p>
    <w:p w14:paraId="599B272D">
      <w:pPr>
        <w:pStyle w:val="3"/>
        <w:pageBreakBefore w:val="0"/>
        <w:widowControl w:val="0"/>
        <w:numPr>
          <w:ilvl w:val="0"/>
          <w:numId w:val="0"/>
        </w:numPr>
        <w:tabs>
          <w:tab w:val="left" w:pos="578"/>
          <w:tab w:val="clear" w:pos="432"/>
        </w:tabs>
        <w:kinsoku/>
        <w:wordWrap/>
        <w:overflowPunct/>
        <w:topLinePunct w:val="0"/>
        <w:bidi w:val="0"/>
        <w:snapToGrid/>
        <w:spacing w:before="0" w:beforeLines="0" w:after="0" w:afterLines="0" w:line="480" w:lineRule="exact"/>
        <w:ind w:leftChars="0"/>
        <w:jc w:val="both"/>
        <w:rPr>
          <w:rFonts w:hint="eastAsia" w:ascii="宋体" w:hAnsi="宋体" w:eastAsia="宋体" w:cs="宋体"/>
          <w:b/>
          <w:bCs/>
          <w:sz w:val="21"/>
          <w:szCs w:val="21"/>
          <w:highlight w:val="none"/>
          <w:lang w:val="en-US" w:eastAsia="zh-CN"/>
        </w:rPr>
      </w:pPr>
      <w:bookmarkStart w:id="74" w:name="_Toc10954"/>
      <w:bookmarkStart w:id="75" w:name="_Toc40625952"/>
      <w:r>
        <w:rPr>
          <w:rFonts w:hint="eastAsia" w:ascii="宋体" w:hAnsi="宋体" w:eastAsia="宋体" w:cs="宋体"/>
          <w:b/>
          <w:bCs/>
          <w:sz w:val="21"/>
          <w:szCs w:val="21"/>
          <w:highlight w:val="none"/>
          <w:lang w:val="en-US" w:eastAsia="zh-CN"/>
        </w:rPr>
        <w:t>七、商务条款要求</w:t>
      </w:r>
    </w:p>
    <w:bookmarkEnd w:id="74"/>
    <w:bookmarkEnd w:id="75"/>
    <w:tbl>
      <w:tblPr>
        <w:tblStyle w:val="60"/>
        <w:tblW w:w="9321" w:type="dxa"/>
        <w:jc w:val="center"/>
        <w:tblLayout w:type="fixed"/>
        <w:tblCellMar>
          <w:top w:w="0" w:type="dxa"/>
          <w:left w:w="108" w:type="dxa"/>
          <w:bottom w:w="0" w:type="dxa"/>
          <w:right w:w="108" w:type="dxa"/>
        </w:tblCellMar>
      </w:tblPr>
      <w:tblGrid>
        <w:gridCol w:w="1097"/>
        <w:gridCol w:w="8224"/>
      </w:tblGrid>
      <w:tr w14:paraId="2F85763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      容</w:t>
            </w:r>
          </w:p>
        </w:tc>
      </w:tr>
      <w:tr w14:paraId="05EF9613">
        <w:tblPrEx>
          <w:tblCellMar>
            <w:top w:w="0" w:type="dxa"/>
            <w:left w:w="108" w:type="dxa"/>
            <w:bottom w:w="0" w:type="dxa"/>
            <w:right w:w="108" w:type="dxa"/>
          </w:tblCellMar>
        </w:tblPrEx>
        <w:trPr>
          <w:trHeight w:val="532"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6F662384">
            <w:pPr>
              <w:pStyle w:val="307"/>
              <w:spacing w:line="400" w:lineRule="exact"/>
              <w:ind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合同履约期限（工期）：自开工令发出之日起</w:t>
            </w:r>
            <w:r>
              <w:rPr>
                <w:rFonts w:hint="eastAsia" w:hAnsi="宋体" w:cs="宋体"/>
                <w:color w:val="000000"/>
                <w:kern w:val="2"/>
                <w:sz w:val="22"/>
                <w:szCs w:val="22"/>
                <w:highlight w:val="none"/>
                <w:lang w:val="en-US" w:eastAsia="zh-CN" w:bidi="ar-SA"/>
              </w:rPr>
              <w:t>120日历天</w:t>
            </w:r>
            <w:r>
              <w:rPr>
                <w:rFonts w:hint="eastAsia" w:ascii="宋体" w:hAnsi="宋体" w:eastAsia="宋体" w:cs="宋体"/>
                <w:color w:val="000000"/>
                <w:kern w:val="2"/>
                <w:sz w:val="22"/>
                <w:szCs w:val="22"/>
                <w:highlight w:val="none"/>
                <w:lang w:val="en-US" w:eastAsia="zh-CN" w:bidi="ar-SA"/>
              </w:rPr>
              <w:t>内完成</w:t>
            </w:r>
          </w:p>
        </w:tc>
      </w:tr>
      <w:tr w14:paraId="521B0893">
        <w:tblPrEx>
          <w:tblCellMar>
            <w:top w:w="0" w:type="dxa"/>
            <w:left w:w="108" w:type="dxa"/>
            <w:bottom w:w="0" w:type="dxa"/>
            <w:right w:w="108" w:type="dxa"/>
          </w:tblCellMar>
        </w:tblPrEx>
        <w:trPr>
          <w:trHeight w:val="1196"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5E43F4B1">
            <w:pPr>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付款方法和条件：</w:t>
            </w:r>
          </w:p>
          <w:p w14:paraId="6717F6EE">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1、合同生效及具备实施条件后7个工作日内，采购人支付合同总价的40%作为工程预付款；</w:t>
            </w:r>
            <w:r>
              <w:rPr>
                <w:rFonts w:hint="eastAsia" w:hAnsi="宋体" w:cs="宋体"/>
                <w:color w:val="000000"/>
                <w:kern w:val="2"/>
                <w:sz w:val="22"/>
                <w:szCs w:val="22"/>
                <w:highlight w:val="none"/>
                <w:lang w:val="en-US" w:eastAsia="zh-CN" w:bidi="ar-SA"/>
              </w:rPr>
              <w:t>（实际付款时间待上级资金到位后付款）</w:t>
            </w:r>
          </w:p>
          <w:p w14:paraId="3DC12F19">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2、工程验收合格后7个工作日内，采购人支付至合同总价的80%；</w:t>
            </w:r>
          </w:p>
          <w:p w14:paraId="6A14AF90">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3、工程竣工验收（终验）合格后，根据相关部门核准的决算价，付清尾款。</w:t>
            </w:r>
          </w:p>
          <w:p w14:paraId="0A89858D">
            <w:pPr>
              <w:pStyle w:val="58"/>
              <w:spacing w:line="360" w:lineRule="auto"/>
              <w:ind w:left="0" w:leftChars="0"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注：具体条款以双方签订的合同约定为准。</w:t>
            </w:r>
          </w:p>
        </w:tc>
      </w:tr>
      <w:tr w14:paraId="7140673E">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1、履约保证金的形式：银行保函或银行汇票或支票或保险保单方式</w:t>
            </w:r>
          </w:p>
          <w:p w14:paraId="369C5934">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2、担保收件人：采购人</w:t>
            </w:r>
          </w:p>
          <w:p w14:paraId="39EF8C1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3、履约保证金金额：签约合同价款的1%；</w:t>
            </w:r>
          </w:p>
          <w:p w14:paraId="4B2D6F0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ABF52F0">
            <w:pPr>
              <w:widowControl/>
              <w:spacing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质保期：详见合同条款。</w:t>
            </w:r>
          </w:p>
        </w:tc>
      </w:tr>
      <w:tr w14:paraId="0EDFE085">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25DADC2D">
            <w:pPr>
              <w:autoSpaceDE w:val="0"/>
              <w:autoSpaceDN w:val="0"/>
              <w:adjustRightInd w:val="0"/>
              <w:spacing w:line="40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F9F3374">
            <w:pPr>
              <w:widowControl/>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免费维修的响应期限</w:t>
            </w:r>
          </w:p>
          <w:p w14:paraId="717222C2">
            <w:pPr>
              <w:widowControl/>
              <w:spacing w:line="360" w:lineRule="exac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auto"/>
                <w:sz w:val="22"/>
                <w:szCs w:val="22"/>
                <w:highlight w:val="none"/>
              </w:rPr>
              <w:t>在产品保修期内，一旦发生质量问题，供应商保证在接到通知后30分钟内作出响应，2小时内到现场进行维修、更换或退货，费用由供应商负责。如供应商在接到通知的2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1ECEEB60">
        <w:tblPrEx>
          <w:tblCellMar>
            <w:top w:w="0" w:type="dxa"/>
            <w:left w:w="108" w:type="dxa"/>
            <w:bottom w:w="0" w:type="dxa"/>
            <w:right w:w="108" w:type="dxa"/>
          </w:tblCellMar>
        </w:tblPrEx>
        <w:trPr>
          <w:trHeight w:val="118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▲7</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8"/>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报价方式：按竞争性磋商文件“工程量清单”</w:t>
            </w:r>
            <w:r>
              <w:rPr>
                <w:rFonts w:hint="eastAsia" w:ascii="宋体" w:hAnsi="宋体" w:cs="宋体"/>
                <w:color w:val="000000"/>
                <w:kern w:val="2"/>
                <w:sz w:val="22"/>
                <w:szCs w:val="22"/>
                <w:highlight w:val="none"/>
                <w:lang w:val="en-US" w:eastAsia="zh-CN" w:bidi="ar-SA"/>
              </w:rPr>
              <w:t>报价</w:t>
            </w:r>
            <w:r>
              <w:rPr>
                <w:rFonts w:hint="eastAsia" w:ascii="宋体" w:hAnsi="宋体" w:eastAsia="宋体" w:cs="宋体"/>
                <w:color w:val="000000"/>
                <w:kern w:val="2"/>
                <w:sz w:val="22"/>
                <w:szCs w:val="22"/>
                <w:highlight w:val="none"/>
                <w:lang w:val="en-US" w:eastAsia="zh-CN" w:bidi="ar-SA"/>
              </w:rPr>
              <w:t>。</w:t>
            </w:r>
          </w:p>
          <w:p w14:paraId="6EA2106A">
            <w:pPr>
              <w:spacing w:line="360" w:lineRule="exact"/>
              <w:jc w:val="left"/>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val="en-US" w:eastAsia="zh-CN" w:bidi="ar-SA"/>
              </w:rPr>
              <w:t>最高限价</w:t>
            </w:r>
            <w:r>
              <w:rPr>
                <w:rFonts w:hint="eastAsia" w:ascii="宋体" w:hAnsi="宋体" w:cs="宋体"/>
                <w:color w:val="000000"/>
                <w:kern w:val="2"/>
                <w:sz w:val="22"/>
                <w:szCs w:val="22"/>
                <w:highlight w:val="none"/>
                <w:u w:val="single"/>
                <w:lang w:val="en-US" w:eastAsia="zh-CN" w:bidi="ar-SA"/>
              </w:rPr>
              <w:t>2481498</w:t>
            </w:r>
            <w:r>
              <w:rPr>
                <w:rFonts w:hint="eastAsia" w:ascii="宋体" w:hAnsi="宋体" w:eastAsia="宋体" w:cs="宋体"/>
                <w:color w:val="000000"/>
                <w:kern w:val="2"/>
                <w:sz w:val="22"/>
                <w:szCs w:val="22"/>
                <w:highlight w:val="none"/>
                <w:lang w:val="en-US" w:eastAsia="zh-CN" w:bidi="ar-SA"/>
              </w:rPr>
              <w:t>元</w:t>
            </w:r>
            <w:r>
              <w:rPr>
                <w:rFonts w:hint="eastAsia" w:ascii="宋体" w:hAnsi="宋体" w:cs="宋体"/>
                <w:color w:val="000000"/>
                <w:kern w:val="2"/>
                <w:sz w:val="22"/>
                <w:szCs w:val="22"/>
                <w:highlight w:val="none"/>
                <w:lang w:val="en-US" w:eastAsia="zh-CN" w:bidi="ar-SA"/>
              </w:rPr>
              <w:t>，其中不可预见109000元（含税）未下浮。</w:t>
            </w:r>
          </w:p>
          <w:p w14:paraId="55D5B421">
            <w:p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val="en-US" w:eastAsia="zh-CN" w:bidi="ar-SA"/>
              </w:rPr>
              <w:t>本工程采用单价合同形式，工程量按实调整。</w:t>
            </w:r>
          </w:p>
        </w:tc>
      </w:tr>
    </w:tbl>
    <w:p w14:paraId="43359F85">
      <w:pPr>
        <w:keepNext/>
        <w:keepLines/>
        <w:spacing w:line="360" w:lineRule="auto"/>
        <w:jc w:val="center"/>
        <w:outlineLvl w:val="0"/>
        <w:rPr>
          <w:rFonts w:hint="eastAsia" w:ascii="宋体" w:hAnsi="宋体" w:eastAsia="宋体" w:cs="宋体"/>
          <w:color w:val="000000"/>
          <w:kern w:val="2"/>
          <w:sz w:val="24"/>
          <w:szCs w:val="24"/>
          <w:highlight w:val="none"/>
          <w:lang w:val="en-US" w:eastAsia="zh-CN" w:bidi="ar-SA"/>
        </w:rPr>
      </w:pPr>
    </w:p>
    <w:p w14:paraId="1EBC5A92">
      <w:pPr>
        <w:rPr>
          <w:rFonts w:ascii="宋体" w:hAnsi="宋体" w:cs="宋体"/>
          <w:b/>
          <w:sz w:val="36"/>
          <w:szCs w:val="36"/>
        </w:rPr>
      </w:pPr>
      <w:r>
        <w:rPr>
          <w:rFonts w:hint="eastAsia" w:ascii="黑体" w:hAnsi="黑体" w:eastAsia="黑体" w:cs="黑体"/>
          <w:color w:val="auto"/>
          <w:sz w:val="32"/>
          <w:highlight w:val="none"/>
        </w:rPr>
        <w:br w:type="page"/>
      </w:r>
    </w:p>
    <w:p w14:paraId="0EA707F6">
      <w:pPr>
        <w:numPr>
          <w:ilvl w:val="0"/>
          <w:numId w:val="9"/>
        </w:numPr>
        <w:adjustRightInd/>
        <w:spacing w:line="360" w:lineRule="auto"/>
        <w:jc w:val="center"/>
        <w:outlineLvl w:val="0"/>
        <w:rPr>
          <w:rFonts w:hint="eastAsia" w:ascii="宋体" w:hAnsi="宋体" w:cs="宋体"/>
          <w:b/>
          <w:sz w:val="36"/>
          <w:szCs w:val="36"/>
        </w:rPr>
      </w:pPr>
      <w:bookmarkStart w:id="76" w:name="_Toc14200"/>
      <w:r>
        <w:rPr>
          <w:rFonts w:hint="eastAsia" w:ascii="宋体" w:hAnsi="宋体" w:cs="宋体"/>
          <w:b/>
          <w:sz w:val="36"/>
          <w:szCs w:val="36"/>
        </w:rPr>
        <w:t xml:space="preserve"> </w:t>
      </w:r>
      <w:bookmarkEnd w:id="50"/>
      <w:bookmarkEnd w:id="51"/>
      <w:bookmarkStart w:id="77" w:name="第四部分"/>
      <w:r>
        <w:rPr>
          <w:rFonts w:hint="eastAsia" w:ascii="宋体" w:hAnsi="宋体" w:cs="宋体"/>
          <w:b/>
          <w:sz w:val="36"/>
          <w:szCs w:val="36"/>
        </w:rPr>
        <w:t>评审方法及评审标准</w:t>
      </w:r>
      <w:bookmarkEnd w:id="76"/>
    </w:p>
    <w:p w14:paraId="0C3C2A6F">
      <w:pPr>
        <w:pStyle w:val="395"/>
        <w:spacing w:before="0"/>
        <w:ind w:firstLine="643"/>
        <w:jc w:val="center"/>
        <w:rPr>
          <w:rFonts w:hint="eastAsia" w:ascii="宋体" w:hAnsi="宋体" w:cs="宋体"/>
          <w:b/>
          <w:sz w:val="32"/>
        </w:rPr>
      </w:pPr>
      <w:r>
        <w:rPr>
          <w:rFonts w:hint="eastAsia" w:ascii="宋体" w:hAnsi="宋体" w:cs="宋体"/>
          <w:b/>
          <w:sz w:val="32"/>
        </w:rPr>
        <w:t>评审方法前附表</w:t>
      </w:r>
    </w:p>
    <w:tbl>
      <w:tblPr>
        <w:tblStyle w:val="60"/>
        <w:tblW w:w="101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9"/>
        <w:gridCol w:w="941"/>
        <w:gridCol w:w="6772"/>
        <w:gridCol w:w="803"/>
        <w:gridCol w:w="700"/>
      </w:tblGrid>
      <w:tr w14:paraId="54238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840" w:type="dxa"/>
            <w:gridSpan w:val="2"/>
            <w:noWrap w:val="0"/>
            <w:vAlign w:val="center"/>
          </w:tcPr>
          <w:p w14:paraId="570E30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0"/>
                <w:szCs w:val="20"/>
              </w:rPr>
            </w:pPr>
            <w:r>
              <w:rPr>
                <w:rFonts w:hint="eastAsia" w:ascii="宋体" w:hAnsi="宋体" w:eastAsia="宋体" w:cs="宋体"/>
                <w:b/>
                <w:bCs/>
                <w:color w:val="auto"/>
                <w:sz w:val="20"/>
                <w:szCs w:val="20"/>
                <w:lang w:val="en-US" w:eastAsia="zh-CN"/>
              </w:rPr>
              <w:t>评分</w:t>
            </w:r>
            <w:r>
              <w:rPr>
                <w:rFonts w:hint="eastAsia" w:ascii="宋体" w:hAnsi="宋体" w:eastAsia="宋体" w:cs="宋体"/>
                <w:b/>
                <w:bCs/>
                <w:color w:val="auto"/>
                <w:sz w:val="20"/>
                <w:szCs w:val="20"/>
              </w:rPr>
              <w:t>项目</w:t>
            </w:r>
          </w:p>
        </w:tc>
        <w:tc>
          <w:tcPr>
            <w:tcW w:w="6772" w:type="dxa"/>
            <w:noWrap w:val="0"/>
            <w:vAlign w:val="center"/>
          </w:tcPr>
          <w:p w14:paraId="47979AD8">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0"/>
                <w:szCs w:val="20"/>
              </w:rPr>
            </w:pPr>
            <w:r>
              <w:rPr>
                <w:rFonts w:hint="eastAsia" w:ascii="宋体" w:hAnsi="宋体" w:eastAsia="宋体" w:cs="宋体"/>
                <w:b/>
                <w:bCs/>
                <w:color w:val="auto"/>
                <w:sz w:val="20"/>
                <w:szCs w:val="20"/>
              </w:rPr>
              <w:t>评分细则</w:t>
            </w:r>
          </w:p>
        </w:tc>
        <w:tc>
          <w:tcPr>
            <w:tcW w:w="803" w:type="dxa"/>
            <w:noWrap w:val="0"/>
            <w:vAlign w:val="center"/>
          </w:tcPr>
          <w:p w14:paraId="48CFB21E">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分值</w:t>
            </w:r>
          </w:p>
        </w:tc>
        <w:tc>
          <w:tcPr>
            <w:tcW w:w="700" w:type="dxa"/>
            <w:noWrap w:val="0"/>
            <w:vAlign w:val="center"/>
          </w:tcPr>
          <w:p w14:paraId="2DBDFD63">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备注</w:t>
            </w:r>
          </w:p>
        </w:tc>
      </w:tr>
      <w:tr w14:paraId="67C7C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restart"/>
            <w:noWrap w:val="0"/>
            <w:vAlign w:val="center"/>
          </w:tcPr>
          <w:p w14:paraId="2B9D52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技术</w:t>
            </w:r>
            <w:r>
              <w:rPr>
                <w:rFonts w:hint="eastAsia" w:ascii="宋体" w:hAnsi="宋体" w:eastAsia="宋体" w:cs="宋体"/>
                <w:color w:val="auto"/>
                <w:sz w:val="20"/>
                <w:szCs w:val="20"/>
                <w:highlight w:val="none"/>
                <w:lang w:val="en-US" w:eastAsia="zh-CN"/>
              </w:rPr>
              <w:t>商务</w:t>
            </w:r>
            <w:r>
              <w:rPr>
                <w:rFonts w:hint="eastAsia" w:ascii="宋体" w:hAnsi="宋体" w:eastAsia="宋体" w:cs="宋体"/>
                <w:color w:val="auto"/>
                <w:sz w:val="20"/>
                <w:szCs w:val="20"/>
                <w:highlight w:val="none"/>
                <w:lang w:val="zh-CN"/>
              </w:rPr>
              <w:t>部分</w:t>
            </w:r>
            <w:r>
              <w:rPr>
                <w:rFonts w:hint="eastAsia" w:ascii="宋体" w:hAnsi="宋体" w:eastAsia="宋体" w:cs="宋体"/>
                <w:color w:val="auto"/>
                <w:sz w:val="20"/>
                <w:szCs w:val="20"/>
                <w:highlight w:val="none"/>
                <w:lang w:val="en-US" w:eastAsia="zh-CN"/>
              </w:rPr>
              <w:t>70</w:t>
            </w:r>
            <w:r>
              <w:rPr>
                <w:rFonts w:hint="eastAsia" w:ascii="宋体" w:hAnsi="宋体" w:eastAsia="宋体" w:cs="宋体"/>
                <w:color w:val="auto"/>
                <w:sz w:val="20"/>
                <w:szCs w:val="20"/>
                <w:highlight w:val="none"/>
                <w:lang w:val="zh-CN"/>
              </w:rPr>
              <w:t>分</w:t>
            </w:r>
          </w:p>
        </w:tc>
        <w:tc>
          <w:tcPr>
            <w:tcW w:w="941" w:type="dxa"/>
            <w:vMerge w:val="restart"/>
            <w:noWrap w:val="0"/>
            <w:vAlign w:val="center"/>
          </w:tcPr>
          <w:p w14:paraId="2C359B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施工组织方案</w:t>
            </w:r>
          </w:p>
          <w:p w14:paraId="2DBB5F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en-US" w:eastAsia="zh-CN"/>
              </w:rPr>
              <w:t>45</w:t>
            </w:r>
            <w:r>
              <w:rPr>
                <w:rFonts w:hint="eastAsia" w:ascii="宋体" w:hAnsi="宋体" w:eastAsia="宋体" w:cs="宋体"/>
                <w:color w:val="auto"/>
                <w:sz w:val="20"/>
                <w:szCs w:val="20"/>
                <w:highlight w:val="none"/>
                <w:lang w:val="zh-CN"/>
              </w:rPr>
              <w:t>分）</w:t>
            </w:r>
          </w:p>
        </w:tc>
        <w:tc>
          <w:tcPr>
            <w:tcW w:w="6772" w:type="dxa"/>
            <w:noWrap w:val="0"/>
            <w:vAlign w:val="center"/>
          </w:tcPr>
          <w:p w14:paraId="2C6291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施工方案（</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13371F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根据供应商整体施工方案的完整性、施工措施、可执行力度进行评分：</w:t>
            </w:r>
          </w:p>
          <w:p w14:paraId="446305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①施工方案内容详实、施工措施得力，可执行力度高，得5分；</w:t>
            </w:r>
          </w:p>
          <w:p w14:paraId="0B75CF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②施工方案内容较详实，施工措施可行，可执行力度较高，得4分；</w:t>
            </w:r>
          </w:p>
          <w:p w14:paraId="6C3804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③施工方案内容完整但不够详细，施工措施敷衍，可执行力较低，得3分；</w:t>
            </w:r>
          </w:p>
          <w:p w14:paraId="38AB2C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④施工方案内容简单，施工措施敷衍，可执行力低，得2分；</w:t>
            </w:r>
          </w:p>
          <w:p w14:paraId="0D771D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⑤施工方案内容欠缺，施工措施欠缺，基本无可执行力，得1分；</w:t>
            </w:r>
          </w:p>
          <w:p w14:paraId="01DE40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eastAsia="zh-CN"/>
              </w:rPr>
              <w:t>未提供相关内容不得分。</w:t>
            </w:r>
          </w:p>
        </w:tc>
        <w:tc>
          <w:tcPr>
            <w:tcW w:w="803" w:type="dxa"/>
            <w:noWrap w:val="0"/>
            <w:vAlign w:val="center"/>
          </w:tcPr>
          <w:p w14:paraId="7A04D1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5D1BBC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35AF6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609DD4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137CE3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60E74A4F">
            <w:pPr>
              <w:keepNext w:val="0"/>
              <w:keepLines w:val="0"/>
              <w:pageBreakBefore w:val="0"/>
              <w:widowControl w:val="0"/>
              <w:numPr>
                <w:ilvl w:val="0"/>
                <w:numId w:val="1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施工</w:t>
            </w:r>
            <w:r>
              <w:rPr>
                <w:rFonts w:hint="eastAsia" w:ascii="宋体" w:hAnsi="宋体" w:eastAsia="宋体" w:cs="宋体"/>
                <w:color w:val="auto"/>
                <w:sz w:val="20"/>
                <w:szCs w:val="20"/>
                <w:highlight w:val="none"/>
                <w:lang w:val="zh-CN"/>
              </w:rPr>
              <w:t>质量保证措施（</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15779F1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根据供应商提供的施工质量保证措施（包括但不仅限于材料及设备质量保证措施等）</w:t>
            </w:r>
            <w:r>
              <w:rPr>
                <w:rFonts w:hint="eastAsia" w:ascii="宋体" w:hAnsi="宋体" w:eastAsia="宋体" w:cs="宋体"/>
                <w:color w:val="auto"/>
                <w:sz w:val="20"/>
                <w:szCs w:val="20"/>
                <w:highlight w:val="none"/>
                <w:lang w:val="zh-CN" w:eastAsia="zh-CN"/>
              </w:rPr>
              <w:t>进行评议</w:t>
            </w:r>
            <w:r>
              <w:rPr>
                <w:rFonts w:hint="eastAsia" w:ascii="宋体" w:hAnsi="宋体" w:eastAsia="宋体" w:cs="宋体"/>
                <w:color w:val="auto"/>
                <w:sz w:val="20"/>
                <w:szCs w:val="20"/>
                <w:highlight w:val="none"/>
                <w:lang w:val="zh-CN"/>
              </w:rPr>
              <w:t>：</w:t>
            </w:r>
          </w:p>
          <w:p w14:paraId="7B72EE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①施工质量保证措施方案详实、内容完整，针对性强，可执行力度高，得5分；</w:t>
            </w:r>
          </w:p>
          <w:p w14:paraId="2F53BB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②施工质量保证措施方案较详细、内容充分，有一定针对性，可执行力度较高，得4分；</w:t>
            </w:r>
          </w:p>
          <w:p w14:paraId="0C8AC2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③施工质量保证措施方案较详细、内容较多，缺乏针对性，可执行力较低，得3分；</w:t>
            </w:r>
          </w:p>
          <w:p w14:paraId="634382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④施工质量保证措施方案较简单、内容较少，无针对性，可执行力低，得2分；</w:t>
            </w:r>
          </w:p>
          <w:p w14:paraId="3393E7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⑤施工质量保证措施方案简单、内容少，无针对性，基本无可执行力，得1分；</w:t>
            </w:r>
          </w:p>
          <w:p w14:paraId="15D88D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未提供相关内容不得分</w:t>
            </w:r>
            <w:r>
              <w:rPr>
                <w:rFonts w:hint="eastAsia" w:ascii="宋体" w:hAnsi="宋体" w:eastAsia="宋体" w:cs="宋体"/>
                <w:color w:val="auto"/>
                <w:sz w:val="20"/>
                <w:szCs w:val="20"/>
                <w:highlight w:val="none"/>
                <w:lang w:val="zh-CN"/>
              </w:rPr>
              <w:t>。</w:t>
            </w:r>
          </w:p>
        </w:tc>
        <w:tc>
          <w:tcPr>
            <w:tcW w:w="803" w:type="dxa"/>
            <w:noWrap w:val="0"/>
            <w:vAlign w:val="center"/>
          </w:tcPr>
          <w:p w14:paraId="33D04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6996E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3814D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65BE15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36AA47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7ED575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施工进度计划及保证措施（</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653D80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根据供应商提供的施工进度计划安排（时间节点安排、保障措施等）</w:t>
            </w:r>
            <w:r>
              <w:rPr>
                <w:rFonts w:hint="eastAsia" w:ascii="宋体" w:hAnsi="宋体" w:eastAsia="宋体" w:cs="宋体"/>
                <w:color w:val="auto"/>
                <w:sz w:val="20"/>
                <w:szCs w:val="20"/>
                <w:highlight w:val="none"/>
                <w:lang w:val="zh-CN" w:eastAsia="zh-CN"/>
              </w:rPr>
              <w:t>进行评议</w:t>
            </w:r>
            <w:r>
              <w:rPr>
                <w:rFonts w:hint="eastAsia" w:ascii="宋体" w:hAnsi="宋体" w:eastAsia="宋体" w:cs="宋体"/>
                <w:color w:val="auto"/>
                <w:sz w:val="20"/>
                <w:szCs w:val="20"/>
                <w:highlight w:val="none"/>
                <w:lang w:val="zh-CN"/>
              </w:rPr>
              <w:t>：</w:t>
            </w:r>
          </w:p>
          <w:p w14:paraId="3BDB81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①施工进度计划安排详实、内容完整，时间节点明确，保障措施得力，可执行力度高，得5分；</w:t>
            </w:r>
          </w:p>
          <w:p w14:paraId="29FEB2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②施工进度计划安排较详细、内容充分，时间节点较明确，保障措施可行，可执行力度较高，得4分；</w:t>
            </w:r>
          </w:p>
          <w:p w14:paraId="6B69DA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③施工进度计划安排较详细、内容较多，时间节点基本明确，保障措施基本可行，可执行力较低，得3分；</w:t>
            </w:r>
          </w:p>
          <w:p w14:paraId="7578CB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④施工进度计划较简单、内容较少，时间节点模糊，保障措施敷衍，可执行力低，得2分；</w:t>
            </w:r>
          </w:p>
          <w:p w14:paraId="0D4D91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⑤施工进度计划简单、内容少，时间节点不清晰，保障措施欠缺，基本无可执行力，得1分；</w:t>
            </w:r>
          </w:p>
          <w:p w14:paraId="2DC279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未提供相关内容不得分</w:t>
            </w:r>
            <w:r>
              <w:rPr>
                <w:rFonts w:hint="eastAsia" w:ascii="宋体" w:hAnsi="宋体" w:eastAsia="宋体" w:cs="宋体"/>
                <w:color w:val="auto"/>
                <w:sz w:val="20"/>
                <w:szCs w:val="20"/>
                <w:highlight w:val="none"/>
                <w:lang w:val="zh-CN"/>
              </w:rPr>
              <w:t>。</w:t>
            </w:r>
          </w:p>
        </w:tc>
        <w:tc>
          <w:tcPr>
            <w:tcW w:w="803" w:type="dxa"/>
            <w:noWrap w:val="0"/>
            <w:vAlign w:val="center"/>
          </w:tcPr>
          <w:p w14:paraId="3BF42B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1874A4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61164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17FD34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34315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332B06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安全生产、文明施工措施（</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384BA2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rPr>
              <w:t>根据</w:t>
            </w:r>
            <w:r>
              <w:rPr>
                <w:rFonts w:hint="eastAsia" w:ascii="宋体" w:hAnsi="宋体" w:eastAsia="宋体" w:cs="宋体"/>
                <w:color w:val="auto"/>
                <w:sz w:val="20"/>
                <w:szCs w:val="20"/>
                <w:highlight w:val="none"/>
                <w:lang w:val="zh-CN" w:eastAsia="zh-CN"/>
              </w:rPr>
              <w:t>供应商</w:t>
            </w:r>
            <w:r>
              <w:rPr>
                <w:rFonts w:hint="eastAsia" w:ascii="宋体" w:hAnsi="宋体" w:eastAsia="宋体" w:cs="宋体"/>
                <w:color w:val="auto"/>
                <w:sz w:val="20"/>
                <w:szCs w:val="20"/>
                <w:highlight w:val="none"/>
                <w:lang w:val="zh-CN"/>
              </w:rPr>
              <w:t>针对本项目拟定的安全生产、文明施工</w:t>
            </w:r>
            <w:r>
              <w:rPr>
                <w:rFonts w:hint="eastAsia" w:ascii="宋体" w:hAnsi="宋体" w:eastAsia="宋体" w:cs="宋体"/>
                <w:color w:val="auto"/>
                <w:sz w:val="20"/>
                <w:szCs w:val="20"/>
                <w:highlight w:val="none"/>
                <w:lang w:val="zh-CN" w:eastAsia="zh-CN"/>
              </w:rPr>
              <w:t>进行评议：</w:t>
            </w:r>
          </w:p>
          <w:p w14:paraId="45C9ED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①</w:t>
            </w:r>
            <w:r>
              <w:rPr>
                <w:rFonts w:hint="eastAsia" w:ascii="宋体" w:hAnsi="宋体" w:eastAsia="宋体" w:cs="宋体"/>
                <w:color w:val="auto"/>
                <w:sz w:val="20"/>
                <w:szCs w:val="20"/>
                <w:highlight w:val="none"/>
                <w:lang w:val="zh-CN"/>
              </w:rPr>
              <w:t>拟定的安全生产、文明施工措施</w:t>
            </w:r>
            <w:r>
              <w:rPr>
                <w:rFonts w:hint="eastAsia" w:ascii="宋体" w:hAnsi="宋体" w:eastAsia="宋体" w:cs="宋体"/>
                <w:color w:val="auto"/>
                <w:sz w:val="20"/>
                <w:szCs w:val="20"/>
                <w:highlight w:val="none"/>
                <w:lang w:val="zh-CN" w:eastAsia="zh-CN"/>
              </w:rPr>
              <w:t>完整</w:t>
            </w: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zh-CN" w:eastAsia="zh-CN"/>
              </w:rPr>
              <w:t>合理</w:t>
            </w:r>
            <w:r>
              <w:rPr>
                <w:rFonts w:hint="eastAsia" w:ascii="宋体" w:hAnsi="宋体" w:eastAsia="宋体" w:cs="宋体"/>
                <w:color w:val="auto"/>
                <w:sz w:val="20"/>
                <w:szCs w:val="20"/>
                <w:highlight w:val="none"/>
                <w:lang w:val="zh-CN"/>
              </w:rPr>
              <w:t>的，得</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494922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rPr>
              <w:t>②拟定的安全生产、文明施工措施</w:t>
            </w:r>
            <w:r>
              <w:rPr>
                <w:rFonts w:hint="eastAsia" w:ascii="宋体" w:hAnsi="宋体" w:eastAsia="宋体" w:cs="宋体"/>
                <w:color w:val="auto"/>
                <w:sz w:val="20"/>
                <w:szCs w:val="20"/>
                <w:highlight w:val="none"/>
                <w:lang w:val="zh-CN" w:eastAsia="zh-CN"/>
              </w:rPr>
              <w:t>基本完整、合理的，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zh-CN"/>
              </w:rPr>
              <w:t>分；</w:t>
            </w:r>
          </w:p>
          <w:p w14:paraId="666B37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③拟定的安全生产、文明施工措施</w:t>
            </w:r>
            <w:r>
              <w:rPr>
                <w:rFonts w:hint="eastAsia" w:ascii="宋体" w:hAnsi="宋体" w:eastAsia="宋体" w:cs="宋体"/>
                <w:color w:val="auto"/>
                <w:sz w:val="20"/>
                <w:szCs w:val="20"/>
                <w:highlight w:val="none"/>
                <w:lang w:val="zh-CN" w:eastAsia="zh-CN"/>
              </w:rPr>
              <w:t>一般有瑕疵的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rPr>
              <w:t>分；</w:t>
            </w:r>
          </w:p>
          <w:p w14:paraId="47B4B3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④</w:t>
            </w:r>
            <w:r>
              <w:rPr>
                <w:rFonts w:hint="eastAsia" w:ascii="宋体" w:hAnsi="宋体" w:eastAsia="宋体" w:cs="宋体"/>
                <w:color w:val="auto"/>
                <w:sz w:val="20"/>
                <w:szCs w:val="20"/>
                <w:highlight w:val="none"/>
                <w:lang w:val="zh-CN"/>
              </w:rPr>
              <w:t>拟定的安全生产、文明施工措施</w:t>
            </w:r>
            <w:r>
              <w:rPr>
                <w:rFonts w:hint="eastAsia" w:ascii="宋体" w:hAnsi="宋体" w:eastAsia="宋体" w:cs="宋体"/>
                <w:color w:val="auto"/>
                <w:sz w:val="20"/>
                <w:szCs w:val="20"/>
                <w:highlight w:val="none"/>
                <w:lang w:val="zh-CN" w:eastAsia="zh-CN"/>
              </w:rPr>
              <w:t>简单存在缺陷的，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val="zh-CN"/>
              </w:rPr>
              <w:t>分；</w:t>
            </w:r>
          </w:p>
          <w:p w14:paraId="1B2B19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⑤拟定的安全生产、文明施工措施</w:t>
            </w:r>
            <w:r>
              <w:rPr>
                <w:rFonts w:hint="eastAsia" w:ascii="宋体" w:hAnsi="宋体" w:eastAsia="宋体" w:cs="宋体"/>
                <w:color w:val="auto"/>
                <w:sz w:val="20"/>
                <w:szCs w:val="20"/>
                <w:highlight w:val="none"/>
                <w:lang w:val="zh-CN" w:eastAsia="zh-CN"/>
              </w:rPr>
              <w:t>无法满足要求的，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rPr>
              <w:t>分</w:t>
            </w:r>
          </w:p>
          <w:p w14:paraId="60054F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未提供相关内容不得分</w:t>
            </w:r>
            <w:r>
              <w:rPr>
                <w:rFonts w:hint="eastAsia" w:ascii="宋体" w:hAnsi="宋体" w:eastAsia="宋体" w:cs="宋体"/>
                <w:color w:val="auto"/>
                <w:sz w:val="20"/>
                <w:szCs w:val="20"/>
                <w:highlight w:val="none"/>
                <w:lang w:val="zh-CN"/>
              </w:rPr>
              <w:t>。</w:t>
            </w:r>
          </w:p>
        </w:tc>
        <w:tc>
          <w:tcPr>
            <w:tcW w:w="803" w:type="dxa"/>
            <w:noWrap w:val="0"/>
            <w:vAlign w:val="center"/>
          </w:tcPr>
          <w:p w14:paraId="6FA09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74377E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69DBA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2BEAF5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229AF3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52C457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环保管理体系和措施（</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76744F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根据供应商提供的施工环保管理措施（包括但不仅限于防噪音、防扬尘、防灯光污染、防刺鼻气味等施工环境维护保障措施等）</w:t>
            </w:r>
            <w:r>
              <w:rPr>
                <w:rFonts w:hint="eastAsia" w:ascii="宋体" w:hAnsi="宋体" w:eastAsia="宋体" w:cs="宋体"/>
                <w:color w:val="auto"/>
                <w:sz w:val="20"/>
                <w:szCs w:val="20"/>
                <w:highlight w:val="none"/>
                <w:lang w:val="zh-CN" w:eastAsia="zh-CN"/>
              </w:rPr>
              <w:t>进行评议</w:t>
            </w:r>
            <w:r>
              <w:rPr>
                <w:rFonts w:hint="eastAsia" w:ascii="宋体" w:hAnsi="宋体" w:eastAsia="宋体" w:cs="宋体"/>
                <w:color w:val="auto"/>
                <w:sz w:val="20"/>
                <w:szCs w:val="20"/>
                <w:highlight w:val="none"/>
                <w:lang w:val="zh-CN"/>
              </w:rPr>
              <w:t>：</w:t>
            </w:r>
          </w:p>
          <w:p w14:paraId="56C65A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①施工环保管理措施完善，防噪音、防扬尘、防灯光污染、防刺鼻气味等施工环境维护保障措施可行的，得5分；</w:t>
            </w:r>
          </w:p>
          <w:p w14:paraId="25859E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②施工环保管理措施较完善，防噪音、防扬尘、防灯光污染、防刺鼻气味等施工环境维护保障措施基本可行的，得4分；</w:t>
            </w:r>
          </w:p>
          <w:p w14:paraId="107F4B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③施工环保管理措施一般，防噪音、防扬尘、防灯光污染、防刺鼻气味等施工环境维护保障措施存在较低风险的，得3分；</w:t>
            </w:r>
          </w:p>
          <w:p w14:paraId="11B7BA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④施工环保管理措施较简单，防噪音、防扬尘、防灯光污染、防刺鼻气味等施工环境维护保障措施存在较高风险的，得2分；</w:t>
            </w:r>
          </w:p>
          <w:p w14:paraId="1E6829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⑤施工环保管理措施简单，防噪音、防扬尘、防灯光污染、防刺鼻气味等施工环境维护保障措施不可行且存在风险的，得1分；</w:t>
            </w:r>
          </w:p>
          <w:p w14:paraId="19ADD3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未提供相关内容不得分</w:t>
            </w:r>
            <w:r>
              <w:rPr>
                <w:rFonts w:hint="eastAsia" w:ascii="宋体" w:hAnsi="宋体" w:eastAsia="宋体" w:cs="宋体"/>
                <w:color w:val="auto"/>
                <w:sz w:val="20"/>
                <w:szCs w:val="20"/>
                <w:highlight w:val="none"/>
                <w:lang w:val="zh-CN"/>
              </w:rPr>
              <w:t>。</w:t>
            </w:r>
          </w:p>
        </w:tc>
        <w:tc>
          <w:tcPr>
            <w:tcW w:w="803" w:type="dxa"/>
            <w:noWrap w:val="0"/>
            <w:vAlign w:val="center"/>
          </w:tcPr>
          <w:p w14:paraId="47F2B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07D82A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0D1FB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9" w:type="dxa"/>
            <w:vMerge w:val="continue"/>
            <w:noWrap w:val="0"/>
            <w:vAlign w:val="center"/>
          </w:tcPr>
          <w:p w14:paraId="706AB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679000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46553B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主要施工机械设备的选用和布置（</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7CEDC7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rPr>
              <w:t>施工机械设备的选用和布置</w:t>
            </w:r>
            <w:r>
              <w:rPr>
                <w:rFonts w:hint="eastAsia" w:ascii="宋体" w:hAnsi="宋体" w:eastAsia="宋体" w:cs="宋体"/>
                <w:color w:val="auto"/>
                <w:sz w:val="20"/>
                <w:szCs w:val="20"/>
                <w:highlight w:val="none"/>
                <w:lang w:val="zh-CN" w:eastAsia="zh-CN"/>
              </w:rPr>
              <w:t>进行评议：</w:t>
            </w:r>
          </w:p>
          <w:p w14:paraId="69731A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①施工机械设备种类齐全、规格型号新、能保证项目顺利实施的得</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eastAsia="zh-CN"/>
              </w:rPr>
              <w:t>分；</w:t>
            </w:r>
          </w:p>
          <w:p w14:paraId="1ABE83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②施工机械设备种类较为齐全、规格型号较新、能保证项目顺利实施的得4分；</w:t>
            </w:r>
          </w:p>
          <w:p w14:paraId="5B5CAB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③施工机械设备种类齐全、但部分非主体设备略为陈旧的，但能基本保证项目实施的得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eastAsia="zh-CN"/>
              </w:rPr>
              <w:t>分；</w:t>
            </w:r>
          </w:p>
          <w:p w14:paraId="441608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④施工机械设备种类较齐全、设备略为陈旧，但能基本保证项目实施的得2分；</w:t>
            </w:r>
          </w:p>
          <w:p w14:paraId="70DBE8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⑤施工机械设备不全、或陈旧落后难以保证项目顺利实施的得1分</w:t>
            </w:r>
          </w:p>
          <w:p w14:paraId="2CE296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未提供相关内容不得分。</w:t>
            </w:r>
          </w:p>
          <w:p w14:paraId="779D7A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注：</w:t>
            </w:r>
            <w:r>
              <w:rPr>
                <w:rFonts w:hint="eastAsia" w:ascii="宋体" w:hAnsi="宋体" w:eastAsia="宋体" w:cs="宋体"/>
                <w:color w:val="auto"/>
                <w:sz w:val="20"/>
                <w:szCs w:val="20"/>
                <w:highlight w:val="none"/>
                <w:lang w:val="zh-CN"/>
              </w:rPr>
              <w:t>提供主要施工机械设备清单及发票复印件。</w:t>
            </w:r>
          </w:p>
        </w:tc>
        <w:tc>
          <w:tcPr>
            <w:tcW w:w="803" w:type="dxa"/>
            <w:noWrap w:val="0"/>
            <w:vAlign w:val="center"/>
          </w:tcPr>
          <w:p w14:paraId="0A59DC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7A77C4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613F8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9" w:type="dxa"/>
            <w:vMerge w:val="continue"/>
            <w:noWrap w:val="0"/>
            <w:vAlign w:val="center"/>
          </w:tcPr>
          <w:p w14:paraId="757053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3E4479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0CB605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（7）方案各工程关键节点（5分）</w:t>
            </w:r>
          </w:p>
          <w:p w14:paraId="4CB3BA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方案各工程关键节点进行评议：</w:t>
            </w:r>
          </w:p>
          <w:p w14:paraId="21342C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①方案各工程关键节点分析准确、把控得当的、能保证项目顺利实施的得5分；</w:t>
            </w:r>
          </w:p>
          <w:p w14:paraId="02930C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②方案各工程关键节点能满足基本需求能，保证项目顺利实施的得4分；</w:t>
            </w:r>
          </w:p>
          <w:p w14:paraId="7C58C1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③方案能满足本工程的基本需求，工程关键节点把控略有欠缺的得3分；</w:t>
            </w:r>
          </w:p>
          <w:p w14:paraId="17F8B3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④方案存在明显缺漏或过于笼统没有针对性，存在较多的不足，可行性差的得2分；</w:t>
            </w:r>
          </w:p>
          <w:p w14:paraId="60A6B3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⑤方案与实际情况存在一定偏差，难以保证项目顺利实施的得1分；</w:t>
            </w:r>
          </w:p>
          <w:p w14:paraId="6C7751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未提供相关内容不得分。</w:t>
            </w:r>
          </w:p>
        </w:tc>
        <w:tc>
          <w:tcPr>
            <w:tcW w:w="803" w:type="dxa"/>
            <w:noWrap w:val="0"/>
            <w:vAlign w:val="center"/>
          </w:tcPr>
          <w:p w14:paraId="43C44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72F96D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21DA7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9" w:type="dxa"/>
            <w:vMerge w:val="continue"/>
            <w:noWrap w:val="0"/>
            <w:vAlign w:val="center"/>
          </w:tcPr>
          <w:p w14:paraId="388547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1FA678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4930C07F">
            <w:pPr>
              <w:keepNext w:val="0"/>
              <w:keepLines w:val="0"/>
              <w:pageBreakBefore w:val="0"/>
              <w:widowControl w:val="0"/>
              <w:numPr>
                <w:ilvl w:val="0"/>
                <w:numId w:val="1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临时设施布置方案（5分）</w:t>
            </w:r>
          </w:p>
          <w:p w14:paraId="0FB7A3E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根据供应商提供的施工现场临时设施布置方案（包括施工现场临时设施布置情况、施工设备及原材料堆放情况等）进行评议：</w:t>
            </w:r>
          </w:p>
          <w:p w14:paraId="24840B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①布置方案详实、内容完整，临时设施考虑齐全且布置科学，施工设备及原材料堆放有序，可执行力高的，得5分；</w:t>
            </w:r>
          </w:p>
          <w:p w14:paraId="6455B3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②布置方案较详细、内容充分，临时设施考虑齐全且布置较合理，施工设备及原材料堆放较合理，可执行力度较高，得4分；</w:t>
            </w:r>
          </w:p>
          <w:p w14:paraId="328570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③布置方案较详细、内容较多，临时设施考虑较齐全且布置较合理，施工设备及原材料堆放较随意，可勉强执行的，得3分；</w:t>
            </w:r>
          </w:p>
          <w:p w14:paraId="13C626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④布置方案较简单、内容较少，临时设施考虑不足且布置随意，施工设备及原材料堆放随意，得2分；</w:t>
            </w:r>
          </w:p>
          <w:p w14:paraId="569D2F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⑤布置方案简单、内容少，临时设施考虑不足且布置无章法，施工设备及原材料堆放混乱，得1分；</w:t>
            </w:r>
          </w:p>
          <w:p w14:paraId="09F74D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未提供相关内容不得分。</w:t>
            </w:r>
          </w:p>
        </w:tc>
        <w:tc>
          <w:tcPr>
            <w:tcW w:w="803" w:type="dxa"/>
            <w:noWrap w:val="0"/>
            <w:vAlign w:val="center"/>
          </w:tcPr>
          <w:p w14:paraId="633EF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577380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4D03A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0" w:hRule="atLeast"/>
          <w:jc w:val="center"/>
        </w:trPr>
        <w:tc>
          <w:tcPr>
            <w:tcW w:w="899" w:type="dxa"/>
            <w:vMerge w:val="continue"/>
            <w:noWrap w:val="0"/>
            <w:vAlign w:val="center"/>
          </w:tcPr>
          <w:p w14:paraId="0B5A89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53D834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44A1FF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（9）竣工资料整理方案（5分）</w:t>
            </w:r>
          </w:p>
          <w:p w14:paraId="51B324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根据供应商提供的竣工资料整理方案</w:t>
            </w:r>
            <w:r>
              <w:rPr>
                <w:rFonts w:hint="eastAsia" w:ascii="宋体" w:hAnsi="宋体" w:eastAsia="宋体" w:cs="宋体"/>
                <w:color w:val="auto"/>
                <w:sz w:val="20"/>
                <w:szCs w:val="20"/>
                <w:highlight w:val="none"/>
                <w:lang w:val="zh-CN" w:eastAsia="zh-CN"/>
              </w:rPr>
              <w:t>进行评议</w:t>
            </w:r>
            <w:r>
              <w:rPr>
                <w:rFonts w:hint="eastAsia" w:ascii="宋体" w:hAnsi="宋体" w:eastAsia="宋体" w:cs="宋体"/>
                <w:color w:val="auto"/>
                <w:sz w:val="20"/>
                <w:szCs w:val="20"/>
                <w:highlight w:val="none"/>
                <w:lang w:val="zh-CN"/>
              </w:rPr>
              <w:t>：</w:t>
            </w:r>
          </w:p>
          <w:p w14:paraId="12EBC0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①竣工资料整理方案详实、内容完整，便于留档和结算，可执行力度高，得5分；</w:t>
            </w:r>
          </w:p>
          <w:p w14:paraId="5E2F0F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②竣工资料整理方案较详细、内容充分，能较好的完成留档和结算，可执行力度较高，得4分；</w:t>
            </w:r>
          </w:p>
          <w:p w14:paraId="379AD9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③竣工资料整理方案较详细、内容较多，在留档和结算过程中不会造成返工，可执行力较低，得3分；</w:t>
            </w:r>
          </w:p>
          <w:p w14:paraId="6BCCCB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④竣工资料整理方案较简单、内容较少，会在留档和结算过程中造成返工，可执行力低，得2分；</w:t>
            </w:r>
          </w:p>
          <w:p w14:paraId="5CA559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⑤竣工资料整理方案简单、内容少，无法用于留档和结算，基本无可执行力，得1分；</w:t>
            </w:r>
          </w:p>
          <w:p w14:paraId="369B38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eastAsia="zh-CN"/>
              </w:rPr>
              <w:t>未提供相关内容不得分</w:t>
            </w:r>
            <w:r>
              <w:rPr>
                <w:rFonts w:hint="eastAsia" w:ascii="宋体" w:hAnsi="宋体" w:eastAsia="宋体" w:cs="宋体"/>
                <w:color w:val="auto"/>
                <w:sz w:val="20"/>
                <w:szCs w:val="20"/>
                <w:highlight w:val="none"/>
                <w:lang w:val="zh-CN"/>
              </w:rPr>
              <w:t>。</w:t>
            </w:r>
          </w:p>
        </w:tc>
        <w:tc>
          <w:tcPr>
            <w:tcW w:w="803" w:type="dxa"/>
            <w:noWrap w:val="0"/>
            <w:vAlign w:val="center"/>
          </w:tcPr>
          <w:p w14:paraId="4137D4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572110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73973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7" w:hRule="atLeast"/>
          <w:jc w:val="center"/>
        </w:trPr>
        <w:tc>
          <w:tcPr>
            <w:tcW w:w="899" w:type="dxa"/>
            <w:vMerge w:val="continue"/>
            <w:noWrap w:val="0"/>
            <w:vAlign w:val="center"/>
          </w:tcPr>
          <w:p w14:paraId="6BB2AC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noWrap w:val="0"/>
            <w:vAlign w:val="center"/>
          </w:tcPr>
          <w:p w14:paraId="4A1852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突发事件应急预案</w:t>
            </w:r>
          </w:p>
          <w:p w14:paraId="46D3C4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（5分）</w:t>
            </w:r>
          </w:p>
        </w:tc>
        <w:tc>
          <w:tcPr>
            <w:tcW w:w="6772" w:type="dxa"/>
            <w:noWrap w:val="0"/>
            <w:vAlign w:val="center"/>
          </w:tcPr>
          <w:p w14:paraId="0F80A4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对本项目实施期间的突发事件应急预案进行评议（5分）：</w:t>
            </w:r>
          </w:p>
          <w:p w14:paraId="3708B9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根据供应商提供的突发事件应急措施（包括但不仅限于发生火灾、触电、机械伤害、化学品伤害等事故的逃生和急救方案等）进行评议：</w:t>
            </w:r>
          </w:p>
          <w:p w14:paraId="5AA07E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①应急措施方案完善，发生火灾、触电、机械伤害、化学品伤害等事故的逃生和急救方案具体有效，措施得力，可执行力度高的，得5分；</w:t>
            </w:r>
          </w:p>
          <w:p w14:paraId="7FFEE3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②应急措施方案较完善，发生火灾、触电、机械伤害、化学品伤害等事故的逃生和急救方案措施得当，可执行力度较高的，得4分；</w:t>
            </w:r>
          </w:p>
          <w:p w14:paraId="19BB42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③应急措施方案内容一般，发生火灾、触电、机械伤害、化学品伤害等事故的逃生和急救方案有较高成功率，可执行力一般的，得3分；</w:t>
            </w:r>
          </w:p>
          <w:p w14:paraId="4797BD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④应急措施方案内容较简单，发生火灾、触电、机械伤害、化学品伤害等事故的逃生和急救方案成功率低，可执行力低的，得2分；</w:t>
            </w:r>
          </w:p>
          <w:p w14:paraId="0E9D7C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⑤应急措施方案内容简单，发生火灾、触电、机械伤害、化学品伤害等事故的逃生和急救方案无效，基本无可执行力的，得1分；</w:t>
            </w:r>
          </w:p>
          <w:p w14:paraId="6E1B8B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未提供相关内容不得分。</w:t>
            </w:r>
          </w:p>
        </w:tc>
        <w:tc>
          <w:tcPr>
            <w:tcW w:w="803" w:type="dxa"/>
            <w:noWrap w:val="0"/>
            <w:vAlign w:val="center"/>
          </w:tcPr>
          <w:p w14:paraId="7AAF2A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0A6024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425C6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99" w:type="dxa"/>
            <w:vMerge w:val="continue"/>
            <w:noWrap w:val="0"/>
            <w:vAlign w:val="center"/>
          </w:tcPr>
          <w:p w14:paraId="0F82EB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restart"/>
            <w:noWrap w:val="0"/>
            <w:vAlign w:val="center"/>
          </w:tcPr>
          <w:p w14:paraId="6BFEE4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售后服务方案（</w:t>
            </w:r>
            <w:r>
              <w:rPr>
                <w:rFonts w:hint="eastAsia" w:ascii="宋体" w:hAnsi="宋体" w:eastAsia="宋体" w:cs="宋体"/>
                <w:color w:val="auto"/>
                <w:sz w:val="20"/>
                <w:szCs w:val="20"/>
                <w:highlight w:val="none"/>
                <w:lang w:val="en-US" w:eastAsia="zh-CN"/>
              </w:rPr>
              <w:t>7.5</w:t>
            </w:r>
            <w:r>
              <w:rPr>
                <w:rFonts w:hint="eastAsia" w:ascii="宋体" w:hAnsi="宋体" w:eastAsia="宋体" w:cs="宋体"/>
                <w:color w:val="auto"/>
                <w:sz w:val="20"/>
                <w:szCs w:val="20"/>
                <w:highlight w:val="none"/>
                <w:lang w:val="zh-CN"/>
              </w:rPr>
              <w:t>分）</w:t>
            </w:r>
          </w:p>
        </w:tc>
        <w:tc>
          <w:tcPr>
            <w:tcW w:w="6772" w:type="dxa"/>
            <w:noWrap w:val="0"/>
            <w:vAlign w:val="center"/>
          </w:tcPr>
          <w:p w14:paraId="46C9AA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rPr>
              <w:t>售后服务的响应时间</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到达现场时间</w:t>
            </w:r>
            <w:r>
              <w:rPr>
                <w:rFonts w:hint="eastAsia" w:ascii="宋体" w:hAnsi="宋体" w:eastAsia="宋体" w:cs="宋体"/>
                <w:color w:val="auto"/>
                <w:sz w:val="20"/>
                <w:szCs w:val="20"/>
                <w:highlight w:val="none"/>
                <w:lang w:val="en-US" w:eastAsia="zh-CN"/>
              </w:rPr>
              <w:t>承诺</w:t>
            </w: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zh-CN"/>
              </w:rPr>
              <w:t>分）：</w:t>
            </w:r>
          </w:p>
          <w:p w14:paraId="0A56A0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1.响应时间与到达时间迅速，能在30分钟内响应并在2小时内到达项目现场的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zh-CN"/>
              </w:rPr>
              <w:t>分</w:t>
            </w:r>
            <w:r>
              <w:rPr>
                <w:rFonts w:hint="eastAsia" w:ascii="宋体" w:hAnsi="宋体" w:eastAsia="宋体" w:cs="宋体"/>
                <w:color w:val="auto"/>
                <w:sz w:val="20"/>
                <w:szCs w:val="20"/>
                <w:highlight w:val="none"/>
                <w:lang w:val="zh-CN" w:eastAsia="zh-CN"/>
              </w:rPr>
              <w:t>；</w:t>
            </w:r>
          </w:p>
          <w:p w14:paraId="49B2F4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2.响应时间与到达时间一般，在1小时内响应并在4小时内到达现场的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val="zh-CN"/>
              </w:rPr>
              <w:t>分；</w:t>
            </w:r>
          </w:p>
          <w:p w14:paraId="4B2A5C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3.响应时间与到达时间缓慢，</w:t>
            </w:r>
            <w:r>
              <w:rPr>
                <w:rFonts w:hint="eastAsia" w:ascii="宋体" w:hAnsi="宋体" w:eastAsia="宋体" w:cs="宋体"/>
                <w:color w:val="auto"/>
                <w:sz w:val="20"/>
                <w:szCs w:val="20"/>
                <w:highlight w:val="none"/>
                <w:lang w:val="zh-CN"/>
              </w:rPr>
              <w:t>响应时间</w:t>
            </w:r>
            <w:r>
              <w:rPr>
                <w:rFonts w:hint="eastAsia" w:ascii="宋体" w:hAnsi="宋体" w:eastAsia="宋体" w:cs="宋体"/>
                <w:color w:val="auto"/>
                <w:sz w:val="20"/>
                <w:szCs w:val="20"/>
                <w:highlight w:val="none"/>
                <w:lang w:val="en-US" w:eastAsia="zh-CN"/>
              </w:rPr>
              <w:t>超过1小时或到达时间超过4小时的不得分</w:t>
            </w:r>
            <w:r>
              <w:rPr>
                <w:rFonts w:hint="eastAsia" w:ascii="宋体" w:hAnsi="宋体" w:eastAsia="宋体" w:cs="宋体"/>
                <w:color w:val="auto"/>
                <w:sz w:val="20"/>
                <w:szCs w:val="20"/>
                <w:highlight w:val="none"/>
                <w:lang w:val="zh-CN"/>
              </w:rPr>
              <w:t>。</w:t>
            </w:r>
          </w:p>
        </w:tc>
        <w:tc>
          <w:tcPr>
            <w:tcW w:w="803" w:type="dxa"/>
            <w:noWrap w:val="0"/>
            <w:vAlign w:val="center"/>
          </w:tcPr>
          <w:p w14:paraId="51862B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c>
          <w:tcPr>
            <w:tcW w:w="700" w:type="dxa"/>
            <w:noWrap w:val="0"/>
            <w:vAlign w:val="center"/>
          </w:tcPr>
          <w:p w14:paraId="1A1403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客观评审</w:t>
            </w:r>
          </w:p>
        </w:tc>
      </w:tr>
      <w:tr w14:paraId="545F3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99" w:type="dxa"/>
            <w:vMerge w:val="continue"/>
            <w:noWrap w:val="0"/>
            <w:vAlign w:val="center"/>
          </w:tcPr>
          <w:p w14:paraId="01DF75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286625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38DDB8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售后服务内容承诺（</w:t>
            </w:r>
            <w:r>
              <w:rPr>
                <w:rFonts w:hint="eastAsia" w:ascii="宋体" w:hAnsi="宋体" w:eastAsia="宋体" w:cs="宋体"/>
                <w:color w:val="auto"/>
                <w:sz w:val="20"/>
                <w:szCs w:val="20"/>
                <w:highlight w:val="none"/>
                <w:lang w:val="en-US" w:eastAsia="zh-CN"/>
              </w:rPr>
              <w:t>3.5</w:t>
            </w:r>
            <w:r>
              <w:rPr>
                <w:rFonts w:hint="eastAsia" w:ascii="宋体" w:hAnsi="宋体" w:eastAsia="宋体" w:cs="宋体"/>
                <w:color w:val="auto"/>
                <w:sz w:val="20"/>
                <w:szCs w:val="20"/>
                <w:highlight w:val="none"/>
                <w:lang w:val="zh-CN"/>
              </w:rPr>
              <w:t>分）：</w:t>
            </w:r>
          </w:p>
          <w:p w14:paraId="70DEF7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①</w:t>
            </w:r>
            <w:r>
              <w:rPr>
                <w:rFonts w:hint="eastAsia" w:ascii="宋体" w:hAnsi="宋体" w:eastAsia="宋体" w:cs="宋体"/>
                <w:color w:val="auto"/>
                <w:sz w:val="20"/>
                <w:szCs w:val="20"/>
                <w:highlight w:val="none"/>
                <w:lang w:val="zh-CN"/>
              </w:rPr>
              <w:t>服务保障</w:t>
            </w:r>
            <w:r>
              <w:rPr>
                <w:rFonts w:hint="eastAsia" w:ascii="宋体" w:hAnsi="宋体" w:eastAsia="宋体" w:cs="宋体"/>
                <w:color w:val="auto"/>
                <w:sz w:val="20"/>
                <w:szCs w:val="20"/>
                <w:highlight w:val="none"/>
                <w:lang w:val="en-US" w:eastAsia="zh-CN"/>
              </w:rPr>
              <w:t>体系完备</w:t>
            </w:r>
            <w:r>
              <w:rPr>
                <w:rFonts w:hint="eastAsia" w:ascii="宋体" w:hAnsi="宋体" w:eastAsia="宋体" w:cs="宋体"/>
                <w:color w:val="auto"/>
                <w:sz w:val="20"/>
                <w:szCs w:val="20"/>
                <w:highlight w:val="none"/>
                <w:lang w:val="zh-CN"/>
              </w:rPr>
              <w:t>、服务内容具体、详细、</w:t>
            </w:r>
            <w:r>
              <w:rPr>
                <w:rFonts w:hint="eastAsia" w:ascii="宋体" w:hAnsi="宋体" w:eastAsia="宋体" w:cs="宋体"/>
                <w:color w:val="auto"/>
                <w:sz w:val="20"/>
                <w:szCs w:val="20"/>
                <w:highlight w:val="none"/>
                <w:lang w:val="en-US" w:eastAsia="zh-CN"/>
              </w:rPr>
              <w:t>服务质量有保障的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3.5</w:t>
            </w:r>
            <w:r>
              <w:rPr>
                <w:rFonts w:hint="eastAsia" w:ascii="宋体" w:hAnsi="宋体" w:eastAsia="宋体" w:cs="宋体"/>
                <w:color w:val="auto"/>
                <w:sz w:val="20"/>
                <w:szCs w:val="20"/>
                <w:highlight w:val="none"/>
                <w:lang w:val="zh-CN"/>
              </w:rPr>
              <w:t>分</w:t>
            </w:r>
            <w:r>
              <w:rPr>
                <w:rFonts w:hint="eastAsia" w:ascii="宋体" w:hAnsi="宋体" w:eastAsia="宋体" w:cs="宋体"/>
                <w:color w:val="auto"/>
                <w:sz w:val="20"/>
                <w:szCs w:val="20"/>
                <w:highlight w:val="none"/>
                <w:lang w:val="zh-CN" w:eastAsia="zh-CN"/>
              </w:rPr>
              <w:t>；</w:t>
            </w:r>
          </w:p>
          <w:p w14:paraId="34D350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②有服务保障体系但部分</w:t>
            </w:r>
            <w:r>
              <w:rPr>
                <w:rFonts w:hint="eastAsia" w:ascii="宋体" w:hAnsi="宋体" w:eastAsia="宋体" w:cs="宋体"/>
                <w:color w:val="auto"/>
                <w:sz w:val="20"/>
                <w:szCs w:val="20"/>
                <w:highlight w:val="none"/>
                <w:lang w:val="zh-CN"/>
              </w:rPr>
              <w:t>内容有欠缺、但尚不影响履约得</w:t>
            </w:r>
            <w:r>
              <w:rPr>
                <w:rFonts w:hint="eastAsia" w:ascii="宋体" w:hAnsi="宋体" w:eastAsia="宋体" w:cs="宋体"/>
                <w:color w:val="auto"/>
                <w:sz w:val="20"/>
                <w:szCs w:val="20"/>
                <w:highlight w:val="none"/>
                <w:lang w:val="en-US" w:eastAsia="zh-CN"/>
              </w:rPr>
              <w:t>2.5</w:t>
            </w:r>
            <w:r>
              <w:rPr>
                <w:rFonts w:hint="eastAsia" w:ascii="宋体" w:hAnsi="宋体" w:eastAsia="宋体" w:cs="宋体"/>
                <w:color w:val="auto"/>
                <w:sz w:val="20"/>
                <w:szCs w:val="20"/>
                <w:highlight w:val="none"/>
                <w:lang w:val="zh-CN"/>
              </w:rPr>
              <w:t>分；</w:t>
            </w:r>
          </w:p>
          <w:p w14:paraId="20631A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③服务保障体系不完善或</w:t>
            </w:r>
            <w:r>
              <w:rPr>
                <w:rFonts w:hint="eastAsia" w:ascii="宋体" w:hAnsi="宋体" w:eastAsia="宋体" w:cs="宋体"/>
                <w:color w:val="auto"/>
                <w:sz w:val="20"/>
                <w:szCs w:val="20"/>
                <w:highlight w:val="none"/>
                <w:lang w:val="zh-CN"/>
              </w:rPr>
              <w:t>内容</w:t>
            </w:r>
            <w:r>
              <w:rPr>
                <w:rFonts w:hint="eastAsia" w:ascii="宋体" w:hAnsi="宋体" w:eastAsia="宋体" w:cs="宋体"/>
                <w:color w:val="auto"/>
                <w:sz w:val="20"/>
                <w:szCs w:val="20"/>
                <w:highlight w:val="none"/>
                <w:lang w:val="en-US" w:eastAsia="zh-CN"/>
              </w:rPr>
              <w:t>存在明显缺漏项</w:t>
            </w: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zh-CN" w:eastAsia="zh-CN"/>
              </w:rPr>
              <w:t>保障明显不足</w:t>
            </w:r>
            <w:r>
              <w:rPr>
                <w:rFonts w:hint="eastAsia" w:ascii="宋体" w:hAnsi="宋体" w:eastAsia="宋体" w:cs="宋体"/>
                <w:color w:val="auto"/>
                <w:sz w:val="20"/>
                <w:szCs w:val="20"/>
                <w:highlight w:val="none"/>
                <w:lang w:val="en-US" w:eastAsia="zh-CN"/>
              </w:rPr>
              <w:t>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1.5</w:t>
            </w:r>
            <w:r>
              <w:rPr>
                <w:rFonts w:hint="eastAsia" w:ascii="宋体" w:hAnsi="宋体" w:eastAsia="宋体" w:cs="宋体"/>
                <w:color w:val="auto"/>
                <w:sz w:val="20"/>
                <w:szCs w:val="20"/>
                <w:highlight w:val="none"/>
                <w:lang w:val="zh-CN"/>
              </w:rPr>
              <w:t>分。</w:t>
            </w:r>
          </w:p>
          <w:p w14:paraId="65D74E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eastAsia="zh-CN"/>
              </w:rPr>
              <w:t>未提供的不得分。</w:t>
            </w:r>
          </w:p>
        </w:tc>
        <w:tc>
          <w:tcPr>
            <w:tcW w:w="803" w:type="dxa"/>
            <w:noWrap w:val="0"/>
            <w:vAlign w:val="center"/>
          </w:tcPr>
          <w:p w14:paraId="16D546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3.5</w:t>
            </w:r>
          </w:p>
        </w:tc>
        <w:tc>
          <w:tcPr>
            <w:tcW w:w="700" w:type="dxa"/>
            <w:noWrap w:val="0"/>
            <w:vAlign w:val="center"/>
          </w:tcPr>
          <w:p w14:paraId="67E4D9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787E1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4CC60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noWrap w:val="0"/>
            <w:vAlign w:val="center"/>
          </w:tcPr>
          <w:p w14:paraId="05CE65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合理化建议</w:t>
            </w:r>
          </w:p>
          <w:p w14:paraId="37B8A1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tc>
        <w:tc>
          <w:tcPr>
            <w:tcW w:w="6772" w:type="dxa"/>
            <w:noWrap w:val="0"/>
            <w:vAlign w:val="center"/>
          </w:tcPr>
          <w:p w14:paraId="45ACEF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对本项目提出</w:t>
            </w:r>
            <w:r>
              <w:rPr>
                <w:rFonts w:hint="eastAsia" w:ascii="宋体" w:hAnsi="宋体" w:eastAsia="宋体" w:cs="宋体"/>
                <w:color w:val="auto"/>
                <w:sz w:val="20"/>
                <w:szCs w:val="20"/>
                <w:highlight w:val="none"/>
                <w:lang w:val="zh-CN"/>
              </w:rPr>
              <w:t>的合理化建议进行</w:t>
            </w:r>
            <w:r>
              <w:rPr>
                <w:rFonts w:hint="eastAsia" w:ascii="宋体" w:hAnsi="宋体" w:eastAsia="宋体" w:cs="宋体"/>
                <w:color w:val="auto"/>
                <w:sz w:val="20"/>
                <w:szCs w:val="20"/>
                <w:highlight w:val="none"/>
                <w:lang w:val="en-US" w:eastAsia="zh-CN"/>
              </w:rPr>
              <w:t>进行评议（5分）：</w:t>
            </w:r>
          </w:p>
          <w:p w14:paraId="6FB047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①</w:t>
            </w:r>
            <w:r>
              <w:rPr>
                <w:rFonts w:hint="eastAsia" w:ascii="宋体" w:hAnsi="宋体" w:eastAsia="宋体" w:cs="宋体"/>
                <w:color w:val="auto"/>
                <w:sz w:val="20"/>
                <w:szCs w:val="20"/>
                <w:highlight w:val="none"/>
                <w:lang w:val="zh-CN"/>
              </w:rPr>
              <w:t>提供的合理化建议结合项目实际需求内容详细，考虑周全，对项目具有推动性意义的，得</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14C306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②提供的合理化建议结合项目实际需求内容一般，考虑恰当，</w:t>
            </w:r>
            <w:r>
              <w:rPr>
                <w:rFonts w:hint="eastAsia" w:ascii="宋体" w:hAnsi="宋体" w:eastAsia="宋体" w:cs="宋体"/>
                <w:color w:val="auto"/>
                <w:sz w:val="20"/>
                <w:szCs w:val="20"/>
                <w:highlight w:val="none"/>
                <w:lang w:val="zh-CN" w:eastAsia="zh-CN"/>
              </w:rPr>
              <w:t>对项目推动有意义的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zh-CN"/>
              </w:rPr>
              <w:t>分；</w:t>
            </w:r>
          </w:p>
          <w:p w14:paraId="0A44A0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rPr>
              <w:t>③提供的合理化建议结合项目实际需求内容考虑不妥，不够恰当的，</w:t>
            </w:r>
            <w:r>
              <w:rPr>
                <w:rFonts w:hint="eastAsia" w:ascii="宋体" w:hAnsi="宋体" w:eastAsia="宋体" w:cs="宋体"/>
                <w:color w:val="auto"/>
                <w:sz w:val="20"/>
                <w:szCs w:val="20"/>
                <w:highlight w:val="none"/>
                <w:lang w:val="zh-CN" w:eastAsia="zh-CN"/>
              </w:rPr>
              <w:t>对项目推动较为困难的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rPr>
              <w:t>分；</w:t>
            </w:r>
          </w:p>
          <w:p w14:paraId="3C9407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④提供的合理化建议结合项目实际需求内容欠缺，考虑欠妥的得，对项目推动可能存在困难的2分；</w:t>
            </w:r>
          </w:p>
          <w:p w14:paraId="345623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⑤提供的合理化建议结合项目明显难以推动项目进行的得1分。</w:t>
            </w:r>
          </w:p>
          <w:p w14:paraId="5FD818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未提供的不得分。</w:t>
            </w:r>
          </w:p>
        </w:tc>
        <w:tc>
          <w:tcPr>
            <w:tcW w:w="803" w:type="dxa"/>
            <w:noWrap w:val="0"/>
            <w:vAlign w:val="center"/>
          </w:tcPr>
          <w:p w14:paraId="3343F6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21C8E5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主观评审</w:t>
            </w:r>
          </w:p>
        </w:tc>
      </w:tr>
      <w:tr w14:paraId="26115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899" w:type="dxa"/>
            <w:vMerge w:val="continue"/>
            <w:noWrap w:val="0"/>
            <w:vAlign w:val="center"/>
          </w:tcPr>
          <w:p w14:paraId="72FC48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restart"/>
            <w:noWrap w:val="0"/>
            <w:vAlign w:val="center"/>
          </w:tcPr>
          <w:p w14:paraId="0EBCF3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项目团队</w:t>
            </w:r>
          </w:p>
          <w:p w14:paraId="6D72A2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zh-CN" w:eastAsia="zh-CN"/>
              </w:rPr>
              <w:t>6</w:t>
            </w:r>
            <w:r>
              <w:rPr>
                <w:rFonts w:hint="eastAsia" w:ascii="宋体" w:hAnsi="宋体" w:eastAsia="宋体" w:cs="宋体"/>
                <w:color w:val="auto"/>
                <w:sz w:val="20"/>
                <w:szCs w:val="20"/>
                <w:highlight w:val="none"/>
                <w:lang w:val="zh-CN"/>
              </w:rPr>
              <w:t>分）</w:t>
            </w:r>
          </w:p>
        </w:tc>
        <w:tc>
          <w:tcPr>
            <w:tcW w:w="6772" w:type="dxa"/>
            <w:noWrap w:val="0"/>
            <w:vAlign w:val="center"/>
          </w:tcPr>
          <w:p w14:paraId="39BE50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eastAsia="zh-CN"/>
              </w:rPr>
              <w:t>供应商拟派的</w:t>
            </w:r>
            <w:r>
              <w:rPr>
                <w:rFonts w:hint="eastAsia" w:ascii="宋体" w:hAnsi="宋体" w:eastAsia="宋体" w:cs="宋体"/>
                <w:color w:val="auto"/>
                <w:sz w:val="20"/>
                <w:szCs w:val="20"/>
                <w:highlight w:val="none"/>
                <w:lang w:val="zh-CN"/>
              </w:rPr>
              <w:t>项目负责人</w:t>
            </w:r>
            <w:r>
              <w:rPr>
                <w:rFonts w:hint="eastAsia" w:ascii="宋体" w:hAnsi="宋体" w:eastAsia="宋体" w:cs="宋体"/>
                <w:color w:val="auto"/>
                <w:sz w:val="20"/>
                <w:szCs w:val="20"/>
                <w:highlight w:val="none"/>
                <w:lang w:val="en-US" w:eastAsia="zh-CN"/>
              </w:rPr>
              <w:t xml:space="preserve">具备工程类专业中级职称证书的得1.5分具工程类专业中级以上职称证书的得3分，本项最多得3分。                   </w:t>
            </w:r>
          </w:p>
          <w:p w14:paraId="0A625E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注：须提供项目负责人有效期内的证书复印件、同供应商关联关系的证明材料（如2024年10月-2024年12月任意一月社保/合同/协议/提供的人员为供应商本单位人员的承诺函原件等）并加盖公章。提供有效的社保、合同、协议、承诺函等同投标人关联关系的证明材料之一即可，无需重复提供。</w:t>
            </w:r>
          </w:p>
        </w:tc>
        <w:tc>
          <w:tcPr>
            <w:tcW w:w="803" w:type="dxa"/>
            <w:noWrap w:val="0"/>
            <w:vAlign w:val="center"/>
          </w:tcPr>
          <w:p w14:paraId="387B67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p>
        </w:tc>
        <w:tc>
          <w:tcPr>
            <w:tcW w:w="700" w:type="dxa"/>
            <w:noWrap w:val="0"/>
            <w:vAlign w:val="center"/>
          </w:tcPr>
          <w:p w14:paraId="4E0157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客观评审</w:t>
            </w:r>
          </w:p>
        </w:tc>
      </w:tr>
      <w:tr w14:paraId="514CC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9" w:type="dxa"/>
            <w:vMerge w:val="continue"/>
            <w:noWrap w:val="0"/>
            <w:vAlign w:val="center"/>
          </w:tcPr>
          <w:p w14:paraId="4B0B0D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rPr>
            </w:pPr>
          </w:p>
        </w:tc>
        <w:tc>
          <w:tcPr>
            <w:tcW w:w="941" w:type="dxa"/>
            <w:vMerge w:val="continue"/>
            <w:noWrap w:val="0"/>
            <w:vAlign w:val="center"/>
          </w:tcPr>
          <w:p w14:paraId="349E27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rPr>
            </w:pPr>
          </w:p>
        </w:tc>
        <w:tc>
          <w:tcPr>
            <w:tcW w:w="6772" w:type="dxa"/>
            <w:noWrap w:val="0"/>
            <w:vAlign w:val="center"/>
          </w:tcPr>
          <w:p w14:paraId="3176A0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供应商拟派的技术负责人具备地质或岩土工程专业中级职称证书的得1.5分，拟派技术负责人具备地质或岩土工程专业中级以上职称证书的得3分，本项最多得3分。                   </w:t>
            </w:r>
          </w:p>
          <w:p w14:paraId="7E89F5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注：须提供技术负责人有效期内的证书复印件、同供应商关联关系的证明材料（如2024年10月-2024年12月任意一月社保/合同/协议/提供的人员为供应商本单位人员的承诺函原件等）并加盖公章。提供有效的社保、合同、协议、承诺函等同投标人关联关系的证明材料之一即可，无需重复提供。</w:t>
            </w:r>
          </w:p>
          <w:p w14:paraId="267519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未提供的不得分</w:t>
            </w:r>
            <w:r>
              <w:rPr>
                <w:rFonts w:hint="eastAsia" w:ascii="宋体" w:hAnsi="宋体" w:eastAsia="宋体" w:cs="宋体"/>
                <w:color w:val="auto"/>
                <w:sz w:val="20"/>
                <w:szCs w:val="20"/>
                <w:highlight w:val="none"/>
                <w:lang w:val="zh-CN"/>
              </w:rPr>
              <w:t>。</w:t>
            </w:r>
          </w:p>
        </w:tc>
        <w:tc>
          <w:tcPr>
            <w:tcW w:w="803" w:type="dxa"/>
            <w:noWrap w:val="0"/>
            <w:vAlign w:val="center"/>
          </w:tcPr>
          <w:p w14:paraId="10911E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3</w:t>
            </w:r>
          </w:p>
        </w:tc>
        <w:tc>
          <w:tcPr>
            <w:tcW w:w="700" w:type="dxa"/>
            <w:noWrap w:val="0"/>
            <w:vAlign w:val="center"/>
          </w:tcPr>
          <w:p w14:paraId="30DAC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客观评审</w:t>
            </w:r>
          </w:p>
        </w:tc>
      </w:tr>
      <w:tr w14:paraId="679B3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noWrap w:val="0"/>
            <w:vAlign w:val="center"/>
          </w:tcPr>
          <w:p w14:paraId="4CC42762">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sz w:val="20"/>
                <w:szCs w:val="20"/>
                <w:lang w:val="en-US" w:eastAsia="zh-CN"/>
              </w:rPr>
            </w:pPr>
          </w:p>
        </w:tc>
        <w:tc>
          <w:tcPr>
            <w:tcW w:w="941" w:type="dxa"/>
            <w:shd w:val="clear" w:color="auto" w:fill="auto"/>
            <w:noWrap w:val="0"/>
            <w:vAlign w:val="center"/>
          </w:tcPr>
          <w:p w14:paraId="1FD62C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业绩</w:t>
            </w:r>
          </w:p>
          <w:p w14:paraId="52B442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en-US" w:eastAsia="zh-CN"/>
              </w:rPr>
              <w:t>1.5</w:t>
            </w:r>
            <w:r>
              <w:rPr>
                <w:rFonts w:hint="eastAsia" w:ascii="宋体" w:hAnsi="宋体" w:eastAsia="宋体" w:cs="宋体"/>
                <w:color w:val="auto"/>
                <w:sz w:val="20"/>
                <w:szCs w:val="20"/>
                <w:highlight w:val="none"/>
                <w:lang w:val="zh-CN"/>
              </w:rPr>
              <w:t>分）</w:t>
            </w:r>
          </w:p>
        </w:tc>
        <w:tc>
          <w:tcPr>
            <w:tcW w:w="6772" w:type="dxa"/>
            <w:shd w:val="clear" w:color="auto" w:fill="auto"/>
            <w:noWrap w:val="0"/>
            <w:vAlign w:val="center"/>
          </w:tcPr>
          <w:p w14:paraId="341C6ADB">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自202</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val="zh-CN"/>
              </w:rPr>
              <w:t>年</w:t>
            </w:r>
            <w:r>
              <w:rPr>
                <w:rFonts w:hint="eastAsia" w:ascii="宋体" w:hAnsi="宋体" w:eastAsia="宋体" w:cs="宋体"/>
                <w:color w:val="auto"/>
                <w:sz w:val="20"/>
                <w:szCs w:val="20"/>
                <w:highlight w:val="none"/>
                <w:lang w:val="en-US" w:eastAsia="zh-CN"/>
              </w:rPr>
              <w:t>01</w:t>
            </w:r>
            <w:r>
              <w:rPr>
                <w:rFonts w:hint="eastAsia" w:ascii="宋体" w:hAnsi="宋体" w:eastAsia="宋体" w:cs="宋体"/>
                <w:color w:val="auto"/>
                <w:sz w:val="20"/>
                <w:szCs w:val="20"/>
                <w:highlight w:val="none"/>
                <w:lang w:val="zh-CN"/>
              </w:rPr>
              <w:t>月01日至今（以合同签订日期为准），供应商具有类似项目业绩的，每个业绩得</w:t>
            </w:r>
            <w:r>
              <w:rPr>
                <w:rFonts w:hint="eastAsia" w:ascii="宋体" w:hAnsi="宋体" w:eastAsia="宋体" w:cs="宋体"/>
                <w:color w:val="auto"/>
                <w:sz w:val="20"/>
                <w:szCs w:val="20"/>
                <w:highlight w:val="none"/>
                <w:lang w:val="en-US" w:eastAsia="zh-CN"/>
              </w:rPr>
              <w:t>0.5</w:t>
            </w:r>
            <w:r>
              <w:rPr>
                <w:rFonts w:hint="eastAsia" w:ascii="宋体" w:hAnsi="宋体" w:eastAsia="宋体" w:cs="宋体"/>
                <w:color w:val="auto"/>
                <w:sz w:val="20"/>
                <w:szCs w:val="20"/>
                <w:highlight w:val="none"/>
                <w:lang w:val="zh-CN"/>
              </w:rPr>
              <w:t>分，最高得</w:t>
            </w:r>
            <w:r>
              <w:rPr>
                <w:rFonts w:hint="eastAsia" w:ascii="宋体" w:hAnsi="宋体" w:eastAsia="宋体" w:cs="宋体"/>
                <w:color w:val="auto"/>
                <w:sz w:val="20"/>
                <w:szCs w:val="20"/>
                <w:highlight w:val="none"/>
                <w:lang w:val="en-US" w:eastAsia="zh-CN"/>
              </w:rPr>
              <w:t>1.5</w:t>
            </w:r>
            <w:r>
              <w:rPr>
                <w:rFonts w:hint="eastAsia" w:ascii="宋体" w:hAnsi="宋体" w:eastAsia="宋体" w:cs="宋体"/>
                <w:color w:val="auto"/>
                <w:sz w:val="20"/>
                <w:szCs w:val="20"/>
                <w:highlight w:val="none"/>
                <w:lang w:val="zh-CN"/>
              </w:rPr>
              <w:t>分。</w:t>
            </w:r>
          </w:p>
          <w:p w14:paraId="7F9BD63F">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kern w:val="2"/>
                <w:sz w:val="20"/>
                <w:szCs w:val="20"/>
                <w:highlight w:val="none"/>
                <w:lang w:val="zh-CN" w:eastAsia="zh-CN" w:bidi="ar-SA"/>
              </w:rPr>
            </w:pPr>
            <w:r>
              <w:rPr>
                <w:rFonts w:hint="eastAsia" w:ascii="宋体" w:hAnsi="宋体" w:eastAsia="宋体" w:cs="宋体"/>
                <w:color w:val="auto"/>
                <w:sz w:val="20"/>
                <w:szCs w:val="20"/>
                <w:highlight w:val="none"/>
                <w:lang w:val="zh-CN"/>
              </w:rPr>
              <w:t>注：同一轮招标周期内同一项目（标项）的合同只能按一个合同认定，不累计计算，投标文件中提供合同复印件并加盖公章。</w:t>
            </w:r>
          </w:p>
        </w:tc>
        <w:tc>
          <w:tcPr>
            <w:tcW w:w="803" w:type="dxa"/>
            <w:shd w:val="clear" w:color="auto" w:fill="auto"/>
            <w:noWrap w:val="0"/>
            <w:vAlign w:val="center"/>
          </w:tcPr>
          <w:p w14:paraId="118437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1.5</w:t>
            </w:r>
          </w:p>
        </w:tc>
        <w:tc>
          <w:tcPr>
            <w:tcW w:w="700" w:type="dxa"/>
            <w:shd w:val="clear" w:color="auto" w:fill="auto"/>
            <w:noWrap w:val="0"/>
            <w:vAlign w:val="center"/>
          </w:tcPr>
          <w:p w14:paraId="75AE3E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客观评审</w:t>
            </w:r>
          </w:p>
        </w:tc>
      </w:tr>
      <w:tr w14:paraId="1E8F4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0" w:type="dxa"/>
            <w:gridSpan w:val="2"/>
            <w:noWrap w:val="0"/>
            <w:vAlign w:val="center"/>
          </w:tcPr>
          <w:p w14:paraId="0D659D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商务报价部分</w:t>
            </w:r>
          </w:p>
          <w:p w14:paraId="220817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（30分）</w:t>
            </w:r>
          </w:p>
        </w:tc>
        <w:tc>
          <w:tcPr>
            <w:tcW w:w="6772" w:type="dxa"/>
            <w:noWrap w:val="0"/>
            <w:vAlign w:val="center"/>
          </w:tcPr>
          <w:p w14:paraId="122222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参与评审的价格＝</w:t>
            </w:r>
            <w:r>
              <w:rPr>
                <w:rFonts w:hint="eastAsia" w:ascii="宋体" w:hAnsi="宋体" w:eastAsia="宋体" w:cs="宋体"/>
                <w:sz w:val="20"/>
                <w:szCs w:val="20"/>
                <w:lang w:val="zh-TW" w:eastAsia="zh-TW"/>
              </w:rPr>
              <w:t>最终报价</w:t>
            </w:r>
          </w:p>
          <w:p w14:paraId="750576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参与评审的价格最低的为评标基准价，基准价得分为满分30分；</w:t>
            </w:r>
          </w:p>
          <w:p w14:paraId="14D32E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其他供应商的价格分按照下列公式计算：</w:t>
            </w:r>
          </w:p>
          <w:p w14:paraId="0D20EE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各供应商的价格得分＝（评标基准价/参与评审的价格）×30×100％</w:t>
            </w:r>
          </w:p>
        </w:tc>
        <w:tc>
          <w:tcPr>
            <w:tcW w:w="803" w:type="dxa"/>
            <w:noWrap w:val="0"/>
            <w:vAlign w:val="center"/>
          </w:tcPr>
          <w:p w14:paraId="4B2451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p>
        </w:tc>
        <w:tc>
          <w:tcPr>
            <w:tcW w:w="700" w:type="dxa"/>
            <w:noWrap w:val="0"/>
            <w:vAlign w:val="center"/>
          </w:tcPr>
          <w:p w14:paraId="7C42D2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客观评审</w:t>
            </w:r>
          </w:p>
        </w:tc>
      </w:tr>
    </w:tbl>
    <w:p w14:paraId="5E05E300">
      <w:pPr>
        <w:adjustRightInd/>
        <w:spacing w:line="360" w:lineRule="auto"/>
        <w:ind w:firstLine="440" w:firstLineChars="200"/>
        <w:rPr>
          <w:rFonts w:hint="eastAsia" w:ascii="宋体" w:hAnsi="宋体" w:cs="宋体"/>
          <w:bCs/>
          <w:sz w:val="22"/>
          <w:szCs w:val="22"/>
        </w:rPr>
      </w:pPr>
    </w:p>
    <w:p w14:paraId="5DB40A5B">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2ECA6270">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3EC3498A">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61AECC60">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58485708">
      <w:pPr>
        <w:rPr>
          <w:rFonts w:hint="eastAsia" w:ascii="宋体" w:hAnsi="宋体" w:cs="宋体"/>
          <w:b/>
          <w:sz w:val="32"/>
        </w:rPr>
      </w:pPr>
    </w:p>
    <w:p w14:paraId="64390E70">
      <w:pPr>
        <w:rPr>
          <w:rFonts w:hint="eastAsia" w:ascii="宋体" w:hAnsi="宋体" w:cs="宋体"/>
          <w:b/>
          <w:sz w:val="32"/>
        </w:rPr>
      </w:pPr>
      <w:r>
        <w:rPr>
          <w:rFonts w:hint="eastAsia" w:ascii="宋体" w:hAnsi="宋体" w:cs="宋体"/>
          <w:b/>
          <w:sz w:val="32"/>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lang w:val="en-US" w:eastAsia="zh-CN"/>
        </w:rPr>
        <w:t>的投标文件出自同一终端设备或在相同Internet主机分配地址（相同IP地址）进行网上报名、投标的；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77"/>
    <w:p w14:paraId="1A0BD6D3">
      <w:pPr>
        <w:numPr>
          <w:ilvl w:val="0"/>
          <w:numId w:val="12"/>
        </w:numPr>
        <w:spacing w:line="360" w:lineRule="auto"/>
        <w:jc w:val="center"/>
        <w:outlineLvl w:val="0"/>
        <w:rPr>
          <w:rFonts w:hint="eastAsia" w:ascii="宋体" w:hAnsi="宋体" w:cs="宋体"/>
          <w:b/>
          <w:sz w:val="36"/>
          <w:szCs w:val="36"/>
        </w:rPr>
      </w:pPr>
      <w:bookmarkStart w:id="78" w:name="_Toc230"/>
      <w:r>
        <w:rPr>
          <w:rFonts w:hint="eastAsia" w:ascii="宋体" w:hAnsi="宋体" w:cs="宋体"/>
          <w:b/>
          <w:sz w:val="36"/>
          <w:szCs w:val="36"/>
        </w:rPr>
        <w:t xml:space="preserve"> 拟签订的合同文本</w:t>
      </w:r>
      <w:bookmarkEnd w:id="78"/>
    </w:p>
    <w:p w14:paraId="64845A79">
      <w:pPr>
        <w:snapToGrid w:val="0"/>
        <w:spacing w:line="360" w:lineRule="auto"/>
        <w:ind w:firstLine="422" w:firstLineChars="200"/>
        <w:jc w:val="center"/>
        <w:rPr>
          <w:b/>
          <w:szCs w:val="21"/>
          <w:highlight w:val="none"/>
        </w:rPr>
      </w:pPr>
      <w:bookmarkStart w:id="79" w:name="_Toc40964240"/>
      <w:r>
        <w:rPr>
          <w:rFonts w:hint="eastAsia"/>
          <w:b/>
          <w:szCs w:val="21"/>
          <w:highlight w:val="none"/>
        </w:rPr>
        <w:t>（本合同为合同样稿</w:t>
      </w:r>
      <w:r>
        <w:rPr>
          <w:rFonts w:hint="eastAsia" w:ascii="Times New Roman" w:hAnsi="Times New Roman" w:eastAsia="宋体" w:cs="Times New Roman"/>
          <w:b/>
          <w:szCs w:val="21"/>
          <w:highlight w:val="none"/>
        </w:rPr>
        <w:t>，</w:t>
      </w:r>
      <w:r>
        <w:rPr>
          <w:rFonts w:hint="eastAsia"/>
          <w:b/>
          <w:szCs w:val="21"/>
          <w:highlight w:val="none"/>
        </w:rPr>
        <w:t>最终稿由买卖双方协商后确定）</w:t>
      </w:r>
      <w:bookmarkEnd w:id="79"/>
    </w:p>
    <w:p w14:paraId="24821FE2">
      <w:pPr>
        <w:numPr>
          <w:ilvl w:val="0"/>
          <w:numId w:val="0"/>
        </w:numPr>
        <w:spacing w:line="360" w:lineRule="auto"/>
        <w:jc w:val="both"/>
        <w:outlineLvl w:val="0"/>
        <w:rPr>
          <w:rFonts w:hint="eastAsia" w:ascii="宋体" w:hAnsi="宋体" w:cs="宋体"/>
          <w:b/>
          <w:sz w:val="36"/>
          <w:szCs w:val="36"/>
        </w:rPr>
      </w:pPr>
    </w:p>
    <w:p w14:paraId="14284083">
      <w:pPr>
        <w:spacing w:line="360" w:lineRule="auto"/>
        <w:rPr>
          <w:rFonts w:ascii="宋体" w:hAnsi="宋体" w:cs="宋体"/>
          <w:sz w:val="24"/>
        </w:rPr>
      </w:pPr>
      <w:bookmarkStart w:id="80" w:name="第五部分"/>
      <w:bookmarkStart w:id="81" w:name="_Toc86217003"/>
    </w:p>
    <w:p w14:paraId="32158888">
      <w:pPr>
        <w:rPr>
          <w:rFonts w:hint="eastAsia"/>
          <w:b/>
          <w:sz w:val="24"/>
          <w:szCs w:val="24"/>
          <w:highlight w:val="none"/>
        </w:rPr>
      </w:pPr>
      <w:bookmarkStart w:id="82" w:name="_Toc8026"/>
      <w:r>
        <w:rPr>
          <w:rFonts w:hint="eastAsia" w:ascii="宋体" w:hAnsi="宋体" w:cs="宋体"/>
          <w:b/>
          <w:sz w:val="36"/>
          <w:szCs w:val="20"/>
        </w:rPr>
        <w:br w:type="page"/>
      </w:r>
    </w:p>
    <w:p w14:paraId="3C184FB5">
      <w:pPr>
        <w:numPr>
          <w:ilvl w:val="0"/>
          <w:numId w:val="0"/>
        </w:numPr>
        <w:spacing w:line="360" w:lineRule="auto"/>
        <w:ind w:leftChars="0"/>
        <w:jc w:val="both"/>
        <w:rPr>
          <w:rFonts w:hint="eastAsia"/>
          <w:b/>
          <w:sz w:val="48"/>
          <w:highlight w:val="none"/>
        </w:rPr>
      </w:pPr>
    </w:p>
    <w:p w14:paraId="6A7D7BAD">
      <w:pPr>
        <w:numPr>
          <w:ilvl w:val="0"/>
          <w:numId w:val="0"/>
        </w:numPr>
        <w:spacing w:line="360" w:lineRule="auto"/>
        <w:ind w:leftChars="0"/>
        <w:jc w:val="center"/>
        <w:rPr>
          <w:rFonts w:hint="eastAsia" w:ascii="宋体" w:hAnsi="宋体"/>
          <w:b/>
          <w:spacing w:val="-100"/>
          <w:sz w:val="72"/>
          <w:szCs w:val="72"/>
          <w:highlight w:val="none"/>
        </w:rPr>
      </w:pPr>
    </w:p>
    <w:p w14:paraId="2C9377CB">
      <w:pPr>
        <w:numPr>
          <w:ilvl w:val="0"/>
          <w:numId w:val="0"/>
        </w:numPr>
        <w:spacing w:line="360" w:lineRule="auto"/>
        <w:ind w:leftChars="0"/>
        <w:jc w:val="center"/>
        <w:rPr>
          <w:rFonts w:hint="eastAsia" w:ascii="宋体" w:hAnsi="宋体"/>
          <w:b/>
          <w:spacing w:val="-100"/>
          <w:sz w:val="72"/>
          <w:szCs w:val="72"/>
          <w:highlight w:val="none"/>
        </w:rPr>
      </w:pPr>
    </w:p>
    <w:p w14:paraId="01E6FF92">
      <w:pPr>
        <w:numPr>
          <w:ilvl w:val="0"/>
          <w:numId w:val="0"/>
        </w:numPr>
        <w:spacing w:line="360" w:lineRule="auto"/>
        <w:ind w:leftChars="0"/>
        <w:jc w:val="center"/>
        <w:rPr>
          <w:rFonts w:hint="eastAsia" w:ascii="宋体" w:hAnsi="宋体"/>
          <w:b/>
          <w:spacing w:val="-100"/>
          <w:sz w:val="72"/>
          <w:szCs w:val="72"/>
          <w:highlight w:val="none"/>
        </w:rPr>
      </w:pPr>
      <w:r>
        <w:rPr>
          <w:rFonts w:hint="eastAsia" w:ascii="宋体" w:hAnsi="宋体"/>
          <w:b/>
          <w:spacing w:val="-100"/>
          <w:sz w:val="72"/>
          <w:szCs w:val="72"/>
          <w:highlight w:val="none"/>
        </w:rPr>
        <w:t>建 设 工 程 施 工 合 同</w:t>
      </w:r>
    </w:p>
    <w:p w14:paraId="63299DBE">
      <w:pPr>
        <w:numPr>
          <w:ilvl w:val="0"/>
          <w:numId w:val="0"/>
        </w:numPr>
        <w:spacing w:line="360" w:lineRule="auto"/>
        <w:ind w:leftChars="0"/>
        <w:jc w:val="both"/>
        <w:rPr>
          <w:rFonts w:hint="eastAsia"/>
          <w:b/>
          <w:sz w:val="36"/>
          <w:highlight w:val="none"/>
        </w:rPr>
      </w:pPr>
    </w:p>
    <w:p w14:paraId="7444BEB4">
      <w:pPr>
        <w:pStyle w:val="31"/>
        <w:numPr>
          <w:ilvl w:val="0"/>
          <w:numId w:val="0"/>
        </w:numPr>
        <w:ind w:leftChars="0"/>
        <w:rPr>
          <w:rFonts w:hint="eastAsia" w:hAnsi="宋体"/>
          <w:sz w:val="28"/>
          <w:szCs w:val="28"/>
          <w:highlight w:val="none"/>
        </w:rPr>
      </w:pPr>
    </w:p>
    <w:p w14:paraId="5BC1E18D">
      <w:pPr>
        <w:numPr>
          <w:ilvl w:val="0"/>
          <w:numId w:val="0"/>
        </w:numPr>
        <w:spacing w:line="360" w:lineRule="auto"/>
        <w:ind w:leftChars="0"/>
        <w:jc w:val="both"/>
        <w:rPr>
          <w:rFonts w:hint="eastAsia" w:ascii="宋体" w:hAnsi="宋体"/>
          <w:b/>
          <w:sz w:val="32"/>
          <w:szCs w:val="32"/>
          <w:highlight w:val="none"/>
        </w:rPr>
      </w:pPr>
    </w:p>
    <w:p w14:paraId="64D3901F">
      <w:pPr>
        <w:spacing w:line="360" w:lineRule="auto"/>
        <w:jc w:val="center"/>
        <w:rPr>
          <w:rFonts w:hint="eastAsia" w:ascii="宋体" w:hAnsi="宋体"/>
          <w:b/>
          <w:sz w:val="32"/>
          <w:szCs w:val="32"/>
          <w:highlight w:val="none"/>
        </w:rPr>
      </w:pPr>
    </w:p>
    <w:p w14:paraId="3037D80E">
      <w:pPr>
        <w:pStyle w:val="637"/>
        <w:rPr>
          <w:rFonts w:hint="eastAsia"/>
          <w:highlight w:val="none"/>
        </w:rPr>
      </w:pPr>
    </w:p>
    <w:p w14:paraId="18641D05">
      <w:pPr>
        <w:pStyle w:val="637"/>
        <w:rPr>
          <w:rFonts w:hint="eastAsia"/>
          <w:highlight w:val="none"/>
        </w:rPr>
      </w:pPr>
    </w:p>
    <w:p w14:paraId="6B6CFC5F">
      <w:pPr>
        <w:pStyle w:val="637"/>
        <w:rPr>
          <w:rFonts w:hint="eastAsia"/>
          <w:highlight w:val="none"/>
        </w:rPr>
      </w:pPr>
    </w:p>
    <w:p w14:paraId="0F212059">
      <w:pPr>
        <w:pStyle w:val="637"/>
        <w:rPr>
          <w:rFonts w:hint="eastAsia"/>
          <w:highlight w:val="none"/>
        </w:rPr>
      </w:pPr>
    </w:p>
    <w:p w14:paraId="56C7AF8F">
      <w:pPr>
        <w:pStyle w:val="637"/>
        <w:rPr>
          <w:rFonts w:hint="eastAsia"/>
          <w:highlight w:val="none"/>
        </w:rPr>
      </w:pPr>
    </w:p>
    <w:p w14:paraId="3A069DE1">
      <w:pPr>
        <w:pStyle w:val="637"/>
        <w:rPr>
          <w:rFonts w:hint="eastAsia"/>
          <w:highlight w:val="none"/>
        </w:rPr>
      </w:pPr>
    </w:p>
    <w:p w14:paraId="409EA06D">
      <w:pPr>
        <w:pStyle w:val="637"/>
        <w:rPr>
          <w:rFonts w:hint="eastAsia"/>
          <w:highlight w:val="none"/>
        </w:rPr>
      </w:pPr>
    </w:p>
    <w:p w14:paraId="3596043E">
      <w:pPr>
        <w:numPr>
          <w:ilvl w:val="0"/>
          <w:numId w:val="0"/>
        </w:numPr>
        <w:spacing w:line="360" w:lineRule="auto"/>
        <w:ind w:leftChars="0"/>
        <w:jc w:val="both"/>
        <w:rPr>
          <w:rFonts w:hint="eastAsia" w:ascii="宋体" w:hAnsi="宋体"/>
          <w:b/>
          <w:sz w:val="32"/>
          <w:szCs w:val="32"/>
          <w:highlight w:val="none"/>
        </w:rPr>
      </w:pPr>
    </w:p>
    <w:p w14:paraId="53C4841B">
      <w:pPr>
        <w:numPr>
          <w:ilvl w:val="0"/>
          <w:numId w:val="0"/>
        </w:numPr>
        <w:spacing w:line="360" w:lineRule="auto"/>
        <w:ind w:leftChars="0"/>
        <w:jc w:val="both"/>
        <w:rPr>
          <w:rFonts w:hint="eastAsia" w:ascii="宋体" w:hAnsi="宋体"/>
          <w:b/>
          <w:sz w:val="32"/>
          <w:szCs w:val="32"/>
          <w:highlight w:val="none"/>
        </w:rPr>
      </w:pPr>
    </w:p>
    <w:p w14:paraId="72EA3D70">
      <w:pPr>
        <w:numPr>
          <w:ilvl w:val="0"/>
          <w:numId w:val="0"/>
        </w:numPr>
        <w:spacing w:line="360" w:lineRule="auto"/>
        <w:ind w:leftChars="0"/>
        <w:rPr>
          <w:rFonts w:hint="eastAsia" w:ascii="黑体" w:hAnsi="宋体"/>
          <w:b/>
          <w:sz w:val="28"/>
          <w:szCs w:val="28"/>
          <w:highlight w:val="none"/>
          <w:u w:val="single"/>
        </w:rPr>
      </w:pPr>
      <w:r>
        <w:rPr>
          <w:rFonts w:hint="eastAsia" w:ascii="宋体" w:hAnsi="宋体"/>
          <w:b/>
          <w:sz w:val="32"/>
          <w:szCs w:val="32"/>
          <w:highlight w:val="none"/>
        </w:rPr>
        <w:t xml:space="preserve"> </w:t>
      </w:r>
      <w:r>
        <w:rPr>
          <w:rFonts w:hint="eastAsia" w:ascii="宋体" w:hAnsi="宋体"/>
          <w:b/>
          <w:sz w:val="28"/>
          <w:szCs w:val="28"/>
          <w:highlight w:val="none"/>
        </w:rPr>
        <w:t xml:space="preserve"> 工程名称</w:t>
      </w:r>
      <w:r>
        <w:rPr>
          <w:rFonts w:hint="eastAsia" w:ascii="宋体" w:hAnsi="宋体"/>
          <w:b/>
          <w:sz w:val="24"/>
          <w:szCs w:val="24"/>
          <w:highlight w:val="none"/>
        </w:rPr>
        <w:t>：</w:t>
      </w:r>
      <w:r>
        <w:rPr>
          <w:rFonts w:hint="eastAsia" w:ascii="宋体" w:hAnsi="宋体"/>
          <w:b/>
          <w:sz w:val="24"/>
          <w:szCs w:val="24"/>
          <w:highlight w:val="none"/>
          <w:u w:val="single"/>
        </w:rPr>
        <w:t xml:space="preserve">                                     </w:t>
      </w:r>
      <w:r>
        <w:rPr>
          <w:rFonts w:hint="eastAsia" w:ascii="黑体" w:hAnsi="宋体" w:eastAsia="黑体"/>
          <w:b/>
          <w:sz w:val="28"/>
          <w:szCs w:val="28"/>
          <w:highlight w:val="none"/>
          <w:u w:val="single"/>
        </w:rPr>
        <w:t xml:space="preserve"> </w:t>
      </w:r>
    </w:p>
    <w:p w14:paraId="3D6E67A7">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发</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9495D68">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承</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4E328595">
      <w:pPr>
        <w:pStyle w:val="3"/>
        <w:numPr>
          <w:ilvl w:val="0"/>
          <w:numId w:val="2"/>
        </w:numPr>
        <w:jc w:val="center"/>
        <w:rPr>
          <w:rFonts w:ascii="黑体" w:hAnsi="华文中宋"/>
          <w:highlight w:val="none"/>
        </w:rPr>
        <w:sectPr>
          <w:footerReference r:id="rId5" w:type="first"/>
          <w:headerReference r:id="rId3" w:type="default"/>
          <w:footerReference r:id="rId4" w:type="default"/>
          <w:pgSz w:w="11906" w:h="16838"/>
          <w:pgMar w:top="1440" w:right="1440" w:bottom="1440" w:left="1440" w:header="851" w:footer="992" w:gutter="0"/>
          <w:pgNumType w:fmt="decimal" w:start="1"/>
          <w:cols w:space="720" w:num="1"/>
          <w:titlePg/>
          <w:docGrid w:linePitch="312" w:charSpace="0"/>
        </w:sectPr>
      </w:pPr>
    </w:p>
    <w:p w14:paraId="76F272FD">
      <w:pPr>
        <w:pStyle w:val="4"/>
        <w:keepNext w:val="0"/>
        <w:keepLines w:val="0"/>
        <w:numPr>
          <w:ilvl w:val="2"/>
          <w:numId w:val="0"/>
        </w:numPr>
        <w:ind w:left="180" w:leftChars="0"/>
        <w:jc w:val="center"/>
        <w:rPr>
          <w:rFonts w:ascii="黑体" w:eastAsia="黑体"/>
          <w:b w:val="0"/>
          <w:color w:val="000000"/>
          <w:highlight w:val="none"/>
        </w:rPr>
      </w:pPr>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宁海县强蛟镇人民政府</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强蛟镇历史遗留矿山整治项目工程</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3" w:name="_Toc386638593"/>
      <w:r>
        <w:rPr>
          <w:rFonts w:hint="eastAsia" w:ascii="宋体" w:hAnsi="宋体" w:eastAsia="宋体" w:cs="宋体"/>
          <w:b w:val="0"/>
          <w:color w:val="000000"/>
          <w:sz w:val="22"/>
          <w:szCs w:val="22"/>
          <w:highlight w:val="none"/>
        </w:rPr>
        <w:t>一、工程概况</w:t>
      </w:r>
      <w:bookmarkEnd w:id="83"/>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强蛟镇历史遗留矿山整治项目工程</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位于宁海县强蛟镇</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 xml:space="preserve">自筹    </w:t>
      </w:r>
    </w:p>
    <w:p w14:paraId="285E9BF3">
      <w:pPr>
        <w:spacing w:line="360" w:lineRule="auto"/>
        <w:ind w:firstLine="431" w:firstLineChars="196"/>
        <w:rPr>
          <w:rFonts w:hint="eastAsia" w:ascii="宋体" w:hAnsi="宋体" w:eastAsia="宋体" w:cs="宋体"/>
          <w:color w:val="000000"/>
          <w:sz w:val="22"/>
          <w:szCs w:val="22"/>
          <w:highlight w:val="none"/>
          <w:u w:val="single"/>
          <w:lang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eastAsia="zh-CN"/>
        </w:rPr>
        <w:t xml:space="preserve"> </w:t>
      </w:r>
    </w:p>
    <w:p w14:paraId="3056E4AA">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群体工程应附《承包人承揽工程项目一览表》（附件1）。</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w:t>
      </w:r>
    </w:p>
    <w:p w14:paraId="2FE557A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84" w:name="_Toc386638594"/>
      <w:r>
        <w:rPr>
          <w:rFonts w:hint="eastAsia" w:ascii="宋体" w:hAnsi="宋体" w:eastAsia="宋体" w:cs="宋体"/>
          <w:color w:val="000000"/>
          <w:sz w:val="22"/>
          <w:szCs w:val="22"/>
          <w:highlight w:val="none"/>
        </w:rPr>
        <w:t>二、合同工期</w:t>
      </w:r>
      <w:bookmarkEnd w:id="84"/>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120日历天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5" w:name="_Toc386638595"/>
      <w:r>
        <w:rPr>
          <w:rFonts w:hint="eastAsia" w:ascii="宋体" w:hAnsi="宋体" w:eastAsia="宋体" w:cs="宋体"/>
          <w:b w:val="0"/>
          <w:color w:val="000000"/>
          <w:sz w:val="22"/>
          <w:szCs w:val="22"/>
          <w:highlight w:val="none"/>
        </w:rPr>
        <w:t>三、质量标准</w:t>
      </w:r>
      <w:bookmarkEnd w:id="85"/>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6" w:name="_Toc386638596"/>
      <w:r>
        <w:rPr>
          <w:rFonts w:hint="eastAsia" w:ascii="宋体" w:hAnsi="宋体" w:eastAsia="宋体" w:cs="宋体"/>
          <w:b w:val="0"/>
          <w:color w:val="000000"/>
          <w:sz w:val="22"/>
          <w:szCs w:val="22"/>
          <w:highlight w:val="none"/>
        </w:rPr>
        <w:t>四、签约合同价与合同价格形式</w:t>
      </w:r>
      <w:bookmarkEnd w:id="86"/>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7" w:name="_Toc386638597"/>
      <w:r>
        <w:rPr>
          <w:rFonts w:hint="eastAsia" w:ascii="宋体" w:hAnsi="宋体" w:eastAsia="宋体" w:cs="宋体"/>
          <w:b w:val="0"/>
          <w:color w:val="000000"/>
          <w:sz w:val="22"/>
          <w:szCs w:val="22"/>
          <w:highlight w:val="none"/>
        </w:rPr>
        <w:t>五、项目经理</w:t>
      </w:r>
      <w:bookmarkEnd w:id="87"/>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8" w:name="_Toc386638598"/>
      <w:r>
        <w:rPr>
          <w:rFonts w:hint="eastAsia" w:ascii="宋体" w:hAnsi="宋体" w:eastAsia="宋体" w:cs="宋体"/>
          <w:b w:val="0"/>
          <w:color w:val="000000"/>
          <w:sz w:val="22"/>
          <w:szCs w:val="22"/>
          <w:highlight w:val="none"/>
        </w:rPr>
        <w:t>六、合同文件构成</w:t>
      </w:r>
      <w:bookmarkEnd w:id="88"/>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9" w:name="_Toc386638599"/>
      <w:r>
        <w:rPr>
          <w:rFonts w:hint="eastAsia" w:ascii="宋体" w:hAnsi="宋体" w:eastAsia="宋体" w:cs="宋体"/>
          <w:b w:val="0"/>
          <w:color w:val="000000"/>
          <w:sz w:val="22"/>
          <w:szCs w:val="22"/>
          <w:highlight w:val="none"/>
        </w:rPr>
        <w:t>七、承诺</w:t>
      </w:r>
      <w:bookmarkEnd w:id="89"/>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90" w:name="_Toc386638600"/>
      <w:r>
        <w:rPr>
          <w:rFonts w:hint="eastAsia" w:ascii="宋体" w:hAnsi="宋体" w:eastAsia="宋体" w:cs="宋体"/>
          <w:b w:val="0"/>
          <w:color w:val="000000"/>
          <w:sz w:val="22"/>
          <w:szCs w:val="22"/>
          <w:highlight w:val="none"/>
        </w:rPr>
        <w:t>九、签订时间</w:t>
      </w:r>
      <w:bookmarkEnd w:id="90"/>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1" w:name="_Toc386638601"/>
      <w:r>
        <w:rPr>
          <w:rFonts w:hint="eastAsia" w:ascii="宋体" w:hAnsi="宋体" w:eastAsia="宋体" w:cs="宋体"/>
          <w:b w:val="0"/>
          <w:color w:val="000000"/>
          <w:sz w:val="22"/>
          <w:szCs w:val="22"/>
          <w:highlight w:val="none"/>
        </w:rPr>
        <w:t>十、签订地点</w:t>
      </w:r>
      <w:bookmarkEnd w:id="91"/>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宁海县强蛟镇人民政府 </w:t>
      </w:r>
      <w:r>
        <w:rPr>
          <w:rFonts w:hint="eastAsia" w:ascii="宋体" w:hAnsi="宋体" w:eastAsia="宋体" w:cs="宋体"/>
          <w:bCs/>
          <w:color w:val="000000"/>
          <w:sz w:val="22"/>
          <w:szCs w:val="22"/>
          <w:highlight w:val="none"/>
        </w:rPr>
        <w:t>签订。</w:t>
      </w:r>
    </w:p>
    <w:p w14:paraId="06C841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2" w:name="_Toc386638602"/>
      <w:r>
        <w:rPr>
          <w:rFonts w:hint="eastAsia" w:ascii="宋体" w:hAnsi="宋体" w:eastAsia="宋体" w:cs="宋体"/>
          <w:b w:val="0"/>
          <w:color w:val="000000"/>
          <w:sz w:val="22"/>
          <w:szCs w:val="22"/>
          <w:highlight w:val="none"/>
        </w:rPr>
        <w:t>十一、补充协议</w:t>
      </w:r>
      <w:bookmarkEnd w:id="92"/>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3" w:name="_Toc386638603"/>
      <w:r>
        <w:rPr>
          <w:rFonts w:hint="eastAsia" w:ascii="宋体" w:hAnsi="宋体" w:eastAsia="宋体" w:cs="宋体"/>
          <w:b w:val="0"/>
          <w:color w:val="000000"/>
          <w:sz w:val="22"/>
          <w:szCs w:val="22"/>
          <w:highlight w:val="none"/>
        </w:rPr>
        <w:t>十二、合同生效</w:t>
      </w:r>
      <w:bookmarkEnd w:id="93"/>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4" w:name="_Toc386638604"/>
      <w:r>
        <w:rPr>
          <w:rFonts w:hint="eastAsia" w:ascii="宋体" w:hAnsi="宋体" w:eastAsia="宋体" w:cs="宋体"/>
          <w:b w:val="0"/>
          <w:color w:val="000000"/>
          <w:sz w:val="22"/>
          <w:szCs w:val="22"/>
          <w:highlight w:val="none"/>
        </w:rPr>
        <w:t>十三、合同份数</w:t>
      </w:r>
      <w:bookmarkEnd w:id="94"/>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95" w:name="_Toc386638605"/>
      <w:r>
        <w:rPr>
          <w:rFonts w:ascii="黑体" w:hAnsi="宋体" w:eastAsia="黑体"/>
          <w:color w:val="000000"/>
          <w:highlight w:val="none"/>
        </w:rPr>
        <w:br w:type="page"/>
      </w:r>
    </w:p>
    <w:p w14:paraId="7CCD29D9">
      <w:pPr>
        <w:pStyle w:val="4"/>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95"/>
      <w:bookmarkStart w:id="96" w:name="_Toc337558727"/>
    </w:p>
    <w:p w14:paraId="27191CE4">
      <w:pPr>
        <w:spacing w:line="440" w:lineRule="exact"/>
        <w:ind w:firstLine="503" w:firstLineChars="22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通用合同条款直接引用中国建筑工业出版社出版的《建设工程施工合同（示范文本）（GF-2013-0201）第二部分“通用合同条款”内容。</w:t>
      </w:r>
    </w:p>
    <w:bookmarkEnd w:id="96"/>
    <w:p w14:paraId="346F16CA">
      <w:pPr>
        <w:spacing w:line="360" w:lineRule="auto"/>
        <w:jc w:val="center"/>
        <w:outlineLvl w:val="1"/>
        <w:rPr>
          <w:rFonts w:hint="eastAsia" w:eastAsia="黑体"/>
          <w:color w:val="000000"/>
          <w:sz w:val="32"/>
          <w:highlight w:val="none"/>
        </w:rPr>
      </w:pPr>
      <w:bookmarkStart w:id="97" w:name="_Toc411083384"/>
      <w:bookmarkStart w:id="98" w:name="_Toc296944502"/>
      <w:bookmarkStart w:id="99" w:name="_Toc292559872"/>
      <w:bookmarkStart w:id="100" w:name="_Toc292559367"/>
      <w:bookmarkStart w:id="101" w:name="_Toc296346664"/>
      <w:bookmarkStart w:id="102" w:name="_Toc297120463"/>
      <w:bookmarkStart w:id="103" w:name="_Toc296891203"/>
      <w:bookmarkStart w:id="104" w:name="_Toc296890991"/>
      <w:bookmarkStart w:id="105" w:name="_Toc296503163"/>
      <w:bookmarkStart w:id="106" w:name="_Toc297048349"/>
      <w:bookmarkStart w:id="107" w:name="_Toc296347162"/>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97"/>
    </w:p>
    <w:p w14:paraId="6F14FE1B">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08" w:name="_Toc351203633"/>
      <w:bookmarkStart w:id="109" w:name="_Toc386638607"/>
      <w:r>
        <w:rPr>
          <w:rFonts w:hint="eastAsia" w:ascii="宋体" w:hAnsi="宋体" w:eastAsia="宋体" w:cs="宋体"/>
          <w:b w:val="0"/>
          <w:color w:val="000000"/>
          <w:sz w:val="22"/>
          <w:szCs w:val="22"/>
          <w:highlight w:val="none"/>
        </w:rPr>
        <w:t>1</w:t>
      </w:r>
      <w:bookmarkStart w:id="110" w:name="_Toc296347155"/>
      <w:bookmarkStart w:id="111" w:name="_Toc296944495"/>
      <w:bookmarkStart w:id="112" w:name="_Toc292559361"/>
      <w:bookmarkStart w:id="113" w:name="_Toc296503156"/>
      <w:bookmarkStart w:id="114" w:name="_Toc292559866"/>
      <w:bookmarkStart w:id="115" w:name="_Toc296346657"/>
      <w:bookmarkStart w:id="116" w:name="_Toc297120456"/>
      <w:bookmarkStart w:id="117" w:name="_Toc296890984"/>
      <w:bookmarkStart w:id="118" w:name="_Toc296891196"/>
      <w:bookmarkStart w:id="119" w:name="_Toc297048342"/>
      <w:r>
        <w:rPr>
          <w:rFonts w:hint="eastAsia" w:ascii="宋体" w:hAnsi="宋体" w:eastAsia="宋体" w:cs="宋体"/>
          <w:b w:val="0"/>
          <w:color w:val="000000"/>
          <w:sz w:val="22"/>
          <w:szCs w:val="22"/>
          <w:highlight w:val="none"/>
        </w:rPr>
        <w:t>. 一般约定</w:t>
      </w:r>
      <w:bookmarkEnd w:id="108"/>
      <w:bookmarkEnd w:id="109"/>
    </w:p>
    <w:bookmarkEnd w:id="110"/>
    <w:bookmarkEnd w:id="111"/>
    <w:bookmarkEnd w:id="112"/>
    <w:bookmarkEnd w:id="113"/>
    <w:bookmarkEnd w:id="114"/>
    <w:bookmarkEnd w:id="115"/>
    <w:bookmarkEnd w:id="116"/>
    <w:bookmarkEnd w:id="117"/>
    <w:bookmarkEnd w:id="118"/>
    <w:bookmarkEnd w:id="119"/>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0" w:name="_Toc312677986"/>
      <w:bookmarkStart w:id="121" w:name="_Toc304295521"/>
      <w:bookmarkStart w:id="122" w:name="_Toc300934943"/>
      <w:bookmarkStart w:id="123" w:name="_Toc318581155"/>
      <w:bookmarkStart w:id="124" w:name="_Toc303539100"/>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20"/>
    <w:bookmarkEnd w:id="121"/>
    <w:bookmarkEnd w:id="122"/>
    <w:bookmarkEnd w:id="123"/>
    <w:bookmarkEnd w:id="124"/>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5" w:name="_Toc312677987"/>
      <w:bookmarkStart w:id="126" w:name="_Toc318581156"/>
      <w:bookmarkStart w:id="127" w:name="_Toc304295522"/>
      <w:bookmarkStart w:id="128" w:name="_Toc303539101"/>
      <w:bookmarkStart w:id="129" w:name="_Toc300934944"/>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关于发包人向承包人免费提供满足工程施工需要的场内道路和交通设施的约定：  </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25"/>
      <w:bookmarkEnd w:id="126"/>
      <w:bookmarkEnd w:id="127"/>
      <w:bookmarkEnd w:id="128"/>
      <w:bookmarkEnd w:id="129"/>
      <w:r>
        <w:rPr>
          <w:rFonts w:hint="eastAsia" w:ascii="宋体" w:hAnsi="宋体" w:eastAsia="宋体" w:cs="宋体"/>
          <w:color w:val="000000"/>
          <w:sz w:val="22"/>
          <w:szCs w:val="22"/>
          <w:highlight w:val="none"/>
        </w:rPr>
        <w:t xml:space="preserve">  </w:t>
      </w:r>
      <w:bookmarkStart w:id="130"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130"/>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31" w:name="_Toc386638608"/>
      <w:bookmarkStart w:id="132" w:name="_Toc351203634"/>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33" w:name="_Toc297048343"/>
      <w:bookmarkStart w:id="134" w:name="_Toc292559867"/>
      <w:bookmarkStart w:id="135" w:name="_Toc296891197"/>
      <w:bookmarkStart w:id="136" w:name="_Toc297120457"/>
      <w:bookmarkStart w:id="137" w:name="_Toc296346658"/>
      <w:bookmarkStart w:id="138" w:name="_Toc296503157"/>
      <w:bookmarkStart w:id="139" w:name="_Toc296347156"/>
      <w:bookmarkStart w:id="140" w:name="_Toc296890985"/>
      <w:bookmarkStart w:id="141" w:name="_Toc292559362"/>
      <w:bookmarkStart w:id="142" w:name="_Toc296944496"/>
      <w:r>
        <w:rPr>
          <w:rFonts w:hint="eastAsia" w:ascii="宋体" w:hAnsi="宋体" w:eastAsia="宋体" w:cs="宋体"/>
          <w:b w:val="0"/>
          <w:color w:val="000000"/>
          <w:sz w:val="22"/>
          <w:szCs w:val="22"/>
          <w:highlight w:val="none"/>
        </w:rPr>
        <w:t>. 发包人</w:t>
      </w:r>
      <w:bookmarkEnd w:id="131"/>
      <w:bookmarkEnd w:id="132"/>
    </w:p>
    <w:bookmarkEnd w:id="133"/>
    <w:bookmarkEnd w:id="134"/>
    <w:bookmarkEnd w:id="135"/>
    <w:bookmarkEnd w:id="136"/>
    <w:bookmarkEnd w:id="137"/>
    <w:bookmarkEnd w:id="138"/>
    <w:bookmarkEnd w:id="139"/>
    <w:bookmarkEnd w:id="140"/>
    <w:bookmarkEnd w:id="141"/>
    <w:bookmarkEnd w:id="142"/>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43" w:name="_Toc386638609"/>
      <w:bookmarkStart w:id="144" w:name="_Toc351203635"/>
      <w:r>
        <w:rPr>
          <w:rFonts w:hint="eastAsia" w:ascii="宋体" w:hAnsi="宋体" w:eastAsia="宋体" w:cs="宋体"/>
          <w:b w:val="0"/>
          <w:color w:val="000000"/>
          <w:sz w:val="22"/>
          <w:szCs w:val="22"/>
          <w:highlight w:val="none"/>
        </w:rPr>
        <w:t>3</w:t>
      </w:r>
      <w:bookmarkStart w:id="145" w:name="_Toc292559868"/>
      <w:bookmarkStart w:id="146" w:name="_Toc296503158"/>
      <w:bookmarkStart w:id="147" w:name="_Toc292559363"/>
      <w:bookmarkStart w:id="148" w:name="_Toc296944497"/>
      <w:bookmarkStart w:id="149" w:name="_Toc296347157"/>
      <w:bookmarkStart w:id="150" w:name="_Toc297048344"/>
      <w:bookmarkStart w:id="151" w:name="_Toc296891198"/>
      <w:bookmarkStart w:id="152" w:name="_Toc296346659"/>
      <w:bookmarkStart w:id="153" w:name="_Toc296890986"/>
      <w:bookmarkStart w:id="154" w:name="_Toc297120458"/>
      <w:r>
        <w:rPr>
          <w:rFonts w:hint="eastAsia" w:ascii="宋体" w:hAnsi="宋体" w:eastAsia="宋体" w:cs="宋体"/>
          <w:b w:val="0"/>
          <w:color w:val="000000"/>
          <w:sz w:val="22"/>
          <w:szCs w:val="22"/>
          <w:highlight w:val="none"/>
        </w:rPr>
        <w:t>. 承包人</w:t>
      </w:r>
      <w:bookmarkEnd w:id="143"/>
      <w:bookmarkEnd w:id="144"/>
    </w:p>
    <w:bookmarkEnd w:id="145"/>
    <w:bookmarkEnd w:id="146"/>
    <w:bookmarkEnd w:id="147"/>
    <w:bookmarkEnd w:id="148"/>
    <w:bookmarkEnd w:id="149"/>
    <w:bookmarkEnd w:id="150"/>
    <w:bookmarkEnd w:id="151"/>
    <w:bookmarkEnd w:id="152"/>
    <w:bookmarkEnd w:id="153"/>
    <w:bookmarkEnd w:id="154"/>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5" w:name="_Toc292559869"/>
      <w:bookmarkStart w:id="156" w:name="_Toc292559364"/>
      <w:bookmarkStart w:id="157" w:name="_Toc300934945"/>
      <w:bookmarkStart w:id="158" w:name="_Toc312677988"/>
      <w:bookmarkStart w:id="159" w:name="_Toc296944498"/>
      <w:bookmarkStart w:id="160" w:name="_Toc296347158"/>
      <w:bookmarkStart w:id="161" w:name="_Toc296503159"/>
      <w:bookmarkStart w:id="162" w:name="_Toc297120459"/>
      <w:bookmarkStart w:id="163" w:name="_Toc296346660"/>
      <w:bookmarkStart w:id="164" w:name="_Toc304295523"/>
      <w:bookmarkStart w:id="165" w:name="_Toc303539102"/>
      <w:bookmarkStart w:id="166" w:name="_Toc297048345"/>
      <w:bookmarkStart w:id="167" w:name="_Toc297216151"/>
      <w:bookmarkStart w:id="168" w:name="_Toc296891199"/>
      <w:bookmarkStart w:id="169" w:name="_Toc296890987"/>
      <w:bookmarkStart w:id="170" w:name="_Toc297123492"/>
      <w:r>
        <w:rPr>
          <w:rFonts w:hint="eastAsia" w:ascii="宋体" w:hAnsi="宋体" w:eastAsia="宋体" w:cs="宋体"/>
          <w:color w:val="000000"/>
          <w:sz w:val="22"/>
          <w:szCs w:val="22"/>
          <w:highlight w:val="none"/>
        </w:rPr>
        <w:t>.5 分包</w:t>
      </w:r>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71" w:name="_Toc318581158"/>
      <w:bookmarkStart w:id="172" w:name="_Toc296346661"/>
      <w:bookmarkStart w:id="173" w:name="_Toc297048346"/>
      <w:bookmarkStart w:id="174" w:name="_Toc297123493"/>
      <w:bookmarkStart w:id="175" w:name="_Toc296891200"/>
      <w:bookmarkStart w:id="176" w:name="_Toc296347159"/>
      <w:bookmarkStart w:id="177" w:name="_Toc312677989"/>
      <w:bookmarkStart w:id="178" w:name="_Toc303539103"/>
      <w:bookmarkStart w:id="179" w:name="_Toc304295524"/>
      <w:bookmarkStart w:id="180" w:name="_Toc296944499"/>
      <w:bookmarkStart w:id="181" w:name="_Toc297216152"/>
      <w:bookmarkStart w:id="182" w:name="_Toc296503160"/>
      <w:bookmarkStart w:id="183" w:name="_Toc292559365"/>
      <w:bookmarkStart w:id="184" w:name="_Toc297120460"/>
      <w:bookmarkStart w:id="185" w:name="_Toc300934946"/>
      <w:bookmarkStart w:id="186" w:name="_Toc292559870"/>
      <w:bookmarkStart w:id="187" w:name="_Toc296890988"/>
      <w:r>
        <w:rPr>
          <w:rFonts w:hint="eastAsia" w:ascii="宋体" w:hAnsi="宋体" w:eastAsia="宋体" w:cs="宋体"/>
          <w:color w:val="000000"/>
          <w:sz w:val="22"/>
          <w:szCs w:val="22"/>
          <w:highlight w:val="none"/>
        </w:rPr>
        <w:t>.5.1 分包的一般约定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88" w:name="_Toc318581159"/>
      <w:bookmarkStart w:id="189" w:name="_Toc312677990"/>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88"/>
    <w:bookmarkEnd w:id="189"/>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90" w:name="_Toc351203636"/>
      <w:bookmarkStart w:id="191" w:name="_Toc386638610"/>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92" w:name="_Toc296503162"/>
      <w:bookmarkStart w:id="193" w:name="_Toc296891202"/>
      <w:bookmarkStart w:id="194" w:name="_Toc296347161"/>
      <w:bookmarkStart w:id="195" w:name="_Toc292559366"/>
      <w:bookmarkStart w:id="196" w:name="_Toc267251413"/>
      <w:bookmarkStart w:id="197" w:name="_Toc296346663"/>
      <w:bookmarkStart w:id="198" w:name="_Toc296890990"/>
      <w:bookmarkStart w:id="199" w:name="_Toc297048348"/>
      <w:bookmarkStart w:id="200" w:name="_Toc297120462"/>
      <w:bookmarkStart w:id="201" w:name="_Toc296944501"/>
      <w:bookmarkStart w:id="202" w:name="_Toc292559871"/>
      <w:r>
        <w:rPr>
          <w:rFonts w:hint="eastAsia" w:ascii="宋体" w:hAnsi="宋体" w:eastAsia="宋体" w:cs="宋体"/>
          <w:b w:val="0"/>
          <w:color w:val="000000"/>
          <w:sz w:val="22"/>
          <w:szCs w:val="22"/>
          <w:highlight w:val="none"/>
        </w:rPr>
        <w:t>. 监</w:t>
      </w:r>
      <w:bookmarkEnd w:id="192"/>
      <w:bookmarkEnd w:id="193"/>
      <w:bookmarkEnd w:id="194"/>
      <w:bookmarkEnd w:id="195"/>
      <w:bookmarkEnd w:id="196"/>
      <w:bookmarkEnd w:id="197"/>
      <w:bookmarkEnd w:id="198"/>
      <w:bookmarkEnd w:id="199"/>
      <w:bookmarkEnd w:id="200"/>
      <w:bookmarkEnd w:id="201"/>
      <w:bookmarkEnd w:id="202"/>
      <w:r>
        <w:rPr>
          <w:rFonts w:hint="eastAsia" w:ascii="宋体" w:hAnsi="宋体" w:eastAsia="宋体" w:cs="宋体"/>
          <w:b w:val="0"/>
          <w:color w:val="000000"/>
          <w:sz w:val="22"/>
          <w:szCs w:val="22"/>
          <w:highlight w:val="none"/>
        </w:rPr>
        <w:t>理人</w:t>
      </w:r>
      <w:bookmarkEnd w:id="190"/>
      <w:bookmarkEnd w:id="191"/>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3" w:name="_Toc267251418"/>
      <w:bookmarkStart w:id="204" w:name="_Toc351203637"/>
      <w:bookmarkStart w:id="205" w:name="_Toc386638611"/>
      <w:r>
        <w:rPr>
          <w:rFonts w:hint="eastAsia" w:ascii="宋体" w:hAnsi="宋体" w:eastAsia="宋体" w:cs="宋体"/>
          <w:b w:val="0"/>
          <w:color w:val="000000"/>
          <w:sz w:val="22"/>
          <w:szCs w:val="22"/>
          <w:highlight w:val="none"/>
        </w:rPr>
        <w:t>5</w:t>
      </w:r>
      <w:bookmarkEnd w:id="203"/>
      <w:r>
        <w:rPr>
          <w:rFonts w:hint="eastAsia" w:ascii="宋体" w:hAnsi="宋体" w:eastAsia="宋体" w:cs="宋体"/>
          <w:b w:val="0"/>
          <w:color w:val="000000"/>
          <w:sz w:val="22"/>
          <w:szCs w:val="22"/>
          <w:highlight w:val="none"/>
        </w:rPr>
        <w:t>. 工程质量</w:t>
      </w:r>
      <w:bookmarkEnd w:id="204"/>
      <w:bookmarkEnd w:id="205"/>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206" w:name="_Toc303539106"/>
      <w:bookmarkStart w:id="207" w:name="_Toc304295527"/>
      <w:bookmarkStart w:id="208" w:name="_Toc318581164"/>
      <w:bookmarkStart w:id="209" w:name="_Toc297216155"/>
      <w:bookmarkStart w:id="210" w:name="_Toc300934949"/>
      <w:bookmarkStart w:id="211" w:name="_Toc312677997"/>
      <w:bookmarkStart w:id="212" w:name="_Toc297123496"/>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3" w:name="_Toc386638612"/>
      <w:bookmarkStart w:id="214" w:name="_Toc351203638"/>
      <w:r>
        <w:rPr>
          <w:rFonts w:hint="eastAsia" w:ascii="宋体" w:hAnsi="宋体" w:eastAsia="宋体" w:cs="宋体"/>
          <w:b w:val="0"/>
          <w:color w:val="000000"/>
          <w:sz w:val="22"/>
          <w:szCs w:val="22"/>
          <w:highlight w:val="none"/>
        </w:rPr>
        <w:t>6. 安全文明施工与环境保护</w:t>
      </w:r>
      <w:bookmarkEnd w:id="213"/>
      <w:bookmarkEnd w:id="214"/>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7个工作日内支付安全文明施工费总额的100%</w:t>
      </w:r>
      <w:r>
        <w:rPr>
          <w:rFonts w:hint="eastAsia" w:ascii="宋体" w:hAnsi="宋体" w:eastAsia="宋体" w:cs="宋体"/>
          <w:sz w:val="22"/>
          <w:szCs w:val="22"/>
          <w:highlight w:val="none"/>
          <w:u w:val="single"/>
        </w:rPr>
        <w:t>。</w:t>
      </w:r>
    </w:p>
    <w:bookmarkEnd w:id="206"/>
    <w:bookmarkEnd w:id="207"/>
    <w:bookmarkEnd w:id="208"/>
    <w:bookmarkEnd w:id="209"/>
    <w:bookmarkEnd w:id="210"/>
    <w:bookmarkEnd w:id="211"/>
    <w:bookmarkEnd w:id="212"/>
    <w:p w14:paraId="400C78D9">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5" w:name="_Toc351203639"/>
      <w:bookmarkStart w:id="216" w:name="_Toc386638613"/>
      <w:r>
        <w:rPr>
          <w:rFonts w:hint="eastAsia" w:ascii="宋体" w:hAnsi="宋体" w:eastAsia="宋体" w:cs="宋体"/>
          <w:b w:val="0"/>
          <w:color w:val="000000"/>
          <w:sz w:val="22"/>
          <w:szCs w:val="22"/>
          <w:highlight w:val="none"/>
        </w:rPr>
        <w:t>7. 工期和进度</w:t>
      </w:r>
      <w:bookmarkEnd w:id="215"/>
      <w:bookmarkEnd w:id="216"/>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7" w:name="_Toc312677479"/>
      <w:bookmarkStart w:id="218" w:name="_Toc304295541"/>
      <w:bookmarkStart w:id="219" w:name="_Toc300934966"/>
      <w:bookmarkStart w:id="220" w:name="_Toc303539123"/>
      <w:bookmarkStart w:id="221" w:name="_Toc297123514"/>
      <w:bookmarkStart w:id="222" w:name="_Toc297216173"/>
      <w:bookmarkStart w:id="223" w:name="_Toc312678005"/>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17"/>
    <w:bookmarkEnd w:id="218"/>
    <w:bookmarkEnd w:id="219"/>
    <w:bookmarkEnd w:id="220"/>
    <w:bookmarkEnd w:id="221"/>
    <w:bookmarkEnd w:id="222"/>
    <w:bookmarkEnd w:id="223"/>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4" w:name="_Toc303539125"/>
      <w:bookmarkStart w:id="225" w:name="_Toc304295546"/>
      <w:bookmarkStart w:id="226" w:name="_Toc312677484"/>
      <w:bookmarkStart w:id="227" w:name="_Toc297123516"/>
      <w:bookmarkStart w:id="228" w:name="_Toc312678010"/>
      <w:bookmarkStart w:id="229" w:name="_Toc300934968"/>
      <w:bookmarkStart w:id="230" w:name="_Toc297216175"/>
      <w:r>
        <w:rPr>
          <w:rFonts w:hint="eastAsia" w:ascii="宋体" w:hAnsi="宋体" w:eastAsia="宋体" w:cs="宋体"/>
          <w:color w:val="000000"/>
          <w:sz w:val="22"/>
          <w:szCs w:val="22"/>
          <w:highlight w:val="none"/>
        </w:rPr>
        <w:t>.5 工期延误</w:t>
      </w:r>
    </w:p>
    <w:bookmarkEnd w:id="224"/>
    <w:bookmarkEnd w:id="225"/>
    <w:bookmarkEnd w:id="226"/>
    <w:bookmarkEnd w:id="227"/>
    <w:bookmarkEnd w:id="228"/>
    <w:bookmarkEnd w:id="229"/>
    <w:bookmarkEnd w:id="230"/>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31" w:name="_Toc312678012"/>
      <w:bookmarkStart w:id="232" w:name="_Toc312677486"/>
      <w:bookmarkStart w:id="233" w:name="_Toc318581169"/>
      <w:bookmarkStart w:id="234" w:name="_Toc300934970"/>
      <w:bookmarkStart w:id="235" w:name="_Toc303539127"/>
      <w:bookmarkStart w:id="236" w:name="_Toc297216177"/>
      <w:bookmarkStart w:id="237" w:name="_Toc304295548"/>
      <w:bookmarkStart w:id="238" w:name="_Toc297123518"/>
      <w:r>
        <w:rPr>
          <w:rFonts w:hint="eastAsia" w:ascii="宋体" w:hAnsi="宋体" w:eastAsia="宋体" w:cs="宋体"/>
          <w:color w:val="000000"/>
          <w:sz w:val="22"/>
          <w:szCs w:val="22"/>
          <w:highlight w:val="none"/>
        </w:rPr>
        <w:t>.5.2 因承包人原因导致工期延误</w:t>
      </w:r>
    </w:p>
    <w:bookmarkEnd w:id="231"/>
    <w:bookmarkEnd w:id="232"/>
    <w:bookmarkEnd w:id="233"/>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39" w:name="_Toc312677487"/>
      <w:bookmarkStart w:id="240" w:name="_Toc312678013"/>
      <w:bookmarkStart w:id="241"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34"/>
      <w:bookmarkEnd w:id="235"/>
      <w:bookmarkEnd w:id="236"/>
      <w:bookmarkEnd w:id="237"/>
      <w:bookmarkEnd w:id="238"/>
      <w:bookmarkEnd w:id="239"/>
      <w:bookmarkEnd w:id="240"/>
    </w:p>
    <w:bookmarkEnd w:id="241"/>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42" w:name="_Toc312678014"/>
      <w:bookmarkStart w:id="243" w:name="_Toc318581171"/>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42"/>
    <w:bookmarkEnd w:id="243"/>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4" w:name="_Toc297123519"/>
      <w:bookmarkStart w:id="245" w:name="_Toc303539128"/>
      <w:bookmarkStart w:id="246" w:name="_Toc300934971"/>
      <w:bookmarkStart w:id="247" w:name="_Toc304295549"/>
      <w:bookmarkStart w:id="248" w:name="_Toc312678015"/>
      <w:bookmarkStart w:id="249" w:name="_Toc297216178"/>
      <w:r>
        <w:rPr>
          <w:rFonts w:hint="eastAsia" w:ascii="宋体" w:hAnsi="宋体" w:eastAsia="宋体" w:cs="宋体"/>
          <w:color w:val="000000"/>
          <w:sz w:val="22"/>
          <w:szCs w:val="22"/>
          <w:highlight w:val="none"/>
        </w:rPr>
        <w:t>.6 不</w:t>
      </w:r>
      <w:bookmarkEnd w:id="244"/>
      <w:bookmarkEnd w:id="245"/>
      <w:bookmarkEnd w:id="246"/>
      <w:bookmarkEnd w:id="247"/>
      <w:bookmarkEnd w:id="248"/>
      <w:bookmarkEnd w:id="249"/>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50" w:name="_Toc297216179"/>
      <w:bookmarkStart w:id="251" w:name="_Toc297123520"/>
      <w:bookmarkStart w:id="252" w:name="_Toc300934972"/>
      <w:bookmarkStart w:id="253" w:name="_Toc312678016"/>
      <w:bookmarkStart w:id="254" w:name="_Toc304295550"/>
      <w:bookmarkStart w:id="255" w:name="_Toc318581172"/>
      <w:bookmarkStart w:id="256" w:name="_Toc303539129"/>
      <w:r>
        <w:rPr>
          <w:rFonts w:hint="eastAsia" w:ascii="宋体" w:hAnsi="宋体" w:eastAsia="宋体" w:cs="宋体"/>
          <w:color w:val="000000"/>
          <w:sz w:val="22"/>
          <w:szCs w:val="22"/>
          <w:highlight w:val="none"/>
        </w:rPr>
        <w:t>不利物质条件的其他情形和有关约定：</w:t>
      </w:r>
      <w:bookmarkEnd w:id="250"/>
      <w:bookmarkEnd w:id="251"/>
      <w:bookmarkEnd w:id="252"/>
      <w:bookmarkEnd w:id="253"/>
      <w:bookmarkEnd w:id="254"/>
      <w:bookmarkEnd w:id="255"/>
      <w:bookmarkEnd w:id="256"/>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57" w:name="_Toc312678017"/>
      <w:bookmarkStart w:id="258" w:name="_Toc297216180"/>
      <w:bookmarkStart w:id="259" w:name="_Toc304295551"/>
      <w:bookmarkStart w:id="260" w:name="_Toc303539130"/>
      <w:bookmarkStart w:id="261" w:name="_Toc300934973"/>
      <w:bookmarkStart w:id="262" w:name="_Toc297123521"/>
      <w:r>
        <w:rPr>
          <w:rFonts w:hint="eastAsia" w:ascii="宋体" w:hAnsi="宋体" w:eastAsia="宋体" w:cs="宋体"/>
          <w:color w:val="000000"/>
          <w:sz w:val="22"/>
          <w:szCs w:val="22"/>
          <w:highlight w:val="none"/>
        </w:rPr>
        <w:t>.7异常恶劣的气候条件</w:t>
      </w:r>
      <w:bookmarkEnd w:id="257"/>
      <w:bookmarkEnd w:id="258"/>
      <w:bookmarkEnd w:id="259"/>
      <w:bookmarkEnd w:id="260"/>
      <w:bookmarkEnd w:id="261"/>
      <w:bookmarkEnd w:id="26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63" w:name="_Toc386638614"/>
      <w:bookmarkStart w:id="264" w:name="_Toc351203640"/>
      <w:r>
        <w:rPr>
          <w:rFonts w:hint="eastAsia" w:ascii="宋体" w:hAnsi="宋体" w:eastAsia="宋体" w:cs="宋体"/>
          <w:b w:val="0"/>
          <w:color w:val="000000"/>
          <w:sz w:val="22"/>
          <w:szCs w:val="22"/>
          <w:highlight w:val="none"/>
        </w:rPr>
        <w:t>8. 材料与设备</w:t>
      </w:r>
      <w:bookmarkEnd w:id="263"/>
      <w:bookmarkEnd w:id="264"/>
    </w:p>
    <w:bookmarkEnd w:id="98"/>
    <w:bookmarkEnd w:id="99"/>
    <w:bookmarkEnd w:id="100"/>
    <w:bookmarkEnd w:id="101"/>
    <w:bookmarkEnd w:id="102"/>
    <w:bookmarkEnd w:id="103"/>
    <w:bookmarkEnd w:id="104"/>
    <w:bookmarkEnd w:id="105"/>
    <w:bookmarkEnd w:id="106"/>
    <w:bookmarkEnd w:id="107"/>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65" w:name="_Toc296503167"/>
      <w:bookmarkStart w:id="266" w:name="_Toc297120467"/>
      <w:bookmarkStart w:id="267" w:name="_Toc304295556"/>
      <w:bookmarkStart w:id="268" w:name="_Toc297123527"/>
      <w:bookmarkStart w:id="269" w:name="_Toc297216186"/>
      <w:bookmarkStart w:id="270" w:name="_Toc280868654"/>
      <w:bookmarkStart w:id="271" w:name="_Toc296944506"/>
      <w:bookmarkStart w:id="272" w:name="_Toc292559877"/>
      <w:bookmarkStart w:id="273" w:name="_Toc303539136"/>
      <w:bookmarkStart w:id="274" w:name="_Toc300934979"/>
      <w:bookmarkStart w:id="275" w:name="_Toc296346668"/>
      <w:bookmarkStart w:id="276" w:name="_Toc312678019"/>
      <w:bookmarkStart w:id="277" w:name="_Toc296890995"/>
      <w:bookmarkStart w:id="278" w:name="_Toc292559372"/>
      <w:bookmarkStart w:id="279" w:name="_Toc297048353"/>
      <w:bookmarkStart w:id="280" w:name="_Toc296347166"/>
      <w:bookmarkStart w:id="281" w:name="_Toc312677493"/>
      <w:bookmarkStart w:id="282" w:name="_Toc296891207"/>
      <w:bookmarkStart w:id="283" w:name="_Toc267251424"/>
      <w:bookmarkStart w:id="284" w:name="_Toc280868656"/>
      <w:bookmarkStart w:id="285" w:name="_Toc280868655"/>
      <w:r>
        <w:rPr>
          <w:rFonts w:hint="eastAsia" w:ascii="宋体" w:hAnsi="宋体" w:eastAsia="宋体" w:cs="宋体"/>
          <w:color w:val="000000"/>
          <w:sz w:val="22"/>
          <w:szCs w:val="22"/>
          <w:highlight w:val="none"/>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22137B26">
      <w:pPr>
        <w:pStyle w:val="638"/>
        <w:spacing w:line="360" w:lineRule="auto"/>
        <w:ind w:firstLine="456" w:firstLineChars="190"/>
        <w:rPr>
          <w:rFonts w:hint="eastAsia" w:ascii="宋体" w:hAnsi="宋体" w:eastAsia="宋体" w:cs="宋体"/>
          <w:b w:val="0"/>
          <w:color w:val="auto"/>
          <w:kern w:val="0"/>
          <w:sz w:val="24"/>
          <w:szCs w:val="24"/>
          <w:highlight w:val="none"/>
          <w:u w:val="single"/>
        </w:rPr>
      </w:pPr>
      <w:bookmarkStart w:id="286" w:name="_Toc296891208"/>
      <w:bookmarkStart w:id="287" w:name="_Toc304295557"/>
      <w:bookmarkStart w:id="288" w:name="_Toc297120468"/>
      <w:bookmarkStart w:id="289" w:name="_Toc297123528"/>
      <w:bookmarkStart w:id="290" w:name="_Toc297216187"/>
      <w:bookmarkStart w:id="291" w:name="_Toc296503168"/>
      <w:bookmarkStart w:id="292" w:name="_Toc300934980"/>
      <w:bookmarkStart w:id="293" w:name="_Toc296347167"/>
      <w:bookmarkStart w:id="294" w:name="_Toc296346669"/>
      <w:bookmarkStart w:id="295" w:name="_Toc318581173"/>
      <w:bookmarkStart w:id="296" w:name="_Toc303539137"/>
      <w:bookmarkStart w:id="297" w:name="_Toc296890996"/>
      <w:bookmarkStart w:id="298" w:name="_Toc296944507"/>
      <w:bookmarkStart w:id="299" w:name="_Toc312677494"/>
      <w:bookmarkStart w:id="300" w:name="_Toc297048354"/>
      <w:bookmarkStart w:id="301" w:name="_Toc312678020"/>
      <w:r>
        <w:rPr>
          <w:rFonts w:hint="eastAsia" w:ascii="宋体" w:hAnsi="宋体" w:eastAsia="宋体" w:cs="宋体"/>
          <w:b w:val="0"/>
          <w:color w:val="auto"/>
          <w:kern w:val="0"/>
          <w:sz w:val="24"/>
          <w:szCs w:val="24"/>
          <w:highlight w:val="none"/>
          <w:u w:val="single"/>
        </w:rPr>
        <w:t>（1）承包人采购材料的约定：</w:t>
      </w:r>
    </w:p>
    <w:p w14:paraId="448F74FB">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所有材料、设备均由承包人自行采购。品牌材料采购时，承包人应采购投标时所响应的品牌。</w:t>
      </w:r>
    </w:p>
    <w:p w14:paraId="323E81B1">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若采购时备选品牌的型号停产的（须提供品牌生产厂家出具的停产证明）或者厂家不具备生产能力的（提供相应的证明），承包人可在另外两个备选品牌中进行选择，且经发包人、监理人确认后方能采购。产品单价不做调整。</w:t>
      </w:r>
    </w:p>
    <w:p w14:paraId="1BFF78E2">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（2）承包人所采购的材料设备应与投标时注明的设备、材料、品牌、生产厂家、产地、规格、型号、性能等相符。</w:t>
      </w:r>
    </w:p>
    <w:p w14:paraId="11C5C062">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3）承包人采购的材料设备必须符合设计文件和标准、规范要求，进场材料和设备应有合格证和检测报告。承包人在定购材料和设备一个月前将材料的样品、质量、品牌、型号、产地等计划内容报给监理人，监理人确认后，报发包人审核；监理人、发包人认为有必要派员参加选点和看样的，其品牌、型号、性能须经发包人、监理人确认后，承包人方可采购。</w:t>
      </w:r>
    </w:p>
    <w:p w14:paraId="5081088A">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（4）承包人未按要求采购设备材料，以次充好或使用假冒伪劣产品的，必须承担工程的返工损失和工期、质量的违约责任。</w:t>
      </w:r>
    </w:p>
    <w:p w14:paraId="17C10799">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（5）实验费用：承包人除承担所有试件样品的现场试验费用外，还承担承包人委托专业试验室的全部费用。平行检测费用如检测合格，费用则由发包人承担，如平行检测不合格，费用则由承包人承担。</w:t>
      </w:r>
    </w:p>
    <w:p w14:paraId="4E65CB1C">
      <w:pPr>
        <w:spacing w:line="360" w:lineRule="auto"/>
        <w:ind w:firstLine="480" w:firstLineChars="200"/>
        <w:rPr>
          <w:rFonts w:hint="eastAsia" w:ascii="宋体" w:hAnsi="宋体" w:eastAsia="宋体" w:cs="宋体"/>
          <w:color w:val="000000"/>
          <w:sz w:val="22"/>
          <w:szCs w:val="22"/>
          <w:highlight w:val="none"/>
        </w:rPr>
      </w:pPr>
      <w:r>
        <w:rPr>
          <w:rFonts w:hint="eastAsia" w:ascii="宋体" w:hAnsi="宋体" w:eastAsia="宋体" w:cs="宋体"/>
          <w:color w:val="auto"/>
          <w:kern w:val="0"/>
          <w:sz w:val="24"/>
          <w:szCs w:val="24"/>
          <w:highlight w:val="none"/>
          <w:u w:val="single"/>
        </w:rPr>
        <w:t>（6）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投标文件不符，承包人应无条件及时更换，并保证工程进度需要。如发现设备的规格和数量或两者都与合同文件、招投标文件不符，发包人有权在设备运抵现场后90天内根据承包人检验标准自己检验结果或县级以上技术质检部门出具的检验证书向承包人提出索赔。</w:t>
      </w: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cs="宋体"/>
          <w:color w:val="000000"/>
          <w:sz w:val="22"/>
          <w:szCs w:val="22"/>
          <w:highlight w:val="none"/>
          <w:lang w:val="en-US" w:eastAsia="zh-CN"/>
        </w:rPr>
        <w:t>6</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5B6799CE">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02" w:name="_Toc386638615"/>
      <w:bookmarkStart w:id="303" w:name="_Toc351203641"/>
      <w:r>
        <w:rPr>
          <w:rFonts w:hint="eastAsia" w:ascii="宋体" w:hAnsi="宋体" w:eastAsia="宋体" w:cs="宋体"/>
          <w:b w:val="0"/>
          <w:color w:val="000000"/>
          <w:sz w:val="22"/>
          <w:szCs w:val="22"/>
          <w:highlight w:val="none"/>
        </w:rPr>
        <w:t>9</w:t>
      </w:r>
      <w:bookmarkEnd w:id="283"/>
      <w:bookmarkEnd w:id="284"/>
      <w:bookmarkEnd w:id="285"/>
      <w:bookmarkStart w:id="304" w:name="_Toc297216192"/>
      <w:bookmarkStart w:id="305" w:name="_Toc303539139"/>
      <w:bookmarkStart w:id="306" w:name="_Toc312678021"/>
      <w:bookmarkStart w:id="307" w:name="_Toc300934982"/>
      <w:bookmarkStart w:id="308" w:name="_Toc304295559"/>
      <w:bookmarkStart w:id="309" w:name="_Toc312677495"/>
      <w:bookmarkStart w:id="310" w:name="_Toc297123533"/>
      <w:bookmarkStart w:id="311" w:name="_Toc296346674"/>
      <w:bookmarkStart w:id="312" w:name="_Toc267251427"/>
      <w:bookmarkStart w:id="313" w:name="_Toc296347172"/>
      <w:bookmarkStart w:id="314" w:name="_Toc292559378"/>
      <w:bookmarkStart w:id="315" w:name="_Toc296891001"/>
      <w:bookmarkStart w:id="316" w:name="_Toc296503173"/>
      <w:bookmarkStart w:id="317" w:name="_Toc297120473"/>
      <w:bookmarkStart w:id="318" w:name="_Toc267251428"/>
      <w:bookmarkStart w:id="319" w:name="_Toc296944512"/>
      <w:bookmarkStart w:id="320" w:name="_Toc292559883"/>
      <w:bookmarkStart w:id="321" w:name="_Toc296891213"/>
      <w:bookmarkStart w:id="322" w:name="_Toc297048359"/>
      <w:r>
        <w:rPr>
          <w:rFonts w:hint="eastAsia" w:ascii="宋体" w:hAnsi="宋体" w:eastAsia="宋体" w:cs="宋体"/>
          <w:b w:val="0"/>
          <w:color w:val="000000"/>
          <w:sz w:val="22"/>
          <w:szCs w:val="22"/>
          <w:highlight w:val="none"/>
        </w:rPr>
        <w:t>. 试验与检验</w:t>
      </w:r>
      <w:bookmarkEnd w:id="302"/>
      <w:bookmarkEnd w:id="303"/>
    </w:p>
    <w:bookmarkEnd w:id="304"/>
    <w:bookmarkEnd w:id="305"/>
    <w:bookmarkEnd w:id="306"/>
    <w:bookmarkEnd w:id="307"/>
    <w:bookmarkEnd w:id="308"/>
    <w:bookmarkEnd w:id="309"/>
    <w:bookmarkEnd w:id="310"/>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3" w:name="_Toc304295560"/>
      <w:bookmarkStart w:id="324" w:name="_Toc300934983"/>
      <w:bookmarkStart w:id="325" w:name="_Toc297123534"/>
      <w:bookmarkStart w:id="326" w:name="_Toc312678022"/>
      <w:bookmarkStart w:id="327" w:name="_Toc297216193"/>
      <w:bookmarkStart w:id="328" w:name="_Toc303539140"/>
      <w:bookmarkStart w:id="329" w:name="_Toc312677496"/>
      <w:r>
        <w:rPr>
          <w:rFonts w:hint="eastAsia" w:ascii="宋体" w:hAnsi="宋体" w:eastAsia="宋体" w:cs="宋体"/>
          <w:color w:val="000000"/>
          <w:sz w:val="22"/>
          <w:szCs w:val="22"/>
          <w:highlight w:val="none"/>
        </w:rPr>
        <w:t>.1试验设备与试验人员</w:t>
      </w:r>
    </w:p>
    <w:bookmarkEnd w:id="323"/>
    <w:bookmarkEnd w:id="324"/>
    <w:bookmarkEnd w:id="325"/>
    <w:bookmarkEnd w:id="326"/>
    <w:bookmarkEnd w:id="327"/>
    <w:bookmarkEnd w:id="328"/>
    <w:bookmarkEnd w:id="329"/>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30" w:name="_Toc297123535"/>
      <w:bookmarkStart w:id="331" w:name="_Toc304295561"/>
      <w:bookmarkStart w:id="332" w:name="_Toc297216194"/>
      <w:bookmarkStart w:id="333" w:name="_Toc300934984"/>
      <w:bookmarkStart w:id="334" w:name="_Toc312677497"/>
      <w:bookmarkStart w:id="335" w:name="_Toc303539141"/>
      <w:bookmarkStart w:id="336" w:name="_Toc312678023"/>
      <w:bookmarkStart w:id="337"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30"/>
      <w:bookmarkEnd w:id="331"/>
      <w:bookmarkEnd w:id="332"/>
      <w:bookmarkEnd w:id="333"/>
      <w:bookmarkEnd w:id="334"/>
      <w:bookmarkEnd w:id="335"/>
      <w:bookmarkEnd w:id="336"/>
      <w:bookmarkStart w:id="338" w:name="_Toc297123536"/>
      <w:bookmarkStart w:id="339" w:name="_Toc312678024"/>
      <w:bookmarkStart w:id="340" w:name="_Toc312677498"/>
      <w:bookmarkStart w:id="341" w:name="_Toc300934985"/>
      <w:bookmarkStart w:id="342" w:name="_Toc297216195"/>
      <w:bookmarkStart w:id="343" w:name="_Toc304295562"/>
      <w:bookmarkStart w:id="344" w:name="_Toc30353914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37"/>
    <w:bookmarkEnd w:id="338"/>
    <w:bookmarkEnd w:id="339"/>
    <w:bookmarkEnd w:id="340"/>
    <w:bookmarkEnd w:id="341"/>
    <w:bookmarkEnd w:id="342"/>
    <w:bookmarkEnd w:id="343"/>
    <w:bookmarkEnd w:id="344"/>
    <w:p w14:paraId="6DEB3794">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45" w:name="_Toc351203642"/>
      <w:bookmarkStart w:id="346" w:name="_Toc386638616"/>
      <w:bookmarkStart w:id="347" w:name="_Toc267251433"/>
      <w:bookmarkStart w:id="348" w:name="_Toc267251439"/>
      <w:bookmarkStart w:id="349" w:name="_Toc267251441"/>
      <w:bookmarkStart w:id="350" w:name="_Toc267251440"/>
      <w:bookmarkStart w:id="351" w:name="_Toc267251437"/>
      <w:bookmarkStart w:id="352" w:name="_Toc267251435"/>
      <w:bookmarkStart w:id="353" w:name="_Toc267251442"/>
      <w:r>
        <w:rPr>
          <w:rFonts w:hint="eastAsia" w:ascii="宋体" w:hAnsi="宋体" w:eastAsia="宋体" w:cs="宋体"/>
          <w:b w:val="0"/>
          <w:color w:val="000000"/>
          <w:sz w:val="22"/>
          <w:szCs w:val="22"/>
          <w:highlight w:val="none"/>
        </w:rPr>
        <w:t>1</w:t>
      </w:r>
      <w:bookmarkStart w:id="354" w:name="_Toc296891233"/>
      <w:bookmarkStart w:id="355" w:name="_Toc296891021"/>
      <w:bookmarkStart w:id="356" w:name="_Toc296347192"/>
      <w:bookmarkStart w:id="357" w:name="_Toc297048379"/>
      <w:bookmarkStart w:id="358" w:name="_Toc292559398"/>
      <w:bookmarkStart w:id="359" w:name="_Toc292559903"/>
      <w:bookmarkStart w:id="360" w:name="_Toc296944532"/>
      <w:bookmarkStart w:id="361" w:name="_Toc296503193"/>
      <w:bookmarkStart w:id="362" w:name="_Toc296346694"/>
      <w:bookmarkStart w:id="363" w:name="_Toc297120493"/>
      <w:bookmarkStart w:id="364" w:name="_Toc304295566"/>
      <w:bookmarkStart w:id="365" w:name="_Toc297123540"/>
      <w:bookmarkStart w:id="366" w:name="_Toc297216199"/>
      <w:bookmarkStart w:id="367" w:name="_Toc300934989"/>
      <w:bookmarkStart w:id="368" w:name="_Toc303539146"/>
      <w:bookmarkStart w:id="369" w:name="_Toc312677499"/>
      <w:bookmarkStart w:id="370" w:name="_Toc312678025"/>
      <w:r>
        <w:rPr>
          <w:rFonts w:hint="eastAsia" w:ascii="宋体" w:hAnsi="宋体" w:eastAsia="宋体" w:cs="宋体"/>
          <w:b w:val="0"/>
          <w:color w:val="000000"/>
          <w:sz w:val="22"/>
          <w:szCs w:val="22"/>
          <w:highlight w:val="none"/>
        </w:rPr>
        <w:t>0. 变更</w:t>
      </w:r>
      <w:bookmarkEnd w:id="345"/>
      <w:bookmarkEnd w:id="346"/>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69"/>
    <w:bookmarkEnd w:id="370"/>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71" w:name="_Toc297120494"/>
      <w:bookmarkStart w:id="372" w:name="_Toc292559904"/>
      <w:bookmarkStart w:id="373" w:name="_Toc312678026"/>
      <w:bookmarkStart w:id="374" w:name="_Toc296891022"/>
      <w:bookmarkStart w:id="375" w:name="_Toc297216200"/>
      <w:bookmarkStart w:id="376" w:name="_Toc296346695"/>
      <w:bookmarkStart w:id="377" w:name="_Toc303539147"/>
      <w:bookmarkStart w:id="378" w:name="_Toc296503194"/>
      <w:bookmarkStart w:id="379" w:name="_Toc304295567"/>
      <w:bookmarkStart w:id="380" w:name="_Toc296347193"/>
      <w:bookmarkStart w:id="381" w:name="_Toc312677500"/>
      <w:bookmarkStart w:id="382" w:name="_Toc297048380"/>
      <w:bookmarkStart w:id="383" w:name="_Toc296944533"/>
      <w:bookmarkStart w:id="384" w:name="_Toc292559399"/>
      <w:bookmarkStart w:id="385" w:name="_Toc297123541"/>
      <w:bookmarkStart w:id="386" w:name="_Toc296891234"/>
      <w:bookmarkStart w:id="387" w:name="_Toc300934990"/>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u w:val="single"/>
        </w:rPr>
        <w:t>除了通用合同条款明确的以外还包括：</w:t>
      </w:r>
      <w:r>
        <w:rPr>
          <w:rFonts w:hint="eastAsia" w:ascii="宋体" w:hAnsi="宋体" w:eastAsia="宋体" w:cs="宋体"/>
          <w:i w:val="0"/>
          <w:iCs w:val="0"/>
          <w:color w:val="auto"/>
          <w:sz w:val="22"/>
          <w:szCs w:val="22"/>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47"/>
    <w:bookmarkEnd w:id="348"/>
    <w:bookmarkEnd w:id="349"/>
    <w:bookmarkEnd w:id="350"/>
    <w:bookmarkEnd w:id="351"/>
    <w:bookmarkEnd w:id="352"/>
    <w:bookmarkEnd w:id="35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14:paraId="59D524A7">
      <w:pPr>
        <w:spacing w:line="360" w:lineRule="auto"/>
        <w:ind w:firstLine="440" w:firstLineChars="200"/>
        <w:rPr>
          <w:rFonts w:hint="eastAsia" w:ascii="宋体" w:hAnsi="宋体" w:eastAsia="宋体" w:cs="宋体"/>
          <w:color w:val="000000"/>
          <w:sz w:val="22"/>
          <w:szCs w:val="22"/>
          <w:highlight w:val="none"/>
        </w:rPr>
      </w:pPr>
      <w:bookmarkStart w:id="388" w:name="_Toc386638619"/>
      <w:bookmarkStart w:id="389" w:name="_Toc351203645"/>
      <w:bookmarkStart w:id="390" w:name="_Toc296347218"/>
      <w:bookmarkStart w:id="391" w:name="_Toc300935015"/>
      <w:bookmarkStart w:id="392" w:name="_Toc292559929"/>
      <w:bookmarkStart w:id="393" w:name="_Toc296346720"/>
      <w:bookmarkStart w:id="394" w:name="_Toc296503219"/>
      <w:bookmarkStart w:id="395" w:name="_Toc292559424"/>
      <w:bookmarkStart w:id="396" w:name="_Toc296944558"/>
      <w:bookmarkStart w:id="397" w:name="_Toc303539172"/>
      <w:bookmarkStart w:id="398" w:name="_Toc297120519"/>
      <w:bookmarkStart w:id="399" w:name="_Toc296891047"/>
      <w:bookmarkStart w:id="400" w:name="_Toc297123564"/>
      <w:bookmarkStart w:id="401" w:name="_Toc296891259"/>
      <w:bookmarkStart w:id="402" w:name="_Toc304295593"/>
      <w:bookmarkStart w:id="403" w:name="_Toc297048405"/>
      <w:bookmarkStart w:id="404" w:name="_Toc312678053"/>
      <w:bookmarkStart w:id="405" w:name="_Toc297216223"/>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进一步加强建设工程要素价格动态管理工作的通知》(甬建价〔2021〕9号)文件按</w:t>
      </w:r>
      <w:r>
        <w:rPr>
          <w:rFonts w:hint="eastAsia" w:ascii="宋体" w:hAnsi="宋体" w:eastAsia="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组价后提出，经发包人确认后调整。[工程类别</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治理工程按道路、排水、河道护岸、水处理构筑物工程计取，绿化部分按单独绿化工程计取；安全生产责任险保险费按市建管[2024]12号文件计取。（2）组织措施费（安全文明施工费按非市区工程、冬雨季施工增加费计入，其中安全文明施工费按浙建建发[2022]37号文件增加疫情常态化防控和“智慧工地”增加费调整，其他费未计），规费按标准取费30%计算，税金按建建发【2019】92号文件营改增税率9%计取</w:t>
      </w:r>
      <w:r>
        <w:rPr>
          <w:rFonts w:hint="eastAsia" w:ascii="宋体" w:hAnsi="宋体" w:eastAsia="宋体" w:cs="宋体"/>
          <w:sz w:val="22"/>
          <w:szCs w:val="22"/>
          <w:highlight w:val="none"/>
        </w:rPr>
        <w:t>。]</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6E7A61C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w:t>
      </w:r>
      <w:r>
        <w:rPr>
          <w:rFonts w:hint="eastAsia" w:ascii="宋体" w:hAnsi="宋体" w:eastAsia="宋体" w:cs="宋体"/>
          <w:color w:val="000000" w:themeColor="text1"/>
          <w:sz w:val="22"/>
          <w:szCs w:val="22"/>
          <w14:textFill>
            <w14:solidFill>
              <w14:schemeClr w14:val="tx1"/>
            </w14:solidFill>
          </w14:textFill>
        </w:rPr>
        <w:t>《关于进一步加强建设工程要素价格动态管理工作的通知》(甬建价〔2021〕9号)</w:t>
      </w:r>
      <w:r>
        <w:rPr>
          <w:rFonts w:hint="eastAsia" w:ascii="宋体" w:hAnsi="宋体" w:eastAsia="宋体" w:cs="宋体"/>
          <w:sz w:val="22"/>
          <w:szCs w:val="22"/>
          <w:highlight w:val="none"/>
        </w:rPr>
        <w:t>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浮率组价后提出，经发包人确认后调整。[工程类别</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治理工程按道路、排水、河道护岸、水处理构筑物工程计取，绿化部分按单独绿化工程计取；安全生产责任险保险费按市建管[2024]12号文件计取。（2）组织措施费（安全文明施工费按非市区工程、冬雨季施工增加费计入，其中安全文明施工费按浙建建发[2022]37号文件增加疫情常态化防控和“智慧工地”增加费调整，其他费未计），规费按标准取费30%计算，税金按建建发【2019】92号文件营改增税率9%计取</w:t>
      </w:r>
      <w:r>
        <w:rPr>
          <w:rFonts w:hint="eastAsia" w:ascii="宋体" w:hAnsi="宋体" w:eastAsia="宋体" w:cs="宋体"/>
          <w:sz w:val="22"/>
          <w:szCs w:val="22"/>
          <w:highlight w:val="none"/>
        </w:rPr>
        <w:t>。]</w:t>
      </w:r>
    </w:p>
    <w:p w14:paraId="2B3EA30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具体的下浮率为【1-</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中标</w:t>
      </w:r>
      <w:r>
        <w:rPr>
          <w:rFonts w:hint="eastAsia" w:ascii="宋体" w:hAnsi="宋体" w:eastAsia="宋体" w:cs="宋体"/>
          <w:sz w:val="22"/>
          <w:szCs w:val="22"/>
          <w:highlight w:val="none"/>
          <w:lang w:eastAsia="zh-CN"/>
        </w:rPr>
        <w:t>价</w:t>
      </w:r>
      <w:r>
        <w:rPr>
          <w:rFonts w:hint="eastAsia" w:ascii="宋体" w:hAnsi="宋体" w:cs="宋体"/>
          <w:sz w:val="22"/>
          <w:szCs w:val="22"/>
          <w:highlight w:val="none"/>
          <w:lang w:val="en-US" w:eastAsia="zh-CN"/>
        </w:rPr>
        <w:t>-不可预见费）</w:t>
      </w:r>
      <w:r>
        <w:rPr>
          <w:rFonts w:hint="eastAsia" w:ascii="宋体" w:hAnsi="宋体" w:eastAsia="宋体" w:cs="宋体"/>
          <w:sz w:val="22"/>
          <w:szCs w:val="22"/>
          <w:highlight w:val="none"/>
        </w:rPr>
        <w:t>/</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招标</w:t>
      </w:r>
      <w:r>
        <w:rPr>
          <w:rFonts w:hint="eastAsia" w:ascii="宋体" w:hAnsi="宋体" w:eastAsia="宋体" w:cs="宋体"/>
          <w:sz w:val="22"/>
          <w:szCs w:val="22"/>
          <w:highlight w:val="none"/>
          <w:lang w:eastAsia="zh-CN"/>
        </w:rPr>
        <w:t>预算</w:t>
      </w:r>
      <w:r>
        <w:rPr>
          <w:rFonts w:hint="eastAsia" w:ascii="宋体" w:hAnsi="宋体" w:eastAsia="宋体" w:cs="宋体"/>
          <w:sz w:val="22"/>
          <w:szCs w:val="22"/>
          <w:highlight w:val="none"/>
        </w:rPr>
        <w:t>价</w:t>
      </w:r>
      <w:r>
        <w:rPr>
          <w:rFonts w:hint="eastAsia" w:ascii="宋体" w:hAnsi="宋体" w:cs="宋体"/>
          <w:sz w:val="22"/>
          <w:szCs w:val="22"/>
          <w:highlight w:val="none"/>
          <w:lang w:val="en-US" w:eastAsia="zh-CN"/>
        </w:rPr>
        <w:t>-不可预见费）</w:t>
      </w:r>
      <w:r>
        <w:rPr>
          <w:rFonts w:hint="eastAsia" w:ascii="宋体" w:hAnsi="宋体" w:eastAsia="宋体" w:cs="宋体"/>
          <w:sz w:val="22"/>
          <w:szCs w:val="22"/>
          <w:highlight w:val="none"/>
        </w:rPr>
        <w:t>】*100%。</w:t>
      </w:r>
    </w:p>
    <w:p w14:paraId="16C9FA70">
      <w:pPr>
        <w:spacing w:line="360" w:lineRule="auto"/>
        <w:ind w:firstLine="440" w:firstLineChars="200"/>
        <w:rPr>
          <w:rFonts w:hint="default" w:ascii="宋体" w:hAnsi="宋体" w:eastAsia="宋体" w:cs="宋体"/>
          <w:snapToGrid w:val="0"/>
          <w:color w:val="auto"/>
          <w:sz w:val="22"/>
          <w:szCs w:val="22"/>
          <w:u w:val="single"/>
          <w:lang w:val="en-US" w:eastAsia="zh-CN"/>
        </w:rPr>
      </w:pPr>
      <w:r>
        <w:rPr>
          <w:rFonts w:hint="eastAsia" w:ascii="宋体" w:hAnsi="宋体" w:cs="宋体"/>
          <w:snapToGrid w:val="0"/>
          <w:color w:val="auto"/>
          <w:sz w:val="22"/>
          <w:szCs w:val="22"/>
          <w:lang w:eastAsia="zh-CN"/>
        </w:rPr>
        <w:t>招标预算价</w:t>
      </w:r>
      <w:r>
        <w:rPr>
          <w:rFonts w:hint="eastAsia" w:ascii="宋体" w:hAnsi="宋体" w:cs="宋体"/>
          <w:snapToGrid w:val="0"/>
          <w:color w:val="auto"/>
          <w:sz w:val="22"/>
          <w:szCs w:val="22"/>
          <w:u w:val="single"/>
          <w:lang w:val="en-US" w:eastAsia="zh-CN"/>
        </w:rPr>
        <w:t xml:space="preserve"> 2606840</w:t>
      </w:r>
      <w:r>
        <w:rPr>
          <w:rFonts w:hint="eastAsia" w:ascii="宋体" w:hAnsi="宋体" w:cs="宋体"/>
          <w:snapToGrid w:val="0"/>
          <w:color w:val="auto"/>
          <w:sz w:val="22"/>
          <w:szCs w:val="22"/>
          <w:u w:val="none"/>
          <w:lang w:val="en-US" w:eastAsia="zh-CN"/>
        </w:rPr>
        <w:t>元，其中不可预见费109000元（含税)。</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06" w:name="_Toc297123544"/>
      <w:bookmarkStart w:id="407" w:name="_Toc292559907"/>
      <w:bookmarkStart w:id="408" w:name="_Toc296944536"/>
      <w:bookmarkStart w:id="409" w:name="_Toc296347196"/>
      <w:bookmarkStart w:id="410" w:name="_Toc297048383"/>
      <w:bookmarkStart w:id="411" w:name="_Toc296891237"/>
      <w:bookmarkStart w:id="412" w:name="_Toc297120497"/>
      <w:bookmarkStart w:id="413" w:name="_Toc296346698"/>
      <w:bookmarkStart w:id="414" w:name="_Toc303539150"/>
      <w:bookmarkStart w:id="415" w:name="_Toc297216203"/>
      <w:bookmarkStart w:id="416" w:name="_Toc300934993"/>
      <w:bookmarkStart w:id="417" w:name="_Toc296891025"/>
      <w:bookmarkStart w:id="418" w:name="_Toc296503197"/>
      <w:bookmarkStart w:id="419" w:name="_Toc292559402"/>
      <w:bookmarkStart w:id="420" w:name="_Toc312677503"/>
      <w:bookmarkStart w:id="421" w:name="_Toc312678029"/>
      <w:bookmarkStart w:id="422" w:name="_Toc304295570"/>
      <w:r>
        <w:rPr>
          <w:rFonts w:hint="eastAsia" w:ascii="宋体" w:hAnsi="宋体" w:eastAsia="宋体" w:cs="宋体"/>
          <w:color w:val="000000"/>
          <w:sz w:val="22"/>
          <w:szCs w:val="22"/>
          <w:highlight w:val="none"/>
        </w:rPr>
        <w:t>0.5承</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3" w:name="_Toc297120503"/>
      <w:bookmarkStart w:id="424" w:name="_Toc296944542"/>
      <w:bookmarkStart w:id="425" w:name="_Toc296347202"/>
      <w:bookmarkStart w:id="426" w:name="_Toc296891031"/>
      <w:bookmarkStart w:id="427" w:name="_Toc296346704"/>
      <w:bookmarkStart w:id="428" w:name="_Toc297216204"/>
      <w:bookmarkStart w:id="429" w:name="_Toc297048389"/>
      <w:bookmarkStart w:id="430" w:name="_Toc303539151"/>
      <w:bookmarkStart w:id="431" w:name="_Toc296503203"/>
      <w:bookmarkStart w:id="432" w:name="_Toc296891243"/>
      <w:bookmarkStart w:id="433" w:name="_Toc292559913"/>
      <w:bookmarkStart w:id="434" w:name="_Toc297123545"/>
      <w:bookmarkStart w:id="435" w:name="_Toc292559408"/>
      <w:bookmarkStart w:id="436" w:name="_Toc300934994"/>
      <w:r>
        <w:rPr>
          <w:rFonts w:hint="eastAsia" w:ascii="宋体" w:hAnsi="宋体" w:eastAsia="宋体" w:cs="宋体"/>
          <w:color w:val="000000"/>
          <w:sz w:val="22"/>
          <w:szCs w:val="22"/>
          <w:highlight w:val="none"/>
        </w:rPr>
        <w:t>包人的合理化建议</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37" w:name="_Toc300934995"/>
      <w:bookmarkStart w:id="438" w:name="_Toc312678030"/>
      <w:bookmarkStart w:id="439" w:name="_Toc292559409"/>
      <w:bookmarkStart w:id="440" w:name="_Toc296347203"/>
      <w:bookmarkStart w:id="441" w:name="_Toc297123546"/>
      <w:bookmarkStart w:id="442" w:name="_Toc296944543"/>
      <w:bookmarkStart w:id="443" w:name="_Toc303539152"/>
      <w:bookmarkStart w:id="444" w:name="_Toc304295571"/>
      <w:bookmarkStart w:id="445" w:name="_Toc318581175"/>
      <w:bookmarkStart w:id="446" w:name="_Toc296891032"/>
      <w:bookmarkStart w:id="447" w:name="_Toc292559914"/>
      <w:bookmarkStart w:id="448" w:name="_Toc312677504"/>
      <w:bookmarkStart w:id="449" w:name="_Toc296891244"/>
      <w:bookmarkStart w:id="450" w:name="_Toc297120504"/>
      <w:bookmarkStart w:id="451" w:name="_Toc296346705"/>
      <w:bookmarkStart w:id="452" w:name="_Toc296503204"/>
      <w:bookmarkStart w:id="453" w:name="_Toc297216205"/>
      <w:bookmarkStart w:id="454" w:name="_Toc297048390"/>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7AF1957C">
      <w:pPr>
        <w:spacing w:line="360" w:lineRule="auto"/>
        <w:ind w:firstLine="440" w:firstLineChars="200"/>
        <w:rPr>
          <w:rFonts w:hint="eastAsia" w:ascii="宋体" w:hAnsi="宋体" w:eastAsia="宋体" w:cs="宋体"/>
          <w:color w:val="000000"/>
          <w:sz w:val="22"/>
          <w:szCs w:val="22"/>
          <w:highlight w:val="none"/>
        </w:rPr>
      </w:pPr>
      <w:bookmarkStart w:id="455" w:name="_Toc318581176"/>
      <w:bookmarkStart w:id="456" w:name="_Toc312677508"/>
      <w:bookmarkStart w:id="457" w:name="_Toc312678034"/>
      <w:r>
        <w:rPr>
          <w:rFonts w:hint="eastAsia" w:ascii="宋体" w:hAnsi="宋体" w:eastAsia="宋体" w:cs="宋体"/>
          <w:color w:val="000000"/>
          <w:sz w:val="22"/>
          <w:szCs w:val="22"/>
          <w:highlight w:val="none"/>
        </w:rPr>
        <w:t>1</w:t>
      </w:r>
      <w:bookmarkStart w:id="458" w:name="_Toc296891239"/>
      <w:bookmarkStart w:id="459" w:name="_Toc292559909"/>
      <w:bookmarkStart w:id="460" w:name="_Toc292559404"/>
      <w:bookmarkStart w:id="461" w:name="_Toc312677507"/>
      <w:bookmarkStart w:id="462" w:name="_Toc297216207"/>
      <w:bookmarkStart w:id="463" w:name="_Toc296503199"/>
      <w:bookmarkStart w:id="464" w:name="_Toc303539154"/>
      <w:bookmarkStart w:id="465" w:name="_Toc296347198"/>
      <w:bookmarkStart w:id="466" w:name="_Toc297123548"/>
      <w:bookmarkStart w:id="467" w:name="_Toc297120499"/>
      <w:bookmarkStart w:id="468" w:name="_Toc300934997"/>
      <w:bookmarkStart w:id="469" w:name="_Toc296944538"/>
      <w:bookmarkStart w:id="470" w:name="_Toc312678033"/>
      <w:bookmarkStart w:id="471" w:name="_Toc296346700"/>
      <w:bookmarkStart w:id="472" w:name="_Toc296891027"/>
      <w:bookmarkStart w:id="473" w:name="_Toc297048385"/>
      <w:bookmarkStart w:id="474" w:name="_Toc304295574"/>
      <w:r>
        <w:rPr>
          <w:rFonts w:hint="eastAsia" w:ascii="宋体" w:hAnsi="宋体" w:eastAsia="宋体" w:cs="宋体"/>
          <w:color w:val="000000"/>
          <w:sz w:val="22"/>
          <w:szCs w:val="22"/>
          <w:highlight w:val="none"/>
        </w:rPr>
        <w:t>0.7 暂估价</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2DBD79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暂估价材料和工程设备的明细详见附件13-1和13-3：《材料</w:t>
      </w:r>
      <w:r>
        <w:rPr>
          <w:rFonts w:hint="eastAsia" w:ascii="宋体" w:hAnsi="宋体" w:eastAsia="宋体" w:cs="宋体"/>
          <w:color w:val="000000"/>
          <w:sz w:val="22"/>
          <w:szCs w:val="22"/>
          <w:highlight w:val="none"/>
        </w:rPr>
        <w:t>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价一览表》和、《专业工程暂估价表》</w:t>
      </w:r>
      <w:r>
        <w:rPr>
          <w:rFonts w:hint="eastAsia" w:ascii="宋体" w:hAnsi="宋体" w:eastAsia="宋体" w:cs="宋体"/>
          <w:color w:val="000000"/>
          <w:kern w:val="0"/>
          <w:sz w:val="22"/>
          <w:szCs w:val="22"/>
          <w:highlight w:val="none"/>
        </w:rPr>
        <w:t>。</w:t>
      </w:r>
    </w:p>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55"/>
    <w:bookmarkEnd w:id="456"/>
    <w:bookmarkEnd w:id="457"/>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340A8FD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承包人直接实施的暂估价项目的约定：</w:t>
      </w:r>
    </w:p>
    <w:p w14:paraId="01580E21">
      <w:pPr>
        <w:spacing w:line="360" w:lineRule="auto"/>
        <w:ind w:firstLine="480" w:firstLineChars="200"/>
        <w:jc w:val="lef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                                  </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由发包人掌握使用，不得变动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kern w:val="0"/>
          <w:sz w:val="22"/>
          <w:szCs w:val="22"/>
          <w:highlight w:val="none"/>
        </w:rPr>
        <w:t>。</w:t>
      </w:r>
    </w:p>
    <w:p w14:paraId="43E2A3B5">
      <w:pPr>
        <w:pStyle w:val="5"/>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75" w:name="_Toc351203643"/>
      <w:bookmarkStart w:id="476" w:name="_Toc386638617"/>
      <w:r>
        <w:rPr>
          <w:rFonts w:hint="eastAsia" w:ascii="宋体" w:hAnsi="宋体" w:eastAsia="宋体" w:cs="宋体"/>
          <w:b w:val="0"/>
          <w:color w:val="000000"/>
          <w:sz w:val="22"/>
          <w:szCs w:val="22"/>
          <w:highlight w:val="none"/>
        </w:rPr>
        <w:t>11. 价格调整</w:t>
      </w:r>
      <w:bookmarkEnd w:id="475"/>
      <w:bookmarkEnd w:id="476"/>
    </w:p>
    <w:p w14:paraId="629F39BD">
      <w:pPr>
        <w:spacing w:line="360" w:lineRule="auto"/>
        <w:ind w:firstLine="440" w:firstLineChars="200"/>
        <w:rPr>
          <w:rFonts w:hint="eastAsia" w:ascii="宋体" w:hAnsi="宋体" w:eastAsia="宋体" w:cs="宋体"/>
          <w:sz w:val="22"/>
          <w:szCs w:val="22"/>
          <w:highlight w:val="none"/>
        </w:rPr>
      </w:pPr>
      <w:bookmarkStart w:id="477" w:name="_Toc297123550"/>
      <w:bookmarkStart w:id="478" w:name="_Toc304295577"/>
      <w:bookmarkStart w:id="479" w:name="_Toc292559406"/>
      <w:bookmarkStart w:id="480" w:name="_Toc292559911"/>
      <w:bookmarkStart w:id="481" w:name="_Toc300935000"/>
      <w:bookmarkStart w:id="482" w:name="_Toc296346702"/>
      <w:bookmarkStart w:id="483" w:name="_Toc296891241"/>
      <w:bookmarkStart w:id="484" w:name="_Toc297216209"/>
      <w:bookmarkStart w:id="485" w:name="_Toc296347200"/>
      <w:bookmarkStart w:id="486" w:name="_Toc297120501"/>
      <w:bookmarkStart w:id="487" w:name="_Toc312678039"/>
      <w:bookmarkStart w:id="488" w:name="_Toc296944540"/>
      <w:bookmarkStart w:id="489" w:name="_Toc303539157"/>
      <w:bookmarkStart w:id="490" w:name="_Toc297048387"/>
      <w:bookmarkStart w:id="491" w:name="_Toc296503201"/>
      <w:bookmarkStart w:id="492" w:name="_Toc296891029"/>
      <w:r>
        <w:rPr>
          <w:rFonts w:hint="eastAsia" w:ascii="宋体" w:hAnsi="宋体" w:eastAsia="宋体" w:cs="宋体"/>
          <w:sz w:val="22"/>
          <w:szCs w:val="22"/>
          <w:highlight w:val="none"/>
        </w:rPr>
        <w:t>11.1 市场价格波动引起的调整</w:t>
      </w:r>
    </w:p>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5"/>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93" w:name="_Toc296944544"/>
      <w:bookmarkStart w:id="494" w:name="_Toc296891245"/>
      <w:bookmarkStart w:id="495" w:name="_Toc296346706"/>
      <w:bookmarkStart w:id="496" w:name="_Toc292559915"/>
      <w:bookmarkStart w:id="497" w:name="_Toc292559410"/>
      <w:bookmarkStart w:id="498" w:name="_Toc297048391"/>
      <w:bookmarkStart w:id="499" w:name="_Toc297120505"/>
      <w:bookmarkStart w:id="500" w:name="_Toc296891033"/>
      <w:bookmarkStart w:id="501" w:name="_Toc296503205"/>
      <w:bookmarkStart w:id="502" w:name="_Toc296347204"/>
      <w:bookmarkStart w:id="503" w:name="_Toc386638618"/>
      <w:bookmarkStart w:id="504" w:name="_Toc351203644"/>
      <w:bookmarkStart w:id="505" w:name="_Toc297123552"/>
      <w:bookmarkStart w:id="506" w:name="_Toc304295579"/>
      <w:bookmarkStart w:id="507" w:name="_Toc297216211"/>
      <w:bookmarkStart w:id="508" w:name="_Toc300935002"/>
      <w:bookmarkStart w:id="509" w:name="_Toc303539159"/>
      <w:bookmarkStart w:id="510" w:name="_Toc312678040"/>
      <w:bookmarkStart w:id="511" w:name="_Toc297048393"/>
      <w:bookmarkStart w:id="512" w:name="_Toc296944546"/>
      <w:bookmarkStart w:id="513" w:name="_Toc300935004"/>
      <w:bookmarkStart w:id="514" w:name="_Toc297216213"/>
      <w:bookmarkStart w:id="515" w:name="_Toc292559412"/>
      <w:bookmarkStart w:id="516" w:name="_Toc312678042"/>
      <w:bookmarkStart w:id="517" w:name="_Toc297123554"/>
      <w:bookmarkStart w:id="518" w:name="_Toc296891035"/>
      <w:bookmarkStart w:id="519" w:name="_Toc297120507"/>
      <w:bookmarkStart w:id="520" w:name="_Toc296503207"/>
      <w:bookmarkStart w:id="521" w:name="_Toc292559917"/>
      <w:bookmarkStart w:id="522" w:name="_Toc304295581"/>
      <w:bookmarkStart w:id="523" w:name="_Toc296347206"/>
      <w:bookmarkStart w:id="524" w:name="_Toc296891247"/>
      <w:bookmarkStart w:id="525" w:name="_Toc296346708"/>
      <w:bookmarkStart w:id="526" w:name="_Toc303539161"/>
      <w:r>
        <w:rPr>
          <w:rFonts w:hint="eastAsia" w:ascii="宋体" w:hAnsi="宋体" w:eastAsia="宋体" w:cs="宋体"/>
          <w:b w:val="0"/>
          <w:sz w:val="22"/>
          <w:szCs w:val="22"/>
          <w:highlight w:val="none"/>
        </w:rPr>
        <w:t xml:space="preserve">12. </w:t>
      </w:r>
      <w:bookmarkEnd w:id="493"/>
      <w:bookmarkEnd w:id="494"/>
      <w:bookmarkEnd w:id="495"/>
      <w:bookmarkEnd w:id="496"/>
      <w:bookmarkEnd w:id="497"/>
      <w:bookmarkEnd w:id="498"/>
      <w:bookmarkEnd w:id="499"/>
      <w:bookmarkEnd w:id="500"/>
      <w:bookmarkEnd w:id="501"/>
      <w:bookmarkEnd w:id="502"/>
      <w:r>
        <w:rPr>
          <w:rFonts w:hint="eastAsia" w:ascii="宋体" w:hAnsi="宋体" w:eastAsia="宋体" w:cs="宋体"/>
          <w:b w:val="0"/>
          <w:sz w:val="22"/>
          <w:szCs w:val="22"/>
          <w:highlight w:val="none"/>
        </w:rPr>
        <w:t>合同价格、计量与支付</w:t>
      </w:r>
      <w:bookmarkEnd w:id="503"/>
      <w:bookmarkEnd w:id="504"/>
    </w:p>
    <w:bookmarkEnd w:id="505"/>
    <w:bookmarkEnd w:id="506"/>
    <w:bookmarkEnd w:id="507"/>
    <w:bookmarkEnd w:id="508"/>
    <w:bookmarkEnd w:id="509"/>
    <w:bookmarkEnd w:id="510"/>
    <w:p w14:paraId="105FFA8C">
      <w:pPr>
        <w:spacing w:line="360" w:lineRule="auto"/>
        <w:ind w:firstLine="440" w:firstLineChars="200"/>
        <w:rPr>
          <w:rFonts w:hint="eastAsia" w:ascii="宋体" w:hAnsi="宋体" w:eastAsia="宋体" w:cs="宋体"/>
          <w:sz w:val="22"/>
          <w:szCs w:val="22"/>
          <w:highlight w:val="none"/>
        </w:rPr>
      </w:pPr>
      <w:bookmarkStart w:id="527" w:name="_Toc292559916"/>
      <w:bookmarkStart w:id="528" w:name="_Toc292559411"/>
      <w:bookmarkStart w:id="529" w:name="_Toc267251461"/>
      <w:bookmarkStart w:id="530" w:name="_Toc296891034"/>
      <w:bookmarkStart w:id="531" w:name="_Toc296347205"/>
      <w:bookmarkStart w:id="532" w:name="_Toc296891246"/>
      <w:bookmarkStart w:id="533" w:name="_Toc296944545"/>
      <w:bookmarkStart w:id="534" w:name="_Toc296346707"/>
      <w:bookmarkStart w:id="535" w:name="_Toc297120506"/>
      <w:bookmarkStart w:id="536" w:name="_Toc297048392"/>
      <w:bookmarkStart w:id="537" w:name="_Toc296503206"/>
      <w:bookmarkStart w:id="538" w:name="_Toc304295580"/>
      <w:bookmarkStart w:id="539" w:name="_Toc297216212"/>
      <w:bookmarkStart w:id="540" w:name="_Toc297123553"/>
      <w:bookmarkStart w:id="541" w:name="_Toc303539160"/>
      <w:bookmarkStart w:id="542" w:name="_Toc300935003"/>
      <w:bookmarkStart w:id="543" w:name="_Toc312678041"/>
      <w:r>
        <w:rPr>
          <w:rFonts w:hint="eastAsia" w:ascii="宋体" w:hAnsi="宋体" w:eastAsia="宋体" w:cs="宋体"/>
          <w:sz w:val="22"/>
          <w:szCs w:val="22"/>
          <w:highlight w:val="none"/>
        </w:rPr>
        <w:t>12.1 合</w:t>
      </w:r>
      <w:bookmarkEnd w:id="527"/>
      <w:bookmarkEnd w:id="528"/>
      <w:bookmarkEnd w:id="529"/>
      <w:r>
        <w:rPr>
          <w:rFonts w:hint="eastAsia" w:ascii="宋体" w:hAnsi="宋体" w:eastAsia="宋体" w:cs="宋体"/>
          <w:sz w:val="22"/>
          <w:szCs w:val="22"/>
          <w:highlight w:val="none"/>
        </w:rPr>
        <w:t>同价</w:t>
      </w:r>
      <w:bookmarkEnd w:id="530"/>
      <w:bookmarkEnd w:id="531"/>
      <w:bookmarkEnd w:id="532"/>
      <w:bookmarkEnd w:id="533"/>
      <w:bookmarkEnd w:id="534"/>
      <w:bookmarkEnd w:id="535"/>
      <w:bookmarkEnd w:id="536"/>
      <w:bookmarkEnd w:id="537"/>
      <w:r>
        <w:rPr>
          <w:rFonts w:hint="eastAsia" w:ascii="宋体" w:hAnsi="宋体" w:eastAsia="宋体" w:cs="宋体"/>
          <w:sz w:val="22"/>
          <w:szCs w:val="22"/>
          <w:highlight w:val="none"/>
        </w:rPr>
        <w:t>格形式</w:t>
      </w:r>
    </w:p>
    <w:bookmarkEnd w:id="538"/>
    <w:bookmarkEnd w:id="539"/>
    <w:bookmarkEnd w:id="540"/>
    <w:bookmarkEnd w:id="541"/>
    <w:bookmarkEnd w:id="542"/>
    <w:bookmarkEnd w:id="543"/>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 xml:space="preserve">单价合同。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3B270458">
      <w:pPr>
        <w:tabs>
          <w:tab w:val="left" w:pos="900"/>
          <w:tab w:val="left" w:pos="9180"/>
          <w:tab w:val="left" w:pos="9360"/>
        </w:tabs>
        <w:spacing w:line="360" w:lineRule="auto"/>
        <w:ind w:right="25" w:rightChars="12"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本合同采用的计价依据：</w:t>
      </w:r>
      <w:r>
        <w:rPr>
          <w:rFonts w:hint="eastAsia" w:ascii="宋体" w:hAnsi="宋体" w:eastAsia="宋体" w:cs="宋体"/>
          <w:sz w:val="22"/>
          <w:szCs w:val="22"/>
          <w:highlight w:val="none"/>
          <w:lang w:val="en-US" w:eastAsia="zh-CN"/>
        </w:rPr>
        <w:t>《浙江省建设工程计价规则(2018)版》、</w:t>
      </w:r>
      <w:r>
        <w:rPr>
          <w:rFonts w:hint="eastAsia" w:ascii="宋体" w:hAnsi="宋体" w:eastAsia="宋体" w:cs="宋体"/>
          <w:sz w:val="22"/>
          <w:szCs w:val="22"/>
          <w:highlight w:val="none"/>
        </w:rPr>
        <w:t>《浙江省市政工程预算定额（201</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）版》</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浙江省园林绿化及仿古建筑工程预算定额（</w:t>
      </w:r>
      <w:r>
        <w:rPr>
          <w:rFonts w:hint="eastAsia" w:ascii="宋体" w:hAnsi="宋体" w:eastAsia="宋体" w:cs="宋体"/>
          <w:sz w:val="22"/>
          <w:szCs w:val="22"/>
          <w:highlight w:val="none"/>
          <w:lang w:val="en-US" w:eastAsia="zh-CN"/>
        </w:rPr>
        <w:t>2018</w:t>
      </w:r>
      <w:r>
        <w:rPr>
          <w:rFonts w:hint="eastAsia" w:ascii="宋体" w:hAnsi="宋体" w:eastAsia="宋体" w:cs="宋体"/>
          <w:sz w:val="22"/>
          <w:szCs w:val="22"/>
          <w:highlight w:val="none"/>
          <w:lang w:eastAsia="zh-CN"/>
        </w:rPr>
        <w:t>）版</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、《浙江省建设工程施工费用定额（2018）版》、《建设工程工程量清单计价规范（GB50500-2013）》及相关(2018版）定额勘误表</w:t>
      </w:r>
      <w:r>
        <w:rPr>
          <w:rFonts w:hint="eastAsia" w:ascii="宋体" w:hAnsi="宋体" w:eastAsia="宋体" w:cs="宋体"/>
          <w:sz w:val="22"/>
          <w:szCs w:val="22"/>
          <w:highlight w:val="none"/>
        </w:rPr>
        <w:t>。</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324DFFF9">
      <w:pPr>
        <w:pStyle w:val="22"/>
        <w:spacing w:line="360" w:lineRule="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r>
        <w:rPr>
          <w:rFonts w:hint="eastAsia" w:hAnsi="宋体" w:cs="宋体"/>
          <w:color w:val="000000"/>
          <w:kern w:val="2"/>
          <w:sz w:val="22"/>
          <w:szCs w:val="22"/>
          <w:highlight w:val="none"/>
          <w:lang w:val="en-US" w:eastAsia="zh-CN" w:bidi="ar-SA"/>
        </w:rPr>
        <w:t>（实际付款时间待上级资金到位后付款）</w:t>
      </w:r>
      <w:r>
        <w:rPr>
          <w:rFonts w:hint="eastAsia" w:ascii="宋体" w:hAnsi="宋体" w:eastAsia="宋体" w:cs="宋体"/>
          <w:sz w:val="22"/>
          <w:szCs w:val="22"/>
          <w:highlight w:val="none"/>
        </w:rPr>
        <w:t>。</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      按进度进行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12.4 工程进度款支付</w:t>
      </w:r>
    </w:p>
    <w:p w14:paraId="6D26579A">
      <w:pPr>
        <w:spacing w:line="360" w:lineRule="auto"/>
        <w:ind w:firstLine="440" w:firstLineChars="200"/>
        <w:jc w:val="left"/>
        <w:rPr>
          <w:rFonts w:hint="eastAsia" w:ascii="宋体" w:hAnsi="宋体" w:eastAsia="宋体" w:cs="宋体"/>
          <w:i w:val="0"/>
          <w:iCs w:val="0"/>
          <w:color w:val="auto"/>
          <w:sz w:val="22"/>
          <w:szCs w:val="22"/>
        </w:rPr>
      </w:pPr>
      <w:bookmarkStart w:id="544" w:name="_Toc296891039"/>
      <w:bookmarkStart w:id="545" w:name="_Toc292559921"/>
      <w:bookmarkStart w:id="546" w:name="_Toc296503211"/>
      <w:bookmarkStart w:id="547" w:name="_Toc296347210"/>
      <w:bookmarkStart w:id="548" w:name="_Toc296346712"/>
      <w:bookmarkStart w:id="549" w:name="_Toc296891251"/>
      <w:bookmarkStart w:id="550" w:name="_Toc297123556"/>
      <w:bookmarkStart w:id="551" w:name="_Toc297048397"/>
      <w:bookmarkStart w:id="552" w:name="_Toc296944550"/>
      <w:bookmarkStart w:id="553" w:name="_Toc300935006"/>
      <w:bookmarkStart w:id="554" w:name="_Toc292559416"/>
      <w:bookmarkStart w:id="555" w:name="_Toc303539163"/>
      <w:bookmarkStart w:id="556" w:name="_Toc297216215"/>
      <w:bookmarkStart w:id="557" w:name="_Toc297120511"/>
      <w:r>
        <w:rPr>
          <w:rFonts w:hint="eastAsia" w:ascii="宋体" w:hAnsi="宋体" w:eastAsia="宋体" w:cs="宋体"/>
          <w:i w:val="0"/>
          <w:iCs w:val="0"/>
          <w:color w:val="auto"/>
          <w:sz w:val="22"/>
          <w:szCs w:val="22"/>
        </w:rPr>
        <w:t>关于付款周期的约定：</w:t>
      </w:r>
      <w:r>
        <w:rPr>
          <w:rFonts w:hint="eastAsia" w:ascii="宋体" w:hAnsi="宋体" w:eastAsia="宋体" w:cs="宋体"/>
          <w:i w:val="0"/>
          <w:iCs w:val="0"/>
          <w:color w:val="auto"/>
          <w:sz w:val="22"/>
          <w:szCs w:val="22"/>
          <w:u w:val="single"/>
        </w:rPr>
        <w:t>实行按月审核支付，竣工后清算的办法</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3BC24B4C">
      <w:pPr>
        <w:widowControl/>
        <w:spacing w:line="360" w:lineRule="auto"/>
        <w:ind w:firstLine="431" w:firstLineChars="196"/>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关于进度款支付程序、支付比例和期限的约定：</w:t>
      </w:r>
    </w:p>
    <w:p w14:paraId="2C59A04D">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eastAsia="宋体" w:cs="宋体"/>
          <w:i w:val="0"/>
          <w:iCs w:val="0"/>
          <w:color w:val="auto"/>
          <w:sz w:val="22"/>
          <w:szCs w:val="22"/>
          <w:lang w:val="en-US" w:eastAsia="zh-CN"/>
        </w:rPr>
        <w:t>（1）工程验收合格后7个工作日内，采购人支付至合同总价的80%；</w:t>
      </w:r>
    </w:p>
    <w:p w14:paraId="0C8656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lang w:val="en-US" w:eastAsia="zh-CN"/>
        </w:rPr>
        <w:t>2</w:t>
      </w: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rPr>
        <w:t>工程竣工验收（终验）合格后，根据相关部门核准的决算价，付清尾款。</w:t>
      </w:r>
    </w:p>
    <w:p w14:paraId="707877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注：具体条款以双方签订的合同约定为准。</w:t>
      </w:r>
    </w:p>
    <w:p w14:paraId="7891C83D">
      <w:pPr>
        <w:spacing w:line="360" w:lineRule="auto"/>
        <w:ind w:firstLine="440" w:firstLineChars="200"/>
        <w:jc w:val="left"/>
        <w:rPr>
          <w:rFonts w:hint="eastAsia" w:ascii="宋体" w:hAnsi="宋体" w:eastAsia="宋体" w:cs="宋体"/>
          <w:i w:val="0"/>
          <w:iCs w:val="0"/>
          <w:color w:val="auto"/>
          <w:sz w:val="22"/>
          <w:szCs w:val="22"/>
        </w:rPr>
      </w:pPr>
      <w:bookmarkStart w:id="558" w:name="_Hlk89721287"/>
      <w:r>
        <w:rPr>
          <w:rFonts w:hint="eastAsia" w:ascii="宋体" w:hAnsi="宋体" w:eastAsia="宋体" w:cs="宋体"/>
          <w:i w:val="0"/>
          <w:iCs w:val="0"/>
          <w:color w:val="auto"/>
          <w:sz w:val="22"/>
          <w:szCs w:val="22"/>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58"/>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88"/>
      <w:bookmarkEnd w:id="389"/>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7ABF03BF">
      <w:pPr>
        <w:spacing w:line="360" w:lineRule="auto"/>
        <w:ind w:firstLine="440" w:firstLineChars="200"/>
        <w:rPr>
          <w:rFonts w:hint="eastAsia" w:ascii="宋体" w:hAnsi="宋体" w:eastAsia="宋体" w:cs="宋体"/>
          <w:sz w:val="22"/>
          <w:szCs w:val="22"/>
          <w:highlight w:val="none"/>
        </w:rPr>
      </w:pPr>
      <w:bookmarkStart w:id="559" w:name="_Toc292559933"/>
      <w:bookmarkStart w:id="560" w:name="_Toc296944562"/>
      <w:bookmarkStart w:id="561" w:name="_Toc303539173"/>
      <w:bookmarkStart w:id="562" w:name="_Toc296347222"/>
      <w:bookmarkStart w:id="563" w:name="_Toc296346724"/>
      <w:bookmarkStart w:id="564" w:name="_Toc297216224"/>
      <w:bookmarkStart w:id="565" w:name="_Toc296891263"/>
      <w:bookmarkStart w:id="566" w:name="_Toc296891051"/>
      <w:bookmarkStart w:id="567" w:name="_Toc297120523"/>
      <w:bookmarkStart w:id="568" w:name="_Toc296503223"/>
      <w:bookmarkStart w:id="569" w:name="_Toc297123565"/>
      <w:bookmarkStart w:id="570" w:name="_Toc312678056"/>
      <w:bookmarkStart w:id="571" w:name="_Toc292559428"/>
      <w:bookmarkStart w:id="572" w:name="_Toc297048409"/>
      <w:bookmarkStart w:id="573" w:name="_Toc300935016"/>
      <w:bookmarkStart w:id="574" w:name="_Toc304295596"/>
      <w:bookmarkStart w:id="575" w:name="_Toc351203646"/>
      <w:bookmarkStart w:id="576" w:name="_Toc386638620"/>
      <w:bookmarkStart w:id="577" w:name="_Toc386638621"/>
      <w:bookmarkStart w:id="578" w:name="_Toc351203647"/>
      <w:bookmarkStart w:id="579" w:name="_Toc267251483"/>
      <w:bookmarkStart w:id="580" w:name="_Toc267251482"/>
      <w:bookmarkStart w:id="581" w:name="_Toc267251484"/>
      <w:bookmarkStart w:id="582" w:name="_Toc267251485"/>
      <w:bookmarkStart w:id="583" w:name="_Toc267251486"/>
      <w:bookmarkStart w:id="584" w:name="_Toc267251488"/>
      <w:bookmarkStart w:id="585" w:name="_Toc267251489"/>
      <w:bookmarkStart w:id="586" w:name="_Toc267251490"/>
      <w:bookmarkStart w:id="587" w:name="_Toc267251499"/>
      <w:bookmarkStart w:id="588" w:name="_Toc267251493"/>
      <w:bookmarkStart w:id="589" w:name="_Toc267251497"/>
      <w:bookmarkStart w:id="590" w:name="_Toc267251503"/>
      <w:bookmarkStart w:id="591" w:name="_Toc267251492"/>
      <w:bookmarkStart w:id="592" w:name="_Toc267251501"/>
      <w:bookmarkStart w:id="593" w:name="_Toc267251494"/>
      <w:bookmarkStart w:id="594" w:name="_Toc267251498"/>
      <w:bookmarkStart w:id="595" w:name="_Toc267251491"/>
      <w:bookmarkStart w:id="596" w:name="_Toc267251496"/>
      <w:bookmarkStart w:id="597" w:name="_Toc267251495"/>
      <w:bookmarkStart w:id="598" w:name="_Toc267251502"/>
      <w:bookmarkStart w:id="599" w:name="_Toc267251509"/>
      <w:bookmarkStart w:id="600" w:name="_Toc267251514"/>
      <w:bookmarkStart w:id="601" w:name="_Toc267251515"/>
      <w:bookmarkStart w:id="602" w:name="_Toc267251508"/>
      <w:bookmarkStart w:id="603" w:name="_Toc267251506"/>
      <w:bookmarkStart w:id="604" w:name="_Toc267251510"/>
      <w:bookmarkStart w:id="605" w:name="_Toc267251511"/>
      <w:bookmarkStart w:id="606" w:name="_Toc267251504"/>
      <w:bookmarkStart w:id="607" w:name="_Toc267251513"/>
      <w:bookmarkStart w:id="608" w:name="_Toc267251507"/>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609" w:name="_Toc280868704"/>
      <w:bookmarkStart w:id="610" w:name="_Toc280868705"/>
      <w:bookmarkStart w:id="611" w:name="_Toc280868706"/>
      <w:bookmarkStart w:id="612" w:name="_Toc280868707"/>
      <w:bookmarkStart w:id="613" w:name="_Toc280868708"/>
      <w:r>
        <w:rPr>
          <w:rFonts w:hint="eastAsia" w:ascii="宋体" w:hAnsi="宋体" w:eastAsia="宋体" w:cs="宋体"/>
          <w:sz w:val="22"/>
          <w:szCs w:val="22"/>
          <w:highlight w:val="none"/>
        </w:rPr>
        <w:t>13.2.2竣工验收程序</w:t>
      </w:r>
    </w:p>
    <w:bookmarkEnd w:id="609"/>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610"/>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611"/>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612"/>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613"/>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756856E3">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75"/>
      <w:bookmarkEnd w:id="576"/>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天未提交竣工结算书及其完整的结算资料，支付违约金按1000元/天累计计算，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4B2366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本工程的竣工结算由发包人核对后报</w:t>
      </w:r>
      <w:r>
        <w:rPr>
          <w:rFonts w:hint="eastAsia" w:ascii="宋体" w:hAnsi="宋体" w:cs="宋体"/>
          <w:color w:val="auto"/>
          <w:sz w:val="24"/>
          <w:szCs w:val="24"/>
          <w:lang w:eastAsia="zh-CN"/>
        </w:rPr>
        <w:t>宁海县强蛟镇</w:t>
      </w:r>
      <w:r>
        <w:rPr>
          <w:rFonts w:hint="eastAsia" w:ascii="宋体" w:hAnsi="宋体" w:eastAsia="宋体" w:cs="宋体"/>
          <w:color w:val="auto"/>
          <w:sz w:val="24"/>
          <w:szCs w:val="24"/>
        </w:rPr>
        <w:t>财政局审核，经</w:t>
      </w:r>
      <w:r>
        <w:rPr>
          <w:rFonts w:hint="eastAsia" w:ascii="宋体" w:hAnsi="宋体" w:cs="宋体"/>
          <w:color w:val="auto"/>
          <w:sz w:val="24"/>
          <w:szCs w:val="24"/>
          <w:lang w:eastAsia="zh-CN"/>
        </w:rPr>
        <w:t>宁海县强蛟镇</w:t>
      </w:r>
      <w:r>
        <w:rPr>
          <w:rFonts w:hint="eastAsia" w:ascii="宋体" w:hAnsi="宋体" w:eastAsia="宋体" w:cs="宋体"/>
          <w:color w:val="auto"/>
          <w:sz w:val="24"/>
          <w:szCs w:val="24"/>
        </w:rPr>
        <w:t>财政局审核后方可办理工程竣工结算手续，作为支付工程价款最终结算支付的依据。</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77"/>
      <w:bookmarkEnd w:id="578"/>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79"/>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bookmarkEnd w:id="580"/>
    <w:bookmarkEnd w:id="581"/>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14DC8880">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关于是否扣留质量保证金的约定：</w:t>
      </w:r>
      <w:r>
        <w:rPr>
          <w:rFonts w:hint="eastAsia" w:ascii="宋体" w:hAnsi="宋体" w:cs="宋体"/>
          <w:sz w:val="22"/>
          <w:szCs w:val="22"/>
          <w:highlight w:val="none"/>
          <w:u w:val="single"/>
          <w:lang w:eastAsia="zh-CN"/>
        </w:rPr>
        <w:t>不扣留</w:t>
      </w:r>
      <w:r>
        <w:rPr>
          <w:rFonts w:hint="eastAsia" w:ascii="宋体" w:hAnsi="宋体" w:cs="宋体"/>
          <w:sz w:val="22"/>
          <w:szCs w:val="22"/>
          <w:highlight w:val="none"/>
          <w:lang w:eastAsia="zh-CN"/>
        </w:rPr>
        <w:t>。</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82"/>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83"/>
    <w:bookmarkEnd w:id="584"/>
    <w:bookmarkEnd w:id="585"/>
    <w:bookmarkEnd w:id="586"/>
    <w:p w14:paraId="1B2B37D5">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4" w:name="_Toc351203648"/>
      <w:bookmarkStart w:id="615" w:name="_Toc386638622"/>
      <w:bookmarkStart w:id="616" w:name="_Toc280868717"/>
      <w:bookmarkStart w:id="617" w:name="_Toc280868718"/>
      <w:r>
        <w:rPr>
          <w:rFonts w:hint="eastAsia" w:ascii="宋体" w:hAnsi="宋体" w:eastAsia="宋体" w:cs="宋体"/>
          <w:b w:val="0"/>
          <w:color w:val="000000"/>
          <w:sz w:val="22"/>
          <w:szCs w:val="22"/>
          <w:highlight w:val="none"/>
        </w:rPr>
        <w:t>16. 违约</w:t>
      </w:r>
      <w:bookmarkEnd w:id="614"/>
      <w:bookmarkEnd w:id="615"/>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8" w:name="_Toc386638623"/>
      <w:bookmarkStart w:id="619" w:name="_Toc351203649"/>
      <w:r>
        <w:rPr>
          <w:rFonts w:hint="eastAsia" w:ascii="宋体" w:hAnsi="宋体" w:eastAsia="宋体" w:cs="宋体"/>
          <w:b w:val="0"/>
          <w:color w:val="000000"/>
          <w:sz w:val="22"/>
          <w:szCs w:val="22"/>
          <w:highlight w:val="none"/>
        </w:rPr>
        <w:t>17. 不可抗力</w:t>
      </w:r>
      <w:bookmarkEnd w:id="618"/>
      <w:bookmarkEnd w:id="619"/>
      <w:r>
        <w:rPr>
          <w:rFonts w:hint="eastAsia" w:ascii="宋体" w:hAnsi="宋体" w:eastAsia="宋体" w:cs="宋体"/>
          <w:b w:val="0"/>
          <w:color w:val="000000"/>
          <w:sz w:val="22"/>
          <w:szCs w:val="22"/>
          <w:highlight w:val="none"/>
        </w:rPr>
        <w:t xml:space="preserve"> </w:t>
      </w:r>
      <w:bookmarkEnd w:id="616"/>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20" w:name="_Toc386638624"/>
      <w:bookmarkStart w:id="621" w:name="_Toc351203650"/>
      <w:r>
        <w:rPr>
          <w:rFonts w:hint="eastAsia" w:ascii="宋体" w:hAnsi="宋体" w:eastAsia="宋体" w:cs="宋体"/>
          <w:b w:val="0"/>
          <w:color w:val="000000"/>
          <w:sz w:val="22"/>
          <w:szCs w:val="22"/>
          <w:highlight w:val="none"/>
        </w:rPr>
        <w:t>18. 保险</w:t>
      </w:r>
      <w:bookmarkEnd w:id="620"/>
      <w:bookmarkEnd w:id="621"/>
    </w:p>
    <w:bookmarkEnd w:id="587"/>
    <w:bookmarkEnd w:id="588"/>
    <w:bookmarkEnd w:id="589"/>
    <w:bookmarkEnd w:id="590"/>
    <w:bookmarkEnd w:id="591"/>
    <w:bookmarkEnd w:id="592"/>
    <w:bookmarkEnd w:id="593"/>
    <w:bookmarkEnd w:id="594"/>
    <w:bookmarkEnd w:id="595"/>
    <w:bookmarkEnd w:id="596"/>
    <w:bookmarkEnd w:id="597"/>
    <w:bookmarkEnd w:id="598"/>
    <w:bookmarkEnd w:id="617"/>
    <w:p w14:paraId="2FDE6E43">
      <w:pPr>
        <w:spacing w:line="360" w:lineRule="auto"/>
        <w:ind w:firstLine="440" w:firstLineChars="200"/>
        <w:rPr>
          <w:rFonts w:hint="eastAsia" w:ascii="宋体" w:hAnsi="宋体" w:eastAsia="宋体" w:cs="宋体"/>
          <w:sz w:val="22"/>
          <w:szCs w:val="22"/>
          <w:highlight w:val="none"/>
        </w:rPr>
      </w:pPr>
      <w:bookmarkStart w:id="622" w:name="_Toc386638625"/>
      <w:bookmarkStart w:id="623" w:name="_Toc351203651"/>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99"/>
    <w:bookmarkEnd w:id="600"/>
    <w:bookmarkEnd w:id="601"/>
    <w:bookmarkEnd w:id="602"/>
    <w:bookmarkEnd w:id="603"/>
    <w:bookmarkEnd w:id="604"/>
    <w:bookmarkEnd w:id="605"/>
    <w:bookmarkEnd w:id="606"/>
    <w:bookmarkEnd w:id="607"/>
    <w:bookmarkEnd w:id="608"/>
    <w:bookmarkEnd w:id="622"/>
    <w:bookmarkEnd w:id="623"/>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承包人必须配合发包人另行发包的项目施工，配合服务费用已包含在投标报价中，中标人不得向发包人提出任何补偿费用。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中标人不得因本项目涉及到的地下综合管线复杂、行车干扰等各种因素，而影响工程进度，并不得向发包人提出任何索赔。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val="en-US" w:eastAsia="zh-CN"/>
        </w:rPr>
        <w:t>21.16</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71"/>
        <w:rPr>
          <w:rFonts w:hint="eastAsia" w:ascii="宋体" w:hAnsi="宋体" w:cs="宋体"/>
          <w:b/>
          <w:color w:val="000000"/>
          <w:sz w:val="24"/>
          <w:highlight w:val="none"/>
        </w:rPr>
      </w:pPr>
    </w:p>
    <w:p w14:paraId="298CDC16">
      <w:pPr>
        <w:pStyle w:val="71"/>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cs="宋体"/>
          <w:b/>
          <w:color w:val="000000"/>
          <w:sz w:val="24"/>
          <w:highlight w:val="none"/>
        </w:rPr>
        <w:br w:type="page"/>
      </w: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01EB57EE">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422297CF">
      <w:pPr>
        <w:pStyle w:val="71"/>
        <w:spacing w:line="360" w:lineRule="auto"/>
        <w:ind w:left="47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：工程质量保修书</w:t>
      </w:r>
    </w:p>
    <w:p w14:paraId="228DE9E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：承包人用于本工程施工的机械设备表</w:t>
      </w:r>
    </w:p>
    <w:p w14:paraId="2F666B50">
      <w:pPr>
        <w:spacing w:line="360" w:lineRule="auto"/>
        <w:ind w:firstLine="440" w:firstLineChars="200"/>
        <w:jc w:val="left"/>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eastAsia="zh-CN"/>
        </w:rPr>
        <w:t>附件</w:t>
      </w:r>
      <w:r>
        <w:rPr>
          <w:rFonts w:hint="eastAsia" w:ascii="宋体" w:hAnsi="宋体" w:cs="宋体"/>
          <w:color w:val="000000"/>
          <w:sz w:val="22"/>
          <w:szCs w:val="22"/>
          <w:highlight w:val="none"/>
          <w:lang w:val="en-US" w:eastAsia="zh-CN"/>
        </w:rPr>
        <w:t>3：暂列金表</w:t>
      </w:r>
    </w:p>
    <w:p w14:paraId="22DB88C0">
      <w:pPr>
        <w:spacing w:line="360" w:lineRule="auto"/>
        <w:ind w:firstLine="440" w:firstLineChars="200"/>
        <w:jc w:val="left"/>
        <w:rPr>
          <w:rFonts w:hint="eastAsia" w:ascii="宋体" w:hAnsi="宋体" w:cs="宋体"/>
          <w:color w:val="000000"/>
          <w:sz w:val="22"/>
          <w:szCs w:val="22"/>
          <w:highlight w:val="none"/>
          <w:lang w:val="en-US" w:eastAsia="zh-CN"/>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：廉政建设责任书</w:t>
      </w:r>
    </w:p>
    <w:p w14:paraId="3058E2D3">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24" w:name="_Toc411083385"/>
      <w:r>
        <w:rPr>
          <w:rFonts w:hint="eastAsia" w:ascii="宋体" w:hAnsi="宋体" w:eastAsia="宋体" w:cs="宋体"/>
          <w:b/>
          <w:color w:val="000000"/>
          <w:sz w:val="22"/>
          <w:szCs w:val="22"/>
          <w:highlight w:val="none"/>
        </w:rPr>
        <w:t>工程质量保修书</w:t>
      </w:r>
      <w:bookmarkEnd w:id="624"/>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25" w:name="_Toc296944566"/>
      <w:bookmarkStart w:id="626" w:name="_Toc296346728"/>
      <w:bookmarkStart w:id="627" w:name="_Toc296891055"/>
      <w:bookmarkStart w:id="628" w:name="_Toc296347226"/>
      <w:bookmarkStart w:id="629" w:name="_Toc296891267"/>
      <w:bookmarkStart w:id="630" w:name="_Toc296503227"/>
      <w:bookmarkStart w:id="631" w:name="_Toc267261698"/>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bookmarkEnd w:id="625"/>
    <w:bookmarkEnd w:id="626"/>
    <w:bookmarkEnd w:id="627"/>
    <w:bookmarkEnd w:id="628"/>
    <w:bookmarkEnd w:id="629"/>
    <w:bookmarkEnd w:id="630"/>
    <w:bookmarkEnd w:id="631"/>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2"/>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2"/>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2"/>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2"/>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2"/>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2"/>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2"/>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2"/>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2"/>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5211C94B">
      <w:pPr>
        <w:spacing w:before="120" w:beforeLines="50" w:after="120" w:afterLines="50" w:line="440" w:lineRule="exact"/>
        <w:jc w:val="both"/>
        <w:rPr>
          <w:rFonts w:hint="default" w:ascii="宋体" w:hAnsi="宋体" w:eastAsia="宋体" w:cs="宋体"/>
          <w:color w:val="auto"/>
          <w:sz w:val="30"/>
          <w:szCs w:val="30"/>
          <w:lang w:val="en-US" w:eastAsia="zh-CN"/>
        </w:rPr>
      </w:pPr>
      <w:r>
        <w:rPr>
          <w:rFonts w:hint="eastAsia" w:ascii="宋体" w:hAnsi="宋体" w:cs="宋体"/>
          <w:color w:val="auto"/>
          <w:sz w:val="21"/>
          <w:szCs w:val="21"/>
          <w:lang w:eastAsia="zh-CN"/>
        </w:rPr>
        <w:t>附件</w:t>
      </w:r>
      <w:r>
        <w:rPr>
          <w:rFonts w:hint="eastAsia" w:ascii="宋体" w:hAnsi="宋体" w:cs="宋体"/>
          <w:color w:val="auto"/>
          <w:sz w:val="21"/>
          <w:szCs w:val="21"/>
          <w:lang w:val="en-US" w:eastAsia="zh-CN"/>
        </w:rPr>
        <w:t>3：</w:t>
      </w:r>
    </w:p>
    <w:p w14:paraId="022250EA">
      <w:pPr>
        <w:spacing w:before="120" w:beforeLines="50" w:after="120" w:afterLines="50" w:line="440" w:lineRule="exact"/>
        <w:ind w:firstLine="3600" w:firstLineChars="1200"/>
        <w:rPr>
          <w:rFonts w:hint="eastAsia" w:ascii="宋体" w:hAnsi="宋体" w:eastAsia="宋体" w:cs="宋体"/>
          <w:color w:val="auto"/>
          <w:sz w:val="30"/>
          <w:szCs w:val="30"/>
        </w:rPr>
      </w:pPr>
      <w:r>
        <w:rPr>
          <w:rFonts w:hint="eastAsia" w:ascii="宋体" w:hAnsi="宋体" w:eastAsia="宋体" w:cs="宋体"/>
          <w:color w:val="auto"/>
          <w:sz w:val="30"/>
          <w:szCs w:val="30"/>
        </w:rPr>
        <w:t>暂列金表</w:t>
      </w:r>
    </w:p>
    <w:tbl>
      <w:tblPr>
        <w:tblStyle w:val="60"/>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5"/>
        <w:gridCol w:w="2363"/>
        <w:gridCol w:w="799"/>
        <w:gridCol w:w="754"/>
        <w:gridCol w:w="1315"/>
        <w:gridCol w:w="1380"/>
        <w:gridCol w:w="1501"/>
      </w:tblGrid>
      <w:tr w14:paraId="5A1F8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531" w:type="pct"/>
            <w:tcBorders>
              <w:top w:val="single" w:color="auto" w:sz="12" w:space="0"/>
              <w:bottom w:val="double" w:color="auto" w:sz="6" w:space="0"/>
            </w:tcBorders>
            <w:noWrap w:val="0"/>
            <w:vAlign w:val="center"/>
          </w:tcPr>
          <w:p w14:paraId="7AB83AA7">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1301" w:type="pct"/>
            <w:tcBorders>
              <w:top w:val="single" w:color="auto" w:sz="12" w:space="0"/>
              <w:bottom w:val="double" w:color="auto" w:sz="6" w:space="0"/>
            </w:tcBorders>
            <w:noWrap w:val="0"/>
            <w:vAlign w:val="center"/>
          </w:tcPr>
          <w:p w14:paraId="6C8F2D44">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名称</w:t>
            </w:r>
          </w:p>
        </w:tc>
        <w:tc>
          <w:tcPr>
            <w:tcW w:w="440" w:type="pct"/>
            <w:tcBorders>
              <w:top w:val="single" w:color="auto" w:sz="12" w:space="0"/>
              <w:bottom w:val="double" w:color="auto" w:sz="6" w:space="0"/>
            </w:tcBorders>
            <w:noWrap w:val="0"/>
            <w:vAlign w:val="center"/>
          </w:tcPr>
          <w:p w14:paraId="6EF6A391">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单位</w:t>
            </w:r>
          </w:p>
        </w:tc>
        <w:tc>
          <w:tcPr>
            <w:tcW w:w="415" w:type="pct"/>
            <w:tcBorders>
              <w:top w:val="single" w:color="auto" w:sz="12" w:space="0"/>
              <w:bottom w:val="double" w:color="auto" w:sz="6" w:space="0"/>
            </w:tcBorders>
            <w:noWrap w:val="0"/>
            <w:vAlign w:val="center"/>
          </w:tcPr>
          <w:p w14:paraId="03895482">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w:t>
            </w:r>
          </w:p>
        </w:tc>
        <w:tc>
          <w:tcPr>
            <w:tcW w:w="724" w:type="pct"/>
            <w:tcBorders>
              <w:top w:val="single" w:color="auto" w:sz="12" w:space="0"/>
              <w:bottom w:val="double" w:color="auto" w:sz="6" w:space="0"/>
            </w:tcBorders>
            <w:noWrap w:val="0"/>
            <w:vAlign w:val="center"/>
          </w:tcPr>
          <w:p w14:paraId="756B3358">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单价（元）</w:t>
            </w:r>
          </w:p>
        </w:tc>
        <w:tc>
          <w:tcPr>
            <w:tcW w:w="760" w:type="pct"/>
            <w:tcBorders>
              <w:top w:val="single" w:color="auto" w:sz="12" w:space="0"/>
              <w:bottom w:val="double" w:color="auto" w:sz="6" w:space="0"/>
            </w:tcBorders>
            <w:noWrap w:val="0"/>
            <w:vAlign w:val="center"/>
          </w:tcPr>
          <w:p w14:paraId="77A9B398">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合价（元）</w:t>
            </w:r>
          </w:p>
        </w:tc>
        <w:tc>
          <w:tcPr>
            <w:tcW w:w="826" w:type="pct"/>
            <w:tcBorders>
              <w:top w:val="single" w:color="auto" w:sz="12" w:space="0"/>
              <w:bottom w:val="double" w:color="auto" w:sz="6" w:space="0"/>
            </w:tcBorders>
            <w:noWrap w:val="0"/>
            <w:vAlign w:val="center"/>
          </w:tcPr>
          <w:p w14:paraId="7196668A">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备注</w:t>
            </w:r>
          </w:p>
        </w:tc>
      </w:tr>
      <w:tr w14:paraId="0DD22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tcBorders>
              <w:top w:val="double" w:color="auto" w:sz="6" w:space="0"/>
              <w:bottom w:val="single" w:color="auto" w:sz="6" w:space="0"/>
            </w:tcBorders>
            <w:noWrap w:val="0"/>
            <w:vAlign w:val="center"/>
          </w:tcPr>
          <w:p w14:paraId="509736D3">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1301" w:type="pct"/>
            <w:tcBorders>
              <w:top w:val="double" w:color="auto" w:sz="6" w:space="0"/>
              <w:bottom w:val="single" w:color="auto" w:sz="6" w:space="0"/>
            </w:tcBorders>
            <w:noWrap w:val="0"/>
            <w:vAlign w:val="center"/>
          </w:tcPr>
          <w:p w14:paraId="19C38CCA">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highlight w:val="none"/>
                <w:lang w:eastAsia="zh-CN"/>
              </w:rPr>
              <w:t>不可预见费</w:t>
            </w:r>
          </w:p>
        </w:tc>
        <w:tc>
          <w:tcPr>
            <w:tcW w:w="440" w:type="pct"/>
            <w:tcBorders>
              <w:top w:val="double" w:color="auto" w:sz="6" w:space="0"/>
              <w:bottom w:val="single" w:color="auto" w:sz="6" w:space="0"/>
            </w:tcBorders>
            <w:noWrap w:val="0"/>
            <w:vAlign w:val="center"/>
          </w:tcPr>
          <w:p w14:paraId="60C02AF0">
            <w:pPr>
              <w:widowControl/>
              <w:jc w:val="center"/>
              <w:textAlignment w:val="auto"/>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项</w:t>
            </w:r>
          </w:p>
        </w:tc>
        <w:tc>
          <w:tcPr>
            <w:tcW w:w="415" w:type="pct"/>
            <w:tcBorders>
              <w:top w:val="double" w:color="auto" w:sz="6" w:space="0"/>
              <w:bottom w:val="single" w:color="auto" w:sz="6" w:space="0"/>
            </w:tcBorders>
            <w:noWrap w:val="0"/>
            <w:vAlign w:val="center"/>
          </w:tcPr>
          <w:p w14:paraId="6FC668BD">
            <w:pPr>
              <w:widowControl/>
              <w:jc w:val="center"/>
              <w:textAlignment w:val="auto"/>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724" w:type="pct"/>
            <w:tcBorders>
              <w:top w:val="double" w:color="auto" w:sz="6" w:space="0"/>
              <w:bottom w:val="single" w:color="auto" w:sz="6" w:space="0"/>
            </w:tcBorders>
            <w:noWrap w:val="0"/>
            <w:vAlign w:val="center"/>
          </w:tcPr>
          <w:p w14:paraId="182C1162">
            <w:pPr>
              <w:widowControl/>
              <w:jc w:val="center"/>
              <w:textAlignment w:val="auto"/>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100000</w:t>
            </w:r>
          </w:p>
        </w:tc>
        <w:tc>
          <w:tcPr>
            <w:tcW w:w="760" w:type="pct"/>
            <w:tcBorders>
              <w:top w:val="double" w:color="auto" w:sz="6" w:space="0"/>
              <w:bottom w:val="single" w:color="auto" w:sz="6" w:space="0"/>
            </w:tcBorders>
            <w:noWrap w:val="0"/>
            <w:vAlign w:val="center"/>
          </w:tcPr>
          <w:p w14:paraId="7AAEAE43">
            <w:pPr>
              <w:widowControl/>
              <w:jc w:val="center"/>
              <w:textAlignment w:val="auto"/>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100000</w:t>
            </w:r>
          </w:p>
        </w:tc>
        <w:tc>
          <w:tcPr>
            <w:tcW w:w="826" w:type="pct"/>
            <w:tcBorders>
              <w:top w:val="double" w:color="auto" w:sz="6" w:space="0"/>
              <w:bottom w:val="single" w:color="auto" w:sz="6" w:space="0"/>
            </w:tcBorders>
            <w:noWrap w:val="0"/>
            <w:vAlign w:val="center"/>
          </w:tcPr>
          <w:p w14:paraId="3F20ADF3">
            <w:pPr>
              <w:jc w:val="center"/>
              <w:rPr>
                <w:rFonts w:hint="eastAsia" w:ascii="宋体" w:hAnsi="宋体" w:eastAsia="宋体" w:cs="宋体"/>
                <w:color w:val="auto"/>
                <w:sz w:val="22"/>
                <w:szCs w:val="22"/>
              </w:rPr>
            </w:pPr>
          </w:p>
        </w:tc>
      </w:tr>
      <w:tr w14:paraId="10014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tcBorders>
              <w:top w:val="nil"/>
            </w:tcBorders>
            <w:noWrap w:val="0"/>
            <w:vAlign w:val="center"/>
          </w:tcPr>
          <w:p w14:paraId="255A8136">
            <w:pPr>
              <w:widowControl/>
              <w:jc w:val="center"/>
              <w:rPr>
                <w:rFonts w:hint="eastAsia" w:ascii="宋体" w:hAnsi="宋体" w:eastAsia="宋体" w:cs="宋体"/>
                <w:color w:val="auto"/>
                <w:kern w:val="0"/>
                <w:sz w:val="21"/>
                <w:szCs w:val="21"/>
              </w:rPr>
            </w:pPr>
          </w:p>
        </w:tc>
        <w:tc>
          <w:tcPr>
            <w:tcW w:w="1301" w:type="pct"/>
            <w:tcBorders>
              <w:top w:val="nil"/>
            </w:tcBorders>
            <w:noWrap w:val="0"/>
            <w:vAlign w:val="center"/>
          </w:tcPr>
          <w:p w14:paraId="3631D935">
            <w:pPr>
              <w:widowControl/>
              <w:ind w:firstLine="420" w:firstLineChars="200"/>
              <w:rPr>
                <w:rFonts w:hint="eastAsia" w:ascii="宋体" w:hAnsi="宋体" w:eastAsia="宋体" w:cs="宋体"/>
                <w:color w:val="auto"/>
                <w:kern w:val="0"/>
                <w:sz w:val="21"/>
                <w:szCs w:val="21"/>
              </w:rPr>
            </w:pPr>
          </w:p>
        </w:tc>
        <w:tc>
          <w:tcPr>
            <w:tcW w:w="440" w:type="pct"/>
            <w:tcBorders>
              <w:top w:val="nil"/>
            </w:tcBorders>
            <w:noWrap w:val="0"/>
            <w:vAlign w:val="center"/>
          </w:tcPr>
          <w:p w14:paraId="306E0091">
            <w:pPr>
              <w:jc w:val="center"/>
              <w:rPr>
                <w:rFonts w:hint="eastAsia" w:ascii="宋体" w:hAnsi="宋体" w:eastAsia="宋体" w:cs="宋体"/>
                <w:color w:val="auto"/>
                <w:kern w:val="0"/>
                <w:sz w:val="21"/>
                <w:szCs w:val="21"/>
              </w:rPr>
            </w:pPr>
          </w:p>
        </w:tc>
        <w:tc>
          <w:tcPr>
            <w:tcW w:w="415" w:type="pct"/>
            <w:tcBorders>
              <w:top w:val="nil"/>
            </w:tcBorders>
            <w:noWrap w:val="0"/>
            <w:vAlign w:val="center"/>
          </w:tcPr>
          <w:p w14:paraId="5E2B639A">
            <w:pPr>
              <w:widowControl/>
              <w:jc w:val="center"/>
              <w:rPr>
                <w:rFonts w:hint="eastAsia" w:ascii="宋体" w:hAnsi="宋体" w:eastAsia="宋体" w:cs="宋体"/>
                <w:color w:val="auto"/>
                <w:kern w:val="0"/>
                <w:szCs w:val="21"/>
              </w:rPr>
            </w:pPr>
          </w:p>
        </w:tc>
        <w:tc>
          <w:tcPr>
            <w:tcW w:w="724" w:type="pct"/>
            <w:tcBorders>
              <w:top w:val="nil"/>
            </w:tcBorders>
            <w:noWrap w:val="0"/>
            <w:vAlign w:val="center"/>
          </w:tcPr>
          <w:p w14:paraId="234BD9FD">
            <w:pPr>
              <w:widowControl/>
              <w:jc w:val="center"/>
              <w:rPr>
                <w:rFonts w:hint="eastAsia" w:ascii="宋体" w:hAnsi="宋体" w:eastAsia="宋体" w:cs="宋体"/>
                <w:color w:val="auto"/>
                <w:kern w:val="0"/>
                <w:szCs w:val="21"/>
              </w:rPr>
            </w:pPr>
          </w:p>
        </w:tc>
        <w:tc>
          <w:tcPr>
            <w:tcW w:w="760" w:type="pct"/>
            <w:tcBorders>
              <w:top w:val="nil"/>
            </w:tcBorders>
            <w:noWrap w:val="0"/>
            <w:vAlign w:val="center"/>
          </w:tcPr>
          <w:p w14:paraId="20A9E879">
            <w:pPr>
              <w:widowControl/>
              <w:jc w:val="center"/>
              <w:rPr>
                <w:rFonts w:hint="eastAsia" w:ascii="宋体" w:hAnsi="宋体" w:eastAsia="宋体" w:cs="宋体"/>
                <w:color w:val="auto"/>
                <w:kern w:val="0"/>
                <w:szCs w:val="21"/>
              </w:rPr>
            </w:pPr>
          </w:p>
        </w:tc>
        <w:tc>
          <w:tcPr>
            <w:tcW w:w="826" w:type="pct"/>
            <w:tcBorders>
              <w:top w:val="nil"/>
            </w:tcBorders>
            <w:noWrap w:val="0"/>
            <w:vAlign w:val="center"/>
          </w:tcPr>
          <w:p w14:paraId="5A7F3917">
            <w:pPr>
              <w:ind w:left="63" w:right="63"/>
              <w:rPr>
                <w:rFonts w:hint="eastAsia" w:ascii="宋体" w:hAnsi="宋体" w:eastAsia="宋体" w:cs="宋体"/>
                <w:color w:val="auto"/>
                <w:sz w:val="21"/>
                <w:szCs w:val="21"/>
              </w:rPr>
            </w:pPr>
          </w:p>
        </w:tc>
      </w:tr>
      <w:tr w14:paraId="2B105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2D8DFA3A">
            <w:pPr>
              <w:widowControl/>
              <w:jc w:val="center"/>
              <w:rPr>
                <w:rFonts w:hint="eastAsia" w:ascii="宋体" w:hAnsi="宋体" w:eastAsia="宋体" w:cs="宋体"/>
                <w:color w:val="auto"/>
                <w:kern w:val="0"/>
                <w:sz w:val="21"/>
                <w:szCs w:val="21"/>
              </w:rPr>
            </w:pPr>
          </w:p>
        </w:tc>
        <w:tc>
          <w:tcPr>
            <w:tcW w:w="1301" w:type="pct"/>
            <w:noWrap w:val="0"/>
            <w:vAlign w:val="center"/>
          </w:tcPr>
          <w:p w14:paraId="5C33F348">
            <w:pPr>
              <w:widowControl/>
              <w:rPr>
                <w:rFonts w:hint="eastAsia" w:ascii="宋体" w:hAnsi="宋体" w:eastAsia="宋体" w:cs="宋体"/>
                <w:color w:val="auto"/>
                <w:kern w:val="0"/>
                <w:sz w:val="21"/>
                <w:szCs w:val="21"/>
              </w:rPr>
            </w:pPr>
          </w:p>
        </w:tc>
        <w:tc>
          <w:tcPr>
            <w:tcW w:w="440" w:type="pct"/>
            <w:noWrap w:val="0"/>
            <w:vAlign w:val="center"/>
          </w:tcPr>
          <w:p w14:paraId="6424ADD5">
            <w:pPr>
              <w:jc w:val="center"/>
              <w:rPr>
                <w:rFonts w:hint="eastAsia" w:ascii="宋体" w:hAnsi="宋体" w:eastAsia="宋体" w:cs="宋体"/>
                <w:color w:val="auto"/>
                <w:kern w:val="0"/>
                <w:sz w:val="21"/>
                <w:szCs w:val="21"/>
              </w:rPr>
            </w:pPr>
          </w:p>
        </w:tc>
        <w:tc>
          <w:tcPr>
            <w:tcW w:w="415" w:type="pct"/>
            <w:noWrap w:val="0"/>
            <w:vAlign w:val="center"/>
          </w:tcPr>
          <w:p w14:paraId="08732C7B">
            <w:pPr>
              <w:jc w:val="center"/>
              <w:rPr>
                <w:rFonts w:hint="eastAsia" w:ascii="宋体" w:hAnsi="宋体" w:eastAsia="宋体" w:cs="宋体"/>
                <w:color w:val="auto"/>
                <w:kern w:val="0"/>
                <w:sz w:val="21"/>
                <w:szCs w:val="21"/>
              </w:rPr>
            </w:pPr>
          </w:p>
        </w:tc>
        <w:tc>
          <w:tcPr>
            <w:tcW w:w="724" w:type="pct"/>
            <w:noWrap w:val="0"/>
            <w:vAlign w:val="center"/>
          </w:tcPr>
          <w:p w14:paraId="2653ED41">
            <w:pPr>
              <w:widowControl/>
              <w:jc w:val="center"/>
              <w:rPr>
                <w:rFonts w:hint="eastAsia" w:ascii="宋体" w:hAnsi="宋体" w:eastAsia="宋体" w:cs="宋体"/>
                <w:color w:val="auto"/>
                <w:kern w:val="0"/>
                <w:sz w:val="21"/>
                <w:szCs w:val="21"/>
              </w:rPr>
            </w:pPr>
          </w:p>
        </w:tc>
        <w:tc>
          <w:tcPr>
            <w:tcW w:w="760" w:type="pct"/>
            <w:noWrap w:val="0"/>
            <w:vAlign w:val="center"/>
          </w:tcPr>
          <w:p w14:paraId="5D0CA644">
            <w:pPr>
              <w:widowControl/>
              <w:jc w:val="center"/>
              <w:rPr>
                <w:rFonts w:hint="eastAsia" w:ascii="宋体" w:hAnsi="宋体" w:eastAsia="宋体" w:cs="宋体"/>
                <w:color w:val="auto"/>
                <w:sz w:val="21"/>
                <w:szCs w:val="21"/>
              </w:rPr>
            </w:pPr>
          </w:p>
        </w:tc>
        <w:tc>
          <w:tcPr>
            <w:tcW w:w="826" w:type="pct"/>
            <w:noWrap w:val="0"/>
            <w:vAlign w:val="center"/>
          </w:tcPr>
          <w:p w14:paraId="5BE7769B">
            <w:pPr>
              <w:ind w:left="63" w:right="63"/>
              <w:rPr>
                <w:rFonts w:hint="eastAsia" w:ascii="宋体" w:hAnsi="宋体" w:eastAsia="宋体" w:cs="宋体"/>
                <w:color w:val="auto"/>
                <w:sz w:val="21"/>
                <w:szCs w:val="21"/>
              </w:rPr>
            </w:pPr>
          </w:p>
        </w:tc>
      </w:tr>
      <w:tr w14:paraId="36864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47C45BCC">
            <w:pPr>
              <w:widowControl/>
              <w:jc w:val="center"/>
              <w:rPr>
                <w:rFonts w:hint="eastAsia" w:ascii="宋体" w:hAnsi="宋体" w:eastAsia="宋体" w:cs="宋体"/>
                <w:color w:val="auto"/>
                <w:kern w:val="0"/>
                <w:sz w:val="21"/>
                <w:szCs w:val="21"/>
              </w:rPr>
            </w:pPr>
          </w:p>
        </w:tc>
        <w:tc>
          <w:tcPr>
            <w:tcW w:w="1301" w:type="pct"/>
            <w:noWrap w:val="0"/>
            <w:vAlign w:val="center"/>
          </w:tcPr>
          <w:p w14:paraId="301A84BD">
            <w:pPr>
              <w:widowControl/>
              <w:rPr>
                <w:rFonts w:hint="eastAsia" w:ascii="宋体" w:hAnsi="宋体" w:eastAsia="宋体" w:cs="宋体"/>
                <w:color w:val="auto"/>
                <w:kern w:val="0"/>
                <w:sz w:val="21"/>
                <w:szCs w:val="21"/>
              </w:rPr>
            </w:pPr>
          </w:p>
        </w:tc>
        <w:tc>
          <w:tcPr>
            <w:tcW w:w="440" w:type="pct"/>
            <w:noWrap w:val="0"/>
            <w:vAlign w:val="center"/>
          </w:tcPr>
          <w:p w14:paraId="633D9305">
            <w:pPr>
              <w:widowControl/>
              <w:jc w:val="center"/>
              <w:rPr>
                <w:rFonts w:hint="eastAsia" w:ascii="宋体" w:hAnsi="宋体" w:eastAsia="宋体" w:cs="宋体"/>
                <w:color w:val="auto"/>
                <w:kern w:val="0"/>
                <w:sz w:val="21"/>
                <w:szCs w:val="21"/>
              </w:rPr>
            </w:pPr>
          </w:p>
        </w:tc>
        <w:tc>
          <w:tcPr>
            <w:tcW w:w="415" w:type="pct"/>
            <w:noWrap w:val="0"/>
            <w:vAlign w:val="center"/>
          </w:tcPr>
          <w:p w14:paraId="5D050B1B">
            <w:pPr>
              <w:widowControl/>
              <w:jc w:val="center"/>
              <w:rPr>
                <w:rFonts w:hint="eastAsia" w:ascii="宋体" w:hAnsi="宋体" w:eastAsia="宋体" w:cs="宋体"/>
                <w:color w:val="auto"/>
                <w:kern w:val="0"/>
                <w:sz w:val="21"/>
                <w:szCs w:val="21"/>
              </w:rPr>
            </w:pPr>
          </w:p>
        </w:tc>
        <w:tc>
          <w:tcPr>
            <w:tcW w:w="724" w:type="pct"/>
            <w:noWrap w:val="0"/>
            <w:vAlign w:val="center"/>
          </w:tcPr>
          <w:p w14:paraId="275F2E54">
            <w:pPr>
              <w:widowControl/>
              <w:jc w:val="center"/>
              <w:rPr>
                <w:rFonts w:hint="eastAsia" w:ascii="宋体" w:hAnsi="宋体" w:eastAsia="宋体" w:cs="宋体"/>
                <w:color w:val="auto"/>
                <w:kern w:val="0"/>
                <w:sz w:val="21"/>
                <w:szCs w:val="21"/>
              </w:rPr>
            </w:pPr>
          </w:p>
        </w:tc>
        <w:tc>
          <w:tcPr>
            <w:tcW w:w="760" w:type="pct"/>
            <w:noWrap w:val="0"/>
            <w:vAlign w:val="center"/>
          </w:tcPr>
          <w:p w14:paraId="5BEA7F19">
            <w:pPr>
              <w:ind w:left="63" w:right="63"/>
              <w:rPr>
                <w:rFonts w:hint="eastAsia" w:ascii="宋体" w:hAnsi="宋体" w:eastAsia="宋体" w:cs="宋体"/>
                <w:color w:val="auto"/>
                <w:sz w:val="21"/>
                <w:szCs w:val="21"/>
              </w:rPr>
            </w:pPr>
          </w:p>
        </w:tc>
        <w:tc>
          <w:tcPr>
            <w:tcW w:w="826" w:type="pct"/>
            <w:noWrap w:val="0"/>
            <w:vAlign w:val="center"/>
          </w:tcPr>
          <w:p w14:paraId="1F52FD45">
            <w:pPr>
              <w:ind w:left="63" w:right="63"/>
              <w:rPr>
                <w:rFonts w:hint="eastAsia" w:ascii="宋体" w:hAnsi="宋体" w:eastAsia="宋体" w:cs="宋体"/>
                <w:color w:val="auto"/>
                <w:sz w:val="21"/>
                <w:szCs w:val="21"/>
              </w:rPr>
            </w:pPr>
          </w:p>
        </w:tc>
      </w:tr>
      <w:tr w14:paraId="3AF44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23EB6F25">
            <w:pPr>
              <w:widowControl/>
              <w:jc w:val="center"/>
              <w:rPr>
                <w:rFonts w:hint="eastAsia" w:ascii="宋体" w:hAnsi="宋体" w:eastAsia="宋体" w:cs="宋体"/>
                <w:color w:val="auto"/>
                <w:kern w:val="0"/>
                <w:sz w:val="21"/>
                <w:szCs w:val="21"/>
              </w:rPr>
            </w:pPr>
          </w:p>
        </w:tc>
        <w:tc>
          <w:tcPr>
            <w:tcW w:w="1301" w:type="pct"/>
            <w:noWrap w:val="0"/>
            <w:vAlign w:val="center"/>
          </w:tcPr>
          <w:p w14:paraId="3A0E5EB1">
            <w:pPr>
              <w:widowControl/>
              <w:rPr>
                <w:rFonts w:hint="eastAsia" w:ascii="宋体" w:hAnsi="宋体" w:eastAsia="宋体" w:cs="宋体"/>
                <w:color w:val="auto"/>
                <w:kern w:val="0"/>
                <w:sz w:val="21"/>
                <w:szCs w:val="21"/>
              </w:rPr>
            </w:pPr>
          </w:p>
        </w:tc>
        <w:tc>
          <w:tcPr>
            <w:tcW w:w="440" w:type="pct"/>
            <w:noWrap w:val="0"/>
            <w:vAlign w:val="center"/>
          </w:tcPr>
          <w:p w14:paraId="532CDF64">
            <w:pPr>
              <w:widowControl/>
              <w:jc w:val="center"/>
              <w:rPr>
                <w:rFonts w:hint="eastAsia" w:ascii="宋体" w:hAnsi="宋体" w:eastAsia="宋体" w:cs="宋体"/>
                <w:color w:val="auto"/>
                <w:kern w:val="0"/>
                <w:sz w:val="21"/>
                <w:szCs w:val="21"/>
              </w:rPr>
            </w:pPr>
          </w:p>
        </w:tc>
        <w:tc>
          <w:tcPr>
            <w:tcW w:w="415" w:type="pct"/>
            <w:noWrap w:val="0"/>
            <w:vAlign w:val="center"/>
          </w:tcPr>
          <w:p w14:paraId="48DE8FB5">
            <w:pPr>
              <w:widowControl/>
              <w:jc w:val="center"/>
              <w:rPr>
                <w:rFonts w:hint="eastAsia" w:ascii="宋体" w:hAnsi="宋体" w:eastAsia="宋体" w:cs="宋体"/>
                <w:color w:val="auto"/>
                <w:kern w:val="0"/>
                <w:sz w:val="21"/>
                <w:szCs w:val="21"/>
              </w:rPr>
            </w:pPr>
          </w:p>
        </w:tc>
        <w:tc>
          <w:tcPr>
            <w:tcW w:w="724" w:type="pct"/>
            <w:noWrap w:val="0"/>
            <w:vAlign w:val="center"/>
          </w:tcPr>
          <w:p w14:paraId="3974CB0E">
            <w:pPr>
              <w:widowControl/>
              <w:jc w:val="center"/>
              <w:rPr>
                <w:rFonts w:hint="eastAsia" w:ascii="宋体" w:hAnsi="宋体" w:eastAsia="宋体" w:cs="宋体"/>
                <w:color w:val="auto"/>
                <w:kern w:val="0"/>
                <w:sz w:val="21"/>
                <w:szCs w:val="21"/>
              </w:rPr>
            </w:pPr>
          </w:p>
        </w:tc>
        <w:tc>
          <w:tcPr>
            <w:tcW w:w="760" w:type="pct"/>
            <w:noWrap w:val="0"/>
            <w:vAlign w:val="center"/>
          </w:tcPr>
          <w:p w14:paraId="242A63F7">
            <w:pPr>
              <w:ind w:left="63" w:right="63"/>
              <w:rPr>
                <w:rFonts w:hint="eastAsia" w:ascii="宋体" w:hAnsi="宋体" w:eastAsia="宋体" w:cs="宋体"/>
                <w:color w:val="auto"/>
                <w:sz w:val="21"/>
                <w:szCs w:val="21"/>
              </w:rPr>
            </w:pPr>
          </w:p>
        </w:tc>
        <w:tc>
          <w:tcPr>
            <w:tcW w:w="826" w:type="pct"/>
            <w:noWrap w:val="0"/>
            <w:vAlign w:val="center"/>
          </w:tcPr>
          <w:p w14:paraId="258635BC">
            <w:pPr>
              <w:ind w:left="63" w:right="63"/>
              <w:rPr>
                <w:rFonts w:hint="eastAsia" w:ascii="宋体" w:hAnsi="宋体" w:eastAsia="宋体" w:cs="宋体"/>
                <w:color w:val="auto"/>
                <w:sz w:val="21"/>
                <w:szCs w:val="21"/>
              </w:rPr>
            </w:pPr>
          </w:p>
        </w:tc>
      </w:tr>
      <w:tr w14:paraId="54E05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7E8A446C">
            <w:pPr>
              <w:widowControl/>
              <w:jc w:val="center"/>
              <w:rPr>
                <w:rFonts w:hint="eastAsia" w:ascii="宋体" w:hAnsi="宋体" w:eastAsia="宋体" w:cs="宋体"/>
                <w:color w:val="auto"/>
                <w:kern w:val="0"/>
                <w:sz w:val="21"/>
                <w:szCs w:val="21"/>
              </w:rPr>
            </w:pPr>
          </w:p>
        </w:tc>
        <w:tc>
          <w:tcPr>
            <w:tcW w:w="1301" w:type="pct"/>
            <w:noWrap w:val="0"/>
            <w:vAlign w:val="center"/>
          </w:tcPr>
          <w:p w14:paraId="47907ED9">
            <w:pPr>
              <w:widowControl/>
              <w:rPr>
                <w:rFonts w:hint="eastAsia" w:ascii="宋体" w:hAnsi="宋体" w:eastAsia="宋体" w:cs="宋体"/>
                <w:color w:val="auto"/>
                <w:kern w:val="0"/>
                <w:sz w:val="21"/>
                <w:szCs w:val="21"/>
              </w:rPr>
            </w:pPr>
          </w:p>
        </w:tc>
        <w:tc>
          <w:tcPr>
            <w:tcW w:w="440" w:type="pct"/>
            <w:noWrap w:val="0"/>
            <w:vAlign w:val="center"/>
          </w:tcPr>
          <w:p w14:paraId="748156E8">
            <w:pPr>
              <w:widowControl/>
              <w:jc w:val="center"/>
              <w:rPr>
                <w:rFonts w:hint="eastAsia" w:ascii="宋体" w:hAnsi="宋体" w:eastAsia="宋体" w:cs="宋体"/>
                <w:color w:val="auto"/>
                <w:kern w:val="0"/>
                <w:sz w:val="21"/>
                <w:szCs w:val="21"/>
              </w:rPr>
            </w:pPr>
          </w:p>
        </w:tc>
        <w:tc>
          <w:tcPr>
            <w:tcW w:w="415" w:type="pct"/>
            <w:noWrap w:val="0"/>
            <w:vAlign w:val="center"/>
          </w:tcPr>
          <w:p w14:paraId="44CC8A5F">
            <w:pPr>
              <w:widowControl/>
              <w:jc w:val="center"/>
              <w:rPr>
                <w:rFonts w:hint="eastAsia" w:ascii="宋体" w:hAnsi="宋体" w:eastAsia="宋体" w:cs="宋体"/>
                <w:color w:val="auto"/>
                <w:kern w:val="0"/>
                <w:sz w:val="21"/>
                <w:szCs w:val="21"/>
              </w:rPr>
            </w:pPr>
          </w:p>
        </w:tc>
        <w:tc>
          <w:tcPr>
            <w:tcW w:w="724" w:type="pct"/>
            <w:noWrap w:val="0"/>
            <w:vAlign w:val="center"/>
          </w:tcPr>
          <w:p w14:paraId="5F547EB9">
            <w:pPr>
              <w:widowControl/>
              <w:jc w:val="center"/>
              <w:rPr>
                <w:rFonts w:hint="eastAsia" w:ascii="宋体" w:hAnsi="宋体" w:eastAsia="宋体" w:cs="宋体"/>
                <w:color w:val="auto"/>
                <w:kern w:val="0"/>
                <w:sz w:val="21"/>
                <w:szCs w:val="21"/>
              </w:rPr>
            </w:pPr>
          </w:p>
        </w:tc>
        <w:tc>
          <w:tcPr>
            <w:tcW w:w="760" w:type="pct"/>
            <w:noWrap w:val="0"/>
            <w:vAlign w:val="center"/>
          </w:tcPr>
          <w:p w14:paraId="6C0ADEF6">
            <w:pPr>
              <w:ind w:left="63" w:right="63"/>
              <w:rPr>
                <w:rFonts w:hint="eastAsia" w:ascii="宋体" w:hAnsi="宋体" w:eastAsia="宋体" w:cs="宋体"/>
                <w:color w:val="auto"/>
                <w:sz w:val="21"/>
                <w:szCs w:val="21"/>
              </w:rPr>
            </w:pPr>
          </w:p>
        </w:tc>
        <w:tc>
          <w:tcPr>
            <w:tcW w:w="826" w:type="pct"/>
            <w:noWrap w:val="0"/>
            <w:vAlign w:val="center"/>
          </w:tcPr>
          <w:p w14:paraId="0DE0EAC9">
            <w:pPr>
              <w:ind w:left="63" w:right="63"/>
              <w:rPr>
                <w:rFonts w:hint="eastAsia" w:ascii="宋体" w:hAnsi="宋体" w:eastAsia="宋体" w:cs="宋体"/>
                <w:color w:val="auto"/>
                <w:sz w:val="21"/>
                <w:szCs w:val="21"/>
              </w:rPr>
            </w:pPr>
          </w:p>
        </w:tc>
      </w:tr>
      <w:tr w14:paraId="7D0A0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249A9AD3">
            <w:pPr>
              <w:widowControl/>
              <w:jc w:val="center"/>
              <w:rPr>
                <w:rFonts w:hint="eastAsia" w:ascii="宋体" w:hAnsi="宋体" w:eastAsia="宋体" w:cs="宋体"/>
                <w:color w:val="auto"/>
                <w:kern w:val="0"/>
                <w:sz w:val="21"/>
                <w:szCs w:val="21"/>
              </w:rPr>
            </w:pPr>
          </w:p>
        </w:tc>
        <w:tc>
          <w:tcPr>
            <w:tcW w:w="1301" w:type="pct"/>
            <w:noWrap w:val="0"/>
            <w:vAlign w:val="center"/>
          </w:tcPr>
          <w:p w14:paraId="141FED4E">
            <w:pPr>
              <w:widowControl/>
              <w:rPr>
                <w:rFonts w:hint="eastAsia" w:ascii="宋体" w:hAnsi="宋体" w:eastAsia="宋体" w:cs="宋体"/>
                <w:color w:val="auto"/>
                <w:kern w:val="0"/>
                <w:sz w:val="21"/>
                <w:szCs w:val="21"/>
              </w:rPr>
            </w:pPr>
          </w:p>
        </w:tc>
        <w:tc>
          <w:tcPr>
            <w:tcW w:w="440" w:type="pct"/>
            <w:noWrap w:val="0"/>
            <w:vAlign w:val="center"/>
          </w:tcPr>
          <w:p w14:paraId="784CD3C7">
            <w:pPr>
              <w:widowControl/>
              <w:jc w:val="center"/>
              <w:rPr>
                <w:rFonts w:hint="eastAsia" w:ascii="宋体" w:hAnsi="宋体" w:eastAsia="宋体" w:cs="宋体"/>
                <w:color w:val="auto"/>
                <w:kern w:val="0"/>
                <w:sz w:val="21"/>
                <w:szCs w:val="21"/>
              </w:rPr>
            </w:pPr>
          </w:p>
        </w:tc>
        <w:tc>
          <w:tcPr>
            <w:tcW w:w="415" w:type="pct"/>
            <w:noWrap w:val="0"/>
            <w:vAlign w:val="center"/>
          </w:tcPr>
          <w:p w14:paraId="4D08F27B">
            <w:pPr>
              <w:widowControl/>
              <w:jc w:val="center"/>
              <w:rPr>
                <w:rFonts w:hint="eastAsia" w:ascii="宋体" w:hAnsi="宋体" w:eastAsia="宋体" w:cs="宋体"/>
                <w:color w:val="auto"/>
                <w:kern w:val="0"/>
                <w:sz w:val="21"/>
                <w:szCs w:val="21"/>
              </w:rPr>
            </w:pPr>
          </w:p>
        </w:tc>
        <w:tc>
          <w:tcPr>
            <w:tcW w:w="724" w:type="pct"/>
            <w:noWrap w:val="0"/>
            <w:vAlign w:val="center"/>
          </w:tcPr>
          <w:p w14:paraId="23BF7983">
            <w:pPr>
              <w:widowControl/>
              <w:jc w:val="center"/>
              <w:rPr>
                <w:rFonts w:hint="eastAsia" w:ascii="宋体" w:hAnsi="宋体" w:eastAsia="宋体" w:cs="宋体"/>
                <w:color w:val="auto"/>
                <w:kern w:val="0"/>
                <w:sz w:val="21"/>
                <w:szCs w:val="21"/>
              </w:rPr>
            </w:pPr>
          </w:p>
        </w:tc>
        <w:tc>
          <w:tcPr>
            <w:tcW w:w="760" w:type="pct"/>
            <w:noWrap w:val="0"/>
            <w:vAlign w:val="center"/>
          </w:tcPr>
          <w:p w14:paraId="703056D0">
            <w:pPr>
              <w:ind w:left="63" w:right="63"/>
              <w:rPr>
                <w:rFonts w:hint="eastAsia" w:ascii="宋体" w:hAnsi="宋体" w:eastAsia="宋体" w:cs="宋体"/>
                <w:color w:val="auto"/>
                <w:sz w:val="21"/>
                <w:szCs w:val="21"/>
              </w:rPr>
            </w:pPr>
          </w:p>
        </w:tc>
        <w:tc>
          <w:tcPr>
            <w:tcW w:w="826" w:type="pct"/>
            <w:noWrap w:val="0"/>
            <w:vAlign w:val="center"/>
          </w:tcPr>
          <w:p w14:paraId="2B09ED23">
            <w:pPr>
              <w:ind w:left="63" w:right="63"/>
              <w:rPr>
                <w:rFonts w:hint="eastAsia" w:ascii="宋体" w:hAnsi="宋体" w:eastAsia="宋体" w:cs="宋体"/>
                <w:color w:val="auto"/>
                <w:sz w:val="21"/>
                <w:szCs w:val="21"/>
              </w:rPr>
            </w:pPr>
          </w:p>
        </w:tc>
      </w:tr>
      <w:tr w14:paraId="31229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7FB718EC">
            <w:pPr>
              <w:widowControl/>
              <w:jc w:val="center"/>
              <w:rPr>
                <w:rFonts w:hint="eastAsia" w:ascii="宋体" w:hAnsi="宋体" w:eastAsia="宋体" w:cs="宋体"/>
                <w:color w:val="auto"/>
                <w:kern w:val="0"/>
                <w:sz w:val="21"/>
                <w:szCs w:val="21"/>
              </w:rPr>
            </w:pPr>
          </w:p>
        </w:tc>
        <w:tc>
          <w:tcPr>
            <w:tcW w:w="1301" w:type="pct"/>
            <w:noWrap w:val="0"/>
            <w:vAlign w:val="center"/>
          </w:tcPr>
          <w:p w14:paraId="0778AE47">
            <w:pPr>
              <w:widowControl/>
              <w:rPr>
                <w:rFonts w:hint="eastAsia" w:ascii="宋体" w:hAnsi="宋体" w:eastAsia="宋体" w:cs="宋体"/>
                <w:color w:val="auto"/>
                <w:kern w:val="0"/>
                <w:sz w:val="21"/>
                <w:szCs w:val="21"/>
              </w:rPr>
            </w:pPr>
          </w:p>
        </w:tc>
        <w:tc>
          <w:tcPr>
            <w:tcW w:w="440" w:type="pct"/>
            <w:noWrap w:val="0"/>
            <w:vAlign w:val="center"/>
          </w:tcPr>
          <w:p w14:paraId="34507571">
            <w:pPr>
              <w:widowControl/>
              <w:jc w:val="center"/>
              <w:rPr>
                <w:rFonts w:hint="eastAsia" w:ascii="宋体" w:hAnsi="宋体" w:eastAsia="宋体" w:cs="宋体"/>
                <w:color w:val="auto"/>
                <w:kern w:val="0"/>
                <w:sz w:val="21"/>
                <w:szCs w:val="21"/>
              </w:rPr>
            </w:pPr>
          </w:p>
        </w:tc>
        <w:tc>
          <w:tcPr>
            <w:tcW w:w="415" w:type="pct"/>
            <w:noWrap w:val="0"/>
            <w:vAlign w:val="center"/>
          </w:tcPr>
          <w:p w14:paraId="21542389">
            <w:pPr>
              <w:widowControl/>
              <w:jc w:val="center"/>
              <w:rPr>
                <w:rFonts w:hint="eastAsia" w:ascii="宋体" w:hAnsi="宋体" w:eastAsia="宋体" w:cs="宋体"/>
                <w:color w:val="auto"/>
                <w:kern w:val="0"/>
                <w:sz w:val="21"/>
                <w:szCs w:val="21"/>
              </w:rPr>
            </w:pPr>
          </w:p>
        </w:tc>
        <w:tc>
          <w:tcPr>
            <w:tcW w:w="724" w:type="pct"/>
            <w:noWrap w:val="0"/>
            <w:vAlign w:val="center"/>
          </w:tcPr>
          <w:p w14:paraId="5E54D937">
            <w:pPr>
              <w:widowControl/>
              <w:jc w:val="center"/>
              <w:rPr>
                <w:rFonts w:hint="eastAsia" w:ascii="宋体" w:hAnsi="宋体" w:eastAsia="宋体" w:cs="宋体"/>
                <w:color w:val="auto"/>
                <w:kern w:val="0"/>
                <w:sz w:val="21"/>
                <w:szCs w:val="21"/>
              </w:rPr>
            </w:pPr>
          </w:p>
        </w:tc>
        <w:tc>
          <w:tcPr>
            <w:tcW w:w="760" w:type="pct"/>
            <w:noWrap w:val="0"/>
            <w:vAlign w:val="center"/>
          </w:tcPr>
          <w:p w14:paraId="495E1315">
            <w:pPr>
              <w:ind w:left="63" w:right="63"/>
              <w:rPr>
                <w:rFonts w:hint="eastAsia" w:ascii="宋体" w:hAnsi="宋体" w:eastAsia="宋体" w:cs="宋体"/>
                <w:color w:val="auto"/>
                <w:sz w:val="21"/>
                <w:szCs w:val="21"/>
              </w:rPr>
            </w:pPr>
          </w:p>
        </w:tc>
        <w:tc>
          <w:tcPr>
            <w:tcW w:w="826" w:type="pct"/>
            <w:noWrap w:val="0"/>
            <w:vAlign w:val="center"/>
          </w:tcPr>
          <w:p w14:paraId="554CF94A">
            <w:pPr>
              <w:ind w:left="63" w:right="63"/>
              <w:rPr>
                <w:rFonts w:hint="eastAsia" w:ascii="宋体" w:hAnsi="宋体" w:eastAsia="宋体" w:cs="宋体"/>
                <w:color w:val="auto"/>
                <w:sz w:val="21"/>
                <w:szCs w:val="21"/>
              </w:rPr>
            </w:pPr>
          </w:p>
        </w:tc>
      </w:tr>
      <w:tr w14:paraId="3ED49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0D21B591">
            <w:pPr>
              <w:widowControl/>
              <w:jc w:val="center"/>
              <w:rPr>
                <w:rFonts w:hint="eastAsia" w:ascii="宋体" w:hAnsi="宋体" w:eastAsia="宋体" w:cs="宋体"/>
                <w:color w:val="auto"/>
                <w:kern w:val="0"/>
                <w:sz w:val="21"/>
                <w:szCs w:val="21"/>
              </w:rPr>
            </w:pPr>
          </w:p>
        </w:tc>
        <w:tc>
          <w:tcPr>
            <w:tcW w:w="1301" w:type="pct"/>
            <w:noWrap w:val="0"/>
            <w:vAlign w:val="center"/>
          </w:tcPr>
          <w:p w14:paraId="12EB113E">
            <w:pPr>
              <w:widowControl/>
              <w:rPr>
                <w:rFonts w:hint="eastAsia" w:ascii="宋体" w:hAnsi="宋体" w:eastAsia="宋体" w:cs="宋体"/>
                <w:color w:val="auto"/>
                <w:kern w:val="0"/>
                <w:sz w:val="21"/>
                <w:szCs w:val="21"/>
              </w:rPr>
            </w:pPr>
          </w:p>
        </w:tc>
        <w:tc>
          <w:tcPr>
            <w:tcW w:w="440" w:type="pct"/>
            <w:noWrap w:val="0"/>
            <w:vAlign w:val="center"/>
          </w:tcPr>
          <w:p w14:paraId="2D3C1B43">
            <w:pPr>
              <w:widowControl/>
              <w:jc w:val="center"/>
              <w:rPr>
                <w:rFonts w:hint="eastAsia" w:ascii="宋体" w:hAnsi="宋体" w:eastAsia="宋体" w:cs="宋体"/>
                <w:color w:val="auto"/>
                <w:kern w:val="0"/>
                <w:sz w:val="21"/>
                <w:szCs w:val="21"/>
              </w:rPr>
            </w:pPr>
          </w:p>
        </w:tc>
        <w:tc>
          <w:tcPr>
            <w:tcW w:w="415" w:type="pct"/>
            <w:noWrap w:val="0"/>
            <w:vAlign w:val="center"/>
          </w:tcPr>
          <w:p w14:paraId="4FB699C8">
            <w:pPr>
              <w:widowControl/>
              <w:jc w:val="center"/>
              <w:rPr>
                <w:rFonts w:hint="eastAsia" w:ascii="宋体" w:hAnsi="宋体" w:eastAsia="宋体" w:cs="宋体"/>
                <w:color w:val="auto"/>
                <w:kern w:val="0"/>
                <w:sz w:val="21"/>
                <w:szCs w:val="21"/>
              </w:rPr>
            </w:pPr>
          </w:p>
        </w:tc>
        <w:tc>
          <w:tcPr>
            <w:tcW w:w="724" w:type="pct"/>
            <w:noWrap w:val="0"/>
            <w:vAlign w:val="center"/>
          </w:tcPr>
          <w:p w14:paraId="422FFDEA">
            <w:pPr>
              <w:widowControl/>
              <w:jc w:val="center"/>
              <w:rPr>
                <w:rFonts w:hint="eastAsia" w:ascii="宋体" w:hAnsi="宋体" w:eastAsia="宋体" w:cs="宋体"/>
                <w:color w:val="auto"/>
                <w:kern w:val="0"/>
                <w:sz w:val="21"/>
                <w:szCs w:val="21"/>
              </w:rPr>
            </w:pPr>
          </w:p>
        </w:tc>
        <w:tc>
          <w:tcPr>
            <w:tcW w:w="760" w:type="pct"/>
            <w:noWrap w:val="0"/>
            <w:vAlign w:val="center"/>
          </w:tcPr>
          <w:p w14:paraId="53B4CCFB">
            <w:pPr>
              <w:ind w:left="63" w:right="63"/>
              <w:rPr>
                <w:rFonts w:hint="eastAsia" w:ascii="宋体" w:hAnsi="宋体" w:eastAsia="宋体" w:cs="宋体"/>
                <w:color w:val="auto"/>
                <w:sz w:val="21"/>
                <w:szCs w:val="21"/>
              </w:rPr>
            </w:pPr>
          </w:p>
        </w:tc>
        <w:tc>
          <w:tcPr>
            <w:tcW w:w="826" w:type="pct"/>
            <w:noWrap w:val="0"/>
            <w:vAlign w:val="center"/>
          </w:tcPr>
          <w:p w14:paraId="7BB72CB8">
            <w:pPr>
              <w:ind w:left="63" w:right="63"/>
              <w:rPr>
                <w:rFonts w:hint="eastAsia" w:ascii="宋体" w:hAnsi="宋体" w:eastAsia="宋体" w:cs="宋体"/>
                <w:color w:val="auto"/>
                <w:sz w:val="21"/>
                <w:szCs w:val="21"/>
              </w:rPr>
            </w:pPr>
          </w:p>
        </w:tc>
      </w:tr>
      <w:tr w14:paraId="3F94C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33CE26C2">
            <w:pPr>
              <w:widowControl/>
              <w:jc w:val="center"/>
              <w:rPr>
                <w:rFonts w:hint="eastAsia" w:ascii="宋体" w:hAnsi="宋体" w:eastAsia="宋体" w:cs="宋体"/>
                <w:color w:val="auto"/>
                <w:kern w:val="0"/>
                <w:sz w:val="21"/>
                <w:szCs w:val="21"/>
              </w:rPr>
            </w:pPr>
          </w:p>
        </w:tc>
        <w:tc>
          <w:tcPr>
            <w:tcW w:w="1301" w:type="pct"/>
            <w:noWrap w:val="0"/>
            <w:vAlign w:val="center"/>
          </w:tcPr>
          <w:p w14:paraId="347A2D06">
            <w:pPr>
              <w:widowControl/>
              <w:rPr>
                <w:rFonts w:hint="eastAsia" w:ascii="宋体" w:hAnsi="宋体" w:eastAsia="宋体" w:cs="宋体"/>
                <w:color w:val="auto"/>
                <w:kern w:val="0"/>
                <w:sz w:val="21"/>
                <w:szCs w:val="21"/>
              </w:rPr>
            </w:pPr>
          </w:p>
        </w:tc>
        <w:tc>
          <w:tcPr>
            <w:tcW w:w="440" w:type="pct"/>
            <w:noWrap w:val="0"/>
            <w:vAlign w:val="center"/>
          </w:tcPr>
          <w:p w14:paraId="778DA90E">
            <w:pPr>
              <w:widowControl/>
              <w:jc w:val="center"/>
              <w:rPr>
                <w:rFonts w:hint="eastAsia" w:ascii="宋体" w:hAnsi="宋体" w:eastAsia="宋体" w:cs="宋体"/>
                <w:color w:val="auto"/>
                <w:kern w:val="0"/>
                <w:sz w:val="21"/>
                <w:szCs w:val="21"/>
              </w:rPr>
            </w:pPr>
          </w:p>
        </w:tc>
        <w:tc>
          <w:tcPr>
            <w:tcW w:w="415" w:type="pct"/>
            <w:noWrap w:val="0"/>
            <w:vAlign w:val="center"/>
          </w:tcPr>
          <w:p w14:paraId="09F59DE1">
            <w:pPr>
              <w:widowControl/>
              <w:jc w:val="center"/>
              <w:rPr>
                <w:rFonts w:hint="eastAsia" w:ascii="宋体" w:hAnsi="宋体" w:eastAsia="宋体" w:cs="宋体"/>
                <w:color w:val="auto"/>
                <w:kern w:val="0"/>
                <w:sz w:val="21"/>
                <w:szCs w:val="21"/>
              </w:rPr>
            </w:pPr>
          </w:p>
        </w:tc>
        <w:tc>
          <w:tcPr>
            <w:tcW w:w="724" w:type="pct"/>
            <w:noWrap w:val="0"/>
            <w:vAlign w:val="center"/>
          </w:tcPr>
          <w:p w14:paraId="5E3CA7B3">
            <w:pPr>
              <w:widowControl/>
              <w:jc w:val="center"/>
              <w:rPr>
                <w:rFonts w:hint="eastAsia" w:ascii="宋体" w:hAnsi="宋体" w:eastAsia="宋体" w:cs="宋体"/>
                <w:color w:val="auto"/>
                <w:kern w:val="0"/>
                <w:sz w:val="21"/>
                <w:szCs w:val="21"/>
              </w:rPr>
            </w:pPr>
          </w:p>
        </w:tc>
        <w:tc>
          <w:tcPr>
            <w:tcW w:w="760" w:type="pct"/>
            <w:noWrap w:val="0"/>
            <w:vAlign w:val="center"/>
          </w:tcPr>
          <w:p w14:paraId="4EE8055F">
            <w:pPr>
              <w:ind w:left="63" w:right="63"/>
              <w:rPr>
                <w:rFonts w:hint="eastAsia" w:ascii="宋体" w:hAnsi="宋体" w:eastAsia="宋体" w:cs="宋体"/>
                <w:color w:val="auto"/>
                <w:sz w:val="21"/>
                <w:szCs w:val="21"/>
              </w:rPr>
            </w:pPr>
          </w:p>
        </w:tc>
        <w:tc>
          <w:tcPr>
            <w:tcW w:w="826" w:type="pct"/>
            <w:noWrap w:val="0"/>
            <w:vAlign w:val="center"/>
          </w:tcPr>
          <w:p w14:paraId="7C7887FE">
            <w:pPr>
              <w:ind w:left="63" w:right="63"/>
              <w:rPr>
                <w:rFonts w:hint="eastAsia" w:ascii="宋体" w:hAnsi="宋体" w:eastAsia="宋体" w:cs="宋体"/>
                <w:color w:val="auto"/>
                <w:sz w:val="21"/>
                <w:szCs w:val="21"/>
              </w:rPr>
            </w:pPr>
          </w:p>
        </w:tc>
      </w:tr>
      <w:tr w14:paraId="70806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26C5024B">
            <w:pPr>
              <w:widowControl/>
              <w:jc w:val="center"/>
              <w:rPr>
                <w:rFonts w:hint="eastAsia" w:ascii="宋体" w:hAnsi="宋体" w:eastAsia="宋体" w:cs="宋体"/>
                <w:color w:val="auto"/>
                <w:kern w:val="0"/>
                <w:sz w:val="21"/>
                <w:szCs w:val="21"/>
              </w:rPr>
            </w:pPr>
          </w:p>
        </w:tc>
        <w:tc>
          <w:tcPr>
            <w:tcW w:w="1301" w:type="pct"/>
            <w:noWrap w:val="0"/>
            <w:vAlign w:val="center"/>
          </w:tcPr>
          <w:p w14:paraId="154DC8AC">
            <w:pPr>
              <w:widowControl/>
              <w:rPr>
                <w:rFonts w:hint="eastAsia" w:ascii="宋体" w:hAnsi="宋体" w:eastAsia="宋体" w:cs="宋体"/>
                <w:color w:val="auto"/>
                <w:kern w:val="0"/>
                <w:sz w:val="21"/>
                <w:szCs w:val="21"/>
              </w:rPr>
            </w:pPr>
          </w:p>
        </w:tc>
        <w:tc>
          <w:tcPr>
            <w:tcW w:w="440" w:type="pct"/>
            <w:noWrap w:val="0"/>
            <w:vAlign w:val="center"/>
          </w:tcPr>
          <w:p w14:paraId="231B8F5A">
            <w:pPr>
              <w:widowControl/>
              <w:jc w:val="center"/>
              <w:rPr>
                <w:rFonts w:hint="eastAsia" w:ascii="宋体" w:hAnsi="宋体" w:eastAsia="宋体" w:cs="宋体"/>
                <w:color w:val="auto"/>
                <w:kern w:val="0"/>
                <w:sz w:val="21"/>
                <w:szCs w:val="21"/>
              </w:rPr>
            </w:pPr>
          </w:p>
        </w:tc>
        <w:tc>
          <w:tcPr>
            <w:tcW w:w="415" w:type="pct"/>
            <w:noWrap w:val="0"/>
            <w:vAlign w:val="center"/>
          </w:tcPr>
          <w:p w14:paraId="09145403">
            <w:pPr>
              <w:widowControl/>
              <w:jc w:val="center"/>
              <w:rPr>
                <w:rFonts w:hint="eastAsia" w:ascii="宋体" w:hAnsi="宋体" w:eastAsia="宋体" w:cs="宋体"/>
                <w:color w:val="auto"/>
                <w:kern w:val="0"/>
                <w:sz w:val="21"/>
                <w:szCs w:val="21"/>
              </w:rPr>
            </w:pPr>
          </w:p>
        </w:tc>
        <w:tc>
          <w:tcPr>
            <w:tcW w:w="724" w:type="pct"/>
            <w:noWrap w:val="0"/>
            <w:vAlign w:val="center"/>
          </w:tcPr>
          <w:p w14:paraId="3BFA5E27">
            <w:pPr>
              <w:widowControl/>
              <w:jc w:val="center"/>
              <w:rPr>
                <w:rFonts w:hint="eastAsia" w:ascii="宋体" w:hAnsi="宋体" w:eastAsia="宋体" w:cs="宋体"/>
                <w:color w:val="auto"/>
                <w:kern w:val="0"/>
                <w:sz w:val="21"/>
                <w:szCs w:val="21"/>
              </w:rPr>
            </w:pPr>
          </w:p>
        </w:tc>
        <w:tc>
          <w:tcPr>
            <w:tcW w:w="760" w:type="pct"/>
            <w:noWrap w:val="0"/>
            <w:vAlign w:val="center"/>
          </w:tcPr>
          <w:p w14:paraId="2C201639">
            <w:pPr>
              <w:ind w:left="63" w:right="63"/>
              <w:rPr>
                <w:rFonts w:hint="eastAsia" w:ascii="宋体" w:hAnsi="宋体" w:eastAsia="宋体" w:cs="宋体"/>
                <w:color w:val="auto"/>
                <w:sz w:val="21"/>
                <w:szCs w:val="21"/>
              </w:rPr>
            </w:pPr>
          </w:p>
        </w:tc>
        <w:tc>
          <w:tcPr>
            <w:tcW w:w="826" w:type="pct"/>
            <w:noWrap w:val="0"/>
            <w:vAlign w:val="center"/>
          </w:tcPr>
          <w:p w14:paraId="032A9ABE">
            <w:pPr>
              <w:ind w:left="63" w:right="63"/>
              <w:rPr>
                <w:rFonts w:hint="eastAsia" w:ascii="宋体" w:hAnsi="宋体" w:eastAsia="宋体" w:cs="宋体"/>
                <w:color w:val="auto"/>
                <w:sz w:val="21"/>
                <w:szCs w:val="21"/>
              </w:rPr>
            </w:pPr>
          </w:p>
        </w:tc>
      </w:tr>
      <w:tr w14:paraId="3D18F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6BF1081E">
            <w:pPr>
              <w:widowControl/>
              <w:jc w:val="center"/>
              <w:rPr>
                <w:rFonts w:hint="eastAsia" w:ascii="宋体" w:hAnsi="宋体" w:eastAsia="宋体" w:cs="宋体"/>
                <w:color w:val="auto"/>
                <w:kern w:val="0"/>
                <w:sz w:val="21"/>
                <w:szCs w:val="21"/>
              </w:rPr>
            </w:pPr>
          </w:p>
        </w:tc>
        <w:tc>
          <w:tcPr>
            <w:tcW w:w="1301" w:type="pct"/>
            <w:noWrap w:val="0"/>
            <w:vAlign w:val="center"/>
          </w:tcPr>
          <w:p w14:paraId="7F30381D">
            <w:pPr>
              <w:widowControl/>
              <w:rPr>
                <w:rFonts w:hint="eastAsia" w:ascii="宋体" w:hAnsi="宋体" w:eastAsia="宋体" w:cs="宋体"/>
                <w:color w:val="auto"/>
                <w:kern w:val="0"/>
                <w:sz w:val="21"/>
                <w:szCs w:val="21"/>
              </w:rPr>
            </w:pPr>
          </w:p>
        </w:tc>
        <w:tc>
          <w:tcPr>
            <w:tcW w:w="440" w:type="pct"/>
            <w:noWrap w:val="0"/>
            <w:vAlign w:val="center"/>
          </w:tcPr>
          <w:p w14:paraId="79A53E71">
            <w:pPr>
              <w:widowControl/>
              <w:jc w:val="center"/>
              <w:rPr>
                <w:rFonts w:hint="eastAsia" w:ascii="宋体" w:hAnsi="宋体" w:eastAsia="宋体" w:cs="宋体"/>
                <w:color w:val="auto"/>
                <w:kern w:val="0"/>
                <w:sz w:val="21"/>
                <w:szCs w:val="21"/>
              </w:rPr>
            </w:pPr>
          </w:p>
        </w:tc>
        <w:tc>
          <w:tcPr>
            <w:tcW w:w="415" w:type="pct"/>
            <w:noWrap w:val="0"/>
            <w:vAlign w:val="center"/>
          </w:tcPr>
          <w:p w14:paraId="735D36B1">
            <w:pPr>
              <w:widowControl/>
              <w:jc w:val="center"/>
              <w:rPr>
                <w:rFonts w:hint="eastAsia" w:ascii="宋体" w:hAnsi="宋体" w:eastAsia="宋体" w:cs="宋体"/>
                <w:color w:val="auto"/>
                <w:kern w:val="0"/>
                <w:sz w:val="21"/>
                <w:szCs w:val="21"/>
              </w:rPr>
            </w:pPr>
          </w:p>
        </w:tc>
        <w:tc>
          <w:tcPr>
            <w:tcW w:w="724" w:type="pct"/>
            <w:noWrap w:val="0"/>
            <w:vAlign w:val="center"/>
          </w:tcPr>
          <w:p w14:paraId="58CF30AA">
            <w:pPr>
              <w:widowControl/>
              <w:jc w:val="center"/>
              <w:rPr>
                <w:rFonts w:hint="eastAsia" w:ascii="宋体" w:hAnsi="宋体" w:eastAsia="宋体" w:cs="宋体"/>
                <w:color w:val="auto"/>
                <w:kern w:val="0"/>
                <w:sz w:val="21"/>
                <w:szCs w:val="21"/>
              </w:rPr>
            </w:pPr>
          </w:p>
        </w:tc>
        <w:tc>
          <w:tcPr>
            <w:tcW w:w="760" w:type="pct"/>
            <w:noWrap w:val="0"/>
            <w:vAlign w:val="center"/>
          </w:tcPr>
          <w:p w14:paraId="4706FD17">
            <w:pPr>
              <w:ind w:left="63" w:right="63"/>
              <w:rPr>
                <w:rFonts w:hint="eastAsia" w:ascii="宋体" w:hAnsi="宋体" w:eastAsia="宋体" w:cs="宋体"/>
                <w:color w:val="auto"/>
                <w:sz w:val="21"/>
                <w:szCs w:val="21"/>
              </w:rPr>
            </w:pPr>
          </w:p>
        </w:tc>
        <w:tc>
          <w:tcPr>
            <w:tcW w:w="826" w:type="pct"/>
            <w:noWrap w:val="0"/>
            <w:vAlign w:val="center"/>
          </w:tcPr>
          <w:p w14:paraId="764F9D93">
            <w:pPr>
              <w:ind w:left="63" w:right="63"/>
              <w:rPr>
                <w:rFonts w:hint="eastAsia" w:ascii="宋体" w:hAnsi="宋体" w:eastAsia="宋体" w:cs="宋体"/>
                <w:color w:val="auto"/>
                <w:sz w:val="21"/>
                <w:szCs w:val="21"/>
              </w:rPr>
            </w:pPr>
          </w:p>
        </w:tc>
      </w:tr>
      <w:tr w14:paraId="6F636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5FB1C865">
            <w:pPr>
              <w:widowControl/>
              <w:jc w:val="center"/>
              <w:rPr>
                <w:rFonts w:hint="eastAsia" w:ascii="宋体" w:hAnsi="宋体" w:eastAsia="宋体" w:cs="宋体"/>
                <w:color w:val="auto"/>
                <w:kern w:val="0"/>
                <w:sz w:val="21"/>
                <w:szCs w:val="21"/>
              </w:rPr>
            </w:pPr>
          </w:p>
        </w:tc>
        <w:tc>
          <w:tcPr>
            <w:tcW w:w="1301" w:type="pct"/>
            <w:noWrap w:val="0"/>
            <w:vAlign w:val="center"/>
          </w:tcPr>
          <w:p w14:paraId="7AEE5130">
            <w:pPr>
              <w:widowControl/>
              <w:rPr>
                <w:rFonts w:hint="eastAsia" w:ascii="宋体" w:hAnsi="宋体" w:eastAsia="宋体" w:cs="宋体"/>
                <w:color w:val="auto"/>
                <w:kern w:val="0"/>
                <w:sz w:val="21"/>
                <w:szCs w:val="21"/>
              </w:rPr>
            </w:pPr>
          </w:p>
        </w:tc>
        <w:tc>
          <w:tcPr>
            <w:tcW w:w="440" w:type="pct"/>
            <w:noWrap w:val="0"/>
            <w:vAlign w:val="center"/>
          </w:tcPr>
          <w:p w14:paraId="4737EEBB">
            <w:pPr>
              <w:widowControl/>
              <w:jc w:val="center"/>
              <w:rPr>
                <w:rFonts w:hint="eastAsia" w:ascii="宋体" w:hAnsi="宋体" w:eastAsia="宋体" w:cs="宋体"/>
                <w:color w:val="auto"/>
                <w:kern w:val="0"/>
                <w:sz w:val="21"/>
                <w:szCs w:val="21"/>
              </w:rPr>
            </w:pPr>
          </w:p>
        </w:tc>
        <w:tc>
          <w:tcPr>
            <w:tcW w:w="415" w:type="pct"/>
            <w:noWrap w:val="0"/>
            <w:vAlign w:val="center"/>
          </w:tcPr>
          <w:p w14:paraId="47A930B9">
            <w:pPr>
              <w:widowControl/>
              <w:jc w:val="center"/>
              <w:rPr>
                <w:rFonts w:hint="eastAsia" w:ascii="宋体" w:hAnsi="宋体" w:eastAsia="宋体" w:cs="宋体"/>
                <w:color w:val="auto"/>
                <w:kern w:val="0"/>
                <w:sz w:val="21"/>
                <w:szCs w:val="21"/>
              </w:rPr>
            </w:pPr>
          </w:p>
        </w:tc>
        <w:tc>
          <w:tcPr>
            <w:tcW w:w="724" w:type="pct"/>
            <w:noWrap w:val="0"/>
            <w:vAlign w:val="center"/>
          </w:tcPr>
          <w:p w14:paraId="5E10116A">
            <w:pPr>
              <w:widowControl/>
              <w:jc w:val="center"/>
              <w:rPr>
                <w:rFonts w:hint="eastAsia" w:ascii="宋体" w:hAnsi="宋体" w:eastAsia="宋体" w:cs="宋体"/>
                <w:color w:val="auto"/>
                <w:kern w:val="0"/>
                <w:sz w:val="21"/>
                <w:szCs w:val="21"/>
              </w:rPr>
            </w:pPr>
          </w:p>
        </w:tc>
        <w:tc>
          <w:tcPr>
            <w:tcW w:w="760" w:type="pct"/>
            <w:noWrap w:val="0"/>
            <w:vAlign w:val="center"/>
          </w:tcPr>
          <w:p w14:paraId="5DFF2C13">
            <w:pPr>
              <w:ind w:left="63" w:right="63"/>
              <w:rPr>
                <w:rFonts w:hint="eastAsia" w:ascii="宋体" w:hAnsi="宋体" w:eastAsia="宋体" w:cs="宋体"/>
                <w:color w:val="auto"/>
                <w:sz w:val="21"/>
                <w:szCs w:val="21"/>
              </w:rPr>
            </w:pPr>
          </w:p>
        </w:tc>
        <w:tc>
          <w:tcPr>
            <w:tcW w:w="826" w:type="pct"/>
            <w:noWrap w:val="0"/>
            <w:vAlign w:val="center"/>
          </w:tcPr>
          <w:p w14:paraId="33E9923E">
            <w:pPr>
              <w:ind w:left="63" w:right="63"/>
              <w:rPr>
                <w:rFonts w:hint="eastAsia" w:ascii="宋体" w:hAnsi="宋体" w:eastAsia="宋体" w:cs="宋体"/>
                <w:color w:val="auto"/>
                <w:sz w:val="21"/>
                <w:szCs w:val="21"/>
              </w:rPr>
            </w:pPr>
          </w:p>
        </w:tc>
      </w:tr>
      <w:tr w14:paraId="210AB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66B33284">
            <w:pPr>
              <w:widowControl/>
              <w:jc w:val="center"/>
              <w:rPr>
                <w:rFonts w:hint="eastAsia" w:ascii="宋体" w:hAnsi="宋体" w:eastAsia="宋体" w:cs="宋体"/>
                <w:color w:val="auto"/>
                <w:kern w:val="0"/>
                <w:sz w:val="21"/>
                <w:szCs w:val="21"/>
              </w:rPr>
            </w:pPr>
          </w:p>
        </w:tc>
        <w:tc>
          <w:tcPr>
            <w:tcW w:w="1301" w:type="pct"/>
            <w:noWrap w:val="0"/>
            <w:vAlign w:val="center"/>
          </w:tcPr>
          <w:p w14:paraId="700BC458">
            <w:pPr>
              <w:widowControl/>
              <w:rPr>
                <w:rFonts w:hint="eastAsia" w:ascii="宋体" w:hAnsi="宋体" w:eastAsia="宋体" w:cs="宋体"/>
                <w:color w:val="auto"/>
                <w:kern w:val="0"/>
                <w:sz w:val="21"/>
                <w:szCs w:val="21"/>
              </w:rPr>
            </w:pPr>
          </w:p>
        </w:tc>
        <w:tc>
          <w:tcPr>
            <w:tcW w:w="440" w:type="pct"/>
            <w:noWrap w:val="0"/>
            <w:vAlign w:val="center"/>
          </w:tcPr>
          <w:p w14:paraId="15DF92BB">
            <w:pPr>
              <w:widowControl/>
              <w:jc w:val="center"/>
              <w:rPr>
                <w:rFonts w:hint="eastAsia" w:ascii="宋体" w:hAnsi="宋体" w:eastAsia="宋体" w:cs="宋体"/>
                <w:color w:val="auto"/>
                <w:kern w:val="0"/>
                <w:sz w:val="21"/>
                <w:szCs w:val="21"/>
              </w:rPr>
            </w:pPr>
          </w:p>
        </w:tc>
        <w:tc>
          <w:tcPr>
            <w:tcW w:w="415" w:type="pct"/>
            <w:noWrap w:val="0"/>
            <w:vAlign w:val="center"/>
          </w:tcPr>
          <w:p w14:paraId="0C4865FE">
            <w:pPr>
              <w:widowControl/>
              <w:jc w:val="center"/>
              <w:rPr>
                <w:rFonts w:hint="eastAsia" w:ascii="宋体" w:hAnsi="宋体" w:eastAsia="宋体" w:cs="宋体"/>
                <w:color w:val="auto"/>
                <w:kern w:val="0"/>
                <w:sz w:val="21"/>
                <w:szCs w:val="21"/>
              </w:rPr>
            </w:pPr>
          </w:p>
        </w:tc>
        <w:tc>
          <w:tcPr>
            <w:tcW w:w="724" w:type="pct"/>
            <w:noWrap w:val="0"/>
            <w:vAlign w:val="center"/>
          </w:tcPr>
          <w:p w14:paraId="7D75E3C5">
            <w:pPr>
              <w:widowControl/>
              <w:jc w:val="center"/>
              <w:rPr>
                <w:rFonts w:hint="eastAsia" w:ascii="宋体" w:hAnsi="宋体" w:eastAsia="宋体" w:cs="宋体"/>
                <w:color w:val="auto"/>
                <w:kern w:val="0"/>
                <w:sz w:val="21"/>
                <w:szCs w:val="21"/>
              </w:rPr>
            </w:pPr>
          </w:p>
        </w:tc>
        <w:tc>
          <w:tcPr>
            <w:tcW w:w="760" w:type="pct"/>
            <w:noWrap w:val="0"/>
            <w:vAlign w:val="center"/>
          </w:tcPr>
          <w:p w14:paraId="6F7E277C">
            <w:pPr>
              <w:ind w:left="63" w:right="63"/>
              <w:rPr>
                <w:rFonts w:hint="eastAsia" w:ascii="宋体" w:hAnsi="宋体" w:eastAsia="宋体" w:cs="宋体"/>
                <w:color w:val="auto"/>
                <w:sz w:val="21"/>
                <w:szCs w:val="21"/>
              </w:rPr>
            </w:pPr>
          </w:p>
        </w:tc>
        <w:tc>
          <w:tcPr>
            <w:tcW w:w="826" w:type="pct"/>
            <w:noWrap w:val="0"/>
            <w:vAlign w:val="center"/>
          </w:tcPr>
          <w:p w14:paraId="197D03BA">
            <w:pPr>
              <w:ind w:left="63" w:right="63"/>
              <w:rPr>
                <w:rFonts w:hint="eastAsia" w:ascii="宋体" w:hAnsi="宋体" w:eastAsia="宋体" w:cs="宋体"/>
                <w:color w:val="auto"/>
                <w:sz w:val="21"/>
                <w:szCs w:val="21"/>
              </w:rPr>
            </w:pPr>
          </w:p>
        </w:tc>
      </w:tr>
      <w:tr w14:paraId="72EC7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0AD4FCCF">
            <w:pPr>
              <w:widowControl/>
              <w:jc w:val="center"/>
              <w:rPr>
                <w:rFonts w:hint="eastAsia" w:ascii="宋体" w:hAnsi="宋体" w:eastAsia="宋体" w:cs="宋体"/>
                <w:color w:val="auto"/>
                <w:kern w:val="0"/>
                <w:sz w:val="21"/>
                <w:szCs w:val="21"/>
              </w:rPr>
            </w:pPr>
          </w:p>
        </w:tc>
        <w:tc>
          <w:tcPr>
            <w:tcW w:w="1301" w:type="pct"/>
            <w:noWrap w:val="0"/>
            <w:vAlign w:val="center"/>
          </w:tcPr>
          <w:p w14:paraId="152DA131">
            <w:pPr>
              <w:widowControl/>
              <w:rPr>
                <w:rFonts w:hint="eastAsia" w:ascii="宋体" w:hAnsi="宋体" w:eastAsia="宋体" w:cs="宋体"/>
                <w:color w:val="auto"/>
                <w:kern w:val="0"/>
                <w:sz w:val="21"/>
                <w:szCs w:val="21"/>
              </w:rPr>
            </w:pPr>
          </w:p>
        </w:tc>
        <w:tc>
          <w:tcPr>
            <w:tcW w:w="440" w:type="pct"/>
            <w:noWrap w:val="0"/>
            <w:vAlign w:val="center"/>
          </w:tcPr>
          <w:p w14:paraId="252632C8">
            <w:pPr>
              <w:widowControl/>
              <w:jc w:val="center"/>
              <w:rPr>
                <w:rFonts w:hint="eastAsia" w:ascii="宋体" w:hAnsi="宋体" w:eastAsia="宋体" w:cs="宋体"/>
                <w:color w:val="auto"/>
                <w:kern w:val="0"/>
                <w:sz w:val="21"/>
                <w:szCs w:val="21"/>
              </w:rPr>
            </w:pPr>
          </w:p>
        </w:tc>
        <w:tc>
          <w:tcPr>
            <w:tcW w:w="415" w:type="pct"/>
            <w:noWrap w:val="0"/>
            <w:vAlign w:val="center"/>
          </w:tcPr>
          <w:p w14:paraId="26F44B0C">
            <w:pPr>
              <w:widowControl/>
              <w:jc w:val="center"/>
              <w:rPr>
                <w:rFonts w:hint="eastAsia" w:ascii="宋体" w:hAnsi="宋体" w:eastAsia="宋体" w:cs="宋体"/>
                <w:color w:val="auto"/>
                <w:kern w:val="0"/>
                <w:sz w:val="21"/>
                <w:szCs w:val="21"/>
              </w:rPr>
            </w:pPr>
          </w:p>
        </w:tc>
        <w:tc>
          <w:tcPr>
            <w:tcW w:w="724" w:type="pct"/>
            <w:noWrap w:val="0"/>
            <w:vAlign w:val="center"/>
          </w:tcPr>
          <w:p w14:paraId="3B228815">
            <w:pPr>
              <w:widowControl/>
              <w:jc w:val="center"/>
              <w:rPr>
                <w:rFonts w:hint="eastAsia" w:ascii="宋体" w:hAnsi="宋体" w:eastAsia="宋体" w:cs="宋体"/>
                <w:color w:val="auto"/>
                <w:kern w:val="0"/>
                <w:sz w:val="21"/>
                <w:szCs w:val="21"/>
              </w:rPr>
            </w:pPr>
          </w:p>
        </w:tc>
        <w:tc>
          <w:tcPr>
            <w:tcW w:w="760" w:type="pct"/>
            <w:noWrap w:val="0"/>
            <w:vAlign w:val="center"/>
          </w:tcPr>
          <w:p w14:paraId="55CD79B8">
            <w:pPr>
              <w:ind w:left="63" w:right="63"/>
              <w:rPr>
                <w:rFonts w:hint="eastAsia" w:ascii="宋体" w:hAnsi="宋体" w:eastAsia="宋体" w:cs="宋体"/>
                <w:color w:val="auto"/>
                <w:sz w:val="21"/>
                <w:szCs w:val="21"/>
              </w:rPr>
            </w:pPr>
          </w:p>
        </w:tc>
        <w:tc>
          <w:tcPr>
            <w:tcW w:w="826" w:type="pct"/>
            <w:noWrap w:val="0"/>
            <w:vAlign w:val="center"/>
          </w:tcPr>
          <w:p w14:paraId="6F7377C9">
            <w:pPr>
              <w:ind w:left="63" w:right="63"/>
              <w:rPr>
                <w:rFonts w:hint="eastAsia" w:ascii="宋体" w:hAnsi="宋体" w:eastAsia="宋体" w:cs="宋体"/>
                <w:color w:val="auto"/>
                <w:sz w:val="21"/>
                <w:szCs w:val="21"/>
              </w:rPr>
            </w:pPr>
          </w:p>
        </w:tc>
      </w:tr>
      <w:tr w14:paraId="0F0F5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2144D231">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2E723FF1">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6DE5CBE1">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42196AA7">
            <w:pPr>
              <w:jc w:val="center"/>
              <w:rPr>
                <w:rFonts w:hint="eastAsia" w:ascii="宋体" w:hAnsi="宋体" w:eastAsia="宋体" w:cs="宋体"/>
                <w:color w:val="auto"/>
                <w:kern w:val="0"/>
                <w:sz w:val="21"/>
                <w:szCs w:val="21"/>
                <w:lang w:bidi="ar"/>
              </w:rPr>
            </w:pPr>
          </w:p>
        </w:tc>
        <w:tc>
          <w:tcPr>
            <w:tcW w:w="724" w:type="pct"/>
            <w:noWrap w:val="0"/>
            <w:vAlign w:val="center"/>
          </w:tcPr>
          <w:p w14:paraId="3033F6B8">
            <w:pPr>
              <w:jc w:val="center"/>
              <w:rPr>
                <w:rFonts w:hint="eastAsia" w:ascii="宋体" w:hAnsi="宋体" w:eastAsia="宋体" w:cs="宋体"/>
                <w:color w:val="auto"/>
                <w:kern w:val="0"/>
                <w:sz w:val="21"/>
                <w:szCs w:val="21"/>
                <w:lang w:bidi="ar"/>
              </w:rPr>
            </w:pPr>
          </w:p>
        </w:tc>
        <w:tc>
          <w:tcPr>
            <w:tcW w:w="760" w:type="pct"/>
            <w:noWrap w:val="0"/>
            <w:vAlign w:val="center"/>
          </w:tcPr>
          <w:p w14:paraId="412E0D04">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1E727E66">
            <w:pPr>
              <w:ind w:left="63" w:right="63"/>
              <w:rPr>
                <w:rFonts w:hint="eastAsia" w:ascii="宋体" w:hAnsi="宋体" w:eastAsia="宋体" w:cs="宋体"/>
                <w:color w:val="auto"/>
                <w:sz w:val="21"/>
                <w:szCs w:val="21"/>
              </w:rPr>
            </w:pPr>
          </w:p>
        </w:tc>
      </w:tr>
      <w:tr w14:paraId="3EFFC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02451D01">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0E129B0C">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56104F11">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51E69B9B">
            <w:pPr>
              <w:jc w:val="center"/>
              <w:rPr>
                <w:rFonts w:hint="eastAsia" w:ascii="宋体" w:hAnsi="宋体" w:eastAsia="宋体" w:cs="宋体"/>
                <w:color w:val="auto"/>
                <w:kern w:val="0"/>
                <w:sz w:val="21"/>
                <w:szCs w:val="21"/>
                <w:lang w:bidi="ar"/>
              </w:rPr>
            </w:pPr>
          </w:p>
        </w:tc>
        <w:tc>
          <w:tcPr>
            <w:tcW w:w="724" w:type="pct"/>
            <w:noWrap w:val="0"/>
            <w:vAlign w:val="center"/>
          </w:tcPr>
          <w:p w14:paraId="0139674B">
            <w:pPr>
              <w:jc w:val="center"/>
              <w:rPr>
                <w:rFonts w:hint="eastAsia" w:ascii="宋体" w:hAnsi="宋体" w:eastAsia="宋体" w:cs="宋体"/>
                <w:color w:val="auto"/>
                <w:kern w:val="0"/>
                <w:sz w:val="21"/>
                <w:szCs w:val="21"/>
                <w:lang w:bidi="ar"/>
              </w:rPr>
            </w:pPr>
          </w:p>
        </w:tc>
        <w:tc>
          <w:tcPr>
            <w:tcW w:w="760" w:type="pct"/>
            <w:noWrap w:val="0"/>
            <w:vAlign w:val="center"/>
          </w:tcPr>
          <w:p w14:paraId="336141F2">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1A4A0B6E">
            <w:pPr>
              <w:ind w:left="63" w:right="63"/>
              <w:rPr>
                <w:rFonts w:hint="eastAsia" w:ascii="宋体" w:hAnsi="宋体" w:eastAsia="宋体" w:cs="宋体"/>
                <w:color w:val="auto"/>
                <w:sz w:val="21"/>
                <w:szCs w:val="21"/>
              </w:rPr>
            </w:pPr>
          </w:p>
        </w:tc>
      </w:tr>
      <w:tr w14:paraId="158E6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0EDAAD03">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12B37D6D">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6606325B">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51382C06">
            <w:pPr>
              <w:jc w:val="center"/>
              <w:rPr>
                <w:rFonts w:hint="eastAsia" w:ascii="宋体" w:hAnsi="宋体" w:eastAsia="宋体" w:cs="宋体"/>
                <w:color w:val="auto"/>
                <w:kern w:val="0"/>
                <w:sz w:val="21"/>
                <w:szCs w:val="21"/>
                <w:lang w:bidi="ar"/>
              </w:rPr>
            </w:pPr>
          </w:p>
        </w:tc>
        <w:tc>
          <w:tcPr>
            <w:tcW w:w="724" w:type="pct"/>
            <w:noWrap w:val="0"/>
            <w:vAlign w:val="center"/>
          </w:tcPr>
          <w:p w14:paraId="56C8E180">
            <w:pPr>
              <w:jc w:val="center"/>
              <w:rPr>
                <w:rFonts w:hint="eastAsia" w:ascii="宋体" w:hAnsi="宋体" w:eastAsia="宋体" w:cs="宋体"/>
                <w:color w:val="auto"/>
                <w:kern w:val="0"/>
                <w:sz w:val="21"/>
                <w:szCs w:val="21"/>
                <w:lang w:bidi="ar"/>
              </w:rPr>
            </w:pPr>
          </w:p>
        </w:tc>
        <w:tc>
          <w:tcPr>
            <w:tcW w:w="760" w:type="pct"/>
            <w:noWrap w:val="0"/>
            <w:vAlign w:val="center"/>
          </w:tcPr>
          <w:p w14:paraId="265D4497">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6C5674FE">
            <w:pPr>
              <w:ind w:left="63" w:right="63"/>
              <w:rPr>
                <w:rFonts w:hint="eastAsia" w:ascii="宋体" w:hAnsi="宋体" w:eastAsia="宋体" w:cs="宋体"/>
                <w:color w:val="auto"/>
                <w:sz w:val="21"/>
                <w:szCs w:val="21"/>
              </w:rPr>
            </w:pPr>
          </w:p>
        </w:tc>
      </w:tr>
      <w:tr w14:paraId="6D7C6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6683357A">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0DFD6F26">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02D955D1">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10B4DDDA">
            <w:pPr>
              <w:jc w:val="center"/>
              <w:rPr>
                <w:rFonts w:hint="eastAsia" w:ascii="宋体" w:hAnsi="宋体" w:eastAsia="宋体" w:cs="宋体"/>
                <w:color w:val="auto"/>
                <w:kern w:val="0"/>
                <w:sz w:val="21"/>
                <w:szCs w:val="21"/>
                <w:lang w:bidi="ar"/>
              </w:rPr>
            </w:pPr>
          </w:p>
        </w:tc>
        <w:tc>
          <w:tcPr>
            <w:tcW w:w="724" w:type="pct"/>
            <w:noWrap w:val="0"/>
            <w:vAlign w:val="center"/>
          </w:tcPr>
          <w:p w14:paraId="735DDB7C">
            <w:pPr>
              <w:jc w:val="center"/>
              <w:rPr>
                <w:rFonts w:hint="eastAsia" w:ascii="宋体" w:hAnsi="宋体" w:eastAsia="宋体" w:cs="宋体"/>
                <w:color w:val="auto"/>
                <w:kern w:val="0"/>
                <w:sz w:val="21"/>
                <w:szCs w:val="21"/>
                <w:lang w:bidi="ar"/>
              </w:rPr>
            </w:pPr>
          </w:p>
        </w:tc>
        <w:tc>
          <w:tcPr>
            <w:tcW w:w="760" w:type="pct"/>
            <w:noWrap w:val="0"/>
            <w:vAlign w:val="center"/>
          </w:tcPr>
          <w:p w14:paraId="0B4FBD2C">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300C9B37">
            <w:pPr>
              <w:ind w:left="63" w:right="63"/>
              <w:rPr>
                <w:rFonts w:hint="eastAsia" w:ascii="宋体" w:hAnsi="宋体" w:eastAsia="宋体" w:cs="宋体"/>
                <w:color w:val="auto"/>
                <w:sz w:val="21"/>
                <w:szCs w:val="21"/>
              </w:rPr>
            </w:pPr>
          </w:p>
        </w:tc>
      </w:tr>
      <w:tr w14:paraId="06889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6BB5058E">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129E014D">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550041A1">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14678768">
            <w:pPr>
              <w:jc w:val="center"/>
              <w:rPr>
                <w:rFonts w:hint="eastAsia" w:ascii="宋体" w:hAnsi="宋体" w:eastAsia="宋体" w:cs="宋体"/>
                <w:color w:val="auto"/>
                <w:kern w:val="0"/>
                <w:sz w:val="21"/>
                <w:szCs w:val="21"/>
                <w:lang w:bidi="ar"/>
              </w:rPr>
            </w:pPr>
          </w:p>
        </w:tc>
        <w:tc>
          <w:tcPr>
            <w:tcW w:w="724" w:type="pct"/>
            <w:noWrap w:val="0"/>
            <w:vAlign w:val="center"/>
          </w:tcPr>
          <w:p w14:paraId="28F3C4D2">
            <w:pPr>
              <w:jc w:val="center"/>
              <w:rPr>
                <w:rFonts w:hint="eastAsia" w:ascii="宋体" w:hAnsi="宋体" w:eastAsia="宋体" w:cs="宋体"/>
                <w:color w:val="auto"/>
                <w:kern w:val="0"/>
                <w:sz w:val="21"/>
                <w:szCs w:val="21"/>
                <w:lang w:bidi="ar"/>
              </w:rPr>
            </w:pPr>
          </w:p>
        </w:tc>
        <w:tc>
          <w:tcPr>
            <w:tcW w:w="760" w:type="pct"/>
            <w:noWrap w:val="0"/>
            <w:vAlign w:val="center"/>
          </w:tcPr>
          <w:p w14:paraId="6DFDDF07">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3C73E986">
            <w:pPr>
              <w:ind w:left="63" w:right="63"/>
              <w:rPr>
                <w:rFonts w:hint="eastAsia" w:ascii="宋体" w:hAnsi="宋体" w:eastAsia="宋体" w:cs="宋体"/>
                <w:color w:val="auto"/>
                <w:sz w:val="21"/>
                <w:szCs w:val="21"/>
              </w:rPr>
            </w:pPr>
          </w:p>
        </w:tc>
      </w:tr>
      <w:tr w14:paraId="441BA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71129927">
            <w:pPr>
              <w:widowControl/>
              <w:jc w:val="center"/>
              <w:textAlignment w:val="auto"/>
              <w:rPr>
                <w:rFonts w:hint="eastAsia" w:ascii="宋体" w:hAnsi="宋体" w:eastAsia="宋体" w:cs="宋体"/>
                <w:color w:val="auto"/>
                <w:kern w:val="0"/>
                <w:sz w:val="21"/>
                <w:szCs w:val="21"/>
                <w:lang w:bidi="ar"/>
              </w:rPr>
            </w:pPr>
          </w:p>
        </w:tc>
        <w:tc>
          <w:tcPr>
            <w:tcW w:w="1301" w:type="pct"/>
            <w:noWrap w:val="0"/>
            <w:vAlign w:val="center"/>
          </w:tcPr>
          <w:p w14:paraId="675D06A8">
            <w:pPr>
              <w:widowControl/>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小计</w:t>
            </w:r>
          </w:p>
        </w:tc>
        <w:tc>
          <w:tcPr>
            <w:tcW w:w="440" w:type="pct"/>
            <w:noWrap w:val="0"/>
            <w:vAlign w:val="center"/>
          </w:tcPr>
          <w:p w14:paraId="1B2FDD95">
            <w:pPr>
              <w:widowControl/>
              <w:jc w:val="center"/>
              <w:textAlignment w:val="auto"/>
              <w:rPr>
                <w:rFonts w:hint="eastAsia" w:ascii="宋体" w:hAnsi="宋体" w:eastAsia="宋体" w:cs="宋体"/>
                <w:color w:val="auto"/>
                <w:kern w:val="0"/>
                <w:sz w:val="21"/>
                <w:szCs w:val="21"/>
              </w:rPr>
            </w:pPr>
          </w:p>
        </w:tc>
        <w:tc>
          <w:tcPr>
            <w:tcW w:w="415" w:type="pct"/>
            <w:noWrap w:val="0"/>
            <w:vAlign w:val="center"/>
          </w:tcPr>
          <w:p w14:paraId="4C6ACD6D">
            <w:pPr>
              <w:widowControl/>
              <w:jc w:val="center"/>
              <w:rPr>
                <w:rFonts w:hint="eastAsia" w:ascii="宋体" w:hAnsi="宋体" w:eastAsia="宋体" w:cs="宋体"/>
                <w:color w:val="auto"/>
                <w:kern w:val="0"/>
                <w:sz w:val="21"/>
                <w:szCs w:val="21"/>
              </w:rPr>
            </w:pPr>
          </w:p>
        </w:tc>
        <w:tc>
          <w:tcPr>
            <w:tcW w:w="724" w:type="pct"/>
            <w:noWrap w:val="0"/>
            <w:vAlign w:val="center"/>
          </w:tcPr>
          <w:p w14:paraId="2445CB8B">
            <w:pPr>
              <w:widowControl/>
              <w:jc w:val="center"/>
              <w:rPr>
                <w:rFonts w:hint="eastAsia" w:ascii="宋体" w:hAnsi="宋体" w:eastAsia="宋体" w:cs="宋体"/>
                <w:color w:val="auto"/>
                <w:kern w:val="0"/>
                <w:sz w:val="21"/>
                <w:szCs w:val="21"/>
              </w:rPr>
            </w:pPr>
          </w:p>
        </w:tc>
        <w:tc>
          <w:tcPr>
            <w:tcW w:w="760" w:type="pct"/>
            <w:noWrap w:val="0"/>
            <w:vAlign w:val="center"/>
          </w:tcPr>
          <w:p w14:paraId="1AB45ABC">
            <w:pPr>
              <w:widowControl/>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Cs w:val="21"/>
                <w:lang w:val="en-US" w:eastAsia="zh-CN"/>
              </w:rPr>
              <w:t>100000</w:t>
            </w:r>
          </w:p>
        </w:tc>
        <w:tc>
          <w:tcPr>
            <w:tcW w:w="826" w:type="pct"/>
            <w:noWrap w:val="0"/>
            <w:vAlign w:val="center"/>
          </w:tcPr>
          <w:p w14:paraId="60610299">
            <w:pPr>
              <w:widowControl/>
              <w:ind w:left="0" w:right="0"/>
              <w:jc w:val="center"/>
              <w:rPr>
                <w:rFonts w:hint="eastAsia" w:ascii="宋体" w:hAnsi="宋体" w:eastAsia="宋体" w:cs="宋体"/>
                <w:color w:val="auto"/>
                <w:kern w:val="0"/>
                <w:sz w:val="21"/>
                <w:szCs w:val="21"/>
              </w:rPr>
            </w:pPr>
          </w:p>
        </w:tc>
      </w:tr>
    </w:tbl>
    <w:p w14:paraId="4153F0BD">
      <w:pPr>
        <w:rPr>
          <w:rFonts w:hint="eastAsia" w:ascii="宋体" w:hAnsi="宋体" w:eastAsia="宋体" w:cs="宋体"/>
          <w:color w:val="auto"/>
        </w:rPr>
      </w:pPr>
    </w:p>
    <w:p w14:paraId="2A330B39">
      <w:pPr>
        <w:rPr>
          <w:rFonts w:hint="eastAsia" w:ascii="宋体" w:hAnsi="宋体" w:eastAsia="宋体" w:cs="宋体"/>
          <w:color w:val="000000"/>
          <w:sz w:val="22"/>
          <w:szCs w:val="22"/>
          <w:highlight w:val="none"/>
        </w:rPr>
      </w:pPr>
      <w:r>
        <w:rPr>
          <w:rFonts w:hint="eastAsia" w:ascii="宋体" w:hAnsi="宋体" w:eastAsia="宋体" w:cs="宋体"/>
          <w:color w:val="auto"/>
        </w:rPr>
        <w:t>备注：本表中的价格未包括税金。</w:t>
      </w:r>
      <w:r>
        <w:rPr>
          <w:rFonts w:hint="eastAsia" w:ascii="宋体" w:hAnsi="宋体" w:eastAsia="宋体" w:cs="宋体"/>
          <w:color w:val="auto"/>
          <w:sz w:val="30"/>
          <w:szCs w:val="30"/>
        </w:rPr>
        <w:br w:type="page"/>
      </w: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01B1B9B8">
      <w:pPr>
        <w:rPr>
          <w:rFonts w:hint="eastAsia" w:ascii="宋体" w:hAnsi="宋体" w:cs="宋体"/>
          <w:b/>
          <w:sz w:val="36"/>
          <w:szCs w:val="20"/>
        </w:rPr>
      </w:pPr>
      <w:r>
        <w:rPr>
          <w:rFonts w:hint="eastAsia" w:ascii="宋体" w:hAnsi="宋体" w:eastAsia="宋体" w:cs="宋体"/>
          <w:color w:val="000000"/>
          <w:sz w:val="22"/>
          <w:szCs w:val="22"/>
          <w:highlight w:val="none"/>
        </w:rPr>
        <w:br w:type="page"/>
      </w: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80"/>
      <w:r>
        <w:rPr>
          <w:rFonts w:hint="eastAsia" w:ascii="宋体" w:hAnsi="宋体" w:cs="宋体"/>
          <w:b/>
          <w:sz w:val="36"/>
          <w:szCs w:val="20"/>
        </w:rPr>
        <w:t xml:space="preserve">  </w:t>
      </w:r>
      <w:bookmarkEnd w:id="81"/>
      <w:r>
        <w:rPr>
          <w:rFonts w:hint="eastAsia" w:ascii="宋体" w:hAnsi="宋体" w:cs="宋体"/>
          <w:b/>
          <w:sz w:val="36"/>
          <w:szCs w:val="20"/>
        </w:rPr>
        <w:t>应提交的有关格式范例</w:t>
      </w:r>
      <w:bookmarkEnd w:id="82"/>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57D04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B3EAB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宁海县强蛟镇人民政府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强蛟镇历史遗留矿山整治项目工程</w:t>
      </w:r>
      <w:r>
        <w:rPr>
          <w:rFonts w:hint="eastAsia" w:ascii="宋体" w:hAnsi="宋体" w:cs="宋体"/>
          <w:sz w:val="24"/>
        </w:rPr>
        <w:t>【项目编号：</w:t>
      </w:r>
      <w:r>
        <w:rPr>
          <w:rFonts w:hint="eastAsia" w:ascii="宋体" w:hAnsi="宋体" w:cs="宋体"/>
          <w:sz w:val="24"/>
          <w:lang w:eastAsia="zh-CN"/>
        </w:rPr>
        <w:t>NBGJ2025-CG0075</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25BF1E3">
      <w:pPr>
        <w:snapToGrid w:val="0"/>
        <w:spacing w:line="360" w:lineRule="auto"/>
        <w:ind w:right="480"/>
        <w:jc w:val="center"/>
        <w:rPr>
          <w:rFonts w:ascii="宋体" w:hAnsi="宋体" w:cs="宋体"/>
          <w:b/>
          <w:kern w:val="0"/>
          <w:sz w:val="32"/>
          <w:szCs w:val="32"/>
        </w:rPr>
        <w:sectPr>
          <w:footerReference r:id="rId6" w:type="default"/>
          <w:pgSz w:w="11906" w:h="16838"/>
          <w:pgMar w:top="1440" w:right="1440" w:bottom="1440" w:left="1440" w:header="851" w:footer="992" w:gutter="0"/>
          <w:pgNumType w:fmt="decimal"/>
          <w:cols w:space="720" w:num="1"/>
          <w:titlePg/>
          <w:docGrid w:linePitch="312" w:charSpace="0"/>
        </w:sectPr>
      </w:pPr>
    </w:p>
    <w:p w14:paraId="6799026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97DE9B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533BEE2B">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7A37079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5661BE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1D47702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0"/>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宁海县强蛟镇人民政府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强蛟镇历史遗留矿山整治项目工程</w:t>
      </w:r>
      <w:r>
        <w:rPr>
          <w:rFonts w:hint="eastAsia" w:ascii="宋体" w:hAnsi="宋体" w:cs="宋体"/>
          <w:sz w:val="24"/>
        </w:rPr>
        <w:t>【项目编号：</w:t>
      </w:r>
      <w:r>
        <w:rPr>
          <w:rFonts w:hint="eastAsia" w:ascii="宋体" w:hAnsi="宋体" w:cs="宋体"/>
          <w:sz w:val="24"/>
          <w:lang w:eastAsia="zh-CN"/>
        </w:rPr>
        <w:t>NBGJ2025-CG0075</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FAF314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1EE914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5E90FDDA">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4B24243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085DCB7">
      <w:pPr>
        <w:snapToGrid w:val="0"/>
        <w:spacing w:line="360" w:lineRule="auto"/>
        <w:rPr>
          <w:rFonts w:hint="eastAsia" w:ascii="宋体" w:hAnsi="宋体" w:cs="宋体"/>
          <w:sz w:val="24"/>
        </w:rPr>
      </w:pPr>
    </w:p>
    <w:p w14:paraId="7349D7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1"/>
        <w:spacing w:line="360" w:lineRule="auto"/>
        <w:rPr>
          <w:rFonts w:hint="eastAsia" w:hAnsi="宋体" w:cs="宋体"/>
          <w:bCs/>
          <w:sz w:val="24"/>
        </w:rPr>
      </w:pPr>
    </w:p>
    <w:p w14:paraId="3F161723">
      <w:pPr>
        <w:pStyle w:val="621"/>
        <w:spacing w:line="360" w:lineRule="auto"/>
        <w:ind w:firstLine="240" w:firstLineChars="100"/>
        <w:rPr>
          <w:rFonts w:hAnsi="宋体" w:cs="宋体"/>
          <w:bCs/>
          <w:sz w:val="24"/>
        </w:rPr>
      </w:pPr>
      <w:r>
        <w:rPr>
          <w:rFonts w:hint="eastAsia" w:hAnsi="宋体" w:cs="宋体"/>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621"/>
              <w:adjustRightInd w:val="0"/>
              <w:spacing w:line="360" w:lineRule="auto"/>
              <w:rPr>
                <w:rFonts w:hAnsi="宋体" w:cs="宋体"/>
                <w:bCs/>
                <w:sz w:val="24"/>
              </w:rPr>
            </w:pPr>
            <w:r>
              <w:rPr>
                <w:rFonts w:hint="eastAsia" w:hAnsi="宋体" w:cs="宋体"/>
                <w:bCs/>
                <w:sz w:val="24"/>
              </w:rPr>
              <w:t>正面：                                 反面：</w:t>
            </w:r>
          </w:p>
          <w:p w14:paraId="4ACA4BA2">
            <w:pPr>
              <w:pStyle w:val="621"/>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28FB46E7">
      <w:pPr>
        <w:snapToGrid w:val="0"/>
        <w:spacing w:line="360" w:lineRule="auto"/>
        <w:ind w:right="480"/>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632"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32"/>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3"/>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7970B108">
      <w:pPr>
        <w:ind w:firstLine="1911" w:firstLineChars="595"/>
        <w:rPr>
          <w:rFonts w:ascii="宋体" w:hAnsi="宋体" w:cs="宋体"/>
          <w:b/>
          <w:bCs/>
          <w:sz w:val="32"/>
          <w:szCs w:val="32"/>
        </w:rPr>
        <w:sectPr>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14:paraId="7F26E87C">
      <w:pPr>
        <w:pStyle w:val="640"/>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宁海县强蛟镇人民政府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54ECD6D3">
      <w:pPr>
        <w:spacing w:line="360" w:lineRule="auto"/>
        <w:jc w:val="center"/>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3"/>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1DD78456">
      <w:pPr>
        <w:rPr>
          <w:rFonts w:hint="eastAsia" w:ascii="宋体" w:hAnsi="宋体" w:cs="宋体"/>
          <w:b/>
          <w:bCs/>
          <w:sz w:val="30"/>
          <w:szCs w:val="30"/>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1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宁海县强蛟镇人民政府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强蛟镇历史遗留矿山整治项目工程</w:t>
      </w:r>
      <w:r>
        <w:rPr>
          <w:rFonts w:hint="eastAsia" w:ascii="宋体" w:hAnsi="宋体" w:cs="宋体"/>
          <w:sz w:val="24"/>
        </w:rPr>
        <w:t>【项目编号：</w:t>
      </w:r>
      <w:r>
        <w:rPr>
          <w:rFonts w:hint="eastAsia" w:ascii="宋体" w:hAnsi="宋体" w:cs="宋体"/>
          <w:sz w:val="24"/>
          <w:lang w:eastAsia="zh-CN"/>
        </w:rPr>
        <w:t>NBGJ2025-CG0075</w:t>
      </w:r>
      <w:r>
        <w:rPr>
          <w:rFonts w:hint="eastAsia" w:ascii="宋体" w:hAnsi="宋体" w:cs="宋体"/>
          <w:sz w:val="24"/>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2530"/>
        <w:gridCol w:w="2337"/>
        <w:gridCol w:w="1634"/>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2"/>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1D88C7C">
      <w:pPr>
        <w:pStyle w:val="11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cs="宋体"/>
          <w:b/>
          <w:sz w:val="32"/>
          <w:szCs w:val="32"/>
        </w:rPr>
        <w:br w:type="page"/>
      </w: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633" w:name="_Hlk101259491"/>
      <w:r>
        <w:rPr>
          <w:rFonts w:hint="eastAsia" w:ascii="宋体" w:hAnsi="宋体" w:eastAsia="宋体" w:cs="宋体"/>
          <w:sz w:val="32"/>
          <w:szCs w:val="32"/>
        </w:rPr>
        <w:t>（如果有）</w:t>
      </w:r>
      <w:bookmarkEnd w:id="633"/>
    </w:p>
    <w:p w14:paraId="0FF72AD3">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07DEB48">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634" w:name="_Toc465665161"/>
      <w:r>
        <w:rPr>
          <w:rFonts w:hint="eastAsia" w:ascii="宋体" w:hAnsi="宋体" w:cs="宋体"/>
        </w:rPr>
        <w:t>附件</w:t>
      </w:r>
      <w:bookmarkEnd w:id="634"/>
    </w:p>
    <w:p w14:paraId="7E5E4C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19EC72">
      <w:pPr>
        <w:spacing w:line="360" w:lineRule="auto"/>
        <w:jc w:val="center"/>
        <w:rPr>
          <w:rFonts w:ascii="宋体" w:hAnsi="宋体" w:cs="宋体"/>
          <w:b/>
          <w:spacing w:val="6"/>
          <w:sz w:val="32"/>
          <w:szCs w:val="32"/>
        </w:rPr>
      </w:pPr>
      <w:bookmarkStart w:id="635" w:name="OLE_LINK13"/>
      <w:bookmarkStart w:id="636" w:name="OLE_LINK14"/>
      <w:r>
        <w:rPr>
          <w:rFonts w:hint="eastAsia" w:ascii="宋体" w:hAnsi="宋体" w:cs="宋体"/>
          <w:b/>
          <w:spacing w:val="6"/>
          <w:sz w:val="32"/>
          <w:szCs w:val="32"/>
        </w:rPr>
        <w:t>残疾人福利性单位声明函</w:t>
      </w:r>
    </w:p>
    <w:bookmarkEnd w:id="635"/>
    <w:bookmarkEnd w:id="636"/>
    <w:p w14:paraId="6B55BC70">
      <w:pPr>
        <w:spacing w:line="360" w:lineRule="auto"/>
        <w:rPr>
          <w:rFonts w:ascii="宋体" w:hAnsi="宋体" w:cs="宋体"/>
          <w:b/>
          <w:spacing w:val="6"/>
          <w:sz w:val="30"/>
          <w:szCs w:val="30"/>
        </w:rPr>
      </w:pPr>
    </w:p>
    <w:p w14:paraId="03D046A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0BE677">
      <w:pPr>
        <w:spacing w:line="360" w:lineRule="auto"/>
        <w:ind w:firstLine="480" w:firstLineChars="200"/>
        <w:rPr>
          <w:rFonts w:ascii="宋体" w:hAnsi="宋体" w:cs="宋体"/>
          <w:sz w:val="24"/>
        </w:rPr>
      </w:pPr>
    </w:p>
    <w:p w14:paraId="434DD412">
      <w:pPr>
        <w:spacing w:line="360" w:lineRule="auto"/>
        <w:ind w:firstLine="480" w:firstLineChars="200"/>
        <w:rPr>
          <w:rFonts w:ascii="宋体" w:hAnsi="宋体" w:cs="宋体"/>
          <w:sz w:val="24"/>
        </w:rPr>
      </w:pPr>
    </w:p>
    <w:p w14:paraId="6CE68B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7CE96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EA7544">
      <w:pPr>
        <w:spacing w:line="360" w:lineRule="auto"/>
        <w:ind w:firstLine="480" w:firstLineChars="200"/>
        <w:rPr>
          <w:rFonts w:ascii="宋体" w:hAnsi="宋体" w:cs="宋体"/>
          <w:sz w:val="24"/>
        </w:rPr>
      </w:pPr>
    </w:p>
    <w:p w14:paraId="67FACD2A">
      <w:pPr>
        <w:spacing w:line="360" w:lineRule="auto"/>
        <w:ind w:firstLine="420" w:firstLineChars="200"/>
        <w:rPr>
          <w:rFonts w:ascii="宋体" w:hAnsi="宋体" w:cs="宋体"/>
        </w:rPr>
      </w:pPr>
    </w:p>
    <w:p w14:paraId="1A103915">
      <w:pPr>
        <w:spacing w:line="360" w:lineRule="auto"/>
        <w:ind w:firstLine="420" w:firstLineChars="200"/>
        <w:rPr>
          <w:rFonts w:ascii="宋体" w:hAnsi="宋体" w:cs="宋体"/>
        </w:rPr>
      </w:pPr>
    </w:p>
    <w:p w14:paraId="58395A3A">
      <w:pPr>
        <w:spacing w:line="360" w:lineRule="auto"/>
        <w:ind w:firstLine="420" w:firstLineChars="200"/>
        <w:rPr>
          <w:rFonts w:ascii="宋体" w:hAnsi="宋体" w:cs="宋体"/>
        </w:rPr>
      </w:pPr>
    </w:p>
    <w:p w14:paraId="48BAC307">
      <w:pPr>
        <w:spacing w:line="360" w:lineRule="auto"/>
        <w:ind w:firstLine="420" w:firstLineChars="200"/>
        <w:rPr>
          <w:rFonts w:ascii="宋体" w:hAnsi="宋体" w:cs="宋体"/>
        </w:rPr>
      </w:pPr>
    </w:p>
    <w:p w14:paraId="26E21927">
      <w:pPr>
        <w:spacing w:line="360" w:lineRule="auto"/>
        <w:rPr>
          <w:rFonts w:ascii="宋体" w:hAnsi="宋体" w:cs="宋体"/>
          <w:b/>
          <w:sz w:val="24"/>
        </w:rPr>
      </w:pPr>
    </w:p>
    <w:p w14:paraId="0C7C6A0D">
      <w:pPr>
        <w:spacing w:line="360" w:lineRule="auto"/>
        <w:rPr>
          <w:rFonts w:ascii="宋体" w:hAnsi="宋体" w:cs="宋体"/>
          <w:b/>
          <w:sz w:val="24"/>
        </w:rPr>
      </w:pPr>
    </w:p>
    <w:p w14:paraId="6CF0514B">
      <w:pPr>
        <w:spacing w:line="360" w:lineRule="auto"/>
        <w:rPr>
          <w:rFonts w:ascii="宋体" w:hAnsi="宋体" w:cs="宋体"/>
          <w:b/>
          <w:sz w:val="24"/>
        </w:rPr>
      </w:pPr>
    </w:p>
    <w:p w14:paraId="0DADE21F">
      <w:pPr>
        <w:spacing w:line="360" w:lineRule="auto"/>
        <w:rPr>
          <w:rFonts w:ascii="宋体" w:hAnsi="宋体" w:cs="宋体"/>
          <w:b/>
          <w:sz w:val="24"/>
        </w:rPr>
      </w:pPr>
    </w:p>
    <w:p w14:paraId="7811742E">
      <w:pPr>
        <w:spacing w:line="360" w:lineRule="auto"/>
        <w:rPr>
          <w:rFonts w:ascii="宋体" w:hAnsi="宋体" w:cs="宋体"/>
          <w:b/>
          <w:sz w:val="24"/>
        </w:rPr>
      </w:pPr>
    </w:p>
    <w:p w14:paraId="48CC41DF">
      <w:pPr>
        <w:spacing w:line="360" w:lineRule="auto"/>
        <w:rPr>
          <w:rFonts w:ascii="宋体" w:hAnsi="宋体" w:cs="宋体"/>
          <w:b/>
          <w:sz w:val="24"/>
        </w:rPr>
      </w:pPr>
    </w:p>
    <w:p w14:paraId="1650C3C1">
      <w:pPr>
        <w:spacing w:line="360" w:lineRule="auto"/>
        <w:rPr>
          <w:rFonts w:ascii="宋体" w:hAnsi="宋体" w:cs="宋体"/>
          <w:b/>
          <w:sz w:val="24"/>
        </w:rPr>
      </w:pPr>
    </w:p>
    <w:p w14:paraId="18A77DE0">
      <w:pPr>
        <w:spacing w:line="360" w:lineRule="auto"/>
        <w:rPr>
          <w:rFonts w:ascii="宋体" w:hAnsi="宋体" w:cs="宋体"/>
          <w:b/>
          <w:sz w:val="24"/>
        </w:rPr>
      </w:pPr>
    </w:p>
    <w:p w14:paraId="37FB1D9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7FF3B4EA">
      <w:pPr>
        <w:spacing w:line="360" w:lineRule="auto"/>
        <w:jc w:val="center"/>
        <w:rPr>
          <w:rFonts w:ascii="宋体" w:hAnsi="宋体" w:cs="宋体"/>
          <w:b/>
          <w:spacing w:val="6"/>
          <w:sz w:val="32"/>
          <w:szCs w:val="32"/>
        </w:rPr>
      </w:pPr>
    </w:p>
    <w:p w14:paraId="6021689D">
      <w:pPr>
        <w:spacing w:line="360" w:lineRule="auto"/>
        <w:jc w:val="left"/>
        <w:rPr>
          <w:rFonts w:ascii="宋体" w:hAnsi="宋体" w:cs="宋体"/>
          <w:b/>
          <w:spacing w:val="6"/>
          <w:sz w:val="32"/>
          <w:szCs w:val="32"/>
        </w:rPr>
      </w:pPr>
    </w:p>
    <w:p w14:paraId="39DA918E">
      <w:pPr>
        <w:spacing w:line="360" w:lineRule="auto"/>
        <w:jc w:val="left"/>
        <w:rPr>
          <w:rFonts w:ascii="宋体" w:hAnsi="宋体" w:cs="宋体"/>
          <w:b/>
          <w:spacing w:val="6"/>
          <w:sz w:val="32"/>
          <w:szCs w:val="32"/>
        </w:rPr>
      </w:pPr>
    </w:p>
    <w:p w14:paraId="64656E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0EE3213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1AA7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08D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27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5DB2E4F">
      <w:pPr>
        <w:snapToGrid w:val="0"/>
        <w:spacing w:line="360" w:lineRule="auto"/>
        <w:ind w:firstLine="576"/>
        <w:rPr>
          <w:rFonts w:ascii="宋体" w:hAnsi="宋体" w:cs="宋体"/>
          <w:kern w:val="0"/>
          <w:sz w:val="24"/>
          <w:lang w:val="zh-CN"/>
        </w:rPr>
      </w:pPr>
      <w:bookmarkStart w:id="63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4E5D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535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37"/>
    <w:p w14:paraId="6854E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191B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54AC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1B732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88773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89A0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E71D42">
      <w:pPr>
        <w:spacing w:line="360" w:lineRule="auto"/>
        <w:ind w:right="420"/>
        <w:rPr>
          <w:rFonts w:ascii="宋体" w:hAnsi="宋体" w:cs="宋体"/>
          <w:sz w:val="24"/>
        </w:rPr>
      </w:pPr>
      <w:r>
        <w:rPr>
          <w:rFonts w:hint="eastAsia" w:ascii="宋体" w:hAnsi="宋体" w:cs="宋体"/>
          <w:sz w:val="24"/>
        </w:rPr>
        <w:t>注：按本格式和要求提供。</w:t>
      </w:r>
    </w:p>
    <w:p w14:paraId="48FDB7A8">
      <w:pPr>
        <w:autoSpaceDE w:val="0"/>
        <w:autoSpaceDN w:val="0"/>
        <w:jc w:val="center"/>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14:paraId="2BCAA7A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1854A38">
      <w:pPr>
        <w:pStyle w:val="3"/>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rPr>
      </w:pPr>
      <w:r>
        <w:rPr>
          <w:rFonts w:hint="eastAsia" w:ascii="宋体" w:hAnsi="宋体" w:eastAsia="宋体" w:cs="宋体"/>
          <w:kern w:val="0"/>
          <w:sz w:val="24"/>
          <w:szCs w:val="24"/>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rPr>
        <w:t>2、</w:t>
      </w:r>
      <w:bookmarkStart w:id="63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38"/>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22FFBA5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6D261A1B">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5D0B9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F5D12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FD47AF3">
      <w:pPr>
        <w:autoSpaceDE w:val="0"/>
        <w:autoSpaceDN w:val="0"/>
        <w:jc w:val="center"/>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14:paraId="26664A1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A823B5E">
      <w:pPr>
        <w:spacing w:line="360" w:lineRule="auto"/>
        <w:jc w:val="center"/>
        <w:rPr>
          <w:rFonts w:ascii="宋体" w:hAnsi="宋体" w:cs="宋体"/>
          <w:sz w:val="24"/>
          <w:u w:val="single"/>
        </w:rPr>
      </w:pPr>
    </w:p>
    <w:p w14:paraId="40FABBA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7E2292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6F7AE0C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48C5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F741BD">
      <w:pPr>
        <w:spacing w:line="360" w:lineRule="auto"/>
        <w:ind w:firstLine="480" w:firstLineChars="200"/>
        <w:jc w:val="left"/>
        <w:rPr>
          <w:rFonts w:ascii="宋体" w:hAnsi="宋体" w:cs="宋体"/>
          <w:sz w:val="24"/>
        </w:rPr>
      </w:pPr>
      <w:r>
        <w:rPr>
          <w:rFonts w:hint="eastAsia" w:ascii="宋体" w:hAnsi="宋体" w:cs="宋体"/>
          <w:sz w:val="24"/>
        </w:rPr>
        <w:t>……</w:t>
      </w:r>
    </w:p>
    <w:p w14:paraId="216E2E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31D35D">
      <w:pPr>
        <w:spacing w:line="360" w:lineRule="auto"/>
        <w:ind w:firstLine="480" w:firstLineChars="200"/>
        <w:rPr>
          <w:rFonts w:ascii="宋体" w:hAnsi="宋体" w:cs="宋体"/>
          <w:sz w:val="24"/>
        </w:rPr>
      </w:pPr>
    </w:p>
    <w:p w14:paraId="447DD7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28227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A46F6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5AE5E81">
      <w:pPr>
        <w:spacing w:line="360" w:lineRule="auto"/>
        <w:ind w:right="420" w:firstLine="480" w:firstLineChars="200"/>
        <w:rPr>
          <w:rFonts w:ascii="宋体" w:hAnsi="宋体" w:cs="宋体"/>
          <w:sz w:val="24"/>
        </w:rPr>
      </w:pPr>
      <w:r>
        <w:rPr>
          <w:rFonts w:hint="eastAsia" w:ascii="宋体" w:hAnsi="宋体" w:cs="宋体"/>
          <w:sz w:val="24"/>
        </w:rPr>
        <w:t>注：</w:t>
      </w:r>
    </w:p>
    <w:p w14:paraId="113C8C1B">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rPr>
      </w:pPr>
    </w:p>
    <w:p w14:paraId="1B063E86">
      <w:pPr>
        <w:spacing w:line="360" w:lineRule="auto"/>
        <w:jc w:val="center"/>
        <w:rPr>
          <w:rFonts w:ascii="宋体" w:hAnsi="宋体" w:cs="宋体"/>
          <w:b/>
          <w:sz w:val="32"/>
          <w:szCs w:val="32"/>
        </w:rPr>
      </w:pPr>
    </w:p>
    <w:p w14:paraId="176297F5">
      <w:pPr>
        <w:rPr>
          <w:rFonts w:ascii="宋体" w:hAnsi="宋体" w:cs="宋体"/>
          <w:b/>
          <w:sz w:val="32"/>
          <w:szCs w:val="32"/>
        </w:rPr>
      </w:pPr>
    </w:p>
    <w:sectPr>
      <w:headerReference r:id="rId10" w:type="first"/>
      <w:footerReference r:id="rId12" w:type="first"/>
      <w:headerReference r:id="rId9" w:type="default"/>
      <w:footerReference r:id="rId11"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MS Gothic"/>
    <w:panose1 w:val="00000000000000000000"/>
    <w:charset w:val="00"/>
    <w:family w:val="swiss"/>
    <w:pitch w:val="default"/>
    <w:sig w:usb0="00000000" w:usb1="00000000" w:usb2="00000000" w:usb3="00000000" w:csb0="2000009F" w:csb1="DFD70000"/>
  </w:font>
  <w:font w:name="MS Gothic">
    <w:panose1 w:val="020B0609070205080204"/>
    <w:charset w:val="80"/>
    <w:family w:val="auto"/>
    <w:pitch w:val="default"/>
    <w:sig w:usb0="E00002FF" w:usb1="6AC7FDFB" w:usb2="08000012" w:usb3="00000000" w:csb0="4002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0000000000000000000"/>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05A6">
    <w:pPr>
      <w:pStyle w:val="37"/>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38F68BE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Hr3o/zgEAAJk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3JFieUGJ37+8f388/f5&#10;1zeCPhSo91Bh3oPHzDi8dQOuzewHdCbeQxtM+iIjgnGU93SRVw6RiPRouSqLK0oEhsrrm+vVVUJh&#10;j499gPhOOkOSUdOA08ui8uMHiGPqnJJqWXevtM4T1PYfB2ImD0udjx0mKw67YaKzc80J2fQ4+Jpa&#10;3HNK9HuLuqYdmY0wG7vZOPig9l1eolQP/N0hYhO5t1RhhJ0K48Qyu2m70kr8fc9Zj3/U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696P84BAACZAwAADgAAAAAAAAABACAAAAAgAQAAZHJz&#10;L2Uyb0RvYy54bWxQSwUGAAAAAAYABgBZAQAAYAUAAAAA&#10;">
              <v:fill on="f" focussize="0,0"/>
              <v:stroke on="f"/>
              <v:imagedata o:title=""/>
              <o:lock v:ext="edit" aspectratio="f"/>
              <v:textbox inset="0mm,0mm,0mm,0mm" style="mso-fit-shape-to-text:t;">
                <w:txbxContent>
                  <w:p w14:paraId="38F68BE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928DF">
    <w:pPr>
      <w:pStyle w:val="37"/>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BEC00C">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9BEC00C">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7"/>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7"/>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7"/>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EDFC1E">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2EDFC1E">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7A186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821F20">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07821F20">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FD64C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7"/>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8"/>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8"/>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5102DFC"/>
    <w:multiLevelType w:val="singleLevel"/>
    <w:tmpl w:val="A5102DFC"/>
    <w:lvl w:ilvl="0" w:tentative="0">
      <w:start w:val="1"/>
      <w:numFmt w:val="decimal"/>
      <w:suff w:val="nothing"/>
      <w:lvlText w:val="%1、"/>
      <w:lvlJc w:val="left"/>
    </w:lvl>
  </w:abstractNum>
  <w:abstractNum w:abstractNumId="2">
    <w:nsid w:val="B4B7F40A"/>
    <w:multiLevelType w:val="singleLevel"/>
    <w:tmpl w:val="B4B7F40A"/>
    <w:lvl w:ilvl="0" w:tentative="0">
      <w:start w:val="4"/>
      <w:numFmt w:val="chineseCounting"/>
      <w:suff w:val="space"/>
      <w:lvlText w:val="第%1部分"/>
      <w:lvlJc w:val="left"/>
      <w:rPr>
        <w:rFonts w:hint="eastAsia"/>
      </w:rPr>
    </w:lvl>
  </w:abstractNum>
  <w:abstractNum w:abstractNumId="3">
    <w:nsid w:val="DF7845BB"/>
    <w:multiLevelType w:val="singleLevel"/>
    <w:tmpl w:val="DF7845BB"/>
    <w:lvl w:ilvl="0" w:tentative="0">
      <w:start w:val="1"/>
      <w:numFmt w:val="decimal"/>
      <w:suff w:val="nothing"/>
      <w:lvlText w:val="%1、"/>
      <w:lvlJc w:val="left"/>
    </w:lvl>
  </w:abstractNum>
  <w:abstractNum w:abstractNumId="4">
    <w:nsid w:val="EE2899E7"/>
    <w:multiLevelType w:val="singleLevel"/>
    <w:tmpl w:val="EE2899E7"/>
    <w:lvl w:ilvl="0" w:tentative="0">
      <w:start w:val="8"/>
      <w:numFmt w:val="decimal"/>
      <w:suff w:val="nothing"/>
      <w:lvlText w:val="（%1）"/>
      <w:lvlJc w:val="left"/>
    </w:lvl>
  </w:abstractNum>
  <w:abstractNum w:abstractNumId="5">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130C610"/>
    <w:multiLevelType w:val="singleLevel"/>
    <w:tmpl w:val="0130C610"/>
    <w:lvl w:ilvl="0" w:tentative="0">
      <w:start w:val="2"/>
      <w:numFmt w:val="decimal"/>
      <w:suff w:val="nothing"/>
      <w:lvlText w:val="（%1）"/>
      <w:lvlJc w:val="left"/>
    </w:lvl>
  </w:abstractNum>
  <w:abstractNum w:abstractNumId="9">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0">
    <w:nsid w:val="1E6ACE17"/>
    <w:multiLevelType w:val="singleLevel"/>
    <w:tmpl w:val="1E6ACE17"/>
    <w:lvl w:ilvl="0" w:tentative="0">
      <w:start w:val="6"/>
      <w:numFmt w:val="chineseCounting"/>
      <w:suff w:val="space"/>
      <w:lvlText w:val="第%1部分"/>
      <w:lvlJc w:val="left"/>
      <w:rPr>
        <w:rFonts w:hint="eastAsia"/>
      </w:rPr>
    </w:lvl>
  </w:abstractNum>
  <w:abstractNum w:abstractNumId="11">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7"/>
  </w:num>
  <w:num w:numId="3">
    <w:abstractNumId w:val="5"/>
  </w:num>
  <w:num w:numId="4">
    <w:abstractNumId w:val="6"/>
  </w:num>
  <w:num w:numId="5">
    <w:abstractNumId w:val="11"/>
  </w:num>
  <w:num w:numId="6">
    <w:abstractNumId w:val="12"/>
  </w:num>
  <w:num w:numId="7">
    <w:abstractNumId w:val="1"/>
  </w:num>
  <w:num w:numId="8">
    <w:abstractNumId w:val="3"/>
  </w:num>
  <w:num w:numId="9">
    <w:abstractNumId w:val="2"/>
  </w:num>
  <w:num w:numId="10">
    <w:abstractNumId w:val="8"/>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DA0C0E"/>
    <w:rsid w:val="034B667E"/>
    <w:rsid w:val="03DD35E4"/>
    <w:rsid w:val="03FB538C"/>
    <w:rsid w:val="04274D1A"/>
    <w:rsid w:val="045A1585"/>
    <w:rsid w:val="049F51EA"/>
    <w:rsid w:val="052D1FA4"/>
    <w:rsid w:val="065A6178"/>
    <w:rsid w:val="075524D7"/>
    <w:rsid w:val="075562B7"/>
    <w:rsid w:val="087E6359"/>
    <w:rsid w:val="08855DE1"/>
    <w:rsid w:val="08D86569"/>
    <w:rsid w:val="09290A28"/>
    <w:rsid w:val="096B2097"/>
    <w:rsid w:val="09D0397E"/>
    <w:rsid w:val="09D05E45"/>
    <w:rsid w:val="0A0D7099"/>
    <w:rsid w:val="0A5B7E63"/>
    <w:rsid w:val="0A946377"/>
    <w:rsid w:val="0BD47E6F"/>
    <w:rsid w:val="0BF60C5A"/>
    <w:rsid w:val="0C87121B"/>
    <w:rsid w:val="0CFF53BF"/>
    <w:rsid w:val="0D766618"/>
    <w:rsid w:val="0DF702FE"/>
    <w:rsid w:val="0E3F698B"/>
    <w:rsid w:val="0E664FCA"/>
    <w:rsid w:val="0E752FC5"/>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19E795C"/>
    <w:rsid w:val="120668A8"/>
    <w:rsid w:val="12497AAC"/>
    <w:rsid w:val="12506930"/>
    <w:rsid w:val="12751C80"/>
    <w:rsid w:val="127723A9"/>
    <w:rsid w:val="12AA235A"/>
    <w:rsid w:val="13072A44"/>
    <w:rsid w:val="139C6EA5"/>
    <w:rsid w:val="145044FA"/>
    <w:rsid w:val="148458D3"/>
    <w:rsid w:val="14CD18FF"/>
    <w:rsid w:val="15602773"/>
    <w:rsid w:val="15D07497"/>
    <w:rsid w:val="16A953C9"/>
    <w:rsid w:val="16B04D8F"/>
    <w:rsid w:val="16F577B6"/>
    <w:rsid w:val="17316C40"/>
    <w:rsid w:val="177C13BA"/>
    <w:rsid w:val="17D65ED4"/>
    <w:rsid w:val="181A1707"/>
    <w:rsid w:val="18936391"/>
    <w:rsid w:val="18A15CFE"/>
    <w:rsid w:val="19040D21"/>
    <w:rsid w:val="1A051425"/>
    <w:rsid w:val="1A1660DA"/>
    <w:rsid w:val="1A957899"/>
    <w:rsid w:val="1B2A271F"/>
    <w:rsid w:val="1B890139"/>
    <w:rsid w:val="1C7912FD"/>
    <w:rsid w:val="1CF94F5A"/>
    <w:rsid w:val="1D035828"/>
    <w:rsid w:val="1D266CE1"/>
    <w:rsid w:val="1D3963AF"/>
    <w:rsid w:val="1E714A66"/>
    <w:rsid w:val="1EDC60EE"/>
    <w:rsid w:val="1EEC32CA"/>
    <w:rsid w:val="1F86611C"/>
    <w:rsid w:val="1FBD76E1"/>
    <w:rsid w:val="1FE868A9"/>
    <w:rsid w:val="203E4089"/>
    <w:rsid w:val="209459C7"/>
    <w:rsid w:val="211801CB"/>
    <w:rsid w:val="211E26D6"/>
    <w:rsid w:val="21283D08"/>
    <w:rsid w:val="213170F5"/>
    <w:rsid w:val="22507B57"/>
    <w:rsid w:val="22E26EBD"/>
    <w:rsid w:val="23834AD2"/>
    <w:rsid w:val="23A229BA"/>
    <w:rsid w:val="2443398C"/>
    <w:rsid w:val="246C2851"/>
    <w:rsid w:val="25B440B3"/>
    <w:rsid w:val="262409C4"/>
    <w:rsid w:val="2674607E"/>
    <w:rsid w:val="272A7938"/>
    <w:rsid w:val="27D02A39"/>
    <w:rsid w:val="291E0523"/>
    <w:rsid w:val="297F5466"/>
    <w:rsid w:val="2A0D6C9F"/>
    <w:rsid w:val="2A9D64F9"/>
    <w:rsid w:val="2AA1365A"/>
    <w:rsid w:val="2AFE5E55"/>
    <w:rsid w:val="2B333696"/>
    <w:rsid w:val="2B5621F6"/>
    <w:rsid w:val="2B692C31"/>
    <w:rsid w:val="2B7D7783"/>
    <w:rsid w:val="2C212651"/>
    <w:rsid w:val="2CA23219"/>
    <w:rsid w:val="2D2B555B"/>
    <w:rsid w:val="2D6C18B0"/>
    <w:rsid w:val="2DD15014"/>
    <w:rsid w:val="2F236317"/>
    <w:rsid w:val="2F792957"/>
    <w:rsid w:val="2FD25781"/>
    <w:rsid w:val="301F52AD"/>
    <w:rsid w:val="319C6071"/>
    <w:rsid w:val="31C85C3C"/>
    <w:rsid w:val="31CE148A"/>
    <w:rsid w:val="320D678D"/>
    <w:rsid w:val="32326E2F"/>
    <w:rsid w:val="32BD0DAD"/>
    <w:rsid w:val="32DB72BE"/>
    <w:rsid w:val="331B3202"/>
    <w:rsid w:val="33706DBE"/>
    <w:rsid w:val="337827D9"/>
    <w:rsid w:val="342E63AB"/>
    <w:rsid w:val="345D260B"/>
    <w:rsid w:val="348E08B5"/>
    <w:rsid w:val="34B31CDA"/>
    <w:rsid w:val="34E261BC"/>
    <w:rsid w:val="35C4369A"/>
    <w:rsid w:val="35DD5710"/>
    <w:rsid w:val="35DF0B77"/>
    <w:rsid w:val="362F3D70"/>
    <w:rsid w:val="36407D2B"/>
    <w:rsid w:val="365302AE"/>
    <w:rsid w:val="365839B1"/>
    <w:rsid w:val="367714D5"/>
    <w:rsid w:val="36B933DA"/>
    <w:rsid w:val="382F0057"/>
    <w:rsid w:val="38D81BAB"/>
    <w:rsid w:val="39934542"/>
    <w:rsid w:val="39A13F14"/>
    <w:rsid w:val="39A14F85"/>
    <w:rsid w:val="3A396F6B"/>
    <w:rsid w:val="3A9128CC"/>
    <w:rsid w:val="3AAC2CCC"/>
    <w:rsid w:val="3B2D3E06"/>
    <w:rsid w:val="3C5F759A"/>
    <w:rsid w:val="3D175C1D"/>
    <w:rsid w:val="3D5C78D4"/>
    <w:rsid w:val="3D7A38E2"/>
    <w:rsid w:val="3DED132A"/>
    <w:rsid w:val="3E0730FC"/>
    <w:rsid w:val="3E6D50EE"/>
    <w:rsid w:val="3EAA6689"/>
    <w:rsid w:val="3EDB418E"/>
    <w:rsid w:val="3F5860E5"/>
    <w:rsid w:val="3F7B0026"/>
    <w:rsid w:val="3F7B737C"/>
    <w:rsid w:val="40F326A2"/>
    <w:rsid w:val="419657EA"/>
    <w:rsid w:val="41FC04CA"/>
    <w:rsid w:val="420A5691"/>
    <w:rsid w:val="42360FF0"/>
    <w:rsid w:val="42895C13"/>
    <w:rsid w:val="42B475B5"/>
    <w:rsid w:val="42C35505"/>
    <w:rsid w:val="42E1381E"/>
    <w:rsid w:val="42E20BC7"/>
    <w:rsid w:val="43C57AC2"/>
    <w:rsid w:val="43FB717C"/>
    <w:rsid w:val="442F13DF"/>
    <w:rsid w:val="44BF09B5"/>
    <w:rsid w:val="44D247F6"/>
    <w:rsid w:val="451E447A"/>
    <w:rsid w:val="45345B76"/>
    <w:rsid w:val="45691BF0"/>
    <w:rsid w:val="45C752A8"/>
    <w:rsid w:val="466D4889"/>
    <w:rsid w:val="467D7852"/>
    <w:rsid w:val="47307808"/>
    <w:rsid w:val="47392CA0"/>
    <w:rsid w:val="47EF2FD4"/>
    <w:rsid w:val="486620A5"/>
    <w:rsid w:val="486F747C"/>
    <w:rsid w:val="4878774D"/>
    <w:rsid w:val="48EB6B72"/>
    <w:rsid w:val="491D6091"/>
    <w:rsid w:val="49587A7B"/>
    <w:rsid w:val="49CE36F6"/>
    <w:rsid w:val="49DF40DF"/>
    <w:rsid w:val="4AD66421"/>
    <w:rsid w:val="4C60482B"/>
    <w:rsid w:val="4C6C7D99"/>
    <w:rsid w:val="4C77248A"/>
    <w:rsid w:val="4CC208D3"/>
    <w:rsid w:val="4D861CF6"/>
    <w:rsid w:val="4F146CCF"/>
    <w:rsid w:val="50151D6F"/>
    <w:rsid w:val="5032295C"/>
    <w:rsid w:val="519429B2"/>
    <w:rsid w:val="51A0432A"/>
    <w:rsid w:val="523B6299"/>
    <w:rsid w:val="527140E5"/>
    <w:rsid w:val="5292508F"/>
    <w:rsid w:val="52A96B6F"/>
    <w:rsid w:val="52F72FC0"/>
    <w:rsid w:val="532E282E"/>
    <w:rsid w:val="53896E24"/>
    <w:rsid w:val="53F51978"/>
    <w:rsid w:val="54515670"/>
    <w:rsid w:val="54856F5B"/>
    <w:rsid w:val="54D329CE"/>
    <w:rsid w:val="550764A4"/>
    <w:rsid w:val="55133E82"/>
    <w:rsid w:val="551926E0"/>
    <w:rsid w:val="56515F3B"/>
    <w:rsid w:val="56DE01A5"/>
    <w:rsid w:val="56DF0A43"/>
    <w:rsid w:val="56F56383"/>
    <w:rsid w:val="57007BFB"/>
    <w:rsid w:val="570332CE"/>
    <w:rsid w:val="572B71CA"/>
    <w:rsid w:val="574B41A1"/>
    <w:rsid w:val="57B00DA4"/>
    <w:rsid w:val="58162425"/>
    <w:rsid w:val="58A40196"/>
    <w:rsid w:val="58AE4F0C"/>
    <w:rsid w:val="5A2A7C7B"/>
    <w:rsid w:val="5AA765A5"/>
    <w:rsid w:val="5AED7EC2"/>
    <w:rsid w:val="5B4A6DD2"/>
    <w:rsid w:val="5B767C9D"/>
    <w:rsid w:val="5BB2427F"/>
    <w:rsid w:val="5C263E07"/>
    <w:rsid w:val="5C80234E"/>
    <w:rsid w:val="5C901A04"/>
    <w:rsid w:val="5D037864"/>
    <w:rsid w:val="5DA80011"/>
    <w:rsid w:val="5E261785"/>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B257BF"/>
    <w:rsid w:val="64986E00"/>
    <w:rsid w:val="64CE2EAA"/>
    <w:rsid w:val="64D410E3"/>
    <w:rsid w:val="651F3899"/>
    <w:rsid w:val="654A5803"/>
    <w:rsid w:val="65D97781"/>
    <w:rsid w:val="660B4B1B"/>
    <w:rsid w:val="662E75B1"/>
    <w:rsid w:val="66342C2E"/>
    <w:rsid w:val="663E784C"/>
    <w:rsid w:val="666F754F"/>
    <w:rsid w:val="677F73F7"/>
    <w:rsid w:val="67C021CA"/>
    <w:rsid w:val="67C30413"/>
    <w:rsid w:val="67F74E5D"/>
    <w:rsid w:val="6830791C"/>
    <w:rsid w:val="685867EC"/>
    <w:rsid w:val="689F32A2"/>
    <w:rsid w:val="68BE4518"/>
    <w:rsid w:val="68D93544"/>
    <w:rsid w:val="694A2FDF"/>
    <w:rsid w:val="69BB3AE8"/>
    <w:rsid w:val="6A3A5BDE"/>
    <w:rsid w:val="6A5A4B58"/>
    <w:rsid w:val="6A7E71B8"/>
    <w:rsid w:val="6B3E7F2E"/>
    <w:rsid w:val="6CA976D1"/>
    <w:rsid w:val="6D0E72AA"/>
    <w:rsid w:val="6D8838F4"/>
    <w:rsid w:val="6DA6322E"/>
    <w:rsid w:val="6DCF1A02"/>
    <w:rsid w:val="6DFF01C2"/>
    <w:rsid w:val="6E8E12EF"/>
    <w:rsid w:val="6F3E4AE1"/>
    <w:rsid w:val="6F84669D"/>
    <w:rsid w:val="6FEB29FA"/>
    <w:rsid w:val="705D7860"/>
    <w:rsid w:val="71D43752"/>
    <w:rsid w:val="71E103E2"/>
    <w:rsid w:val="723B701D"/>
    <w:rsid w:val="724F1D63"/>
    <w:rsid w:val="7276306B"/>
    <w:rsid w:val="727D6DE9"/>
    <w:rsid w:val="731C016A"/>
    <w:rsid w:val="733A5527"/>
    <w:rsid w:val="73472A09"/>
    <w:rsid w:val="73DD6243"/>
    <w:rsid w:val="74196025"/>
    <w:rsid w:val="741C4C2C"/>
    <w:rsid w:val="742C3D60"/>
    <w:rsid w:val="749C4185"/>
    <w:rsid w:val="74A0634E"/>
    <w:rsid w:val="74ED4E2A"/>
    <w:rsid w:val="75472BD8"/>
    <w:rsid w:val="75DA2C18"/>
    <w:rsid w:val="76500C7D"/>
    <w:rsid w:val="76AA4771"/>
    <w:rsid w:val="775319EF"/>
    <w:rsid w:val="77AE6D5C"/>
    <w:rsid w:val="77F34080"/>
    <w:rsid w:val="7860333A"/>
    <w:rsid w:val="789456D9"/>
    <w:rsid w:val="790F1C77"/>
    <w:rsid w:val="7A105B11"/>
    <w:rsid w:val="7A67303B"/>
    <w:rsid w:val="7AAB1D04"/>
    <w:rsid w:val="7ABA4368"/>
    <w:rsid w:val="7B257FFD"/>
    <w:rsid w:val="7B931DEA"/>
    <w:rsid w:val="7BBA7928"/>
    <w:rsid w:val="7BC502E3"/>
    <w:rsid w:val="7BCE579E"/>
    <w:rsid w:val="7BF37CC3"/>
    <w:rsid w:val="7BFD0CC1"/>
    <w:rsid w:val="7C2B1DA5"/>
    <w:rsid w:val="7CA5095F"/>
    <w:rsid w:val="7CE73678"/>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1"/>
    <w:link w:val="513"/>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6"/>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0"/>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9"/>
    <w:qFormat/>
    <w:uiPriority w:val="0"/>
    <w:pPr>
      <w:ind w:left="100" w:leftChars="2500"/>
    </w:pPr>
    <w:rPr>
      <w:rFonts w:ascii="宋体"/>
      <w:sz w:val="24"/>
      <w:szCs w:val="21"/>
      <w:lang w:val="zh-CN"/>
    </w:rPr>
  </w:style>
  <w:style w:type="paragraph" w:styleId="35">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6">
    <w:name w:val="Balloon Text"/>
    <w:basedOn w:val="1"/>
    <w:link w:val="616"/>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9"/>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6"/>
    <w:qFormat/>
    <w:uiPriority w:val="0"/>
    <w:pPr>
      <w:ind w:firstLine="420"/>
    </w:pPr>
    <w:rPr>
      <w:szCs w:val="20"/>
    </w:rPr>
  </w:style>
  <w:style w:type="paragraph" w:styleId="59">
    <w:name w:val="Body Text First Indent 2"/>
    <w:basedOn w:val="23"/>
    <w:next w:val="1"/>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styleId="71">
    <w:name w:val="List Paragraph"/>
    <w:basedOn w:val="1"/>
    <w:qFormat/>
    <w:uiPriority w:val="0"/>
    <w:pPr>
      <w:spacing w:line="360" w:lineRule="auto"/>
      <w:ind w:firstLine="200" w:firstLineChars="200"/>
    </w:pPr>
    <w:rPr>
      <w:rFonts w:eastAsia="楷体_GB2312" w:cs="Lucida Sans"/>
      <w:sz w:val="24"/>
    </w:rPr>
  </w:style>
  <w:style w:type="paragraph" w:customStyle="1" w:styleId="72">
    <w:name w:val="正文1"/>
    <w:basedOn w:val="1"/>
    <w:qFormat/>
    <w:uiPriority w:val="0"/>
    <w:pPr>
      <w:spacing w:line="318" w:lineRule="atLeast"/>
      <w:ind w:left="369" w:firstLine="369"/>
      <w:textAlignment w:val="baseline"/>
    </w:pPr>
    <w:rPr>
      <w:rFonts w:ascii="宋体"/>
      <w:szCs w:val="20"/>
    </w:rPr>
  </w:style>
  <w:style w:type="paragraph" w:customStyle="1" w:styleId="73">
    <w:name w:val="[Normal]"/>
    <w:qFormat/>
    <w:uiPriority w:val="0"/>
    <w:rPr>
      <w:rFonts w:ascii="宋体" w:hAnsi="宋体" w:eastAsia="等线" w:cs="Times New Roman"/>
      <w:sz w:val="24"/>
      <w:szCs w:val="22"/>
      <w:lang w:val="zh-CN" w:eastAsia="zh-CN" w:bidi="ar-SA"/>
    </w:rPr>
  </w:style>
  <w:style w:type="paragraph" w:customStyle="1" w:styleId="7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5"/>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39"/>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7"/>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4"/>
    <w:qFormat/>
    <w:uiPriority w:val="0"/>
    <w:rPr>
      <w:rFonts w:ascii="Arial" w:hAnsi="Arial" w:eastAsia="隶书"/>
      <w:b/>
      <w:bCs/>
      <w:kern w:val="28"/>
      <w:sz w:val="44"/>
      <w:szCs w:val="32"/>
      <w:lang w:val="en-US" w:eastAsia="zh-CN" w:bidi="ar-SA"/>
    </w:rPr>
  </w:style>
  <w:style w:type="character" w:customStyle="1" w:styleId="49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5"/>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4"/>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8"/>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8"/>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0"/>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4"/>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6"/>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32060</Words>
  <Characters>33894</Characters>
  <Lines>340</Lines>
  <Paragraphs>95</Paragraphs>
  <TotalTime>6</TotalTime>
  <ScaleCrop>false</ScaleCrop>
  <LinksUpToDate>false</LinksUpToDate>
  <CharactersWithSpaces>35978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ACTIVE SIDELIGHTS</cp:lastModifiedBy>
  <cp:lastPrinted>2025-06-10T01:55:00Z</cp:lastPrinted>
  <dcterms:modified xsi:type="dcterms:W3CDTF">2025-06-27T00:20:25Z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72993B84576146DC976A9D5B3BADA778_13</vt:lpwstr>
  </property>
  <property fmtid="{D5CDD505-2E9C-101B-9397-08002B2CF9AE}" pid="4" name="KSOTemplateDocerSaveRecord">
    <vt:lpwstr>eyJoZGlkIjoiYmM0MjNjODhlMmFmNWE2MDI2MDM4YTY5MWYzZTZhNTMiLCJ1c2VySWQiOiIyOTYzOTYwNTEifQ==</vt:lpwstr>
  </property>
</Properties>
</file>