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81894">
      <w:pPr>
        <w:adjustRightInd/>
        <w:spacing w:line="360" w:lineRule="auto"/>
        <w:jc w:val="both"/>
        <w:rPr>
          <w:rFonts w:hint="eastAsia" w:ascii="宋体" w:hAnsi="宋体" w:cs="宋体"/>
          <w:color w:val="auto"/>
          <w:sz w:val="48"/>
          <w:szCs w:val="48"/>
          <w:highlight w:val="none"/>
          <w:lang w:eastAsia="zh-CN"/>
        </w:rPr>
      </w:pPr>
    </w:p>
    <w:p w14:paraId="66F99B35">
      <w:pPr>
        <w:adjustRightInd/>
        <w:spacing w:line="360" w:lineRule="auto"/>
        <w:jc w:val="center"/>
        <w:rPr>
          <w:rFonts w:hint="eastAsia" w:ascii="宋体" w:hAnsi="宋体" w:cs="宋体"/>
          <w:color w:val="auto"/>
          <w:sz w:val="48"/>
          <w:szCs w:val="48"/>
          <w:highlight w:val="none"/>
          <w:lang w:eastAsia="zh-CN"/>
        </w:rPr>
      </w:pPr>
    </w:p>
    <w:p w14:paraId="2F732A98">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宁海县公共卫生中心食堂外包服务项目（2025年-2028年）</w:t>
      </w:r>
    </w:p>
    <w:p w14:paraId="1CB615BD">
      <w:pPr>
        <w:pStyle w:val="2"/>
        <w:ind w:left="0" w:leftChars="0" w:firstLine="0" w:firstLineChars="0"/>
        <w:rPr>
          <w:rFonts w:hint="eastAsia"/>
        </w:rPr>
      </w:pPr>
    </w:p>
    <w:p w14:paraId="46F7372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0ACEFE6">
      <w:pPr>
        <w:adjustRightInd/>
        <w:spacing w:line="360" w:lineRule="auto"/>
        <w:jc w:val="center"/>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rPr>
        <w:t xml:space="preserve"> （电子招投标）</w:t>
      </w:r>
      <w:r>
        <w:rPr>
          <w:rFonts w:hint="eastAsia" w:ascii="宋体" w:hAnsi="宋体" w:cs="宋体"/>
          <w:b/>
          <w:color w:val="auto"/>
          <w:sz w:val="44"/>
          <w:szCs w:val="44"/>
          <w:highlight w:val="none"/>
          <w:lang w:val="en-US" w:eastAsia="zh-CN"/>
        </w:rPr>
        <w:t xml:space="preserve"> </w:t>
      </w:r>
    </w:p>
    <w:p w14:paraId="0B9A12B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NH-TS202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027</w:t>
      </w:r>
    </w:p>
    <w:p w14:paraId="3D434F3B">
      <w:pPr>
        <w:adjustRightInd/>
        <w:spacing w:line="360" w:lineRule="auto"/>
        <w:rPr>
          <w:rFonts w:ascii="宋体" w:hAnsi="宋体" w:cs="宋体"/>
          <w:color w:val="auto"/>
          <w:sz w:val="28"/>
          <w:szCs w:val="20"/>
          <w:highlight w:val="none"/>
        </w:rPr>
      </w:pPr>
    </w:p>
    <w:p w14:paraId="19EEC534">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A1F5EF3">
      <w:pPr>
        <w:spacing w:line="360" w:lineRule="auto"/>
        <w:jc w:val="both"/>
        <w:rPr>
          <w:rFonts w:ascii="宋体" w:hAnsi="宋体" w:cs="宋体"/>
          <w:color w:val="auto"/>
          <w:sz w:val="24"/>
          <w:highlight w:val="none"/>
        </w:rPr>
      </w:pPr>
    </w:p>
    <w:p w14:paraId="483F6439">
      <w:pPr>
        <w:spacing w:line="360" w:lineRule="auto"/>
        <w:jc w:val="center"/>
        <w:rPr>
          <w:rFonts w:ascii="宋体" w:hAnsi="宋体" w:cs="宋体"/>
          <w:color w:val="auto"/>
          <w:sz w:val="24"/>
          <w:highlight w:val="none"/>
        </w:rPr>
      </w:pPr>
    </w:p>
    <w:p w14:paraId="3EBD4D6B">
      <w:pPr>
        <w:spacing w:line="360" w:lineRule="auto"/>
        <w:rPr>
          <w:rFonts w:ascii="宋体" w:hAnsi="宋体" w:cs="宋体"/>
          <w:color w:val="auto"/>
          <w:sz w:val="32"/>
          <w:szCs w:val="32"/>
          <w:highlight w:val="none"/>
        </w:rPr>
      </w:pPr>
    </w:p>
    <w:p w14:paraId="3535B1FA">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宁海县疾病预防控制中心</w:t>
      </w:r>
    </w:p>
    <w:p w14:paraId="6633F5FB">
      <w:pPr>
        <w:spacing w:line="360" w:lineRule="auto"/>
        <w:jc w:val="center"/>
        <w:rPr>
          <w:rFonts w:hint="eastAsia" w:ascii="宋体" w:hAnsi="宋体" w:eastAsia="宋体" w:cs="宋体"/>
          <w:bCs/>
          <w:color w:val="auto"/>
          <w:sz w:val="36"/>
          <w:szCs w:val="36"/>
          <w:highlight w:val="none"/>
          <w:lang w:eastAsia="zh-CN"/>
        </w:rPr>
      </w:pPr>
      <w:r>
        <w:rPr>
          <w:rFonts w:hint="eastAsia" w:ascii="宋体" w:hAnsi="宋体" w:cs="宋体"/>
          <w:bCs/>
          <w:color w:val="auto"/>
          <w:sz w:val="36"/>
          <w:szCs w:val="36"/>
          <w:highlight w:val="none"/>
          <w:lang w:eastAsia="zh-CN"/>
        </w:rPr>
        <w:t>宁海童氏工程管理咨询有限公司</w:t>
      </w:r>
    </w:p>
    <w:p w14:paraId="2D6904E7">
      <w:pPr>
        <w:spacing w:line="360" w:lineRule="auto"/>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二〇二五年</w:t>
      </w:r>
      <w:r>
        <w:rPr>
          <w:rFonts w:hint="eastAsia" w:ascii="宋体" w:hAnsi="宋体" w:cs="宋体"/>
          <w:bCs/>
          <w:color w:val="auto"/>
          <w:sz w:val="36"/>
          <w:szCs w:val="36"/>
          <w:highlight w:val="none"/>
          <w:lang w:val="en-US" w:eastAsia="zh-CN"/>
        </w:rPr>
        <w:t>六</w:t>
      </w:r>
      <w:r>
        <w:rPr>
          <w:rFonts w:hint="eastAsia" w:ascii="宋体" w:hAnsi="宋体" w:cs="宋体"/>
          <w:bCs/>
          <w:color w:val="auto"/>
          <w:sz w:val="36"/>
          <w:szCs w:val="36"/>
          <w:highlight w:val="none"/>
          <w:lang w:eastAsia="zh-CN"/>
        </w:rPr>
        <w:t>月</w:t>
      </w:r>
    </w:p>
    <w:p w14:paraId="0834E6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1077FB5">
      <w:pPr>
        <w:pStyle w:val="22"/>
        <w:rPr>
          <w:color w:val="auto"/>
          <w:highlight w:val="none"/>
        </w:rPr>
      </w:pPr>
    </w:p>
    <w:p w14:paraId="2F860D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AFBE385">
      <w:pPr>
        <w:spacing w:line="360" w:lineRule="auto"/>
        <w:rPr>
          <w:rFonts w:ascii="宋体" w:hAnsi="宋体" w:cs="宋体"/>
          <w:color w:val="auto"/>
          <w:sz w:val="32"/>
          <w:szCs w:val="32"/>
          <w:highlight w:val="none"/>
        </w:rPr>
      </w:pPr>
    </w:p>
    <w:p w14:paraId="19CF6595">
      <w:pPr>
        <w:spacing w:line="360" w:lineRule="auto"/>
        <w:rPr>
          <w:rFonts w:ascii="宋体" w:hAnsi="宋体" w:cs="宋体"/>
          <w:color w:val="auto"/>
          <w:sz w:val="32"/>
          <w:szCs w:val="32"/>
          <w:highlight w:val="none"/>
        </w:rPr>
      </w:pPr>
    </w:p>
    <w:p w14:paraId="3CFF5AF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801373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0B8B75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94951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DE2C87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929F8E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CCD7AD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E80384D">
      <w:pPr>
        <w:spacing w:line="360" w:lineRule="auto"/>
        <w:ind w:firstLine="549" w:firstLineChars="229"/>
        <w:rPr>
          <w:rFonts w:ascii="宋体" w:hAnsi="宋体" w:cs="宋体"/>
          <w:color w:val="auto"/>
          <w:sz w:val="24"/>
          <w:highlight w:val="none"/>
        </w:rPr>
      </w:pPr>
    </w:p>
    <w:p w14:paraId="311DE33A">
      <w:pPr>
        <w:spacing w:line="360" w:lineRule="auto"/>
        <w:ind w:firstLine="549" w:firstLineChars="229"/>
        <w:rPr>
          <w:rFonts w:ascii="宋体" w:hAnsi="宋体" w:cs="宋体"/>
          <w:color w:val="auto"/>
          <w:sz w:val="24"/>
          <w:highlight w:val="none"/>
        </w:rPr>
      </w:pPr>
    </w:p>
    <w:p w14:paraId="27026BD3">
      <w:pPr>
        <w:spacing w:line="360" w:lineRule="auto"/>
        <w:ind w:firstLine="549" w:firstLineChars="229"/>
        <w:rPr>
          <w:rFonts w:ascii="宋体" w:hAnsi="宋体" w:cs="宋体"/>
          <w:color w:val="auto"/>
          <w:sz w:val="24"/>
          <w:highlight w:val="none"/>
        </w:rPr>
      </w:pPr>
    </w:p>
    <w:p w14:paraId="0E257568">
      <w:pPr>
        <w:spacing w:line="360" w:lineRule="auto"/>
        <w:ind w:firstLine="549" w:firstLineChars="229"/>
        <w:rPr>
          <w:rFonts w:ascii="宋体" w:hAnsi="宋体" w:cs="宋体"/>
          <w:color w:val="auto"/>
          <w:sz w:val="24"/>
          <w:highlight w:val="none"/>
        </w:rPr>
      </w:pPr>
    </w:p>
    <w:p w14:paraId="31D4658E">
      <w:pPr>
        <w:spacing w:line="360" w:lineRule="auto"/>
        <w:ind w:firstLine="549" w:firstLineChars="229"/>
        <w:rPr>
          <w:rFonts w:ascii="宋体" w:hAnsi="宋体" w:cs="宋体"/>
          <w:color w:val="auto"/>
          <w:sz w:val="24"/>
          <w:highlight w:val="none"/>
        </w:rPr>
      </w:pPr>
    </w:p>
    <w:p w14:paraId="4458DEA7">
      <w:pPr>
        <w:spacing w:line="360" w:lineRule="auto"/>
        <w:ind w:firstLine="549" w:firstLineChars="229"/>
        <w:rPr>
          <w:rFonts w:ascii="宋体" w:hAnsi="宋体" w:cs="宋体"/>
          <w:color w:val="auto"/>
          <w:sz w:val="24"/>
          <w:highlight w:val="none"/>
        </w:rPr>
      </w:pPr>
    </w:p>
    <w:p w14:paraId="600D9FAC">
      <w:pPr>
        <w:spacing w:line="360" w:lineRule="auto"/>
        <w:ind w:firstLine="549" w:firstLineChars="229"/>
        <w:rPr>
          <w:rFonts w:ascii="宋体" w:hAnsi="宋体" w:cs="宋体"/>
          <w:color w:val="auto"/>
          <w:sz w:val="24"/>
          <w:highlight w:val="none"/>
        </w:rPr>
      </w:pPr>
    </w:p>
    <w:p w14:paraId="7A0C3012">
      <w:pPr>
        <w:spacing w:line="360" w:lineRule="auto"/>
        <w:ind w:firstLine="549" w:firstLineChars="229"/>
        <w:rPr>
          <w:rFonts w:ascii="宋体" w:hAnsi="宋体" w:cs="宋体"/>
          <w:color w:val="auto"/>
          <w:sz w:val="24"/>
          <w:highlight w:val="none"/>
        </w:rPr>
      </w:pPr>
    </w:p>
    <w:p w14:paraId="6E20DAB5">
      <w:pPr>
        <w:spacing w:line="360" w:lineRule="auto"/>
        <w:ind w:firstLine="549" w:firstLineChars="229"/>
        <w:rPr>
          <w:rFonts w:ascii="宋体" w:hAnsi="宋体" w:cs="宋体"/>
          <w:color w:val="auto"/>
          <w:sz w:val="24"/>
          <w:highlight w:val="none"/>
        </w:rPr>
      </w:pPr>
    </w:p>
    <w:p w14:paraId="240B9F72">
      <w:pPr>
        <w:spacing w:line="360" w:lineRule="auto"/>
        <w:ind w:firstLine="549" w:firstLineChars="229"/>
        <w:rPr>
          <w:rFonts w:ascii="宋体" w:hAnsi="宋体" w:cs="宋体"/>
          <w:color w:val="auto"/>
          <w:sz w:val="24"/>
          <w:highlight w:val="none"/>
        </w:rPr>
      </w:pPr>
    </w:p>
    <w:p w14:paraId="07F8602E">
      <w:pPr>
        <w:spacing w:line="360" w:lineRule="auto"/>
        <w:ind w:firstLine="549" w:firstLineChars="229"/>
        <w:rPr>
          <w:rFonts w:ascii="宋体" w:hAnsi="宋体" w:cs="宋体"/>
          <w:color w:val="auto"/>
          <w:sz w:val="24"/>
          <w:highlight w:val="none"/>
        </w:rPr>
      </w:pPr>
    </w:p>
    <w:p w14:paraId="29FEA62D">
      <w:pPr>
        <w:spacing w:line="360" w:lineRule="auto"/>
        <w:ind w:firstLine="549" w:firstLineChars="229"/>
        <w:rPr>
          <w:rFonts w:ascii="宋体" w:hAnsi="宋体" w:cs="宋体"/>
          <w:color w:val="auto"/>
          <w:sz w:val="24"/>
          <w:highlight w:val="none"/>
        </w:rPr>
      </w:pPr>
    </w:p>
    <w:p w14:paraId="2BB7365C">
      <w:pPr>
        <w:spacing w:line="360" w:lineRule="auto"/>
        <w:rPr>
          <w:rFonts w:ascii="宋体" w:hAnsi="宋体" w:cs="宋体"/>
          <w:color w:val="auto"/>
          <w:sz w:val="24"/>
          <w:highlight w:val="none"/>
        </w:rPr>
      </w:pPr>
    </w:p>
    <w:p w14:paraId="6BAA584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39A59C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项目概况</w:t>
      </w:r>
    </w:p>
    <w:p w14:paraId="01246B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宁海县公共卫生中心食堂外包服务项目（2025年-2028年）</w:t>
      </w:r>
      <w:r>
        <w:rPr>
          <w:rFonts w:hint="eastAsia" w:ascii="宋体" w:hAnsi="宋体" w:cs="宋体"/>
          <w:color w:val="auto"/>
          <w:sz w:val="21"/>
          <w:szCs w:val="21"/>
          <w:highlight w:val="none"/>
        </w:rPr>
        <w:t>招标项目的潜在投标人应在政采云平台（</w:t>
      </w:r>
      <w:r>
        <w:rPr>
          <w:color w:val="auto"/>
          <w:szCs w:val="21"/>
          <w:highlight w:val="none"/>
        </w:rPr>
        <w:fldChar w:fldCharType="begin"/>
      </w:r>
      <w:r>
        <w:rPr>
          <w:color w:val="auto"/>
          <w:szCs w:val="21"/>
          <w:highlight w:val="none"/>
        </w:rPr>
        <w:instrText xml:space="preserve"> HYPERLINK "https://www.zcygov.cn/）获取（下载）招标文件，并于202%20年%20月%20日%20点%20分00秒" </w:instrText>
      </w:r>
      <w:r>
        <w:rPr>
          <w:color w:val="auto"/>
          <w:szCs w:val="21"/>
          <w:highlight w:val="none"/>
        </w:rPr>
        <w:fldChar w:fldCharType="separate"/>
      </w:r>
      <w:r>
        <w:rPr>
          <w:rStyle w:val="20"/>
          <w:rFonts w:hint="eastAsia" w:ascii="宋体" w:hAnsi="宋体" w:eastAsia="宋体" w:cs="宋体"/>
          <w:snapToGrid/>
          <w:color w:val="auto"/>
          <w:kern w:val="2"/>
          <w:sz w:val="21"/>
          <w:szCs w:val="21"/>
          <w:highlight w:val="none"/>
        </w:rPr>
        <w:t>https://www.zcygov.cn/）获取（下载）招标文件，并于</w:t>
      </w:r>
      <w:r>
        <w:rPr>
          <w:rStyle w:val="20"/>
          <w:rFonts w:hint="eastAsia" w:ascii="宋体" w:hAnsi="宋体" w:cs="宋体"/>
          <w:snapToGrid/>
          <w:color w:val="000000" w:themeColor="text1"/>
          <w:kern w:val="2"/>
          <w:sz w:val="21"/>
          <w:szCs w:val="21"/>
          <w:highlight w:val="none"/>
          <w:lang w:eastAsia="zh-CN"/>
          <w14:textFill>
            <w14:solidFill>
              <w14:schemeClr w14:val="tx1"/>
            </w14:solidFill>
          </w14:textFill>
        </w:rPr>
        <w:t>202</w:t>
      </w:r>
      <w:r>
        <w:rPr>
          <w:rStyle w:val="20"/>
          <w:rFonts w:hint="eastAsia" w:ascii="宋体" w:hAnsi="宋体" w:cs="宋体"/>
          <w:snapToGrid/>
          <w:color w:val="000000" w:themeColor="text1"/>
          <w:kern w:val="2"/>
          <w:sz w:val="21"/>
          <w:szCs w:val="21"/>
          <w:highlight w:val="none"/>
          <w:lang w:val="en-US" w:eastAsia="zh-CN"/>
          <w14:textFill>
            <w14:solidFill>
              <w14:schemeClr w14:val="tx1"/>
            </w14:solidFill>
          </w14:textFill>
        </w:rPr>
        <w:t>5</w:t>
      </w:r>
      <w:r>
        <w:rPr>
          <w:rStyle w:val="20"/>
          <w:rFonts w:hint="eastAsia" w:ascii="宋体" w:hAnsi="宋体" w:cs="宋体"/>
          <w:snapToGrid/>
          <w:color w:val="000000" w:themeColor="text1"/>
          <w:kern w:val="2"/>
          <w:sz w:val="21"/>
          <w:szCs w:val="21"/>
          <w:highlight w:val="none"/>
          <w:lang w:eastAsia="zh-CN"/>
          <w14:textFill>
            <w14:solidFill>
              <w14:schemeClr w14:val="tx1"/>
            </w14:solidFill>
          </w14:textFill>
        </w:rPr>
        <w:t>年</w:t>
      </w:r>
      <w:r>
        <w:rPr>
          <w:rStyle w:val="20"/>
          <w:rFonts w:hint="eastAsia" w:ascii="宋体" w:hAnsi="宋体" w:cs="宋体"/>
          <w:snapToGrid/>
          <w:color w:val="000000" w:themeColor="text1"/>
          <w:kern w:val="2"/>
          <w:sz w:val="21"/>
          <w:szCs w:val="21"/>
          <w:highlight w:val="none"/>
          <w:lang w:val="en-US" w:eastAsia="zh-CN"/>
          <w14:textFill>
            <w14:solidFill>
              <w14:schemeClr w14:val="tx1"/>
            </w14:solidFill>
          </w14:textFill>
        </w:rPr>
        <w:t>07</w:t>
      </w:r>
      <w:r>
        <w:rPr>
          <w:rStyle w:val="20"/>
          <w:rFonts w:hint="eastAsia" w:ascii="宋体" w:hAnsi="宋体" w:cs="宋体"/>
          <w:snapToGrid/>
          <w:color w:val="000000" w:themeColor="text1"/>
          <w:kern w:val="2"/>
          <w:sz w:val="21"/>
          <w:szCs w:val="21"/>
          <w:highlight w:val="none"/>
          <w:lang w:eastAsia="zh-CN"/>
          <w14:textFill>
            <w14:solidFill>
              <w14:schemeClr w14:val="tx1"/>
            </w14:solidFill>
          </w14:textFill>
        </w:rPr>
        <w:t>月</w:t>
      </w:r>
      <w:r>
        <w:rPr>
          <w:rStyle w:val="20"/>
          <w:rFonts w:hint="eastAsia" w:ascii="宋体" w:hAnsi="宋体" w:cs="宋体"/>
          <w:snapToGrid/>
          <w:color w:val="000000" w:themeColor="text1"/>
          <w:kern w:val="2"/>
          <w:sz w:val="21"/>
          <w:szCs w:val="21"/>
          <w:highlight w:val="none"/>
          <w:lang w:val="en-US" w:eastAsia="zh-CN"/>
          <w14:textFill>
            <w14:solidFill>
              <w14:schemeClr w14:val="tx1"/>
            </w14:solidFill>
          </w14:textFill>
        </w:rPr>
        <w:t>09</w:t>
      </w:r>
      <w:r>
        <w:rPr>
          <w:rStyle w:val="20"/>
          <w:rFonts w:hint="eastAsia" w:ascii="宋体" w:hAnsi="宋体" w:cs="宋体"/>
          <w:snapToGrid/>
          <w:color w:val="000000" w:themeColor="text1"/>
          <w:kern w:val="2"/>
          <w:sz w:val="21"/>
          <w:szCs w:val="21"/>
          <w:highlight w:val="none"/>
          <w:lang w:eastAsia="zh-CN"/>
          <w14:textFill>
            <w14:solidFill>
              <w14:schemeClr w14:val="tx1"/>
            </w14:solidFill>
          </w14:textFill>
        </w:rPr>
        <w:t>日</w:t>
      </w:r>
      <w:r>
        <w:rPr>
          <w:rStyle w:val="20"/>
          <w:rFonts w:hint="eastAsia" w:ascii="宋体" w:hAnsi="宋体" w:cs="宋体"/>
          <w:snapToGrid/>
          <w:color w:val="000000" w:themeColor="text1"/>
          <w:kern w:val="2"/>
          <w:sz w:val="21"/>
          <w:szCs w:val="21"/>
          <w:highlight w:val="none"/>
          <w:lang w:val="en-US" w:eastAsia="zh-CN"/>
          <w14:textFill>
            <w14:solidFill>
              <w14:schemeClr w14:val="tx1"/>
            </w14:solidFill>
          </w14:textFill>
        </w:rPr>
        <w:t>1</w:t>
      </w:r>
      <w:r>
        <w:rPr>
          <w:rStyle w:val="20"/>
          <w:rFonts w:hint="eastAsia" w:ascii="宋体" w:hAnsi="宋体" w:cs="宋体"/>
          <w:snapToGrid/>
          <w:color w:val="auto"/>
          <w:kern w:val="2"/>
          <w:sz w:val="21"/>
          <w:szCs w:val="21"/>
          <w:highlight w:val="none"/>
          <w:lang w:val="en-US" w:eastAsia="zh-CN"/>
        </w:rPr>
        <w:t>3</w:t>
      </w:r>
      <w:r>
        <w:rPr>
          <w:rStyle w:val="20"/>
          <w:rFonts w:hint="eastAsia" w:ascii="宋体" w:hAnsi="宋体" w:eastAsia="宋体" w:cs="宋体"/>
          <w:snapToGrid/>
          <w:color w:val="auto"/>
          <w:kern w:val="2"/>
          <w:sz w:val="21"/>
          <w:szCs w:val="21"/>
          <w:highlight w:val="none"/>
        </w:rPr>
        <w:t>点</w:t>
      </w:r>
      <w:r>
        <w:rPr>
          <w:rStyle w:val="20"/>
          <w:rFonts w:hint="eastAsia" w:ascii="宋体" w:hAnsi="宋体" w:cs="宋体"/>
          <w:snapToGrid/>
          <w:color w:val="auto"/>
          <w:kern w:val="2"/>
          <w:sz w:val="21"/>
          <w:szCs w:val="21"/>
          <w:highlight w:val="none"/>
          <w:lang w:val="en-US" w:eastAsia="zh-CN"/>
        </w:rPr>
        <w:t>30</w:t>
      </w:r>
      <w:r>
        <w:rPr>
          <w:rStyle w:val="20"/>
          <w:rFonts w:hint="eastAsia" w:ascii="宋体" w:hAnsi="宋体" w:eastAsia="宋体" w:cs="宋体"/>
          <w:snapToGrid/>
          <w:color w:val="auto"/>
          <w:kern w:val="2"/>
          <w:sz w:val="21"/>
          <w:szCs w:val="21"/>
          <w:highlight w:val="none"/>
        </w:rPr>
        <w:t>分</w:t>
      </w:r>
      <w:r>
        <w:rPr>
          <w:rStyle w:val="20"/>
          <w:rFonts w:hint="eastAsia" w:ascii="宋体" w:hAnsi="宋体" w:eastAsia="宋体" w:cs="宋体"/>
          <w:bCs/>
          <w:snapToGrid/>
          <w:color w:val="auto"/>
          <w:kern w:val="2"/>
          <w:sz w:val="21"/>
          <w:szCs w:val="21"/>
          <w:highlight w:val="none"/>
        </w:rPr>
        <w:t>00秒</w:t>
      </w:r>
      <w:r>
        <w:rPr>
          <w:rStyle w:val="20"/>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 w:val="21"/>
          <w:szCs w:val="21"/>
          <w:highlight w:val="none"/>
        </w:rPr>
        <w:t>（北京时间）前</w:t>
      </w:r>
      <w:r>
        <w:rPr>
          <w:rFonts w:hint="eastAsia" w:ascii="宋体" w:hAnsi="宋体" w:cs="宋体"/>
          <w:color w:val="auto"/>
          <w:sz w:val="21"/>
          <w:szCs w:val="21"/>
          <w:highlight w:val="none"/>
        </w:rPr>
        <w:t>递交（上传）投标文件。</w:t>
      </w:r>
    </w:p>
    <w:p w14:paraId="41CB1B7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一、项目基本情况                                            </w:t>
      </w:r>
    </w:p>
    <w:p w14:paraId="164956E5">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项目编号：</w:t>
      </w:r>
      <w:r>
        <w:rPr>
          <w:rFonts w:hint="eastAsia" w:ascii="宋体" w:hAnsi="宋体" w:cs="宋体"/>
          <w:color w:val="auto"/>
          <w:sz w:val="21"/>
          <w:szCs w:val="21"/>
          <w:highlight w:val="none"/>
          <w:lang w:eastAsia="zh-CN"/>
        </w:rPr>
        <w:t>NH-TS2025-027</w:t>
      </w:r>
    </w:p>
    <w:p w14:paraId="1065EB47">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项目名称：</w:t>
      </w:r>
      <w:r>
        <w:rPr>
          <w:rFonts w:hint="eastAsia" w:ascii="宋体" w:hAnsi="宋体" w:cs="宋体"/>
          <w:color w:val="auto"/>
          <w:sz w:val="21"/>
          <w:szCs w:val="21"/>
          <w:highlight w:val="none"/>
          <w:lang w:eastAsia="zh-CN"/>
        </w:rPr>
        <w:t>宁海县公共卫生中心食堂外包服务项目（2025年-2028年）</w:t>
      </w:r>
    </w:p>
    <w:p w14:paraId="225F2A4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预算金额：</w:t>
      </w:r>
      <w:r>
        <w:rPr>
          <w:rFonts w:hint="eastAsia" w:ascii="宋体" w:hAnsi="宋体" w:cs="宋体"/>
          <w:b/>
          <w:color w:val="auto"/>
          <w:sz w:val="21"/>
          <w:szCs w:val="21"/>
          <w:highlight w:val="none"/>
          <w:lang w:val="en-US" w:eastAsia="zh-CN"/>
        </w:rPr>
        <w:t>人民币1455000</w:t>
      </w:r>
      <w:r>
        <w:rPr>
          <w:rFonts w:hint="eastAsia" w:ascii="宋体" w:hAnsi="宋体" w:cs="宋体"/>
          <w:b/>
          <w:color w:val="auto"/>
          <w:sz w:val="21"/>
          <w:szCs w:val="21"/>
          <w:highlight w:val="none"/>
        </w:rPr>
        <w:t>元</w:t>
      </w:r>
      <w:r>
        <w:rPr>
          <w:rFonts w:ascii="宋体" w:hAnsi="宋体" w:cs="宋体"/>
          <w:color w:val="auto"/>
          <w:sz w:val="21"/>
          <w:szCs w:val="21"/>
          <w:highlight w:val="none"/>
        </w:rPr>
        <w:t xml:space="preserve"> </w:t>
      </w:r>
    </w:p>
    <w:p w14:paraId="5FF3D11A">
      <w:pPr>
        <w:spacing w:line="360" w:lineRule="auto"/>
        <w:ind w:firstLine="422" w:firstLineChars="200"/>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数量：3年</w:t>
      </w:r>
    </w:p>
    <w:p w14:paraId="3FDCD002">
      <w:pPr>
        <w:spacing w:line="360" w:lineRule="auto"/>
        <w:ind w:firstLine="422" w:firstLineChars="200"/>
        <w:rPr>
          <w:szCs w:val="21"/>
          <w:highlight w:val="none"/>
        </w:rPr>
      </w:pPr>
      <w:r>
        <w:rPr>
          <w:rFonts w:hint="eastAsia" w:ascii="宋体" w:hAnsi="宋体" w:eastAsia="宋体" w:cs="宋体"/>
          <w:b/>
          <w:snapToGrid/>
          <w:color w:val="auto"/>
          <w:kern w:val="2"/>
          <w:sz w:val="21"/>
          <w:szCs w:val="21"/>
          <w:highlight w:val="none"/>
          <w:lang w:val="en-US" w:eastAsia="zh-CN" w:bidi="ar-SA"/>
        </w:rPr>
        <w:t>采购需</w:t>
      </w:r>
      <w:r>
        <w:rPr>
          <w:rFonts w:hint="eastAsia" w:hAnsi="宋体" w:cs="宋体"/>
          <w:b/>
          <w:color w:val="auto"/>
          <w:sz w:val="21"/>
          <w:szCs w:val="21"/>
          <w:highlight w:val="none"/>
        </w:rPr>
        <w:t>求：</w:t>
      </w:r>
      <w:r>
        <w:rPr>
          <w:rFonts w:hint="eastAsia" w:ascii="宋体" w:hAnsi="宋体" w:eastAsia="宋体" w:cs="宋体"/>
          <w:color w:val="auto"/>
          <w:highlight w:val="none"/>
          <w:u w:val="none"/>
          <w:lang w:eastAsia="zh-CN"/>
        </w:rPr>
        <w:t>宁海县公共卫生中心食堂外包服务项目，</w:t>
      </w:r>
      <w:r>
        <w:rPr>
          <w:rFonts w:hint="eastAsia" w:ascii="宋体" w:hAnsi="宋体" w:eastAsia="宋体" w:cs="宋体"/>
          <w:color w:val="auto"/>
          <w:highlight w:val="none"/>
          <w:u w:val="none"/>
        </w:rPr>
        <w:t>食堂运营管</w:t>
      </w:r>
      <w:r>
        <w:rPr>
          <w:rFonts w:hint="eastAsia" w:ascii="宋体" w:hAnsi="宋体" w:eastAsia="宋体" w:cs="宋体"/>
          <w:color w:val="auto"/>
          <w:highlight w:val="none"/>
          <w:u w:val="none"/>
          <w:lang w:val="en-US" w:eastAsia="zh-CN"/>
        </w:rPr>
        <w:t>理，包括食堂的人力资源管理、菜品加工等服务事项，详见采购文件第三章“采购</w:t>
      </w:r>
      <w:r>
        <w:rPr>
          <w:rFonts w:hint="eastAsia"/>
          <w:color w:val="auto"/>
          <w:highlight w:val="none"/>
          <w:u w:val="none"/>
        </w:rPr>
        <w:t>需求”</w:t>
      </w:r>
      <w:r>
        <w:rPr>
          <w:color w:val="auto"/>
          <w:szCs w:val="21"/>
          <w:highlight w:val="none"/>
          <w:u w:val="none"/>
        </w:rPr>
        <w:t>。</w:t>
      </w:r>
    </w:p>
    <w:p w14:paraId="297E4E3F">
      <w:pPr>
        <w:pStyle w:val="4"/>
        <w:spacing w:line="360" w:lineRule="auto"/>
        <w:ind w:left="0" w:leftChars="0"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合同履约期限：</w:t>
      </w:r>
      <w:r>
        <w:rPr>
          <w:rFonts w:hint="eastAsia" w:ascii="宋体" w:hAnsi="宋体"/>
          <w:kern w:val="2"/>
          <w:sz w:val="21"/>
          <w:szCs w:val="21"/>
          <w:lang w:eastAsia="zh-CN"/>
        </w:rPr>
        <w:t>本服务项目一招暂定三年，合同必须为一年一签。合同应符合政府采购预算安排要求，申报政府采购计划，经批准，并经采购人考核验收，双方同意后，方可续签订下一年度的合同。合同续签后，应经原政府采购代理机构见证及备案，并报宁海县政府采购管理办公室。</w:t>
      </w:r>
    </w:p>
    <w:p w14:paraId="6B2517D7">
      <w:pPr>
        <w:pStyle w:val="4"/>
        <w:spacing w:line="360" w:lineRule="auto"/>
        <w:ind w:firstLine="480"/>
        <w:rPr>
          <w:rFonts w:hAnsi="宋体" w:cs="宋体"/>
          <w:b/>
          <w:color w:val="auto"/>
          <w:sz w:val="21"/>
          <w:szCs w:val="21"/>
          <w:highlight w:val="none"/>
        </w:rPr>
      </w:pPr>
      <w:r>
        <w:rPr>
          <w:rFonts w:hint="eastAsia" w:hAnsi="宋体" w:cs="宋体"/>
          <w:b/>
          <w:color w:val="auto"/>
          <w:sz w:val="21"/>
          <w:szCs w:val="21"/>
          <w:highlight w:val="none"/>
        </w:rPr>
        <w:t>本项目接受联合体投标：</w:t>
      </w:r>
      <w:r>
        <w:rPr>
          <w:rFonts w:hAnsi="宋体" w:cs="宋体"/>
          <w:color w:val="auto"/>
          <w:kern w:val="0"/>
          <w:sz w:val="21"/>
          <w:szCs w:val="21"/>
          <w:highlight w:val="none"/>
        </w:rPr>
        <w:t xml:space="preserve"> </w:t>
      </w:r>
      <w:sdt>
        <w:sdtPr>
          <w:rPr>
            <w:rFonts w:hAnsi="宋体" w:cs="宋体"/>
            <w:color w:val="auto"/>
            <w:kern w:val="0"/>
            <w:sz w:val="21"/>
            <w:szCs w:val="21"/>
            <w:highlight w:val="none"/>
          </w:rPr>
          <w:id w:val="-441836950"/>
          <w14:checkbox>
            <w14:checked w14:val="0"/>
            <w14:checkedState w14:val="00FE" w14:font="Wingdings"/>
            <w14:uncheckedState w14:val="2610" w14:font="MS Gothic"/>
          </w14:checkbox>
        </w:sdtPr>
        <w:sdtEndPr>
          <w:rPr>
            <w:rFonts w:hAnsi="宋体" w:cs="宋体"/>
            <w:color w:val="auto"/>
            <w:kern w:val="0"/>
            <w:sz w:val="21"/>
            <w:szCs w:val="21"/>
            <w:highlight w:val="none"/>
          </w:rPr>
        </w:sdtEndPr>
        <w:sdtContent>
          <w:r>
            <w:rPr>
              <w:rFonts w:ascii="MS Gothic" w:hAnsi="MS Gothic" w:eastAsia="宋体" w:cs="宋体"/>
              <w:snapToGrid w:val="0"/>
              <w:color w:val="auto"/>
              <w:kern w:val="0"/>
              <w:sz w:val="21"/>
              <w:szCs w:val="21"/>
              <w:highlight w:val="none"/>
              <w:lang w:val="en-US" w:eastAsia="zh-CN" w:bidi="ar-SA"/>
            </w:rPr>
            <w:t>☐</w:t>
          </w:r>
        </w:sdtContent>
      </w:sdt>
      <w:r>
        <w:rPr>
          <w:rFonts w:hint="eastAsia" w:hAnsi="宋体" w:cs="宋体"/>
          <w:b/>
          <w:color w:val="auto"/>
          <w:sz w:val="21"/>
          <w:szCs w:val="21"/>
          <w:highlight w:val="none"/>
        </w:rPr>
        <w:t>是；</w:t>
      </w:r>
      <w:sdt>
        <w:sdtPr>
          <w:rPr>
            <w:rFonts w:hAnsi="宋体" w:cs="宋体"/>
            <w:color w:val="auto"/>
            <w:kern w:val="0"/>
            <w:sz w:val="21"/>
            <w:szCs w:val="21"/>
            <w:highlight w:val="none"/>
          </w:rPr>
          <w:id w:val="-1591624199"/>
          <w14:checkbox>
            <w14:checked w14:val="1"/>
            <w14:checkedState w14:val="00FE" w14:font="Wingdings"/>
            <w14:uncheckedState w14:val="2610" w14:font="MS Gothic"/>
          </w14:checkbox>
        </w:sdtPr>
        <w:sdtEndPr>
          <w:rPr>
            <w:rFonts w:hAnsi="宋体" w:cs="宋体"/>
            <w:color w:val="auto"/>
            <w:kern w:val="0"/>
            <w:sz w:val="21"/>
            <w:szCs w:val="21"/>
            <w:highlight w:val="none"/>
          </w:rPr>
        </w:sdtEndPr>
        <w:sdtContent>
          <w:r>
            <w:rPr>
              <w:rFonts w:ascii="Wingdings" w:hAnsi="Wingdings" w:eastAsia="宋体" w:cs="Segoe UI Symbol"/>
              <w:snapToGrid w:val="0"/>
              <w:color w:val="auto"/>
              <w:kern w:val="0"/>
              <w:sz w:val="21"/>
              <w:szCs w:val="21"/>
              <w:highlight w:val="none"/>
              <w:lang w:val="en-US" w:eastAsia="zh-CN" w:bidi="ar-SA"/>
            </w:rPr>
            <w:t>þ</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51CCB5BF">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0692DFDF">
      <w:pPr>
        <w:spacing w:line="360" w:lineRule="auto"/>
        <w:ind w:firstLine="48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1"/>
          <w:szCs w:val="21"/>
          <w:highlight w:val="none"/>
          <w:lang w:eastAsia="zh-CN"/>
        </w:rPr>
        <w:t>重大税收违法失信主体</w:t>
      </w:r>
      <w:r>
        <w:rPr>
          <w:rFonts w:hint="eastAsia" w:ascii="宋体" w:hAnsi="宋体" w:cs="宋体"/>
          <w:snapToGrid w:val="0"/>
          <w:color w:val="auto"/>
          <w:kern w:val="28"/>
          <w:sz w:val="21"/>
          <w:szCs w:val="21"/>
          <w:highlight w:val="none"/>
        </w:rPr>
        <w:t>、政府采购严重违法失信行为记录名单；</w:t>
      </w:r>
    </w:p>
    <w:p w14:paraId="20F3F3DA">
      <w:pPr>
        <w:spacing w:line="360" w:lineRule="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 xml:space="preserve">    </w:t>
      </w:r>
      <w:r>
        <w:rPr>
          <w:rFonts w:ascii="宋体" w:hAnsi="宋体" w:cs="宋体"/>
          <w:snapToGrid w:val="0"/>
          <w:color w:val="auto"/>
          <w:kern w:val="28"/>
          <w:sz w:val="21"/>
          <w:szCs w:val="21"/>
          <w:highlight w:val="none"/>
        </w:rPr>
        <w:t>2</w:t>
      </w:r>
      <w:r>
        <w:rPr>
          <w:rFonts w:hint="eastAsia" w:ascii="宋体" w:hAnsi="宋体" w:cs="宋体"/>
          <w:snapToGrid w:val="0"/>
          <w:color w:val="auto"/>
          <w:kern w:val="28"/>
          <w:sz w:val="21"/>
          <w:szCs w:val="21"/>
          <w:highlight w:val="none"/>
        </w:rPr>
        <w:t>.</w:t>
      </w:r>
      <w:r>
        <w:rPr>
          <w:rFonts w:hint="eastAsia"/>
          <w:color w:val="auto"/>
          <w:szCs w:val="21"/>
          <w:highlight w:val="none"/>
        </w:rPr>
        <w:t xml:space="preserve"> </w:t>
      </w:r>
      <w:r>
        <w:rPr>
          <w:rFonts w:hint="eastAsia" w:ascii="宋体" w:hAnsi="宋体" w:cs="宋体"/>
          <w:snapToGrid w:val="0"/>
          <w:color w:val="auto"/>
          <w:kern w:val="28"/>
          <w:sz w:val="21"/>
          <w:szCs w:val="21"/>
          <w:highlight w:val="none"/>
        </w:rPr>
        <w:t>以联合体形式投标的，提供联合协议(本项目不接受联合体投标或者投标人不以联合体形式投标的，则不需要提供) ；</w:t>
      </w:r>
    </w:p>
    <w:p w14:paraId="29225483">
      <w:pPr>
        <w:spacing w:line="360" w:lineRule="auto"/>
        <w:ind w:firstLine="420" w:firstLineChars="200"/>
        <w:rPr>
          <w:rFonts w:ascii="宋体" w:hAnsi="宋体" w:cs="宋体"/>
          <w:snapToGrid w:val="0"/>
          <w:color w:val="auto"/>
          <w:kern w:val="28"/>
          <w:sz w:val="21"/>
          <w:szCs w:val="21"/>
          <w:highlight w:val="none"/>
        </w:rPr>
      </w:pPr>
      <w:r>
        <w:rPr>
          <w:rFonts w:ascii="宋体" w:hAnsi="宋体" w:cs="宋体"/>
          <w:snapToGrid w:val="0"/>
          <w:color w:val="auto"/>
          <w:kern w:val="28"/>
          <w:sz w:val="21"/>
          <w:szCs w:val="21"/>
          <w:highlight w:val="none"/>
        </w:rPr>
        <w:t>3</w:t>
      </w:r>
      <w:r>
        <w:rPr>
          <w:rFonts w:hint="eastAsia" w:ascii="宋体" w:hAnsi="宋体" w:cs="宋体"/>
          <w:snapToGrid w:val="0"/>
          <w:color w:val="auto"/>
          <w:kern w:val="28"/>
          <w:sz w:val="21"/>
          <w:szCs w:val="21"/>
          <w:highlight w:val="none"/>
        </w:rPr>
        <w:t>.落实政府采购政策需满足的资格要求：</w:t>
      </w:r>
    </w:p>
    <w:p w14:paraId="2D305BF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sz w:val="21"/>
          <w:szCs w:val="21"/>
          <w:highlight w:val="none"/>
        </w:rPr>
        <w:t>无</w:t>
      </w:r>
      <w:r>
        <w:rPr>
          <w:rFonts w:hint="eastAsia" w:ascii="宋体" w:hAnsi="宋体" w:cs="宋体"/>
          <w:snapToGrid w:val="0"/>
          <w:color w:val="auto"/>
          <w:kern w:val="28"/>
          <w:sz w:val="21"/>
          <w:szCs w:val="21"/>
          <w:highlight w:val="none"/>
        </w:rPr>
        <w:t>（注：不得限制大中型企业与小微企业组成联合体参与投标）；</w:t>
      </w:r>
    </w:p>
    <w:p w14:paraId="0C9C9978">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专</w:t>
      </w:r>
      <w:r>
        <w:rPr>
          <w:rFonts w:hint="eastAsia" w:ascii="宋体" w:hAnsi="宋体" w:cs="宋体"/>
          <w:color w:val="auto"/>
          <w:sz w:val="21"/>
          <w:szCs w:val="21"/>
          <w:highlight w:val="none"/>
        </w:rPr>
        <w:t>门面向中小企业</w:t>
      </w:r>
    </w:p>
    <w:p w14:paraId="4508BF30">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 w:val="21"/>
            <w:szCs w:val="21"/>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 w:val="21"/>
          <w:szCs w:val="21"/>
          <w:highlight w:val="none"/>
        </w:rPr>
        <w:t>服务全部由符合政策要求的中小企业承接，提供中小企业声明函；</w:t>
      </w:r>
    </w:p>
    <w:p w14:paraId="759C4005">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57A9409">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0335EDD1">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.本项目的特定资格要求：无；</w:t>
      </w:r>
    </w:p>
    <w:p w14:paraId="2BA5A0E0">
      <w:pPr>
        <w:snapToGrid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2AFDFF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三、获取招标文件 </w:t>
      </w:r>
    </w:p>
    <w:p w14:paraId="03194636">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时间：</w:t>
      </w:r>
      <w:r>
        <w:rPr>
          <w:rFonts w:hint="eastAsia" w:ascii="宋体" w:hAnsi="宋体" w:cs="宋体"/>
          <w:color w:val="auto"/>
          <w:sz w:val="21"/>
          <w:szCs w:val="21"/>
          <w:highlight w:val="none"/>
        </w:rPr>
        <w:t>/至</w:t>
      </w:r>
      <w:r>
        <w:rPr>
          <w:rFonts w:hint="eastAsia" w:ascii="宋体" w:hAnsi="宋体" w:cs="宋体"/>
          <w:color w:val="000000" w:themeColor="text1"/>
          <w:sz w:val="21"/>
          <w:szCs w:val="21"/>
          <w:highlight w:val="none"/>
          <w:u w:val="single"/>
          <w:lang w:eastAsia="zh-CN"/>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cs="宋体"/>
          <w:color w:val="000000" w:themeColor="text1"/>
          <w:sz w:val="21"/>
          <w:szCs w:val="21"/>
          <w:highlight w:val="none"/>
          <w:u w:val="single"/>
          <w:lang w:eastAsia="zh-CN"/>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06</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25</w:t>
      </w:r>
      <w:r>
        <w:rPr>
          <w:rFonts w:hint="eastAsia" w:ascii="宋体" w:hAnsi="宋体" w:cs="宋体"/>
          <w:color w:val="000000" w:themeColor="text1"/>
          <w:sz w:val="21"/>
          <w:szCs w:val="21"/>
          <w:highlight w:val="none"/>
          <w:u w:val="single"/>
          <w:lang w:eastAsia="zh-CN"/>
          <w14:textFill>
            <w14:solidFill>
              <w14:schemeClr w14:val="tx1"/>
            </w14:solidFill>
          </w14:textFill>
        </w:rPr>
        <w:t>日</w:t>
      </w:r>
      <w:r>
        <w:rPr>
          <w:rFonts w:hint="eastAsia" w:ascii="宋体" w:hAnsi="宋体" w:cs="宋体"/>
          <w:color w:val="auto"/>
          <w:sz w:val="21"/>
          <w:szCs w:val="21"/>
          <w:highlight w:val="none"/>
        </w:rPr>
        <w:t>，每天上午00:00至12:00 ，下午12:00至23:59（北京时间，线上获取法定节假日均可，线下获取文件法定节假日除外）</w:t>
      </w:r>
    </w:p>
    <w:p w14:paraId="6A479372">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地点（网址）：</w:t>
      </w:r>
      <w:r>
        <w:rPr>
          <w:rFonts w:hint="eastAsia" w:ascii="宋体" w:hAnsi="宋体" w:cs="宋体"/>
          <w:color w:val="auto"/>
          <w:sz w:val="21"/>
          <w:szCs w:val="21"/>
          <w:highlight w:val="none"/>
        </w:rPr>
        <w:t xml:space="preserve">政采云平台（https://www.zcygov.cn/） </w:t>
      </w:r>
    </w:p>
    <w:p w14:paraId="2FC05C57">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方式：</w:t>
      </w:r>
      <w:r>
        <w:rPr>
          <w:rFonts w:hint="eastAsia" w:ascii="宋体" w:hAnsi="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3586219E">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售价（元）：</w:t>
      </w:r>
      <w:r>
        <w:rPr>
          <w:rFonts w:hint="eastAsia" w:ascii="宋体" w:hAnsi="宋体" w:cs="宋体"/>
          <w:color w:val="auto"/>
          <w:sz w:val="21"/>
          <w:szCs w:val="21"/>
          <w:highlight w:val="none"/>
        </w:rPr>
        <w:t xml:space="preserve">0 </w:t>
      </w:r>
      <w:r>
        <w:rPr>
          <w:rFonts w:hint="eastAsia" w:ascii="宋体" w:hAnsi="宋体" w:cs="宋体"/>
          <w:color w:val="auto"/>
          <w:sz w:val="21"/>
          <w:szCs w:val="21"/>
          <w:highlight w:val="none"/>
        </w:rPr>
        <w:tab/>
      </w:r>
    </w:p>
    <w:p w14:paraId="55EEF8D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四、提交投标文件截止时间、开标时间和地点</w:t>
      </w:r>
    </w:p>
    <w:p w14:paraId="33BAE31A">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提交投标文件截止时间：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eastAsia="zh-CN"/>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cs="宋体"/>
          <w:color w:val="000000" w:themeColor="text1"/>
          <w:sz w:val="21"/>
          <w:szCs w:val="21"/>
          <w:highlight w:val="none"/>
          <w:u w:val="single"/>
          <w:lang w:eastAsia="zh-CN"/>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07</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09</w:t>
      </w:r>
      <w:r>
        <w:rPr>
          <w:rFonts w:hint="eastAsia" w:ascii="宋体" w:hAnsi="宋体" w:cs="宋体"/>
          <w:color w:val="000000" w:themeColor="text1"/>
          <w:sz w:val="21"/>
          <w:szCs w:val="21"/>
          <w:highlight w:val="none"/>
          <w:u w:val="single"/>
          <w:lang w:eastAsia="zh-CN"/>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13</w:t>
      </w:r>
      <w:r>
        <w:rPr>
          <w:rFonts w:hint="eastAsia" w:ascii="宋体" w:hAnsi="宋体" w:cs="宋体"/>
          <w:color w:val="000000" w:themeColor="text1"/>
          <w:sz w:val="21"/>
          <w:szCs w:val="21"/>
          <w:highlight w:val="none"/>
          <w:u w:val="single"/>
          <w14:textFill>
            <w14:solidFill>
              <w14:schemeClr w14:val="tx1"/>
            </w14:solidFill>
          </w14:textFill>
        </w:rPr>
        <w:t>点</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cs="宋体"/>
          <w:color w:val="000000" w:themeColor="text1"/>
          <w:sz w:val="21"/>
          <w:szCs w:val="21"/>
          <w:highlight w:val="none"/>
          <w:u w:val="single"/>
          <w14:textFill>
            <w14:solidFill>
              <w14:schemeClr w14:val="tx1"/>
            </w14:solidFill>
          </w14:textFill>
        </w:rPr>
        <w:t>分00秒</w:t>
      </w:r>
      <w:r>
        <w:rPr>
          <w:rFonts w:hint="eastAsia" w:ascii="宋体" w:hAnsi="宋体" w:cs="宋体"/>
          <w:bCs/>
          <w:color w:val="000000" w:themeColor="text1"/>
          <w:sz w:val="21"/>
          <w:szCs w:val="21"/>
          <w:highlight w:val="none"/>
          <w:u w:val="single"/>
          <w14:textFill>
            <w14:solidFill>
              <w14:schemeClr w14:val="tx1"/>
            </w14:solidFill>
          </w14:textFill>
        </w:rPr>
        <w:t xml:space="preserve"> </w:t>
      </w:r>
      <w:r>
        <w:rPr>
          <w:rFonts w:hint="eastAsia" w:ascii="宋体" w:hAnsi="宋体" w:cs="宋体"/>
          <w:color w:val="auto"/>
          <w:sz w:val="21"/>
          <w:szCs w:val="21"/>
          <w:highlight w:val="none"/>
        </w:rPr>
        <w:t>（北京时间）</w:t>
      </w:r>
    </w:p>
    <w:p w14:paraId="575B4E1F">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政采云平台（https://www.zcygov.cn/） </w:t>
      </w:r>
    </w:p>
    <w:p w14:paraId="4E037065">
      <w:pPr>
        <w:spacing w:line="360" w:lineRule="auto"/>
        <w:ind w:firstLine="422" w:firstLineChars="200"/>
        <w:rPr>
          <w:rFonts w:ascii="宋体" w:hAnsi="宋体" w:cs="宋体"/>
          <w:bCs/>
          <w:color w:val="000000" w:themeColor="text1"/>
          <w:sz w:val="21"/>
          <w:szCs w:val="21"/>
          <w:highlight w:val="none"/>
          <w:u w:val="single"/>
          <w14:textFill>
            <w14:solidFill>
              <w14:schemeClr w14:val="tx1"/>
            </w14:solidFill>
          </w14:textFill>
        </w:rPr>
      </w:pPr>
      <w:r>
        <w:rPr>
          <w:rFonts w:hint="eastAsia" w:ascii="宋体" w:hAnsi="宋体" w:cs="宋体"/>
          <w:b/>
          <w:color w:val="auto"/>
          <w:sz w:val="21"/>
          <w:szCs w:val="21"/>
          <w:highlight w:val="none"/>
        </w:rPr>
        <w:t>开标时间：</w:t>
      </w:r>
      <w:r>
        <w:rPr>
          <w:rFonts w:hint="eastAsia" w:ascii="宋体" w:hAnsi="宋体" w:cs="宋体"/>
          <w:color w:val="000000" w:themeColor="text1"/>
          <w:sz w:val="21"/>
          <w:szCs w:val="21"/>
          <w:highlight w:val="none"/>
          <w:u w:val="single"/>
          <w:lang w:eastAsia="zh-CN"/>
          <w14:textFill>
            <w14:solidFill>
              <w14:schemeClr w14:val="tx1"/>
            </w14:solidFill>
          </w14:textFill>
        </w:rPr>
        <w:t>202</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cs="宋体"/>
          <w:color w:val="000000" w:themeColor="text1"/>
          <w:sz w:val="21"/>
          <w:szCs w:val="21"/>
          <w:highlight w:val="none"/>
          <w:u w:val="single"/>
          <w:lang w:eastAsia="zh-CN"/>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07</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09</w:t>
      </w:r>
      <w:bookmarkStart w:id="411" w:name="_GoBack"/>
      <w:bookmarkEnd w:id="411"/>
      <w:r>
        <w:rPr>
          <w:rFonts w:hint="eastAsia" w:ascii="宋体" w:hAnsi="宋体" w:cs="宋体"/>
          <w:color w:val="000000" w:themeColor="text1"/>
          <w:sz w:val="21"/>
          <w:szCs w:val="21"/>
          <w:highlight w:val="none"/>
          <w:u w:val="single"/>
          <w:lang w:eastAsia="zh-CN"/>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13</w:t>
      </w:r>
      <w:r>
        <w:rPr>
          <w:rFonts w:hint="eastAsia" w:ascii="宋体" w:hAnsi="宋体" w:cs="宋体"/>
          <w:color w:val="000000" w:themeColor="text1"/>
          <w:sz w:val="21"/>
          <w:szCs w:val="21"/>
          <w:highlight w:val="none"/>
          <w:u w:val="single"/>
          <w14:textFill>
            <w14:solidFill>
              <w14:schemeClr w14:val="tx1"/>
            </w14:solidFill>
          </w14:textFill>
        </w:rPr>
        <w:t>点</w:t>
      </w:r>
      <w:r>
        <w:rPr>
          <w:rFonts w:hint="eastAsia" w:ascii="宋体" w:hAnsi="宋体" w:cs="宋体"/>
          <w:color w:val="000000" w:themeColor="text1"/>
          <w:sz w:val="21"/>
          <w:szCs w:val="21"/>
          <w:highlight w:val="none"/>
          <w:u w:val="single"/>
          <w:lang w:val="en-US" w:eastAsia="zh-CN"/>
          <w14:textFill>
            <w14:solidFill>
              <w14:schemeClr w14:val="tx1"/>
            </w14:solidFill>
          </w14:textFill>
        </w:rPr>
        <w:t>30</w:t>
      </w:r>
      <w:r>
        <w:rPr>
          <w:rFonts w:hint="eastAsia" w:ascii="宋体" w:hAnsi="宋体" w:cs="宋体"/>
          <w:color w:val="000000" w:themeColor="text1"/>
          <w:sz w:val="21"/>
          <w:szCs w:val="21"/>
          <w:highlight w:val="none"/>
          <w:u w:val="single"/>
          <w14:textFill>
            <w14:solidFill>
              <w14:schemeClr w14:val="tx1"/>
            </w14:solidFill>
          </w14:textFill>
        </w:rPr>
        <w:t>分00秒</w:t>
      </w:r>
      <w:r>
        <w:rPr>
          <w:rFonts w:hint="eastAsia" w:ascii="宋体" w:hAnsi="宋体" w:cs="宋体"/>
          <w:bCs/>
          <w:color w:val="000000" w:themeColor="text1"/>
          <w:sz w:val="21"/>
          <w:szCs w:val="21"/>
          <w:highlight w:val="none"/>
          <w:u w:val="single"/>
          <w14:textFill>
            <w14:solidFill>
              <w14:schemeClr w14:val="tx1"/>
            </w14:solidFill>
          </w14:textFill>
        </w:rPr>
        <w:t xml:space="preserve">  </w:t>
      </w:r>
    </w:p>
    <w:p w14:paraId="2508227F">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政采云平台（https://www.zcygov.cn/）</w:t>
      </w:r>
    </w:p>
    <w:p w14:paraId="5A15FE15">
      <w:pPr>
        <w:spacing w:line="360" w:lineRule="auto"/>
        <w:rPr>
          <w:rFonts w:ascii="宋体" w:hAnsi="宋体" w:cs="宋体"/>
          <w:color w:val="auto"/>
          <w:sz w:val="21"/>
          <w:szCs w:val="21"/>
          <w:highlight w:val="none"/>
        </w:rPr>
      </w:pPr>
      <w:r>
        <w:rPr>
          <w:rFonts w:hint="eastAsia" w:ascii="宋体" w:hAnsi="宋体" w:cs="宋体"/>
          <w:b/>
          <w:color w:val="auto"/>
          <w:sz w:val="21"/>
          <w:szCs w:val="21"/>
          <w:highlight w:val="none"/>
        </w:rPr>
        <w:t xml:space="preserve">五、公告期限 </w:t>
      </w:r>
    </w:p>
    <w:p w14:paraId="5A55511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1CC569B9">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六、其他补充事宜</w:t>
      </w:r>
    </w:p>
    <w:p w14:paraId="1F0EB0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1.</w:t>
      </w:r>
      <w:r>
        <w:rPr>
          <w:rFonts w:ascii="宋体" w:hAnsi="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1"/>
          <w:szCs w:val="21"/>
          <w:highlight w:val="none"/>
        </w:rPr>
        <w:t>。</w:t>
      </w:r>
    </w:p>
    <w:p w14:paraId="04D09F35">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BA7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E5BA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8466F8D">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七、对本次采购提出询问、质疑、投诉，请按以下方式联系</w:t>
      </w:r>
    </w:p>
    <w:p w14:paraId="020AA3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    1.采购人信息</w:t>
      </w:r>
    </w:p>
    <w:p w14:paraId="1BB035C8">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采购人：</w:t>
      </w:r>
      <w:r>
        <w:rPr>
          <w:rFonts w:hint="eastAsia" w:ascii="宋体" w:hAnsi="宋体" w:cs="宋体"/>
          <w:i w:val="0"/>
          <w:iCs w:val="0"/>
          <w:color w:val="auto"/>
          <w:sz w:val="21"/>
          <w:szCs w:val="21"/>
          <w:highlight w:val="none"/>
          <w:u w:val="none"/>
          <w:lang w:eastAsia="zh-CN"/>
        </w:rPr>
        <w:t>宁海县疾病预防控制中心</w:t>
      </w:r>
    </w:p>
    <w:p w14:paraId="74E878E7">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地址：</w:t>
      </w:r>
      <w:r>
        <w:rPr>
          <w:rFonts w:hint="eastAsia" w:asciiTheme="minorEastAsia" w:hAnsiTheme="minorEastAsia" w:eastAsiaTheme="minorEastAsia"/>
          <w:szCs w:val="21"/>
          <w:lang w:eastAsia="zh-CN"/>
        </w:rPr>
        <w:t>宁海县兴海中路</w:t>
      </w:r>
      <w:r>
        <w:rPr>
          <w:rFonts w:hint="eastAsia" w:asciiTheme="minorEastAsia" w:hAnsiTheme="minorEastAsia" w:eastAsiaTheme="minorEastAsia"/>
          <w:szCs w:val="21"/>
          <w:lang w:val="en-US" w:eastAsia="zh-CN"/>
        </w:rPr>
        <w:t>369号</w:t>
      </w:r>
    </w:p>
    <w:p w14:paraId="5D02D573">
      <w:pPr>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联系人</w:t>
      </w:r>
      <w:r>
        <w:rPr>
          <w:rFonts w:hint="eastAsia" w:ascii="宋体" w:hAnsi="宋体" w:cs="宋体"/>
          <w:i w:val="0"/>
          <w:iCs w:val="0"/>
          <w:color w:val="auto"/>
          <w:sz w:val="21"/>
          <w:szCs w:val="21"/>
          <w:highlight w:val="none"/>
          <w:u w:val="none"/>
          <w:lang w:eastAsia="zh-CN"/>
        </w:rPr>
        <w:t>：王女士</w:t>
      </w:r>
    </w:p>
    <w:p w14:paraId="1950ACAD">
      <w:pPr>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电话：</w:t>
      </w:r>
      <w:r>
        <w:rPr>
          <w:rFonts w:hint="eastAsia" w:ascii="宋体" w:hAnsi="宋体" w:cs="宋体"/>
          <w:i w:val="0"/>
          <w:iCs w:val="0"/>
          <w:color w:val="auto"/>
          <w:sz w:val="21"/>
          <w:szCs w:val="21"/>
          <w:highlight w:val="none"/>
          <w:u w:val="none"/>
          <w:lang w:val="en-US" w:eastAsia="zh-CN"/>
        </w:rPr>
        <w:t>0574-59971206</w:t>
      </w:r>
      <w:r>
        <w:rPr>
          <w:rFonts w:hint="eastAsia" w:ascii="宋体" w:hAnsi="宋体" w:eastAsia="宋体" w:cs="宋体"/>
          <w:i w:val="0"/>
          <w:iCs w:val="0"/>
          <w:color w:val="auto"/>
          <w:sz w:val="21"/>
          <w:szCs w:val="21"/>
          <w:highlight w:val="none"/>
          <w:u w:val="none"/>
        </w:rPr>
        <w:t> </w:t>
      </w:r>
    </w:p>
    <w:p w14:paraId="183EE1B3">
      <w:pPr>
        <w:spacing w:line="360" w:lineRule="auto"/>
        <w:rPr>
          <w:rFonts w:hint="eastAsia" w:ascii="宋体" w:hAnsi="宋体" w:cs="宋体"/>
          <w:sz w:val="21"/>
          <w:szCs w:val="21"/>
        </w:rPr>
      </w:pPr>
    </w:p>
    <w:p w14:paraId="2AD3A459">
      <w:pPr>
        <w:spacing w:line="360" w:lineRule="auto"/>
        <w:ind w:firstLine="420" w:firstLineChars="200"/>
        <w:rPr>
          <w:rFonts w:ascii="宋体" w:hAnsi="宋体" w:cs="宋体"/>
          <w:sz w:val="21"/>
          <w:szCs w:val="21"/>
        </w:rPr>
      </w:pPr>
      <w:r>
        <w:rPr>
          <w:rFonts w:hint="eastAsia" w:ascii="宋体" w:hAnsi="宋体" w:cs="宋体"/>
          <w:sz w:val="21"/>
          <w:szCs w:val="21"/>
        </w:rPr>
        <w:t>采购代理机构：</w:t>
      </w:r>
      <w:r>
        <w:rPr>
          <w:rFonts w:hint="eastAsia" w:ascii="宋体" w:hAnsi="宋体" w:cs="宋体"/>
          <w:sz w:val="21"/>
          <w:szCs w:val="21"/>
          <w:lang w:eastAsia="zh-CN"/>
        </w:rPr>
        <w:t>宁海童氏工程管理咨询有限公司</w:t>
      </w:r>
    </w:p>
    <w:p w14:paraId="1D0348BD">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地址：</w:t>
      </w:r>
      <w:r>
        <w:rPr>
          <w:rFonts w:hint="eastAsia" w:ascii="宋体" w:hAnsi="宋体" w:cs="宋体"/>
          <w:sz w:val="21"/>
          <w:szCs w:val="21"/>
          <w:lang w:eastAsia="zh-CN"/>
        </w:rPr>
        <w:t>宁海县时代大道</w:t>
      </w:r>
      <w:r>
        <w:rPr>
          <w:rFonts w:hint="eastAsia" w:ascii="宋体" w:hAnsi="宋体" w:cs="宋体"/>
          <w:sz w:val="21"/>
          <w:szCs w:val="21"/>
          <w:lang w:val="en-US" w:eastAsia="zh-CN"/>
        </w:rPr>
        <w:t>178号)</w:t>
      </w:r>
    </w:p>
    <w:p w14:paraId="11949677">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联系人：</w:t>
      </w:r>
      <w:r>
        <w:rPr>
          <w:rFonts w:hint="eastAsia" w:ascii="宋体" w:hAnsi="宋体" w:cs="宋体"/>
          <w:sz w:val="21"/>
          <w:szCs w:val="21"/>
          <w:lang w:eastAsia="zh-CN"/>
        </w:rPr>
        <w:t>胡云燕</w:t>
      </w:r>
    </w:p>
    <w:p w14:paraId="51FF61C7">
      <w:pPr>
        <w:spacing w:line="36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rPr>
        <w:t>联系电话：0574-</w:t>
      </w:r>
      <w:r>
        <w:rPr>
          <w:rFonts w:hint="eastAsia" w:ascii="宋体" w:hAnsi="宋体" w:cs="宋体"/>
          <w:sz w:val="21"/>
          <w:szCs w:val="21"/>
          <w:lang w:val="en-US" w:eastAsia="zh-CN"/>
        </w:rPr>
        <w:t>82533300</w:t>
      </w:r>
    </w:p>
    <w:p w14:paraId="41AC9941">
      <w:pPr>
        <w:snapToGrid/>
        <w:spacing w:line="360" w:lineRule="auto"/>
        <w:ind w:firstLine="420" w:firstLineChars="200"/>
        <w:rPr>
          <w:rFonts w:ascii="宋体" w:hAnsi="宋体"/>
          <w:sz w:val="21"/>
          <w:szCs w:val="21"/>
        </w:rPr>
      </w:pPr>
      <w:r>
        <w:rPr>
          <w:rFonts w:hint="eastAsia" w:ascii="宋体" w:hAnsi="宋体" w:cs="宋体"/>
          <w:sz w:val="21"/>
          <w:szCs w:val="21"/>
        </w:rPr>
        <w:t>传真：0574-</w:t>
      </w:r>
      <w:r>
        <w:rPr>
          <w:rFonts w:hint="eastAsia" w:ascii="宋体" w:hAnsi="宋体" w:cs="宋体"/>
          <w:sz w:val="21"/>
          <w:szCs w:val="21"/>
          <w:lang w:val="en-US" w:eastAsia="zh-CN"/>
        </w:rPr>
        <w:t>82533300</w:t>
      </w:r>
    </w:p>
    <w:p w14:paraId="4AF8C49E">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监管部门：宁海县政府采购管理办公室 </w:t>
      </w:r>
    </w:p>
    <w:p w14:paraId="41EC64B8">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地址：宁海县跃龙街道桃源中路218号 </w:t>
      </w:r>
    </w:p>
    <w:p w14:paraId="2AA5E411">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 xml:space="preserve">联系人：王老师     </w:t>
      </w:r>
    </w:p>
    <w:p w14:paraId="0A50410C">
      <w:pPr>
        <w:widowControl/>
        <w:spacing w:line="400" w:lineRule="exact"/>
        <w:ind w:firstLine="315" w:firstLineChars="150"/>
        <w:jc w:val="left"/>
        <w:rPr>
          <w:rFonts w:ascii="宋体" w:hAnsi="宋体" w:cs="宋体"/>
          <w:sz w:val="21"/>
          <w:szCs w:val="21"/>
        </w:rPr>
      </w:pPr>
      <w:r>
        <w:rPr>
          <w:rFonts w:hint="eastAsia" w:ascii="宋体" w:hAnsi="宋体" w:cs="宋体"/>
          <w:kern w:val="0"/>
          <w:sz w:val="21"/>
          <w:szCs w:val="21"/>
        </w:rPr>
        <w:t>联系电话：0574-65265668   传真号码：0574-65265612</w:t>
      </w:r>
    </w:p>
    <w:p w14:paraId="4CFDEE6E">
      <w:pPr>
        <w:snapToGrid w:val="0"/>
        <w:spacing w:line="360" w:lineRule="auto"/>
        <w:rPr>
          <w:rFonts w:ascii="宋体" w:hAnsi="宋体"/>
          <w:sz w:val="21"/>
          <w:szCs w:val="21"/>
        </w:rPr>
      </w:pPr>
    </w:p>
    <w:p w14:paraId="2A716C33">
      <w:pPr>
        <w:spacing w:line="400" w:lineRule="exact"/>
        <w:ind w:firstLine="420" w:firstLineChars="200"/>
        <w:rPr>
          <w:rFonts w:hint="eastAsia"/>
          <w:kern w:val="1"/>
          <w:sz w:val="21"/>
          <w:szCs w:val="21"/>
        </w:rPr>
      </w:pPr>
      <w:r>
        <w:rPr>
          <w:rFonts w:hint="eastAsia"/>
          <w:kern w:val="1"/>
          <w:sz w:val="21"/>
          <w:szCs w:val="21"/>
        </w:rPr>
        <w:t>本公告如与招标文件不一致时，以招标文件为准。</w:t>
      </w:r>
    </w:p>
    <w:p w14:paraId="3E315F06">
      <w:pPr>
        <w:spacing w:line="400" w:lineRule="exact"/>
        <w:ind w:firstLine="420" w:firstLineChars="200"/>
        <w:rPr>
          <w:rFonts w:ascii="宋体" w:hAnsi="宋体"/>
          <w:sz w:val="21"/>
          <w:szCs w:val="21"/>
        </w:rPr>
      </w:pPr>
      <w:r>
        <w:rPr>
          <w:rFonts w:hint="eastAsia"/>
          <w:kern w:val="1"/>
          <w:sz w:val="21"/>
          <w:szCs w:val="21"/>
        </w:rPr>
        <w:t>特此公告。</w:t>
      </w:r>
    </w:p>
    <w:p w14:paraId="4D50DD7A">
      <w:pPr>
        <w:spacing w:line="400" w:lineRule="exact"/>
        <w:ind w:firstLine="420" w:firstLineChars="200"/>
        <w:rPr>
          <w:rFonts w:hint="default"/>
          <w:kern w:val="1"/>
          <w:sz w:val="21"/>
          <w:szCs w:val="21"/>
          <w:lang w:val="en-US" w:eastAsia="zh-CN"/>
        </w:rPr>
      </w:pPr>
      <w:r>
        <w:rPr>
          <w:rFonts w:hint="eastAsia"/>
          <w:kern w:val="1"/>
          <w:sz w:val="21"/>
          <w:szCs w:val="21"/>
          <w:lang w:val="en-US" w:eastAsia="zh-CN"/>
        </w:rPr>
        <w:t>附：中标服务费帐号：</w:t>
      </w:r>
    </w:p>
    <w:p w14:paraId="68B45140">
      <w:pPr>
        <w:spacing w:line="400" w:lineRule="exact"/>
        <w:ind w:firstLine="420" w:firstLineChars="200"/>
        <w:rPr>
          <w:rFonts w:hint="eastAsia" w:ascii="Times New Roman" w:hAnsi="Times New Roman" w:cs="Times New Roman"/>
          <w:kern w:val="1"/>
          <w:sz w:val="21"/>
          <w:szCs w:val="21"/>
          <w:lang w:val="en-US" w:eastAsia="zh-CN"/>
        </w:rPr>
      </w:pPr>
      <w:r>
        <w:rPr>
          <w:rFonts w:hint="eastAsia" w:ascii="Times New Roman" w:hAnsi="Times New Roman" w:cs="Times New Roman"/>
          <w:kern w:val="1"/>
          <w:sz w:val="21"/>
          <w:szCs w:val="21"/>
          <w:lang w:val="en-US" w:eastAsia="zh-CN"/>
        </w:rPr>
        <w:t>开户单位名称：宁海童氏工程管理咨询有限公司</w:t>
      </w:r>
    </w:p>
    <w:p w14:paraId="0D5DAE93">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开户银行：宁波银行宁海支行</w:t>
      </w:r>
    </w:p>
    <w:p w14:paraId="0CF05CC8">
      <w:pPr>
        <w:spacing w:line="400" w:lineRule="exact"/>
        <w:ind w:firstLine="420" w:firstLineChars="200"/>
        <w:rPr>
          <w:rFonts w:hint="eastAsia" w:ascii="Times New Roman" w:hAnsi="Times New Roman" w:cs="Times New Roman"/>
          <w:color w:val="auto"/>
          <w:kern w:val="1"/>
          <w:sz w:val="21"/>
          <w:szCs w:val="21"/>
          <w:lang w:val="en-US" w:eastAsia="zh-CN"/>
        </w:rPr>
      </w:pPr>
      <w:r>
        <w:rPr>
          <w:rFonts w:hint="eastAsia" w:ascii="Times New Roman" w:hAnsi="Times New Roman" w:cs="Times New Roman"/>
          <w:color w:val="auto"/>
          <w:kern w:val="1"/>
          <w:sz w:val="21"/>
          <w:szCs w:val="21"/>
          <w:lang w:val="en-US" w:eastAsia="zh-CN"/>
        </w:rPr>
        <w:t>帐    号： 60010122000570946</w:t>
      </w:r>
    </w:p>
    <w:p w14:paraId="7D6DC2F1">
      <w:pPr>
        <w:spacing w:line="360" w:lineRule="auto"/>
        <w:ind w:firstLine="480"/>
        <w:rPr>
          <w:rFonts w:ascii="宋体" w:hAnsi="宋体" w:cs="宋体"/>
          <w:color w:val="auto"/>
          <w:sz w:val="21"/>
          <w:szCs w:val="21"/>
          <w:highlight w:val="none"/>
        </w:rPr>
      </w:pPr>
    </w:p>
    <w:p w14:paraId="704A2B53">
      <w:pPr>
        <w:spacing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31D02EC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CA问题联系电话（人工）：汇信CA 400-888-4636；天谷CA 400-087-8198。</w:t>
      </w:r>
    </w:p>
    <w:p w14:paraId="19FD5B9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E7C123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5B2674D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6"/>
        <w:tblW w:w="905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69"/>
        <w:gridCol w:w="6855"/>
      </w:tblGrid>
      <w:tr w14:paraId="149F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39A51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569" w:type="dxa"/>
            <w:tcBorders>
              <w:top w:val="single" w:color="000000" w:sz="8" w:space="0"/>
              <w:left w:val="single" w:color="auto" w:sz="4" w:space="0"/>
              <w:bottom w:val="single" w:color="000000" w:sz="8" w:space="0"/>
              <w:right w:val="single" w:color="000000" w:sz="8" w:space="0"/>
            </w:tcBorders>
            <w:vAlign w:val="center"/>
          </w:tcPr>
          <w:p w14:paraId="099F91A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事项</w:t>
            </w:r>
          </w:p>
        </w:tc>
        <w:tc>
          <w:tcPr>
            <w:tcW w:w="6855" w:type="dxa"/>
            <w:tcBorders>
              <w:top w:val="single" w:color="000000" w:sz="8" w:space="0"/>
              <w:left w:val="single" w:color="000000" w:sz="2" w:space="0"/>
              <w:bottom w:val="single" w:color="000000" w:sz="8" w:space="0"/>
              <w:right w:val="single" w:color="000000" w:sz="8" w:space="0"/>
            </w:tcBorders>
            <w:vAlign w:val="center"/>
          </w:tcPr>
          <w:p w14:paraId="061618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本项目的特别规定</w:t>
            </w:r>
          </w:p>
        </w:tc>
      </w:tr>
      <w:tr w14:paraId="761F1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58FE6B">
            <w:pPr>
              <w:keepNext w:val="0"/>
              <w:keepLines w:val="0"/>
              <w:pageBreakBefore w:val="0"/>
              <w:widowControl w:val="0"/>
              <w:kinsoku/>
              <w:wordWrap/>
              <w:overflowPunct/>
              <w:topLinePunct w:val="0"/>
              <w:autoSpaceDE/>
              <w:autoSpaceDN/>
              <w:bidi w:val="0"/>
              <w:spacing w:line="320" w:lineRule="exact"/>
              <w:textAlignment w:val="auto"/>
            </w:pPr>
          </w:p>
          <w:p w14:paraId="79A859F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569" w:type="dxa"/>
            <w:tcBorders>
              <w:top w:val="single" w:color="000000" w:sz="8" w:space="0"/>
              <w:left w:val="single" w:color="auto" w:sz="4" w:space="0"/>
              <w:bottom w:val="single" w:color="000000" w:sz="8" w:space="0"/>
              <w:right w:val="single" w:color="000000" w:sz="8" w:space="0"/>
            </w:tcBorders>
            <w:vAlign w:val="center"/>
          </w:tcPr>
          <w:p w14:paraId="5C5E89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项目属性</w:t>
            </w:r>
          </w:p>
        </w:tc>
        <w:tc>
          <w:tcPr>
            <w:tcW w:w="6855" w:type="dxa"/>
            <w:tcBorders>
              <w:top w:val="single" w:color="000000" w:sz="8" w:space="0"/>
              <w:left w:val="single" w:color="000000" w:sz="2" w:space="0"/>
              <w:bottom w:val="single" w:color="000000" w:sz="8" w:space="0"/>
              <w:right w:val="single" w:color="000000" w:sz="8" w:space="0"/>
            </w:tcBorders>
            <w:vAlign w:val="center"/>
          </w:tcPr>
          <w:p w14:paraId="5865EF0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服务类。</w:t>
            </w:r>
          </w:p>
        </w:tc>
      </w:tr>
      <w:tr w14:paraId="29928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5" w:hRule="atLeast"/>
          <w:tblHeader/>
        </w:trPr>
        <w:tc>
          <w:tcPr>
            <w:tcW w:w="629" w:type="dxa"/>
            <w:tcBorders>
              <w:top w:val="single" w:color="auto" w:sz="4" w:space="0"/>
              <w:left w:val="single" w:color="auto" w:sz="4" w:space="0"/>
              <w:bottom w:val="single" w:color="auto" w:sz="4" w:space="0"/>
              <w:right w:val="single" w:color="auto" w:sz="4" w:space="0"/>
            </w:tcBorders>
          </w:tcPr>
          <w:p w14:paraId="402C4B8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578817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569" w:type="dxa"/>
            <w:tcBorders>
              <w:top w:val="single" w:color="000000" w:sz="8" w:space="0"/>
              <w:left w:val="single" w:color="auto" w:sz="4" w:space="0"/>
              <w:bottom w:val="single" w:color="000000" w:sz="8" w:space="0"/>
              <w:right w:val="single" w:color="000000" w:sz="8" w:space="0"/>
            </w:tcBorders>
            <w:vAlign w:val="center"/>
          </w:tcPr>
          <w:p w14:paraId="760D4D0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采购标的及其对应的中小企业划分标准所属行业</w:t>
            </w:r>
          </w:p>
        </w:tc>
        <w:tc>
          <w:tcPr>
            <w:tcW w:w="6855" w:type="dxa"/>
            <w:tcBorders>
              <w:top w:val="single" w:color="000000" w:sz="8" w:space="0"/>
              <w:left w:val="single" w:color="000000" w:sz="2" w:space="0"/>
              <w:bottom w:val="single" w:color="000000" w:sz="8" w:space="0"/>
              <w:right w:val="single" w:color="000000" w:sz="8" w:space="0"/>
            </w:tcBorders>
            <w:vAlign w:val="center"/>
          </w:tcPr>
          <w:p w14:paraId="1AE8B33C">
            <w:pPr>
              <w:keepNext w:val="0"/>
              <w:keepLines w:val="0"/>
              <w:pageBreakBefore w:val="0"/>
              <w:widowControl w:val="0"/>
              <w:numPr>
                <w:ilvl w:val="0"/>
                <w:numId w:val="1"/>
              </w:numPr>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标的：</w:t>
            </w:r>
            <w:r>
              <w:rPr>
                <w:rFonts w:hint="eastAsia" w:ascii="宋体" w:hAnsi="宋体" w:cs="宋体"/>
                <w:color w:val="auto"/>
                <w:sz w:val="21"/>
                <w:szCs w:val="21"/>
                <w:highlight w:val="none"/>
                <w:u w:val="none"/>
                <w:lang w:eastAsia="zh-CN"/>
              </w:rPr>
              <w:t>宁海县公共卫生中心食堂外包服务项目（2025年-2028年）</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eastAsia="zh-CN"/>
              </w:rPr>
              <w:t>餐饮</w:t>
            </w:r>
            <w:r>
              <w:rPr>
                <w:rFonts w:hint="eastAsia" w:ascii="宋体" w:hAnsi="宋体" w:cs="宋体"/>
                <w:color w:val="auto"/>
                <w:kern w:val="0"/>
                <w:sz w:val="21"/>
                <w:szCs w:val="21"/>
                <w:highlight w:val="none"/>
                <w:u w:val="single"/>
              </w:rPr>
              <w:t>业</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行业；</w:t>
            </w:r>
          </w:p>
          <w:p w14:paraId="01205289">
            <w:pPr>
              <w:pStyle w:val="3"/>
              <w:keepNext w:val="0"/>
              <w:keepLines w:val="0"/>
              <w:pageBreakBefore w:val="0"/>
              <w:widowControl w:val="0"/>
              <w:kinsoku/>
              <w:wordWrap/>
              <w:overflowPunct/>
              <w:topLinePunct w:val="0"/>
              <w:autoSpaceDE/>
              <w:autoSpaceDN/>
              <w:bidi w:val="0"/>
              <w:spacing w:line="320" w:lineRule="exact"/>
              <w:ind w:left="0" w:firstLine="0"/>
              <w:textAlignment w:val="auto"/>
              <w:rPr>
                <w:color w:val="auto"/>
                <w:sz w:val="21"/>
                <w:szCs w:val="21"/>
                <w:highlight w:val="none"/>
                <w:lang w:val="en-US"/>
              </w:rPr>
            </w:pPr>
            <w:r>
              <w:rPr>
                <w:rFonts w:hint="eastAsia" w:ascii="宋体" w:hAnsi="宋体" w:eastAsia="宋体" w:cs="宋体"/>
                <w:b w:val="0"/>
                <w:bCs w:val="0"/>
                <w:color w:val="auto"/>
                <w:kern w:val="0"/>
                <w:sz w:val="21"/>
                <w:szCs w:val="21"/>
                <w:highlight w:val="none"/>
                <w:lang w:val="en-US"/>
              </w:rPr>
              <w:t>（2）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4AA3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trPr>
        <w:tc>
          <w:tcPr>
            <w:tcW w:w="629" w:type="dxa"/>
            <w:tcBorders>
              <w:top w:val="single" w:color="auto" w:sz="4" w:space="0"/>
              <w:left w:val="single" w:color="auto" w:sz="4" w:space="0"/>
              <w:bottom w:val="single" w:color="auto" w:sz="4" w:space="0"/>
              <w:right w:val="single" w:color="auto" w:sz="4" w:space="0"/>
            </w:tcBorders>
          </w:tcPr>
          <w:p w14:paraId="3F30E15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0AC4E8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15A18A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569" w:type="dxa"/>
            <w:tcBorders>
              <w:top w:val="single" w:color="000000" w:sz="8" w:space="0"/>
              <w:left w:val="single" w:color="auto" w:sz="4" w:space="0"/>
              <w:bottom w:val="single" w:color="000000" w:sz="8" w:space="0"/>
              <w:right w:val="single" w:color="000000" w:sz="8" w:space="0"/>
            </w:tcBorders>
            <w:vAlign w:val="center"/>
          </w:tcPr>
          <w:p w14:paraId="61E64E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是否允许采购进口产品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20C46DF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6D4D35E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Cs w:val="21"/>
                <w:highlight w:val="none"/>
              </w:rPr>
            </w:pPr>
            <w:sdt>
              <w:sdtPr>
                <w:rPr>
                  <w:rFonts w:hint="eastAsia" w:ascii="宋体" w:hAnsi="宋体" w:cs="宋体"/>
                  <w:color w:val="auto"/>
                  <w:kern w:val="0"/>
                  <w:sz w:val="21"/>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33422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A2BDE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569" w:type="dxa"/>
            <w:tcBorders>
              <w:top w:val="single" w:color="000000" w:sz="8" w:space="0"/>
              <w:left w:val="single" w:color="auto" w:sz="4" w:space="0"/>
              <w:bottom w:val="single" w:color="000000" w:sz="8" w:space="0"/>
              <w:right w:val="single" w:color="000000" w:sz="8" w:space="0"/>
            </w:tcBorders>
            <w:vAlign w:val="center"/>
          </w:tcPr>
          <w:p w14:paraId="4548AEE7">
            <w:pPr>
              <w:keepNext w:val="0"/>
              <w:keepLines w:val="0"/>
              <w:pageBreakBefore w:val="0"/>
              <w:widowControl w:val="0"/>
              <w:kinsoku/>
              <w:wordWrap/>
              <w:overflowPunct/>
              <w:topLinePunct w:val="0"/>
              <w:autoSpaceDE/>
              <w:autoSpaceDN/>
              <w:bidi w:val="0"/>
              <w:snapToGrid w:val="0"/>
              <w:spacing w:line="320" w:lineRule="exact"/>
              <w:ind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分包</w:t>
            </w:r>
          </w:p>
        </w:tc>
        <w:tc>
          <w:tcPr>
            <w:tcW w:w="6855" w:type="dxa"/>
            <w:tcBorders>
              <w:top w:val="single" w:color="000000" w:sz="8" w:space="0"/>
              <w:left w:val="single" w:color="000000" w:sz="2" w:space="0"/>
              <w:bottom w:val="single" w:color="000000" w:sz="8" w:space="0"/>
              <w:right w:val="single" w:color="000000" w:sz="8" w:space="0"/>
            </w:tcBorders>
            <w:vAlign w:val="center"/>
          </w:tcPr>
          <w:p w14:paraId="217E85C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kern w:val="0"/>
                <w:sz w:val="21"/>
                <w:szCs w:val="21"/>
                <w:highlight w:val="none"/>
              </w:rPr>
              <w:t xml:space="preserve"> A</w:t>
            </w:r>
            <w:r>
              <w:rPr>
                <w:rFonts w:hint="eastAsia" w:ascii="宋体" w:hAnsi="宋体" w:cs="宋体"/>
                <w:color w:val="auto"/>
                <w:sz w:val="21"/>
                <w:szCs w:val="21"/>
                <w:highlight w:val="none"/>
              </w:rPr>
              <w:t>同意将非主体、非关键性的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工作分包。</w:t>
            </w:r>
            <w:sdt>
              <w:sdtPr>
                <w:rPr>
                  <w:rFonts w:hint="eastAsia" w:ascii="宋体" w:hAnsi="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cs="宋体"/>
                <w:color w:val="auto"/>
                <w:kern w:val="0"/>
                <w:sz w:val="21"/>
                <w:szCs w:val="21"/>
                <w:highlight w:val="none"/>
              </w:rPr>
              <w:t xml:space="preserve"> B</w:t>
            </w:r>
            <w:r>
              <w:rPr>
                <w:rFonts w:hint="eastAsia" w:ascii="宋体" w:hAnsi="宋体" w:cs="宋体"/>
                <w:color w:val="auto"/>
                <w:sz w:val="21"/>
                <w:szCs w:val="21"/>
                <w:highlight w:val="none"/>
              </w:rPr>
              <w:t>不同意分包。</w:t>
            </w:r>
          </w:p>
          <w:p w14:paraId="049A563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注：不得限制大中型企业向小微企业合理分包。</w:t>
            </w:r>
          </w:p>
        </w:tc>
      </w:tr>
      <w:tr w14:paraId="78118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trPr>
        <w:tc>
          <w:tcPr>
            <w:tcW w:w="629" w:type="dxa"/>
            <w:tcBorders>
              <w:top w:val="single" w:color="auto" w:sz="4" w:space="0"/>
              <w:left w:val="single" w:color="auto" w:sz="4" w:space="0"/>
              <w:bottom w:val="single" w:color="auto" w:sz="4" w:space="0"/>
              <w:right w:val="single" w:color="auto" w:sz="4" w:space="0"/>
            </w:tcBorders>
          </w:tcPr>
          <w:p w14:paraId="4AA69AE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DCA90D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9EFEDA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1569" w:type="dxa"/>
            <w:tcBorders>
              <w:top w:val="single" w:color="000000" w:sz="8" w:space="0"/>
              <w:left w:val="single" w:color="auto" w:sz="4" w:space="0"/>
              <w:bottom w:val="single" w:color="000000" w:sz="8" w:space="0"/>
              <w:right w:val="single" w:color="000000" w:sz="8" w:space="0"/>
            </w:tcBorders>
            <w:vAlign w:val="center"/>
          </w:tcPr>
          <w:p w14:paraId="52A1ED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开标前答疑会或现场考察</w:t>
            </w:r>
          </w:p>
        </w:tc>
        <w:tc>
          <w:tcPr>
            <w:tcW w:w="6855" w:type="dxa"/>
            <w:tcBorders>
              <w:top w:val="single" w:color="000000" w:sz="8" w:space="0"/>
              <w:left w:val="single" w:color="000000" w:sz="2" w:space="0"/>
              <w:bottom w:val="single" w:color="000000" w:sz="8" w:space="0"/>
              <w:right w:val="single" w:color="000000" w:sz="8" w:space="0"/>
            </w:tcBorders>
            <w:vAlign w:val="center"/>
          </w:tcPr>
          <w:p w14:paraId="33507908">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39887C8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066F0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9" w:hRule="atLeast"/>
          <w:tblHeader/>
        </w:trPr>
        <w:tc>
          <w:tcPr>
            <w:tcW w:w="629" w:type="dxa"/>
            <w:tcBorders>
              <w:top w:val="single" w:color="auto" w:sz="4" w:space="0"/>
              <w:left w:val="single" w:color="auto" w:sz="4" w:space="0"/>
              <w:bottom w:val="single" w:color="auto" w:sz="4" w:space="0"/>
              <w:right w:val="single" w:color="auto" w:sz="4" w:space="0"/>
            </w:tcBorders>
          </w:tcPr>
          <w:p w14:paraId="0857C45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1ED2D9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40EC9B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9BF542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3D46D9D">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4FE933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F960CC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A5CD5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ACF129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0200D7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569" w:type="dxa"/>
            <w:tcBorders>
              <w:top w:val="single" w:color="000000" w:sz="8" w:space="0"/>
              <w:left w:val="single" w:color="auto" w:sz="4" w:space="0"/>
              <w:bottom w:val="single" w:color="000000" w:sz="8" w:space="0"/>
              <w:right w:val="single" w:color="000000" w:sz="8" w:space="0"/>
            </w:tcBorders>
            <w:vAlign w:val="center"/>
          </w:tcPr>
          <w:p w14:paraId="6D50D9C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样品提供</w:t>
            </w:r>
          </w:p>
        </w:tc>
        <w:tc>
          <w:tcPr>
            <w:tcW w:w="6855" w:type="dxa"/>
            <w:tcBorders>
              <w:top w:val="single" w:color="000000" w:sz="8" w:space="0"/>
              <w:left w:val="single" w:color="000000" w:sz="2" w:space="0"/>
              <w:bottom w:val="single" w:color="000000" w:sz="8" w:space="0"/>
              <w:right w:val="single" w:color="000000" w:sz="8" w:space="0"/>
            </w:tcBorders>
            <w:vAlign w:val="center"/>
          </w:tcPr>
          <w:p w14:paraId="2D9E14F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不要求提供。</w:t>
            </w:r>
          </w:p>
          <w:p w14:paraId="5385B0D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B要求提供，</w:t>
            </w:r>
          </w:p>
          <w:p w14:paraId="00B262A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635AFBE">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A7F6A89">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B7BE0A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sdt>
              <w:sdtPr>
                <w:rPr>
                  <w:rFonts w:hint="eastAsia" w:ascii="宋体" w:hAnsi="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是，检测机构的要求</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；检测内容</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2A087EB3">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；联系人</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28"/>
                <w:sz w:val="21"/>
                <w:szCs w:val="21"/>
                <w:highlight w:val="none"/>
              </w:rPr>
              <w:t>联系电话：</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。请投标人在上述时间内提供样品并按规定位置安装完毕。超过截止时间的，采购人或采购代理机构将不予接收，并将清场并封闭样品现场。</w:t>
            </w:r>
          </w:p>
          <w:p w14:paraId="4F16CF5F">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C7DE40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tc>
      </w:tr>
      <w:tr w14:paraId="7F6C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95374F">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C944D9">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86C831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F9CDF1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2AF93D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64DC80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C21F43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5BB9F6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A59B32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569" w:type="dxa"/>
            <w:tcBorders>
              <w:top w:val="single" w:color="000000" w:sz="8" w:space="0"/>
              <w:left w:val="single" w:color="auto" w:sz="4" w:space="0"/>
              <w:bottom w:val="single" w:color="000000" w:sz="8" w:space="0"/>
              <w:right w:val="single" w:color="000000" w:sz="8" w:space="0"/>
            </w:tcBorders>
            <w:vAlign w:val="center"/>
          </w:tcPr>
          <w:p w14:paraId="1FA8EFA4">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Cs/>
                <w:color w:val="auto"/>
                <w:sz w:val="21"/>
                <w:szCs w:val="21"/>
                <w:highlight w:val="none"/>
              </w:rPr>
            </w:pPr>
            <w:r>
              <w:rPr>
                <w:rFonts w:hint="eastAsia" w:ascii="宋体" w:hAnsi="宋体" w:cs="宋体"/>
                <w:b/>
                <w:color w:val="auto"/>
                <w:sz w:val="21"/>
                <w:szCs w:val="21"/>
                <w:highlight w:val="none"/>
              </w:rPr>
              <w:t>方案讲解演示</w:t>
            </w:r>
          </w:p>
        </w:tc>
        <w:tc>
          <w:tcPr>
            <w:tcW w:w="6855" w:type="dxa"/>
            <w:tcBorders>
              <w:top w:val="single" w:color="000000" w:sz="8" w:space="0"/>
              <w:left w:val="single" w:color="000000" w:sz="2" w:space="0"/>
              <w:bottom w:val="single" w:color="000000" w:sz="8" w:space="0"/>
              <w:right w:val="single" w:color="000000" w:sz="8" w:space="0"/>
            </w:tcBorders>
            <w:vAlign w:val="center"/>
          </w:tcPr>
          <w:p w14:paraId="0D40D3D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07F101C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p>
          <w:p w14:paraId="37825EC8">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（1）在评标时安排每个投标人进行方案讲解演示。每个投标人时间不超过</w:t>
            </w:r>
            <w:r>
              <w:rPr>
                <w:rFonts w:hint="eastAsia" w:ascii="宋体" w:hAnsi="宋体" w:cs="宋体"/>
                <w:color w:val="auto"/>
                <w:kern w:val="0"/>
                <w:sz w:val="21"/>
                <w:szCs w:val="21"/>
                <w:highlight w:val="none"/>
                <w:u w:val="single"/>
              </w:rPr>
              <w:t>20</w:t>
            </w:r>
            <w:r>
              <w:rPr>
                <w:rFonts w:hint="eastAsia" w:ascii="宋体" w:hAnsi="宋体" w:cs="宋体"/>
                <w:color w:val="auto"/>
                <w:kern w:val="0"/>
                <w:sz w:val="21"/>
                <w:szCs w:val="21"/>
                <w:highlight w:val="none"/>
              </w:rPr>
              <w:t>分钟，讲解次序以投标文件解密时间先后次序为准，讲解演示人员不超过</w:t>
            </w:r>
            <w:r>
              <w:rPr>
                <w:rFonts w:hint="eastAsia" w:ascii="宋体" w:hAnsi="宋体" w:cs="宋体"/>
                <w:color w:val="auto"/>
                <w:kern w:val="0"/>
                <w:sz w:val="21"/>
                <w:szCs w:val="21"/>
                <w:highlight w:val="none"/>
                <w:u w:val="single"/>
              </w:rPr>
              <w:t>3</w:t>
            </w:r>
            <w:r>
              <w:rPr>
                <w:rFonts w:hint="eastAsia" w:ascii="宋体" w:hAnsi="宋体" w:cs="宋体"/>
                <w:color w:val="auto"/>
                <w:kern w:val="0"/>
                <w:sz w:val="21"/>
                <w:szCs w:val="21"/>
                <w:highlight w:val="none"/>
              </w:rPr>
              <w:t>人。讲解演示结束后按要求解答评标委员会提问。</w:t>
            </w:r>
          </w:p>
          <w:p w14:paraId="0E98923A">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（2）方案讲解演示可选择以下其中一种方式：</w:t>
            </w:r>
          </w:p>
          <w:p w14:paraId="05F48200">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3590F4FD">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方式二：交易中心现场讲解演示。现场讲解地点为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0EC3483">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57D4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vMerge w:val="restart"/>
            <w:tcBorders>
              <w:top w:val="single" w:color="auto" w:sz="4" w:space="0"/>
              <w:left w:val="single" w:color="auto" w:sz="4" w:space="0"/>
              <w:right w:val="single" w:color="auto" w:sz="4" w:space="0"/>
            </w:tcBorders>
          </w:tcPr>
          <w:p w14:paraId="3CE4F4A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93560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1D643E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569" w:type="dxa"/>
            <w:vMerge w:val="restart"/>
            <w:tcBorders>
              <w:top w:val="single" w:color="000000" w:sz="8" w:space="0"/>
              <w:left w:val="single" w:color="auto" w:sz="4" w:space="0"/>
              <w:right w:val="single" w:color="000000" w:sz="8" w:space="0"/>
            </w:tcBorders>
            <w:vAlign w:val="center"/>
          </w:tcPr>
          <w:p w14:paraId="3B14D2CB">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投标人应当提供的资格、资信证明文件</w:t>
            </w:r>
          </w:p>
        </w:tc>
        <w:tc>
          <w:tcPr>
            <w:tcW w:w="6855" w:type="dxa"/>
            <w:tcBorders>
              <w:top w:val="single" w:color="000000" w:sz="8" w:space="0"/>
              <w:left w:val="single" w:color="000000" w:sz="2" w:space="0"/>
              <w:bottom w:val="single" w:color="auto" w:sz="4" w:space="0"/>
              <w:right w:val="single" w:color="000000" w:sz="8" w:space="0"/>
            </w:tcBorders>
            <w:vAlign w:val="center"/>
          </w:tcPr>
          <w:p w14:paraId="4B8876B6">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（1）资格证明文件：见招标文件第二部分11.1。</w:t>
            </w:r>
          </w:p>
          <w:p w14:paraId="3C6FEBFB">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0"/>
                <w:szCs w:val="21"/>
                <w:highlight w:val="none"/>
              </w:rPr>
            </w:pPr>
            <w:r>
              <w:rPr>
                <w:rFonts w:hint="eastAsia" w:ascii="宋体" w:hAnsi="宋体" w:cs="宋体"/>
                <w:color w:val="auto"/>
                <w:kern w:val="0"/>
                <w:sz w:val="21"/>
                <w:szCs w:val="21"/>
                <w:highlight w:val="none"/>
                <w:lang w:val="zh-CN"/>
              </w:rPr>
              <w:t>投标人未提供有效的资格证明文件的，视为投标人不具备招标文件中规定的资格要求，投标无效。</w:t>
            </w:r>
          </w:p>
        </w:tc>
      </w:tr>
      <w:tr w14:paraId="0E25F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vMerge w:val="continue"/>
            <w:tcBorders>
              <w:left w:val="single" w:color="auto" w:sz="4" w:space="0"/>
              <w:bottom w:val="single" w:color="auto" w:sz="4" w:space="0"/>
              <w:right w:val="single" w:color="auto" w:sz="4" w:space="0"/>
            </w:tcBorders>
          </w:tcPr>
          <w:p w14:paraId="59A0F1A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left w:val="single" w:color="auto" w:sz="4" w:space="0"/>
              <w:bottom w:val="single" w:color="000000" w:sz="8" w:space="0"/>
              <w:right w:val="single" w:color="000000" w:sz="8" w:space="0"/>
            </w:tcBorders>
            <w:vAlign w:val="center"/>
          </w:tcPr>
          <w:p w14:paraId="0EE9014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000000" w:sz="2" w:space="0"/>
              <w:bottom w:val="single" w:color="000000" w:sz="8" w:space="0"/>
              <w:right w:val="single" w:color="000000" w:sz="8" w:space="0"/>
            </w:tcBorders>
            <w:vAlign w:val="center"/>
          </w:tcPr>
          <w:p w14:paraId="1F2463D7">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（2）资信证明文件：根据招标文件第四部分评标标准提供。</w:t>
            </w:r>
          </w:p>
        </w:tc>
      </w:tr>
      <w:tr w14:paraId="69813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1403750">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5CF36E8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8B2C5F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569" w:type="dxa"/>
            <w:tcBorders>
              <w:top w:val="single" w:color="000000" w:sz="8" w:space="0"/>
              <w:left w:val="single" w:color="000000" w:sz="2" w:space="0"/>
              <w:bottom w:val="single" w:color="000000" w:sz="8" w:space="0"/>
              <w:right w:val="single" w:color="000000" w:sz="8" w:space="0"/>
            </w:tcBorders>
            <w:vAlign w:val="center"/>
          </w:tcPr>
          <w:p w14:paraId="61CAE34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节能产品、环境标志产品</w:t>
            </w:r>
          </w:p>
        </w:tc>
        <w:tc>
          <w:tcPr>
            <w:tcW w:w="6855" w:type="dxa"/>
            <w:tcBorders>
              <w:top w:val="single" w:color="000000" w:sz="8" w:space="0"/>
              <w:left w:val="single" w:color="000000" w:sz="2" w:space="0"/>
              <w:bottom w:val="single" w:color="000000" w:sz="8" w:space="0"/>
              <w:right w:val="single" w:color="000000" w:sz="8" w:space="0"/>
            </w:tcBorders>
            <w:vAlign w:val="center"/>
          </w:tcPr>
          <w:p w14:paraId="6FB5C4A7">
            <w:pPr>
              <w:keepNext w:val="0"/>
              <w:keepLines w:val="0"/>
              <w:pageBreakBefore w:val="0"/>
              <w:widowControl w:val="0"/>
              <w:kinsoku/>
              <w:wordWrap/>
              <w:overflowPunct/>
              <w:topLinePunct w:val="0"/>
              <w:autoSpaceDE/>
              <w:autoSpaceDN/>
              <w:bidi w:val="0"/>
              <w:snapToGrid w:val="0"/>
              <w:spacing w:line="320" w:lineRule="exact"/>
              <w:textAlignment w:val="auto"/>
              <w:rPr>
                <w:rFonts w:ascii="宋体" w:hAnsi="宋体" w:cs="宋体"/>
                <w:color w:val="auto"/>
                <w:szCs w:val="21"/>
                <w:highlight w:val="none"/>
              </w:rPr>
            </w:pPr>
            <w:r>
              <w:rPr>
                <w:rFonts w:hint="eastAsia" w:ascii="宋体" w:hAnsi="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DB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5" w:hRule="atLeast"/>
          <w:tblHeader/>
        </w:trPr>
        <w:tc>
          <w:tcPr>
            <w:tcW w:w="629" w:type="dxa"/>
            <w:tcBorders>
              <w:top w:val="single" w:color="auto" w:sz="4" w:space="0"/>
              <w:left w:val="single" w:color="000000" w:sz="8" w:space="0"/>
              <w:bottom w:val="single" w:color="auto" w:sz="4" w:space="0"/>
              <w:right w:val="single" w:color="000000" w:sz="2" w:space="0"/>
            </w:tcBorders>
          </w:tcPr>
          <w:p w14:paraId="16DBC93E">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28333FE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6A342D2A">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418E86B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0E64FF0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3E0273BE">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54CEAD53">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8FD8715">
            <w:pPr>
              <w:keepNext w:val="0"/>
              <w:keepLines w:val="0"/>
              <w:pageBreakBefore w:val="0"/>
              <w:widowControl w:val="0"/>
              <w:kinsoku/>
              <w:wordWrap/>
              <w:overflowPunct/>
              <w:topLinePunct w:val="0"/>
              <w:autoSpaceDE/>
              <w:autoSpaceDN/>
              <w:bidi w:val="0"/>
              <w:snapToGrid w:val="0"/>
              <w:spacing w:line="320" w:lineRule="exact"/>
              <w:jc w:val="center"/>
              <w:textAlignment w:val="auto"/>
              <w:rPr>
                <w:rFonts w:hint="eastAsia" w:ascii="宋体" w:hAnsi="宋体" w:cs="宋体"/>
                <w:color w:val="auto"/>
                <w:sz w:val="21"/>
                <w:szCs w:val="21"/>
                <w:highlight w:val="none"/>
              </w:rPr>
            </w:pPr>
          </w:p>
          <w:p w14:paraId="041197B7">
            <w:pPr>
              <w:keepNext w:val="0"/>
              <w:keepLines w:val="0"/>
              <w:pageBreakBefore w:val="0"/>
              <w:widowControl w:val="0"/>
              <w:kinsoku/>
              <w:wordWrap/>
              <w:overflowPunct/>
              <w:topLinePunct w:val="0"/>
              <w:autoSpaceDE/>
              <w:autoSpaceDN/>
              <w:bidi w:val="0"/>
              <w:snapToGrid w:val="0"/>
              <w:spacing w:line="320" w:lineRule="exact"/>
              <w:ind w:firstLine="210" w:firstLineChars="1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569" w:type="dxa"/>
            <w:tcBorders>
              <w:top w:val="single" w:color="000000" w:sz="8" w:space="0"/>
              <w:left w:val="single" w:color="000000" w:sz="2" w:space="0"/>
              <w:bottom w:val="single" w:color="000000" w:sz="8" w:space="0"/>
              <w:right w:val="single" w:color="000000" w:sz="8" w:space="0"/>
            </w:tcBorders>
            <w:vAlign w:val="center"/>
          </w:tcPr>
          <w:p w14:paraId="0B465982">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报价要求</w:t>
            </w:r>
          </w:p>
        </w:tc>
        <w:tc>
          <w:tcPr>
            <w:tcW w:w="6855" w:type="dxa"/>
            <w:tcBorders>
              <w:top w:val="single" w:color="000000" w:sz="8" w:space="0"/>
              <w:left w:val="single" w:color="000000" w:sz="2" w:space="0"/>
              <w:bottom w:val="single" w:color="000000" w:sz="8" w:space="0"/>
              <w:right w:val="single" w:color="000000" w:sz="8" w:space="0"/>
            </w:tcBorders>
            <w:vAlign w:val="center"/>
          </w:tcPr>
          <w:p w14:paraId="286FD2E0">
            <w:pPr>
              <w:keepNext w:val="0"/>
              <w:keepLines w:val="0"/>
              <w:pageBreakBefore w:val="0"/>
              <w:kinsoku/>
              <w:wordWrap/>
              <w:overflowPunct/>
              <w:topLinePunct w:val="0"/>
              <w:autoSpaceDE/>
              <w:autoSpaceDN/>
              <w:bidi w:val="0"/>
              <w:adjustRightInd/>
              <w:snapToGrid/>
              <w:spacing w:line="360" w:lineRule="auto"/>
              <w:textAlignment w:val="auto"/>
              <w:rPr>
                <w:color w:val="000000"/>
                <w:szCs w:val="21"/>
              </w:rPr>
            </w:pPr>
            <w:r>
              <w:rPr>
                <w:color w:val="000000"/>
                <w:szCs w:val="21"/>
              </w:rPr>
              <w:t>投标报价及费用：</w:t>
            </w:r>
          </w:p>
          <w:p w14:paraId="46987C60">
            <w:pPr>
              <w:keepNext w:val="0"/>
              <w:keepLines w:val="0"/>
              <w:pageBreakBefore w:val="0"/>
              <w:kinsoku/>
              <w:wordWrap/>
              <w:overflowPunct/>
              <w:topLinePunct w:val="0"/>
              <w:autoSpaceDE/>
              <w:autoSpaceDN/>
              <w:bidi w:val="0"/>
              <w:adjustRightInd/>
              <w:snapToGrid/>
              <w:spacing w:line="360" w:lineRule="auto"/>
              <w:textAlignment w:val="auto"/>
              <w:rPr>
                <w:rFonts w:hint="eastAsia"/>
                <w:b/>
                <w:color w:val="auto"/>
                <w:szCs w:val="21"/>
              </w:rPr>
            </w:pPr>
            <w:r>
              <w:rPr>
                <w:rFonts w:hint="eastAsia"/>
                <w:b/>
                <w:color w:val="000000"/>
                <w:szCs w:val="21"/>
                <w:lang w:val="en-US" w:eastAsia="zh-CN"/>
              </w:rPr>
              <w:t>（1）</w:t>
            </w:r>
            <w:r>
              <w:rPr>
                <w:rFonts w:hint="eastAsia"/>
                <w:b/>
                <w:color w:val="auto"/>
                <w:szCs w:val="21"/>
              </w:rPr>
              <w:t>报价要求：</w:t>
            </w:r>
            <w:bookmarkStart w:id="11" w:name="_Hlk81500510"/>
          </w:p>
          <w:p w14:paraId="5D32BE2E">
            <w:pPr>
              <w:pStyle w:val="36"/>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①本项目</w:t>
            </w:r>
            <w:r>
              <w:rPr>
                <w:rFonts w:hint="eastAsia" w:ascii="宋体" w:hAnsi="宋体" w:eastAsia="宋体" w:cs="宋体"/>
                <w:color w:val="auto"/>
                <w:highlight w:val="none"/>
              </w:rPr>
              <w:t>报价</w:t>
            </w:r>
            <w:r>
              <w:rPr>
                <w:rFonts w:hint="eastAsia" w:ascii="宋体" w:hAnsi="宋体" w:eastAsia="宋体" w:cs="宋体"/>
                <w:color w:val="auto"/>
                <w:highlight w:val="none"/>
                <w:lang w:val="en-US" w:eastAsia="zh-CN"/>
              </w:rPr>
              <w:t>采用</w:t>
            </w:r>
            <w:r>
              <w:rPr>
                <w:rFonts w:hint="eastAsia" w:ascii="宋体" w:hAnsi="宋体" w:cs="宋体"/>
                <w:color w:val="auto"/>
                <w:highlight w:val="none"/>
                <w:lang w:val="en-US" w:eastAsia="zh-CN"/>
              </w:rPr>
              <w:t>总价</w:t>
            </w:r>
            <w:r>
              <w:rPr>
                <w:rFonts w:hint="eastAsia" w:ascii="宋体" w:hAnsi="宋体" w:eastAsia="宋体" w:cs="宋体"/>
                <w:color w:val="auto"/>
                <w:highlight w:val="none"/>
              </w:rPr>
              <w:t>报价形式</w:t>
            </w:r>
            <w:r>
              <w:rPr>
                <w:rFonts w:hint="eastAsia" w:ascii="宋体" w:hAnsi="宋体" w:eastAsia="宋体" w:cs="宋体"/>
                <w:color w:val="auto"/>
                <w:highlight w:val="none"/>
                <w:lang w:eastAsia="zh-CN"/>
              </w:rPr>
              <w:t>。</w:t>
            </w:r>
            <w:bookmarkEnd w:id="11"/>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15ECA2C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color w:val="auto"/>
                <w:szCs w:val="21"/>
              </w:rPr>
              <w:t>不论投标结果如何，</w:t>
            </w:r>
            <w:r>
              <w:rPr>
                <w:rFonts w:hint="eastAsia"/>
                <w:color w:val="auto"/>
                <w:szCs w:val="21"/>
              </w:rPr>
              <w:t>供应商</w:t>
            </w:r>
            <w:r>
              <w:rPr>
                <w:color w:val="auto"/>
                <w:szCs w:val="21"/>
              </w:rPr>
              <w:t>均应自行承担所有与投标有关的全部费用。</w:t>
            </w:r>
          </w:p>
        </w:tc>
      </w:tr>
      <w:tr w14:paraId="6449B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tcPr>
          <w:p w14:paraId="422FCBE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p w14:paraId="7F38605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569" w:type="dxa"/>
            <w:tcBorders>
              <w:top w:val="single" w:color="000000" w:sz="8" w:space="0"/>
              <w:left w:val="single" w:color="000000" w:sz="2" w:space="0"/>
              <w:right w:val="single" w:color="000000" w:sz="8" w:space="0"/>
            </w:tcBorders>
            <w:vAlign w:val="center"/>
          </w:tcPr>
          <w:p w14:paraId="466B3036">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中小企业信用融资</w:t>
            </w:r>
          </w:p>
        </w:tc>
        <w:tc>
          <w:tcPr>
            <w:tcW w:w="6855" w:type="dxa"/>
            <w:tcBorders>
              <w:top w:val="single" w:color="000000" w:sz="8" w:space="0"/>
              <w:left w:val="single" w:color="000000" w:sz="2" w:space="0"/>
              <w:right w:val="single" w:color="000000" w:sz="8" w:space="0"/>
            </w:tcBorders>
            <w:vAlign w:val="center"/>
          </w:tcPr>
          <w:p w14:paraId="2063C17B">
            <w:pPr>
              <w:keepNext w:val="0"/>
              <w:keepLines w:val="0"/>
              <w:pageBreakBefore w:val="0"/>
              <w:widowControl w:val="0"/>
              <w:kinsoku/>
              <w:wordWrap/>
              <w:overflowPunct/>
              <w:topLinePunct w:val="0"/>
              <w:autoSpaceDE/>
              <w:autoSpaceDN/>
              <w:bidi w:val="0"/>
              <w:spacing w:line="320" w:lineRule="exact"/>
              <w:ind w:firstLine="0" w:firstLineChars="0"/>
              <w:textAlignment w:val="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tcPr>
          <w:p w14:paraId="0EEC5C3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569" w:type="dxa"/>
            <w:tcBorders>
              <w:top w:val="single" w:color="000000" w:sz="8" w:space="0"/>
              <w:left w:val="single" w:color="000000" w:sz="2" w:space="0"/>
              <w:bottom w:val="single" w:color="auto" w:sz="4" w:space="0"/>
              <w:right w:val="single" w:color="000000" w:sz="8" w:space="0"/>
            </w:tcBorders>
            <w:vAlign w:val="center"/>
          </w:tcPr>
          <w:p w14:paraId="76C6018C">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 xml:space="preserve">备份投标文件送达地点和签收人员 </w:t>
            </w:r>
          </w:p>
        </w:tc>
        <w:tc>
          <w:tcPr>
            <w:tcW w:w="6855" w:type="dxa"/>
            <w:tcBorders>
              <w:top w:val="single" w:color="000000" w:sz="8" w:space="0"/>
              <w:left w:val="single" w:color="000000" w:sz="2" w:space="0"/>
              <w:bottom w:val="single" w:color="auto" w:sz="4" w:space="0"/>
              <w:right w:val="single" w:color="000000" w:sz="8" w:space="0"/>
            </w:tcBorders>
            <w:vAlign w:val="center"/>
          </w:tcPr>
          <w:p w14:paraId="23C19DAB">
            <w:pPr>
              <w:pStyle w:val="10"/>
              <w:keepNext w:val="0"/>
              <w:keepLines w:val="0"/>
              <w:pageBreakBefore w:val="0"/>
              <w:widowControl w:val="0"/>
              <w:kinsoku/>
              <w:wordWrap/>
              <w:overflowPunct/>
              <w:topLinePunct w:val="0"/>
              <w:autoSpaceDE/>
              <w:autoSpaceDN/>
              <w:bidi w:val="0"/>
              <w:spacing w:line="320" w:lineRule="exact"/>
              <w:textAlignment w:val="auto"/>
              <w:rPr>
                <w:rFonts w:hAnsi="宋体" w:cs="宋体"/>
                <w:color w:val="auto"/>
                <w:kern w:val="28"/>
                <w:sz w:val="21"/>
                <w:highlight w:val="none"/>
              </w:rPr>
            </w:pPr>
            <w:r>
              <w:rPr>
                <w:rFonts w:hint="eastAsia" w:hAnsi="宋体" w:cs="宋体"/>
                <w:color w:val="auto"/>
                <w:kern w:val="28"/>
                <w:sz w:val="21"/>
                <w:szCs w:val="21"/>
                <w:highlight w:val="none"/>
              </w:rPr>
              <w:t>备份投标文件送达地点：</w:t>
            </w:r>
            <w:r>
              <w:rPr>
                <w:rFonts w:hint="eastAsia" w:hAnsi="宋体" w:cs="宋体"/>
                <w:color w:val="auto"/>
                <w:sz w:val="21"/>
                <w:highlight w:val="none"/>
                <w:u w:val="single"/>
                <w:lang w:eastAsia="zh-CN"/>
              </w:rPr>
              <w:t>宁海县时代大道</w:t>
            </w:r>
            <w:r>
              <w:rPr>
                <w:rFonts w:hint="eastAsia" w:hAnsi="宋体" w:cs="宋体"/>
                <w:color w:val="auto"/>
                <w:sz w:val="21"/>
                <w:highlight w:val="none"/>
                <w:u w:val="single"/>
                <w:lang w:val="en-US" w:eastAsia="zh-CN"/>
              </w:rPr>
              <w:t>178号四楼</w:t>
            </w:r>
            <w:r>
              <w:rPr>
                <w:rFonts w:hint="eastAsia" w:hAnsi="宋体" w:cs="宋体"/>
                <w:color w:val="auto"/>
                <w:sz w:val="21"/>
                <w:highlight w:val="none"/>
                <w:u w:val="single"/>
              </w:rPr>
              <w:t xml:space="preserve"> </w:t>
            </w:r>
            <w:r>
              <w:rPr>
                <w:rFonts w:hint="eastAsia" w:hAnsi="宋体" w:cs="宋体"/>
                <w:color w:val="auto"/>
                <w:kern w:val="28"/>
                <w:sz w:val="21"/>
                <w:szCs w:val="21"/>
                <w:highlight w:val="none"/>
              </w:rPr>
              <w:t>；备份投标文件签收人员联系电话：</w:t>
            </w:r>
            <w:r>
              <w:rPr>
                <w:rFonts w:hint="eastAsia" w:hAnsi="宋体" w:cs="宋体"/>
                <w:color w:val="auto"/>
                <w:sz w:val="21"/>
                <w:highlight w:val="none"/>
                <w:u w:val="single"/>
              </w:rPr>
              <w:t xml:space="preserve"> </w:t>
            </w:r>
            <w:r>
              <w:rPr>
                <w:rFonts w:hint="eastAsia" w:hAnsi="宋体" w:cs="宋体"/>
                <w:color w:val="auto"/>
                <w:sz w:val="21"/>
                <w:highlight w:val="none"/>
                <w:u w:val="single"/>
                <w:lang w:eastAsia="zh-CN"/>
              </w:rPr>
              <w:t>胡工，0</w:t>
            </w:r>
            <w:r>
              <w:rPr>
                <w:rFonts w:hint="eastAsia" w:hAnsi="宋体" w:cs="宋体"/>
                <w:color w:val="auto"/>
                <w:sz w:val="21"/>
                <w:highlight w:val="none"/>
                <w:u w:val="single"/>
                <w:lang w:val="en-US" w:eastAsia="zh-CN"/>
              </w:rPr>
              <w:t>574-82533300</w:t>
            </w:r>
            <w:r>
              <w:rPr>
                <w:rFonts w:hint="eastAsia" w:hAnsi="宋体" w:cs="宋体"/>
                <w:color w:val="auto"/>
                <w:sz w:val="21"/>
                <w:highlight w:val="none"/>
                <w:u w:val="single"/>
              </w:rPr>
              <w:t xml:space="preserve"> </w:t>
            </w:r>
            <w:r>
              <w:rPr>
                <w:rFonts w:hint="eastAsia" w:hAnsi="宋体" w:cs="宋体"/>
                <w:color w:val="auto"/>
                <w:sz w:val="21"/>
                <w:szCs w:val="21"/>
                <w:highlight w:val="none"/>
              </w:rPr>
              <w:t>。</w:t>
            </w:r>
            <w:r>
              <w:rPr>
                <w:rFonts w:hint="eastAsia" w:hAnsi="宋体" w:cs="宋体"/>
                <w:b/>
                <w:color w:val="auto"/>
                <w:sz w:val="21"/>
                <w:szCs w:val="21"/>
                <w:highlight w:val="none"/>
              </w:rPr>
              <w:t>采购人、采购代理机构不强制或变相强制投标人提交备份投标文件。</w:t>
            </w:r>
          </w:p>
        </w:tc>
      </w:tr>
      <w:tr w14:paraId="674B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28EAACF7">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569" w:type="dxa"/>
            <w:vMerge w:val="restart"/>
            <w:tcBorders>
              <w:top w:val="single" w:color="auto" w:sz="4" w:space="0"/>
              <w:left w:val="single" w:color="auto" w:sz="4" w:space="0"/>
              <w:bottom w:val="single" w:color="auto" w:sz="4" w:space="0"/>
              <w:right w:val="single" w:color="auto" w:sz="4" w:space="0"/>
            </w:tcBorders>
            <w:vAlign w:val="center"/>
          </w:tcPr>
          <w:p w14:paraId="489FECA3">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仿宋_GB2312" w:asciiTheme="minorEastAsia" w:hAnsiTheme="minorEastAsia" w:eastAsiaTheme="minorEastAsia"/>
                <w:b/>
                <w:color w:val="auto"/>
                <w:sz w:val="21"/>
                <w:szCs w:val="21"/>
                <w:highlight w:val="none"/>
              </w:rPr>
              <w:t>特别说明</w:t>
            </w:r>
          </w:p>
        </w:tc>
        <w:tc>
          <w:tcPr>
            <w:tcW w:w="6855" w:type="dxa"/>
            <w:tcBorders>
              <w:top w:val="single" w:color="auto" w:sz="4" w:space="0"/>
              <w:left w:val="single" w:color="auto" w:sz="4" w:space="0"/>
              <w:bottom w:val="single" w:color="auto" w:sz="4" w:space="0"/>
              <w:right w:val="single" w:color="auto" w:sz="4" w:space="0"/>
            </w:tcBorders>
            <w:vAlign w:val="center"/>
          </w:tcPr>
          <w:p w14:paraId="170DE0CA">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7170C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F6FA361">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14:paraId="40ACDB2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p>
        </w:tc>
        <w:tc>
          <w:tcPr>
            <w:tcW w:w="6855" w:type="dxa"/>
            <w:tcBorders>
              <w:top w:val="single" w:color="auto" w:sz="4" w:space="0"/>
              <w:left w:val="single" w:color="auto" w:sz="4" w:space="0"/>
              <w:bottom w:val="single" w:color="auto" w:sz="4" w:space="0"/>
              <w:right w:val="single" w:color="auto" w:sz="4" w:space="0"/>
            </w:tcBorders>
            <w:vAlign w:val="center"/>
          </w:tcPr>
          <w:p w14:paraId="496FE715">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ascii="MS Mincho" w:hAnsi="MS Mincho" w:eastAsia="MS Mincho" w:cs="MS Mincho"/>
                    <w:color w:val="auto"/>
                    <w:kern w:val="0"/>
                    <w:sz w:val="21"/>
                    <w:szCs w:val="21"/>
                    <w:highlight w:val="none"/>
                  </w:rPr>
                  <w:t>☐</w:t>
                </w:r>
              </w:sdtContent>
            </w:sdt>
            <w:r>
              <w:rPr>
                <w:rFonts w:hint="eastAsia" w:ascii="宋体" w:hAnsi="宋体" w:cs="宋体"/>
                <w:snapToGrid w:val="0"/>
                <w:color w:val="auto"/>
                <w:kern w:val="28"/>
                <w:sz w:val="21"/>
                <w:szCs w:val="21"/>
                <w:highlight w:val="none"/>
              </w:rPr>
              <w:t>联合体投标的，联合体各方均需按招标文件第四部分评标标准要求提供资信证明文件，否则视为不符合相关要求。</w:t>
            </w:r>
          </w:p>
          <w:p w14:paraId="3820B282">
            <w:pPr>
              <w:keepNext w:val="0"/>
              <w:keepLines w:val="0"/>
              <w:pageBreakBefore w:val="0"/>
              <w:widowControl w:val="0"/>
              <w:kinsoku/>
              <w:wordWrap/>
              <w:overflowPunct/>
              <w:topLinePunct w:val="0"/>
              <w:autoSpaceDE/>
              <w:autoSpaceDN/>
              <w:bidi w:val="0"/>
              <w:spacing w:line="320" w:lineRule="exact"/>
              <w:textAlignment w:val="auto"/>
              <w:rPr>
                <w:rFonts w:ascii="宋体" w:hAnsi="宋体" w:cs="宋体"/>
                <w:snapToGrid w:val="0"/>
                <w:color w:val="auto"/>
                <w:kern w:val="28"/>
                <w:sz w:val="21"/>
                <w:szCs w:val="21"/>
                <w:highlight w:val="none"/>
              </w:rPr>
            </w:pPr>
            <w:sdt>
              <w:sdtPr>
                <w:rPr>
                  <w:rFonts w:hint="eastAsia" w:cs="Arial" w:asciiTheme="minorEastAsia" w:hAnsiTheme="minorEastAsia" w:eastAsiaTheme="minorEastAsia"/>
                  <w:color w:val="auto"/>
                  <w:kern w:val="0"/>
                  <w:sz w:val="21"/>
                  <w:szCs w:val="21"/>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1"/>
                  <w:szCs w:val="21"/>
                  <w:highlight w:val="none"/>
                </w:rPr>
              </w:sdtEndPr>
              <w:sdtContent>
                <w:r>
                  <w:rPr>
                    <w:rFonts w:hint="eastAsia" w:cs="Arial" w:asciiTheme="minorEastAsia" w:hAnsiTheme="minorEastAsia" w:eastAsiaTheme="minorEastAsia"/>
                    <w:color w:val="auto"/>
                    <w:kern w:val="0"/>
                    <w:sz w:val="21"/>
                    <w:szCs w:val="21"/>
                    <w:highlight w:val="none"/>
                  </w:rPr>
                  <w:sym w:font="Wingdings" w:char="F0FE"/>
                </w:r>
              </w:sdtContent>
            </w:sdt>
            <w:r>
              <w:rPr>
                <w:rFonts w:hint="eastAsia" w:ascii="宋体" w:hAnsi="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5A0E0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EDCAF8">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14:paraId="65BF99F5">
            <w:pPr>
              <w:keepNext w:val="0"/>
              <w:keepLines w:val="0"/>
              <w:pageBreakBefore w:val="0"/>
              <w:widowControl w:val="0"/>
              <w:kinsoku/>
              <w:wordWrap/>
              <w:overflowPunct/>
              <w:topLinePunct w:val="0"/>
              <w:autoSpaceDE/>
              <w:autoSpaceDN/>
              <w:bidi w:val="0"/>
              <w:snapToGrid w:val="0"/>
              <w:spacing w:line="320" w:lineRule="exact"/>
              <w:jc w:val="center"/>
              <w:textAlignment w:val="auto"/>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采购代理服务费</w:t>
            </w:r>
          </w:p>
        </w:tc>
        <w:tc>
          <w:tcPr>
            <w:tcW w:w="6855" w:type="dxa"/>
            <w:tcBorders>
              <w:top w:val="single" w:color="auto" w:sz="4" w:space="0"/>
              <w:left w:val="single" w:color="auto" w:sz="4" w:space="0"/>
              <w:bottom w:val="single" w:color="auto" w:sz="4" w:space="0"/>
              <w:right w:val="single" w:color="auto" w:sz="4" w:space="0"/>
            </w:tcBorders>
            <w:vAlign w:val="center"/>
          </w:tcPr>
          <w:p w14:paraId="57DB332F">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招标代理服务费的收取标准：</w:t>
            </w:r>
          </w:p>
          <w:p w14:paraId="6CF9FAC6">
            <w:pPr>
              <w:keepNext w:val="0"/>
              <w:keepLines w:val="0"/>
              <w:pageBreakBefore w:val="0"/>
              <w:widowControl w:val="0"/>
              <w:kinsoku/>
              <w:wordWrap/>
              <w:overflowPunct/>
              <w:topLinePunct w:val="0"/>
              <w:autoSpaceDE/>
              <w:autoSpaceDN/>
              <w:bidi w:val="0"/>
              <w:adjustRightInd w:val="0"/>
              <w:spacing w:line="320" w:lineRule="exact"/>
              <w:textAlignment w:val="auto"/>
              <w:outlineLvl w:val="9"/>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rPr>
              <w:t>采购代理机构按</w:t>
            </w:r>
            <w:r>
              <w:rPr>
                <w:rFonts w:hint="eastAsia" w:ascii="宋体" w:hAnsi="宋体" w:eastAsia="宋体" w:cs="Arial"/>
                <w:color w:val="auto"/>
                <w:kern w:val="0"/>
                <w:sz w:val="21"/>
                <w:szCs w:val="21"/>
                <w:highlight w:val="none"/>
                <w:lang w:val="en-US" w:eastAsia="zh-CN"/>
              </w:rPr>
              <w:t>服务</w:t>
            </w:r>
            <w:r>
              <w:rPr>
                <w:rFonts w:hint="eastAsia" w:ascii="宋体" w:hAnsi="宋体" w:eastAsia="宋体" w:cs="Arial"/>
                <w:color w:val="auto"/>
                <w:kern w:val="0"/>
                <w:sz w:val="21"/>
                <w:szCs w:val="21"/>
                <w:highlight w:val="none"/>
              </w:rPr>
              <w:t>招标的标准（按差额定率累进法计算），根据本项目的</w:t>
            </w:r>
            <w:r>
              <w:rPr>
                <w:rFonts w:hint="eastAsia" w:ascii="宋体" w:hAnsi="宋体" w:eastAsia="宋体" w:cs="Arial"/>
                <w:color w:val="auto"/>
                <w:kern w:val="0"/>
                <w:sz w:val="21"/>
                <w:szCs w:val="21"/>
                <w:highlight w:val="none"/>
                <w:lang w:val="en-US" w:eastAsia="zh-CN"/>
              </w:rPr>
              <w:t>预算</w:t>
            </w:r>
            <w:r>
              <w:rPr>
                <w:rFonts w:hint="eastAsia" w:ascii="宋体" w:hAnsi="宋体" w:eastAsia="宋体" w:cs="Arial"/>
                <w:color w:val="auto"/>
                <w:kern w:val="0"/>
                <w:sz w:val="21"/>
                <w:szCs w:val="21"/>
                <w:highlight w:val="none"/>
              </w:rPr>
              <w:t>金额，向中标人收取招标代理服务费。</w:t>
            </w:r>
          </w:p>
          <w:p w14:paraId="28F9B8AC">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Arial"/>
                <w:color w:val="auto"/>
                <w:kern w:val="0"/>
                <w:sz w:val="21"/>
                <w:szCs w:val="21"/>
                <w:highlight w:val="none"/>
              </w:rPr>
            </w:pPr>
            <w:r>
              <w:rPr>
                <w:rFonts w:hint="eastAsia" w:ascii="宋体" w:hAnsi="宋体" w:eastAsia="宋体" w:cs="Arial"/>
                <w:color w:val="auto"/>
                <w:kern w:val="0"/>
                <w:sz w:val="21"/>
                <w:szCs w:val="21"/>
                <w:highlight w:val="none"/>
                <w:lang w:val="en-US" w:eastAsia="zh-CN"/>
              </w:rPr>
              <w:t>注：中标人</w:t>
            </w:r>
            <w:r>
              <w:rPr>
                <w:rFonts w:hint="eastAsia" w:ascii="宋体" w:hAnsi="宋体" w:eastAsia="宋体" w:cs="Arial"/>
                <w:color w:val="auto"/>
                <w:kern w:val="0"/>
                <w:sz w:val="21"/>
                <w:szCs w:val="21"/>
                <w:highlight w:val="none"/>
              </w:rPr>
              <w:t>接到本公司通知后5个工作日内向本采购代理机构领取成交通知书（根据</w:t>
            </w:r>
            <w:r>
              <w:rPr>
                <w:rFonts w:hint="eastAsia" w:ascii="宋体" w:hAnsi="宋体" w:eastAsia="宋体" w:cs="Arial"/>
                <w:color w:val="auto"/>
                <w:kern w:val="0"/>
                <w:sz w:val="21"/>
                <w:szCs w:val="21"/>
                <w:highlight w:val="none"/>
                <w:lang w:val="en-US" w:eastAsia="zh-CN"/>
              </w:rPr>
              <w:t>中标人</w:t>
            </w:r>
            <w:r>
              <w:rPr>
                <w:rFonts w:hint="eastAsia" w:ascii="宋体" w:hAnsi="宋体" w:eastAsia="宋体" w:cs="Arial"/>
                <w:color w:val="auto"/>
                <w:kern w:val="0"/>
                <w:sz w:val="21"/>
                <w:szCs w:val="21"/>
                <w:highlight w:val="none"/>
              </w:rPr>
              <w:t>需求可采用邮寄或到采购代理机构现场领取）。</w:t>
            </w:r>
          </w:p>
          <w:tbl>
            <w:tblPr>
              <w:tblStyle w:val="16"/>
              <w:tblW w:w="0" w:type="auto"/>
              <w:jc w:val="center"/>
              <w:tblLayout w:type="fixed"/>
              <w:tblCellMar>
                <w:top w:w="15" w:type="dxa"/>
                <w:left w:w="15" w:type="dxa"/>
                <w:bottom w:w="15" w:type="dxa"/>
                <w:right w:w="15" w:type="dxa"/>
              </w:tblCellMar>
            </w:tblPr>
            <w:tblGrid>
              <w:gridCol w:w="1669"/>
              <w:gridCol w:w="1443"/>
              <w:gridCol w:w="1368"/>
              <w:gridCol w:w="1337"/>
            </w:tblGrid>
            <w:tr w14:paraId="231082F2">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53C550F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2E8D1E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69E4A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FB83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93D7C4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23C4BC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0936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89C59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B56AF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B22AF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BA3133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7F6B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22916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D8F157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A207DB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56E5740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66325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ADA12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A9283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24EEF3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123BF7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7CBC7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D0B45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C8B51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945CF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6D4063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DE6C7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BA8217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15325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62360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751F6DC9">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689B5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443"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0E376B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6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5456A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337"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278A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14BADB38">
            <w:pPr>
              <w:pStyle w:val="2"/>
            </w:pPr>
          </w:p>
        </w:tc>
      </w:tr>
    </w:tbl>
    <w:p w14:paraId="3EA1A40E">
      <w:pPr>
        <w:snapToGrid w:val="0"/>
        <w:spacing w:line="360" w:lineRule="auto"/>
        <w:jc w:val="center"/>
        <w:rPr>
          <w:rFonts w:ascii="宋体" w:hAnsi="宋体" w:cs="宋体"/>
          <w:b/>
          <w:color w:val="auto"/>
          <w:sz w:val="32"/>
          <w:szCs w:val="20"/>
          <w:highlight w:val="none"/>
        </w:rPr>
      </w:pPr>
    </w:p>
    <w:bookmarkEnd w:id="10"/>
    <w:p w14:paraId="3043A5B3">
      <w:pPr>
        <w:adjustRightInd/>
        <w:spacing w:line="360" w:lineRule="auto"/>
        <w:ind w:firstLine="3365" w:firstLineChars="1197"/>
        <w:outlineLvl w:val="0"/>
        <w:rPr>
          <w:rFonts w:ascii="宋体" w:hAnsi="宋体" w:cs="宋体"/>
          <w:b/>
          <w:color w:val="auto"/>
          <w:sz w:val="28"/>
          <w:szCs w:val="28"/>
          <w:highlight w:val="none"/>
        </w:rPr>
      </w:pPr>
      <w:bookmarkStart w:id="12" w:name="_Toc164416483"/>
      <w:bookmarkStart w:id="13" w:name="第三部分"/>
      <w:r>
        <w:rPr>
          <w:rFonts w:hint="eastAsia" w:ascii="宋体" w:hAnsi="宋体" w:cs="宋体"/>
          <w:b/>
          <w:color w:val="auto"/>
          <w:sz w:val="28"/>
          <w:szCs w:val="28"/>
          <w:highlight w:val="none"/>
        </w:rPr>
        <w:t>一、总则</w:t>
      </w:r>
    </w:p>
    <w:p w14:paraId="2373CF91">
      <w:pPr>
        <w:snapToGrid w:val="0"/>
        <w:spacing w:line="360" w:lineRule="auto"/>
        <w:ind w:firstLine="316" w:firstLineChars="150"/>
        <w:jc w:val="left"/>
        <w:outlineLvl w:val="1"/>
        <w:rPr>
          <w:rFonts w:ascii="宋体" w:hAnsi="宋体" w:cs="宋体"/>
          <w:b/>
          <w:color w:val="auto"/>
          <w:sz w:val="21"/>
          <w:szCs w:val="21"/>
          <w:highlight w:val="none"/>
        </w:rPr>
      </w:pPr>
      <w:r>
        <w:rPr>
          <w:rFonts w:hint="eastAsia" w:ascii="宋体" w:hAnsi="宋体" w:cs="宋体"/>
          <w:b/>
          <w:color w:val="auto"/>
          <w:sz w:val="21"/>
          <w:szCs w:val="21"/>
          <w:highlight w:val="none"/>
        </w:rPr>
        <w:t>1. 适用范围</w:t>
      </w:r>
    </w:p>
    <w:p w14:paraId="3FFA875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本招标文件适用于该项目的招标、投标、开标、资格审查及信用信息查询、评标、定标、合同、验收等行为（法律、法规另有规定的，从其规定）。</w:t>
      </w:r>
    </w:p>
    <w:p w14:paraId="2F110AA6">
      <w:pPr>
        <w:adjustRightInd/>
        <w:spacing w:line="360" w:lineRule="auto"/>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2.定义</w:t>
      </w:r>
    </w:p>
    <w:p w14:paraId="43FE681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“采购人”系指招标公告中载明的本项目的采购人。</w:t>
      </w:r>
    </w:p>
    <w:p w14:paraId="495ACAC4">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“采购代理机构”系指招标公告中载明的本项目的采购代理机构。</w:t>
      </w:r>
    </w:p>
    <w:p w14:paraId="4DE04E0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“投标人”系指是指响应招标、参加投标竞争的法人、其他组织或者自然人。</w:t>
      </w:r>
    </w:p>
    <w:p w14:paraId="253AB5C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758DA46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16915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2.6“电子交易平台”系指本项目政府采购活动所依托的政府采购云平台（https://www.zcygov.cn/）。</w:t>
      </w:r>
    </w:p>
    <w:p w14:paraId="5BA9FAA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w:t>
      </w:r>
    </w:p>
    <w:p w14:paraId="2035C95D">
      <w:pPr>
        <w:spacing w:line="360" w:lineRule="auto"/>
        <w:ind w:firstLine="211" w:firstLineChars="100"/>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 w:val="21"/>
          <w:szCs w:val="21"/>
          <w:highlight w:val="none"/>
        </w:rPr>
        <w:t>采购项目需要落实的政府采购政策</w:t>
      </w:r>
    </w:p>
    <w:p w14:paraId="2DA13F74">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488B87D1">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08C65531">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34F55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 修缮、装修类项目采购建材的，采购人应将绿色建筑和绿色建材性能、指标等作为实质性条件纳入招标文件和合同。</w:t>
      </w:r>
    </w:p>
    <w:p w14:paraId="2CCA978F">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BF3D33">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3.2.4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76862C7">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1149685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AAD1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283AC6FF">
      <w:pPr>
        <w:widowControl/>
        <w:spacing w:line="360" w:lineRule="auto"/>
        <w:ind w:firstLine="420" w:firstLineChars="200"/>
        <w:jc w:val="left"/>
        <w:rPr>
          <w:rFonts w:ascii="宋体" w:hAnsi="宋体" w:cs="宋体"/>
          <w:color w:val="auto"/>
          <w:kern w:val="0"/>
          <w:sz w:val="21"/>
          <w:szCs w:val="21"/>
          <w:highlight w:val="none"/>
        </w:rPr>
      </w:pPr>
      <w:r>
        <w:rPr>
          <w:rFonts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27BC">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CE6A45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w:t>
      </w:r>
      <w:r>
        <w:rPr>
          <w:rFonts w:ascii="宋体" w:hAnsi="宋体" w:cs="宋体"/>
          <w:color w:val="auto"/>
          <w:sz w:val="21"/>
          <w:szCs w:val="21"/>
          <w:highlight w:val="none"/>
        </w:rPr>
        <w:t>0</w:t>
      </w:r>
      <w:r>
        <w:rPr>
          <w:rFonts w:hint="eastAsia" w:ascii="宋体" w:hAnsi="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266A3DA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5B028EFA">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51E40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41DCD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18C78C99">
      <w:pPr>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407D99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3AF06CBC">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w:t>
      </w:r>
      <w:r>
        <w:rPr>
          <w:rFonts w:ascii="宋体" w:hAnsi="宋体" w:cs="宋体"/>
          <w:color w:val="auto"/>
          <w:sz w:val="21"/>
          <w:szCs w:val="21"/>
          <w:highlight w:val="none"/>
        </w:rPr>
        <w:t>3</w:t>
      </w:r>
      <w:r>
        <w:rPr>
          <w:rFonts w:hint="eastAsia" w:ascii="宋体" w:hAnsi="宋体" w:cs="宋体"/>
          <w:color w:val="auto"/>
          <w:sz w:val="21"/>
          <w:szCs w:val="21"/>
          <w:highlight w:val="none"/>
        </w:rPr>
        <w:t>年内，以及产品核心技术高于国内领先水平，并具有明晰自主知识产权的“制造精品”产品，自认定之日起2年内视同已具备相应销售业绩，参加政府采购活动时业绩分值为满分。</w:t>
      </w:r>
    </w:p>
    <w:p w14:paraId="53452C05">
      <w:pPr>
        <w:pStyle w:val="3"/>
        <w:adjustRightInd w:val="0"/>
        <w:ind w:left="0" w:firstLine="420" w:firstLineChars="200"/>
        <w:rPr>
          <w:color w:val="auto"/>
          <w:sz w:val="21"/>
          <w:szCs w:val="21"/>
          <w:highlight w:val="none"/>
        </w:rPr>
      </w:pPr>
      <w:r>
        <w:rPr>
          <w:rFonts w:hint="eastAsia" w:ascii="宋体" w:hAnsi="宋体" w:eastAsia="宋体" w:cs="仿宋"/>
          <w:b w:val="0"/>
          <w:bCs w:val="0"/>
          <w:color w:val="auto"/>
          <w:sz w:val="21"/>
          <w:szCs w:val="21"/>
          <w:highlight w:val="none"/>
          <w:lang w:val="en-US"/>
        </w:rPr>
        <w:t>3.4.3 采购人应当贯彻落实知识产权保护相关法律法规，应当采购使用正版软件。</w:t>
      </w:r>
    </w:p>
    <w:p w14:paraId="00E360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3DBC54C2">
      <w:pPr>
        <w:spacing w:line="360" w:lineRule="auto"/>
        <w:ind w:firstLine="210" w:firstLineChars="1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r>
        <w:rPr>
          <w:rFonts w:hint="eastAsia" w:ascii="宋体" w:hAnsi="宋体" w:cs="仿宋"/>
          <w:color w:val="auto"/>
          <w:sz w:val="21"/>
          <w:szCs w:val="21"/>
          <w:highlight w:val="none"/>
        </w:rPr>
        <w:t>、补偿救济</w:t>
      </w:r>
    </w:p>
    <w:p w14:paraId="040317C8">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22C3DA">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D4C6F33">
      <w:pPr>
        <w:autoSpaceDE w:val="0"/>
        <w:autoSpaceDN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9FFAD27">
      <w:pPr>
        <w:autoSpaceDE w:val="0"/>
        <w:autoSpaceDN w:val="0"/>
        <w:spacing w:line="360" w:lineRule="auto"/>
        <w:ind w:firstLine="210" w:firstLineChars="1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23E96D9">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.1提出质疑的供应商应当是参与所质疑项目采购活动的供应商。潜在供应商已依法获取其可质疑的招标文件的，可以对该文件提出质疑。</w:t>
      </w:r>
    </w:p>
    <w:p w14:paraId="38AE9F70">
      <w:pPr>
        <w:pStyle w:val="10"/>
        <w:spacing w:line="360" w:lineRule="auto"/>
        <w:ind w:firstLine="420" w:firstLineChars="200"/>
        <w:rPr>
          <w:rFonts w:hAnsi="宋体" w:cs="宋体"/>
          <w:color w:val="auto"/>
          <w:sz w:val="21"/>
          <w:highlight w:val="none"/>
        </w:rPr>
      </w:pPr>
      <w:r>
        <w:rPr>
          <w:rFonts w:hint="eastAsia" w:hAnsi="宋体" w:cs="宋体"/>
          <w:color w:val="auto"/>
          <w:kern w:val="0"/>
          <w:sz w:val="21"/>
          <w:highlight w:val="none"/>
          <w:lang w:val="zh-CN"/>
        </w:rPr>
        <w:t>4.3</w:t>
      </w:r>
      <w:r>
        <w:rPr>
          <w:rFonts w:hint="eastAsia" w:hAnsi="宋体" w:cs="宋体"/>
          <w:color w:val="auto"/>
          <w:sz w:val="21"/>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6EE238">
      <w:pPr>
        <w:pStyle w:val="4"/>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3E7DA196">
      <w:pPr>
        <w:pStyle w:val="10"/>
        <w:spacing w:line="360" w:lineRule="auto"/>
        <w:ind w:left="479" w:leftChars="228"/>
        <w:rPr>
          <w:rFonts w:hAnsi="宋体" w:cs="宋体"/>
          <w:color w:val="auto"/>
          <w:sz w:val="21"/>
          <w:highlight w:val="none"/>
        </w:rPr>
      </w:pPr>
      <w:r>
        <w:rPr>
          <w:rFonts w:hint="eastAsia" w:hAnsi="宋体" w:cs="宋体"/>
          <w:color w:val="auto"/>
          <w:sz w:val="21"/>
          <w:highlight w:val="none"/>
        </w:rPr>
        <w:t>4.3.2.2对采购过程提出质疑的，质疑期限为各采购程序环节结束之日起计算。4.3.2.3对采购结果提出质疑的，质疑期限自采购结果公告期限届满之日起计算。</w:t>
      </w:r>
    </w:p>
    <w:p w14:paraId="443EFE27">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4.3.3</w:t>
      </w:r>
      <w:r>
        <w:rPr>
          <w:rFonts w:hint="eastAsia" w:hAnsi="宋体" w:cs="宋体"/>
          <w:color w:val="auto"/>
          <w:sz w:val="21"/>
          <w:highlight w:val="none"/>
        </w:rPr>
        <w:t>供应商提出质疑应当提交质疑函和必要的证明材料。质疑函应当包括下列内容：</w:t>
      </w:r>
    </w:p>
    <w:p w14:paraId="239C3AF4">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4.3.3.1供应商的姓名或者名称、地址、邮编、联系人及联系电话；</w:t>
      </w:r>
    </w:p>
    <w:p w14:paraId="460FCDE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4.3.3.2质疑项目的名称、编号；</w:t>
      </w:r>
    </w:p>
    <w:p w14:paraId="71CD15D0">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4.3.3.3具体、明确的质疑事项和与质疑事项相关的请求；</w:t>
      </w:r>
    </w:p>
    <w:p w14:paraId="3277958B">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4.3.3.4事实依据；</w:t>
      </w:r>
    </w:p>
    <w:p w14:paraId="00EF3263">
      <w:pPr>
        <w:pStyle w:val="10"/>
        <w:spacing w:line="360" w:lineRule="auto"/>
        <w:ind w:firstLine="420" w:firstLineChars="200"/>
        <w:rPr>
          <w:rFonts w:hAnsi="宋体" w:cs="宋体"/>
          <w:color w:val="auto"/>
          <w:kern w:val="0"/>
          <w:sz w:val="21"/>
          <w:highlight w:val="none"/>
          <w:lang w:val="zh-CN"/>
        </w:rPr>
      </w:pPr>
      <w:r>
        <w:rPr>
          <w:rFonts w:hint="eastAsia" w:hAnsi="宋体" w:cs="宋体"/>
          <w:color w:val="auto"/>
          <w:kern w:val="0"/>
          <w:sz w:val="21"/>
          <w:highlight w:val="none"/>
          <w:lang w:val="zh-CN"/>
        </w:rPr>
        <w:t>　　4.3.3.5必要的法律依据；</w:t>
      </w:r>
    </w:p>
    <w:p w14:paraId="7E74DF60">
      <w:pPr>
        <w:pStyle w:val="10"/>
        <w:spacing w:line="360" w:lineRule="auto"/>
        <w:ind w:firstLine="840" w:firstLineChars="400"/>
        <w:rPr>
          <w:rFonts w:hAnsi="宋体" w:cs="宋体"/>
          <w:color w:val="auto"/>
          <w:kern w:val="0"/>
          <w:sz w:val="21"/>
          <w:highlight w:val="none"/>
          <w:lang w:val="zh-CN"/>
        </w:rPr>
      </w:pPr>
      <w:r>
        <w:rPr>
          <w:rFonts w:hint="eastAsia" w:hAnsi="宋体" w:cs="宋体"/>
          <w:color w:val="auto"/>
          <w:kern w:val="0"/>
          <w:sz w:val="21"/>
          <w:highlight w:val="none"/>
          <w:lang w:val="zh-CN"/>
        </w:rPr>
        <w:t>4.3.3.6提出质疑的日期。</w:t>
      </w:r>
    </w:p>
    <w:p w14:paraId="59459510">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690ABD6E">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3736C08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46A64E8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市财政局关于进一步加强政府采购信息公开优化营商环境的通知》,采购人或者采购代理机构在质疑回复后5个工作日内，在浙江政府采购网的“其他公告”栏目公开质疑答复，答复内容应当完整。质疑函作为附件上传。</w:t>
      </w:r>
    </w:p>
    <w:p w14:paraId="7E69E37C">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20356D84">
      <w:pPr>
        <w:pStyle w:val="25"/>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56A52EBB">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2F89084">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1E7AA56">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761307B8">
      <w:pPr>
        <w:pStyle w:val="25"/>
        <w:widowControl/>
        <w:shd w:val="clear" w:color="auto" w:fill="FFFFFF"/>
        <w:snapToGrid w:val="0"/>
        <w:spacing w:after="240" w:line="360" w:lineRule="auto"/>
        <w:ind w:firstLine="315" w:firstLineChars="150"/>
        <w:contextualSpacing/>
        <w:jc w:val="left"/>
        <w:rPr>
          <w:rFonts w:ascii="宋体" w:hAnsi="宋体" w:cs="宋体"/>
          <w:sz w:val="21"/>
          <w:szCs w:val="21"/>
        </w:rPr>
      </w:pPr>
      <w:r>
        <w:rPr>
          <w:rFonts w:hint="eastAsia"/>
          <w:color w:val="auto"/>
          <w:sz w:val="21"/>
          <w:szCs w:val="21"/>
          <w:highlight w:val="none"/>
        </w:rPr>
        <w:t>4.4.4以联合体形式参加政府采购活动的，其投诉应当由组成联合体的所有供应商共同提出。</w:t>
      </w:r>
      <w:r>
        <w:rPr>
          <w:rFonts w:hint="eastAsia" w:ascii="宋体" w:hAnsi="宋体" w:eastAsia="宋体" w:cs="宋体"/>
          <w:color w:val="auto"/>
          <w:kern w:val="0"/>
          <w:sz w:val="21"/>
          <w:szCs w:val="21"/>
          <w:highlight w:val="none"/>
        </w:rPr>
        <w:t>4.4.5根据政府采购行政裁决省市区三级联动试点工作安排，采购项目投诉材料可寄送至宁海县政府采购管理办公室</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地</w:t>
      </w:r>
      <w:r>
        <w:rPr>
          <w:rFonts w:hint="eastAsia" w:ascii="宋体" w:hAnsi="宋体" w:cs="宋体"/>
          <w:kern w:val="0"/>
          <w:sz w:val="21"/>
          <w:szCs w:val="21"/>
        </w:rPr>
        <w:t>址：宁海县跃龙街道桃源中路218号</w:t>
      </w:r>
      <w:r>
        <w:rPr>
          <w:rFonts w:hint="eastAsia" w:ascii="宋体" w:hAnsi="宋体" w:cs="宋体"/>
          <w:kern w:val="0"/>
          <w:sz w:val="21"/>
          <w:szCs w:val="21"/>
          <w:lang w:eastAsia="zh-CN"/>
        </w:rPr>
        <w:t>，</w:t>
      </w:r>
      <w:r>
        <w:rPr>
          <w:rFonts w:hint="eastAsia" w:ascii="宋体" w:hAnsi="宋体" w:cs="宋体"/>
          <w:kern w:val="0"/>
          <w:sz w:val="21"/>
          <w:szCs w:val="21"/>
        </w:rPr>
        <w:t xml:space="preserve">联系人：王老师 </w:t>
      </w:r>
      <w:r>
        <w:rPr>
          <w:rFonts w:hint="eastAsia" w:ascii="宋体" w:hAnsi="宋体" w:cs="宋体"/>
          <w:kern w:val="0"/>
          <w:sz w:val="21"/>
          <w:szCs w:val="21"/>
          <w:lang w:eastAsia="zh-CN"/>
        </w:rPr>
        <w:t>，</w:t>
      </w:r>
      <w:r>
        <w:rPr>
          <w:rFonts w:hint="eastAsia" w:ascii="宋体" w:hAnsi="宋体" w:cs="宋体"/>
          <w:kern w:val="0"/>
          <w:sz w:val="21"/>
          <w:szCs w:val="21"/>
        </w:rPr>
        <w:t>联系电话：0574-65265668   传真号码：0574-65265612</w:t>
      </w:r>
    </w:p>
    <w:p w14:paraId="5FAD0F8F">
      <w:pPr>
        <w:snapToGrid w:val="0"/>
        <w:spacing w:line="360" w:lineRule="auto"/>
        <w:ind w:firstLine="420" w:firstLineChars="200"/>
        <w:rPr>
          <w:rFonts w:ascii="宋体" w:hAnsi="宋体" w:cs="仿宋"/>
          <w:color w:val="auto"/>
          <w:sz w:val="21"/>
          <w:szCs w:val="21"/>
          <w:highlight w:val="none"/>
        </w:rPr>
      </w:pPr>
      <w:r>
        <w:rPr>
          <w:rFonts w:hint="eastAsia" w:ascii="宋体" w:hAnsi="宋体" w:cs="仿宋"/>
          <w:color w:val="auto"/>
          <w:sz w:val="21"/>
          <w:szCs w:val="21"/>
          <w:highlight w:val="none"/>
        </w:rPr>
        <w:t>4.5 补偿救济</w:t>
      </w:r>
    </w:p>
    <w:p w14:paraId="7CDFF085">
      <w:pPr>
        <w:shd w:val="clear" w:color="auto" w:fill="FFFFFF"/>
        <w:snapToGrid w:val="0"/>
        <w:spacing w:after="240" w:afterAutospacing="0" w:line="360" w:lineRule="auto"/>
        <w:ind w:firstLine="420" w:firstLineChars="200"/>
        <w:contextualSpacing/>
        <w:rPr>
          <w:color w:val="auto"/>
          <w:sz w:val="21"/>
          <w:szCs w:val="21"/>
          <w:highlight w:val="none"/>
        </w:rPr>
      </w:pPr>
      <w:r>
        <w:rPr>
          <w:rFonts w:hint="eastAsia" w:ascii="宋体" w:hAnsi="宋体" w:cs="仿宋"/>
          <w:color w:val="auto"/>
          <w:sz w:val="21"/>
          <w:szCs w:val="21"/>
          <w:highlight w:val="none"/>
        </w:rPr>
        <w:t>采购人（行政机关）因政策变化、规划调整而不履行政府采购合同的，供应商可依据《</w:t>
      </w:r>
      <w:r>
        <w:rPr>
          <w:rFonts w:hint="eastAsia" w:ascii="宋体" w:hAnsi="宋体" w:cs="仿宋"/>
          <w:color w:val="auto"/>
          <w:sz w:val="21"/>
          <w:szCs w:val="21"/>
          <w:highlight w:val="none"/>
          <w:lang w:eastAsia="zh-CN"/>
        </w:rPr>
        <w:t>宁波</w:t>
      </w:r>
      <w:r>
        <w:rPr>
          <w:rFonts w:hint="eastAsia" w:ascii="宋体" w:hAnsi="宋体" w:cs="仿宋"/>
          <w:color w:val="auto"/>
          <w:sz w:val="21"/>
          <w:szCs w:val="21"/>
          <w:highlight w:val="none"/>
        </w:rPr>
        <w:t>市涉企补偿救济实施办法（试行）》向采购人（行政机关）提起补偿申请。</w:t>
      </w:r>
    </w:p>
    <w:p w14:paraId="2D646DFF">
      <w:pPr>
        <w:pStyle w:val="25"/>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566B5241">
      <w:pPr>
        <w:pStyle w:val="23"/>
        <w:snapToGrid w:val="0"/>
        <w:spacing w:before="0"/>
        <w:ind w:firstLine="360"/>
        <w:rPr>
          <w:rFonts w:ascii="宋体" w:hAnsi="宋体" w:cs="宋体"/>
          <w:color w:val="auto"/>
          <w:sz w:val="21"/>
          <w:szCs w:val="21"/>
          <w:highlight w:val="none"/>
        </w:rPr>
      </w:pPr>
    </w:p>
    <w:p w14:paraId="0FE2FA01">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 xml:space="preserve">      二、招标文件的构成、澄清、修改</w:t>
      </w:r>
    </w:p>
    <w:p w14:paraId="2385A4B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5．招标文件的构成</w:t>
      </w:r>
    </w:p>
    <w:p w14:paraId="17DBAF16">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招标文件包括下列文件及附件：</w:t>
      </w:r>
    </w:p>
    <w:p w14:paraId="134D2271">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5.1.1招标公告；</w:t>
      </w:r>
    </w:p>
    <w:p w14:paraId="51BEB10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5.1.2投标人须知；</w:t>
      </w:r>
    </w:p>
    <w:p w14:paraId="7221618B">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64297D74">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5.1.4评标办法；</w:t>
      </w:r>
    </w:p>
    <w:p w14:paraId="55AFFC02">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5B42EC19">
      <w:pPr>
        <w:pStyle w:val="10"/>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highlight w:val="none"/>
        </w:rPr>
        <w:t>5.1.6</w:t>
      </w:r>
      <w:r>
        <w:rPr>
          <w:rFonts w:hint="eastAsia" w:hAnsi="宋体" w:cs="宋体"/>
          <w:color w:val="auto"/>
          <w:sz w:val="21"/>
          <w:szCs w:val="21"/>
          <w:highlight w:val="none"/>
        </w:rPr>
        <w:t>应提交的有关格式范例。</w:t>
      </w:r>
    </w:p>
    <w:p w14:paraId="063FF4F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澄清或者修改的内容为招标文件的组成部分</w:t>
      </w:r>
      <w:r>
        <w:rPr>
          <w:rFonts w:hint="eastAsia" w:ascii="宋体" w:hAnsi="宋体" w:cs="宋体"/>
          <w:color w:val="auto"/>
          <w:sz w:val="21"/>
          <w:szCs w:val="21"/>
          <w:highlight w:val="none"/>
        </w:rPr>
        <w:t>。</w:t>
      </w:r>
    </w:p>
    <w:p w14:paraId="5F9C9F09">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6. 招标文件的澄清、修改</w:t>
      </w:r>
    </w:p>
    <w:p w14:paraId="3542C30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467BD277">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34D255">
      <w:pPr>
        <w:pStyle w:val="6"/>
        <w:rPr>
          <w:rFonts w:hAnsi="宋体" w:cs="宋体"/>
          <w:color w:val="auto"/>
          <w:sz w:val="21"/>
          <w:szCs w:val="21"/>
          <w:highlight w:val="none"/>
          <w:lang w:val="en-US"/>
        </w:rPr>
      </w:pPr>
      <w:r>
        <w:rPr>
          <w:rFonts w:hint="eastAsia" w:hAnsi="宋体" w:cs="宋体"/>
          <w:color w:val="auto"/>
          <w:sz w:val="21"/>
          <w:szCs w:val="21"/>
          <w:highlight w:val="none"/>
          <w:lang w:val="en-US"/>
        </w:rPr>
        <w:t xml:space="preserve">    </w:t>
      </w:r>
    </w:p>
    <w:p w14:paraId="78FF670F">
      <w:pPr>
        <w:adjustRightInd/>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三、投标</w:t>
      </w:r>
    </w:p>
    <w:p w14:paraId="71A743DF">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7. 招标文件的获取</w:t>
      </w:r>
    </w:p>
    <w:p w14:paraId="3DB9C3C4">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详见招标公告中获取招标文件的时间期限、地点、方式及招标文件售价。</w:t>
      </w:r>
    </w:p>
    <w:p w14:paraId="130A25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8.开标前答疑会或现场考察</w:t>
      </w:r>
    </w:p>
    <w:p w14:paraId="16F984F3">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E4D9D9B">
      <w:pPr>
        <w:pStyle w:val="10"/>
        <w:spacing w:line="360" w:lineRule="auto"/>
        <w:rPr>
          <w:rFonts w:hAnsi="宋体" w:cs="宋体"/>
          <w:b/>
          <w:color w:val="auto"/>
          <w:szCs w:val="21"/>
          <w:highlight w:val="none"/>
        </w:rPr>
      </w:pPr>
      <w:r>
        <w:rPr>
          <w:rFonts w:hint="eastAsia" w:hAnsi="宋体" w:cs="宋体"/>
          <w:b/>
          <w:color w:val="auto"/>
          <w:kern w:val="28"/>
          <w:sz w:val="21"/>
          <w:szCs w:val="21"/>
          <w:highlight w:val="none"/>
        </w:rPr>
        <w:t>9.投标保证金</w:t>
      </w:r>
    </w:p>
    <w:p w14:paraId="5A14395D">
      <w:pPr>
        <w:pStyle w:val="4"/>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B83D07E">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10. 投标文件的语言</w:t>
      </w:r>
    </w:p>
    <w:p w14:paraId="2306B83D">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投标文件及投标人与采购有关的来往通知、函件和文件均应使用中文。</w:t>
      </w:r>
    </w:p>
    <w:p w14:paraId="7B46EC9C">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11. 投标文件的组成</w:t>
      </w:r>
    </w:p>
    <w:p w14:paraId="546EB82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532B63C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994FC6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r>
        <w:rPr>
          <w:rFonts w:hint="eastAsia" w:ascii="宋体" w:hAnsi="宋体" w:cs="宋体"/>
          <w:snapToGrid w:val="0"/>
          <w:color w:val="auto"/>
          <w:kern w:val="28"/>
          <w:sz w:val="21"/>
          <w:szCs w:val="21"/>
          <w:highlight w:val="none"/>
        </w:rPr>
        <w:t>联合协议（如果有)；</w:t>
      </w:r>
    </w:p>
    <w:p w14:paraId="634AFB9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7871C6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0DAFC55">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60DA21C">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11.2.1投标函；</w:t>
      </w:r>
      <w:r>
        <w:rPr>
          <w:rFonts w:hint="eastAsia" w:ascii="宋体" w:hAnsi="宋体" w:cs="宋体"/>
          <w:color w:val="auto"/>
          <w:sz w:val="21"/>
          <w:szCs w:val="21"/>
          <w:highlight w:val="none"/>
          <w:lang w:val="zh-CN"/>
        </w:rPr>
        <w:t xml:space="preserve"> </w:t>
      </w:r>
    </w:p>
    <w:p w14:paraId="6638DC2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07DA283B">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p>
    <w:p w14:paraId="24BA885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29C43E47">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13D4CF54">
      <w:pPr>
        <w:snapToGrid w:val="0"/>
        <w:spacing w:line="360" w:lineRule="auto"/>
        <w:ind w:left="420" w:leftChars="20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040C5674">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3AD5530D">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6A8B2273">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2FDC8D4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11.3.1开标一览表（报价表）；</w:t>
      </w:r>
    </w:p>
    <w:p w14:paraId="3EE72CB2">
      <w:pPr>
        <w:pStyle w:val="3"/>
        <w:adjustRightInd w:val="0"/>
        <w:ind w:left="0" w:firstLine="840" w:firstLineChars="400"/>
        <w:rPr>
          <w:color w:val="auto"/>
          <w:sz w:val="21"/>
          <w:szCs w:val="21"/>
          <w:highlight w:val="none"/>
        </w:rPr>
      </w:pPr>
      <w:r>
        <w:rPr>
          <w:rFonts w:hint="eastAsia" w:ascii="宋体" w:hAnsi="宋体" w:eastAsia="宋体" w:cs="宋体"/>
          <w:b w:val="0"/>
          <w:bCs w:val="0"/>
          <w:color w:val="auto"/>
          <w:sz w:val="21"/>
          <w:szCs w:val="21"/>
          <w:highlight w:val="none"/>
          <w:lang w:val="en-US"/>
        </w:rPr>
        <w:t>11.3.2 报价情况说明（如供应商报价低于项目预算50%的，应当提交本文档，详细阐述不影响产品质量或者诚信履约的具体原因）；</w:t>
      </w:r>
    </w:p>
    <w:p w14:paraId="4AB737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11.3.3中小企业声明函。</w:t>
      </w:r>
    </w:p>
    <w:p w14:paraId="588F99FC">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投标文件含有采购人不能接受的附加条件的，投标无效；</w:t>
      </w:r>
    </w:p>
    <w:p w14:paraId="6AA83BF1">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投标人提供虚假材料投标的，投标无效。</w:t>
      </w:r>
    </w:p>
    <w:p w14:paraId="396B3A7A">
      <w:pPr>
        <w:spacing w:line="360" w:lineRule="auto"/>
        <w:ind w:firstLine="630" w:firstLineChars="300"/>
        <w:rPr>
          <w:color w:val="auto"/>
          <w:szCs w:val="21"/>
          <w:highlight w:val="none"/>
        </w:rPr>
      </w:pPr>
      <w:r>
        <w:rPr>
          <w:rFonts w:hint="eastAsia"/>
          <w:color w:val="auto"/>
          <w:sz w:val="21"/>
          <w:szCs w:val="21"/>
          <w:highlight w:val="none"/>
          <w:shd w:val="clear" w:color="auto" w:fill="FFFFFF"/>
        </w:rPr>
        <w:t>投标人应对投标文件中材料的真实性、合法性负责。</w:t>
      </w:r>
    </w:p>
    <w:p w14:paraId="1DE09F7C">
      <w:pPr>
        <w:pStyle w:val="23"/>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76B96666">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9EF956B">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2AE1D4">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38FB051">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13.投标文件的签署、盖章</w:t>
      </w:r>
    </w:p>
    <w:p w14:paraId="35C80C7E">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069115BC">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FF2A71E">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610B7539">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75FF314B">
      <w:pPr>
        <w:pStyle w:val="23"/>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CD70DD2">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6C05A0FD">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2F2690">
      <w:pPr>
        <w:pStyle w:val="10"/>
        <w:spacing w:line="360" w:lineRule="auto"/>
        <w:rPr>
          <w:rFonts w:hAnsi="宋体" w:cs="宋体"/>
          <w:b/>
          <w:color w:val="auto"/>
          <w:sz w:val="21"/>
          <w:szCs w:val="21"/>
          <w:highlight w:val="none"/>
        </w:rPr>
      </w:pPr>
      <w:r>
        <w:rPr>
          <w:rFonts w:hint="eastAsia" w:hAnsi="宋体" w:cs="宋体"/>
          <w:b/>
          <w:color w:val="auto"/>
          <w:sz w:val="21"/>
          <w:szCs w:val="21"/>
          <w:highlight w:val="none"/>
        </w:rPr>
        <w:t>15.备份投标文件</w:t>
      </w:r>
    </w:p>
    <w:p w14:paraId="79ADBB83">
      <w:pPr>
        <w:pStyle w:val="1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1"/>
          <w:szCs w:val="21"/>
          <w:highlight w:val="none"/>
        </w:rPr>
        <w:t>但采购人、采购代理机构不强制或变相强制投标人提交备份投标文件。</w:t>
      </w:r>
    </w:p>
    <w:p w14:paraId="31644E78">
      <w:pPr>
        <w:pStyle w:val="1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15.2备份投标文件须在“政采云投标客户端”制作生成，并储存在</w:t>
      </w:r>
      <w:r>
        <w:rPr>
          <w:rFonts w:hint="eastAsia" w:hAnsi="宋体" w:cs="宋体"/>
          <w:color w:val="auto"/>
          <w:sz w:val="21"/>
          <w:highlight w:val="none"/>
        </w:rPr>
        <w:t>DVD光盘等存储介质</w:t>
      </w:r>
      <w:r>
        <w:rPr>
          <w:rFonts w:hint="eastAsia" w:hAnsi="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1"/>
          <w:highlight w:val="none"/>
        </w:rPr>
        <w:t>不符合上述制作、</w:t>
      </w:r>
      <w:r>
        <w:rPr>
          <w:rFonts w:hint="eastAsia" w:hAnsi="宋体" w:cs="宋体"/>
          <w:b/>
          <w:color w:val="auto"/>
          <w:sz w:val="21"/>
          <w:szCs w:val="21"/>
          <w:highlight w:val="none"/>
        </w:rPr>
        <w:t>存储、密封规定的备份投标文件将被视为无效或者被拒绝接收。</w:t>
      </w:r>
    </w:p>
    <w:p w14:paraId="44F66611">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15.3直接提交备份投标文件的，投标人应于投标截止时间前在招标公告中载明的开标地点将备份投标文件提交给采购代理机构，采购代理机构将拒绝接受逾期送达的备份投标文件。</w:t>
      </w:r>
    </w:p>
    <w:p w14:paraId="0634871A">
      <w:pPr>
        <w:pStyle w:val="1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1"/>
          <w:szCs w:val="21"/>
          <w:highlight w:val="none"/>
        </w:rPr>
        <w:t>招标文件第二部分投标人须知前附表规定的备份投标文件送达地点；</w:t>
      </w:r>
      <w:r>
        <w:rPr>
          <w:rFonts w:hint="eastAsia" w:hAnsi="宋体" w:cs="宋体"/>
          <w:color w:val="auto"/>
          <w:sz w:val="21"/>
          <w:szCs w:val="21"/>
          <w:highlight w:val="none"/>
        </w:rPr>
        <w:t>送达时间以签收人签收时间为准。采购代理机构将拒绝接受逾期送达的备份投标文件。邮寄过程中，电子备份投标文件发生泄露、遗失、损坏或延期送达等情况的，由投标人自行负责。</w:t>
      </w:r>
    </w:p>
    <w:p w14:paraId="5CB20667">
      <w:pPr>
        <w:pStyle w:val="1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15.5投标人仅提交备份投标文件，未在电子交易平台传输递交投标文件的，投标无效。</w:t>
      </w:r>
    </w:p>
    <w:p w14:paraId="3CDAABAA">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2CB9FE69">
      <w:pPr>
        <w:pStyle w:val="9"/>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0B6D4F5B">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30B2A2C5">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17.1投标有效期为从提交投标文件的截止之日起90天。▲</w:t>
      </w:r>
      <w:r>
        <w:rPr>
          <w:rFonts w:hint="eastAsia" w:ascii="宋体" w:hAnsi="宋体" w:cs="宋体"/>
          <w:b/>
          <w:color w:val="auto"/>
          <w:sz w:val="21"/>
          <w:szCs w:val="21"/>
          <w:highlight w:val="none"/>
        </w:rPr>
        <w:t>投标人的投标文件中承诺的投标有效期少于招标文件中载明的投标有效期的，投标无效。</w:t>
      </w:r>
    </w:p>
    <w:p w14:paraId="2F8A19D9">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34F2673">
      <w:pPr>
        <w:pStyle w:val="23"/>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F31D177">
      <w:pPr>
        <w:pStyle w:val="23"/>
        <w:spacing w:before="0"/>
        <w:ind w:firstLine="643"/>
        <w:rPr>
          <w:rFonts w:ascii="宋体" w:hAnsi="宋体" w:cs="宋体"/>
          <w:b/>
          <w:color w:val="auto"/>
          <w:sz w:val="21"/>
          <w:szCs w:val="21"/>
          <w:highlight w:val="none"/>
        </w:rPr>
      </w:pPr>
    </w:p>
    <w:p w14:paraId="4CDF8330">
      <w:pPr>
        <w:pStyle w:val="23"/>
        <w:spacing w:before="0"/>
        <w:ind w:firstLine="2530" w:firstLineChars="1200"/>
        <w:jc w:val="both"/>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370F4F96">
      <w:pPr>
        <w:pStyle w:val="26"/>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448FB2D4">
      <w:pPr>
        <w:pStyle w:val="26"/>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D2A4778">
      <w:pPr>
        <w:pStyle w:val="26"/>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1806B1">
      <w:pPr>
        <w:pStyle w:val="26"/>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F3AFBF4">
      <w:pPr>
        <w:widowControl/>
        <w:spacing w:before="100" w:beforeAutospacing="1" w:after="240"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　19、资格审查</w:t>
      </w:r>
    </w:p>
    <w:p w14:paraId="43CC4DD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19.1</w:t>
      </w:r>
      <w:r>
        <w:rPr>
          <w:rFonts w:hint="eastAsia" w:ascii="宋体" w:hAnsi="宋体" w:cs="宋体"/>
          <w:color w:val="auto"/>
          <w:sz w:val="21"/>
          <w:szCs w:val="21"/>
          <w:highlight w:val="none"/>
        </w:rPr>
        <w:t>采购人或采购代理机构依据法律法规和招标文件的规定，对投标人的资格进行审查。</w:t>
      </w:r>
    </w:p>
    <w:p w14:paraId="7118A5CE">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20D11E02">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20C1775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61B680EF">
      <w:pPr>
        <w:pStyle w:val="23"/>
        <w:snapToGrid w:val="0"/>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03DF3B5">
      <w:pPr>
        <w:pStyle w:val="23"/>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61E5BE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14:paraId="2F1A549C">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13A7DD06">
      <w:pPr>
        <w:pStyle w:val="23"/>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w:t>
      </w:r>
      <w:r>
        <w:rPr>
          <w:rFonts w:hint="eastAsia" w:ascii="宋体" w:hAnsi="宋体" w:cs="宋体"/>
          <w:color w:val="auto"/>
          <w:kern w:val="0"/>
          <w:sz w:val="21"/>
          <w:szCs w:val="21"/>
          <w:highlight w:val="none"/>
          <w:lang w:eastAsia="zh-CN"/>
        </w:rPr>
        <w:t>重大税收违法失信主体</w:t>
      </w:r>
      <w:r>
        <w:rPr>
          <w:rFonts w:hint="eastAsia" w:ascii="宋体" w:hAnsi="宋体" w:cs="宋体"/>
          <w:color w:val="auto"/>
          <w:kern w:val="0"/>
          <w:sz w:val="21"/>
          <w:szCs w:val="21"/>
          <w:highlight w:val="none"/>
        </w:rPr>
        <w:t>、政府采购严重违法失信行为记录名单的投标人将被拒绝参与政府采购活动。</w:t>
      </w:r>
    </w:p>
    <w:p w14:paraId="7639B3FF">
      <w:pPr>
        <w:pStyle w:val="23"/>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051514D">
      <w:pPr>
        <w:pStyle w:val="23"/>
        <w:spacing w:before="0"/>
        <w:ind w:firstLine="0" w:firstLineChars="0"/>
        <w:rPr>
          <w:rFonts w:ascii="宋体" w:hAnsi="宋体" w:cs="宋体"/>
          <w:color w:val="auto"/>
          <w:kern w:val="0"/>
          <w:sz w:val="21"/>
          <w:szCs w:val="21"/>
          <w:highlight w:val="none"/>
        </w:rPr>
      </w:pPr>
    </w:p>
    <w:p w14:paraId="6AF61511">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五、评标</w:t>
      </w:r>
    </w:p>
    <w:p w14:paraId="02DCF510">
      <w:pPr>
        <w:spacing w:line="360" w:lineRule="auto"/>
        <w:rPr>
          <w:rFonts w:ascii="宋体" w:hAnsi="宋体" w:cs="宋体"/>
          <w:b/>
          <w:color w:val="auto"/>
          <w:sz w:val="21"/>
          <w:szCs w:val="21"/>
          <w:highlight w:val="none"/>
        </w:rPr>
      </w:pPr>
      <w:bookmarkStart w:id="14" w:name="_Toc91899903"/>
      <w:r>
        <w:rPr>
          <w:rFonts w:hint="eastAsia" w:ascii="宋体" w:hAnsi="宋体" w:cs="宋体"/>
          <w:b/>
          <w:color w:val="auto"/>
          <w:sz w:val="21"/>
          <w:szCs w:val="21"/>
          <w:highlight w:val="none"/>
        </w:rPr>
        <w:t>21.</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评标委员会【评标委员会由采购人代表和评审专家组成，成员人数为</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人（采购人代表</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人，评标专家</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人由采购代理机构在政采云政企区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p>
    <w:p w14:paraId="25BBBEEF">
      <w:pPr>
        <w:spacing w:line="360" w:lineRule="auto"/>
        <w:rPr>
          <w:rFonts w:ascii="宋体" w:hAnsi="宋体" w:cs="宋体"/>
          <w:b/>
          <w:color w:val="auto"/>
          <w:sz w:val="21"/>
          <w:szCs w:val="21"/>
          <w:highlight w:val="none"/>
        </w:rPr>
      </w:pPr>
    </w:p>
    <w:p w14:paraId="7D1CD204">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21"/>
          <w:szCs w:val="21"/>
          <w:highlight w:val="none"/>
        </w:rPr>
        <w:t>六、定 标</w:t>
      </w:r>
    </w:p>
    <w:p w14:paraId="456CDFFE">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6B74F058">
      <w:pPr>
        <w:pStyle w:val="23"/>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7C40070">
      <w:pPr>
        <w:pStyle w:val="23"/>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2EB8BAEA">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23.1自中标人确定之日起2个工作日内，采购代理机构通过电子交易平台向中标人发出中标通知书，同时编制发布采购结果公告。采购代理机构也可以以纸质形式进行中标通知。</w:t>
      </w:r>
    </w:p>
    <w:p w14:paraId="5A49EA5B">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1"/>
          <w:szCs w:val="21"/>
          <w:highlight w:val="none"/>
        </w:rPr>
        <w:t>资格审查情况、评审专家抽取规则、符合性审查情况、</w:t>
      </w:r>
      <w:bookmarkEnd w:id="15"/>
      <w:r>
        <w:rPr>
          <w:rFonts w:hint="eastAsia" w:ascii="宋体" w:hAnsi="宋体" w:cs="宋体"/>
          <w:color w:val="auto"/>
          <w:sz w:val="21"/>
          <w:szCs w:val="21"/>
          <w:highlight w:val="none"/>
        </w:rPr>
        <w:t>未中标情况说明、中标公告期限以及评审专家名单、评分汇总及明细、中小企业声明函。</w:t>
      </w:r>
    </w:p>
    <w:p w14:paraId="7361D6ED">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66E33581">
      <w:pPr>
        <w:pStyle w:val="23"/>
        <w:snapToGrid w:val="0"/>
        <w:spacing w:before="0"/>
        <w:ind w:firstLine="482"/>
        <w:rPr>
          <w:rStyle w:val="21"/>
          <w:color w:val="auto"/>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70137F02">
      <w:pPr>
        <w:pStyle w:val="27"/>
        <w:rPr>
          <w:color w:val="auto"/>
          <w:sz w:val="21"/>
          <w:szCs w:val="21"/>
          <w:highlight w:val="none"/>
        </w:rPr>
      </w:pPr>
    </w:p>
    <w:p w14:paraId="1FCFB94E">
      <w:pPr>
        <w:snapToGrid w:val="0"/>
        <w:spacing w:line="360" w:lineRule="auto"/>
        <w:ind w:left="120" w:leftChars="57" w:firstLine="316" w:firstLineChars="150"/>
        <w:jc w:val="center"/>
        <w:rPr>
          <w:rFonts w:ascii="宋体" w:hAnsi="宋体" w:cs="宋体"/>
          <w:b/>
          <w:color w:val="auto"/>
          <w:sz w:val="21"/>
          <w:szCs w:val="21"/>
          <w:highlight w:val="none"/>
        </w:rPr>
      </w:pPr>
    </w:p>
    <w:p w14:paraId="4807D158">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七、合同授予</w:t>
      </w:r>
    </w:p>
    <w:p w14:paraId="368B2D9A">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312466D7">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3D9BBC18">
      <w:pPr>
        <w:widowControl/>
        <w:shd w:val="clear" w:color="auto" w:fill="FFFFFF"/>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3A63C60">
      <w:pPr>
        <w:pStyle w:val="23"/>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8A5207F">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F93F37A">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41B6F3D">
      <w:pPr>
        <w:pStyle w:val="23"/>
        <w:snapToGrid w:val="0"/>
        <w:spacing w:before="0" w:after="12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D18FBD0">
      <w:pPr>
        <w:pStyle w:val="9"/>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39B719A0">
      <w:pPr>
        <w:tabs>
          <w:tab w:val="left" w:pos="0"/>
        </w:tabs>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。履约保证金的数额不得超过政府采购合同金额的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E49CB21">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2CF22B">
      <w:pPr>
        <w:pStyle w:val="3"/>
        <w:rPr>
          <w:color w:val="auto"/>
          <w:sz w:val="21"/>
          <w:szCs w:val="21"/>
          <w:highlight w:val="none"/>
        </w:rPr>
      </w:pPr>
      <w:r>
        <w:rPr>
          <w:rFonts w:ascii="宋体" w:hAnsi="宋体" w:eastAsia="宋体"/>
          <w:color w:val="auto"/>
          <w:sz w:val="21"/>
          <w:szCs w:val="21"/>
          <w:highlight w:val="none"/>
          <w:lang w:val="en-US"/>
        </w:rPr>
        <w:t>27.预付款</w:t>
      </w:r>
    </w:p>
    <w:p w14:paraId="02654C59">
      <w:pPr>
        <w:adjustRightInd/>
        <w:spacing w:line="360" w:lineRule="auto"/>
        <w:ind w:firstLine="420" w:firstLineChars="200"/>
        <w:rPr>
          <w:color w:val="auto"/>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w:t>
      </w:r>
      <w:r>
        <w:rPr>
          <w:rFonts w:ascii="宋体" w:hAnsi="宋体"/>
          <w:color w:val="auto"/>
          <w:sz w:val="21"/>
          <w:szCs w:val="21"/>
          <w:highlight w:val="none"/>
        </w:rPr>
        <w:t>40％</w:t>
      </w:r>
      <w:r>
        <w:rPr>
          <w:rFonts w:hint="eastAsia" w:ascii="宋体" w:hAnsi="宋体"/>
          <w:color w:val="auto"/>
          <w:sz w:val="21"/>
          <w:szCs w:val="21"/>
          <w:highlight w:val="none"/>
        </w:rPr>
        <w:t>，不高于合同金额的</w:t>
      </w:r>
      <w:r>
        <w:rPr>
          <w:rFonts w:ascii="宋体" w:hAnsi="宋体"/>
          <w:color w:val="auto"/>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项目年度计划支付资金额的40％</w:t>
      </w:r>
      <w:r>
        <w:rPr>
          <w:rFonts w:hint="eastAsia" w:ascii="宋体" w:hAnsi="宋体"/>
          <w:color w:val="auto"/>
          <w:sz w:val="21"/>
          <w:szCs w:val="21"/>
          <w:highlight w:val="none"/>
        </w:rPr>
        <w:t>，不高于合同金额的</w:t>
      </w:r>
      <w:r>
        <w:rPr>
          <w:rFonts w:ascii="宋体" w:hAnsi="宋体"/>
          <w:color w:val="auto"/>
          <w:sz w:val="21"/>
          <w:szCs w:val="21"/>
          <w:highlight w:val="none"/>
        </w:rPr>
        <w:t>70%；采购项目实施以人工投入为主的，</w:t>
      </w:r>
      <w:r>
        <w:rPr>
          <w:rFonts w:hint="eastAsia" w:ascii="宋体" w:hAnsi="宋体"/>
          <w:color w:val="auto"/>
          <w:sz w:val="21"/>
          <w:szCs w:val="21"/>
          <w:highlight w:val="none"/>
        </w:rPr>
        <w:t>可适当降低预付款比例，但不得低于</w:t>
      </w:r>
      <w:r>
        <w:rPr>
          <w:rFonts w:ascii="宋体" w:hAnsi="宋体"/>
          <w:color w:val="auto"/>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1"/>
          <w:szCs w:val="21"/>
          <w:highlight w:val="none"/>
        </w:rPr>
        <w:t>政府采购工程以及与工程建设有关的货物、服务，采用招标方式采购的，预付款从其相关规定。供应商可登录政采云前台大厅选择金融服务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/保函受理—确认保单—支付保费—成功出单。政</w:t>
      </w:r>
      <w:r>
        <w:rPr>
          <w:rFonts w:hint="eastAsia" w:ascii="宋体" w:hAnsi="宋体"/>
          <w:color w:val="auto"/>
          <w:sz w:val="21"/>
          <w:szCs w:val="21"/>
          <w:highlight w:val="none"/>
        </w:rPr>
        <w:t>采云金融专线</w:t>
      </w:r>
      <w:r>
        <w:rPr>
          <w:rFonts w:ascii="宋体" w:hAnsi="宋体"/>
          <w:color w:val="auto"/>
          <w:sz w:val="21"/>
          <w:szCs w:val="21"/>
          <w:highlight w:val="none"/>
        </w:rPr>
        <w:t>400-903-9583。</w:t>
      </w:r>
    </w:p>
    <w:p w14:paraId="138311D0">
      <w:pPr>
        <w:rPr>
          <w:color w:val="auto"/>
          <w:szCs w:val="21"/>
          <w:highlight w:val="none"/>
        </w:rPr>
      </w:pPr>
    </w:p>
    <w:p w14:paraId="736FFE6B">
      <w:pPr>
        <w:snapToGrid w:val="0"/>
        <w:spacing w:line="360" w:lineRule="auto"/>
        <w:ind w:firstLine="2203" w:firstLineChars="1045"/>
        <w:rPr>
          <w:rFonts w:ascii="宋体" w:hAnsi="宋体" w:cs="宋体"/>
          <w:b/>
          <w:color w:val="auto"/>
          <w:sz w:val="21"/>
          <w:szCs w:val="21"/>
          <w:highlight w:val="none"/>
        </w:rPr>
      </w:pPr>
    </w:p>
    <w:p w14:paraId="1AC321BC">
      <w:pPr>
        <w:snapToGrid w:val="0"/>
        <w:spacing w:line="360" w:lineRule="auto"/>
        <w:ind w:firstLine="2203" w:firstLineChars="1045"/>
        <w:rPr>
          <w:rFonts w:ascii="宋体" w:hAnsi="宋体" w:cs="宋体"/>
          <w:b/>
          <w:color w:val="auto"/>
          <w:sz w:val="21"/>
          <w:szCs w:val="21"/>
          <w:highlight w:val="none"/>
        </w:rPr>
      </w:pPr>
      <w:r>
        <w:rPr>
          <w:rFonts w:hint="eastAsia" w:ascii="宋体" w:hAnsi="宋体" w:cs="宋体"/>
          <w:b/>
          <w:color w:val="auto"/>
          <w:sz w:val="21"/>
          <w:szCs w:val="21"/>
          <w:highlight w:val="none"/>
        </w:rPr>
        <w:t>八、电子交易活动的中止</w:t>
      </w:r>
    </w:p>
    <w:p w14:paraId="153F7B1F">
      <w:pPr>
        <w:pStyle w:val="23"/>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5C551D65">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1E48226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CDC2BED">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16821F8">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902A109">
      <w:pPr>
        <w:pStyle w:val="23"/>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5EBA22E">
      <w:pPr>
        <w:pStyle w:val="23"/>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0C0BCF">
      <w:pPr>
        <w:tabs>
          <w:tab w:val="left" w:pos="0"/>
        </w:tabs>
        <w:spacing w:line="360" w:lineRule="auto"/>
        <w:ind w:firstLine="480"/>
        <w:rPr>
          <w:rFonts w:ascii="宋体" w:hAnsi="宋体" w:cs="宋体"/>
          <w:color w:val="auto"/>
          <w:sz w:val="21"/>
          <w:szCs w:val="21"/>
          <w:highlight w:val="none"/>
        </w:rPr>
      </w:pPr>
    </w:p>
    <w:p w14:paraId="47B75751">
      <w:pPr>
        <w:snapToGrid w:val="0"/>
        <w:spacing w:line="360" w:lineRule="auto"/>
        <w:ind w:left="120" w:leftChars="57" w:firstLine="316" w:firstLineChars="150"/>
        <w:jc w:val="center"/>
        <w:rPr>
          <w:rFonts w:ascii="宋体" w:hAnsi="宋体" w:cs="宋体"/>
          <w:b/>
          <w:color w:val="auto"/>
          <w:sz w:val="21"/>
          <w:szCs w:val="21"/>
          <w:highlight w:val="none"/>
        </w:rPr>
      </w:pPr>
      <w:r>
        <w:rPr>
          <w:rFonts w:hint="eastAsia" w:ascii="宋体" w:hAnsi="宋体" w:cs="宋体"/>
          <w:b/>
          <w:color w:val="auto"/>
          <w:sz w:val="21"/>
          <w:szCs w:val="21"/>
          <w:highlight w:val="none"/>
        </w:rPr>
        <w:t>九、验收</w:t>
      </w:r>
    </w:p>
    <w:p w14:paraId="59563F04">
      <w:pPr>
        <w:pStyle w:val="9"/>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7B67FD7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AD38FE">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4B2E119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验收小组共5人，由采购人1人、专家4人（由第三方代理机构从政采云政企区专家库相关专业随机抽取产生）），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FFA418">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541567A">
      <w:pPr>
        <w:pStyle w:val="3"/>
        <w:adjustRightInd w:val="0"/>
        <w:snapToGrid w:val="0"/>
        <w:ind w:left="0" w:firstLine="420" w:firstLineChars="200"/>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9D5FE9C">
      <w:pPr>
        <w:pStyle w:val="27"/>
        <w:rPr>
          <w:color w:val="auto"/>
          <w:sz w:val="21"/>
          <w:szCs w:val="21"/>
          <w:highlight w:val="none"/>
        </w:rPr>
      </w:pPr>
    </w:p>
    <w:bookmarkEnd w:id="14"/>
    <w:p w14:paraId="21CA747C">
      <w:pPr>
        <w:tabs>
          <w:tab w:val="left" w:pos="0"/>
        </w:tabs>
        <w:spacing w:line="360" w:lineRule="auto"/>
        <w:ind w:firstLine="480"/>
        <w:rPr>
          <w:rFonts w:ascii="宋体" w:hAnsi="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101"/>
      <w:bookmarkEnd w:id="16"/>
      <w:bookmarkStart w:id="17" w:name="_Hlt75236290"/>
      <w:bookmarkEnd w:id="17"/>
      <w:bookmarkStart w:id="18" w:name="_Hlt68403820"/>
      <w:bookmarkEnd w:id="18"/>
      <w:bookmarkStart w:id="19" w:name="_Hlt68072990"/>
      <w:bookmarkEnd w:id="19"/>
      <w:bookmarkStart w:id="20" w:name="_Hlt68072998"/>
      <w:bookmarkEnd w:id="20"/>
      <w:bookmarkStart w:id="21" w:name="_Hlt74730295"/>
      <w:bookmarkEnd w:id="21"/>
      <w:bookmarkStart w:id="22" w:name="_Hlt74707468"/>
      <w:bookmarkEnd w:id="22"/>
      <w:bookmarkStart w:id="23" w:name="_Hlt68073093"/>
      <w:bookmarkEnd w:id="23"/>
      <w:bookmarkStart w:id="24" w:name="_Hlt68057669"/>
      <w:bookmarkEnd w:id="24"/>
      <w:bookmarkStart w:id="25" w:name="_Hlt74729768"/>
      <w:bookmarkEnd w:id="25"/>
      <w:bookmarkStart w:id="26" w:name="_Hlt75236011"/>
      <w:bookmarkEnd w:id="26"/>
      <w:bookmarkStart w:id="27" w:name="_Hlt74714665"/>
      <w:bookmarkEnd w:id="27"/>
    </w:p>
    <w:bookmarkEnd w:id="12"/>
    <w:bookmarkEnd w:id="13"/>
    <w:p w14:paraId="4E68E5BA">
      <w:pPr>
        <w:spacing w:line="360" w:lineRule="auto"/>
        <w:jc w:val="center"/>
        <w:outlineLvl w:val="0"/>
        <w:rPr>
          <w:rFonts w:hint="eastAsia"/>
          <w:b w:val="0"/>
          <w:bCs/>
          <w:color w:val="000000"/>
          <w:sz w:val="24"/>
          <w:lang w:val="en-US" w:eastAsia="zh-CN"/>
        </w:rPr>
      </w:pPr>
      <w:bookmarkStart w:id="28" w:name="第四部分"/>
      <w:r>
        <w:rPr>
          <w:rFonts w:hint="eastAsia" w:ascii="宋体" w:hAnsi="宋体" w:cs="宋体"/>
          <w:b/>
          <w:color w:val="auto"/>
          <w:sz w:val="36"/>
          <w:szCs w:val="36"/>
          <w:highlight w:val="none"/>
        </w:rPr>
        <w:t>第三部分   采购需求</w:t>
      </w:r>
    </w:p>
    <w:p w14:paraId="414932F6">
      <w:pPr>
        <w:keepNext w:val="0"/>
        <w:keepLines w:val="0"/>
        <w:pageBreakBefore w:val="0"/>
        <w:widowControl w:val="0"/>
        <w:kinsoku/>
        <w:wordWrap/>
        <w:overflowPunct/>
        <w:topLinePunct w:val="0"/>
        <w:bidi w:val="0"/>
        <w:adjustRightInd/>
        <w:snapToGrid/>
        <w:spacing w:line="360" w:lineRule="auto"/>
        <w:rPr>
          <w:rFonts w:hint="eastAsia" w:hAnsi="宋体" w:eastAsia="宋体" w:cs="宋体"/>
          <w:b/>
          <w:bCs/>
          <w:color w:val="000000"/>
          <w:sz w:val="21"/>
          <w:highlight w:val="none"/>
          <w:lang w:val="en-US" w:eastAsia="zh-CN"/>
        </w:rPr>
      </w:pPr>
    </w:p>
    <w:p w14:paraId="43898540">
      <w:pPr>
        <w:keepNext w:val="0"/>
        <w:keepLines w:val="0"/>
        <w:pageBreakBefore w:val="0"/>
        <w:widowControl w:val="0"/>
        <w:kinsoku/>
        <w:wordWrap/>
        <w:overflowPunct/>
        <w:topLinePunct w:val="0"/>
        <w:bidi w:val="0"/>
        <w:adjustRightInd/>
        <w:snapToGrid/>
        <w:spacing w:line="360" w:lineRule="auto"/>
        <w:rPr>
          <w:rFonts w:hint="eastAsia" w:hAnsi="宋体" w:eastAsia="宋体" w:cs="宋体"/>
          <w:b/>
          <w:bCs/>
          <w:color w:val="000000"/>
          <w:sz w:val="21"/>
          <w:highlight w:val="none"/>
        </w:rPr>
      </w:pPr>
      <w:r>
        <w:rPr>
          <w:rFonts w:hint="eastAsia" w:hAnsi="宋体" w:eastAsia="宋体" w:cs="宋体"/>
          <w:b/>
          <w:bCs/>
          <w:color w:val="000000"/>
          <w:sz w:val="21"/>
          <w:highlight w:val="none"/>
          <w:lang w:val="en-US" w:eastAsia="zh-CN"/>
        </w:rPr>
        <w:t>一</w:t>
      </w:r>
      <w:r>
        <w:rPr>
          <w:rFonts w:hint="eastAsia" w:hAnsi="宋体" w:eastAsia="宋体" w:cs="宋体"/>
          <w:b/>
          <w:bCs/>
          <w:color w:val="000000"/>
          <w:sz w:val="21"/>
          <w:highlight w:val="none"/>
        </w:rPr>
        <w:t>、项目概况</w:t>
      </w:r>
    </w:p>
    <w:p w14:paraId="57A5FB78">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宁海县公共卫生中心食堂外包服务项目进行招标，本项目将由一家</w:t>
      </w:r>
      <w:r>
        <w:rPr>
          <w:rFonts w:hint="eastAsia" w:hAnsi="宋体" w:eastAsia="宋体" w:cs="宋体"/>
          <w:color w:val="000000"/>
          <w:kern w:val="0"/>
          <w:sz w:val="21"/>
          <w:szCs w:val="21"/>
          <w:highlight w:val="none"/>
          <w:lang w:val="en-US" w:eastAsia="zh-CN" w:bidi="ar"/>
        </w:rPr>
        <w:t>中标人</w:t>
      </w:r>
      <w:r>
        <w:rPr>
          <w:rFonts w:hint="eastAsia" w:ascii="宋体" w:hAnsi="宋体" w:eastAsia="宋体" w:cs="宋体"/>
          <w:color w:val="000000"/>
          <w:kern w:val="0"/>
          <w:sz w:val="21"/>
          <w:szCs w:val="21"/>
          <w:highlight w:val="none"/>
          <w:lang w:val="en-US" w:eastAsia="zh-CN" w:bidi="ar"/>
        </w:rPr>
        <w:t>独立承包，实行统一管理，综合服务，不得分包经营。</w:t>
      </w:r>
      <w:r>
        <w:rPr>
          <w:rFonts w:hint="eastAsia" w:ascii="宋体" w:hAnsi="宋体" w:eastAsia="宋体" w:cs="宋体"/>
          <w:color w:val="auto"/>
          <w:sz w:val="21"/>
          <w:highlight w:val="none"/>
          <w:lang w:val="en-US" w:eastAsia="zh-CN"/>
        </w:rPr>
        <w:t>要求投标人承诺派出的核心服务团队成员到岗率达100%，并接受采购人的考核。</w:t>
      </w:r>
      <w:r>
        <w:rPr>
          <w:rFonts w:hint="eastAsia" w:ascii="宋体" w:hAnsi="宋体" w:eastAsia="宋体" w:cs="宋体"/>
          <w:color w:val="000000"/>
          <w:kern w:val="0"/>
          <w:sz w:val="21"/>
          <w:szCs w:val="21"/>
          <w:highlight w:val="none"/>
          <w:lang w:val="en-US" w:eastAsia="zh-CN" w:bidi="ar"/>
        </w:rPr>
        <w:t>要求服务人员配置合理，统筹安排；餐饮花色丰富，品质保证，卫生健康，服务规范；全体员工在服务期间，必须仪容整洁、仪表端正、礼仪规范；同时要求在</w:t>
      </w:r>
      <w:r>
        <w:rPr>
          <w:rFonts w:hint="eastAsia" w:hAnsi="宋体" w:eastAsia="宋体" w:cs="宋体"/>
          <w:color w:val="000000"/>
          <w:kern w:val="0"/>
          <w:sz w:val="21"/>
          <w:szCs w:val="21"/>
          <w:highlight w:val="none"/>
          <w:lang w:val="en-US" w:eastAsia="zh-CN" w:bidi="ar"/>
        </w:rPr>
        <w:t>招标人</w:t>
      </w:r>
      <w:r>
        <w:rPr>
          <w:rFonts w:hint="eastAsia" w:ascii="宋体" w:hAnsi="宋体" w:eastAsia="宋体" w:cs="宋体"/>
          <w:color w:val="000000"/>
          <w:kern w:val="0"/>
          <w:sz w:val="21"/>
          <w:szCs w:val="21"/>
          <w:highlight w:val="none"/>
          <w:lang w:val="en-US" w:eastAsia="zh-CN" w:bidi="ar"/>
        </w:rPr>
        <w:t>的管理下做好各类材料节约、节能工作，配合</w:t>
      </w:r>
      <w:r>
        <w:rPr>
          <w:rFonts w:hint="eastAsia" w:hAnsi="宋体" w:eastAsia="宋体" w:cs="宋体"/>
          <w:color w:val="000000"/>
          <w:kern w:val="0"/>
          <w:sz w:val="21"/>
          <w:szCs w:val="21"/>
          <w:highlight w:val="none"/>
          <w:lang w:val="en-US" w:eastAsia="zh-CN" w:bidi="ar"/>
        </w:rPr>
        <w:t>招标人</w:t>
      </w:r>
      <w:r>
        <w:rPr>
          <w:rFonts w:hint="eastAsia" w:ascii="宋体" w:hAnsi="宋体" w:eastAsia="宋体" w:cs="宋体"/>
          <w:color w:val="000000"/>
          <w:kern w:val="0"/>
          <w:sz w:val="21"/>
          <w:szCs w:val="21"/>
          <w:highlight w:val="none"/>
          <w:lang w:val="en-US" w:eastAsia="zh-CN" w:bidi="ar"/>
        </w:rPr>
        <w:t>实现材料消耗、能耗逐年下降。</w:t>
      </w:r>
    </w:p>
    <w:p w14:paraId="7BC29848">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本项目为服务外包。费用包括以下：</w:t>
      </w:r>
    </w:p>
    <w:p w14:paraId="78FB691D">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1、中标人</w:t>
      </w:r>
      <w:r>
        <w:rPr>
          <w:rFonts w:hint="eastAsia" w:ascii="宋体" w:hAnsi="宋体" w:eastAsia="宋体" w:cs="宋体"/>
          <w:color w:val="auto"/>
          <w:sz w:val="21"/>
          <w:highlight w:val="none"/>
          <w:lang w:val="en-US" w:eastAsia="zh-CN"/>
        </w:rPr>
        <w:t>对食堂运营所产生的费用：包括但不限于食品加工费</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设备设施更换与新增费、设备设施维修费</w:t>
      </w:r>
      <w:r>
        <w:rPr>
          <w:rFonts w:hint="eastAsia" w:ascii="宋体" w:hAnsi="宋体" w:cs="宋体"/>
          <w:color w:val="auto"/>
          <w:sz w:val="21"/>
          <w:highlight w:val="none"/>
          <w:lang w:val="en-US" w:eastAsia="zh-CN"/>
        </w:rPr>
        <w:t>、人员工资费用（工资、津贴）、人员综合费用（各种社会保险、福利、服装费、培训费等）、各种规费、管理费和税金等</w:t>
      </w:r>
      <w:r>
        <w:rPr>
          <w:rFonts w:hint="eastAsia" w:ascii="宋体" w:hAnsi="宋体" w:eastAsia="宋体" w:cs="宋体"/>
          <w:color w:val="auto"/>
          <w:sz w:val="21"/>
          <w:highlight w:val="none"/>
          <w:lang w:val="en-US" w:eastAsia="zh-CN"/>
        </w:rPr>
        <w:t>。</w:t>
      </w:r>
    </w:p>
    <w:p w14:paraId="7E78511C">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2、采购人应承担的费用：食品原材料费、粮油费、调料费</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能耗费用</w:t>
      </w:r>
      <w:r>
        <w:rPr>
          <w:rFonts w:hint="eastAsia" w:ascii="宋体" w:hAnsi="宋体" w:cs="宋体"/>
          <w:color w:val="auto"/>
          <w:sz w:val="21"/>
          <w:highlight w:val="none"/>
          <w:lang w:val="en-US" w:eastAsia="zh-CN"/>
        </w:rPr>
        <w:t>（水、电、燃气等）、</w:t>
      </w:r>
      <w:r>
        <w:rPr>
          <w:rFonts w:hint="eastAsia" w:ascii="宋体" w:hAnsi="宋体" w:eastAsia="宋体" w:cs="宋体"/>
          <w:color w:val="auto"/>
          <w:sz w:val="21"/>
          <w:highlight w:val="none"/>
          <w:lang w:val="en-US" w:eastAsia="zh-CN"/>
        </w:rPr>
        <w:t>有关管理部门收取的检测、测试费用，以及排污、垃圾清运等费用</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其他相关费用。其中每个月末中标人向采购人出具食品原材料费、粮油费、调料费的采购台账及其相关费用证明，次月10日前采购人根据中标人提供的采购台账及其费用证明向中标人支付食品原材料费、粮油费、调料费。</w:t>
      </w:r>
    </w:p>
    <w:p w14:paraId="3D2595E8">
      <w:pPr>
        <w:keepNext w:val="0"/>
        <w:keepLines w:val="0"/>
        <w:pageBreakBefore w:val="0"/>
        <w:wordWrap/>
        <w:topLinePunct w:val="0"/>
        <w:bidi w:val="0"/>
        <w:spacing w:beforeLines="0" w:afterLines="0" w:line="360" w:lineRule="auto"/>
        <w:ind w:firstLine="392" w:firstLineChars="187"/>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3、食品原辅材料采购的约定：投标人负责食品原辅材料的采购，要求投标人所有采购的主辅料、调味品等必须要到有资质的供货单位定点采购，有正规品牌，并做好索证台账规范。中标人须在原辅材料采购之前向采购人提供食品原辅材料供货单位的名单，经采购人对名单中的供货单位进行审核认定后，方可从符合标准的供货单位中进行定点采购。采购人有权对供货单位提供的食材质量和价格、服务态度等进行监督、检查和考核，如不达采购人要求，采购人有权调整原辅材料的供货单位。食堂每月必须做好原辅材料采购台帐，连续两个月没有做好采购台帐或每半年结束时台帐不完整的，采购人有权取消其中标资格。</w:t>
      </w:r>
    </w:p>
    <w:p w14:paraId="752DB7F6">
      <w:pPr>
        <w:pStyle w:val="39"/>
        <w:keepNext w:val="0"/>
        <w:keepLines w:val="0"/>
        <w:pageBreakBefore w:val="0"/>
        <w:widowControl w:val="0"/>
        <w:kinsoku/>
        <w:wordWrap/>
        <w:overflowPunct/>
        <w:topLinePunct w:val="0"/>
        <w:bidi w:val="0"/>
        <w:adjustRightInd/>
        <w:snapToGrid/>
        <w:spacing w:line="360" w:lineRule="auto"/>
        <w:ind w:left="0" w:leftChars="0" w:firstLine="0" w:firstLineChars="0"/>
        <w:rPr>
          <w:rFonts w:hint="eastAsia" w:ascii="宋体" w:hAnsi="宋体" w:eastAsia="宋体" w:cs="宋体"/>
          <w:b/>
          <w:color w:val="000000"/>
          <w:kern w:val="0"/>
          <w:sz w:val="21"/>
          <w:szCs w:val="21"/>
          <w:highlight w:val="none"/>
          <w:lang w:val="en-US" w:eastAsia="zh-CN" w:bidi="ar"/>
        </w:rPr>
      </w:pPr>
    </w:p>
    <w:p w14:paraId="691BF451">
      <w:pPr>
        <w:pStyle w:val="39"/>
        <w:keepNext w:val="0"/>
        <w:keepLines w:val="0"/>
        <w:pageBreakBefore w:val="0"/>
        <w:widowControl w:val="0"/>
        <w:kinsoku/>
        <w:wordWrap/>
        <w:overflowPunct/>
        <w:topLinePunct w:val="0"/>
        <w:bidi w:val="0"/>
        <w:adjustRightInd/>
        <w:snapToGrid/>
        <w:spacing w:line="360" w:lineRule="auto"/>
        <w:ind w:left="0" w:leftChars="0" w:firstLine="0" w:firstLineChars="0"/>
        <w:rPr>
          <w:rFonts w:hint="eastAsia"/>
          <w:color w:val="000000"/>
        </w:rPr>
      </w:pPr>
      <w:r>
        <w:rPr>
          <w:rFonts w:hint="eastAsia" w:hAnsi="宋体" w:eastAsia="宋体" w:cs="宋体"/>
          <w:b/>
          <w:color w:val="000000"/>
          <w:kern w:val="0"/>
          <w:sz w:val="21"/>
          <w:szCs w:val="21"/>
          <w:highlight w:val="none"/>
          <w:lang w:val="en-US" w:eastAsia="zh-CN" w:bidi="ar"/>
        </w:rPr>
        <w:t>二</w:t>
      </w:r>
      <w:r>
        <w:rPr>
          <w:rFonts w:hint="eastAsia" w:ascii="宋体" w:hAnsi="宋体" w:eastAsia="宋体" w:cs="宋体"/>
          <w:b/>
          <w:color w:val="000000"/>
          <w:kern w:val="0"/>
          <w:sz w:val="21"/>
          <w:szCs w:val="21"/>
          <w:highlight w:val="none"/>
          <w:lang w:val="en-US" w:eastAsia="zh-CN" w:bidi="ar"/>
        </w:rPr>
        <w:t>、餐饮服务标准和技术要求</w:t>
      </w:r>
    </w:p>
    <w:p w14:paraId="0E0951B3">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1、餐饮服务总体内容</w:t>
      </w:r>
    </w:p>
    <w:p w14:paraId="523F3F42">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1.1 投标人须配备专业的管理团队（主要包括主管、厨师、帮厨</w:t>
      </w:r>
      <w:r>
        <w:rPr>
          <w:rFonts w:hint="eastAsia"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bidi="ar"/>
        </w:rPr>
        <w:t>面点师</w:t>
      </w:r>
      <w:r>
        <w:rPr>
          <w:rFonts w:hint="eastAsia" w:ascii="宋体" w:hAnsi="宋体"/>
          <w:color w:val="000000"/>
          <w:sz w:val="21"/>
          <w:szCs w:val="21"/>
          <w:lang w:eastAsia="zh-CN"/>
        </w:rPr>
        <w:t>、</w:t>
      </w:r>
      <w:r>
        <w:rPr>
          <w:rFonts w:hint="eastAsia" w:ascii="宋体" w:hAnsi="宋体" w:eastAsia="宋体" w:cs="宋体"/>
          <w:color w:val="000000"/>
          <w:kern w:val="0"/>
          <w:sz w:val="21"/>
          <w:szCs w:val="21"/>
          <w:highlight w:val="none"/>
          <w:lang w:val="en-US" w:eastAsia="zh-CN"/>
        </w:rPr>
        <w:t>勤杂工</w:t>
      </w:r>
      <w:r>
        <w:rPr>
          <w:rFonts w:hint="eastAsia" w:ascii="宋体" w:hAnsi="宋体" w:eastAsia="宋体" w:cs="宋体"/>
          <w:color w:val="000000"/>
          <w:kern w:val="0"/>
          <w:sz w:val="21"/>
          <w:szCs w:val="21"/>
          <w:highlight w:val="none"/>
          <w:lang w:val="en-US" w:eastAsia="zh-CN" w:bidi="ar"/>
        </w:rPr>
        <w:t>等）进行餐饮管理服务，为宁海县公共卫生中心提供营养、健康、科学、合理的工作餐</w:t>
      </w:r>
      <w:r>
        <w:rPr>
          <w:rFonts w:hint="eastAsia" w:hAnsi="宋体" w:eastAsia="宋体" w:cs="宋体"/>
          <w:color w:val="000000"/>
          <w:kern w:val="0"/>
          <w:sz w:val="21"/>
          <w:szCs w:val="21"/>
          <w:highlight w:val="none"/>
          <w:lang w:val="en-US" w:eastAsia="zh-CN" w:bidi="ar"/>
        </w:rPr>
        <w:t>。要求管理专业，服务热情，保证餐厅有序运作，确保干部职工满意率达标。</w:t>
      </w:r>
    </w:p>
    <w:p w14:paraId="44BACCC4">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1.2 </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负责主副食的加工供应、人员管理、卫生管理、厨房设备及安全管理、菜肴质量管理等。采购人负责采购和验收管理、干货备料仓库管理、财务和预算管理、成本控制等。但若采购人提出需要</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采购时，</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应当负责采购。</w:t>
      </w:r>
    </w:p>
    <w:p w14:paraId="586F1250">
      <w:pPr>
        <w:widowControl/>
        <w:spacing w:line="400" w:lineRule="exact"/>
        <w:ind w:firstLine="422" w:firstLineChars="200"/>
        <w:jc w:val="left"/>
        <w:rPr>
          <w:rFonts w:ascii="宋体" w:hAnsi="宋体" w:cs="宋体"/>
          <w:b/>
          <w:color w:val="000000"/>
          <w:kern w:val="0"/>
          <w:szCs w:val="21"/>
        </w:rPr>
      </w:pPr>
      <w:r>
        <w:rPr>
          <w:rFonts w:hint="eastAsia" w:ascii="宋体" w:hAnsi="宋体" w:eastAsia="宋体" w:cs="宋体"/>
          <w:b/>
          <w:color w:val="000000"/>
          <w:sz w:val="21"/>
          <w:szCs w:val="21"/>
          <w:highlight w:val="none"/>
        </w:rPr>
        <w:t>2、食堂及用餐情况</w:t>
      </w:r>
    </w:p>
    <w:p w14:paraId="43845F25">
      <w:pPr>
        <w:autoSpaceDE w:val="0"/>
        <w:autoSpaceDN w:val="0"/>
        <w:adjustRightInd w:val="0"/>
        <w:snapToGrid w:val="0"/>
        <w:spacing w:line="400" w:lineRule="exact"/>
        <w:ind w:firstLine="413" w:firstLineChars="196"/>
        <w:textAlignment w:val="bottom"/>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2.1</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食堂服务管理要求</w:t>
      </w:r>
    </w:p>
    <w:p w14:paraId="22C1B1A1">
      <w:pPr>
        <w:keepNext w:val="0"/>
        <w:keepLines w:val="0"/>
        <w:pageBreakBefore w:val="0"/>
        <w:wordWrap/>
        <w:topLinePunct w:val="0"/>
        <w:autoSpaceDE w:val="0"/>
        <w:autoSpaceDN w:val="0"/>
        <w:bidi w:val="0"/>
        <w:adjustRightInd w:val="0"/>
        <w:snapToGrid w:val="0"/>
        <w:spacing w:line="360" w:lineRule="auto"/>
        <w:ind w:firstLine="525" w:firstLineChars="250"/>
        <w:textAlignment w:val="bottom"/>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全年提供宁海</w:t>
      </w:r>
      <w:r>
        <w:rPr>
          <w:rFonts w:hint="eastAsia" w:ascii="宋体" w:hAnsi="宋体" w:eastAsia="宋体" w:cs="宋体"/>
          <w:color w:val="auto"/>
          <w:szCs w:val="21"/>
          <w:highlight w:val="none"/>
          <w:lang w:eastAsia="zh-CN"/>
        </w:rPr>
        <w:t>公共卫生中心</w:t>
      </w:r>
      <w:r>
        <w:rPr>
          <w:rFonts w:hint="eastAsia" w:ascii="宋体" w:hAnsi="宋体" w:eastAsia="宋体" w:cs="宋体"/>
          <w:color w:val="auto"/>
          <w:szCs w:val="21"/>
          <w:highlight w:val="none"/>
        </w:rPr>
        <w:t>供餐服务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双休日及节假日就餐人数相应减少</w:t>
      </w:r>
      <w:r>
        <w:rPr>
          <w:rFonts w:hint="eastAsia" w:ascii="宋体" w:hAnsi="宋体" w:cs="宋体"/>
          <w:color w:val="auto"/>
          <w:szCs w:val="21"/>
          <w:highlight w:val="none"/>
          <w:lang w:eastAsia="zh-CN"/>
        </w:rPr>
        <w:t>）。</w:t>
      </w:r>
    </w:p>
    <w:p w14:paraId="3E15C363">
      <w:pPr>
        <w:keepNext w:val="0"/>
        <w:keepLines w:val="0"/>
        <w:pageBreakBefore w:val="0"/>
        <w:wordWrap/>
        <w:topLinePunct w:val="0"/>
        <w:autoSpaceDE w:val="0"/>
        <w:autoSpaceDN w:val="0"/>
        <w:bidi w:val="0"/>
        <w:adjustRightInd w:val="0"/>
        <w:snapToGrid w:val="0"/>
        <w:spacing w:line="360" w:lineRule="auto"/>
        <w:ind w:firstLine="525" w:firstLineChars="25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一般供餐要求: </w:t>
      </w:r>
    </w:p>
    <w:p w14:paraId="0E64ED62">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每周服务天数:周一至周日。</w:t>
      </w:r>
    </w:p>
    <w:p w14:paraId="41566BEB">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每日餐次:每日早、午、晚三餐次。</w:t>
      </w:r>
    </w:p>
    <w:p w14:paraId="7BF27382">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用餐时间及人数:</w:t>
      </w:r>
      <w:r>
        <w:rPr>
          <w:rFonts w:hint="eastAsia" w:ascii="宋体" w:hAnsi="宋体" w:cs="宋体"/>
          <w:color w:val="auto"/>
          <w:sz w:val="21"/>
          <w:szCs w:val="21"/>
          <w:lang w:val="en-US" w:eastAsia="zh-CN"/>
        </w:rPr>
        <w:t>须</w:t>
      </w:r>
      <w:r>
        <w:rPr>
          <w:rFonts w:hint="eastAsia" w:ascii="宋体" w:hAnsi="宋体" w:eastAsia="宋体" w:cs="宋体"/>
          <w:color w:val="auto"/>
          <w:kern w:val="0"/>
          <w:sz w:val="21"/>
          <w:szCs w:val="21"/>
          <w:highlight w:val="none"/>
          <w:lang w:val="en-US" w:eastAsia="zh-CN" w:bidi="ar"/>
        </w:rPr>
        <w:t>保证招标人（约</w:t>
      </w:r>
      <w:r>
        <w:rPr>
          <w:rFonts w:hint="eastAsia" w:ascii="宋体" w:hAnsi="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0人）早餐、中餐</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晚餐就餐</w:t>
      </w:r>
      <w:r>
        <w:rPr>
          <w:rFonts w:hint="eastAsia" w:ascii="宋体" w:hAnsi="宋体" w:cs="宋体"/>
          <w:color w:val="auto"/>
          <w:kern w:val="0"/>
          <w:sz w:val="21"/>
          <w:szCs w:val="21"/>
          <w:highlight w:val="none"/>
          <w:lang w:val="en-US" w:eastAsia="zh-CN" w:bidi="ar"/>
        </w:rPr>
        <w:t>。</w:t>
      </w:r>
    </w:p>
    <w:p w14:paraId="5A6A793E">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早餐：06:30-0</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 xml:space="preserve">0  </w:t>
      </w:r>
    </w:p>
    <w:p w14:paraId="687263BC">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 xml:space="preserve">中餐：10:40-12:30 </w:t>
      </w:r>
    </w:p>
    <w:p w14:paraId="2169AECE">
      <w:pPr>
        <w:keepNext w:val="0"/>
        <w:keepLines w:val="0"/>
        <w:pageBreakBefore w:val="0"/>
        <w:wordWrap/>
        <w:topLinePunct w:val="0"/>
        <w:autoSpaceDE w:val="0"/>
        <w:autoSpaceDN w:val="0"/>
        <w:bidi w:val="0"/>
        <w:adjustRightInd w:val="0"/>
        <w:snapToGrid w:val="0"/>
        <w:spacing w:line="360" w:lineRule="auto"/>
        <w:ind w:firstLine="315" w:firstLineChars="150"/>
        <w:textAlignment w:val="bottom"/>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晚</w:t>
      </w:r>
      <w:r>
        <w:rPr>
          <w:rFonts w:hint="eastAsia" w:ascii="宋体" w:hAnsi="宋体" w:eastAsia="宋体" w:cs="宋体"/>
          <w:color w:val="auto"/>
          <w:szCs w:val="21"/>
          <w:highlight w:val="none"/>
          <w:lang w:val="zh-CN"/>
        </w:rPr>
        <w:t xml:space="preserve">餐：16:00-18:00  </w:t>
      </w:r>
    </w:p>
    <w:p w14:paraId="0AD9559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特殊餐饮活动：科室工作餐、误餐（需要送餐）、晚餐除急救站需固定安排晚上20人左右用餐的供餐服务，如有需要根据招标人临时通知进行安排及临时通知的客饭（如专家餐、招待餐、职工聚餐等）</w:t>
      </w:r>
      <w:r>
        <w:rPr>
          <w:rFonts w:hint="eastAsia" w:ascii="宋体" w:hAnsi="宋体" w:cs="宋体"/>
          <w:color w:val="auto"/>
          <w:sz w:val="21"/>
          <w:szCs w:val="21"/>
          <w:lang w:val="en-US" w:eastAsia="zh-CN"/>
        </w:rPr>
        <w:t>。</w:t>
      </w:r>
    </w:p>
    <w:p w14:paraId="72D43B4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由卫健牵头就餐服务除餐费外不得收取额外费用。</w:t>
      </w:r>
    </w:p>
    <w:p w14:paraId="6F34E746">
      <w:pPr>
        <w:numPr>
          <w:ilvl w:val="0"/>
          <w:numId w:val="0"/>
        </w:numPr>
        <w:autoSpaceDE w:val="0"/>
        <w:autoSpaceDN w:val="0"/>
        <w:adjustRightInd w:val="0"/>
        <w:snapToGrid w:val="0"/>
        <w:spacing w:line="400" w:lineRule="exact"/>
        <w:ind w:firstLine="420" w:firstLineChars="200"/>
        <w:textAlignment w:val="bottom"/>
        <w:rPr>
          <w:rFonts w:hint="default"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5）招标人</w:t>
      </w:r>
      <w:r>
        <w:rPr>
          <w:rFonts w:hint="eastAsia" w:ascii="宋体" w:hAnsi="宋体" w:eastAsia="宋体" w:cs="宋体"/>
          <w:color w:val="auto"/>
          <w:szCs w:val="21"/>
          <w:highlight w:val="none"/>
          <w:lang w:val="en-US" w:eastAsia="zh-CN"/>
        </w:rPr>
        <w:t>如因公原因</w:t>
      </w:r>
      <w:r>
        <w:rPr>
          <w:rFonts w:hint="eastAsia" w:ascii="宋体" w:hAnsi="宋体" w:eastAsia="宋体" w:cs="宋体"/>
          <w:color w:val="auto"/>
          <w:szCs w:val="21"/>
          <w:highlight w:val="none"/>
        </w:rPr>
        <w:t>就餐人数减少</w:t>
      </w:r>
      <w:r>
        <w:rPr>
          <w:rFonts w:hint="eastAsia" w:ascii="宋体" w:hAnsi="宋体" w:eastAsia="宋体" w:cs="宋体"/>
          <w:color w:val="auto"/>
          <w:sz w:val="21"/>
          <w:szCs w:val="21"/>
          <w:lang w:val="en-US" w:eastAsia="zh-CN"/>
        </w:rPr>
        <w:t>10人</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lang w:val="en-US" w:eastAsia="zh-CN"/>
        </w:rPr>
        <w:t>以上</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，应向食堂提前告知</w:t>
      </w:r>
      <w:r>
        <w:rPr>
          <w:rFonts w:hint="eastAsia" w:ascii="宋体" w:hAnsi="宋体" w:cs="宋体"/>
          <w:color w:val="auto"/>
          <w:sz w:val="21"/>
          <w:szCs w:val="21"/>
          <w:lang w:val="en-US" w:eastAsia="zh-CN"/>
        </w:rPr>
        <w:t>具体就餐人员人数的</w:t>
      </w:r>
      <w:r>
        <w:rPr>
          <w:rFonts w:hint="eastAsia" w:ascii="宋体" w:hAnsi="宋体" w:eastAsia="宋体" w:cs="宋体"/>
          <w:color w:val="auto"/>
          <w:sz w:val="21"/>
          <w:szCs w:val="21"/>
          <w:lang w:val="en-US" w:eastAsia="zh-CN"/>
        </w:rPr>
        <w:t>义务和机制</w:t>
      </w:r>
      <w:r>
        <w:rPr>
          <w:rFonts w:hint="eastAsia" w:ascii="宋体" w:hAnsi="宋体" w:cs="宋体"/>
          <w:color w:val="auto"/>
          <w:sz w:val="21"/>
          <w:szCs w:val="21"/>
          <w:lang w:val="en-US" w:eastAsia="zh-CN"/>
        </w:rPr>
        <w:t>。</w:t>
      </w:r>
    </w:p>
    <w:p w14:paraId="57932BA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）供餐需求，价格合理、营养丰富及早中晚菜肴搭配科学合理的品种。</w:t>
      </w:r>
    </w:p>
    <w:p w14:paraId="3CA6D1A4">
      <w:pPr>
        <w:autoSpaceDE w:val="0"/>
        <w:autoSpaceDN w:val="0"/>
        <w:adjustRightInd w:val="0"/>
        <w:snapToGrid w:val="0"/>
        <w:spacing w:line="400" w:lineRule="exact"/>
        <w:ind w:firstLine="422" w:firstLineChars="200"/>
        <w:textAlignment w:val="bottom"/>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 xml:space="preserve">2.2 </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食堂服</w:t>
      </w:r>
      <w:r>
        <w:rPr>
          <w:rFonts w:hint="eastAsia" w:ascii="宋体" w:hAnsi="宋体" w:cs="宋体"/>
          <w:b/>
          <w:bCs/>
          <w:color w:val="000000"/>
          <w:sz w:val="21"/>
          <w:szCs w:val="21"/>
          <w:lang w:val="en-US" w:eastAsia="zh-CN"/>
        </w:rPr>
        <w:t>务</w:t>
      </w:r>
      <w:r>
        <w:rPr>
          <w:rFonts w:hint="eastAsia" w:ascii="宋体" w:hAnsi="宋体" w:eastAsia="宋体" w:cs="宋体"/>
          <w:b/>
          <w:bCs/>
          <w:color w:val="000000"/>
          <w:sz w:val="21"/>
          <w:szCs w:val="21"/>
          <w:lang w:val="en-US" w:eastAsia="zh-CN"/>
        </w:rPr>
        <w:t>卫生</w:t>
      </w:r>
      <w:r>
        <w:rPr>
          <w:rFonts w:hint="eastAsia" w:ascii="宋体" w:hAnsi="宋体" w:cs="宋体"/>
          <w:b/>
          <w:bCs/>
          <w:color w:val="000000"/>
          <w:sz w:val="21"/>
          <w:szCs w:val="21"/>
          <w:lang w:val="en-US" w:eastAsia="zh-CN"/>
        </w:rPr>
        <w:t>要求</w:t>
      </w:r>
    </w:p>
    <w:p w14:paraId="4652B249">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（一）厨师个人卫生</w:t>
      </w:r>
    </w:p>
    <w:p w14:paraId="622FBC4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1、讲究个人卫生，衣着干净整洁，不留长发、长指甲</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不留胡须。</w:t>
      </w:r>
    </w:p>
    <w:p w14:paraId="4039FF1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2、制作食品前要用洗手液洗手，不得用手直接拿放熟食。</w:t>
      </w:r>
    </w:p>
    <w:p w14:paraId="05CC5E98">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3、工作时间穿好工衣，戴好工帽，供餐时必须戴好口罩、手套。</w:t>
      </w:r>
    </w:p>
    <w:p w14:paraId="507C0DC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4、不得在厨房、餐厅工作间内吸烟、随地吐痰，在洗碗（菜）池内洗涤衣物及其它物品。</w:t>
      </w:r>
    </w:p>
    <w:p w14:paraId="734655F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5、发现自己染病须及时报告，暂停工作。</w:t>
      </w:r>
    </w:p>
    <w:p w14:paraId="3C9E2E3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（二）食品卫生</w:t>
      </w:r>
    </w:p>
    <w:p w14:paraId="6B94823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1、疏菜一般当天购进当天食用，不得放置两天以上，发现变质立即丢弃处理。</w:t>
      </w:r>
    </w:p>
    <w:p w14:paraId="519BF8D4">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2、肉食、鱼类等要保持鲜活。</w:t>
      </w:r>
    </w:p>
    <w:p w14:paraId="2F9223FA">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3、菜要炒熟煮透，油炸食品不能炸糊。</w:t>
      </w:r>
    </w:p>
    <w:p w14:paraId="706478C8">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4、熟食必须使用专一熟食工具，不得用手拿放，生、熟食品必须分开存放。</w:t>
      </w:r>
    </w:p>
    <w:p w14:paraId="68C24466">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5、剩食品必须采取保鲜纸遮盖放入冷藏柜。</w:t>
      </w:r>
    </w:p>
    <w:p w14:paraId="2BE8547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6、变质变味食品不得再售卖。</w:t>
      </w:r>
    </w:p>
    <w:p w14:paraId="26E574C7">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7、鲜菜、肉类、干货成品和半成品必须分类存放，不得混放或放置地上。</w:t>
      </w:r>
    </w:p>
    <w:p w14:paraId="5FCD17B7">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8、包装食品必须标识清楚，符合检验合格规定标准。</w:t>
      </w:r>
    </w:p>
    <w:p w14:paraId="2EF28AB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（三）餐具卫生</w:t>
      </w:r>
    </w:p>
    <w:p w14:paraId="3B65344E">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1、打饭勺、菜勺、汤勺统一用盘托放，不能直接放在台面。</w:t>
      </w:r>
    </w:p>
    <w:p w14:paraId="0EE888B6">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2、用过的餐具要经过初洗、清洁剂清洗、清水清洗、消毒四道工序处理，餐具内外要干净干燥，无油迹、无洗洁剂泡</w:t>
      </w:r>
      <w:r>
        <w:rPr>
          <w:rFonts w:hint="eastAsia" w:ascii="宋体" w:hAnsi="宋体" w:cs="宋体"/>
          <w:color w:val="000000"/>
          <w:sz w:val="21"/>
          <w:szCs w:val="21"/>
          <w:lang w:val="en-US" w:eastAsia="zh-CN"/>
        </w:rPr>
        <w:t>。</w:t>
      </w:r>
    </w:p>
    <w:p w14:paraId="76F4768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3、用餐前餐具要集中整齐摆放，保持清洁，用洁净白布盖好，防止蝇叮，餐具未经消毒不得</w:t>
      </w:r>
      <w:r>
        <w:rPr>
          <w:rFonts w:hint="eastAsia" w:ascii="宋体" w:hAnsi="宋体" w:cs="宋体"/>
          <w:color w:val="000000"/>
          <w:sz w:val="21"/>
          <w:szCs w:val="21"/>
          <w:lang w:val="en-US" w:eastAsia="zh-CN"/>
        </w:rPr>
        <w:t>循</w:t>
      </w:r>
      <w:r>
        <w:rPr>
          <w:rFonts w:hint="eastAsia" w:ascii="宋体" w:hAnsi="宋体" w:eastAsia="宋体" w:cs="宋体"/>
          <w:color w:val="000000"/>
          <w:sz w:val="21"/>
          <w:szCs w:val="21"/>
          <w:lang w:val="en-US" w:eastAsia="zh-CN"/>
        </w:rPr>
        <w:t>环使用。</w:t>
      </w:r>
    </w:p>
    <w:p w14:paraId="4C9BE82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（四）厨房卫生</w:t>
      </w:r>
    </w:p>
    <w:p w14:paraId="1962B4C8">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1、刀、</w:t>
      </w:r>
      <w:r>
        <w:rPr>
          <w:rFonts w:hint="eastAsia" w:ascii="宋体" w:hAnsi="宋体" w:cs="宋体"/>
          <w:color w:val="000000"/>
          <w:sz w:val="21"/>
          <w:szCs w:val="21"/>
          <w:lang w:val="en-US" w:eastAsia="zh-CN"/>
        </w:rPr>
        <w:t>案</w:t>
      </w:r>
      <w:r>
        <w:rPr>
          <w:rFonts w:hint="eastAsia" w:ascii="宋体" w:hAnsi="宋体" w:eastAsia="宋体" w:cs="宋体"/>
          <w:color w:val="000000"/>
          <w:sz w:val="21"/>
          <w:szCs w:val="21"/>
          <w:lang w:val="en-US" w:eastAsia="zh-CN"/>
        </w:rPr>
        <w:t>板、锅、铲、盆、桶等厨具在使用前后要清洗干净，按规定消毒处理。</w:t>
      </w:r>
    </w:p>
    <w:p w14:paraId="70BA985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2、切完菜及时清理垃圾，集中处置，并清洗工作台面、地面。</w:t>
      </w:r>
    </w:p>
    <w:p w14:paraId="76ED2A87">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3、货架、油烟罩、蒸柜、炉灶、洗菜池、洗碗池每天要保证清洗干净。</w:t>
      </w:r>
    </w:p>
    <w:p w14:paraId="651B16A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4、油、盐、酱油等常用辅料和未用完的米、菜下班前要盖好。</w:t>
      </w:r>
    </w:p>
    <w:p w14:paraId="65A49A5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5、清除卫生死角，防止老鼠、苍蝇</w:t>
      </w:r>
      <w:r>
        <w:rPr>
          <w:rFonts w:hint="eastAsia" w:ascii="宋体" w:hAnsi="宋体" w:cs="宋体"/>
          <w:color w:val="000000"/>
          <w:sz w:val="21"/>
          <w:szCs w:val="21"/>
          <w:lang w:val="en-US" w:eastAsia="zh-CN"/>
        </w:rPr>
        <w:t>、</w:t>
      </w:r>
      <w:r>
        <w:rPr>
          <w:rFonts w:hint="eastAsia"/>
          <w:color w:val="000000"/>
        </w:rPr>
        <w:t>蟑螂</w:t>
      </w:r>
      <w:r>
        <w:rPr>
          <w:rFonts w:hint="eastAsia" w:ascii="宋体" w:hAnsi="宋体" w:eastAsia="宋体" w:cs="宋体"/>
          <w:color w:val="000000"/>
          <w:sz w:val="21"/>
          <w:szCs w:val="21"/>
          <w:lang w:val="en-US" w:eastAsia="zh-CN"/>
        </w:rPr>
        <w:t>等污染食物。</w:t>
      </w:r>
    </w:p>
    <w:p w14:paraId="0372934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6、定期清洗冰箱雪柜，每周两次对冰箱雪柜大清洁，天天两次小清理，保证清洁卫生。</w:t>
      </w:r>
    </w:p>
    <w:p w14:paraId="45999A02">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（五）餐厅卫生</w:t>
      </w:r>
    </w:p>
    <w:p w14:paraId="21F31039">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1、地面无垃圾杂物，无积水，干净清爽。</w:t>
      </w:r>
    </w:p>
    <w:p w14:paraId="61E2318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2、桌面</w:t>
      </w:r>
      <w:r>
        <w:rPr>
          <w:rFonts w:hint="eastAsia" w:ascii="宋体" w:hAnsi="宋体" w:cs="宋体"/>
          <w:color w:val="000000"/>
          <w:sz w:val="21"/>
          <w:szCs w:val="21"/>
          <w:lang w:val="en-US" w:eastAsia="zh-CN"/>
        </w:rPr>
        <w:t>就</w:t>
      </w:r>
      <w:r>
        <w:rPr>
          <w:rFonts w:hint="eastAsia" w:ascii="宋体" w:hAnsi="宋体" w:eastAsia="宋体" w:cs="宋体"/>
          <w:color w:val="000000"/>
          <w:sz w:val="21"/>
          <w:szCs w:val="21"/>
          <w:lang w:val="en-US" w:eastAsia="zh-CN"/>
        </w:rPr>
        <w:t>餐后及时清洁，干净无尘。</w:t>
      </w:r>
    </w:p>
    <w:p w14:paraId="6D6CF02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3、墙壁门窗、风扇、灯管等定期清洁，无蛛网。</w:t>
      </w:r>
    </w:p>
    <w:p w14:paraId="6D6804B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4、每周两次大扫除，用清洁剂清洗台面、地面，尽量做到餐厅内无蝇、蚊</w:t>
      </w:r>
      <w:r>
        <w:rPr>
          <w:rFonts w:hint="eastAsia" w:ascii="宋体" w:hAnsi="宋体" w:cs="宋体"/>
          <w:color w:val="000000"/>
          <w:sz w:val="21"/>
          <w:szCs w:val="21"/>
          <w:lang w:val="en-US" w:eastAsia="zh-CN"/>
        </w:rPr>
        <w:t>、</w:t>
      </w:r>
      <w:r>
        <w:rPr>
          <w:rFonts w:hint="eastAsia"/>
          <w:color w:val="000000"/>
        </w:rPr>
        <w:t>蟑螂</w:t>
      </w:r>
      <w:r>
        <w:rPr>
          <w:rFonts w:hint="eastAsia" w:ascii="宋体" w:hAnsi="宋体" w:eastAsia="宋体" w:cs="宋体"/>
          <w:color w:val="000000"/>
          <w:sz w:val="21"/>
          <w:szCs w:val="21"/>
          <w:lang w:val="en-US" w:eastAsia="zh-CN"/>
        </w:rPr>
        <w:t>等。</w:t>
      </w:r>
    </w:p>
    <w:p w14:paraId="52B7192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5、专人负责回收餐具，不得乱扔乱放，剩饭剩菜要及时运走，保证餐厅无异味。</w:t>
      </w:r>
    </w:p>
    <w:p w14:paraId="5EB25F1A">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（六）食堂安全管理制度</w:t>
      </w:r>
    </w:p>
    <w:p w14:paraId="0CDD22A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1、未经许可，除食堂工作和管理人员外任何人员不得进入厨房，不得在非就餐时间进入餐厅。</w:t>
      </w:r>
    </w:p>
    <w:p w14:paraId="3D20295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2、厨房清洁用品应与调味品、菜品等分开放置。</w:t>
      </w:r>
    </w:p>
    <w:p w14:paraId="3602B221">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3、厨房设置灭火器。</w:t>
      </w:r>
    </w:p>
    <w:p w14:paraId="7BCB5A6C">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4、厨房及就餐区严禁吸烟。</w:t>
      </w:r>
    </w:p>
    <w:p w14:paraId="5AA2449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5、使用炊事械具或用具要严格遵守操作规程，防止事故发生。</w:t>
      </w:r>
    </w:p>
    <w:p w14:paraId="1C7F8FCB">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6、食堂工作人员下班前，要关好门窗，检查各类电源开关、设备等。</w:t>
      </w:r>
    </w:p>
    <w:p w14:paraId="7C1106E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采购人负责督查食堂的饮食安全卫生、饭菜质量、售出数量、服务质量、环境卫生等相关事务，加强与投标人的联系和沟通，协调处理各种突发事件，转达干部职工对托管经营服务质量的意见和要求，负责各项规章制度的制定、检查和考核工作，负责账务、资产管理和菜谱审批等工作，促进食堂内部和外部的团结协作，切实加强综合督查管理。投标人严格执行采购人所制订的各项规章制度，并制订配套的内部管理制度。</w:t>
      </w:r>
    </w:p>
    <w:p w14:paraId="41F3FEE9">
      <w:pPr>
        <w:keepNext w:val="0"/>
        <w:keepLines w:val="0"/>
        <w:pageBreakBefore w:val="0"/>
        <w:numPr>
          <w:ilvl w:val="0"/>
          <w:numId w:val="0"/>
        </w:numPr>
        <w:wordWrap/>
        <w:topLinePunct w:val="0"/>
        <w:bidi w:val="0"/>
        <w:spacing w:beforeLines="0" w:afterLines="0" w:line="360" w:lineRule="auto"/>
        <w:ind w:left="210" w:leftChars="0" w:firstLine="210" w:firstLineChars="100"/>
        <w:rPr>
          <w:rFonts w:hint="eastAsia"/>
        </w:rPr>
      </w:pPr>
      <w:r>
        <w:rPr>
          <w:rFonts w:hint="eastAsia" w:ascii="宋体" w:hAnsi="宋体" w:cs="宋体"/>
          <w:color w:val="auto"/>
          <w:sz w:val="21"/>
          <w:highlight w:val="none"/>
          <w:lang w:val="en-US" w:eastAsia="zh-CN"/>
        </w:rPr>
        <w:t>（八）采</w:t>
      </w:r>
      <w:r>
        <w:rPr>
          <w:rFonts w:hint="eastAsia" w:ascii="宋体" w:hAnsi="宋体" w:eastAsia="宋体" w:cs="宋体"/>
          <w:color w:val="auto"/>
          <w:sz w:val="21"/>
          <w:highlight w:val="none"/>
          <w:lang w:val="en-US" w:eastAsia="zh-CN"/>
        </w:rPr>
        <w:t>购人有权对</w:t>
      </w:r>
      <w:r>
        <w:rPr>
          <w:rFonts w:hint="eastAsia" w:ascii="宋体" w:hAnsi="宋体" w:cs="宋体"/>
          <w:color w:val="auto"/>
          <w:sz w:val="21"/>
          <w:highlight w:val="none"/>
          <w:lang w:val="en-US" w:eastAsia="zh-CN"/>
        </w:rPr>
        <w:t>投标人</w:t>
      </w:r>
      <w:r>
        <w:rPr>
          <w:rFonts w:hint="eastAsia" w:ascii="宋体" w:hAnsi="宋体" w:eastAsia="宋体" w:cs="宋体"/>
          <w:color w:val="auto"/>
          <w:sz w:val="21"/>
          <w:highlight w:val="none"/>
          <w:lang w:val="en-US" w:eastAsia="zh-CN"/>
        </w:rPr>
        <w:t>的财务状况、经营情况、成本核算、饭菜质量和价格、服务态度等进行监督、检查和考核</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食堂每月必须做好</w:t>
      </w:r>
      <w:r>
        <w:rPr>
          <w:rFonts w:hint="eastAsia" w:ascii="宋体" w:hAnsi="宋体" w:cs="宋体"/>
          <w:color w:val="auto"/>
          <w:sz w:val="21"/>
          <w:highlight w:val="none"/>
          <w:lang w:val="en-US" w:eastAsia="zh-CN"/>
        </w:rPr>
        <w:t>各类</w:t>
      </w:r>
      <w:r>
        <w:rPr>
          <w:rFonts w:hint="eastAsia" w:ascii="宋体" w:hAnsi="宋体" w:eastAsia="宋体" w:cs="宋体"/>
          <w:color w:val="auto"/>
          <w:sz w:val="21"/>
          <w:highlight w:val="none"/>
          <w:lang w:val="en-US" w:eastAsia="zh-CN"/>
        </w:rPr>
        <w:t>台帐</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lang w:val="en-US" w:eastAsia="zh-CN"/>
        </w:rPr>
        <w:t>连续两个月没有做好台帐或每半年结束时台帐不完整的，采购人有权取消其中标资格。采购人相关部门将定期和不定期地组织食堂饭菜质量、数量、价格及服务情况的检查、调查和考核，</w:t>
      </w:r>
      <w:r>
        <w:rPr>
          <w:rFonts w:hint="eastAsia" w:ascii="宋体" w:hAnsi="宋体" w:cs="宋体"/>
          <w:color w:val="auto"/>
          <w:sz w:val="21"/>
          <w:highlight w:val="none"/>
          <w:lang w:val="en-US" w:eastAsia="zh-CN"/>
        </w:rPr>
        <w:t>投标人</w:t>
      </w:r>
      <w:r>
        <w:rPr>
          <w:rFonts w:hint="eastAsia" w:ascii="宋体" w:hAnsi="宋体" w:eastAsia="宋体" w:cs="宋体"/>
          <w:color w:val="auto"/>
          <w:sz w:val="21"/>
          <w:highlight w:val="none"/>
          <w:lang w:val="en-US" w:eastAsia="zh-CN"/>
        </w:rPr>
        <w:t>必须积极配合，有关检查考核细则根据采购人制订的食堂考核办法执行。</w:t>
      </w:r>
    </w:p>
    <w:p w14:paraId="2A9AB4DF">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九</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投标人要爱护采购人提供的房产和餐饮炊具等设备，严格履行租借手续，负责日常使用管理，遗失需赔偿</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如损坏需要更换或维修应报招标人审批。</w:t>
      </w:r>
      <w:r>
        <w:rPr>
          <w:rFonts w:hint="eastAsia" w:ascii="宋体" w:hAnsi="宋体" w:eastAsia="宋体" w:cs="宋体"/>
          <w:color w:val="000000"/>
          <w:sz w:val="21"/>
          <w:szCs w:val="21"/>
        </w:rPr>
        <w:t>投标人不得变更房产结构，不得变换基本设施。若因经营服务需要，对经营场所进行装修，需书面报告采购人同意后方可实施。投标人不负责承担食堂在承包期内所有水电费，但是必须做到节约使用。</w:t>
      </w:r>
    </w:p>
    <w:p w14:paraId="0F70BD80">
      <w:pPr>
        <w:autoSpaceDE w:val="0"/>
        <w:autoSpaceDN w:val="0"/>
        <w:adjustRightInd w:val="0"/>
        <w:snapToGrid w:val="0"/>
        <w:spacing w:line="400" w:lineRule="exact"/>
        <w:ind w:firstLine="420" w:firstLineChars="200"/>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eastAsia="zh-CN"/>
        </w:rPr>
        <w:t>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投标人确保所用人员均持有健康证，并统一着装上岗。</w:t>
      </w:r>
    </w:p>
    <w:p w14:paraId="0B4E864F">
      <w:pPr>
        <w:keepNext w:val="0"/>
        <w:keepLines w:val="0"/>
        <w:pageBreakBefore w:val="0"/>
        <w:numPr>
          <w:ilvl w:val="0"/>
          <w:numId w:val="0"/>
        </w:numPr>
        <w:wordWrap/>
        <w:topLinePunct w:val="0"/>
        <w:bidi w:val="0"/>
        <w:spacing w:beforeLines="0" w:afterLines="0" w:line="360" w:lineRule="auto"/>
        <w:ind w:left="210" w:leftChars="0"/>
        <w:rPr>
          <w:rFonts w:hint="eastAsia" w:ascii="宋体" w:hAnsi="宋体" w:eastAsia="宋体" w:cs="宋体"/>
          <w:b/>
          <w:color w:val="000000"/>
          <w:sz w:val="21"/>
          <w:szCs w:val="21"/>
        </w:rPr>
      </w:pPr>
      <w:r>
        <w:rPr>
          <w:rFonts w:hint="eastAsia" w:ascii="宋体" w:hAnsi="宋体" w:cs="宋体"/>
          <w:color w:val="000000"/>
          <w:sz w:val="21"/>
          <w:szCs w:val="21"/>
          <w:lang w:eastAsia="zh-CN"/>
        </w:rPr>
        <w:t>（十一）</w:t>
      </w:r>
      <w:r>
        <w:rPr>
          <w:rFonts w:hint="eastAsia" w:ascii="宋体" w:hAnsi="宋体" w:eastAsia="宋体" w:cs="宋体"/>
          <w:color w:val="000000"/>
          <w:sz w:val="21"/>
          <w:szCs w:val="21"/>
        </w:rPr>
        <w:t>坚持“服务第一”宗旨，按采购人规定时间为干部职工提供优质服务，不得无故提前或延迟开饭时间，做到文明待人、热情服务。</w:t>
      </w:r>
    </w:p>
    <w:p w14:paraId="18ADE13E">
      <w:pPr>
        <w:keepNext w:val="0"/>
        <w:keepLines w:val="0"/>
        <w:pageBreakBefore w:val="0"/>
        <w:numPr>
          <w:ilvl w:val="0"/>
          <w:numId w:val="0"/>
        </w:numPr>
        <w:wordWrap/>
        <w:topLinePunct w:val="0"/>
        <w:bidi w:val="0"/>
        <w:spacing w:beforeLines="0" w:afterLines="0" w:line="360" w:lineRule="auto"/>
        <w:ind w:left="210" w:leftChars="0"/>
        <w:rPr>
          <w:rFonts w:hint="eastAsia" w:ascii="宋体" w:hAnsi="宋体" w:eastAsia="宋体" w:cs="宋体"/>
          <w:b/>
          <w:color w:val="000000"/>
          <w:sz w:val="21"/>
          <w:szCs w:val="21"/>
        </w:rPr>
      </w:pPr>
      <w:r>
        <w:rPr>
          <w:rFonts w:hint="eastAsia" w:ascii="宋体" w:hAnsi="宋体" w:cs="宋体"/>
          <w:color w:val="000000"/>
          <w:sz w:val="21"/>
          <w:szCs w:val="21"/>
          <w:lang w:eastAsia="zh-CN"/>
        </w:rPr>
        <w:t>（十二）</w:t>
      </w:r>
      <w:r>
        <w:rPr>
          <w:rFonts w:hint="eastAsia" w:ascii="宋体" w:hAnsi="宋体" w:eastAsia="宋体" w:cs="宋体"/>
          <w:color w:val="000000"/>
          <w:sz w:val="21"/>
          <w:szCs w:val="21"/>
        </w:rPr>
        <w:t xml:space="preserve"> 投标人严格执行事故责任追究制度。如出现，食物中毒、违法违纪等损害干部职工身体健康和影响信誉的事故，投标人必须承担由此造成的一切责任并赔偿经济损失。在服务期内所聘工作人员均须报采购人备案政审后方可上岗。如果所聘人员不符合采购人要求，必须及时调整或更换，否则，采购人有权扣除其相应费用，直至中止合同。</w:t>
      </w:r>
      <w:r>
        <w:rPr>
          <w:rFonts w:hint="eastAsia" w:ascii="宋体" w:hAnsi="宋体" w:eastAsia="宋体" w:cs="宋体"/>
          <w:b/>
          <w:color w:val="000000"/>
          <w:sz w:val="21"/>
          <w:szCs w:val="21"/>
        </w:rPr>
        <w:t xml:space="preserve"> </w:t>
      </w:r>
    </w:p>
    <w:p w14:paraId="6B4F3201">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000000"/>
          <w:sz w:val="21"/>
          <w:szCs w:val="21"/>
          <w:highlight w:val="none"/>
        </w:rPr>
      </w:pPr>
    </w:p>
    <w:p w14:paraId="08B07537">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2"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auto"/>
          <w:szCs w:val="21"/>
          <w:highlight w:val="none"/>
        </w:rPr>
        <w:t>餐标及菜单设置</w:t>
      </w:r>
    </w:p>
    <w:p w14:paraId="5D0C765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315" w:firstLineChars="150"/>
        <w:textAlignment w:val="bottom"/>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对进入窗口的饭菜品种（以宁</w:t>
      </w:r>
      <w:r>
        <w:rPr>
          <w:rFonts w:hint="eastAsia" w:ascii="宋体" w:hAnsi="宋体" w:eastAsia="宋体" w:cs="宋体"/>
          <w:color w:val="000000"/>
          <w:sz w:val="21"/>
          <w:szCs w:val="21"/>
          <w:highlight w:val="none"/>
          <w:lang w:val="en-US" w:eastAsia="zh-CN"/>
        </w:rPr>
        <w:t>海</w:t>
      </w:r>
      <w:r>
        <w:rPr>
          <w:rFonts w:hint="eastAsia" w:ascii="宋体" w:hAnsi="宋体" w:eastAsia="宋体" w:cs="宋体"/>
          <w:color w:val="000000"/>
          <w:sz w:val="21"/>
          <w:szCs w:val="21"/>
          <w:highlight w:val="none"/>
        </w:rPr>
        <w:t>当地菜品为主），菜谱一周一定。具体配菜要求如下：</w:t>
      </w:r>
    </w:p>
    <w:tbl>
      <w:tblPr>
        <w:tblStyle w:val="16"/>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6316"/>
      </w:tblGrid>
      <w:tr w14:paraId="7BE4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3" w:type="dxa"/>
            <w:noWrap w:val="0"/>
            <w:vAlign w:val="center"/>
          </w:tcPr>
          <w:p w14:paraId="30B3885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餐别</w:t>
            </w:r>
          </w:p>
        </w:tc>
        <w:tc>
          <w:tcPr>
            <w:tcW w:w="6316" w:type="dxa"/>
            <w:noWrap w:val="0"/>
            <w:vAlign w:val="center"/>
          </w:tcPr>
          <w:p w14:paraId="770EA6D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配餐标准</w:t>
            </w:r>
          </w:p>
        </w:tc>
      </w:tr>
      <w:tr w14:paraId="1AA6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63" w:type="dxa"/>
            <w:noWrap w:val="0"/>
            <w:vAlign w:val="center"/>
          </w:tcPr>
          <w:p w14:paraId="45754D7F">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早餐</w:t>
            </w:r>
          </w:p>
        </w:tc>
        <w:tc>
          <w:tcPr>
            <w:tcW w:w="6316" w:type="dxa"/>
            <w:noWrap w:val="0"/>
            <w:vAlign w:val="center"/>
          </w:tcPr>
          <w:p w14:paraId="277E8A90">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主食</w:t>
            </w:r>
            <w:r>
              <w:rPr>
                <w:rFonts w:hint="eastAsia" w:ascii="宋体" w:hAnsi="宋体" w:eastAsia="宋体" w:cs="宋体"/>
                <w:bCs/>
                <w:color w:val="auto"/>
                <w:sz w:val="21"/>
                <w:szCs w:val="21"/>
                <w:highlight w:val="none"/>
              </w:rPr>
              <w:t>品种提供不少于</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种品类，</w:t>
            </w:r>
            <w:r>
              <w:rPr>
                <w:rFonts w:hint="eastAsia" w:ascii="宋体" w:hAnsi="宋体" w:eastAsia="宋体" w:cs="宋体"/>
                <w:color w:val="auto"/>
                <w:sz w:val="21"/>
                <w:highlight w:val="none"/>
                <w:lang w:val="zh-CN"/>
              </w:rPr>
              <w:t>菜单设置为各类干点湿点品种</w:t>
            </w:r>
          </w:p>
        </w:tc>
      </w:tr>
      <w:tr w14:paraId="03E9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63" w:type="dxa"/>
            <w:noWrap w:val="0"/>
            <w:vAlign w:val="center"/>
          </w:tcPr>
          <w:p w14:paraId="170715E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中餐</w:t>
            </w:r>
          </w:p>
        </w:tc>
        <w:tc>
          <w:tcPr>
            <w:tcW w:w="6316" w:type="dxa"/>
            <w:vMerge w:val="restart"/>
            <w:noWrap w:val="0"/>
            <w:vAlign w:val="center"/>
          </w:tcPr>
          <w:p w14:paraId="5D4C1A8B">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highlight w:val="none"/>
                <w:lang w:val="zh-CN"/>
              </w:rPr>
              <w:t>职工餐厅</w:t>
            </w:r>
            <w:r>
              <w:rPr>
                <w:rFonts w:hint="eastAsia" w:ascii="宋体" w:hAnsi="宋体" w:eastAsia="宋体" w:cs="宋体"/>
                <w:color w:val="auto"/>
                <w:sz w:val="21"/>
                <w:highlight w:val="none"/>
              </w:rPr>
              <w:t>菜单设置荤素菜10款、蒸菜</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5款、炖菜3</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款、粗粮3</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款、营养粥2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rPr>
              <w:t>款、面条、饺子、馄饨、鲜榨果汁、水果、牛奶、汤、米饭。</w:t>
            </w:r>
          </w:p>
        </w:tc>
      </w:tr>
      <w:tr w14:paraId="6F4D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63" w:type="dxa"/>
            <w:noWrap w:val="0"/>
            <w:vAlign w:val="center"/>
          </w:tcPr>
          <w:p w14:paraId="2FB106E3">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晚餐</w:t>
            </w:r>
          </w:p>
        </w:tc>
        <w:tc>
          <w:tcPr>
            <w:tcW w:w="6316" w:type="dxa"/>
            <w:vMerge w:val="continue"/>
            <w:noWrap w:val="0"/>
            <w:vAlign w:val="center"/>
          </w:tcPr>
          <w:p w14:paraId="3566017C">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baseline"/>
              <w:outlineLvl w:val="1"/>
              <w:rPr>
                <w:rFonts w:hint="eastAsia" w:ascii="宋体" w:hAnsi="宋体" w:eastAsia="宋体" w:cs="宋体"/>
                <w:bCs/>
                <w:color w:val="auto"/>
                <w:sz w:val="21"/>
                <w:szCs w:val="21"/>
                <w:highlight w:val="none"/>
              </w:rPr>
            </w:pPr>
          </w:p>
        </w:tc>
      </w:tr>
    </w:tbl>
    <w:p w14:paraId="5F59927C">
      <w:pPr>
        <w:keepNext w:val="0"/>
        <w:keepLines w:val="0"/>
        <w:pageBreakBefore w:val="0"/>
        <w:wordWrap/>
        <w:topLinePunct w:val="0"/>
        <w:bidi w:val="0"/>
        <w:spacing w:beforeLines="0" w:afterLines="0" w:line="360" w:lineRule="auto"/>
        <w:ind w:firstLine="392" w:firstLineChars="187"/>
        <w:rPr>
          <w:rFonts w:hint="eastAsia" w:ascii="宋体" w:hAnsi="宋体" w:eastAsia="宋体" w:cs="宋体"/>
          <w:color w:val="FF0000"/>
          <w:sz w:val="21"/>
          <w:highlight w:val="none"/>
          <w:lang w:val="en-US" w:eastAsia="zh-CN"/>
        </w:rPr>
      </w:pPr>
      <w:r>
        <w:rPr>
          <w:rFonts w:hint="eastAsia" w:ascii="宋体" w:hAnsi="宋体" w:eastAsia="宋体" w:cs="宋体"/>
          <w:b w:val="0"/>
          <w:bCs/>
          <w:color w:val="auto"/>
          <w:sz w:val="21"/>
          <w:szCs w:val="21"/>
          <w:highlight w:val="none"/>
        </w:rPr>
        <w:t>注：</w:t>
      </w:r>
      <w:r>
        <w:rPr>
          <w:rFonts w:hint="eastAsia" w:ascii="宋体" w:hAnsi="宋体" w:eastAsia="宋体" w:cs="宋体"/>
          <w:color w:val="auto"/>
          <w:sz w:val="21"/>
          <w:highlight w:val="none"/>
          <w:lang w:val="en-US" w:eastAsia="zh-CN"/>
        </w:rPr>
        <w:t>投标人应制定合理的菜品定价机制，定价不应超过</w:t>
      </w:r>
      <w:r>
        <w:rPr>
          <w:rFonts w:hint="eastAsia" w:ascii="宋体" w:hAnsi="宋体" w:cs="宋体"/>
          <w:color w:val="auto"/>
          <w:sz w:val="21"/>
          <w:highlight w:val="none"/>
          <w:lang w:val="en-US" w:eastAsia="zh-CN"/>
        </w:rPr>
        <w:t>采购原材料的10%-15%，在菜品定价销售前将各项菜品定价提交采购人审核，经采购人同意后方可销售。</w:t>
      </w:r>
    </w:p>
    <w:p w14:paraId="0ACEB1E0">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b/>
          <w:color w:val="000000"/>
          <w:sz w:val="21"/>
          <w:szCs w:val="21"/>
          <w:highlight w:val="none"/>
        </w:rPr>
        <w:t>4、餐饮服务人员基本配置要求：</w:t>
      </w:r>
    </w:p>
    <w:tbl>
      <w:tblPr>
        <w:tblStyle w:val="16"/>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140"/>
        <w:gridCol w:w="1296"/>
        <w:gridCol w:w="5260"/>
      </w:tblGrid>
      <w:tr w14:paraId="2C37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10" w:type="dxa"/>
            <w:noWrap w:val="0"/>
            <w:vAlign w:val="center"/>
          </w:tcPr>
          <w:p w14:paraId="4D4140C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序号</w:t>
            </w:r>
          </w:p>
        </w:tc>
        <w:tc>
          <w:tcPr>
            <w:tcW w:w="1140" w:type="dxa"/>
            <w:noWrap w:val="0"/>
            <w:vAlign w:val="center"/>
          </w:tcPr>
          <w:p w14:paraId="788424D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职位名称</w:t>
            </w:r>
          </w:p>
        </w:tc>
        <w:tc>
          <w:tcPr>
            <w:tcW w:w="1296" w:type="dxa"/>
            <w:noWrap w:val="0"/>
            <w:vAlign w:val="center"/>
          </w:tcPr>
          <w:p w14:paraId="0F3156D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人员数量</w:t>
            </w:r>
          </w:p>
        </w:tc>
        <w:tc>
          <w:tcPr>
            <w:tcW w:w="5260" w:type="dxa"/>
            <w:noWrap w:val="0"/>
            <w:vAlign w:val="center"/>
          </w:tcPr>
          <w:p w14:paraId="259AB66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要求</w:t>
            </w:r>
          </w:p>
        </w:tc>
      </w:tr>
      <w:tr w14:paraId="403D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10" w:type="dxa"/>
            <w:noWrap w:val="0"/>
            <w:vAlign w:val="center"/>
          </w:tcPr>
          <w:p w14:paraId="497C42D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1</w:t>
            </w:r>
          </w:p>
        </w:tc>
        <w:tc>
          <w:tcPr>
            <w:tcW w:w="1140" w:type="dxa"/>
            <w:noWrap w:val="0"/>
            <w:vAlign w:val="center"/>
          </w:tcPr>
          <w:p w14:paraId="1587170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0C0C0C"/>
                <w:kern w:val="0"/>
                <w:sz w:val="21"/>
                <w:szCs w:val="21"/>
                <w:highlight w:val="none"/>
                <w:lang w:val="en-US" w:eastAsia="zh-CN"/>
              </w:rPr>
              <w:t>项目经理</w:t>
            </w:r>
          </w:p>
        </w:tc>
        <w:tc>
          <w:tcPr>
            <w:tcW w:w="1296" w:type="dxa"/>
            <w:noWrap w:val="0"/>
            <w:vAlign w:val="center"/>
          </w:tcPr>
          <w:p w14:paraId="35B6073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0C0C0C"/>
                <w:kern w:val="0"/>
                <w:sz w:val="21"/>
                <w:szCs w:val="21"/>
                <w:highlight w:val="none"/>
                <w:lang w:val="en-US" w:eastAsia="zh-CN"/>
              </w:rPr>
              <w:t>1</w:t>
            </w:r>
            <w:r>
              <w:rPr>
                <w:rFonts w:hint="eastAsia" w:ascii="宋体" w:hAnsi="宋体" w:eastAsia="宋体" w:cs="宋体"/>
                <w:color w:val="0C0C0C"/>
                <w:kern w:val="0"/>
                <w:sz w:val="21"/>
                <w:szCs w:val="21"/>
                <w:highlight w:val="none"/>
              </w:rPr>
              <w:t>名</w:t>
            </w:r>
          </w:p>
        </w:tc>
        <w:tc>
          <w:tcPr>
            <w:tcW w:w="5260" w:type="dxa"/>
            <w:noWrap w:val="0"/>
            <w:vAlign w:val="center"/>
          </w:tcPr>
          <w:p w14:paraId="4CF29A0E">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lang w:val="en-US" w:eastAsia="zh-CN" w:bidi="ar-SA"/>
              </w:rPr>
            </w:pPr>
            <w:r>
              <w:rPr>
                <w:rFonts w:hint="eastAsia" w:ascii="宋体" w:hAnsi="宋体" w:eastAsia="宋体" w:cs="宋体"/>
                <w:color w:val="0C0C0C"/>
                <w:kern w:val="0"/>
                <w:sz w:val="21"/>
                <w:szCs w:val="21"/>
                <w:highlight w:val="none"/>
                <w:lang w:val="en-US" w:eastAsia="zh-CN"/>
              </w:rPr>
              <w:t>3</w:t>
            </w:r>
            <w:r>
              <w:rPr>
                <w:rFonts w:hint="eastAsia" w:ascii="宋体" w:hAnsi="宋体" w:eastAsia="宋体" w:cs="宋体"/>
                <w:color w:val="0C0C0C"/>
                <w:kern w:val="0"/>
                <w:sz w:val="21"/>
                <w:szCs w:val="21"/>
                <w:highlight w:val="none"/>
              </w:rPr>
              <w:t>年以上餐饮行业管理经验。熟悉厨房各项设备的性能、使用及保养方法，严格执行食品卫生法，懂得成本核算、食品原料及食品营养知识，能带动厨师挖掘传统菜，研制创新菜。</w:t>
            </w:r>
          </w:p>
        </w:tc>
      </w:tr>
      <w:tr w14:paraId="4F8A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0" w:type="dxa"/>
            <w:noWrap w:val="0"/>
            <w:vAlign w:val="center"/>
          </w:tcPr>
          <w:p w14:paraId="51EC270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eastAsia="zh-CN"/>
              </w:rPr>
            </w:pPr>
            <w:r>
              <w:rPr>
                <w:rFonts w:hint="eastAsia" w:ascii="宋体" w:hAnsi="宋体" w:cs="宋体"/>
                <w:color w:val="0C0C0C"/>
                <w:kern w:val="0"/>
                <w:sz w:val="21"/>
                <w:szCs w:val="21"/>
                <w:highlight w:val="none"/>
                <w:lang w:val="en-US" w:eastAsia="zh-CN"/>
              </w:rPr>
              <w:t>2</w:t>
            </w:r>
          </w:p>
        </w:tc>
        <w:tc>
          <w:tcPr>
            <w:tcW w:w="1140" w:type="dxa"/>
            <w:noWrap w:val="0"/>
            <w:vAlign w:val="center"/>
          </w:tcPr>
          <w:p w14:paraId="38DEC43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auto"/>
                <w:sz w:val="21"/>
                <w:szCs w:val="21"/>
                <w:highlight w:val="none"/>
              </w:rPr>
              <w:t>厨师长</w:t>
            </w:r>
          </w:p>
        </w:tc>
        <w:tc>
          <w:tcPr>
            <w:tcW w:w="1296" w:type="dxa"/>
            <w:noWrap w:val="0"/>
            <w:vAlign w:val="center"/>
          </w:tcPr>
          <w:p w14:paraId="517359B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lang w:val="en-US" w:eastAsia="zh-CN"/>
              </w:rPr>
              <w:t>1</w:t>
            </w:r>
            <w:r>
              <w:rPr>
                <w:rFonts w:hint="eastAsia" w:ascii="宋体" w:hAnsi="宋体" w:eastAsia="宋体" w:cs="宋体"/>
                <w:color w:val="0C0C0C"/>
                <w:kern w:val="0"/>
                <w:sz w:val="21"/>
                <w:szCs w:val="21"/>
                <w:highlight w:val="none"/>
              </w:rPr>
              <w:t>名</w:t>
            </w:r>
          </w:p>
        </w:tc>
        <w:tc>
          <w:tcPr>
            <w:tcW w:w="5260" w:type="dxa"/>
            <w:noWrap w:val="0"/>
            <w:vAlign w:val="center"/>
          </w:tcPr>
          <w:p w14:paraId="173CBB25">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auto"/>
                <w:sz w:val="21"/>
                <w:szCs w:val="21"/>
                <w:highlight w:val="none"/>
              </w:rPr>
              <w:t xml:space="preserve">厨师长须具备三级（高级工）及以上国家职业资格等级  投标文件中提供相应资格证明文件复印件并加盖公章 </w:t>
            </w:r>
          </w:p>
        </w:tc>
      </w:tr>
      <w:tr w14:paraId="75DD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10" w:type="dxa"/>
            <w:noWrap w:val="0"/>
            <w:vAlign w:val="center"/>
          </w:tcPr>
          <w:p w14:paraId="5947283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3</w:t>
            </w:r>
          </w:p>
        </w:tc>
        <w:tc>
          <w:tcPr>
            <w:tcW w:w="1140" w:type="dxa"/>
            <w:noWrap w:val="0"/>
            <w:vAlign w:val="center"/>
          </w:tcPr>
          <w:p w14:paraId="2200D0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eastAsia="zh-CN"/>
              </w:rPr>
            </w:pPr>
            <w:r>
              <w:rPr>
                <w:rFonts w:hint="eastAsia" w:ascii="宋体" w:hAnsi="宋体" w:eastAsia="宋体" w:cs="宋体"/>
                <w:color w:val="auto"/>
                <w:sz w:val="21"/>
                <w:szCs w:val="21"/>
                <w:highlight w:val="none"/>
              </w:rPr>
              <w:t>厨师</w:t>
            </w:r>
          </w:p>
        </w:tc>
        <w:tc>
          <w:tcPr>
            <w:tcW w:w="1296" w:type="dxa"/>
            <w:noWrap w:val="0"/>
            <w:vAlign w:val="center"/>
          </w:tcPr>
          <w:p w14:paraId="3E98A80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1名</w:t>
            </w:r>
          </w:p>
        </w:tc>
        <w:tc>
          <w:tcPr>
            <w:tcW w:w="5260" w:type="dxa"/>
            <w:noWrap w:val="0"/>
            <w:vAlign w:val="center"/>
          </w:tcPr>
          <w:p w14:paraId="73C7BFB6">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auto"/>
                <w:sz w:val="21"/>
                <w:szCs w:val="21"/>
                <w:highlight w:val="none"/>
              </w:rPr>
              <w:t>厨师须具备四级（中级工）及以上国家职业资格等级，投标文件中提供相应资格证明文件复印件并加盖公章</w:t>
            </w:r>
          </w:p>
        </w:tc>
      </w:tr>
      <w:tr w14:paraId="2FF3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noWrap w:val="0"/>
            <w:vAlign w:val="center"/>
          </w:tcPr>
          <w:p w14:paraId="73993CD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40" w:type="dxa"/>
            <w:noWrap w:val="0"/>
            <w:vAlign w:val="center"/>
          </w:tcPr>
          <w:p w14:paraId="16466EE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面点师</w:t>
            </w:r>
          </w:p>
        </w:tc>
        <w:tc>
          <w:tcPr>
            <w:tcW w:w="1296" w:type="dxa"/>
            <w:noWrap w:val="0"/>
            <w:vAlign w:val="center"/>
          </w:tcPr>
          <w:p w14:paraId="7268FD8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p>
        </w:tc>
        <w:tc>
          <w:tcPr>
            <w:tcW w:w="5260" w:type="dxa"/>
            <w:noWrap w:val="0"/>
            <w:vAlign w:val="center"/>
          </w:tcPr>
          <w:p w14:paraId="1B9CCE73">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面点师须具备五级（初级工）及以上的国家职业资格等级，投标文件中提供相应资格证明文件复印件并加盖公章</w:t>
            </w:r>
            <w:r>
              <w:rPr>
                <w:rFonts w:hint="eastAsia" w:ascii="宋体" w:hAnsi="宋体" w:cs="宋体"/>
                <w:color w:val="auto"/>
                <w:sz w:val="21"/>
                <w:szCs w:val="21"/>
                <w:highlight w:val="none"/>
                <w:lang w:eastAsia="zh-CN"/>
              </w:rPr>
              <w:t>。</w:t>
            </w:r>
          </w:p>
        </w:tc>
      </w:tr>
      <w:tr w14:paraId="48AD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noWrap w:val="0"/>
            <w:vAlign w:val="center"/>
          </w:tcPr>
          <w:p w14:paraId="293545A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0C0C0C"/>
                <w:kern w:val="0"/>
                <w:sz w:val="21"/>
                <w:szCs w:val="21"/>
                <w:highlight w:val="none"/>
                <w:lang w:val="en-US" w:eastAsia="zh-CN"/>
              </w:rPr>
              <w:t>5</w:t>
            </w:r>
          </w:p>
        </w:tc>
        <w:tc>
          <w:tcPr>
            <w:tcW w:w="1140" w:type="dxa"/>
            <w:noWrap w:val="0"/>
            <w:vAlign w:val="center"/>
          </w:tcPr>
          <w:p w14:paraId="3B3EFCC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C0C0C"/>
                <w:kern w:val="0"/>
                <w:sz w:val="21"/>
                <w:szCs w:val="21"/>
                <w:highlight w:val="none"/>
                <w:lang w:val="en-US" w:eastAsia="zh-CN"/>
              </w:rPr>
              <w:t>帮厨</w:t>
            </w:r>
          </w:p>
        </w:tc>
        <w:tc>
          <w:tcPr>
            <w:tcW w:w="1296" w:type="dxa"/>
            <w:noWrap w:val="0"/>
            <w:vAlign w:val="center"/>
          </w:tcPr>
          <w:p w14:paraId="7DAA1BF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C0C0C"/>
                <w:kern w:val="0"/>
                <w:sz w:val="21"/>
                <w:szCs w:val="21"/>
                <w:highlight w:val="none"/>
                <w:lang w:val="en-US" w:eastAsia="zh-CN"/>
              </w:rPr>
              <w:t>2名</w:t>
            </w:r>
          </w:p>
        </w:tc>
        <w:tc>
          <w:tcPr>
            <w:tcW w:w="5260" w:type="dxa"/>
            <w:noWrap w:val="0"/>
            <w:vAlign w:val="center"/>
          </w:tcPr>
          <w:p w14:paraId="2AF4563F">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0C0C0C"/>
                <w:kern w:val="0"/>
                <w:sz w:val="21"/>
                <w:szCs w:val="21"/>
                <w:highlight w:val="none"/>
                <w:lang w:eastAsia="zh-CN"/>
              </w:rPr>
              <w:t>具有相关工作经验</w:t>
            </w:r>
            <w:r>
              <w:rPr>
                <w:rFonts w:hint="eastAsia" w:hAnsi="宋体" w:eastAsia="宋体" w:cs="宋体"/>
                <w:color w:val="0C0C0C"/>
                <w:kern w:val="0"/>
                <w:sz w:val="21"/>
                <w:szCs w:val="21"/>
                <w:highlight w:val="none"/>
                <w:lang w:eastAsia="zh-CN"/>
              </w:rPr>
              <w:t>；</w:t>
            </w:r>
            <w:r>
              <w:rPr>
                <w:rFonts w:hint="eastAsia" w:ascii="宋体" w:hAnsi="宋体" w:eastAsia="宋体" w:cs="宋体"/>
                <w:color w:val="0C0C0C"/>
                <w:kern w:val="0"/>
                <w:sz w:val="21"/>
                <w:szCs w:val="21"/>
                <w:highlight w:val="none"/>
                <w:lang w:eastAsia="zh-CN"/>
              </w:rPr>
              <w:t>身体健康，仪表端庄、做事勤快、热情大方。</w:t>
            </w:r>
          </w:p>
        </w:tc>
      </w:tr>
      <w:tr w14:paraId="58F4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noWrap w:val="0"/>
            <w:vAlign w:val="center"/>
          </w:tcPr>
          <w:p w14:paraId="494961D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6</w:t>
            </w:r>
          </w:p>
        </w:tc>
        <w:tc>
          <w:tcPr>
            <w:tcW w:w="1140" w:type="dxa"/>
            <w:noWrap w:val="0"/>
            <w:vAlign w:val="center"/>
          </w:tcPr>
          <w:p w14:paraId="152F976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lang w:val="en-US" w:eastAsia="zh-CN"/>
              </w:rPr>
            </w:pPr>
            <w:r>
              <w:rPr>
                <w:rFonts w:hint="eastAsia" w:ascii="宋体" w:hAnsi="宋体" w:eastAsia="宋体" w:cs="宋体"/>
                <w:color w:val="0C0C0C"/>
                <w:kern w:val="0"/>
                <w:sz w:val="21"/>
                <w:szCs w:val="21"/>
                <w:highlight w:val="none"/>
                <w:lang w:val="en-US" w:eastAsia="zh-CN"/>
              </w:rPr>
              <w:t>勤杂工</w:t>
            </w:r>
          </w:p>
        </w:tc>
        <w:tc>
          <w:tcPr>
            <w:tcW w:w="1296" w:type="dxa"/>
            <w:noWrap w:val="0"/>
            <w:vAlign w:val="center"/>
          </w:tcPr>
          <w:p w14:paraId="3331288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hAnsi="宋体" w:eastAsia="宋体" w:cs="宋体"/>
                <w:color w:val="0C0C0C"/>
                <w:kern w:val="0"/>
                <w:sz w:val="21"/>
                <w:szCs w:val="21"/>
                <w:highlight w:val="none"/>
                <w:lang w:val="en-US" w:eastAsia="zh-CN"/>
              </w:rPr>
              <w:t>2</w:t>
            </w:r>
            <w:r>
              <w:rPr>
                <w:rFonts w:hint="eastAsia" w:ascii="宋体" w:hAnsi="宋体" w:eastAsia="宋体" w:cs="宋体"/>
                <w:color w:val="0C0C0C"/>
                <w:kern w:val="0"/>
                <w:sz w:val="21"/>
                <w:szCs w:val="21"/>
                <w:highlight w:val="none"/>
              </w:rPr>
              <w:t>名</w:t>
            </w:r>
          </w:p>
        </w:tc>
        <w:tc>
          <w:tcPr>
            <w:tcW w:w="5260" w:type="dxa"/>
            <w:noWrap w:val="0"/>
            <w:vAlign w:val="center"/>
          </w:tcPr>
          <w:p w14:paraId="4323F429">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auto"/>
                <w:sz w:val="21"/>
                <w:szCs w:val="21"/>
                <w:highlight w:val="none"/>
              </w:rPr>
              <w:t>具有良好的服务意识，具备一定的服务技能与技巧，男性在</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岁以下，女性在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0岁以下，形象良好</w:t>
            </w:r>
          </w:p>
        </w:tc>
      </w:tr>
      <w:tr w14:paraId="52CD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0" w:type="dxa"/>
            <w:gridSpan w:val="2"/>
            <w:noWrap w:val="0"/>
            <w:vAlign w:val="center"/>
          </w:tcPr>
          <w:p w14:paraId="6E27DA3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eastAsia="宋体" w:cs="宋体"/>
                <w:color w:val="0C0C0C"/>
                <w:kern w:val="0"/>
                <w:sz w:val="21"/>
                <w:szCs w:val="21"/>
                <w:highlight w:val="none"/>
              </w:rPr>
              <w:t>合计</w:t>
            </w:r>
          </w:p>
        </w:tc>
        <w:tc>
          <w:tcPr>
            <w:tcW w:w="6556" w:type="dxa"/>
            <w:gridSpan w:val="2"/>
            <w:noWrap w:val="0"/>
            <w:vAlign w:val="center"/>
          </w:tcPr>
          <w:p w14:paraId="7F13BD2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r>
              <w:rPr>
                <w:rFonts w:hint="eastAsia" w:ascii="宋体" w:hAnsi="宋体" w:cs="宋体"/>
                <w:color w:val="0C0C0C"/>
                <w:kern w:val="0"/>
                <w:sz w:val="21"/>
                <w:szCs w:val="21"/>
                <w:highlight w:val="none"/>
                <w:lang w:val="en-US" w:eastAsia="zh-CN"/>
              </w:rPr>
              <w:t>8</w:t>
            </w:r>
            <w:r>
              <w:rPr>
                <w:rFonts w:hint="eastAsia" w:ascii="宋体" w:hAnsi="宋体" w:eastAsia="宋体" w:cs="宋体"/>
                <w:color w:val="0C0C0C"/>
                <w:kern w:val="0"/>
                <w:sz w:val="21"/>
                <w:szCs w:val="21"/>
                <w:highlight w:val="none"/>
              </w:rPr>
              <w:t>名</w:t>
            </w:r>
          </w:p>
        </w:tc>
      </w:tr>
      <w:tr w14:paraId="4AFB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50" w:type="dxa"/>
            <w:gridSpan w:val="2"/>
            <w:noWrap w:val="0"/>
            <w:vAlign w:val="center"/>
          </w:tcPr>
          <w:p w14:paraId="236009C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C0C0C"/>
                <w:kern w:val="0"/>
                <w:sz w:val="21"/>
                <w:szCs w:val="21"/>
                <w:highlight w:val="none"/>
              </w:rPr>
            </w:pPr>
          </w:p>
        </w:tc>
        <w:tc>
          <w:tcPr>
            <w:tcW w:w="6556" w:type="dxa"/>
            <w:gridSpan w:val="2"/>
            <w:noWrap w:val="0"/>
            <w:vAlign w:val="center"/>
          </w:tcPr>
          <w:p w14:paraId="386CA2F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cs="宋体"/>
                <w:color w:val="0C0C0C"/>
                <w:kern w:val="0"/>
                <w:sz w:val="21"/>
                <w:szCs w:val="21"/>
                <w:highlight w:val="none"/>
                <w:lang w:val="en-US" w:eastAsia="zh-CN"/>
              </w:rPr>
            </w:pPr>
          </w:p>
        </w:tc>
      </w:tr>
    </w:tbl>
    <w:p w14:paraId="619EE1FF">
      <w:pPr>
        <w:spacing w:line="400" w:lineRule="exact"/>
        <w:ind w:firstLine="420" w:firstLineChars="200"/>
        <w:rPr>
          <w:rFonts w:hint="eastAsia"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备注：</w:t>
      </w:r>
      <w:r>
        <w:rPr>
          <w:rFonts w:hint="eastAsia"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人员费用最高限价（元）：</w:t>
      </w:r>
      <w:r>
        <w:rPr>
          <w:rFonts w:hint="eastAsia" w:ascii="宋体" w:hAnsi="宋体" w:eastAsia="宋体" w:cs="宋体"/>
          <w:color w:val="000000"/>
          <w:szCs w:val="21"/>
          <w:lang w:val="en-US" w:eastAsia="zh-CN"/>
        </w:rPr>
        <w:t>485000</w:t>
      </w:r>
      <w:r>
        <w:rPr>
          <w:rFonts w:hint="eastAsia" w:ascii="宋体" w:hAnsi="宋体" w:eastAsia="宋体" w:cs="宋体"/>
          <w:color w:val="000000"/>
          <w:szCs w:val="21"/>
          <w:lang w:eastAsia="zh-CN"/>
        </w:rPr>
        <w:t>元</w:t>
      </w:r>
      <w:r>
        <w:rPr>
          <w:rFonts w:hint="eastAsia" w:ascii="宋体" w:hAnsi="宋体" w:eastAsia="宋体" w:cs="宋体"/>
          <w:color w:val="000000"/>
          <w:szCs w:val="21"/>
          <w:lang w:val="en-US" w:eastAsia="zh-CN"/>
        </w:rPr>
        <w:t>/年，三年共计1455000元</w:t>
      </w:r>
      <w:r>
        <w:rPr>
          <w:rFonts w:hint="eastAsia" w:hAnsi="宋体" w:eastAsia="宋体" w:cs="宋体"/>
          <w:color w:val="000000"/>
          <w:sz w:val="21"/>
          <w:szCs w:val="21"/>
          <w:highlight w:val="none"/>
          <w:lang w:val="en-US" w:eastAsia="zh-CN"/>
        </w:rPr>
        <w:t>。</w:t>
      </w:r>
      <w:r>
        <w:rPr>
          <w:rFonts w:hint="eastAsia" w:hAnsi="宋体" w:eastAsia="宋体" w:cs="宋体"/>
          <w:color w:val="000000"/>
          <w:sz w:val="21"/>
          <w:szCs w:val="21"/>
          <w:highlight w:val="none"/>
          <w:lang w:eastAsia="zh-CN"/>
        </w:rPr>
        <w:t>人员费用投标报价超过最高限价的做无效标处理。</w:t>
      </w:r>
    </w:p>
    <w:p w14:paraId="4C060AB1">
      <w:pPr>
        <w:spacing w:line="400" w:lineRule="exact"/>
        <w:ind w:firstLine="420" w:firstLineChars="200"/>
        <w:rPr>
          <w:rFonts w:hint="eastAsia" w:ascii="宋体" w:hAnsi="宋体"/>
          <w:color w:val="000000"/>
          <w:sz w:val="21"/>
          <w:szCs w:val="21"/>
          <w:lang w:eastAsia="zh-CN"/>
        </w:rPr>
      </w:pPr>
      <w:r>
        <w:rPr>
          <w:rFonts w:hint="eastAsia"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本表要求的人员数量配置为最低人员数量要求，</w:t>
      </w:r>
      <w:r>
        <w:rPr>
          <w:rFonts w:hint="eastAsia" w:hAnsi="宋体" w:eastAsia="宋体" w:cs="宋体"/>
          <w:color w:val="000000"/>
          <w:sz w:val="21"/>
          <w:szCs w:val="21"/>
          <w:highlight w:val="none"/>
          <w:lang w:eastAsia="zh-CN"/>
        </w:rPr>
        <w:t>投标人</w:t>
      </w:r>
      <w:r>
        <w:rPr>
          <w:rFonts w:hint="eastAsia" w:ascii="宋体" w:hAnsi="宋体" w:eastAsia="宋体" w:cs="宋体"/>
          <w:color w:val="000000"/>
          <w:sz w:val="21"/>
          <w:szCs w:val="21"/>
          <w:highlight w:val="none"/>
        </w:rPr>
        <w:t>必须满足</w:t>
      </w:r>
      <w:r>
        <w:rPr>
          <w:rFonts w:hint="eastAsia" w:hAnsi="宋体" w:eastAsia="宋体" w:cs="宋体"/>
          <w:color w:val="000000"/>
          <w:sz w:val="21"/>
          <w:szCs w:val="21"/>
          <w:highlight w:val="none"/>
          <w:lang w:eastAsia="zh-CN"/>
        </w:rPr>
        <w:t>。</w:t>
      </w:r>
      <w:r>
        <w:rPr>
          <w:rFonts w:hint="eastAsia" w:ascii="宋体" w:hAnsi="宋体"/>
          <w:color w:val="000000"/>
          <w:sz w:val="21"/>
          <w:szCs w:val="21"/>
        </w:rPr>
        <w:t>所有上岗人员必须有健康证明</w:t>
      </w:r>
      <w:r>
        <w:rPr>
          <w:rFonts w:hint="eastAsia" w:ascii="宋体" w:hAnsi="宋体"/>
          <w:color w:val="000000"/>
          <w:sz w:val="21"/>
          <w:szCs w:val="21"/>
          <w:lang w:eastAsia="zh-CN"/>
        </w:rPr>
        <w:t>。</w:t>
      </w:r>
    </w:p>
    <w:p w14:paraId="3F138DFD">
      <w:pPr>
        <w:widowControl/>
        <w:spacing w:line="400" w:lineRule="exact"/>
        <w:ind w:firstLine="210" w:firstLineChars="100"/>
        <w:jc w:val="left"/>
        <w:rPr>
          <w:rFonts w:hint="eastAsia" w:ascii="宋体" w:hAnsi="宋体" w:cs="宋体"/>
          <w:b/>
          <w:color w:val="000000"/>
          <w:kern w:val="0"/>
          <w:sz w:val="21"/>
          <w:szCs w:val="21"/>
        </w:rPr>
      </w:pPr>
      <w:r>
        <w:rPr>
          <w:rFonts w:hint="eastAsia"/>
          <w:color w:val="000000"/>
          <w:sz w:val="21"/>
          <w:szCs w:val="21"/>
          <w:lang w:eastAsia="zh-CN"/>
        </w:rPr>
        <w:t>▲</w:t>
      </w:r>
      <w:r>
        <w:rPr>
          <w:rFonts w:hint="eastAsia" w:ascii="宋体" w:hAnsi="宋体" w:cs="宋体"/>
          <w:b/>
          <w:color w:val="000000"/>
          <w:kern w:val="0"/>
          <w:sz w:val="21"/>
          <w:szCs w:val="21"/>
          <w:lang w:val="en-US" w:eastAsia="zh-CN"/>
        </w:rPr>
        <w:t>3</w:t>
      </w:r>
      <w:r>
        <w:rPr>
          <w:rFonts w:hint="eastAsia" w:ascii="宋体" w:hAnsi="宋体" w:cs="宋体"/>
          <w:b/>
          <w:color w:val="000000"/>
          <w:kern w:val="0"/>
          <w:sz w:val="21"/>
          <w:szCs w:val="21"/>
        </w:rPr>
        <w:t>、</w:t>
      </w:r>
      <w:r>
        <w:rPr>
          <w:rFonts w:hint="eastAsia" w:ascii="宋体" w:hAnsi="宋体"/>
          <w:b/>
          <w:color w:val="000000"/>
          <w:sz w:val="21"/>
          <w:szCs w:val="21"/>
        </w:rPr>
        <w:t>项目经理</w:t>
      </w:r>
      <w:r>
        <w:rPr>
          <w:rFonts w:hint="eastAsia" w:ascii="宋体" w:hAnsi="宋体"/>
          <w:b/>
          <w:color w:val="000000"/>
          <w:sz w:val="21"/>
          <w:szCs w:val="21"/>
          <w:lang w:eastAsia="zh-CN"/>
        </w:rPr>
        <w:t>及主厨</w:t>
      </w:r>
      <w:r>
        <w:rPr>
          <w:rFonts w:hint="eastAsia" w:ascii="宋体" w:hAnsi="宋体"/>
          <w:b/>
          <w:color w:val="000000"/>
          <w:sz w:val="21"/>
          <w:szCs w:val="21"/>
        </w:rPr>
        <w:t>必须是投标单位的正式员工，投标时需提供相关证件复印件及至少</w:t>
      </w:r>
      <w:r>
        <w:rPr>
          <w:rFonts w:hint="eastAsia" w:ascii="宋体" w:hAnsi="宋体"/>
          <w:b/>
          <w:color w:val="000000"/>
          <w:sz w:val="21"/>
          <w:szCs w:val="21"/>
          <w:lang w:val="en-US" w:eastAsia="zh-CN"/>
        </w:rPr>
        <w:t>3</w:t>
      </w:r>
      <w:r>
        <w:rPr>
          <w:rFonts w:hint="eastAsia" w:ascii="宋体" w:hAnsi="宋体"/>
          <w:b/>
          <w:color w:val="000000"/>
          <w:sz w:val="21"/>
          <w:szCs w:val="21"/>
        </w:rPr>
        <w:t>个月以上的社保缴纳证明，否则为无效标。</w:t>
      </w:r>
    </w:p>
    <w:p w14:paraId="6254E147">
      <w:pPr>
        <w:widowControl/>
        <w:spacing w:line="40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、定点单位应确保其派遣人员相对固定，不得无故变更，如确需调整，应征得业主单位同意。</w:t>
      </w:r>
    </w:p>
    <w:p w14:paraId="4235EDF6">
      <w:pPr>
        <w:pStyle w:val="37"/>
        <w:ind w:left="0" w:leftChars="0"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、定点单位的派遣人员应服从业主单位管理部门的管理。</w:t>
      </w:r>
    </w:p>
    <w:p w14:paraId="313FAF9B">
      <w:pPr>
        <w:spacing w:line="400" w:lineRule="exact"/>
        <w:ind w:firstLine="422" w:firstLineChars="200"/>
        <w:rPr>
          <w:rFonts w:hint="eastAsia" w:ascii="宋体" w:hAnsi="宋体"/>
          <w:b/>
          <w:color w:val="000000"/>
          <w:sz w:val="21"/>
          <w:szCs w:val="21"/>
          <w:lang w:eastAsia="zh-CN"/>
        </w:rPr>
      </w:pPr>
    </w:p>
    <w:p w14:paraId="211BDE7D">
      <w:pPr>
        <w:spacing w:line="400" w:lineRule="exact"/>
        <w:ind w:firstLine="422" w:firstLineChars="200"/>
        <w:rPr>
          <w:rFonts w:hint="eastAsia" w:ascii="宋体" w:hAnsi="宋体"/>
          <w:b/>
          <w:color w:val="000000"/>
          <w:sz w:val="21"/>
          <w:szCs w:val="21"/>
        </w:rPr>
      </w:pPr>
      <w:r>
        <w:rPr>
          <w:rFonts w:hint="eastAsia" w:ascii="宋体" w:hAnsi="宋体"/>
          <w:b/>
          <w:color w:val="000000"/>
          <w:sz w:val="21"/>
          <w:szCs w:val="21"/>
          <w:lang w:eastAsia="zh-CN"/>
        </w:rPr>
        <w:t>三</w:t>
      </w:r>
      <w:r>
        <w:rPr>
          <w:rFonts w:hint="eastAsia" w:ascii="宋体" w:hAnsi="宋体"/>
          <w:b/>
          <w:color w:val="000000"/>
          <w:sz w:val="21"/>
          <w:szCs w:val="21"/>
        </w:rPr>
        <w:t>、补充说明</w:t>
      </w:r>
    </w:p>
    <w:p w14:paraId="4E200103">
      <w:pPr>
        <w:spacing w:line="400" w:lineRule="exact"/>
        <w:ind w:firstLine="420" w:firstLineChars="200"/>
        <w:rPr>
          <w:rFonts w:hint="eastAsia" w:ascii="宋体" w:hAnsi="宋体" w:cs="Arial"/>
          <w:color w:val="000000"/>
          <w:sz w:val="21"/>
          <w:szCs w:val="21"/>
        </w:rPr>
      </w:pPr>
      <w:r>
        <w:rPr>
          <w:rFonts w:hint="eastAsia" w:ascii="宋体" w:hAnsi="宋体"/>
          <w:color w:val="000000"/>
          <w:sz w:val="21"/>
          <w:szCs w:val="21"/>
        </w:rPr>
        <w:t>1、付款方式：每月度末根据采购人确认的工作完成情况，在次月的10日前支付上月</w:t>
      </w:r>
      <w:r>
        <w:rPr>
          <w:rFonts w:hint="eastAsia" w:ascii="宋体" w:hAnsi="宋体"/>
          <w:color w:val="000000"/>
          <w:sz w:val="21"/>
          <w:szCs w:val="21"/>
          <w:lang w:val="en-US" w:eastAsia="zh-CN"/>
        </w:rPr>
        <w:t>食堂外包服务</w:t>
      </w:r>
      <w:r>
        <w:rPr>
          <w:rFonts w:hint="eastAsia" w:ascii="宋体" w:hAnsi="宋体"/>
          <w:color w:val="000000"/>
          <w:sz w:val="21"/>
          <w:szCs w:val="21"/>
        </w:rPr>
        <w:t>管理费。</w:t>
      </w:r>
      <w:r>
        <w:rPr>
          <w:rFonts w:hint="eastAsia" w:ascii="宋体" w:hAnsi="宋体"/>
          <w:color w:val="000000"/>
          <w:sz w:val="21"/>
          <w:szCs w:val="21"/>
          <w:lang w:val="en-US" w:eastAsia="zh-CN"/>
        </w:rPr>
        <w:t>食堂外包服务</w:t>
      </w:r>
      <w:r>
        <w:rPr>
          <w:rFonts w:hint="eastAsia" w:ascii="宋体" w:hAnsi="宋体"/>
          <w:color w:val="000000"/>
          <w:sz w:val="21"/>
          <w:szCs w:val="21"/>
        </w:rPr>
        <w:t>管理费由疾控中心</w:t>
      </w:r>
      <w:r>
        <w:rPr>
          <w:rFonts w:hint="eastAsia" w:ascii="宋体" w:hAnsi="宋体" w:cs="Arial"/>
          <w:color w:val="000000"/>
          <w:sz w:val="21"/>
          <w:szCs w:val="21"/>
        </w:rPr>
        <w:t>出资。</w:t>
      </w:r>
    </w:p>
    <w:p w14:paraId="2DF5ED37">
      <w:pPr>
        <w:keepNext w:val="0"/>
        <w:keepLines w:val="0"/>
        <w:pageBreakBefore w:val="0"/>
        <w:wordWrap/>
        <w:topLinePunct w:val="0"/>
        <w:bidi w:val="0"/>
        <w:spacing w:beforeLines="0" w:afterLines="0" w:line="360" w:lineRule="auto"/>
        <w:ind w:firstLine="392" w:firstLineChars="187"/>
        <w:rPr>
          <w:rFonts w:hint="eastAsia" w:ascii="宋体" w:hAnsi="宋体" w:cs="Times New Roman"/>
          <w:b w:val="0"/>
          <w:bCs/>
          <w:color w:val="000000"/>
          <w:sz w:val="21"/>
          <w:szCs w:val="21"/>
          <w:lang w:val="en-US" w:eastAsia="zh-CN"/>
        </w:rPr>
      </w:pPr>
      <w:r>
        <w:rPr>
          <w:rFonts w:hint="eastAsia" w:ascii="宋体" w:hAnsi="宋体" w:cs="Times New Roman"/>
          <w:b w:val="0"/>
          <w:bCs/>
          <w:color w:val="000000"/>
          <w:sz w:val="21"/>
          <w:szCs w:val="21"/>
          <w:lang w:val="en-US" w:eastAsia="zh-CN"/>
        </w:rPr>
        <w:t>2、投标人应确保月度财务平衡，即食堂月度开支（包括但不限于食品加工费、餐厨垃圾处理费、设备设施更换与新增费、设备设施维修费、人员工资费用（工资、津贴）、人员综合费用（各种社会保险、福利、服装费、培训费等）、各种规费、管理费和税金等）与月度营收之比平衡，允许上下浮动5%，如超出5%范围，进行相应的月度服务费扣罚。</w:t>
      </w:r>
    </w:p>
    <w:p w14:paraId="532704A0">
      <w:pPr>
        <w:keepNext w:val="0"/>
        <w:keepLines w:val="0"/>
        <w:pageBreakBefore w:val="0"/>
        <w:wordWrap/>
        <w:topLinePunct w:val="0"/>
        <w:bidi w:val="0"/>
        <w:spacing w:beforeLines="0" w:afterLines="0"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cs="Times New Roman"/>
          <w:b w:val="0"/>
          <w:bCs/>
          <w:color w:val="000000"/>
          <w:sz w:val="21"/>
          <w:szCs w:val="21"/>
          <w:lang w:val="en-US" w:eastAsia="zh-CN"/>
        </w:rPr>
        <w:t>3、</w:t>
      </w:r>
      <w:r>
        <w:rPr>
          <w:rFonts w:hint="eastAsia" w:ascii="宋体" w:hAnsi="宋体" w:eastAsia="宋体" w:cs="宋体"/>
          <w:color w:val="auto"/>
          <w:sz w:val="21"/>
          <w:highlight w:val="none"/>
          <w:lang w:val="en-US" w:eastAsia="zh-CN"/>
        </w:rPr>
        <w:t>采购、配送、成本管理与核算(服务方应提供采购方式、渠道及价格优势的具体内容并符合《食品安全法》要求。)集中采购渠道的具体供应商、品牌等；外驻单位物流配送方案及保障措施:财务管理及结算方案(包括IC卡代管程序及保障措施)。</w:t>
      </w:r>
    </w:p>
    <w:p w14:paraId="0AE6E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val="en-US" w:eastAsia="zh-CN"/>
        </w:rPr>
        <w:t>投标人必须制订风险管理计划，对停水、停电、停气及自然灾害等不可预见之事件要有应急预案，如须业主配合，须及时与业主取得联络，以保障安全供餐。中标人的各岗位员工要统一服装，并由中标人负责其员工工服配备和洗涤。</w:t>
      </w:r>
    </w:p>
    <w:p w14:paraId="40CAF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5、中标人有岗前培训机构，服务人员100%经过岗前培训合格才能上岗。 </w:t>
      </w:r>
    </w:p>
    <w:p w14:paraId="1C3501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6、中标人须严格按照标准化的操作程序、完善的培训体系和质量控制体系完成本项目，以保证整个系统安全、高效、有序和有计划地运转。</w:t>
      </w:r>
    </w:p>
    <w:p w14:paraId="7666EA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7、中标人须严格按照国家规定给所有符合社保缴纳要求的员工缴纳各种社会保险(包括养老、医疗、工伤、生育险、失业保险等)和住房公积金。</w:t>
      </w:r>
    </w:p>
    <w:p w14:paraId="1DF333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8、全部服务人员的工作时间应严格按国家有关法律、法规要求的标准执行，因工作原因产生的加班(含节假日加班)应严格按国家有关法律、法规要求的标准给付员工加班薪资。并包含国家规定的员工年假费用；业主方不另外增加费用。</w:t>
      </w:r>
    </w:p>
    <w:p w14:paraId="5D3058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color w:val="auto"/>
          <w:sz w:val="21"/>
          <w:highlight w:val="none"/>
          <w:lang w:val="en-US" w:eastAsia="zh-CN"/>
        </w:rPr>
        <w:t>9、所有员工入职服务时都必须体检，并且合格后才能持证上岗。</w:t>
      </w:r>
      <w:r>
        <w:rPr>
          <w:rFonts w:hint="eastAsia" w:ascii="宋体" w:hAnsi="宋体" w:eastAsia="宋体" w:cs="宋体"/>
          <w:b/>
          <w:bCs/>
          <w:color w:val="auto"/>
          <w:sz w:val="21"/>
          <w:highlight w:val="none"/>
          <w:lang w:val="en-US" w:eastAsia="zh-CN"/>
        </w:rPr>
        <w:t>（注：投标文件中需提供相关承诺，否则视为无效。）</w:t>
      </w:r>
    </w:p>
    <w:p w14:paraId="63D1B9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10、因投标人违反《劳动法》等法律法规而造成甲方的连带责任和损失全部由投标人承担。</w:t>
      </w:r>
    </w:p>
    <w:p w14:paraId="334B4D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1</w:t>
      </w:r>
      <w:r>
        <w:rPr>
          <w:rFonts w:hint="eastAsia" w:ascii="宋体" w:hAnsi="宋体" w:eastAsia="宋体" w:cs="宋体"/>
          <w:color w:val="auto"/>
          <w:sz w:val="21"/>
          <w:highlight w:val="none"/>
          <w:lang w:val="en-US" w:eastAsia="zh-CN"/>
        </w:rPr>
        <w:t>、本项目采用包干制,包括:</w:t>
      </w:r>
    </w:p>
    <w:p w14:paraId="1700AD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（1）保洁工具、日常消耗品（拖把、抹布、清洁剂、水桶、餐厅用纸等）。（如另有增加费用，中标方应与业主自行协商解决）</w:t>
      </w:r>
    </w:p>
    <w:p w14:paraId="3DB072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（2）食堂厨余垃圾外运（外包费）由中标（成交）单位统一支付给第三方。（如另有增加费用，中标方应与业主协商解决）。</w:t>
      </w:r>
    </w:p>
    <w:p w14:paraId="381ADA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color w:val="auto"/>
          <w:sz w:val="21"/>
          <w:szCs w:val="21"/>
        </w:rPr>
      </w:pPr>
      <w:r>
        <w:rPr>
          <w:rFonts w:hint="eastAsia" w:ascii="宋体" w:hAnsi="宋体" w:eastAsia="宋体" w:cs="宋体"/>
          <w:color w:val="auto"/>
          <w:sz w:val="21"/>
          <w:highlight w:val="none"/>
          <w:lang w:val="en-US" w:eastAsia="zh-CN"/>
        </w:rPr>
        <w:t>1</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val="en-US" w:eastAsia="zh-CN"/>
        </w:rPr>
        <w:t>各业主单位组成的食堂外包服务管理考核组采用定期不定期的方式，对中标（成交）单位的服务进行检查、考核评议，评议监督考评的内容为管理单位的投</w:t>
      </w:r>
      <w:r>
        <w:rPr>
          <w:rFonts w:hint="eastAsia" w:ascii="宋体" w:hAnsi="宋体"/>
          <w:color w:val="auto"/>
          <w:sz w:val="21"/>
          <w:szCs w:val="21"/>
        </w:rPr>
        <w:t>标承诺、管理指标、管理制度、工作制度等落实情况。</w:t>
      </w:r>
    </w:p>
    <w:p w14:paraId="6E919BEB">
      <w:pPr>
        <w:keepNext w:val="0"/>
        <w:keepLines w:val="0"/>
        <w:pageBreakBefore w:val="0"/>
        <w:widowControl w:val="0"/>
        <w:kinsoku/>
        <w:wordWrap/>
        <w:overflowPunct/>
        <w:topLinePunct w:val="0"/>
        <w:bidi w:val="0"/>
        <w:adjustRightInd/>
        <w:snapToGrid/>
        <w:spacing w:line="360" w:lineRule="auto"/>
        <w:ind w:left="0" w:leftChars="0"/>
        <w:rPr>
          <w:rFonts w:hint="eastAsia" w:ascii="宋体" w:hAnsi="宋体" w:eastAsia="宋体" w:cs="宋体"/>
          <w:b/>
          <w:color w:val="auto"/>
          <w:sz w:val="21"/>
          <w:szCs w:val="21"/>
          <w:highlight w:val="none"/>
          <w:lang w:val="en-US" w:eastAsia="zh-CN"/>
        </w:rPr>
      </w:pPr>
    </w:p>
    <w:p w14:paraId="457DC6FF">
      <w:pPr>
        <w:keepNext w:val="0"/>
        <w:keepLines w:val="0"/>
        <w:pageBreakBefore w:val="0"/>
        <w:widowControl w:val="0"/>
        <w:kinsoku/>
        <w:wordWrap/>
        <w:overflowPunct/>
        <w:topLinePunct w:val="0"/>
        <w:bidi w:val="0"/>
        <w:adjustRightInd/>
        <w:snapToGrid/>
        <w:spacing w:line="360" w:lineRule="auto"/>
        <w:ind w:left="0" w:leftChars="0"/>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w:t>
      </w:r>
      <w:r>
        <w:rPr>
          <w:rFonts w:hint="eastAsia" w:ascii="宋体" w:hAnsi="宋体" w:eastAsia="宋体" w:cs="宋体"/>
          <w:b/>
          <w:iCs/>
          <w:color w:val="auto"/>
          <w:kern w:val="0"/>
          <w:sz w:val="21"/>
          <w:szCs w:val="21"/>
          <w:highlight w:val="none"/>
          <w:lang w:val="en-US" w:eastAsia="zh-CN"/>
        </w:rPr>
        <w:t>考核内容</w:t>
      </w:r>
    </w:p>
    <w:p w14:paraId="54B45C17">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在本合同履行期限内，投标人应严格执行《国家食品安全法》、《国家安全生产法》等相关规定，招标人实行每月考核模式，具体如下：</w:t>
      </w:r>
    </w:p>
    <w:p w14:paraId="44645AB2">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olor w:val="auto"/>
          <w:sz w:val="21"/>
          <w:szCs w:val="21"/>
        </w:rPr>
        <w:t>中标人要无条件接受招标人定期或不定期检查监督，考核细则按每月进行打分考核，满分为100分。</w:t>
      </w:r>
      <w:r>
        <w:rPr>
          <w:rFonts w:hint="eastAsia" w:ascii="宋体" w:hAnsi="宋体"/>
          <w:color w:val="auto"/>
          <w:sz w:val="21"/>
          <w:szCs w:val="21"/>
          <w:lang w:val="en-US" w:eastAsia="zh-CN"/>
        </w:rPr>
        <w:t>90</w:t>
      </w:r>
      <w:r>
        <w:rPr>
          <w:rFonts w:hint="eastAsia" w:ascii="宋体" w:hAnsi="宋体"/>
          <w:color w:val="auto"/>
          <w:sz w:val="21"/>
          <w:szCs w:val="21"/>
        </w:rPr>
        <w:t>分以上为满意，不作经济处罚;80-89为基本满意，以90分为基准每下降1分扣</w:t>
      </w:r>
      <w:r>
        <w:rPr>
          <w:rFonts w:hint="eastAsia" w:ascii="宋体" w:hAnsi="宋体"/>
          <w:color w:val="auto"/>
          <w:sz w:val="21"/>
          <w:szCs w:val="21"/>
          <w:lang w:val="en-US" w:eastAsia="zh-CN"/>
        </w:rPr>
        <w:t>2</w:t>
      </w:r>
      <w:r>
        <w:rPr>
          <w:rFonts w:hint="eastAsia" w:ascii="宋体" w:hAnsi="宋体"/>
          <w:color w:val="auto"/>
          <w:sz w:val="21"/>
          <w:szCs w:val="21"/>
        </w:rPr>
        <w:t>00元；，80分（含80分）为合格</w:t>
      </w:r>
      <w:r>
        <w:rPr>
          <w:rFonts w:hint="eastAsia" w:ascii="宋体" w:hAnsi="宋体"/>
          <w:color w:val="auto"/>
          <w:sz w:val="21"/>
          <w:szCs w:val="21"/>
          <w:lang w:eastAsia="zh-CN"/>
        </w:rPr>
        <w:t>，低于</w:t>
      </w:r>
      <w:r>
        <w:rPr>
          <w:rFonts w:hint="eastAsia" w:ascii="宋体" w:hAnsi="宋体"/>
          <w:color w:val="auto"/>
          <w:sz w:val="21"/>
          <w:szCs w:val="21"/>
        </w:rPr>
        <w:t>80分为不合格，不足80分的每1分扣</w:t>
      </w:r>
      <w:r>
        <w:rPr>
          <w:rFonts w:hint="eastAsia" w:ascii="宋体" w:hAnsi="宋体"/>
          <w:color w:val="auto"/>
          <w:sz w:val="21"/>
          <w:szCs w:val="21"/>
          <w:lang w:val="en-US" w:eastAsia="zh-CN"/>
        </w:rPr>
        <w:t>3</w:t>
      </w:r>
      <w:r>
        <w:rPr>
          <w:rFonts w:hint="eastAsia" w:ascii="宋体" w:hAnsi="宋体"/>
          <w:color w:val="auto"/>
          <w:sz w:val="21"/>
          <w:szCs w:val="21"/>
        </w:rPr>
        <w:t>00元。若打分低于80分，本月</w:t>
      </w:r>
      <w:r>
        <w:rPr>
          <w:rFonts w:hint="eastAsia" w:ascii="宋体" w:hAnsi="宋体"/>
          <w:color w:val="auto"/>
          <w:sz w:val="21"/>
          <w:szCs w:val="21"/>
          <w:lang w:eastAsia="zh-CN"/>
        </w:rPr>
        <w:t>服务</w:t>
      </w:r>
      <w:r>
        <w:rPr>
          <w:rFonts w:hint="eastAsia" w:ascii="宋体" w:hAnsi="宋体"/>
          <w:color w:val="auto"/>
          <w:sz w:val="21"/>
          <w:szCs w:val="21"/>
        </w:rPr>
        <w:t>考核为不合格，并且作为续签下年</w:t>
      </w:r>
      <w:r>
        <w:rPr>
          <w:rFonts w:hint="eastAsia" w:ascii="宋体" w:hAnsi="宋体"/>
          <w:color w:val="auto"/>
          <w:sz w:val="21"/>
          <w:szCs w:val="21"/>
          <w:lang w:eastAsia="zh-CN"/>
        </w:rPr>
        <w:t>食堂外包</w:t>
      </w:r>
      <w:r>
        <w:rPr>
          <w:rFonts w:hint="eastAsia" w:ascii="宋体" w:hAnsi="宋体"/>
          <w:color w:val="auto"/>
          <w:sz w:val="21"/>
          <w:szCs w:val="21"/>
        </w:rPr>
        <w:t>服务的依据。如果中标人管理混乱，经招标人督促后未改进连续两次考核不合格，招标人</w:t>
      </w:r>
      <w:r>
        <w:rPr>
          <w:rFonts w:hint="eastAsia" w:ascii="宋体" w:hAnsi="宋体"/>
          <w:color w:val="auto"/>
          <w:sz w:val="21"/>
          <w:szCs w:val="21"/>
          <w:lang w:val="zh-CN"/>
        </w:rPr>
        <w:t>有权终止合同，并罚没其履约保证金。</w:t>
      </w:r>
      <w:r>
        <w:rPr>
          <w:rFonts w:hint="eastAsia" w:ascii="宋体" w:hAnsi="宋体" w:eastAsia="宋体" w:cs="宋体"/>
          <w:color w:val="auto"/>
          <w:sz w:val="21"/>
          <w:szCs w:val="21"/>
          <w:highlight w:val="none"/>
          <w:lang w:val="en-US" w:eastAsia="zh-CN"/>
        </w:rPr>
        <w:t>同时，要求食品安全率达到100%，所有食品原材料按质量体系验收；冬天实施菜肴保暖，夏天提供清凉食品，每餐食品留样48小时，每周定期推出新品种。</w:t>
      </w:r>
    </w:p>
    <w:p w14:paraId="05D024CF">
      <w:pPr>
        <w:pStyle w:val="10"/>
        <w:snapToGrid w:val="0"/>
        <w:spacing w:beforeLines="0" w:afterLines="0"/>
        <w:outlineLvl w:val="0"/>
        <w:rPr>
          <w:rFonts w:hint="eastAsia" w:ascii="宋体" w:hAnsi="宋体"/>
          <w:color w:val="auto"/>
          <w:sz w:val="21"/>
          <w:szCs w:val="21"/>
          <w:lang w:val="en-US" w:eastAsia="zh-CN"/>
        </w:rPr>
      </w:pPr>
    </w:p>
    <w:p w14:paraId="7D709F4B">
      <w:pPr>
        <w:pStyle w:val="10"/>
        <w:snapToGrid w:val="0"/>
        <w:spacing w:beforeLines="0" w:afterLines="0"/>
        <w:outlineLvl w:val="0"/>
        <w:rPr>
          <w:rFonts w:hint="default" w:ascii="黑体" w:hAnsi="宋体" w:eastAsia="黑体"/>
          <w:b/>
          <w:bCs/>
          <w:color w:val="000000"/>
          <w:sz w:val="28"/>
          <w:szCs w:val="28"/>
          <w:lang w:val="en-US"/>
        </w:rPr>
      </w:pPr>
      <w:r>
        <w:rPr>
          <w:rFonts w:hint="eastAsia" w:ascii="宋体" w:hAnsi="宋体"/>
          <w:color w:val="000000"/>
          <w:sz w:val="21"/>
          <w:szCs w:val="21"/>
          <w:lang w:val="en-US" w:eastAsia="zh-CN"/>
        </w:rPr>
        <w:t>考核表</w:t>
      </w:r>
      <w:r>
        <w:rPr>
          <w:rFonts w:hint="eastAsia" w:hAnsi="宋体"/>
          <w:color w:val="000000"/>
          <w:sz w:val="21"/>
          <w:szCs w:val="21"/>
          <w:lang w:val="en-US" w:eastAsia="zh-CN"/>
        </w:rPr>
        <w:t>1</w:t>
      </w:r>
    </w:p>
    <w:p w14:paraId="380040B6">
      <w:pPr>
        <w:spacing w:line="240" w:lineRule="auto"/>
        <w:ind w:firstLine="2249" w:firstLineChars="700"/>
        <w:rPr>
          <w:rFonts w:hint="eastAsia"/>
          <w:b/>
          <w:bCs/>
          <w:color w:val="000000"/>
          <w:sz w:val="32"/>
          <w:szCs w:val="32"/>
        </w:rPr>
      </w:pPr>
      <w:r>
        <w:rPr>
          <w:rFonts w:hint="eastAsia"/>
          <w:b/>
          <w:bCs/>
          <w:color w:val="000000"/>
          <w:sz w:val="32"/>
          <w:szCs w:val="32"/>
        </w:rPr>
        <w:t>宁海公共卫生中心食堂考核标准</w:t>
      </w:r>
    </w:p>
    <w:tbl>
      <w:tblPr>
        <w:tblStyle w:val="17"/>
        <w:tblpPr w:leftFromText="180" w:rightFromText="180" w:vertAnchor="text" w:horzAnchor="margin" w:tblpX="1" w:tblpY="470"/>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0"/>
        <w:gridCol w:w="840"/>
        <w:gridCol w:w="1140"/>
        <w:gridCol w:w="1137"/>
        <w:gridCol w:w="885"/>
      </w:tblGrid>
      <w:tr w14:paraId="4CFA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370" w:type="dxa"/>
            <w:noWrap w:val="0"/>
            <w:vAlign w:val="center"/>
          </w:tcPr>
          <w:p w14:paraId="695393B3">
            <w:pPr>
              <w:jc w:val="both"/>
              <w:rPr>
                <w:rFonts w:hint="eastAsia"/>
                <w:color w:val="000000"/>
              </w:rPr>
            </w:pPr>
            <w:r>
              <w:rPr>
                <w:rFonts w:hint="eastAsia"/>
                <w:color w:val="000000"/>
                <w:sz w:val="24"/>
              </w:rPr>
              <w:t>考核内容</w:t>
            </w:r>
          </w:p>
        </w:tc>
        <w:tc>
          <w:tcPr>
            <w:tcW w:w="840" w:type="dxa"/>
            <w:noWrap w:val="0"/>
            <w:vAlign w:val="center"/>
          </w:tcPr>
          <w:p w14:paraId="4A6EE6FE">
            <w:pPr>
              <w:jc w:val="center"/>
              <w:rPr>
                <w:rFonts w:hint="eastAsia"/>
                <w:color w:val="000000"/>
              </w:rPr>
            </w:pPr>
            <w:r>
              <w:rPr>
                <w:rFonts w:hint="eastAsia"/>
                <w:color w:val="000000"/>
              </w:rPr>
              <w:t>分值</w:t>
            </w:r>
          </w:p>
        </w:tc>
        <w:tc>
          <w:tcPr>
            <w:tcW w:w="1140" w:type="dxa"/>
            <w:noWrap w:val="0"/>
            <w:vAlign w:val="center"/>
          </w:tcPr>
          <w:p w14:paraId="2E6178EF">
            <w:pPr>
              <w:jc w:val="both"/>
              <w:rPr>
                <w:rFonts w:hint="eastAsia"/>
                <w:color w:val="000000"/>
              </w:rPr>
            </w:pPr>
            <w:r>
              <w:rPr>
                <w:rFonts w:hint="eastAsia"/>
                <w:color w:val="000000"/>
              </w:rPr>
              <w:t>扣分标准</w:t>
            </w:r>
          </w:p>
        </w:tc>
        <w:tc>
          <w:tcPr>
            <w:tcW w:w="1137" w:type="dxa"/>
            <w:noWrap w:val="0"/>
            <w:vAlign w:val="center"/>
          </w:tcPr>
          <w:p w14:paraId="1AB7D8F1">
            <w:pPr>
              <w:jc w:val="center"/>
              <w:rPr>
                <w:rFonts w:hint="eastAsia"/>
                <w:color w:val="000000"/>
              </w:rPr>
            </w:pPr>
            <w:r>
              <w:rPr>
                <w:rFonts w:hint="eastAsia"/>
                <w:color w:val="000000"/>
              </w:rPr>
              <w:t>扣分理由</w:t>
            </w:r>
          </w:p>
        </w:tc>
        <w:tc>
          <w:tcPr>
            <w:tcW w:w="885" w:type="dxa"/>
            <w:noWrap w:val="0"/>
            <w:vAlign w:val="center"/>
          </w:tcPr>
          <w:p w14:paraId="75AE5E3A">
            <w:pPr>
              <w:jc w:val="center"/>
              <w:rPr>
                <w:rFonts w:hint="eastAsia"/>
                <w:color w:val="000000"/>
              </w:rPr>
            </w:pPr>
            <w:r>
              <w:rPr>
                <w:rFonts w:hint="eastAsia"/>
                <w:color w:val="000000"/>
              </w:rPr>
              <w:t>得分</w:t>
            </w:r>
          </w:p>
        </w:tc>
      </w:tr>
      <w:tr w14:paraId="169E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372" w:type="dxa"/>
            <w:gridSpan w:val="5"/>
            <w:noWrap w:val="0"/>
            <w:vAlign w:val="top"/>
          </w:tcPr>
          <w:p w14:paraId="3893D7B8">
            <w:pPr>
              <w:rPr>
                <w:rFonts w:hint="eastAsia"/>
                <w:color w:val="000000"/>
              </w:rPr>
            </w:pPr>
            <w:r>
              <w:rPr>
                <w:rFonts w:hint="eastAsia"/>
                <w:color w:val="000000"/>
              </w:rPr>
              <w:t>一、安全生产：8分</w:t>
            </w:r>
          </w:p>
        </w:tc>
      </w:tr>
      <w:tr w14:paraId="7756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AA50CA1">
            <w:pPr>
              <w:rPr>
                <w:rFonts w:hint="eastAsia"/>
                <w:color w:val="000000"/>
              </w:rPr>
            </w:pPr>
            <w:r>
              <w:rPr>
                <w:rFonts w:hint="eastAsia"/>
                <w:color w:val="000000"/>
              </w:rPr>
              <w:t>1、爱护公共财产设施（厨房设备）妥善安全使用设备、定期检查保养，不能随意损坏设备现象发生。并做到设备有损坏应及时报修，保持食堂工作正常运作。</w:t>
            </w:r>
          </w:p>
        </w:tc>
        <w:tc>
          <w:tcPr>
            <w:tcW w:w="840" w:type="dxa"/>
            <w:noWrap w:val="0"/>
            <w:vAlign w:val="center"/>
          </w:tcPr>
          <w:p w14:paraId="67578399">
            <w:pPr>
              <w:jc w:val="center"/>
              <w:rPr>
                <w:rFonts w:hint="eastAsia"/>
                <w:color w:val="000000"/>
              </w:rPr>
            </w:pPr>
            <w:r>
              <w:rPr>
                <w:rFonts w:hint="eastAsia"/>
                <w:color w:val="000000"/>
              </w:rPr>
              <w:t>2</w:t>
            </w:r>
          </w:p>
        </w:tc>
        <w:tc>
          <w:tcPr>
            <w:tcW w:w="1140" w:type="dxa"/>
            <w:noWrap w:val="0"/>
            <w:vAlign w:val="center"/>
          </w:tcPr>
          <w:p w14:paraId="2C723958">
            <w:pPr>
              <w:jc w:val="center"/>
              <w:rPr>
                <w:rFonts w:hint="eastAsia"/>
                <w:color w:val="000000"/>
              </w:rPr>
            </w:pPr>
            <w:r>
              <w:rPr>
                <w:rFonts w:hint="eastAsia"/>
                <w:color w:val="000000"/>
              </w:rPr>
              <w:t>发生一次扣2分</w:t>
            </w:r>
          </w:p>
        </w:tc>
        <w:tc>
          <w:tcPr>
            <w:tcW w:w="1137" w:type="dxa"/>
            <w:noWrap w:val="0"/>
            <w:vAlign w:val="top"/>
          </w:tcPr>
          <w:p w14:paraId="6968340B">
            <w:pPr>
              <w:rPr>
                <w:rFonts w:hint="eastAsia"/>
                <w:color w:val="000000"/>
              </w:rPr>
            </w:pPr>
          </w:p>
        </w:tc>
        <w:tc>
          <w:tcPr>
            <w:tcW w:w="885" w:type="dxa"/>
            <w:noWrap w:val="0"/>
            <w:vAlign w:val="top"/>
          </w:tcPr>
          <w:p w14:paraId="6E8E783B">
            <w:pPr>
              <w:rPr>
                <w:rFonts w:hint="eastAsia"/>
                <w:color w:val="000000"/>
              </w:rPr>
            </w:pPr>
          </w:p>
        </w:tc>
      </w:tr>
      <w:tr w14:paraId="1A59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0D7AD12">
            <w:pPr>
              <w:rPr>
                <w:rFonts w:hint="eastAsia"/>
                <w:color w:val="000000"/>
              </w:rPr>
            </w:pPr>
            <w:r>
              <w:rPr>
                <w:rFonts w:hint="eastAsia"/>
                <w:color w:val="000000"/>
              </w:rPr>
              <w:t>2、节约用电、水、汽、杜绝浪费，做到随手关电、水、汽，杜绝长流水、长明灯。</w:t>
            </w:r>
          </w:p>
        </w:tc>
        <w:tc>
          <w:tcPr>
            <w:tcW w:w="840" w:type="dxa"/>
            <w:noWrap w:val="0"/>
            <w:vAlign w:val="center"/>
          </w:tcPr>
          <w:p w14:paraId="41DF5BD3">
            <w:pPr>
              <w:jc w:val="center"/>
              <w:rPr>
                <w:rFonts w:hint="eastAsia"/>
                <w:color w:val="000000"/>
              </w:rPr>
            </w:pPr>
            <w:r>
              <w:rPr>
                <w:rFonts w:hint="eastAsia"/>
                <w:color w:val="000000"/>
              </w:rPr>
              <w:t>2</w:t>
            </w:r>
          </w:p>
        </w:tc>
        <w:tc>
          <w:tcPr>
            <w:tcW w:w="1140" w:type="dxa"/>
            <w:noWrap w:val="0"/>
            <w:vAlign w:val="center"/>
          </w:tcPr>
          <w:p w14:paraId="2EE2E02C">
            <w:pPr>
              <w:jc w:val="center"/>
              <w:rPr>
                <w:rFonts w:hint="eastAsia"/>
                <w:color w:val="000000"/>
              </w:rPr>
            </w:pPr>
            <w:r>
              <w:rPr>
                <w:rFonts w:hint="eastAsia"/>
                <w:color w:val="000000"/>
              </w:rPr>
              <w:t>发现一次扣2分</w:t>
            </w:r>
          </w:p>
        </w:tc>
        <w:tc>
          <w:tcPr>
            <w:tcW w:w="1137" w:type="dxa"/>
            <w:noWrap w:val="0"/>
            <w:vAlign w:val="top"/>
          </w:tcPr>
          <w:p w14:paraId="1863217B">
            <w:pPr>
              <w:rPr>
                <w:rFonts w:hint="eastAsia"/>
                <w:color w:val="000000"/>
              </w:rPr>
            </w:pPr>
          </w:p>
        </w:tc>
        <w:tc>
          <w:tcPr>
            <w:tcW w:w="885" w:type="dxa"/>
            <w:noWrap w:val="0"/>
            <w:vAlign w:val="top"/>
          </w:tcPr>
          <w:p w14:paraId="4105543C">
            <w:pPr>
              <w:rPr>
                <w:rFonts w:hint="eastAsia"/>
                <w:color w:val="000000"/>
              </w:rPr>
            </w:pPr>
          </w:p>
        </w:tc>
      </w:tr>
      <w:tr w14:paraId="7A13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E658FB0">
            <w:pPr>
              <w:rPr>
                <w:rFonts w:hint="eastAsia"/>
                <w:color w:val="000000"/>
              </w:rPr>
            </w:pPr>
            <w:r>
              <w:rPr>
                <w:rFonts w:hint="eastAsia"/>
                <w:color w:val="000000"/>
              </w:rPr>
              <w:t>3、落实综合治理，加强安全生产的管理，不违规操作，做好防盗、防火工作。下班前应检查是否关好门窗、电（保留应急照明灯）、水龙头、特别要求天然气阀门检查是否关好，杜绝火灾隐患。</w:t>
            </w:r>
          </w:p>
        </w:tc>
        <w:tc>
          <w:tcPr>
            <w:tcW w:w="840" w:type="dxa"/>
            <w:noWrap w:val="0"/>
            <w:vAlign w:val="center"/>
          </w:tcPr>
          <w:p w14:paraId="258990B3">
            <w:pPr>
              <w:jc w:val="center"/>
              <w:rPr>
                <w:rFonts w:hint="eastAsia"/>
                <w:color w:val="000000"/>
              </w:rPr>
            </w:pPr>
            <w:r>
              <w:rPr>
                <w:rFonts w:hint="eastAsia"/>
                <w:color w:val="000000"/>
              </w:rPr>
              <w:t>2</w:t>
            </w:r>
          </w:p>
        </w:tc>
        <w:tc>
          <w:tcPr>
            <w:tcW w:w="1140" w:type="dxa"/>
            <w:noWrap w:val="0"/>
            <w:vAlign w:val="center"/>
          </w:tcPr>
          <w:p w14:paraId="73DBDA51">
            <w:pPr>
              <w:jc w:val="center"/>
              <w:rPr>
                <w:rFonts w:hint="eastAsia"/>
                <w:color w:val="000000"/>
              </w:rPr>
            </w:pPr>
            <w:r>
              <w:rPr>
                <w:rFonts w:hint="eastAsia"/>
                <w:color w:val="000000"/>
              </w:rPr>
              <w:t>发现一次扣2分</w:t>
            </w:r>
          </w:p>
        </w:tc>
        <w:tc>
          <w:tcPr>
            <w:tcW w:w="1137" w:type="dxa"/>
            <w:noWrap w:val="0"/>
            <w:vAlign w:val="top"/>
          </w:tcPr>
          <w:p w14:paraId="63A09B38">
            <w:pPr>
              <w:rPr>
                <w:rFonts w:hint="eastAsia"/>
                <w:color w:val="000000"/>
              </w:rPr>
            </w:pPr>
          </w:p>
        </w:tc>
        <w:tc>
          <w:tcPr>
            <w:tcW w:w="885" w:type="dxa"/>
            <w:noWrap w:val="0"/>
            <w:vAlign w:val="top"/>
          </w:tcPr>
          <w:p w14:paraId="52408A64">
            <w:pPr>
              <w:rPr>
                <w:rFonts w:hint="eastAsia"/>
                <w:color w:val="000000"/>
              </w:rPr>
            </w:pPr>
          </w:p>
        </w:tc>
      </w:tr>
      <w:tr w14:paraId="2B20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A387ABE">
            <w:pPr>
              <w:rPr>
                <w:rFonts w:hint="eastAsia"/>
                <w:color w:val="000000"/>
              </w:rPr>
            </w:pPr>
            <w:r>
              <w:rPr>
                <w:rFonts w:hint="eastAsia"/>
                <w:color w:val="000000"/>
              </w:rPr>
              <w:t>4</w:t>
            </w:r>
            <w:r>
              <w:rPr>
                <w:rFonts w:hint="eastAsia"/>
                <w:color w:val="000000"/>
                <w:lang w:eastAsia="zh-CN"/>
              </w:rPr>
              <w:t>、</w:t>
            </w:r>
            <w:r>
              <w:rPr>
                <w:rFonts w:hint="eastAsia"/>
                <w:color w:val="000000"/>
              </w:rPr>
              <w:t>日常排烟罩清洁检查，定期（</w:t>
            </w:r>
            <w:r>
              <w:rPr>
                <w:rFonts w:hint="eastAsia"/>
                <w:color w:val="000000"/>
                <w:lang w:eastAsia="zh-CN"/>
              </w:rPr>
              <w:t>每季度一次</w:t>
            </w:r>
            <w:r>
              <w:rPr>
                <w:rFonts w:hint="eastAsia"/>
                <w:color w:val="000000"/>
              </w:rPr>
              <w:t>）</w:t>
            </w:r>
            <w:r>
              <w:rPr>
                <w:rFonts w:hint="eastAsia"/>
                <w:color w:val="000000"/>
                <w:lang w:eastAsia="zh-CN"/>
              </w:rPr>
              <w:t>需</w:t>
            </w:r>
            <w:r>
              <w:rPr>
                <w:rFonts w:hint="eastAsia"/>
                <w:color w:val="000000"/>
              </w:rPr>
              <w:t>专业烟罩清洗公司进行烟罩（道）清洗</w:t>
            </w:r>
            <w:r>
              <w:rPr>
                <w:rFonts w:hint="eastAsia"/>
                <w:color w:val="000000"/>
                <w:lang w:val="en-US" w:eastAsia="zh-CN"/>
              </w:rPr>
              <w:t>(并提供合格的检测报告)</w:t>
            </w:r>
            <w:r>
              <w:rPr>
                <w:rFonts w:hint="eastAsia"/>
                <w:color w:val="000000"/>
              </w:rPr>
              <w:t>，杜绝火灾隐患。</w:t>
            </w:r>
          </w:p>
        </w:tc>
        <w:tc>
          <w:tcPr>
            <w:tcW w:w="840" w:type="dxa"/>
            <w:noWrap w:val="0"/>
            <w:vAlign w:val="center"/>
          </w:tcPr>
          <w:p w14:paraId="2DA42D89">
            <w:pPr>
              <w:jc w:val="center"/>
              <w:rPr>
                <w:rFonts w:hint="eastAsia"/>
                <w:color w:val="000000"/>
              </w:rPr>
            </w:pPr>
            <w:r>
              <w:rPr>
                <w:rFonts w:hint="eastAsia"/>
                <w:color w:val="000000"/>
              </w:rPr>
              <w:t>2</w:t>
            </w:r>
          </w:p>
        </w:tc>
        <w:tc>
          <w:tcPr>
            <w:tcW w:w="1140" w:type="dxa"/>
            <w:noWrap w:val="0"/>
            <w:vAlign w:val="center"/>
          </w:tcPr>
          <w:p w14:paraId="65440210">
            <w:pPr>
              <w:jc w:val="center"/>
              <w:rPr>
                <w:rFonts w:hint="eastAsia"/>
                <w:color w:val="000000"/>
              </w:rPr>
            </w:pPr>
            <w:r>
              <w:rPr>
                <w:rFonts w:hint="eastAsia"/>
                <w:color w:val="000000"/>
              </w:rPr>
              <w:t>发现一次扣2分</w:t>
            </w:r>
          </w:p>
        </w:tc>
        <w:tc>
          <w:tcPr>
            <w:tcW w:w="1137" w:type="dxa"/>
            <w:noWrap w:val="0"/>
            <w:vAlign w:val="top"/>
          </w:tcPr>
          <w:p w14:paraId="682B1461">
            <w:pPr>
              <w:rPr>
                <w:rFonts w:hint="eastAsia"/>
                <w:color w:val="000000"/>
              </w:rPr>
            </w:pPr>
          </w:p>
        </w:tc>
        <w:tc>
          <w:tcPr>
            <w:tcW w:w="885" w:type="dxa"/>
            <w:noWrap w:val="0"/>
            <w:vAlign w:val="top"/>
          </w:tcPr>
          <w:p w14:paraId="7EC68297">
            <w:pPr>
              <w:rPr>
                <w:rFonts w:hint="eastAsia"/>
                <w:color w:val="000000"/>
              </w:rPr>
            </w:pPr>
          </w:p>
        </w:tc>
      </w:tr>
      <w:tr w14:paraId="524D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42774349">
            <w:pPr>
              <w:rPr>
                <w:rFonts w:hint="eastAsia"/>
                <w:color w:val="000000"/>
              </w:rPr>
            </w:pPr>
            <w:r>
              <w:rPr>
                <w:rFonts w:hint="eastAsia"/>
                <w:color w:val="000000"/>
              </w:rPr>
              <w:t>二、健康体检：4分</w:t>
            </w:r>
          </w:p>
        </w:tc>
      </w:tr>
      <w:tr w14:paraId="2AC3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729CAEC9">
            <w:pPr>
              <w:rPr>
                <w:rFonts w:hint="eastAsia"/>
                <w:color w:val="000000"/>
              </w:rPr>
            </w:pPr>
            <w:r>
              <w:rPr>
                <w:rFonts w:hint="eastAsia"/>
                <w:color w:val="000000"/>
              </w:rPr>
              <w:t>严格执行健康体检制度，工作人员未取得有效健康证不得上岗。</w:t>
            </w:r>
          </w:p>
        </w:tc>
        <w:tc>
          <w:tcPr>
            <w:tcW w:w="840" w:type="dxa"/>
            <w:noWrap w:val="0"/>
            <w:vAlign w:val="center"/>
          </w:tcPr>
          <w:p w14:paraId="547E642F">
            <w:pPr>
              <w:jc w:val="center"/>
              <w:rPr>
                <w:rFonts w:hint="eastAsia"/>
                <w:color w:val="000000"/>
              </w:rPr>
            </w:pPr>
            <w:r>
              <w:rPr>
                <w:rFonts w:hint="eastAsia"/>
                <w:color w:val="000000"/>
              </w:rPr>
              <w:t>4</w:t>
            </w:r>
          </w:p>
        </w:tc>
        <w:tc>
          <w:tcPr>
            <w:tcW w:w="1140" w:type="dxa"/>
            <w:noWrap w:val="0"/>
            <w:vAlign w:val="center"/>
          </w:tcPr>
          <w:p w14:paraId="31EE36CF">
            <w:pPr>
              <w:jc w:val="center"/>
              <w:rPr>
                <w:rFonts w:hint="eastAsia"/>
                <w:color w:val="000000"/>
              </w:rPr>
            </w:pPr>
            <w:r>
              <w:rPr>
                <w:rFonts w:hint="eastAsia"/>
                <w:color w:val="000000"/>
              </w:rPr>
              <w:t>发现一次扣4分</w:t>
            </w:r>
          </w:p>
        </w:tc>
        <w:tc>
          <w:tcPr>
            <w:tcW w:w="1137" w:type="dxa"/>
            <w:noWrap w:val="0"/>
            <w:vAlign w:val="top"/>
          </w:tcPr>
          <w:p w14:paraId="7079DD89">
            <w:pPr>
              <w:rPr>
                <w:rFonts w:hint="eastAsia"/>
                <w:color w:val="000000"/>
              </w:rPr>
            </w:pPr>
          </w:p>
        </w:tc>
        <w:tc>
          <w:tcPr>
            <w:tcW w:w="885" w:type="dxa"/>
            <w:noWrap w:val="0"/>
            <w:vAlign w:val="top"/>
          </w:tcPr>
          <w:p w14:paraId="3A2C88AB">
            <w:pPr>
              <w:rPr>
                <w:rFonts w:hint="eastAsia"/>
                <w:color w:val="000000"/>
              </w:rPr>
            </w:pPr>
          </w:p>
        </w:tc>
      </w:tr>
      <w:tr w14:paraId="27AE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70FED40B">
            <w:pPr>
              <w:rPr>
                <w:rFonts w:hint="eastAsia"/>
                <w:color w:val="000000"/>
              </w:rPr>
            </w:pPr>
            <w:r>
              <w:rPr>
                <w:rFonts w:hint="eastAsia"/>
                <w:color w:val="000000"/>
              </w:rPr>
              <w:t>三、投诉意见：8分</w:t>
            </w:r>
          </w:p>
        </w:tc>
      </w:tr>
      <w:tr w14:paraId="3D7F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7A229DC">
            <w:pPr>
              <w:numPr>
                <w:ilvl w:val="0"/>
                <w:numId w:val="3"/>
              </w:numPr>
              <w:rPr>
                <w:rFonts w:hint="eastAsia"/>
                <w:color w:val="000000"/>
              </w:rPr>
            </w:pPr>
            <w:r>
              <w:rPr>
                <w:rFonts w:hint="eastAsia"/>
                <w:color w:val="000000"/>
              </w:rPr>
              <w:t>饭菜质量投诉的。</w:t>
            </w:r>
          </w:p>
          <w:p w14:paraId="54E2D26B">
            <w:pPr>
              <w:numPr>
                <w:ilvl w:val="0"/>
                <w:numId w:val="3"/>
              </w:numPr>
              <w:rPr>
                <w:rFonts w:hint="eastAsia"/>
                <w:color w:val="000000"/>
              </w:rPr>
            </w:pPr>
            <w:r>
              <w:rPr>
                <w:rFonts w:hint="eastAsia"/>
                <w:color w:val="000000"/>
              </w:rPr>
              <w:t>饭菜价格投诉的</w:t>
            </w:r>
            <w:r>
              <w:rPr>
                <w:rFonts w:hint="eastAsia"/>
                <w:color w:val="000000"/>
                <w:lang w:eastAsia="zh-CN"/>
              </w:rPr>
              <w:t>。</w:t>
            </w:r>
            <w:r>
              <w:rPr>
                <w:rFonts w:hint="eastAsia"/>
                <w:color w:val="000000"/>
              </w:rPr>
              <w:t xml:space="preserve">                                </w:t>
            </w:r>
          </w:p>
          <w:p w14:paraId="3956F5E4">
            <w:pPr>
              <w:numPr>
                <w:ilvl w:val="0"/>
                <w:numId w:val="3"/>
              </w:numPr>
              <w:rPr>
                <w:rFonts w:hint="eastAsia"/>
                <w:color w:val="000000"/>
              </w:rPr>
            </w:pPr>
            <w:r>
              <w:rPr>
                <w:rFonts w:hint="eastAsia"/>
                <w:color w:val="000000"/>
              </w:rPr>
              <w:t>服务质量投诉的。</w:t>
            </w:r>
          </w:p>
          <w:p w14:paraId="571AC473">
            <w:pPr>
              <w:numPr>
                <w:ilvl w:val="0"/>
                <w:numId w:val="3"/>
              </w:numPr>
              <w:rPr>
                <w:rFonts w:hint="eastAsia"/>
                <w:color w:val="000000"/>
              </w:rPr>
            </w:pPr>
            <w:r>
              <w:rPr>
                <w:rFonts w:hint="eastAsia"/>
                <w:color w:val="000000"/>
              </w:rPr>
              <w:t>卫生质量投诉的。</w:t>
            </w:r>
          </w:p>
        </w:tc>
        <w:tc>
          <w:tcPr>
            <w:tcW w:w="840" w:type="dxa"/>
            <w:noWrap w:val="0"/>
            <w:vAlign w:val="center"/>
          </w:tcPr>
          <w:p w14:paraId="46C2C621">
            <w:pPr>
              <w:jc w:val="center"/>
              <w:rPr>
                <w:rFonts w:hint="eastAsia"/>
                <w:color w:val="000000"/>
              </w:rPr>
            </w:pPr>
            <w:r>
              <w:rPr>
                <w:rFonts w:hint="eastAsia"/>
                <w:color w:val="000000"/>
                <w:sz w:val="18"/>
                <w:szCs w:val="18"/>
              </w:rPr>
              <w:t>各2分</w:t>
            </w:r>
          </w:p>
        </w:tc>
        <w:tc>
          <w:tcPr>
            <w:tcW w:w="1140" w:type="dxa"/>
            <w:noWrap w:val="0"/>
            <w:vAlign w:val="center"/>
          </w:tcPr>
          <w:p w14:paraId="6CB60BD4">
            <w:pPr>
              <w:jc w:val="center"/>
              <w:rPr>
                <w:rFonts w:hint="eastAsia"/>
                <w:color w:val="000000"/>
              </w:rPr>
            </w:pPr>
            <w:r>
              <w:rPr>
                <w:rFonts w:hint="eastAsia"/>
                <w:color w:val="000000"/>
              </w:rPr>
              <w:t>发生一次扣2分</w:t>
            </w:r>
          </w:p>
        </w:tc>
        <w:tc>
          <w:tcPr>
            <w:tcW w:w="1137" w:type="dxa"/>
            <w:noWrap w:val="0"/>
            <w:vAlign w:val="top"/>
          </w:tcPr>
          <w:p w14:paraId="4C15A4A6">
            <w:pPr>
              <w:rPr>
                <w:rFonts w:hint="eastAsia"/>
                <w:color w:val="000000"/>
              </w:rPr>
            </w:pPr>
          </w:p>
        </w:tc>
        <w:tc>
          <w:tcPr>
            <w:tcW w:w="885" w:type="dxa"/>
            <w:noWrap w:val="0"/>
            <w:vAlign w:val="top"/>
          </w:tcPr>
          <w:p w14:paraId="3C05391F">
            <w:pPr>
              <w:rPr>
                <w:rFonts w:hint="eastAsia"/>
                <w:color w:val="000000"/>
              </w:rPr>
            </w:pPr>
          </w:p>
        </w:tc>
      </w:tr>
      <w:tr w14:paraId="5E74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3E59EC44">
            <w:pPr>
              <w:rPr>
                <w:rFonts w:hint="eastAsia"/>
                <w:color w:val="000000"/>
              </w:rPr>
            </w:pPr>
            <w:r>
              <w:rPr>
                <w:rFonts w:hint="eastAsia"/>
                <w:color w:val="000000"/>
              </w:rPr>
              <w:t>四、服务质量、饭菜价格：</w:t>
            </w:r>
            <w:r>
              <w:rPr>
                <w:rFonts w:hint="eastAsia"/>
                <w:color w:val="000000"/>
                <w:lang w:val="en-US" w:eastAsia="zh-CN"/>
              </w:rPr>
              <w:t>11</w:t>
            </w:r>
            <w:r>
              <w:rPr>
                <w:rFonts w:hint="eastAsia"/>
                <w:color w:val="000000"/>
              </w:rPr>
              <w:t>分</w:t>
            </w:r>
          </w:p>
        </w:tc>
      </w:tr>
      <w:tr w14:paraId="1810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0170DB">
            <w:pPr>
              <w:rPr>
                <w:rFonts w:hint="eastAsia"/>
                <w:color w:val="000000"/>
              </w:rPr>
            </w:pPr>
            <w:r>
              <w:rPr>
                <w:rFonts w:hint="eastAsia"/>
                <w:color w:val="000000"/>
              </w:rPr>
              <w:t>1、做到合理制定菜谱、价格并有明码标价、公布每周</w:t>
            </w:r>
            <w:r>
              <w:rPr>
                <w:rFonts w:hint="eastAsia"/>
                <w:color w:val="000000"/>
                <w:lang w:eastAsia="zh-CN"/>
              </w:rPr>
              <w:t>早中晚餐</w:t>
            </w:r>
            <w:r>
              <w:rPr>
                <w:rFonts w:hint="eastAsia"/>
                <w:color w:val="000000"/>
              </w:rPr>
              <w:t>菜谱，做到</w:t>
            </w:r>
            <w:r>
              <w:rPr>
                <w:rFonts w:hint="eastAsia"/>
                <w:color w:val="000000"/>
                <w:lang w:eastAsia="zh-CN"/>
              </w:rPr>
              <w:t>每</w:t>
            </w:r>
            <w:r>
              <w:rPr>
                <w:rFonts w:hint="eastAsia"/>
                <w:color w:val="000000"/>
              </w:rPr>
              <w:t>周</w:t>
            </w:r>
            <w:r>
              <w:rPr>
                <w:rFonts w:hint="eastAsia"/>
                <w:color w:val="000000"/>
                <w:lang w:eastAsia="zh-CN"/>
              </w:rPr>
              <w:t>菜谱</w:t>
            </w:r>
            <w:r>
              <w:rPr>
                <w:rFonts w:hint="eastAsia"/>
                <w:color w:val="000000"/>
              </w:rPr>
              <w:t>不重复。</w:t>
            </w:r>
          </w:p>
        </w:tc>
        <w:tc>
          <w:tcPr>
            <w:tcW w:w="840" w:type="dxa"/>
            <w:noWrap w:val="0"/>
            <w:vAlign w:val="center"/>
          </w:tcPr>
          <w:p w14:paraId="3A0DEA00">
            <w:pPr>
              <w:jc w:val="center"/>
              <w:rPr>
                <w:rFonts w:hint="default" w:eastAsia="宋体"/>
                <w:color w:val="000000"/>
                <w:lang w:val="en-US" w:eastAsia="zh-CN"/>
              </w:rPr>
            </w:pPr>
            <w:r>
              <w:rPr>
                <w:rFonts w:hint="eastAsia"/>
                <w:color w:val="000000"/>
                <w:lang w:val="en-US" w:eastAsia="zh-CN"/>
              </w:rPr>
              <w:t>3</w:t>
            </w:r>
          </w:p>
        </w:tc>
        <w:tc>
          <w:tcPr>
            <w:tcW w:w="1140" w:type="dxa"/>
            <w:noWrap w:val="0"/>
            <w:vAlign w:val="center"/>
          </w:tcPr>
          <w:p w14:paraId="6BFAF6AA">
            <w:pPr>
              <w:jc w:val="center"/>
              <w:rPr>
                <w:rFonts w:hint="eastAsia"/>
                <w:color w:val="000000"/>
              </w:rPr>
            </w:pPr>
            <w:r>
              <w:rPr>
                <w:rFonts w:hint="eastAsia"/>
                <w:color w:val="000000"/>
              </w:rPr>
              <w:t>发生一次扣</w:t>
            </w:r>
            <w:r>
              <w:rPr>
                <w:rFonts w:hint="eastAsia"/>
                <w:color w:val="000000"/>
                <w:lang w:val="en-US" w:eastAsia="zh-CN"/>
              </w:rPr>
              <w:t>2</w:t>
            </w:r>
            <w:r>
              <w:rPr>
                <w:rFonts w:hint="eastAsia"/>
                <w:color w:val="000000"/>
              </w:rPr>
              <w:t>分</w:t>
            </w:r>
          </w:p>
        </w:tc>
        <w:tc>
          <w:tcPr>
            <w:tcW w:w="1137" w:type="dxa"/>
            <w:noWrap w:val="0"/>
            <w:vAlign w:val="top"/>
          </w:tcPr>
          <w:p w14:paraId="407BD7EC">
            <w:pPr>
              <w:rPr>
                <w:rFonts w:hint="eastAsia"/>
                <w:color w:val="000000"/>
              </w:rPr>
            </w:pPr>
          </w:p>
        </w:tc>
        <w:tc>
          <w:tcPr>
            <w:tcW w:w="885" w:type="dxa"/>
            <w:noWrap w:val="0"/>
            <w:vAlign w:val="top"/>
          </w:tcPr>
          <w:p w14:paraId="22D89B7A">
            <w:pPr>
              <w:rPr>
                <w:rFonts w:hint="eastAsia"/>
                <w:color w:val="000000"/>
              </w:rPr>
            </w:pPr>
          </w:p>
        </w:tc>
      </w:tr>
      <w:tr w14:paraId="55DC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70" w:type="dxa"/>
            <w:noWrap w:val="0"/>
            <w:vAlign w:val="top"/>
          </w:tcPr>
          <w:p w14:paraId="17193BB9">
            <w:pPr>
              <w:rPr>
                <w:rFonts w:hint="eastAsia"/>
                <w:color w:val="000000"/>
              </w:rPr>
            </w:pPr>
            <w:r>
              <w:rPr>
                <w:rFonts w:hint="eastAsia"/>
                <w:color w:val="000000"/>
              </w:rPr>
              <w:t>2、饭菜价格做到收费合理</w:t>
            </w:r>
            <w:r>
              <w:rPr>
                <w:rFonts w:hint="eastAsia" w:ascii="宋体" w:hAnsi="宋体" w:eastAsia="宋体" w:cs="宋体"/>
                <w:color w:val="auto"/>
                <w:sz w:val="21"/>
                <w:highlight w:val="none"/>
                <w:lang w:val="en-US" w:eastAsia="zh-CN"/>
              </w:rPr>
              <w:t>，定价不应超过</w:t>
            </w:r>
            <w:r>
              <w:rPr>
                <w:rFonts w:hint="eastAsia" w:ascii="宋体" w:hAnsi="宋体" w:cs="宋体"/>
                <w:color w:val="auto"/>
                <w:sz w:val="21"/>
                <w:highlight w:val="none"/>
                <w:lang w:val="en-US" w:eastAsia="zh-CN"/>
              </w:rPr>
              <w:t>采购原材料的10%-15%</w:t>
            </w:r>
            <w:r>
              <w:rPr>
                <w:rFonts w:hint="eastAsia"/>
                <w:color w:val="000000"/>
              </w:rPr>
              <w:t>。</w:t>
            </w:r>
          </w:p>
        </w:tc>
        <w:tc>
          <w:tcPr>
            <w:tcW w:w="840" w:type="dxa"/>
            <w:noWrap w:val="0"/>
            <w:vAlign w:val="center"/>
          </w:tcPr>
          <w:p w14:paraId="42E29035">
            <w:pPr>
              <w:jc w:val="center"/>
              <w:rPr>
                <w:rFonts w:hint="eastAsia" w:eastAsia="宋体"/>
                <w:color w:val="000000"/>
                <w:lang w:val="en-US" w:eastAsia="zh-CN"/>
              </w:rPr>
            </w:pPr>
            <w:r>
              <w:rPr>
                <w:rFonts w:hint="eastAsia"/>
                <w:color w:val="000000"/>
                <w:lang w:val="en-US" w:eastAsia="zh-CN"/>
              </w:rPr>
              <w:t>6</w:t>
            </w:r>
          </w:p>
        </w:tc>
        <w:tc>
          <w:tcPr>
            <w:tcW w:w="1140" w:type="dxa"/>
            <w:noWrap w:val="0"/>
            <w:vAlign w:val="center"/>
          </w:tcPr>
          <w:p w14:paraId="3BBD23DB">
            <w:pPr>
              <w:jc w:val="center"/>
              <w:rPr>
                <w:rFonts w:hint="eastAsia"/>
                <w:color w:val="000000"/>
              </w:rPr>
            </w:pPr>
            <w:r>
              <w:rPr>
                <w:rFonts w:hint="eastAsia"/>
                <w:color w:val="000000"/>
              </w:rPr>
              <w:t>发现一次扣</w:t>
            </w:r>
            <w:r>
              <w:rPr>
                <w:rFonts w:hint="eastAsia"/>
                <w:color w:val="000000"/>
                <w:lang w:val="en-US" w:eastAsia="zh-CN"/>
              </w:rPr>
              <w:t>3</w:t>
            </w:r>
            <w:r>
              <w:rPr>
                <w:rFonts w:hint="eastAsia"/>
                <w:color w:val="000000"/>
              </w:rPr>
              <w:t>分</w:t>
            </w:r>
          </w:p>
        </w:tc>
        <w:tc>
          <w:tcPr>
            <w:tcW w:w="1137" w:type="dxa"/>
            <w:noWrap w:val="0"/>
            <w:vAlign w:val="top"/>
          </w:tcPr>
          <w:p w14:paraId="43F03D63">
            <w:pPr>
              <w:rPr>
                <w:rFonts w:hint="eastAsia"/>
                <w:color w:val="000000"/>
              </w:rPr>
            </w:pPr>
          </w:p>
        </w:tc>
        <w:tc>
          <w:tcPr>
            <w:tcW w:w="885" w:type="dxa"/>
            <w:noWrap w:val="0"/>
            <w:vAlign w:val="top"/>
          </w:tcPr>
          <w:p w14:paraId="4D22926C">
            <w:pPr>
              <w:rPr>
                <w:rFonts w:hint="eastAsia"/>
                <w:color w:val="000000"/>
              </w:rPr>
            </w:pPr>
          </w:p>
        </w:tc>
      </w:tr>
      <w:tr w14:paraId="31C5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A3C1E02">
            <w:pPr>
              <w:rPr>
                <w:rFonts w:hint="eastAsia"/>
                <w:color w:val="000000"/>
              </w:rPr>
            </w:pPr>
            <w:r>
              <w:rPr>
                <w:rFonts w:hint="eastAsia"/>
                <w:color w:val="000000"/>
              </w:rPr>
              <w:t>3、食堂人员应做到服务良好、礼貌用语、热情接待、不得有与就餐人员争执、吵架、打架现象发生。</w:t>
            </w:r>
          </w:p>
        </w:tc>
        <w:tc>
          <w:tcPr>
            <w:tcW w:w="840" w:type="dxa"/>
            <w:noWrap w:val="0"/>
            <w:vAlign w:val="center"/>
          </w:tcPr>
          <w:p w14:paraId="5387782C">
            <w:pPr>
              <w:jc w:val="center"/>
              <w:rPr>
                <w:rFonts w:hint="eastAsia" w:eastAsia="宋体"/>
                <w:color w:val="000000"/>
                <w:lang w:val="en-US" w:eastAsia="zh-CN"/>
              </w:rPr>
            </w:pPr>
            <w:r>
              <w:rPr>
                <w:rFonts w:hint="eastAsia"/>
                <w:color w:val="000000"/>
                <w:lang w:val="en-US" w:eastAsia="zh-CN"/>
              </w:rPr>
              <w:t>1</w:t>
            </w:r>
          </w:p>
        </w:tc>
        <w:tc>
          <w:tcPr>
            <w:tcW w:w="1140" w:type="dxa"/>
            <w:noWrap w:val="0"/>
            <w:vAlign w:val="center"/>
          </w:tcPr>
          <w:p w14:paraId="211BE4EF">
            <w:pPr>
              <w:jc w:val="center"/>
              <w:rPr>
                <w:rFonts w:hint="eastAsia"/>
                <w:color w:val="000000"/>
              </w:rPr>
            </w:pPr>
            <w:r>
              <w:rPr>
                <w:rFonts w:hint="eastAsia"/>
                <w:color w:val="000000"/>
              </w:rPr>
              <w:t>发生一次扣</w:t>
            </w:r>
            <w:r>
              <w:rPr>
                <w:rFonts w:hint="eastAsia"/>
                <w:color w:val="000000"/>
                <w:lang w:val="en-US" w:eastAsia="zh-CN"/>
              </w:rPr>
              <w:t>1</w:t>
            </w:r>
            <w:r>
              <w:rPr>
                <w:rFonts w:hint="eastAsia"/>
                <w:color w:val="000000"/>
              </w:rPr>
              <w:t>分</w:t>
            </w:r>
          </w:p>
        </w:tc>
        <w:tc>
          <w:tcPr>
            <w:tcW w:w="1137" w:type="dxa"/>
            <w:noWrap w:val="0"/>
            <w:vAlign w:val="top"/>
          </w:tcPr>
          <w:p w14:paraId="37647765">
            <w:pPr>
              <w:rPr>
                <w:rFonts w:hint="eastAsia"/>
                <w:color w:val="000000"/>
              </w:rPr>
            </w:pPr>
          </w:p>
        </w:tc>
        <w:tc>
          <w:tcPr>
            <w:tcW w:w="885" w:type="dxa"/>
            <w:noWrap w:val="0"/>
            <w:vAlign w:val="top"/>
          </w:tcPr>
          <w:p w14:paraId="27FD23EC">
            <w:pPr>
              <w:rPr>
                <w:rFonts w:hint="eastAsia"/>
                <w:color w:val="000000"/>
              </w:rPr>
            </w:pPr>
          </w:p>
        </w:tc>
      </w:tr>
      <w:tr w14:paraId="46A2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321F4E9">
            <w:pPr>
              <w:rPr>
                <w:rFonts w:hint="eastAsia"/>
                <w:color w:val="000000"/>
              </w:rPr>
            </w:pPr>
            <w:r>
              <w:rPr>
                <w:rFonts w:hint="eastAsia"/>
                <w:color w:val="000000"/>
              </w:rPr>
              <w:t>4、合理安排售菜窗口人员调配，满足就餐需要，减少排长队现象，对迟下班人员要热情接待，并有热菜供应。</w:t>
            </w:r>
          </w:p>
        </w:tc>
        <w:tc>
          <w:tcPr>
            <w:tcW w:w="840" w:type="dxa"/>
            <w:noWrap w:val="0"/>
            <w:vAlign w:val="center"/>
          </w:tcPr>
          <w:p w14:paraId="75DD05E3">
            <w:pPr>
              <w:jc w:val="center"/>
              <w:rPr>
                <w:rFonts w:hint="eastAsia" w:eastAsia="宋体"/>
                <w:color w:val="000000"/>
                <w:lang w:val="en-US" w:eastAsia="zh-CN"/>
              </w:rPr>
            </w:pPr>
            <w:r>
              <w:rPr>
                <w:rFonts w:hint="eastAsia"/>
                <w:color w:val="000000"/>
                <w:lang w:val="en-US" w:eastAsia="zh-CN"/>
              </w:rPr>
              <w:t>1</w:t>
            </w:r>
          </w:p>
        </w:tc>
        <w:tc>
          <w:tcPr>
            <w:tcW w:w="1140" w:type="dxa"/>
            <w:noWrap w:val="0"/>
            <w:vAlign w:val="center"/>
          </w:tcPr>
          <w:p w14:paraId="053C4EE4">
            <w:pPr>
              <w:jc w:val="center"/>
              <w:rPr>
                <w:rFonts w:hint="eastAsia"/>
                <w:color w:val="000000"/>
              </w:rPr>
            </w:pPr>
            <w:r>
              <w:rPr>
                <w:rFonts w:hint="eastAsia"/>
                <w:color w:val="000000"/>
              </w:rPr>
              <w:t>发生一次扣1分</w:t>
            </w:r>
          </w:p>
        </w:tc>
        <w:tc>
          <w:tcPr>
            <w:tcW w:w="1137" w:type="dxa"/>
            <w:noWrap w:val="0"/>
            <w:vAlign w:val="top"/>
          </w:tcPr>
          <w:p w14:paraId="4C93B201">
            <w:pPr>
              <w:rPr>
                <w:rFonts w:hint="eastAsia"/>
                <w:color w:val="000000"/>
              </w:rPr>
            </w:pPr>
          </w:p>
        </w:tc>
        <w:tc>
          <w:tcPr>
            <w:tcW w:w="885" w:type="dxa"/>
            <w:noWrap w:val="0"/>
            <w:vAlign w:val="top"/>
          </w:tcPr>
          <w:p w14:paraId="71DBA709">
            <w:pPr>
              <w:rPr>
                <w:rFonts w:hint="eastAsia"/>
                <w:color w:val="000000"/>
              </w:rPr>
            </w:pPr>
          </w:p>
        </w:tc>
      </w:tr>
      <w:tr w14:paraId="2495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75E1E3C7">
            <w:pPr>
              <w:rPr>
                <w:rFonts w:hint="eastAsia"/>
                <w:color w:val="000000"/>
              </w:rPr>
            </w:pPr>
            <w:r>
              <w:rPr>
                <w:rFonts w:hint="eastAsia"/>
                <w:color w:val="000000"/>
              </w:rPr>
              <w:t>五、食品留样：3分</w:t>
            </w:r>
          </w:p>
        </w:tc>
      </w:tr>
      <w:tr w14:paraId="0EAA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0DA19D0">
            <w:pPr>
              <w:rPr>
                <w:rFonts w:hint="eastAsia"/>
                <w:color w:val="000000"/>
              </w:rPr>
            </w:pPr>
            <w:r>
              <w:rPr>
                <w:rFonts w:hint="eastAsia"/>
                <w:color w:val="000000"/>
              </w:rPr>
              <w:t>1、严格执行食品留样制度、每餐菜肴做到留样48小时并有记录。</w:t>
            </w:r>
          </w:p>
        </w:tc>
        <w:tc>
          <w:tcPr>
            <w:tcW w:w="840" w:type="dxa"/>
            <w:noWrap w:val="0"/>
            <w:vAlign w:val="center"/>
          </w:tcPr>
          <w:p w14:paraId="5A32A6D3">
            <w:pPr>
              <w:jc w:val="center"/>
              <w:rPr>
                <w:rFonts w:hint="eastAsia"/>
                <w:color w:val="000000"/>
              </w:rPr>
            </w:pPr>
            <w:r>
              <w:rPr>
                <w:rFonts w:hint="eastAsia"/>
                <w:color w:val="000000"/>
              </w:rPr>
              <w:t>2</w:t>
            </w:r>
          </w:p>
        </w:tc>
        <w:tc>
          <w:tcPr>
            <w:tcW w:w="1140" w:type="dxa"/>
            <w:noWrap w:val="0"/>
            <w:vAlign w:val="center"/>
          </w:tcPr>
          <w:p w14:paraId="00304655">
            <w:pPr>
              <w:jc w:val="center"/>
              <w:rPr>
                <w:rFonts w:hint="eastAsia"/>
                <w:color w:val="000000"/>
              </w:rPr>
            </w:pPr>
            <w:r>
              <w:rPr>
                <w:rFonts w:hint="eastAsia"/>
                <w:color w:val="000000"/>
              </w:rPr>
              <w:t>发生一次扣2分</w:t>
            </w:r>
          </w:p>
        </w:tc>
        <w:tc>
          <w:tcPr>
            <w:tcW w:w="1137" w:type="dxa"/>
            <w:noWrap w:val="0"/>
            <w:vAlign w:val="top"/>
          </w:tcPr>
          <w:p w14:paraId="36E64F65">
            <w:pPr>
              <w:rPr>
                <w:rFonts w:hint="eastAsia"/>
                <w:color w:val="000000"/>
              </w:rPr>
            </w:pPr>
          </w:p>
        </w:tc>
        <w:tc>
          <w:tcPr>
            <w:tcW w:w="885" w:type="dxa"/>
            <w:noWrap w:val="0"/>
            <w:vAlign w:val="top"/>
          </w:tcPr>
          <w:p w14:paraId="33BE5894">
            <w:pPr>
              <w:rPr>
                <w:rFonts w:hint="eastAsia"/>
                <w:color w:val="000000"/>
              </w:rPr>
            </w:pPr>
          </w:p>
        </w:tc>
      </w:tr>
      <w:tr w14:paraId="03F9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293C29E0">
            <w:pPr>
              <w:rPr>
                <w:rFonts w:hint="eastAsia"/>
                <w:color w:val="000000"/>
              </w:rPr>
            </w:pPr>
            <w:r>
              <w:rPr>
                <w:rFonts w:hint="eastAsia"/>
                <w:color w:val="000000"/>
              </w:rPr>
              <w:t>2、有留样人和第二天验证人的签名。</w:t>
            </w:r>
          </w:p>
        </w:tc>
        <w:tc>
          <w:tcPr>
            <w:tcW w:w="840" w:type="dxa"/>
            <w:noWrap w:val="0"/>
            <w:vAlign w:val="center"/>
          </w:tcPr>
          <w:p w14:paraId="00DE2D6E">
            <w:pPr>
              <w:jc w:val="center"/>
              <w:rPr>
                <w:rFonts w:hint="eastAsia"/>
                <w:color w:val="000000"/>
              </w:rPr>
            </w:pPr>
            <w:r>
              <w:rPr>
                <w:rFonts w:hint="eastAsia"/>
                <w:color w:val="000000"/>
              </w:rPr>
              <w:t>1</w:t>
            </w:r>
          </w:p>
        </w:tc>
        <w:tc>
          <w:tcPr>
            <w:tcW w:w="1140" w:type="dxa"/>
            <w:noWrap w:val="0"/>
            <w:vAlign w:val="center"/>
          </w:tcPr>
          <w:p w14:paraId="084C491C">
            <w:pPr>
              <w:jc w:val="center"/>
              <w:rPr>
                <w:rFonts w:hint="eastAsia"/>
                <w:color w:val="000000"/>
              </w:rPr>
            </w:pPr>
            <w:r>
              <w:rPr>
                <w:rFonts w:hint="eastAsia"/>
                <w:color w:val="000000"/>
              </w:rPr>
              <w:t>缺一次扣1分</w:t>
            </w:r>
          </w:p>
        </w:tc>
        <w:tc>
          <w:tcPr>
            <w:tcW w:w="1137" w:type="dxa"/>
            <w:noWrap w:val="0"/>
            <w:vAlign w:val="top"/>
          </w:tcPr>
          <w:p w14:paraId="3F34B434">
            <w:pPr>
              <w:rPr>
                <w:rFonts w:hint="eastAsia"/>
                <w:color w:val="000000"/>
              </w:rPr>
            </w:pPr>
          </w:p>
        </w:tc>
        <w:tc>
          <w:tcPr>
            <w:tcW w:w="885" w:type="dxa"/>
            <w:noWrap w:val="0"/>
            <w:vAlign w:val="top"/>
          </w:tcPr>
          <w:p w14:paraId="125341A1">
            <w:pPr>
              <w:rPr>
                <w:rFonts w:hint="eastAsia"/>
                <w:color w:val="000000"/>
              </w:rPr>
            </w:pPr>
          </w:p>
        </w:tc>
      </w:tr>
      <w:tr w14:paraId="3083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0641C39C">
            <w:pPr>
              <w:rPr>
                <w:rFonts w:hint="eastAsia"/>
                <w:color w:val="000000"/>
              </w:rPr>
            </w:pPr>
            <w:r>
              <w:rPr>
                <w:rFonts w:hint="eastAsia"/>
                <w:color w:val="000000"/>
              </w:rPr>
              <w:t>六、原料采购：12分</w:t>
            </w:r>
          </w:p>
        </w:tc>
      </w:tr>
      <w:tr w14:paraId="6A85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AD6324A">
            <w:pPr>
              <w:rPr>
                <w:rFonts w:hint="eastAsia"/>
                <w:color w:val="000000"/>
              </w:rPr>
            </w:pPr>
            <w:r>
              <w:rPr>
                <w:rFonts w:hint="eastAsia"/>
                <w:color w:val="000000"/>
              </w:rPr>
              <w:t>1、严格把好食源关，不采购过期腐败变质和假冒伪劣“三无”食品及有损人体健康的食品原料，保证所购食品原料符合实用要求、安全卫生。</w:t>
            </w:r>
          </w:p>
        </w:tc>
        <w:tc>
          <w:tcPr>
            <w:tcW w:w="840" w:type="dxa"/>
            <w:noWrap w:val="0"/>
            <w:vAlign w:val="center"/>
          </w:tcPr>
          <w:p w14:paraId="7BC595EB">
            <w:pPr>
              <w:jc w:val="center"/>
              <w:rPr>
                <w:rFonts w:hint="eastAsia"/>
                <w:color w:val="000000"/>
              </w:rPr>
            </w:pPr>
            <w:r>
              <w:rPr>
                <w:rFonts w:hint="eastAsia"/>
                <w:color w:val="000000"/>
              </w:rPr>
              <w:t>3</w:t>
            </w:r>
          </w:p>
        </w:tc>
        <w:tc>
          <w:tcPr>
            <w:tcW w:w="1140" w:type="dxa"/>
            <w:noWrap w:val="0"/>
            <w:vAlign w:val="center"/>
          </w:tcPr>
          <w:p w14:paraId="2D28E4A3">
            <w:pPr>
              <w:jc w:val="center"/>
              <w:rPr>
                <w:rFonts w:hint="eastAsia"/>
                <w:color w:val="000000"/>
              </w:rPr>
            </w:pPr>
            <w:r>
              <w:rPr>
                <w:rFonts w:hint="eastAsia"/>
                <w:color w:val="000000"/>
              </w:rPr>
              <w:t>发生一次扣3分</w:t>
            </w:r>
          </w:p>
        </w:tc>
        <w:tc>
          <w:tcPr>
            <w:tcW w:w="1137" w:type="dxa"/>
            <w:noWrap w:val="0"/>
            <w:vAlign w:val="top"/>
          </w:tcPr>
          <w:p w14:paraId="6EFCA1C5">
            <w:pPr>
              <w:rPr>
                <w:rFonts w:hint="eastAsia"/>
                <w:color w:val="000000"/>
              </w:rPr>
            </w:pPr>
          </w:p>
        </w:tc>
        <w:tc>
          <w:tcPr>
            <w:tcW w:w="885" w:type="dxa"/>
            <w:noWrap w:val="0"/>
            <w:vAlign w:val="top"/>
          </w:tcPr>
          <w:p w14:paraId="0E8FC7F4">
            <w:pPr>
              <w:rPr>
                <w:rFonts w:hint="eastAsia"/>
                <w:color w:val="000000"/>
              </w:rPr>
            </w:pPr>
          </w:p>
        </w:tc>
      </w:tr>
      <w:tr w14:paraId="3155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FC3765F">
            <w:pPr>
              <w:rPr>
                <w:rFonts w:hint="eastAsia"/>
                <w:color w:val="000000"/>
              </w:rPr>
            </w:pPr>
            <w:r>
              <w:rPr>
                <w:rFonts w:hint="eastAsia"/>
                <w:color w:val="000000"/>
              </w:rPr>
              <w:t>2、食品原料应按需有计划采购，不过量采购堆放在库房或厨房储藏，防止原料变质、过期腐败、影响实用安全并做到库房食品原料先进先出程序。</w:t>
            </w:r>
          </w:p>
        </w:tc>
        <w:tc>
          <w:tcPr>
            <w:tcW w:w="840" w:type="dxa"/>
            <w:noWrap w:val="0"/>
            <w:vAlign w:val="center"/>
          </w:tcPr>
          <w:p w14:paraId="58E2EA21">
            <w:pPr>
              <w:jc w:val="center"/>
              <w:rPr>
                <w:rFonts w:hint="eastAsia"/>
                <w:color w:val="000000"/>
              </w:rPr>
            </w:pPr>
            <w:r>
              <w:rPr>
                <w:rFonts w:hint="eastAsia"/>
                <w:color w:val="000000"/>
              </w:rPr>
              <w:t>3</w:t>
            </w:r>
          </w:p>
        </w:tc>
        <w:tc>
          <w:tcPr>
            <w:tcW w:w="1140" w:type="dxa"/>
            <w:noWrap w:val="0"/>
            <w:vAlign w:val="center"/>
          </w:tcPr>
          <w:p w14:paraId="0D10D2B8">
            <w:pPr>
              <w:jc w:val="center"/>
              <w:rPr>
                <w:rFonts w:hint="eastAsia"/>
                <w:color w:val="000000"/>
              </w:rPr>
            </w:pPr>
            <w:r>
              <w:rPr>
                <w:rFonts w:hint="eastAsia"/>
                <w:color w:val="000000"/>
              </w:rPr>
              <w:t>发生一次扣3分</w:t>
            </w:r>
          </w:p>
        </w:tc>
        <w:tc>
          <w:tcPr>
            <w:tcW w:w="1137" w:type="dxa"/>
            <w:noWrap w:val="0"/>
            <w:vAlign w:val="top"/>
          </w:tcPr>
          <w:p w14:paraId="13644093">
            <w:pPr>
              <w:rPr>
                <w:rFonts w:hint="eastAsia"/>
                <w:color w:val="000000"/>
              </w:rPr>
            </w:pPr>
          </w:p>
        </w:tc>
        <w:tc>
          <w:tcPr>
            <w:tcW w:w="885" w:type="dxa"/>
            <w:noWrap w:val="0"/>
            <w:vAlign w:val="top"/>
          </w:tcPr>
          <w:p w14:paraId="73E3207E">
            <w:pPr>
              <w:rPr>
                <w:rFonts w:hint="eastAsia"/>
                <w:color w:val="000000"/>
              </w:rPr>
            </w:pPr>
          </w:p>
        </w:tc>
      </w:tr>
      <w:tr w14:paraId="31F9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F2BC038">
            <w:pPr>
              <w:rPr>
                <w:rFonts w:hint="eastAsia"/>
                <w:color w:val="000000"/>
              </w:rPr>
            </w:pPr>
            <w:r>
              <w:rPr>
                <w:rFonts w:hint="eastAsia"/>
                <w:color w:val="000000"/>
              </w:rPr>
              <w:t>3、采购食品原料必须做到采购索证（三证）工作并进行台账登记，肉类采购要有肉类上市凭证或检验合格证。蔬菜采购要有农药残留测试报告单，确保食品食用安全、卫生。</w:t>
            </w:r>
          </w:p>
        </w:tc>
        <w:tc>
          <w:tcPr>
            <w:tcW w:w="840" w:type="dxa"/>
            <w:noWrap w:val="0"/>
            <w:vAlign w:val="center"/>
          </w:tcPr>
          <w:p w14:paraId="165F2DCD">
            <w:pPr>
              <w:jc w:val="center"/>
              <w:rPr>
                <w:rFonts w:hint="eastAsia"/>
                <w:color w:val="000000"/>
              </w:rPr>
            </w:pPr>
            <w:r>
              <w:rPr>
                <w:rFonts w:hint="eastAsia"/>
                <w:color w:val="000000"/>
              </w:rPr>
              <w:t>3</w:t>
            </w:r>
          </w:p>
        </w:tc>
        <w:tc>
          <w:tcPr>
            <w:tcW w:w="1140" w:type="dxa"/>
            <w:noWrap w:val="0"/>
            <w:vAlign w:val="center"/>
          </w:tcPr>
          <w:p w14:paraId="11D27A0E">
            <w:pPr>
              <w:jc w:val="center"/>
              <w:rPr>
                <w:rFonts w:hint="eastAsia"/>
                <w:color w:val="000000"/>
              </w:rPr>
            </w:pPr>
            <w:r>
              <w:rPr>
                <w:rFonts w:hint="eastAsia"/>
                <w:color w:val="000000"/>
              </w:rPr>
              <w:t>发生一次扣3分</w:t>
            </w:r>
          </w:p>
        </w:tc>
        <w:tc>
          <w:tcPr>
            <w:tcW w:w="1137" w:type="dxa"/>
            <w:noWrap w:val="0"/>
            <w:vAlign w:val="top"/>
          </w:tcPr>
          <w:p w14:paraId="32C6F14D">
            <w:pPr>
              <w:rPr>
                <w:rFonts w:hint="eastAsia"/>
                <w:color w:val="000000"/>
              </w:rPr>
            </w:pPr>
          </w:p>
        </w:tc>
        <w:tc>
          <w:tcPr>
            <w:tcW w:w="885" w:type="dxa"/>
            <w:noWrap w:val="0"/>
            <w:vAlign w:val="top"/>
          </w:tcPr>
          <w:p w14:paraId="11680D3F">
            <w:pPr>
              <w:rPr>
                <w:rFonts w:hint="eastAsia"/>
                <w:color w:val="000000"/>
              </w:rPr>
            </w:pPr>
          </w:p>
        </w:tc>
      </w:tr>
      <w:tr w14:paraId="0FBA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654F109">
            <w:pPr>
              <w:rPr>
                <w:rFonts w:hint="eastAsia"/>
                <w:color w:val="000000"/>
              </w:rPr>
            </w:pPr>
            <w:r>
              <w:rPr>
                <w:rFonts w:hint="eastAsia"/>
                <w:color w:val="000000"/>
              </w:rPr>
              <w:t>4、仓库保管员严格执行食品验收制度，不验收不符合卫生要求或食用要求的食品原料及杜绝“三无”产品进食堂加工使用。</w:t>
            </w:r>
          </w:p>
        </w:tc>
        <w:tc>
          <w:tcPr>
            <w:tcW w:w="840" w:type="dxa"/>
            <w:noWrap w:val="0"/>
            <w:vAlign w:val="center"/>
          </w:tcPr>
          <w:p w14:paraId="01BF75F5">
            <w:pPr>
              <w:jc w:val="center"/>
              <w:rPr>
                <w:rFonts w:hint="eastAsia"/>
                <w:color w:val="000000"/>
              </w:rPr>
            </w:pPr>
            <w:r>
              <w:rPr>
                <w:rFonts w:hint="eastAsia"/>
                <w:color w:val="000000"/>
              </w:rPr>
              <w:t>3</w:t>
            </w:r>
          </w:p>
        </w:tc>
        <w:tc>
          <w:tcPr>
            <w:tcW w:w="1140" w:type="dxa"/>
            <w:noWrap w:val="0"/>
            <w:vAlign w:val="center"/>
          </w:tcPr>
          <w:p w14:paraId="407CCA05">
            <w:pPr>
              <w:jc w:val="center"/>
              <w:rPr>
                <w:rFonts w:hint="eastAsia"/>
                <w:color w:val="000000"/>
              </w:rPr>
            </w:pPr>
            <w:r>
              <w:rPr>
                <w:rFonts w:hint="eastAsia"/>
                <w:color w:val="000000"/>
              </w:rPr>
              <w:t>发生一次扣3分</w:t>
            </w:r>
          </w:p>
        </w:tc>
        <w:tc>
          <w:tcPr>
            <w:tcW w:w="1137" w:type="dxa"/>
            <w:noWrap w:val="0"/>
            <w:vAlign w:val="top"/>
          </w:tcPr>
          <w:p w14:paraId="5A81389E">
            <w:pPr>
              <w:rPr>
                <w:rFonts w:hint="eastAsia"/>
                <w:color w:val="000000"/>
              </w:rPr>
            </w:pPr>
          </w:p>
        </w:tc>
        <w:tc>
          <w:tcPr>
            <w:tcW w:w="885" w:type="dxa"/>
            <w:noWrap w:val="0"/>
            <w:vAlign w:val="top"/>
          </w:tcPr>
          <w:p w14:paraId="56E4E30E">
            <w:pPr>
              <w:rPr>
                <w:rFonts w:hint="eastAsia"/>
                <w:color w:val="000000"/>
              </w:rPr>
            </w:pPr>
          </w:p>
        </w:tc>
      </w:tr>
      <w:tr w14:paraId="2125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2F130C3F">
            <w:pPr>
              <w:rPr>
                <w:rFonts w:hint="eastAsia"/>
                <w:color w:val="000000"/>
              </w:rPr>
            </w:pPr>
            <w:r>
              <w:rPr>
                <w:rFonts w:hint="eastAsia"/>
                <w:color w:val="000000"/>
              </w:rPr>
              <w:t>七、食品原料加工：8分</w:t>
            </w:r>
          </w:p>
        </w:tc>
      </w:tr>
      <w:tr w14:paraId="610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23B286C">
            <w:pPr>
              <w:rPr>
                <w:rFonts w:hint="eastAsia"/>
                <w:color w:val="000000"/>
              </w:rPr>
            </w:pPr>
            <w:r>
              <w:rPr>
                <w:rFonts w:hint="eastAsia"/>
                <w:color w:val="000000"/>
              </w:rPr>
              <w:t>1、食品原料加工严格规范、鱼、肉、蔬菜分池清洗，不混洗，混放，不着地，对各种食材清洗符合卫生、食用要求。</w:t>
            </w:r>
          </w:p>
        </w:tc>
        <w:tc>
          <w:tcPr>
            <w:tcW w:w="840" w:type="dxa"/>
            <w:noWrap w:val="0"/>
            <w:vAlign w:val="center"/>
          </w:tcPr>
          <w:p w14:paraId="4EEE6AC0">
            <w:pPr>
              <w:jc w:val="center"/>
              <w:rPr>
                <w:rFonts w:hint="eastAsia"/>
                <w:color w:val="000000"/>
              </w:rPr>
            </w:pPr>
            <w:r>
              <w:rPr>
                <w:rFonts w:hint="eastAsia"/>
                <w:color w:val="000000"/>
              </w:rPr>
              <w:t>1.5</w:t>
            </w:r>
          </w:p>
        </w:tc>
        <w:tc>
          <w:tcPr>
            <w:tcW w:w="1140" w:type="dxa"/>
            <w:noWrap w:val="0"/>
            <w:vAlign w:val="center"/>
          </w:tcPr>
          <w:p w14:paraId="57D2D491">
            <w:pPr>
              <w:jc w:val="center"/>
              <w:rPr>
                <w:rFonts w:hint="eastAsia"/>
                <w:color w:val="000000"/>
              </w:rPr>
            </w:pPr>
            <w:r>
              <w:rPr>
                <w:rFonts w:hint="eastAsia"/>
                <w:color w:val="000000"/>
              </w:rPr>
              <w:t>发生一次扣1.5分</w:t>
            </w:r>
          </w:p>
        </w:tc>
        <w:tc>
          <w:tcPr>
            <w:tcW w:w="1137" w:type="dxa"/>
            <w:noWrap w:val="0"/>
            <w:vAlign w:val="top"/>
          </w:tcPr>
          <w:p w14:paraId="532AFA4A">
            <w:pPr>
              <w:rPr>
                <w:rFonts w:hint="eastAsia"/>
                <w:color w:val="000000"/>
              </w:rPr>
            </w:pPr>
          </w:p>
        </w:tc>
        <w:tc>
          <w:tcPr>
            <w:tcW w:w="885" w:type="dxa"/>
            <w:noWrap w:val="0"/>
            <w:vAlign w:val="top"/>
          </w:tcPr>
          <w:p w14:paraId="7CBF2C64">
            <w:pPr>
              <w:rPr>
                <w:rFonts w:hint="eastAsia"/>
                <w:color w:val="000000"/>
              </w:rPr>
            </w:pPr>
          </w:p>
        </w:tc>
      </w:tr>
      <w:tr w14:paraId="6E08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71480FE">
            <w:pPr>
              <w:rPr>
                <w:rFonts w:hint="eastAsia"/>
                <w:color w:val="000000"/>
              </w:rPr>
            </w:pPr>
            <w:r>
              <w:rPr>
                <w:rFonts w:hint="eastAsia"/>
                <w:color w:val="000000"/>
              </w:rPr>
              <w:t>2、厨师必须严格对烹调材料进行检查，不烹制变质食品原料及不符合卫生要求或有损害人体健康食品原料。并做到切配生、熟砧板、刀具分开，防止污染。</w:t>
            </w:r>
          </w:p>
        </w:tc>
        <w:tc>
          <w:tcPr>
            <w:tcW w:w="840" w:type="dxa"/>
            <w:noWrap w:val="0"/>
            <w:vAlign w:val="center"/>
          </w:tcPr>
          <w:p w14:paraId="64D7C7A1">
            <w:pPr>
              <w:jc w:val="center"/>
              <w:rPr>
                <w:rFonts w:hint="eastAsia"/>
                <w:color w:val="000000"/>
              </w:rPr>
            </w:pPr>
            <w:r>
              <w:rPr>
                <w:rFonts w:hint="eastAsia"/>
                <w:color w:val="000000"/>
              </w:rPr>
              <w:t>1.5</w:t>
            </w:r>
          </w:p>
        </w:tc>
        <w:tc>
          <w:tcPr>
            <w:tcW w:w="1140" w:type="dxa"/>
            <w:noWrap w:val="0"/>
            <w:vAlign w:val="center"/>
          </w:tcPr>
          <w:p w14:paraId="5A898D19">
            <w:pPr>
              <w:jc w:val="center"/>
              <w:rPr>
                <w:rFonts w:hint="eastAsia"/>
                <w:color w:val="000000"/>
              </w:rPr>
            </w:pPr>
            <w:r>
              <w:rPr>
                <w:rFonts w:hint="eastAsia"/>
                <w:color w:val="000000"/>
              </w:rPr>
              <w:t>发生一次扣1.5分</w:t>
            </w:r>
          </w:p>
        </w:tc>
        <w:tc>
          <w:tcPr>
            <w:tcW w:w="1137" w:type="dxa"/>
            <w:noWrap w:val="0"/>
            <w:vAlign w:val="top"/>
          </w:tcPr>
          <w:p w14:paraId="758E52A6">
            <w:pPr>
              <w:rPr>
                <w:rFonts w:hint="eastAsia"/>
                <w:color w:val="000000"/>
              </w:rPr>
            </w:pPr>
          </w:p>
        </w:tc>
        <w:tc>
          <w:tcPr>
            <w:tcW w:w="885" w:type="dxa"/>
            <w:noWrap w:val="0"/>
            <w:vAlign w:val="top"/>
          </w:tcPr>
          <w:p w14:paraId="2F619A7B">
            <w:pPr>
              <w:rPr>
                <w:rFonts w:hint="eastAsia"/>
                <w:color w:val="000000"/>
              </w:rPr>
            </w:pPr>
          </w:p>
        </w:tc>
      </w:tr>
      <w:tr w14:paraId="2E5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3ADC404">
            <w:pPr>
              <w:rPr>
                <w:rFonts w:hint="eastAsia"/>
                <w:color w:val="000000"/>
              </w:rPr>
            </w:pPr>
            <w:r>
              <w:rPr>
                <w:rFonts w:hint="eastAsia"/>
                <w:color w:val="000000"/>
              </w:rPr>
              <w:t>3、食品原料必须烧熟，煮透，达到食品要求。</w:t>
            </w:r>
          </w:p>
        </w:tc>
        <w:tc>
          <w:tcPr>
            <w:tcW w:w="840" w:type="dxa"/>
            <w:noWrap w:val="0"/>
            <w:vAlign w:val="center"/>
          </w:tcPr>
          <w:p w14:paraId="4A82DE16">
            <w:pPr>
              <w:jc w:val="center"/>
              <w:rPr>
                <w:rFonts w:hint="eastAsia"/>
                <w:color w:val="000000"/>
              </w:rPr>
            </w:pPr>
            <w:r>
              <w:rPr>
                <w:rFonts w:hint="eastAsia"/>
                <w:color w:val="000000"/>
              </w:rPr>
              <w:t>1.5</w:t>
            </w:r>
          </w:p>
        </w:tc>
        <w:tc>
          <w:tcPr>
            <w:tcW w:w="1140" w:type="dxa"/>
            <w:noWrap w:val="0"/>
            <w:vAlign w:val="center"/>
          </w:tcPr>
          <w:p w14:paraId="7A98D28A">
            <w:pPr>
              <w:jc w:val="center"/>
              <w:rPr>
                <w:rFonts w:hint="eastAsia"/>
                <w:color w:val="000000"/>
              </w:rPr>
            </w:pPr>
            <w:r>
              <w:rPr>
                <w:rFonts w:hint="eastAsia"/>
                <w:color w:val="000000"/>
              </w:rPr>
              <w:t>发生一次扣1.5分</w:t>
            </w:r>
          </w:p>
        </w:tc>
        <w:tc>
          <w:tcPr>
            <w:tcW w:w="1137" w:type="dxa"/>
            <w:noWrap w:val="0"/>
            <w:vAlign w:val="top"/>
          </w:tcPr>
          <w:p w14:paraId="70CD15A3">
            <w:pPr>
              <w:rPr>
                <w:rFonts w:hint="eastAsia"/>
                <w:color w:val="000000"/>
              </w:rPr>
            </w:pPr>
          </w:p>
        </w:tc>
        <w:tc>
          <w:tcPr>
            <w:tcW w:w="885" w:type="dxa"/>
            <w:noWrap w:val="0"/>
            <w:vAlign w:val="top"/>
          </w:tcPr>
          <w:p w14:paraId="053192EC">
            <w:pPr>
              <w:rPr>
                <w:rFonts w:hint="eastAsia"/>
                <w:color w:val="000000"/>
              </w:rPr>
            </w:pPr>
          </w:p>
        </w:tc>
      </w:tr>
      <w:tr w14:paraId="31C7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E9D7EBD">
            <w:pPr>
              <w:rPr>
                <w:rFonts w:hint="eastAsia"/>
                <w:color w:val="000000"/>
              </w:rPr>
            </w:pPr>
            <w:r>
              <w:rPr>
                <w:rFonts w:hint="eastAsia"/>
                <w:color w:val="000000"/>
              </w:rPr>
              <w:t>4、对每天每餐售菜后剩下部分食品菜肴，需要放入冰箱的待冷却后放入熟食冰箱内，不随意放置外面。次日需使用的，出售前必须回锅彻底煮透方可出售供应。</w:t>
            </w:r>
          </w:p>
        </w:tc>
        <w:tc>
          <w:tcPr>
            <w:tcW w:w="840" w:type="dxa"/>
            <w:noWrap w:val="0"/>
            <w:vAlign w:val="center"/>
          </w:tcPr>
          <w:p w14:paraId="155C08F6">
            <w:pPr>
              <w:jc w:val="center"/>
              <w:rPr>
                <w:rFonts w:hint="eastAsia"/>
                <w:color w:val="000000"/>
              </w:rPr>
            </w:pPr>
            <w:r>
              <w:rPr>
                <w:rFonts w:hint="eastAsia"/>
                <w:color w:val="000000"/>
              </w:rPr>
              <w:t>1.5</w:t>
            </w:r>
          </w:p>
        </w:tc>
        <w:tc>
          <w:tcPr>
            <w:tcW w:w="1140" w:type="dxa"/>
            <w:noWrap w:val="0"/>
            <w:vAlign w:val="center"/>
          </w:tcPr>
          <w:p w14:paraId="397C106A">
            <w:pPr>
              <w:jc w:val="center"/>
              <w:rPr>
                <w:rFonts w:hint="eastAsia"/>
                <w:color w:val="000000"/>
              </w:rPr>
            </w:pPr>
            <w:r>
              <w:rPr>
                <w:rFonts w:hint="eastAsia"/>
                <w:color w:val="000000"/>
              </w:rPr>
              <w:t>发生一次扣1.5分</w:t>
            </w:r>
          </w:p>
        </w:tc>
        <w:tc>
          <w:tcPr>
            <w:tcW w:w="1137" w:type="dxa"/>
            <w:noWrap w:val="0"/>
            <w:vAlign w:val="top"/>
          </w:tcPr>
          <w:p w14:paraId="4A3032CB">
            <w:pPr>
              <w:rPr>
                <w:rFonts w:hint="eastAsia"/>
                <w:color w:val="000000"/>
              </w:rPr>
            </w:pPr>
          </w:p>
        </w:tc>
        <w:tc>
          <w:tcPr>
            <w:tcW w:w="885" w:type="dxa"/>
            <w:noWrap w:val="0"/>
            <w:vAlign w:val="top"/>
          </w:tcPr>
          <w:p w14:paraId="3BF4B8F7">
            <w:pPr>
              <w:rPr>
                <w:rFonts w:hint="eastAsia"/>
                <w:color w:val="000000"/>
              </w:rPr>
            </w:pPr>
          </w:p>
        </w:tc>
      </w:tr>
      <w:tr w14:paraId="4891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21F89A8">
            <w:pPr>
              <w:rPr>
                <w:rFonts w:hint="eastAsia"/>
                <w:color w:val="000000"/>
              </w:rPr>
            </w:pPr>
            <w:r>
              <w:rPr>
                <w:rFonts w:hint="eastAsia"/>
                <w:color w:val="000000"/>
              </w:rPr>
              <w:t>5、熟食品（冷菜）操作，严格规范流程必须做到“四严一专”在专用的熟食间、专人操作、专用砧板、刀具（操作前必须进行消毒），专用冷藏设备，对操作间空气紫外线消毒、餐具、用具、手、抹布、容器严格消毒，而且工作人员要做到二次更衣，及戴手套、口罩、熟食品暂不出售或存放时应加盖保鲜膜。</w:t>
            </w:r>
          </w:p>
        </w:tc>
        <w:tc>
          <w:tcPr>
            <w:tcW w:w="840" w:type="dxa"/>
            <w:noWrap w:val="0"/>
            <w:vAlign w:val="center"/>
          </w:tcPr>
          <w:p w14:paraId="6AE3DE18">
            <w:pPr>
              <w:jc w:val="center"/>
              <w:rPr>
                <w:rFonts w:hint="eastAsia"/>
                <w:color w:val="000000"/>
              </w:rPr>
            </w:pPr>
            <w:r>
              <w:rPr>
                <w:rFonts w:hint="eastAsia"/>
                <w:color w:val="000000"/>
              </w:rPr>
              <w:t>2</w:t>
            </w:r>
          </w:p>
        </w:tc>
        <w:tc>
          <w:tcPr>
            <w:tcW w:w="1140" w:type="dxa"/>
            <w:noWrap w:val="0"/>
            <w:vAlign w:val="center"/>
          </w:tcPr>
          <w:p w14:paraId="2544D63F">
            <w:pPr>
              <w:jc w:val="center"/>
              <w:rPr>
                <w:rFonts w:hint="eastAsia"/>
                <w:color w:val="000000"/>
              </w:rPr>
            </w:pPr>
            <w:r>
              <w:rPr>
                <w:rFonts w:hint="eastAsia"/>
                <w:color w:val="000000"/>
              </w:rPr>
              <w:t>发生一次扣2分</w:t>
            </w:r>
          </w:p>
        </w:tc>
        <w:tc>
          <w:tcPr>
            <w:tcW w:w="1137" w:type="dxa"/>
            <w:noWrap w:val="0"/>
            <w:vAlign w:val="top"/>
          </w:tcPr>
          <w:p w14:paraId="7E4EC175">
            <w:pPr>
              <w:rPr>
                <w:rFonts w:hint="eastAsia"/>
                <w:color w:val="000000"/>
              </w:rPr>
            </w:pPr>
          </w:p>
        </w:tc>
        <w:tc>
          <w:tcPr>
            <w:tcW w:w="885" w:type="dxa"/>
            <w:noWrap w:val="0"/>
            <w:vAlign w:val="top"/>
          </w:tcPr>
          <w:p w14:paraId="0FE259F8">
            <w:pPr>
              <w:rPr>
                <w:rFonts w:hint="eastAsia"/>
                <w:color w:val="000000"/>
              </w:rPr>
            </w:pPr>
          </w:p>
        </w:tc>
      </w:tr>
      <w:tr w14:paraId="3C28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1A3DA599">
            <w:pPr>
              <w:rPr>
                <w:rFonts w:hint="eastAsia"/>
                <w:color w:val="000000"/>
              </w:rPr>
            </w:pPr>
            <w:r>
              <w:rPr>
                <w:rFonts w:hint="eastAsia"/>
                <w:color w:val="000000"/>
              </w:rPr>
              <w:t>八、食堂环境卫生：6分</w:t>
            </w:r>
          </w:p>
        </w:tc>
      </w:tr>
      <w:tr w14:paraId="595B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3136D28">
            <w:pPr>
              <w:rPr>
                <w:rFonts w:hint="eastAsia"/>
                <w:color w:val="000000"/>
              </w:rPr>
            </w:pPr>
            <w:r>
              <w:rPr>
                <w:rFonts w:hint="eastAsia"/>
                <w:color w:val="000000"/>
              </w:rPr>
              <w:t>1、食堂各区域卫生都有人打扫，食堂整体环境卫生应保持干净、干燥、整洁、明亮、做到日常保洁和定期大扫除相结合不留卫生死角。</w:t>
            </w:r>
          </w:p>
        </w:tc>
        <w:tc>
          <w:tcPr>
            <w:tcW w:w="840" w:type="dxa"/>
            <w:noWrap w:val="0"/>
            <w:vAlign w:val="center"/>
          </w:tcPr>
          <w:p w14:paraId="56CAB44A">
            <w:pPr>
              <w:jc w:val="center"/>
              <w:rPr>
                <w:rFonts w:hint="eastAsia"/>
                <w:color w:val="000000"/>
              </w:rPr>
            </w:pPr>
            <w:r>
              <w:rPr>
                <w:rFonts w:hint="eastAsia"/>
                <w:color w:val="000000"/>
              </w:rPr>
              <w:t>1</w:t>
            </w:r>
          </w:p>
        </w:tc>
        <w:tc>
          <w:tcPr>
            <w:tcW w:w="1140" w:type="dxa"/>
            <w:noWrap w:val="0"/>
            <w:vAlign w:val="center"/>
          </w:tcPr>
          <w:p w14:paraId="52EE5449">
            <w:pPr>
              <w:jc w:val="center"/>
              <w:rPr>
                <w:rFonts w:hint="eastAsia"/>
                <w:color w:val="000000"/>
              </w:rPr>
            </w:pPr>
            <w:r>
              <w:rPr>
                <w:rFonts w:hint="eastAsia"/>
                <w:color w:val="000000"/>
              </w:rPr>
              <w:t>发现一次扣1分</w:t>
            </w:r>
          </w:p>
        </w:tc>
        <w:tc>
          <w:tcPr>
            <w:tcW w:w="1137" w:type="dxa"/>
            <w:noWrap w:val="0"/>
            <w:vAlign w:val="top"/>
          </w:tcPr>
          <w:p w14:paraId="78D12834">
            <w:pPr>
              <w:rPr>
                <w:rFonts w:hint="eastAsia"/>
                <w:color w:val="000000"/>
              </w:rPr>
            </w:pPr>
          </w:p>
        </w:tc>
        <w:tc>
          <w:tcPr>
            <w:tcW w:w="885" w:type="dxa"/>
            <w:noWrap w:val="0"/>
            <w:vAlign w:val="top"/>
          </w:tcPr>
          <w:p w14:paraId="6868C28C">
            <w:pPr>
              <w:rPr>
                <w:rFonts w:hint="eastAsia"/>
                <w:color w:val="000000"/>
              </w:rPr>
            </w:pPr>
          </w:p>
        </w:tc>
      </w:tr>
      <w:tr w14:paraId="5554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8A749E">
            <w:pPr>
              <w:rPr>
                <w:rFonts w:hint="eastAsia"/>
                <w:color w:val="000000"/>
              </w:rPr>
            </w:pPr>
            <w:r>
              <w:rPr>
                <w:rFonts w:hint="eastAsia"/>
                <w:color w:val="000000"/>
              </w:rPr>
              <w:t>2、餐厅卫生保持地面干燥清洁，餐桌、凳子用餐后擦拭干净、无油污及做好定期消毒工作，并做到桌子摆放整齐，有良好的就餐环境。</w:t>
            </w:r>
          </w:p>
        </w:tc>
        <w:tc>
          <w:tcPr>
            <w:tcW w:w="840" w:type="dxa"/>
            <w:noWrap w:val="0"/>
            <w:vAlign w:val="center"/>
          </w:tcPr>
          <w:p w14:paraId="369EC269">
            <w:pPr>
              <w:jc w:val="center"/>
              <w:rPr>
                <w:rFonts w:hint="eastAsia"/>
                <w:color w:val="000000"/>
              </w:rPr>
            </w:pPr>
            <w:r>
              <w:rPr>
                <w:rFonts w:hint="eastAsia"/>
                <w:color w:val="000000"/>
              </w:rPr>
              <w:t>1</w:t>
            </w:r>
          </w:p>
        </w:tc>
        <w:tc>
          <w:tcPr>
            <w:tcW w:w="1140" w:type="dxa"/>
            <w:noWrap w:val="0"/>
            <w:vAlign w:val="center"/>
          </w:tcPr>
          <w:p w14:paraId="1A9695AF">
            <w:pPr>
              <w:jc w:val="center"/>
              <w:rPr>
                <w:rFonts w:hint="eastAsia"/>
                <w:color w:val="000000"/>
              </w:rPr>
            </w:pPr>
            <w:r>
              <w:rPr>
                <w:rFonts w:hint="eastAsia"/>
                <w:color w:val="000000"/>
              </w:rPr>
              <w:t>发现一次扣1分</w:t>
            </w:r>
          </w:p>
        </w:tc>
        <w:tc>
          <w:tcPr>
            <w:tcW w:w="1137" w:type="dxa"/>
            <w:noWrap w:val="0"/>
            <w:vAlign w:val="top"/>
          </w:tcPr>
          <w:p w14:paraId="210DBC60">
            <w:pPr>
              <w:rPr>
                <w:rFonts w:hint="eastAsia"/>
                <w:color w:val="000000"/>
              </w:rPr>
            </w:pPr>
          </w:p>
        </w:tc>
        <w:tc>
          <w:tcPr>
            <w:tcW w:w="885" w:type="dxa"/>
            <w:noWrap w:val="0"/>
            <w:vAlign w:val="top"/>
          </w:tcPr>
          <w:p w14:paraId="4C827ACD">
            <w:pPr>
              <w:rPr>
                <w:rFonts w:hint="eastAsia"/>
                <w:color w:val="000000"/>
              </w:rPr>
            </w:pPr>
          </w:p>
        </w:tc>
      </w:tr>
      <w:tr w14:paraId="5762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E7C8C2A">
            <w:pPr>
              <w:rPr>
                <w:rFonts w:hint="eastAsia"/>
                <w:color w:val="000000"/>
              </w:rPr>
            </w:pPr>
            <w:r>
              <w:rPr>
                <w:rFonts w:hint="eastAsia"/>
                <w:color w:val="000000"/>
              </w:rPr>
              <w:t>3、售菜间卫生应保持整洁、窗玻璃明亮、每次开饭结束后，工作台、窗台、地面擦洗干净，保温台水及时放干，保持干净无油污，并做到售菜间常规性消毒工作。</w:t>
            </w:r>
          </w:p>
        </w:tc>
        <w:tc>
          <w:tcPr>
            <w:tcW w:w="840" w:type="dxa"/>
            <w:noWrap w:val="0"/>
            <w:vAlign w:val="center"/>
          </w:tcPr>
          <w:p w14:paraId="796B4A36">
            <w:pPr>
              <w:jc w:val="center"/>
              <w:rPr>
                <w:rFonts w:hint="eastAsia"/>
                <w:color w:val="000000"/>
              </w:rPr>
            </w:pPr>
            <w:r>
              <w:rPr>
                <w:rFonts w:hint="eastAsia"/>
                <w:color w:val="000000"/>
              </w:rPr>
              <w:t>1</w:t>
            </w:r>
          </w:p>
        </w:tc>
        <w:tc>
          <w:tcPr>
            <w:tcW w:w="1140" w:type="dxa"/>
            <w:noWrap w:val="0"/>
            <w:vAlign w:val="center"/>
          </w:tcPr>
          <w:p w14:paraId="0B8FDD96">
            <w:pPr>
              <w:jc w:val="center"/>
              <w:rPr>
                <w:rFonts w:hint="eastAsia"/>
                <w:color w:val="000000"/>
              </w:rPr>
            </w:pPr>
            <w:r>
              <w:rPr>
                <w:rFonts w:hint="eastAsia"/>
                <w:color w:val="000000"/>
              </w:rPr>
              <w:t>发现一次扣1分</w:t>
            </w:r>
          </w:p>
        </w:tc>
        <w:tc>
          <w:tcPr>
            <w:tcW w:w="1137" w:type="dxa"/>
            <w:noWrap w:val="0"/>
            <w:vAlign w:val="top"/>
          </w:tcPr>
          <w:p w14:paraId="336AB4EB">
            <w:pPr>
              <w:rPr>
                <w:rFonts w:hint="eastAsia"/>
                <w:color w:val="000000"/>
              </w:rPr>
            </w:pPr>
          </w:p>
        </w:tc>
        <w:tc>
          <w:tcPr>
            <w:tcW w:w="885" w:type="dxa"/>
            <w:noWrap w:val="0"/>
            <w:vAlign w:val="top"/>
          </w:tcPr>
          <w:p w14:paraId="78E9BBD3">
            <w:pPr>
              <w:rPr>
                <w:rFonts w:hint="eastAsia"/>
                <w:color w:val="000000"/>
              </w:rPr>
            </w:pPr>
          </w:p>
        </w:tc>
      </w:tr>
      <w:tr w14:paraId="2B8D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734D72FE">
            <w:pPr>
              <w:rPr>
                <w:rFonts w:hint="eastAsia"/>
                <w:color w:val="000000"/>
              </w:rPr>
            </w:pPr>
            <w:r>
              <w:rPr>
                <w:rFonts w:hint="eastAsia"/>
                <w:color w:val="000000"/>
              </w:rPr>
              <w:t>4、食堂的下水道应保持通畅，有专人清理污物残渣和卫生保洁，并确保杂物（竹筷、一次性物品等）不流入地下泵站，以免造成水泵损坏，影响正常工作。</w:t>
            </w:r>
          </w:p>
        </w:tc>
        <w:tc>
          <w:tcPr>
            <w:tcW w:w="840" w:type="dxa"/>
            <w:noWrap w:val="0"/>
            <w:vAlign w:val="center"/>
          </w:tcPr>
          <w:p w14:paraId="65757EA8">
            <w:pPr>
              <w:jc w:val="center"/>
              <w:rPr>
                <w:rFonts w:hint="eastAsia"/>
                <w:color w:val="000000"/>
              </w:rPr>
            </w:pPr>
            <w:r>
              <w:rPr>
                <w:rFonts w:hint="eastAsia"/>
                <w:color w:val="000000"/>
              </w:rPr>
              <w:t>1</w:t>
            </w:r>
          </w:p>
        </w:tc>
        <w:tc>
          <w:tcPr>
            <w:tcW w:w="1140" w:type="dxa"/>
            <w:noWrap w:val="0"/>
            <w:vAlign w:val="center"/>
          </w:tcPr>
          <w:p w14:paraId="7ED930EC">
            <w:pPr>
              <w:jc w:val="center"/>
              <w:rPr>
                <w:rFonts w:hint="eastAsia"/>
                <w:color w:val="000000"/>
              </w:rPr>
            </w:pPr>
            <w:r>
              <w:rPr>
                <w:rFonts w:hint="eastAsia"/>
                <w:color w:val="000000"/>
              </w:rPr>
              <w:t>发现一次扣1分</w:t>
            </w:r>
          </w:p>
        </w:tc>
        <w:tc>
          <w:tcPr>
            <w:tcW w:w="1137" w:type="dxa"/>
            <w:noWrap w:val="0"/>
            <w:vAlign w:val="top"/>
          </w:tcPr>
          <w:p w14:paraId="768EE419">
            <w:pPr>
              <w:rPr>
                <w:rFonts w:hint="eastAsia"/>
                <w:color w:val="000000"/>
              </w:rPr>
            </w:pPr>
          </w:p>
        </w:tc>
        <w:tc>
          <w:tcPr>
            <w:tcW w:w="885" w:type="dxa"/>
            <w:noWrap w:val="0"/>
            <w:vAlign w:val="top"/>
          </w:tcPr>
          <w:p w14:paraId="4BA9487A">
            <w:pPr>
              <w:rPr>
                <w:rFonts w:hint="eastAsia"/>
                <w:color w:val="000000"/>
              </w:rPr>
            </w:pPr>
          </w:p>
        </w:tc>
      </w:tr>
      <w:tr w14:paraId="78C6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D8DBA6">
            <w:pPr>
              <w:rPr>
                <w:rFonts w:hint="eastAsia"/>
                <w:color w:val="000000"/>
              </w:rPr>
            </w:pPr>
            <w:r>
              <w:rPr>
                <w:rFonts w:hint="eastAsia"/>
                <w:color w:val="000000"/>
              </w:rPr>
              <w:t>5、下货处地面卫生保持清洁干燥，无油污、杂物、垃圾处理及时无异味、每次下货后及时打扫。</w:t>
            </w:r>
          </w:p>
        </w:tc>
        <w:tc>
          <w:tcPr>
            <w:tcW w:w="840" w:type="dxa"/>
            <w:noWrap w:val="0"/>
            <w:vAlign w:val="center"/>
          </w:tcPr>
          <w:p w14:paraId="39D05D01">
            <w:pPr>
              <w:jc w:val="center"/>
              <w:rPr>
                <w:rFonts w:hint="eastAsia"/>
                <w:color w:val="000000"/>
              </w:rPr>
            </w:pPr>
            <w:r>
              <w:rPr>
                <w:rFonts w:hint="eastAsia"/>
                <w:color w:val="000000"/>
              </w:rPr>
              <w:t>1</w:t>
            </w:r>
          </w:p>
        </w:tc>
        <w:tc>
          <w:tcPr>
            <w:tcW w:w="1140" w:type="dxa"/>
            <w:noWrap w:val="0"/>
            <w:vAlign w:val="center"/>
          </w:tcPr>
          <w:p w14:paraId="1E07CE9F">
            <w:pPr>
              <w:jc w:val="center"/>
              <w:rPr>
                <w:rFonts w:hint="eastAsia"/>
                <w:color w:val="000000"/>
              </w:rPr>
            </w:pPr>
            <w:r>
              <w:rPr>
                <w:rFonts w:hint="eastAsia"/>
                <w:color w:val="000000"/>
              </w:rPr>
              <w:t>发现一次扣1分</w:t>
            </w:r>
          </w:p>
        </w:tc>
        <w:tc>
          <w:tcPr>
            <w:tcW w:w="1137" w:type="dxa"/>
            <w:noWrap w:val="0"/>
            <w:vAlign w:val="top"/>
          </w:tcPr>
          <w:p w14:paraId="09317FCB">
            <w:pPr>
              <w:rPr>
                <w:rFonts w:hint="eastAsia"/>
                <w:color w:val="000000"/>
              </w:rPr>
            </w:pPr>
          </w:p>
        </w:tc>
        <w:tc>
          <w:tcPr>
            <w:tcW w:w="885" w:type="dxa"/>
            <w:noWrap w:val="0"/>
            <w:vAlign w:val="top"/>
          </w:tcPr>
          <w:p w14:paraId="423BE455">
            <w:pPr>
              <w:rPr>
                <w:rFonts w:hint="eastAsia"/>
                <w:color w:val="000000"/>
              </w:rPr>
            </w:pPr>
          </w:p>
        </w:tc>
      </w:tr>
      <w:tr w14:paraId="7721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7F6FDBA">
            <w:pPr>
              <w:rPr>
                <w:rFonts w:hint="eastAsia"/>
                <w:color w:val="000000"/>
              </w:rPr>
            </w:pPr>
            <w:r>
              <w:rPr>
                <w:rFonts w:hint="eastAsia"/>
                <w:color w:val="000000"/>
              </w:rPr>
              <w:t>6、食堂各工作区域规范做好防蝇、防鼠、防蟑螂工作及措施。</w:t>
            </w:r>
          </w:p>
        </w:tc>
        <w:tc>
          <w:tcPr>
            <w:tcW w:w="840" w:type="dxa"/>
            <w:noWrap w:val="0"/>
            <w:vAlign w:val="center"/>
          </w:tcPr>
          <w:p w14:paraId="2268B34A">
            <w:pPr>
              <w:jc w:val="center"/>
              <w:rPr>
                <w:rFonts w:hint="eastAsia"/>
                <w:color w:val="000000"/>
              </w:rPr>
            </w:pPr>
            <w:r>
              <w:rPr>
                <w:rFonts w:hint="eastAsia"/>
                <w:color w:val="000000"/>
              </w:rPr>
              <w:t>1</w:t>
            </w:r>
          </w:p>
        </w:tc>
        <w:tc>
          <w:tcPr>
            <w:tcW w:w="1140" w:type="dxa"/>
            <w:noWrap w:val="0"/>
            <w:vAlign w:val="center"/>
          </w:tcPr>
          <w:p w14:paraId="32C0C2F3">
            <w:pPr>
              <w:jc w:val="center"/>
              <w:rPr>
                <w:rFonts w:hint="eastAsia"/>
                <w:color w:val="000000"/>
              </w:rPr>
            </w:pPr>
            <w:r>
              <w:rPr>
                <w:rFonts w:hint="eastAsia"/>
                <w:color w:val="000000"/>
              </w:rPr>
              <w:t>发现一次扣1分</w:t>
            </w:r>
          </w:p>
        </w:tc>
        <w:tc>
          <w:tcPr>
            <w:tcW w:w="1137" w:type="dxa"/>
            <w:noWrap w:val="0"/>
            <w:vAlign w:val="top"/>
          </w:tcPr>
          <w:p w14:paraId="1BE33228">
            <w:pPr>
              <w:rPr>
                <w:rFonts w:hint="eastAsia"/>
                <w:color w:val="000000"/>
              </w:rPr>
            </w:pPr>
          </w:p>
        </w:tc>
        <w:tc>
          <w:tcPr>
            <w:tcW w:w="885" w:type="dxa"/>
            <w:noWrap w:val="0"/>
            <w:vAlign w:val="top"/>
          </w:tcPr>
          <w:p w14:paraId="0E596B9E">
            <w:pPr>
              <w:rPr>
                <w:rFonts w:hint="eastAsia"/>
                <w:color w:val="000000"/>
              </w:rPr>
            </w:pPr>
          </w:p>
        </w:tc>
      </w:tr>
      <w:tr w14:paraId="5B3C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0A122820">
            <w:pPr>
              <w:rPr>
                <w:rFonts w:hint="eastAsia"/>
                <w:color w:val="000000"/>
              </w:rPr>
            </w:pPr>
            <w:r>
              <w:rPr>
                <w:rFonts w:hint="eastAsia"/>
                <w:color w:val="000000"/>
              </w:rPr>
              <w:t>九、厨房卫生：14分</w:t>
            </w:r>
          </w:p>
        </w:tc>
      </w:tr>
      <w:tr w14:paraId="18B4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F3851F6">
            <w:pPr>
              <w:rPr>
                <w:rFonts w:hint="eastAsia"/>
                <w:color w:val="000000"/>
              </w:rPr>
            </w:pPr>
            <w:r>
              <w:rPr>
                <w:rFonts w:hint="eastAsia"/>
                <w:color w:val="000000"/>
              </w:rPr>
              <w:t>1、厨房各区域卫生应有专人打扫，切配加工应规范操作，保持厨房卫生、整洁、不乱丢废料、杂物、每次工作结束后对工作场所进行卫生打扫，地面、墙壁、工作台、水槽、砧板、刀具、箩筐用具等冲洗干净、无油污、杂物、摆放整齐，地面、桌面无明显积水。</w:t>
            </w:r>
          </w:p>
        </w:tc>
        <w:tc>
          <w:tcPr>
            <w:tcW w:w="840" w:type="dxa"/>
            <w:noWrap w:val="0"/>
            <w:vAlign w:val="center"/>
          </w:tcPr>
          <w:p w14:paraId="53A121D5">
            <w:pPr>
              <w:jc w:val="center"/>
              <w:rPr>
                <w:rFonts w:hint="eastAsia"/>
                <w:color w:val="000000"/>
              </w:rPr>
            </w:pPr>
            <w:r>
              <w:rPr>
                <w:rFonts w:hint="eastAsia"/>
                <w:color w:val="000000"/>
              </w:rPr>
              <w:t>2</w:t>
            </w:r>
          </w:p>
        </w:tc>
        <w:tc>
          <w:tcPr>
            <w:tcW w:w="1140" w:type="dxa"/>
            <w:noWrap w:val="0"/>
            <w:vAlign w:val="center"/>
          </w:tcPr>
          <w:p w14:paraId="7D513A3D">
            <w:pPr>
              <w:jc w:val="center"/>
              <w:rPr>
                <w:rFonts w:hint="eastAsia"/>
                <w:color w:val="000000"/>
              </w:rPr>
            </w:pPr>
            <w:r>
              <w:rPr>
                <w:rFonts w:hint="eastAsia"/>
                <w:color w:val="000000"/>
              </w:rPr>
              <w:t>发现一次扣2分</w:t>
            </w:r>
          </w:p>
        </w:tc>
        <w:tc>
          <w:tcPr>
            <w:tcW w:w="1137" w:type="dxa"/>
            <w:noWrap w:val="0"/>
            <w:vAlign w:val="top"/>
          </w:tcPr>
          <w:p w14:paraId="098F8DD7">
            <w:pPr>
              <w:rPr>
                <w:rFonts w:hint="eastAsia"/>
                <w:color w:val="000000"/>
              </w:rPr>
            </w:pPr>
          </w:p>
        </w:tc>
        <w:tc>
          <w:tcPr>
            <w:tcW w:w="885" w:type="dxa"/>
            <w:noWrap w:val="0"/>
            <w:vAlign w:val="top"/>
          </w:tcPr>
          <w:p w14:paraId="4FC8EE8C">
            <w:pPr>
              <w:rPr>
                <w:rFonts w:hint="eastAsia"/>
                <w:color w:val="000000"/>
              </w:rPr>
            </w:pPr>
          </w:p>
        </w:tc>
      </w:tr>
      <w:tr w14:paraId="667E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8981764">
            <w:pPr>
              <w:rPr>
                <w:rFonts w:hint="eastAsia"/>
                <w:color w:val="000000"/>
              </w:rPr>
            </w:pPr>
            <w:r>
              <w:rPr>
                <w:rFonts w:hint="eastAsia"/>
                <w:color w:val="000000"/>
              </w:rPr>
              <w:t>2、炉灶卫生、每次工作结束后，对炉灶进行卫生清理打扫，灶面、墙面、炊具、用具等擦洗干净，调味罐加盖，调味品有序摆放并符合卫生管理“五常法”要求。</w:t>
            </w:r>
          </w:p>
        </w:tc>
        <w:tc>
          <w:tcPr>
            <w:tcW w:w="840" w:type="dxa"/>
            <w:noWrap w:val="0"/>
            <w:vAlign w:val="center"/>
          </w:tcPr>
          <w:p w14:paraId="4DEDFAA3">
            <w:pPr>
              <w:jc w:val="center"/>
              <w:rPr>
                <w:rFonts w:hint="eastAsia"/>
                <w:color w:val="000000"/>
              </w:rPr>
            </w:pPr>
            <w:r>
              <w:rPr>
                <w:rFonts w:hint="eastAsia"/>
                <w:color w:val="000000"/>
              </w:rPr>
              <w:t>2</w:t>
            </w:r>
          </w:p>
        </w:tc>
        <w:tc>
          <w:tcPr>
            <w:tcW w:w="1140" w:type="dxa"/>
            <w:noWrap w:val="0"/>
            <w:vAlign w:val="center"/>
          </w:tcPr>
          <w:p w14:paraId="1F57954D">
            <w:pPr>
              <w:jc w:val="center"/>
              <w:rPr>
                <w:rFonts w:hint="eastAsia"/>
                <w:color w:val="000000"/>
              </w:rPr>
            </w:pPr>
            <w:r>
              <w:rPr>
                <w:rFonts w:hint="eastAsia"/>
                <w:color w:val="000000"/>
              </w:rPr>
              <w:t>发现一次扣2分</w:t>
            </w:r>
          </w:p>
        </w:tc>
        <w:tc>
          <w:tcPr>
            <w:tcW w:w="1137" w:type="dxa"/>
            <w:noWrap w:val="0"/>
            <w:vAlign w:val="top"/>
          </w:tcPr>
          <w:p w14:paraId="65618BD8">
            <w:pPr>
              <w:rPr>
                <w:rFonts w:hint="eastAsia"/>
                <w:color w:val="000000"/>
              </w:rPr>
            </w:pPr>
          </w:p>
        </w:tc>
        <w:tc>
          <w:tcPr>
            <w:tcW w:w="885" w:type="dxa"/>
            <w:noWrap w:val="0"/>
            <w:vAlign w:val="top"/>
          </w:tcPr>
          <w:p w14:paraId="36C33543">
            <w:pPr>
              <w:rPr>
                <w:rFonts w:hint="eastAsia"/>
                <w:color w:val="000000"/>
              </w:rPr>
            </w:pPr>
          </w:p>
        </w:tc>
      </w:tr>
      <w:tr w14:paraId="7D5E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DFDD1CD">
            <w:pPr>
              <w:rPr>
                <w:rFonts w:hint="eastAsia"/>
                <w:color w:val="000000"/>
              </w:rPr>
            </w:pPr>
            <w:r>
              <w:rPr>
                <w:rFonts w:hint="eastAsia"/>
                <w:color w:val="000000"/>
              </w:rPr>
              <w:t>3、洗菜间卫生，每次工作结束应及时进行清理打扫，保持水槽、桌面清洁干净、地面无积水、箩筐用具摆放整齐</w:t>
            </w:r>
          </w:p>
        </w:tc>
        <w:tc>
          <w:tcPr>
            <w:tcW w:w="840" w:type="dxa"/>
            <w:noWrap w:val="0"/>
            <w:vAlign w:val="center"/>
          </w:tcPr>
          <w:p w14:paraId="7034D28F">
            <w:pPr>
              <w:jc w:val="center"/>
              <w:rPr>
                <w:rFonts w:hint="eastAsia"/>
                <w:color w:val="000000"/>
              </w:rPr>
            </w:pPr>
            <w:r>
              <w:rPr>
                <w:rFonts w:hint="eastAsia"/>
                <w:color w:val="000000"/>
              </w:rPr>
              <w:t>2</w:t>
            </w:r>
          </w:p>
        </w:tc>
        <w:tc>
          <w:tcPr>
            <w:tcW w:w="1140" w:type="dxa"/>
            <w:noWrap w:val="0"/>
            <w:vAlign w:val="center"/>
          </w:tcPr>
          <w:p w14:paraId="7E510496">
            <w:pPr>
              <w:jc w:val="center"/>
              <w:rPr>
                <w:rFonts w:hint="eastAsia"/>
                <w:color w:val="000000"/>
              </w:rPr>
            </w:pPr>
            <w:r>
              <w:rPr>
                <w:rFonts w:hint="eastAsia"/>
                <w:color w:val="000000"/>
              </w:rPr>
              <w:t>发现一次扣2分</w:t>
            </w:r>
          </w:p>
        </w:tc>
        <w:tc>
          <w:tcPr>
            <w:tcW w:w="1137" w:type="dxa"/>
            <w:noWrap w:val="0"/>
            <w:vAlign w:val="top"/>
          </w:tcPr>
          <w:p w14:paraId="4935624E">
            <w:pPr>
              <w:rPr>
                <w:rFonts w:hint="eastAsia"/>
                <w:color w:val="000000"/>
              </w:rPr>
            </w:pPr>
          </w:p>
        </w:tc>
        <w:tc>
          <w:tcPr>
            <w:tcW w:w="885" w:type="dxa"/>
            <w:noWrap w:val="0"/>
            <w:vAlign w:val="top"/>
          </w:tcPr>
          <w:p w14:paraId="73C056BC">
            <w:pPr>
              <w:rPr>
                <w:rFonts w:hint="eastAsia"/>
                <w:color w:val="000000"/>
              </w:rPr>
            </w:pPr>
          </w:p>
        </w:tc>
      </w:tr>
      <w:tr w14:paraId="173F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CBAF054">
            <w:pPr>
              <w:rPr>
                <w:rFonts w:hint="eastAsia"/>
                <w:color w:val="000000"/>
              </w:rPr>
            </w:pPr>
            <w:r>
              <w:rPr>
                <w:rFonts w:hint="eastAsia"/>
                <w:color w:val="000000"/>
              </w:rPr>
              <w:t>4、餐具洗刷间卫生，每次工作结束后应进行卫生清理打扫，保持水槽、工作台、墙面清洁干净，无卫生死角，地面拖干无积水，并及时清理餐饮垃圾，做到日积日清，不隔夜。</w:t>
            </w:r>
          </w:p>
        </w:tc>
        <w:tc>
          <w:tcPr>
            <w:tcW w:w="840" w:type="dxa"/>
            <w:noWrap w:val="0"/>
            <w:vAlign w:val="center"/>
          </w:tcPr>
          <w:p w14:paraId="69D15EC5">
            <w:pPr>
              <w:jc w:val="center"/>
              <w:rPr>
                <w:rFonts w:hint="eastAsia"/>
                <w:color w:val="000000"/>
              </w:rPr>
            </w:pPr>
            <w:r>
              <w:rPr>
                <w:rFonts w:hint="eastAsia"/>
                <w:color w:val="000000"/>
              </w:rPr>
              <w:t>2</w:t>
            </w:r>
          </w:p>
        </w:tc>
        <w:tc>
          <w:tcPr>
            <w:tcW w:w="1140" w:type="dxa"/>
            <w:noWrap w:val="0"/>
            <w:vAlign w:val="center"/>
          </w:tcPr>
          <w:p w14:paraId="4BB0F17B">
            <w:pPr>
              <w:jc w:val="center"/>
              <w:rPr>
                <w:rFonts w:hint="eastAsia"/>
                <w:color w:val="000000"/>
              </w:rPr>
            </w:pPr>
            <w:r>
              <w:rPr>
                <w:rFonts w:hint="eastAsia"/>
                <w:color w:val="000000"/>
              </w:rPr>
              <w:t>发现一次扣2分</w:t>
            </w:r>
          </w:p>
        </w:tc>
        <w:tc>
          <w:tcPr>
            <w:tcW w:w="1137" w:type="dxa"/>
            <w:noWrap w:val="0"/>
            <w:vAlign w:val="top"/>
          </w:tcPr>
          <w:p w14:paraId="429379E3">
            <w:pPr>
              <w:rPr>
                <w:rFonts w:hint="eastAsia"/>
                <w:color w:val="000000"/>
              </w:rPr>
            </w:pPr>
          </w:p>
        </w:tc>
        <w:tc>
          <w:tcPr>
            <w:tcW w:w="885" w:type="dxa"/>
            <w:noWrap w:val="0"/>
            <w:vAlign w:val="top"/>
          </w:tcPr>
          <w:p w14:paraId="0A51B9B0">
            <w:pPr>
              <w:rPr>
                <w:rFonts w:hint="eastAsia"/>
                <w:color w:val="000000"/>
              </w:rPr>
            </w:pPr>
          </w:p>
        </w:tc>
      </w:tr>
      <w:tr w14:paraId="5580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612E295">
            <w:pPr>
              <w:rPr>
                <w:rFonts w:hint="eastAsia"/>
                <w:color w:val="000000"/>
              </w:rPr>
            </w:pPr>
            <w:r>
              <w:rPr>
                <w:rFonts w:hint="eastAsia"/>
                <w:color w:val="000000"/>
              </w:rPr>
              <w:t>5、蒸饭间卫生，要保持室内卫生整洁，地面无饭渣、污物、蒸饭车、蒸灶应定期清洗，蒸饭桶、蒸汽锅、割饭器每次用后应清洗干净，无饭渣遗留无异味。</w:t>
            </w:r>
          </w:p>
        </w:tc>
        <w:tc>
          <w:tcPr>
            <w:tcW w:w="840" w:type="dxa"/>
            <w:noWrap w:val="0"/>
            <w:vAlign w:val="center"/>
          </w:tcPr>
          <w:p w14:paraId="6FAB70A5">
            <w:pPr>
              <w:jc w:val="center"/>
              <w:rPr>
                <w:rFonts w:hint="eastAsia"/>
                <w:color w:val="000000"/>
              </w:rPr>
            </w:pPr>
            <w:r>
              <w:rPr>
                <w:rFonts w:hint="eastAsia"/>
                <w:color w:val="000000"/>
              </w:rPr>
              <w:t>2</w:t>
            </w:r>
          </w:p>
        </w:tc>
        <w:tc>
          <w:tcPr>
            <w:tcW w:w="1140" w:type="dxa"/>
            <w:noWrap w:val="0"/>
            <w:vAlign w:val="center"/>
          </w:tcPr>
          <w:p w14:paraId="725C4E10">
            <w:pPr>
              <w:jc w:val="center"/>
              <w:rPr>
                <w:rFonts w:hint="eastAsia"/>
                <w:color w:val="000000"/>
              </w:rPr>
            </w:pPr>
            <w:r>
              <w:rPr>
                <w:rFonts w:hint="eastAsia"/>
                <w:color w:val="000000"/>
              </w:rPr>
              <w:t>发现一次扣2分</w:t>
            </w:r>
          </w:p>
        </w:tc>
        <w:tc>
          <w:tcPr>
            <w:tcW w:w="1137" w:type="dxa"/>
            <w:noWrap w:val="0"/>
            <w:vAlign w:val="top"/>
          </w:tcPr>
          <w:p w14:paraId="5D0484D7">
            <w:pPr>
              <w:rPr>
                <w:rFonts w:hint="eastAsia"/>
                <w:color w:val="000000"/>
              </w:rPr>
            </w:pPr>
          </w:p>
        </w:tc>
        <w:tc>
          <w:tcPr>
            <w:tcW w:w="885" w:type="dxa"/>
            <w:noWrap w:val="0"/>
            <w:vAlign w:val="top"/>
          </w:tcPr>
          <w:p w14:paraId="53C3B46B">
            <w:pPr>
              <w:rPr>
                <w:rFonts w:hint="eastAsia"/>
                <w:color w:val="000000"/>
              </w:rPr>
            </w:pPr>
          </w:p>
        </w:tc>
      </w:tr>
      <w:tr w14:paraId="36CA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774498F3">
            <w:pPr>
              <w:rPr>
                <w:rFonts w:hint="eastAsia"/>
                <w:color w:val="000000"/>
              </w:rPr>
            </w:pPr>
            <w:r>
              <w:rPr>
                <w:rFonts w:hint="eastAsia"/>
                <w:color w:val="000000"/>
              </w:rPr>
              <w:t>6、食堂每天所产生的餐厨垃圾、做到日积日清，用专用垃圾袋装，专用的运输工具，统一放置</w:t>
            </w:r>
            <w:r>
              <w:rPr>
                <w:rFonts w:hint="eastAsia"/>
                <w:color w:val="000000"/>
                <w:lang w:eastAsia="zh-CN"/>
              </w:rPr>
              <w:t>中心</w:t>
            </w:r>
            <w:r>
              <w:rPr>
                <w:rFonts w:hint="eastAsia"/>
                <w:color w:val="000000"/>
              </w:rPr>
              <w:t>指定的垃圾堆放处，不随意乱放、乱丢。</w:t>
            </w:r>
          </w:p>
        </w:tc>
        <w:tc>
          <w:tcPr>
            <w:tcW w:w="840" w:type="dxa"/>
            <w:noWrap w:val="0"/>
            <w:vAlign w:val="center"/>
          </w:tcPr>
          <w:p w14:paraId="0390F458">
            <w:pPr>
              <w:jc w:val="center"/>
              <w:rPr>
                <w:rFonts w:hint="eastAsia"/>
                <w:color w:val="000000"/>
              </w:rPr>
            </w:pPr>
            <w:r>
              <w:rPr>
                <w:rFonts w:hint="eastAsia"/>
                <w:color w:val="000000"/>
              </w:rPr>
              <w:t>2</w:t>
            </w:r>
          </w:p>
        </w:tc>
        <w:tc>
          <w:tcPr>
            <w:tcW w:w="1140" w:type="dxa"/>
            <w:noWrap w:val="0"/>
            <w:vAlign w:val="center"/>
          </w:tcPr>
          <w:p w14:paraId="7422C361">
            <w:pPr>
              <w:jc w:val="center"/>
              <w:rPr>
                <w:rFonts w:hint="eastAsia"/>
                <w:color w:val="000000"/>
              </w:rPr>
            </w:pPr>
            <w:r>
              <w:rPr>
                <w:rFonts w:hint="eastAsia"/>
                <w:color w:val="000000"/>
              </w:rPr>
              <w:t>发现一次扣2分</w:t>
            </w:r>
          </w:p>
        </w:tc>
        <w:tc>
          <w:tcPr>
            <w:tcW w:w="1137" w:type="dxa"/>
            <w:noWrap w:val="0"/>
            <w:vAlign w:val="top"/>
          </w:tcPr>
          <w:p w14:paraId="4F8FD4B5">
            <w:pPr>
              <w:rPr>
                <w:rFonts w:hint="eastAsia"/>
                <w:color w:val="000000"/>
              </w:rPr>
            </w:pPr>
          </w:p>
        </w:tc>
        <w:tc>
          <w:tcPr>
            <w:tcW w:w="885" w:type="dxa"/>
            <w:noWrap w:val="0"/>
            <w:vAlign w:val="top"/>
          </w:tcPr>
          <w:p w14:paraId="118E9127">
            <w:pPr>
              <w:rPr>
                <w:rFonts w:hint="eastAsia"/>
                <w:color w:val="000000"/>
              </w:rPr>
            </w:pPr>
          </w:p>
        </w:tc>
      </w:tr>
      <w:tr w14:paraId="466A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444B53A">
            <w:pPr>
              <w:rPr>
                <w:rFonts w:hint="eastAsia"/>
                <w:color w:val="000000"/>
              </w:rPr>
            </w:pPr>
            <w:r>
              <w:rPr>
                <w:rFonts w:hint="eastAsia"/>
                <w:color w:val="000000"/>
              </w:rPr>
              <w:t>7、食堂工作区域用于食品、餐具清洗的水池严禁清洗私人物品（工作服、日常衣裤）及洗头、洗脸、洗脚等。</w:t>
            </w:r>
          </w:p>
        </w:tc>
        <w:tc>
          <w:tcPr>
            <w:tcW w:w="840" w:type="dxa"/>
            <w:noWrap w:val="0"/>
            <w:vAlign w:val="center"/>
          </w:tcPr>
          <w:p w14:paraId="3782BFDE">
            <w:pPr>
              <w:jc w:val="center"/>
              <w:rPr>
                <w:rFonts w:hint="eastAsia"/>
                <w:color w:val="000000"/>
              </w:rPr>
            </w:pPr>
            <w:r>
              <w:rPr>
                <w:rFonts w:hint="eastAsia"/>
                <w:color w:val="000000"/>
              </w:rPr>
              <w:t>2</w:t>
            </w:r>
          </w:p>
        </w:tc>
        <w:tc>
          <w:tcPr>
            <w:tcW w:w="1140" w:type="dxa"/>
            <w:noWrap w:val="0"/>
            <w:vAlign w:val="center"/>
          </w:tcPr>
          <w:p w14:paraId="295D782F">
            <w:pPr>
              <w:jc w:val="center"/>
              <w:rPr>
                <w:rFonts w:hint="eastAsia"/>
                <w:color w:val="000000"/>
              </w:rPr>
            </w:pPr>
            <w:r>
              <w:rPr>
                <w:rFonts w:hint="eastAsia"/>
                <w:color w:val="000000"/>
              </w:rPr>
              <w:t>发现一次扣2分</w:t>
            </w:r>
          </w:p>
        </w:tc>
        <w:tc>
          <w:tcPr>
            <w:tcW w:w="1137" w:type="dxa"/>
            <w:noWrap w:val="0"/>
            <w:vAlign w:val="top"/>
          </w:tcPr>
          <w:p w14:paraId="3C80CF68">
            <w:pPr>
              <w:rPr>
                <w:rFonts w:hint="eastAsia"/>
                <w:color w:val="000000"/>
              </w:rPr>
            </w:pPr>
          </w:p>
        </w:tc>
        <w:tc>
          <w:tcPr>
            <w:tcW w:w="885" w:type="dxa"/>
            <w:noWrap w:val="0"/>
            <w:vAlign w:val="top"/>
          </w:tcPr>
          <w:p w14:paraId="58BFAC0B">
            <w:pPr>
              <w:rPr>
                <w:rFonts w:hint="eastAsia"/>
                <w:color w:val="000000"/>
              </w:rPr>
            </w:pPr>
          </w:p>
        </w:tc>
      </w:tr>
      <w:tr w14:paraId="30E8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5CF204AD">
            <w:pPr>
              <w:rPr>
                <w:rFonts w:hint="eastAsia"/>
                <w:color w:val="000000"/>
              </w:rPr>
            </w:pPr>
            <w:r>
              <w:rPr>
                <w:rFonts w:hint="eastAsia"/>
                <w:color w:val="000000"/>
              </w:rPr>
              <w:t>十、面点卫生与添加剂使用：</w:t>
            </w:r>
            <w:r>
              <w:rPr>
                <w:rFonts w:hint="eastAsia"/>
                <w:color w:val="000000"/>
                <w:lang w:val="en-US" w:eastAsia="zh-CN"/>
              </w:rPr>
              <w:t>4</w:t>
            </w:r>
            <w:r>
              <w:rPr>
                <w:rFonts w:hint="eastAsia"/>
                <w:color w:val="000000"/>
              </w:rPr>
              <w:t>分</w:t>
            </w:r>
          </w:p>
        </w:tc>
      </w:tr>
      <w:tr w14:paraId="7987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4C95C61">
            <w:pPr>
              <w:rPr>
                <w:rFonts w:hint="eastAsia"/>
                <w:color w:val="000000"/>
              </w:rPr>
            </w:pPr>
            <w:r>
              <w:rPr>
                <w:rFonts w:hint="eastAsia"/>
                <w:color w:val="000000"/>
              </w:rPr>
              <w:t>1、面食间卫生，要保持室内整洁卫生，墙面、地面、作板、蒸笼、蒸席、机器设备等要做到干净清洁，无霉变现象，保持地面干燥无积水。</w:t>
            </w:r>
          </w:p>
        </w:tc>
        <w:tc>
          <w:tcPr>
            <w:tcW w:w="840" w:type="dxa"/>
            <w:noWrap w:val="0"/>
            <w:vAlign w:val="center"/>
          </w:tcPr>
          <w:p w14:paraId="0A416D8D">
            <w:pPr>
              <w:jc w:val="center"/>
              <w:rPr>
                <w:rFonts w:hint="eastAsia" w:eastAsia="宋体"/>
                <w:color w:val="000000"/>
                <w:lang w:val="en-US" w:eastAsia="zh-CN"/>
              </w:rPr>
            </w:pPr>
            <w:r>
              <w:rPr>
                <w:rFonts w:hint="eastAsia"/>
                <w:color w:val="000000"/>
                <w:lang w:val="en-US" w:eastAsia="zh-CN"/>
              </w:rPr>
              <w:t>2</w:t>
            </w:r>
          </w:p>
        </w:tc>
        <w:tc>
          <w:tcPr>
            <w:tcW w:w="1140" w:type="dxa"/>
            <w:noWrap w:val="0"/>
            <w:vAlign w:val="center"/>
          </w:tcPr>
          <w:p w14:paraId="1858300D">
            <w:pPr>
              <w:jc w:val="center"/>
              <w:rPr>
                <w:rFonts w:hint="eastAsia"/>
                <w:color w:val="000000"/>
              </w:rPr>
            </w:pPr>
            <w:r>
              <w:rPr>
                <w:rFonts w:hint="eastAsia"/>
                <w:color w:val="000000"/>
              </w:rPr>
              <w:t>发现一次扣</w:t>
            </w:r>
            <w:r>
              <w:rPr>
                <w:rFonts w:hint="eastAsia"/>
                <w:color w:val="000000"/>
                <w:lang w:val="en-US" w:eastAsia="zh-CN"/>
              </w:rPr>
              <w:t>2</w:t>
            </w:r>
            <w:r>
              <w:rPr>
                <w:rFonts w:hint="eastAsia"/>
                <w:color w:val="000000"/>
              </w:rPr>
              <w:t>分</w:t>
            </w:r>
          </w:p>
        </w:tc>
        <w:tc>
          <w:tcPr>
            <w:tcW w:w="1137" w:type="dxa"/>
            <w:noWrap w:val="0"/>
            <w:vAlign w:val="top"/>
          </w:tcPr>
          <w:p w14:paraId="0EEDEDFF">
            <w:pPr>
              <w:rPr>
                <w:rFonts w:hint="eastAsia"/>
                <w:color w:val="000000"/>
              </w:rPr>
            </w:pPr>
          </w:p>
        </w:tc>
        <w:tc>
          <w:tcPr>
            <w:tcW w:w="885" w:type="dxa"/>
            <w:noWrap w:val="0"/>
            <w:vAlign w:val="top"/>
          </w:tcPr>
          <w:p w14:paraId="3F3B02DA">
            <w:pPr>
              <w:rPr>
                <w:rFonts w:hint="eastAsia"/>
                <w:color w:val="000000"/>
              </w:rPr>
            </w:pPr>
          </w:p>
        </w:tc>
      </w:tr>
      <w:tr w14:paraId="1784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1D9C441">
            <w:pPr>
              <w:rPr>
                <w:rFonts w:hint="eastAsia"/>
                <w:color w:val="000000"/>
              </w:rPr>
            </w:pPr>
            <w:r>
              <w:rPr>
                <w:rFonts w:hint="eastAsia"/>
                <w:color w:val="000000"/>
              </w:rPr>
              <w:t>2、按合同要求制作面点，面点制作要严格执行食品添加剂使用规定，规范使用食品添加剂，不过量、不使用有损人体健康的食品添加剂，并且妥善保管好食品添加剂及使用记录。</w:t>
            </w:r>
          </w:p>
        </w:tc>
        <w:tc>
          <w:tcPr>
            <w:tcW w:w="840" w:type="dxa"/>
            <w:noWrap w:val="0"/>
            <w:vAlign w:val="center"/>
          </w:tcPr>
          <w:p w14:paraId="6724AC6A">
            <w:pPr>
              <w:jc w:val="center"/>
              <w:rPr>
                <w:rFonts w:hint="default" w:eastAsia="宋体"/>
                <w:color w:val="000000"/>
                <w:lang w:val="en-US" w:eastAsia="zh-CN"/>
              </w:rPr>
            </w:pPr>
            <w:r>
              <w:rPr>
                <w:rFonts w:hint="eastAsia"/>
                <w:color w:val="000000"/>
                <w:lang w:val="en-US" w:eastAsia="zh-CN"/>
              </w:rPr>
              <w:t>2</w:t>
            </w:r>
          </w:p>
        </w:tc>
        <w:tc>
          <w:tcPr>
            <w:tcW w:w="1140" w:type="dxa"/>
            <w:noWrap w:val="0"/>
            <w:vAlign w:val="center"/>
          </w:tcPr>
          <w:p w14:paraId="308A8D17">
            <w:pPr>
              <w:jc w:val="center"/>
              <w:rPr>
                <w:rFonts w:hint="eastAsia"/>
                <w:color w:val="000000"/>
              </w:rPr>
            </w:pPr>
            <w:r>
              <w:rPr>
                <w:rFonts w:hint="eastAsia"/>
                <w:color w:val="000000"/>
              </w:rPr>
              <w:t>发现一次扣</w:t>
            </w:r>
            <w:r>
              <w:rPr>
                <w:rFonts w:hint="eastAsia"/>
                <w:color w:val="000000"/>
                <w:lang w:val="en-US" w:eastAsia="zh-CN"/>
              </w:rPr>
              <w:t>2</w:t>
            </w:r>
            <w:r>
              <w:rPr>
                <w:rFonts w:hint="eastAsia"/>
                <w:color w:val="000000"/>
              </w:rPr>
              <w:t>分</w:t>
            </w:r>
          </w:p>
        </w:tc>
        <w:tc>
          <w:tcPr>
            <w:tcW w:w="1137" w:type="dxa"/>
            <w:noWrap w:val="0"/>
            <w:vAlign w:val="top"/>
          </w:tcPr>
          <w:p w14:paraId="41A2E4B2">
            <w:pPr>
              <w:rPr>
                <w:rFonts w:hint="eastAsia"/>
                <w:color w:val="000000"/>
              </w:rPr>
            </w:pPr>
          </w:p>
        </w:tc>
        <w:tc>
          <w:tcPr>
            <w:tcW w:w="885" w:type="dxa"/>
            <w:noWrap w:val="0"/>
            <w:vAlign w:val="top"/>
          </w:tcPr>
          <w:p w14:paraId="655CEC0B">
            <w:pPr>
              <w:rPr>
                <w:rFonts w:hint="eastAsia"/>
                <w:color w:val="000000"/>
              </w:rPr>
            </w:pPr>
          </w:p>
        </w:tc>
      </w:tr>
      <w:tr w14:paraId="633E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66DD3A24">
            <w:pPr>
              <w:rPr>
                <w:rFonts w:hint="eastAsia"/>
                <w:color w:val="000000"/>
              </w:rPr>
            </w:pPr>
            <w:r>
              <w:rPr>
                <w:rFonts w:hint="eastAsia"/>
                <w:color w:val="000000"/>
              </w:rPr>
              <w:t>十一、餐具消毒：4分</w:t>
            </w:r>
          </w:p>
        </w:tc>
      </w:tr>
      <w:tr w14:paraId="2414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22DD9885">
            <w:pPr>
              <w:rPr>
                <w:rFonts w:hint="eastAsia"/>
                <w:color w:val="000000"/>
              </w:rPr>
            </w:pPr>
            <w:r>
              <w:rPr>
                <w:rFonts w:hint="eastAsia"/>
                <w:color w:val="000000"/>
              </w:rPr>
              <w:t>1、严格执行餐具消毒制度，餐具消毒必须做到以下操作流程：一刮、二洗、三冲、四消毒，有专用消毒柜，专人负责消毒。</w:t>
            </w:r>
          </w:p>
        </w:tc>
        <w:tc>
          <w:tcPr>
            <w:tcW w:w="840" w:type="dxa"/>
            <w:noWrap w:val="0"/>
            <w:vAlign w:val="center"/>
          </w:tcPr>
          <w:p w14:paraId="605906A1">
            <w:pPr>
              <w:jc w:val="center"/>
              <w:rPr>
                <w:rFonts w:hint="eastAsia"/>
                <w:color w:val="000000"/>
              </w:rPr>
            </w:pPr>
            <w:r>
              <w:rPr>
                <w:rFonts w:hint="eastAsia"/>
                <w:color w:val="000000"/>
              </w:rPr>
              <w:t>2</w:t>
            </w:r>
          </w:p>
        </w:tc>
        <w:tc>
          <w:tcPr>
            <w:tcW w:w="1140" w:type="dxa"/>
            <w:noWrap w:val="0"/>
            <w:vAlign w:val="center"/>
          </w:tcPr>
          <w:p w14:paraId="3960354E">
            <w:pPr>
              <w:jc w:val="center"/>
              <w:rPr>
                <w:rFonts w:hint="eastAsia"/>
                <w:color w:val="000000"/>
              </w:rPr>
            </w:pPr>
            <w:r>
              <w:rPr>
                <w:rFonts w:hint="eastAsia"/>
                <w:color w:val="000000"/>
              </w:rPr>
              <w:t>发现一次扣2分</w:t>
            </w:r>
          </w:p>
        </w:tc>
        <w:tc>
          <w:tcPr>
            <w:tcW w:w="1137" w:type="dxa"/>
            <w:noWrap w:val="0"/>
            <w:vAlign w:val="top"/>
          </w:tcPr>
          <w:p w14:paraId="03DB4B99">
            <w:pPr>
              <w:rPr>
                <w:rFonts w:hint="eastAsia"/>
                <w:color w:val="000000"/>
              </w:rPr>
            </w:pPr>
          </w:p>
        </w:tc>
        <w:tc>
          <w:tcPr>
            <w:tcW w:w="885" w:type="dxa"/>
            <w:noWrap w:val="0"/>
            <w:vAlign w:val="top"/>
          </w:tcPr>
          <w:p w14:paraId="39470B84">
            <w:pPr>
              <w:rPr>
                <w:rFonts w:hint="eastAsia"/>
                <w:color w:val="000000"/>
              </w:rPr>
            </w:pPr>
          </w:p>
        </w:tc>
      </w:tr>
      <w:tr w14:paraId="5371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5384FBC">
            <w:pPr>
              <w:rPr>
                <w:rFonts w:hint="eastAsia"/>
                <w:color w:val="000000"/>
              </w:rPr>
            </w:pPr>
            <w:r>
              <w:rPr>
                <w:rFonts w:hint="eastAsia"/>
                <w:color w:val="000000"/>
              </w:rPr>
              <w:t>2、消毒好餐具及时放置在保洁柜里，消毒效果要符合国家餐具消毒检测标准。</w:t>
            </w:r>
          </w:p>
        </w:tc>
        <w:tc>
          <w:tcPr>
            <w:tcW w:w="840" w:type="dxa"/>
            <w:noWrap w:val="0"/>
            <w:vAlign w:val="center"/>
          </w:tcPr>
          <w:p w14:paraId="020C0732">
            <w:pPr>
              <w:jc w:val="center"/>
              <w:rPr>
                <w:rFonts w:hint="eastAsia"/>
                <w:color w:val="000000"/>
              </w:rPr>
            </w:pPr>
            <w:r>
              <w:rPr>
                <w:rFonts w:hint="eastAsia"/>
                <w:color w:val="000000"/>
              </w:rPr>
              <w:t>2</w:t>
            </w:r>
          </w:p>
        </w:tc>
        <w:tc>
          <w:tcPr>
            <w:tcW w:w="1140" w:type="dxa"/>
            <w:noWrap w:val="0"/>
            <w:vAlign w:val="center"/>
          </w:tcPr>
          <w:p w14:paraId="501A798B">
            <w:pPr>
              <w:jc w:val="center"/>
              <w:rPr>
                <w:rFonts w:hint="eastAsia"/>
                <w:color w:val="000000"/>
              </w:rPr>
            </w:pPr>
            <w:r>
              <w:rPr>
                <w:rFonts w:hint="eastAsia"/>
                <w:color w:val="000000"/>
              </w:rPr>
              <w:t>发现一次扣2分</w:t>
            </w:r>
          </w:p>
        </w:tc>
        <w:tc>
          <w:tcPr>
            <w:tcW w:w="1137" w:type="dxa"/>
            <w:noWrap w:val="0"/>
            <w:vAlign w:val="top"/>
          </w:tcPr>
          <w:p w14:paraId="4A10695A">
            <w:pPr>
              <w:rPr>
                <w:rFonts w:hint="eastAsia"/>
                <w:color w:val="000000"/>
              </w:rPr>
            </w:pPr>
          </w:p>
        </w:tc>
        <w:tc>
          <w:tcPr>
            <w:tcW w:w="885" w:type="dxa"/>
            <w:noWrap w:val="0"/>
            <w:vAlign w:val="top"/>
          </w:tcPr>
          <w:p w14:paraId="0A31B53B">
            <w:pPr>
              <w:rPr>
                <w:rFonts w:hint="eastAsia"/>
                <w:color w:val="000000"/>
              </w:rPr>
            </w:pPr>
          </w:p>
        </w:tc>
      </w:tr>
      <w:tr w14:paraId="3E52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3970A661">
            <w:pPr>
              <w:rPr>
                <w:rFonts w:hint="eastAsia"/>
                <w:color w:val="000000"/>
              </w:rPr>
            </w:pPr>
            <w:r>
              <w:rPr>
                <w:rFonts w:hint="eastAsia"/>
                <w:color w:val="000000"/>
              </w:rPr>
              <w:t>十二、冰箱、冷库储藏与卫生：4分</w:t>
            </w:r>
          </w:p>
        </w:tc>
      </w:tr>
      <w:tr w14:paraId="0640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396ACCF3">
            <w:pPr>
              <w:rPr>
                <w:rFonts w:hint="eastAsia"/>
                <w:color w:val="000000"/>
              </w:rPr>
            </w:pPr>
            <w:r>
              <w:rPr>
                <w:rFonts w:hint="eastAsia"/>
                <w:color w:val="000000"/>
              </w:rPr>
              <w:t>1、冰箱卫生、食品储藏应有明显的区分标志，严格做到生、熟分开，半成品与成品分开，肉类与鱼类分开，做到食品不堆积，不积压存放。并保持冰箱内外清洁卫生。定期冲洗清理冰箱，内无异物、熟食冰箱还应做到定期消毒。</w:t>
            </w:r>
          </w:p>
        </w:tc>
        <w:tc>
          <w:tcPr>
            <w:tcW w:w="840" w:type="dxa"/>
            <w:noWrap w:val="0"/>
            <w:vAlign w:val="center"/>
          </w:tcPr>
          <w:p w14:paraId="1A2E9DD1">
            <w:pPr>
              <w:jc w:val="center"/>
              <w:rPr>
                <w:rFonts w:hint="eastAsia"/>
                <w:color w:val="000000"/>
              </w:rPr>
            </w:pPr>
            <w:r>
              <w:rPr>
                <w:rFonts w:hint="eastAsia"/>
                <w:color w:val="000000"/>
              </w:rPr>
              <w:t>2</w:t>
            </w:r>
          </w:p>
        </w:tc>
        <w:tc>
          <w:tcPr>
            <w:tcW w:w="1140" w:type="dxa"/>
            <w:noWrap w:val="0"/>
            <w:vAlign w:val="center"/>
          </w:tcPr>
          <w:p w14:paraId="49638FE5">
            <w:pPr>
              <w:jc w:val="center"/>
              <w:rPr>
                <w:rFonts w:hint="eastAsia"/>
                <w:color w:val="000000"/>
              </w:rPr>
            </w:pPr>
            <w:r>
              <w:rPr>
                <w:rFonts w:hint="eastAsia"/>
                <w:color w:val="000000"/>
              </w:rPr>
              <w:t>发现一次扣2分</w:t>
            </w:r>
          </w:p>
        </w:tc>
        <w:tc>
          <w:tcPr>
            <w:tcW w:w="1137" w:type="dxa"/>
            <w:noWrap w:val="0"/>
            <w:vAlign w:val="top"/>
          </w:tcPr>
          <w:p w14:paraId="221B7E8C">
            <w:pPr>
              <w:rPr>
                <w:rFonts w:hint="eastAsia"/>
                <w:color w:val="000000"/>
              </w:rPr>
            </w:pPr>
          </w:p>
        </w:tc>
        <w:tc>
          <w:tcPr>
            <w:tcW w:w="885" w:type="dxa"/>
            <w:noWrap w:val="0"/>
            <w:vAlign w:val="top"/>
          </w:tcPr>
          <w:p w14:paraId="703FDE29">
            <w:pPr>
              <w:rPr>
                <w:rFonts w:hint="eastAsia"/>
                <w:color w:val="000000"/>
              </w:rPr>
            </w:pPr>
          </w:p>
        </w:tc>
      </w:tr>
      <w:tr w14:paraId="17DC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1D8BAD5">
            <w:pPr>
              <w:rPr>
                <w:rFonts w:hint="eastAsia"/>
                <w:color w:val="000000"/>
              </w:rPr>
            </w:pPr>
            <w:r>
              <w:rPr>
                <w:rFonts w:hint="eastAsia"/>
                <w:color w:val="000000"/>
              </w:rPr>
              <w:t>2、冷库卫生，食品储藏做到肉类、鱼类、蔬菜类分架、分库储藏，蔬菜类不随意堆放在一起，并做到有计划进货，防止积压，而且要保持冷库清洁卫生定期打扫、无异味。</w:t>
            </w:r>
          </w:p>
        </w:tc>
        <w:tc>
          <w:tcPr>
            <w:tcW w:w="840" w:type="dxa"/>
            <w:noWrap w:val="0"/>
            <w:vAlign w:val="center"/>
          </w:tcPr>
          <w:p w14:paraId="4E7A26F3">
            <w:pPr>
              <w:jc w:val="center"/>
              <w:rPr>
                <w:rFonts w:hint="eastAsia"/>
                <w:color w:val="000000"/>
              </w:rPr>
            </w:pPr>
            <w:r>
              <w:rPr>
                <w:rFonts w:hint="eastAsia"/>
                <w:color w:val="000000"/>
              </w:rPr>
              <w:t>2</w:t>
            </w:r>
          </w:p>
        </w:tc>
        <w:tc>
          <w:tcPr>
            <w:tcW w:w="1140" w:type="dxa"/>
            <w:noWrap w:val="0"/>
            <w:vAlign w:val="center"/>
          </w:tcPr>
          <w:p w14:paraId="51ECC9FE">
            <w:pPr>
              <w:jc w:val="center"/>
              <w:rPr>
                <w:rFonts w:hint="eastAsia"/>
                <w:color w:val="000000"/>
              </w:rPr>
            </w:pPr>
            <w:r>
              <w:rPr>
                <w:rFonts w:hint="eastAsia"/>
                <w:color w:val="000000"/>
              </w:rPr>
              <w:t>发现一次扣2分</w:t>
            </w:r>
          </w:p>
        </w:tc>
        <w:tc>
          <w:tcPr>
            <w:tcW w:w="1137" w:type="dxa"/>
            <w:noWrap w:val="0"/>
            <w:vAlign w:val="top"/>
          </w:tcPr>
          <w:p w14:paraId="5341FDC4">
            <w:pPr>
              <w:rPr>
                <w:rFonts w:hint="eastAsia"/>
                <w:color w:val="000000"/>
              </w:rPr>
            </w:pPr>
          </w:p>
        </w:tc>
        <w:tc>
          <w:tcPr>
            <w:tcW w:w="885" w:type="dxa"/>
            <w:noWrap w:val="0"/>
            <w:vAlign w:val="top"/>
          </w:tcPr>
          <w:p w14:paraId="54E66BA7">
            <w:pPr>
              <w:rPr>
                <w:rFonts w:hint="eastAsia"/>
                <w:color w:val="000000"/>
              </w:rPr>
            </w:pPr>
          </w:p>
        </w:tc>
      </w:tr>
      <w:tr w14:paraId="4B31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2AC6611C">
            <w:pPr>
              <w:rPr>
                <w:rFonts w:hint="eastAsia"/>
                <w:color w:val="000000"/>
              </w:rPr>
            </w:pPr>
            <w:r>
              <w:rPr>
                <w:rFonts w:hint="eastAsia"/>
                <w:color w:val="000000"/>
              </w:rPr>
              <w:t>十三、个人卫生：6分</w:t>
            </w:r>
          </w:p>
        </w:tc>
      </w:tr>
      <w:tr w14:paraId="2527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06810AB">
            <w:pPr>
              <w:numPr>
                <w:ilvl w:val="0"/>
                <w:numId w:val="4"/>
              </w:numPr>
              <w:rPr>
                <w:rFonts w:hint="eastAsia"/>
                <w:color w:val="000000"/>
              </w:rPr>
            </w:pPr>
            <w:r>
              <w:rPr>
                <w:rFonts w:hint="eastAsia"/>
                <w:color w:val="000000"/>
              </w:rPr>
              <w:t>工作人员个人卫生必须做到“四勤”（勤洗工作服、勤理发、勤洗澡、勤洗手剪指甲），上班时仪容仪表整洁，穿工作服戴工作帽，工作场所及操作时不吸烟、不戴金银首饰，并做到开饭前、便后洗手消毒，养成良好习惯。</w:t>
            </w:r>
          </w:p>
        </w:tc>
        <w:tc>
          <w:tcPr>
            <w:tcW w:w="840" w:type="dxa"/>
            <w:noWrap w:val="0"/>
            <w:vAlign w:val="center"/>
          </w:tcPr>
          <w:p w14:paraId="2A4BEFD7">
            <w:pPr>
              <w:jc w:val="center"/>
              <w:rPr>
                <w:rFonts w:hint="eastAsia"/>
                <w:color w:val="000000"/>
              </w:rPr>
            </w:pPr>
            <w:r>
              <w:rPr>
                <w:rFonts w:hint="eastAsia"/>
                <w:color w:val="000000"/>
              </w:rPr>
              <w:t>2</w:t>
            </w:r>
          </w:p>
        </w:tc>
        <w:tc>
          <w:tcPr>
            <w:tcW w:w="1140" w:type="dxa"/>
            <w:noWrap w:val="0"/>
            <w:vAlign w:val="center"/>
          </w:tcPr>
          <w:p w14:paraId="5E8AB65F">
            <w:pPr>
              <w:jc w:val="center"/>
              <w:rPr>
                <w:rFonts w:hint="eastAsia"/>
                <w:color w:val="000000"/>
              </w:rPr>
            </w:pPr>
            <w:r>
              <w:rPr>
                <w:rFonts w:hint="eastAsia"/>
                <w:color w:val="000000"/>
              </w:rPr>
              <w:t>发现一次扣2分</w:t>
            </w:r>
          </w:p>
        </w:tc>
        <w:tc>
          <w:tcPr>
            <w:tcW w:w="1137" w:type="dxa"/>
            <w:noWrap w:val="0"/>
            <w:vAlign w:val="top"/>
          </w:tcPr>
          <w:p w14:paraId="2A50EE12">
            <w:pPr>
              <w:rPr>
                <w:rFonts w:hint="eastAsia"/>
                <w:color w:val="000000"/>
              </w:rPr>
            </w:pPr>
          </w:p>
        </w:tc>
        <w:tc>
          <w:tcPr>
            <w:tcW w:w="885" w:type="dxa"/>
            <w:noWrap w:val="0"/>
            <w:vAlign w:val="top"/>
          </w:tcPr>
          <w:p w14:paraId="41E15ACE">
            <w:pPr>
              <w:rPr>
                <w:rFonts w:hint="eastAsia"/>
                <w:color w:val="000000"/>
              </w:rPr>
            </w:pPr>
          </w:p>
        </w:tc>
      </w:tr>
      <w:tr w14:paraId="7A3D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3DAE9E8">
            <w:pPr>
              <w:rPr>
                <w:rFonts w:hint="eastAsia"/>
                <w:color w:val="000000"/>
              </w:rPr>
            </w:pPr>
            <w:r>
              <w:rPr>
                <w:rFonts w:hint="eastAsia"/>
                <w:color w:val="000000"/>
              </w:rPr>
              <w:t>2、站窗口开饭人员必须仪容整洁，穿工作服（进熟食间做好二次更衣）、戴工作帽、戴口罩、手套、出售面食点心有专用工具。</w:t>
            </w:r>
          </w:p>
        </w:tc>
        <w:tc>
          <w:tcPr>
            <w:tcW w:w="840" w:type="dxa"/>
            <w:noWrap w:val="0"/>
            <w:vAlign w:val="center"/>
          </w:tcPr>
          <w:p w14:paraId="689122F5">
            <w:pPr>
              <w:jc w:val="center"/>
              <w:rPr>
                <w:rFonts w:hint="eastAsia"/>
                <w:color w:val="000000"/>
              </w:rPr>
            </w:pPr>
            <w:r>
              <w:rPr>
                <w:rFonts w:hint="eastAsia"/>
                <w:color w:val="000000"/>
              </w:rPr>
              <w:t>2</w:t>
            </w:r>
          </w:p>
        </w:tc>
        <w:tc>
          <w:tcPr>
            <w:tcW w:w="1140" w:type="dxa"/>
            <w:noWrap w:val="0"/>
            <w:vAlign w:val="center"/>
          </w:tcPr>
          <w:p w14:paraId="508FAFA2">
            <w:pPr>
              <w:jc w:val="center"/>
              <w:rPr>
                <w:rFonts w:hint="eastAsia"/>
                <w:color w:val="000000"/>
              </w:rPr>
            </w:pPr>
            <w:r>
              <w:rPr>
                <w:rFonts w:hint="eastAsia"/>
                <w:color w:val="000000"/>
              </w:rPr>
              <w:t>发现一次扣2分</w:t>
            </w:r>
          </w:p>
        </w:tc>
        <w:tc>
          <w:tcPr>
            <w:tcW w:w="1137" w:type="dxa"/>
            <w:noWrap w:val="0"/>
            <w:vAlign w:val="top"/>
          </w:tcPr>
          <w:p w14:paraId="2DFBA363">
            <w:pPr>
              <w:rPr>
                <w:rFonts w:hint="eastAsia"/>
                <w:color w:val="000000"/>
              </w:rPr>
            </w:pPr>
          </w:p>
        </w:tc>
        <w:tc>
          <w:tcPr>
            <w:tcW w:w="885" w:type="dxa"/>
            <w:noWrap w:val="0"/>
            <w:vAlign w:val="top"/>
          </w:tcPr>
          <w:p w14:paraId="5E28D35F">
            <w:pPr>
              <w:rPr>
                <w:rFonts w:hint="eastAsia"/>
                <w:color w:val="000000"/>
              </w:rPr>
            </w:pPr>
          </w:p>
        </w:tc>
      </w:tr>
      <w:tr w14:paraId="13FF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0BD8FD64">
            <w:pPr>
              <w:rPr>
                <w:rFonts w:hint="eastAsia"/>
                <w:color w:val="000000"/>
              </w:rPr>
            </w:pPr>
            <w:r>
              <w:rPr>
                <w:rFonts w:hint="eastAsia"/>
                <w:color w:val="000000"/>
              </w:rPr>
              <w:t>3、配菜员病区订送饭菜时仪容整洁，穿工作服、佩戴胸牌、戴工作帽，开饭时戴口罩、手套、发放面食点心有专用工具；出售熟食或打包不用手或戴手套手直接接触熟食。</w:t>
            </w:r>
          </w:p>
        </w:tc>
        <w:tc>
          <w:tcPr>
            <w:tcW w:w="840" w:type="dxa"/>
            <w:noWrap w:val="0"/>
            <w:vAlign w:val="center"/>
          </w:tcPr>
          <w:p w14:paraId="0F00C2ED">
            <w:pPr>
              <w:jc w:val="center"/>
              <w:rPr>
                <w:rFonts w:hint="eastAsia"/>
                <w:color w:val="000000"/>
              </w:rPr>
            </w:pPr>
            <w:r>
              <w:rPr>
                <w:rFonts w:hint="eastAsia"/>
                <w:color w:val="000000"/>
              </w:rPr>
              <w:t>2</w:t>
            </w:r>
          </w:p>
        </w:tc>
        <w:tc>
          <w:tcPr>
            <w:tcW w:w="1140" w:type="dxa"/>
            <w:noWrap w:val="0"/>
            <w:vAlign w:val="center"/>
          </w:tcPr>
          <w:p w14:paraId="2E39C535">
            <w:pPr>
              <w:jc w:val="center"/>
              <w:rPr>
                <w:rFonts w:hint="eastAsia"/>
                <w:color w:val="000000"/>
              </w:rPr>
            </w:pPr>
            <w:r>
              <w:rPr>
                <w:rFonts w:hint="eastAsia"/>
                <w:color w:val="000000"/>
              </w:rPr>
              <w:t>发现一次扣2分</w:t>
            </w:r>
          </w:p>
        </w:tc>
        <w:tc>
          <w:tcPr>
            <w:tcW w:w="1137" w:type="dxa"/>
            <w:noWrap w:val="0"/>
            <w:vAlign w:val="top"/>
          </w:tcPr>
          <w:p w14:paraId="66E5487E">
            <w:pPr>
              <w:rPr>
                <w:rFonts w:hint="eastAsia"/>
                <w:color w:val="000000"/>
              </w:rPr>
            </w:pPr>
          </w:p>
        </w:tc>
        <w:tc>
          <w:tcPr>
            <w:tcW w:w="885" w:type="dxa"/>
            <w:noWrap w:val="0"/>
            <w:vAlign w:val="top"/>
          </w:tcPr>
          <w:p w14:paraId="7A6B3E75">
            <w:pPr>
              <w:rPr>
                <w:rFonts w:hint="eastAsia"/>
                <w:color w:val="000000"/>
              </w:rPr>
            </w:pPr>
          </w:p>
        </w:tc>
      </w:tr>
      <w:tr w14:paraId="0C11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4925A34D">
            <w:pPr>
              <w:rPr>
                <w:rFonts w:hint="eastAsia"/>
                <w:color w:val="000000"/>
              </w:rPr>
            </w:pPr>
            <w:r>
              <w:rPr>
                <w:rFonts w:hint="eastAsia"/>
                <w:color w:val="000000"/>
                <w:lang w:eastAsia="zh-CN"/>
              </w:rPr>
              <w:t>十四、</w:t>
            </w:r>
            <w:r>
              <w:rPr>
                <w:rFonts w:hint="eastAsia"/>
                <w:color w:val="000000"/>
              </w:rPr>
              <w:t>仓库卫生：6分</w:t>
            </w:r>
          </w:p>
        </w:tc>
      </w:tr>
      <w:tr w14:paraId="0CD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4E6409D5">
            <w:pPr>
              <w:rPr>
                <w:rFonts w:hint="eastAsia"/>
                <w:color w:val="000000"/>
              </w:rPr>
            </w:pPr>
            <w:r>
              <w:rPr>
                <w:rFonts w:hint="eastAsia"/>
                <w:color w:val="000000"/>
              </w:rPr>
              <w:t>1、仓库卫生应保持整洁，规范操作，物品储藏应做到隔地、隔墙分类分架摆放有序，有明显标志，仓库采购应有计划备储，不积压物品。无过期、变质物品。</w:t>
            </w:r>
          </w:p>
        </w:tc>
        <w:tc>
          <w:tcPr>
            <w:tcW w:w="840" w:type="dxa"/>
            <w:noWrap w:val="0"/>
            <w:vAlign w:val="center"/>
          </w:tcPr>
          <w:p w14:paraId="2A449CFC">
            <w:pPr>
              <w:jc w:val="center"/>
              <w:rPr>
                <w:rFonts w:hint="eastAsia"/>
                <w:color w:val="000000"/>
              </w:rPr>
            </w:pPr>
            <w:r>
              <w:rPr>
                <w:rFonts w:hint="eastAsia"/>
                <w:color w:val="000000"/>
              </w:rPr>
              <w:t>2</w:t>
            </w:r>
          </w:p>
        </w:tc>
        <w:tc>
          <w:tcPr>
            <w:tcW w:w="1140" w:type="dxa"/>
            <w:noWrap w:val="0"/>
            <w:vAlign w:val="center"/>
          </w:tcPr>
          <w:p w14:paraId="730CC246">
            <w:pPr>
              <w:jc w:val="center"/>
              <w:rPr>
                <w:rFonts w:hint="eastAsia"/>
                <w:color w:val="000000"/>
              </w:rPr>
            </w:pPr>
            <w:r>
              <w:rPr>
                <w:rFonts w:hint="eastAsia"/>
                <w:color w:val="000000"/>
              </w:rPr>
              <w:t>发现一次扣2分</w:t>
            </w:r>
          </w:p>
        </w:tc>
        <w:tc>
          <w:tcPr>
            <w:tcW w:w="1137" w:type="dxa"/>
            <w:noWrap w:val="0"/>
            <w:vAlign w:val="top"/>
          </w:tcPr>
          <w:p w14:paraId="0B58B5C1">
            <w:pPr>
              <w:rPr>
                <w:rFonts w:hint="eastAsia"/>
                <w:color w:val="000000"/>
              </w:rPr>
            </w:pPr>
          </w:p>
        </w:tc>
        <w:tc>
          <w:tcPr>
            <w:tcW w:w="885" w:type="dxa"/>
            <w:noWrap w:val="0"/>
            <w:vAlign w:val="top"/>
          </w:tcPr>
          <w:p w14:paraId="26C41BCA">
            <w:pPr>
              <w:rPr>
                <w:rFonts w:hint="eastAsia"/>
                <w:color w:val="000000"/>
              </w:rPr>
            </w:pPr>
          </w:p>
        </w:tc>
      </w:tr>
      <w:tr w14:paraId="068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7905DFF">
            <w:pPr>
              <w:rPr>
                <w:rFonts w:hint="eastAsia"/>
                <w:color w:val="000000"/>
              </w:rPr>
            </w:pPr>
            <w:r>
              <w:rPr>
                <w:rFonts w:hint="eastAsia"/>
                <w:color w:val="000000"/>
              </w:rPr>
              <w:t>2、禁止“三无”产品进入仓库。</w:t>
            </w:r>
          </w:p>
        </w:tc>
        <w:tc>
          <w:tcPr>
            <w:tcW w:w="840" w:type="dxa"/>
            <w:noWrap w:val="0"/>
            <w:vAlign w:val="center"/>
          </w:tcPr>
          <w:p w14:paraId="6ACDBC16">
            <w:pPr>
              <w:jc w:val="center"/>
              <w:rPr>
                <w:rFonts w:hint="eastAsia"/>
                <w:color w:val="000000"/>
              </w:rPr>
            </w:pPr>
            <w:r>
              <w:rPr>
                <w:rFonts w:hint="eastAsia"/>
                <w:color w:val="000000"/>
              </w:rPr>
              <w:t>2</w:t>
            </w:r>
          </w:p>
        </w:tc>
        <w:tc>
          <w:tcPr>
            <w:tcW w:w="1140" w:type="dxa"/>
            <w:noWrap w:val="0"/>
            <w:vAlign w:val="center"/>
          </w:tcPr>
          <w:p w14:paraId="1EDE1DD8">
            <w:pPr>
              <w:jc w:val="center"/>
              <w:rPr>
                <w:rFonts w:hint="eastAsia"/>
                <w:color w:val="000000"/>
              </w:rPr>
            </w:pPr>
            <w:r>
              <w:rPr>
                <w:rFonts w:hint="eastAsia"/>
                <w:color w:val="000000"/>
              </w:rPr>
              <w:t>发现一次扣2分</w:t>
            </w:r>
          </w:p>
        </w:tc>
        <w:tc>
          <w:tcPr>
            <w:tcW w:w="1137" w:type="dxa"/>
            <w:noWrap w:val="0"/>
            <w:vAlign w:val="top"/>
          </w:tcPr>
          <w:p w14:paraId="2B9C261B">
            <w:pPr>
              <w:rPr>
                <w:rFonts w:hint="eastAsia"/>
                <w:color w:val="000000"/>
              </w:rPr>
            </w:pPr>
          </w:p>
        </w:tc>
        <w:tc>
          <w:tcPr>
            <w:tcW w:w="885" w:type="dxa"/>
            <w:noWrap w:val="0"/>
            <w:vAlign w:val="top"/>
          </w:tcPr>
          <w:p w14:paraId="4C476E37">
            <w:pPr>
              <w:rPr>
                <w:rFonts w:hint="eastAsia"/>
                <w:color w:val="000000"/>
              </w:rPr>
            </w:pPr>
          </w:p>
        </w:tc>
      </w:tr>
      <w:tr w14:paraId="460C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1C75B534">
            <w:pPr>
              <w:rPr>
                <w:rFonts w:hint="eastAsia"/>
                <w:color w:val="000000"/>
              </w:rPr>
            </w:pPr>
            <w:r>
              <w:rPr>
                <w:rFonts w:hint="eastAsia"/>
                <w:color w:val="000000"/>
              </w:rPr>
              <w:t>3、做好防鼠、防潮、防蟑螂措施。</w:t>
            </w:r>
          </w:p>
        </w:tc>
        <w:tc>
          <w:tcPr>
            <w:tcW w:w="840" w:type="dxa"/>
            <w:noWrap w:val="0"/>
            <w:vAlign w:val="center"/>
          </w:tcPr>
          <w:p w14:paraId="481484ED">
            <w:pPr>
              <w:jc w:val="center"/>
              <w:rPr>
                <w:rFonts w:hint="eastAsia"/>
                <w:color w:val="000000"/>
              </w:rPr>
            </w:pPr>
            <w:r>
              <w:rPr>
                <w:rFonts w:hint="eastAsia"/>
                <w:color w:val="000000"/>
              </w:rPr>
              <w:t>2</w:t>
            </w:r>
          </w:p>
        </w:tc>
        <w:tc>
          <w:tcPr>
            <w:tcW w:w="1140" w:type="dxa"/>
            <w:noWrap w:val="0"/>
            <w:vAlign w:val="center"/>
          </w:tcPr>
          <w:p w14:paraId="6CC7E3E5">
            <w:pPr>
              <w:jc w:val="center"/>
              <w:rPr>
                <w:rFonts w:hint="eastAsia"/>
                <w:color w:val="000000"/>
              </w:rPr>
            </w:pPr>
            <w:r>
              <w:rPr>
                <w:rFonts w:hint="eastAsia"/>
                <w:color w:val="000000"/>
              </w:rPr>
              <w:t>发现一次扣2分</w:t>
            </w:r>
          </w:p>
        </w:tc>
        <w:tc>
          <w:tcPr>
            <w:tcW w:w="1137" w:type="dxa"/>
            <w:noWrap w:val="0"/>
            <w:vAlign w:val="top"/>
          </w:tcPr>
          <w:p w14:paraId="401E01A8">
            <w:pPr>
              <w:rPr>
                <w:rFonts w:hint="eastAsia"/>
                <w:color w:val="000000"/>
              </w:rPr>
            </w:pPr>
          </w:p>
        </w:tc>
        <w:tc>
          <w:tcPr>
            <w:tcW w:w="885" w:type="dxa"/>
            <w:noWrap w:val="0"/>
            <w:vAlign w:val="top"/>
          </w:tcPr>
          <w:p w14:paraId="02520A06">
            <w:pPr>
              <w:rPr>
                <w:rFonts w:hint="eastAsia"/>
                <w:color w:val="000000"/>
              </w:rPr>
            </w:pPr>
          </w:p>
        </w:tc>
      </w:tr>
      <w:tr w14:paraId="1C7B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5"/>
            <w:noWrap w:val="0"/>
            <w:vAlign w:val="top"/>
          </w:tcPr>
          <w:p w14:paraId="499521E9">
            <w:pPr>
              <w:rPr>
                <w:rFonts w:hint="eastAsia"/>
                <w:color w:val="000000"/>
              </w:rPr>
            </w:pPr>
            <w:r>
              <w:rPr>
                <w:rFonts w:hint="eastAsia"/>
                <w:color w:val="000000"/>
              </w:rPr>
              <w:t>十五、更衣室卫生：2分</w:t>
            </w:r>
          </w:p>
        </w:tc>
      </w:tr>
      <w:tr w14:paraId="72EB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67A19C5F">
            <w:pPr>
              <w:rPr>
                <w:rFonts w:hint="eastAsia"/>
                <w:color w:val="000000"/>
              </w:rPr>
            </w:pPr>
            <w:r>
              <w:rPr>
                <w:rFonts w:hint="eastAsia"/>
                <w:color w:val="000000"/>
              </w:rPr>
              <w:t>1、男女更衣室应保持卫生整洁，衣服鞋子摆放有序，无杂物堆放、无异味。</w:t>
            </w:r>
          </w:p>
        </w:tc>
        <w:tc>
          <w:tcPr>
            <w:tcW w:w="840" w:type="dxa"/>
            <w:noWrap w:val="0"/>
            <w:vAlign w:val="center"/>
          </w:tcPr>
          <w:p w14:paraId="57FE3E9A">
            <w:pPr>
              <w:jc w:val="center"/>
              <w:rPr>
                <w:rFonts w:hint="eastAsia"/>
                <w:color w:val="000000"/>
              </w:rPr>
            </w:pPr>
            <w:r>
              <w:rPr>
                <w:rFonts w:hint="eastAsia"/>
                <w:color w:val="000000"/>
              </w:rPr>
              <w:t>1</w:t>
            </w:r>
          </w:p>
        </w:tc>
        <w:tc>
          <w:tcPr>
            <w:tcW w:w="1140" w:type="dxa"/>
            <w:noWrap w:val="0"/>
            <w:vAlign w:val="center"/>
          </w:tcPr>
          <w:p w14:paraId="2DF006E3">
            <w:pPr>
              <w:jc w:val="center"/>
              <w:rPr>
                <w:rFonts w:hint="eastAsia"/>
                <w:color w:val="000000"/>
              </w:rPr>
            </w:pPr>
            <w:r>
              <w:rPr>
                <w:rFonts w:hint="eastAsia"/>
                <w:color w:val="000000"/>
              </w:rPr>
              <w:t>发现一次扣1分</w:t>
            </w:r>
          </w:p>
        </w:tc>
        <w:tc>
          <w:tcPr>
            <w:tcW w:w="1137" w:type="dxa"/>
            <w:noWrap w:val="0"/>
            <w:vAlign w:val="top"/>
          </w:tcPr>
          <w:p w14:paraId="70429A24">
            <w:pPr>
              <w:rPr>
                <w:rFonts w:hint="eastAsia"/>
                <w:color w:val="000000"/>
              </w:rPr>
            </w:pPr>
          </w:p>
        </w:tc>
        <w:tc>
          <w:tcPr>
            <w:tcW w:w="885" w:type="dxa"/>
            <w:noWrap w:val="0"/>
            <w:vAlign w:val="top"/>
          </w:tcPr>
          <w:p w14:paraId="48E8855A">
            <w:pPr>
              <w:rPr>
                <w:rFonts w:hint="eastAsia"/>
                <w:color w:val="000000"/>
              </w:rPr>
            </w:pPr>
          </w:p>
        </w:tc>
      </w:tr>
      <w:tr w14:paraId="0D69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noWrap w:val="0"/>
            <w:vAlign w:val="top"/>
          </w:tcPr>
          <w:p w14:paraId="56AAB3AF">
            <w:pPr>
              <w:rPr>
                <w:rFonts w:hint="eastAsia"/>
                <w:color w:val="000000"/>
              </w:rPr>
            </w:pPr>
            <w:r>
              <w:rPr>
                <w:rFonts w:hint="eastAsia"/>
                <w:color w:val="000000"/>
              </w:rPr>
              <w:t>2、有专人打扫、随时整理。</w:t>
            </w:r>
          </w:p>
        </w:tc>
        <w:tc>
          <w:tcPr>
            <w:tcW w:w="840" w:type="dxa"/>
            <w:noWrap w:val="0"/>
            <w:vAlign w:val="center"/>
          </w:tcPr>
          <w:p w14:paraId="5B4071E4">
            <w:pPr>
              <w:jc w:val="center"/>
              <w:rPr>
                <w:rFonts w:hint="eastAsia"/>
                <w:color w:val="000000"/>
              </w:rPr>
            </w:pPr>
            <w:r>
              <w:rPr>
                <w:rFonts w:hint="eastAsia"/>
                <w:color w:val="000000"/>
              </w:rPr>
              <w:t>1</w:t>
            </w:r>
          </w:p>
        </w:tc>
        <w:tc>
          <w:tcPr>
            <w:tcW w:w="1140" w:type="dxa"/>
            <w:noWrap w:val="0"/>
            <w:vAlign w:val="center"/>
          </w:tcPr>
          <w:p w14:paraId="2EAA0743">
            <w:pPr>
              <w:jc w:val="center"/>
              <w:rPr>
                <w:rFonts w:hint="eastAsia"/>
                <w:color w:val="000000"/>
              </w:rPr>
            </w:pPr>
            <w:r>
              <w:rPr>
                <w:rFonts w:hint="eastAsia"/>
                <w:color w:val="000000"/>
              </w:rPr>
              <w:t>发现一次扣1分</w:t>
            </w:r>
          </w:p>
        </w:tc>
        <w:tc>
          <w:tcPr>
            <w:tcW w:w="1137" w:type="dxa"/>
            <w:noWrap w:val="0"/>
            <w:vAlign w:val="top"/>
          </w:tcPr>
          <w:p w14:paraId="1E90F4E2">
            <w:pPr>
              <w:rPr>
                <w:rFonts w:hint="eastAsia"/>
                <w:color w:val="000000"/>
              </w:rPr>
            </w:pPr>
          </w:p>
        </w:tc>
        <w:tc>
          <w:tcPr>
            <w:tcW w:w="885" w:type="dxa"/>
            <w:noWrap w:val="0"/>
            <w:vAlign w:val="top"/>
          </w:tcPr>
          <w:p w14:paraId="3EE5688D">
            <w:pPr>
              <w:rPr>
                <w:rFonts w:hint="eastAsia"/>
                <w:color w:val="000000"/>
              </w:rPr>
            </w:pPr>
          </w:p>
        </w:tc>
      </w:tr>
      <w:tr w14:paraId="1DEA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370" w:type="dxa"/>
            <w:noWrap w:val="0"/>
            <w:vAlign w:val="center"/>
          </w:tcPr>
          <w:p w14:paraId="006FDB1C">
            <w:pPr>
              <w:jc w:val="center"/>
              <w:rPr>
                <w:rFonts w:hint="eastAsia"/>
                <w:color w:val="000000"/>
              </w:rPr>
            </w:pPr>
            <w:r>
              <w:rPr>
                <w:rFonts w:hint="eastAsia"/>
                <w:color w:val="000000"/>
              </w:rPr>
              <w:t>总分</w:t>
            </w:r>
          </w:p>
        </w:tc>
        <w:tc>
          <w:tcPr>
            <w:tcW w:w="840" w:type="dxa"/>
            <w:noWrap w:val="0"/>
            <w:vAlign w:val="center"/>
          </w:tcPr>
          <w:p w14:paraId="4A7D8BEE">
            <w:pPr>
              <w:jc w:val="center"/>
              <w:rPr>
                <w:rFonts w:hint="eastAsia"/>
                <w:color w:val="000000"/>
              </w:rPr>
            </w:pPr>
            <w:r>
              <w:rPr>
                <w:rFonts w:hint="eastAsia"/>
                <w:color w:val="000000"/>
              </w:rPr>
              <w:t>100</w:t>
            </w:r>
          </w:p>
        </w:tc>
        <w:tc>
          <w:tcPr>
            <w:tcW w:w="1140" w:type="dxa"/>
            <w:noWrap w:val="0"/>
            <w:vAlign w:val="center"/>
          </w:tcPr>
          <w:p w14:paraId="540FA47B">
            <w:pPr>
              <w:jc w:val="center"/>
              <w:rPr>
                <w:rFonts w:hint="eastAsia"/>
                <w:color w:val="000000"/>
              </w:rPr>
            </w:pPr>
          </w:p>
        </w:tc>
        <w:tc>
          <w:tcPr>
            <w:tcW w:w="1137" w:type="dxa"/>
            <w:noWrap w:val="0"/>
            <w:vAlign w:val="center"/>
          </w:tcPr>
          <w:p w14:paraId="330F659B">
            <w:pPr>
              <w:jc w:val="center"/>
              <w:rPr>
                <w:rFonts w:hint="eastAsia"/>
                <w:color w:val="000000"/>
              </w:rPr>
            </w:pPr>
          </w:p>
        </w:tc>
        <w:tc>
          <w:tcPr>
            <w:tcW w:w="885" w:type="dxa"/>
            <w:noWrap w:val="0"/>
            <w:vAlign w:val="center"/>
          </w:tcPr>
          <w:p w14:paraId="62168152">
            <w:pPr>
              <w:jc w:val="center"/>
              <w:rPr>
                <w:rFonts w:hint="eastAsia"/>
                <w:color w:val="000000"/>
              </w:rPr>
            </w:pPr>
          </w:p>
        </w:tc>
      </w:tr>
    </w:tbl>
    <w:p w14:paraId="7917F67C">
      <w:pPr>
        <w:rPr>
          <w:sz w:val="21"/>
          <w:szCs w:val="21"/>
        </w:rPr>
      </w:pPr>
    </w:p>
    <w:p w14:paraId="7457C2D3">
      <w:pPr>
        <w:spacing w:line="360" w:lineRule="auto"/>
        <w:rPr>
          <w:rFonts w:hint="eastAsia" w:ascii="宋体" w:hAnsi="宋体" w:cs="宋体"/>
          <w:color w:val="auto"/>
          <w:sz w:val="21"/>
          <w:szCs w:val="21"/>
          <w:highlight w:val="none"/>
        </w:rPr>
      </w:pPr>
    </w:p>
    <w:p w14:paraId="3E86C580">
      <w:pPr>
        <w:spacing w:line="360" w:lineRule="auto"/>
        <w:rPr>
          <w:rFonts w:hint="eastAsia" w:ascii="宋体" w:hAnsi="宋体" w:cs="宋体"/>
          <w:color w:val="auto"/>
          <w:sz w:val="21"/>
          <w:szCs w:val="21"/>
          <w:highlight w:val="none"/>
        </w:rPr>
      </w:pPr>
    </w:p>
    <w:p w14:paraId="10BD159F">
      <w:pPr>
        <w:spacing w:line="360" w:lineRule="auto"/>
        <w:rPr>
          <w:rFonts w:hint="eastAsia" w:ascii="宋体" w:hAnsi="宋体" w:eastAsia="宋体" w:cs="宋体"/>
          <w:b/>
          <w:color w:val="auto"/>
          <w:szCs w:val="21"/>
          <w:highlight w:val="none"/>
          <w:lang w:eastAsia="zh-CN" w:bidi="ar"/>
        </w:rPr>
      </w:pPr>
      <w:r>
        <w:rPr>
          <w:rFonts w:hint="eastAsia" w:ascii="宋体" w:hAnsi="宋体" w:cs="宋体"/>
          <w:color w:val="auto"/>
          <w:sz w:val="21"/>
          <w:szCs w:val="21"/>
          <w:highlight w:val="none"/>
        </w:rPr>
        <w:t>▲</w:t>
      </w: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重要商务要求一览表</w:t>
      </w:r>
    </w:p>
    <w:tbl>
      <w:tblPr>
        <w:tblStyle w:val="16"/>
        <w:tblW w:w="84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70D27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7B6228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bookmarkStart w:id="29" w:name="_Toc513103337"/>
            <w:r>
              <w:rPr>
                <w:rFonts w:hint="eastAsia" w:ascii="宋体" w:hAnsi="宋体" w:eastAsia="宋体" w:cs="宋体"/>
                <w:b/>
                <w:bCs/>
                <w:color w:val="auto"/>
                <w:sz w:val="21"/>
                <w:szCs w:val="21"/>
                <w:highlight w:val="none"/>
              </w:rPr>
              <w:t>项目</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2D2E4F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14:paraId="43796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D16545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服务期限及地点</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34D8DF2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）服务期限：详见第一章 《公开招标公告》。</w:t>
            </w:r>
          </w:p>
          <w:p w14:paraId="01E2906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）实施地点：采购人指定地点。</w:t>
            </w:r>
          </w:p>
        </w:tc>
      </w:tr>
      <w:tr w14:paraId="1F9C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69EECA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5A8D08DA">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付款方法和条件：</w:t>
            </w:r>
          </w:p>
          <w:p w14:paraId="1FF479D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bCs/>
                <w:szCs w:val="32"/>
                <w:highlight w:val="none"/>
                <w:lang w:eastAsia="zh-CN"/>
              </w:rPr>
              <w:t>付款方式：每月度末根据采购人确认的工作完成情况，在次月的10日前支付上月食堂外包服务管理费。</w:t>
            </w:r>
          </w:p>
        </w:tc>
      </w:tr>
      <w:tr w14:paraId="5FED0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05B271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7148898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履约保证金的收取及退还：</w:t>
            </w:r>
          </w:p>
          <w:p w14:paraId="036D56B1">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lang w:eastAsia="zh-CN"/>
              </w:rPr>
              <w:t>合同总价的</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p>
          <w:p w14:paraId="4A0BB74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14:paraId="1B17A898">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人有权从履约保证金中得到相应补偿）。</w:t>
            </w:r>
          </w:p>
        </w:tc>
      </w:tr>
      <w:tr w14:paraId="55785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33655E09">
            <w:pPr>
              <w:keepNext w:val="0"/>
              <w:keepLines w:val="0"/>
              <w:pageBreakBefore w:val="0"/>
              <w:widowControl w:val="0"/>
              <w:tabs>
                <w:tab w:val="left" w:pos="3234"/>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、合同终止</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C3305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因中标人发生重大差错事故的，采购人可有权终止协议，中标人承担全部责任。因中标方不能保证工作质量，或发生重大差错事故的，</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有权终止协议，</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rPr>
              <w:t>承担全部责任。</w:t>
            </w:r>
          </w:p>
        </w:tc>
      </w:tr>
      <w:tr w14:paraId="1083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970" w:type="dxa"/>
            <w:tcBorders>
              <w:top w:val="single" w:color="auto" w:sz="4" w:space="0"/>
              <w:left w:val="single" w:color="auto" w:sz="4" w:space="0"/>
              <w:bottom w:val="single" w:color="auto" w:sz="4" w:space="0"/>
              <w:right w:val="single" w:color="auto" w:sz="4" w:space="0"/>
            </w:tcBorders>
            <w:noWrap w:val="0"/>
            <w:vAlign w:val="center"/>
          </w:tcPr>
          <w:p w14:paraId="202DCE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对采购内容进行变更的处理</w:t>
            </w:r>
          </w:p>
        </w:tc>
        <w:tc>
          <w:tcPr>
            <w:tcW w:w="6509" w:type="dxa"/>
            <w:tcBorders>
              <w:top w:val="single" w:color="auto" w:sz="4" w:space="0"/>
              <w:left w:val="single" w:color="auto" w:sz="4" w:space="0"/>
              <w:bottom w:val="single" w:color="auto" w:sz="4" w:space="0"/>
              <w:right w:val="single" w:color="auto" w:sz="4" w:space="0"/>
            </w:tcBorders>
            <w:noWrap w:val="0"/>
            <w:vAlign w:val="center"/>
          </w:tcPr>
          <w:p w14:paraId="17B2D27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合同执行期间，因故致使本合同配置人员数量发生变更的，由采购人根据实际变更的情况，按中标单价进行增减，以联系单为准。</w:t>
            </w:r>
          </w:p>
        </w:tc>
      </w:tr>
      <w:bookmarkEnd w:id="29"/>
    </w:tbl>
    <w:p w14:paraId="77782783"/>
    <w:p w14:paraId="3EFD5C9C">
      <w:pPr>
        <w:pStyle w:val="6"/>
        <w:rPr>
          <w:rFonts w:hint="eastAsia"/>
        </w:rPr>
      </w:pPr>
    </w:p>
    <w:p w14:paraId="1D879EF2">
      <w:pPr>
        <w:spacing w:line="360" w:lineRule="auto"/>
        <w:jc w:val="center"/>
        <w:outlineLvl w:val="0"/>
        <w:rPr>
          <w:rFonts w:hint="eastAsia" w:ascii="宋体" w:hAnsi="宋体" w:cs="宋体"/>
          <w:b/>
          <w:color w:val="auto"/>
          <w:sz w:val="36"/>
          <w:szCs w:val="36"/>
          <w:highlight w:val="none"/>
        </w:rPr>
      </w:pPr>
    </w:p>
    <w:p w14:paraId="4278C396">
      <w:pPr>
        <w:spacing w:line="360" w:lineRule="auto"/>
        <w:jc w:val="center"/>
        <w:outlineLvl w:val="0"/>
        <w:rPr>
          <w:rFonts w:hint="eastAsia" w:ascii="宋体" w:hAnsi="宋体" w:cs="宋体"/>
          <w:b/>
          <w:color w:val="auto"/>
          <w:sz w:val="36"/>
          <w:szCs w:val="36"/>
          <w:highlight w:val="none"/>
        </w:rPr>
      </w:pPr>
    </w:p>
    <w:p w14:paraId="72AC8C71">
      <w:pPr>
        <w:pStyle w:val="2"/>
        <w:ind w:left="0" w:leftChars="0" w:firstLine="0" w:firstLineChars="0"/>
        <w:rPr>
          <w:rFonts w:hint="eastAsia"/>
        </w:rPr>
      </w:pPr>
    </w:p>
    <w:p w14:paraId="117BE2C9">
      <w:pPr>
        <w:rPr>
          <w:rFonts w:hint="eastAsia"/>
        </w:rPr>
      </w:pPr>
    </w:p>
    <w:p w14:paraId="0F7CC505">
      <w:pPr>
        <w:pStyle w:val="2"/>
        <w:rPr>
          <w:rFonts w:hint="eastAsia"/>
        </w:rPr>
      </w:pPr>
    </w:p>
    <w:p w14:paraId="684DF235">
      <w:pPr>
        <w:spacing w:line="360" w:lineRule="auto"/>
        <w:jc w:val="both"/>
        <w:outlineLvl w:val="0"/>
        <w:rPr>
          <w:rFonts w:hint="eastAsia" w:ascii="宋体" w:hAnsi="宋体" w:cs="宋体"/>
          <w:b/>
          <w:color w:val="auto"/>
          <w:sz w:val="36"/>
          <w:szCs w:val="36"/>
          <w:highlight w:val="none"/>
        </w:rPr>
      </w:pPr>
    </w:p>
    <w:p w14:paraId="24A78BD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2080"/>
      <w:bookmarkEnd w:id="30"/>
      <w:bookmarkStart w:id="31" w:name="_Toc184314448"/>
      <w:bookmarkEnd w:id="31"/>
      <w:bookmarkStart w:id="32" w:name="_Toc184313281"/>
      <w:bookmarkEnd w:id="32"/>
      <w:bookmarkStart w:id="33" w:name="_Toc184314433"/>
      <w:bookmarkEnd w:id="33"/>
      <w:bookmarkStart w:id="34" w:name="_Toc184310277"/>
      <w:bookmarkEnd w:id="34"/>
      <w:bookmarkStart w:id="35" w:name="_Toc184312136"/>
      <w:bookmarkEnd w:id="35"/>
      <w:bookmarkStart w:id="36" w:name="_Toc184308085"/>
      <w:bookmarkEnd w:id="36"/>
      <w:bookmarkStart w:id="37" w:name="_Toc184310279"/>
      <w:bookmarkEnd w:id="37"/>
      <w:bookmarkStart w:id="38" w:name="_Toc184313249"/>
      <w:bookmarkEnd w:id="38"/>
      <w:bookmarkStart w:id="39" w:name="_Toc184312123"/>
      <w:bookmarkEnd w:id="39"/>
      <w:bookmarkStart w:id="40" w:name="_Toc184314434"/>
      <w:bookmarkEnd w:id="40"/>
      <w:bookmarkStart w:id="41" w:name="_Toc184314420"/>
      <w:bookmarkEnd w:id="41"/>
      <w:bookmarkStart w:id="42" w:name="_Toc184310311"/>
      <w:bookmarkEnd w:id="42"/>
      <w:bookmarkStart w:id="43" w:name="_Toc184310330"/>
      <w:bookmarkEnd w:id="43"/>
      <w:bookmarkStart w:id="44" w:name="_Toc184310308"/>
      <w:bookmarkEnd w:id="44"/>
      <w:bookmarkStart w:id="45" w:name="_Toc184308038"/>
      <w:bookmarkEnd w:id="45"/>
      <w:bookmarkStart w:id="46" w:name="_Toc184313262"/>
      <w:bookmarkEnd w:id="46"/>
      <w:bookmarkStart w:id="47" w:name="_Toc184308089"/>
      <w:bookmarkEnd w:id="47"/>
      <w:bookmarkStart w:id="48" w:name="_Toc184308074"/>
      <w:bookmarkEnd w:id="48"/>
      <w:bookmarkStart w:id="49" w:name="_Toc184310295"/>
      <w:bookmarkEnd w:id="49"/>
      <w:bookmarkStart w:id="50" w:name="_Toc184314462"/>
      <w:bookmarkEnd w:id="50"/>
      <w:bookmarkStart w:id="51" w:name="_Toc184308057"/>
      <w:bookmarkEnd w:id="51"/>
      <w:bookmarkStart w:id="52" w:name="_Toc184310300"/>
      <w:bookmarkEnd w:id="52"/>
      <w:bookmarkStart w:id="53" w:name="_Toc184313274"/>
      <w:bookmarkEnd w:id="53"/>
      <w:bookmarkStart w:id="54" w:name="_Toc184313309"/>
      <w:bookmarkEnd w:id="54"/>
      <w:bookmarkStart w:id="55" w:name="_Toc184312135"/>
      <w:bookmarkEnd w:id="55"/>
      <w:bookmarkStart w:id="56" w:name="_Toc184312112"/>
      <w:bookmarkEnd w:id="56"/>
      <w:bookmarkStart w:id="57" w:name="_Toc184308090"/>
      <w:bookmarkEnd w:id="57"/>
      <w:bookmarkStart w:id="58" w:name="_Toc184313257"/>
      <w:bookmarkEnd w:id="58"/>
      <w:bookmarkStart w:id="59" w:name="_Toc184313259"/>
      <w:bookmarkEnd w:id="59"/>
      <w:bookmarkStart w:id="60" w:name="_Toc184314423"/>
      <w:bookmarkEnd w:id="60"/>
      <w:bookmarkStart w:id="61" w:name="_Toc184312068"/>
      <w:bookmarkEnd w:id="61"/>
      <w:bookmarkStart w:id="62" w:name="_Toc184312128"/>
      <w:bookmarkEnd w:id="62"/>
      <w:bookmarkStart w:id="63" w:name="_Toc184314439"/>
      <w:bookmarkEnd w:id="63"/>
      <w:bookmarkStart w:id="64" w:name="_Toc184308056"/>
      <w:bookmarkEnd w:id="64"/>
      <w:bookmarkStart w:id="65" w:name="_Toc184310304"/>
      <w:bookmarkEnd w:id="65"/>
      <w:bookmarkStart w:id="66" w:name="_Toc184310342"/>
      <w:bookmarkEnd w:id="66"/>
      <w:bookmarkStart w:id="67" w:name="_Toc184313291"/>
      <w:bookmarkEnd w:id="67"/>
      <w:bookmarkStart w:id="68" w:name="_Toc184308064"/>
      <w:bookmarkEnd w:id="68"/>
      <w:bookmarkStart w:id="69" w:name="_Toc184314437"/>
      <w:bookmarkEnd w:id="69"/>
      <w:bookmarkStart w:id="70" w:name="_Toc184312087"/>
      <w:bookmarkEnd w:id="70"/>
      <w:bookmarkStart w:id="71" w:name="_Toc184308078"/>
      <w:bookmarkEnd w:id="71"/>
      <w:bookmarkStart w:id="72" w:name="_Toc184310327"/>
      <w:bookmarkEnd w:id="72"/>
      <w:bookmarkStart w:id="73" w:name="_Toc184310321"/>
      <w:bookmarkEnd w:id="73"/>
      <w:bookmarkStart w:id="74" w:name="_Toc184312070"/>
      <w:bookmarkEnd w:id="74"/>
      <w:bookmarkStart w:id="75" w:name="_Toc184312091"/>
      <w:bookmarkEnd w:id="75"/>
      <w:bookmarkStart w:id="76" w:name="_Toc184312090"/>
      <w:bookmarkEnd w:id="76"/>
      <w:bookmarkStart w:id="77" w:name="_Toc184312130"/>
      <w:bookmarkEnd w:id="77"/>
      <w:bookmarkStart w:id="78" w:name="_Toc184310280"/>
      <w:bookmarkEnd w:id="78"/>
      <w:bookmarkStart w:id="79" w:name="_Toc184310289"/>
      <w:bookmarkEnd w:id="79"/>
      <w:bookmarkStart w:id="80" w:name="_Toc184314435"/>
      <w:bookmarkEnd w:id="80"/>
      <w:bookmarkStart w:id="81" w:name="_Toc184310305"/>
      <w:bookmarkEnd w:id="81"/>
      <w:bookmarkStart w:id="82" w:name="_Toc184310316"/>
      <w:bookmarkEnd w:id="82"/>
      <w:bookmarkStart w:id="83" w:name="_Toc184314475"/>
      <w:bookmarkEnd w:id="83"/>
      <w:bookmarkStart w:id="84" w:name="_Toc184312102"/>
      <w:bookmarkEnd w:id="84"/>
      <w:bookmarkStart w:id="85" w:name="_Toc184312071"/>
      <w:bookmarkEnd w:id="85"/>
      <w:bookmarkStart w:id="86" w:name="_Toc184312069"/>
      <w:bookmarkEnd w:id="86"/>
      <w:bookmarkStart w:id="87" w:name="_Toc184310344"/>
      <w:bookmarkEnd w:id="87"/>
      <w:bookmarkStart w:id="88" w:name="_Toc184308083"/>
      <w:bookmarkEnd w:id="88"/>
      <w:bookmarkStart w:id="89" w:name="_Toc184314425"/>
      <w:bookmarkEnd w:id="89"/>
      <w:bookmarkStart w:id="90" w:name="_Toc184314455"/>
      <w:bookmarkEnd w:id="90"/>
      <w:bookmarkStart w:id="91" w:name="_Toc184308084"/>
      <w:bookmarkEnd w:id="91"/>
      <w:bookmarkStart w:id="92" w:name="_Toc184314446"/>
      <w:bookmarkEnd w:id="92"/>
      <w:bookmarkStart w:id="93" w:name="_Toc184313300"/>
      <w:bookmarkEnd w:id="93"/>
      <w:bookmarkStart w:id="94" w:name="_Toc184312067"/>
      <w:bookmarkEnd w:id="94"/>
      <w:bookmarkStart w:id="95" w:name="_Toc184314416"/>
      <w:bookmarkEnd w:id="95"/>
      <w:bookmarkStart w:id="96" w:name="_Toc184314430"/>
      <w:bookmarkEnd w:id="96"/>
      <w:bookmarkStart w:id="97" w:name="_Toc184308050"/>
      <w:bookmarkEnd w:id="97"/>
      <w:bookmarkStart w:id="98" w:name="_Toc184308105"/>
      <w:bookmarkEnd w:id="98"/>
      <w:bookmarkStart w:id="99" w:name="_Toc184310302"/>
      <w:bookmarkEnd w:id="99"/>
      <w:bookmarkStart w:id="100" w:name="_Toc184310334"/>
      <w:bookmarkEnd w:id="100"/>
      <w:bookmarkStart w:id="101" w:name="_Toc184308104"/>
      <w:bookmarkEnd w:id="101"/>
      <w:bookmarkStart w:id="102" w:name="_Toc184313276"/>
      <w:bookmarkEnd w:id="102"/>
      <w:bookmarkStart w:id="103" w:name="_Toc184314449"/>
      <w:bookmarkEnd w:id="103"/>
      <w:bookmarkStart w:id="104" w:name="_Toc184313242"/>
      <w:bookmarkEnd w:id="104"/>
      <w:bookmarkStart w:id="105" w:name="_Toc184314429"/>
      <w:bookmarkEnd w:id="105"/>
      <w:bookmarkStart w:id="106" w:name="_Toc184314479"/>
      <w:bookmarkEnd w:id="106"/>
      <w:bookmarkStart w:id="107" w:name="_Toc184314478"/>
      <w:bookmarkEnd w:id="107"/>
      <w:bookmarkStart w:id="108" w:name="_Toc184313270"/>
      <w:bookmarkEnd w:id="108"/>
      <w:bookmarkStart w:id="109" w:name="_Toc184314453"/>
      <w:bookmarkEnd w:id="109"/>
      <w:bookmarkStart w:id="110" w:name="_Toc184314472"/>
      <w:bookmarkEnd w:id="110"/>
      <w:bookmarkStart w:id="111" w:name="_Toc184314442"/>
      <w:bookmarkEnd w:id="111"/>
      <w:bookmarkStart w:id="112" w:name="_Toc184308053"/>
      <w:bookmarkEnd w:id="112"/>
      <w:bookmarkStart w:id="113" w:name="_Toc184314460"/>
      <w:bookmarkEnd w:id="113"/>
      <w:bookmarkStart w:id="114" w:name="_Toc184310322"/>
      <w:bookmarkEnd w:id="114"/>
      <w:bookmarkStart w:id="115" w:name="_Toc184314445"/>
      <w:bookmarkEnd w:id="115"/>
      <w:bookmarkStart w:id="116" w:name="_Toc184308108"/>
      <w:bookmarkEnd w:id="116"/>
      <w:bookmarkStart w:id="117" w:name="_Toc184310293"/>
      <w:bookmarkEnd w:id="117"/>
      <w:bookmarkStart w:id="118" w:name="_Toc184314465"/>
      <w:bookmarkEnd w:id="118"/>
      <w:bookmarkStart w:id="119" w:name="_Toc184312134"/>
      <w:bookmarkEnd w:id="119"/>
      <w:bookmarkStart w:id="120" w:name="_Toc184312089"/>
      <w:bookmarkEnd w:id="120"/>
      <w:bookmarkStart w:id="121" w:name="_Toc184314431"/>
      <w:bookmarkEnd w:id="121"/>
      <w:bookmarkStart w:id="122" w:name="_Toc184308081"/>
      <w:bookmarkEnd w:id="122"/>
      <w:bookmarkStart w:id="123" w:name="_Toc184313303"/>
      <w:bookmarkEnd w:id="123"/>
      <w:bookmarkStart w:id="124" w:name="_Toc184312119"/>
      <w:bookmarkEnd w:id="124"/>
      <w:bookmarkStart w:id="125" w:name="_Toc184313265"/>
      <w:bookmarkEnd w:id="125"/>
      <w:bookmarkStart w:id="126" w:name="_Toc184310319"/>
      <w:bookmarkEnd w:id="126"/>
      <w:bookmarkStart w:id="127" w:name="_Toc184310283"/>
      <w:bookmarkEnd w:id="127"/>
      <w:bookmarkStart w:id="128" w:name="_Toc184310288"/>
      <w:bookmarkEnd w:id="128"/>
      <w:bookmarkStart w:id="129" w:name="_Toc184310298"/>
      <w:bookmarkEnd w:id="129"/>
      <w:bookmarkStart w:id="130" w:name="_Toc184314436"/>
      <w:bookmarkEnd w:id="130"/>
      <w:bookmarkStart w:id="131" w:name="_Toc184310329"/>
      <w:bookmarkEnd w:id="131"/>
      <w:bookmarkStart w:id="132" w:name="_Toc184312107"/>
      <w:bookmarkEnd w:id="132"/>
      <w:bookmarkStart w:id="133" w:name="_Toc184313305"/>
      <w:bookmarkEnd w:id="133"/>
      <w:bookmarkStart w:id="134" w:name="_Toc184312114"/>
      <w:bookmarkEnd w:id="134"/>
      <w:bookmarkStart w:id="135" w:name="_Toc184310297"/>
      <w:bookmarkEnd w:id="135"/>
      <w:bookmarkStart w:id="136" w:name="_Toc184312113"/>
      <w:bookmarkEnd w:id="136"/>
      <w:bookmarkStart w:id="137" w:name="_Toc184310275"/>
      <w:bookmarkEnd w:id="137"/>
      <w:bookmarkStart w:id="138" w:name="_Toc184312100"/>
      <w:bookmarkEnd w:id="138"/>
      <w:bookmarkStart w:id="139" w:name="_Toc184308051"/>
      <w:bookmarkEnd w:id="139"/>
      <w:bookmarkStart w:id="140" w:name="_Toc184313256"/>
      <w:bookmarkEnd w:id="140"/>
      <w:bookmarkStart w:id="141" w:name="_Toc184314414"/>
      <w:bookmarkEnd w:id="141"/>
      <w:bookmarkStart w:id="142" w:name="_Toc184314419"/>
      <w:bookmarkEnd w:id="142"/>
      <w:bookmarkStart w:id="143" w:name="_Toc184312072"/>
      <w:bookmarkEnd w:id="143"/>
      <w:bookmarkStart w:id="144" w:name="_Toc184313296"/>
      <w:bookmarkEnd w:id="144"/>
      <w:bookmarkStart w:id="145" w:name="_Toc184312098"/>
      <w:bookmarkEnd w:id="145"/>
      <w:bookmarkStart w:id="146" w:name="_Toc184313267"/>
      <w:bookmarkEnd w:id="146"/>
      <w:bookmarkStart w:id="147" w:name="_Toc184308062"/>
      <w:bookmarkEnd w:id="147"/>
      <w:bookmarkStart w:id="148" w:name="_Toc184308041"/>
      <w:bookmarkEnd w:id="148"/>
      <w:bookmarkStart w:id="149" w:name="_Toc184313295"/>
      <w:bookmarkEnd w:id="149"/>
      <w:bookmarkStart w:id="150" w:name="_Toc184314481"/>
      <w:bookmarkEnd w:id="150"/>
      <w:bookmarkStart w:id="151" w:name="_Toc184312116"/>
      <w:bookmarkEnd w:id="151"/>
      <w:bookmarkStart w:id="152" w:name="_Toc184308094"/>
      <w:bookmarkEnd w:id="152"/>
      <w:bookmarkStart w:id="153" w:name="_Toc184308047"/>
      <w:bookmarkEnd w:id="153"/>
      <w:bookmarkStart w:id="154" w:name="_Toc184314443"/>
      <w:bookmarkEnd w:id="154"/>
      <w:bookmarkStart w:id="155" w:name="_Toc184314417"/>
      <w:bookmarkEnd w:id="155"/>
      <w:bookmarkStart w:id="156" w:name="_Toc184310325"/>
      <w:bookmarkEnd w:id="156"/>
      <w:bookmarkStart w:id="157" w:name="_Toc184308048"/>
      <w:bookmarkEnd w:id="157"/>
      <w:bookmarkStart w:id="158" w:name="_Toc184310278"/>
      <w:bookmarkEnd w:id="158"/>
      <w:bookmarkStart w:id="159" w:name="_Toc184312133"/>
      <w:bookmarkEnd w:id="159"/>
      <w:bookmarkStart w:id="160" w:name="_Toc184308049"/>
      <w:bookmarkEnd w:id="160"/>
      <w:bookmarkStart w:id="161" w:name="_Toc184308102"/>
      <w:bookmarkEnd w:id="161"/>
      <w:bookmarkStart w:id="162" w:name="_Toc184312120"/>
      <w:bookmarkEnd w:id="162"/>
      <w:bookmarkStart w:id="163" w:name="_Toc184313275"/>
      <w:bookmarkEnd w:id="163"/>
      <w:bookmarkStart w:id="164" w:name="_Toc184308097"/>
      <w:bookmarkEnd w:id="164"/>
      <w:bookmarkStart w:id="165" w:name="_Toc184310310"/>
      <w:bookmarkEnd w:id="165"/>
      <w:bookmarkStart w:id="166" w:name="_Toc184313252"/>
      <w:bookmarkEnd w:id="166"/>
      <w:bookmarkStart w:id="167" w:name="_Toc184308088"/>
      <w:bookmarkEnd w:id="167"/>
      <w:bookmarkStart w:id="168" w:name="_Toc184310338"/>
      <w:bookmarkEnd w:id="168"/>
      <w:bookmarkStart w:id="169" w:name="_Toc184312111"/>
      <w:bookmarkEnd w:id="169"/>
      <w:bookmarkStart w:id="170" w:name="_Toc184314440"/>
      <w:bookmarkEnd w:id="170"/>
      <w:bookmarkStart w:id="171" w:name="_Toc184308073"/>
      <w:bookmarkEnd w:id="171"/>
      <w:bookmarkStart w:id="172" w:name="_Toc184308092"/>
      <w:bookmarkEnd w:id="172"/>
      <w:bookmarkStart w:id="173" w:name="_Toc184308107"/>
      <w:bookmarkEnd w:id="173"/>
      <w:bookmarkStart w:id="174" w:name="_Toc184312084"/>
      <w:bookmarkEnd w:id="174"/>
      <w:bookmarkStart w:id="175" w:name="_Toc184310313"/>
      <w:bookmarkEnd w:id="175"/>
      <w:bookmarkStart w:id="176" w:name="_Toc184310315"/>
      <w:bookmarkEnd w:id="176"/>
      <w:bookmarkStart w:id="177" w:name="_Toc184314456"/>
      <w:bookmarkEnd w:id="177"/>
      <w:bookmarkStart w:id="178" w:name="_Toc184310335"/>
      <w:bookmarkEnd w:id="178"/>
      <w:bookmarkStart w:id="179" w:name="_Toc184313266"/>
      <w:bookmarkEnd w:id="179"/>
      <w:bookmarkStart w:id="180" w:name="_Toc184308043"/>
      <w:bookmarkEnd w:id="180"/>
      <w:bookmarkStart w:id="181" w:name="_Toc184312092"/>
      <w:bookmarkEnd w:id="181"/>
      <w:bookmarkStart w:id="182" w:name="_Toc184310287"/>
      <w:bookmarkEnd w:id="182"/>
      <w:bookmarkStart w:id="183" w:name="_Toc184313251"/>
      <w:bookmarkEnd w:id="183"/>
      <w:bookmarkStart w:id="184" w:name="_Toc184313293"/>
      <w:bookmarkEnd w:id="184"/>
      <w:bookmarkStart w:id="185" w:name="_Toc184313260"/>
      <w:bookmarkEnd w:id="185"/>
      <w:bookmarkStart w:id="186" w:name="_Toc184312108"/>
      <w:bookmarkEnd w:id="186"/>
      <w:bookmarkStart w:id="187" w:name="_Toc184314428"/>
      <w:bookmarkEnd w:id="187"/>
      <w:bookmarkStart w:id="188" w:name="_Toc184310314"/>
      <w:bookmarkEnd w:id="188"/>
      <w:bookmarkStart w:id="189" w:name="_Toc184310320"/>
      <w:bookmarkEnd w:id="189"/>
      <w:bookmarkStart w:id="190" w:name="_Toc184312124"/>
      <w:bookmarkEnd w:id="190"/>
      <w:bookmarkStart w:id="191" w:name="_Toc184312109"/>
      <w:bookmarkEnd w:id="191"/>
      <w:bookmarkStart w:id="192" w:name="_Toc184314438"/>
      <w:bookmarkEnd w:id="192"/>
      <w:bookmarkStart w:id="193" w:name="_Toc184314459"/>
      <w:bookmarkEnd w:id="193"/>
      <w:bookmarkStart w:id="194" w:name="_Toc184310328"/>
      <w:bookmarkEnd w:id="194"/>
      <w:bookmarkStart w:id="195" w:name="_Toc184308044"/>
      <w:bookmarkEnd w:id="195"/>
      <w:bookmarkStart w:id="196" w:name="_Toc184308067"/>
      <w:bookmarkEnd w:id="196"/>
      <w:bookmarkStart w:id="197" w:name="_Toc184312103"/>
      <w:bookmarkEnd w:id="197"/>
      <w:bookmarkStart w:id="198" w:name="_Toc184310282"/>
      <w:bookmarkEnd w:id="198"/>
      <w:bookmarkStart w:id="199" w:name="_Toc184308106"/>
      <w:bookmarkEnd w:id="199"/>
      <w:bookmarkStart w:id="200" w:name="_Toc184312079"/>
      <w:bookmarkEnd w:id="200"/>
      <w:bookmarkStart w:id="201" w:name="_Toc184312129"/>
      <w:bookmarkEnd w:id="201"/>
      <w:bookmarkStart w:id="202" w:name="_Toc184308045"/>
      <w:bookmarkEnd w:id="202"/>
      <w:bookmarkStart w:id="203" w:name="_Toc184314468"/>
      <w:bookmarkEnd w:id="203"/>
      <w:bookmarkStart w:id="204" w:name="_Toc184310318"/>
      <w:bookmarkEnd w:id="204"/>
      <w:bookmarkStart w:id="205" w:name="_Toc184313306"/>
      <w:bookmarkEnd w:id="205"/>
      <w:bookmarkStart w:id="206" w:name="_Toc184313247"/>
      <w:bookmarkEnd w:id="206"/>
      <w:bookmarkStart w:id="207" w:name="_Toc184314454"/>
      <w:bookmarkEnd w:id="207"/>
      <w:bookmarkStart w:id="208" w:name="_Toc184308061"/>
      <w:bookmarkEnd w:id="208"/>
      <w:bookmarkStart w:id="209" w:name="_Toc184312086"/>
      <w:bookmarkEnd w:id="209"/>
      <w:bookmarkStart w:id="210" w:name="_Toc184313258"/>
      <w:bookmarkEnd w:id="210"/>
      <w:bookmarkStart w:id="211" w:name="_Toc184312126"/>
      <w:bookmarkEnd w:id="211"/>
      <w:bookmarkStart w:id="212" w:name="_Toc184313253"/>
      <w:bookmarkEnd w:id="212"/>
      <w:bookmarkStart w:id="213" w:name="_Toc184314418"/>
      <w:bookmarkEnd w:id="213"/>
      <w:bookmarkStart w:id="214" w:name="_Toc184313297"/>
      <w:bookmarkEnd w:id="214"/>
      <w:bookmarkStart w:id="215" w:name="_Toc184314457"/>
      <w:bookmarkEnd w:id="215"/>
      <w:bookmarkStart w:id="216" w:name="_Toc184314464"/>
      <w:bookmarkEnd w:id="216"/>
      <w:bookmarkStart w:id="217" w:name="_Toc184312097"/>
      <w:bookmarkEnd w:id="217"/>
      <w:bookmarkStart w:id="218" w:name="_Toc184313283"/>
      <w:bookmarkEnd w:id="218"/>
      <w:bookmarkStart w:id="219" w:name="_Toc184313288"/>
      <w:bookmarkEnd w:id="219"/>
      <w:bookmarkStart w:id="220" w:name="_Toc184310292"/>
      <w:bookmarkEnd w:id="220"/>
      <w:bookmarkStart w:id="221" w:name="_Toc184312106"/>
      <w:bookmarkEnd w:id="221"/>
      <w:bookmarkStart w:id="222" w:name="_Toc184308103"/>
      <w:bookmarkEnd w:id="222"/>
      <w:bookmarkStart w:id="223" w:name="_Toc184313294"/>
      <w:bookmarkEnd w:id="223"/>
      <w:bookmarkStart w:id="224" w:name="_Toc184310339"/>
      <w:bookmarkEnd w:id="224"/>
      <w:bookmarkStart w:id="225" w:name="_Toc184312078"/>
      <w:bookmarkEnd w:id="225"/>
      <w:bookmarkStart w:id="226" w:name="_Toc184313250"/>
      <w:bookmarkEnd w:id="226"/>
      <w:bookmarkStart w:id="227" w:name="_Toc184310301"/>
      <w:bookmarkEnd w:id="227"/>
      <w:bookmarkStart w:id="228" w:name="_Toc184310284"/>
      <w:bookmarkEnd w:id="228"/>
      <w:bookmarkStart w:id="229" w:name="_Toc184312138"/>
      <w:bookmarkEnd w:id="229"/>
      <w:bookmarkStart w:id="230" w:name="_Toc184313255"/>
      <w:bookmarkEnd w:id="230"/>
      <w:bookmarkStart w:id="231" w:name="_Toc184308069"/>
      <w:bookmarkEnd w:id="231"/>
      <w:bookmarkStart w:id="232" w:name="_Toc184310309"/>
      <w:bookmarkEnd w:id="232"/>
      <w:bookmarkStart w:id="233" w:name="_Toc184313278"/>
      <w:bookmarkEnd w:id="233"/>
      <w:bookmarkStart w:id="234" w:name="_Toc184313239"/>
      <w:bookmarkEnd w:id="234"/>
      <w:bookmarkStart w:id="235" w:name="_Toc184308058"/>
      <w:bookmarkEnd w:id="235"/>
      <w:bookmarkStart w:id="236" w:name="_Toc184314466"/>
      <w:bookmarkEnd w:id="236"/>
      <w:bookmarkStart w:id="237" w:name="_Toc184313246"/>
      <w:bookmarkEnd w:id="237"/>
      <w:bookmarkStart w:id="238" w:name="_Toc184312132"/>
      <w:bookmarkEnd w:id="238"/>
      <w:bookmarkStart w:id="239" w:name="_Toc184314461"/>
      <w:bookmarkEnd w:id="239"/>
      <w:bookmarkStart w:id="240" w:name="_Toc184314421"/>
      <w:bookmarkEnd w:id="240"/>
      <w:bookmarkStart w:id="241" w:name="_Toc184308086"/>
      <w:bookmarkEnd w:id="241"/>
      <w:bookmarkStart w:id="242" w:name="_Toc184310337"/>
      <w:bookmarkEnd w:id="242"/>
      <w:bookmarkStart w:id="243" w:name="_Toc184314452"/>
      <w:bookmarkEnd w:id="243"/>
      <w:bookmarkStart w:id="244" w:name="_Toc184308055"/>
      <w:bookmarkEnd w:id="244"/>
      <w:bookmarkStart w:id="245" w:name="_Toc184313277"/>
      <w:bookmarkEnd w:id="245"/>
      <w:bookmarkStart w:id="246" w:name="_Toc184308054"/>
      <w:bookmarkEnd w:id="246"/>
      <w:bookmarkStart w:id="247" w:name="_Toc184308100"/>
      <w:bookmarkEnd w:id="247"/>
      <w:bookmarkStart w:id="248" w:name="_Toc184308060"/>
      <w:bookmarkEnd w:id="248"/>
      <w:bookmarkStart w:id="249" w:name="_Toc184313304"/>
      <w:bookmarkEnd w:id="249"/>
      <w:bookmarkStart w:id="250" w:name="_Toc184314471"/>
      <w:bookmarkEnd w:id="250"/>
      <w:bookmarkStart w:id="251" w:name="_Toc184312082"/>
      <w:bookmarkEnd w:id="251"/>
      <w:bookmarkStart w:id="252" w:name="_Toc184308072"/>
      <w:bookmarkEnd w:id="252"/>
      <w:bookmarkStart w:id="253" w:name="_Toc184312096"/>
      <w:bookmarkEnd w:id="253"/>
      <w:bookmarkStart w:id="254" w:name="_Toc184313254"/>
      <w:bookmarkEnd w:id="254"/>
      <w:bookmarkStart w:id="255" w:name="_Toc184312105"/>
      <w:bookmarkEnd w:id="255"/>
      <w:bookmarkStart w:id="256" w:name="_Toc184310296"/>
      <w:bookmarkEnd w:id="256"/>
      <w:bookmarkStart w:id="257" w:name="_Toc184308075"/>
      <w:bookmarkEnd w:id="257"/>
      <w:bookmarkStart w:id="258" w:name="_Toc184313245"/>
      <w:bookmarkEnd w:id="258"/>
      <w:bookmarkStart w:id="259" w:name="_Toc184310317"/>
      <w:bookmarkEnd w:id="259"/>
      <w:bookmarkStart w:id="260" w:name="_Toc184308068"/>
      <w:bookmarkEnd w:id="260"/>
      <w:bookmarkStart w:id="261" w:name="_Toc184314467"/>
      <w:bookmarkEnd w:id="261"/>
      <w:bookmarkStart w:id="262" w:name="_Toc184314410"/>
      <w:bookmarkEnd w:id="262"/>
      <w:bookmarkStart w:id="263" w:name="_Toc184313280"/>
      <w:bookmarkEnd w:id="263"/>
      <w:bookmarkStart w:id="264" w:name="_Toc184313285"/>
      <w:bookmarkEnd w:id="264"/>
      <w:bookmarkStart w:id="265" w:name="_Toc184313238"/>
      <w:bookmarkEnd w:id="265"/>
      <w:bookmarkStart w:id="266" w:name="_Toc184313302"/>
      <w:bookmarkEnd w:id="266"/>
      <w:bookmarkStart w:id="267" w:name="_Toc184312121"/>
      <w:bookmarkEnd w:id="267"/>
      <w:bookmarkStart w:id="268" w:name="_Toc184308098"/>
      <w:bookmarkEnd w:id="268"/>
      <w:bookmarkStart w:id="269" w:name="_Toc184314426"/>
      <w:bookmarkEnd w:id="269"/>
      <w:bookmarkStart w:id="270" w:name="_Toc184308042"/>
      <w:bookmarkEnd w:id="270"/>
      <w:bookmarkStart w:id="271" w:name="_Toc184312104"/>
      <w:bookmarkEnd w:id="271"/>
      <w:bookmarkStart w:id="272" w:name="_Toc184308082"/>
      <w:bookmarkEnd w:id="272"/>
      <w:bookmarkStart w:id="273" w:name="_Toc184314473"/>
      <w:bookmarkEnd w:id="273"/>
      <w:bookmarkStart w:id="274" w:name="_Toc184312094"/>
      <w:bookmarkEnd w:id="274"/>
      <w:bookmarkStart w:id="275" w:name="_Toc184308036"/>
      <w:bookmarkEnd w:id="275"/>
      <w:bookmarkStart w:id="276" w:name="_Toc184312088"/>
      <w:bookmarkEnd w:id="276"/>
      <w:bookmarkStart w:id="277" w:name="_Toc184314424"/>
      <w:bookmarkEnd w:id="277"/>
      <w:bookmarkStart w:id="278" w:name="_Toc184313241"/>
      <w:bookmarkEnd w:id="278"/>
      <w:bookmarkStart w:id="279" w:name="_Toc184312131"/>
      <w:bookmarkEnd w:id="279"/>
      <w:bookmarkStart w:id="280" w:name="_Toc184313290"/>
      <w:bookmarkEnd w:id="280"/>
      <w:bookmarkStart w:id="281" w:name="_Toc184310326"/>
      <w:bookmarkEnd w:id="281"/>
      <w:bookmarkStart w:id="282" w:name="_Toc184314415"/>
      <w:bookmarkEnd w:id="282"/>
      <w:bookmarkStart w:id="283" w:name="_Toc184310281"/>
      <w:bookmarkEnd w:id="283"/>
      <w:bookmarkStart w:id="284" w:name="_Toc184313272"/>
      <w:bookmarkEnd w:id="284"/>
      <w:bookmarkStart w:id="285" w:name="_Toc184310332"/>
      <w:bookmarkEnd w:id="285"/>
      <w:bookmarkStart w:id="286" w:name="_Toc184310290"/>
      <w:bookmarkEnd w:id="286"/>
      <w:bookmarkStart w:id="287" w:name="_Toc184314469"/>
      <w:bookmarkEnd w:id="287"/>
      <w:bookmarkStart w:id="288" w:name="_Toc184312125"/>
      <w:bookmarkEnd w:id="288"/>
      <w:bookmarkStart w:id="289" w:name="_Toc184312118"/>
      <w:bookmarkEnd w:id="289"/>
      <w:bookmarkStart w:id="290" w:name="_Toc184312101"/>
      <w:bookmarkEnd w:id="290"/>
      <w:bookmarkStart w:id="291" w:name="_Toc184312093"/>
      <w:bookmarkEnd w:id="291"/>
      <w:bookmarkStart w:id="292" w:name="_Toc184308079"/>
      <w:bookmarkEnd w:id="292"/>
      <w:bookmarkStart w:id="293" w:name="_Toc184313273"/>
      <w:bookmarkEnd w:id="293"/>
      <w:bookmarkStart w:id="294" w:name="_Toc184313261"/>
      <w:bookmarkEnd w:id="294"/>
      <w:bookmarkStart w:id="295" w:name="_Toc184313248"/>
      <w:bookmarkEnd w:id="295"/>
      <w:bookmarkStart w:id="296" w:name="_Toc184308066"/>
      <w:bookmarkEnd w:id="296"/>
      <w:bookmarkStart w:id="297" w:name="_Toc184308046"/>
      <w:bookmarkEnd w:id="297"/>
      <w:bookmarkStart w:id="298" w:name="_Toc184312127"/>
      <w:bookmarkEnd w:id="298"/>
      <w:bookmarkStart w:id="299" w:name="_Toc184313284"/>
      <w:bookmarkEnd w:id="299"/>
      <w:bookmarkStart w:id="300" w:name="_Toc184313264"/>
      <w:bookmarkEnd w:id="300"/>
      <w:bookmarkStart w:id="301" w:name="_Toc184312137"/>
      <w:bookmarkEnd w:id="301"/>
      <w:bookmarkStart w:id="302" w:name="_Toc184313268"/>
      <w:bookmarkEnd w:id="302"/>
      <w:bookmarkStart w:id="303" w:name="_Toc184310286"/>
      <w:bookmarkEnd w:id="303"/>
      <w:bookmarkStart w:id="304" w:name="_Toc184310291"/>
      <w:bookmarkEnd w:id="304"/>
      <w:bookmarkStart w:id="305" w:name="_Toc184313287"/>
      <w:bookmarkEnd w:id="305"/>
      <w:bookmarkStart w:id="306" w:name="_Toc184310306"/>
      <w:bookmarkEnd w:id="306"/>
      <w:bookmarkStart w:id="307" w:name="_Toc184310276"/>
      <w:bookmarkEnd w:id="307"/>
      <w:bookmarkStart w:id="308" w:name="_Toc184308076"/>
      <w:bookmarkEnd w:id="308"/>
      <w:bookmarkStart w:id="309" w:name="_Toc184313308"/>
      <w:bookmarkEnd w:id="309"/>
      <w:bookmarkStart w:id="310" w:name="_Toc184312085"/>
      <w:bookmarkEnd w:id="310"/>
      <w:bookmarkStart w:id="311" w:name="_Toc184314411"/>
      <w:bookmarkEnd w:id="311"/>
      <w:bookmarkStart w:id="312" w:name="_Toc184310294"/>
      <w:bookmarkEnd w:id="312"/>
      <w:bookmarkStart w:id="313" w:name="_Toc184314470"/>
      <w:bookmarkEnd w:id="313"/>
      <w:bookmarkStart w:id="314" w:name="_Toc184312115"/>
      <w:bookmarkEnd w:id="314"/>
      <w:bookmarkStart w:id="315" w:name="_Toc184314447"/>
      <w:bookmarkEnd w:id="315"/>
      <w:bookmarkStart w:id="316" w:name="_Toc184308091"/>
      <w:bookmarkEnd w:id="316"/>
      <w:bookmarkStart w:id="317" w:name="_Toc184312110"/>
      <w:bookmarkEnd w:id="317"/>
      <w:bookmarkStart w:id="318" w:name="_Toc184314444"/>
      <w:bookmarkEnd w:id="318"/>
      <w:bookmarkStart w:id="319" w:name="_Toc184308065"/>
      <w:bookmarkEnd w:id="319"/>
      <w:bookmarkStart w:id="320" w:name="_Toc184310336"/>
      <w:bookmarkEnd w:id="320"/>
      <w:bookmarkStart w:id="321" w:name="_Toc184313263"/>
      <w:bookmarkEnd w:id="321"/>
      <w:bookmarkStart w:id="322" w:name="_Toc184312076"/>
      <w:bookmarkEnd w:id="322"/>
      <w:bookmarkStart w:id="323" w:name="_Toc184310343"/>
      <w:bookmarkEnd w:id="323"/>
      <w:bookmarkStart w:id="324" w:name="_Toc184313286"/>
      <w:bookmarkEnd w:id="324"/>
      <w:bookmarkStart w:id="325" w:name="_Toc184310272"/>
      <w:bookmarkEnd w:id="325"/>
      <w:bookmarkStart w:id="326" w:name="_Toc184308037"/>
      <w:bookmarkEnd w:id="326"/>
      <w:bookmarkStart w:id="327" w:name="_Toc184313240"/>
      <w:bookmarkEnd w:id="327"/>
      <w:bookmarkStart w:id="328" w:name="_Toc184314432"/>
      <w:bookmarkEnd w:id="328"/>
      <w:bookmarkStart w:id="329" w:name="_Toc184308101"/>
      <w:bookmarkEnd w:id="329"/>
      <w:bookmarkStart w:id="330" w:name="_Toc184310341"/>
      <w:bookmarkEnd w:id="330"/>
      <w:bookmarkStart w:id="331" w:name="_Toc184313289"/>
      <w:bookmarkEnd w:id="331"/>
      <w:bookmarkStart w:id="332" w:name="_Toc184314450"/>
      <w:bookmarkEnd w:id="332"/>
      <w:bookmarkStart w:id="333" w:name="_Toc184308080"/>
      <w:bookmarkEnd w:id="333"/>
      <w:bookmarkStart w:id="334" w:name="_Toc184308096"/>
      <w:bookmarkEnd w:id="334"/>
      <w:bookmarkStart w:id="335" w:name="_Toc184308071"/>
      <w:bookmarkEnd w:id="335"/>
      <w:bookmarkStart w:id="336" w:name="_Toc184313271"/>
      <w:bookmarkEnd w:id="336"/>
      <w:bookmarkStart w:id="337" w:name="_Toc184313298"/>
      <w:bookmarkEnd w:id="337"/>
      <w:bookmarkStart w:id="338" w:name="_Toc184310324"/>
      <w:bookmarkEnd w:id="338"/>
      <w:bookmarkStart w:id="339" w:name="_Toc184310307"/>
      <w:bookmarkEnd w:id="339"/>
      <w:bookmarkStart w:id="340" w:name="_Toc184312099"/>
      <w:bookmarkEnd w:id="340"/>
      <w:bookmarkStart w:id="341" w:name="_Toc184312095"/>
      <w:bookmarkEnd w:id="341"/>
      <w:bookmarkStart w:id="342" w:name="_Toc184312077"/>
      <w:bookmarkEnd w:id="342"/>
      <w:bookmarkStart w:id="343" w:name="_Toc184308099"/>
      <w:bookmarkEnd w:id="343"/>
      <w:bookmarkStart w:id="344" w:name="_Toc184314482"/>
      <w:bookmarkEnd w:id="344"/>
      <w:bookmarkStart w:id="345" w:name="_Toc184308095"/>
      <w:bookmarkEnd w:id="345"/>
      <w:bookmarkStart w:id="346" w:name="_Toc184312117"/>
      <w:bookmarkEnd w:id="346"/>
      <w:bookmarkStart w:id="347" w:name="_Toc184314480"/>
      <w:bookmarkEnd w:id="347"/>
      <w:bookmarkStart w:id="348" w:name="_Toc184310285"/>
      <w:bookmarkEnd w:id="348"/>
      <w:bookmarkStart w:id="349" w:name="_Toc184313269"/>
      <w:bookmarkEnd w:id="349"/>
      <w:bookmarkStart w:id="350" w:name="_Toc184308059"/>
      <w:bookmarkEnd w:id="350"/>
      <w:bookmarkStart w:id="351" w:name="_Toc184313292"/>
      <w:bookmarkEnd w:id="351"/>
      <w:bookmarkStart w:id="352" w:name="_Toc184314463"/>
      <w:bookmarkEnd w:id="352"/>
      <w:bookmarkStart w:id="353" w:name="_Toc184310333"/>
      <w:bookmarkEnd w:id="353"/>
      <w:bookmarkStart w:id="354" w:name="_Toc184314458"/>
      <w:bookmarkEnd w:id="354"/>
      <w:bookmarkStart w:id="355" w:name="_Toc184313301"/>
      <w:bookmarkEnd w:id="355"/>
      <w:bookmarkStart w:id="356" w:name="_Toc184312139"/>
      <w:bookmarkEnd w:id="356"/>
      <w:bookmarkStart w:id="357" w:name="_Toc184308052"/>
      <w:bookmarkEnd w:id="357"/>
      <w:bookmarkStart w:id="358" w:name="_Toc184313243"/>
      <w:bookmarkEnd w:id="358"/>
      <w:bookmarkStart w:id="359" w:name="_Toc184314441"/>
      <w:bookmarkEnd w:id="359"/>
      <w:bookmarkStart w:id="360" w:name="_Toc184313310"/>
      <w:bookmarkEnd w:id="360"/>
      <w:bookmarkStart w:id="361" w:name="_Toc184314474"/>
      <w:bookmarkEnd w:id="361"/>
      <w:bookmarkStart w:id="362" w:name="_Toc184314451"/>
      <w:bookmarkEnd w:id="362"/>
      <w:bookmarkStart w:id="363" w:name="_Toc184312075"/>
      <w:bookmarkEnd w:id="363"/>
      <w:bookmarkStart w:id="364" w:name="_Toc184313244"/>
      <w:bookmarkEnd w:id="364"/>
      <w:bookmarkStart w:id="365" w:name="_Toc184312074"/>
      <w:bookmarkEnd w:id="365"/>
      <w:bookmarkStart w:id="366" w:name="_Toc184313307"/>
      <w:bookmarkEnd w:id="366"/>
      <w:bookmarkStart w:id="367" w:name="_Toc184314412"/>
      <w:bookmarkEnd w:id="367"/>
      <w:bookmarkStart w:id="368" w:name="_Toc184310323"/>
      <w:bookmarkEnd w:id="368"/>
      <w:bookmarkStart w:id="369" w:name="_Toc184314413"/>
      <w:bookmarkEnd w:id="369"/>
      <w:bookmarkStart w:id="370" w:name="_Toc184308087"/>
      <w:bookmarkEnd w:id="370"/>
      <w:bookmarkStart w:id="371" w:name="_Toc184308040"/>
      <w:bookmarkEnd w:id="371"/>
      <w:bookmarkStart w:id="372" w:name="_Toc184313279"/>
      <w:bookmarkEnd w:id="372"/>
      <w:bookmarkStart w:id="373" w:name="_Toc184310340"/>
      <w:bookmarkEnd w:id="373"/>
      <w:bookmarkStart w:id="374" w:name="_Toc184310273"/>
      <w:bookmarkEnd w:id="374"/>
      <w:bookmarkStart w:id="375" w:name="_Toc184308039"/>
      <w:bookmarkEnd w:id="375"/>
      <w:bookmarkStart w:id="376" w:name="_Toc184312081"/>
      <w:bookmarkEnd w:id="376"/>
      <w:bookmarkStart w:id="377" w:name="_Toc184312073"/>
      <w:bookmarkEnd w:id="377"/>
      <w:bookmarkStart w:id="378" w:name="_Toc184308070"/>
      <w:bookmarkEnd w:id="378"/>
      <w:bookmarkStart w:id="379" w:name="_Toc184308077"/>
      <w:bookmarkEnd w:id="379"/>
      <w:bookmarkStart w:id="380" w:name="_Toc184312122"/>
      <w:bookmarkEnd w:id="380"/>
      <w:bookmarkStart w:id="381" w:name="_Toc184312083"/>
      <w:bookmarkEnd w:id="381"/>
      <w:bookmarkStart w:id="382" w:name="_Toc184308063"/>
      <w:bookmarkEnd w:id="382"/>
      <w:bookmarkStart w:id="383" w:name="_Toc184308093"/>
      <w:bookmarkEnd w:id="383"/>
      <w:bookmarkStart w:id="384" w:name="_Toc184310303"/>
      <w:bookmarkEnd w:id="384"/>
      <w:bookmarkStart w:id="385" w:name="_Toc184314477"/>
      <w:bookmarkEnd w:id="385"/>
      <w:bookmarkStart w:id="386" w:name="_Toc184310274"/>
      <w:bookmarkEnd w:id="386"/>
      <w:bookmarkStart w:id="387" w:name="_Toc184310312"/>
      <w:bookmarkEnd w:id="387"/>
      <w:bookmarkStart w:id="388" w:name="_Toc184314427"/>
      <w:bookmarkEnd w:id="388"/>
      <w:bookmarkStart w:id="389" w:name="_Toc184313282"/>
      <w:bookmarkEnd w:id="389"/>
      <w:bookmarkStart w:id="390" w:name="_Toc184313299"/>
      <w:bookmarkEnd w:id="390"/>
      <w:bookmarkStart w:id="391" w:name="_Toc184314422"/>
      <w:bookmarkEnd w:id="391"/>
      <w:bookmarkStart w:id="392" w:name="_Toc184310299"/>
      <w:bookmarkEnd w:id="392"/>
      <w:bookmarkStart w:id="393" w:name="_Toc184310331"/>
      <w:bookmarkEnd w:id="393"/>
      <w:bookmarkStart w:id="394" w:name="_Toc184314476"/>
      <w:bookmarkEnd w:id="394"/>
      <w:r>
        <w:rPr>
          <w:rFonts w:hint="eastAsia" w:ascii="宋体" w:hAnsi="宋体" w:cs="宋体"/>
          <w:b/>
          <w:color w:val="auto"/>
          <w:sz w:val="36"/>
          <w:szCs w:val="36"/>
          <w:highlight w:val="none"/>
        </w:rPr>
        <w:t>评标办法</w:t>
      </w:r>
    </w:p>
    <w:p w14:paraId="4B4392B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16"/>
        <w:tblW w:w="11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46"/>
        <w:gridCol w:w="7444"/>
        <w:gridCol w:w="672"/>
        <w:gridCol w:w="876"/>
      </w:tblGrid>
      <w:tr w14:paraId="2D05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1D45807D">
            <w:pPr>
              <w:ind w:left="-124" w:leftChars="-59" w:right="-118" w:rightChars="-56"/>
              <w:jc w:val="center"/>
              <w:rPr>
                <w:rFonts w:ascii="宋体" w:hAnsi="宋体" w:cs="宋体"/>
                <w:b/>
                <w:bCs/>
                <w:szCs w:val="21"/>
              </w:rPr>
            </w:pPr>
            <w:r>
              <w:rPr>
                <w:rFonts w:hint="eastAsia" w:ascii="宋体" w:hAnsi="宋体" w:cs="宋体"/>
                <w:b/>
                <w:bCs/>
                <w:szCs w:val="21"/>
              </w:rPr>
              <w:t>评审项目</w:t>
            </w:r>
          </w:p>
        </w:tc>
        <w:tc>
          <w:tcPr>
            <w:tcW w:w="1246" w:type="dxa"/>
            <w:noWrap w:val="0"/>
            <w:vAlign w:val="center"/>
          </w:tcPr>
          <w:p w14:paraId="3E223DB5">
            <w:pPr>
              <w:jc w:val="center"/>
              <w:rPr>
                <w:rFonts w:ascii="宋体" w:hAnsi="宋体" w:cs="宋体"/>
                <w:b/>
                <w:bCs/>
                <w:szCs w:val="21"/>
              </w:rPr>
            </w:pPr>
            <w:r>
              <w:rPr>
                <w:rFonts w:hint="eastAsia" w:ascii="宋体" w:hAnsi="宋体" w:cs="宋体"/>
                <w:b/>
                <w:bCs/>
                <w:szCs w:val="21"/>
              </w:rPr>
              <w:t>评审标准</w:t>
            </w:r>
          </w:p>
        </w:tc>
        <w:tc>
          <w:tcPr>
            <w:tcW w:w="7444" w:type="dxa"/>
            <w:noWrap w:val="0"/>
            <w:vAlign w:val="center"/>
          </w:tcPr>
          <w:p w14:paraId="0AEF04D2">
            <w:pPr>
              <w:jc w:val="center"/>
              <w:rPr>
                <w:rFonts w:ascii="宋体" w:hAnsi="宋体" w:cs="宋体"/>
                <w:b/>
                <w:bCs/>
                <w:szCs w:val="21"/>
              </w:rPr>
            </w:pPr>
            <w:r>
              <w:rPr>
                <w:rFonts w:hint="eastAsia" w:ascii="宋体" w:hAnsi="宋体" w:cs="宋体"/>
                <w:b/>
                <w:bCs/>
                <w:szCs w:val="21"/>
              </w:rPr>
              <w:t>评审因素的量化指标</w:t>
            </w:r>
          </w:p>
        </w:tc>
        <w:tc>
          <w:tcPr>
            <w:tcW w:w="672" w:type="dxa"/>
            <w:noWrap w:val="0"/>
            <w:vAlign w:val="center"/>
          </w:tcPr>
          <w:p w14:paraId="79A0ECB1">
            <w:pPr>
              <w:jc w:val="center"/>
              <w:rPr>
                <w:rFonts w:hint="eastAsia" w:ascii="宋体" w:hAnsi="宋体" w:eastAsia="宋体" w:cs="宋体"/>
                <w:b/>
                <w:bCs/>
                <w:szCs w:val="21"/>
                <w:lang w:eastAsia="zh-CN"/>
              </w:rPr>
            </w:pPr>
            <w:r>
              <w:rPr>
                <w:rFonts w:hint="eastAsia" w:ascii="宋体" w:hAnsi="宋体" w:cs="宋体"/>
                <w:b/>
                <w:bCs/>
                <w:szCs w:val="21"/>
                <w:lang w:eastAsia="zh-CN"/>
              </w:rPr>
              <w:t>分值</w:t>
            </w:r>
          </w:p>
        </w:tc>
        <w:tc>
          <w:tcPr>
            <w:tcW w:w="876" w:type="dxa"/>
            <w:noWrap w:val="0"/>
            <w:vAlign w:val="center"/>
          </w:tcPr>
          <w:p w14:paraId="105AE447">
            <w:pPr>
              <w:jc w:val="center"/>
              <w:rPr>
                <w:rFonts w:hint="eastAsia" w:ascii="宋体" w:hAnsi="宋体" w:cs="宋体"/>
                <w:b/>
                <w:bCs/>
                <w:szCs w:val="21"/>
                <w:lang w:eastAsia="zh-CN"/>
              </w:rPr>
            </w:pPr>
          </w:p>
        </w:tc>
      </w:tr>
      <w:tr w14:paraId="5BDB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7" w:type="dxa"/>
            <w:noWrap w:val="0"/>
            <w:vAlign w:val="center"/>
          </w:tcPr>
          <w:p w14:paraId="0005079A">
            <w:pPr>
              <w:ind w:left="-124" w:leftChars="-59" w:right="-118" w:rightChars="-56"/>
              <w:jc w:val="center"/>
              <w:rPr>
                <w:rFonts w:hint="eastAsia" w:ascii="宋体" w:hAnsi="宋体" w:cs="宋体"/>
                <w:b/>
                <w:bCs/>
                <w:szCs w:val="21"/>
              </w:rPr>
            </w:pPr>
          </w:p>
        </w:tc>
        <w:tc>
          <w:tcPr>
            <w:tcW w:w="1246" w:type="dxa"/>
            <w:noWrap w:val="0"/>
            <w:vAlign w:val="center"/>
          </w:tcPr>
          <w:p w14:paraId="0B5D6F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b/>
                <w:bCs/>
                <w:szCs w:val="21"/>
              </w:rPr>
            </w:pPr>
            <w:r>
              <w:rPr>
                <w:rFonts w:hint="eastAsia" w:ascii="宋体" w:hAnsi="宋体" w:eastAsia="宋体" w:cs="宋体"/>
                <w:color w:val="auto"/>
                <w:highlight w:val="none"/>
                <w:lang w:val="en-US" w:eastAsia="zh-CN"/>
              </w:rPr>
              <w:t>1、需求响应情况</w:t>
            </w:r>
          </w:p>
        </w:tc>
        <w:tc>
          <w:tcPr>
            <w:tcW w:w="7444" w:type="dxa"/>
            <w:noWrap w:val="0"/>
            <w:vAlign w:val="center"/>
          </w:tcPr>
          <w:p w14:paraId="6EE03652">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
                <w:bCs/>
                <w:szCs w:val="21"/>
              </w:rPr>
            </w:pPr>
            <w:r>
              <w:rPr>
                <w:rFonts w:hint="eastAsia" w:ascii="宋体" w:hAnsi="宋体" w:eastAsia="宋体" w:cs="宋体"/>
                <w:color w:val="auto"/>
                <w:highlight w:val="none"/>
                <w:lang w:val="en-US" w:eastAsia="zh-CN"/>
              </w:rPr>
              <w:t>评标委员会根据供应商投标文件中对招标文件第三章采购需求内容的响应情况进行评审。完全全响应的，得8分，每有一条负偏离或未响应的扣1分，扣完为止。</w:t>
            </w:r>
          </w:p>
        </w:tc>
        <w:tc>
          <w:tcPr>
            <w:tcW w:w="672" w:type="dxa"/>
            <w:noWrap w:val="0"/>
            <w:vAlign w:val="center"/>
          </w:tcPr>
          <w:p w14:paraId="048646C0">
            <w:pPr>
              <w:jc w:val="center"/>
              <w:rPr>
                <w:rFonts w:hint="default" w:ascii="宋体" w:hAnsi="宋体" w:cs="宋体"/>
                <w:b/>
                <w:bCs/>
                <w:szCs w:val="21"/>
                <w:lang w:val="en-US" w:eastAsia="zh-CN"/>
              </w:rPr>
            </w:pPr>
            <w:r>
              <w:rPr>
                <w:rFonts w:hint="eastAsia" w:ascii="宋体" w:hAnsi="宋体" w:cs="宋体"/>
                <w:b/>
                <w:bCs/>
                <w:szCs w:val="21"/>
                <w:lang w:val="en-US" w:eastAsia="zh-CN"/>
              </w:rPr>
              <w:t>8分</w:t>
            </w:r>
          </w:p>
        </w:tc>
        <w:tc>
          <w:tcPr>
            <w:tcW w:w="876" w:type="dxa"/>
            <w:noWrap w:val="0"/>
            <w:vAlign w:val="center"/>
          </w:tcPr>
          <w:p w14:paraId="0B95DB56">
            <w:pPr>
              <w:jc w:val="center"/>
              <w:rPr>
                <w:rFonts w:hint="eastAsia" w:ascii="宋体" w:hAnsi="宋体" w:cs="宋体"/>
                <w:b/>
                <w:bCs/>
                <w:szCs w:val="21"/>
                <w:lang w:eastAsia="zh-CN"/>
              </w:rPr>
            </w:pPr>
            <w:r>
              <w:rPr>
                <w:rFonts w:hint="eastAsia" w:ascii="宋体" w:hAnsi="宋体" w:cs="宋体"/>
                <w:b/>
                <w:bCs/>
                <w:szCs w:val="21"/>
                <w:lang w:eastAsia="zh-CN"/>
              </w:rPr>
              <w:t>客观分</w:t>
            </w:r>
          </w:p>
        </w:tc>
      </w:tr>
      <w:tr w14:paraId="7C15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restart"/>
            <w:noWrap w:val="0"/>
            <w:vAlign w:val="center"/>
          </w:tcPr>
          <w:p w14:paraId="6040FFBB">
            <w:pPr>
              <w:jc w:val="center"/>
              <w:rPr>
                <w:rFonts w:ascii="宋体" w:hAnsi="宋体" w:cs="宋体"/>
                <w:b/>
                <w:bCs/>
                <w:szCs w:val="21"/>
              </w:rPr>
            </w:pPr>
            <w:r>
              <w:rPr>
                <w:rFonts w:hint="eastAsia" w:ascii="宋体" w:hAnsi="宋体" w:cs="宋体"/>
                <w:b/>
                <w:bCs/>
                <w:szCs w:val="21"/>
              </w:rPr>
              <w:t>商务技术分（</w:t>
            </w:r>
            <w:r>
              <w:rPr>
                <w:rFonts w:hint="eastAsia" w:ascii="宋体" w:hAnsi="宋体" w:cs="宋体"/>
                <w:b/>
                <w:bCs/>
                <w:szCs w:val="21"/>
                <w:lang w:val="en-US" w:eastAsia="zh-CN"/>
              </w:rPr>
              <w:t>7</w:t>
            </w:r>
            <w:r>
              <w:rPr>
                <w:rFonts w:hint="eastAsia" w:ascii="宋体" w:hAnsi="宋体" w:cs="宋体"/>
                <w:b/>
                <w:bCs/>
                <w:szCs w:val="21"/>
              </w:rPr>
              <w:t>0分）</w:t>
            </w:r>
          </w:p>
        </w:tc>
        <w:tc>
          <w:tcPr>
            <w:tcW w:w="1246" w:type="dxa"/>
            <w:vMerge w:val="restart"/>
            <w:noWrap w:val="0"/>
            <w:vAlign w:val="center"/>
          </w:tcPr>
          <w:p w14:paraId="4F6D4FCD">
            <w:pPr>
              <w:jc w:val="center"/>
              <w:rPr>
                <w:rFonts w:ascii="宋体" w:hAnsi="宋体"/>
                <w:color w:val="000000"/>
                <w:szCs w:val="21"/>
              </w:rPr>
            </w:pPr>
            <w:r>
              <w:rPr>
                <w:rFonts w:hint="eastAsia" w:ascii="宋体" w:hAnsi="宋体"/>
                <w:szCs w:val="21"/>
                <w:lang w:val="en-US" w:eastAsia="zh-CN"/>
              </w:rPr>
              <w:t>2.</w:t>
            </w:r>
            <w:r>
              <w:rPr>
                <w:rFonts w:hint="eastAsia" w:ascii="宋体" w:hAnsi="宋体"/>
                <w:szCs w:val="21"/>
              </w:rPr>
              <w:t>项目整体策划</w:t>
            </w:r>
          </w:p>
        </w:tc>
        <w:tc>
          <w:tcPr>
            <w:tcW w:w="7444" w:type="dxa"/>
            <w:noWrap w:val="0"/>
            <w:vAlign w:val="center"/>
          </w:tcPr>
          <w:p w14:paraId="0AD9C55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lang w:val="en-US" w:eastAsia="zh-CN"/>
              </w:rPr>
              <w:t>2.1</w:t>
            </w:r>
            <w:r>
              <w:rPr>
                <w:rFonts w:hint="eastAsia" w:ascii="宋体" w:hAnsi="宋体" w:eastAsia="宋体" w:cs="宋体"/>
                <w:color w:val="auto"/>
                <w:sz w:val="21"/>
                <w:szCs w:val="21"/>
              </w:rPr>
              <w:t>整体管理实施方案</w:t>
            </w:r>
            <w:r>
              <w:rPr>
                <w:rFonts w:hint="eastAsia" w:ascii="宋体" w:hAnsi="宋体" w:eastAsia="宋体" w:cs="宋体"/>
                <w:bCs/>
                <w:color w:val="auto"/>
                <w:sz w:val="21"/>
                <w:szCs w:val="21"/>
                <w:lang w:val="en-US" w:eastAsia="zh-CN"/>
              </w:rPr>
              <w:t>进行综合评议：</w:t>
            </w:r>
          </w:p>
          <w:p w14:paraId="44FDCE6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25920D54">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②方案内容编制合理、基本契合项目情况，符合采购人需求的得3分；</w:t>
            </w:r>
          </w:p>
          <w:p w14:paraId="2C8A50CF">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1D9FF17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20742C56">
            <w:pPr>
              <w:rPr>
                <w:rFonts w:ascii="宋体" w:hAnsi="宋体" w:cs="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58AFBE10">
            <w:pPr>
              <w:jc w:val="center"/>
              <w:rPr>
                <w:rFonts w:hint="default" w:ascii="宋体" w:hAnsi="宋体"/>
                <w:szCs w:val="21"/>
                <w:lang w:val="en-US" w:eastAsia="zh-CN"/>
              </w:rPr>
            </w:pPr>
            <w:r>
              <w:rPr>
                <w:rFonts w:hint="eastAsia" w:ascii="宋体" w:hAnsi="宋体"/>
                <w:szCs w:val="21"/>
                <w:lang w:val="en-US" w:eastAsia="zh-CN"/>
              </w:rPr>
              <w:t>4</w:t>
            </w:r>
            <w:r>
              <w:rPr>
                <w:rFonts w:hint="eastAsia" w:cs="宋体"/>
                <w:color w:val="000000"/>
                <w:szCs w:val="21"/>
                <w:highlight w:val="none"/>
                <w:lang w:val="en-US" w:eastAsia="zh-CN"/>
              </w:rPr>
              <w:t>分</w:t>
            </w:r>
          </w:p>
        </w:tc>
        <w:tc>
          <w:tcPr>
            <w:tcW w:w="876" w:type="dxa"/>
            <w:noWrap w:val="0"/>
            <w:vAlign w:val="center"/>
          </w:tcPr>
          <w:p w14:paraId="49C7B769">
            <w:pPr>
              <w:jc w:val="center"/>
              <w:rPr>
                <w:rFonts w:hint="eastAsia" w:ascii="宋体" w:hAnsi="宋体"/>
                <w:szCs w:val="21"/>
                <w:lang w:val="en-US" w:eastAsia="zh-CN"/>
              </w:rPr>
            </w:pPr>
            <w:r>
              <w:rPr>
                <w:rFonts w:hint="eastAsia" w:cs="宋体"/>
                <w:color w:val="000000"/>
                <w:szCs w:val="21"/>
                <w:highlight w:val="none"/>
                <w:lang w:val="en-US" w:eastAsia="zh-CN"/>
              </w:rPr>
              <w:t>主观分</w:t>
            </w:r>
          </w:p>
        </w:tc>
      </w:tr>
      <w:tr w14:paraId="681C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5A974180">
            <w:pPr>
              <w:jc w:val="center"/>
              <w:rPr>
                <w:rFonts w:ascii="宋体" w:hAnsi="宋体" w:cs="宋体"/>
                <w:b/>
                <w:bCs/>
                <w:szCs w:val="21"/>
              </w:rPr>
            </w:pPr>
          </w:p>
        </w:tc>
        <w:tc>
          <w:tcPr>
            <w:tcW w:w="1246" w:type="dxa"/>
            <w:vMerge w:val="continue"/>
            <w:noWrap w:val="0"/>
            <w:vAlign w:val="center"/>
          </w:tcPr>
          <w:p w14:paraId="4D212D74">
            <w:pPr>
              <w:jc w:val="center"/>
              <w:rPr>
                <w:rFonts w:ascii="宋体" w:hAnsi="宋体"/>
                <w:szCs w:val="21"/>
              </w:rPr>
            </w:pPr>
          </w:p>
        </w:tc>
        <w:tc>
          <w:tcPr>
            <w:tcW w:w="7444" w:type="dxa"/>
            <w:noWrap w:val="0"/>
            <w:vAlign w:val="center"/>
          </w:tcPr>
          <w:p w14:paraId="3F4A21E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Times New Roman" w:hAnsi="Times New Roman" w:eastAsia="宋体" w:cs="宋体"/>
                <w:color w:val="000000"/>
                <w:szCs w:val="21"/>
                <w:highlight w:val="none"/>
                <w:lang w:val="en-US" w:eastAsia="zh-CN"/>
              </w:rPr>
              <w:t>各项服务内容目标、承诺、工作计划进行综合评议：</w:t>
            </w:r>
          </w:p>
          <w:p w14:paraId="3D985C8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①服务内容目标、承诺、工作计划安排得当、各时间节点明确、具有充分可靠计划的得4分；</w:t>
            </w:r>
          </w:p>
          <w:p w14:paraId="0E6EC52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②服务内容目标、承诺、工作计划安排较为得当、各时间节点及项目工期能有基本保障的得3分</w:t>
            </w:r>
          </w:p>
          <w:p w14:paraId="12172E6B">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③服务内容目标、承诺、工作计划安排尚能满足工期需求、部分时间节点不够明确或存在前松后紧的得2分；</w:t>
            </w:r>
          </w:p>
          <w:p w14:paraId="6124AC5F">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④服务内容目标、承诺、工作计划安排存在明显不合理之处、或时间节点混乱、难以保障项目工期的得1分。</w:t>
            </w:r>
          </w:p>
          <w:p w14:paraId="7B665C4D">
            <w:pPr>
              <w:keepNext w:val="0"/>
              <w:keepLines w:val="0"/>
              <w:pageBreakBefore w:val="0"/>
              <w:tabs>
                <w:tab w:val="left" w:pos="4915"/>
              </w:tabs>
              <w:kinsoku/>
              <w:wordWrap/>
              <w:overflowPunct/>
              <w:topLinePunct w:val="0"/>
              <w:bidi w:val="0"/>
              <w:snapToGrid/>
              <w:spacing w:line="300" w:lineRule="exact"/>
              <w:textAlignment w:val="auto"/>
              <w:rPr>
                <w:rFonts w:ascii="宋体" w:hAnsi="宋体"/>
                <w:szCs w:val="21"/>
              </w:rPr>
            </w:pPr>
            <w:r>
              <w:rPr>
                <w:rFonts w:hint="eastAsia" w:ascii="Times New Roman" w:hAnsi="Times New Roman" w:eastAsia="宋体" w:cs="宋体"/>
                <w:color w:val="000000"/>
                <w:szCs w:val="21"/>
                <w:highlight w:val="none"/>
                <w:lang w:val="en-US" w:eastAsia="zh-CN"/>
              </w:rPr>
              <w:t>未提供相关内容不得分。</w:t>
            </w:r>
          </w:p>
        </w:tc>
        <w:tc>
          <w:tcPr>
            <w:tcW w:w="672" w:type="dxa"/>
            <w:noWrap w:val="0"/>
            <w:vAlign w:val="center"/>
          </w:tcPr>
          <w:p w14:paraId="18662D69">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11A74171">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0A7B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233F8917">
            <w:pPr>
              <w:jc w:val="center"/>
              <w:rPr>
                <w:rFonts w:ascii="宋体" w:hAnsi="宋体" w:cs="宋体"/>
                <w:b/>
                <w:bCs/>
                <w:szCs w:val="21"/>
              </w:rPr>
            </w:pPr>
          </w:p>
        </w:tc>
        <w:tc>
          <w:tcPr>
            <w:tcW w:w="1246" w:type="dxa"/>
            <w:vMerge w:val="continue"/>
            <w:noWrap w:val="0"/>
            <w:vAlign w:val="center"/>
          </w:tcPr>
          <w:p w14:paraId="7129B398">
            <w:pPr>
              <w:jc w:val="center"/>
              <w:rPr>
                <w:rFonts w:ascii="宋体" w:hAnsi="宋体"/>
                <w:szCs w:val="21"/>
              </w:rPr>
            </w:pPr>
          </w:p>
        </w:tc>
        <w:tc>
          <w:tcPr>
            <w:tcW w:w="7444" w:type="dxa"/>
            <w:noWrap w:val="0"/>
            <w:vAlign w:val="center"/>
          </w:tcPr>
          <w:p w14:paraId="0D3ABA73">
            <w:pPr>
              <w:keepNext w:val="0"/>
              <w:keepLines w:val="0"/>
              <w:pageBreakBefore w:val="0"/>
              <w:tabs>
                <w:tab w:val="left" w:pos="4915"/>
              </w:tabs>
              <w:kinsoku/>
              <w:wordWrap/>
              <w:overflowPunct/>
              <w:topLinePunct w:val="0"/>
              <w:bidi w:val="0"/>
              <w:snapToGrid/>
              <w:spacing w:before="0" w:after="0" w:line="300" w:lineRule="exact"/>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根据招标需求，提供合理的配餐方案，针对</w:t>
            </w:r>
            <w:r>
              <w:rPr>
                <w:rFonts w:hint="eastAsia" w:ascii="宋体" w:hAnsi="宋体" w:eastAsia="宋体" w:cs="宋体"/>
                <w:color w:val="auto"/>
                <w:szCs w:val="21"/>
                <w:highlight w:val="none"/>
                <w:lang w:val="en-US" w:eastAsia="zh-CN"/>
              </w:rPr>
              <w:t>一年四季制定的菜谱方案、</w:t>
            </w:r>
            <w:r>
              <w:rPr>
                <w:rFonts w:hint="eastAsia" w:ascii="宋体" w:hAnsi="宋体" w:eastAsia="宋体" w:cs="宋体"/>
                <w:color w:val="auto"/>
                <w:sz w:val="21"/>
                <w:szCs w:val="21"/>
                <w:highlight w:val="none"/>
                <w:lang w:val="en-US" w:eastAsia="zh-CN"/>
              </w:rPr>
              <w:t>配餐新鲜、营养、荤素搭配切实可行的方案进行评审:</w:t>
            </w:r>
          </w:p>
          <w:p w14:paraId="6DAE6924">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w:t>
            </w:r>
            <w:r>
              <w:rPr>
                <w:rFonts w:hint="eastAsia" w:ascii="宋体" w:hAnsi="宋体" w:cs="宋体"/>
                <w:color w:val="auto"/>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，能很好契合项目实际情况，完全符合采购人需求的得4分；</w:t>
            </w:r>
          </w:p>
          <w:p w14:paraId="387D3E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w:t>
            </w:r>
            <w:r>
              <w:rPr>
                <w:rFonts w:hint="eastAsia" w:ascii="宋体" w:hAnsi="宋体" w:cs="宋体"/>
                <w:color w:val="auto"/>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、基本契合项目情况，符合采购人需求的得3分；</w:t>
            </w:r>
          </w:p>
          <w:p w14:paraId="767CEE7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7AA16A31">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3FB6AB6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3DB4CD67">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48F23B54">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3869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CFE7A7A">
            <w:pPr>
              <w:jc w:val="center"/>
              <w:rPr>
                <w:rFonts w:ascii="宋体" w:hAnsi="宋体" w:cs="宋体"/>
                <w:b/>
                <w:bCs/>
                <w:szCs w:val="21"/>
              </w:rPr>
            </w:pPr>
          </w:p>
        </w:tc>
        <w:tc>
          <w:tcPr>
            <w:tcW w:w="1246" w:type="dxa"/>
            <w:vMerge w:val="continue"/>
            <w:noWrap w:val="0"/>
            <w:vAlign w:val="center"/>
          </w:tcPr>
          <w:p w14:paraId="503FB279">
            <w:pPr>
              <w:jc w:val="center"/>
              <w:rPr>
                <w:rFonts w:ascii="宋体" w:hAnsi="宋体"/>
                <w:szCs w:val="21"/>
              </w:rPr>
            </w:pPr>
          </w:p>
        </w:tc>
        <w:tc>
          <w:tcPr>
            <w:tcW w:w="7444" w:type="dxa"/>
            <w:noWrap w:val="0"/>
            <w:vAlign w:val="center"/>
          </w:tcPr>
          <w:p w14:paraId="29931E65">
            <w:pPr>
              <w:numPr>
                <w:ilvl w:val="-1"/>
                <w:numId w:val="0"/>
              </w:numPr>
              <w:tabs>
                <w:tab w:val="left" w:pos="4915"/>
              </w:tabs>
              <w:snapToGrid/>
              <w:spacing w:line="3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根据评委对供应商提供的特色服务方案进行综合评议。</w:t>
            </w:r>
          </w:p>
          <w:p w14:paraId="11F7D5E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7FD76FAE">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②方案内容编制合理、基本契合项目情况，符合采购人需求的得3分；</w:t>
            </w:r>
          </w:p>
          <w:p w14:paraId="40F71F77">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4DB099B2">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458001A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b w:val="0"/>
                <w:bCs w:val="0"/>
                <w:color w:val="000000"/>
                <w:kern w:val="1"/>
                <w:sz w:val="21"/>
                <w:szCs w:val="21"/>
                <w:highlight w:val="none"/>
                <w:lang w:val="en-US" w:eastAsia="zh-CN" w:bidi="ar-SA"/>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0C503DEE">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63741F20">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6205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77" w:type="dxa"/>
            <w:vMerge w:val="continue"/>
            <w:noWrap w:val="0"/>
            <w:vAlign w:val="center"/>
          </w:tcPr>
          <w:p w14:paraId="405B1E0D">
            <w:pPr>
              <w:jc w:val="center"/>
              <w:rPr>
                <w:rFonts w:ascii="宋体" w:hAnsi="宋体" w:cs="宋体"/>
                <w:b/>
                <w:bCs/>
                <w:szCs w:val="21"/>
              </w:rPr>
            </w:pPr>
          </w:p>
        </w:tc>
        <w:tc>
          <w:tcPr>
            <w:tcW w:w="1246" w:type="dxa"/>
            <w:vMerge w:val="continue"/>
            <w:noWrap w:val="0"/>
            <w:vAlign w:val="center"/>
          </w:tcPr>
          <w:p w14:paraId="0C801CC2">
            <w:pPr>
              <w:jc w:val="center"/>
              <w:rPr>
                <w:rFonts w:ascii="宋体" w:hAnsi="宋体"/>
                <w:szCs w:val="21"/>
              </w:rPr>
            </w:pPr>
          </w:p>
        </w:tc>
        <w:tc>
          <w:tcPr>
            <w:tcW w:w="7444" w:type="dxa"/>
            <w:noWrap w:val="0"/>
            <w:vAlign w:val="center"/>
          </w:tcPr>
          <w:p w14:paraId="78EC5CD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Times New Roman" w:hAnsi="Times New Roman" w:eastAsia="宋体" w:cs="宋体"/>
                <w:color w:val="000000"/>
                <w:szCs w:val="21"/>
                <w:highlight w:val="none"/>
                <w:lang w:val="en-US" w:eastAsia="zh-CN"/>
              </w:rPr>
              <w:t>.5卫生管理控制方案（食品卫生、人员卫生、环境卫生、垃圾处理方案等），根据方案的全面性、可行性及针对性进行评分：</w:t>
            </w:r>
          </w:p>
          <w:p w14:paraId="41F97C2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280CC6B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225BCED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3B00851">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769AF82F">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478EABE6">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6C96034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047D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765F17C5">
            <w:pPr>
              <w:jc w:val="center"/>
              <w:rPr>
                <w:rFonts w:ascii="宋体" w:hAnsi="宋体" w:cs="宋体"/>
                <w:b/>
                <w:bCs/>
                <w:szCs w:val="21"/>
              </w:rPr>
            </w:pPr>
          </w:p>
        </w:tc>
        <w:tc>
          <w:tcPr>
            <w:tcW w:w="1246" w:type="dxa"/>
            <w:vMerge w:val="continue"/>
            <w:noWrap w:val="0"/>
            <w:vAlign w:val="center"/>
          </w:tcPr>
          <w:p w14:paraId="460E5BC1">
            <w:pPr>
              <w:jc w:val="center"/>
              <w:rPr>
                <w:rFonts w:ascii="宋体" w:hAnsi="宋体"/>
                <w:szCs w:val="21"/>
              </w:rPr>
            </w:pPr>
          </w:p>
        </w:tc>
        <w:tc>
          <w:tcPr>
            <w:tcW w:w="7444" w:type="dxa"/>
            <w:noWrap w:val="0"/>
            <w:vAlign w:val="center"/>
          </w:tcPr>
          <w:p w14:paraId="60DDBA3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服务质量控制方案，根据方案的完整性、科学性、合理性进行打分</w:t>
            </w:r>
            <w:r>
              <w:rPr>
                <w:rFonts w:hint="eastAsia" w:ascii="宋体" w:hAnsi="宋体" w:eastAsia="宋体" w:cs="宋体"/>
                <w:color w:val="auto"/>
                <w:szCs w:val="21"/>
                <w:highlight w:val="none"/>
                <w:lang w:eastAsia="zh-CN"/>
              </w:rPr>
              <w:t>：</w:t>
            </w:r>
          </w:p>
          <w:p w14:paraId="2C91B7E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p>
          <w:p w14:paraId="33A9A2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56303CA1">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2C14530">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34EB752D">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5A6E3B3">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23AC26B4">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3D38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77" w:type="dxa"/>
            <w:vMerge w:val="continue"/>
            <w:noWrap w:val="0"/>
            <w:vAlign w:val="center"/>
          </w:tcPr>
          <w:p w14:paraId="28946745">
            <w:pPr>
              <w:jc w:val="center"/>
              <w:rPr>
                <w:rFonts w:ascii="宋体" w:hAnsi="宋体" w:cs="宋体"/>
                <w:b/>
                <w:bCs/>
                <w:szCs w:val="21"/>
              </w:rPr>
            </w:pPr>
          </w:p>
        </w:tc>
        <w:tc>
          <w:tcPr>
            <w:tcW w:w="1246" w:type="dxa"/>
            <w:vMerge w:val="continue"/>
            <w:noWrap w:val="0"/>
            <w:vAlign w:val="center"/>
          </w:tcPr>
          <w:p w14:paraId="4BF1AC9A">
            <w:pPr>
              <w:jc w:val="center"/>
              <w:rPr>
                <w:rFonts w:ascii="宋体" w:hAnsi="宋体"/>
                <w:szCs w:val="21"/>
              </w:rPr>
            </w:pPr>
          </w:p>
        </w:tc>
        <w:tc>
          <w:tcPr>
            <w:tcW w:w="7444" w:type="dxa"/>
            <w:noWrap w:val="0"/>
            <w:vAlign w:val="center"/>
          </w:tcPr>
          <w:p w14:paraId="2DB1DCC8">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2.7原材料使用管理方案及食品保存管理方案，根据方案的全面性、合理性、针对性，进行评分</w:t>
            </w:r>
          </w:p>
          <w:p w14:paraId="387376B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66CD0B8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36D3604C">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58A1D6DC">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64609F45">
            <w:pPr>
              <w:keepNext w:val="0"/>
              <w:keepLines w:val="0"/>
              <w:pageBreakBefore w:val="0"/>
              <w:tabs>
                <w:tab w:val="left" w:pos="4915"/>
              </w:tabs>
              <w:kinsoku/>
              <w:wordWrap/>
              <w:overflowPunct/>
              <w:topLinePunct w:val="0"/>
              <w:bidi w:val="0"/>
              <w:snapToGrid/>
              <w:spacing w:line="300" w:lineRule="exact"/>
              <w:textAlignment w:val="auto"/>
              <w:rPr>
                <w:rFonts w:hint="eastAsia" w:ascii="宋体" w:hAnsi="宋体" w:eastAsia="宋体" w:cs="宋体"/>
                <w:color w:val="auto"/>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744B8FAA">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474ADE58">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8CF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977" w:type="dxa"/>
            <w:vMerge w:val="continue"/>
            <w:noWrap w:val="0"/>
            <w:vAlign w:val="center"/>
          </w:tcPr>
          <w:p w14:paraId="05AEDFE0">
            <w:pPr>
              <w:jc w:val="center"/>
              <w:rPr>
                <w:rFonts w:ascii="宋体" w:hAnsi="宋体" w:cs="宋体"/>
                <w:b/>
                <w:bCs/>
                <w:szCs w:val="21"/>
              </w:rPr>
            </w:pPr>
          </w:p>
        </w:tc>
        <w:tc>
          <w:tcPr>
            <w:tcW w:w="1246" w:type="dxa"/>
            <w:vMerge w:val="continue"/>
            <w:noWrap w:val="0"/>
            <w:vAlign w:val="center"/>
          </w:tcPr>
          <w:p w14:paraId="1D9CB40A">
            <w:pPr>
              <w:jc w:val="center"/>
              <w:rPr>
                <w:rFonts w:ascii="宋体" w:hAnsi="宋体"/>
                <w:szCs w:val="21"/>
              </w:rPr>
            </w:pPr>
          </w:p>
        </w:tc>
        <w:tc>
          <w:tcPr>
            <w:tcW w:w="7444" w:type="dxa"/>
            <w:noWrap w:val="0"/>
            <w:vAlign w:val="center"/>
          </w:tcPr>
          <w:p w14:paraId="7D5675F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餐饮服务食品安全管理五常法在食堂管理中的运用方案的完整性、合理性进行</w:t>
            </w:r>
            <w:r>
              <w:rPr>
                <w:rFonts w:hint="eastAsia" w:ascii="宋体" w:hAnsi="宋体" w:eastAsia="宋体" w:cs="宋体"/>
                <w:color w:val="auto"/>
                <w:szCs w:val="21"/>
                <w:highlight w:val="none"/>
                <w:lang w:val="en-US" w:eastAsia="zh-CN"/>
              </w:rPr>
              <w:t>评分：</w:t>
            </w:r>
          </w:p>
          <w:p w14:paraId="51D52FFF">
            <w:pPr>
              <w:keepNext w:val="0"/>
              <w:keepLines w:val="0"/>
              <w:pageBreakBefore w:val="0"/>
              <w:tabs>
                <w:tab w:val="left" w:pos="4915"/>
              </w:tabs>
              <w:kinsoku/>
              <w:wordWrap/>
              <w:overflowPunct/>
              <w:topLinePunct w:val="0"/>
              <w:bidi w:val="0"/>
              <w:snapToGrid/>
              <w:spacing w:line="300" w:lineRule="exact"/>
              <w:textAlignment w:val="auto"/>
              <w:rPr>
                <w:rFonts w:hint="eastAsia"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4</w:t>
            </w:r>
            <w:r>
              <w:rPr>
                <w:rFonts w:hint="eastAsia" w:ascii="Times New Roman" w:hAnsi="Times New Roman" w:eastAsia="宋体" w:cs="宋体"/>
                <w:color w:val="000000"/>
                <w:szCs w:val="21"/>
                <w:highlight w:val="none"/>
                <w:lang w:val="en-US" w:eastAsia="zh-CN"/>
              </w:rPr>
              <w:t>分</w:t>
            </w:r>
            <w:r>
              <w:rPr>
                <w:rFonts w:hint="eastAsia" w:cs="宋体"/>
                <w:color w:val="000000"/>
                <w:szCs w:val="21"/>
                <w:highlight w:val="none"/>
                <w:lang w:val="en-US" w:eastAsia="zh-CN"/>
              </w:rPr>
              <w:t>；</w:t>
            </w:r>
          </w:p>
          <w:p w14:paraId="7668017D">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②方案内容较为契合项目情况，较为符合采购人需求的得3分；</w:t>
            </w:r>
          </w:p>
          <w:p w14:paraId="18854EC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694CCD55">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0236E15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Times New Roman"/>
                <w:szCs w:val="21"/>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21CB371C">
            <w:pPr>
              <w:jc w:val="center"/>
              <w:rPr>
                <w:rFonts w:hint="eastAsia"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128E06A9">
            <w:pPr>
              <w:jc w:val="cente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440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647B016E">
            <w:pPr>
              <w:jc w:val="center"/>
              <w:rPr>
                <w:rFonts w:ascii="宋体" w:hAnsi="宋体" w:cs="宋体"/>
                <w:b/>
                <w:bCs/>
                <w:szCs w:val="21"/>
              </w:rPr>
            </w:pPr>
          </w:p>
        </w:tc>
        <w:tc>
          <w:tcPr>
            <w:tcW w:w="1246" w:type="dxa"/>
            <w:noWrap w:val="0"/>
            <w:vAlign w:val="center"/>
          </w:tcPr>
          <w:p w14:paraId="2FF735B9">
            <w:pPr>
              <w:jc w:val="center"/>
              <w:rPr>
                <w:rFonts w:ascii="宋体" w:hAnsi="宋体"/>
                <w:color w:val="000000"/>
                <w:szCs w:val="21"/>
              </w:rPr>
            </w:pPr>
            <w:r>
              <w:rPr>
                <w:rFonts w:hint="eastAsia" w:ascii="宋体" w:hAnsi="宋体"/>
                <w:color w:val="000000"/>
                <w:szCs w:val="21"/>
                <w:lang w:val="en-US" w:eastAsia="zh-CN"/>
              </w:rPr>
              <w:t>3.项目组织框架及人员配置</w:t>
            </w:r>
          </w:p>
        </w:tc>
        <w:tc>
          <w:tcPr>
            <w:tcW w:w="7444" w:type="dxa"/>
            <w:noWrap w:val="0"/>
            <w:vAlign w:val="center"/>
          </w:tcPr>
          <w:p w14:paraId="7291E59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根据拟派人员岗位安排、分配明细情况，包括人员数量、配备合理，各岗位的配置和劳动力的投入经优化配置，人员配备是否充分且满足各岗位和工作量的需求进行评分：</w:t>
            </w:r>
          </w:p>
          <w:p w14:paraId="54118D58">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36716D8A">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8690C5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DEF6427">
            <w:pPr>
              <w:tabs>
                <w:tab w:val="right" w:pos="4601"/>
              </w:tabs>
              <w:rPr>
                <w:rFonts w:hint="eastAsia" w:ascii="宋体" w:hAnsi="宋体" w:eastAsia="宋体" w:cs="宋体"/>
                <w:color w:val="000000"/>
                <w:kern w:val="2"/>
                <w:sz w:val="21"/>
                <w:szCs w:val="21"/>
                <w:lang w:val="en-US" w:eastAsia="zh-CN" w:bidi="ar-SA"/>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3D5F7BB4">
            <w:pPr>
              <w:tabs>
                <w:tab w:val="right" w:pos="4601"/>
              </w:tabs>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610A16AD">
            <w:pPr>
              <w:tabs>
                <w:tab w:val="right" w:pos="4601"/>
              </w:tabs>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508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77" w:type="dxa"/>
            <w:vMerge w:val="continue"/>
            <w:noWrap w:val="0"/>
            <w:vAlign w:val="center"/>
          </w:tcPr>
          <w:p w14:paraId="0DFDB30D">
            <w:pPr>
              <w:jc w:val="center"/>
              <w:rPr>
                <w:rFonts w:ascii="宋体" w:hAnsi="宋体" w:cs="宋体"/>
                <w:b/>
                <w:bCs/>
                <w:szCs w:val="21"/>
              </w:rPr>
            </w:pPr>
          </w:p>
        </w:tc>
        <w:tc>
          <w:tcPr>
            <w:tcW w:w="1246" w:type="dxa"/>
            <w:vMerge w:val="restart"/>
            <w:noWrap w:val="0"/>
            <w:vAlign w:val="center"/>
          </w:tcPr>
          <w:p w14:paraId="3BF7E8C2">
            <w:pPr>
              <w:jc w:val="center"/>
              <w:rPr>
                <w:rFonts w:ascii="宋体" w:hAnsi="宋体"/>
                <w:color w:val="000000"/>
                <w:szCs w:val="21"/>
              </w:rPr>
            </w:pPr>
            <w:r>
              <w:rPr>
                <w:rFonts w:hint="eastAsia" w:ascii="宋体" w:hAnsi="宋体"/>
                <w:color w:val="000000"/>
                <w:szCs w:val="21"/>
                <w:lang w:val="en-US" w:eastAsia="zh-CN"/>
              </w:rPr>
              <w:t>4.食堂设施设备管理方案</w:t>
            </w:r>
          </w:p>
        </w:tc>
        <w:tc>
          <w:tcPr>
            <w:tcW w:w="7444" w:type="dxa"/>
            <w:noWrap w:val="0"/>
            <w:vAlign w:val="center"/>
          </w:tcPr>
          <w:p w14:paraId="6989222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4.1</w:t>
            </w:r>
            <w:r>
              <w:rPr>
                <w:rFonts w:hint="eastAsia" w:ascii="宋体" w:hAnsi="宋体" w:eastAsia="宋体" w:cs="宋体"/>
                <w:bCs/>
                <w:color w:val="auto"/>
                <w:sz w:val="21"/>
                <w:szCs w:val="21"/>
                <w:lang w:val="en-US" w:eastAsia="zh-CN"/>
              </w:rPr>
              <w:t>根据供应商拟定的针对</w:t>
            </w:r>
            <w:r>
              <w:rPr>
                <w:rFonts w:hint="eastAsia" w:ascii="宋体" w:hAnsi="宋体" w:eastAsia="宋体" w:cs="宋体"/>
                <w:color w:val="auto"/>
                <w:szCs w:val="21"/>
                <w:highlight w:val="none"/>
              </w:rPr>
              <w:t>设施设备的使用方式、保管管理制度等进行综合评议</w:t>
            </w:r>
            <w:r>
              <w:rPr>
                <w:rFonts w:hint="eastAsia" w:ascii="宋体" w:hAnsi="宋体" w:eastAsia="宋体" w:cs="宋体"/>
                <w:bCs/>
                <w:color w:val="auto"/>
                <w:sz w:val="21"/>
                <w:szCs w:val="21"/>
                <w:lang w:val="en-US" w:eastAsia="zh-CN"/>
              </w:rPr>
              <w:t>：</w:t>
            </w:r>
          </w:p>
          <w:p w14:paraId="1A501607">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74489F52">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6C9C4CE2">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64AB844D">
            <w:pPr>
              <w:rPr>
                <w:rFonts w:ascii="宋体" w:hAnsi="宋体"/>
                <w:b/>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F1D97E1">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08E01CB2">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C58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977" w:type="dxa"/>
            <w:vMerge w:val="continue"/>
            <w:noWrap w:val="0"/>
            <w:vAlign w:val="center"/>
          </w:tcPr>
          <w:p w14:paraId="7F427567">
            <w:pPr>
              <w:jc w:val="center"/>
              <w:rPr>
                <w:rFonts w:ascii="宋体" w:hAnsi="宋体" w:cs="宋体"/>
                <w:b/>
                <w:bCs/>
                <w:szCs w:val="21"/>
              </w:rPr>
            </w:pPr>
          </w:p>
        </w:tc>
        <w:tc>
          <w:tcPr>
            <w:tcW w:w="1246" w:type="dxa"/>
            <w:vMerge w:val="continue"/>
            <w:noWrap w:val="0"/>
            <w:vAlign w:val="center"/>
          </w:tcPr>
          <w:p w14:paraId="72C4D9C5">
            <w:pPr>
              <w:jc w:val="center"/>
              <w:rPr>
                <w:rFonts w:hint="eastAsia" w:ascii="宋体" w:hAnsi="宋体"/>
                <w:color w:val="000000"/>
                <w:szCs w:val="21"/>
                <w:lang w:val="en-US" w:eastAsia="zh-CN"/>
              </w:rPr>
            </w:pPr>
          </w:p>
        </w:tc>
        <w:tc>
          <w:tcPr>
            <w:tcW w:w="7444" w:type="dxa"/>
            <w:noWrap w:val="0"/>
            <w:vAlign w:val="center"/>
          </w:tcPr>
          <w:p w14:paraId="41CE5F5F">
            <w:pPr>
              <w:tabs>
                <w:tab w:val="left" w:pos="4915"/>
              </w:tabs>
              <w:snapToGrid/>
              <w:spacing w:line="300" w:lineRule="exact"/>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4.2</w:t>
            </w:r>
            <w:r>
              <w:rPr>
                <w:rFonts w:hint="eastAsia" w:ascii="宋体" w:hAnsi="宋体" w:eastAsia="宋体" w:cs="宋体"/>
                <w:bCs/>
                <w:color w:val="auto"/>
                <w:kern w:val="0"/>
                <w:sz w:val="21"/>
                <w:szCs w:val="21"/>
                <w:highlight w:val="none"/>
              </w:rPr>
              <w:t>评委根据</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rPr>
              <w:t>针对本项目节能管理措施，评委酌情打分</w:t>
            </w:r>
            <w:r>
              <w:rPr>
                <w:rFonts w:hint="eastAsia" w:ascii="宋体" w:hAnsi="宋体" w:eastAsia="宋体" w:cs="宋体"/>
                <w:bCs/>
                <w:color w:val="auto"/>
                <w:kern w:val="0"/>
                <w:sz w:val="21"/>
                <w:szCs w:val="21"/>
                <w:highlight w:val="none"/>
                <w:lang w:eastAsia="zh-CN"/>
              </w:rPr>
              <w:t>。</w:t>
            </w:r>
          </w:p>
          <w:p w14:paraId="2CED2B3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29D86483">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1AEA7C99">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40057FBB">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2602AF1">
            <w:pPr>
              <w:jc w:val="center"/>
              <w:rPr>
                <w:rFonts w:hint="default" w:ascii="Times New Roman" w:hAnsi="Times New Roman" w:eastAsia="宋体" w:cs="宋体"/>
                <w:b w:val="0"/>
                <w:bCs w:val="0"/>
                <w:color w:val="000000"/>
                <w:kern w:val="1"/>
                <w:sz w:val="21"/>
                <w:szCs w:val="21"/>
                <w:highlight w:val="none"/>
                <w:lang w:val="en-US" w:eastAsia="zh-CN" w:bidi="ar-SA"/>
              </w:rPr>
            </w:pPr>
            <w:r>
              <w:rPr>
                <w:rFonts w:hint="eastAsia" w:cs="宋体"/>
                <w:b w:val="0"/>
                <w:bCs w:val="0"/>
                <w:color w:val="000000"/>
                <w:kern w:val="1"/>
                <w:sz w:val="21"/>
                <w:szCs w:val="21"/>
                <w:highlight w:val="none"/>
                <w:lang w:val="en-US" w:eastAsia="zh-CN" w:bidi="ar-SA"/>
              </w:rPr>
              <w:t>3</w:t>
            </w:r>
            <w:r>
              <w:rPr>
                <w:rFonts w:hint="eastAsia" w:cs="宋体"/>
                <w:color w:val="000000"/>
                <w:szCs w:val="21"/>
                <w:highlight w:val="none"/>
                <w:lang w:val="en-US" w:eastAsia="zh-CN"/>
              </w:rPr>
              <w:t>分</w:t>
            </w:r>
          </w:p>
        </w:tc>
        <w:tc>
          <w:tcPr>
            <w:tcW w:w="876" w:type="dxa"/>
            <w:noWrap w:val="0"/>
            <w:vAlign w:val="center"/>
          </w:tcPr>
          <w:p w14:paraId="0C554E3C">
            <w:pPr>
              <w:rPr>
                <w:rFonts w:hint="eastAsia" w:cs="宋体"/>
                <w:b w:val="0"/>
                <w:bCs w:val="0"/>
                <w:color w:val="000000"/>
                <w:kern w:val="1"/>
                <w:sz w:val="21"/>
                <w:szCs w:val="21"/>
                <w:highlight w:val="none"/>
                <w:lang w:val="en-US" w:eastAsia="zh-CN" w:bidi="ar-SA"/>
              </w:rPr>
            </w:pPr>
            <w:r>
              <w:rPr>
                <w:rFonts w:hint="eastAsia" w:cs="宋体"/>
                <w:color w:val="000000"/>
                <w:szCs w:val="21"/>
                <w:highlight w:val="none"/>
                <w:lang w:val="en-US" w:eastAsia="zh-CN"/>
              </w:rPr>
              <w:t>主观分</w:t>
            </w:r>
          </w:p>
        </w:tc>
      </w:tr>
      <w:tr w14:paraId="7584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vMerge w:val="continue"/>
            <w:noWrap w:val="0"/>
            <w:vAlign w:val="center"/>
          </w:tcPr>
          <w:p w14:paraId="5D5D168B">
            <w:pPr>
              <w:jc w:val="center"/>
              <w:rPr>
                <w:rFonts w:ascii="宋体" w:hAnsi="宋体" w:cs="宋体"/>
                <w:b/>
                <w:bCs/>
                <w:szCs w:val="21"/>
              </w:rPr>
            </w:pPr>
          </w:p>
        </w:tc>
        <w:tc>
          <w:tcPr>
            <w:tcW w:w="1246" w:type="dxa"/>
            <w:noWrap w:val="0"/>
            <w:vAlign w:val="center"/>
          </w:tcPr>
          <w:p w14:paraId="744E3ADA">
            <w:pPr>
              <w:jc w:val="center"/>
              <w:rPr>
                <w:rFonts w:ascii="宋体" w:hAnsi="宋体"/>
                <w:color w:val="000000"/>
                <w:szCs w:val="21"/>
              </w:rPr>
            </w:pPr>
            <w:r>
              <w:rPr>
                <w:rFonts w:hint="eastAsia" w:ascii="宋体" w:hAnsi="宋体"/>
                <w:color w:val="000000"/>
                <w:szCs w:val="21"/>
                <w:lang w:val="en-US" w:eastAsia="zh-CN"/>
              </w:rPr>
              <w:t>5.</w:t>
            </w:r>
            <w:r>
              <w:rPr>
                <w:rFonts w:hint="eastAsia" w:ascii="宋体" w:hAnsi="宋体" w:cs="宋体"/>
                <w:color w:val="auto"/>
                <w:szCs w:val="21"/>
                <w:highlight w:val="none"/>
                <w:lang w:val="en-US" w:eastAsia="zh-CN"/>
              </w:rPr>
              <w:t>针对本项目的重难点及解决措施</w:t>
            </w:r>
          </w:p>
          <w:p w14:paraId="2065C485">
            <w:pPr>
              <w:jc w:val="center"/>
              <w:rPr>
                <w:rFonts w:ascii="宋体" w:hAnsi="宋体"/>
                <w:color w:val="000000"/>
                <w:szCs w:val="21"/>
              </w:rPr>
            </w:pPr>
          </w:p>
        </w:tc>
        <w:tc>
          <w:tcPr>
            <w:tcW w:w="7444" w:type="dxa"/>
            <w:noWrap w:val="0"/>
            <w:vAlign w:val="center"/>
          </w:tcPr>
          <w:p w14:paraId="7285BC0C">
            <w:pPr>
              <w:tabs>
                <w:tab w:val="left" w:pos="4915"/>
              </w:tabs>
              <w:snapToGrid/>
              <w:spacing w:line="300" w:lineRule="exact"/>
              <w:rPr>
                <w:rFonts w:hint="eastAsia" w:ascii="宋体" w:hAnsi="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rPr>
              <w:t>评委</w:t>
            </w:r>
            <w:r>
              <w:rPr>
                <w:rFonts w:hint="eastAsia"/>
                <w:color w:val="000000"/>
                <w:szCs w:val="21"/>
              </w:rPr>
              <w:t>根据投标人针对</w:t>
            </w:r>
            <w:r>
              <w:rPr>
                <w:rFonts w:hint="eastAsia" w:ascii="宋体" w:hAnsi="宋体" w:eastAsia="宋体" w:cs="宋体"/>
                <w:bCs/>
                <w:color w:val="auto"/>
                <w:kern w:val="0"/>
                <w:sz w:val="21"/>
                <w:szCs w:val="21"/>
                <w:highlight w:val="none"/>
              </w:rPr>
              <w:t>本项目</w:t>
            </w:r>
            <w:r>
              <w:rPr>
                <w:rFonts w:hint="eastAsia" w:ascii="宋体" w:hAnsi="宋体" w:eastAsia="宋体" w:cs="宋体"/>
                <w:bCs/>
                <w:color w:val="auto"/>
                <w:kern w:val="0"/>
                <w:sz w:val="21"/>
                <w:szCs w:val="21"/>
                <w:highlight w:val="none"/>
                <w:lang w:val="en-US" w:eastAsia="zh-CN"/>
              </w:rPr>
              <w:t>服务区域的</w:t>
            </w:r>
            <w:r>
              <w:rPr>
                <w:rFonts w:hint="eastAsia" w:ascii="宋体" w:hAnsi="宋体" w:eastAsia="宋体" w:cs="宋体"/>
                <w:bCs/>
                <w:color w:val="auto"/>
                <w:kern w:val="0"/>
                <w:sz w:val="21"/>
                <w:szCs w:val="21"/>
                <w:highlight w:val="none"/>
              </w:rPr>
              <w:t>熟悉程度、现状考察、调研后提出的</w:t>
            </w:r>
            <w:r>
              <w:rPr>
                <w:rFonts w:hint="eastAsia" w:ascii="宋体" w:hAnsi="宋体" w:eastAsia="宋体" w:cs="宋体"/>
                <w:bCs/>
                <w:color w:val="auto"/>
                <w:kern w:val="0"/>
                <w:sz w:val="21"/>
                <w:szCs w:val="21"/>
                <w:highlight w:val="none"/>
                <w:lang w:val="en-US" w:eastAsia="zh-CN"/>
              </w:rPr>
              <w:t>服务</w:t>
            </w:r>
            <w:r>
              <w:rPr>
                <w:rFonts w:hint="eastAsia" w:ascii="宋体" w:hAnsi="宋体" w:cs="宋体"/>
                <w:bCs/>
                <w:color w:val="auto"/>
                <w:kern w:val="0"/>
                <w:sz w:val="21"/>
                <w:szCs w:val="21"/>
                <w:highlight w:val="none"/>
                <w:lang w:val="en-US" w:eastAsia="zh-CN"/>
              </w:rPr>
              <w:t>工作</w:t>
            </w:r>
            <w:r>
              <w:rPr>
                <w:rFonts w:hint="eastAsia" w:ascii="宋体" w:hAnsi="宋体" w:eastAsia="宋体" w:cs="宋体"/>
                <w:bCs/>
                <w:color w:val="auto"/>
                <w:kern w:val="0"/>
                <w:sz w:val="21"/>
                <w:szCs w:val="21"/>
                <w:highlight w:val="none"/>
              </w:rPr>
              <w:t>的重点、难点</w:t>
            </w:r>
            <w:r>
              <w:rPr>
                <w:rFonts w:hint="eastAsia" w:ascii="宋体" w:hAnsi="宋体" w:eastAsia="宋体" w:cs="宋体"/>
                <w:bCs/>
                <w:color w:val="auto"/>
                <w:kern w:val="0"/>
                <w:sz w:val="21"/>
                <w:szCs w:val="21"/>
                <w:highlight w:val="none"/>
                <w:lang w:eastAsia="zh-CN"/>
              </w:rPr>
              <w:t>及</w:t>
            </w:r>
            <w:r>
              <w:rPr>
                <w:rFonts w:hint="eastAsia"/>
                <w:color w:val="000000"/>
                <w:szCs w:val="21"/>
              </w:rPr>
              <w:t>解决方案</w:t>
            </w:r>
            <w:r>
              <w:rPr>
                <w:rFonts w:hint="eastAsia"/>
                <w:color w:val="000000"/>
                <w:szCs w:val="21"/>
                <w:lang w:eastAsia="zh-CN"/>
              </w:rPr>
              <w:t>等</w:t>
            </w:r>
            <w:r>
              <w:rPr>
                <w:rFonts w:hint="eastAsia" w:ascii="宋体" w:hAnsi="宋体" w:eastAsia="宋体" w:cs="宋体"/>
                <w:bCs/>
                <w:color w:val="auto"/>
                <w:kern w:val="0"/>
                <w:sz w:val="21"/>
                <w:szCs w:val="21"/>
                <w:highlight w:val="none"/>
                <w:lang w:val="en-US" w:eastAsia="zh-CN"/>
              </w:rPr>
              <w:t>进行综合评议</w:t>
            </w:r>
            <w:r>
              <w:rPr>
                <w:rFonts w:hint="eastAsia" w:ascii="宋体" w:hAnsi="宋体" w:cs="宋体"/>
                <w:bCs/>
                <w:color w:val="auto"/>
                <w:kern w:val="0"/>
                <w:sz w:val="21"/>
                <w:szCs w:val="21"/>
                <w:highlight w:val="none"/>
                <w:lang w:val="en-US" w:eastAsia="zh-CN"/>
              </w:rPr>
              <w:t>。</w:t>
            </w:r>
          </w:p>
          <w:p w14:paraId="02C3A8FB">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①方案内容编制全面，能很好契合项目实际情况，完全符合采购人需求的得4分；</w:t>
            </w:r>
          </w:p>
          <w:p w14:paraId="3100D09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②方案内容编制合理、基本契合项目情况的得3分；</w:t>
            </w:r>
          </w:p>
          <w:p w14:paraId="09B1C2D9">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 xml:space="preserve">③方案基本完整，但存在一定瑕疵，基本符合采购人需求的得2分； </w:t>
            </w:r>
          </w:p>
          <w:p w14:paraId="5E137857">
            <w:pPr>
              <w:keepNext w:val="0"/>
              <w:keepLines w:val="0"/>
              <w:tabs>
                <w:tab w:val="left" w:pos="4915"/>
              </w:tabs>
              <w:spacing w:line="300" w:lineRule="exact"/>
              <w:jc w:val="both"/>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④方案内容欠缺，存在明显问题，不能满足采购人需求的得1分；</w:t>
            </w:r>
          </w:p>
          <w:p w14:paraId="69420184">
            <w:pPr>
              <w:rPr>
                <w:rFonts w:hint="eastAsia" w:ascii="宋体" w:hAnsi="宋体" w:eastAsia="宋体" w:cs="宋体"/>
                <w:color w:val="auto"/>
                <w:szCs w:val="21"/>
                <w:highlight w:val="none"/>
                <w:lang w:val="en-US" w:eastAsia="zh-CN"/>
              </w:rPr>
            </w:pPr>
            <w:r>
              <w:rPr>
                <w:rFonts w:hint="eastAsia" w:ascii="Times New Roman" w:hAnsi="Times New Roman" w:eastAsia="宋体" w:cs="宋体"/>
                <w:b w:val="0"/>
                <w:bCs w:val="0"/>
                <w:color w:val="000000"/>
                <w:kern w:val="1"/>
                <w:sz w:val="21"/>
                <w:szCs w:val="21"/>
                <w:highlight w:val="none"/>
                <w:lang w:val="en-US" w:eastAsia="zh-CN" w:bidi="ar-SA"/>
              </w:rPr>
              <w:t>未提供相关内容的不得分。</w:t>
            </w:r>
          </w:p>
        </w:tc>
        <w:tc>
          <w:tcPr>
            <w:tcW w:w="672" w:type="dxa"/>
            <w:noWrap w:val="0"/>
            <w:vAlign w:val="center"/>
          </w:tcPr>
          <w:p w14:paraId="46DA8DA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cs="宋体"/>
                <w:color w:val="000000"/>
                <w:szCs w:val="21"/>
                <w:highlight w:val="none"/>
                <w:lang w:val="en-US" w:eastAsia="zh-CN"/>
              </w:rPr>
              <w:t>分</w:t>
            </w:r>
          </w:p>
        </w:tc>
        <w:tc>
          <w:tcPr>
            <w:tcW w:w="876" w:type="dxa"/>
            <w:noWrap w:val="0"/>
            <w:vAlign w:val="center"/>
          </w:tcPr>
          <w:p w14:paraId="38F89DCA">
            <w:pPr>
              <w:rPr>
                <w:rFonts w:hint="eastAsia" w:ascii="宋体" w:hAnsi="宋体" w:cs="宋体"/>
                <w:color w:val="auto"/>
                <w:szCs w:val="21"/>
                <w:highlight w:val="none"/>
                <w:lang w:val="en-US" w:eastAsia="zh-CN"/>
              </w:rPr>
            </w:pPr>
            <w:r>
              <w:rPr>
                <w:rFonts w:hint="eastAsia" w:cs="宋体"/>
                <w:color w:val="000000"/>
                <w:szCs w:val="21"/>
                <w:highlight w:val="none"/>
                <w:lang w:val="en-US" w:eastAsia="zh-CN"/>
              </w:rPr>
              <w:t>主观分</w:t>
            </w:r>
          </w:p>
        </w:tc>
      </w:tr>
      <w:tr w14:paraId="6C99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1B6901B4">
            <w:pPr>
              <w:jc w:val="center"/>
              <w:rPr>
                <w:rFonts w:ascii="宋体" w:hAnsi="宋体" w:cs="宋体"/>
                <w:b/>
                <w:bCs/>
                <w:szCs w:val="21"/>
              </w:rPr>
            </w:pPr>
          </w:p>
        </w:tc>
        <w:tc>
          <w:tcPr>
            <w:tcW w:w="1246" w:type="dxa"/>
            <w:noWrap w:val="0"/>
            <w:vAlign w:val="center"/>
          </w:tcPr>
          <w:p w14:paraId="2F7B3C65">
            <w:pPr>
              <w:jc w:val="center"/>
              <w:rPr>
                <w:rFonts w:ascii="宋体" w:hAnsi="宋体"/>
                <w:color w:val="000000"/>
                <w:szCs w:val="21"/>
              </w:rPr>
            </w:pPr>
            <w:r>
              <w:rPr>
                <w:rFonts w:hint="eastAsia" w:ascii="宋体" w:hAnsi="宋体"/>
                <w:color w:val="000000"/>
                <w:szCs w:val="21"/>
                <w:lang w:val="en-US" w:eastAsia="zh-CN"/>
              </w:rPr>
              <w:t>6.项目应急预案</w:t>
            </w:r>
          </w:p>
        </w:tc>
        <w:tc>
          <w:tcPr>
            <w:tcW w:w="7444" w:type="dxa"/>
            <w:noWrap w:val="0"/>
            <w:vAlign w:val="center"/>
          </w:tcPr>
          <w:p w14:paraId="27662023">
            <w:pPr>
              <w:tabs>
                <w:tab w:val="right" w:pos="4601"/>
              </w:tabs>
              <w:rPr>
                <w:rFonts w:ascii="宋体" w:hAnsi="宋体"/>
                <w:color w:val="000000"/>
                <w:szCs w:val="21"/>
              </w:rPr>
            </w:pPr>
            <w:r>
              <w:rPr>
                <w:rFonts w:hint="eastAsia" w:ascii="宋体" w:hAnsi="宋体"/>
                <w:color w:val="000000"/>
                <w:szCs w:val="21"/>
              </w:rPr>
              <w:t>供应商结合自身经验，提供如发生食物中毒事件、人身安全事故类</w:t>
            </w:r>
            <w:r>
              <w:rPr>
                <w:rFonts w:hint="eastAsia" w:ascii="宋体" w:hAnsi="宋体"/>
                <w:color w:val="000000"/>
                <w:szCs w:val="21"/>
                <w:lang w:eastAsia="zh-CN"/>
              </w:rPr>
              <w:t>（</w:t>
            </w:r>
            <w:r>
              <w:rPr>
                <w:rFonts w:hint="eastAsia" w:ascii="Times New Roman" w:hAnsi="Times New Roman" w:eastAsia="宋体" w:cs="宋体"/>
                <w:color w:val="000000"/>
                <w:szCs w:val="21"/>
                <w:highlight w:val="none"/>
                <w:lang w:eastAsia="zh-CN"/>
              </w:rPr>
              <w:t>包括</w:t>
            </w:r>
            <w:r>
              <w:rPr>
                <w:rFonts w:hint="eastAsia" w:ascii="Times New Roman" w:hAnsi="Times New Roman" w:eastAsia="宋体" w:cs="宋体"/>
                <w:color w:val="000000"/>
                <w:szCs w:val="21"/>
                <w:highlight w:val="none"/>
              </w:rPr>
              <w:t>遇到各类重大活动的突击性</w:t>
            </w:r>
            <w:r>
              <w:rPr>
                <w:rFonts w:hint="eastAsia" w:ascii="Times New Roman" w:hAnsi="Times New Roman" w:eastAsia="宋体" w:cs="宋体"/>
                <w:color w:val="000000"/>
                <w:szCs w:val="21"/>
                <w:highlight w:val="none"/>
                <w:lang w:val="en-US" w:eastAsia="zh-CN"/>
              </w:rPr>
              <w:t>应急</w:t>
            </w:r>
            <w:r>
              <w:rPr>
                <w:rFonts w:hint="eastAsia" w:ascii="Times New Roman" w:hAnsi="Times New Roman" w:eastAsia="宋体" w:cs="宋体"/>
                <w:color w:val="000000"/>
                <w:szCs w:val="21"/>
                <w:highlight w:val="none"/>
              </w:rPr>
              <w:t>方案</w:t>
            </w:r>
            <w:r>
              <w:rPr>
                <w:rFonts w:hint="eastAsia" w:ascii="宋体" w:hAnsi="宋体"/>
                <w:color w:val="000000"/>
                <w:szCs w:val="21"/>
                <w:lang w:eastAsia="zh-CN"/>
              </w:rPr>
              <w:t>）</w:t>
            </w:r>
            <w:r>
              <w:rPr>
                <w:rFonts w:hint="eastAsia" w:ascii="宋体" w:hAnsi="宋体"/>
                <w:color w:val="000000"/>
                <w:szCs w:val="21"/>
              </w:rPr>
              <w:t>的特殊情况的应急保障措施，可从发生应急事件时如何在最短时间内解决问题及应急队伍的调配能力着手，</w:t>
            </w:r>
            <w:r>
              <w:rPr>
                <w:rFonts w:hint="eastAsia" w:ascii="宋体" w:hAnsi="宋体"/>
                <w:color w:val="000000"/>
                <w:szCs w:val="21"/>
                <w:lang w:eastAsia="zh-CN"/>
              </w:rPr>
              <w:t>评委</w:t>
            </w:r>
            <w:r>
              <w:rPr>
                <w:rFonts w:hint="eastAsia" w:ascii="宋体" w:hAnsi="宋体"/>
                <w:color w:val="000000"/>
                <w:szCs w:val="21"/>
              </w:rPr>
              <w:t>进行评分。</w:t>
            </w:r>
          </w:p>
          <w:p w14:paraId="1F9B51A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①方案内容编制全面，能很好契合项目实际情况，完全符合采购人需求的得</w:t>
            </w:r>
            <w:r>
              <w:rPr>
                <w:rFonts w:hint="eastAsia" w:cs="宋体"/>
                <w:color w:val="000000"/>
                <w:szCs w:val="21"/>
                <w:highlight w:val="none"/>
                <w:lang w:val="en-US" w:eastAsia="zh-CN"/>
              </w:rPr>
              <w:t>3</w:t>
            </w:r>
            <w:r>
              <w:rPr>
                <w:rFonts w:hint="eastAsia" w:ascii="Times New Roman" w:hAnsi="Times New Roman" w:eastAsia="宋体" w:cs="宋体"/>
                <w:color w:val="000000"/>
                <w:szCs w:val="21"/>
                <w:highlight w:val="none"/>
                <w:lang w:val="en-US" w:eastAsia="zh-CN"/>
              </w:rPr>
              <w:t>分；</w:t>
            </w:r>
          </w:p>
          <w:p w14:paraId="4D8B65B6">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②方案基本完整，但存在一定瑕疵，基本符合采购人需求的得2分；</w:t>
            </w:r>
          </w:p>
          <w:p w14:paraId="39C8D8B6">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③方案内容欠缺，存在明显问题，不能满足采购人需求的得1分；</w:t>
            </w:r>
          </w:p>
          <w:p w14:paraId="5399FAA3">
            <w:pPr>
              <w:rPr>
                <w:rFonts w:ascii="宋体" w:hAnsi="宋体"/>
                <w:color w:val="000000"/>
                <w:szCs w:val="21"/>
              </w:rPr>
            </w:pPr>
            <w:r>
              <w:rPr>
                <w:rFonts w:hint="eastAsia" w:ascii="Times New Roman" w:hAnsi="Times New Roman" w:eastAsia="宋体" w:cs="宋体"/>
                <w:color w:val="000000"/>
                <w:szCs w:val="21"/>
                <w:highlight w:val="none"/>
                <w:lang w:val="en-US" w:eastAsia="zh-CN"/>
              </w:rPr>
              <w:t>未提供相关内容的不得分。</w:t>
            </w:r>
          </w:p>
        </w:tc>
        <w:tc>
          <w:tcPr>
            <w:tcW w:w="672" w:type="dxa"/>
            <w:noWrap w:val="0"/>
            <w:vAlign w:val="center"/>
          </w:tcPr>
          <w:p w14:paraId="1AF4641A">
            <w:pPr>
              <w:jc w:val="center"/>
              <w:rPr>
                <w:rFonts w:hint="default" w:ascii="Times New Roman" w:hAnsi="Times New Roman" w:eastAsia="宋体"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6C49921C">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12A0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2D0E8C21">
            <w:pPr>
              <w:jc w:val="center"/>
              <w:rPr>
                <w:rFonts w:ascii="宋体" w:hAnsi="宋体" w:cs="宋体"/>
                <w:b/>
                <w:bCs/>
                <w:szCs w:val="21"/>
              </w:rPr>
            </w:pPr>
          </w:p>
        </w:tc>
        <w:tc>
          <w:tcPr>
            <w:tcW w:w="1246" w:type="dxa"/>
            <w:noWrap w:val="0"/>
            <w:vAlign w:val="center"/>
          </w:tcPr>
          <w:p w14:paraId="5FDD9977">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7.合理化建议</w:t>
            </w:r>
          </w:p>
        </w:tc>
        <w:tc>
          <w:tcPr>
            <w:tcW w:w="7444" w:type="dxa"/>
            <w:noWrap w:val="0"/>
            <w:vAlign w:val="center"/>
          </w:tcPr>
          <w:p w14:paraId="127A34EE">
            <w:pPr>
              <w:keepNext w:val="0"/>
              <w:keepLines w:val="0"/>
              <w:pageBreakBefore w:val="0"/>
              <w:numPr>
                <w:ilvl w:val="-1"/>
                <w:numId w:val="0"/>
              </w:numPr>
              <w:tabs>
                <w:tab w:val="left" w:pos="4915"/>
              </w:tabs>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宋体"/>
                <w:color w:val="000000"/>
                <w:szCs w:val="21"/>
                <w:highlight w:val="none"/>
                <w:lang w:eastAsia="zh-CN"/>
              </w:rPr>
            </w:pPr>
            <w:r>
              <w:rPr>
                <w:rFonts w:hint="eastAsia" w:ascii="Times New Roman" w:hAnsi="Times New Roman" w:eastAsia="宋体" w:cs="宋体"/>
                <w:color w:val="000000"/>
                <w:szCs w:val="21"/>
                <w:highlight w:val="none"/>
                <w:lang w:eastAsia="zh-CN"/>
              </w:rPr>
              <w:t>评委根据供应商提供的合理化建议进行评审</w:t>
            </w:r>
            <w:r>
              <w:rPr>
                <w:rFonts w:hint="eastAsia" w:ascii="Times New Roman" w:hAnsi="Times New Roman" w:eastAsia="宋体" w:cs="宋体"/>
                <w:color w:val="000000"/>
                <w:szCs w:val="21"/>
                <w:highlight w:val="none"/>
                <w:lang w:val="en-US" w:eastAsia="zh-CN"/>
              </w:rPr>
              <w:t>:</w:t>
            </w:r>
          </w:p>
          <w:p w14:paraId="73B48FD0">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①方案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，能很好契合项目实际情况，完全符合采购人需求的得4分；</w:t>
            </w:r>
          </w:p>
          <w:p w14:paraId="235604B5">
            <w:pPr>
              <w:keepNext w:val="0"/>
              <w:keepLines w:val="0"/>
              <w:pageBreakBefore w:val="0"/>
              <w:tabs>
                <w:tab w:val="left" w:pos="4915"/>
              </w:tabs>
              <w:kinsoku/>
              <w:wordWrap/>
              <w:overflowPunct/>
              <w:topLinePunct w:val="0"/>
              <w:bidi w:val="0"/>
              <w:snapToGrid/>
              <w:spacing w:line="300" w:lineRule="exact"/>
              <w:textAlignment w:val="auto"/>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②方案</w:t>
            </w:r>
            <w:r>
              <w:rPr>
                <w:rFonts w:hint="eastAsia" w:ascii="Times New Roman" w:hAnsi="Times New Roman" w:cs="宋体"/>
                <w:color w:val="000000"/>
                <w:sz w:val="21"/>
                <w:szCs w:val="21"/>
                <w:highlight w:val="none"/>
                <w:lang w:val="en-US" w:eastAsia="zh-CN"/>
              </w:rPr>
              <w:t>完整，科学合理</w:t>
            </w:r>
            <w:r>
              <w:rPr>
                <w:rFonts w:hint="eastAsia" w:ascii="Times New Roman" w:hAnsi="Times New Roman" w:eastAsia="宋体" w:cs="宋体"/>
                <w:color w:val="000000"/>
                <w:szCs w:val="21"/>
                <w:highlight w:val="none"/>
                <w:lang w:val="en-US" w:eastAsia="zh-CN"/>
              </w:rPr>
              <w:t>、基本契合项目情况的得3分；</w:t>
            </w:r>
          </w:p>
          <w:p w14:paraId="28CAF622">
            <w:pPr>
              <w:keepNext w:val="0"/>
              <w:keepLines w:val="0"/>
              <w:pageBreakBefore w:val="0"/>
              <w:tabs>
                <w:tab w:val="left" w:pos="4915"/>
              </w:tabs>
              <w:kinsoku/>
              <w:wordWrap/>
              <w:overflowPunct/>
              <w:topLinePunct w:val="0"/>
              <w:bidi w:val="0"/>
              <w:snapToGrid/>
              <w:spacing w:line="300" w:lineRule="exact"/>
              <w:textAlignment w:val="auto"/>
              <w:rPr>
                <w:rFonts w:hint="default"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③方案基本完整，但存在一定瑕疵，基本符合采购人需求的得2分；</w:t>
            </w:r>
          </w:p>
          <w:p w14:paraId="789E9DE8">
            <w:pPr>
              <w:rPr>
                <w:rFonts w:hint="eastAsia" w:ascii="Times New Roman" w:hAnsi="Times New Roman" w:eastAsia="宋体" w:cs="宋体"/>
                <w:color w:val="000000"/>
                <w:szCs w:val="21"/>
                <w:highlight w:val="none"/>
                <w:lang w:val="en-US" w:eastAsia="zh-CN"/>
              </w:rPr>
            </w:pPr>
            <w:r>
              <w:rPr>
                <w:rFonts w:hint="eastAsia" w:ascii="Times New Roman" w:hAnsi="Times New Roman" w:eastAsia="宋体" w:cs="宋体"/>
                <w:color w:val="000000"/>
                <w:szCs w:val="21"/>
                <w:highlight w:val="none"/>
                <w:lang w:val="en-US" w:eastAsia="zh-CN"/>
              </w:rPr>
              <w:t>④方案内容编制存在瑕疵，与项目实际情况存在出入，操作性一般的得1分； 未提供相关内容的不得分</w:t>
            </w:r>
          </w:p>
        </w:tc>
        <w:tc>
          <w:tcPr>
            <w:tcW w:w="672" w:type="dxa"/>
            <w:noWrap w:val="0"/>
            <w:vAlign w:val="center"/>
          </w:tcPr>
          <w:p w14:paraId="3D9DFD57">
            <w:pPr>
              <w:jc w:val="center"/>
              <w:rPr>
                <w:rFonts w:hint="default" w:cs="宋体"/>
                <w:color w:val="000000"/>
                <w:szCs w:val="21"/>
                <w:highlight w:val="none"/>
                <w:lang w:val="en-US" w:eastAsia="zh-CN"/>
              </w:rPr>
            </w:pPr>
            <w:r>
              <w:rPr>
                <w:rFonts w:hint="eastAsia" w:cs="宋体"/>
                <w:color w:val="000000"/>
                <w:szCs w:val="21"/>
                <w:highlight w:val="none"/>
                <w:lang w:val="en-US" w:eastAsia="zh-CN"/>
              </w:rPr>
              <w:t>4分</w:t>
            </w:r>
          </w:p>
        </w:tc>
        <w:tc>
          <w:tcPr>
            <w:tcW w:w="876" w:type="dxa"/>
            <w:noWrap w:val="0"/>
            <w:vAlign w:val="center"/>
          </w:tcPr>
          <w:p w14:paraId="48E4FCC4">
            <w:pPr>
              <w:rPr>
                <w:rFonts w:hint="eastAsia" w:cs="宋体"/>
                <w:color w:val="000000"/>
                <w:szCs w:val="21"/>
                <w:highlight w:val="none"/>
                <w:lang w:val="en-US" w:eastAsia="zh-CN"/>
              </w:rPr>
            </w:pPr>
            <w:r>
              <w:rPr>
                <w:rFonts w:hint="eastAsia" w:cs="宋体"/>
                <w:color w:val="000000"/>
                <w:szCs w:val="21"/>
                <w:highlight w:val="none"/>
                <w:lang w:val="en-US" w:eastAsia="zh-CN"/>
              </w:rPr>
              <w:t>主观分</w:t>
            </w:r>
          </w:p>
        </w:tc>
      </w:tr>
      <w:tr w14:paraId="7601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977" w:type="dxa"/>
            <w:vMerge w:val="continue"/>
            <w:noWrap w:val="0"/>
            <w:vAlign w:val="center"/>
          </w:tcPr>
          <w:p w14:paraId="0879E170">
            <w:pPr>
              <w:jc w:val="center"/>
              <w:rPr>
                <w:rFonts w:ascii="宋体" w:hAnsi="宋体" w:cs="宋体"/>
                <w:b/>
                <w:bCs/>
                <w:szCs w:val="21"/>
              </w:rPr>
            </w:pPr>
          </w:p>
        </w:tc>
        <w:tc>
          <w:tcPr>
            <w:tcW w:w="1246" w:type="dxa"/>
            <w:vMerge w:val="restart"/>
            <w:noWrap w:val="0"/>
            <w:vAlign w:val="center"/>
          </w:tcPr>
          <w:p w14:paraId="4746E41E">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8.履约能力</w:t>
            </w:r>
          </w:p>
        </w:tc>
        <w:tc>
          <w:tcPr>
            <w:tcW w:w="7444" w:type="dxa"/>
            <w:noWrap w:val="0"/>
            <w:vAlign w:val="center"/>
          </w:tcPr>
          <w:p w14:paraId="3324313B">
            <w:pPr>
              <w:keepNext w:val="0"/>
              <w:keepLines w:val="0"/>
              <w:pageBreakBefore w:val="0"/>
              <w:tabs>
                <w:tab w:val="left" w:pos="4915"/>
              </w:tabs>
              <w:kinsoku/>
              <w:wordWrap/>
              <w:overflowPunct/>
              <w:topLinePunct w:val="0"/>
              <w:autoSpaceDE/>
              <w:autoSpaceDN/>
              <w:bidi w:val="0"/>
              <w:snapToGrid/>
              <w:spacing w:line="280" w:lineRule="exact"/>
              <w:textAlignment w:val="auto"/>
              <w:rPr>
                <w:rFonts w:hint="eastAsia" w:eastAsia="宋体"/>
                <w:lang w:val="en-US" w:eastAsia="zh-CN"/>
              </w:rPr>
            </w:pPr>
            <w:r>
              <w:rPr>
                <w:rFonts w:hint="eastAsia" w:ascii="宋体" w:hAnsi="宋体" w:eastAsia="宋体" w:cs="宋体"/>
                <w:bCs/>
                <w:color w:val="auto"/>
                <w:kern w:val="0"/>
                <w:sz w:val="21"/>
                <w:szCs w:val="21"/>
                <w:highlight w:val="none"/>
              </w:rPr>
              <w:t>投标人</w:t>
            </w:r>
            <w:r>
              <w:rPr>
                <w:rFonts w:hint="eastAsia" w:ascii="宋体" w:hAnsi="宋体" w:eastAsia="宋体" w:cs="宋体"/>
                <w:bCs/>
                <w:color w:val="auto"/>
                <w:kern w:val="0"/>
                <w:sz w:val="21"/>
                <w:szCs w:val="21"/>
                <w:highlight w:val="none"/>
                <w:lang w:eastAsia="zh-CN"/>
              </w:rPr>
              <w:t>组成人员</w:t>
            </w:r>
            <w:r>
              <w:rPr>
                <w:rFonts w:hint="eastAsia" w:ascii="宋体" w:hAnsi="宋体" w:eastAsia="宋体" w:cs="宋体"/>
                <w:bCs/>
                <w:color w:val="auto"/>
                <w:kern w:val="0"/>
                <w:sz w:val="21"/>
                <w:szCs w:val="21"/>
                <w:highlight w:val="none"/>
              </w:rPr>
              <w:t>具有有效的</w:t>
            </w:r>
            <w:r>
              <w:rPr>
                <w:rFonts w:hint="eastAsia" w:ascii="宋体" w:hAnsi="宋体" w:eastAsia="宋体" w:cs="宋体"/>
                <w:bCs/>
                <w:color w:val="auto"/>
                <w:kern w:val="0"/>
                <w:sz w:val="21"/>
                <w:szCs w:val="21"/>
                <w:highlight w:val="none"/>
                <w:lang w:eastAsia="zh-CN"/>
              </w:rPr>
              <w:t>食品安全总监证；食品安全管理师证，高级职业经理人的每项得1分，最高</w:t>
            </w:r>
            <w:r>
              <w:rPr>
                <w:rFonts w:hint="eastAsia" w:ascii="宋体" w:hAnsi="宋体" w:eastAsia="宋体" w:cs="宋体"/>
                <w:bCs/>
                <w:color w:val="auto"/>
                <w:kern w:val="0"/>
                <w:sz w:val="21"/>
                <w:szCs w:val="21"/>
                <w:highlight w:val="none"/>
                <w:lang w:val="en-US" w:eastAsia="zh-CN"/>
              </w:rPr>
              <w:t>3分。</w:t>
            </w:r>
          </w:p>
        </w:tc>
        <w:tc>
          <w:tcPr>
            <w:tcW w:w="672" w:type="dxa"/>
            <w:noWrap w:val="0"/>
            <w:vAlign w:val="center"/>
          </w:tcPr>
          <w:p w14:paraId="2034890C">
            <w:pPr>
              <w:jc w:val="center"/>
              <w:rPr>
                <w:rFonts w:hint="default" w:cs="宋体"/>
                <w:color w:val="000000"/>
                <w:szCs w:val="21"/>
                <w:highlight w:val="none"/>
                <w:lang w:val="en-US" w:eastAsia="zh-CN"/>
              </w:rPr>
            </w:pPr>
            <w:r>
              <w:rPr>
                <w:rFonts w:hint="eastAsia" w:cs="宋体"/>
                <w:color w:val="000000"/>
                <w:szCs w:val="21"/>
                <w:highlight w:val="none"/>
                <w:lang w:val="en-US" w:eastAsia="zh-CN"/>
              </w:rPr>
              <w:t>3分</w:t>
            </w:r>
          </w:p>
        </w:tc>
        <w:tc>
          <w:tcPr>
            <w:tcW w:w="876" w:type="dxa"/>
            <w:noWrap w:val="0"/>
            <w:vAlign w:val="center"/>
          </w:tcPr>
          <w:p w14:paraId="2AF0B012">
            <w:pPr>
              <w:rPr>
                <w:rFonts w:hint="eastAsia" w:cs="宋体"/>
                <w:color w:val="000000"/>
                <w:szCs w:val="21"/>
                <w:highlight w:val="none"/>
                <w:lang w:val="en-US" w:eastAsia="zh-CN"/>
              </w:rPr>
            </w:pPr>
            <w:r>
              <w:rPr>
                <w:rFonts w:hint="eastAsia" w:ascii="宋体" w:hAnsi="宋体" w:cs="宋体"/>
                <w:szCs w:val="21"/>
                <w:lang w:eastAsia="zh-CN"/>
              </w:rPr>
              <w:t>客观分</w:t>
            </w:r>
          </w:p>
        </w:tc>
      </w:tr>
      <w:tr w14:paraId="158D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1676CE2C">
            <w:pPr>
              <w:jc w:val="center"/>
              <w:rPr>
                <w:rFonts w:ascii="宋体" w:hAnsi="宋体" w:cs="宋体"/>
                <w:b/>
                <w:bCs/>
                <w:szCs w:val="21"/>
              </w:rPr>
            </w:pPr>
          </w:p>
        </w:tc>
        <w:tc>
          <w:tcPr>
            <w:tcW w:w="1246" w:type="dxa"/>
            <w:vMerge w:val="continue"/>
            <w:noWrap w:val="0"/>
            <w:vAlign w:val="center"/>
          </w:tcPr>
          <w:p w14:paraId="5C3AD86C">
            <w:pPr>
              <w:jc w:val="center"/>
              <w:rPr>
                <w:rFonts w:hint="eastAsia" w:ascii="宋体" w:hAnsi="宋体" w:eastAsia="宋体" w:cs="Times New Roman"/>
                <w:color w:val="000000"/>
                <w:szCs w:val="21"/>
                <w:lang w:val="en-US" w:eastAsia="zh-CN"/>
              </w:rPr>
            </w:pPr>
          </w:p>
        </w:tc>
        <w:tc>
          <w:tcPr>
            <w:tcW w:w="7444" w:type="dxa"/>
            <w:noWrap w:val="0"/>
            <w:vAlign w:val="center"/>
          </w:tcPr>
          <w:p w14:paraId="3117A8E0">
            <w:pP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8.2</w:t>
            </w:r>
            <w:r>
              <w:rPr>
                <w:rFonts w:hint="eastAsia" w:ascii="宋体" w:hAnsi="宋体" w:eastAsia="宋体" w:cs="宋体"/>
                <w:bCs/>
                <w:color w:val="auto"/>
                <w:kern w:val="0"/>
                <w:sz w:val="21"/>
                <w:szCs w:val="21"/>
                <w:highlight w:val="none"/>
                <w:lang w:val="en-US" w:eastAsia="zh-CN"/>
              </w:rPr>
              <w:t>供应商</w:t>
            </w:r>
            <w:r>
              <w:rPr>
                <w:rFonts w:hint="eastAsia" w:ascii="宋体" w:hAnsi="宋体" w:eastAsia="宋体" w:cs="宋体"/>
                <w:bCs/>
                <w:color w:val="auto"/>
                <w:kern w:val="0"/>
                <w:sz w:val="21"/>
                <w:szCs w:val="21"/>
                <w:highlight w:val="none"/>
              </w:rPr>
              <w:t>具有有效的质量管理体系认证证书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环境管理体系认证证书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职业健康安全管理体系认证证书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食品安全管理体系认证证书的</w:t>
            </w:r>
            <w:r>
              <w:rPr>
                <w:rFonts w:hint="eastAsia" w:ascii="宋体" w:hAnsi="宋体" w:eastAsia="宋体" w:cs="宋体"/>
                <w:bCs/>
                <w:color w:val="auto"/>
                <w:kern w:val="0"/>
                <w:sz w:val="21"/>
                <w:szCs w:val="21"/>
                <w:highlight w:val="none"/>
                <w:lang w:eastAsia="zh-CN"/>
              </w:rPr>
              <w:t>每项</w:t>
            </w:r>
            <w:r>
              <w:rPr>
                <w:rFonts w:hint="eastAsia" w:ascii="宋体" w:hAnsi="宋体" w:eastAsia="宋体" w:cs="宋体"/>
                <w:bCs/>
                <w:color w:val="auto"/>
                <w:kern w:val="0"/>
                <w:sz w:val="21"/>
                <w:szCs w:val="21"/>
                <w:highlight w:val="none"/>
              </w:rPr>
              <w:t>得</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分</w:t>
            </w:r>
            <w:r>
              <w:rPr>
                <w:rFonts w:hint="eastAsia" w:ascii="宋体" w:hAnsi="宋体" w:eastAsia="宋体" w:cs="宋体"/>
                <w:bCs/>
                <w:color w:val="auto"/>
                <w:kern w:val="0"/>
                <w:sz w:val="21"/>
                <w:szCs w:val="21"/>
                <w:highlight w:val="none"/>
                <w:lang w:eastAsia="zh-CN"/>
              </w:rPr>
              <w:t>，最高</w:t>
            </w:r>
            <w:r>
              <w:rPr>
                <w:rFonts w:hint="eastAsia" w:ascii="宋体" w:hAnsi="宋体" w:eastAsia="宋体" w:cs="宋体"/>
                <w:bCs/>
                <w:color w:val="auto"/>
                <w:kern w:val="0"/>
                <w:sz w:val="21"/>
                <w:szCs w:val="21"/>
                <w:highlight w:val="none"/>
                <w:lang w:val="en-US" w:eastAsia="zh-CN"/>
              </w:rPr>
              <w:t>4分</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投标文件中附证书复印件</w:t>
            </w:r>
            <w:r>
              <w:rPr>
                <w:rFonts w:hint="eastAsia" w:ascii="宋体" w:hAnsi="宋体" w:eastAsia="宋体" w:cs="宋体"/>
                <w:bCs/>
                <w:color w:val="auto"/>
                <w:kern w:val="0"/>
                <w:sz w:val="21"/>
                <w:szCs w:val="21"/>
                <w:highlight w:val="none"/>
                <w:lang w:val="en-US" w:eastAsia="zh-CN"/>
              </w:rPr>
              <w:t>并加盖供应商公章</w:t>
            </w:r>
            <w:r>
              <w:rPr>
                <w:rFonts w:hint="eastAsia" w:ascii="宋体" w:hAnsi="宋体" w:eastAsia="宋体" w:cs="宋体"/>
                <w:bCs/>
                <w:color w:val="auto"/>
                <w:kern w:val="0"/>
                <w:sz w:val="21"/>
                <w:szCs w:val="21"/>
                <w:highlight w:val="none"/>
                <w:lang w:eastAsia="zh-CN"/>
              </w:rPr>
              <w:t>）</w:t>
            </w:r>
          </w:p>
        </w:tc>
        <w:tc>
          <w:tcPr>
            <w:tcW w:w="672" w:type="dxa"/>
            <w:noWrap w:val="0"/>
            <w:vAlign w:val="center"/>
          </w:tcPr>
          <w:p w14:paraId="4F373958">
            <w:pPr>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cs="宋体"/>
                <w:color w:val="000000"/>
                <w:szCs w:val="21"/>
                <w:highlight w:val="none"/>
                <w:lang w:val="en-US" w:eastAsia="zh-CN"/>
              </w:rPr>
              <w:t>分</w:t>
            </w:r>
          </w:p>
        </w:tc>
        <w:tc>
          <w:tcPr>
            <w:tcW w:w="876" w:type="dxa"/>
            <w:noWrap w:val="0"/>
            <w:vAlign w:val="center"/>
          </w:tcPr>
          <w:p w14:paraId="7F3C086D">
            <w:pPr>
              <w:rPr>
                <w:rFonts w:hint="eastAsia" w:ascii="宋体" w:hAnsi="宋体" w:cs="Times New Roman"/>
                <w:color w:val="000000"/>
                <w:szCs w:val="21"/>
                <w:lang w:val="en-US" w:eastAsia="zh-CN"/>
              </w:rPr>
            </w:pPr>
            <w:r>
              <w:rPr>
                <w:rFonts w:hint="eastAsia" w:ascii="宋体" w:hAnsi="宋体" w:cs="宋体"/>
                <w:szCs w:val="21"/>
                <w:lang w:eastAsia="zh-CN"/>
              </w:rPr>
              <w:t>客观分</w:t>
            </w:r>
          </w:p>
        </w:tc>
      </w:tr>
      <w:tr w14:paraId="116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77" w:type="dxa"/>
            <w:vMerge w:val="continue"/>
            <w:noWrap w:val="0"/>
            <w:vAlign w:val="center"/>
          </w:tcPr>
          <w:p w14:paraId="6AE9C22A">
            <w:pPr>
              <w:jc w:val="center"/>
              <w:rPr>
                <w:rFonts w:ascii="宋体" w:hAnsi="宋体" w:cs="宋体"/>
                <w:b/>
                <w:bCs/>
                <w:szCs w:val="21"/>
              </w:rPr>
            </w:pPr>
          </w:p>
        </w:tc>
        <w:tc>
          <w:tcPr>
            <w:tcW w:w="1246" w:type="dxa"/>
            <w:noWrap w:val="0"/>
            <w:vAlign w:val="center"/>
          </w:tcPr>
          <w:p w14:paraId="0A161F32">
            <w:pPr>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9.企业业绩</w:t>
            </w:r>
          </w:p>
        </w:tc>
        <w:tc>
          <w:tcPr>
            <w:tcW w:w="7444" w:type="dxa"/>
            <w:noWrap w:val="0"/>
            <w:vAlign w:val="center"/>
          </w:tcPr>
          <w:p w14:paraId="1FEA4D26">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cs="Times New Roman"/>
                <w:color w:val="000000"/>
                <w:szCs w:val="21"/>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年1月1日至今（以合同签订时间为准），承担过食堂管理业绩的，每个得1分，最高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分。（提供合同复印件并加盖投标人公章，近三年内同一用户的案例不得重复累计得分。）</w:t>
            </w:r>
          </w:p>
        </w:tc>
        <w:tc>
          <w:tcPr>
            <w:tcW w:w="672" w:type="dxa"/>
            <w:noWrap w:val="0"/>
            <w:vAlign w:val="center"/>
          </w:tcPr>
          <w:p w14:paraId="1A6B39BB">
            <w:pPr>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3分</w:t>
            </w:r>
          </w:p>
        </w:tc>
        <w:tc>
          <w:tcPr>
            <w:tcW w:w="876" w:type="dxa"/>
            <w:noWrap w:val="0"/>
            <w:vAlign w:val="center"/>
          </w:tcPr>
          <w:p w14:paraId="4A9C9C0F">
            <w:pPr>
              <w:rPr>
                <w:rFonts w:hint="eastAsia" w:ascii="宋体" w:hAnsi="宋体" w:cs="宋体"/>
                <w:szCs w:val="21"/>
                <w:lang w:eastAsia="zh-CN"/>
              </w:rPr>
            </w:pPr>
            <w:r>
              <w:rPr>
                <w:rFonts w:hint="eastAsia" w:ascii="宋体" w:hAnsi="宋体" w:cs="宋体"/>
                <w:szCs w:val="21"/>
                <w:lang w:eastAsia="zh-CN"/>
              </w:rPr>
              <w:t>客观分</w:t>
            </w:r>
          </w:p>
        </w:tc>
      </w:tr>
      <w:tr w14:paraId="10F7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7" w:type="dxa"/>
            <w:noWrap w:val="0"/>
            <w:vAlign w:val="center"/>
          </w:tcPr>
          <w:p w14:paraId="632815F2">
            <w:pPr>
              <w:jc w:val="center"/>
              <w:rPr>
                <w:rFonts w:ascii="宋体" w:hAnsi="宋体" w:cs="宋体"/>
                <w:b/>
                <w:bCs/>
                <w:szCs w:val="21"/>
              </w:rPr>
            </w:pPr>
            <w:r>
              <w:rPr>
                <w:rFonts w:hint="eastAsia" w:ascii="宋体" w:hAnsi="宋体" w:cs="宋体"/>
                <w:b/>
                <w:bCs/>
                <w:szCs w:val="21"/>
              </w:rPr>
              <w:t>报价分</w:t>
            </w:r>
          </w:p>
          <w:p w14:paraId="5104DEDB">
            <w:pPr>
              <w:jc w:val="center"/>
              <w:rPr>
                <w:rFonts w:ascii="宋体" w:hAnsi="宋体" w:cs="宋体"/>
                <w:b/>
                <w:bCs/>
                <w:szCs w:val="21"/>
              </w:rPr>
            </w:pPr>
            <w:r>
              <w:rPr>
                <w:rFonts w:hint="eastAsia" w:ascii="宋体" w:hAnsi="宋体" w:cs="宋体"/>
                <w:b/>
                <w:bCs/>
                <w:szCs w:val="21"/>
              </w:rPr>
              <w:t>（</w:t>
            </w:r>
            <w:r>
              <w:rPr>
                <w:rFonts w:hint="eastAsia" w:ascii="宋体" w:hAnsi="宋体" w:cs="宋体"/>
                <w:b/>
                <w:bCs/>
                <w:szCs w:val="21"/>
                <w:lang w:val="en-US" w:eastAsia="zh-CN"/>
              </w:rPr>
              <w:t>30</w:t>
            </w:r>
            <w:r>
              <w:rPr>
                <w:rFonts w:hint="eastAsia" w:ascii="宋体" w:hAnsi="宋体" w:cs="宋体"/>
                <w:b/>
                <w:bCs/>
                <w:szCs w:val="21"/>
              </w:rPr>
              <w:t>分）</w:t>
            </w:r>
          </w:p>
        </w:tc>
        <w:tc>
          <w:tcPr>
            <w:tcW w:w="1246" w:type="dxa"/>
            <w:noWrap w:val="0"/>
            <w:vAlign w:val="center"/>
          </w:tcPr>
          <w:p w14:paraId="41B28EA9">
            <w:pPr>
              <w:jc w:val="center"/>
              <w:rPr>
                <w:rFonts w:ascii="宋体" w:hAnsi="宋体" w:cs="宋体"/>
                <w:szCs w:val="21"/>
              </w:rPr>
            </w:pPr>
            <w:r>
              <w:rPr>
                <w:rFonts w:hint="eastAsia" w:ascii="宋体" w:hAnsi="宋体" w:cs="宋体"/>
                <w:szCs w:val="21"/>
              </w:rPr>
              <w:t>报价</w:t>
            </w:r>
          </w:p>
          <w:p w14:paraId="557FB6D0">
            <w:pPr>
              <w:jc w:val="center"/>
              <w:rPr>
                <w:rFonts w:ascii="宋体" w:hAnsi="宋体"/>
                <w:color w:val="000000"/>
                <w:szCs w:val="21"/>
              </w:rPr>
            </w:pPr>
          </w:p>
        </w:tc>
        <w:tc>
          <w:tcPr>
            <w:tcW w:w="7444" w:type="dxa"/>
            <w:noWrap w:val="0"/>
            <w:vAlign w:val="center"/>
          </w:tcPr>
          <w:p w14:paraId="3941335B">
            <w:pPr>
              <w:widowControl/>
              <w:spacing w:line="360" w:lineRule="auto"/>
              <w:ind w:right="23" w:rightChars="11"/>
              <w:jc w:val="left"/>
              <w:rPr>
                <w:rFonts w:hint="eastAsia" w:ascii="宋体" w:hAnsi="宋体" w:cs="宋体"/>
                <w:szCs w:val="21"/>
              </w:rPr>
            </w:pPr>
            <w:r>
              <w:rPr>
                <w:rFonts w:hint="eastAsia" w:ascii="宋体" w:hAnsi="宋体" w:cs="宋体"/>
                <w:szCs w:val="21"/>
              </w:rPr>
              <w:t>满足招标文件要求且参与评审的价格最低为评标基准价，其价格分为满分</w:t>
            </w:r>
            <w:r>
              <w:rPr>
                <w:rFonts w:hint="eastAsia" w:ascii="宋体" w:hAnsi="宋体" w:cs="宋体"/>
                <w:szCs w:val="21"/>
                <w:lang w:val="en-US" w:eastAsia="zh-CN"/>
              </w:rPr>
              <w:t>3</w:t>
            </w:r>
            <w:r>
              <w:rPr>
                <w:rFonts w:hint="eastAsia" w:ascii="宋体" w:hAnsi="宋体" w:cs="宋体"/>
                <w:szCs w:val="21"/>
              </w:rPr>
              <w:t>0分。参与评审的价格=投标报价</w:t>
            </w:r>
          </w:p>
          <w:p w14:paraId="669B7869">
            <w:pPr>
              <w:widowControl/>
              <w:spacing w:line="360" w:lineRule="auto"/>
              <w:ind w:right="23" w:rightChars="11"/>
              <w:jc w:val="left"/>
              <w:rPr>
                <w:rFonts w:hint="eastAsia" w:ascii="宋体" w:hAnsi="宋体" w:cs="宋体"/>
                <w:szCs w:val="21"/>
              </w:rPr>
            </w:pPr>
            <w:r>
              <w:rPr>
                <w:rFonts w:hint="eastAsia" w:ascii="宋体" w:hAnsi="宋体" w:cs="宋体"/>
                <w:szCs w:val="21"/>
              </w:rPr>
              <w:t>其他供应商的价格得分统一按照下列公式计算：</w:t>
            </w:r>
          </w:p>
          <w:p w14:paraId="379E6877">
            <w:pPr>
              <w:widowControl/>
              <w:spacing w:line="360" w:lineRule="auto"/>
              <w:ind w:right="23" w:rightChars="11"/>
              <w:jc w:val="left"/>
              <w:rPr>
                <w:rFonts w:hint="default" w:ascii="宋体" w:hAnsi="宋体" w:eastAsia="宋体" w:cs="宋体"/>
                <w:szCs w:val="21"/>
                <w:lang w:val="en-US" w:eastAsia="zh-CN"/>
              </w:rPr>
            </w:pPr>
            <w:r>
              <w:rPr>
                <w:rFonts w:hint="eastAsia" w:ascii="宋体" w:hAnsi="宋体" w:cs="宋体"/>
                <w:szCs w:val="21"/>
              </w:rPr>
              <w:t>价格得分=(评标基准价／</w:t>
            </w:r>
            <w:r>
              <w:rPr>
                <w:szCs w:val="21"/>
              </w:rPr>
              <w:t>各</w:t>
            </w:r>
            <w:r>
              <w:rPr>
                <w:rFonts w:hint="eastAsia"/>
                <w:szCs w:val="21"/>
              </w:rPr>
              <w:t>供应商</w:t>
            </w:r>
            <w:r>
              <w:rPr>
                <w:rFonts w:hint="eastAsia" w:ascii="宋体" w:hAnsi="宋体" w:cs="宋体"/>
                <w:szCs w:val="21"/>
              </w:rPr>
              <w:t>参与评审的价格)×</w:t>
            </w:r>
            <w:r>
              <w:rPr>
                <w:rFonts w:hint="eastAsia" w:ascii="宋体" w:hAnsi="宋体" w:cs="宋体"/>
                <w:szCs w:val="21"/>
                <w:lang w:val="en-US" w:eastAsia="zh-CN"/>
              </w:rPr>
              <w:t>30</w:t>
            </w:r>
          </w:p>
          <w:p w14:paraId="016FF340">
            <w:pPr>
              <w:widowControl/>
              <w:spacing w:line="360" w:lineRule="auto"/>
              <w:ind w:right="23" w:rightChars="11"/>
              <w:jc w:val="left"/>
              <w:rPr>
                <w:b/>
                <w:bCs/>
                <w:szCs w:val="21"/>
              </w:rPr>
            </w:pPr>
            <w:r>
              <w:rPr>
                <w:b/>
                <w:bCs/>
                <w:szCs w:val="21"/>
              </w:rPr>
              <w:t>注：投标报价超过最高限价或投标</w:t>
            </w:r>
            <w:r>
              <w:rPr>
                <w:rFonts w:hint="eastAsia"/>
                <w:b/>
                <w:bCs/>
                <w:szCs w:val="21"/>
                <w:lang w:val="en-US" w:eastAsia="zh-CN"/>
              </w:rPr>
              <w:t>费率</w:t>
            </w:r>
            <w:r>
              <w:rPr>
                <w:b/>
                <w:bCs/>
                <w:szCs w:val="21"/>
              </w:rPr>
              <w:t>超过</w:t>
            </w:r>
            <w:r>
              <w:rPr>
                <w:rFonts w:hint="eastAsia"/>
                <w:b/>
                <w:bCs/>
                <w:szCs w:val="21"/>
              </w:rPr>
              <w:t>采购人</w:t>
            </w:r>
            <w:r>
              <w:rPr>
                <w:rFonts w:hint="eastAsia"/>
                <w:b/>
                <w:bCs/>
                <w:szCs w:val="21"/>
                <w:lang w:val="en-US" w:eastAsia="zh-CN"/>
              </w:rPr>
              <w:t>最高报价费率</w:t>
            </w:r>
            <w:r>
              <w:rPr>
                <w:b/>
                <w:bCs/>
                <w:szCs w:val="21"/>
              </w:rPr>
              <w:t>的，作无效标处理。</w:t>
            </w:r>
          </w:p>
          <w:p w14:paraId="5907A998">
            <w:pPr>
              <w:tabs>
                <w:tab w:val="right" w:pos="4601"/>
              </w:tabs>
              <w:rPr>
                <w:rFonts w:hint="eastAsia" w:ascii="宋体" w:hAnsi="宋体"/>
                <w:color w:val="000000"/>
                <w:szCs w:val="21"/>
              </w:rPr>
            </w:pPr>
            <w:r>
              <w:rPr>
                <w:rFonts w:hint="eastAsia"/>
                <w:highlight w:val="none"/>
              </w:rPr>
              <w:t>投标报价较低或报价不合理的，将有可能影响合同履行，评标委员会可以要求投标人做出说明，并提供必要的成本测算资料；投标人不能说明其报价合理性又未提供成本测算资料的作无效标处理；</w:t>
            </w:r>
            <w:r>
              <w:rPr>
                <w:rFonts w:hint="eastAsia"/>
                <w:highlight w:val="none"/>
                <w:lang w:val="en-US" w:eastAsia="zh-CN"/>
              </w:rPr>
              <w:t>当评审意见不一致时，</w:t>
            </w:r>
            <w:r>
              <w:rPr>
                <w:rFonts w:hint="eastAsia"/>
                <w:highlight w:val="none"/>
              </w:rPr>
              <w:t>评审委员会</w:t>
            </w:r>
            <w:r>
              <w:rPr>
                <w:rFonts w:hint="eastAsia"/>
                <w:highlight w:val="none"/>
                <w:lang w:val="en-US" w:eastAsia="zh-CN"/>
              </w:rPr>
              <w:t>按</w:t>
            </w:r>
            <w:r>
              <w:rPr>
                <w:rFonts w:hint="eastAsia"/>
                <w:highlight w:val="none"/>
              </w:rPr>
              <w:t>小数服从多数原则</w:t>
            </w:r>
            <w:r>
              <w:rPr>
                <w:rFonts w:hint="eastAsia"/>
                <w:highlight w:val="none"/>
                <w:lang w:val="en-US" w:eastAsia="zh-CN"/>
              </w:rPr>
              <w:t>评审</w:t>
            </w:r>
            <w:r>
              <w:rPr>
                <w:rFonts w:hint="eastAsia"/>
                <w:highlight w:val="none"/>
              </w:rPr>
              <w:t>。</w:t>
            </w:r>
          </w:p>
        </w:tc>
        <w:tc>
          <w:tcPr>
            <w:tcW w:w="672" w:type="dxa"/>
            <w:noWrap w:val="0"/>
            <w:vAlign w:val="center"/>
          </w:tcPr>
          <w:p w14:paraId="3058A436">
            <w:pPr>
              <w:tabs>
                <w:tab w:val="right" w:pos="4601"/>
              </w:tabs>
              <w:jc w:val="center"/>
              <w:rPr>
                <w:rFonts w:hint="default" w:ascii="宋体" w:hAnsi="宋体" w:eastAsia="宋体" w:cs="宋体"/>
                <w:szCs w:val="21"/>
                <w:lang w:val="en-US" w:eastAsia="zh-CN"/>
              </w:rPr>
            </w:pPr>
            <w:r>
              <w:rPr>
                <w:rFonts w:hint="eastAsia" w:ascii="宋体" w:hAnsi="宋体" w:cs="宋体"/>
                <w:szCs w:val="21"/>
                <w:lang w:val="en-US" w:eastAsia="zh-CN"/>
              </w:rPr>
              <w:t>30分</w:t>
            </w:r>
          </w:p>
        </w:tc>
        <w:tc>
          <w:tcPr>
            <w:tcW w:w="876" w:type="dxa"/>
            <w:noWrap w:val="0"/>
            <w:vAlign w:val="center"/>
          </w:tcPr>
          <w:p w14:paraId="53D0982C">
            <w:pPr>
              <w:tabs>
                <w:tab w:val="right" w:pos="4601"/>
              </w:tabs>
              <w:rPr>
                <w:rFonts w:hint="eastAsia" w:ascii="宋体" w:hAnsi="宋体" w:eastAsia="宋体" w:cs="宋体"/>
                <w:szCs w:val="21"/>
                <w:lang w:eastAsia="zh-CN"/>
              </w:rPr>
            </w:pPr>
            <w:r>
              <w:rPr>
                <w:rFonts w:hint="eastAsia" w:ascii="宋体" w:hAnsi="宋体" w:cs="宋体"/>
                <w:szCs w:val="21"/>
                <w:lang w:eastAsia="zh-CN"/>
              </w:rPr>
              <w:t>客观分</w:t>
            </w:r>
          </w:p>
        </w:tc>
      </w:tr>
    </w:tbl>
    <w:p w14:paraId="6624EE31">
      <w:pPr>
        <w:rPr>
          <w:color w:val="auto"/>
          <w:highlight w:val="none"/>
        </w:rPr>
      </w:pPr>
    </w:p>
    <w:p w14:paraId="23700AFE">
      <w:pPr>
        <w:snapToGrid w:val="0"/>
        <w:spacing w:line="360" w:lineRule="auto"/>
        <w:rPr>
          <w:rFonts w:ascii="宋体" w:hAnsi="宋体" w:cs="宋体"/>
          <w:b/>
          <w:color w:val="auto"/>
          <w:sz w:val="21"/>
          <w:szCs w:val="21"/>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1"/>
          <w:szCs w:val="21"/>
          <w:highlight w:val="none"/>
        </w:rPr>
        <w:t>备注：</w:t>
      </w:r>
      <w:r>
        <w:rPr>
          <w:rFonts w:hint="eastAsia" w:ascii="宋体" w:hAnsi="宋体" w:cs="宋体"/>
          <w:color w:val="auto"/>
          <w:sz w:val="21"/>
          <w:szCs w:val="21"/>
          <w:highlight w:val="none"/>
        </w:rPr>
        <w:t>投标人编制投标文件（商务技术文件部分）时，建议按此目录（序号和内容）提供评标标准相应的商务技术资料。 </w:t>
      </w:r>
    </w:p>
    <w:bookmarkEnd w:id="28"/>
    <w:p w14:paraId="3363D4CE">
      <w:pPr>
        <w:kinsoku/>
        <w:wordWrap/>
        <w:overflowPunct/>
        <w:topLinePunct w:val="0"/>
        <w:bidi w:val="0"/>
        <w:snapToGrid w:val="0"/>
        <w:spacing w:line="360" w:lineRule="auto"/>
        <w:outlineLvl w:val="9"/>
        <w:rPr>
          <w:rFonts w:ascii="宋体" w:hAnsi="宋体" w:cs="宋体"/>
          <w:b/>
          <w:color w:val="auto"/>
          <w:sz w:val="21"/>
          <w:szCs w:val="21"/>
          <w:highlight w:val="none"/>
        </w:rPr>
      </w:pPr>
      <w:bookmarkStart w:id="395" w:name="第五部分"/>
      <w:bookmarkStart w:id="396" w:name="_Toc86217003"/>
      <w:r>
        <w:rPr>
          <w:rFonts w:hint="eastAsia" w:ascii="宋体" w:hAnsi="宋体" w:cs="宋体"/>
          <w:b/>
          <w:color w:val="auto"/>
          <w:sz w:val="21"/>
          <w:szCs w:val="21"/>
          <w:highlight w:val="none"/>
        </w:rPr>
        <w:t>一、评标方法</w:t>
      </w:r>
    </w:p>
    <w:p w14:paraId="5F2728F9">
      <w:pPr>
        <w:kinsoku/>
        <w:wordWrap/>
        <w:overflowPunct/>
        <w:topLinePunct w:val="0"/>
        <w:bidi w:val="0"/>
        <w:adjustRightInd/>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1.本项目采用综合评分法。</w:t>
      </w:r>
      <w:r>
        <w:rPr>
          <w:rFonts w:hint="eastAsia" w:ascii="宋体" w:hAnsi="宋体" w:cs="宋体"/>
          <w:color w:val="auto"/>
          <w:kern w:val="0"/>
          <w:sz w:val="21"/>
          <w:szCs w:val="21"/>
          <w:highlight w:val="none"/>
        </w:rPr>
        <w:t>综合评分法，是指投标文件满足招标文件全部实质性要求，且按照评审因素的量化指标评审得分最高的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为中标候选人的评标方法。</w:t>
      </w:r>
    </w:p>
    <w:p w14:paraId="76FC88B3">
      <w:pPr>
        <w:kinsoku/>
        <w:wordWrap/>
        <w:overflowPunct/>
        <w:topLinePunct w:val="0"/>
        <w:bidi w:val="0"/>
        <w:adjustRightInd/>
        <w:spacing w:line="360" w:lineRule="auto"/>
        <w:outlineLvl w:val="9"/>
        <w:rPr>
          <w:rFonts w:ascii="宋体" w:hAnsi="宋体" w:cs="宋体"/>
          <w:color w:val="auto"/>
          <w:kern w:val="0"/>
          <w:sz w:val="21"/>
          <w:szCs w:val="21"/>
          <w:highlight w:val="none"/>
        </w:rPr>
      </w:pPr>
      <w:r>
        <w:rPr>
          <w:rFonts w:hint="eastAsia" w:ascii="宋体" w:hAnsi="宋体" w:cs="宋体"/>
          <w:b/>
          <w:color w:val="auto"/>
          <w:sz w:val="21"/>
          <w:szCs w:val="21"/>
          <w:highlight w:val="none"/>
        </w:rPr>
        <w:t>二、评标标准</w:t>
      </w:r>
    </w:p>
    <w:p w14:paraId="0B610F04">
      <w:pPr>
        <w:kinsoku/>
        <w:wordWrap/>
        <w:overflowPunct/>
        <w:topLinePunct w:val="0"/>
        <w:bidi w:val="0"/>
        <w:spacing w:line="360" w:lineRule="auto"/>
        <w:ind w:firstLine="413" w:firstLineChars="196"/>
        <w:outlineLvl w:val="9"/>
        <w:rPr>
          <w:rFonts w:ascii="宋体" w:hAnsi="宋体" w:cs="宋体"/>
          <w:b/>
          <w:color w:val="auto"/>
          <w:sz w:val="21"/>
          <w:szCs w:val="21"/>
          <w:highlight w:val="none"/>
        </w:rPr>
      </w:pPr>
      <w:r>
        <w:rPr>
          <w:rFonts w:hint="eastAsia" w:ascii="宋体" w:hAnsi="宋体" w:cs="宋体"/>
          <w:b/>
          <w:color w:val="auto"/>
          <w:sz w:val="21"/>
          <w:szCs w:val="21"/>
          <w:highlight w:val="none"/>
        </w:rPr>
        <w:t>2.</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评标标准：</w:t>
      </w:r>
      <w:r>
        <w:rPr>
          <w:rFonts w:hint="eastAsia" w:ascii="宋体" w:hAnsi="宋体" w:cs="宋体"/>
          <w:color w:val="auto"/>
          <w:kern w:val="0"/>
          <w:sz w:val="21"/>
          <w:szCs w:val="21"/>
          <w:highlight w:val="none"/>
        </w:rPr>
        <w:t>见评标办法前附表。</w:t>
      </w:r>
    </w:p>
    <w:p w14:paraId="6E93E43B">
      <w:pPr>
        <w:kinsoku/>
        <w:wordWrap/>
        <w:overflowPunct/>
        <w:topLinePunct w:val="0"/>
        <w:bidi w:val="0"/>
        <w:spacing w:line="360" w:lineRule="auto"/>
        <w:outlineLvl w:val="9"/>
        <w:rPr>
          <w:rFonts w:ascii="宋体" w:hAnsi="宋体" w:cs="宋体"/>
          <w:b/>
          <w:color w:val="auto"/>
          <w:sz w:val="21"/>
          <w:szCs w:val="21"/>
          <w:highlight w:val="none"/>
        </w:rPr>
      </w:pPr>
      <w:r>
        <w:rPr>
          <w:rFonts w:hint="eastAsia" w:ascii="宋体" w:hAnsi="宋体" w:cs="宋体"/>
          <w:b/>
          <w:color w:val="auto"/>
          <w:sz w:val="21"/>
          <w:szCs w:val="21"/>
          <w:highlight w:val="none"/>
        </w:rPr>
        <w:t>三、评标程序</w:t>
      </w:r>
    </w:p>
    <w:p w14:paraId="7A7B862D">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3.1符合性审查。</w:t>
      </w:r>
      <w:r>
        <w:rPr>
          <w:rFonts w:hint="eastAsia" w:ascii="宋体" w:hAnsi="宋体" w:cs="宋体"/>
          <w:color w:val="auto"/>
          <w:kern w:val="0"/>
          <w:sz w:val="21"/>
          <w:szCs w:val="21"/>
          <w:highlight w:val="none"/>
        </w:rPr>
        <w:t>评标委员会应当对符合资格的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的投标文件进行符合性审查，以确定其是否满足招标文件的实质性要求。不满足招标文件的实质性要求的，投标无效。</w:t>
      </w:r>
    </w:p>
    <w:p w14:paraId="405675EF">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3.2 比较与评价。</w:t>
      </w:r>
      <w:r>
        <w:rPr>
          <w:rFonts w:hint="eastAsia" w:ascii="宋体" w:hAnsi="宋体" w:cs="宋体"/>
          <w:color w:val="auto"/>
          <w:kern w:val="0"/>
          <w:sz w:val="21"/>
          <w:szCs w:val="21"/>
          <w:highlight w:val="none"/>
        </w:rPr>
        <w:t>评标委员会应当按照招标文件中规定的评标方法和标准，对符合性审查合格的投标文件进行商务和技术评估，综合比较与评价。</w:t>
      </w:r>
    </w:p>
    <w:p w14:paraId="71B54B90">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3.3汇总商务技术得分。</w:t>
      </w:r>
      <w:r>
        <w:rPr>
          <w:rFonts w:hint="eastAsia" w:ascii="宋体" w:hAnsi="宋体" w:cs="宋体"/>
          <w:color w:val="auto"/>
          <w:kern w:val="0"/>
          <w:sz w:val="21"/>
          <w:szCs w:val="21"/>
          <w:highlight w:val="none"/>
        </w:rPr>
        <w:t>评标委员会各成员应当独立对每个</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的商务和技术文件进行评价，并汇总商务技术得分情况。</w:t>
      </w:r>
    </w:p>
    <w:p w14:paraId="57BB1404">
      <w:pPr>
        <w:kinsoku/>
        <w:wordWrap/>
        <w:overflowPunct/>
        <w:topLinePunct w:val="0"/>
        <w:bidi w:val="0"/>
        <w:spacing w:line="360" w:lineRule="auto"/>
        <w:ind w:firstLine="413" w:firstLineChars="196"/>
        <w:outlineLvl w:val="9"/>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3.4报价评审。</w:t>
      </w:r>
    </w:p>
    <w:p w14:paraId="412826E7">
      <w:pPr>
        <w:pStyle w:val="23"/>
        <w:kinsoku/>
        <w:wordWrap/>
        <w:overflowPunct/>
        <w:topLinePunct w:val="0"/>
        <w:bidi w:val="0"/>
        <w:spacing w:before="0"/>
        <w:ind w:firstLine="445" w:firstLineChars="212"/>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00D22338">
      <w:pPr>
        <w:pStyle w:val="23"/>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r>
        <w:rPr>
          <w:rFonts w:hint="eastAsia" w:ascii="宋体" w:hAnsi="宋体" w:cs="宋体"/>
          <w:color w:val="auto"/>
          <w:kern w:val="0"/>
          <w:sz w:val="21"/>
          <w:szCs w:val="21"/>
          <w:highlight w:val="none"/>
          <w:lang w:eastAsia="zh-CN"/>
        </w:rPr>
        <w:t>；</w:t>
      </w:r>
    </w:p>
    <w:p w14:paraId="7DCB1D87">
      <w:pPr>
        <w:pStyle w:val="23"/>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3.4.1.2大写金额和小写金额不一致的，以大写金额为准</w:t>
      </w:r>
      <w:r>
        <w:rPr>
          <w:rFonts w:hint="eastAsia" w:ascii="宋体" w:hAnsi="宋体" w:cs="宋体"/>
          <w:color w:val="auto"/>
          <w:kern w:val="0"/>
          <w:sz w:val="21"/>
          <w:szCs w:val="21"/>
          <w:highlight w:val="none"/>
          <w:lang w:eastAsia="zh-CN"/>
        </w:rPr>
        <w:t>；</w:t>
      </w:r>
    </w:p>
    <w:p w14:paraId="150B2A00">
      <w:pPr>
        <w:pStyle w:val="23"/>
        <w:kinsoku/>
        <w:wordWrap/>
        <w:overflowPunct/>
        <w:topLinePunct w:val="0"/>
        <w:bidi w:val="0"/>
        <w:spacing w:before="0"/>
        <w:ind w:firstLine="48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3.4.1.3单价金额小数点或者百分比有明显错位的，以开标一览表的总价为准，并修改单价</w:t>
      </w:r>
      <w:r>
        <w:rPr>
          <w:rFonts w:hint="eastAsia" w:ascii="宋体" w:hAnsi="宋体" w:cs="宋体"/>
          <w:color w:val="auto"/>
          <w:kern w:val="0"/>
          <w:sz w:val="21"/>
          <w:szCs w:val="21"/>
          <w:highlight w:val="none"/>
          <w:lang w:eastAsia="zh-CN"/>
        </w:rPr>
        <w:t>；</w:t>
      </w:r>
    </w:p>
    <w:p w14:paraId="6D93426E">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027F7D7D">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确认后产生约束力。</w:t>
      </w:r>
    </w:p>
    <w:p w14:paraId="1C241EAA">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3.4.2投标文件出现不是唯一的、有选择性投标报价的，投标无效。</w:t>
      </w:r>
    </w:p>
    <w:p w14:paraId="23AC7009">
      <w:pPr>
        <w:kinsoku/>
        <w:wordWrap/>
        <w:overflowPunct/>
        <w:topLinePunct w:val="0"/>
        <w:bidi w:val="0"/>
        <w:snapToGrid w:val="0"/>
        <w:spacing w:line="360" w:lineRule="auto"/>
        <w:ind w:firstLine="420" w:firstLineChars="200"/>
        <w:jc w:val="left"/>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3.4.3投标报价超过招标文件中规定的预算金额或者最高限价的，投标无效。</w:t>
      </w:r>
    </w:p>
    <w:p w14:paraId="72F78D42">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的报价（低于项目预算50%的），有可能影响产品质量或者不能诚信履约的，应当要求其在合理的时间内提供书面说明，必要时提交相关证明材料</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不能证明其报价合理性的，评标委员会应当将其作为无效投标处理。</w:t>
      </w:r>
    </w:p>
    <w:p w14:paraId="7FE904EB">
      <w:pPr>
        <w:pStyle w:val="23"/>
        <w:kinsoku/>
        <w:wordWrap/>
        <w:overflowPunct/>
        <w:topLinePunct w:val="0"/>
        <w:bidi w:val="0"/>
        <w:spacing w:before="0"/>
        <w:ind w:firstLine="48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kinsoku/>
        <w:wordWrap/>
        <w:overflowPunct/>
        <w:topLinePunct w:val="0"/>
        <w:bidi w:val="0"/>
        <w:spacing w:line="360" w:lineRule="auto"/>
        <w:ind w:firstLine="422"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rPr>
        <w:t>3.5排序与推荐。</w:t>
      </w:r>
      <w:r>
        <w:rPr>
          <w:rFonts w:hint="eastAsia" w:ascii="宋体" w:hAnsi="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为排名第一的中标候选人。</w:t>
      </w:r>
      <w:r>
        <w:rPr>
          <w:rFonts w:hint="eastAsia" w:ascii="宋体" w:hAnsi="宋体" w:eastAsia="宋体" w:cs="宋体"/>
          <w:b/>
          <w:bCs/>
          <w:color w:val="auto"/>
          <w:kern w:val="0"/>
          <w:sz w:val="21"/>
          <w:szCs w:val="21"/>
          <w:highlight w:val="none"/>
          <w:lang w:val="en-US" w:eastAsia="zh-CN"/>
        </w:rPr>
        <w:t>有效投标供应商数量等于3家时，中标候选人数量为1家；有效投标供应商数量等于4家时，中标候选人数量为2家；有效投标供应商数量大于等于5家时，中标候选人数量为3家。</w:t>
      </w:r>
    </w:p>
    <w:p w14:paraId="65C9B39A">
      <w:pPr>
        <w:kinsoku/>
        <w:wordWrap/>
        <w:overflowPunct/>
        <w:topLinePunct w:val="0"/>
        <w:bidi w:val="0"/>
        <w:spacing w:line="360" w:lineRule="auto"/>
        <w:ind w:firstLine="420" w:firstLineChars="200"/>
        <w:outlineLvl w:val="9"/>
        <w:rPr>
          <w:rFonts w:ascii="宋体" w:hAnsi="宋体" w:cs="宋体"/>
          <w:b/>
          <w:color w:val="auto"/>
          <w:kern w:val="0"/>
          <w:sz w:val="21"/>
          <w:szCs w:val="21"/>
          <w:highlight w:val="none"/>
        </w:rPr>
      </w:pPr>
      <w:r>
        <w:rPr>
          <w:rFonts w:hint="eastAsia" w:ascii="宋体" w:hAnsi="宋体" w:cs="宋体"/>
          <w:color w:val="auto"/>
          <w:kern w:val="0"/>
          <w:sz w:val="21"/>
          <w:szCs w:val="21"/>
          <w:highlight w:val="none"/>
        </w:rPr>
        <w:t>多家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参加同一合同项下投标的，按一家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计算，评审后得分最高的同品牌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获得中标人推荐资格；评审得分相同的，采取随机抽取方式确定，其他同品牌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不作为中标候选人。</w:t>
      </w:r>
    </w:p>
    <w:p w14:paraId="3FF72234">
      <w:pPr>
        <w:kinsoku/>
        <w:wordWrap/>
        <w:overflowPunct/>
        <w:topLinePunct w:val="0"/>
        <w:bidi w:val="0"/>
        <w:spacing w:line="360" w:lineRule="auto"/>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3.6编写评标报告。</w:t>
      </w:r>
      <w:r>
        <w:rPr>
          <w:rFonts w:hint="eastAsia" w:ascii="宋体" w:hAnsi="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21"/>
          <w:szCs w:val="21"/>
          <w:highlight w:val="none"/>
        </w:rPr>
      </w:pPr>
      <w:r>
        <w:rPr>
          <w:rFonts w:hint="eastAsia" w:ascii="宋体" w:hAnsi="宋体" w:cs="宋体"/>
          <w:b/>
          <w:color w:val="auto"/>
          <w:sz w:val="21"/>
          <w:szCs w:val="21"/>
          <w:highlight w:val="none"/>
        </w:rPr>
        <w:t>四、评标中的其他事项</w:t>
      </w:r>
    </w:p>
    <w:p w14:paraId="3B4C1F79">
      <w:pPr>
        <w:pStyle w:val="23"/>
        <w:kinsoku/>
        <w:wordWrap/>
        <w:overflowPunct/>
        <w:topLinePunct w:val="0"/>
        <w:bidi w:val="0"/>
        <w:spacing w:before="0"/>
        <w:ind w:firstLine="413" w:firstLineChars="196"/>
        <w:outlineLvl w:val="9"/>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w:t>
      </w:r>
      <w:r>
        <w:rPr>
          <w:rFonts w:hint="eastAsia" w:ascii="宋体" w:hAnsi="宋体" w:cs="宋体"/>
          <w:b/>
          <w:color w:val="auto"/>
          <w:kern w:val="0"/>
          <w:sz w:val="21"/>
          <w:szCs w:val="21"/>
          <w:highlight w:val="none"/>
          <w:lang w:eastAsia="zh-CN"/>
        </w:rPr>
        <w:t>供应商</w:t>
      </w:r>
      <w:r>
        <w:rPr>
          <w:rFonts w:hint="eastAsia" w:ascii="宋体" w:hAnsi="宋体" w:cs="宋体"/>
          <w:b/>
          <w:color w:val="auto"/>
          <w:kern w:val="0"/>
          <w:sz w:val="21"/>
          <w:szCs w:val="21"/>
          <w:highlight w:val="none"/>
        </w:rPr>
        <w:t>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作出必要的澄清、说明或者补正的，评标委员会和</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通过电子交易平台交换数据电文，</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提交使用电子签名的相关数据电文或通过平台上传加盖公章的扫描件。给予</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提交澄清、说明或补正的时间不得少于半小时，</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已经明确表示澄清说明或补正完毕的除外。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的澄清、说明或者补正不得超出投标文件的范围或者改变投标文件的实质性内容。</w:t>
      </w:r>
    </w:p>
    <w:p w14:paraId="501F6BE6">
      <w:pPr>
        <w:pStyle w:val="9"/>
        <w:kinsoku/>
        <w:wordWrap/>
        <w:overflowPunct/>
        <w:topLinePunct w:val="0"/>
        <w:bidi w:val="0"/>
        <w:spacing w:line="360" w:lineRule="auto"/>
        <w:ind w:left="954" w:leftChars="226" w:hanging="479" w:firstLineChars="0"/>
        <w:outlineLvl w:val="9"/>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88E93D5">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未提供有效的资格文件的，视为</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不具备招标文件中规定的资格要求）；</w:t>
      </w:r>
    </w:p>
    <w:p w14:paraId="3030AD72">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4.2.2投标文件未按照招标文件要求签署、盖章的；</w:t>
      </w:r>
    </w:p>
    <w:p w14:paraId="25931ADC">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相应的投标产品未获得国家确定的认证机构出具的、处于有效期之内的节能产品认证证书的；</w:t>
      </w:r>
    </w:p>
    <w:p w14:paraId="1E46D8D9">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4.2.4投标文件含有采购人不能接受的附加条件的；</w:t>
      </w:r>
    </w:p>
    <w:p w14:paraId="6AFF0C0C">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4.2.5投标文件中承诺的投标有效期少于招标文件中载明的投标有效期的；</w:t>
      </w:r>
    </w:p>
    <w:p w14:paraId="0E8FE4C3">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4.2.6</w:t>
      </w:r>
      <w:r>
        <w:rPr>
          <w:rFonts w:hint="eastAsia" w:ascii="宋体" w:hAnsi="宋体" w:eastAsia="宋体" w:cs="宋体"/>
          <w:color w:val="auto"/>
          <w:kern w:val="0"/>
          <w:sz w:val="21"/>
          <w:szCs w:val="21"/>
          <w:highlight w:val="none"/>
        </w:rPr>
        <w:t>投标</w:t>
      </w:r>
      <w:r>
        <w:rPr>
          <w:rFonts w:hint="eastAsia" w:ascii="宋体" w:hAnsi="宋体" w:cs="宋体"/>
          <w:color w:val="auto"/>
          <w:kern w:val="0"/>
          <w:sz w:val="21"/>
          <w:szCs w:val="21"/>
          <w:highlight w:val="none"/>
        </w:rPr>
        <w:t>文件出现不是唯一的、有选择性投标报价的</w:t>
      </w:r>
      <w:r>
        <w:rPr>
          <w:rFonts w:hint="eastAsia" w:ascii="宋体" w:hAnsi="宋体" w:cs="宋体"/>
          <w:color w:val="auto"/>
          <w:kern w:val="0"/>
          <w:sz w:val="21"/>
          <w:szCs w:val="21"/>
          <w:highlight w:val="none"/>
          <w:lang w:eastAsia="zh-CN"/>
        </w:rPr>
        <w:t>；</w:t>
      </w:r>
    </w:p>
    <w:p w14:paraId="5DB3AD34">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4.2.7投标报价超过招标文件中规定的预算金额或者最高限价的</w:t>
      </w:r>
      <w:r>
        <w:rPr>
          <w:rFonts w:hint="eastAsia" w:ascii="宋体" w:hAnsi="宋体" w:cs="宋体"/>
          <w:color w:val="auto"/>
          <w:kern w:val="0"/>
          <w:sz w:val="21"/>
          <w:szCs w:val="21"/>
          <w:highlight w:val="none"/>
          <w:lang w:eastAsia="zh-CN"/>
        </w:rPr>
        <w:t>；</w:t>
      </w:r>
    </w:p>
    <w:p w14:paraId="46854B1E">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4.2.8报价明显低于其他通过符合性审查</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cs="宋体"/>
          <w:color w:val="auto"/>
          <w:kern w:val="0"/>
          <w:sz w:val="21"/>
          <w:szCs w:val="21"/>
          <w:highlight w:val="none"/>
          <w:lang w:eastAsia="zh-CN"/>
        </w:rPr>
        <w:t>；</w:t>
      </w:r>
    </w:p>
    <w:p w14:paraId="2F4A3689">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对根据修正原则修正后的报价不确认的；</w:t>
      </w:r>
    </w:p>
    <w:p w14:paraId="688F059A">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提供虚假材料投标的；</w:t>
      </w:r>
    </w:p>
    <w:p w14:paraId="3B648FB0">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有恶意串通、妨碍其他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的竞争行为、损害采购人或者其他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的合法权益情形的；</w:t>
      </w:r>
    </w:p>
    <w:p w14:paraId="00AD51F3">
      <w:pPr>
        <w:kinsoku/>
        <w:wordWrap/>
        <w:overflowPunct/>
        <w:topLinePunct w:val="0"/>
        <w:bidi w:val="0"/>
        <w:spacing w:line="360" w:lineRule="auto"/>
        <w:ind w:firstLine="420" w:firstLineChars="200"/>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仅提交备份投标文件，未在电子交易平台传输递交投标文件的，投标无效；</w:t>
      </w:r>
    </w:p>
    <w:p w14:paraId="5EAE58F7">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w:t>
      </w:r>
      <w:r>
        <w:rPr>
          <w:rFonts w:hint="eastAsia" w:ascii="宋体" w:hAnsi="宋体" w:eastAsia="宋体" w:cs="宋体"/>
          <w:color w:val="auto"/>
          <w:kern w:val="0"/>
          <w:sz w:val="21"/>
          <w:szCs w:val="21"/>
          <w:highlight w:val="none"/>
          <w:lang w:val="en-US"/>
        </w:rPr>
        <w:t>文件不满足招标文件的其它实质性要求的；</w:t>
      </w:r>
    </w:p>
    <w:p w14:paraId="3875AE66">
      <w:pPr>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4.2.14法律、法规、规章（适用本市的）及省级以上规范性文件（适用本市的）规定的其他无效情形。</w:t>
      </w:r>
    </w:p>
    <w:p w14:paraId="4BB43E8D">
      <w:pPr>
        <w:pStyle w:val="9"/>
        <w:kinsoku/>
        <w:wordWrap/>
        <w:overflowPunct/>
        <w:topLinePunct w:val="0"/>
        <w:bidi w:val="0"/>
        <w:snapToGrid w:val="0"/>
        <w:spacing w:line="360" w:lineRule="auto"/>
        <w:ind w:firstLine="413" w:firstLineChars="196"/>
        <w:outlineLvl w:val="9"/>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669D84F0">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B09B2E6">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5.2出现影响采购公正的违法、违规行为的；</w:t>
      </w:r>
    </w:p>
    <w:p w14:paraId="413ECAC3">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rPr>
        <w:t>5.3</w:t>
      </w:r>
      <w:r>
        <w:rPr>
          <w:rFonts w:hint="eastAsia" w:cs="宋体"/>
          <w:color w:val="auto"/>
          <w:sz w:val="21"/>
          <w:szCs w:val="21"/>
          <w:highlight w:val="none"/>
          <w:lang w:eastAsia="zh-CN"/>
        </w:rPr>
        <w:t>供应商</w:t>
      </w:r>
      <w:r>
        <w:rPr>
          <w:rFonts w:hint="eastAsia" w:cs="宋体"/>
          <w:color w:val="auto"/>
          <w:sz w:val="21"/>
          <w:szCs w:val="21"/>
          <w:highlight w:val="none"/>
        </w:rPr>
        <w:t>的报价均超过了采购预算，采购人不能支付的；</w:t>
      </w:r>
    </w:p>
    <w:p w14:paraId="1C2746F4">
      <w:pPr>
        <w:pStyle w:val="9"/>
        <w:kinsoku/>
        <w:wordWrap/>
        <w:overflowPunct/>
        <w:topLinePunct w:val="0"/>
        <w:bidi w:val="0"/>
        <w:snapToGrid w:val="0"/>
        <w:spacing w:line="360" w:lineRule="auto"/>
        <w:outlineLvl w:val="9"/>
        <w:rPr>
          <w:rFonts w:hint="eastAsia" w:cs="宋体"/>
          <w:color w:val="auto"/>
          <w:sz w:val="21"/>
          <w:szCs w:val="21"/>
          <w:highlight w:val="none"/>
        </w:rPr>
      </w:pPr>
      <w:r>
        <w:rPr>
          <w:rFonts w:hint="eastAsia" w:cs="宋体"/>
          <w:color w:val="auto"/>
          <w:sz w:val="21"/>
          <w:szCs w:val="21"/>
          <w:highlight w:val="none"/>
        </w:rPr>
        <w:t>5.4因重大变故，采购任务取消的。</w:t>
      </w:r>
    </w:p>
    <w:p w14:paraId="71D92C81">
      <w:pPr>
        <w:numPr>
          <w:ilvl w:val="0"/>
          <w:numId w:val="5"/>
        </w:numPr>
        <w:ind w:left="0" w:leftChars="0"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参与同一个采购包（标段）的供应商存在下列情形之一且无法合理解释的，其投标（响应）文件无效：</w:t>
      </w:r>
    </w:p>
    <w:p w14:paraId="6138C15A">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6.1不同供应商的电子投标（响应）文件上传计算机的网卡MAC地址或硬盘序列号等硬件信息相同的；</w:t>
      </w:r>
    </w:p>
    <w:p w14:paraId="047A00AA">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6.2.上传的电子投标（响应）文件若出现使用本项目其他投标（响应）供应商的数字证书加密的，或者加盖本项目其他投标（响应）供应商的电子印章的；</w:t>
      </w:r>
    </w:p>
    <w:p w14:paraId="6419F090">
      <w:pPr>
        <w:kinsoku/>
        <w:wordWrap/>
        <w:overflowPunct/>
        <w:topLinePunct w:val="0"/>
        <w:bidi w:val="0"/>
        <w:spacing w:line="360" w:lineRule="auto"/>
        <w:ind w:firstLine="420" w:firstLineChars="200"/>
        <w:outlineLvl w:val="9"/>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6.3.不同供应商的投标（响应）文件的内容存在3处（含）以上错误一致的；6.4.不同供应商联系人为同一人或不同联系人的联系电话一致的。</w:t>
      </w:r>
    </w:p>
    <w:p w14:paraId="198176BC">
      <w:pPr>
        <w:kinsoku/>
        <w:wordWrap/>
        <w:overflowPunct/>
        <w:topLinePunct w:val="0"/>
        <w:bidi w:val="0"/>
        <w:spacing w:line="360" w:lineRule="auto"/>
        <w:ind w:firstLine="420" w:firstLineChars="200"/>
        <w:outlineLvl w:val="9"/>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废标后，采购代理机构应当将废标理由通知所有供应商。</w:t>
      </w:r>
    </w:p>
    <w:p w14:paraId="714AF344">
      <w:pPr>
        <w:numPr>
          <w:ilvl w:val="0"/>
          <w:numId w:val="5"/>
        </w:numPr>
        <w:kinsoku/>
        <w:wordWrap/>
        <w:overflowPunct/>
        <w:topLinePunct w:val="0"/>
        <w:bidi w:val="0"/>
        <w:spacing w:line="360" w:lineRule="auto"/>
        <w:ind w:left="0" w:leftChars="0" w:firstLine="422" w:firstLineChars="200"/>
        <w:outlineLvl w:val="9"/>
        <w:rPr>
          <w:rFonts w:ascii="宋体" w:hAnsi="宋体" w:eastAsia="宋体" w:cs="宋体"/>
          <w:sz w:val="21"/>
          <w:szCs w:val="21"/>
        </w:rPr>
      </w:pPr>
      <w:r>
        <w:rPr>
          <w:rFonts w:hint="eastAsia" w:ascii="宋体" w:hAnsi="宋体" w:eastAsia="宋体" w:cs="宋体"/>
          <w:b/>
          <w:color w:val="auto"/>
          <w:kern w:val="2"/>
          <w:sz w:val="21"/>
          <w:szCs w:val="21"/>
          <w:highlight w:val="none"/>
          <w:lang w:val="en-US" w:eastAsia="zh-CN" w:bidi="ar-SA"/>
        </w:rPr>
        <w:t>供应商围标串标,其投标（响应）文件无效，</w:t>
      </w:r>
      <w:r>
        <w:rPr>
          <w:rFonts w:ascii="宋体" w:hAnsi="宋体" w:eastAsia="宋体" w:cs="宋体"/>
          <w:sz w:val="21"/>
          <w:szCs w:val="21"/>
        </w:rPr>
        <w:t>是指供应商成立多家公司围标串标，投标文件相互混装、异常一致，投标报价呈规律性差异，投标保证金从同一账户转出等恶意串通行为。具体包括：</w:t>
      </w:r>
    </w:p>
    <w:p w14:paraId="6BC3119A">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w:t>
      </w:r>
      <w:r>
        <w:rPr>
          <w:rFonts w:ascii="宋体" w:hAnsi="宋体" w:eastAsia="宋体" w:cs="宋体"/>
          <w:sz w:val="21"/>
          <w:szCs w:val="21"/>
        </w:rPr>
        <w:t>供应商的投标文件相互混装；</w:t>
      </w:r>
    </w:p>
    <w:p w14:paraId="079374B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7.2</w:t>
      </w:r>
      <w:r>
        <w:rPr>
          <w:rFonts w:ascii="宋体" w:hAnsi="宋体" w:eastAsia="宋体" w:cs="宋体"/>
          <w:sz w:val="21"/>
          <w:szCs w:val="21"/>
        </w:rPr>
        <w:t>供应商的投标文件异常一致；</w:t>
      </w:r>
    </w:p>
    <w:p w14:paraId="52CED4FF">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7.3</w:t>
      </w:r>
      <w:r>
        <w:rPr>
          <w:rFonts w:ascii="宋体" w:hAnsi="宋体" w:eastAsia="宋体" w:cs="宋体"/>
          <w:sz w:val="21"/>
          <w:szCs w:val="21"/>
        </w:rPr>
        <w:t>供应商的投标保证金从同一账户转出；</w:t>
      </w:r>
    </w:p>
    <w:p w14:paraId="18308440">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7.4</w:t>
      </w:r>
      <w:r>
        <w:rPr>
          <w:rFonts w:ascii="宋体" w:hAnsi="宋体" w:eastAsia="宋体" w:cs="宋体"/>
          <w:sz w:val="21"/>
          <w:szCs w:val="21"/>
        </w:rPr>
        <w:t>供应商的投标文件由同一单位或个人编制；</w:t>
      </w:r>
    </w:p>
    <w:p w14:paraId="0F72B93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7.5</w:t>
      </w:r>
      <w:r>
        <w:rPr>
          <w:rFonts w:ascii="宋体" w:hAnsi="宋体" w:eastAsia="宋体" w:cs="宋体"/>
          <w:sz w:val="21"/>
          <w:szCs w:val="21"/>
        </w:rPr>
        <w:t>供应商委托同一单位或个人办理投标事宜；</w:t>
      </w:r>
    </w:p>
    <w:p w14:paraId="529D8E4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7.6</w:t>
      </w:r>
      <w:r>
        <w:rPr>
          <w:rFonts w:ascii="宋体" w:hAnsi="宋体" w:eastAsia="宋体" w:cs="宋体"/>
          <w:sz w:val="21"/>
          <w:szCs w:val="21"/>
        </w:rPr>
        <w:t>供应商的项目管理成员或者联系人员为同一人；</w:t>
      </w:r>
    </w:p>
    <w:p w14:paraId="58958A97">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7.7</w:t>
      </w:r>
      <w:r>
        <w:rPr>
          <w:rFonts w:ascii="宋体" w:hAnsi="宋体" w:eastAsia="宋体" w:cs="宋体"/>
          <w:sz w:val="21"/>
          <w:szCs w:val="21"/>
        </w:rPr>
        <w:t>供应商的MAC地址或硬盘序列号等硬件信息相同；</w:t>
      </w:r>
    </w:p>
    <w:p w14:paraId="3CA07A29">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7.8</w:t>
      </w:r>
      <w:r>
        <w:rPr>
          <w:rFonts w:ascii="宋体" w:hAnsi="宋体" w:eastAsia="宋体" w:cs="宋体"/>
          <w:sz w:val="21"/>
          <w:szCs w:val="21"/>
        </w:rPr>
        <w:t>对大量技术参数响应负偏离、不提供证明材料或者不积极响应采购文件要求，以促成合格供应商符合法定数量；</w:t>
      </w:r>
    </w:p>
    <w:p w14:paraId="468985B5">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7.9</w:t>
      </w:r>
      <w:r>
        <w:rPr>
          <w:rFonts w:ascii="宋体" w:hAnsi="宋体" w:eastAsia="宋体" w:cs="宋体"/>
          <w:sz w:val="21"/>
          <w:szCs w:val="21"/>
        </w:rPr>
        <w:t>事先约定由某一特定供应商中标、成交；</w:t>
      </w:r>
    </w:p>
    <w:p w14:paraId="5E30DA8A">
      <w:pPr>
        <w:numPr>
          <w:ilvl w:val="0"/>
          <w:numId w:val="0"/>
        </w:numPr>
        <w:kinsoku/>
        <w:wordWrap/>
        <w:overflowPunct/>
        <w:topLinePunct w:val="0"/>
        <w:bidi w:val="0"/>
        <w:spacing w:line="360" w:lineRule="auto"/>
        <w:ind w:leftChars="200"/>
        <w:outlineLvl w:val="9"/>
        <w:rPr>
          <w:rFonts w:ascii="宋体" w:hAnsi="宋体" w:eastAsia="宋体" w:cs="宋体"/>
          <w:sz w:val="21"/>
          <w:szCs w:val="21"/>
        </w:rPr>
      </w:pPr>
      <w:r>
        <w:rPr>
          <w:rFonts w:hint="eastAsia" w:ascii="宋体" w:hAnsi="宋体" w:eastAsia="宋体" w:cs="宋体"/>
          <w:sz w:val="21"/>
          <w:szCs w:val="21"/>
          <w:lang w:val="en-US" w:eastAsia="zh-CN"/>
        </w:rPr>
        <w:t>7.10</w:t>
      </w:r>
      <w:r>
        <w:rPr>
          <w:rFonts w:ascii="宋体" w:hAnsi="宋体" w:eastAsia="宋体" w:cs="宋体"/>
          <w:sz w:val="21"/>
          <w:szCs w:val="21"/>
        </w:rPr>
        <w:t>成立多家公司围标串标；</w:t>
      </w:r>
    </w:p>
    <w:p w14:paraId="36009EB5">
      <w:pPr>
        <w:numPr>
          <w:ilvl w:val="0"/>
          <w:numId w:val="0"/>
        </w:numPr>
        <w:kinsoku/>
        <w:wordWrap/>
        <w:overflowPunct/>
        <w:topLinePunct w:val="0"/>
        <w:bidi w:val="0"/>
        <w:spacing w:line="360" w:lineRule="auto"/>
        <w:ind w:leftChars="200"/>
        <w:outlineLvl w:val="9"/>
        <w:rPr>
          <w:rFonts w:hint="eastAsia" w:ascii="宋体" w:hAnsi="宋体" w:cs="宋体"/>
          <w:color w:val="auto"/>
          <w:kern w:val="0"/>
          <w:sz w:val="21"/>
          <w:szCs w:val="21"/>
          <w:highlight w:val="none"/>
          <w:lang w:val="en-US" w:eastAsia="zh-CN"/>
        </w:rPr>
      </w:pPr>
      <w:r>
        <w:rPr>
          <w:rFonts w:hint="eastAsia" w:ascii="宋体" w:hAnsi="宋体" w:eastAsia="宋体" w:cs="宋体"/>
          <w:sz w:val="21"/>
          <w:szCs w:val="21"/>
          <w:lang w:val="en-US" w:eastAsia="zh-CN"/>
        </w:rPr>
        <w:t>7.11</w:t>
      </w:r>
      <w:r>
        <w:rPr>
          <w:rFonts w:ascii="宋体" w:hAnsi="宋体" w:eastAsia="宋体" w:cs="宋体"/>
          <w:sz w:val="21"/>
          <w:szCs w:val="21"/>
        </w:rPr>
        <w:t>其他围标串标行为。</w:t>
      </w:r>
    </w:p>
    <w:p w14:paraId="323AEA29">
      <w:pPr>
        <w:kinsoku/>
        <w:wordWrap/>
        <w:overflowPunct/>
        <w:topLinePunct w:val="0"/>
        <w:bidi w:val="0"/>
        <w:spacing w:line="360" w:lineRule="auto"/>
        <w:ind w:firstLine="422" w:firstLineChars="200"/>
        <w:outlineLvl w:val="9"/>
        <w:rPr>
          <w:rFonts w:cs="宋体"/>
          <w:color w:val="auto"/>
          <w:sz w:val="21"/>
          <w:szCs w:val="21"/>
          <w:highlight w:val="none"/>
        </w:rPr>
      </w:pPr>
      <w:r>
        <w:rPr>
          <w:rFonts w:hint="eastAsia" w:ascii="宋体" w:hAnsi="宋体" w:cs="宋体"/>
          <w:b/>
          <w:color w:val="auto"/>
          <w:kern w:val="0"/>
          <w:sz w:val="21"/>
          <w:szCs w:val="21"/>
          <w:highlight w:val="none"/>
          <w:lang w:val="en-US" w:eastAsia="zh-CN" w:bidi="ar-SA"/>
        </w:rPr>
        <w:t>8</w:t>
      </w:r>
      <w:r>
        <w:rPr>
          <w:rFonts w:hint="eastAsia" w:ascii="宋体" w:hAnsi="宋体" w:eastAsia="宋体" w:cs="宋体"/>
          <w:b/>
          <w:color w:val="auto"/>
          <w:kern w:val="0"/>
          <w:sz w:val="21"/>
          <w:szCs w:val="21"/>
          <w:highlight w:val="none"/>
          <w:lang w:val="en-US" w:eastAsia="zh-CN" w:bidi="ar-SA"/>
        </w:rPr>
        <w:t>.修改招标文件，</w:t>
      </w:r>
      <w:r>
        <w:rPr>
          <w:rFonts w:hint="eastAsia" w:ascii="宋体" w:hAnsi="宋体" w:cs="宋体"/>
          <w:color w:val="auto"/>
          <w:kern w:val="0"/>
          <w:sz w:val="21"/>
          <w:szCs w:val="21"/>
          <w:highlight w:val="none"/>
        </w:rPr>
        <w:t>重新组织采购活动。评标委员会发现招标文件</w:t>
      </w:r>
      <w:r>
        <w:rPr>
          <w:rFonts w:hint="eastAsia" w:cs="宋体"/>
          <w:color w:val="auto"/>
          <w:sz w:val="21"/>
          <w:szCs w:val="21"/>
          <w:highlight w:val="none"/>
        </w:rPr>
        <w:t>存在歧义、重大缺陷导致评标工作无法进行，或者招标文件内容违反国家有关强制性规定的，将停止评标工作，并与采购人、</w:t>
      </w:r>
      <w:r>
        <w:rPr>
          <w:rFonts w:hint="eastAsia" w:cs="宋体"/>
          <w:color w:val="auto"/>
          <w:sz w:val="21"/>
          <w:szCs w:val="21"/>
          <w:highlight w:val="none"/>
          <w:lang w:eastAsia="zh-CN"/>
        </w:rPr>
        <w:t>采购代理机构</w:t>
      </w:r>
      <w:r>
        <w:rPr>
          <w:rFonts w:hint="eastAsia" w:cs="宋体"/>
          <w:color w:val="auto"/>
          <w:sz w:val="21"/>
          <w:szCs w:val="21"/>
          <w:highlight w:val="none"/>
        </w:rPr>
        <w:t>沟通并作书面记录。采购人、</w:t>
      </w:r>
      <w:r>
        <w:rPr>
          <w:rFonts w:hint="eastAsia" w:cs="宋体"/>
          <w:color w:val="auto"/>
          <w:sz w:val="21"/>
          <w:szCs w:val="21"/>
          <w:highlight w:val="none"/>
          <w:lang w:eastAsia="zh-CN"/>
        </w:rPr>
        <w:t>采购代理机构</w:t>
      </w:r>
      <w:r>
        <w:rPr>
          <w:rFonts w:hint="eastAsia" w:cs="宋体"/>
          <w:color w:val="auto"/>
          <w:sz w:val="21"/>
          <w:szCs w:val="21"/>
          <w:highlight w:val="none"/>
        </w:rPr>
        <w:t>确认后，将修改招标文件，重新组织采购活动。</w:t>
      </w:r>
    </w:p>
    <w:p w14:paraId="43355FD8">
      <w:pPr>
        <w:pStyle w:val="9"/>
        <w:kinsoku/>
        <w:wordWrap/>
        <w:overflowPunct/>
        <w:topLinePunct w:val="0"/>
        <w:bidi w:val="0"/>
        <w:snapToGrid w:val="0"/>
        <w:spacing w:line="360" w:lineRule="auto"/>
        <w:ind w:firstLine="482"/>
        <w:outlineLvl w:val="9"/>
        <w:rPr>
          <w:rFonts w:cs="宋体"/>
          <w:color w:val="auto"/>
          <w:sz w:val="21"/>
          <w:szCs w:val="21"/>
          <w:highlight w:val="none"/>
        </w:rPr>
      </w:pPr>
      <w:r>
        <w:rPr>
          <w:rFonts w:hint="eastAsia" w:cs="宋体"/>
          <w:b/>
          <w:color w:val="auto"/>
          <w:kern w:val="0"/>
          <w:sz w:val="21"/>
          <w:szCs w:val="21"/>
          <w:highlight w:val="none"/>
          <w:lang w:val="en-US" w:eastAsia="zh-CN"/>
        </w:rPr>
        <w:t>9</w:t>
      </w:r>
      <w:r>
        <w:rPr>
          <w:rFonts w:hint="eastAsia" w:cs="宋体"/>
          <w:b/>
          <w:color w:val="auto"/>
          <w:kern w:val="0"/>
          <w:sz w:val="21"/>
          <w:szCs w:val="21"/>
          <w:highlight w:val="none"/>
        </w:rPr>
        <w:t>.重新开展采购。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0311C0F4">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.1未确定中标供应商的，终止本次政府采购活动，重新开展政府采购活动。</w:t>
      </w:r>
    </w:p>
    <w:p w14:paraId="1C08DE73">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.2已确定中标供应商但尚未签订政府采购合同的，中标结果无效，从合格的中标候选人中另行确定中标供应商；没有合格的中标候选人的，重新开展政府采购活动。</w:t>
      </w:r>
    </w:p>
    <w:p w14:paraId="44217DA7">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.3政府采购合同已签订但尚未履行的，撤销合同，从合格的中标候选人中另行确定中标供应商；没有合格的中标候选人的，重新开展政府采购活动。</w:t>
      </w:r>
    </w:p>
    <w:p w14:paraId="41C3BDCC">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.4政府采购合同已经履行，给采购人、供应商造成损失的，由责任人承担赔偿责任。</w:t>
      </w:r>
    </w:p>
    <w:p w14:paraId="5A6E981D">
      <w:pPr>
        <w:pStyle w:val="9"/>
        <w:kinsoku/>
        <w:wordWrap/>
        <w:overflowPunct/>
        <w:topLinePunct w:val="0"/>
        <w:bidi w:val="0"/>
        <w:snapToGrid w:val="0"/>
        <w:spacing w:line="360" w:lineRule="auto"/>
        <w:outlineLvl w:val="9"/>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.5政府采购当事人有其他违反政府采购法或者政府采购法实施条例等法律法规规定的行为，经改正后仍然影响或者可能影响中标结果或者依法被认定为中标无效的，依照</w:t>
      </w:r>
      <w:r>
        <w:rPr>
          <w:rFonts w:hint="eastAsia" w:cs="宋体"/>
          <w:color w:val="auto"/>
          <w:sz w:val="21"/>
          <w:szCs w:val="21"/>
          <w:highlight w:val="none"/>
          <w:lang w:val="en-US" w:eastAsia="zh-CN"/>
        </w:rPr>
        <w:t>9</w:t>
      </w:r>
      <w:r>
        <w:rPr>
          <w:rFonts w:hint="eastAsia" w:cs="宋体"/>
          <w:color w:val="auto"/>
          <w:sz w:val="21"/>
          <w:szCs w:val="21"/>
          <w:highlight w:val="none"/>
        </w:rPr>
        <w:t>.1-</w:t>
      </w:r>
      <w:r>
        <w:rPr>
          <w:rFonts w:hint="eastAsia" w:cs="宋体"/>
          <w:color w:val="auto"/>
          <w:sz w:val="21"/>
          <w:szCs w:val="21"/>
          <w:highlight w:val="none"/>
          <w:lang w:val="en-US" w:eastAsia="zh-CN"/>
        </w:rPr>
        <w:t>9</w:t>
      </w:r>
      <w:r>
        <w:rPr>
          <w:rFonts w:hint="eastAsia" w:cs="宋体"/>
          <w:color w:val="auto"/>
          <w:sz w:val="21"/>
          <w:szCs w:val="21"/>
          <w:highlight w:val="none"/>
        </w:rPr>
        <w:t>.4规定处理。</w:t>
      </w:r>
    </w:p>
    <w:p w14:paraId="342526C8">
      <w:pPr>
        <w:pStyle w:val="9"/>
        <w:kinsoku/>
        <w:wordWrap/>
        <w:overflowPunct/>
        <w:topLinePunct w:val="0"/>
        <w:bidi w:val="0"/>
        <w:snapToGrid w:val="0"/>
        <w:spacing w:line="360" w:lineRule="auto"/>
        <w:ind w:firstLine="0" w:firstLineChars="0"/>
        <w:outlineLvl w:val="9"/>
        <w:rPr>
          <w:rFonts w:cs="宋体"/>
          <w:color w:val="auto"/>
          <w:highlight w:val="none"/>
        </w:rPr>
      </w:pPr>
    </w:p>
    <w:p w14:paraId="792A8C70">
      <w:pPr>
        <w:widowControl/>
        <w:adjustRightInd/>
        <w:jc w:val="left"/>
        <w:rPr>
          <w:color w:val="auto"/>
          <w:szCs w:val="21"/>
          <w:highlight w:val="none"/>
        </w:rPr>
      </w:pPr>
    </w:p>
    <w:p w14:paraId="7EF5E9F3">
      <w:pPr>
        <w:spacing w:line="240" w:lineRule="auto"/>
        <w:ind w:left="0" w:leftChars="0"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7BA436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61CD50D">
      <w:pPr>
        <w:rPr>
          <w:rFonts w:hint="eastAsia" w:ascii="宋体" w:hAnsi="宋体" w:cs="宋体"/>
          <w:color w:val="auto"/>
          <w:sz w:val="24"/>
          <w:highlight w:val="none"/>
        </w:rPr>
      </w:pPr>
    </w:p>
    <w:p w14:paraId="4C905D33">
      <w:pPr>
        <w:rPr>
          <w:rFonts w:hint="eastAsia" w:ascii="宋体" w:hAnsi="宋体" w:cs="宋体"/>
          <w:color w:val="auto"/>
          <w:sz w:val="24"/>
          <w:highlight w:val="none"/>
        </w:rPr>
      </w:pPr>
    </w:p>
    <w:p w14:paraId="09C1C063">
      <w:pPr>
        <w:spacing w:line="360" w:lineRule="exact"/>
        <w:ind w:firstLine="420" w:firstLineChars="200"/>
        <w:rPr>
          <w:rFonts w:hint="eastAsia" w:ascii="宋体" w:hAnsi="宋体"/>
          <w:sz w:val="21"/>
          <w:szCs w:val="21"/>
        </w:rPr>
      </w:pPr>
      <w:r>
        <w:rPr>
          <w:rFonts w:hint="eastAsia" w:ascii="宋体" w:hAnsi="宋体"/>
          <w:sz w:val="21"/>
          <w:szCs w:val="21"/>
        </w:rPr>
        <w:t>合同名称：</w:t>
      </w:r>
      <w:r>
        <w:rPr>
          <w:rFonts w:hint="eastAsia" w:ascii="宋体" w:hAnsi="宋体"/>
          <w:sz w:val="21"/>
          <w:szCs w:val="21"/>
          <w:u w:val="single"/>
        </w:rPr>
        <w:t xml:space="preserve">                                                                </w:t>
      </w:r>
    </w:p>
    <w:p w14:paraId="5CAF5B1C">
      <w:pPr>
        <w:spacing w:line="360" w:lineRule="exact"/>
        <w:ind w:firstLine="420" w:firstLineChars="200"/>
        <w:rPr>
          <w:rFonts w:hint="eastAsia" w:ascii="宋体" w:hAnsi="宋体"/>
          <w:sz w:val="21"/>
          <w:szCs w:val="21"/>
        </w:rPr>
      </w:pPr>
      <w:r>
        <w:rPr>
          <w:rFonts w:hint="eastAsia" w:ascii="宋体" w:hAnsi="宋体"/>
          <w:sz w:val="21"/>
          <w:szCs w:val="21"/>
        </w:rPr>
        <w:t>项目编号：</w:t>
      </w:r>
      <w:r>
        <w:rPr>
          <w:rFonts w:hint="eastAsia" w:ascii="宋体" w:hAnsi="宋体"/>
          <w:sz w:val="21"/>
          <w:szCs w:val="21"/>
          <w:u w:val="single"/>
        </w:rPr>
        <w:t xml:space="preserve">                                        </w:t>
      </w:r>
    </w:p>
    <w:p w14:paraId="31A9BE3B">
      <w:pPr>
        <w:spacing w:line="360" w:lineRule="exact"/>
        <w:ind w:firstLine="420" w:firstLineChars="200"/>
        <w:rPr>
          <w:rFonts w:hint="eastAsia" w:ascii="宋体" w:hAnsi="宋体"/>
          <w:sz w:val="21"/>
          <w:szCs w:val="21"/>
        </w:rPr>
      </w:pPr>
      <w:r>
        <w:rPr>
          <w:rFonts w:hint="eastAsia" w:ascii="宋体" w:hAnsi="宋体"/>
          <w:sz w:val="21"/>
          <w:szCs w:val="21"/>
        </w:rPr>
        <w:t xml:space="preserve">采购人（甲方）： </w:t>
      </w:r>
      <w:r>
        <w:rPr>
          <w:rFonts w:hint="eastAsia" w:ascii="宋体" w:hAnsi="宋体"/>
          <w:sz w:val="21"/>
          <w:szCs w:val="21"/>
          <w:u w:val="single"/>
        </w:rPr>
        <w:t xml:space="preserve">                                                                   </w:t>
      </w:r>
    </w:p>
    <w:p w14:paraId="15A99FAC">
      <w:pPr>
        <w:spacing w:line="360" w:lineRule="exact"/>
        <w:ind w:firstLine="420" w:firstLineChars="200"/>
        <w:rPr>
          <w:rFonts w:hint="eastAsia" w:ascii="宋体" w:hAnsi="宋体"/>
          <w:sz w:val="21"/>
          <w:szCs w:val="21"/>
        </w:rPr>
      </w:pPr>
      <w:r>
        <w:rPr>
          <w:rFonts w:hint="eastAsia" w:ascii="宋体" w:hAnsi="宋体"/>
          <w:sz w:val="21"/>
          <w:szCs w:val="21"/>
        </w:rPr>
        <w:t>中标供应商（乙方）：</w:t>
      </w:r>
      <w:r>
        <w:rPr>
          <w:rFonts w:hint="eastAsia" w:ascii="宋体" w:hAnsi="宋体"/>
          <w:b/>
          <w:sz w:val="21"/>
          <w:szCs w:val="21"/>
        </w:rPr>
        <w:t xml:space="preserve"> </w:t>
      </w:r>
      <w:r>
        <w:rPr>
          <w:rFonts w:hint="eastAsia" w:ascii="宋体" w:hAnsi="宋体"/>
          <w:sz w:val="21"/>
          <w:szCs w:val="21"/>
          <w:u w:val="single"/>
        </w:rPr>
        <w:t xml:space="preserve">                                                               </w:t>
      </w:r>
    </w:p>
    <w:p w14:paraId="01239FD1">
      <w:pPr>
        <w:spacing w:line="360" w:lineRule="exact"/>
        <w:ind w:firstLine="420" w:firstLineChars="200"/>
        <w:rPr>
          <w:rFonts w:hint="eastAsia" w:ascii="宋体" w:hAnsi="宋体"/>
          <w:sz w:val="21"/>
          <w:szCs w:val="21"/>
        </w:rPr>
      </w:pPr>
      <w:r>
        <w:rPr>
          <w:rFonts w:hint="eastAsia" w:ascii="宋体" w:hAnsi="宋体"/>
          <w:sz w:val="21"/>
          <w:szCs w:val="21"/>
        </w:rPr>
        <w:t>根据</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日关于</w:t>
      </w:r>
      <w:r>
        <w:rPr>
          <w:rFonts w:hint="eastAsia" w:ascii="宋体" w:hAnsi="宋体"/>
          <w:sz w:val="21"/>
          <w:szCs w:val="21"/>
          <w:u w:val="single"/>
        </w:rPr>
        <w:t xml:space="preserve">                    </w:t>
      </w:r>
      <w:r>
        <w:rPr>
          <w:rFonts w:hint="eastAsia" w:ascii="宋体" w:hAnsi="宋体"/>
          <w:sz w:val="21"/>
          <w:szCs w:val="21"/>
        </w:rPr>
        <w:t>项目公开招标的结果，甲、乙双方同意签署本合同。</w:t>
      </w:r>
    </w:p>
    <w:p w14:paraId="370AC779">
      <w:pPr>
        <w:spacing w:line="360" w:lineRule="exact"/>
        <w:ind w:firstLine="422" w:firstLineChars="200"/>
        <w:rPr>
          <w:rFonts w:hint="eastAsia" w:ascii="宋体" w:hAnsi="宋体"/>
          <w:b/>
          <w:bCs/>
          <w:sz w:val="21"/>
          <w:szCs w:val="21"/>
        </w:rPr>
      </w:pPr>
      <w:r>
        <w:rPr>
          <w:rFonts w:hint="eastAsia" w:ascii="宋体" w:hAnsi="宋体"/>
          <w:b/>
          <w:bCs/>
          <w:sz w:val="21"/>
          <w:szCs w:val="21"/>
        </w:rPr>
        <w:t>1.  中标内容</w:t>
      </w:r>
    </w:p>
    <w:p w14:paraId="4E0147FB">
      <w:pPr>
        <w:tabs>
          <w:tab w:val="left" w:pos="5220"/>
        </w:tabs>
        <w:spacing w:line="360" w:lineRule="exact"/>
        <w:ind w:firstLine="420" w:firstLineChars="200"/>
        <w:rPr>
          <w:rFonts w:hint="eastAsia" w:ascii="宋体" w:hAnsi="宋体"/>
          <w:sz w:val="21"/>
          <w:szCs w:val="21"/>
          <w:u w:val="single"/>
        </w:rPr>
      </w:pPr>
      <w:r>
        <w:rPr>
          <w:rFonts w:hint="eastAsia" w:ascii="宋体" w:hAnsi="宋体"/>
          <w:sz w:val="21"/>
          <w:szCs w:val="21"/>
        </w:rPr>
        <w:t>1.1 服务名称：</w:t>
      </w:r>
      <w:r>
        <w:rPr>
          <w:rFonts w:hint="eastAsia" w:ascii="宋体" w:hAnsi="宋体"/>
          <w:sz w:val="21"/>
          <w:szCs w:val="21"/>
          <w:u w:val="single"/>
        </w:rPr>
        <w:t xml:space="preserve">                        </w:t>
      </w:r>
    </w:p>
    <w:p w14:paraId="1C5916A2">
      <w:pPr>
        <w:tabs>
          <w:tab w:val="left" w:pos="5220"/>
        </w:tabs>
        <w:spacing w:line="360" w:lineRule="exact"/>
        <w:ind w:firstLine="420" w:firstLineChars="200"/>
        <w:rPr>
          <w:rFonts w:hint="eastAsia" w:ascii="宋体" w:hAnsi="宋体"/>
          <w:sz w:val="21"/>
          <w:szCs w:val="21"/>
        </w:rPr>
      </w:pPr>
      <w:r>
        <w:rPr>
          <w:rFonts w:hint="eastAsia" w:ascii="宋体" w:hAnsi="宋体"/>
          <w:sz w:val="21"/>
          <w:szCs w:val="21"/>
        </w:rPr>
        <w:t>1.2 数量：</w:t>
      </w:r>
      <w:r>
        <w:rPr>
          <w:rFonts w:hint="eastAsia" w:ascii="宋体" w:hAnsi="宋体"/>
          <w:sz w:val="21"/>
          <w:szCs w:val="21"/>
          <w:u w:val="single"/>
        </w:rPr>
        <w:t xml:space="preserve">      （详见投标文件）</w:t>
      </w:r>
      <w:r>
        <w:rPr>
          <w:rFonts w:ascii="宋体" w:hAnsi="宋体"/>
          <w:sz w:val="21"/>
          <w:szCs w:val="21"/>
          <w:u w:val="single"/>
        </w:rPr>
        <w:t xml:space="preserve">     </w:t>
      </w:r>
      <w:r>
        <w:rPr>
          <w:rFonts w:hint="eastAsia" w:ascii="宋体" w:hAnsi="宋体"/>
          <w:sz w:val="21"/>
          <w:szCs w:val="21"/>
          <w:u w:val="single"/>
        </w:rPr>
        <w:t xml:space="preserve"> </w:t>
      </w:r>
    </w:p>
    <w:p w14:paraId="6B092FC8">
      <w:pPr>
        <w:tabs>
          <w:tab w:val="left" w:pos="5220"/>
        </w:tabs>
        <w:spacing w:line="360" w:lineRule="exact"/>
        <w:ind w:firstLine="420" w:firstLineChars="200"/>
        <w:rPr>
          <w:rFonts w:hint="eastAsia" w:ascii="宋体" w:hAnsi="宋体"/>
          <w:sz w:val="21"/>
          <w:szCs w:val="21"/>
        </w:rPr>
      </w:pPr>
      <w:r>
        <w:rPr>
          <w:rFonts w:hint="eastAsia" w:ascii="宋体" w:hAnsi="宋体"/>
          <w:sz w:val="21"/>
          <w:szCs w:val="21"/>
        </w:rPr>
        <w:t>1.3 技术参数：</w:t>
      </w:r>
      <w:r>
        <w:rPr>
          <w:rFonts w:hint="eastAsia" w:ascii="宋体" w:hAnsi="宋体"/>
          <w:sz w:val="21"/>
          <w:szCs w:val="21"/>
          <w:u w:val="single"/>
        </w:rPr>
        <w:t xml:space="preserve">     （详见投标文件）    </w:t>
      </w:r>
    </w:p>
    <w:p w14:paraId="7FA16832">
      <w:pPr>
        <w:spacing w:line="360" w:lineRule="exact"/>
        <w:ind w:firstLine="422" w:firstLineChars="200"/>
        <w:rPr>
          <w:rFonts w:hint="eastAsia" w:ascii="宋体" w:hAnsi="宋体"/>
          <w:b/>
          <w:bCs/>
          <w:sz w:val="21"/>
          <w:szCs w:val="21"/>
        </w:rPr>
      </w:pPr>
      <w:r>
        <w:rPr>
          <w:rFonts w:hint="eastAsia" w:ascii="宋体" w:hAnsi="宋体"/>
          <w:b/>
          <w:bCs/>
          <w:sz w:val="21"/>
          <w:szCs w:val="21"/>
        </w:rPr>
        <w:t>2.  合同金额</w:t>
      </w:r>
    </w:p>
    <w:p w14:paraId="048EDFEB">
      <w:pPr>
        <w:spacing w:line="360" w:lineRule="exact"/>
        <w:ind w:firstLine="420" w:firstLineChars="200"/>
        <w:rPr>
          <w:rFonts w:hint="eastAsia" w:ascii="宋体" w:hAnsi="宋体"/>
          <w:sz w:val="21"/>
          <w:szCs w:val="21"/>
          <w:u w:val="single"/>
        </w:rPr>
      </w:pPr>
      <w:r>
        <w:rPr>
          <w:rFonts w:hint="eastAsia" w:ascii="宋体" w:hAnsi="宋体"/>
          <w:sz w:val="21"/>
          <w:szCs w:val="21"/>
        </w:rPr>
        <w:t>2.1 本合同金额为（大写）人民币</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元）。（详见中标通知书）</w:t>
      </w:r>
    </w:p>
    <w:p w14:paraId="4A886B47">
      <w:pPr>
        <w:spacing w:line="360" w:lineRule="exact"/>
        <w:ind w:firstLine="422" w:firstLineChars="200"/>
        <w:rPr>
          <w:rFonts w:hint="eastAsia" w:ascii="宋体" w:hAnsi="宋体"/>
          <w:b/>
          <w:bCs/>
          <w:sz w:val="21"/>
          <w:szCs w:val="21"/>
        </w:rPr>
      </w:pPr>
      <w:r>
        <w:rPr>
          <w:rFonts w:hint="eastAsia" w:ascii="宋体" w:hAnsi="宋体"/>
          <w:b/>
          <w:bCs/>
          <w:sz w:val="21"/>
          <w:szCs w:val="21"/>
        </w:rPr>
        <w:t>3.  提交服务成果时间和地点</w:t>
      </w:r>
    </w:p>
    <w:p w14:paraId="3428D087">
      <w:pPr>
        <w:tabs>
          <w:tab w:val="left" w:pos="5250"/>
          <w:tab w:val="left" w:pos="5940"/>
        </w:tabs>
        <w:spacing w:line="360" w:lineRule="exact"/>
        <w:ind w:firstLine="420" w:firstLineChars="200"/>
        <w:rPr>
          <w:rFonts w:hint="eastAsia" w:ascii="宋体" w:hAnsi="宋体"/>
          <w:sz w:val="21"/>
          <w:szCs w:val="21"/>
          <w:u w:val="single"/>
        </w:rPr>
      </w:pPr>
      <w:r>
        <w:rPr>
          <w:rFonts w:hint="eastAsia" w:ascii="宋体" w:hAnsi="宋体"/>
          <w:bCs/>
          <w:sz w:val="21"/>
          <w:szCs w:val="21"/>
        </w:rPr>
        <w:t>3.1 提交服务成果时间：</w:t>
      </w:r>
      <w:r>
        <w:rPr>
          <w:rFonts w:hint="eastAsia" w:ascii="宋体" w:hAnsi="宋体"/>
          <w:sz w:val="21"/>
          <w:szCs w:val="21"/>
          <w:u w:val="single"/>
        </w:rPr>
        <w:t xml:space="preserve">                                                                                                                                           </w:t>
      </w:r>
    </w:p>
    <w:p w14:paraId="7CAF05F0">
      <w:pPr>
        <w:tabs>
          <w:tab w:val="left" w:pos="5940"/>
        </w:tabs>
        <w:spacing w:line="360" w:lineRule="exact"/>
        <w:ind w:firstLine="420" w:firstLineChars="200"/>
        <w:rPr>
          <w:rFonts w:hint="eastAsia" w:ascii="宋体" w:hAnsi="宋体"/>
          <w:b/>
          <w:bCs/>
          <w:sz w:val="21"/>
          <w:szCs w:val="21"/>
        </w:rPr>
      </w:pPr>
      <w:r>
        <w:rPr>
          <w:rFonts w:hint="eastAsia" w:ascii="宋体" w:hAnsi="宋体"/>
          <w:bCs/>
          <w:sz w:val="21"/>
          <w:szCs w:val="21"/>
        </w:rPr>
        <w:t>3.2 提交服务成果地点：</w:t>
      </w:r>
      <w:r>
        <w:rPr>
          <w:rFonts w:hint="eastAsia" w:ascii="宋体" w:hAnsi="宋体"/>
          <w:sz w:val="21"/>
          <w:szCs w:val="21"/>
          <w:u w:val="single"/>
        </w:rPr>
        <w:t xml:space="preserve">                                                             </w:t>
      </w:r>
    </w:p>
    <w:p w14:paraId="1866AFEE">
      <w:pPr>
        <w:tabs>
          <w:tab w:val="left" w:pos="5940"/>
        </w:tabs>
        <w:spacing w:line="360" w:lineRule="exact"/>
        <w:ind w:firstLine="420" w:firstLineChars="200"/>
        <w:rPr>
          <w:rFonts w:hint="eastAsia" w:ascii="宋体" w:hAnsi="宋体"/>
          <w:b/>
          <w:bCs/>
          <w:sz w:val="21"/>
          <w:szCs w:val="21"/>
        </w:rPr>
      </w:pPr>
      <w:r>
        <w:rPr>
          <w:rFonts w:hint="eastAsia" w:ascii="宋体" w:hAnsi="宋体"/>
          <w:bCs/>
          <w:sz w:val="21"/>
          <w:szCs w:val="21"/>
        </w:rPr>
        <w:t xml:space="preserve">3.3 </w:t>
      </w:r>
      <w:r>
        <w:rPr>
          <w:rFonts w:hint="eastAsia" w:ascii="宋体" w:hAnsi="宋体"/>
          <w:sz w:val="21"/>
          <w:szCs w:val="21"/>
        </w:rPr>
        <w:t>乙方必须按投标文件承诺的服务响应条款向甲方提供服务。</w:t>
      </w:r>
    </w:p>
    <w:p w14:paraId="10E85072">
      <w:pPr>
        <w:spacing w:line="360" w:lineRule="exact"/>
        <w:ind w:firstLine="422" w:firstLineChars="200"/>
        <w:rPr>
          <w:rFonts w:hint="eastAsia" w:ascii="宋体" w:hAnsi="宋体"/>
          <w:b/>
          <w:bCs/>
          <w:sz w:val="21"/>
          <w:szCs w:val="21"/>
        </w:rPr>
      </w:pPr>
      <w:r>
        <w:rPr>
          <w:rFonts w:hint="eastAsia" w:ascii="宋体" w:hAnsi="宋体"/>
          <w:b/>
          <w:bCs/>
          <w:sz w:val="21"/>
          <w:szCs w:val="21"/>
        </w:rPr>
        <w:t>4.  履约保证金</w:t>
      </w:r>
    </w:p>
    <w:p w14:paraId="28939ED7">
      <w:pPr>
        <w:tabs>
          <w:tab w:val="left" w:pos="5145"/>
        </w:tabs>
        <w:spacing w:line="360" w:lineRule="exact"/>
        <w:ind w:firstLine="420" w:firstLineChars="200"/>
        <w:rPr>
          <w:rFonts w:hint="eastAsia" w:ascii="宋体" w:hAnsi="宋体"/>
          <w:sz w:val="21"/>
          <w:szCs w:val="21"/>
          <w:u w:val="single"/>
        </w:rPr>
      </w:pPr>
      <w:r>
        <w:rPr>
          <w:rFonts w:hint="eastAsia" w:ascii="宋体" w:hAnsi="宋体"/>
          <w:sz w:val="21"/>
          <w:szCs w:val="21"/>
        </w:rPr>
        <w:t>4.1 乙方交纳（大写）人民币</w:t>
      </w:r>
      <w:r>
        <w:rPr>
          <w:rFonts w:hint="eastAsia" w:ascii="宋体" w:hAnsi="宋体"/>
          <w:sz w:val="21"/>
          <w:szCs w:val="21"/>
          <w:u w:val="single"/>
        </w:rPr>
        <w:t xml:space="preserve">    （</w:t>
      </w:r>
      <w:r>
        <w:rPr>
          <w:rFonts w:hint="eastAsia" w:ascii="宋体" w:hAnsi="宋体" w:cs="Arial"/>
          <w:color w:val="000000"/>
          <w:sz w:val="21"/>
          <w:szCs w:val="21"/>
          <w:u w:val="single"/>
        </w:rPr>
        <w:t xml:space="preserve">合同总金额的   </w:t>
      </w:r>
      <w:r>
        <w:rPr>
          <w:rFonts w:ascii="宋体" w:hAnsi="宋体"/>
          <w:sz w:val="21"/>
          <w:szCs w:val="21"/>
          <w:u w:val="single"/>
        </w:rPr>
        <w:t>%</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元）作为本合同的履约保证金。</w:t>
      </w:r>
    </w:p>
    <w:p w14:paraId="54423B49">
      <w:pPr>
        <w:spacing w:line="360" w:lineRule="exact"/>
        <w:ind w:firstLine="420" w:firstLineChars="200"/>
        <w:rPr>
          <w:rFonts w:hint="eastAsia" w:ascii="宋体" w:hAnsi="宋体"/>
          <w:sz w:val="21"/>
          <w:szCs w:val="21"/>
        </w:rPr>
      </w:pPr>
      <w:r>
        <w:rPr>
          <w:rFonts w:hint="eastAsia" w:ascii="宋体" w:hAnsi="宋体"/>
          <w:sz w:val="21"/>
          <w:szCs w:val="21"/>
        </w:rPr>
        <w:t>4.2 履约保证金作为违约金的一部分用于补偿甲方因乙方不能完成其合同义务而蒙受的损失。</w:t>
      </w:r>
    </w:p>
    <w:p w14:paraId="14BAAA53">
      <w:pPr>
        <w:spacing w:line="360" w:lineRule="exact"/>
        <w:ind w:firstLine="422" w:firstLineChars="200"/>
        <w:rPr>
          <w:rFonts w:hint="eastAsia" w:ascii="宋体" w:hAnsi="宋体"/>
          <w:b/>
          <w:bCs/>
          <w:sz w:val="21"/>
          <w:szCs w:val="21"/>
        </w:rPr>
      </w:pPr>
      <w:r>
        <w:rPr>
          <w:rFonts w:hint="eastAsia" w:ascii="宋体" w:hAnsi="宋体"/>
          <w:b/>
          <w:bCs/>
          <w:sz w:val="21"/>
          <w:szCs w:val="21"/>
        </w:rPr>
        <w:t>5.  产权</w:t>
      </w:r>
    </w:p>
    <w:p w14:paraId="4099B9F7">
      <w:pPr>
        <w:spacing w:line="360" w:lineRule="exact"/>
        <w:ind w:firstLine="420" w:firstLineChars="200"/>
        <w:rPr>
          <w:rFonts w:hint="eastAsia" w:ascii="宋体" w:hAnsi="宋体"/>
          <w:b/>
          <w:sz w:val="21"/>
          <w:szCs w:val="21"/>
        </w:rPr>
      </w:pPr>
      <w:r>
        <w:rPr>
          <w:rFonts w:hint="eastAsia" w:ascii="宋体" w:hAnsi="宋体"/>
          <w:sz w:val="21"/>
          <w:szCs w:val="21"/>
        </w:rPr>
        <w:t>5.1 乙方应保证所提供的服务或其任何一部分均不会侵犯任何第三方的专利权、商标权或著作权</w:t>
      </w:r>
      <w:r>
        <w:rPr>
          <w:rFonts w:hint="eastAsia" w:ascii="宋体" w:hAnsi="宋体"/>
          <w:bCs/>
          <w:sz w:val="21"/>
          <w:szCs w:val="21"/>
        </w:rPr>
        <w:t>。</w:t>
      </w:r>
    </w:p>
    <w:p w14:paraId="0467266D">
      <w:pPr>
        <w:spacing w:line="360" w:lineRule="exact"/>
        <w:ind w:firstLine="420" w:firstLineChars="200"/>
        <w:rPr>
          <w:rFonts w:hint="eastAsia" w:ascii="宋体" w:hAnsi="宋体"/>
          <w:b/>
          <w:sz w:val="21"/>
          <w:szCs w:val="21"/>
        </w:rPr>
      </w:pPr>
      <w:r>
        <w:rPr>
          <w:rFonts w:hint="eastAsia" w:ascii="宋体" w:hAnsi="宋体"/>
          <w:sz w:val="21"/>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14:paraId="72F2E98C">
      <w:pPr>
        <w:spacing w:line="360" w:lineRule="exact"/>
        <w:ind w:firstLine="422" w:firstLineChars="200"/>
        <w:rPr>
          <w:rFonts w:hint="eastAsia" w:ascii="宋体" w:hAnsi="宋体"/>
          <w:b/>
          <w:bCs/>
          <w:sz w:val="21"/>
          <w:szCs w:val="21"/>
        </w:rPr>
      </w:pPr>
      <w:r>
        <w:rPr>
          <w:rFonts w:hint="eastAsia" w:ascii="宋体" w:hAnsi="宋体"/>
          <w:b/>
          <w:bCs/>
          <w:sz w:val="21"/>
          <w:szCs w:val="21"/>
        </w:rPr>
        <w:t>6.  技术资料</w:t>
      </w:r>
    </w:p>
    <w:p w14:paraId="0787B195">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6.1 甲方应向乙方提供提交服务成果所必需的有关数据、资料等。</w:t>
      </w:r>
    </w:p>
    <w:p w14:paraId="314DA411">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BCFAF99">
      <w:pPr>
        <w:spacing w:line="360" w:lineRule="exact"/>
        <w:ind w:firstLine="422" w:firstLineChars="200"/>
        <w:rPr>
          <w:rFonts w:hint="eastAsia" w:ascii="宋体" w:hAnsi="宋体"/>
          <w:b/>
          <w:bCs/>
          <w:sz w:val="21"/>
          <w:szCs w:val="21"/>
        </w:rPr>
      </w:pPr>
      <w:r>
        <w:rPr>
          <w:rFonts w:hint="eastAsia" w:ascii="宋体" w:hAnsi="宋体"/>
          <w:b/>
          <w:bCs/>
          <w:sz w:val="21"/>
          <w:szCs w:val="21"/>
        </w:rPr>
        <w:t>7.  验收</w:t>
      </w:r>
    </w:p>
    <w:p w14:paraId="6DFF72DF">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7.1 乙方应对提交的服务成果作出全面检查和整理，并列出清单，作为甲方验收和使用的技术条件依据，清单应随提交的服务成果交给甲方。</w:t>
      </w:r>
    </w:p>
    <w:p w14:paraId="2C198221">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7.2 乙方在指定地点提交服务成果后，甲方应在五个工作日内依据招标文件、乙方的投标文件等组织验收，验收完毕后作出书面验收报告。验收时乙方必须在现场。</w:t>
      </w:r>
    </w:p>
    <w:p w14:paraId="10898ECB">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7.3 对复杂的服务，甲方可请国家认可的专业机构参与验收，并由其出具验收报告，相关费用由甲方承担。</w:t>
      </w:r>
    </w:p>
    <w:p w14:paraId="046D1FF8">
      <w:pPr>
        <w:spacing w:line="360" w:lineRule="exact"/>
        <w:ind w:firstLine="422" w:firstLineChars="200"/>
        <w:rPr>
          <w:rFonts w:hint="eastAsia" w:ascii="宋体" w:hAnsi="宋体"/>
          <w:b/>
          <w:bCs/>
          <w:sz w:val="21"/>
          <w:szCs w:val="21"/>
        </w:rPr>
      </w:pPr>
      <w:r>
        <w:rPr>
          <w:rFonts w:hint="eastAsia" w:ascii="宋体" w:hAnsi="宋体"/>
          <w:b/>
          <w:bCs/>
          <w:sz w:val="21"/>
          <w:szCs w:val="21"/>
        </w:rPr>
        <w:t>8.  合同款支付</w:t>
      </w:r>
    </w:p>
    <w:p w14:paraId="66D42907">
      <w:pPr>
        <w:tabs>
          <w:tab w:val="left" w:pos="5145"/>
          <w:tab w:val="left" w:pos="5355"/>
          <w:tab w:val="left" w:pos="6195"/>
        </w:tabs>
        <w:spacing w:line="360" w:lineRule="exact"/>
        <w:ind w:firstLine="420" w:firstLineChars="200"/>
        <w:rPr>
          <w:rFonts w:hint="eastAsia" w:ascii="宋体" w:hAnsi="宋体"/>
          <w:bCs/>
          <w:sz w:val="21"/>
          <w:szCs w:val="21"/>
          <w:u w:val="single"/>
        </w:rPr>
      </w:pPr>
      <w:r>
        <w:rPr>
          <w:rFonts w:hint="eastAsia" w:ascii="宋体" w:hAnsi="宋体"/>
          <w:bCs/>
          <w:sz w:val="21"/>
          <w:szCs w:val="21"/>
        </w:rPr>
        <w:t>8.1 付款方式：</w:t>
      </w:r>
      <w:r>
        <w:rPr>
          <w:rFonts w:hint="eastAsia" w:ascii="宋体" w:hAnsi="宋体"/>
          <w:bCs/>
          <w:sz w:val="21"/>
          <w:szCs w:val="21"/>
          <w:u w:val="single"/>
        </w:rPr>
        <w:t xml:space="preserve">                                                                                                                                                         </w:t>
      </w:r>
    </w:p>
    <w:p w14:paraId="51A7B703">
      <w:pPr>
        <w:tabs>
          <w:tab w:val="left" w:pos="5145"/>
          <w:tab w:val="left" w:pos="5355"/>
          <w:tab w:val="left" w:pos="6195"/>
        </w:tabs>
        <w:spacing w:line="360" w:lineRule="exact"/>
        <w:ind w:firstLine="420" w:firstLineChars="200"/>
        <w:rPr>
          <w:rFonts w:hint="eastAsia" w:ascii="宋体" w:hAnsi="宋体"/>
          <w:bCs/>
          <w:sz w:val="21"/>
          <w:szCs w:val="21"/>
          <w:u w:val="single"/>
        </w:rPr>
      </w:pPr>
      <w:r>
        <w:rPr>
          <w:rFonts w:hint="eastAsia" w:ascii="宋体" w:hAnsi="宋体"/>
          <w:sz w:val="21"/>
          <w:szCs w:val="21"/>
        </w:rPr>
        <w:t>8.2 政府采购监督管理部门在处理投诉事项期间，可以视具体情况书面通知采购人暂停采购活动</w:t>
      </w:r>
      <w:r>
        <w:rPr>
          <w:rFonts w:hint="eastAsia" w:ascii="宋体" w:hAnsi="宋体"/>
          <w:bCs/>
          <w:sz w:val="21"/>
          <w:szCs w:val="21"/>
        </w:rPr>
        <w:t>，并延期支付合同款。</w:t>
      </w:r>
    </w:p>
    <w:p w14:paraId="12C9621D">
      <w:pPr>
        <w:spacing w:line="360" w:lineRule="exact"/>
        <w:ind w:firstLine="422" w:firstLineChars="200"/>
        <w:rPr>
          <w:rFonts w:hint="eastAsia" w:ascii="宋体" w:hAnsi="宋体"/>
          <w:b/>
          <w:bCs/>
          <w:sz w:val="21"/>
          <w:szCs w:val="21"/>
        </w:rPr>
      </w:pPr>
      <w:r>
        <w:rPr>
          <w:rFonts w:hint="eastAsia" w:ascii="宋体" w:hAnsi="宋体"/>
          <w:b/>
          <w:bCs/>
          <w:sz w:val="21"/>
          <w:szCs w:val="21"/>
        </w:rPr>
        <w:t>9.  售后服务要求</w:t>
      </w:r>
    </w:p>
    <w:p w14:paraId="7DD3D046">
      <w:pPr>
        <w:spacing w:line="360" w:lineRule="exact"/>
        <w:ind w:firstLine="420" w:firstLineChars="200"/>
        <w:rPr>
          <w:rFonts w:hint="eastAsia" w:ascii="宋体" w:hAnsi="宋体"/>
          <w:sz w:val="21"/>
          <w:szCs w:val="21"/>
          <w:u w:val="single"/>
        </w:rPr>
      </w:pPr>
      <w:r>
        <w:rPr>
          <w:rFonts w:hint="eastAsia" w:ascii="宋体" w:hAnsi="宋体"/>
          <w:sz w:val="21"/>
          <w:szCs w:val="21"/>
        </w:rPr>
        <w:t>9.1 乙方提供服务的质量保证期为：</w:t>
      </w:r>
      <w:r>
        <w:rPr>
          <w:rFonts w:hint="eastAsia" w:ascii="宋体" w:hAnsi="宋体"/>
          <w:sz w:val="21"/>
          <w:szCs w:val="21"/>
          <w:u w:val="single"/>
        </w:rPr>
        <w:t>　　　                                               　</w:t>
      </w:r>
    </w:p>
    <w:p w14:paraId="613319FE">
      <w:pPr>
        <w:spacing w:line="360" w:lineRule="exact"/>
        <w:ind w:firstLine="420" w:firstLineChars="200"/>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rPr>
        <w:t>（自提交服务验收合格之日起计）</w:t>
      </w:r>
    </w:p>
    <w:p w14:paraId="30BC5024">
      <w:pPr>
        <w:spacing w:line="360" w:lineRule="exact"/>
        <w:ind w:firstLine="420" w:firstLineChars="200"/>
        <w:rPr>
          <w:rFonts w:hint="eastAsia" w:ascii="宋体" w:hAnsi="宋体"/>
          <w:sz w:val="21"/>
          <w:szCs w:val="21"/>
        </w:rPr>
      </w:pPr>
      <w:r>
        <w:rPr>
          <w:rFonts w:hint="eastAsia" w:ascii="宋体" w:hAnsi="宋体"/>
          <w:sz w:val="21"/>
          <w:szCs w:val="21"/>
        </w:rPr>
        <w:t>9.2 质量保证金为（大写）人民币</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元）。（履约保证金在中标供应商按合同约定所提交的服务验收合格后自行转为质保金。）</w:t>
      </w:r>
    </w:p>
    <w:p w14:paraId="3BD0834A">
      <w:pPr>
        <w:spacing w:line="360" w:lineRule="exact"/>
        <w:ind w:firstLine="420" w:firstLineChars="200"/>
        <w:rPr>
          <w:rFonts w:hint="eastAsia" w:ascii="宋体" w:hAnsi="宋体"/>
          <w:sz w:val="21"/>
          <w:szCs w:val="21"/>
        </w:rPr>
      </w:pPr>
      <w:r>
        <w:rPr>
          <w:rFonts w:hint="eastAsia" w:ascii="宋体" w:hAnsi="宋体"/>
          <w:sz w:val="21"/>
          <w:szCs w:val="21"/>
        </w:rPr>
        <w:t>9.3履约保证金自乙方按合同约定服务验收合格之日起转为质量保证金。在质保期内乙方提供的服务符合合同约定，经验收合格，质保期满后五个工作日内以转账或电汇方式无息退还乙方。</w:t>
      </w:r>
    </w:p>
    <w:p w14:paraId="2D139C82">
      <w:pPr>
        <w:spacing w:line="360" w:lineRule="exact"/>
        <w:ind w:firstLine="420" w:firstLineChars="200"/>
        <w:rPr>
          <w:rFonts w:hint="eastAsia" w:ascii="宋体" w:hAnsi="宋体"/>
          <w:sz w:val="21"/>
          <w:szCs w:val="21"/>
        </w:rPr>
      </w:pPr>
      <w:r>
        <w:rPr>
          <w:rFonts w:hint="eastAsia" w:ascii="宋体" w:hAnsi="宋体"/>
          <w:sz w:val="21"/>
          <w:szCs w:val="21"/>
        </w:rPr>
        <w:t>9.4 在本合同第9.1项约定的质量保证期内，乙方应对服务出现的问题负责处理解决并承担一切费用。</w:t>
      </w:r>
    </w:p>
    <w:p w14:paraId="11001B89">
      <w:pPr>
        <w:tabs>
          <w:tab w:val="left" w:pos="5250"/>
        </w:tabs>
        <w:spacing w:line="360" w:lineRule="exact"/>
        <w:ind w:firstLine="420" w:firstLineChars="200"/>
        <w:rPr>
          <w:rFonts w:hint="eastAsia" w:ascii="宋体" w:hAnsi="宋体"/>
          <w:sz w:val="21"/>
          <w:szCs w:val="21"/>
          <w:u w:val="single"/>
        </w:rPr>
      </w:pPr>
      <w:r>
        <w:rPr>
          <w:rFonts w:hint="eastAsia" w:ascii="宋体" w:hAnsi="宋体"/>
          <w:sz w:val="21"/>
          <w:szCs w:val="21"/>
        </w:rPr>
        <w:t>9.5 其他售后服务要求：</w:t>
      </w:r>
      <w:r>
        <w:rPr>
          <w:rFonts w:hint="eastAsia" w:ascii="宋体" w:hAnsi="宋体"/>
          <w:sz w:val="21"/>
          <w:szCs w:val="21"/>
          <w:u w:val="single"/>
        </w:rPr>
        <w:t xml:space="preserve">                                                                 </w:t>
      </w:r>
    </w:p>
    <w:p w14:paraId="701AC0F4">
      <w:pPr>
        <w:spacing w:line="360" w:lineRule="exact"/>
        <w:ind w:firstLine="422" w:firstLineChars="200"/>
        <w:rPr>
          <w:rFonts w:hint="eastAsia" w:ascii="宋体" w:hAnsi="宋体"/>
          <w:b/>
          <w:bCs/>
          <w:sz w:val="21"/>
          <w:szCs w:val="21"/>
        </w:rPr>
      </w:pPr>
      <w:r>
        <w:rPr>
          <w:rFonts w:hint="eastAsia" w:ascii="宋体" w:hAnsi="宋体"/>
          <w:b/>
          <w:bCs/>
          <w:sz w:val="21"/>
          <w:szCs w:val="21"/>
        </w:rPr>
        <w:t>10.  违约责任</w:t>
      </w:r>
    </w:p>
    <w:p w14:paraId="6BEC50F6">
      <w:pPr>
        <w:spacing w:line="360" w:lineRule="exact"/>
        <w:ind w:firstLine="420" w:firstLineChars="200"/>
        <w:rPr>
          <w:rFonts w:hint="eastAsia" w:ascii="宋体" w:hAnsi="宋体"/>
          <w:sz w:val="21"/>
          <w:szCs w:val="21"/>
        </w:rPr>
      </w:pPr>
      <w:r>
        <w:rPr>
          <w:rFonts w:hint="eastAsia" w:ascii="宋体" w:hAnsi="宋体"/>
          <w:sz w:val="21"/>
          <w:szCs w:val="21"/>
        </w:rPr>
        <w:t>10.1 甲方无正当理由拒收服务的，甲方向乙方偿付拒收服务费总值的百分之五违约金。</w:t>
      </w:r>
    </w:p>
    <w:p w14:paraId="09EAED45">
      <w:pPr>
        <w:spacing w:line="360" w:lineRule="exact"/>
        <w:ind w:firstLine="420" w:firstLineChars="200"/>
        <w:rPr>
          <w:rFonts w:hint="eastAsia" w:ascii="宋体" w:hAnsi="宋体"/>
          <w:sz w:val="21"/>
          <w:szCs w:val="21"/>
        </w:rPr>
      </w:pPr>
      <w:r>
        <w:rPr>
          <w:rFonts w:hint="eastAsia" w:ascii="宋体" w:hAnsi="宋体"/>
          <w:sz w:val="21"/>
          <w:szCs w:val="21"/>
        </w:rPr>
        <w:t>10.2 甲方无故逾期验收或办理合同款支付手续的，甲方应按逾期付款总额每日万分之五向乙方支付违约金。</w:t>
      </w:r>
    </w:p>
    <w:p w14:paraId="66201A90">
      <w:pPr>
        <w:spacing w:line="360" w:lineRule="exact"/>
        <w:ind w:firstLine="420" w:firstLineChars="200"/>
        <w:rPr>
          <w:rFonts w:hint="eastAsia" w:ascii="宋体" w:hAnsi="宋体"/>
          <w:sz w:val="21"/>
          <w:szCs w:val="21"/>
        </w:rPr>
      </w:pPr>
      <w:r>
        <w:rPr>
          <w:rFonts w:hint="eastAsia" w:ascii="宋体" w:hAnsi="宋体"/>
          <w:sz w:val="21"/>
          <w:szCs w:val="21"/>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乙方人员每月实际到位情况不能低于总人数的10%，且该情况不可以连续出现两个月及以上，乙方违反该条款需向甲方支付合同总值百分之十的违约金，甲方并有权单方终止合同。</w:t>
      </w:r>
    </w:p>
    <w:p w14:paraId="37758FA8">
      <w:pPr>
        <w:spacing w:line="360" w:lineRule="exact"/>
        <w:ind w:firstLine="422" w:firstLineChars="200"/>
        <w:rPr>
          <w:rFonts w:hint="eastAsia" w:ascii="宋体" w:hAnsi="宋体"/>
          <w:b/>
          <w:bCs/>
          <w:sz w:val="21"/>
          <w:szCs w:val="21"/>
        </w:rPr>
      </w:pPr>
      <w:r>
        <w:rPr>
          <w:rFonts w:hint="eastAsia" w:ascii="宋体" w:hAnsi="宋体"/>
          <w:b/>
          <w:bCs/>
          <w:sz w:val="21"/>
          <w:szCs w:val="21"/>
        </w:rPr>
        <w:t>11.  不可抗力事件处理</w:t>
      </w:r>
    </w:p>
    <w:p w14:paraId="0AB1EAC1">
      <w:pPr>
        <w:spacing w:line="360" w:lineRule="exact"/>
        <w:ind w:firstLine="420" w:firstLineChars="200"/>
        <w:rPr>
          <w:rFonts w:hint="eastAsia" w:ascii="宋体" w:hAnsi="宋体"/>
          <w:sz w:val="21"/>
          <w:szCs w:val="21"/>
        </w:rPr>
      </w:pPr>
      <w:r>
        <w:rPr>
          <w:rFonts w:hint="eastAsia" w:ascii="宋体" w:hAnsi="宋体"/>
          <w:sz w:val="21"/>
          <w:szCs w:val="21"/>
        </w:rPr>
        <w:t>11.1 在合同有效期内，任何一方因不可抗力事件导致不能履行合同，则合同履行期可延长，其延长期与不可抗力影响期相同。</w:t>
      </w:r>
    </w:p>
    <w:p w14:paraId="35953318">
      <w:pPr>
        <w:spacing w:line="360" w:lineRule="exact"/>
        <w:ind w:firstLine="420" w:firstLineChars="200"/>
        <w:rPr>
          <w:rFonts w:hint="eastAsia" w:ascii="宋体" w:hAnsi="宋体"/>
          <w:sz w:val="21"/>
          <w:szCs w:val="21"/>
        </w:rPr>
      </w:pPr>
      <w:r>
        <w:rPr>
          <w:rFonts w:hint="eastAsia" w:ascii="宋体" w:hAnsi="宋体"/>
          <w:sz w:val="21"/>
          <w:szCs w:val="21"/>
        </w:rPr>
        <w:t>11.2 不可抗力事件发生后，应立即通知对方，并寄送有关权威机构出具的证明。</w:t>
      </w:r>
    </w:p>
    <w:p w14:paraId="00F1E6F9">
      <w:pPr>
        <w:spacing w:line="360" w:lineRule="exact"/>
        <w:ind w:firstLine="420" w:firstLineChars="200"/>
        <w:rPr>
          <w:rFonts w:hint="eastAsia" w:ascii="宋体" w:hAnsi="宋体"/>
          <w:sz w:val="21"/>
          <w:szCs w:val="21"/>
        </w:rPr>
      </w:pPr>
      <w:r>
        <w:rPr>
          <w:rFonts w:hint="eastAsia" w:ascii="宋体" w:hAnsi="宋体"/>
          <w:sz w:val="21"/>
          <w:szCs w:val="21"/>
        </w:rPr>
        <w:t>11.3 不可抗力事件延续120天以上，双方应通过友好协商，确定是否继续履行合同。</w:t>
      </w:r>
    </w:p>
    <w:p w14:paraId="6F6C0406">
      <w:pPr>
        <w:spacing w:line="360" w:lineRule="exact"/>
        <w:ind w:firstLine="422" w:firstLineChars="200"/>
        <w:rPr>
          <w:rFonts w:hint="eastAsia" w:ascii="宋体" w:hAnsi="宋体"/>
          <w:b/>
          <w:bCs/>
          <w:sz w:val="21"/>
          <w:szCs w:val="21"/>
        </w:rPr>
      </w:pPr>
      <w:r>
        <w:rPr>
          <w:rFonts w:hint="eastAsia" w:ascii="宋体" w:hAnsi="宋体"/>
          <w:b/>
          <w:bCs/>
          <w:sz w:val="21"/>
          <w:szCs w:val="21"/>
        </w:rPr>
        <w:t>12.  诉讼</w:t>
      </w:r>
    </w:p>
    <w:p w14:paraId="4616B81F">
      <w:pPr>
        <w:tabs>
          <w:tab w:val="left" w:pos="0"/>
        </w:tabs>
        <w:spacing w:line="360" w:lineRule="exact"/>
        <w:ind w:firstLine="420" w:firstLineChars="200"/>
        <w:rPr>
          <w:rFonts w:hint="eastAsia" w:ascii="宋体" w:hAnsi="宋体"/>
          <w:sz w:val="21"/>
          <w:szCs w:val="21"/>
        </w:rPr>
      </w:pPr>
      <w:r>
        <w:rPr>
          <w:rFonts w:hint="eastAsia" w:ascii="宋体" w:hAnsi="宋体"/>
          <w:sz w:val="21"/>
          <w:szCs w:val="21"/>
        </w:rPr>
        <w:t>12.1 双方在执行合同中所发生的一切争议，应通过协商解决。如协商不成，可向合同签订地法院起诉，合同签订地在此约定为浙江省宁波市。</w:t>
      </w:r>
    </w:p>
    <w:p w14:paraId="0112B03C">
      <w:pPr>
        <w:spacing w:line="360" w:lineRule="exact"/>
        <w:ind w:firstLine="422" w:firstLineChars="200"/>
        <w:rPr>
          <w:rFonts w:hint="eastAsia" w:ascii="宋体" w:hAnsi="宋体"/>
          <w:b/>
          <w:bCs/>
          <w:sz w:val="21"/>
          <w:szCs w:val="21"/>
        </w:rPr>
      </w:pPr>
      <w:r>
        <w:rPr>
          <w:rFonts w:hint="eastAsia" w:ascii="宋体" w:hAnsi="宋体"/>
          <w:b/>
          <w:bCs/>
          <w:sz w:val="21"/>
          <w:szCs w:val="21"/>
        </w:rPr>
        <w:t>13.  合同生效及其它</w:t>
      </w:r>
    </w:p>
    <w:p w14:paraId="24FBAE18">
      <w:pPr>
        <w:spacing w:line="360" w:lineRule="exact"/>
        <w:ind w:firstLine="420" w:firstLineChars="200"/>
        <w:rPr>
          <w:rFonts w:hint="eastAsia" w:ascii="宋体" w:hAnsi="宋体"/>
          <w:sz w:val="21"/>
          <w:szCs w:val="21"/>
        </w:rPr>
      </w:pPr>
      <w:r>
        <w:rPr>
          <w:rFonts w:hint="eastAsia" w:ascii="宋体" w:hAnsi="宋体"/>
          <w:sz w:val="21"/>
          <w:szCs w:val="21"/>
        </w:rPr>
        <w:t>13.1 合同经双方法定代表人或授权委托代理人签字并加盖单位公章后生效。</w:t>
      </w:r>
    </w:p>
    <w:p w14:paraId="51389C1A">
      <w:pPr>
        <w:spacing w:line="360" w:lineRule="exact"/>
        <w:ind w:firstLine="420" w:firstLineChars="200"/>
        <w:rPr>
          <w:rFonts w:hint="eastAsia" w:ascii="宋体" w:hAnsi="宋体"/>
          <w:sz w:val="21"/>
          <w:szCs w:val="21"/>
        </w:rPr>
      </w:pPr>
      <w:r>
        <w:rPr>
          <w:rFonts w:hint="eastAsia" w:ascii="宋体" w:hAnsi="宋体"/>
          <w:sz w:val="21"/>
          <w:szCs w:val="21"/>
        </w:rPr>
        <w:t>13.2 合同执行中涉及采购资金和采购内容修改或补充的，须经主管部门审批，并签书面补充协议报宁海县政府采购监督管理部门备案，方可作为主合同不可分割的一部分。</w:t>
      </w:r>
    </w:p>
    <w:p w14:paraId="2E9F7512">
      <w:pPr>
        <w:spacing w:line="360" w:lineRule="exact"/>
        <w:ind w:firstLine="420" w:firstLineChars="200"/>
        <w:rPr>
          <w:rFonts w:hint="eastAsia" w:ascii="宋体" w:hAnsi="宋体"/>
          <w:sz w:val="21"/>
          <w:szCs w:val="21"/>
        </w:rPr>
      </w:pPr>
      <w:r>
        <w:rPr>
          <w:rFonts w:hint="eastAsia" w:ascii="宋体" w:hAnsi="宋体"/>
          <w:sz w:val="21"/>
          <w:szCs w:val="21"/>
        </w:rPr>
        <w:t>13.3 下述合同附件为本合同不可分割的部分并与本合同具有同等效力：</w:t>
      </w:r>
    </w:p>
    <w:p w14:paraId="167C369E">
      <w:pPr>
        <w:spacing w:line="360" w:lineRule="exact"/>
        <w:ind w:firstLine="420" w:firstLineChars="200"/>
        <w:rPr>
          <w:rFonts w:hint="eastAsia" w:ascii="宋体" w:hAnsi="宋体"/>
          <w:sz w:val="21"/>
          <w:szCs w:val="21"/>
        </w:rPr>
      </w:pPr>
      <w:r>
        <w:rPr>
          <w:rFonts w:hint="eastAsia" w:ascii="宋体" w:hAnsi="宋体"/>
          <w:sz w:val="21"/>
          <w:szCs w:val="21"/>
        </w:rPr>
        <w:t>（1）中标通知书</w:t>
      </w:r>
    </w:p>
    <w:p w14:paraId="007A226A">
      <w:pPr>
        <w:spacing w:line="360" w:lineRule="exact"/>
        <w:ind w:firstLine="420" w:firstLineChars="200"/>
        <w:rPr>
          <w:rFonts w:hint="eastAsia" w:ascii="宋体" w:hAnsi="宋体"/>
          <w:sz w:val="21"/>
          <w:szCs w:val="21"/>
        </w:rPr>
      </w:pPr>
      <w:r>
        <w:rPr>
          <w:rFonts w:hint="eastAsia" w:ascii="宋体" w:hAnsi="宋体"/>
          <w:sz w:val="21"/>
          <w:szCs w:val="21"/>
        </w:rPr>
        <w:t xml:space="preserve">（2）招标文件 </w:t>
      </w:r>
    </w:p>
    <w:p w14:paraId="11C202CD">
      <w:pPr>
        <w:spacing w:line="360" w:lineRule="exact"/>
        <w:ind w:firstLine="420" w:firstLineChars="200"/>
        <w:rPr>
          <w:rFonts w:hint="eastAsia" w:ascii="宋体" w:hAnsi="宋体"/>
          <w:sz w:val="21"/>
          <w:szCs w:val="21"/>
        </w:rPr>
      </w:pPr>
      <w:r>
        <w:rPr>
          <w:rFonts w:hint="eastAsia" w:ascii="宋体" w:hAnsi="宋体"/>
          <w:sz w:val="21"/>
          <w:szCs w:val="21"/>
        </w:rPr>
        <w:t>（3）招标文件的澄清和修改（如有请提供）</w:t>
      </w:r>
    </w:p>
    <w:p w14:paraId="102F92A6">
      <w:pPr>
        <w:spacing w:line="360" w:lineRule="exact"/>
        <w:ind w:firstLine="420" w:firstLineChars="200"/>
        <w:rPr>
          <w:rFonts w:hint="eastAsia" w:ascii="宋体" w:hAnsi="宋体"/>
          <w:sz w:val="21"/>
          <w:szCs w:val="21"/>
        </w:rPr>
      </w:pPr>
      <w:r>
        <w:rPr>
          <w:rFonts w:hint="eastAsia" w:ascii="宋体" w:hAnsi="宋体"/>
          <w:sz w:val="21"/>
          <w:szCs w:val="21"/>
        </w:rPr>
        <w:t xml:space="preserve">（4）投标文件 </w:t>
      </w:r>
    </w:p>
    <w:p w14:paraId="6311DE25">
      <w:pPr>
        <w:spacing w:line="360" w:lineRule="exact"/>
        <w:ind w:firstLine="420" w:firstLineChars="200"/>
        <w:rPr>
          <w:rFonts w:hint="eastAsia" w:ascii="宋体" w:hAnsi="宋体"/>
          <w:sz w:val="21"/>
          <w:szCs w:val="21"/>
        </w:rPr>
      </w:pPr>
      <w:r>
        <w:rPr>
          <w:rFonts w:hint="eastAsia" w:ascii="宋体" w:hAnsi="宋体"/>
          <w:sz w:val="21"/>
          <w:szCs w:val="21"/>
        </w:rPr>
        <w:t>（5）中标供应商澄清函（如有请提供）</w:t>
      </w:r>
    </w:p>
    <w:p w14:paraId="32C7A037">
      <w:pPr>
        <w:spacing w:line="360" w:lineRule="exact"/>
        <w:ind w:firstLine="420" w:firstLineChars="200"/>
        <w:rPr>
          <w:rFonts w:hint="eastAsia" w:ascii="宋体" w:hAnsi="宋体"/>
          <w:sz w:val="21"/>
          <w:szCs w:val="21"/>
        </w:rPr>
      </w:pPr>
      <w:r>
        <w:rPr>
          <w:rFonts w:hint="eastAsia" w:ascii="宋体" w:hAnsi="宋体"/>
          <w:sz w:val="21"/>
          <w:szCs w:val="21"/>
        </w:rPr>
        <w:t>（6）履约保证金交纳证明</w:t>
      </w:r>
    </w:p>
    <w:p w14:paraId="1EFE259E">
      <w:pPr>
        <w:spacing w:line="360" w:lineRule="exact"/>
        <w:ind w:firstLine="420" w:firstLineChars="200"/>
        <w:rPr>
          <w:rFonts w:hint="eastAsia" w:ascii="宋体" w:hAnsi="宋体"/>
          <w:sz w:val="21"/>
          <w:szCs w:val="21"/>
        </w:rPr>
      </w:pPr>
      <w:r>
        <w:rPr>
          <w:rFonts w:hint="eastAsia" w:ascii="宋体" w:hAnsi="宋体"/>
          <w:sz w:val="21"/>
          <w:szCs w:val="21"/>
        </w:rPr>
        <w:t>（7）其他与本合同相关的资料（如有请提供）</w:t>
      </w:r>
    </w:p>
    <w:p w14:paraId="5BCE4964">
      <w:pPr>
        <w:spacing w:line="360" w:lineRule="exact"/>
        <w:ind w:firstLine="420" w:firstLineChars="200"/>
        <w:rPr>
          <w:rFonts w:hint="eastAsia" w:ascii="宋体" w:hAnsi="宋体"/>
          <w:sz w:val="21"/>
          <w:szCs w:val="21"/>
        </w:rPr>
      </w:pPr>
      <w:r>
        <w:rPr>
          <w:rFonts w:hint="eastAsia" w:ascii="宋体" w:hAnsi="宋体"/>
          <w:sz w:val="21"/>
          <w:szCs w:val="21"/>
        </w:rPr>
        <w:t>13.4 本合同未尽事宜，遵照《中华人民共和国</w:t>
      </w:r>
      <w:r>
        <w:rPr>
          <w:rFonts w:hint="eastAsia" w:ascii="宋体" w:hAnsi="宋体"/>
          <w:sz w:val="21"/>
          <w:szCs w:val="21"/>
          <w:lang w:eastAsia="zh-CN"/>
        </w:rPr>
        <w:t>民法典</w:t>
      </w:r>
      <w:r>
        <w:rPr>
          <w:rFonts w:hint="eastAsia" w:ascii="宋体" w:hAnsi="宋体"/>
          <w:sz w:val="21"/>
          <w:szCs w:val="21"/>
        </w:rPr>
        <w:t>》有关条文执行。</w:t>
      </w:r>
    </w:p>
    <w:p w14:paraId="128AB0D1">
      <w:pPr>
        <w:spacing w:line="360" w:lineRule="exact"/>
        <w:ind w:firstLine="420" w:firstLineChars="200"/>
        <w:rPr>
          <w:rFonts w:hint="eastAsia" w:ascii="宋体" w:hAnsi="宋体" w:eastAsiaTheme="minorEastAsia"/>
          <w:sz w:val="21"/>
          <w:szCs w:val="21"/>
          <w:lang w:eastAsia="zh-CN"/>
        </w:rPr>
      </w:pPr>
      <w:r>
        <w:rPr>
          <w:rFonts w:hint="eastAsia" w:ascii="宋体" w:hAnsi="宋体"/>
          <w:sz w:val="21"/>
          <w:szCs w:val="21"/>
        </w:rPr>
        <w:t>13.5</w:t>
      </w:r>
      <w:r>
        <w:rPr>
          <w:rFonts w:hint="eastAsia" w:ascii="宋体" w:hAnsi="宋体"/>
          <w:sz w:val="21"/>
          <w:szCs w:val="21"/>
          <w:lang w:val="en-US" w:eastAsia="zh-CN"/>
        </w:rPr>
        <w:t xml:space="preserve"> </w:t>
      </w:r>
      <w:r>
        <w:rPr>
          <w:rFonts w:hint="eastAsia" w:ascii="宋体" w:hAnsi="宋体"/>
          <w:sz w:val="21"/>
          <w:szCs w:val="21"/>
        </w:rPr>
        <w:t>本合同正本一式</w:t>
      </w:r>
      <w:r>
        <w:rPr>
          <w:rFonts w:hint="eastAsia" w:ascii="宋体" w:hAnsi="宋体"/>
          <w:sz w:val="21"/>
          <w:szCs w:val="21"/>
          <w:lang w:eastAsia="zh-CN"/>
        </w:rPr>
        <w:t>六</w:t>
      </w:r>
      <w:r>
        <w:rPr>
          <w:rFonts w:hint="eastAsia" w:ascii="宋体" w:hAnsi="宋体"/>
          <w:sz w:val="21"/>
          <w:szCs w:val="21"/>
        </w:rPr>
        <w:t>份，具有同等法律效力，甲乙双方各执</w:t>
      </w:r>
      <w:r>
        <w:rPr>
          <w:rFonts w:hint="eastAsia" w:ascii="宋体" w:hAnsi="宋体"/>
          <w:sz w:val="21"/>
          <w:szCs w:val="21"/>
          <w:lang w:eastAsia="zh-CN"/>
        </w:rPr>
        <w:t>两</w:t>
      </w:r>
      <w:r>
        <w:rPr>
          <w:rFonts w:hint="eastAsia" w:ascii="宋体" w:hAnsi="宋体"/>
          <w:sz w:val="21"/>
          <w:szCs w:val="21"/>
        </w:rPr>
        <w:t>份</w:t>
      </w:r>
      <w:r>
        <w:rPr>
          <w:rFonts w:hint="eastAsia" w:ascii="宋体" w:hAnsi="宋体"/>
          <w:sz w:val="21"/>
          <w:szCs w:val="21"/>
          <w:lang w:eastAsia="zh-CN"/>
        </w:rPr>
        <w:t>，</w:t>
      </w:r>
      <w:r>
        <w:rPr>
          <w:rFonts w:asciiTheme="minorEastAsia" w:hAnsiTheme="minorEastAsia" w:eastAsiaTheme="minorEastAsia"/>
          <w:szCs w:val="21"/>
        </w:rPr>
        <w:t>政府采购监督管理部门</w:t>
      </w:r>
      <w:r>
        <w:rPr>
          <w:rFonts w:hint="eastAsia" w:asciiTheme="minorEastAsia" w:hAnsiTheme="minorEastAsia" w:eastAsiaTheme="minorEastAsia"/>
          <w:szCs w:val="21"/>
          <w:lang w:eastAsia="zh-CN"/>
        </w:rPr>
        <w:t>一份，招标代理一份。</w:t>
      </w:r>
    </w:p>
    <w:p w14:paraId="3A325984">
      <w:pPr>
        <w:spacing w:line="360" w:lineRule="exact"/>
        <w:ind w:firstLine="420" w:firstLineChars="200"/>
        <w:rPr>
          <w:rFonts w:hint="eastAsia" w:ascii="宋体" w:hAnsi="宋体"/>
          <w:sz w:val="21"/>
          <w:szCs w:val="21"/>
        </w:rPr>
      </w:pPr>
    </w:p>
    <w:p w14:paraId="10BD1070">
      <w:pPr>
        <w:spacing w:line="360" w:lineRule="auto"/>
        <w:rPr>
          <w:rFonts w:hint="eastAsia" w:ascii="宋体" w:hAnsi="宋体"/>
          <w:sz w:val="21"/>
          <w:szCs w:val="21"/>
        </w:rPr>
      </w:pPr>
    </w:p>
    <w:p w14:paraId="3E4B446A">
      <w:pPr>
        <w:spacing w:line="360" w:lineRule="auto"/>
        <w:ind w:firstLine="420" w:firstLineChars="200"/>
        <w:rPr>
          <w:rFonts w:hint="eastAsia" w:ascii="宋体" w:hAnsi="宋体"/>
          <w:sz w:val="21"/>
          <w:szCs w:val="21"/>
        </w:rPr>
      </w:pPr>
      <w:r>
        <w:rPr>
          <w:rFonts w:hint="eastAsia" w:ascii="宋体" w:hAnsi="宋体"/>
          <w:sz w:val="21"/>
          <w:szCs w:val="21"/>
        </w:rPr>
        <w:t xml:space="preserve">甲方：                                   乙方： </w:t>
      </w:r>
    </w:p>
    <w:p w14:paraId="5FCD8BEE">
      <w:pPr>
        <w:spacing w:line="360" w:lineRule="auto"/>
        <w:ind w:firstLine="420" w:firstLineChars="200"/>
        <w:rPr>
          <w:rFonts w:hint="eastAsia" w:ascii="宋体" w:hAnsi="宋体"/>
          <w:sz w:val="21"/>
          <w:szCs w:val="21"/>
        </w:rPr>
      </w:pPr>
      <w:r>
        <w:rPr>
          <w:rFonts w:hint="eastAsia" w:ascii="宋体" w:hAnsi="宋体"/>
          <w:sz w:val="21"/>
          <w:szCs w:val="21"/>
        </w:rPr>
        <w:t xml:space="preserve">地址：                                   地址： </w:t>
      </w:r>
    </w:p>
    <w:p w14:paraId="749E67FA">
      <w:pPr>
        <w:spacing w:line="360" w:lineRule="auto"/>
        <w:ind w:firstLine="420" w:firstLineChars="200"/>
        <w:rPr>
          <w:rFonts w:hint="eastAsia" w:ascii="宋体" w:hAnsi="宋体"/>
          <w:sz w:val="21"/>
          <w:szCs w:val="21"/>
        </w:rPr>
      </w:pPr>
      <w:r>
        <w:rPr>
          <w:rFonts w:hint="eastAsia" w:ascii="宋体" w:hAnsi="宋体"/>
          <w:sz w:val="21"/>
          <w:szCs w:val="21"/>
        </w:rPr>
        <w:t>法定（授权）代表人：                     法定（授权）代表人：</w:t>
      </w:r>
    </w:p>
    <w:p w14:paraId="15C08330">
      <w:pPr>
        <w:spacing w:line="360" w:lineRule="auto"/>
        <w:ind w:firstLine="420" w:firstLineChars="200"/>
        <w:rPr>
          <w:rFonts w:hint="eastAsia" w:ascii="宋体" w:hAnsi="宋体"/>
          <w:sz w:val="21"/>
          <w:szCs w:val="21"/>
        </w:rPr>
      </w:pPr>
      <w:r>
        <w:rPr>
          <w:rFonts w:hint="eastAsia" w:ascii="宋体" w:hAnsi="宋体"/>
          <w:sz w:val="21"/>
          <w:szCs w:val="21"/>
        </w:rPr>
        <w:t xml:space="preserve">签字日期：   年    月   日          </w:t>
      </w:r>
      <w:r>
        <w:rPr>
          <w:rFonts w:hint="eastAsia" w:ascii="宋体" w:hAnsi="宋体"/>
          <w:sz w:val="21"/>
          <w:szCs w:val="21"/>
          <w:lang w:val="en-US" w:eastAsia="zh-CN"/>
        </w:rPr>
        <w:t xml:space="preserve">     </w:t>
      </w:r>
      <w:r>
        <w:rPr>
          <w:rFonts w:hint="eastAsia" w:ascii="宋体" w:hAnsi="宋体"/>
          <w:sz w:val="21"/>
          <w:szCs w:val="21"/>
        </w:rPr>
        <w:t>签字日期：    年    月   日</w:t>
      </w:r>
    </w:p>
    <w:p w14:paraId="5AA0BA6E">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0" w:firstLineChars="0"/>
        <w:jc w:val="both"/>
        <w:textAlignment w:val="auto"/>
        <w:outlineLvl w:val="9"/>
        <w:rPr>
          <w:rFonts w:hint="eastAsia"/>
          <w:sz w:val="21"/>
          <w:szCs w:val="21"/>
        </w:rPr>
      </w:pPr>
    </w:p>
    <w:p w14:paraId="40737854">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420" w:firstLineChars="200"/>
        <w:jc w:val="both"/>
        <w:textAlignment w:val="auto"/>
        <w:outlineLvl w:val="9"/>
        <w:rPr>
          <w:rFonts w:hint="eastAsia"/>
          <w:sz w:val="21"/>
          <w:szCs w:val="21"/>
        </w:rPr>
      </w:pPr>
      <w:r>
        <w:rPr>
          <w:rFonts w:hint="eastAsia"/>
          <w:sz w:val="21"/>
          <w:szCs w:val="21"/>
        </w:rPr>
        <w:t>见证方：</w:t>
      </w:r>
      <w:r>
        <w:rPr>
          <w:rFonts w:hint="eastAsia"/>
          <w:sz w:val="21"/>
          <w:szCs w:val="21"/>
          <w:lang w:eastAsia="zh-CN"/>
        </w:rPr>
        <w:t>宁海童氏工程管理咨询有限公司</w:t>
      </w:r>
    </w:p>
    <w:p w14:paraId="35F03AD0">
      <w:pPr>
        <w:pStyle w:val="13"/>
        <w:keepNext w:val="0"/>
        <w:keepLines w:val="0"/>
        <w:pageBreakBefore w:val="0"/>
        <w:widowControl/>
        <w:kinsoku/>
        <w:wordWrap/>
        <w:overflowPunct/>
        <w:topLinePunct w:val="0"/>
        <w:autoSpaceDE w:val="0"/>
        <w:autoSpaceDN w:val="0"/>
        <w:bidi w:val="0"/>
        <w:adjustRightInd/>
        <w:snapToGrid/>
        <w:spacing w:before="0" w:beforeAutospacing="0" w:after="100" w:afterAutospacing="1" w:line="340" w:lineRule="exact"/>
        <w:ind w:left="0" w:leftChars="0" w:right="0" w:rightChars="0" w:firstLine="420" w:firstLineChars="200"/>
        <w:jc w:val="both"/>
        <w:textAlignment w:val="auto"/>
        <w:outlineLvl w:val="9"/>
        <w:rPr>
          <w:rFonts w:hint="eastAsia" w:hAnsi="宋体"/>
          <w:szCs w:val="21"/>
        </w:rPr>
      </w:pPr>
      <w:r>
        <w:rPr>
          <w:rFonts w:hint="eastAsia"/>
          <w:sz w:val="21"/>
          <w:szCs w:val="21"/>
        </w:rPr>
        <w:t xml:space="preserve">日期： </w:t>
      </w:r>
      <w:r>
        <w:rPr>
          <w:rFonts w:hint="eastAsia"/>
          <w:sz w:val="21"/>
          <w:szCs w:val="21"/>
          <w:u w:val="single"/>
        </w:rPr>
        <w:t>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723D1976">
      <w:pPr>
        <w:pStyle w:val="10"/>
        <w:snapToGrid w:val="0"/>
        <w:spacing w:beforeLines="0" w:afterLines="0"/>
        <w:outlineLvl w:val="0"/>
        <w:rPr>
          <w:rFonts w:ascii="黑体" w:hAnsi="宋体" w:eastAsia="黑体"/>
          <w:b/>
          <w:bCs/>
          <w:sz w:val="28"/>
          <w:szCs w:val="28"/>
        </w:rPr>
      </w:pPr>
      <w:r>
        <w:rPr>
          <w:rFonts w:hint="eastAsia" w:hAnsi="宋体"/>
          <w:szCs w:val="21"/>
        </w:rPr>
        <w:br w:type="page"/>
      </w:r>
    </w:p>
    <w:p w14:paraId="1D62135B">
      <w:pPr>
        <w:widowControl/>
        <w:jc w:val="left"/>
        <w:rPr>
          <w:rFonts w:asciiTheme="minorEastAsia" w:hAnsiTheme="minorEastAsia" w:eastAsiaTheme="minorEastAsia" w:cstheme="minorEastAsia"/>
          <w:color w:val="auto"/>
          <w:sz w:val="24"/>
          <w:highlight w:val="none"/>
        </w:rPr>
      </w:pPr>
    </w:p>
    <w:p w14:paraId="61768FD1">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4C1E7FE7">
      <w:pPr>
        <w:spacing w:line="240" w:lineRule="auto"/>
        <w:jc w:val="left"/>
        <w:outlineLvl w:val="9"/>
        <w:rPr>
          <w:color w:val="auto"/>
          <w:highlight w:val="none"/>
        </w:rPr>
      </w:pPr>
    </w:p>
    <w:p w14:paraId="54F804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3142A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0BC2F12">
      <w:pPr>
        <w:spacing w:line="360" w:lineRule="auto"/>
        <w:jc w:val="center"/>
        <w:outlineLvl w:val="0"/>
        <w:rPr>
          <w:rFonts w:ascii="宋体" w:hAnsi="宋体" w:cs="宋体"/>
          <w:b/>
          <w:color w:val="auto"/>
          <w:kern w:val="0"/>
          <w:sz w:val="36"/>
          <w:szCs w:val="36"/>
          <w:highlight w:val="none"/>
        </w:rPr>
      </w:pPr>
    </w:p>
    <w:p w14:paraId="046B9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0681F5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8A042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D0BA6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E55D54F">
      <w:pPr>
        <w:snapToGrid w:val="0"/>
        <w:spacing w:line="360" w:lineRule="auto"/>
        <w:ind w:firstLine="480" w:firstLineChars="200"/>
        <w:rPr>
          <w:rFonts w:ascii="宋体" w:hAnsi="宋体" w:cs="宋体"/>
          <w:color w:val="auto"/>
          <w:sz w:val="24"/>
          <w:highlight w:val="none"/>
        </w:rPr>
      </w:pPr>
    </w:p>
    <w:p w14:paraId="73A79414">
      <w:pPr>
        <w:spacing w:line="360" w:lineRule="auto"/>
        <w:ind w:firstLine="480" w:firstLineChars="200"/>
        <w:rPr>
          <w:rFonts w:ascii="宋体" w:hAnsi="宋体" w:cs="宋体"/>
          <w:color w:val="auto"/>
          <w:sz w:val="24"/>
          <w:highlight w:val="none"/>
        </w:rPr>
      </w:pPr>
    </w:p>
    <w:p w14:paraId="560B38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7D18C0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宁海县疾病预防控制中心</w:t>
      </w:r>
      <w:r>
        <w:rPr>
          <w:rFonts w:hint="eastAsia" w:ascii="宋体" w:hAnsi="宋体" w:cs="宋体"/>
          <w:color w:val="auto"/>
          <w:sz w:val="24"/>
          <w:highlight w:val="none"/>
        </w:rPr>
        <w:t>、</w:t>
      </w:r>
      <w:r>
        <w:rPr>
          <w:rFonts w:hint="eastAsia" w:ascii="宋体" w:hAnsi="宋体" w:cs="宋体"/>
          <w:color w:val="auto"/>
          <w:sz w:val="24"/>
          <w:highlight w:val="none"/>
          <w:lang w:eastAsia="zh-CN"/>
        </w:rPr>
        <w:t>宁海童氏工程管理咨询有限公司</w:t>
      </w:r>
      <w:r>
        <w:rPr>
          <w:rFonts w:hint="eastAsia" w:ascii="宋体" w:hAnsi="宋体" w:cs="宋体"/>
          <w:color w:val="auto"/>
          <w:sz w:val="24"/>
          <w:highlight w:val="none"/>
        </w:rPr>
        <w:t>：</w:t>
      </w:r>
    </w:p>
    <w:p w14:paraId="6B6A4AC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宁海县公共卫生中心食堂外包服务项目（2025年-2028年）</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NH-TS2025-027</w:t>
      </w:r>
      <w:r>
        <w:rPr>
          <w:rFonts w:hint="eastAsia" w:ascii="宋体" w:hAnsi="宋体" w:cs="宋体"/>
          <w:color w:val="auto"/>
          <w:sz w:val="24"/>
          <w:highlight w:val="none"/>
        </w:rPr>
        <w:t>】政府采购活动，郑重承诺：</w:t>
      </w:r>
    </w:p>
    <w:p w14:paraId="3569259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D8A7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6CA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2E4F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1584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1824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B517C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2473B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3B2C7D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BED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78EB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288C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52C1C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D59F235">
      <w:pPr>
        <w:snapToGrid w:val="0"/>
        <w:spacing w:line="360" w:lineRule="auto"/>
        <w:ind w:right="480"/>
        <w:jc w:val="center"/>
        <w:rPr>
          <w:rFonts w:ascii="宋体" w:hAnsi="宋体" w:cs="宋体"/>
          <w:b/>
          <w:color w:val="auto"/>
          <w:kern w:val="0"/>
          <w:sz w:val="32"/>
          <w:szCs w:val="32"/>
          <w:highlight w:val="none"/>
        </w:rPr>
      </w:pPr>
    </w:p>
    <w:p w14:paraId="609F45C4">
      <w:pPr>
        <w:snapToGrid w:val="0"/>
        <w:spacing w:line="360" w:lineRule="auto"/>
        <w:ind w:right="480"/>
        <w:jc w:val="center"/>
        <w:rPr>
          <w:rFonts w:ascii="宋体" w:hAnsi="宋体" w:cs="宋体"/>
          <w:b/>
          <w:color w:val="auto"/>
          <w:kern w:val="0"/>
          <w:sz w:val="32"/>
          <w:szCs w:val="32"/>
          <w:highlight w:val="none"/>
        </w:rPr>
      </w:pPr>
    </w:p>
    <w:p w14:paraId="79883E02">
      <w:pPr>
        <w:snapToGrid w:val="0"/>
        <w:spacing w:line="360" w:lineRule="auto"/>
        <w:ind w:right="480"/>
        <w:jc w:val="center"/>
        <w:rPr>
          <w:rFonts w:ascii="宋体" w:hAnsi="宋体" w:cs="宋体"/>
          <w:b/>
          <w:color w:val="auto"/>
          <w:kern w:val="0"/>
          <w:sz w:val="32"/>
          <w:szCs w:val="32"/>
          <w:highlight w:val="none"/>
        </w:rPr>
      </w:pPr>
    </w:p>
    <w:p w14:paraId="2FBE480E">
      <w:pPr>
        <w:rPr>
          <w:rFonts w:ascii="宋体" w:hAnsi="宋体" w:cs="宋体"/>
          <w:color w:val="auto"/>
          <w:highlight w:val="none"/>
        </w:rPr>
      </w:pPr>
    </w:p>
    <w:p w14:paraId="22E8BA99">
      <w:pPr>
        <w:snapToGrid w:val="0"/>
        <w:spacing w:line="360" w:lineRule="auto"/>
        <w:ind w:right="480"/>
        <w:jc w:val="center"/>
        <w:rPr>
          <w:rFonts w:ascii="宋体" w:hAnsi="宋体" w:cs="宋体"/>
          <w:b/>
          <w:color w:val="auto"/>
          <w:kern w:val="0"/>
          <w:sz w:val="32"/>
          <w:szCs w:val="32"/>
          <w:highlight w:val="none"/>
        </w:rPr>
      </w:pPr>
    </w:p>
    <w:p w14:paraId="48341320">
      <w:pPr>
        <w:snapToGrid w:val="0"/>
        <w:spacing w:line="360" w:lineRule="auto"/>
        <w:ind w:right="480"/>
        <w:jc w:val="center"/>
        <w:rPr>
          <w:rFonts w:ascii="宋体" w:hAnsi="宋体" w:cs="宋体"/>
          <w:b/>
          <w:color w:val="auto"/>
          <w:kern w:val="0"/>
          <w:sz w:val="32"/>
          <w:szCs w:val="32"/>
          <w:highlight w:val="none"/>
        </w:rPr>
      </w:pPr>
    </w:p>
    <w:p w14:paraId="18B05916">
      <w:pPr>
        <w:snapToGrid w:val="0"/>
        <w:spacing w:line="360" w:lineRule="auto"/>
        <w:ind w:right="480"/>
        <w:jc w:val="center"/>
        <w:rPr>
          <w:rFonts w:ascii="宋体" w:hAnsi="宋体" w:cs="宋体"/>
          <w:b/>
          <w:color w:val="auto"/>
          <w:kern w:val="0"/>
          <w:sz w:val="32"/>
          <w:szCs w:val="32"/>
          <w:highlight w:val="none"/>
        </w:rPr>
      </w:pPr>
    </w:p>
    <w:p w14:paraId="5C5D25D6">
      <w:pPr>
        <w:widowControl/>
        <w:adjustRightInd/>
        <w:spacing w:line="240" w:lineRule="auto"/>
        <w:ind w:firstLine="0" w:firstLineChars="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二、联合协议（如果有）</w:t>
      </w:r>
    </w:p>
    <w:p w14:paraId="212DC57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FAAEDD8">
      <w:pPr>
        <w:snapToGrid w:val="0"/>
        <w:spacing w:line="360" w:lineRule="auto"/>
        <w:ind w:right="480"/>
        <w:jc w:val="center"/>
        <w:rPr>
          <w:rFonts w:hint="eastAsia" w:ascii="宋体" w:hAnsi="宋体" w:cs="宋体"/>
          <w:b/>
          <w:color w:val="auto"/>
          <w:kern w:val="0"/>
          <w:sz w:val="32"/>
          <w:szCs w:val="32"/>
          <w:highlight w:val="none"/>
        </w:rPr>
      </w:pPr>
    </w:p>
    <w:p w14:paraId="361DBF47">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D2C04EB">
      <w:pPr>
        <w:pStyle w:val="3"/>
        <w:rPr>
          <w:color w:val="auto"/>
          <w:highlight w:val="none"/>
        </w:rPr>
      </w:pPr>
    </w:p>
    <w:p w14:paraId="790AF80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2F960A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B1357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9E15D9A">
      <w:pPr>
        <w:widowControl/>
        <w:spacing w:line="360" w:lineRule="auto"/>
        <w:ind w:firstLine="480"/>
        <w:jc w:val="left"/>
        <w:rPr>
          <w:rFonts w:ascii="宋体" w:hAnsi="宋体" w:cs="宋体"/>
          <w:color w:val="auto"/>
          <w:sz w:val="24"/>
          <w:highlight w:val="none"/>
        </w:rPr>
      </w:pPr>
    </w:p>
    <w:p w14:paraId="117618B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863AFD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0ACB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5F2ADDF">
      <w:pPr>
        <w:widowControl/>
        <w:spacing w:line="360" w:lineRule="auto"/>
        <w:ind w:left="150"/>
        <w:jc w:val="center"/>
        <w:rPr>
          <w:rFonts w:ascii="宋体" w:hAnsi="宋体" w:cs="宋体"/>
          <w:b/>
          <w:color w:val="auto"/>
          <w:kern w:val="0"/>
          <w:sz w:val="32"/>
          <w:szCs w:val="32"/>
          <w:highlight w:val="none"/>
        </w:rPr>
      </w:pPr>
    </w:p>
    <w:p w14:paraId="16C746A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0DF7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67EE0AE">
      <w:pPr>
        <w:rPr>
          <w:rFonts w:ascii="宋体" w:hAnsi="宋体" w:cs="宋体"/>
          <w:color w:val="auto"/>
          <w:highlight w:val="none"/>
        </w:rPr>
      </w:pPr>
    </w:p>
    <w:p w14:paraId="3C57CED0">
      <w:pPr>
        <w:snapToGrid w:val="0"/>
        <w:spacing w:line="360" w:lineRule="auto"/>
        <w:ind w:right="480"/>
        <w:jc w:val="center"/>
        <w:rPr>
          <w:rFonts w:ascii="宋体" w:hAnsi="宋体" w:cs="宋体"/>
          <w:b/>
          <w:color w:val="auto"/>
          <w:kern w:val="0"/>
          <w:sz w:val="32"/>
          <w:szCs w:val="32"/>
          <w:highlight w:val="none"/>
        </w:rPr>
      </w:pPr>
    </w:p>
    <w:p w14:paraId="763E41BC">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151C05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DD77BB">
      <w:pPr>
        <w:spacing w:line="360" w:lineRule="auto"/>
        <w:jc w:val="center"/>
        <w:outlineLvl w:val="0"/>
        <w:rPr>
          <w:rFonts w:ascii="宋体" w:hAnsi="宋体" w:cs="宋体"/>
          <w:b/>
          <w:color w:val="auto"/>
          <w:kern w:val="0"/>
          <w:sz w:val="24"/>
          <w:highlight w:val="none"/>
        </w:rPr>
      </w:pPr>
    </w:p>
    <w:p w14:paraId="66F27428">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7A711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9FB158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EFE201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CC704E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E2F7C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1D961D4">
      <w:pPr>
        <w:snapToGrid w:val="0"/>
        <w:spacing w:line="360" w:lineRule="auto"/>
        <w:jc w:val="center"/>
        <w:rPr>
          <w:rFonts w:ascii="宋体" w:hAnsi="宋体" w:cs="宋体"/>
          <w:b/>
          <w:color w:val="auto"/>
          <w:kern w:val="0"/>
          <w:sz w:val="32"/>
          <w:szCs w:val="32"/>
          <w:highlight w:val="none"/>
          <w:lang w:val="zh-CN"/>
        </w:rPr>
      </w:pPr>
    </w:p>
    <w:p w14:paraId="7F62A3DD">
      <w:pPr>
        <w:snapToGrid w:val="0"/>
        <w:spacing w:line="360" w:lineRule="auto"/>
        <w:jc w:val="center"/>
        <w:rPr>
          <w:rFonts w:ascii="宋体" w:hAnsi="宋体" w:cs="宋体"/>
          <w:b/>
          <w:color w:val="auto"/>
          <w:kern w:val="0"/>
          <w:sz w:val="32"/>
          <w:szCs w:val="32"/>
          <w:highlight w:val="none"/>
          <w:lang w:val="zh-CN"/>
        </w:rPr>
      </w:pPr>
    </w:p>
    <w:p w14:paraId="62DD17A2">
      <w:pPr>
        <w:snapToGrid w:val="0"/>
        <w:spacing w:line="360" w:lineRule="auto"/>
        <w:jc w:val="center"/>
        <w:rPr>
          <w:rFonts w:ascii="宋体" w:hAnsi="宋体" w:cs="宋体"/>
          <w:b/>
          <w:color w:val="auto"/>
          <w:kern w:val="0"/>
          <w:sz w:val="32"/>
          <w:szCs w:val="32"/>
          <w:highlight w:val="none"/>
          <w:lang w:val="zh-CN"/>
        </w:rPr>
      </w:pPr>
    </w:p>
    <w:p w14:paraId="60CB4EA1">
      <w:pPr>
        <w:snapToGrid w:val="0"/>
        <w:spacing w:line="360" w:lineRule="auto"/>
        <w:jc w:val="center"/>
        <w:rPr>
          <w:rFonts w:ascii="宋体" w:hAnsi="宋体" w:cs="宋体"/>
          <w:b/>
          <w:color w:val="auto"/>
          <w:kern w:val="0"/>
          <w:sz w:val="32"/>
          <w:szCs w:val="32"/>
          <w:highlight w:val="none"/>
          <w:lang w:val="zh-CN"/>
        </w:rPr>
      </w:pPr>
    </w:p>
    <w:p w14:paraId="08635DDB">
      <w:pPr>
        <w:snapToGrid w:val="0"/>
        <w:spacing w:line="360" w:lineRule="auto"/>
        <w:jc w:val="center"/>
        <w:rPr>
          <w:rFonts w:ascii="宋体" w:hAnsi="宋体" w:cs="宋体"/>
          <w:b/>
          <w:color w:val="auto"/>
          <w:kern w:val="0"/>
          <w:sz w:val="32"/>
          <w:szCs w:val="32"/>
          <w:highlight w:val="none"/>
          <w:lang w:val="zh-CN"/>
        </w:rPr>
      </w:pPr>
    </w:p>
    <w:p w14:paraId="20AC4550">
      <w:pPr>
        <w:snapToGrid w:val="0"/>
        <w:spacing w:line="360" w:lineRule="auto"/>
        <w:jc w:val="center"/>
        <w:rPr>
          <w:rFonts w:ascii="宋体" w:hAnsi="宋体" w:cs="宋体"/>
          <w:b/>
          <w:color w:val="auto"/>
          <w:kern w:val="0"/>
          <w:sz w:val="32"/>
          <w:szCs w:val="32"/>
          <w:highlight w:val="none"/>
          <w:lang w:val="zh-CN"/>
        </w:rPr>
      </w:pPr>
    </w:p>
    <w:p w14:paraId="573167CA">
      <w:pPr>
        <w:snapToGrid w:val="0"/>
        <w:spacing w:line="360" w:lineRule="auto"/>
        <w:jc w:val="center"/>
        <w:rPr>
          <w:rFonts w:ascii="宋体" w:hAnsi="宋体" w:cs="宋体"/>
          <w:b/>
          <w:color w:val="auto"/>
          <w:kern w:val="0"/>
          <w:sz w:val="32"/>
          <w:szCs w:val="32"/>
          <w:highlight w:val="none"/>
          <w:lang w:val="zh-CN"/>
        </w:rPr>
      </w:pPr>
    </w:p>
    <w:p w14:paraId="53DF9857">
      <w:pPr>
        <w:snapToGrid w:val="0"/>
        <w:spacing w:line="360" w:lineRule="auto"/>
        <w:jc w:val="center"/>
        <w:rPr>
          <w:rFonts w:ascii="宋体" w:hAnsi="宋体" w:cs="宋体"/>
          <w:b/>
          <w:color w:val="auto"/>
          <w:kern w:val="0"/>
          <w:sz w:val="32"/>
          <w:szCs w:val="32"/>
          <w:highlight w:val="none"/>
          <w:lang w:val="zh-CN"/>
        </w:rPr>
      </w:pPr>
    </w:p>
    <w:p w14:paraId="01A2683E">
      <w:pPr>
        <w:snapToGrid w:val="0"/>
        <w:spacing w:line="360" w:lineRule="auto"/>
        <w:jc w:val="center"/>
        <w:rPr>
          <w:rFonts w:ascii="宋体" w:hAnsi="宋体" w:cs="宋体"/>
          <w:b/>
          <w:color w:val="auto"/>
          <w:kern w:val="0"/>
          <w:sz w:val="32"/>
          <w:szCs w:val="32"/>
          <w:highlight w:val="none"/>
          <w:lang w:val="zh-CN"/>
        </w:rPr>
      </w:pPr>
    </w:p>
    <w:p w14:paraId="35310F8C">
      <w:pPr>
        <w:snapToGrid w:val="0"/>
        <w:spacing w:line="360" w:lineRule="auto"/>
        <w:jc w:val="center"/>
        <w:rPr>
          <w:rFonts w:ascii="宋体" w:hAnsi="宋体" w:cs="宋体"/>
          <w:b/>
          <w:color w:val="auto"/>
          <w:kern w:val="0"/>
          <w:sz w:val="32"/>
          <w:szCs w:val="32"/>
          <w:highlight w:val="none"/>
          <w:lang w:val="zh-CN"/>
        </w:rPr>
      </w:pPr>
    </w:p>
    <w:p w14:paraId="55435DFE">
      <w:pPr>
        <w:snapToGrid w:val="0"/>
        <w:spacing w:line="360" w:lineRule="auto"/>
        <w:jc w:val="center"/>
        <w:rPr>
          <w:rFonts w:ascii="宋体" w:hAnsi="宋体" w:cs="宋体"/>
          <w:b/>
          <w:color w:val="auto"/>
          <w:kern w:val="0"/>
          <w:sz w:val="32"/>
          <w:szCs w:val="32"/>
          <w:highlight w:val="none"/>
          <w:lang w:val="zh-CN"/>
        </w:rPr>
      </w:pPr>
    </w:p>
    <w:p w14:paraId="2DA49898">
      <w:pPr>
        <w:snapToGrid w:val="0"/>
        <w:spacing w:line="360" w:lineRule="auto"/>
        <w:jc w:val="center"/>
        <w:rPr>
          <w:rFonts w:ascii="宋体" w:hAnsi="宋体" w:cs="宋体"/>
          <w:b/>
          <w:color w:val="auto"/>
          <w:kern w:val="0"/>
          <w:sz w:val="32"/>
          <w:szCs w:val="32"/>
          <w:highlight w:val="none"/>
          <w:lang w:val="zh-CN"/>
        </w:rPr>
      </w:pPr>
    </w:p>
    <w:p w14:paraId="505B1202">
      <w:pPr>
        <w:rPr>
          <w:rFonts w:ascii="宋体" w:hAnsi="宋体" w:cs="宋体"/>
          <w:b/>
          <w:color w:val="auto"/>
          <w:kern w:val="0"/>
          <w:sz w:val="32"/>
          <w:szCs w:val="32"/>
          <w:highlight w:val="none"/>
          <w:lang w:val="zh-CN"/>
        </w:rPr>
      </w:pPr>
    </w:p>
    <w:p w14:paraId="3BFDAF8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82AEF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C090E5F">
      <w:pPr>
        <w:keepNext w:val="0"/>
        <w:keepLines w:val="0"/>
        <w:pageBreakBefore w:val="0"/>
        <w:widowControl w:val="0"/>
        <w:kinsoku/>
        <w:wordWrap/>
        <w:overflowPunct/>
        <w:topLinePunct w:val="0"/>
        <w:autoSpaceDE/>
        <w:autoSpaceDN/>
        <w:bidi w:val="0"/>
        <w:snapToGrid w:val="0"/>
        <w:spacing w:line="312"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sz w:val="21"/>
          <w:szCs w:val="21"/>
          <w:highlight w:val="none"/>
        </w:rPr>
        <w:t>：</w:t>
      </w:r>
    </w:p>
    <w:p w14:paraId="504EA8FD">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】招标的有关活动，并对此项目进行投标。为此：</w:t>
      </w:r>
    </w:p>
    <w:p w14:paraId="4922FA61">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1、我方承诺投标有效期从提交投标文件的截止之日起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天（不少于90天），本投标文件在投标有效期满之前均具有约束力。</w:t>
      </w:r>
    </w:p>
    <w:p w14:paraId="10E64942">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2、我方的投标文件包括以下内容：</w:t>
      </w:r>
    </w:p>
    <w:p w14:paraId="190B058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1A22B02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3A43D15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w:t>
      </w:r>
      <w:bookmarkStart w:id="397" w:name="_Hlk101257010"/>
      <w:r>
        <w:rPr>
          <w:rFonts w:hint="eastAsia" w:ascii="宋体" w:hAnsi="宋体" w:cs="宋体"/>
          <w:color w:val="auto"/>
          <w:sz w:val="21"/>
          <w:szCs w:val="21"/>
          <w:highlight w:val="none"/>
        </w:rPr>
        <w:t>（如果有)</w:t>
      </w:r>
      <w:bookmarkEnd w:id="397"/>
      <w:r>
        <w:rPr>
          <w:rFonts w:hint="eastAsia" w:ascii="宋体" w:hAnsi="宋体" w:cs="宋体"/>
          <w:snapToGrid w:val="0"/>
          <w:color w:val="auto"/>
          <w:kern w:val="28"/>
          <w:sz w:val="21"/>
          <w:szCs w:val="21"/>
          <w:highlight w:val="none"/>
        </w:rPr>
        <w:t>；</w:t>
      </w:r>
    </w:p>
    <w:p w14:paraId="6904C4A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E293320">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5CEB77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0CB5797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2.2.1投标函；</w:t>
      </w:r>
      <w:r>
        <w:rPr>
          <w:rFonts w:hint="eastAsia" w:ascii="宋体" w:hAnsi="宋体" w:cs="宋体"/>
          <w:color w:val="auto"/>
          <w:sz w:val="21"/>
          <w:szCs w:val="21"/>
          <w:highlight w:val="none"/>
          <w:lang w:val="zh-CN"/>
        </w:rPr>
        <w:t xml:space="preserve"> </w:t>
      </w:r>
    </w:p>
    <w:p w14:paraId="0BC287B9">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D51B534">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7F194D5">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4E910E0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评标标准相应的商务技术资料；</w:t>
      </w:r>
    </w:p>
    <w:p w14:paraId="7E264711">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rPr>
        <w:t>投标标的清单；</w:t>
      </w:r>
    </w:p>
    <w:p w14:paraId="5C08CB86">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7C4F5E3F">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政府采购供应商廉洁自律承诺书；</w:t>
      </w:r>
    </w:p>
    <w:p w14:paraId="033B7EAE">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63AB648">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2.3.1开标一览表（报价表）；</w:t>
      </w:r>
    </w:p>
    <w:p w14:paraId="0E4C1091">
      <w:pPr>
        <w:keepNext w:val="0"/>
        <w:keepLines w:val="0"/>
        <w:pageBreakBefore w:val="0"/>
        <w:widowControl w:val="0"/>
        <w:kinsoku/>
        <w:wordWrap/>
        <w:overflowPunct/>
        <w:topLinePunct w:val="0"/>
        <w:autoSpaceDE/>
        <w:autoSpaceDN/>
        <w:bidi w:val="0"/>
        <w:spacing w:line="312" w:lineRule="auto"/>
        <w:ind w:left="420" w:leftChars="200" w:firstLine="420" w:firstLineChars="200"/>
        <w:textAlignment w:val="auto"/>
        <w:rPr>
          <w:rFonts w:eastAsia="仿宋_GB2312"/>
          <w:color w:val="auto"/>
          <w:sz w:val="21"/>
          <w:szCs w:val="21"/>
          <w:highlight w:val="none"/>
        </w:rPr>
      </w:pPr>
      <w:r>
        <w:rPr>
          <w:rFonts w:hint="eastAsia" w:ascii="宋体" w:hAnsi="宋体" w:cs="宋体"/>
          <w:color w:val="auto"/>
          <w:sz w:val="21"/>
          <w:szCs w:val="21"/>
          <w:highlight w:val="none"/>
        </w:rPr>
        <w:t>2.3.2 报价情况说明（如果有）</w:t>
      </w:r>
    </w:p>
    <w:p w14:paraId="4516B5D7">
      <w:pPr>
        <w:keepNext w:val="0"/>
        <w:keepLines w:val="0"/>
        <w:pageBreakBefore w:val="0"/>
        <w:widowControl w:val="0"/>
        <w:kinsoku/>
        <w:wordWrap/>
        <w:overflowPunct/>
        <w:topLinePunct w:val="0"/>
        <w:autoSpaceDE/>
        <w:autoSpaceDN/>
        <w:bidi w:val="0"/>
        <w:snapToGrid w:val="0"/>
        <w:spacing w:line="312"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3ECC4517">
      <w:pPr>
        <w:pStyle w:val="27"/>
        <w:keepNext w:val="0"/>
        <w:keepLines w:val="0"/>
        <w:pageBreakBefore w:val="0"/>
        <w:widowControl w:val="0"/>
        <w:kinsoku/>
        <w:wordWrap/>
        <w:overflowPunct/>
        <w:topLinePunct w:val="0"/>
        <w:autoSpaceDE/>
        <w:autoSpaceDN/>
        <w:bidi w:val="0"/>
        <w:spacing w:line="312" w:lineRule="auto"/>
        <w:ind w:firstLine="840" w:firstLineChars="4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3、我方承诺除商务技术偏离表列出的偏离外，我方响应招标文件的全部要求。对投标文件中材料的真实性、合法性负责。</w:t>
      </w:r>
    </w:p>
    <w:p w14:paraId="0E7FB48F">
      <w:pPr>
        <w:keepNext w:val="0"/>
        <w:keepLines w:val="0"/>
        <w:pageBreakBefore w:val="0"/>
        <w:widowControl w:val="0"/>
        <w:kinsoku/>
        <w:wordWrap/>
        <w:overflowPunct/>
        <w:topLinePunct w:val="0"/>
        <w:autoSpaceDE/>
        <w:autoSpaceDN/>
        <w:bidi w:val="0"/>
        <w:snapToGrid w:val="0"/>
        <w:spacing w:line="312"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4、如我方中标，我方承诺：</w:t>
      </w:r>
    </w:p>
    <w:p w14:paraId="72101FEB">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4.1在收到中标通知书后，在中标通知书规定的期限内与你方签订合同； </w:t>
      </w:r>
    </w:p>
    <w:p w14:paraId="325D0B6C">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44139E47">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4.3按照招标文件要求提交履约保证金； </w:t>
      </w:r>
    </w:p>
    <w:p w14:paraId="6B0AEEA4">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F4158E5">
      <w:pPr>
        <w:keepNext w:val="0"/>
        <w:keepLines w:val="0"/>
        <w:pageBreakBefore w:val="0"/>
        <w:widowControl w:val="0"/>
        <w:kinsoku/>
        <w:wordWrap/>
        <w:overflowPunct/>
        <w:topLinePunct w:val="0"/>
        <w:autoSpaceDE/>
        <w:autoSpaceDN/>
        <w:bidi w:val="0"/>
        <w:snapToGrid w:val="0"/>
        <w:spacing w:line="312"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57143210">
      <w:pPr>
        <w:keepNext w:val="0"/>
        <w:keepLines w:val="0"/>
        <w:pageBreakBefore w:val="0"/>
        <w:widowControl w:val="0"/>
        <w:kinsoku/>
        <w:wordWrap/>
        <w:overflowPunct/>
        <w:topLinePunct w:val="0"/>
        <w:autoSpaceDE/>
        <w:autoSpaceDN/>
        <w:bidi w:val="0"/>
        <w:spacing w:line="312"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投标人名称（电子签名）：                          </w:t>
      </w:r>
    </w:p>
    <w:p w14:paraId="7F33EA7B">
      <w:pPr>
        <w:keepNext w:val="0"/>
        <w:keepLines w:val="0"/>
        <w:pageBreakBefore w:val="0"/>
        <w:widowControl w:val="0"/>
        <w:kinsoku/>
        <w:wordWrap/>
        <w:overflowPunct/>
        <w:topLinePunct w:val="0"/>
        <w:autoSpaceDE/>
        <w:autoSpaceDN/>
        <w:bidi w:val="0"/>
        <w:spacing w:line="312"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65DA1894">
      <w:pPr>
        <w:keepNext w:val="0"/>
        <w:keepLines w:val="0"/>
        <w:pageBreakBefore w:val="0"/>
        <w:widowControl w:val="0"/>
        <w:kinsoku/>
        <w:wordWrap/>
        <w:overflowPunct/>
        <w:topLinePunct w:val="0"/>
        <w:autoSpaceDE/>
        <w:autoSpaceDN/>
        <w:bidi w:val="0"/>
        <w:snapToGrid w:val="0"/>
        <w:spacing w:line="312" w:lineRule="auto"/>
        <w:ind w:left="420" w:leftChars="200" w:firstLine="3675" w:firstLineChars="1750"/>
        <w:textAlignment w:val="auto"/>
        <w:rPr>
          <w:rFonts w:ascii="宋体" w:hAnsi="宋体" w:cs="宋体"/>
          <w:color w:val="auto"/>
          <w:kern w:val="0"/>
          <w:sz w:val="21"/>
          <w:szCs w:val="21"/>
          <w:highlight w:val="none"/>
          <w:u w:val="single"/>
        </w:rPr>
      </w:pPr>
    </w:p>
    <w:p w14:paraId="272818C1">
      <w:pPr>
        <w:keepNext w:val="0"/>
        <w:keepLines w:val="0"/>
        <w:pageBreakBefore w:val="0"/>
        <w:widowControl w:val="0"/>
        <w:kinsoku/>
        <w:wordWrap/>
        <w:overflowPunct/>
        <w:topLinePunct w:val="0"/>
        <w:autoSpaceDE/>
        <w:autoSpaceDN/>
        <w:bidi w:val="0"/>
        <w:spacing w:line="312"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E602E6D">
      <w:pPr>
        <w:snapToGrid w:val="0"/>
        <w:spacing w:line="360" w:lineRule="auto"/>
        <w:jc w:val="center"/>
        <w:rPr>
          <w:rFonts w:ascii="宋体" w:hAnsi="宋体" w:cs="宋体"/>
          <w:b/>
          <w:color w:val="auto"/>
          <w:kern w:val="0"/>
          <w:sz w:val="32"/>
          <w:szCs w:val="32"/>
          <w:highlight w:val="none"/>
        </w:rPr>
      </w:pPr>
    </w:p>
    <w:p w14:paraId="15EEC4F1">
      <w:pPr>
        <w:snapToGrid w:val="0"/>
        <w:spacing w:line="360" w:lineRule="auto"/>
        <w:rPr>
          <w:rFonts w:ascii="宋体" w:hAnsi="宋体" w:cs="宋体"/>
          <w:color w:val="auto"/>
          <w:sz w:val="24"/>
          <w:highlight w:val="none"/>
        </w:rPr>
      </w:pPr>
    </w:p>
    <w:p w14:paraId="41851783"/>
    <w:p w14:paraId="31F91F9C">
      <w:pPr>
        <w:jc w:val="center"/>
        <w:rPr>
          <w:rFonts w:ascii="宋体" w:hAnsi="宋体" w:cs="宋体"/>
          <w:b/>
          <w:color w:val="auto"/>
          <w:kern w:val="0"/>
          <w:sz w:val="32"/>
          <w:szCs w:val="32"/>
          <w:highlight w:val="none"/>
        </w:rPr>
      </w:pPr>
    </w:p>
    <w:p w14:paraId="4DF2D6D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03B23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475DB0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A227A73">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7EE6BFB0">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558D0D6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0D0B02E">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775F42BC">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投标人名称(电子签名)：</w:t>
      </w:r>
    </w:p>
    <w:p w14:paraId="0FFAC29C">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4CA36EDF">
      <w:pPr>
        <w:snapToGrid w:val="0"/>
        <w:spacing w:line="360" w:lineRule="auto"/>
        <w:rPr>
          <w:rFonts w:ascii="宋体" w:hAnsi="宋体" w:cs="宋体"/>
          <w:color w:val="auto"/>
          <w:sz w:val="24"/>
          <w:highlight w:val="none"/>
        </w:rPr>
      </w:pPr>
    </w:p>
    <w:p w14:paraId="1C14308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47991A5">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447E2D9B">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rPr>
        <w:t>，所在单位：</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政府采购投标的一切事项，其法律后果由我方承担。</w:t>
      </w:r>
    </w:p>
    <w:p w14:paraId="660D5C6A">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5DBEB9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C5B8810">
      <w:pPr>
        <w:jc w:val="center"/>
        <w:rPr>
          <w:rFonts w:ascii="宋体" w:hAnsi="宋体" w:cs="宋体"/>
          <w:b/>
          <w:color w:val="auto"/>
          <w:kern w:val="0"/>
          <w:sz w:val="21"/>
          <w:szCs w:val="21"/>
          <w:highlight w:val="none"/>
        </w:rPr>
      </w:pPr>
    </w:p>
    <w:p w14:paraId="131094A3">
      <w:pPr>
        <w:rPr>
          <w:rFonts w:ascii="宋体" w:hAnsi="宋体" w:cs="宋体"/>
          <w:color w:val="auto"/>
          <w:szCs w:val="21"/>
          <w:highlight w:val="none"/>
        </w:rPr>
      </w:pPr>
    </w:p>
    <w:p w14:paraId="525A17B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6F227B7D">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E6F242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 w:val="21"/>
          <w:szCs w:val="21"/>
          <w:highlight w:val="none"/>
          <w:lang w:val="zh-CN"/>
        </w:rPr>
        <w:t>……</w:t>
      </w:r>
    </w:p>
    <w:p w14:paraId="7813BF7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7CFFDD4">
      <w:pPr>
        <w:autoSpaceDE w:val="0"/>
        <w:autoSpaceDN w:val="0"/>
        <w:spacing w:line="360" w:lineRule="auto"/>
        <w:jc w:val="center"/>
        <w:rPr>
          <w:rFonts w:ascii="宋体" w:hAnsi="宋体" w:cs="宋体"/>
          <w:b/>
          <w:color w:val="auto"/>
          <w:kern w:val="0"/>
          <w:sz w:val="32"/>
          <w:szCs w:val="32"/>
          <w:highlight w:val="none"/>
          <w:lang w:val="zh-CN"/>
        </w:rPr>
      </w:pPr>
    </w:p>
    <w:p w14:paraId="54F60223">
      <w:pPr>
        <w:autoSpaceDE w:val="0"/>
        <w:autoSpaceDN w:val="0"/>
        <w:spacing w:line="360" w:lineRule="auto"/>
        <w:jc w:val="center"/>
        <w:rPr>
          <w:rFonts w:ascii="宋体" w:hAnsi="宋体" w:cs="宋体"/>
          <w:b/>
          <w:color w:val="auto"/>
          <w:kern w:val="0"/>
          <w:sz w:val="32"/>
          <w:szCs w:val="32"/>
          <w:highlight w:val="none"/>
          <w:lang w:val="zh-CN"/>
        </w:rPr>
      </w:pPr>
    </w:p>
    <w:p w14:paraId="59E05533">
      <w:pPr>
        <w:autoSpaceDE w:val="0"/>
        <w:autoSpaceDN w:val="0"/>
        <w:spacing w:line="360" w:lineRule="auto"/>
        <w:jc w:val="center"/>
        <w:rPr>
          <w:rFonts w:ascii="宋体" w:hAnsi="宋体" w:cs="宋体"/>
          <w:b/>
          <w:color w:val="auto"/>
          <w:kern w:val="0"/>
          <w:sz w:val="32"/>
          <w:szCs w:val="32"/>
          <w:highlight w:val="none"/>
          <w:lang w:val="zh-CN"/>
        </w:rPr>
      </w:pPr>
    </w:p>
    <w:p w14:paraId="3A0142B8">
      <w:pPr>
        <w:autoSpaceDE w:val="0"/>
        <w:autoSpaceDN w:val="0"/>
        <w:spacing w:line="360" w:lineRule="auto"/>
        <w:jc w:val="center"/>
        <w:rPr>
          <w:rFonts w:hint="eastAsia" w:ascii="宋体" w:hAnsi="宋体" w:cs="宋体"/>
          <w:b/>
          <w:color w:val="auto"/>
          <w:kern w:val="0"/>
          <w:sz w:val="32"/>
          <w:szCs w:val="32"/>
          <w:highlight w:val="none"/>
          <w:lang w:val="zh-CN"/>
        </w:rPr>
      </w:pPr>
    </w:p>
    <w:p w14:paraId="2B462A8E">
      <w:pPr>
        <w:autoSpaceDE w:val="0"/>
        <w:autoSpaceDN w:val="0"/>
        <w:spacing w:line="360" w:lineRule="auto"/>
        <w:jc w:val="center"/>
        <w:rPr>
          <w:rFonts w:hint="eastAsia" w:ascii="宋体" w:hAnsi="宋体" w:cs="宋体"/>
          <w:b/>
          <w:color w:val="auto"/>
          <w:kern w:val="0"/>
          <w:sz w:val="32"/>
          <w:szCs w:val="32"/>
          <w:highlight w:val="none"/>
          <w:lang w:val="zh-CN"/>
        </w:rPr>
      </w:pPr>
    </w:p>
    <w:p w14:paraId="628F7C66">
      <w:pPr>
        <w:autoSpaceDE w:val="0"/>
        <w:autoSpaceDN w:val="0"/>
        <w:spacing w:line="360" w:lineRule="auto"/>
        <w:jc w:val="center"/>
        <w:rPr>
          <w:rFonts w:hint="eastAsia" w:ascii="宋体" w:hAnsi="宋体" w:cs="宋体"/>
          <w:b/>
          <w:color w:val="auto"/>
          <w:kern w:val="0"/>
          <w:sz w:val="32"/>
          <w:szCs w:val="32"/>
          <w:highlight w:val="none"/>
          <w:lang w:val="zh-CN"/>
        </w:rPr>
      </w:pPr>
    </w:p>
    <w:p w14:paraId="0ED362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FCAE9D5">
      <w:pPr>
        <w:pStyle w:val="3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BB4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0204C3">
            <w:pPr>
              <w:pStyle w:val="3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B00AAC8">
            <w:pPr>
              <w:pStyle w:val="33"/>
              <w:adjustRightInd w:val="0"/>
              <w:spacing w:line="360" w:lineRule="auto"/>
              <w:rPr>
                <w:rFonts w:hAnsi="宋体" w:cs="宋体"/>
                <w:bCs/>
                <w:color w:val="auto"/>
                <w:sz w:val="24"/>
                <w:highlight w:val="none"/>
              </w:rPr>
            </w:pPr>
          </w:p>
        </w:tc>
      </w:tr>
    </w:tbl>
    <w:p w14:paraId="5DC2EA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A2919F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4C7B30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EC112F6">
      <w:pPr>
        <w:jc w:val="center"/>
        <w:rPr>
          <w:rFonts w:ascii="宋体" w:hAnsi="宋体" w:cs="宋体"/>
          <w:b/>
          <w:color w:val="auto"/>
          <w:kern w:val="0"/>
          <w:sz w:val="32"/>
          <w:szCs w:val="32"/>
          <w:highlight w:val="none"/>
        </w:rPr>
      </w:pPr>
    </w:p>
    <w:p w14:paraId="0E0ADBC6">
      <w:pPr>
        <w:jc w:val="center"/>
        <w:rPr>
          <w:rFonts w:ascii="宋体" w:hAnsi="宋体" w:cs="宋体"/>
          <w:b/>
          <w:color w:val="auto"/>
          <w:kern w:val="0"/>
          <w:sz w:val="32"/>
          <w:szCs w:val="32"/>
          <w:highlight w:val="none"/>
        </w:rPr>
      </w:pPr>
    </w:p>
    <w:p w14:paraId="0554A98B">
      <w:pPr>
        <w:jc w:val="center"/>
        <w:rPr>
          <w:rFonts w:ascii="宋体" w:hAnsi="宋体" w:cs="宋体"/>
          <w:b/>
          <w:color w:val="auto"/>
          <w:kern w:val="0"/>
          <w:sz w:val="32"/>
          <w:szCs w:val="32"/>
          <w:highlight w:val="none"/>
        </w:rPr>
      </w:pPr>
    </w:p>
    <w:p w14:paraId="4072329C">
      <w:pPr>
        <w:jc w:val="center"/>
        <w:rPr>
          <w:rFonts w:ascii="宋体" w:hAnsi="宋体" w:cs="宋体"/>
          <w:b/>
          <w:color w:val="auto"/>
          <w:kern w:val="0"/>
          <w:sz w:val="32"/>
          <w:szCs w:val="32"/>
          <w:highlight w:val="none"/>
        </w:rPr>
      </w:pPr>
    </w:p>
    <w:p w14:paraId="3949578B">
      <w:pPr>
        <w:jc w:val="center"/>
        <w:rPr>
          <w:rFonts w:ascii="宋体" w:hAnsi="宋体" w:cs="宋体"/>
          <w:b/>
          <w:color w:val="auto"/>
          <w:kern w:val="0"/>
          <w:sz w:val="32"/>
          <w:szCs w:val="32"/>
          <w:highlight w:val="none"/>
        </w:rPr>
      </w:pPr>
    </w:p>
    <w:p w14:paraId="3D92D93B">
      <w:pPr>
        <w:jc w:val="center"/>
        <w:rPr>
          <w:rFonts w:ascii="宋体" w:hAnsi="宋体" w:cs="宋体"/>
          <w:b/>
          <w:color w:val="auto"/>
          <w:kern w:val="0"/>
          <w:sz w:val="32"/>
          <w:szCs w:val="32"/>
          <w:highlight w:val="none"/>
        </w:rPr>
      </w:pPr>
    </w:p>
    <w:p w14:paraId="201065C3">
      <w:pPr>
        <w:jc w:val="center"/>
        <w:rPr>
          <w:rFonts w:ascii="宋体" w:hAnsi="宋体" w:cs="宋体"/>
          <w:b/>
          <w:color w:val="auto"/>
          <w:kern w:val="0"/>
          <w:sz w:val="32"/>
          <w:szCs w:val="32"/>
          <w:highlight w:val="none"/>
        </w:rPr>
      </w:pPr>
    </w:p>
    <w:p w14:paraId="7EDD4573">
      <w:pPr>
        <w:jc w:val="center"/>
        <w:rPr>
          <w:rFonts w:ascii="宋体" w:hAnsi="宋体" w:cs="宋体"/>
          <w:b/>
          <w:color w:val="auto"/>
          <w:kern w:val="0"/>
          <w:sz w:val="32"/>
          <w:szCs w:val="32"/>
          <w:highlight w:val="none"/>
        </w:rPr>
      </w:pPr>
    </w:p>
    <w:p w14:paraId="006DEC56">
      <w:pPr>
        <w:jc w:val="center"/>
        <w:rPr>
          <w:rFonts w:ascii="宋体" w:hAnsi="宋体" w:cs="宋体"/>
          <w:b/>
          <w:color w:val="auto"/>
          <w:kern w:val="0"/>
          <w:sz w:val="32"/>
          <w:szCs w:val="32"/>
          <w:highlight w:val="none"/>
        </w:rPr>
      </w:pPr>
    </w:p>
    <w:p w14:paraId="218AA958">
      <w:pPr>
        <w:jc w:val="center"/>
        <w:rPr>
          <w:rFonts w:ascii="宋体" w:hAnsi="宋体" w:cs="宋体"/>
          <w:b/>
          <w:color w:val="auto"/>
          <w:kern w:val="0"/>
          <w:sz w:val="32"/>
          <w:szCs w:val="32"/>
          <w:highlight w:val="none"/>
        </w:rPr>
      </w:pPr>
    </w:p>
    <w:p w14:paraId="5E07548E">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EF0A8D">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30847E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BA5A6F0">
      <w:pPr>
        <w:snapToGrid w:val="0"/>
        <w:spacing w:line="360" w:lineRule="auto"/>
        <w:rPr>
          <w:rFonts w:ascii="宋体" w:hAnsi="宋体" w:cs="宋体"/>
          <w:color w:val="auto"/>
          <w:kern w:val="0"/>
          <w:sz w:val="24"/>
          <w:highlight w:val="none"/>
        </w:rPr>
      </w:pPr>
    </w:p>
    <w:p w14:paraId="70FE987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310B5C0">
      <w:pPr>
        <w:jc w:val="center"/>
        <w:rPr>
          <w:rFonts w:ascii="宋体" w:hAnsi="宋体" w:cs="宋体"/>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C81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E5CBA2">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3638A004">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900824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5A404EEB">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投标文件中的</w:t>
            </w:r>
          </w:p>
          <w:p w14:paraId="26057CE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3187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27B16F">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39D4A59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投标文件按照招标文件要求签署、盖章。</w:t>
            </w:r>
          </w:p>
        </w:tc>
        <w:tc>
          <w:tcPr>
            <w:tcW w:w="2551" w:type="dxa"/>
            <w:vAlign w:val="center"/>
          </w:tcPr>
          <w:p w14:paraId="34A0A2A6">
            <w:pPr>
              <w:jc w:val="cente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需要使用电子签名或者签字盖章的投标文件的组成部分</w:t>
            </w:r>
          </w:p>
        </w:tc>
        <w:tc>
          <w:tcPr>
            <w:tcW w:w="1418" w:type="dxa"/>
            <w:vAlign w:val="center"/>
          </w:tcPr>
          <w:p w14:paraId="6052DF5D">
            <w:pPr>
              <w:jc w:val="center"/>
              <w:rPr>
                <w:rFonts w:ascii="宋体" w:hAnsi="宋体" w:cs="宋体"/>
                <w:color w:val="auto"/>
                <w:sz w:val="21"/>
                <w:szCs w:val="21"/>
                <w:highlight w:val="none"/>
              </w:rPr>
            </w:pPr>
          </w:p>
          <w:p w14:paraId="4FB2900F">
            <w:pPr>
              <w:jc w:val="center"/>
              <w:rPr>
                <w:rFonts w:ascii="宋体" w:hAnsi="宋体" w:cs="宋体"/>
                <w:color w:val="auto"/>
                <w:sz w:val="21"/>
                <w:szCs w:val="21"/>
                <w:highlight w:val="none"/>
              </w:rPr>
            </w:pPr>
            <w:r>
              <w:rPr>
                <w:rFonts w:hint="eastAsia" w:ascii="宋体" w:hAnsi="宋体" w:cs="宋体"/>
                <w:color w:val="auto"/>
                <w:sz w:val="21"/>
                <w:szCs w:val="21"/>
                <w:highlight w:val="none"/>
              </w:rPr>
              <w:t>见投标文件</w:t>
            </w:r>
          </w:p>
          <w:p w14:paraId="246BD4B0">
            <w:pPr>
              <w:jc w:val="center"/>
              <w:rPr>
                <w:rFonts w:ascii="宋体" w:hAnsi="宋体" w:cs="宋体"/>
                <w:color w:val="auto"/>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1CA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13FC16">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739BA38B">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投标文件中承诺的投标有效期不少于招标文件中载明的投标有效期。</w:t>
            </w:r>
          </w:p>
        </w:tc>
        <w:tc>
          <w:tcPr>
            <w:tcW w:w="2551" w:type="dxa"/>
            <w:vAlign w:val="center"/>
          </w:tcPr>
          <w:p w14:paraId="450129CD">
            <w:pPr>
              <w:jc w:val="center"/>
              <w:rPr>
                <w:rFonts w:ascii="宋体" w:hAnsi="宋体" w:cs="宋体"/>
                <w:color w:val="auto"/>
                <w:sz w:val="21"/>
                <w:szCs w:val="21"/>
                <w:highlight w:val="none"/>
              </w:rPr>
            </w:pPr>
            <w:r>
              <w:rPr>
                <w:rFonts w:hint="eastAsia" w:ascii="宋体" w:hAnsi="宋体" w:cs="宋体"/>
                <w:color w:val="auto"/>
                <w:sz w:val="21"/>
                <w:szCs w:val="21"/>
                <w:highlight w:val="none"/>
              </w:rPr>
              <w:t>投标函</w:t>
            </w:r>
          </w:p>
        </w:tc>
        <w:tc>
          <w:tcPr>
            <w:tcW w:w="1418" w:type="dxa"/>
            <w:vAlign w:val="center"/>
          </w:tcPr>
          <w:p w14:paraId="7ED00DF9">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0FBF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304DFB">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1DC77AF7">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投标文件满足招标文件的其它实质性要求。</w:t>
            </w:r>
          </w:p>
        </w:tc>
        <w:tc>
          <w:tcPr>
            <w:tcW w:w="2551" w:type="dxa"/>
            <w:vAlign w:val="center"/>
          </w:tcPr>
          <w:p w14:paraId="25D95E46">
            <w:pPr>
              <w:jc w:val="center"/>
              <w:rPr>
                <w:rFonts w:ascii="宋体" w:hAnsi="宋体" w:cs="宋体"/>
                <w:color w:val="auto"/>
                <w:sz w:val="21"/>
                <w:szCs w:val="21"/>
                <w:highlight w:val="none"/>
              </w:rPr>
            </w:pPr>
            <w:r>
              <w:rPr>
                <w:rFonts w:hint="eastAsia" w:ascii="宋体" w:hAnsi="宋体" w:cs="宋体"/>
                <w:color w:val="auto"/>
                <w:kern w:val="0"/>
                <w:sz w:val="21"/>
                <w:szCs w:val="21"/>
                <w:highlight w:val="none"/>
              </w:rPr>
              <w:t>招标文件其它实质性要求相应的材料（“▲” 系指实质性要求条款，招标文件无其它实质性要求的，无需提供）</w:t>
            </w:r>
          </w:p>
        </w:tc>
        <w:tc>
          <w:tcPr>
            <w:tcW w:w="1418" w:type="dxa"/>
            <w:vAlign w:val="center"/>
          </w:tcPr>
          <w:p w14:paraId="78F7E926">
            <w:pPr>
              <w:jc w:val="center"/>
              <w:rPr>
                <w:rFonts w:ascii="宋体" w:hAnsi="宋体" w:cs="宋体"/>
                <w:color w:val="auto"/>
                <w:szCs w:val="21"/>
                <w:highlight w:val="none"/>
              </w:rPr>
            </w:pPr>
            <w:r>
              <w:rPr>
                <w:rFonts w:hint="eastAsia" w:ascii="宋体" w:hAnsi="宋体" w:cs="宋体"/>
                <w:color w:val="auto"/>
                <w:sz w:val="21"/>
                <w:szCs w:val="21"/>
                <w:highlight w:val="none"/>
              </w:rPr>
              <w:t>见投标文件第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5CD89C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82F752">
      <w:pPr>
        <w:jc w:val="center"/>
        <w:rPr>
          <w:rFonts w:ascii="宋体" w:hAnsi="宋体" w:cs="宋体"/>
          <w:b/>
          <w:color w:val="auto"/>
          <w:kern w:val="0"/>
          <w:sz w:val="32"/>
          <w:szCs w:val="32"/>
          <w:highlight w:val="none"/>
        </w:rPr>
      </w:pPr>
    </w:p>
    <w:p w14:paraId="2A0FD05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D911FB">
      <w:pPr>
        <w:jc w:val="center"/>
        <w:rPr>
          <w:rFonts w:ascii="宋体" w:hAnsi="宋体" w:cs="宋体"/>
          <w:b/>
          <w:color w:val="auto"/>
          <w:kern w:val="0"/>
          <w:sz w:val="32"/>
          <w:szCs w:val="32"/>
          <w:highlight w:val="none"/>
        </w:rPr>
      </w:pPr>
    </w:p>
    <w:p w14:paraId="65E2FB9A">
      <w:pPr>
        <w:jc w:val="center"/>
        <w:rPr>
          <w:rFonts w:ascii="宋体" w:hAnsi="宋体" w:cs="宋体"/>
          <w:b/>
          <w:color w:val="auto"/>
          <w:kern w:val="0"/>
          <w:sz w:val="32"/>
          <w:szCs w:val="32"/>
          <w:highlight w:val="none"/>
        </w:rPr>
      </w:pPr>
    </w:p>
    <w:p w14:paraId="59BB2270">
      <w:pPr>
        <w:jc w:val="center"/>
        <w:rPr>
          <w:rFonts w:ascii="宋体" w:hAnsi="宋体" w:cs="宋体"/>
          <w:b/>
          <w:color w:val="auto"/>
          <w:kern w:val="0"/>
          <w:sz w:val="32"/>
          <w:szCs w:val="32"/>
          <w:highlight w:val="none"/>
        </w:rPr>
      </w:pPr>
    </w:p>
    <w:p w14:paraId="7DBA006D">
      <w:pPr>
        <w:jc w:val="center"/>
        <w:rPr>
          <w:rFonts w:ascii="宋体" w:hAnsi="宋体" w:cs="宋体"/>
          <w:b/>
          <w:color w:val="auto"/>
          <w:kern w:val="0"/>
          <w:sz w:val="32"/>
          <w:szCs w:val="32"/>
          <w:highlight w:val="none"/>
        </w:rPr>
      </w:pPr>
    </w:p>
    <w:p w14:paraId="3DDD9378">
      <w:pPr>
        <w:jc w:val="center"/>
        <w:rPr>
          <w:rFonts w:ascii="宋体" w:hAnsi="宋体" w:cs="宋体"/>
          <w:b/>
          <w:color w:val="auto"/>
          <w:kern w:val="0"/>
          <w:sz w:val="32"/>
          <w:szCs w:val="32"/>
          <w:highlight w:val="none"/>
        </w:rPr>
      </w:pPr>
    </w:p>
    <w:p w14:paraId="157FE048">
      <w:pPr>
        <w:jc w:val="center"/>
        <w:rPr>
          <w:rFonts w:ascii="宋体" w:hAnsi="宋体" w:cs="宋体"/>
          <w:b/>
          <w:color w:val="auto"/>
          <w:kern w:val="0"/>
          <w:sz w:val="32"/>
          <w:szCs w:val="32"/>
          <w:highlight w:val="none"/>
        </w:rPr>
      </w:pPr>
    </w:p>
    <w:p w14:paraId="0000179B">
      <w:pPr>
        <w:jc w:val="center"/>
        <w:rPr>
          <w:rFonts w:ascii="宋体" w:hAnsi="宋体" w:cs="宋体"/>
          <w:b/>
          <w:color w:val="auto"/>
          <w:kern w:val="0"/>
          <w:sz w:val="32"/>
          <w:szCs w:val="32"/>
          <w:highlight w:val="none"/>
        </w:rPr>
      </w:pPr>
    </w:p>
    <w:p w14:paraId="31B57ED2">
      <w:pPr>
        <w:jc w:val="center"/>
        <w:rPr>
          <w:rFonts w:ascii="宋体" w:hAnsi="宋体" w:cs="宋体"/>
          <w:b/>
          <w:color w:val="auto"/>
          <w:kern w:val="0"/>
          <w:sz w:val="32"/>
          <w:szCs w:val="32"/>
          <w:highlight w:val="none"/>
        </w:rPr>
      </w:pPr>
    </w:p>
    <w:p w14:paraId="16EECED7">
      <w:pPr>
        <w:pStyle w:val="2"/>
        <w:ind w:left="0" w:leftChars="0" w:firstLine="0" w:firstLineChars="0"/>
      </w:pPr>
    </w:p>
    <w:p w14:paraId="242A6951">
      <w:pPr>
        <w:jc w:val="center"/>
        <w:rPr>
          <w:rFonts w:ascii="宋体" w:hAnsi="宋体" w:cs="宋体"/>
          <w:b/>
          <w:color w:val="auto"/>
          <w:kern w:val="0"/>
          <w:sz w:val="32"/>
          <w:szCs w:val="32"/>
          <w:highlight w:val="none"/>
        </w:rPr>
      </w:pPr>
    </w:p>
    <w:p w14:paraId="31A85A91">
      <w:pPr>
        <w:jc w:val="center"/>
        <w:rPr>
          <w:rFonts w:hint="eastAsia" w:ascii="宋体" w:hAnsi="宋体" w:cs="宋体"/>
          <w:b/>
          <w:color w:val="auto"/>
          <w:kern w:val="0"/>
          <w:sz w:val="32"/>
          <w:szCs w:val="32"/>
          <w:highlight w:val="none"/>
        </w:rPr>
      </w:pPr>
    </w:p>
    <w:p w14:paraId="222242AD">
      <w:pPr>
        <w:jc w:val="center"/>
        <w:rPr>
          <w:rFonts w:hint="eastAsia" w:ascii="宋体" w:hAnsi="宋体" w:cs="宋体"/>
          <w:b/>
          <w:color w:val="auto"/>
          <w:kern w:val="0"/>
          <w:sz w:val="32"/>
          <w:szCs w:val="32"/>
          <w:highlight w:val="none"/>
        </w:rPr>
      </w:pPr>
    </w:p>
    <w:p w14:paraId="4DC21BAA">
      <w:pPr>
        <w:jc w:val="center"/>
        <w:rPr>
          <w:rFonts w:hint="eastAsia" w:ascii="宋体" w:hAnsi="宋体" w:cs="宋体"/>
          <w:b/>
          <w:color w:val="auto"/>
          <w:kern w:val="0"/>
          <w:sz w:val="32"/>
          <w:szCs w:val="32"/>
          <w:highlight w:val="none"/>
        </w:rPr>
      </w:pPr>
    </w:p>
    <w:p w14:paraId="23205887">
      <w:pPr>
        <w:jc w:val="center"/>
        <w:rPr>
          <w:rFonts w:hint="eastAsia" w:ascii="宋体" w:hAnsi="宋体" w:cs="宋体"/>
          <w:b/>
          <w:color w:val="auto"/>
          <w:kern w:val="0"/>
          <w:sz w:val="32"/>
          <w:szCs w:val="32"/>
          <w:highlight w:val="none"/>
        </w:rPr>
      </w:pPr>
    </w:p>
    <w:p w14:paraId="5B135767">
      <w:pPr>
        <w:jc w:val="center"/>
        <w:rPr>
          <w:rFonts w:hint="eastAsia" w:ascii="宋体" w:hAnsi="宋体" w:cs="宋体"/>
          <w:b/>
          <w:color w:val="auto"/>
          <w:kern w:val="0"/>
          <w:sz w:val="32"/>
          <w:szCs w:val="32"/>
          <w:highlight w:val="none"/>
        </w:rPr>
      </w:pPr>
    </w:p>
    <w:p w14:paraId="3D0CD504">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A3A36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019778">
      <w:pPr>
        <w:jc w:val="center"/>
        <w:rPr>
          <w:rFonts w:ascii="宋体" w:hAnsi="宋体" w:cs="宋体"/>
          <w:b/>
          <w:color w:val="auto"/>
          <w:kern w:val="0"/>
          <w:sz w:val="32"/>
          <w:szCs w:val="32"/>
          <w:highlight w:val="none"/>
        </w:rPr>
      </w:pPr>
    </w:p>
    <w:p w14:paraId="18BDD7DE">
      <w:pPr>
        <w:jc w:val="center"/>
        <w:rPr>
          <w:rFonts w:ascii="宋体" w:hAnsi="宋体" w:cs="宋体"/>
          <w:b/>
          <w:color w:val="auto"/>
          <w:kern w:val="0"/>
          <w:sz w:val="32"/>
          <w:szCs w:val="32"/>
          <w:highlight w:val="none"/>
        </w:rPr>
      </w:pPr>
    </w:p>
    <w:p w14:paraId="13CEF8DE">
      <w:pPr>
        <w:jc w:val="center"/>
        <w:rPr>
          <w:rFonts w:ascii="宋体" w:hAnsi="宋体" w:cs="宋体"/>
          <w:b/>
          <w:color w:val="auto"/>
          <w:kern w:val="0"/>
          <w:sz w:val="32"/>
          <w:szCs w:val="32"/>
          <w:highlight w:val="none"/>
        </w:rPr>
      </w:pPr>
    </w:p>
    <w:p w14:paraId="42B1D2F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9E5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9F1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62291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2323E11">
            <w:pPr>
              <w:spacing w:line="360" w:lineRule="auto"/>
              <w:jc w:val="center"/>
              <w:rPr>
                <w:rFonts w:ascii="宋体" w:hAnsi="宋体" w:cs="宋体"/>
                <w:b/>
                <w:color w:val="auto"/>
                <w:sz w:val="24"/>
                <w:highlight w:val="none"/>
              </w:rPr>
            </w:pPr>
          </w:p>
          <w:p w14:paraId="343ECF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A73AB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618AC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DEA3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8F0424E">
            <w:pPr>
              <w:spacing w:line="360" w:lineRule="auto"/>
              <w:jc w:val="center"/>
              <w:rPr>
                <w:rFonts w:ascii="宋体" w:hAnsi="宋体" w:cs="宋体"/>
                <w:b/>
                <w:color w:val="auto"/>
                <w:sz w:val="24"/>
                <w:highlight w:val="none"/>
              </w:rPr>
            </w:pPr>
          </w:p>
          <w:p w14:paraId="0249F7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39C4FFA">
            <w:pPr>
              <w:spacing w:line="360" w:lineRule="auto"/>
              <w:jc w:val="center"/>
              <w:rPr>
                <w:rFonts w:ascii="宋体" w:hAnsi="宋体" w:cs="宋体"/>
                <w:b/>
                <w:color w:val="auto"/>
                <w:sz w:val="24"/>
                <w:highlight w:val="none"/>
              </w:rPr>
            </w:pPr>
          </w:p>
        </w:tc>
      </w:tr>
      <w:tr w14:paraId="6F1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3914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325EF7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5D12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20638F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8FB0A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A8D9E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747850C">
            <w:pPr>
              <w:spacing w:line="360" w:lineRule="auto"/>
              <w:jc w:val="center"/>
              <w:rPr>
                <w:rFonts w:ascii="宋体" w:hAnsi="宋体" w:cs="宋体"/>
                <w:color w:val="auto"/>
                <w:sz w:val="24"/>
                <w:highlight w:val="none"/>
              </w:rPr>
            </w:pPr>
          </w:p>
        </w:tc>
      </w:tr>
      <w:tr w14:paraId="5283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2B5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11BF3F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80290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08731F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E852C9C">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2B3FC4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48F281">
            <w:pPr>
              <w:spacing w:line="360" w:lineRule="auto"/>
              <w:jc w:val="center"/>
              <w:rPr>
                <w:rFonts w:ascii="宋体" w:hAnsi="宋体" w:cs="宋体"/>
                <w:color w:val="auto"/>
                <w:sz w:val="24"/>
                <w:highlight w:val="none"/>
              </w:rPr>
            </w:pPr>
          </w:p>
        </w:tc>
      </w:tr>
      <w:tr w14:paraId="727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2243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914EB6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ED2AC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C51EA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0A86E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EE4C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0D8F430">
            <w:pPr>
              <w:spacing w:line="360" w:lineRule="auto"/>
              <w:jc w:val="center"/>
              <w:rPr>
                <w:rFonts w:ascii="宋体" w:hAnsi="宋体" w:cs="宋体"/>
                <w:color w:val="auto"/>
                <w:sz w:val="24"/>
                <w:highlight w:val="none"/>
              </w:rPr>
            </w:pPr>
          </w:p>
        </w:tc>
      </w:tr>
    </w:tbl>
    <w:p w14:paraId="4D392D4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823EA3">
      <w:pPr>
        <w:jc w:val="center"/>
        <w:rPr>
          <w:rFonts w:ascii="宋体" w:hAnsi="宋体" w:cs="宋体"/>
          <w:b/>
          <w:color w:val="auto"/>
          <w:kern w:val="0"/>
          <w:sz w:val="32"/>
          <w:szCs w:val="32"/>
          <w:highlight w:val="none"/>
        </w:rPr>
      </w:pPr>
    </w:p>
    <w:p w14:paraId="38112E67">
      <w:pPr>
        <w:jc w:val="center"/>
        <w:rPr>
          <w:rFonts w:ascii="宋体" w:hAnsi="宋体" w:cs="宋体"/>
          <w:b/>
          <w:color w:val="auto"/>
          <w:kern w:val="0"/>
          <w:sz w:val="32"/>
          <w:szCs w:val="32"/>
          <w:highlight w:val="none"/>
        </w:rPr>
      </w:pPr>
    </w:p>
    <w:p w14:paraId="326FA688">
      <w:pPr>
        <w:jc w:val="center"/>
        <w:rPr>
          <w:rFonts w:hint="eastAsia" w:ascii="宋体" w:hAnsi="宋体" w:cs="宋体"/>
          <w:b/>
          <w:color w:val="auto"/>
          <w:kern w:val="0"/>
          <w:sz w:val="32"/>
          <w:szCs w:val="32"/>
          <w:highlight w:val="none"/>
        </w:rPr>
      </w:pPr>
    </w:p>
    <w:p w14:paraId="100D3341">
      <w:pPr>
        <w:jc w:val="center"/>
        <w:rPr>
          <w:rFonts w:hint="eastAsia" w:ascii="宋体" w:hAnsi="宋体" w:cs="宋体"/>
          <w:b/>
          <w:color w:val="auto"/>
          <w:kern w:val="0"/>
          <w:sz w:val="32"/>
          <w:szCs w:val="32"/>
          <w:highlight w:val="none"/>
        </w:rPr>
      </w:pPr>
    </w:p>
    <w:p w14:paraId="6CB0F6CF">
      <w:pPr>
        <w:jc w:val="center"/>
        <w:rPr>
          <w:rFonts w:hint="eastAsia" w:ascii="宋体" w:hAnsi="宋体" w:cs="宋体"/>
          <w:b/>
          <w:color w:val="auto"/>
          <w:kern w:val="0"/>
          <w:sz w:val="32"/>
          <w:szCs w:val="32"/>
          <w:highlight w:val="none"/>
        </w:rPr>
      </w:pPr>
    </w:p>
    <w:p w14:paraId="0E189518">
      <w:pPr>
        <w:jc w:val="center"/>
        <w:rPr>
          <w:rFonts w:hint="eastAsia" w:ascii="宋体" w:hAnsi="宋体" w:cs="宋体"/>
          <w:b/>
          <w:color w:val="auto"/>
          <w:kern w:val="0"/>
          <w:sz w:val="32"/>
          <w:szCs w:val="32"/>
          <w:highlight w:val="none"/>
        </w:rPr>
      </w:pPr>
    </w:p>
    <w:p w14:paraId="169E8723">
      <w:pPr>
        <w:jc w:val="center"/>
        <w:rPr>
          <w:rFonts w:hint="eastAsia" w:ascii="宋体" w:hAnsi="宋体" w:cs="宋体"/>
          <w:b/>
          <w:color w:val="auto"/>
          <w:kern w:val="0"/>
          <w:sz w:val="32"/>
          <w:szCs w:val="32"/>
          <w:highlight w:val="none"/>
        </w:rPr>
      </w:pPr>
    </w:p>
    <w:p w14:paraId="6B752079">
      <w:pPr>
        <w:jc w:val="center"/>
        <w:rPr>
          <w:rFonts w:hint="eastAsia" w:ascii="宋体" w:hAnsi="宋体" w:cs="宋体"/>
          <w:b/>
          <w:color w:val="auto"/>
          <w:kern w:val="0"/>
          <w:sz w:val="32"/>
          <w:szCs w:val="32"/>
          <w:highlight w:val="none"/>
        </w:rPr>
      </w:pPr>
    </w:p>
    <w:p w14:paraId="3E20723C">
      <w:pPr>
        <w:jc w:val="center"/>
        <w:rPr>
          <w:rFonts w:hint="eastAsia" w:ascii="宋体" w:hAnsi="宋体" w:cs="宋体"/>
          <w:b/>
          <w:color w:val="auto"/>
          <w:kern w:val="0"/>
          <w:sz w:val="32"/>
          <w:szCs w:val="32"/>
          <w:highlight w:val="none"/>
        </w:rPr>
      </w:pPr>
    </w:p>
    <w:p w14:paraId="15B7A1D6">
      <w:pPr>
        <w:jc w:val="center"/>
        <w:rPr>
          <w:rFonts w:hint="eastAsia" w:ascii="宋体" w:hAnsi="宋体" w:cs="宋体"/>
          <w:b/>
          <w:color w:val="auto"/>
          <w:kern w:val="0"/>
          <w:sz w:val="32"/>
          <w:szCs w:val="32"/>
          <w:highlight w:val="none"/>
        </w:rPr>
      </w:pPr>
    </w:p>
    <w:p w14:paraId="421A24BE">
      <w:pPr>
        <w:jc w:val="center"/>
        <w:rPr>
          <w:rFonts w:hint="eastAsia" w:ascii="宋体" w:hAnsi="宋体" w:cs="宋体"/>
          <w:b/>
          <w:color w:val="auto"/>
          <w:kern w:val="0"/>
          <w:sz w:val="32"/>
          <w:szCs w:val="32"/>
          <w:highlight w:val="none"/>
        </w:rPr>
      </w:pPr>
    </w:p>
    <w:p w14:paraId="0203DF5F">
      <w:pPr>
        <w:jc w:val="center"/>
        <w:rPr>
          <w:rFonts w:hint="eastAsia" w:ascii="宋体" w:hAnsi="宋体" w:cs="宋体"/>
          <w:b/>
          <w:color w:val="auto"/>
          <w:kern w:val="0"/>
          <w:sz w:val="32"/>
          <w:szCs w:val="32"/>
          <w:highlight w:val="none"/>
        </w:rPr>
      </w:pPr>
    </w:p>
    <w:p w14:paraId="654154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5508"/>
        <w:gridCol w:w="1724"/>
        <w:gridCol w:w="1274"/>
      </w:tblGrid>
      <w:tr w14:paraId="4D23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1ABC1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5508" w:type="dxa"/>
            <w:vAlign w:val="center"/>
          </w:tcPr>
          <w:p w14:paraId="7134649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724" w:type="dxa"/>
            <w:vAlign w:val="center"/>
          </w:tcPr>
          <w:p w14:paraId="2F742EA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4" w:type="dxa"/>
            <w:vAlign w:val="center"/>
          </w:tcPr>
          <w:p w14:paraId="6C9AC0A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7E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14:paraId="72800885">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5508" w:type="dxa"/>
          </w:tcPr>
          <w:p w14:paraId="6946F3FB">
            <w:pPr>
              <w:keepNext w:val="0"/>
              <w:keepLines w:val="0"/>
              <w:pageBreakBefore w:val="0"/>
              <w:wordWrap/>
              <w:topLinePunct w:val="0"/>
              <w:bidi w:val="0"/>
              <w:spacing w:beforeLines="0" w:afterLines="0" w:line="360" w:lineRule="auto"/>
              <w:rPr>
                <w:rFonts w:ascii="宋体" w:hAnsi="宋体" w:cs="宋体"/>
                <w:b/>
                <w:color w:val="auto"/>
                <w:kern w:val="0"/>
                <w:sz w:val="21"/>
                <w:szCs w:val="21"/>
                <w:highlight w:val="none"/>
              </w:rPr>
            </w:pP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对食堂运营所产生的费用：包括但不限于食品加工费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设备设施更换与新增费、设备设施维修费</w:t>
            </w:r>
            <w:r>
              <w:rPr>
                <w:rFonts w:hint="eastAsia" w:ascii="宋体" w:hAnsi="宋体" w:cs="宋体"/>
                <w:color w:val="auto"/>
                <w:sz w:val="21"/>
                <w:szCs w:val="21"/>
                <w:highlight w:val="none"/>
                <w:lang w:val="en-US" w:eastAsia="zh-CN"/>
              </w:rPr>
              <w:t>、人员工资费用（工资、津贴）、人员综合费用（各种社会保险、福利、服装费、培训费等）、各种规费、管理费和税金等</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 xml:space="preserve">    </w:t>
            </w:r>
          </w:p>
        </w:tc>
        <w:tc>
          <w:tcPr>
            <w:tcW w:w="1724" w:type="dxa"/>
          </w:tcPr>
          <w:p w14:paraId="1CBC3604">
            <w:pPr>
              <w:jc w:val="center"/>
              <w:rPr>
                <w:rFonts w:ascii="宋体" w:hAnsi="宋体" w:cs="宋体"/>
                <w:b/>
                <w:color w:val="auto"/>
                <w:kern w:val="0"/>
                <w:sz w:val="21"/>
                <w:szCs w:val="21"/>
                <w:highlight w:val="none"/>
              </w:rPr>
            </w:pPr>
          </w:p>
        </w:tc>
        <w:tc>
          <w:tcPr>
            <w:tcW w:w="1274" w:type="dxa"/>
          </w:tcPr>
          <w:p w14:paraId="3303CC6F">
            <w:pPr>
              <w:jc w:val="center"/>
              <w:rPr>
                <w:rFonts w:ascii="宋体" w:hAnsi="宋体" w:cs="宋体"/>
                <w:b/>
                <w:color w:val="auto"/>
                <w:kern w:val="0"/>
                <w:sz w:val="21"/>
                <w:szCs w:val="21"/>
                <w:highlight w:val="none"/>
              </w:rPr>
            </w:pPr>
          </w:p>
        </w:tc>
      </w:tr>
      <w:tr w14:paraId="0796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26FF21A">
            <w:pPr>
              <w:jc w:val="center"/>
              <w:rPr>
                <w:rFonts w:hint="eastAsia" w:ascii="宋体" w:hAnsi="宋体" w:cs="宋体"/>
                <w:color w:val="auto"/>
                <w:sz w:val="21"/>
                <w:szCs w:val="21"/>
                <w:highlight w:val="none"/>
                <w:lang w:val="en-US" w:eastAsia="zh-CN"/>
              </w:rPr>
            </w:pPr>
          </w:p>
          <w:p w14:paraId="3343CD34">
            <w:pPr>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508" w:type="dxa"/>
          </w:tcPr>
          <w:p w14:paraId="12FACFEF">
            <w:pPr>
              <w:keepNext w:val="0"/>
              <w:keepLines w:val="0"/>
              <w:pageBreakBefore w:val="0"/>
              <w:wordWrap/>
              <w:topLinePunct w:val="0"/>
              <w:bidi w:val="0"/>
              <w:spacing w:beforeLines="0" w:afterLines="0" w:line="36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采购人应承担的费用：食品原材料费、粮油费、调料费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能耗费用</w:t>
            </w:r>
            <w:r>
              <w:rPr>
                <w:rFonts w:hint="eastAsia" w:ascii="宋体" w:hAnsi="宋体" w:cs="宋体"/>
                <w:color w:val="auto"/>
                <w:sz w:val="21"/>
                <w:szCs w:val="21"/>
                <w:highlight w:val="none"/>
                <w:lang w:val="en-US" w:eastAsia="zh-CN"/>
              </w:rPr>
              <w:t>（水、电、燃气等）、</w:t>
            </w:r>
            <w:r>
              <w:rPr>
                <w:rFonts w:hint="eastAsia" w:ascii="宋体" w:hAnsi="宋体" w:eastAsia="宋体" w:cs="宋体"/>
                <w:color w:val="auto"/>
                <w:sz w:val="21"/>
                <w:szCs w:val="21"/>
                <w:highlight w:val="none"/>
                <w:lang w:val="en-US" w:eastAsia="zh-CN"/>
              </w:rPr>
              <w:t>有关管理部门收取的检测、测试费用，以及排污、垃圾清运等费用</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其他相关费用。其中每个月末中标人向采购人出具食品原材料费、粮油费、调料费的采购台账及其相关费用证明，次月10日前采购人根据中标人提供的采购台账及其费用证明向中标人支付食品原材料费、粮油费、调料费。</w:t>
            </w:r>
          </w:p>
        </w:tc>
        <w:tc>
          <w:tcPr>
            <w:tcW w:w="1724" w:type="dxa"/>
          </w:tcPr>
          <w:p w14:paraId="305EFB6F">
            <w:pPr>
              <w:jc w:val="center"/>
              <w:rPr>
                <w:rFonts w:ascii="宋体" w:hAnsi="宋体" w:cs="宋体"/>
                <w:b/>
                <w:color w:val="auto"/>
                <w:kern w:val="0"/>
                <w:sz w:val="21"/>
                <w:szCs w:val="21"/>
                <w:highlight w:val="none"/>
              </w:rPr>
            </w:pPr>
          </w:p>
        </w:tc>
        <w:tc>
          <w:tcPr>
            <w:tcW w:w="1274" w:type="dxa"/>
          </w:tcPr>
          <w:p w14:paraId="7040C4C0">
            <w:pPr>
              <w:jc w:val="center"/>
              <w:rPr>
                <w:rFonts w:ascii="宋体" w:hAnsi="宋体" w:cs="宋体"/>
                <w:b/>
                <w:color w:val="auto"/>
                <w:kern w:val="0"/>
                <w:sz w:val="21"/>
                <w:szCs w:val="21"/>
                <w:highlight w:val="none"/>
              </w:rPr>
            </w:pPr>
          </w:p>
        </w:tc>
      </w:tr>
      <w:tr w14:paraId="6EB9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69F64B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p>
        </w:tc>
        <w:tc>
          <w:tcPr>
            <w:tcW w:w="5508" w:type="dxa"/>
          </w:tcPr>
          <w:p w14:paraId="2AEE012F">
            <w:pPr>
              <w:keepNext w:val="0"/>
              <w:keepLines w:val="0"/>
              <w:pageBreakBefore w:val="0"/>
              <w:wordWrap/>
              <w:topLinePunct w:val="0"/>
              <w:bidi w:val="0"/>
              <w:spacing w:beforeLines="0" w:afterLines="0"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auto"/>
                <w:sz w:val="21"/>
                <w:szCs w:val="21"/>
                <w:highlight w:val="none"/>
                <w:lang w:val="en-US" w:eastAsia="zh-CN"/>
              </w:rPr>
              <w:t>食品原辅材料采购的约定：投标人负责食品原辅材料的采购，要求投标人所有采购的主辅料、调味品等必须要到有资质的供货单位定点采购，有正规品牌，并做好索证台账规范。中标人须在原辅材料采购之前向采购人提供食品原辅材料供货单位的名单，经采购人对名单中的供货单位进行审核认定后，方可从符合标准的供货单位中进行定点采购。采购人有权对供货单位提供的食材质量和价格、服务态度等进行监督、检查和考核，如不达采购人要求，采购人有权调整原辅材料的供货单位。食堂每月必须做好原辅材料采购台帐，连续两个月没有做好采购台帐或每半年结束时台帐不完整的，采购人有权取消其中标资格。</w:t>
            </w:r>
          </w:p>
        </w:tc>
        <w:tc>
          <w:tcPr>
            <w:tcW w:w="1724" w:type="dxa"/>
          </w:tcPr>
          <w:p w14:paraId="74DC148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28C2E0D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5E3E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864339A">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5508" w:type="dxa"/>
          </w:tcPr>
          <w:p w14:paraId="29C3EC8F">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餐饮服务总体内容</w:t>
            </w:r>
          </w:p>
          <w:p w14:paraId="1BACD930">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1.1 投标人须配备专业的管理团队（主要包括主管、厨师、帮厨</w:t>
            </w:r>
            <w:r>
              <w:rPr>
                <w:rFonts w:hint="eastAsia"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面点师</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勤杂工</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等）进行餐饮管理服务，为宁海县公共卫生中心提供营养、健康、科学、合理的工作餐</w:t>
            </w:r>
            <w:r>
              <w:rPr>
                <w:rFonts w:hint="eastAsia" w:hAnsi="宋体" w:eastAsia="宋体" w:cs="宋体"/>
                <w:color w:val="000000" w:themeColor="text1"/>
                <w:kern w:val="0"/>
                <w:sz w:val="21"/>
                <w:szCs w:val="21"/>
                <w:highlight w:val="none"/>
                <w:lang w:val="en-US" w:eastAsia="zh-CN" w:bidi="ar"/>
                <w14:textFill>
                  <w14:solidFill>
                    <w14:schemeClr w14:val="tx1"/>
                  </w14:solidFill>
                </w14:textFill>
              </w:rPr>
              <w:t>。要求管理专业，服务热情，保证餐厅有序运作，确保干部职工满意率达标。</w:t>
            </w:r>
          </w:p>
          <w:p w14:paraId="356A687C">
            <w:pPr>
              <w:keepNext w:val="0"/>
              <w:keepLines w:val="0"/>
              <w:pageBreakBefore w:val="0"/>
              <w:wordWrap/>
              <w:topLinePunct w:val="0"/>
              <w:bidi w:val="0"/>
              <w:spacing w:beforeLines="0" w:afterLines="0"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1.2 </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负责主副食的加工供应、人员管理、卫生管理、厨房设备及安全管理、菜肴质量管理等。采购人负责采购和验收管理、干货备料仓库管理、财务和预算管理、成本控制等。但若采购人提出需要</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采购时，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应当负责采购。</w:t>
            </w:r>
          </w:p>
        </w:tc>
        <w:tc>
          <w:tcPr>
            <w:tcW w:w="1724" w:type="dxa"/>
          </w:tcPr>
          <w:p w14:paraId="2DD004C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C67AB95">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513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14:paraId="0321CC3B">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5508" w:type="dxa"/>
          </w:tcPr>
          <w:p w14:paraId="0D123376">
            <w:pPr>
              <w:widowControl/>
              <w:spacing w:line="400" w:lineRule="exact"/>
              <w:jc w:val="left"/>
              <w:rPr>
                <w:rFonts w:ascii="宋体" w:hAnsi="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食堂及用餐情况</w:t>
            </w:r>
          </w:p>
          <w:p w14:paraId="1EDC54F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食堂服务管理要求</w:t>
            </w:r>
          </w:p>
          <w:p w14:paraId="7A8B3E93">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全年提供宁海</w:t>
            </w:r>
            <w:r>
              <w:rPr>
                <w:rFonts w:hint="eastAsia" w:ascii="宋体" w:hAnsi="宋体" w:eastAsia="宋体" w:cs="宋体"/>
                <w:color w:val="auto"/>
                <w:sz w:val="21"/>
                <w:szCs w:val="21"/>
                <w:highlight w:val="none"/>
                <w:lang w:eastAsia="zh-CN"/>
              </w:rPr>
              <w:t>公共卫生中心</w:t>
            </w:r>
            <w:r>
              <w:rPr>
                <w:rFonts w:hint="eastAsia" w:ascii="宋体" w:hAnsi="宋体" w:eastAsia="宋体" w:cs="宋体"/>
                <w:color w:val="auto"/>
                <w:sz w:val="21"/>
                <w:szCs w:val="21"/>
                <w:highlight w:val="none"/>
              </w:rPr>
              <w:t>供餐服务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双休日及节假日就餐人数相应减少</w:t>
            </w:r>
            <w:r>
              <w:rPr>
                <w:rFonts w:hint="eastAsia" w:ascii="宋体" w:hAnsi="宋体" w:cs="宋体"/>
                <w:color w:val="auto"/>
                <w:sz w:val="21"/>
                <w:szCs w:val="21"/>
                <w:highlight w:val="none"/>
                <w:lang w:eastAsia="zh-CN"/>
              </w:rPr>
              <w:t>）。</w:t>
            </w:r>
          </w:p>
          <w:p w14:paraId="531EF1BF">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一般供餐要求: </w:t>
            </w:r>
          </w:p>
          <w:p w14:paraId="55C9BAB8">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每周服务天数:周一至周日。</w:t>
            </w:r>
          </w:p>
          <w:p w14:paraId="19437CC5">
            <w:pPr>
              <w:keepNext w:val="0"/>
              <w:keepLines w:val="0"/>
              <w:pageBreakBefore w:val="0"/>
              <w:wordWrap/>
              <w:topLinePunct w:val="0"/>
              <w:autoSpaceDE w:val="0"/>
              <w:autoSpaceDN w:val="0"/>
              <w:bidi w:val="0"/>
              <w:adjustRightInd w:val="0"/>
              <w:snapToGrid w:val="0"/>
              <w:spacing w:line="360" w:lineRule="auto"/>
              <w:textAlignment w:val="bottom"/>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每日餐次:每日早、午、晚三餐次。</w:t>
            </w:r>
          </w:p>
          <w:p w14:paraId="4ADFF0E6">
            <w:pPr>
              <w:keepNext w:val="0"/>
              <w:keepLines w:val="0"/>
              <w:pageBreakBefore w:val="0"/>
              <w:wordWrap/>
              <w:topLinePunct w:val="0"/>
              <w:autoSpaceDE w:val="0"/>
              <w:autoSpaceDN w:val="0"/>
              <w:bidi w:val="0"/>
              <w:adjustRightInd w:val="0"/>
              <w:snapToGrid w:val="0"/>
              <w:spacing w:line="360" w:lineRule="auto"/>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用餐时间及人数:</w:t>
            </w:r>
            <w:r>
              <w:rPr>
                <w:rFonts w:hint="eastAsia" w:ascii="宋体" w:hAnsi="宋体" w:cs="宋体"/>
                <w:color w:val="auto"/>
                <w:sz w:val="21"/>
                <w:szCs w:val="21"/>
                <w:lang w:val="en-US" w:eastAsia="zh-CN"/>
              </w:rPr>
              <w:t>须</w:t>
            </w:r>
            <w:r>
              <w:rPr>
                <w:rFonts w:hint="eastAsia" w:ascii="宋体" w:hAnsi="宋体" w:eastAsia="宋体" w:cs="宋体"/>
                <w:color w:val="auto"/>
                <w:kern w:val="0"/>
                <w:sz w:val="21"/>
                <w:szCs w:val="21"/>
                <w:highlight w:val="none"/>
                <w:lang w:val="en-US" w:eastAsia="zh-CN" w:bidi="ar"/>
              </w:rPr>
              <w:t>保证招标人（约</w:t>
            </w:r>
            <w:r>
              <w:rPr>
                <w:rFonts w:hint="eastAsia" w:ascii="宋体" w:hAnsi="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val="en-US" w:eastAsia="zh-CN" w:bidi="ar"/>
              </w:rPr>
              <w:t>0人）早餐、中餐</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晚餐就餐</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sz w:val="21"/>
                <w:szCs w:val="21"/>
                <w:highlight w:val="none"/>
                <w:lang w:val="zh-CN"/>
              </w:rPr>
              <w:t>早餐：06:30-0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 xml:space="preserve">0  中餐：10:40-12:30 </w:t>
            </w:r>
          </w:p>
          <w:p w14:paraId="41CD4402">
            <w:pPr>
              <w:keepNext w:val="0"/>
              <w:keepLines w:val="0"/>
              <w:pageBreakBefore w:val="0"/>
              <w:wordWrap/>
              <w:topLinePunct w:val="0"/>
              <w:autoSpaceDE w:val="0"/>
              <w:autoSpaceDN w:val="0"/>
              <w:bidi w:val="0"/>
              <w:adjustRightInd w:val="0"/>
              <w:snapToGrid w:val="0"/>
              <w:spacing w:line="360" w:lineRule="auto"/>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晚</w:t>
            </w:r>
            <w:r>
              <w:rPr>
                <w:rFonts w:hint="eastAsia" w:ascii="宋体" w:hAnsi="宋体" w:eastAsia="宋体" w:cs="宋体"/>
                <w:color w:val="auto"/>
                <w:sz w:val="21"/>
                <w:szCs w:val="21"/>
                <w:highlight w:val="none"/>
                <w:lang w:val="zh-CN"/>
              </w:rPr>
              <w:t xml:space="preserve">餐：16:00-18:00  </w:t>
            </w:r>
          </w:p>
          <w:p w14:paraId="4C3B4D9A">
            <w:pPr>
              <w:autoSpaceDE w:val="0"/>
              <w:autoSpaceDN w:val="0"/>
              <w:adjustRightInd w:val="0"/>
              <w:snapToGrid w:val="0"/>
              <w:spacing w:line="400" w:lineRule="exac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3)特殊餐饮活动：科室工作餐、误餐（需要送餐）、晚餐除急救站需固定安排晚上20人左右用餐的供餐服务，如有需要根据招标人临时通知进行安排及临时通知的客饭（如专家餐、招待餐、职工聚餐等）。</w:t>
            </w:r>
          </w:p>
          <w:p w14:paraId="451326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C00000"/>
                <w:sz w:val="21"/>
                <w:szCs w:val="21"/>
                <w:highlight w:val="none"/>
                <w:lang w:val="en-US" w:eastAsia="zh-CN"/>
              </w:rPr>
              <w:t>4)由卫健牵头就餐服务除餐费外不得收取额外费用。</w:t>
            </w:r>
          </w:p>
          <w:p w14:paraId="787B821C">
            <w:pPr>
              <w:numPr>
                <w:ilvl w:val="0"/>
                <w:numId w:val="0"/>
              </w:numPr>
              <w:autoSpaceDE w:val="0"/>
              <w:autoSpaceDN w:val="0"/>
              <w:adjustRightInd w:val="0"/>
              <w:snapToGrid w:val="0"/>
              <w:spacing w:line="400" w:lineRule="exact"/>
              <w:textAlignment w:val="bottom"/>
              <w:rPr>
                <w:rFonts w:hint="default"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5）招标人</w:t>
            </w:r>
            <w:r>
              <w:rPr>
                <w:rFonts w:hint="eastAsia" w:ascii="宋体" w:hAnsi="宋体" w:eastAsia="宋体" w:cs="宋体"/>
                <w:color w:val="auto"/>
                <w:sz w:val="21"/>
                <w:szCs w:val="21"/>
                <w:highlight w:val="none"/>
                <w:lang w:val="en-US" w:eastAsia="zh-CN"/>
              </w:rPr>
              <w:t>如因公原因</w:t>
            </w:r>
            <w:r>
              <w:rPr>
                <w:rFonts w:hint="eastAsia" w:ascii="宋体" w:hAnsi="宋体" w:eastAsia="宋体" w:cs="宋体"/>
                <w:color w:val="auto"/>
                <w:sz w:val="21"/>
                <w:szCs w:val="21"/>
                <w:highlight w:val="none"/>
              </w:rPr>
              <w:t>就餐人数减少</w:t>
            </w:r>
            <w:r>
              <w:rPr>
                <w:rFonts w:hint="eastAsia" w:ascii="宋体" w:hAnsi="宋体" w:eastAsia="宋体" w:cs="宋体"/>
                <w:color w:val="auto"/>
                <w:sz w:val="21"/>
                <w:szCs w:val="21"/>
                <w:lang w:val="en-US" w:eastAsia="zh-CN"/>
              </w:rPr>
              <w:t>10人</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lang w:val="en-US" w:eastAsia="zh-CN"/>
              </w:rPr>
              <w:t>以上</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，应向食堂提前告知</w:t>
            </w:r>
            <w:r>
              <w:rPr>
                <w:rFonts w:hint="eastAsia" w:ascii="宋体" w:hAnsi="宋体" w:cs="宋体"/>
                <w:color w:val="auto"/>
                <w:sz w:val="21"/>
                <w:szCs w:val="21"/>
                <w:lang w:val="en-US" w:eastAsia="zh-CN"/>
              </w:rPr>
              <w:t>具体就餐人员人数的</w:t>
            </w:r>
            <w:r>
              <w:rPr>
                <w:rFonts w:hint="eastAsia" w:ascii="宋体" w:hAnsi="宋体" w:eastAsia="宋体" w:cs="宋体"/>
                <w:color w:val="auto"/>
                <w:sz w:val="21"/>
                <w:szCs w:val="21"/>
                <w:lang w:val="en-US" w:eastAsia="zh-CN"/>
              </w:rPr>
              <w:t>义务和机制</w:t>
            </w:r>
            <w:r>
              <w:rPr>
                <w:rFonts w:hint="eastAsia" w:ascii="宋体" w:hAnsi="宋体" w:cs="宋体"/>
                <w:color w:val="auto"/>
                <w:sz w:val="21"/>
                <w:szCs w:val="21"/>
                <w:lang w:val="en-US" w:eastAsia="zh-CN"/>
              </w:rPr>
              <w:t>。</w:t>
            </w:r>
          </w:p>
          <w:p w14:paraId="643554E5">
            <w:pPr>
              <w:autoSpaceDE w:val="0"/>
              <w:autoSpaceDN w:val="0"/>
              <w:adjustRightInd w:val="0"/>
              <w:snapToGrid w:val="0"/>
              <w:spacing w:line="400" w:lineRule="exact"/>
              <w:textAlignment w:val="bottom"/>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lang w:val="en-US" w:eastAsia="zh-CN"/>
              </w:rPr>
              <w:t>）供餐需求，价格合理、营养丰富及早中晚菜肴搭配科学合理的品种。</w:t>
            </w:r>
          </w:p>
          <w:p w14:paraId="3551D87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（一）厨师个人卫生</w:t>
            </w:r>
          </w:p>
          <w:p w14:paraId="4A82298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1、讲究个人卫生，衣着干净整洁，不留长发、长指甲</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不留胡须。</w:t>
            </w:r>
          </w:p>
          <w:p w14:paraId="76806A9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2、制作食品前要用洗手液洗手，不得用手直接拿放熟食。</w:t>
            </w:r>
          </w:p>
          <w:p w14:paraId="4D11078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3、工作时间穿好工衣，戴好工帽，供餐时必须戴好口罩、手套。</w:t>
            </w:r>
          </w:p>
          <w:p w14:paraId="33F0352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4、不得在厨房、餐厅工作间内吸烟、随地吐痰，在洗碗（菜）池内洗涤衣物及其它物品。</w:t>
            </w:r>
          </w:p>
          <w:p w14:paraId="2FABFB77">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5、发现自己染病须及时报告，暂停工作。</w:t>
            </w:r>
          </w:p>
          <w:p w14:paraId="67985594">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（二）食品卫生</w:t>
            </w:r>
          </w:p>
          <w:p w14:paraId="31514E98">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1、疏菜一般当天购进当天食用，不得放置两天以上，发现变质立即丢弃处理。</w:t>
            </w:r>
          </w:p>
          <w:p w14:paraId="1FE13B0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2、肉食、鱼类等要保持鲜活。</w:t>
            </w:r>
          </w:p>
          <w:p w14:paraId="0D3992F8">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3、菜要炒熟煮透，油炸食品不能炸糊。</w:t>
            </w:r>
          </w:p>
          <w:p w14:paraId="4767D8CD">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4、熟食必须使用专一熟食工具，不得用手拿放，生、熟食品必须分开存放。</w:t>
            </w:r>
          </w:p>
          <w:p w14:paraId="4792DB9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5、剩食品必须采取保鲜纸遮盖放入冷藏柜。</w:t>
            </w:r>
          </w:p>
          <w:p w14:paraId="681A332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6、变质变味食品不得再售卖。</w:t>
            </w:r>
          </w:p>
          <w:p w14:paraId="63CB70D3">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7、鲜菜、肉类、干货成品和半成品必须分类存放，不得混放或放置地上。</w:t>
            </w:r>
          </w:p>
          <w:p w14:paraId="3C5073B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8、包装食品必须标识清楚，符合检验合格规定标准。</w:t>
            </w:r>
          </w:p>
          <w:p w14:paraId="4663D9E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（三）餐具卫生</w:t>
            </w:r>
          </w:p>
          <w:p w14:paraId="4CEE408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1、打饭勺、菜勺、汤勺统一用盘托放，不能直接放在台面。</w:t>
            </w:r>
          </w:p>
          <w:p w14:paraId="7968798B">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2、用过的餐具要经过初洗、清洁剂清洗、清水清洗、消毒四道工序处理，餐具内外要干净干燥，无油迹、无洗洁剂泡</w:t>
            </w:r>
            <w:r>
              <w:rPr>
                <w:rFonts w:hint="eastAsia" w:ascii="宋体" w:hAnsi="宋体" w:cs="宋体"/>
                <w:color w:val="000000" w:themeColor="text1"/>
                <w:sz w:val="21"/>
                <w:szCs w:val="21"/>
                <w:lang w:val="en-US" w:eastAsia="zh-CN"/>
                <w14:textFill>
                  <w14:solidFill>
                    <w14:schemeClr w14:val="tx1"/>
                  </w14:solidFill>
                </w14:textFill>
              </w:rPr>
              <w:t>。</w:t>
            </w:r>
          </w:p>
          <w:p w14:paraId="3E97293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3、用餐前餐具要集中整齐摆放，保持清洁，用洁净白布盖好，防止蝇叮，餐具未经消毒不得</w:t>
            </w:r>
            <w:r>
              <w:rPr>
                <w:rFonts w:hint="eastAsia" w:ascii="宋体" w:hAnsi="宋体" w:cs="宋体"/>
                <w:color w:val="000000" w:themeColor="text1"/>
                <w:sz w:val="21"/>
                <w:szCs w:val="21"/>
                <w:lang w:val="en-US" w:eastAsia="zh-CN"/>
                <w14:textFill>
                  <w14:solidFill>
                    <w14:schemeClr w14:val="tx1"/>
                  </w14:solidFill>
                </w14:textFill>
              </w:rPr>
              <w:t>循</w:t>
            </w:r>
            <w:r>
              <w:rPr>
                <w:rFonts w:hint="eastAsia" w:ascii="宋体" w:hAnsi="宋体" w:eastAsia="宋体" w:cs="宋体"/>
                <w:color w:val="000000" w:themeColor="text1"/>
                <w:sz w:val="21"/>
                <w:szCs w:val="21"/>
                <w:lang w:val="en-US" w:eastAsia="zh-CN"/>
                <w14:textFill>
                  <w14:solidFill>
                    <w14:schemeClr w14:val="tx1"/>
                  </w14:solidFill>
                </w14:textFill>
              </w:rPr>
              <w:t>环使用。</w:t>
            </w:r>
          </w:p>
          <w:p w14:paraId="6732451A">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（四）厨房卫生</w:t>
            </w:r>
          </w:p>
          <w:p w14:paraId="43256EF4">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1、刀、</w:t>
            </w:r>
            <w:r>
              <w:rPr>
                <w:rFonts w:hint="eastAsia" w:ascii="宋体" w:hAnsi="宋体" w:cs="宋体"/>
                <w:color w:val="000000" w:themeColor="text1"/>
                <w:sz w:val="21"/>
                <w:szCs w:val="21"/>
                <w:lang w:val="en-US" w:eastAsia="zh-CN"/>
                <w14:textFill>
                  <w14:solidFill>
                    <w14:schemeClr w14:val="tx1"/>
                  </w14:solidFill>
                </w14:textFill>
              </w:rPr>
              <w:t>案</w:t>
            </w:r>
            <w:r>
              <w:rPr>
                <w:rFonts w:hint="eastAsia" w:ascii="宋体" w:hAnsi="宋体" w:eastAsia="宋体" w:cs="宋体"/>
                <w:color w:val="000000" w:themeColor="text1"/>
                <w:sz w:val="21"/>
                <w:szCs w:val="21"/>
                <w:lang w:val="en-US" w:eastAsia="zh-CN"/>
                <w14:textFill>
                  <w14:solidFill>
                    <w14:schemeClr w14:val="tx1"/>
                  </w14:solidFill>
                </w14:textFill>
              </w:rPr>
              <w:t>板、锅、铲、盆、桶等厨具在使用前后要清洗干净，按规定消毒处理。</w:t>
            </w:r>
          </w:p>
          <w:p w14:paraId="391C64BC">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2、切完菜及时清理垃圾，集中处置，并清洗工作台面、地面。</w:t>
            </w:r>
          </w:p>
          <w:p w14:paraId="51AAD89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3、货架、油烟罩、蒸柜、炉灶、洗菜池、洗碗池每天要保证清洗干净。</w:t>
            </w:r>
          </w:p>
          <w:p w14:paraId="47B00D99">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4、油、盐、酱油等常用辅料和未用完的米、菜下班前要盖好。</w:t>
            </w:r>
          </w:p>
          <w:p w14:paraId="6364F75B">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5、清除卫生死角，防止老鼠、苍蝇</w:t>
            </w:r>
            <w:r>
              <w:rPr>
                <w:rFonts w:hint="eastAsia" w:ascii="宋体" w:hAnsi="宋体" w:cs="宋体"/>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蟑螂</w:t>
            </w:r>
            <w:r>
              <w:rPr>
                <w:rFonts w:hint="eastAsia" w:ascii="宋体" w:hAnsi="宋体" w:eastAsia="宋体" w:cs="宋体"/>
                <w:color w:val="000000" w:themeColor="text1"/>
                <w:sz w:val="21"/>
                <w:szCs w:val="21"/>
                <w:lang w:val="en-US" w:eastAsia="zh-CN"/>
                <w14:textFill>
                  <w14:solidFill>
                    <w14:schemeClr w14:val="tx1"/>
                  </w14:solidFill>
                </w14:textFill>
              </w:rPr>
              <w:t>等污染食物。</w:t>
            </w:r>
          </w:p>
          <w:p w14:paraId="71D5C96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6、定期清洗冰箱雪柜，每周两次对冰箱雪柜大清洁，天天两次小清理，保证清洁卫生。</w:t>
            </w:r>
          </w:p>
          <w:p w14:paraId="6062BC8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（五）餐厅卫生</w:t>
            </w:r>
          </w:p>
          <w:p w14:paraId="6375CF75">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1、地面无垃圾杂物，无积水，干净清爽。</w:t>
            </w:r>
          </w:p>
          <w:p w14:paraId="72AF89C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2、桌面</w:t>
            </w:r>
            <w:r>
              <w:rPr>
                <w:rFonts w:hint="eastAsia" w:ascii="宋体" w:hAnsi="宋体" w:cs="宋体"/>
                <w:color w:val="000000" w:themeColor="text1"/>
                <w:sz w:val="21"/>
                <w:szCs w:val="21"/>
                <w:lang w:val="en-US" w:eastAsia="zh-CN"/>
                <w14:textFill>
                  <w14:solidFill>
                    <w14:schemeClr w14:val="tx1"/>
                  </w14:solidFill>
                </w14:textFill>
              </w:rPr>
              <w:t>就</w:t>
            </w:r>
            <w:r>
              <w:rPr>
                <w:rFonts w:hint="eastAsia" w:ascii="宋体" w:hAnsi="宋体" w:eastAsia="宋体" w:cs="宋体"/>
                <w:color w:val="000000" w:themeColor="text1"/>
                <w:sz w:val="21"/>
                <w:szCs w:val="21"/>
                <w:lang w:val="en-US" w:eastAsia="zh-CN"/>
                <w14:textFill>
                  <w14:solidFill>
                    <w14:schemeClr w14:val="tx1"/>
                  </w14:solidFill>
                </w14:textFill>
              </w:rPr>
              <w:t>餐后及时清洁，干净无尘。</w:t>
            </w:r>
          </w:p>
          <w:p w14:paraId="3F2552E3">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3、墙壁门窗、风扇、灯管等定期清洁，无蛛网。</w:t>
            </w:r>
          </w:p>
          <w:p w14:paraId="200AE811">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4、每周两次大扫除，用清洁剂清洗台面、地面，尽量做到餐厅内无蝇、蚊</w:t>
            </w:r>
            <w:r>
              <w:rPr>
                <w:rFonts w:hint="eastAsia" w:ascii="宋体" w:hAnsi="宋体" w:cs="宋体"/>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蟑螂</w:t>
            </w:r>
            <w:r>
              <w:rPr>
                <w:rFonts w:hint="eastAsia" w:ascii="宋体" w:hAnsi="宋体" w:eastAsia="宋体" w:cs="宋体"/>
                <w:color w:val="000000" w:themeColor="text1"/>
                <w:sz w:val="21"/>
                <w:szCs w:val="21"/>
                <w:lang w:val="en-US" w:eastAsia="zh-CN"/>
                <w14:textFill>
                  <w14:solidFill>
                    <w14:schemeClr w14:val="tx1"/>
                  </w14:solidFill>
                </w14:textFill>
              </w:rPr>
              <w:t>等。</w:t>
            </w:r>
          </w:p>
          <w:p w14:paraId="4658FC7A">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5、专人负责回收餐具，不得乱扔乱放，剩饭剩菜要及时运走，保证餐厅无异味。</w:t>
            </w:r>
          </w:p>
          <w:p w14:paraId="2702E881">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（六）食堂安全管理制度</w:t>
            </w:r>
          </w:p>
          <w:p w14:paraId="4994B392">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1、未经许可，除食堂工作和管理人员外任何人员不得进入厨房，不得在非就餐时间进入餐厅。</w:t>
            </w:r>
          </w:p>
          <w:p w14:paraId="3937BB7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2、厨房清洁用品应与调味品、菜品等分开放置。</w:t>
            </w:r>
          </w:p>
          <w:p w14:paraId="33D9082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3、厨房设置灭火器。</w:t>
            </w:r>
          </w:p>
          <w:p w14:paraId="2C92F84A">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4、厨房及就餐区严禁吸烟。</w:t>
            </w:r>
          </w:p>
          <w:p w14:paraId="5F98BF2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5、使用炊事械具或用具要严格遵守操作规程，防止事故发生。</w:t>
            </w:r>
          </w:p>
          <w:p w14:paraId="5386227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6、食堂工作人员下班前，要关好门窗，检查各类电源开关、设备等。</w:t>
            </w:r>
          </w:p>
          <w:p w14:paraId="56E4308F">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购人负责督查食堂的饮食安全卫生、饭菜质量、售出数量、服务质量、环境卫生等相关事务，加强与投标人的联系和沟通，协调处理各种突发事件，转达干部职工对托管经营服务质量的意见和要求，负责各项规章制度的制定、检查和考核工作，负责账务、资产管理和菜谱审批等工作，促进食堂内部和外部的团结协作，切实加强综合督查管理。投标人严格执行采购人所制订的各项规章制度，并制订配套的内部管理制度。</w:t>
            </w:r>
          </w:p>
          <w:p w14:paraId="0DCF10C5">
            <w:pPr>
              <w:keepNext w:val="0"/>
              <w:keepLines w:val="0"/>
              <w:pageBreakBefore w:val="0"/>
              <w:numPr>
                <w:ilvl w:val="0"/>
                <w:numId w:val="0"/>
              </w:numPr>
              <w:wordWrap/>
              <w:topLinePunct w:val="0"/>
              <w:bidi w:val="0"/>
              <w:spacing w:beforeLines="0" w:afterLines="0" w:line="360" w:lineRule="auto"/>
              <w:rPr>
                <w:rFonts w:hint="eastAsia"/>
                <w:sz w:val="21"/>
                <w:szCs w:val="21"/>
              </w:rPr>
            </w:pPr>
            <w:r>
              <w:rPr>
                <w:rFonts w:hint="eastAsia" w:ascii="宋体" w:hAnsi="宋体" w:cs="宋体"/>
                <w:color w:val="auto"/>
                <w:sz w:val="21"/>
                <w:szCs w:val="21"/>
                <w:highlight w:val="none"/>
                <w:lang w:val="en-US" w:eastAsia="zh-CN"/>
              </w:rPr>
              <w:t>（八）采</w:t>
            </w:r>
            <w:r>
              <w:rPr>
                <w:rFonts w:hint="eastAsia" w:ascii="宋体" w:hAnsi="宋体" w:eastAsia="宋体" w:cs="宋体"/>
                <w:color w:val="auto"/>
                <w:sz w:val="21"/>
                <w:szCs w:val="21"/>
                <w:highlight w:val="none"/>
                <w:lang w:val="en-US" w:eastAsia="zh-CN"/>
              </w:rPr>
              <w:t>购人有权对</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的财务状况、经营情况、成本核算、饭菜质量和价格、服务态度等进行监督、检查和考核</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食堂每月必须做好</w:t>
            </w:r>
            <w:r>
              <w:rPr>
                <w:rFonts w:hint="eastAsia" w:ascii="宋体" w:hAnsi="宋体" w:cs="宋体"/>
                <w:color w:val="auto"/>
                <w:sz w:val="21"/>
                <w:szCs w:val="21"/>
                <w:highlight w:val="none"/>
                <w:lang w:val="en-US" w:eastAsia="zh-CN"/>
              </w:rPr>
              <w:t>各类</w:t>
            </w:r>
            <w:r>
              <w:rPr>
                <w:rFonts w:hint="eastAsia" w:ascii="宋体" w:hAnsi="宋体" w:eastAsia="宋体" w:cs="宋体"/>
                <w:color w:val="auto"/>
                <w:sz w:val="21"/>
                <w:szCs w:val="21"/>
                <w:highlight w:val="none"/>
                <w:lang w:val="en-US" w:eastAsia="zh-CN"/>
              </w:rPr>
              <w:t>台帐</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连续两个月没有做好台帐或每半年结束时台帐不完整的，采购人有权取消其中标资格。采购人相关部门将定期和不定期地组织食堂饭菜质量、数量、价格及服务情况的检查、调查和考核，</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必须积极配合，有关检查考核细则根据采购人制订的食堂考核办法执行。</w:t>
            </w:r>
          </w:p>
          <w:p w14:paraId="203560C6">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九</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投标人要爱护采购人提供的房产和餐饮炊具等设备，严格履行租借手续，负责日常使用管理，遗失需赔偿</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如损坏需要更换或维修应报招标人审批。</w:t>
            </w:r>
            <w:r>
              <w:rPr>
                <w:rFonts w:hint="eastAsia" w:ascii="宋体" w:hAnsi="宋体" w:eastAsia="宋体" w:cs="宋体"/>
                <w:color w:val="000000" w:themeColor="text1"/>
                <w:sz w:val="21"/>
                <w:szCs w:val="21"/>
                <w14:textFill>
                  <w14:solidFill>
                    <w14:schemeClr w14:val="tx1"/>
                  </w14:solidFill>
                </w14:textFill>
              </w:rPr>
              <w:t>投标人不得变更房产结构，不得变换基本设施。若因经营服务需要，对经营场所进行装修，需书面报告采购人同意后方可实施。投标人不负责承担食堂在承包期内所有水电费，但是必须做到节约使用。</w:t>
            </w:r>
          </w:p>
          <w:p w14:paraId="42DAEBF0">
            <w:pPr>
              <w:autoSpaceDE w:val="0"/>
              <w:autoSpaceDN w:val="0"/>
              <w:adjustRightInd w:val="0"/>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 投标人确保所用人员均持有健康证，并统一着装上岗。</w:t>
            </w:r>
          </w:p>
          <w:p w14:paraId="651C1CE0">
            <w:pPr>
              <w:keepNext w:val="0"/>
              <w:keepLines w:val="0"/>
              <w:pageBreakBefore w:val="0"/>
              <w:numPr>
                <w:ilvl w:val="0"/>
                <w:numId w:val="0"/>
              </w:numPr>
              <w:wordWrap/>
              <w:topLinePunct w:val="0"/>
              <w:bidi w:val="0"/>
              <w:spacing w:beforeLines="0" w:afterLines="0"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（十一）</w:t>
            </w:r>
            <w:r>
              <w:rPr>
                <w:rFonts w:hint="eastAsia" w:ascii="宋体" w:hAnsi="宋体" w:eastAsia="宋体" w:cs="宋体"/>
                <w:color w:val="000000" w:themeColor="text1"/>
                <w:sz w:val="21"/>
                <w:szCs w:val="21"/>
                <w14:textFill>
                  <w14:solidFill>
                    <w14:schemeClr w14:val="tx1"/>
                  </w14:solidFill>
                </w14:textFill>
              </w:rPr>
              <w:t>坚持“服务第一”宗旨，按采购人规定时间为干部职工提供优质服务，不得无故提前或延迟开饭时间，做到文明待人、热情服务。</w:t>
            </w:r>
          </w:p>
          <w:p w14:paraId="403E6E00">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（十二）</w:t>
            </w:r>
            <w:r>
              <w:rPr>
                <w:rFonts w:hint="eastAsia" w:ascii="宋体" w:hAnsi="宋体" w:eastAsia="宋体" w:cs="宋体"/>
                <w:color w:val="000000" w:themeColor="text1"/>
                <w:sz w:val="21"/>
                <w:szCs w:val="21"/>
                <w14:textFill>
                  <w14:solidFill>
                    <w14:schemeClr w14:val="tx1"/>
                  </w14:solidFill>
                </w14:textFill>
              </w:rPr>
              <w:t xml:space="preserve"> 投标人严格执行事故责任追究制度。如出现，食物中毒、违法违纪等损害干部职工身体健康和影响信誉的事故，投标人必须承担由此造成的一切责任并赔偿经济损失。在服务期内所聘工作人员均须报采购人备案政审后方可上岗。如果所聘人员不符合采购人要求，必须及时调整或更换，否则，采购人有权扣除其相应费用，直至中止合同。</w:t>
            </w:r>
          </w:p>
        </w:tc>
        <w:tc>
          <w:tcPr>
            <w:tcW w:w="1724" w:type="dxa"/>
          </w:tcPr>
          <w:p w14:paraId="7141BFD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3D0B68DF">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F56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58" w:type="dxa"/>
            <w:vAlign w:val="center"/>
          </w:tcPr>
          <w:p w14:paraId="4B0E5701">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5508" w:type="dxa"/>
          </w:tcPr>
          <w:p w14:paraId="670BF8EC">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auto"/>
                <w:sz w:val="21"/>
                <w:szCs w:val="21"/>
                <w:highlight w:val="none"/>
              </w:rPr>
              <w:t>餐标及菜单设置</w:t>
            </w:r>
          </w:p>
          <w:p w14:paraId="174B54CB">
            <w:pPr>
              <w:keepNext w:val="0"/>
              <w:keepLines w:val="0"/>
              <w:pageBreakBefore w:val="0"/>
              <w:widowControl w:val="0"/>
              <w:kinsoku/>
              <w:wordWrap/>
              <w:overflowPunct/>
              <w:topLinePunct w:val="0"/>
              <w:autoSpaceDE w:val="0"/>
              <w:autoSpaceDN w:val="0"/>
              <w:bidi w:val="0"/>
              <w:adjustRightInd/>
              <w:snapToGrid/>
              <w:spacing w:line="360" w:lineRule="auto"/>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 对进入窗口的饭菜品种（以宁</w:t>
            </w:r>
            <w:r>
              <w:rPr>
                <w:rFonts w:hint="eastAsia" w:ascii="宋体" w:hAnsi="宋体" w:eastAsia="宋体" w:cs="宋体"/>
                <w:color w:val="000000" w:themeColor="text1"/>
                <w:sz w:val="21"/>
                <w:szCs w:val="21"/>
                <w:highlight w:val="none"/>
                <w:lang w:val="en-US" w:eastAsia="zh-CN"/>
                <w14:textFill>
                  <w14:solidFill>
                    <w14:schemeClr w14:val="tx1"/>
                  </w14:solidFill>
                </w14:textFill>
              </w:rPr>
              <w:t>海</w:t>
            </w:r>
            <w:r>
              <w:rPr>
                <w:rFonts w:hint="eastAsia" w:ascii="宋体" w:hAnsi="宋体" w:eastAsia="宋体" w:cs="宋体"/>
                <w:color w:val="000000" w:themeColor="text1"/>
                <w:sz w:val="21"/>
                <w:szCs w:val="21"/>
                <w:highlight w:val="none"/>
                <w14:textFill>
                  <w14:solidFill>
                    <w14:schemeClr w14:val="tx1"/>
                  </w14:solidFill>
                </w14:textFill>
              </w:rPr>
              <w:t>当地菜品为主），菜谱一周一定。具体配菜要求如下：</w:t>
            </w:r>
          </w:p>
          <w:tbl>
            <w:tblPr>
              <w:tblStyle w:val="16"/>
              <w:tblW w:w="4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412"/>
            </w:tblGrid>
            <w:tr w14:paraId="0D63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3" w:type="dxa"/>
                  <w:noWrap w:val="0"/>
                  <w:vAlign w:val="center"/>
                </w:tcPr>
                <w:p w14:paraId="2FFB5A8B">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餐别</w:t>
                  </w:r>
                </w:p>
              </w:tc>
              <w:tc>
                <w:tcPr>
                  <w:tcW w:w="3412" w:type="dxa"/>
                  <w:noWrap w:val="0"/>
                  <w:vAlign w:val="center"/>
                </w:tcPr>
                <w:p w14:paraId="7C4732C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配餐标准</w:t>
                  </w:r>
                </w:p>
              </w:tc>
            </w:tr>
            <w:tr w14:paraId="0DD5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63" w:type="dxa"/>
                  <w:noWrap w:val="0"/>
                  <w:vAlign w:val="center"/>
                </w:tcPr>
                <w:p w14:paraId="44EEE5C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早餐</w:t>
                  </w:r>
                </w:p>
              </w:tc>
              <w:tc>
                <w:tcPr>
                  <w:tcW w:w="3412" w:type="dxa"/>
                  <w:noWrap w:val="0"/>
                  <w:vAlign w:val="center"/>
                </w:tcPr>
                <w:p w14:paraId="38907520">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主食</w:t>
                  </w:r>
                  <w:r>
                    <w:rPr>
                      <w:rFonts w:hint="eastAsia" w:ascii="宋体" w:hAnsi="宋体" w:eastAsia="宋体" w:cs="宋体"/>
                      <w:bCs/>
                      <w:color w:val="auto"/>
                      <w:sz w:val="21"/>
                      <w:szCs w:val="21"/>
                      <w:highlight w:val="none"/>
                    </w:rPr>
                    <w:t>品种提供不少于</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种品类，</w:t>
                  </w:r>
                  <w:r>
                    <w:rPr>
                      <w:rFonts w:hint="eastAsia" w:ascii="宋体" w:hAnsi="宋体" w:eastAsia="宋体" w:cs="宋体"/>
                      <w:color w:val="auto"/>
                      <w:sz w:val="21"/>
                      <w:szCs w:val="21"/>
                      <w:highlight w:val="none"/>
                      <w:lang w:val="zh-CN"/>
                    </w:rPr>
                    <w:t>菜单设置为各类干点湿点品种</w:t>
                  </w:r>
                </w:p>
              </w:tc>
            </w:tr>
            <w:tr w14:paraId="397E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63" w:type="dxa"/>
                  <w:noWrap w:val="0"/>
                  <w:vAlign w:val="center"/>
                </w:tcPr>
                <w:p w14:paraId="21CD37C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中餐</w:t>
                  </w:r>
                </w:p>
              </w:tc>
              <w:tc>
                <w:tcPr>
                  <w:tcW w:w="3412" w:type="dxa"/>
                  <w:vMerge w:val="restart"/>
                  <w:noWrap w:val="0"/>
                  <w:vAlign w:val="center"/>
                </w:tcPr>
                <w:p w14:paraId="72BD302D">
                  <w:pPr>
                    <w:keepNext w:val="0"/>
                    <w:keepLines w:val="0"/>
                    <w:pageBreakBefore w:val="0"/>
                    <w:wordWrap/>
                    <w:topLinePunct w:val="0"/>
                    <w:bidi w:val="0"/>
                    <w:spacing w:beforeLines="0" w:afterLines="0"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zh-CN"/>
                    </w:rPr>
                    <w:t>职工餐厅</w:t>
                  </w:r>
                  <w:r>
                    <w:rPr>
                      <w:rFonts w:hint="eastAsia" w:ascii="宋体" w:hAnsi="宋体" w:eastAsia="宋体" w:cs="宋体"/>
                      <w:color w:val="auto"/>
                      <w:sz w:val="21"/>
                      <w:szCs w:val="21"/>
                      <w:highlight w:val="none"/>
                    </w:rPr>
                    <w:t>菜单设置荤素菜10款、蒸菜</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5款、炖菜3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款、粗粮3</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款、营养粥2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款、面条、饺子、馄饨、鲜榨果汁、水果、牛奶、汤、米饭。</w:t>
                  </w:r>
                </w:p>
              </w:tc>
            </w:tr>
            <w:tr w14:paraId="419E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63" w:type="dxa"/>
                  <w:noWrap w:val="0"/>
                  <w:vAlign w:val="center"/>
                </w:tcPr>
                <w:p w14:paraId="01C095F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baseline"/>
                    <w:outlineLvl w:val="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晚餐</w:t>
                  </w:r>
                </w:p>
              </w:tc>
              <w:tc>
                <w:tcPr>
                  <w:tcW w:w="3412" w:type="dxa"/>
                  <w:vMerge w:val="continue"/>
                  <w:noWrap w:val="0"/>
                  <w:vAlign w:val="center"/>
                </w:tcPr>
                <w:p w14:paraId="1B941E7F">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baseline"/>
                    <w:outlineLvl w:val="1"/>
                    <w:rPr>
                      <w:rFonts w:hint="eastAsia" w:ascii="宋体" w:hAnsi="宋体" w:eastAsia="宋体" w:cs="宋体"/>
                      <w:bCs/>
                      <w:color w:val="auto"/>
                      <w:sz w:val="21"/>
                      <w:szCs w:val="21"/>
                      <w:highlight w:val="none"/>
                    </w:rPr>
                  </w:pPr>
                </w:p>
              </w:tc>
            </w:tr>
          </w:tbl>
          <w:p w14:paraId="6B1A283A">
            <w:pPr>
              <w:keepNext w:val="0"/>
              <w:keepLines w:val="0"/>
              <w:pageBreakBefore w:val="0"/>
              <w:wordWrap/>
              <w:topLinePunct w:val="0"/>
              <w:bidi w:val="0"/>
              <w:spacing w:beforeLines="0" w:afterLines="0" w:line="360" w:lineRule="auto"/>
              <w:rPr>
                <w:rFonts w:hint="eastAsia" w:ascii="宋体" w:hAnsi="宋体" w:eastAsia="宋体" w:cs="宋体"/>
                <w:color w:val="FF0000"/>
                <w:sz w:val="21"/>
                <w:szCs w:val="21"/>
                <w:highlight w:val="none"/>
                <w:lang w:val="en-US" w:eastAsia="zh-CN"/>
              </w:rPr>
            </w:pPr>
            <w:r>
              <w:rPr>
                <w:rFonts w:hint="eastAsia" w:ascii="宋体" w:hAnsi="宋体" w:eastAsia="宋体" w:cs="宋体"/>
                <w:b w:val="0"/>
                <w:bCs/>
                <w:color w:val="auto"/>
                <w:sz w:val="21"/>
                <w:szCs w:val="21"/>
                <w:highlight w:val="none"/>
              </w:rPr>
              <w:t>注：</w:t>
            </w:r>
            <w:r>
              <w:rPr>
                <w:rFonts w:hint="eastAsia" w:ascii="宋体" w:hAnsi="宋体" w:eastAsia="宋体" w:cs="宋体"/>
                <w:color w:val="auto"/>
                <w:sz w:val="21"/>
                <w:szCs w:val="21"/>
                <w:highlight w:val="none"/>
                <w:lang w:val="en-US" w:eastAsia="zh-CN"/>
              </w:rPr>
              <w:t>投标人应制定合理的菜品定价机制，定价不应超过</w:t>
            </w:r>
            <w:r>
              <w:rPr>
                <w:rFonts w:hint="eastAsia" w:ascii="宋体" w:hAnsi="宋体" w:cs="宋体"/>
                <w:color w:val="auto"/>
                <w:sz w:val="21"/>
                <w:szCs w:val="21"/>
                <w:highlight w:val="none"/>
                <w:lang w:val="en-US" w:eastAsia="zh-CN"/>
              </w:rPr>
              <w:t>采购原材料的10%-15%，在菜品定价销售前将各项菜品定价提交采购人审核，经采购人同意后方可销售。</w:t>
            </w:r>
          </w:p>
          <w:p w14:paraId="645226DA">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4、餐饮服务人员基本配置要求：</w:t>
            </w:r>
          </w:p>
          <w:tbl>
            <w:tblPr>
              <w:tblStyle w:val="16"/>
              <w:tblW w:w="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125"/>
              <w:gridCol w:w="855"/>
              <w:gridCol w:w="2445"/>
            </w:tblGrid>
            <w:tr w14:paraId="6B2D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37" w:type="dxa"/>
                  <w:noWrap w:val="0"/>
                  <w:vAlign w:val="center"/>
                </w:tcPr>
                <w:p w14:paraId="5076D4C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序号</w:t>
                  </w:r>
                </w:p>
              </w:tc>
              <w:tc>
                <w:tcPr>
                  <w:tcW w:w="1125" w:type="dxa"/>
                  <w:noWrap w:val="0"/>
                  <w:vAlign w:val="center"/>
                </w:tcPr>
                <w:p w14:paraId="2512D02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职位名称</w:t>
                  </w:r>
                </w:p>
              </w:tc>
              <w:tc>
                <w:tcPr>
                  <w:tcW w:w="855" w:type="dxa"/>
                  <w:noWrap w:val="0"/>
                  <w:vAlign w:val="center"/>
                </w:tcPr>
                <w:p w14:paraId="18AAA4E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人员数量</w:t>
                  </w:r>
                </w:p>
              </w:tc>
              <w:tc>
                <w:tcPr>
                  <w:tcW w:w="2445" w:type="dxa"/>
                  <w:noWrap w:val="0"/>
                  <w:vAlign w:val="center"/>
                </w:tcPr>
                <w:p w14:paraId="1EF507A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要求</w:t>
                  </w:r>
                </w:p>
              </w:tc>
            </w:tr>
            <w:tr w14:paraId="312C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37" w:type="dxa"/>
                  <w:noWrap w:val="0"/>
                  <w:vAlign w:val="center"/>
                </w:tcPr>
                <w:p w14:paraId="5A16A4E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p>
              </w:tc>
              <w:tc>
                <w:tcPr>
                  <w:tcW w:w="1125" w:type="dxa"/>
                  <w:noWrap w:val="0"/>
                  <w:vAlign w:val="center"/>
                </w:tcPr>
                <w:p w14:paraId="20B9E59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项目经理</w:t>
                  </w:r>
                </w:p>
              </w:tc>
              <w:tc>
                <w:tcPr>
                  <w:tcW w:w="855" w:type="dxa"/>
                  <w:noWrap w:val="0"/>
                  <w:vAlign w:val="center"/>
                </w:tcPr>
                <w:p w14:paraId="04F39D0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c>
                <w:tcPr>
                  <w:tcW w:w="2445" w:type="dxa"/>
                  <w:noWrap w:val="0"/>
                  <w:vAlign w:val="center"/>
                </w:tcPr>
                <w:p w14:paraId="5705BD3A">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3</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年以上餐饮行业管理经验。熟悉厨房各项设备的性能、使用及保养方法，严格执行食品卫生法，懂得成本核算、食品原料及食品营养知识，能带动厨师挖掘传统菜，研制创新菜。</w:t>
                  </w:r>
                </w:p>
              </w:tc>
            </w:tr>
            <w:tr w14:paraId="2442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37" w:type="dxa"/>
                  <w:noWrap w:val="0"/>
                  <w:vAlign w:val="center"/>
                </w:tcPr>
                <w:p w14:paraId="1D35E84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2</w:t>
                  </w:r>
                </w:p>
              </w:tc>
              <w:tc>
                <w:tcPr>
                  <w:tcW w:w="1125" w:type="dxa"/>
                  <w:noWrap w:val="0"/>
                  <w:vAlign w:val="center"/>
                </w:tcPr>
                <w:p w14:paraId="558334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厨师长</w:t>
                  </w:r>
                </w:p>
              </w:tc>
              <w:tc>
                <w:tcPr>
                  <w:tcW w:w="855" w:type="dxa"/>
                  <w:noWrap w:val="0"/>
                  <w:vAlign w:val="center"/>
                </w:tcPr>
                <w:p w14:paraId="2288FCC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c>
                <w:tcPr>
                  <w:tcW w:w="2445" w:type="dxa"/>
                  <w:noWrap w:val="0"/>
                  <w:vAlign w:val="center"/>
                </w:tcPr>
                <w:p w14:paraId="1BAF7607">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 xml:space="preserve">厨师长须具备三级（高级工）及以上国家职业资格等级  投标文件中提供相应资格证明文件复印件并加盖公章 </w:t>
                  </w:r>
                </w:p>
              </w:tc>
            </w:tr>
            <w:tr w14:paraId="145A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37" w:type="dxa"/>
                  <w:noWrap w:val="0"/>
                  <w:vAlign w:val="center"/>
                </w:tcPr>
                <w:p w14:paraId="5C71C8E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3</w:t>
                  </w:r>
                </w:p>
              </w:tc>
              <w:tc>
                <w:tcPr>
                  <w:tcW w:w="1125" w:type="dxa"/>
                  <w:noWrap w:val="0"/>
                  <w:vAlign w:val="center"/>
                </w:tcPr>
                <w:p w14:paraId="7B712E3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厨师</w:t>
                  </w:r>
                </w:p>
              </w:tc>
              <w:tc>
                <w:tcPr>
                  <w:tcW w:w="855" w:type="dxa"/>
                  <w:noWrap w:val="0"/>
                  <w:vAlign w:val="center"/>
                </w:tcPr>
                <w:p w14:paraId="449A02C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1名</w:t>
                  </w:r>
                </w:p>
              </w:tc>
              <w:tc>
                <w:tcPr>
                  <w:tcW w:w="2445" w:type="dxa"/>
                  <w:noWrap w:val="0"/>
                  <w:vAlign w:val="center"/>
                </w:tcPr>
                <w:p w14:paraId="5FBD7959">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厨师须具备四级（中级工）及以上国家职业资格等级，投标文件中提供相应资格证明文件复印件并加盖公章</w:t>
                  </w:r>
                </w:p>
              </w:tc>
            </w:tr>
            <w:tr w14:paraId="48D1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noWrap w:val="0"/>
                  <w:vAlign w:val="center"/>
                </w:tcPr>
                <w:p w14:paraId="7850404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125" w:type="dxa"/>
                  <w:noWrap w:val="0"/>
                  <w:vAlign w:val="center"/>
                </w:tcPr>
                <w:p w14:paraId="6FDA2FD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面点师</w:t>
                  </w:r>
                </w:p>
              </w:tc>
              <w:tc>
                <w:tcPr>
                  <w:tcW w:w="855" w:type="dxa"/>
                  <w:noWrap w:val="0"/>
                  <w:vAlign w:val="center"/>
                </w:tcPr>
                <w:p w14:paraId="6B9281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w:t>
                  </w:r>
                </w:p>
              </w:tc>
              <w:tc>
                <w:tcPr>
                  <w:tcW w:w="2445" w:type="dxa"/>
                  <w:noWrap w:val="0"/>
                  <w:vAlign w:val="center"/>
                </w:tcPr>
                <w:p w14:paraId="5753AA8D">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面点师须具备五级（初级工）及以上的国家职业资格等级，投标文件中提供相应资格证明文件复印件并加盖公章</w:t>
                  </w:r>
                  <w:r>
                    <w:rPr>
                      <w:rFonts w:hint="eastAsia" w:ascii="宋体" w:hAnsi="宋体" w:cs="宋体"/>
                      <w:color w:val="auto"/>
                      <w:sz w:val="21"/>
                      <w:szCs w:val="21"/>
                      <w:highlight w:val="none"/>
                      <w:lang w:eastAsia="zh-CN"/>
                    </w:rPr>
                    <w:t>。</w:t>
                  </w:r>
                </w:p>
              </w:tc>
            </w:tr>
            <w:tr w14:paraId="1F76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noWrap w:val="0"/>
                  <w:vAlign w:val="center"/>
                </w:tcPr>
                <w:p w14:paraId="673FE1B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5</w:t>
                  </w:r>
                </w:p>
              </w:tc>
              <w:tc>
                <w:tcPr>
                  <w:tcW w:w="1125" w:type="dxa"/>
                  <w:noWrap w:val="0"/>
                  <w:vAlign w:val="center"/>
                </w:tcPr>
                <w:p w14:paraId="7587401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帮厨</w:t>
                  </w:r>
                </w:p>
              </w:tc>
              <w:tc>
                <w:tcPr>
                  <w:tcW w:w="855" w:type="dxa"/>
                  <w:noWrap w:val="0"/>
                  <w:vAlign w:val="center"/>
                </w:tcPr>
                <w:p w14:paraId="566A453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2名</w:t>
                  </w:r>
                </w:p>
              </w:tc>
              <w:tc>
                <w:tcPr>
                  <w:tcW w:w="2445" w:type="dxa"/>
                  <w:noWrap w:val="0"/>
                  <w:vAlign w:val="center"/>
                </w:tcPr>
                <w:p w14:paraId="469E30F5">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t>具有相关工作经验</w:t>
                  </w:r>
                  <w:r>
                    <w:rPr>
                      <w:rFonts w:hint="eastAsia"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t>身体健康，仪表端庄、做事勤快、热情大方。</w:t>
                  </w:r>
                </w:p>
              </w:tc>
            </w:tr>
            <w:tr w14:paraId="52F6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7" w:type="dxa"/>
                  <w:noWrap w:val="0"/>
                  <w:vAlign w:val="center"/>
                </w:tcPr>
                <w:p w14:paraId="0969CB6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6</w:t>
                  </w:r>
                </w:p>
              </w:tc>
              <w:tc>
                <w:tcPr>
                  <w:tcW w:w="1125" w:type="dxa"/>
                  <w:noWrap w:val="0"/>
                  <w:vAlign w:val="center"/>
                </w:tcPr>
                <w:p w14:paraId="7E0A8E8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勤杂工</w:t>
                  </w:r>
                </w:p>
              </w:tc>
              <w:tc>
                <w:tcPr>
                  <w:tcW w:w="855" w:type="dxa"/>
                  <w:noWrap w:val="0"/>
                  <w:vAlign w:val="center"/>
                </w:tcPr>
                <w:p w14:paraId="0677B65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c>
                <w:tcPr>
                  <w:tcW w:w="2445" w:type="dxa"/>
                  <w:noWrap w:val="0"/>
                  <w:vAlign w:val="center"/>
                </w:tcPr>
                <w:p w14:paraId="4132F10F">
                  <w:pPr>
                    <w:keepNext w:val="0"/>
                    <w:keepLines w:val="0"/>
                    <w:pageBreakBefore w:val="0"/>
                    <w:widowControl w:val="0"/>
                    <w:kinsoku/>
                    <w:wordWrap/>
                    <w:overflowPunct/>
                    <w:topLinePunct w:val="0"/>
                    <w:autoSpaceDE/>
                    <w:autoSpaceDN/>
                    <w:bidi w:val="0"/>
                    <w:adjustRightInd/>
                    <w:snapToGrid/>
                    <w:spacing w:line="240" w:lineRule="auto"/>
                    <w:ind w:left="0" w:leftChars="0"/>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auto"/>
                      <w:sz w:val="21"/>
                      <w:szCs w:val="21"/>
                      <w:highlight w:val="none"/>
                    </w:rPr>
                    <w:t>具有良好的服务意识，具备一定的服务技能与技巧，男性在</w:t>
                  </w:r>
                  <w:r>
                    <w:rPr>
                      <w:rFonts w:hint="eastAsia" w:ascii="宋体" w:hAnsi="宋体" w:cs="宋体"/>
                      <w:color w:val="auto"/>
                      <w:sz w:val="21"/>
                      <w:szCs w:val="21"/>
                      <w:highlight w:val="none"/>
                      <w:lang w:val="en-US" w:eastAsia="zh-CN"/>
                    </w:rPr>
                    <w:t>55</w:t>
                  </w:r>
                  <w:r>
                    <w:rPr>
                      <w:rFonts w:hint="eastAsia" w:ascii="宋体" w:hAnsi="宋体" w:eastAsia="宋体" w:cs="宋体"/>
                      <w:color w:val="auto"/>
                      <w:sz w:val="21"/>
                      <w:szCs w:val="21"/>
                      <w:highlight w:val="none"/>
                    </w:rPr>
                    <w:t>岁以下，女性在</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0岁以下，形象良好</w:t>
                  </w:r>
                </w:p>
              </w:tc>
            </w:tr>
            <w:tr w14:paraId="1D37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62" w:type="dxa"/>
                  <w:gridSpan w:val="2"/>
                  <w:noWrap w:val="0"/>
                  <w:vAlign w:val="center"/>
                </w:tcPr>
                <w:p w14:paraId="602580D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合计</w:t>
                  </w:r>
                </w:p>
              </w:tc>
              <w:tc>
                <w:tcPr>
                  <w:tcW w:w="3300" w:type="dxa"/>
                  <w:gridSpan w:val="2"/>
                  <w:noWrap w:val="0"/>
                  <w:vAlign w:val="center"/>
                </w:tcPr>
                <w:p w14:paraId="61239C6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baseline"/>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8</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名</w:t>
                  </w:r>
                </w:p>
              </w:tc>
            </w:tr>
          </w:tbl>
          <w:p w14:paraId="1F2E0DB3">
            <w:pPr>
              <w:spacing w:line="400" w:lineRule="exact"/>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人员费用最高限价（元）：</w:t>
            </w:r>
            <w:r>
              <w:rPr>
                <w:rFonts w:hint="eastAsia" w:ascii="宋体" w:hAnsi="宋体" w:cs="宋体" w:eastAsiaTheme="minorEastAsia"/>
                <w:color w:val="000000" w:themeColor="text1"/>
                <w:sz w:val="21"/>
                <w:szCs w:val="21"/>
                <w:lang w:eastAsia="zh-CN"/>
                <w14:textFill>
                  <w14:solidFill>
                    <w14:schemeClr w14:val="tx1"/>
                  </w14:solidFill>
                </w14:textFill>
              </w:rPr>
              <w:t>1455000元</w:t>
            </w:r>
            <w:r>
              <w:rPr>
                <w:rFonts w:hint="eastAsia" w:hAnsi="宋体" w:eastAsia="宋体" w:cs="宋体"/>
                <w:color w:val="000000" w:themeColor="text1"/>
                <w:sz w:val="21"/>
                <w:szCs w:val="21"/>
                <w:highlight w:val="none"/>
                <w:lang w:val="en-US" w:eastAsia="zh-CN"/>
                <w14:textFill>
                  <w14:solidFill>
                    <w14:schemeClr w14:val="tx1"/>
                  </w14:solidFill>
                </w14:textFill>
              </w:rPr>
              <w:t>。</w:t>
            </w:r>
            <w:r>
              <w:rPr>
                <w:rFonts w:hint="eastAsia" w:hAnsi="宋体" w:eastAsia="宋体" w:cs="宋体"/>
                <w:color w:val="000000" w:themeColor="text1"/>
                <w:sz w:val="21"/>
                <w:szCs w:val="21"/>
                <w:highlight w:val="none"/>
                <w:lang w:eastAsia="zh-CN"/>
                <w14:textFill>
                  <w14:solidFill>
                    <w14:schemeClr w14:val="tx1"/>
                  </w14:solidFill>
                </w14:textFill>
              </w:rPr>
              <w:t>人员费用投标报价超过最高限价的做无效标处理。</w:t>
            </w:r>
          </w:p>
          <w:p w14:paraId="61B77CE5">
            <w:pPr>
              <w:spacing w:line="400" w:lineRule="exact"/>
              <w:rPr>
                <w:rFonts w:hint="eastAsia" w:ascii="宋体" w:hAnsi="宋体"/>
                <w:color w:val="000000" w:themeColor="text1"/>
                <w:sz w:val="21"/>
                <w:szCs w:val="21"/>
                <w:lang w:eastAsia="zh-CN"/>
                <w14:textFill>
                  <w14:solidFill>
                    <w14:schemeClr w14:val="tx1"/>
                  </w14:solidFill>
                </w14:textFill>
              </w:rPr>
            </w:pPr>
            <w:r>
              <w:rPr>
                <w:rFonts w:hint="eastAsia"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本表要求的人员数量配置为最低人员数量要求，</w:t>
            </w:r>
            <w:r>
              <w:rPr>
                <w:rFonts w:hint="eastAsia"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必须满足</w:t>
            </w:r>
            <w:r>
              <w:rPr>
                <w:rFonts w:hint="eastAsia"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所有上岗人员必须有健康证明</w:t>
            </w:r>
            <w:r>
              <w:rPr>
                <w:rFonts w:hint="eastAsia" w:ascii="宋体" w:hAnsi="宋体"/>
                <w:color w:val="000000" w:themeColor="text1"/>
                <w:sz w:val="21"/>
                <w:szCs w:val="21"/>
                <w:lang w:eastAsia="zh-CN"/>
                <w14:textFill>
                  <w14:solidFill>
                    <w14:schemeClr w14:val="tx1"/>
                  </w14:solidFill>
                </w14:textFill>
              </w:rPr>
              <w:t>。</w:t>
            </w:r>
          </w:p>
          <w:p w14:paraId="18E1832F">
            <w:pPr>
              <w:widowControl/>
              <w:spacing w:line="400" w:lineRule="exact"/>
              <w:jc w:val="left"/>
              <w:rPr>
                <w:rFonts w:hint="eastAsia" w:ascii="宋体" w:hAnsi="宋体" w:cs="宋体"/>
                <w:b/>
                <w:color w:val="000000" w:themeColor="text1"/>
                <w:kern w:val="0"/>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ascii="宋体" w:hAnsi="宋体" w:cs="宋体"/>
                <w:b/>
                <w:color w:val="000000" w:themeColor="text1"/>
                <w:kern w:val="0"/>
                <w:sz w:val="21"/>
                <w:szCs w:val="21"/>
                <w:lang w:val="en-US" w:eastAsia="zh-CN"/>
                <w14:textFill>
                  <w14:solidFill>
                    <w14:schemeClr w14:val="tx1"/>
                  </w14:solidFill>
                </w14:textFill>
              </w:rPr>
              <w:t>3</w:t>
            </w:r>
            <w:r>
              <w:rPr>
                <w:rFonts w:hint="eastAsia" w:ascii="宋体" w:hAnsi="宋体" w:cs="宋体"/>
                <w:b/>
                <w:color w:val="000000" w:themeColor="text1"/>
                <w:kern w:val="0"/>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项目经理</w:t>
            </w:r>
            <w:r>
              <w:rPr>
                <w:rFonts w:hint="eastAsia" w:ascii="宋体" w:hAnsi="宋体"/>
                <w:b/>
                <w:color w:val="000000" w:themeColor="text1"/>
                <w:sz w:val="21"/>
                <w:szCs w:val="21"/>
                <w:lang w:eastAsia="zh-CN"/>
                <w14:textFill>
                  <w14:solidFill>
                    <w14:schemeClr w14:val="tx1"/>
                  </w14:solidFill>
                </w14:textFill>
              </w:rPr>
              <w:t>及主厨</w:t>
            </w:r>
            <w:r>
              <w:rPr>
                <w:rFonts w:hint="eastAsia" w:ascii="宋体" w:hAnsi="宋体"/>
                <w:b/>
                <w:color w:val="000000" w:themeColor="text1"/>
                <w:sz w:val="21"/>
                <w:szCs w:val="21"/>
                <w14:textFill>
                  <w14:solidFill>
                    <w14:schemeClr w14:val="tx1"/>
                  </w14:solidFill>
                </w14:textFill>
              </w:rPr>
              <w:t>必须是投标单位的正式员工，投标时需提供相关证件复印件及至少</w:t>
            </w:r>
            <w:r>
              <w:rPr>
                <w:rFonts w:hint="eastAsia" w:ascii="宋体" w:hAnsi="宋体"/>
                <w:b/>
                <w:color w:val="000000" w:themeColor="text1"/>
                <w:sz w:val="21"/>
                <w:szCs w:val="21"/>
                <w:lang w:val="en-US" w:eastAsia="zh-CN"/>
                <w14:textFill>
                  <w14:solidFill>
                    <w14:schemeClr w14:val="tx1"/>
                  </w14:solidFill>
                </w14:textFill>
              </w:rPr>
              <w:t>3</w:t>
            </w:r>
            <w:r>
              <w:rPr>
                <w:rFonts w:hint="eastAsia" w:ascii="宋体" w:hAnsi="宋体"/>
                <w:b/>
                <w:color w:val="000000" w:themeColor="text1"/>
                <w:sz w:val="21"/>
                <w:szCs w:val="21"/>
                <w14:textFill>
                  <w14:solidFill>
                    <w14:schemeClr w14:val="tx1"/>
                  </w14:solidFill>
                </w14:textFill>
              </w:rPr>
              <w:t>个月以上的社保缴纳证明，否则为无效标。</w:t>
            </w:r>
          </w:p>
          <w:p w14:paraId="1D70CCF9">
            <w:pPr>
              <w:widowControl/>
              <w:spacing w:line="400" w:lineRule="exact"/>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cs="宋体"/>
                <w:color w:val="000000" w:themeColor="text1"/>
                <w:kern w:val="0"/>
                <w:sz w:val="21"/>
                <w:szCs w:val="21"/>
                <w14:textFill>
                  <w14:solidFill>
                    <w14:schemeClr w14:val="tx1"/>
                  </w14:solidFill>
                </w14:textFill>
              </w:rPr>
              <w:t>、定点单位应确保其派遣人员相对固定，不得无故变更，如确需调整，应征得业主单位同意。</w:t>
            </w:r>
          </w:p>
          <w:p w14:paraId="6A48AE3E">
            <w:pPr>
              <w:pStyle w:val="37"/>
              <w:ind w:left="0" w:leftChars="0" w:firstLine="0" w:firstLineChars="0"/>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cs="宋体"/>
                <w:color w:val="000000" w:themeColor="text1"/>
                <w:kern w:val="0"/>
                <w:sz w:val="21"/>
                <w:szCs w:val="21"/>
                <w14:textFill>
                  <w14:solidFill>
                    <w14:schemeClr w14:val="tx1"/>
                  </w14:solidFill>
                </w14:textFill>
              </w:rPr>
              <w:t>、定点单位的派遣人员应服从业主单位管理部门的管理。</w:t>
            </w:r>
          </w:p>
        </w:tc>
        <w:tc>
          <w:tcPr>
            <w:tcW w:w="1724" w:type="dxa"/>
          </w:tcPr>
          <w:p w14:paraId="264F48C6">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3B1D82F1">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4A48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58" w:type="dxa"/>
            <w:vAlign w:val="center"/>
          </w:tcPr>
          <w:p w14:paraId="17772A73">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p>
        </w:tc>
        <w:tc>
          <w:tcPr>
            <w:tcW w:w="5508" w:type="dxa"/>
          </w:tcPr>
          <w:p w14:paraId="06F2596E">
            <w:pPr>
              <w:spacing w:line="400" w:lineRule="exact"/>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补充说明</w:t>
            </w:r>
          </w:p>
          <w:p w14:paraId="67E62323">
            <w:pPr>
              <w:spacing w:line="400" w:lineRule="exact"/>
              <w:rPr>
                <w:rFonts w:hint="eastAsia" w:ascii="宋体" w:hAnsi="宋体" w:cs="Arial"/>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1、付款方式：每月度末根据采购人确认的工作完成情况，在次月的10日前支付上月</w:t>
            </w:r>
            <w:r>
              <w:rPr>
                <w:rFonts w:hint="eastAsia" w:ascii="宋体" w:hAnsi="宋体"/>
                <w:color w:val="000000" w:themeColor="text1"/>
                <w:sz w:val="21"/>
                <w:szCs w:val="21"/>
                <w:lang w:val="en-US" w:eastAsia="zh-CN"/>
                <w14:textFill>
                  <w14:solidFill>
                    <w14:schemeClr w14:val="tx1"/>
                  </w14:solidFill>
                </w14:textFill>
              </w:rPr>
              <w:t>食堂外包服务</w:t>
            </w:r>
            <w:r>
              <w:rPr>
                <w:rFonts w:hint="eastAsia" w:ascii="宋体" w:hAnsi="宋体"/>
                <w:color w:val="000000" w:themeColor="text1"/>
                <w:sz w:val="21"/>
                <w:szCs w:val="21"/>
                <w14:textFill>
                  <w14:solidFill>
                    <w14:schemeClr w14:val="tx1"/>
                  </w14:solidFill>
                </w14:textFill>
              </w:rPr>
              <w:t>管理费。</w:t>
            </w:r>
            <w:r>
              <w:rPr>
                <w:rFonts w:hint="eastAsia" w:ascii="宋体" w:hAnsi="宋体"/>
                <w:color w:val="000000" w:themeColor="text1"/>
                <w:sz w:val="21"/>
                <w:szCs w:val="21"/>
                <w:lang w:val="en-US" w:eastAsia="zh-CN"/>
                <w14:textFill>
                  <w14:solidFill>
                    <w14:schemeClr w14:val="tx1"/>
                  </w14:solidFill>
                </w14:textFill>
              </w:rPr>
              <w:t>食堂外包服务</w:t>
            </w:r>
            <w:r>
              <w:rPr>
                <w:rFonts w:hint="eastAsia" w:ascii="宋体" w:hAnsi="宋体"/>
                <w:color w:val="000000" w:themeColor="text1"/>
                <w:sz w:val="21"/>
                <w:szCs w:val="21"/>
                <w14:textFill>
                  <w14:solidFill>
                    <w14:schemeClr w14:val="tx1"/>
                  </w14:solidFill>
                </w14:textFill>
              </w:rPr>
              <w:t>管理费由疾控中心</w:t>
            </w:r>
            <w:r>
              <w:rPr>
                <w:rFonts w:hint="eastAsia" w:ascii="宋体" w:hAnsi="宋体" w:cs="Arial"/>
                <w:color w:val="000000" w:themeColor="text1"/>
                <w:sz w:val="21"/>
                <w:szCs w:val="21"/>
                <w14:textFill>
                  <w14:solidFill>
                    <w14:schemeClr w14:val="tx1"/>
                  </w14:solidFill>
                </w14:textFill>
              </w:rPr>
              <w:t>出资。</w:t>
            </w:r>
          </w:p>
          <w:p w14:paraId="2C058DB6">
            <w:pPr>
              <w:keepNext w:val="0"/>
              <w:keepLines w:val="0"/>
              <w:pageBreakBefore w:val="0"/>
              <w:wordWrap/>
              <w:topLinePunct w:val="0"/>
              <w:bidi w:val="0"/>
              <w:spacing w:beforeLines="0" w:afterLines="0" w:line="360" w:lineRule="auto"/>
              <w:rPr>
                <w:rFonts w:hint="eastAsia" w:ascii="宋体" w:hAnsi="宋体" w:cs="Times New Roman"/>
                <w:b w:val="0"/>
                <w:bCs/>
                <w:color w:val="000000" w:themeColor="text1"/>
                <w:sz w:val="21"/>
                <w:szCs w:val="21"/>
                <w:lang w:val="en-US" w:eastAsia="zh-CN"/>
                <w14:textFill>
                  <w14:solidFill>
                    <w14:schemeClr w14:val="tx1"/>
                  </w14:solidFill>
                </w14:textFill>
              </w:rPr>
            </w:pPr>
            <w:r>
              <w:rPr>
                <w:rFonts w:hint="eastAsia" w:ascii="宋体" w:hAnsi="宋体" w:cs="Times New Roman"/>
                <w:b w:val="0"/>
                <w:bCs/>
                <w:color w:val="000000" w:themeColor="text1"/>
                <w:sz w:val="21"/>
                <w:szCs w:val="21"/>
                <w:lang w:val="en-US" w:eastAsia="zh-CN"/>
                <w14:textFill>
                  <w14:solidFill>
                    <w14:schemeClr w14:val="tx1"/>
                  </w14:solidFill>
                </w14:textFill>
              </w:rPr>
              <w:t>2、投标人应确保月度财务平衡，即食堂月度开支（包括但不限于食品加工费、餐厨垃圾处理费、设备设施更换与新增费、设备设施维修费、人员工资费用（工资、津贴）、人员综合费用（各种社会保险、福利、服装费、培训费等）、各种规费、管理费和税金等）与月度营收之比平衡，允许上下浮动5%，如超出5%范围，进行相应的月度服务费扣罚。</w:t>
            </w:r>
          </w:p>
          <w:p w14:paraId="42248CD2">
            <w:pPr>
              <w:keepNext w:val="0"/>
              <w:keepLines w:val="0"/>
              <w:pageBreakBefore w:val="0"/>
              <w:wordWrap/>
              <w:topLinePunct w:val="0"/>
              <w:bidi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cs="Times New Roman"/>
                <w:b w:val="0"/>
                <w:bCs/>
                <w:color w:val="000000" w:themeColor="text1"/>
                <w:sz w:val="21"/>
                <w:szCs w:val="21"/>
                <w:lang w:val="en-US" w:eastAsia="zh-CN"/>
                <w14:textFill>
                  <w14:solidFill>
                    <w14:schemeClr w14:val="tx1"/>
                  </w14:solidFill>
                </w14:textFill>
              </w:rPr>
              <w:t>3、</w:t>
            </w:r>
            <w:r>
              <w:rPr>
                <w:rFonts w:hint="eastAsia" w:ascii="宋体" w:hAnsi="宋体" w:eastAsia="宋体" w:cs="宋体"/>
                <w:color w:val="auto"/>
                <w:sz w:val="21"/>
                <w:szCs w:val="21"/>
                <w:highlight w:val="none"/>
                <w:lang w:val="en-US" w:eastAsia="zh-CN"/>
              </w:rPr>
              <w:t>采购、配送、成本管理与核算(服务方应提供采购方式、渠道及价格优势的具体内容并符合《食品安全法》要求。)集中采购渠道的具体供应商、品牌等；外驻单位物流配送方案及保障措施:财务管理及结算方案(包括IC卡代管程序及保障措施)。</w:t>
            </w:r>
          </w:p>
          <w:p w14:paraId="194628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投标人必须制订风险管理计划，对停水、停电、停气及自然灾害等不可预见之事件要有应急预案，如须业主配合，须及时与业主取得联络，以保障安全供餐。中标人的各岗位员工要统一服装，并由中标人负责其员工工服配备和洗涤。</w:t>
            </w:r>
          </w:p>
          <w:p w14:paraId="7AED03A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5、中标人有岗前培训机构，服务人员100%经过岗前培训合格才能上岗。 </w:t>
            </w:r>
          </w:p>
          <w:p w14:paraId="60F4DB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6、中标人须严格按照标准化的操作程序、完善的培训体系和质量控制体系完成本项目，以保证整个系统安全、高效、有序和有计划地运转。</w:t>
            </w:r>
          </w:p>
          <w:p w14:paraId="7928A4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7、中标人须严格按照国家规定给所有符合社保缴纳要求的员工缴纳各种社会保险(包括养老、医疗、工伤、生育险、失业保险等)和住房公积金。</w:t>
            </w:r>
          </w:p>
          <w:p w14:paraId="4D4CFE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全部服务人员的工作时间应严格按国家有关法律、法规要求的标准执行，因工作原因产生的加班(含节假日加班)应严格按国家有关法律、法规要求的标准给付员工加班薪资。并包含国家规定的员工年假费用；业主方不另外增加费用。</w:t>
            </w:r>
          </w:p>
          <w:p w14:paraId="20DB87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9、所有员工入职服务时都必须体检，并且合格后才能持证上岗。</w:t>
            </w:r>
            <w:r>
              <w:rPr>
                <w:rFonts w:hint="eastAsia" w:ascii="宋体" w:hAnsi="宋体" w:eastAsia="宋体" w:cs="宋体"/>
                <w:b/>
                <w:bCs/>
                <w:color w:val="auto"/>
                <w:sz w:val="21"/>
                <w:szCs w:val="21"/>
                <w:highlight w:val="none"/>
                <w:lang w:val="en-US" w:eastAsia="zh-CN"/>
              </w:rPr>
              <w:t>（注：投标文件中需提供相关承诺，否则视为无效。）</w:t>
            </w:r>
          </w:p>
          <w:p w14:paraId="19F31D8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rPr>
            </w:pPr>
            <w:r>
              <w:rPr>
                <w:rFonts w:hint="eastAsia" w:ascii="宋体" w:hAnsi="宋体" w:eastAsia="宋体" w:cs="宋体"/>
                <w:color w:val="auto"/>
                <w:sz w:val="21"/>
                <w:szCs w:val="21"/>
                <w:highlight w:val="none"/>
                <w:lang w:val="en-US" w:eastAsia="zh-CN"/>
              </w:rPr>
              <w:t>10、因投标人违反《劳动法》等法律法规而造成甲方的连带责任和损失全部由投标人承担。</w:t>
            </w:r>
          </w:p>
          <w:p w14:paraId="758EEF8C">
            <w:pPr>
              <w:spacing w:line="400" w:lineRule="exact"/>
              <w:jc w:val="left"/>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11</w:t>
            </w:r>
            <w:r>
              <w:rPr>
                <w:rFonts w:hint="eastAsia" w:ascii="宋体" w:hAnsi="宋体"/>
                <w:color w:val="000000" w:themeColor="text1"/>
                <w:sz w:val="21"/>
                <w:szCs w:val="21"/>
                <w14:textFill>
                  <w14:solidFill>
                    <w14:schemeClr w14:val="tx1"/>
                  </w14:solidFill>
                </w14:textFill>
              </w:rPr>
              <w:t>、本项目采用包干制</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包括</w:t>
            </w:r>
            <w:r>
              <w:rPr>
                <w:rFonts w:hint="eastAsia" w:ascii="宋体" w:hAnsi="宋体"/>
                <w:color w:val="000000" w:themeColor="text1"/>
                <w:sz w:val="21"/>
                <w:szCs w:val="21"/>
                <w:lang w:val="en-US" w:eastAsia="zh-CN"/>
                <w14:textFill>
                  <w14:solidFill>
                    <w14:schemeClr w14:val="tx1"/>
                  </w14:solidFill>
                </w14:textFill>
              </w:rPr>
              <w:t>:</w:t>
            </w:r>
          </w:p>
          <w:p w14:paraId="0F6198F0">
            <w:pPr>
              <w:spacing w:line="400" w:lineRule="exact"/>
              <w:jc w:val="left"/>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（1）保洁工具、日常消耗品（拖把、抹布、清洁剂、水桶、餐厅用纸等）</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（如另有增加费用，中标方应与业主自行协商解决）</w:t>
            </w:r>
          </w:p>
          <w:p w14:paraId="456C6D78">
            <w:pPr>
              <w:numPr>
                <w:ilvl w:val="0"/>
                <w:numId w:val="0"/>
              </w:numPr>
              <w:spacing w:line="400" w:lineRule="exact"/>
              <w:jc w:val="left"/>
              <w:rPr>
                <w:rFonts w:hint="eastAsia" w:ascii="宋体" w:hAnsi="宋体"/>
                <w:color w:val="auto"/>
                <w:sz w:val="21"/>
                <w:szCs w:val="21"/>
                <w:lang w:eastAsia="zh-CN"/>
              </w:rPr>
            </w:pPr>
            <w:r>
              <w:rPr>
                <w:rFonts w:hint="eastAsia" w:ascii="宋体" w:hAnsi="宋体"/>
                <w:color w:val="auto"/>
                <w:sz w:val="21"/>
                <w:szCs w:val="21"/>
                <w:lang w:val="en-US" w:eastAsia="zh-CN"/>
              </w:rPr>
              <w:t>（2）食堂厨余垃圾外运（外包费）由</w:t>
            </w:r>
            <w:r>
              <w:rPr>
                <w:rFonts w:hint="eastAsia" w:ascii="宋体" w:hAnsi="宋体"/>
                <w:color w:val="auto"/>
                <w:sz w:val="21"/>
                <w:szCs w:val="21"/>
                <w:lang w:eastAsia="zh-CN"/>
              </w:rPr>
              <w:t>中</w:t>
            </w:r>
            <w:r>
              <w:rPr>
                <w:rFonts w:hint="eastAsia" w:ascii="宋体" w:hAnsi="宋体"/>
                <w:color w:val="auto"/>
                <w:sz w:val="21"/>
                <w:szCs w:val="21"/>
              </w:rPr>
              <w:t>标（成交）单位</w:t>
            </w:r>
            <w:r>
              <w:rPr>
                <w:rFonts w:hint="eastAsia" w:ascii="宋体" w:hAnsi="宋体"/>
                <w:color w:val="auto"/>
                <w:sz w:val="21"/>
                <w:szCs w:val="21"/>
                <w:lang w:eastAsia="zh-CN"/>
              </w:rPr>
              <w:t>统一支付给第三方。（如另有增加费用，中标方应与业主协商解决）。</w:t>
            </w:r>
          </w:p>
          <w:p w14:paraId="5C4B5036">
            <w:pPr>
              <w:numPr>
                <w:ilvl w:val="0"/>
                <w:numId w:val="0"/>
              </w:numPr>
              <w:spacing w:line="400" w:lineRule="exact"/>
              <w:rPr>
                <w:rFonts w:hint="eastAsia"/>
                <w:sz w:val="21"/>
                <w:szCs w:val="21"/>
                <w:lang w:val="en-US" w:eastAsia="zh-CN"/>
              </w:rPr>
            </w:pPr>
            <w:r>
              <w:rPr>
                <w:rFonts w:hint="eastAsia" w:ascii="宋体" w:hAnsi="宋体"/>
                <w:color w:val="auto"/>
                <w:sz w:val="21"/>
                <w:szCs w:val="21"/>
                <w:lang w:val="en-US" w:eastAsia="zh-CN"/>
              </w:rPr>
              <w:t>12、</w:t>
            </w:r>
            <w:r>
              <w:rPr>
                <w:rFonts w:hint="eastAsia" w:ascii="宋体" w:hAnsi="宋体"/>
                <w:color w:val="auto"/>
                <w:sz w:val="21"/>
                <w:szCs w:val="21"/>
                <w:lang w:eastAsia="zh-CN"/>
              </w:rPr>
              <w:t>各</w:t>
            </w:r>
            <w:r>
              <w:rPr>
                <w:rFonts w:hint="eastAsia" w:ascii="宋体" w:hAnsi="宋体"/>
                <w:color w:val="auto"/>
                <w:sz w:val="21"/>
                <w:szCs w:val="21"/>
              </w:rPr>
              <w:t>业主</w:t>
            </w:r>
            <w:r>
              <w:rPr>
                <w:rFonts w:hint="eastAsia" w:ascii="宋体" w:hAnsi="宋体"/>
                <w:color w:val="auto"/>
                <w:sz w:val="21"/>
                <w:szCs w:val="21"/>
                <w:lang w:eastAsia="zh-CN"/>
              </w:rPr>
              <w:t>单位组成的</w:t>
            </w:r>
            <w:r>
              <w:rPr>
                <w:rFonts w:hint="eastAsia" w:ascii="宋体" w:hAnsi="宋体"/>
                <w:color w:val="auto"/>
                <w:sz w:val="21"/>
                <w:szCs w:val="21"/>
                <w:lang w:val="en-US" w:eastAsia="zh-CN"/>
              </w:rPr>
              <w:t>食堂外包服务</w:t>
            </w:r>
            <w:r>
              <w:rPr>
                <w:rFonts w:hint="eastAsia" w:ascii="宋体" w:hAnsi="宋体"/>
                <w:color w:val="auto"/>
                <w:sz w:val="21"/>
                <w:szCs w:val="21"/>
                <w:lang w:eastAsia="zh-CN"/>
              </w:rPr>
              <w:t>管理考核组</w:t>
            </w:r>
            <w:r>
              <w:rPr>
                <w:rFonts w:hint="eastAsia" w:ascii="宋体" w:hAnsi="宋体"/>
                <w:color w:val="auto"/>
                <w:sz w:val="21"/>
                <w:szCs w:val="21"/>
              </w:rPr>
              <w:t>采用定期不定期的方式，对中标（成交）单位的服务进行检查、考核评议，评议监督考评的内容为管理单位的投标承诺、管理指标、管理制度、工作制度等落实情况。</w:t>
            </w:r>
          </w:p>
        </w:tc>
        <w:tc>
          <w:tcPr>
            <w:tcW w:w="1724" w:type="dxa"/>
          </w:tcPr>
          <w:p w14:paraId="4DBF87F4">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12B525E">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14:paraId="77F7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2EFED39">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5508" w:type="dxa"/>
          </w:tcPr>
          <w:p w14:paraId="250AE8E4">
            <w:pPr>
              <w:keepNext w:val="0"/>
              <w:keepLines w:val="0"/>
              <w:pageBreakBefore w:val="0"/>
              <w:widowControl w:val="0"/>
              <w:kinsoku/>
              <w:wordWrap/>
              <w:overflowPunct/>
              <w:topLinePunct w:val="0"/>
              <w:bidi w:val="0"/>
              <w:adjustRightInd/>
              <w:snapToGrid/>
              <w:spacing w:line="360" w:lineRule="auto"/>
              <w:ind w:left="0" w:leftChars="0"/>
              <w:rPr>
                <w:rFonts w:hint="default" w:ascii="宋体" w:hAnsi="宋体" w:eastAsia="宋体" w:cs="宋体"/>
                <w:b/>
                <w:color w:val="auto"/>
                <w:sz w:val="21"/>
                <w:szCs w:val="21"/>
                <w:highlight w:val="none"/>
                <w:lang w:val="en-US" w:eastAsia="zh-CN"/>
              </w:rPr>
            </w:pPr>
            <w:r>
              <w:rPr>
                <w:rFonts w:hint="eastAsia" w:ascii="宋体" w:hAnsi="宋体" w:eastAsia="宋体" w:cs="宋体"/>
                <w:b/>
                <w:iCs/>
                <w:color w:val="auto"/>
                <w:kern w:val="0"/>
                <w:sz w:val="21"/>
                <w:szCs w:val="21"/>
                <w:highlight w:val="none"/>
                <w:lang w:val="en-US" w:eastAsia="zh-CN"/>
              </w:rPr>
              <w:t>考核内容</w:t>
            </w:r>
          </w:p>
          <w:p w14:paraId="3AAE9A71">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在本合同履行期限内，投标人应严格执行《国家食品安全法》、《国家安全生产法》等相关规定，招标人实行每月考核模式，具体如下：</w:t>
            </w:r>
          </w:p>
          <w:p w14:paraId="576AFD03">
            <w:pPr>
              <w:keepNext w:val="0"/>
              <w:keepLines w:val="0"/>
              <w:pageBreakBefore w:val="0"/>
              <w:widowControl w:val="0"/>
              <w:suppressLineNumbers w:val="0"/>
              <w:tabs>
                <w:tab w:val="left" w:pos="2293"/>
              </w:tabs>
              <w:kinsoku/>
              <w:wordWrap/>
              <w:overflowPunct/>
              <w:topLinePunct w:val="0"/>
              <w:autoSpaceDE w:val="0"/>
              <w:autoSpaceDN w:val="0"/>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olor w:val="auto"/>
                <w:sz w:val="21"/>
                <w:szCs w:val="21"/>
              </w:rPr>
              <w:t>中标人要无条件接受招标人定期或不定期检查监督，考核细则按每月进行打分考核，满分为100分。</w:t>
            </w:r>
            <w:r>
              <w:rPr>
                <w:rFonts w:hint="eastAsia" w:ascii="宋体" w:hAnsi="宋体"/>
                <w:color w:val="auto"/>
                <w:sz w:val="21"/>
                <w:szCs w:val="21"/>
                <w:lang w:val="en-US" w:eastAsia="zh-CN"/>
              </w:rPr>
              <w:t>90</w:t>
            </w:r>
            <w:r>
              <w:rPr>
                <w:rFonts w:hint="eastAsia" w:ascii="宋体" w:hAnsi="宋体"/>
                <w:color w:val="auto"/>
                <w:sz w:val="21"/>
                <w:szCs w:val="21"/>
              </w:rPr>
              <w:t>分以上为满意，不作经济处罚;80-89为基本满意，以90分为基准每下降1分扣</w:t>
            </w:r>
            <w:r>
              <w:rPr>
                <w:rFonts w:hint="eastAsia" w:ascii="宋体" w:hAnsi="宋体"/>
                <w:color w:val="auto"/>
                <w:sz w:val="21"/>
                <w:szCs w:val="21"/>
                <w:lang w:val="en-US" w:eastAsia="zh-CN"/>
              </w:rPr>
              <w:t>2</w:t>
            </w:r>
            <w:r>
              <w:rPr>
                <w:rFonts w:hint="eastAsia" w:ascii="宋体" w:hAnsi="宋体"/>
                <w:color w:val="auto"/>
                <w:sz w:val="21"/>
                <w:szCs w:val="21"/>
              </w:rPr>
              <w:t>00元；，80分（含80分）为合格</w:t>
            </w:r>
            <w:r>
              <w:rPr>
                <w:rFonts w:hint="eastAsia" w:ascii="宋体" w:hAnsi="宋体"/>
                <w:color w:val="auto"/>
                <w:sz w:val="21"/>
                <w:szCs w:val="21"/>
                <w:lang w:eastAsia="zh-CN"/>
              </w:rPr>
              <w:t>，低于</w:t>
            </w:r>
            <w:r>
              <w:rPr>
                <w:rFonts w:hint="eastAsia" w:ascii="宋体" w:hAnsi="宋体"/>
                <w:color w:val="auto"/>
                <w:sz w:val="21"/>
                <w:szCs w:val="21"/>
              </w:rPr>
              <w:t>80分为不合格，不足80分的每1分扣</w:t>
            </w:r>
            <w:r>
              <w:rPr>
                <w:rFonts w:hint="eastAsia" w:ascii="宋体" w:hAnsi="宋体"/>
                <w:color w:val="auto"/>
                <w:sz w:val="21"/>
                <w:szCs w:val="21"/>
                <w:lang w:val="en-US" w:eastAsia="zh-CN"/>
              </w:rPr>
              <w:t>3</w:t>
            </w:r>
            <w:r>
              <w:rPr>
                <w:rFonts w:hint="eastAsia" w:ascii="宋体" w:hAnsi="宋体"/>
                <w:color w:val="auto"/>
                <w:sz w:val="21"/>
                <w:szCs w:val="21"/>
              </w:rPr>
              <w:t>00元。若打分低于80分，本月</w:t>
            </w:r>
            <w:r>
              <w:rPr>
                <w:rFonts w:hint="eastAsia" w:ascii="宋体" w:hAnsi="宋体"/>
                <w:color w:val="auto"/>
                <w:sz w:val="21"/>
                <w:szCs w:val="21"/>
                <w:lang w:eastAsia="zh-CN"/>
              </w:rPr>
              <w:t>服务</w:t>
            </w:r>
            <w:r>
              <w:rPr>
                <w:rFonts w:hint="eastAsia" w:ascii="宋体" w:hAnsi="宋体"/>
                <w:color w:val="auto"/>
                <w:sz w:val="21"/>
                <w:szCs w:val="21"/>
              </w:rPr>
              <w:t>考核为不合格，并且作为续签下年</w:t>
            </w:r>
            <w:r>
              <w:rPr>
                <w:rFonts w:hint="eastAsia" w:ascii="宋体" w:hAnsi="宋体"/>
                <w:color w:val="auto"/>
                <w:sz w:val="21"/>
                <w:szCs w:val="21"/>
                <w:lang w:eastAsia="zh-CN"/>
              </w:rPr>
              <w:t>食堂外包</w:t>
            </w:r>
            <w:r>
              <w:rPr>
                <w:rFonts w:hint="eastAsia" w:ascii="宋体" w:hAnsi="宋体"/>
                <w:color w:val="auto"/>
                <w:sz w:val="21"/>
                <w:szCs w:val="21"/>
              </w:rPr>
              <w:t>服务的依据。如果中标人管理混乱，经招标人督促后未改进连续两次考核不合格，招标人</w:t>
            </w:r>
            <w:r>
              <w:rPr>
                <w:rFonts w:hint="eastAsia" w:ascii="宋体" w:hAnsi="宋体"/>
                <w:color w:val="auto"/>
                <w:sz w:val="21"/>
                <w:szCs w:val="21"/>
                <w:lang w:val="zh-CN"/>
              </w:rPr>
              <w:t>有权终止合同，并罚没其履约保证金。</w:t>
            </w:r>
            <w:r>
              <w:rPr>
                <w:rFonts w:hint="eastAsia" w:ascii="宋体" w:hAnsi="宋体" w:eastAsia="宋体" w:cs="宋体"/>
                <w:color w:val="auto"/>
                <w:sz w:val="21"/>
                <w:szCs w:val="21"/>
                <w:highlight w:val="none"/>
                <w:lang w:val="en-US" w:eastAsia="zh-CN"/>
              </w:rPr>
              <w:t>同时，要求食品安全率达到100%，所有食品原材料按质量体系验收；冬天实施菜肴保暖，夏天提供清凉食品，每餐食品留样48小时，每周定期推出新品种。</w:t>
            </w:r>
          </w:p>
        </w:tc>
        <w:tc>
          <w:tcPr>
            <w:tcW w:w="1724" w:type="dxa"/>
          </w:tcPr>
          <w:p w14:paraId="470D6083">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1274" w:type="dxa"/>
          </w:tcPr>
          <w:p w14:paraId="1ADF43C9">
            <w:pPr>
              <w:jc w:val="lef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r>
    </w:tbl>
    <w:p w14:paraId="462B8E7C">
      <w:pPr>
        <w:jc w:val="left"/>
        <w:rPr>
          <w:rFonts w:ascii="宋体" w:hAnsi="宋体" w:cs="宋体"/>
          <w:color w:val="auto"/>
          <w:kern w:val="0"/>
          <w:sz w:val="24"/>
          <w:highlight w:val="none"/>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投标人保证：除商务技术偏离表列出的偏离外，投标人响应招标文件的全部要求</w:t>
      </w:r>
    </w:p>
    <w:p w14:paraId="53E8E1E2">
      <w:pPr>
        <w:jc w:val="center"/>
        <w:rPr>
          <w:rFonts w:ascii="宋体" w:hAnsi="宋体" w:cs="宋体"/>
          <w:b/>
          <w:color w:val="auto"/>
          <w:kern w:val="0"/>
          <w:sz w:val="32"/>
          <w:szCs w:val="32"/>
          <w:highlight w:val="none"/>
        </w:rPr>
      </w:pPr>
    </w:p>
    <w:p w14:paraId="4C4F5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EDCEFB2">
      <w:pPr>
        <w:ind w:firstLine="1911" w:firstLineChars="595"/>
        <w:rPr>
          <w:rFonts w:ascii="宋体" w:hAnsi="宋体" w:cs="宋体"/>
          <w:b/>
          <w:bCs/>
          <w:color w:val="auto"/>
          <w:sz w:val="32"/>
          <w:szCs w:val="32"/>
          <w:highlight w:val="none"/>
        </w:rPr>
      </w:pPr>
    </w:p>
    <w:p w14:paraId="08E92023">
      <w:pPr>
        <w:ind w:firstLine="1911" w:firstLineChars="595"/>
        <w:rPr>
          <w:rFonts w:ascii="宋体" w:hAnsi="宋体" w:cs="宋体"/>
          <w:b/>
          <w:bCs/>
          <w:color w:val="auto"/>
          <w:sz w:val="32"/>
          <w:szCs w:val="32"/>
          <w:highlight w:val="none"/>
        </w:rPr>
      </w:pPr>
    </w:p>
    <w:p w14:paraId="214045E0">
      <w:pPr>
        <w:pStyle w:val="2"/>
        <w:rPr>
          <w:rFonts w:ascii="宋体" w:hAnsi="宋体" w:cs="宋体"/>
          <w:b/>
          <w:bCs/>
          <w:color w:val="auto"/>
          <w:sz w:val="32"/>
          <w:szCs w:val="32"/>
          <w:highlight w:val="none"/>
        </w:rPr>
      </w:pPr>
    </w:p>
    <w:p w14:paraId="1DEEFC9F"/>
    <w:p w14:paraId="73044F45">
      <w:pPr>
        <w:ind w:firstLine="1911" w:firstLineChars="595"/>
        <w:rPr>
          <w:rFonts w:hint="eastAsia" w:ascii="宋体" w:hAnsi="宋体" w:cs="宋体"/>
          <w:b/>
          <w:bCs/>
          <w:color w:val="auto"/>
          <w:sz w:val="32"/>
          <w:szCs w:val="32"/>
          <w:highlight w:val="none"/>
        </w:rPr>
      </w:pPr>
    </w:p>
    <w:p w14:paraId="70768232">
      <w:pPr>
        <w:rPr>
          <w:rFonts w:hint="eastAsia" w:ascii="宋体" w:hAnsi="宋体" w:cs="宋体"/>
          <w:b/>
          <w:bCs/>
          <w:color w:val="auto"/>
          <w:sz w:val="32"/>
          <w:szCs w:val="32"/>
          <w:highlight w:val="none"/>
        </w:rPr>
      </w:pPr>
    </w:p>
    <w:p w14:paraId="548B0AB3">
      <w:pPr>
        <w:ind w:firstLine="1911" w:firstLineChars="595"/>
        <w:rPr>
          <w:rFonts w:hint="eastAsia" w:ascii="宋体" w:hAnsi="宋体" w:cs="宋体"/>
          <w:b/>
          <w:bCs/>
          <w:color w:val="auto"/>
          <w:sz w:val="32"/>
          <w:szCs w:val="32"/>
          <w:highlight w:val="none"/>
        </w:rPr>
      </w:pPr>
    </w:p>
    <w:p w14:paraId="41A3BE3C">
      <w:pPr>
        <w:ind w:firstLine="1911" w:firstLineChars="595"/>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1F2575A">
      <w:pPr>
        <w:snapToGrid w:val="0"/>
        <w:spacing w:line="480" w:lineRule="auto"/>
        <w:rPr>
          <w:rFonts w:hint="eastAsia" w:ascii="宋体" w:hAnsi="宋体" w:cs="宋体"/>
          <w:color w:val="auto"/>
          <w:sz w:val="21"/>
          <w:szCs w:val="21"/>
          <w:highlight w:val="none"/>
          <w:lang w:eastAsia="zh-CN"/>
        </w:rPr>
      </w:pPr>
    </w:p>
    <w:p w14:paraId="4B0D3726">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0930F695">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7D9F27F7">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57DA19DA">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0A57108B">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77707FAE">
      <w:pPr>
        <w:autoSpaceDE w:val="0"/>
        <w:autoSpaceDN w:val="0"/>
        <w:spacing w:line="48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869CEC8">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44DBC5E">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508F4723">
      <w:pPr>
        <w:autoSpaceDE w:val="0"/>
        <w:autoSpaceDN w:val="0"/>
        <w:spacing w:line="480" w:lineRule="auto"/>
        <w:ind w:left="481" w:leftChars="229"/>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六、严格遵守《</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政府采购法》《</w:t>
      </w:r>
      <w:r>
        <w:rPr>
          <w:rFonts w:hint="eastAsia" w:ascii="宋体" w:hAnsi="宋体" w:cs="宋体"/>
          <w:color w:val="auto"/>
          <w:sz w:val="21"/>
          <w:szCs w:val="21"/>
          <w:highlight w:val="none"/>
          <w:lang w:val="zh-CN"/>
        </w:rPr>
        <w:t>中华人民共和国</w:t>
      </w:r>
      <w:r>
        <w:rPr>
          <w:rFonts w:hint="eastAsia" w:ascii="宋体" w:hAnsi="宋体" w:cs="宋体"/>
          <w:color w:val="auto"/>
          <w:kern w:val="0"/>
          <w:sz w:val="21"/>
          <w:szCs w:val="21"/>
          <w:highlight w:val="none"/>
          <w:lang w:val="zh-CN"/>
        </w:rPr>
        <w:t>招标投标</w:t>
      </w:r>
    </w:p>
    <w:p w14:paraId="6DB06F39">
      <w:pPr>
        <w:autoSpaceDE w:val="0"/>
        <w:autoSpaceDN w:val="0"/>
        <w:spacing w:line="480" w:lineRule="auto"/>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法》</w:t>
      </w:r>
      <w:r>
        <w:rPr>
          <w:rFonts w:hint="eastAsia" w:ascii="宋体" w:hAnsi="宋体" w:cs="宋体"/>
          <w:color w:val="auto"/>
          <w:sz w:val="21"/>
          <w:szCs w:val="21"/>
          <w:highlight w:val="none"/>
          <w:lang w:val="zh-CN"/>
        </w:rPr>
        <w:t>《中华人民共和国民法典》</w:t>
      </w:r>
      <w:r>
        <w:rPr>
          <w:rFonts w:hint="eastAsia" w:ascii="宋体" w:hAnsi="宋体" w:cs="宋体"/>
          <w:color w:val="auto"/>
          <w:kern w:val="0"/>
          <w:sz w:val="21"/>
          <w:szCs w:val="21"/>
          <w:highlight w:val="none"/>
          <w:lang w:val="zh-CN"/>
        </w:rPr>
        <w:t xml:space="preserve">等法律法规，诚实守信，合法经营，坚决抵制各种违法违纪行为。 </w:t>
      </w:r>
    </w:p>
    <w:p w14:paraId="54340416">
      <w:pPr>
        <w:autoSpaceDE w:val="0"/>
        <w:autoSpaceDN w:val="0"/>
        <w:spacing w:line="48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4BF0BD8A">
      <w:pPr>
        <w:autoSpaceDE w:val="0"/>
        <w:autoSpaceDN w:val="0"/>
        <w:spacing w:line="480" w:lineRule="auto"/>
        <w:ind w:left="2"/>
        <w:jc w:val="left"/>
        <w:rPr>
          <w:rFonts w:ascii="宋体" w:hAnsi="宋体" w:cs="宋体"/>
          <w:color w:val="auto"/>
          <w:kern w:val="0"/>
          <w:sz w:val="21"/>
          <w:szCs w:val="21"/>
          <w:highlight w:val="none"/>
          <w:lang w:val="zh-CN"/>
        </w:rPr>
      </w:pPr>
    </w:p>
    <w:p w14:paraId="7F41A814">
      <w:pPr>
        <w:autoSpaceDE w:val="0"/>
        <w:autoSpaceDN w:val="0"/>
        <w:spacing w:line="480" w:lineRule="auto"/>
        <w:ind w:left="2"/>
        <w:jc w:val="left"/>
        <w:rPr>
          <w:rFonts w:ascii="宋体" w:hAnsi="宋体" w:cs="宋体"/>
          <w:color w:val="auto"/>
          <w:kern w:val="0"/>
          <w:sz w:val="21"/>
          <w:szCs w:val="21"/>
          <w:highlight w:val="none"/>
          <w:lang w:val="zh-CN"/>
        </w:rPr>
      </w:pPr>
    </w:p>
    <w:p w14:paraId="25FF678D">
      <w:pPr>
        <w:autoSpaceDE w:val="0"/>
        <w:autoSpaceDN w:val="0"/>
        <w:spacing w:line="480" w:lineRule="auto"/>
        <w:ind w:left="2"/>
        <w:jc w:val="left"/>
        <w:rPr>
          <w:rFonts w:ascii="宋体" w:hAnsi="宋体" w:cs="宋体"/>
          <w:color w:val="auto"/>
          <w:kern w:val="0"/>
          <w:sz w:val="21"/>
          <w:szCs w:val="21"/>
          <w:highlight w:val="none"/>
          <w:lang w:val="zh-CN"/>
        </w:rPr>
      </w:pPr>
    </w:p>
    <w:p w14:paraId="5E7F966B">
      <w:pPr>
        <w:autoSpaceDE w:val="0"/>
        <w:autoSpaceDN w:val="0"/>
        <w:spacing w:line="48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37E73535">
      <w:pPr>
        <w:spacing w:line="48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1661099">
      <w:pPr>
        <w:spacing w:line="480" w:lineRule="auto"/>
        <w:jc w:val="center"/>
        <w:rPr>
          <w:rFonts w:ascii="宋体" w:hAnsi="宋体" w:cs="宋体"/>
          <w:b/>
          <w:bCs/>
          <w:color w:val="auto"/>
          <w:sz w:val="24"/>
          <w:highlight w:val="none"/>
        </w:rPr>
      </w:pPr>
    </w:p>
    <w:p w14:paraId="7E557367">
      <w:pPr>
        <w:autoSpaceDE w:val="0"/>
        <w:autoSpaceDN w:val="0"/>
        <w:spacing w:line="480" w:lineRule="auto"/>
        <w:ind w:left="2" w:leftChars="1" w:right="1120" w:firstLine="3990" w:firstLineChars="19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注：按本格式和要求提供。</w:t>
      </w:r>
    </w:p>
    <w:p w14:paraId="2DCBF3F7">
      <w:pPr>
        <w:spacing w:line="48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CD2C18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1261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F6699">
      <w:pPr>
        <w:spacing w:line="360" w:lineRule="auto"/>
        <w:jc w:val="center"/>
        <w:outlineLvl w:val="0"/>
        <w:rPr>
          <w:rFonts w:ascii="宋体" w:hAnsi="宋体" w:cs="宋体"/>
          <w:b/>
          <w:color w:val="auto"/>
          <w:kern w:val="0"/>
          <w:sz w:val="36"/>
          <w:szCs w:val="36"/>
          <w:highlight w:val="none"/>
        </w:rPr>
      </w:pPr>
    </w:p>
    <w:p w14:paraId="0E46BE8C">
      <w:pPr>
        <w:numPr>
          <w:ilvl w:val="0"/>
          <w:numId w:val="6"/>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08B61D1D">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661F2E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89426EC">
      <w:pPr>
        <w:pStyle w:val="27"/>
        <w:rPr>
          <w:color w:val="auto"/>
          <w:highlight w:val="none"/>
        </w:rPr>
      </w:pPr>
    </w:p>
    <w:p w14:paraId="4DCDCA67">
      <w:pPr>
        <w:pStyle w:val="27"/>
        <w:rPr>
          <w:color w:val="auto"/>
          <w:highlight w:val="none"/>
        </w:rPr>
      </w:pPr>
    </w:p>
    <w:p w14:paraId="5316AC76">
      <w:pPr>
        <w:snapToGrid w:val="0"/>
        <w:spacing w:line="360" w:lineRule="auto"/>
        <w:ind w:right="480"/>
        <w:jc w:val="center"/>
        <w:rPr>
          <w:rFonts w:ascii="宋体" w:hAnsi="宋体" w:cs="宋体"/>
          <w:b/>
          <w:color w:val="auto"/>
          <w:kern w:val="0"/>
          <w:sz w:val="32"/>
          <w:szCs w:val="32"/>
          <w:highlight w:val="none"/>
        </w:rPr>
      </w:pPr>
    </w:p>
    <w:p w14:paraId="047221B4">
      <w:pPr>
        <w:snapToGrid w:val="0"/>
        <w:spacing w:line="360" w:lineRule="auto"/>
        <w:ind w:right="480"/>
        <w:jc w:val="center"/>
        <w:rPr>
          <w:rFonts w:ascii="宋体" w:hAnsi="宋体" w:cs="宋体"/>
          <w:b/>
          <w:color w:val="auto"/>
          <w:kern w:val="0"/>
          <w:sz w:val="32"/>
          <w:szCs w:val="32"/>
          <w:highlight w:val="none"/>
        </w:rPr>
      </w:pPr>
    </w:p>
    <w:p w14:paraId="3FB71C22">
      <w:pPr>
        <w:snapToGrid w:val="0"/>
        <w:spacing w:line="360" w:lineRule="auto"/>
        <w:ind w:right="480"/>
        <w:jc w:val="center"/>
        <w:rPr>
          <w:rFonts w:ascii="宋体" w:hAnsi="宋体" w:cs="宋体"/>
          <w:b/>
          <w:color w:val="auto"/>
          <w:kern w:val="0"/>
          <w:sz w:val="32"/>
          <w:szCs w:val="32"/>
          <w:highlight w:val="none"/>
        </w:rPr>
      </w:pPr>
    </w:p>
    <w:p w14:paraId="5CB8DA8E">
      <w:pPr>
        <w:snapToGrid w:val="0"/>
        <w:spacing w:line="360" w:lineRule="auto"/>
        <w:ind w:right="480"/>
        <w:jc w:val="center"/>
        <w:rPr>
          <w:rFonts w:ascii="宋体" w:hAnsi="宋体" w:cs="宋体"/>
          <w:b/>
          <w:color w:val="auto"/>
          <w:kern w:val="0"/>
          <w:sz w:val="32"/>
          <w:szCs w:val="32"/>
          <w:highlight w:val="none"/>
        </w:rPr>
      </w:pPr>
    </w:p>
    <w:p w14:paraId="7CDFB245">
      <w:pPr>
        <w:snapToGrid w:val="0"/>
        <w:spacing w:line="360" w:lineRule="auto"/>
        <w:ind w:right="480"/>
        <w:jc w:val="center"/>
        <w:rPr>
          <w:rFonts w:ascii="宋体" w:hAnsi="宋体" w:cs="宋体"/>
          <w:b/>
          <w:color w:val="auto"/>
          <w:kern w:val="0"/>
          <w:sz w:val="32"/>
          <w:szCs w:val="32"/>
          <w:highlight w:val="none"/>
        </w:rPr>
      </w:pPr>
    </w:p>
    <w:p w14:paraId="2D7843D7">
      <w:pPr>
        <w:snapToGrid w:val="0"/>
        <w:spacing w:line="360" w:lineRule="auto"/>
        <w:ind w:right="480"/>
        <w:jc w:val="center"/>
        <w:rPr>
          <w:rFonts w:ascii="宋体" w:hAnsi="宋体" w:cs="宋体"/>
          <w:b/>
          <w:color w:val="auto"/>
          <w:kern w:val="0"/>
          <w:sz w:val="32"/>
          <w:szCs w:val="32"/>
          <w:highlight w:val="none"/>
        </w:rPr>
      </w:pPr>
    </w:p>
    <w:p w14:paraId="735D6735">
      <w:pPr>
        <w:snapToGrid w:val="0"/>
        <w:spacing w:line="360" w:lineRule="auto"/>
        <w:ind w:right="480"/>
        <w:jc w:val="center"/>
        <w:rPr>
          <w:rFonts w:ascii="宋体" w:hAnsi="宋体" w:cs="宋体"/>
          <w:b/>
          <w:color w:val="auto"/>
          <w:kern w:val="0"/>
          <w:sz w:val="32"/>
          <w:szCs w:val="32"/>
          <w:highlight w:val="none"/>
        </w:rPr>
      </w:pPr>
    </w:p>
    <w:p w14:paraId="79AE1020">
      <w:pPr>
        <w:snapToGrid w:val="0"/>
        <w:spacing w:line="360" w:lineRule="auto"/>
        <w:ind w:right="480"/>
        <w:jc w:val="center"/>
        <w:rPr>
          <w:rFonts w:ascii="宋体" w:hAnsi="宋体" w:cs="宋体"/>
          <w:b/>
          <w:color w:val="auto"/>
          <w:kern w:val="0"/>
          <w:sz w:val="32"/>
          <w:szCs w:val="32"/>
          <w:highlight w:val="none"/>
        </w:rPr>
      </w:pPr>
    </w:p>
    <w:p w14:paraId="4EC4AF1D">
      <w:pPr>
        <w:snapToGrid w:val="0"/>
        <w:spacing w:line="360" w:lineRule="auto"/>
        <w:ind w:right="480"/>
        <w:jc w:val="center"/>
        <w:rPr>
          <w:rFonts w:ascii="宋体" w:hAnsi="宋体" w:cs="宋体"/>
          <w:b/>
          <w:color w:val="auto"/>
          <w:kern w:val="0"/>
          <w:sz w:val="32"/>
          <w:szCs w:val="32"/>
          <w:highlight w:val="none"/>
        </w:rPr>
      </w:pPr>
    </w:p>
    <w:p w14:paraId="1723823B">
      <w:pPr>
        <w:snapToGrid w:val="0"/>
        <w:spacing w:line="360" w:lineRule="auto"/>
        <w:ind w:right="480"/>
        <w:jc w:val="center"/>
        <w:rPr>
          <w:rFonts w:ascii="宋体" w:hAnsi="宋体" w:cs="宋体"/>
          <w:b/>
          <w:color w:val="auto"/>
          <w:kern w:val="0"/>
          <w:sz w:val="32"/>
          <w:szCs w:val="32"/>
          <w:highlight w:val="none"/>
        </w:rPr>
      </w:pPr>
    </w:p>
    <w:p w14:paraId="19C9EA19">
      <w:pPr>
        <w:snapToGrid w:val="0"/>
        <w:spacing w:line="360" w:lineRule="auto"/>
        <w:ind w:right="480"/>
        <w:jc w:val="center"/>
        <w:rPr>
          <w:rFonts w:ascii="宋体" w:hAnsi="宋体" w:cs="宋体"/>
          <w:b/>
          <w:color w:val="auto"/>
          <w:kern w:val="0"/>
          <w:sz w:val="32"/>
          <w:szCs w:val="32"/>
          <w:highlight w:val="none"/>
        </w:rPr>
      </w:pPr>
    </w:p>
    <w:p w14:paraId="334DACF0">
      <w:pPr>
        <w:snapToGrid w:val="0"/>
        <w:spacing w:line="360" w:lineRule="auto"/>
        <w:ind w:right="480"/>
        <w:jc w:val="center"/>
        <w:rPr>
          <w:rFonts w:ascii="宋体" w:hAnsi="宋体" w:cs="宋体"/>
          <w:b/>
          <w:color w:val="auto"/>
          <w:kern w:val="0"/>
          <w:sz w:val="32"/>
          <w:szCs w:val="32"/>
          <w:highlight w:val="none"/>
        </w:rPr>
      </w:pPr>
    </w:p>
    <w:p w14:paraId="071AE41F">
      <w:pPr>
        <w:snapToGrid w:val="0"/>
        <w:spacing w:line="360" w:lineRule="auto"/>
        <w:ind w:right="480"/>
        <w:jc w:val="center"/>
        <w:rPr>
          <w:rFonts w:ascii="宋体" w:hAnsi="宋体" w:cs="宋体"/>
          <w:b/>
          <w:color w:val="auto"/>
          <w:kern w:val="0"/>
          <w:sz w:val="32"/>
          <w:szCs w:val="32"/>
          <w:highlight w:val="none"/>
        </w:rPr>
      </w:pPr>
    </w:p>
    <w:p w14:paraId="53892576">
      <w:pPr>
        <w:snapToGrid w:val="0"/>
        <w:spacing w:line="360" w:lineRule="auto"/>
        <w:ind w:right="480"/>
        <w:jc w:val="center"/>
        <w:rPr>
          <w:rFonts w:ascii="宋体" w:hAnsi="宋体" w:cs="宋体"/>
          <w:b/>
          <w:color w:val="auto"/>
          <w:kern w:val="0"/>
          <w:sz w:val="32"/>
          <w:szCs w:val="32"/>
          <w:highlight w:val="none"/>
        </w:rPr>
      </w:pPr>
    </w:p>
    <w:p w14:paraId="02B73537">
      <w:pPr>
        <w:snapToGrid w:val="0"/>
        <w:spacing w:line="360" w:lineRule="auto"/>
        <w:ind w:right="480"/>
        <w:jc w:val="center"/>
        <w:rPr>
          <w:rFonts w:ascii="宋体" w:hAnsi="宋体" w:cs="宋体"/>
          <w:b/>
          <w:color w:val="auto"/>
          <w:kern w:val="0"/>
          <w:sz w:val="32"/>
          <w:szCs w:val="32"/>
          <w:highlight w:val="none"/>
        </w:rPr>
      </w:pPr>
    </w:p>
    <w:p w14:paraId="5DC9E921">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5B676EA">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A60668">
      <w:pPr>
        <w:snapToGrid w:val="0"/>
        <w:spacing w:line="480" w:lineRule="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宁海县疾病预防控制中心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宁海童氏工程管理咨询有限公司</w:t>
      </w:r>
      <w:r>
        <w:rPr>
          <w:rFonts w:hint="eastAsia" w:ascii="宋体" w:hAnsi="宋体" w:cs="宋体"/>
          <w:color w:val="auto"/>
          <w:kern w:val="0"/>
          <w:sz w:val="21"/>
          <w:szCs w:val="21"/>
          <w:highlight w:val="none"/>
          <w:lang w:val="zh-CN"/>
        </w:rPr>
        <w:t>：</w:t>
      </w:r>
    </w:p>
    <w:p w14:paraId="2909EAC5">
      <w:pPr>
        <w:pStyle w:val="9"/>
        <w:tabs>
          <w:tab w:val="left" w:pos="4841"/>
        </w:tabs>
        <w:spacing w:line="360" w:lineRule="auto"/>
        <w:ind w:firstLine="0"/>
        <w:jc w:val="center"/>
        <w:rPr>
          <w:rFonts w:ascii="Times New Roman" w:hAnsi="Times New Roman"/>
          <w:b/>
          <w:color w:val="000000"/>
          <w:sz w:val="24"/>
        </w:rPr>
      </w:pPr>
      <w:r>
        <w:rPr>
          <w:rFonts w:ascii="Times New Roman" w:hAnsi="Times New Roman"/>
          <w:b/>
          <w:color w:val="000000"/>
          <w:sz w:val="24"/>
        </w:rPr>
        <w:t>开标一览表</w:t>
      </w:r>
    </w:p>
    <w:p w14:paraId="32C57B60">
      <w:pPr>
        <w:pStyle w:val="9"/>
        <w:spacing w:line="360" w:lineRule="auto"/>
        <w:rPr>
          <w:rFonts w:ascii="Times New Roman" w:hAnsi="Times New Roman"/>
          <w:color w:val="000000"/>
          <w:sz w:val="21"/>
          <w:szCs w:val="21"/>
        </w:rPr>
      </w:pPr>
    </w:p>
    <w:p w14:paraId="230AF0AC">
      <w:pPr>
        <w:pStyle w:val="9"/>
        <w:spacing w:line="360" w:lineRule="auto"/>
        <w:ind w:firstLine="0"/>
        <w:rPr>
          <w:rFonts w:ascii="Times New Roman" w:hAnsi="Times New Roman"/>
          <w:color w:val="000000"/>
          <w:sz w:val="21"/>
          <w:szCs w:val="21"/>
        </w:rPr>
      </w:pPr>
      <w:r>
        <w:rPr>
          <w:rFonts w:ascii="Times New Roman" w:hAnsi="Times New Roman"/>
          <w:color w:val="000000"/>
          <w:sz w:val="21"/>
          <w:szCs w:val="21"/>
        </w:rPr>
        <w:t>项目名称：</w:t>
      </w:r>
      <w:r>
        <w:rPr>
          <w:rFonts w:ascii="Times New Roman" w:hAnsi="Times New Roman"/>
          <w:color w:val="000000"/>
          <w:sz w:val="21"/>
          <w:szCs w:val="21"/>
          <w:u w:val="single"/>
        </w:rPr>
        <w:t xml:space="preserve">                                       </w:t>
      </w:r>
      <w:r>
        <w:rPr>
          <w:rFonts w:ascii="Times New Roman" w:hAnsi="Times New Roman"/>
          <w:color w:val="000000"/>
          <w:sz w:val="21"/>
          <w:szCs w:val="21"/>
        </w:rPr>
        <w:t>项目编号：</w:t>
      </w:r>
      <w:r>
        <w:rPr>
          <w:rFonts w:ascii="Times New Roman" w:hAnsi="Times New Roman"/>
          <w:color w:val="000000"/>
          <w:sz w:val="21"/>
          <w:szCs w:val="21"/>
          <w:u w:val="single"/>
        </w:rPr>
        <w:t xml:space="preserve">                          </w:t>
      </w:r>
      <w:r>
        <w:rPr>
          <w:rFonts w:ascii="Times New Roman" w:hAnsi="Times New Roman"/>
          <w:color w:val="000000"/>
          <w:sz w:val="21"/>
          <w:szCs w:val="21"/>
        </w:rPr>
        <w:t xml:space="preserve"> </w:t>
      </w:r>
    </w:p>
    <w:tbl>
      <w:tblPr>
        <w:tblStyle w:val="1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1402"/>
        <w:gridCol w:w="1750"/>
        <w:gridCol w:w="1583"/>
      </w:tblGrid>
      <w:tr w14:paraId="3212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8" w:type="dxa"/>
            <w:vAlign w:val="center"/>
          </w:tcPr>
          <w:p w14:paraId="7E58C55D">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154" w:type="dxa"/>
            <w:gridSpan w:val="2"/>
            <w:vAlign w:val="center"/>
          </w:tcPr>
          <w:p w14:paraId="6C683D55">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850" w:type="dxa"/>
            <w:vAlign w:val="center"/>
          </w:tcPr>
          <w:p w14:paraId="451B883E">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995" w:type="dxa"/>
            <w:vAlign w:val="center"/>
          </w:tcPr>
          <w:p w14:paraId="294EF47B">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1402" w:type="dxa"/>
            <w:vAlign w:val="center"/>
          </w:tcPr>
          <w:p w14:paraId="022A780E">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750" w:type="dxa"/>
            <w:vAlign w:val="center"/>
          </w:tcPr>
          <w:p w14:paraId="7A50D737">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三年投标总价</w:t>
            </w:r>
          </w:p>
        </w:tc>
        <w:tc>
          <w:tcPr>
            <w:tcW w:w="1583" w:type="dxa"/>
            <w:vAlign w:val="center"/>
          </w:tcPr>
          <w:p w14:paraId="7656FB92">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14:paraId="1CDF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48" w:type="dxa"/>
            <w:vAlign w:val="center"/>
          </w:tcPr>
          <w:p w14:paraId="6D39EB5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gridSpan w:val="2"/>
            <w:vAlign w:val="center"/>
          </w:tcPr>
          <w:p w14:paraId="18D7E27A">
            <w:pPr>
              <w:spacing w:line="400" w:lineRule="exact"/>
              <w:jc w:val="center"/>
              <w:rPr>
                <w:rFonts w:asciiTheme="minorEastAsia" w:hAnsiTheme="minorEastAsia" w:eastAsiaTheme="minorEastAsia"/>
                <w:color w:val="auto"/>
                <w:szCs w:val="21"/>
                <w:highlight w:val="none"/>
              </w:rPr>
            </w:pPr>
          </w:p>
        </w:tc>
        <w:tc>
          <w:tcPr>
            <w:tcW w:w="850" w:type="dxa"/>
            <w:vAlign w:val="center"/>
          </w:tcPr>
          <w:p w14:paraId="3AAB1B4E">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5" w:type="dxa"/>
            <w:vAlign w:val="center"/>
          </w:tcPr>
          <w:p w14:paraId="5D1818E5">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1402" w:type="dxa"/>
            <w:vAlign w:val="center"/>
          </w:tcPr>
          <w:p w14:paraId="0F67BC3F">
            <w:pPr>
              <w:spacing w:line="400" w:lineRule="exact"/>
              <w:jc w:val="center"/>
              <w:rPr>
                <w:rFonts w:asciiTheme="minorEastAsia" w:hAnsiTheme="minorEastAsia" w:eastAsiaTheme="minorEastAsia"/>
                <w:color w:val="auto"/>
                <w:szCs w:val="21"/>
                <w:highlight w:val="none"/>
              </w:rPr>
            </w:pPr>
          </w:p>
        </w:tc>
        <w:tc>
          <w:tcPr>
            <w:tcW w:w="1750" w:type="dxa"/>
            <w:vAlign w:val="center"/>
          </w:tcPr>
          <w:p w14:paraId="66FC25AE">
            <w:pPr>
              <w:spacing w:line="400" w:lineRule="exact"/>
              <w:jc w:val="center"/>
              <w:rPr>
                <w:rFonts w:asciiTheme="minorEastAsia" w:hAnsiTheme="minorEastAsia" w:eastAsiaTheme="minorEastAsia"/>
                <w:color w:val="auto"/>
                <w:szCs w:val="21"/>
                <w:highlight w:val="none"/>
              </w:rPr>
            </w:pPr>
          </w:p>
        </w:tc>
        <w:tc>
          <w:tcPr>
            <w:tcW w:w="1583" w:type="dxa"/>
            <w:vAlign w:val="center"/>
          </w:tcPr>
          <w:p w14:paraId="0C1A1B26">
            <w:pPr>
              <w:spacing w:line="400" w:lineRule="exact"/>
              <w:jc w:val="center"/>
              <w:rPr>
                <w:rFonts w:asciiTheme="minorEastAsia" w:hAnsiTheme="minorEastAsia" w:eastAsiaTheme="minorEastAsia"/>
                <w:color w:val="auto"/>
                <w:szCs w:val="21"/>
                <w:highlight w:val="none"/>
              </w:rPr>
            </w:pPr>
          </w:p>
        </w:tc>
      </w:tr>
      <w:tr w14:paraId="6B6D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282" w:type="dxa"/>
            <w:gridSpan w:val="8"/>
            <w:vAlign w:val="center"/>
          </w:tcPr>
          <w:p w14:paraId="5E50B031">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14:paraId="4AEC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12" w:type="dxa"/>
            <w:gridSpan w:val="2"/>
            <w:vAlign w:val="center"/>
          </w:tcPr>
          <w:p w14:paraId="502B5A6C">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8470" w:type="dxa"/>
            <w:gridSpan w:val="6"/>
            <w:vAlign w:val="center"/>
          </w:tcPr>
          <w:p w14:paraId="4EAB7592">
            <w:pPr>
              <w:spacing w:line="400" w:lineRule="exact"/>
              <w:jc w:val="center"/>
              <w:rPr>
                <w:rFonts w:asciiTheme="minorEastAsia" w:hAnsiTheme="minorEastAsia" w:eastAsiaTheme="minorEastAsia"/>
                <w:color w:val="auto"/>
                <w:szCs w:val="21"/>
                <w:highlight w:val="none"/>
              </w:rPr>
            </w:pPr>
          </w:p>
          <w:p w14:paraId="2D400335">
            <w:pPr>
              <w:widowControl/>
              <w:spacing w:line="400" w:lineRule="exact"/>
              <w:jc w:val="left"/>
              <w:rPr>
                <w:rFonts w:asciiTheme="minorEastAsia" w:hAnsiTheme="minorEastAsia" w:eastAsiaTheme="minorEastAsia"/>
                <w:color w:val="auto"/>
                <w:szCs w:val="21"/>
                <w:highlight w:val="none"/>
              </w:rPr>
            </w:pPr>
          </w:p>
          <w:p w14:paraId="3E2C027F">
            <w:pPr>
              <w:spacing w:line="400" w:lineRule="exact"/>
              <w:jc w:val="center"/>
              <w:rPr>
                <w:rFonts w:asciiTheme="minorEastAsia" w:hAnsiTheme="minorEastAsia" w:eastAsiaTheme="minorEastAsia"/>
                <w:color w:val="auto"/>
                <w:szCs w:val="21"/>
                <w:highlight w:val="none"/>
              </w:rPr>
            </w:pPr>
          </w:p>
        </w:tc>
      </w:tr>
    </w:tbl>
    <w:p w14:paraId="6ABC66AB">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hint="eastAsia" w:ascii="宋体" w:hAnsi="宋体"/>
          <w:b/>
          <w:bCs/>
        </w:rPr>
      </w:pPr>
    </w:p>
    <w:p w14:paraId="71C9D875">
      <w:pPr>
        <w:pStyle w:val="36"/>
        <w:keepNext w:val="0"/>
        <w:keepLines w:val="0"/>
        <w:pageBreakBefore w:val="0"/>
        <w:kinsoku/>
        <w:wordWrap/>
        <w:overflowPunct/>
        <w:topLinePunct w:val="0"/>
        <w:autoSpaceDE/>
        <w:autoSpaceDN/>
        <w:bidi w:val="0"/>
        <w:adjustRightInd/>
        <w:snapToGrid/>
        <w:spacing w:line="360" w:lineRule="auto"/>
        <w:ind w:left="0" w:leftChars="0" w:firstLine="442" w:firstLineChars="200"/>
        <w:textAlignment w:val="auto"/>
        <w:rPr>
          <w:rFonts w:ascii="宋体" w:hAnsi="宋体"/>
          <w:b/>
          <w:bCs/>
        </w:rPr>
      </w:pPr>
      <w:r>
        <w:rPr>
          <w:rFonts w:hint="eastAsia" w:ascii="宋体" w:hAnsi="宋体"/>
          <w:b/>
          <w:bCs/>
        </w:rPr>
        <w:t>备注</w:t>
      </w:r>
      <w:r>
        <w:rPr>
          <w:rFonts w:ascii="宋体" w:hAnsi="宋体"/>
          <w:b/>
          <w:bCs/>
        </w:rPr>
        <w:t>：</w:t>
      </w:r>
      <w:r>
        <w:rPr>
          <w:rFonts w:hint="eastAsia" w:ascii="宋体" w:hAnsi="宋体"/>
          <w:b/>
          <w:bCs/>
        </w:rPr>
        <w:t>1、</w:t>
      </w:r>
      <w:r>
        <w:rPr>
          <w:rFonts w:hint="eastAsia" w:ascii="宋体" w:hAnsi="宋体" w:eastAsia="宋体" w:cs="宋体"/>
          <w:color w:val="auto"/>
          <w:highlight w:val="none"/>
        </w:rPr>
        <w:t>报价应包含员工工资费用、员工社保医保、员工福利、工作日延时、加班费用、员工的服装费用、行政办公费用、管理费用、法定税费、利润及其它费用等。</w:t>
      </w:r>
    </w:p>
    <w:p w14:paraId="654EAB6F">
      <w:pPr>
        <w:keepNext w:val="0"/>
        <w:keepLines w:val="0"/>
        <w:pageBreakBefore w:val="0"/>
        <w:numPr>
          <w:ilvl w:val="0"/>
          <w:numId w:val="7"/>
        </w:numPr>
        <w:kinsoku/>
        <w:wordWrap/>
        <w:overflowPunct/>
        <w:topLinePunct w:val="0"/>
        <w:autoSpaceDE/>
        <w:autoSpaceDN/>
        <w:bidi w:val="0"/>
        <w:adjustRightInd/>
        <w:snapToGrid/>
        <w:spacing w:line="360" w:lineRule="auto"/>
        <w:ind w:firstLine="422" w:firstLineChars="200"/>
        <w:textAlignment w:val="auto"/>
        <w:rPr>
          <w:b/>
          <w:bCs/>
          <w:color w:val="000000"/>
          <w:szCs w:val="21"/>
        </w:rPr>
      </w:pPr>
      <w:r>
        <w:rPr>
          <w:b/>
          <w:bCs/>
          <w:color w:val="000000"/>
          <w:szCs w:val="21"/>
        </w:rPr>
        <w:t>报价一经涂改，应在涂改处加盖单位公章或者由法定代表人或授权委托人签名或盖章，否则其投标作无效标处理。</w:t>
      </w:r>
    </w:p>
    <w:p w14:paraId="72621859">
      <w:pPr>
        <w:pStyle w:val="7"/>
        <w:numPr>
          <w:ilvl w:val="0"/>
          <w:numId w:val="0"/>
        </w:numPr>
      </w:pPr>
    </w:p>
    <w:p w14:paraId="288A8B89">
      <w:pPr>
        <w:pStyle w:val="9"/>
        <w:spacing w:line="360" w:lineRule="auto"/>
        <w:ind w:left="693" w:hanging="720" w:hangingChars="343"/>
        <w:rPr>
          <w:rFonts w:ascii="Times New Roman" w:hAnsi="Times New Roman"/>
          <w:color w:val="000000"/>
          <w:sz w:val="21"/>
          <w:szCs w:val="21"/>
        </w:rPr>
      </w:pPr>
    </w:p>
    <w:p w14:paraId="6916B21D">
      <w:pPr>
        <w:pStyle w:val="9"/>
        <w:widowControl/>
        <w:spacing w:line="360" w:lineRule="auto"/>
        <w:jc w:val="left"/>
        <w:rPr>
          <w:rFonts w:ascii="Times New Roman" w:hAnsi="Times New Roman"/>
          <w:color w:val="000000"/>
          <w:sz w:val="21"/>
          <w:szCs w:val="21"/>
        </w:rPr>
      </w:pPr>
      <w:r>
        <w:rPr>
          <w:rFonts w:hint="eastAsia" w:ascii="Times New Roman" w:hAnsi="Times New Roman"/>
          <w:color w:val="000000"/>
          <w:sz w:val="21"/>
          <w:szCs w:val="21"/>
        </w:rPr>
        <w:t>供应商</w:t>
      </w:r>
      <w:r>
        <w:rPr>
          <w:rFonts w:ascii="Times New Roman" w:hAnsi="Times New Roman"/>
          <w:color w:val="000000"/>
          <w:sz w:val="21"/>
          <w:szCs w:val="21"/>
        </w:rPr>
        <w:t>全称（盖公章）：</w:t>
      </w:r>
    </w:p>
    <w:p w14:paraId="3E424CEC">
      <w:pPr>
        <w:pStyle w:val="9"/>
        <w:widowControl/>
        <w:spacing w:line="360" w:lineRule="auto"/>
        <w:jc w:val="left"/>
        <w:rPr>
          <w:rFonts w:ascii="Times New Roman" w:hAnsi="Times New Roman"/>
          <w:color w:val="000000"/>
          <w:sz w:val="21"/>
          <w:szCs w:val="21"/>
        </w:rPr>
      </w:pPr>
    </w:p>
    <w:p w14:paraId="7AA5A591">
      <w:pPr>
        <w:pStyle w:val="9"/>
        <w:spacing w:line="360" w:lineRule="auto"/>
        <w:rPr>
          <w:rFonts w:ascii="Times New Roman" w:hAnsi="Times New Roman"/>
          <w:color w:val="000000"/>
          <w:sz w:val="21"/>
          <w:szCs w:val="21"/>
        </w:rPr>
      </w:pPr>
      <w:r>
        <w:rPr>
          <w:rFonts w:ascii="Times New Roman" w:hAnsi="Times New Roman"/>
          <w:color w:val="000000"/>
          <w:sz w:val="21"/>
          <w:szCs w:val="21"/>
        </w:rPr>
        <w:t>日期：</w:t>
      </w:r>
      <w:r>
        <w:rPr>
          <w:rFonts w:hint="eastAsia" w:ascii="Times New Roman" w:hAnsi="Times New Roman"/>
          <w:color w:val="000000"/>
          <w:sz w:val="21"/>
          <w:szCs w:val="21"/>
        </w:rPr>
        <w:t xml:space="preserve">     </w:t>
      </w:r>
      <w:r>
        <w:rPr>
          <w:rFonts w:ascii="Times New Roman" w:hAnsi="Times New Roman"/>
          <w:color w:val="000000"/>
          <w:sz w:val="21"/>
          <w:szCs w:val="21"/>
        </w:rPr>
        <w:t>年</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月</w:t>
      </w:r>
      <w:r>
        <w:rPr>
          <w:rFonts w:hint="eastAsia" w:ascii="Times New Roman" w:hAnsi="Times New Roman"/>
          <w:color w:val="000000"/>
          <w:sz w:val="21"/>
          <w:szCs w:val="21"/>
        </w:rPr>
        <w:t xml:space="preserve">  </w:t>
      </w:r>
      <w:r>
        <w:rPr>
          <w:rFonts w:ascii="Times New Roman" w:hAnsi="Times New Roman"/>
          <w:color w:val="000000"/>
          <w:sz w:val="21"/>
          <w:szCs w:val="21"/>
        </w:rPr>
        <w:t xml:space="preserve"> 日</w:t>
      </w:r>
    </w:p>
    <w:p w14:paraId="598597C2">
      <w:pPr>
        <w:pStyle w:val="9"/>
        <w:spacing w:line="360" w:lineRule="auto"/>
        <w:rPr>
          <w:rFonts w:ascii="Times New Roman" w:hAnsi="Times New Roman"/>
          <w:color w:val="000000"/>
          <w:sz w:val="21"/>
          <w:szCs w:val="21"/>
        </w:rPr>
      </w:pPr>
    </w:p>
    <w:p w14:paraId="698C4882">
      <w:pPr>
        <w:spacing w:line="400" w:lineRule="exact"/>
        <w:rPr>
          <w:rFonts w:ascii="宋体" w:hAnsi="宋体" w:cs="仿宋_GB2312"/>
          <w:color w:val="auto"/>
          <w:sz w:val="24"/>
        </w:rPr>
      </w:pPr>
      <w:r>
        <w:rPr>
          <w:rFonts w:ascii="Times New Roman" w:hAnsi="Times New Roman"/>
          <w:color w:val="000000"/>
          <w:szCs w:val="21"/>
        </w:rPr>
        <w:br w:type="page"/>
      </w:r>
    </w:p>
    <w:p w14:paraId="30D2BA54">
      <w:pPr>
        <w:spacing w:line="400" w:lineRule="exact"/>
        <w:rPr>
          <w:rFonts w:ascii="仿宋" w:hAnsi="仿宋" w:eastAsia="仿宋"/>
          <w:color w:val="auto"/>
          <w:sz w:val="30"/>
          <w:szCs w:val="30"/>
        </w:rPr>
      </w:pPr>
      <w:r>
        <w:rPr>
          <w:rFonts w:ascii="宋体" w:hAnsi="宋体" w:cs="仿宋_GB2312"/>
          <w:color w:val="auto"/>
          <w:sz w:val="24"/>
        </w:rPr>
        <w:t>附件</w:t>
      </w:r>
      <w:r>
        <w:rPr>
          <w:rFonts w:hint="eastAsia" w:ascii="宋体" w:hAnsi="宋体" w:cs="仿宋_GB2312"/>
          <w:color w:val="auto"/>
          <w:sz w:val="24"/>
          <w:lang w:eastAsia="zh-CN"/>
        </w:rPr>
        <w:t>二</w:t>
      </w:r>
    </w:p>
    <w:p w14:paraId="52D86CE8">
      <w:pPr>
        <w:pStyle w:val="10"/>
        <w:snapToGrid w:val="0"/>
        <w:spacing w:before="120" w:after="120"/>
        <w:jc w:val="center"/>
        <w:rPr>
          <w:rFonts w:ascii="宋体" w:hAnsi="宋体" w:eastAsia="宋体"/>
          <w:color w:val="auto"/>
          <w:sz w:val="21"/>
          <w:szCs w:val="21"/>
          <w:highlight w:val="none"/>
        </w:rPr>
      </w:pPr>
      <w:r>
        <w:rPr>
          <w:rFonts w:hint="eastAsia" w:hAnsi="宋体"/>
          <w:b/>
          <w:sz w:val="30"/>
          <w:szCs w:val="30"/>
        </w:rPr>
        <w:t>费</w:t>
      </w:r>
      <w:r>
        <w:rPr>
          <w:rFonts w:hint="eastAsia" w:hAnsi="宋体"/>
          <w:b/>
          <w:sz w:val="30"/>
          <w:szCs w:val="30"/>
          <w:lang w:eastAsia="zh-CN"/>
        </w:rPr>
        <w:t>用</w:t>
      </w:r>
      <w:r>
        <w:rPr>
          <w:rFonts w:hint="eastAsia" w:hAnsi="宋体"/>
          <w:b/>
          <w:sz w:val="30"/>
          <w:szCs w:val="30"/>
        </w:rPr>
        <w:t>构成明细报价</w:t>
      </w:r>
    </w:p>
    <w:p w14:paraId="480431E9">
      <w:pPr>
        <w:pStyle w:val="9"/>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宋体" w:hAnsi="宋体" w:eastAsia="宋体" w:cs="Times New Roman"/>
          <w:b/>
          <w:spacing w:val="20"/>
          <w:kern w:val="2"/>
          <w:sz w:val="28"/>
          <w:szCs w:val="28"/>
          <w:lang w:val="en-US" w:eastAsia="zh-CN" w:bidi="ar-SA"/>
        </w:rPr>
      </w:pPr>
      <w:r>
        <w:rPr>
          <w:rFonts w:hint="eastAsia" w:ascii="宋体" w:hAnsi="宋体" w:eastAsia="宋体" w:cs="Times New Roman"/>
          <w:b/>
          <w:spacing w:val="20"/>
          <w:kern w:val="2"/>
          <w:sz w:val="28"/>
          <w:szCs w:val="28"/>
          <w:lang w:val="en-US" w:eastAsia="zh-CN" w:bidi="ar-SA"/>
        </w:rPr>
        <w:t>分项报价表</w:t>
      </w:r>
    </w:p>
    <w:p w14:paraId="37E5C0B9">
      <w:pPr>
        <w:pStyle w:val="9"/>
        <w:spacing w:after="240" w:afterLines="100" w:line="400" w:lineRule="exact"/>
        <w:ind w:left="0" w:leftChars="0" w:firstLine="0" w:firstLineChars="0"/>
        <w:rPr>
          <w:rFonts w:hint="default" w:ascii="宋体" w:hAnsi="宋体" w:eastAsia="宋体"/>
          <w:color w:val="000000"/>
          <w:sz w:val="21"/>
          <w:szCs w:val="21"/>
          <w:u w:val="single"/>
          <w:lang w:val="en-US" w:eastAsia="zh-CN"/>
        </w:rPr>
      </w:pPr>
      <w:r>
        <w:rPr>
          <w:rFonts w:hint="eastAsia" w:ascii="宋体" w:hAnsi="宋体" w:eastAsia="宋体"/>
          <w:color w:val="000000"/>
          <w:sz w:val="21"/>
          <w:szCs w:val="21"/>
        </w:rPr>
        <w:t>项目</w:t>
      </w:r>
      <w:r>
        <w:rPr>
          <w:rFonts w:hint="eastAsia" w:hAnsi="宋体" w:eastAsia="宋体"/>
          <w:color w:val="000000"/>
          <w:sz w:val="21"/>
          <w:szCs w:val="21"/>
          <w:lang w:val="en-US" w:eastAsia="zh-CN"/>
        </w:rPr>
        <w:t>名称</w:t>
      </w:r>
      <w:r>
        <w:rPr>
          <w:rFonts w:hint="eastAsia" w:ascii="宋体" w:hAnsi="宋体" w:eastAsia="宋体"/>
          <w:color w:val="000000"/>
          <w:sz w:val="21"/>
          <w:szCs w:val="21"/>
        </w:rPr>
        <w:t>：</w:t>
      </w:r>
      <w:r>
        <w:rPr>
          <w:rFonts w:hint="eastAsia" w:ascii="宋体" w:hAnsi="宋体" w:eastAsia="宋体"/>
          <w:color w:val="000000"/>
          <w:sz w:val="21"/>
          <w:szCs w:val="21"/>
          <w:u w:val="single"/>
        </w:rPr>
        <w:t xml:space="preserve">                          </w:t>
      </w:r>
      <w:r>
        <w:rPr>
          <w:rFonts w:hint="eastAsia" w:hAnsi="宋体" w:eastAsia="宋体"/>
          <w:color w:val="000000"/>
          <w:sz w:val="21"/>
          <w:szCs w:val="21"/>
          <w:u w:val="single"/>
          <w:lang w:val="en-US" w:eastAsia="zh-CN"/>
        </w:rPr>
        <w:t xml:space="preserve">      </w:t>
      </w:r>
      <w:r>
        <w:rPr>
          <w:rFonts w:hint="eastAsia" w:hAnsi="宋体" w:eastAsia="宋体"/>
          <w:color w:val="000000"/>
          <w:sz w:val="21"/>
          <w:szCs w:val="21"/>
          <w:lang w:val="en-US" w:eastAsia="zh-CN"/>
        </w:rPr>
        <w:t xml:space="preserve">               项目编号：</w:t>
      </w:r>
      <w:r>
        <w:rPr>
          <w:rFonts w:hint="eastAsia" w:hAnsi="宋体" w:eastAsia="宋体"/>
          <w:color w:val="000000"/>
          <w:sz w:val="21"/>
          <w:szCs w:val="21"/>
          <w:u w:val="single"/>
          <w:lang w:val="en-US" w:eastAsia="zh-CN"/>
        </w:rPr>
        <w:t xml:space="preserve">                                </w:t>
      </w:r>
    </w:p>
    <w:tbl>
      <w:tblPr>
        <w:tblStyle w:val="16"/>
        <w:tblW w:w="9163" w:type="dxa"/>
        <w:tblInd w:w="0" w:type="dxa"/>
        <w:tblLayout w:type="fixed"/>
        <w:tblCellMar>
          <w:top w:w="0" w:type="dxa"/>
          <w:left w:w="0" w:type="dxa"/>
          <w:bottom w:w="0" w:type="dxa"/>
          <w:right w:w="0" w:type="dxa"/>
        </w:tblCellMar>
      </w:tblPr>
      <w:tblGrid>
        <w:gridCol w:w="850"/>
        <w:gridCol w:w="2045"/>
        <w:gridCol w:w="2520"/>
        <w:gridCol w:w="2175"/>
        <w:gridCol w:w="1573"/>
      </w:tblGrid>
      <w:tr w14:paraId="4020C652">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6F77DD9">
            <w:pPr>
              <w:keepNext w:val="0"/>
              <w:keepLines w:val="0"/>
              <w:widowControl/>
              <w:suppressLineNumbers w:val="0"/>
              <w:jc w:val="center"/>
              <w:textAlignment w:val="center"/>
              <w:rPr>
                <w:rFonts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序号</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8024C3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项目费用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ABD82E7">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说明</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76BD950">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常规年度单位（元）</w:t>
            </w: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14249DF">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备注</w:t>
            </w:r>
          </w:p>
        </w:tc>
      </w:tr>
      <w:tr w14:paraId="4E6805D8">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1134A7E">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A</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1AAA461">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人员费用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67E25B2">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E3B843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F1E7A2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7958F6B2">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194D21">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623051">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人员工资</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C4F858">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F3EE7E">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B14F9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E3AC0F8">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69FB9B6">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2</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4EFC60">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社会保障费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4BA95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02313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74DF4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503EF407">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F0465">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3</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875D3B">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高温费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8F390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FE7BA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3C6B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FE0EB52">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EFC0EDE">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4</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E9804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法定节假日加班费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ACD61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56959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414F6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0CCE525">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5AA46B">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5</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5F3413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伙食补贴</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67103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61A70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0227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5756083E">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6EFF170">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B</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5B34321">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行政办公费用</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D74C590">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3B823E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62FECC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58D5D623">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5153D1">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4BC09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办公用品及耗材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C6F3CB">
            <w:pPr>
              <w:jc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07362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DF55E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E7B65AB">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92B585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C</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8C6D5E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秩序维护费</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9D66E52">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F948A73">
            <w:pPr>
              <w:keepNext w:val="0"/>
              <w:keepLines w:val="0"/>
              <w:widowControl/>
              <w:suppressLineNumbers w:val="0"/>
              <w:jc w:val="both"/>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6E461CF">
            <w:pPr>
              <w:keepNext w:val="0"/>
              <w:keepLines w:val="0"/>
              <w:widowControl/>
              <w:suppressLineNumbers w:val="0"/>
              <w:jc w:val="both"/>
              <w:textAlignment w:val="center"/>
              <w:rPr>
                <w:rFonts w:hint="eastAsia" w:ascii="楷体" w:hAnsi="楷体" w:eastAsia="楷体" w:cs="楷体"/>
                <w:i w:val="0"/>
                <w:color w:val="000000"/>
                <w:sz w:val="24"/>
                <w:szCs w:val="24"/>
                <w:u w:val="none"/>
              </w:rPr>
            </w:pPr>
          </w:p>
        </w:tc>
      </w:tr>
      <w:tr w14:paraId="0D20849B">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B54E1D">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32F7B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秩序维护耗材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ADCAFE">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8792A0">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1A0932">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42835CA">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089DAFC4">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D</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4114325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保洁耗材</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799B036">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547D4FB">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BEA3E4F">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C0AC551">
        <w:tblPrEx>
          <w:tblCellMar>
            <w:top w:w="0" w:type="dxa"/>
            <w:left w:w="0" w:type="dxa"/>
            <w:bottom w:w="0" w:type="dxa"/>
            <w:right w:w="0"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042F7D">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BE45E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保洁用耗材</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2C3BDA">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拖把、抹布、清洁剂、水桶等</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09722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5C62C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6F1B8F1">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FF779F6">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E</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25BE14B">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其他支出</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C7C0C4F">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D4188E6">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495A05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1218B7AE">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19D9D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1</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C2BBEE">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员工服装劳保费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D6B7D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2B0DE">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C97EE4">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701A1946">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38A918">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2</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1B5D73">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公众责任险</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0EFBA5">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综合测算</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BA33A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BE34CA2">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FE0E1C5">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CF86AB">
            <w:pPr>
              <w:keepNext w:val="0"/>
              <w:keepLines w:val="0"/>
              <w:widowControl/>
              <w:suppressLineNumbers w:val="0"/>
              <w:jc w:val="center"/>
              <w:textAlignment w:val="center"/>
              <w:rPr>
                <w:rFonts w:hint="eastAsia" w:ascii="楷体" w:hAnsi="楷体" w:eastAsia="楷体" w:cs="楷体"/>
                <w:i w:val="0"/>
                <w:color w:val="000000"/>
                <w:kern w:val="2"/>
                <w:sz w:val="30"/>
                <w:szCs w:val="30"/>
                <w:u w:val="none"/>
                <w:lang w:val="en-US" w:eastAsia="zh-CN" w:bidi="ar-SA"/>
              </w:rPr>
            </w:pPr>
            <w:r>
              <w:rPr>
                <w:rFonts w:hint="eastAsia" w:ascii="楷体" w:hAnsi="楷体" w:eastAsia="楷体" w:cs="楷体"/>
                <w:i w:val="0"/>
                <w:color w:val="000000"/>
                <w:kern w:val="0"/>
                <w:sz w:val="30"/>
                <w:szCs w:val="30"/>
                <w:u w:val="none"/>
                <w:lang w:val="en-US" w:eastAsia="zh-CN" w:bidi="ar"/>
              </w:rPr>
              <w:t>3</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19157B">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食堂厨余垃圾外运费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9EEA2">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5000/年/2个桶</w:t>
            </w: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C5BF1F">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 xml:space="preserve">5000 </w:t>
            </w: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F75794">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（固定预算）</w:t>
            </w:r>
          </w:p>
        </w:tc>
      </w:tr>
      <w:tr w14:paraId="7F991478">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7FC80DB">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小计</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C3AE9F9">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02FD08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A+B+C+D+E</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2BB097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54DDCB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325831B5">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9AE4D0A">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F</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09434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管理费</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94FCA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3D5601">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0B347C">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2D92AD95">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2B2333">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G</w:t>
            </w:r>
          </w:p>
        </w:tc>
        <w:tc>
          <w:tcPr>
            <w:tcW w:w="20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63E29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税金</w:t>
            </w:r>
          </w:p>
        </w:tc>
        <w:tc>
          <w:tcPr>
            <w:tcW w:w="2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6387EA">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21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B4BF5">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06C3449">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6C64BEF9">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4313CC7">
            <w:pPr>
              <w:keepNext w:val="0"/>
              <w:keepLines w:val="0"/>
              <w:widowControl/>
              <w:suppressLineNumbers w:val="0"/>
              <w:jc w:val="center"/>
              <w:textAlignment w:val="center"/>
              <w:rPr>
                <w:rFonts w:hint="eastAsia" w:ascii="楷体" w:hAnsi="楷体" w:eastAsia="楷体" w:cs="楷体"/>
                <w:i w:val="0"/>
                <w:color w:val="000000"/>
                <w:sz w:val="30"/>
                <w:szCs w:val="30"/>
                <w:u w:val="none"/>
              </w:rPr>
            </w:pPr>
            <w:r>
              <w:rPr>
                <w:rFonts w:hint="eastAsia" w:ascii="楷体" w:hAnsi="楷体" w:eastAsia="楷体" w:cs="楷体"/>
                <w:i w:val="0"/>
                <w:color w:val="000000"/>
                <w:kern w:val="0"/>
                <w:sz w:val="30"/>
                <w:szCs w:val="30"/>
                <w:u w:val="none"/>
                <w:lang w:val="en-US" w:eastAsia="zh-CN" w:bidi="ar"/>
              </w:rPr>
              <w:t>H</w:t>
            </w: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5915C1DB">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总合计/每年</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A82AE94">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w:t>
            </w: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7B9A6D8D">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6E543537">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r w14:paraId="443E06B1">
        <w:tblPrEx>
          <w:tblCellMar>
            <w:top w:w="0" w:type="dxa"/>
            <w:left w:w="0" w:type="dxa"/>
            <w:bottom w:w="0" w:type="dxa"/>
            <w:right w:w="0" w:type="dxa"/>
          </w:tblCellMar>
        </w:tblPrEx>
        <w:trPr>
          <w:trHeight w:val="405" w:hRule="atLeast"/>
        </w:trPr>
        <w:tc>
          <w:tcPr>
            <w:tcW w:w="85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17F0FC4A">
            <w:pPr>
              <w:keepNext w:val="0"/>
              <w:keepLines w:val="0"/>
              <w:widowControl/>
              <w:suppressLineNumbers w:val="0"/>
              <w:jc w:val="center"/>
              <w:textAlignment w:val="center"/>
              <w:rPr>
                <w:rFonts w:hint="eastAsia" w:ascii="楷体" w:hAnsi="楷体" w:eastAsia="楷体" w:cs="楷体"/>
                <w:i w:val="0"/>
                <w:color w:val="000000"/>
                <w:kern w:val="0"/>
                <w:sz w:val="30"/>
                <w:szCs w:val="30"/>
                <w:u w:val="none"/>
                <w:lang w:val="en-US" w:eastAsia="zh-CN" w:bidi="ar"/>
              </w:rPr>
            </w:pPr>
          </w:p>
        </w:tc>
        <w:tc>
          <w:tcPr>
            <w:tcW w:w="204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7D3ACB6">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三年总计</w:t>
            </w:r>
          </w:p>
        </w:tc>
        <w:tc>
          <w:tcPr>
            <w:tcW w:w="2520"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32437EF6">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p>
        </w:tc>
        <w:tc>
          <w:tcPr>
            <w:tcW w:w="2175"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93E001A">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c>
          <w:tcPr>
            <w:tcW w:w="1573" w:type="dxa"/>
            <w:tcBorders>
              <w:top w:val="single" w:color="auto" w:sz="4" w:space="0"/>
              <w:left w:val="single" w:color="auto" w:sz="4" w:space="0"/>
              <w:bottom w:val="single" w:color="auto" w:sz="4" w:space="0"/>
              <w:right w:val="single" w:color="auto" w:sz="4" w:space="0"/>
            </w:tcBorders>
            <w:shd w:val="clear" w:color="auto" w:fill="DEEBF6"/>
            <w:noWrap w:val="0"/>
            <w:tcMar>
              <w:top w:w="15" w:type="dxa"/>
              <w:left w:w="15" w:type="dxa"/>
              <w:right w:w="15" w:type="dxa"/>
            </w:tcMar>
            <w:vAlign w:val="center"/>
          </w:tcPr>
          <w:p w14:paraId="24BEFCC3">
            <w:pPr>
              <w:keepNext w:val="0"/>
              <w:keepLines w:val="0"/>
              <w:widowControl/>
              <w:suppressLineNumbers w:val="0"/>
              <w:jc w:val="center"/>
              <w:textAlignment w:val="center"/>
              <w:rPr>
                <w:rFonts w:hint="eastAsia" w:ascii="楷体" w:hAnsi="楷体" w:eastAsia="楷体" w:cs="楷体"/>
                <w:i w:val="0"/>
                <w:color w:val="000000"/>
                <w:sz w:val="24"/>
                <w:szCs w:val="24"/>
                <w:u w:val="none"/>
              </w:rPr>
            </w:pPr>
          </w:p>
        </w:tc>
      </w:tr>
    </w:tbl>
    <w:p w14:paraId="641A3F6A">
      <w:pPr>
        <w:spacing w:line="360" w:lineRule="auto"/>
        <w:rPr>
          <w:rFonts w:hint="eastAsia"/>
          <w:color w:val="000000"/>
          <w:szCs w:val="21"/>
          <w:lang w:eastAsia="zh-CN"/>
        </w:rPr>
      </w:pPr>
    </w:p>
    <w:p w14:paraId="0290E002">
      <w:pPr>
        <w:snapToGrid w:val="0"/>
        <w:spacing w:line="440" w:lineRule="exact"/>
        <w:ind w:firstLine="420" w:firstLineChars="200"/>
        <w:jc w:val="left"/>
        <w:rPr>
          <w:rFonts w:hint="eastAsia"/>
          <w:b/>
          <w:bCs/>
          <w:szCs w:val="21"/>
        </w:rPr>
      </w:pPr>
      <w:r>
        <w:rPr>
          <w:rFonts w:hint="eastAsia"/>
          <w:color w:val="000000"/>
          <w:szCs w:val="21"/>
          <w:lang w:eastAsia="zh-CN"/>
        </w:rPr>
        <w:t>备注：</w:t>
      </w:r>
      <w:r>
        <w:rPr>
          <w:rFonts w:hint="eastAsia"/>
          <w:b/>
          <w:bCs/>
          <w:szCs w:val="21"/>
        </w:rPr>
        <w:t>（</w:t>
      </w:r>
      <w:r>
        <w:rPr>
          <w:rFonts w:hint="eastAsia"/>
          <w:b/>
          <w:bCs/>
          <w:szCs w:val="21"/>
          <w:lang w:val="en-US" w:eastAsia="zh-CN"/>
        </w:rPr>
        <w:t>1</w:t>
      </w:r>
      <w:r>
        <w:rPr>
          <w:rFonts w:hint="eastAsia"/>
          <w:b/>
          <w:bCs/>
          <w:szCs w:val="21"/>
        </w:rPr>
        <w:t>）“分项报价表”中“投标总价”应与“开标一览表”中“投标总价”一致。</w:t>
      </w:r>
    </w:p>
    <w:p w14:paraId="21AE3B11">
      <w:pPr>
        <w:snapToGrid w:val="0"/>
        <w:spacing w:line="440" w:lineRule="exact"/>
        <w:ind w:firstLine="422" w:firstLineChars="200"/>
        <w:jc w:val="left"/>
        <w:rPr>
          <w:rFonts w:hint="eastAsia"/>
          <w:b/>
          <w:bCs/>
          <w:szCs w:val="21"/>
        </w:rPr>
      </w:pPr>
      <w:r>
        <w:rPr>
          <w:rFonts w:hint="eastAsia"/>
          <w:b/>
          <w:bCs/>
          <w:szCs w:val="21"/>
        </w:rPr>
        <w:t>（</w:t>
      </w:r>
      <w:r>
        <w:rPr>
          <w:rFonts w:hint="eastAsia"/>
          <w:b/>
          <w:bCs/>
          <w:szCs w:val="21"/>
          <w:lang w:val="en-US" w:eastAsia="zh-CN"/>
        </w:rPr>
        <w:t>2</w:t>
      </w:r>
      <w:r>
        <w:rPr>
          <w:rFonts w:hint="eastAsia"/>
          <w:b/>
          <w:bCs/>
          <w:szCs w:val="21"/>
        </w:rPr>
        <w:t>）供应商</w:t>
      </w:r>
      <w:r>
        <w:rPr>
          <w:rFonts w:hint="eastAsia"/>
          <w:b/>
          <w:bCs/>
          <w:szCs w:val="21"/>
          <w:lang w:val="en-US" w:eastAsia="zh-CN"/>
        </w:rPr>
        <w:t>报价</w:t>
      </w:r>
      <w:r>
        <w:rPr>
          <w:rFonts w:hint="eastAsia"/>
          <w:b/>
          <w:bCs/>
          <w:szCs w:val="21"/>
        </w:rPr>
        <w:t>不得超出第二章《</w:t>
      </w:r>
      <w:r>
        <w:rPr>
          <w:rFonts w:hint="eastAsia"/>
          <w:b/>
          <w:bCs/>
          <w:szCs w:val="21"/>
          <w:lang w:eastAsia="zh-CN"/>
        </w:rPr>
        <w:t>报价要求</w:t>
      </w:r>
      <w:r>
        <w:rPr>
          <w:rFonts w:hint="eastAsia"/>
          <w:b/>
          <w:bCs/>
          <w:szCs w:val="21"/>
        </w:rPr>
        <w:t>》的</w:t>
      </w:r>
      <w:r>
        <w:rPr>
          <w:rFonts w:hint="eastAsia"/>
          <w:b/>
          <w:bCs/>
          <w:szCs w:val="21"/>
          <w:lang w:val="en-US" w:eastAsia="zh-CN"/>
        </w:rPr>
        <w:t>最高投标</w:t>
      </w:r>
      <w:r>
        <w:rPr>
          <w:rFonts w:hint="eastAsia"/>
          <w:b/>
          <w:bCs/>
          <w:szCs w:val="21"/>
        </w:rPr>
        <w:t>限价，否则作无效标处理。</w:t>
      </w:r>
    </w:p>
    <w:p w14:paraId="74249630">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(3)本项目</w:t>
      </w:r>
      <w:r>
        <w:rPr>
          <w:rFonts w:hint="eastAsia"/>
          <w:b/>
          <w:bCs/>
          <w:szCs w:val="21"/>
        </w:rPr>
        <w:t>报价</w:t>
      </w:r>
      <w:r>
        <w:rPr>
          <w:rFonts w:hint="eastAsia"/>
          <w:b/>
          <w:bCs/>
          <w:szCs w:val="21"/>
          <w:lang w:val="en-US" w:eastAsia="zh-CN"/>
        </w:rPr>
        <w:t>采用总价</w:t>
      </w:r>
      <w:r>
        <w:rPr>
          <w:rFonts w:hint="eastAsia"/>
          <w:b/>
          <w:bCs/>
          <w:szCs w:val="21"/>
        </w:rPr>
        <w:t>报价形式</w:t>
      </w:r>
      <w:r>
        <w:rPr>
          <w:rFonts w:hint="eastAsia"/>
          <w:b/>
          <w:bCs/>
          <w:szCs w:val="21"/>
          <w:lang w:eastAsia="zh-CN"/>
        </w:rPr>
        <w:t>。</w:t>
      </w:r>
      <w:r>
        <w:rPr>
          <w:rFonts w:hint="eastAsia"/>
          <w:b/>
          <w:bCs/>
          <w:szCs w:val="21"/>
        </w:rPr>
        <w:t>报价应包含员工工资费用、员工社保医保、员工福利、工作日延时、加班费用、员工的服装费用、行政办公费用、管理费用、法定税费、利润及其它费用等</w:t>
      </w:r>
      <w:r>
        <w:rPr>
          <w:rFonts w:hint="eastAsia"/>
          <w:b/>
          <w:bCs/>
          <w:szCs w:val="21"/>
          <w:lang w:val="en-US" w:eastAsia="zh-CN"/>
        </w:rPr>
        <w:t>。</w:t>
      </w:r>
    </w:p>
    <w:p w14:paraId="56077EBC">
      <w:pPr>
        <w:snapToGrid w:val="0"/>
        <w:spacing w:line="440" w:lineRule="exact"/>
        <w:ind w:firstLine="422" w:firstLineChars="200"/>
        <w:jc w:val="left"/>
        <w:rPr>
          <w:rFonts w:hint="eastAsia"/>
          <w:b/>
          <w:bCs/>
          <w:szCs w:val="21"/>
          <w:lang w:val="en-US" w:eastAsia="zh-CN"/>
        </w:rPr>
      </w:pPr>
      <w:r>
        <w:rPr>
          <w:rFonts w:hint="eastAsia"/>
          <w:b/>
          <w:bCs/>
          <w:szCs w:val="21"/>
          <w:lang w:val="en-US" w:eastAsia="zh-CN"/>
        </w:rPr>
        <w:t>（4）不得低于宁海县最低工资标准。</w:t>
      </w:r>
    </w:p>
    <w:p w14:paraId="4CC623CD">
      <w:pPr>
        <w:spacing w:line="360" w:lineRule="auto"/>
        <w:rPr>
          <w:rFonts w:hint="eastAsia"/>
          <w:color w:val="000000"/>
          <w:szCs w:val="21"/>
          <w:lang w:val="en-US" w:eastAsia="zh-CN"/>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color w:val="000000"/>
          <w:szCs w:val="21"/>
        </w:rPr>
        <w:t>：</w:t>
      </w:r>
      <w:r>
        <w:rPr>
          <w:rFonts w:hint="eastAsia"/>
          <w:color w:val="000000"/>
          <w:szCs w:val="21"/>
          <w:u w:val="single"/>
        </w:rPr>
        <w:t xml:space="preserve">                 </w:t>
      </w:r>
      <w:r>
        <w:rPr>
          <w:rFonts w:hint="eastAsia"/>
          <w:color w:val="000000"/>
          <w:szCs w:val="21"/>
        </w:rPr>
        <w:t xml:space="preserve"> </w:t>
      </w:r>
      <w:r>
        <w:rPr>
          <w:rFonts w:hint="eastAsia"/>
          <w:color w:val="000000"/>
          <w:szCs w:val="21"/>
          <w:lang w:val="en-US" w:eastAsia="zh-CN"/>
        </w:rPr>
        <w:t xml:space="preserve">           </w:t>
      </w:r>
    </w:p>
    <w:p w14:paraId="683D4EF6">
      <w:pPr>
        <w:spacing w:line="360" w:lineRule="auto"/>
        <w:rPr>
          <w:rFonts w:hint="eastAsia"/>
          <w:color w:val="000000"/>
          <w:szCs w:val="21"/>
          <w:lang w:val="en-US" w:eastAsia="zh-CN"/>
        </w:rPr>
      </w:pPr>
      <w:r>
        <w:rPr>
          <w:rFonts w:hint="eastAsia"/>
          <w:color w:val="000000"/>
          <w:szCs w:val="21"/>
          <w:lang w:val="en-US" w:eastAsia="zh-CN"/>
        </w:rPr>
        <w:t xml:space="preserve"> </w:t>
      </w:r>
      <w:r>
        <w:rPr>
          <w:rFonts w:hint="eastAsia"/>
          <w:color w:val="000000"/>
          <w:szCs w:val="21"/>
        </w:rPr>
        <w:t>日 期：</w:t>
      </w:r>
      <w:r>
        <w:rPr>
          <w:rFonts w:hint="eastAsia"/>
          <w:color w:val="000000"/>
          <w:szCs w:val="21"/>
          <w:lang w:val="en-US" w:eastAsia="zh-CN"/>
        </w:rPr>
        <w:t xml:space="preserve">  年     月    日</w:t>
      </w:r>
    </w:p>
    <w:p w14:paraId="689EC6B9">
      <w:pPr>
        <w:pStyle w:val="35"/>
        <w:keepNext w:val="0"/>
        <w:numPr>
          <w:ilvl w:val="0"/>
          <w:numId w:val="8"/>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14ACEDEE">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3F2F946">
      <w:pPr>
        <w:pStyle w:val="3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917A159">
      <w:pPr>
        <w:pStyle w:val="35"/>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48F730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D302D4C">
      <w:pPr>
        <w:pStyle w:val="27"/>
        <w:ind w:firstLine="482"/>
        <w:rPr>
          <w:rFonts w:ascii="宋体" w:hAnsi="宋体" w:cs="宋体"/>
          <w:b/>
          <w:color w:val="auto"/>
          <w:sz w:val="24"/>
          <w:highlight w:val="none"/>
        </w:rPr>
      </w:pPr>
    </w:p>
    <w:p w14:paraId="42F2B0C7"/>
    <w:p w14:paraId="0CE233DE">
      <w:pPr>
        <w:pStyle w:val="27"/>
        <w:ind w:firstLine="482"/>
        <w:rPr>
          <w:rFonts w:ascii="宋体" w:hAnsi="宋体" w:cs="宋体"/>
          <w:b/>
          <w:color w:val="auto"/>
          <w:sz w:val="24"/>
          <w:highlight w:val="none"/>
        </w:rPr>
      </w:pPr>
    </w:p>
    <w:p w14:paraId="63AB745E">
      <w:pPr>
        <w:pStyle w:val="27"/>
        <w:ind w:firstLine="482"/>
        <w:rPr>
          <w:rFonts w:ascii="宋体" w:hAnsi="宋体" w:cs="宋体"/>
          <w:b/>
          <w:color w:val="auto"/>
          <w:sz w:val="24"/>
          <w:highlight w:val="none"/>
        </w:rPr>
      </w:pPr>
    </w:p>
    <w:p w14:paraId="67BA2A76">
      <w:pPr>
        <w:pStyle w:val="35"/>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97B425F">
      <w:pPr>
        <w:spacing w:line="360" w:lineRule="auto"/>
        <w:ind w:right="420" w:firstLine="3614" w:firstLineChars="1000"/>
        <w:rPr>
          <w:rFonts w:ascii="宋体" w:hAnsi="宋体" w:cs="宋体"/>
          <w:b/>
          <w:color w:val="auto"/>
          <w:kern w:val="0"/>
          <w:sz w:val="36"/>
          <w:szCs w:val="36"/>
          <w:highlight w:val="none"/>
        </w:rPr>
      </w:pPr>
    </w:p>
    <w:p w14:paraId="25A906C4">
      <w:pPr>
        <w:spacing w:line="360" w:lineRule="auto"/>
        <w:ind w:right="420" w:firstLine="3614" w:firstLineChars="1000"/>
        <w:rPr>
          <w:rFonts w:ascii="宋体" w:hAnsi="宋体" w:cs="宋体"/>
          <w:b/>
          <w:color w:val="auto"/>
          <w:kern w:val="0"/>
          <w:sz w:val="36"/>
          <w:szCs w:val="36"/>
          <w:highlight w:val="none"/>
        </w:rPr>
      </w:pPr>
    </w:p>
    <w:p w14:paraId="507554A9">
      <w:pPr>
        <w:spacing w:line="360" w:lineRule="auto"/>
        <w:ind w:right="420" w:firstLine="3614" w:firstLineChars="1000"/>
        <w:rPr>
          <w:rFonts w:ascii="宋体" w:hAnsi="宋体" w:cs="宋体"/>
          <w:b/>
          <w:color w:val="auto"/>
          <w:kern w:val="0"/>
          <w:sz w:val="36"/>
          <w:szCs w:val="36"/>
          <w:highlight w:val="none"/>
        </w:rPr>
      </w:pPr>
    </w:p>
    <w:p w14:paraId="0ADC35E6">
      <w:pPr>
        <w:spacing w:line="360" w:lineRule="auto"/>
        <w:ind w:right="420" w:firstLine="3614" w:firstLineChars="1000"/>
        <w:rPr>
          <w:rFonts w:ascii="宋体" w:hAnsi="宋体" w:cs="宋体"/>
          <w:b/>
          <w:color w:val="auto"/>
          <w:kern w:val="0"/>
          <w:sz w:val="36"/>
          <w:szCs w:val="36"/>
          <w:highlight w:val="none"/>
        </w:rPr>
      </w:pPr>
    </w:p>
    <w:p w14:paraId="6219AD9F">
      <w:pPr>
        <w:spacing w:line="360" w:lineRule="auto"/>
        <w:ind w:right="420" w:firstLine="3614" w:firstLineChars="1000"/>
        <w:rPr>
          <w:rFonts w:ascii="宋体" w:hAnsi="宋体" w:cs="宋体"/>
          <w:b/>
          <w:color w:val="auto"/>
          <w:kern w:val="0"/>
          <w:sz w:val="36"/>
          <w:szCs w:val="36"/>
          <w:highlight w:val="none"/>
        </w:rPr>
      </w:pPr>
    </w:p>
    <w:p w14:paraId="7E84A612">
      <w:pPr>
        <w:spacing w:line="360" w:lineRule="auto"/>
        <w:ind w:right="420" w:firstLine="3614" w:firstLineChars="1000"/>
        <w:rPr>
          <w:rFonts w:ascii="宋体" w:hAnsi="宋体" w:cs="宋体"/>
          <w:b/>
          <w:color w:val="auto"/>
          <w:kern w:val="0"/>
          <w:sz w:val="36"/>
          <w:szCs w:val="36"/>
          <w:highlight w:val="none"/>
        </w:rPr>
      </w:pPr>
    </w:p>
    <w:p w14:paraId="0BA29847">
      <w:pPr>
        <w:spacing w:line="360" w:lineRule="auto"/>
        <w:ind w:right="420" w:firstLine="3614" w:firstLineChars="1000"/>
        <w:rPr>
          <w:rFonts w:ascii="宋体" w:hAnsi="宋体" w:cs="宋体"/>
          <w:b/>
          <w:color w:val="auto"/>
          <w:kern w:val="0"/>
          <w:sz w:val="36"/>
          <w:szCs w:val="36"/>
          <w:highlight w:val="none"/>
        </w:rPr>
      </w:pPr>
    </w:p>
    <w:p w14:paraId="32569990">
      <w:pPr>
        <w:spacing w:line="360" w:lineRule="auto"/>
        <w:ind w:right="420" w:firstLine="3614" w:firstLineChars="1000"/>
        <w:rPr>
          <w:rFonts w:ascii="宋体" w:hAnsi="宋体" w:cs="宋体"/>
          <w:b/>
          <w:color w:val="auto"/>
          <w:kern w:val="0"/>
          <w:sz w:val="36"/>
          <w:szCs w:val="36"/>
          <w:highlight w:val="none"/>
        </w:rPr>
      </w:pPr>
    </w:p>
    <w:p w14:paraId="47A11049">
      <w:pPr>
        <w:spacing w:line="360" w:lineRule="auto"/>
        <w:ind w:right="420" w:firstLine="3614" w:firstLineChars="1000"/>
        <w:rPr>
          <w:rFonts w:ascii="宋体" w:hAnsi="宋体" w:cs="宋体"/>
          <w:b/>
          <w:color w:val="auto"/>
          <w:kern w:val="0"/>
          <w:sz w:val="36"/>
          <w:szCs w:val="36"/>
          <w:highlight w:val="none"/>
        </w:rPr>
      </w:pPr>
    </w:p>
    <w:p w14:paraId="453515A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2460DD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EFD17DA">
      <w:pPr>
        <w:spacing w:line="360" w:lineRule="auto"/>
        <w:jc w:val="center"/>
        <w:rPr>
          <w:rFonts w:ascii="宋体" w:hAnsi="宋体" w:cs="宋体"/>
          <w:b/>
          <w:color w:val="auto"/>
          <w:spacing w:val="6"/>
          <w:sz w:val="32"/>
          <w:szCs w:val="32"/>
          <w:highlight w:val="none"/>
        </w:rPr>
      </w:pPr>
      <w:bookmarkStart w:id="398" w:name="OLE_LINK13"/>
      <w:bookmarkStart w:id="399" w:name="OLE_LINK14"/>
      <w:r>
        <w:rPr>
          <w:rFonts w:hint="eastAsia" w:ascii="宋体" w:hAnsi="宋体" w:cs="宋体"/>
          <w:b/>
          <w:color w:val="auto"/>
          <w:spacing w:val="6"/>
          <w:sz w:val="32"/>
          <w:szCs w:val="32"/>
          <w:highlight w:val="none"/>
        </w:rPr>
        <w:t>残疾人福利性单位声明函</w:t>
      </w:r>
    </w:p>
    <w:bookmarkEnd w:id="398"/>
    <w:bookmarkEnd w:id="399"/>
    <w:p w14:paraId="0A8ADCC7">
      <w:pPr>
        <w:spacing w:line="360" w:lineRule="auto"/>
        <w:rPr>
          <w:rFonts w:ascii="宋体" w:hAnsi="宋体" w:cs="宋体"/>
          <w:b/>
          <w:color w:val="auto"/>
          <w:spacing w:val="6"/>
          <w:sz w:val="21"/>
          <w:szCs w:val="21"/>
          <w:highlight w:val="none"/>
        </w:rPr>
      </w:pPr>
    </w:p>
    <w:p w14:paraId="469F288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_单位的_</w:t>
      </w:r>
      <w:r>
        <w:rPr>
          <w:rFonts w:hint="eastAsia" w:ascii="宋体" w:hAnsi="宋体" w:cs="宋体"/>
          <w:color w:val="auto"/>
          <w:sz w:val="21"/>
          <w:szCs w:val="21"/>
          <w:highlight w:val="none"/>
          <w:u w:val="single"/>
          <w:lang w:eastAsia="zh-CN"/>
        </w:rPr>
        <w:t>宁海县公共卫生中心食堂外包服务项目（2025年-2028年）</w:t>
      </w:r>
      <w:r>
        <w:rPr>
          <w:rFonts w:hint="eastAsia" w:ascii="宋体" w:hAnsi="宋体" w:cs="宋体"/>
          <w:color w:val="auto"/>
          <w:sz w:val="21"/>
          <w:szCs w:val="21"/>
          <w:highlight w:val="none"/>
        </w:rPr>
        <w:t>__项目采购活动提供本单位制造的货物（由本单位承担工程/提供服务），或者提供其他残疾人福利性单位制造的货物（不包括使用非残疾人福利性单位注册商标的货物）。</w:t>
      </w:r>
    </w:p>
    <w:p w14:paraId="7091900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31F2F22F">
      <w:pPr>
        <w:spacing w:line="360" w:lineRule="auto"/>
        <w:ind w:firstLine="420" w:firstLineChars="200"/>
        <w:rPr>
          <w:rFonts w:ascii="宋体" w:hAnsi="宋体" w:cs="宋体"/>
          <w:color w:val="auto"/>
          <w:sz w:val="21"/>
          <w:szCs w:val="21"/>
          <w:highlight w:val="none"/>
        </w:rPr>
      </w:pPr>
    </w:p>
    <w:p w14:paraId="7983BEB2">
      <w:pPr>
        <w:spacing w:line="360" w:lineRule="auto"/>
        <w:ind w:firstLine="420" w:firstLineChars="200"/>
        <w:rPr>
          <w:rFonts w:ascii="宋体" w:hAnsi="宋体" w:cs="宋体"/>
          <w:color w:val="auto"/>
          <w:sz w:val="21"/>
          <w:szCs w:val="21"/>
          <w:highlight w:val="none"/>
        </w:rPr>
      </w:pPr>
    </w:p>
    <w:p w14:paraId="498F09BA">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投标人名称（电子签名）</w:t>
      </w:r>
      <w:r>
        <w:rPr>
          <w:rFonts w:hint="eastAsia" w:ascii="宋体" w:hAnsi="宋体" w:cs="宋体"/>
          <w:color w:val="auto"/>
          <w:sz w:val="21"/>
          <w:szCs w:val="21"/>
          <w:highlight w:val="none"/>
        </w:rPr>
        <w:t>：</w:t>
      </w:r>
    </w:p>
    <w:p w14:paraId="38CEC260">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7B6AE69C">
      <w:pPr>
        <w:spacing w:line="360" w:lineRule="auto"/>
        <w:ind w:firstLine="420" w:firstLineChars="200"/>
        <w:rPr>
          <w:rFonts w:ascii="宋体" w:hAnsi="宋体" w:cs="宋体"/>
          <w:color w:val="auto"/>
          <w:sz w:val="21"/>
          <w:szCs w:val="21"/>
          <w:highlight w:val="none"/>
        </w:rPr>
      </w:pPr>
    </w:p>
    <w:p w14:paraId="29457AC2">
      <w:pPr>
        <w:spacing w:line="360" w:lineRule="auto"/>
        <w:ind w:firstLine="420" w:firstLineChars="200"/>
        <w:rPr>
          <w:rFonts w:ascii="宋体" w:hAnsi="宋体" w:cs="宋体"/>
          <w:color w:val="auto"/>
          <w:highlight w:val="none"/>
        </w:rPr>
      </w:pPr>
    </w:p>
    <w:p w14:paraId="56C1C2D1">
      <w:pPr>
        <w:spacing w:line="360" w:lineRule="auto"/>
        <w:ind w:firstLine="420" w:firstLineChars="200"/>
        <w:rPr>
          <w:rFonts w:ascii="宋体" w:hAnsi="宋体" w:cs="宋体"/>
          <w:color w:val="auto"/>
          <w:highlight w:val="none"/>
        </w:rPr>
      </w:pPr>
    </w:p>
    <w:p w14:paraId="1EDE6DF6">
      <w:pPr>
        <w:spacing w:line="360" w:lineRule="auto"/>
        <w:ind w:firstLine="420" w:firstLineChars="200"/>
        <w:rPr>
          <w:rFonts w:ascii="宋体" w:hAnsi="宋体" w:cs="宋体"/>
          <w:color w:val="auto"/>
          <w:highlight w:val="none"/>
        </w:rPr>
      </w:pPr>
    </w:p>
    <w:p w14:paraId="671C5BEC">
      <w:pPr>
        <w:spacing w:line="360" w:lineRule="auto"/>
        <w:ind w:firstLine="420" w:firstLineChars="200"/>
        <w:rPr>
          <w:rFonts w:ascii="宋体" w:hAnsi="宋体" w:cs="宋体"/>
          <w:color w:val="auto"/>
          <w:highlight w:val="none"/>
        </w:rPr>
      </w:pPr>
    </w:p>
    <w:p w14:paraId="7EB3F2CF">
      <w:pPr>
        <w:spacing w:line="360" w:lineRule="auto"/>
        <w:rPr>
          <w:rFonts w:ascii="宋体" w:hAnsi="宋体" w:cs="宋体"/>
          <w:b/>
          <w:color w:val="auto"/>
          <w:sz w:val="24"/>
          <w:highlight w:val="none"/>
        </w:rPr>
      </w:pPr>
    </w:p>
    <w:p w14:paraId="03DFFC33">
      <w:pPr>
        <w:spacing w:line="360" w:lineRule="auto"/>
        <w:rPr>
          <w:rFonts w:ascii="宋体" w:hAnsi="宋体" w:cs="宋体"/>
          <w:b/>
          <w:color w:val="auto"/>
          <w:sz w:val="24"/>
          <w:highlight w:val="none"/>
        </w:rPr>
      </w:pPr>
    </w:p>
    <w:p w14:paraId="075B5836">
      <w:pPr>
        <w:spacing w:line="360" w:lineRule="auto"/>
        <w:rPr>
          <w:rFonts w:ascii="宋体" w:hAnsi="宋体" w:cs="宋体"/>
          <w:b/>
          <w:color w:val="auto"/>
          <w:sz w:val="24"/>
          <w:highlight w:val="none"/>
        </w:rPr>
      </w:pPr>
    </w:p>
    <w:p w14:paraId="0D240595">
      <w:pPr>
        <w:spacing w:line="360" w:lineRule="auto"/>
        <w:rPr>
          <w:rFonts w:ascii="宋体" w:hAnsi="宋体" w:cs="宋体"/>
          <w:b/>
          <w:color w:val="auto"/>
          <w:sz w:val="24"/>
          <w:highlight w:val="none"/>
        </w:rPr>
      </w:pPr>
    </w:p>
    <w:p w14:paraId="10FF84D7">
      <w:pPr>
        <w:spacing w:line="360" w:lineRule="auto"/>
        <w:rPr>
          <w:rFonts w:ascii="宋体" w:hAnsi="宋体" w:cs="宋体"/>
          <w:b/>
          <w:color w:val="auto"/>
          <w:sz w:val="24"/>
          <w:highlight w:val="none"/>
        </w:rPr>
      </w:pPr>
    </w:p>
    <w:p w14:paraId="0DD3C0FE">
      <w:pPr>
        <w:spacing w:line="360" w:lineRule="auto"/>
        <w:rPr>
          <w:rFonts w:ascii="宋体" w:hAnsi="宋体" w:cs="宋体"/>
          <w:b/>
          <w:color w:val="auto"/>
          <w:sz w:val="24"/>
          <w:highlight w:val="none"/>
        </w:rPr>
      </w:pPr>
    </w:p>
    <w:p w14:paraId="67837F9C">
      <w:pPr>
        <w:spacing w:line="360" w:lineRule="auto"/>
        <w:rPr>
          <w:rFonts w:ascii="宋体" w:hAnsi="宋体" w:cs="宋体"/>
          <w:b/>
          <w:color w:val="auto"/>
          <w:sz w:val="24"/>
          <w:highlight w:val="none"/>
        </w:rPr>
      </w:pPr>
    </w:p>
    <w:p w14:paraId="53A99DA8">
      <w:pPr>
        <w:pStyle w:val="7"/>
        <w:rPr>
          <w:rFonts w:ascii="宋体" w:hAnsi="宋体" w:cs="宋体"/>
          <w:b/>
          <w:color w:val="auto"/>
          <w:sz w:val="24"/>
          <w:highlight w:val="none"/>
        </w:rPr>
      </w:pPr>
    </w:p>
    <w:p w14:paraId="756AF3BA">
      <w:pPr>
        <w:pStyle w:val="8"/>
      </w:pPr>
    </w:p>
    <w:p w14:paraId="2A5B011E">
      <w:pPr>
        <w:spacing w:line="360" w:lineRule="auto"/>
        <w:rPr>
          <w:rFonts w:ascii="宋体" w:hAnsi="宋体" w:cs="宋体"/>
          <w:b/>
          <w:color w:val="auto"/>
          <w:sz w:val="24"/>
          <w:highlight w:val="none"/>
        </w:rPr>
      </w:pPr>
    </w:p>
    <w:p w14:paraId="0DA393B3">
      <w:pPr>
        <w:spacing w:line="360" w:lineRule="auto"/>
        <w:rPr>
          <w:rFonts w:ascii="宋体" w:hAnsi="宋体" w:cs="宋体"/>
          <w:b/>
          <w:color w:val="auto"/>
          <w:sz w:val="24"/>
          <w:highlight w:val="none"/>
        </w:rPr>
      </w:pPr>
    </w:p>
    <w:p w14:paraId="65B5DD8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D679C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B8C2217">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7DEF164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18EC1EF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7D10AEDB">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4DD84D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0D82AAA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1EB567D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61AEDE00">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8AA057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40B7578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7C34A704">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028A983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1EDC9E67">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2800F9B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E73485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0D10763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7978B92C">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9DD69D8">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635EA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1DEFA31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0716FD7C">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3BFB6CE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E2D7B3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FBE2F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19444904">
      <w:pPr>
        <w:spacing w:line="360" w:lineRule="auto"/>
        <w:jc w:val="center"/>
        <w:rPr>
          <w:rFonts w:ascii="宋体" w:hAnsi="宋体" w:cs="宋体"/>
          <w:b/>
          <w:bCs/>
          <w:color w:val="auto"/>
          <w:sz w:val="21"/>
          <w:szCs w:val="21"/>
          <w:highlight w:val="none"/>
        </w:rPr>
      </w:pPr>
    </w:p>
    <w:p w14:paraId="2911A094">
      <w:pPr>
        <w:spacing w:line="360" w:lineRule="auto"/>
        <w:rPr>
          <w:rFonts w:ascii="宋体" w:hAnsi="宋体" w:cs="宋体"/>
          <w:b/>
          <w:color w:val="auto"/>
          <w:sz w:val="21"/>
          <w:szCs w:val="21"/>
          <w:highlight w:val="none"/>
        </w:rPr>
      </w:pPr>
    </w:p>
    <w:p w14:paraId="181AFA36">
      <w:pPr>
        <w:spacing w:line="360" w:lineRule="auto"/>
        <w:rPr>
          <w:rFonts w:ascii="宋体" w:hAnsi="宋体" w:cs="宋体"/>
          <w:b/>
          <w:color w:val="auto"/>
          <w:sz w:val="21"/>
          <w:szCs w:val="21"/>
          <w:highlight w:val="none"/>
        </w:rPr>
      </w:pPr>
    </w:p>
    <w:p w14:paraId="721A4E8D">
      <w:pPr>
        <w:spacing w:line="360" w:lineRule="auto"/>
        <w:rPr>
          <w:rFonts w:ascii="宋体" w:hAnsi="宋体" w:cs="宋体"/>
          <w:b/>
          <w:color w:val="auto"/>
          <w:sz w:val="21"/>
          <w:szCs w:val="21"/>
          <w:highlight w:val="none"/>
        </w:rPr>
      </w:pPr>
    </w:p>
    <w:p w14:paraId="6B148986">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42069D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76EE3FC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747E1F7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51693E5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673772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7C1BA25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765A1A4E">
      <w:pPr>
        <w:widowControl/>
        <w:spacing w:line="360" w:lineRule="auto"/>
        <w:ind w:firstLine="420" w:firstLineChars="200"/>
        <w:jc w:val="left"/>
        <w:rPr>
          <w:rFonts w:ascii="宋体" w:hAnsi="宋体" w:cs="宋体"/>
          <w:color w:val="auto"/>
          <w:sz w:val="21"/>
          <w:szCs w:val="21"/>
          <w:highlight w:val="none"/>
        </w:rPr>
      </w:pPr>
    </w:p>
    <w:p w14:paraId="3AF89916">
      <w:pPr>
        <w:spacing w:line="360" w:lineRule="auto"/>
        <w:jc w:val="center"/>
        <w:rPr>
          <w:rFonts w:ascii="宋体" w:hAnsi="宋体" w:cs="宋体"/>
          <w:b/>
          <w:color w:val="auto"/>
          <w:spacing w:val="6"/>
          <w:sz w:val="32"/>
          <w:szCs w:val="32"/>
          <w:highlight w:val="none"/>
        </w:rPr>
      </w:pPr>
    </w:p>
    <w:p w14:paraId="18324B52">
      <w:pPr>
        <w:spacing w:line="360" w:lineRule="auto"/>
        <w:jc w:val="center"/>
        <w:rPr>
          <w:rFonts w:ascii="宋体" w:hAnsi="宋体" w:cs="宋体"/>
          <w:b/>
          <w:color w:val="auto"/>
          <w:spacing w:val="6"/>
          <w:sz w:val="32"/>
          <w:szCs w:val="32"/>
          <w:highlight w:val="none"/>
        </w:rPr>
      </w:pPr>
    </w:p>
    <w:p w14:paraId="2F7EA5A2">
      <w:pPr>
        <w:spacing w:line="360" w:lineRule="auto"/>
        <w:jc w:val="center"/>
        <w:rPr>
          <w:rFonts w:ascii="宋体" w:hAnsi="宋体" w:cs="宋体"/>
          <w:b/>
          <w:color w:val="auto"/>
          <w:spacing w:val="6"/>
          <w:sz w:val="32"/>
          <w:szCs w:val="32"/>
          <w:highlight w:val="none"/>
        </w:rPr>
      </w:pPr>
    </w:p>
    <w:p w14:paraId="2FC6C34F">
      <w:pPr>
        <w:spacing w:line="360" w:lineRule="auto"/>
        <w:jc w:val="center"/>
        <w:rPr>
          <w:rFonts w:ascii="宋体" w:hAnsi="宋体" w:cs="宋体"/>
          <w:b/>
          <w:color w:val="auto"/>
          <w:spacing w:val="6"/>
          <w:sz w:val="32"/>
          <w:szCs w:val="32"/>
          <w:highlight w:val="none"/>
        </w:rPr>
      </w:pPr>
    </w:p>
    <w:p w14:paraId="1EA4F85B">
      <w:pPr>
        <w:spacing w:line="360" w:lineRule="auto"/>
        <w:jc w:val="center"/>
        <w:rPr>
          <w:rFonts w:ascii="宋体" w:hAnsi="宋体" w:cs="宋体"/>
          <w:b/>
          <w:color w:val="auto"/>
          <w:spacing w:val="6"/>
          <w:sz w:val="32"/>
          <w:szCs w:val="32"/>
          <w:highlight w:val="none"/>
        </w:rPr>
      </w:pPr>
    </w:p>
    <w:p w14:paraId="05253A42">
      <w:pPr>
        <w:spacing w:line="360" w:lineRule="auto"/>
        <w:jc w:val="center"/>
        <w:rPr>
          <w:rFonts w:ascii="宋体" w:hAnsi="宋体" w:cs="宋体"/>
          <w:b/>
          <w:color w:val="auto"/>
          <w:spacing w:val="6"/>
          <w:sz w:val="32"/>
          <w:szCs w:val="32"/>
          <w:highlight w:val="none"/>
        </w:rPr>
      </w:pPr>
    </w:p>
    <w:p w14:paraId="4602D53A">
      <w:pPr>
        <w:spacing w:line="360" w:lineRule="auto"/>
        <w:jc w:val="center"/>
        <w:rPr>
          <w:rFonts w:ascii="宋体" w:hAnsi="宋体" w:cs="宋体"/>
          <w:b/>
          <w:color w:val="auto"/>
          <w:spacing w:val="6"/>
          <w:sz w:val="32"/>
          <w:szCs w:val="32"/>
          <w:highlight w:val="none"/>
        </w:rPr>
      </w:pPr>
    </w:p>
    <w:p w14:paraId="63BC857B">
      <w:pPr>
        <w:spacing w:line="360" w:lineRule="auto"/>
        <w:jc w:val="center"/>
        <w:rPr>
          <w:rFonts w:ascii="宋体" w:hAnsi="宋体" w:cs="宋体"/>
          <w:b/>
          <w:color w:val="auto"/>
          <w:spacing w:val="6"/>
          <w:sz w:val="32"/>
          <w:szCs w:val="32"/>
          <w:highlight w:val="none"/>
        </w:rPr>
      </w:pPr>
    </w:p>
    <w:p w14:paraId="5776DE5C">
      <w:pPr>
        <w:spacing w:line="360" w:lineRule="auto"/>
        <w:jc w:val="center"/>
        <w:rPr>
          <w:rFonts w:ascii="宋体" w:hAnsi="宋体" w:cs="宋体"/>
          <w:b/>
          <w:color w:val="auto"/>
          <w:spacing w:val="6"/>
          <w:sz w:val="32"/>
          <w:szCs w:val="32"/>
          <w:highlight w:val="none"/>
        </w:rPr>
      </w:pPr>
    </w:p>
    <w:p w14:paraId="2565E809">
      <w:pPr>
        <w:spacing w:line="360" w:lineRule="auto"/>
        <w:jc w:val="center"/>
        <w:rPr>
          <w:rFonts w:ascii="宋体" w:hAnsi="宋体" w:cs="宋体"/>
          <w:b/>
          <w:color w:val="auto"/>
          <w:spacing w:val="6"/>
          <w:sz w:val="32"/>
          <w:szCs w:val="32"/>
          <w:highlight w:val="none"/>
        </w:rPr>
      </w:pPr>
    </w:p>
    <w:p w14:paraId="522CD38F">
      <w:pPr>
        <w:spacing w:line="360" w:lineRule="auto"/>
        <w:jc w:val="center"/>
        <w:rPr>
          <w:rFonts w:ascii="宋体" w:hAnsi="宋体" w:cs="宋体"/>
          <w:b/>
          <w:color w:val="auto"/>
          <w:spacing w:val="6"/>
          <w:sz w:val="32"/>
          <w:szCs w:val="32"/>
          <w:highlight w:val="none"/>
        </w:rPr>
      </w:pPr>
    </w:p>
    <w:p w14:paraId="56D748E0">
      <w:pPr>
        <w:spacing w:line="360" w:lineRule="auto"/>
        <w:jc w:val="center"/>
        <w:rPr>
          <w:rFonts w:ascii="宋体" w:hAnsi="宋体" w:cs="宋体"/>
          <w:b/>
          <w:color w:val="auto"/>
          <w:spacing w:val="6"/>
          <w:sz w:val="32"/>
          <w:szCs w:val="32"/>
          <w:highlight w:val="none"/>
        </w:rPr>
      </w:pPr>
    </w:p>
    <w:p w14:paraId="4E2FA5FB">
      <w:pPr>
        <w:spacing w:line="360" w:lineRule="auto"/>
        <w:jc w:val="left"/>
        <w:rPr>
          <w:rFonts w:ascii="宋体" w:hAnsi="宋体" w:cs="宋体"/>
          <w:b/>
          <w:color w:val="auto"/>
          <w:spacing w:val="6"/>
          <w:sz w:val="32"/>
          <w:szCs w:val="32"/>
          <w:highlight w:val="none"/>
        </w:rPr>
      </w:pPr>
    </w:p>
    <w:p w14:paraId="63E8AFA1">
      <w:pPr>
        <w:spacing w:line="360" w:lineRule="auto"/>
        <w:jc w:val="left"/>
        <w:rPr>
          <w:rFonts w:ascii="宋体" w:hAnsi="宋体" w:cs="宋体"/>
          <w:b/>
          <w:color w:val="auto"/>
          <w:spacing w:val="6"/>
          <w:sz w:val="32"/>
          <w:szCs w:val="32"/>
          <w:highlight w:val="none"/>
        </w:rPr>
      </w:pPr>
    </w:p>
    <w:p w14:paraId="5E493F1B">
      <w:pPr>
        <w:pStyle w:val="2"/>
        <w:rPr>
          <w:rFonts w:ascii="宋体" w:hAnsi="宋体" w:cs="宋体"/>
          <w:b/>
          <w:color w:val="auto"/>
          <w:spacing w:val="6"/>
          <w:sz w:val="32"/>
          <w:szCs w:val="32"/>
          <w:highlight w:val="none"/>
        </w:rPr>
      </w:pPr>
    </w:p>
    <w:p w14:paraId="5E24F5BD"/>
    <w:p w14:paraId="23BA40C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A6D9229">
      <w:pPr>
        <w:spacing w:line="360" w:lineRule="auto"/>
        <w:jc w:val="center"/>
        <w:rPr>
          <w:rFonts w:ascii="宋体" w:hAnsi="宋体" w:cs="宋体"/>
          <w:b/>
          <w:color w:val="auto"/>
          <w:sz w:val="24"/>
          <w:highlight w:val="none"/>
        </w:rPr>
      </w:pPr>
    </w:p>
    <w:p w14:paraId="61307B44">
      <w:pPr>
        <w:spacing w:line="360" w:lineRule="auto"/>
        <w:jc w:val="center"/>
        <w:rPr>
          <w:rFonts w:ascii="宋体" w:hAnsi="宋体" w:cs="宋体"/>
          <w:b/>
          <w:color w:val="auto"/>
          <w:spacing w:val="6"/>
          <w:sz w:val="21"/>
          <w:szCs w:val="21"/>
          <w:highlight w:val="none"/>
        </w:rPr>
      </w:pPr>
      <w:r>
        <w:rPr>
          <w:rFonts w:hint="eastAsia" w:ascii="宋体" w:hAnsi="宋体" w:cs="宋体"/>
          <w:b/>
          <w:color w:val="auto"/>
          <w:spacing w:val="6"/>
          <w:sz w:val="21"/>
          <w:szCs w:val="21"/>
          <w:highlight w:val="none"/>
        </w:rPr>
        <w:t>投诉书范本</w:t>
      </w:r>
    </w:p>
    <w:p w14:paraId="6AB2560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1BFC135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40C2F0B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932A220">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B1E0326">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7F3177F">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FA17500">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7032A26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B0EF6B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A001E8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0519C8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5000F1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340786F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2FA600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2E35C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914034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554BDB8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2E94958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45B8F6E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5FF600B">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1839AFB">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59D2FBAE">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822D5F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3FE9FA29">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1140EAF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964692E">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3383AAA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979A21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2F35921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014A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741982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36B7645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6A14FD0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31B784B2">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55A5DC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901407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4FDD836">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FBC92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185F97E9">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5B2A918">
      <w:pPr>
        <w:spacing w:line="360" w:lineRule="auto"/>
        <w:rPr>
          <w:rFonts w:ascii="宋体" w:hAnsi="宋体" w:cs="宋体"/>
          <w:b/>
          <w:color w:val="auto"/>
          <w:sz w:val="21"/>
          <w:szCs w:val="21"/>
          <w:highlight w:val="none"/>
        </w:rPr>
      </w:pPr>
    </w:p>
    <w:p w14:paraId="483C5492">
      <w:pPr>
        <w:spacing w:line="360" w:lineRule="auto"/>
        <w:rPr>
          <w:rFonts w:ascii="宋体" w:hAnsi="宋体" w:cs="宋体"/>
          <w:b/>
          <w:color w:val="auto"/>
          <w:sz w:val="21"/>
          <w:szCs w:val="21"/>
          <w:highlight w:val="none"/>
        </w:rPr>
      </w:pPr>
    </w:p>
    <w:p w14:paraId="524FD91A">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3C7F661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2EF1B46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19F312A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811416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1712287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6E76F86F">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3E9E261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7E112C91">
      <w:pPr>
        <w:spacing w:line="360" w:lineRule="auto"/>
        <w:rPr>
          <w:rFonts w:ascii="宋体" w:hAnsi="宋体" w:cs="宋体"/>
          <w:b/>
          <w:color w:val="auto"/>
          <w:sz w:val="24"/>
          <w:highlight w:val="none"/>
        </w:rPr>
      </w:pPr>
    </w:p>
    <w:p w14:paraId="014E87ED">
      <w:pPr>
        <w:autoSpaceDE w:val="0"/>
        <w:autoSpaceDN w:val="0"/>
        <w:jc w:val="center"/>
        <w:rPr>
          <w:rFonts w:ascii="宋体" w:hAnsi="宋体" w:cs="宋体"/>
          <w:b/>
          <w:color w:val="auto"/>
          <w:spacing w:val="6"/>
          <w:sz w:val="32"/>
          <w:szCs w:val="32"/>
          <w:highlight w:val="none"/>
        </w:rPr>
      </w:pPr>
    </w:p>
    <w:p w14:paraId="34E8F648">
      <w:pPr>
        <w:autoSpaceDE w:val="0"/>
        <w:autoSpaceDN w:val="0"/>
        <w:jc w:val="center"/>
        <w:rPr>
          <w:rFonts w:ascii="宋体" w:hAnsi="宋体" w:cs="宋体"/>
          <w:b/>
          <w:color w:val="auto"/>
          <w:spacing w:val="6"/>
          <w:sz w:val="32"/>
          <w:szCs w:val="32"/>
          <w:highlight w:val="none"/>
        </w:rPr>
      </w:pPr>
    </w:p>
    <w:p w14:paraId="221422D8">
      <w:pPr>
        <w:autoSpaceDE w:val="0"/>
        <w:autoSpaceDN w:val="0"/>
        <w:jc w:val="center"/>
        <w:rPr>
          <w:rFonts w:hint="eastAsia" w:ascii="宋体" w:hAnsi="宋体" w:cs="宋体"/>
          <w:b/>
          <w:color w:val="auto"/>
          <w:spacing w:val="6"/>
          <w:sz w:val="32"/>
          <w:szCs w:val="32"/>
          <w:highlight w:val="none"/>
        </w:rPr>
      </w:pPr>
    </w:p>
    <w:p w14:paraId="11D8F5A0">
      <w:pPr>
        <w:autoSpaceDE w:val="0"/>
        <w:autoSpaceDN w:val="0"/>
        <w:jc w:val="center"/>
        <w:rPr>
          <w:rFonts w:hint="eastAsia" w:ascii="宋体" w:hAnsi="宋体" w:cs="宋体"/>
          <w:b/>
          <w:color w:val="auto"/>
          <w:spacing w:val="6"/>
          <w:sz w:val="32"/>
          <w:szCs w:val="32"/>
          <w:highlight w:val="none"/>
        </w:rPr>
      </w:pPr>
    </w:p>
    <w:p w14:paraId="1A6D1802">
      <w:pPr>
        <w:autoSpaceDE w:val="0"/>
        <w:autoSpaceDN w:val="0"/>
        <w:jc w:val="center"/>
        <w:rPr>
          <w:rFonts w:hint="eastAsia" w:ascii="宋体" w:hAnsi="宋体" w:cs="宋体"/>
          <w:b/>
          <w:color w:val="auto"/>
          <w:spacing w:val="6"/>
          <w:sz w:val="32"/>
          <w:szCs w:val="32"/>
          <w:highlight w:val="none"/>
        </w:rPr>
      </w:pPr>
    </w:p>
    <w:p w14:paraId="2499E434">
      <w:pPr>
        <w:autoSpaceDE w:val="0"/>
        <w:autoSpaceDN w:val="0"/>
        <w:jc w:val="center"/>
        <w:rPr>
          <w:rFonts w:hint="eastAsia" w:ascii="宋体" w:hAnsi="宋体" w:cs="宋体"/>
          <w:b/>
          <w:color w:val="auto"/>
          <w:spacing w:val="6"/>
          <w:sz w:val="32"/>
          <w:szCs w:val="32"/>
          <w:highlight w:val="none"/>
        </w:rPr>
      </w:pPr>
    </w:p>
    <w:p w14:paraId="614D4E07">
      <w:pPr>
        <w:autoSpaceDE w:val="0"/>
        <w:autoSpaceDN w:val="0"/>
        <w:jc w:val="center"/>
        <w:rPr>
          <w:rFonts w:hint="eastAsia" w:ascii="宋体" w:hAnsi="宋体" w:cs="宋体"/>
          <w:b/>
          <w:color w:val="auto"/>
          <w:spacing w:val="6"/>
          <w:sz w:val="32"/>
          <w:szCs w:val="32"/>
          <w:highlight w:val="none"/>
        </w:rPr>
      </w:pPr>
    </w:p>
    <w:p w14:paraId="4AF661B3">
      <w:pPr>
        <w:autoSpaceDE w:val="0"/>
        <w:autoSpaceDN w:val="0"/>
        <w:jc w:val="center"/>
        <w:rPr>
          <w:rFonts w:hint="eastAsia" w:ascii="宋体" w:hAnsi="宋体" w:cs="宋体"/>
          <w:b/>
          <w:color w:val="auto"/>
          <w:spacing w:val="6"/>
          <w:sz w:val="32"/>
          <w:szCs w:val="32"/>
          <w:highlight w:val="none"/>
        </w:rPr>
      </w:pPr>
    </w:p>
    <w:p w14:paraId="5CC85F52">
      <w:pPr>
        <w:autoSpaceDE w:val="0"/>
        <w:autoSpaceDN w:val="0"/>
        <w:jc w:val="center"/>
        <w:rPr>
          <w:rFonts w:hint="eastAsia" w:ascii="宋体" w:hAnsi="宋体" w:cs="宋体"/>
          <w:b/>
          <w:color w:val="auto"/>
          <w:spacing w:val="6"/>
          <w:sz w:val="32"/>
          <w:szCs w:val="32"/>
          <w:highlight w:val="none"/>
        </w:rPr>
      </w:pPr>
    </w:p>
    <w:p w14:paraId="09C8E4DC">
      <w:pPr>
        <w:autoSpaceDE w:val="0"/>
        <w:autoSpaceDN w:val="0"/>
        <w:jc w:val="center"/>
        <w:rPr>
          <w:rFonts w:hint="eastAsia" w:ascii="宋体" w:hAnsi="宋体" w:cs="宋体"/>
          <w:b/>
          <w:color w:val="auto"/>
          <w:spacing w:val="6"/>
          <w:sz w:val="32"/>
          <w:szCs w:val="32"/>
          <w:highlight w:val="none"/>
        </w:rPr>
      </w:pPr>
    </w:p>
    <w:p w14:paraId="20FA3754">
      <w:pPr>
        <w:autoSpaceDE w:val="0"/>
        <w:autoSpaceDN w:val="0"/>
        <w:jc w:val="center"/>
        <w:rPr>
          <w:rFonts w:hint="eastAsia" w:ascii="宋体" w:hAnsi="宋体" w:cs="宋体"/>
          <w:b/>
          <w:color w:val="auto"/>
          <w:spacing w:val="6"/>
          <w:sz w:val="32"/>
          <w:szCs w:val="32"/>
          <w:highlight w:val="none"/>
        </w:rPr>
      </w:pPr>
    </w:p>
    <w:p w14:paraId="65A70CA1">
      <w:pPr>
        <w:autoSpaceDE w:val="0"/>
        <w:autoSpaceDN w:val="0"/>
        <w:jc w:val="center"/>
        <w:rPr>
          <w:rFonts w:hint="eastAsia" w:ascii="宋体" w:hAnsi="宋体" w:cs="宋体"/>
          <w:b/>
          <w:color w:val="auto"/>
          <w:spacing w:val="6"/>
          <w:sz w:val="32"/>
          <w:szCs w:val="32"/>
          <w:highlight w:val="none"/>
        </w:rPr>
      </w:pPr>
    </w:p>
    <w:p w14:paraId="3322131B">
      <w:pPr>
        <w:autoSpaceDE w:val="0"/>
        <w:autoSpaceDN w:val="0"/>
        <w:jc w:val="center"/>
        <w:rPr>
          <w:rFonts w:hint="eastAsia" w:ascii="宋体" w:hAnsi="宋体" w:cs="宋体"/>
          <w:b/>
          <w:color w:val="auto"/>
          <w:spacing w:val="6"/>
          <w:sz w:val="32"/>
          <w:szCs w:val="32"/>
          <w:highlight w:val="none"/>
        </w:rPr>
      </w:pPr>
    </w:p>
    <w:p w14:paraId="13D9E06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95C3A9A">
      <w:pPr>
        <w:spacing w:line="360" w:lineRule="auto"/>
        <w:rPr>
          <w:rFonts w:ascii="宋体" w:hAnsi="宋体" w:cs="宋体"/>
          <w:color w:val="auto"/>
          <w:sz w:val="24"/>
          <w:highlight w:val="none"/>
          <w:u w:val="single"/>
        </w:rPr>
      </w:pPr>
    </w:p>
    <w:p w14:paraId="4ADD417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宁海县疾病预防控制中心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宁海童氏工程管理咨询有限公司</w:t>
      </w:r>
      <w:r>
        <w:rPr>
          <w:rFonts w:hint="eastAsia" w:ascii="宋体" w:hAnsi="宋体" w:cs="宋体"/>
          <w:color w:val="auto"/>
          <w:sz w:val="21"/>
          <w:szCs w:val="21"/>
          <w:highlight w:val="none"/>
          <w:u w:val="single"/>
        </w:rPr>
        <w:t>：</w:t>
      </w:r>
    </w:p>
    <w:p w14:paraId="2B518DE2">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(投标人全称)是中华人民共和国依法登记注册的合法企业，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09760A32">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617C7907">
      <w:pPr>
        <w:spacing w:line="360" w:lineRule="auto"/>
        <w:ind w:firstLine="494"/>
        <w:rPr>
          <w:rFonts w:ascii="宋体" w:hAnsi="宋体" w:cs="宋体"/>
          <w:color w:val="auto"/>
          <w:sz w:val="24"/>
          <w:highlight w:val="none"/>
        </w:rPr>
      </w:pPr>
    </w:p>
    <w:p w14:paraId="2A8DEF38">
      <w:pPr>
        <w:spacing w:line="360" w:lineRule="auto"/>
        <w:ind w:firstLine="494"/>
        <w:rPr>
          <w:rFonts w:ascii="宋体" w:hAnsi="宋体" w:cs="宋体"/>
          <w:color w:val="auto"/>
          <w:sz w:val="24"/>
          <w:highlight w:val="none"/>
        </w:rPr>
      </w:pPr>
    </w:p>
    <w:p w14:paraId="6CEFADF9">
      <w:pPr>
        <w:spacing w:line="360" w:lineRule="auto"/>
        <w:ind w:firstLine="494"/>
        <w:rPr>
          <w:rFonts w:ascii="宋体" w:hAnsi="宋体" w:cs="宋体"/>
          <w:color w:val="auto"/>
          <w:sz w:val="24"/>
          <w:highlight w:val="none"/>
        </w:rPr>
      </w:pPr>
    </w:p>
    <w:p w14:paraId="71FB13B4">
      <w:pPr>
        <w:spacing w:line="360" w:lineRule="auto"/>
        <w:ind w:firstLine="494"/>
        <w:rPr>
          <w:rFonts w:ascii="宋体" w:hAnsi="宋体" w:cs="宋体"/>
          <w:color w:val="auto"/>
          <w:sz w:val="24"/>
          <w:highlight w:val="none"/>
        </w:rPr>
      </w:pPr>
    </w:p>
    <w:p w14:paraId="1DDFC7B7">
      <w:pPr>
        <w:pStyle w:val="2"/>
      </w:pPr>
    </w:p>
    <w:p w14:paraId="4B1B25D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61898D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CFD56D">
      <w:pPr>
        <w:rPr>
          <w:rFonts w:ascii="宋体" w:hAnsi="宋体" w:cs="宋体"/>
          <w:color w:val="auto"/>
          <w:sz w:val="24"/>
          <w:highlight w:val="none"/>
        </w:rPr>
      </w:pPr>
      <w:r>
        <w:rPr>
          <w:rFonts w:hint="eastAsia" w:ascii="宋体" w:hAnsi="宋体" w:cs="宋体"/>
          <w:b/>
          <w:bCs/>
          <w:color w:val="auto"/>
          <w:sz w:val="24"/>
          <w:highlight w:val="none"/>
        </w:rPr>
        <w:t>附：</w:t>
      </w:r>
    </w:p>
    <w:p w14:paraId="4952F1B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75C1FBF">
      <w:pPr>
        <w:autoSpaceDE w:val="0"/>
        <w:autoSpaceDN w:val="0"/>
        <w:jc w:val="center"/>
        <w:rPr>
          <w:rFonts w:ascii="宋体" w:hAnsi="宋体" w:cs="宋体"/>
          <w:b/>
          <w:color w:val="auto"/>
          <w:spacing w:val="6"/>
          <w:sz w:val="32"/>
          <w:szCs w:val="32"/>
          <w:highlight w:val="none"/>
        </w:rPr>
      </w:pPr>
    </w:p>
    <w:p w14:paraId="7CEBE7CD">
      <w:pPr>
        <w:autoSpaceDE w:val="0"/>
        <w:autoSpaceDN w:val="0"/>
        <w:jc w:val="center"/>
        <w:rPr>
          <w:rFonts w:ascii="宋体" w:hAnsi="宋体" w:cs="宋体"/>
          <w:b/>
          <w:color w:val="auto"/>
          <w:spacing w:val="6"/>
          <w:sz w:val="32"/>
          <w:szCs w:val="32"/>
          <w:highlight w:val="none"/>
        </w:rPr>
      </w:pPr>
    </w:p>
    <w:p w14:paraId="15BA3B7A">
      <w:pPr>
        <w:autoSpaceDE w:val="0"/>
        <w:autoSpaceDN w:val="0"/>
        <w:jc w:val="center"/>
        <w:rPr>
          <w:rFonts w:ascii="宋体" w:hAnsi="宋体" w:cs="宋体"/>
          <w:b/>
          <w:color w:val="auto"/>
          <w:spacing w:val="6"/>
          <w:sz w:val="32"/>
          <w:szCs w:val="32"/>
          <w:highlight w:val="none"/>
        </w:rPr>
      </w:pPr>
    </w:p>
    <w:p w14:paraId="6394364B">
      <w:pPr>
        <w:autoSpaceDE w:val="0"/>
        <w:autoSpaceDN w:val="0"/>
        <w:jc w:val="center"/>
        <w:rPr>
          <w:rFonts w:ascii="宋体" w:hAnsi="宋体" w:cs="宋体"/>
          <w:b/>
          <w:color w:val="auto"/>
          <w:spacing w:val="6"/>
          <w:sz w:val="32"/>
          <w:szCs w:val="32"/>
          <w:highlight w:val="none"/>
        </w:rPr>
      </w:pPr>
    </w:p>
    <w:p w14:paraId="77BEB354">
      <w:pPr>
        <w:autoSpaceDE w:val="0"/>
        <w:autoSpaceDN w:val="0"/>
        <w:jc w:val="center"/>
        <w:rPr>
          <w:rFonts w:ascii="宋体" w:hAnsi="宋体" w:cs="宋体"/>
          <w:b/>
          <w:color w:val="auto"/>
          <w:spacing w:val="6"/>
          <w:sz w:val="32"/>
          <w:szCs w:val="32"/>
          <w:highlight w:val="none"/>
        </w:rPr>
      </w:pPr>
    </w:p>
    <w:p w14:paraId="345999FE">
      <w:pPr>
        <w:autoSpaceDE w:val="0"/>
        <w:autoSpaceDN w:val="0"/>
        <w:jc w:val="center"/>
        <w:rPr>
          <w:rFonts w:ascii="宋体" w:hAnsi="宋体" w:cs="宋体"/>
          <w:b/>
          <w:color w:val="auto"/>
          <w:spacing w:val="6"/>
          <w:sz w:val="32"/>
          <w:szCs w:val="32"/>
          <w:highlight w:val="none"/>
        </w:rPr>
      </w:pPr>
    </w:p>
    <w:p w14:paraId="455DC592">
      <w:pPr>
        <w:autoSpaceDE w:val="0"/>
        <w:autoSpaceDN w:val="0"/>
        <w:jc w:val="center"/>
        <w:rPr>
          <w:rFonts w:ascii="宋体" w:hAnsi="宋体" w:cs="宋体"/>
          <w:b/>
          <w:color w:val="auto"/>
          <w:spacing w:val="6"/>
          <w:sz w:val="32"/>
          <w:szCs w:val="32"/>
          <w:highlight w:val="none"/>
        </w:rPr>
      </w:pPr>
    </w:p>
    <w:p w14:paraId="018EFA85">
      <w:pPr>
        <w:autoSpaceDE w:val="0"/>
        <w:autoSpaceDN w:val="0"/>
        <w:jc w:val="center"/>
        <w:rPr>
          <w:rFonts w:ascii="宋体" w:hAnsi="宋体" w:cs="宋体"/>
          <w:b/>
          <w:color w:val="auto"/>
          <w:spacing w:val="6"/>
          <w:sz w:val="32"/>
          <w:szCs w:val="32"/>
          <w:highlight w:val="none"/>
        </w:rPr>
      </w:pPr>
    </w:p>
    <w:p w14:paraId="17E6BC34">
      <w:pPr>
        <w:autoSpaceDE w:val="0"/>
        <w:autoSpaceDN w:val="0"/>
        <w:jc w:val="both"/>
        <w:rPr>
          <w:rFonts w:ascii="宋体" w:hAnsi="宋体" w:cs="宋体"/>
          <w:b/>
          <w:color w:val="auto"/>
          <w:spacing w:val="6"/>
          <w:sz w:val="32"/>
          <w:szCs w:val="32"/>
          <w:highlight w:val="none"/>
        </w:rPr>
      </w:pPr>
    </w:p>
    <w:p w14:paraId="2CACAE74"/>
    <w:p w14:paraId="28E0702B">
      <w:pPr>
        <w:autoSpaceDE w:val="0"/>
        <w:autoSpaceDN w:val="0"/>
        <w:jc w:val="center"/>
        <w:rPr>
          <w:rFonts w:hint="eastAsia" w:ascii="宋体" w:hAnsi="宋体" w:cs="宋体"/>
          <w:b/>
          <w:color w:val="auto"/>
          <w:spacing w:val="6"/>
          <w:sz w:val="32"/>
          <w:szCs w:val="32"/>
          <w:highlight w:val="none"/>
        </w:rPr>
      </w:pPr>
    </w:p>
    <w:p w14:paraId="53B17411">
      <w:pPr>
        <w:autoSpaceDE w:val="0"/>
        <w:autoSpaceDN w:val="0"/>
        <w:jc w:val="center"/>
        <w:rPr>
          <w:rFonts w:hint="eastAsia" w:ascii="宋体" w:hAnsi="宋体" w:cs="宋体"/>
          <w:b/>
          <w:color w:val="auto"/>
          <w:spacing w:val="6"/>
          <w:sz w:val="32"/>
          <w:szCs w:val="32"/>
          <w:highlight w:val="none"/>
        </w:rPr>
      </w:pPr>
    </w:p>
    <w:p w14:paraId="07DDAA5E">
      <w:pPr>
        <w:autoSpaceDE w:val="0"/>
        <w:autoSpaceDN w:val="0"/>
        <w:jc w:val="center"/>
        <w:rPr>
          <w:rFonts w:hint="eastAsia" w:ascii="宋体" w:hAnsi="宋体" w:cs="宋体"/>
          <w:b/>
          <w:color w:val="auto"/>
          <w:spacing w:val="6"/>
          <w:sz w:val="32"/>
          <w:szCs w:val="32"/>
          <w:highlight w:val="none"/>
        </w:rPr>
      </w:pPr>
    </w:p>
    <w:p w14:paraId="6066E3FE">
      <w:pPr>
        <w:autoSpaceDE w:val="0"/>
        <w:autoSpaceDN w:val="0"/>
        <w:jc w:val="center"/>
        <w:rPr>
          <w:rFonts w:hint="eastAsia" w:ascii="宋体" w:hAnsi="宋体" w:cs="宋体"/>
          <w:b/>
          <w:color w:val="auto"/>
          <w:spacing w:val="6"/>
          <w:sz w:val="32"/>
          <w:szCs w:val="32"/>
          <w:highlight w:val="none"/>
        </w:rPr>
      </w:pPr>
    </w:p>
    <w:p w14:paraId="3AAB9A50">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D5B873">
      <w:pPr>
        <w:widowControl/>
        <w:spacing w:line="312"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（以联合体形式投标的，提供联合协议；本项目不接受联合体投标或者投标人不以联合体形式投标的，则不需要提供）</w:t>
      </w:r>
    </w:p>
    <w:p w14:paraId="6D8AD49D">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535D5BB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61ABFCD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8BF025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3C4CD2F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0213FAF5">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 w:val="21"/>
          <w:szCs w:val="21"/>
          <w:highlight w:val="none"/>
          <w:lang w:val="zh-CN"/>
        </w:rPr>
        <w:t>；</w:t>
      </w:r>
    </w:p>
    <w:p w14:paraId="44C1A432">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EDF393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57D622D5">
      <w:pPr>
        <w:snapToGrid w:val="0"/>
        <w:spacing w:line="312"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w:t>
      </w:r>
      <w:bookmarkStart w:id="400" w:name="_Hlk101131882"/>
      <w:r>
        <w:rPr>
          <w:rFonts w:hint="eastAsia" w:ascii="宋体" w:hAnsi="宋体" w:cs="宋体"/>
          <w:color w:val="auto"/>
          <w:kern w:val="0"/>
          <w:sz w:val="21"/>
          <w:szCs w:val="21"/>
          <w:highlight w:val="none"/>
          <w:u w:val="single"/>
        </w:rPr>
        <w:t>联合体成员X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bookmarkEnd w:id="400"/>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提供的服务由小微企业承接，其合同份额占到合同总金额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w:t>
      </w:r>
      <w:bookmarkStart w:id="401" w:name="_Hlk101133598"/>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bookmarkEnd w:id="401"/>
      <w:r>
        <w:rPr>
          <w:rFonts w:hint="eastAsia" w:ascii="宋体" w:hAnsi="宋体" w:cs="宋体"/>
          <w:b/>
          <w:color w:val="auto"/>
          <w:kern w:val="0"/>
          <w:sz w:val="21"/>
          <w:szCs w:val="21"/>
          <w:highlight w:val="none"/>
          <w:lang w:val="zh-CN"/>
        </w:rPr>
        <w:t>）</w:t>
      </w:r>
    </w:p>
    <w:p w14:paraId="6768F184">
      <w:pPr>
        <w:spacing w:line="312"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2"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bookmarkEnd w:id="402"/>
    </w:p>
    <w:p w14:paraId="12A1E2A0">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23C12243">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27023B5C">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22836DA7">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79997D8E">
      <w:pPr>
        <w:snapToGrid w:val="0"/>
        <w:spacing w:line="312"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14CF8A1E">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465806CB">
      <w:pPr>
        <w:snapToGrid w:val="0"/>
        <w:spacing w:line="312"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3A9BF9D6">
      <w:pPr>
        <w:snapToGrid w:val="0"/>
        <w:spacing w:line="312" w:lineRule="auto"/>
        <w:ind w:right="960"/>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w:t>
      </w:r>
    </w:p>
    <w:p w14:paraId="0025980F">
      <w:pPr>
        <w:snapToGrid w:val="0"/>
        <w:spacing w:line="312"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55931C1">
      <w:pPr>
        <w:spacing w:line="312"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3772B33">
      <w:pPr>
        <w:autoSpaceDE w:val="0"/>
        <w:autoSpaceDN w:val="0"/>
        <w:jc w:val="both"/>
        <w:rPr>
          <w:rFonts w:ascii="宋体" w:hAnsi="宋体" w:cs="宋体"/>
          <w:b/>
          <w:color w:val="auto"/>
          <w:spacing w:val="6"/>
          <w:sz w:val="32"/>
          <w:szCs w:val="32"/>
          <w:highlight w:val="none"/>
        </w:rPr>
      </w:pPr>
    </w:p>
    <w:p w14:paraId="41CF3D67">
      <w:pPr>
        <w:snapToGrid w:val="0"/>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附件6：分包意向协议</w:t>
      </w:r>
    </w:p>
    <w:p w14:paraId="3FE188CC">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1"/>
          <w:szCs w:val="21"/>
          <w:highlight w:val="none"/>
        </w:rPr>
        <w:t>）</w:t>
      </w:r>
    </w:p>
    <w:p w14:paraId="410BAD6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宁海县公共卫生中心食堂外包服务项目（2025年-2028年）</w:t>
      </w: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lang w:eastAsia="zh-CN"/>
        </w:rPr>
        <w:t>NH-TS2025-027</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2E07059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7BDFDF37">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（分包供应商2名称），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51261E3E">
      <w:pPr>
        <w:pStyle w:val="3"/>
        <w:ind w:left="664" w:leftChars="316" w:firstLine="200" w:firstLineChars="95"/>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4A896BA0">
      <w:pPr>
        <w:rPr>
          <w:color w:val="auto"/>
          <w:szCs w:val="21"/>
          <w:highlight w:val="none"/>
        </w:rPr>
      </w:pPr>
      <w:r>
        <w:rPr>
          <w:rFonts w:hint="eastAsia"/>
          <w:color w:val="auto"/>
          <w:szCs w:val="21"/>
          <w:highlight w:val="none"/>
          <w:lang w:val="zh-CN"/>
        </w:rPr>
        <w:t xml:space="preserve"> </w:t>
      </w:r>
    </w:p>
    <w:p w14:paraId="10F6E7E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24E833C7">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……）提供的服务全部由小微企业承接，</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5F95568">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p>
    <w:p w14:paraId="46D36CEC">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3A819B7D">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B16CBA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73DFDD42">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0E8727C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59771C76">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2904B4D3">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2D1F0BDF">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5E52926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1D8603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Cs w:val="21"/>
          <w:highlight w:val="none"/>
          <w:u w:val="single"/>
        </w:rPr>
        <w:t xml:space="preserve">                                                                                  </w:t>
      </w:r>
    </w:p>
    <w:p w14:paraId="7877FBD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八、其他</w:t>
      </w:r>
    </w:p>
    <w:p w14:paraId="33761AC6">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                                           投标人名称(电子签名)：</w:t>
      </w:r>
    </w:p>
    <w:p w14:paraId="520A564C">
      <w:pPr>
        <w:snapToGrid w:val="0"/>
        <w:spacing w:line="360" w:lineRule="auto"/>
        <w:jc w:val="righ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1BD012F1">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07F23B4">
      <w:pPr>
        <w:autoSpaceDE w:val="0"/>
        <w:autoSpaceDN w:val="0"/>
        <w:jc w:val="center"/>
        <w:rPr>
          <w:rFonts w:ascii="宋体" w:hAnsi="宋体" w:cs="宋体"/>
          <w:b/>
          <w:color w:val="auto"/>
          <w:spacing w:val="6"/>
          <w:sz w:val="32"/>
          <w:szCs w:val="32"/>
          <w:highlight w:val="none"/>
        </w:rPr>
      </w:pPr>
      <w:r>
        <w:rPr>
          <w:rFonts w:hint="eastAsia" w:ascii="宋体" w:hAnsi="宋体" w:cs="宋体"/>
          <w:color w:val="auto"/>
          <w:sz w:val="21"/>
          <w:szCs w:val="21"/>
          <w:highlight w:val="none"/>
        </w:rPr>
        <w:t>注：按本格式和要求提供。</w:t>
      </w:r>
    </w:p>
    <w:p w14:paraId="4FFE19FE">
      <w:pPr>
        <w:autoSpaceDE w:val="0"/>
        <w:autoSpaceDN w:val="0"/>
        <w:jc w:val="both"/>
        <w:rPr>
          <w:rFonts w:ascii="宋体" w:hAnsi="宋体" w:cs="宋体"/>
          <w:b/>
          <w:color w:val="auto"/>
          <w:spacing w:val="6"/>
          <w:sz w:val="32"/>
          <w:szCs w:val="32"/>
          <w:highlight w:val="none"/>
        </w:rPr>
      </w:pPr>
    </w:p>
    <w:p w14:paraId="17E1B6C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49D5AC1">
      <w:pPr>
        <w:spacing w:line="360" w:lineRule="auto"/>
        <w:jc w:val="center"/>
        <w:rPr>
          <w:rFonts w:ascii="宋体" w:hAnsi="宋体" w:cs="宋体"/>
          <w:color w:val="auto"/>
          <w:sz w:val="24"/>
          <w:highlight w:val="none"/>
          <w:u w:val="single"/>
        </w:rPr>
      </w:pPr>
    </w:p>
    <w:p w14:paraId="17D6EC82">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85F2CA8">
      <w:pPr>
        <w:spacing w:line="36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宁海县疾病预防控制中心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宁海县公共卫生中心食堂外包服务项目（2025年-2028年）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D27CF21">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77CE0F8">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6AB02EC">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2D757A">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7CD441D">
      <w:pPr>
        <w:spacing w:line="3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F62A5F">
      <w:pPr>
        <w:spacing w:line="360" w:lineRule="exact"/>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76F69A8">
      <w:pPr>
        <w:spacing w:line="360" w:lineRule="exact"/>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AFF113A">
      <w:pPr>
        <w:spacing w:line="360" w:lineRule="exact"/>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D360985">
      <w:pPr>
        <w:spacing w:line="360" w:lineRule="exact"/>
        <w:ind w:right="420"/>
        <w:rPr>
          <w:rFonts w:ascii="宋体" w:hAnsi="宋体" w:cs="宋体"/>
          <w:color w:val="auto"/>
          <w:sz w:val="24"/>
          <w:highlight w:val="none"/>
        </w:rPr>
      </w:pPr>
    </w:p>
    <w:p w14:paraId="467ACB47">
      <w:pPr>
        <w:spacing w:line="360" w:lineRule="exact"/>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DC8249C">
      <w:pPr>
        <w:spacing w:line="360" w:lineRule="exact"/>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9B1BE49">
      <w:pPr>
        <w:spacing w:line="360" w:lineRule="exact"/>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A711B05"/>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3575">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B7F7">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1DAA">
    <w:pPr>
      <w:pStyle w:val="11"/>
      <w:framePr w:wrap="around" w:vAnchor="text" w:hAnchor="margin" w:xAlign="right" w:y="1"/>
      <w:rPr>
        <w:rStyle w:val="19"/>
      </w:rPr>
    </w:pPr>
    <w:r>
      <w:fldChar w:fldCharType="begin"/>
    </w:r>
    <w:r>
      <w:rPr>
        <w:rStyle w:val="19"/>
      </w:rPr>
      <w:instrText xml:space="preserve">PAGE  </w:instrText>
    </w:r>
    <w:r>
      <w:fldChar w:fldCharType="end"/>
    </w:r>
  </w:p>
  <w:p w14:paraId="44BE7844">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80AC3">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144</w:t>
    </w:r>
    <w:r>
      <w:rPr>
        <w:rFonts w:hint="eastAsia" w:ascii="仿宋_GB2312" w:eastAsia="仿宋_GB2312"/>
        <w:kern w:val="0"/>
        <w:szCs w:val="21"/>
      </w:rPr>
      <w:fldChar w:fldCharType="end"/>
    </w:r>
    <w:bookmarkStart w:id="403" w:name="_Toc91899912"/>
    <w:bookmarkStart w:id="404" w:name="_Toc36110187"/>
    <w:bookmarkStart w:id="405" w:name="_Toc131845147"/>
    <w:bookmarkStart w:id="406" w:name="_Toc36110187"/>
    <w:bookmarkStart w:id="407" w:name="_Toc131845147"/>
    <w:bookmarkStart w:id="408" w:name="_Toc164085800"/>
    <w:bookmarkStart w:id="409" w:name="_Toc91899912"/>
    <w:bookmarkStart w:id="410" w:name="_Toc164085800"/>
    <w:r>
      <w:rPr>
        <w:rFonts w:hint="eastAsia" w:ascii="仿宋_GB2312" w:eastAsia="仿宋_GB2312"/>
        <w:kern w:val="0"/>
        <w:szCs w:val="21"/>
      </w:rPr>
      <w:t xml:space="preserve"> 页</w:t>
    </w:r>
    <w:bookmarkEnd w:id="403"/>
    <w:bookmarkEnd w:id="404"/>
    <w:bookmarkEnd w:id="405"/>
    <w:bookmarkEnd w:id="406"/>
    <w:bookmarkEnd w:id="407"/>
    <w:bookmarkEnd w:id="408"/>
    <w:bookmarkEnd w:id="409"/>
    <w:bookmarkEnd w:id="4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CB212">
    <w:pPr>
      <w:pStyle w:val="11"/>
      <w:framePr w:wrap="around" w:vAnchor="text" w:hAnchor="margin" w:xAlign="right" w:y="1"/>
      <w:rPr>
        <w:rStyle w:val="19"/>
      </w:rPr>
    </w:pPr>
    <w:r>
      <w:fldChar w:fldCharType="begin"/>
    </w:r>
    <w:r>
      <w:rPr>
        <w:rStyle w:val="19"/>
      </w:rPr>
      <w:instrText xml:space="preserve">PAGE  </w:instrText>
    </w:r>
    <w:r>
      <w:fldChar w:fldCharType="end"/>
    </w:r>
  </w:p>
  <w:p w14:paraId="6D497136">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B216E">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60F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7F988FA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240D">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14:paraId="33FB9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C2628">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5250B2E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7CA3">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147</w:t>
    </w:r>
    <w:r>
      <w:rPr>
        <w:rFonts w:hint="eastAsia" w:ascii="仿宋_GB2312" w:eastAsia="仿宋_GB2312"/>
        <w:kern w:val="0"/>
      </w:rPr>
      <w:fldChar w:fldCharType="end"/>
    </w:r>
    <w:r>
      <w:rPr>
        <w:rFonts w:hint="eastAsia" w:ascii="仿宋_GB2312" w:eastAsia="仿宋_GB2312"/>
        <w:kern w:val="0"/>
      </w:rPr>
      <w:t xml:space="preserve"> 页</w:t>
    </w:r>
  </w:p>
  <w:p w14:paraId="1052DA7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EA72">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144</w:t>
    </w:r>
    <w:r>
      <w:rPr>
        <w:rFonts w:hint="eastAsia" w:ascii="仿宋_GB2312" w:eastAsia="仿宋_GB2312"/>
        <w:kern w:val="0"/>
      </w:rPr>
      <w:fldChar w:fldCharType="end"/>
    </w:r>
    <w:r>
      <w:rPr>
        <w:rFonts w:hint="eastAsia" w:ascii="仿宋_GB2312" w:eastAsia="仿宋_GB2312"/>
        <w:kern w:val="0"/>
      </w:rPr>
      <w:t xml:space="preserve"> 页</w:t>
    </w:r>
  </w:p>
  <w:p w14:paraId="76A14C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DAC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146</w:t>
    </w:r>
    <w:r>
      <w:rPr>
        <w:rFonts w:hint="eastAsia" w:ascii="仿宋_GB2312" w:eastAsia="仿宋_GB2312"/>
        <w:kern w:val="0"/>
      </w:rPr>
      <w:fldChar w:fldCharType="end"/>
    </w:r>
    <w:r>
      <w:rPr>
        <w:rFonts w:hint="eastAsia" w:ascii="仿宋_GB2312" w:eastAsia="仿宋_GB2312"/>
        <w:kern w:val="0"/>
      </w:rPr>
      <w:t xml:space="preserve"> 页</w:t>
    </w:r>
  </w:p>
  <w:p w14:paraId="6089491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BAB0">
    <w:pPr>
      <w:pStyle w:val="12"/>
      <w:pBdr>
        <w:bottom w:val="single" w:color="auto" w:sz="6" w:space="4"/>
      </w:pBdr>
      <w:jc w:val="right"/>
    </w:pPr>
    <w:r>
      <w:t></w:t>
    </w:r>
    <w:r>
      <w:rPr>
        <w:rFonts w:hint="eastAsia"/>
      </w:rPr>
      <w:t xml:space="preserve">            </w:t>
    </w:r>
    <w:r>
      <w:t>政府采购公开招标文件</w:t>
    </w:r>
  </w:p>
  <w:p w14:paraId="18645BF2">
    <w:pPr>
      <w:pStyle w:val="1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623B">
    <w:pPr>
      <w:pStyle w:val="1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A20C">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F7398">
    <w:pPr>
      <w:pStyle w:val="12"/>
      <w:rPr>
        <w:rFonts w:ascii="仿宋_GB2312" w:eastAsia="仿宋_GB2312"/>
        <w:b/>
        <w:i/>
        <w:u w:val="single"/>
      </w:rPr>
    </w:pPr>
    <w:r>
      <w:t></w:t>
    </w:r>
    <w:r>
      <w:rPr>
        <w:rFonts w:hint="eastAsia"/>
      </w:rPr>
      <w:t xml:space="preserve">                                                  </w:t>
    </w:r>
    <w:r>
      <w:t xml:space="preserve">             政府采购公开招标文件</w:t>
    </w:r>
  </w:p>
  <w:p w14:paraId="1BFB67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7128">
    <w:pPr>
      <w:pStyle w:val="12"/>
    </w:pPr>
    <w:r>
      <w:t></w:t>
    </w:r>
    <w:r>
      <w:rPr>
        <w:rFonts w:hint="eastAsia"/>
      </w:rPr>
      <w:t xml:space="preserve">         </w:t>
    </w:r>
  </w:p>
  <w:p w14:paraId="1271B64B">
    <w:pPr>
      <w:pStyle w:val="1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5028">
    <w:pPr>
      <w:pStyle w:val="12"/>
      <w:rPr>
        <w:rFonts w:ascii="仿宋_GB2312" w:eastAsia="仿宋_GB2312"/>
        <w:b/>
        <w:i/>
        <w:u w:val="single"/>
      </w:rPr>
    </w:pPr>
    <w:r>
      <w:t></w:t>
    </w:r>
    <w:r>
      <w:rPr>
        <w:rFonts w:hint="eastAsia"/>
      </w:rPr>
      <w:t xml:space="preserve">                                                 </w:t>
    </w:r>
    <w:r>
      <w:t>政府采购公开招标文件</w:t>
    </w:r>
  </w:p>
  <w:p w14:paraId="172E1C0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BE1D3">
    <w:pPr>
      <w:pStyle w:val="1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3F55">
    <w:pPr>
      <w:pStyle w:val="12"/>
      <w:jc w:val="right"/>
      <w:rPr>
        <w:rFonts w:ascii="仿宋_GB2312" w:eastAsia="仿宋_GB2312"/>
        <w:b/>
        <w:i/>
        <w:u w:val="single"/>
      </w:rPr>
    </w:pPr>
    <w:r>
      <w:rPr>
        <w:rFonts w:hint="eastAsia"/>
      </w:rPr>
      <w:t xml:space="preserve">                                 </w:t>
    </w:r>
    <w:r>
      <w:t>政府采购公开招标文件</w:t>
    </w:r>
  </w:p>
  <w:p w14:paraId="7D05BF9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6EC4B">
    <w:pPr>
      <w:pStyle w:val="12"/>
      <w:jc w:val="right"/>
    </w:pPr>
    <w:r>
      <w:rPr>
        <w:rFonts w:hint="eastAsia"/>
      </w:rPr>
      <w:t xml:space="preserve">                                                                                                        </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50C6">
    <w:pPr>
      <w:pStyle w:val="1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C65FD"/>
    <w:multiLevelType w:val="singleLevel"/>
    <w:tmpl w:val="B73C65FD"/>
    <w:lvl w:ilvl="0" w:tentative="0">
      <w:start w:val="1"/>
      <w:numFmt w:val="decimal"/>
      <w:suff w:val="nothing"/>
      <w:lvlText w:val="%1、"/>
      <w:lvlJc w:val="left"/>
    </w:lvl>
  </w:abstractNum>
  <w:abstractNum w:abstractNumId="1">
    <w:nsid w:val="DAE7080F"/>
    <w:multiLevelType w:val="singleLevel"/>
    <w:tmpl w:val="DAE7080F"/>
    <w:lvl w:ilvl="0" w:tentative="0">
      <w:start w:val="3"/>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4DAC573"/>
    <w:multiLevelType w:val="singleLevel"/>
    <w:tmpl w:val="54DAC573"/>
    <w:lvl w:ilvl="0" w:tentative="0">
      <w:start w:val="2"/>
      <w:numFmt w:val="decimal"/>
      <w:suff w:val="nothing"/>
      <w:lvlText w:val="%1、"/>
      <w:lvlJc w:val="left"/>
    </w:lvl>
  </w:abstractNum>
  <w:abstractNum w:abstractNumId="5">
    <w:nsid w:val="63D3182D"/>
    <w:multiLevelType w:val="singleLevel"/>
    <w:tmpl w:val="63D3182D"/>
    <w:lvl w:ilvl="0" w:tentative="0">
      <w:start w:val="1"/>
      <w:numFmt w:val="decimal"/>
      <w:suff w:val="nothing"/>
      <w:lvlText w:val="（%1）"/>
      <w:lvlJc w:val="left"/>
    </w:lvl>
  </w:abstractNum>
  <w:abstractNum w:abstractNumId="6">
    <w:nsid w:val="6A90DB4D"/>
    <w:multiLevelType w:val="singleLevel"/>
    <w:tmpl w:val="6A90DB4D"/>
    <w:lvl w:ilvl="0" w:tentative="0">
      <w:start w:val="4"/>
      <w:numFmt w:val="decimal"/>
      <w:lvlText w:val="%1."/>
      <w:lvlJc w:val="left"/>
      <w:pPr>
        <w:tabs>
          <w:tab w:val="left" w:pos="312"/>
        </w:tabs>
      </w:pPr>
    </w:lvl>
  </w:abstractNum>
  <w:abstractNum w:abstractNumId="7">
    <w:nsid w:val="6F241748"/>
    <w:multiLevelType w:val="singleLevel"/>
    <w:tmpl w:val="6F241748"/>
    <w:lvl w:ilvl="0" w:tentative="0">
      <w:start w:val="1"/>
      <w:numFmt w:val="decimal"/>
      <w:suff w:val="nothing"/>
      <w:lvlText w:val="%1、"/>
      <w:lvlJc w:val="left"/>
    </w:lvl>
  </w:abstractNum>
  <w:num w:numId="1">
    <w:abstractNumId w:val="5"/>
  </w:num>
  <w:num w:numId="2">
    <w:abstractNumId w:val="1"/>
  </w:num>
  <w:num w:numId="3">
    <w:abstractNumId w:val="7"/>
  </w:num>
  <w:num w:numId="4">
    <w:abstractNumId w:val="0"/>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WE5MzBkM2I4MTk3ZjE3NGVkMTRiNGJlNzE2NmYifQ=="/>
  </w:docVars>
  <w:rsids>
    <w:rsidRoot w:val="00000000"/>
    <w:rsid w:val="004B29F7"/>
    <w:rsid w:val="01340A8D"/>
    <w:rsid w:val="013A170A"/>
    <w:rsid w:val="01E5610D"/>
    <w:rsid w:val="02181129"/>
    <w:rsid w:val="02247ACE"/>
    <w:rsid w:val="02985DC6"/>
    <w:rsid w:val="03623B68"/>
    <w:rsid w:val="03E5503B"/>
    <w:rsid w:val="04A413A0"/>
    <w:rsid w:val="04BD7D66"/>
    <w:rsid w:val="068943A3"/>
    <w:rsid w:val="07CE08D7"/>
    <w:rsid w:val="08923D84"/>
    <w:rsid w:val="09952D56"/>
    <w:rsid w:val="0A345670"/>
    <w:rsid w:val="0A851326"/>
    <w:rsid w:val="0A876E4C"/>
    <w:rsid w:val="0AB73366"/>
    <w:rsid w:val="0C06188B"/>
    <w:rsid w:val="0CA02447"/>
    <w:rsid w:val="0DEF71E2"/>
    <w:rsid w:val="0FE10DAC"/>
    <w:rsid w:val="13C7475D"/>
    <w:rsid w:val="14694179"/>
    <w:rsid w:val="14BC1DE8"/>
    <w:rsid w:val="16242CCE"/>
    <w:rsid w:val="16D36F75"/>
    <w:rsid w:val="181D0DEF"/>
    <w:rsid w:val="18956BD8"/>
    <w:rsid w:val="1C3B579F"/>
    <w:rsid w:val="1D4330A6"/>
    <w:rsid w:val="1D5726AE"/>
    <w:rsid w:val="1D60589F"/>
    <w:rsid w:val="1F9C1295"/>
    <w:rsid w:val="20992FDD"/>
    <w:rsid w:val="23A81EB5"/>
    <w:rsid w:val="240370EB"/>
    <w:rsid w:val="249661B1"/>
    <w:rsid w:val="24BA0FD9"/>
    <w:rsid w:val="24ED0D07"/>
    <w:rsid w:val="256D2FF0"/>
    <w:rsid w:val="289E5635"/>
    <w:rsid w:val="29291ABA"/>
    <w:rsid w:val="29477A7A"/>
    <w:rsid w:val="2A701253"/>
    <w:rsid w:val="2B7100A7"/>
    <w:rsid w:val="2B807273"/>
    <w:rsid w:val="2B956557"/>
    <w:rsid w:val="2C0F432B"/>
    <w:rsid w:val="2C580726"/>
    <w:rsid w:val="2D8E211C"/>
    <w:rsid w:val="2DD91849"/>
    <w:rsid w:val="2EB25DE1"/>
    <w:rsid w:val="2EC30817"/>
    <w:rsid w:val="2F7F3A45"/>
    <w:rsid w:val="30B1468B"/>
    <w:rsid w:val="319267B3"/>
    <w:rsid w:val="31B61254"/>
    <w:rsid w:val="31F404A9"/>
    <w:rsid w:val="32120B2D"/>
    <w:rsid w:val="33D915C0"/>
    <w:rsid w:val="34E15227"/>
    <w:rsid w:val="361433DA"/>
    <w:rsid w:val="36533F02"/>
    <w:rsid w:val="36DB70C1"/>
    <w:rsid w:val="37B22EAA"/>
    <w:rsid w:val="38042FDA"/>
    <w:rsid w:val="3A3B3FF7"/>
    <w:rsid w:val="3ADC7B50"/>
    <w:rsid w:val="3CD86A41"/>
    <w:rsid w:val="3F1969F0"/>
    <w:rsid w:val="40A746FC"/>
    <w:rsid w:val="42705A33"/>
    <w:rsid w:val="43A518D4"/>
    <w:rsid w:val="445C50FA"/>
    <w:rsid w:val="45722CD2"/>
    <w:rsid w:val="46DA1AD6"/>
    <w:rsid w:val="480F3A01"/>
    <w:rsid w:val="482D5E95"/>
    <w:rsid w:val="4A45370A"/>
    <w:rsid w:val="4A8D5561"/>
    <w:rsid w:val="4AAF5028"/>
    <w:rsid w:val="4B326402"/>
    <w:rsid w:val="4D9D27C5"/>
    <w:rsid w:val="4DEA4CF4"/>
    <w:rsid w:val="4E6110D5"/>
    <w:rsid w:val="4EB40721"/>
    <w:rsid w:val="4F846469"/>
    <w:rsid w:val="51764AF1"/>
    <w:rsid w:val="541128AF"/>
    <w:rsid w:val="541814F1"/>
    <w:rsid w:val="542D76E9"/>
    <w:rsid w:val="554747DA"/>
    <w:rsid w:val="57577EC3"/>
    <w:rsid w:val="57FD5624"/>
    <w:rsid w:val="59DC7EE9"/>
    <w:rsid w:val="59E16B81"/>
    <w:rsid w:val="5A7140A7"/>
    <w:rsid w:val="5B031C05"/>
    <w:rsid w:val="5B353327"/>
    <w:rsid w:val="5B510D82"/>
    <w:rsid w:val="5BE70AC5"/>
    <w:rsid w:val="5D1A6C78"/>
    <w:rsid w:val="5FDA449D"/>
    <w:rsid w:val="60FA4DF7"/>
    <w:rsid w:val="61176E18"/>
    <w:rsid w:val="61442516"/>
    <w:rsid w:val="615269E1"/>
    <w:rsid w:val="6584145F"/>
    <w:rsid w:val="66863716"/>
    <w:rsid w:val="67E70492"/>
    <w:rsid w:val="67EB5499"/>
    <w:rsid w:val="69146C72"/>
    <w:rsid w:val="694D4340"/>
    <w:rsid w:val="6A687275"/>
    <w:rsid w:val="6AEA3C99"/>
    <w:rsid w:val="6D153EC2"/>
    <w:rsid w:val="6E423939"/>
    <w:rsid w:val="6E49116B"/>
    <w:rsid w:val="6F1A6F13"/>
    <w:rsid w:val="6F3D13A9"/>
    <w:rsid w:val="6F571666"/>
    <w:rsid w:val="7008573B"/>
    <w:rsid w:val="70812064"/>
    <w:rsid w:val="72966949"/>
    <w:rsid w:val="73F405DF"/>
    <w:rsid w:val="73FF22FA"/>
    <w:rsid w:val="744C66BD"/>
    <w:rsid w:val="75997612"/>
    <w:rsid w:val="76D94E15"/>
    <w:rsid w:val="775841CD"/>
    <w:rsid w:val="781E4A2F"/>
    <w:rsid w:val="7843741F"/>
    <w:rsid w:val="797B25AE"/>
    <w:rsid w:val="7AEA5A84"/>
    <w:rsid w:val="7B685407"/>
    <w:rsid w:val="7B991B64"/>
    <w:rsid w:val="7D484436"/>
    <w:rsid w:val="7E9C4C1D"/>
    <w:rsid w:val="7EB95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toa heading"/>
    <w:basedOn w:val="1"/>
    <w:next w:val="1"/>
    <w:unhideWhenUsed/>
    <w:qFormat/>
    <w:uiPriority w:val="99"/>
    <w:pPr>
      <w:spacing w:before="120"/>
    </w:pPr>
    <w:rPr>
      <w:rFonts w:ascii="Arial" w:hAnsi="Arial" w:cs="Arial"/>
      <w:sz w:val="24"/>
      <w:szCs w:val="24"/>
    </w:rPr>
  </w:style>
  <w:style w:type="paragraph" w:styleId="6">
    <w:name w:val="Body Text"/>
    <w:basedOn w:val="1"/>
    <w:next w:val="7"/>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qFormat/>
    <w:uiPriority w:val="0"/>
    <w:pPr>
      <w:ind w:firstLine="420"/>
    </w:pPr>
    <w:rPr>
      <w:rFonts w:hAnsi="Calibri" w:cs="Times New Roman"/>
      <w:snapToGrid/>
      <w:szCs w:val="20"/>
    </w:rPr>
  </w:style>
  <w:style w:type="paragraph" w:styleId="8">
    <w:name w:val="toc 6"/>
    <w:basedOn w:val="1"/>
    <w:next w:val="1"/>
    <w:qFormat/>
    <w:uiPriority w:val="0"/>
    <w:pPr>
      <w:ind w:left="2100" w:leftChars="1000"/>
    </w:pPr>
  </w:style>
  <w:style w:type="paragraph" w:styleId="9">
    <w:name w:val="Body Text Indent"/>
    <w:basedOn w:val="1"/>
    <w:next w:val="1"/>
    <w:qFormat/>
    <w:uiPriority w:val="0"/>
    <w:pPr>
      <w:spacing w:line="480" w:lineRule="exact"/>
      <w:ind w:firstLine="480" w:firstLineChars="200"/>
    </w:pPr>
    <w:rPr>
      <w:rFonts w:ascii="宋体" w:hAnsi="宋体"/>
      <w:sz w:val="24"/>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5">
    <w:name w:val="Body Text First Indent 2"/>
    <w:basedOn w:val="9"/>
    <w:next w:val="7"/>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99"/>
    <w:rPr>
      <w:sz w:val="21"/>
      <w:szCs w:val="21"/>
    </w:rPr>
  </w:style>
  <w:style w:type="paragraph" w:customStyle="1" w:styleId="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7">
    <w:name w:val="正文空2字"/>
    <w:basedOn w:val="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8">
    <w:name w:val="左对齐正文"/>
    <w:qFormat/>
    <w:uiPriority w:val="99"/>
    <w:rPr>
      <w:rFonts w:ascii="Calibri" w:hAnsi="Calibri" w:eastAsia="仿宋_GB2312" w:cs="Calibri"/>
      <w:kern w:val="2"/>
      <w:sz w:val="32"/>
      <w:szCs w:val="32"/>
      <w:lang w:val="en-US" w:eastAsia="zh-CN" w:bidi="ar-SA"/>
    </w:rPr>
  </w:style>
  <w:style w:type="table" w:customStyle="1" w:styleId="29">
    <w:name w:val="网格型7"/>
    <w:basedOn w:val="16"/>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0">
    <w:name w:val="列表段落1"/>
    <w:basedOn w:val="1"/>
    <w:qFormat/>
    <w:uiPriority w:val="34"/>
    <w:pPr>
      <w:adjustRightInd/>
      <w:ind w:right="238" w:firstLine="420"/>
    </w:pPr>
    <w:rPr>
      <w:rFonts w:ascii="Calibri" w:hAnsi="Calibri"/>
      <w:sz w:val="24"/>
    </w:rPr>
  </w:style>
  <w:style w:type="paragraph" w:customStyle="1" w:styleId="3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2">
    <w:name w:val="_Style 3"/>
    <w:basedOn w:val="1"/>
    <w:qFormat/>
    <w:uiPriority w:val="0"/>
    <w:pPr>
      <w:adjustRightInd/>
      <w:ind w:firstLine="420" w:firstLineChars="200"/>
    </w:pPr>
    <w:rPr>
      <w:rFonts w:eastAsia="仿宋_GB2312"/>
      <w:sz w:val="28"/>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styleId="36">
    <w:name w:val="List Paragraph"/>
    <w:basedOn w:val="1"/>
    <w:qFormat/>
    <w:uiPriority w:val="0"/>
    <w:pPr>
      <w:widowControl/>
      <w:ind w:left="720" w:firstLine="360"/>
      <w:jc w:val="left"/>
    </w:pPr>
    <w:rPr>
      <w:rFonts w:eastAsia="宋体" w:cs="Times New Roman"/>
      <w:kern w:val="0"/>
      <w:sz w:val="22"/>
      <w:szCs w:val="22"/>
      <w:lang w:eastAsia="en-US" w:bidi="en-US"/>
    </w:rPr>
  </w:style>
  <w:style w:type="paragraph" w:customStyle="1" w:styleId="37">
    <w:name w:val="Body Text First Indent 21"/>
    <w:basedOn w:val="38"/>
    <w:qFormat/>
    <w:uiPriority w:val="0"/>
    <w:pPr>
      <w:ind w:firstLine="420"/>
    </w:pPr>
  </w:style>
  <w:style w:type="paragraph" w:customStyle="1" w:styleId="38">
    <w:name w:val="Body Text Indent1"/>
    <w:basedOn w:val="1"/>
    <w:qFormat/>
    <w:uiPriority w:val="0"/>
    <w:pPr>
      <w:spacing w:after="120"/>
      <w:ind w:left="420" w:leftChars="200"/>
    </w:pPr>
  </w:style>
  <w:style w:type="paragraph" w:customStyle="1" w:styleId="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12074</Words>
  <Characters>13174</Characters>
  <Lines>0</Lines>
  <Paragraphs>0</Paragraphs>
  <TotalTime>4</TotalTime>
  <ScaleCrop>false</ScaleCrop>
  <LinksUpToDate>false</LinksUpToDate>
  <CharactersWithSpaces>13491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2024-10-18T06:56:00Z</dcterms:created>
  <dc:creator>Administrator</dc:creator>
  <cp:lastModifiedBy>WPS_1671501819</cp:lastModifiedBy>
  <cp:lastPrinted>2025-06-10T08:14:00Z</cp:lastPrinted>
  <dcterms:modified xsi:type="dcterms:W3CDTF">2025-06-18T05:56:31Z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4FF40E95FF874FFB94C93AF8F85F3581_12</vt:lpwstr>
  </property>
  <property fmtid="{D5CDD505-2E9C-101B-9397-08002B2CF9AE}" pid="4" name="KSOTemplateDocerSaveRecord">
    <vt:lpwstr>eyJoZGlkIjoiMDNkYjc0ZWU4NzVhZTExMDM2ZmQxNjM0OTUwYzg1NTEiLCJ1c2VySWQiOiIxNDU5OTc4MTIwIn0=</vt:lpwstr>
  </property>
</Properties>
</file>